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C8D20" w14:textId="77777777" w:rsidR="00F01EC8" w:rsidRPr="002303EB" w:rsidRDefault="00F01EC8" w:rsidP="00F01EC8">
      <w:pPr>
        <w:pStyle w:val="NoSpacing"/>
        <w:jc w:val="center"/>
        <w:rPr>
          <w:rStyle w:val="Strong"/>
          <w:sz w:val="20"/>
          <w:szCs w:val="20"/>
          <w:u w:val="single"/>
        </w:rPr>
      </w:pPr>
      <w:r w:rsidRPr="002303EB">
        <w:rPr>
          <w:rStyle w:val="Strong"/>
          <w:sz w:val="20"/>
          <w:szCs w:val="20"/>
          <w:u w:val="single"/>
        </w:rPr>
        <w:t>Provident Financial plc</w:t>
      </w:r>
    </w:p>
    <w:p w14:paraId="08CEEB48" w14:textId="77777777" w:rsidR="00F01EC8" w:rsidRPr="00F01EC8" w:rsidRDefault="00F01EC8" w:rsidP="00F01EC8">
      <w:pPr>
        <w:pStyle w:val="NoSpacing"/>
        <w:jc w:val="center"/>
        <w:rPr>
          <w:rStyle w:val="Strong"/>
          <w:sz w:val="20"/>
          <w:szCs w:val="20"/>
        </w:rPr>
      </w:pPr>
      <w:r w:rsidRPr="00F01EC8">
        <w:rPr>
          <w:rStyle w:val="Strong"/>
          <w:sz w:val="20"/>
          <w:szCs w:val="20"/>
        </w:rPr>
        <w:t>Interim results for the six months ended 30 June 2020</w:t>
      </w:r>
    </w:p>
    <w:p w14:paraId="0524D6F1" w14:textId="77777777" w:rsidR="00F01EC8" w:rsidRPr="00F01EC8" w:rsidRDefault="00F01EC8" w:rsidP="00F01EC8">
      <w:pPr>
        <w:pStyle w:val="NoSpacing"/>
        <w:jc w:val="center"/>
        <w:rPr>
          <w:sz w:val="20"/>
          <w:szCs w:val="20"/>
        </w:rPr>
      </w:pPr>
    </w:p>
    <w:p w14:paraId="71568E59" w14:textId="77777777" w:rsidR="00F01EC8" w:rsidRPr="00F01EC8" w:rsidRDefault="00F01EC8" w:rsidP="00F01EC8">
      <w:pPr>
        <w:pStyle w:val="NoSpacing"/>
        <w:jc w:val="both"/>
        <w:rPr>
          <w:sz w:val="20"/>
          <w:szCs w:val="20"/>
        </w:rPr>
      </w:pPr>
      <w:r w:rsidRPr="00F01EC8">
        <w:rPr>
          <w:sz w:val="20"/>
          <w:szCs w:val="20"/>
        </w:rPr>
        <w:t>Provident Financial plc (‘the Group’) is the leading provider of credit products to consumers who are underserved by mainstream lenders. The Group serves c.2.2 million customers and its operations consist of Vanquis Bank, Moneybarn, and the Consumer Credit Division (‘CCD’) comprising Provident home credit and Satsuma.</w:t>
      </w:r>
    </w:p>
    <w:p w14:paraId="209FF262" w14:textId="77777777" w:rsidR="00F01EC8" w:rsidRPr="00F01EC8" w:rsidRDefault="00F01EC8" w:rsidP="00F01EC8">
      <w:pPr>
        <w:pStyle w:val="NoSpacing"/>
        <w:rPr>
          <w:sz w:val="20"/>
          <w:szCs w:val="20"/>
        </w:rPr>
      </w:pPr>
    </w:p>
    <w:p w14:paraId="33224B6E" w14:textId="77777777" w:rsidR="00F01EC8" w:rsidRPr="00F01EC8" w:rsidRDefault="00F01EC8" w:rsidP="00F01EC8">
      <w:pPr>
        <w:rPr>
          <w:rStyle w:val="Strong"/>
          <w:rFonts w:asciiTheme="minorHAnsi" w:hAnsiTheme="minorHAnsi"/>
          <w:sz w:val="20"/>
          <w:szCs w:val="20"/>
        </w:rPr>
      </w:pPr>
      <w:r w:rsidRPr="00F01EC8">
        <w:rPr>
          <w:rStyle w:val="Strong"/>
          <w:rFonts w:asciiTheme="minorHAnsi" w:hAnsiTheme="minorHAnsi"/>
          <w:sz w:val="20"/>
          <w:szCs w:val="20"/>
        </w:rPr>
        <w:t>Key financial results</w:t>
      </w:r>
    </w:p>
    <w:tbl>
      <w:tblPr>
        <w:tblW w:w="7591" w:type="dxa"/>
        <w:tblInd w:w="108" w:type="dxa"/>
        <w:tblLayout w:type="fixed"/>
        <w:tblLook w:val="04A0" w:firstRow="1" w:lastRow="0" w:firstColumn="1" w:lastColumn="0" w:noHBand="0" w:noVBand="1"/>
      </w:tblPr>
      <w:tblGrid>
        <w:gridCol w:w="5135"/>
        <w:gridCol w:w="1228"/>
        <w:gridCol w:w="1228"/>
      </w:tblGrid>
      <w:tr w:rsidR="0044492E" w:rsidRPr="00F01EC8" w14:paraId="50FD7887" w14:textId="77777777" w:rsidTr="005714EF">
        <w:trPr>
          <w:gridAfter w:val="2"/>
          <w:wAfter w:w="2456" w:type="dxa"/>
        </w:trPr>
        <w:tc>
          <w:tcPr>
            <w:tcW w:w="5135" w:type="dxa"/>
            <w:vAlign w:val="bottom"/>
          </w:tcPr>
          <w:p w14:paraId="45B48CC8" w14:textId="77777777" w:rsidR="0044492E" w:rsidRPr="00F01EC8" w:rsidRDefault="0044492E" w:rsidP="00F01EC8">
            <w:pPr>
              <w:pStyle w:val="NoSpacing"/>
              <w:spacing w:line="256" w:lineRule="auto"/>
              <w:rPr>
                <w:sz w:val="20"/>
                <w:szCs w:val="20"/>
              </w:rPr>
            </w:pPr>
          </w:p>
        </w:tc>
      </w:tr>
      <w:tr w:rsidR="0044492E" w:rsidRPr="00F01EC8" w14:paraId="279E5E9A" w14:textId="77777777" w:rsidTr="005714EF">
        <w:tc>
          <w:tcPr>
            <w:tcW w:w="5135" w:type="dxa"/>
            <w:vAlign w:val="bottom"/>
          </w:tcPr>
          <w:p w14:paraId="2705C5E9" w14:textId="77777777" w:rsidR="0044492E" w:rsidRPr="00F01EC8" w:rsidRDefault="0044492E" w:rsidP="00F01EC8">
            <w:pPr>
              <w:pStyle w:val="NoSpacing"/>
              <w:spacing w:line="256" w:lineRule="auto"/>
              <w:rPr>
                <w:sz w:val="20"/>
                <w:szCs w:val="20"/>
              </w:rPr>
            </w:pPr>
          </w:p>
        </w:tc>
        <w:tc>
          <w:tcPr>
            <w:tcW w:w="1228" w:type="dxa"/>
            <w:vAlign w:val="bottom"/>
            <w:hideMark/>
          </w:tcPr>
          <w:p w14:paraId="23864095" w14:textId="77777777" w:rsidR="0044492E" w:rsidRPr="00F01EC8" w:rsidRDefault="0044492E" w:rsidP="00F01EC8">
            <w:pPr>
              <w:pStyle w:val="NoSpacing"/>
              <w:spacing w:line="256" w:lineRule="auto"/>
              <w:jc w:val="center"/>
              <w:rPr>
                <w:sz w:val="20"/>
                <w:szCs w:val="20"/>
              </w:rPr>
            </w:pPr>
            <w:r w:rsidRPr="00F01EC8">
              <w:rPr>
                <w:sz w:val="20"/>
                <w:szCs w:val="20"/>
              </w:rPr>
              <w:t>2020</w:t>
            </w:r>
          </w:p>
        </w:tc>
        <w:tc>
          <w:tcPr>
            <w:tcW w:w="1228" w:type="dxa"/>
            <w:vAlign w:val="bottom"/>
            <w:hideMark/>
          </w:tcPr>
          <w:p w14:paraId="70684BCC" w14:textId="77777777" w:rsidR="0044492E" w:rsidRPr="00F01EC8" w:rsidRDefault="0044492E" w:rsidP="00F01EC8">
            <w:pPr>
              <w:pStyle w:val="NoSpacing"/>
              <w:spacing w:line="256" w:lineRule="auto"/>
              <w:jc w:val="center"/>
              <w:rPr>
                <w:sz w:val="20"/>
                <w:szCs w:val="20"/>
              </w:rPr>
            </w:pPr>
            <w:r w:rsidRPr="00F01EC8">
              <w:rPr>
                <w:sz w:val="20"/>
                <w:szCs w:val="20"/>
              </w:rPr>
              <w:t>2019</w:t>
            </w:r>
            <w:r w:rsidRPr="00F01EC8">
              <w:rPr>
                <w:sz w:val="20"/>
                <w:szCs w:val="20"/>
                <w:vertAlign w:val="superscript"/>
              </w:rPr>
              <w:t>1</w:t>
            </w:r>
          </w:p>
        </w:tc>
      </w:tr>
      <w:tr w:rsidR="0044492E" w:rsidRPr="00F01EC8" w14:paraId="65AF9EF3" w14:textId="77777777" w:rsidTr="005714EF">
        <w:tc>
          <w:tcPr>
            <w:tcW w:w="5135" w:type="dxa"/>
            <w:vAlign w:val="bottom"/>
          </w:tcPr>
          <w:p w14:paraId="01A004CE" w14:textId="77777777" w:rsidR="0044492E" w:rsidRPr="00F01EC8" w:rsidRDefault="0044492E" w:rsidP="00F01EC8">
            <w:pPr>
              <w:pStyle w:val="NoSpacing"/>
              <w:spacing w:line="256" w:lineRule="auto"/>
              <w:rPr>
                <w:sz w:val="20"/>
                <w:szCs w:val="20"/>
              </w:rPr>
            </w:pPr>
          </w:p>
        </w:tc>
        <w:tc>
          <w:tcPr>
            <w:tcW w:w="1228" w:type="dxa"/>
            <w:tcBorders>
              <w:top w:val="nil"/>
              <w:left w:val="nil"/>
              <w:bottom w:val="single" w:sz="4" w:space="0" w:color="auto"/>
              <w:right w:val="nil"/>
            </w:tcBorders>
            <w:vAlign w:val="bottom"/>
            <w:hideMark/>
          </w:tcPr>
          <w:p w14:paraId="72E4F18E" w14:textId="77777777" w:rsidR="0044492E" w:rsidRPr="00F01EC8" w:rsidRDefault="0044492E" w:rsidP="00F01EC8">
            <w:pPr>
              <w:pStyle w:val="NoSpacing"/>
              <w:spacing w:line="256" w:lineRule="auto"/>
              <w:jc w:val="center"/>
              <w:rPr>
                <w:sz w:val="20"/>
                <w:szCs w:val="20"/>
              </w:rPr>
            </w:pPr>
            <w:r w:rsidRPr="00F01EC8">
              <w:rPr>
                <w:sz w:val="20"/>
                <w:szCs w:val="20"/>
              </w:rPr>
              <w:t>£m</w:t>
            </w:r>
          </w:p>
        </w:tc>
        <w:tc>
          <w:tcPr>
            <w:tcW w:w="1228" w:type="dxa"/>
            <w:tcBorders>
              <w:top w:val="nil"/>
              <w:left w:val="nil"/>
              <w:bottom w:val="single" w:sz="4" w:space="0" w:color="auto"/>
              <w:right w:val="nil"/>
            </w:tcBorders>
            <w:vAlign w:val="bottom"/>
            <w:hideMark/>
          </w:tcPr>
          <w:p w14:paraId="5413C08F" w14:textId="77777777" w:rsidR="0044492E" w:rsidRPr="00F01EC8" w:rsidRDefault="0044492E" w:rsidP="00F01EC8">
            <w:pPr>
              <w:pStyle w:val="NoSpacing"/>
              <w:spacing w:line="256" w:lineRule="auto"/>
              <w:jc w:val="center"/>
              <w:rPr>
                <w:sz w:val="20"/>
                <w:szCs w:val="20"/>
              </w:rPr>
            </w:pPr>
            <w:r w:rsidRPr="00F01EC8">
              <w:rPr>
                <w:sz w:val="20"/>
                <w:szCs w:val="20"/>
              </w:rPr>
              <w:t>£m</w:t>
            </w:r>
          </w:p>
        </w:tc>
      </w:tr>
      <w:tr w:rsidR="0044492E" w:rsidRPr="00F01EC8" w14:paraId="7842EEAD" w14:textId="77777777" w:rsidTr="005714EF">
        <w:tc>
          <w:tcPr>
            <w:tcW w:w="5135" w:type="dxa"/>
            <w:vAlign w:val="bottom"/>
            <w:hideMark/>
          </w:tcPr>
          <w:p w14:paraId="1D71B9DB" w14:textId="77777777" w:rsidR="0044492E" w:rsidRPr="00F01EC8" w:rsidRDefault="0044492E" w:rsidP="00F01EC8">
            <w:pPr>
              <w:pStyle w:val="NoSpacing"/>
              <w:spacing w:line="256" w:lineRule="auto"/>
              <w:rPr>
                <w:sz w:val="20"/>
                <w:szCs w:val="20"/>
              </w:rPr>
            </w:pPr>
            <w:r w:rsidRPr="00F01EC8">
              <w:rPr>
                <w:sz w:val="20"/>
                <w:szCs w:val="20"/>
              </w:rPr>
              <w:t>Adjusted profit/(loss) before tax:</w:t>
            </w:r>
          </w:p>
        </w:tc>
        <w:tc>
          <w:tcPr>
            <w:tcW w:w="1228" w:type="dxa"/>
            <w:tcBorders>
              <w:top w:val="single" w:sz="4" w:space="0" w:color="auto"/>
              <w:left w:val="nil"/>
              <w:bottom w:val="nil"/>
              <w:right w:val="nil"/>
            </w:tcBorders>
            <w:vAlign w:val="bottom"/>
          </w:tcPr>
          <w:p w14:paraId="2EF3B76A" w14:textId="77777777" w:rsidR="0044492E" w:rsidRPr="00F01EC8" w:rsidRDefault="0044492E" w:rsidP="00F01EC8">
            <w:pPr>
              <w:pStyle w:val="NoSpacing"/>
              <w:spacing w:line="256" w:lineRule="auto"/>
              <w:rPr>
                <w:sz w:val="20"/>
                <w:szCs w:val="20"/>
              </w:rPr>
            </w:pPr>
          </w:p>
        </w:tc>
        <w:tc>
          <w:tcPr>
            <w:tcW w:w="1228" w:type="dxa"/>
            <w:tcBorders>
              <w:top w:val="single" w:sz="4" w:space="0" w:color="auto"/>
              <w:left w:val="nil"/>
              <w:bottom w:val="nil"/>
              <w:right w:val="nil"/>
            </w:tcBorders>
            <w:vAlign w:val="bottom"/>
          </w:tcPr>
          <w:p w14:paraId="56D02177" w14:textId="77777777" w:rsidR="0044492E" w:rsidRPr="00F01EC8" w:rsidRDefault="0044492E" w:rsidP="00F01EC8">
            <w:pPr>
              <w:pStyle w:val="NoSpacing"/>
              <w:spacing w:line="256" w:lineRule="auto"/>
              <w:rPr>
                <w:sz w:val="20"/>
                <w:szCs w:val="20"/>
              </w:rPr>
            </w:pPr>
          </w:p>
        </w:tc>
      </w:tr>
      <w:tr w:rsidR="0044492E" w:rsidRPr="00F01EC8" w14:paraId="09B7F12A" w14:textId="77777777" w:rsidTr="005714EF">
        <w:tc>
          <w:tcPr>
            <w:tcW w:w="5135" w:type="dxa"/>
            <w:vAlign w:val="bottom"/>
            <w:hideMark/>
          </w:tcPr>
          <w:p w14:paraId="3ACB5D22" w14:textId="588EE638" w:rsidR="0044492E" w:rsidRPr="00F01EC8" w:rsidRDefault="0044492E" w:rsidP="00F01EC8">
            <w:pPr>
              <w:pStyle w:val="NoSpacing"/>
              <w:spacing w:line="256" w:lineRule="auto"/>
              <w:rPr>
                <w:sz w:val="20"/>
                <w:szCs w:val="20"/>
              </w:rPr>
            </w:pPr>
            <w:r w:rsidRPr="00F01EC8">
              <w:rPr>
                <w:sz w:val="20"/>
                <w:szCs w:val="20"/>
              </w:rPr>
              <w:t>– Vanquis Bank</w:t>
            </w:r>
          </w:p>
        </w:tc>
        <w:tc>
          <w:tcPr>
            <w:tcW w:w="1228" w:type="dxa"/>
            <w:vAlign w:val="bottom"/>
            <w:hideMark/>
          </w:tcPr>
          <w:p w14:paraId="26C0A59D" w14:textId="77777777" w:rsidR="0044492E" w:rsidRPr="00F01EC8" w:rsidRDefault="0044492E" w:rsidP="00F01EC8">
            <w:pPr>
              <w:pStyle w:val="NoSpacing"/>
              <w:spacing w:line="256" w:lineRule="auto"/>
              <w:jc w:val="right"/>
              <w:rPr>
                <w:sz w:val="20"/>
                <w:szCs w:val="20"/>
              </w:rPr>
            </w:pPr>
            <w:r w:rsidRPr="00F01EC8">
              <w:rPr>
                <w:rFonts w:cs="Arial"/>
                <w:sz w:val="20"/>
                <w:szCs w:val="20"/>
              </w:rPr>
              <w:t>11.8</w:t>
            </w:r>
          </w:p>
        </w:tc>
        <w:tc>
          <w:tcPr>
            <w:tcW w:w="1228" w:type="dxa"/>
            <w:vAlign w:val="bottom"/>
            <w:hideMark/>
          </w:tcPr>
          <w:p w14:paraId="479E3DB8" w14:textId="77777777" w:rsidR="0044492E" w:rsidRPr="00F01EC8" w:rsidRDefault="0044492E" w:rsidP="00F01EC8">
            <w:pPr>
              <w:pStyle w:val="NoSpacing"/>
              <w:spacing w:line="256" w:lineRule="auto"/>
              <w:jc w:val="right"/>
              <w:rPr>
                <w:sz w:val="20"/>
                <w:szCs w:val="20"/>
              </w:rPr>
            </w:pPr>
            <w:r w:rsidRPr="00F01EC8">
              <w:rPr>
                <w:rFonts w:cs="Arial"/>
                <w:sz w:val="20"/>
                <w:szCs w:val="20"/>
              </w:rPr>
              <w:t>90.5</w:t>
            </w:r>
          </w:p>
        </w:tc>
      </w:tr>
      <w:tr w:rsidR="0044492E" w:rsidRPr="00F01EC8" w14:paraId="62452FB6" w14:textId="77777777" w:rsidTr="005714EF">
        <w:tc>
          <w:tcPr>
            <w:tcW w:w="5135" w:type="dxa"/>
            <w:vAlign w:val="bottom"/>
            <w:hideMark/>
          </w:tcPr>
          <w:p w14:paraId="70AB8E6E" w14:textId="7D22DA44" w:rsidR="0044492E" w:rsidRPr="00F01EC8" w:rsidRDefault="0044492E" w:rsidP="00F01EC8">
            <w:pPr>
              <w:pStyle w:val="NoSpacing"/>
              <w:spacing w:line="256" w:lineRule="auto"/>
              <w:rPr>
                <w:sz w:val="20"/>
                <w:szCs w:val="20"/>
              </w:rPr>
            </w:pPr>
            <w:r w:rsidRPr="00F01EC8">
              <w:rPr>
                <w:sz w:val="20"/>
                <w:szCs w:val="20"/>
              </w:rPr>
              <w:t>– Moneybarn</w:t>
            </w:r>
          </w:p>
        </w:tc>
        <w:tc>
          <w:tcPr>
            <w:tcW w:w="1228" w:type="dxa"/>
            <w:vAlign w:val="bottom"/>
            <w:hideMark/>
          </w:tcPr>
          <w:p w14:paraId="0083F851"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2.4</w:t>
            </w:r>
          </w:p>
        </w:tc>
        <w:tc>
          <w:tcPr>
            <w:tcW w:w="1228" w:type="dxa"/>
            <w:vAlign w:val="bottom"/>
            <w:hideMark/>
          </w:tcPr>
          <w:p w14:paraId="61D9F3B2"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15.5</w:t>
            </w:r>
          </w:p>
        </w:tc>
      </w:tr>
      <w:tr w:rsidR="0044492E" w:rsidRPr="00F01EC8" w14:paraId="15AF3625" w14:textId="77777777" w:rsidTr="005714EF">
        <w:tc>
          <w:tcPr>
            <w:tcW w:w="5135" w:type="dxa"/>
            <w:vAlign w:val="bottom"/>
            <w:hideMark/>
          </w:tcPr>
          <w:p w14:paraId="1344374E" w14:textId="77777777" w:rsidR="0044492E" w:rsidRPr="00F01EC8" w:rsidRDefault="0044492E" w:rsidP="00F01EC8">
            <w:pPr>
              <w:pStyle w:val="NoSpacing"/>
              <w:spacing w:line="256" w:lineRule="auto"/>
              <w:rPr>
                <w:sz w:val="20"/>
                <w:szCs w:val="20"/>
              </w:rPr>
            </w:pPr>
            <w:r w:rsidRPr="00F01EC8">
              <w:rPr>
                <w:sz w:val="20"/>
                <w:szCs w:val="20"/>
              </w:rPr>
              <w:t>– CCD</w:t>
            </w:r>
          </w:p>
        </w:tc>
        <w:tc>
          <w:tcPr>
            <w:tcW w:w="1228" w:type="dxa"/>
            <w:vAlign w:val="bottom"/>
            <w:hideMark/>
          </w:tcPr>
          <w:p w14:paraId="3B0A76A4"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(37.6)</w:t>
            </w:r>
          </w:p>
        </w:tc>
        <w:tc>
          <w:tcPr>
            <w:tcW w:w="1228" w:type="dxa"/>
            <w:vAlign w:val="bottom"/>
            <w:hideMark/>
          </w:tcPr>
          <w:p w14:paraId="1B763A1C"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(15.1)</w:t>
            </w:r>
          </w:p>
        </w:tc>
      </w:tr>
      <w:tr w:rsidR="0044492E" w:rsidRPr="00F01EC8" w14:paraId="394558F2" w14:textId="77777777" w:rsidTr="005714EF">
        <w:tc>
          <w:tcPr>
            <w:tcW w:w="5135" w:type="dxa"/>
            <w:vAlign w:val="bottom"/>
            <w:hideMark/>
          </w:tcPr>
          <w:p w14:paraId="7DBCEDD9" w14:textId="77777777" w:rsidR="0044492E" w:rsidRPr="00F01EC8" w:rsidRDefault="0044492E" w:rsidP="00F01EC8">
            <w:pPr>
              <w:pStyle w:val="NoSpacing"/>
              <w:spacing w:line="256" w:lineRule="auto"/>
              <w:rPr>
                <w:sz w:val="20"/>
                <w:szCs w:val="20"/>
              </w:rPr>
            </w:pPr>
            <w:r w:rsidRPr="00F01EC8">
              <w:rPr>
                <w:sz w:val="20"/>
                <w:szCs w:val="20"/>
              </w:rPr>
              <w:t>– Central costs</w:t>
            </w:r>
          </w:p>
        </w:tc>
        <w:tc>
          <w:tcPr>
            <w:tcW w:w="1228" w:type="dxa"/>
            <w:tcBorders>
              <w:top w:val="nil"/>
              <w:left w:val="nil"/>
              <w:bottom w:val="single" w:sz="4" w:space="0" w:color="auto"/>
              <w:right w:val="nil"/>
            </w:tcBorders>
            <w:vAlign w:val="bottom"/>
            <w:hideMark/>
          </w:tcPr>
          <w:p w14:paraId="53FD97D0"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(9.2)</w:t>
            </w:r>
          </w:p>
        </w:tc>
        <w:tc>
          <w:tcPr>
            <w:tcW w:w="1228" w:type="dxa"/>
            <w:tcBorders>
              <w:top w:val="nil"/>
              <w:left w:val="nil"/>
              <w:bottom w:val="single" w:sz="4" w:space="0" w:color="auto"/>
              <w:right w:val="nil"/>
            </w:tcBorders>
            <w:vAlign w:val="bottom"/>
            <w:hideMark/>
          </w:tcPr>
          <w:p w14:paraId="42B5FBAD"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(10.5)</w:t>
            </w:r>
          </w:p>
        </w:tc>
      </w:tr>
      <w:tr w:rsidR="0044492E" w:rsidRPr="00F01EC8" w14:paraId="5FE53EDD" w14:textId="77777777" w:rsidTr="005714EF">
        <w:tc>
          <w:tcPr>
            <w:tcW w:w="5135" w:type="dxa"/>
            <w:vAlign w:val="bottom"/>
            <w:hideMark/>
          </w:tcPr>
          <w:p w14:paraId="34721F6B" w14:textId="77777777" w:rsidR="0044492E" w:rsidRPr="00F01EC8" w:rsidRDefault="0044492E" w:rsidP="00F01EC8">
            <w:pPr>
              <w:pStyle w:val="NoSpacing"/>
              <w:spacing w:line="256" w:lineRule="auto"/>
              <w:rPr>
                <w:bCs/>
                <w:sz w:val="20"/>
                <w:szCs w:val="20"/>
                <w:vertAlign w:val="superscript"/>
              </w:rPr>
            </w:pPr>
            <w:r w:rsidRPr="00F01EC8">
              <w:rPr>
                <w:bCs/>
                <w:sz w:val="20"/>
                <w:szCs w:val="20"/>
              </w:rPr>
              <w:t>Adjusted (loss)/profit before tax</w:t>
            </w:r>
            <w:r w:rsidRPr="00F01EC8">
              <w:rPr>
                <w:bCs/>
                <w:sz w:val="20"/>
                <w:szCs w:val="20"/>
                <w:vertAlign w:val="superscript"/>
              </w:rPr>
              <w:t>2</w:t>
            </w:r>
          </w:p>
        </w:tc>
        <w:tc>
          <w:tcPr>
            <w:tcW w:w="1228" w:type="dxa"/>
            <w:tcBorders>
              <w:top w:val="single" w:sz="4" w:space="0" w:color="auto"/>
              <w:left w:val="nil"/>
              <w:bottom w:val="single" w:sz="12" w:space="0" w:color="auto"/>
              <w:right w:val="nil"/>
            </w:tcBorders>
            <w:vAlign w:val="bottom"/>
            <w:hideMark/>
          </w:tcPr>
          <w:p w14:paraId="192C2E1B"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(32.6)</w:t>
            </w:r>
          </w:p>
        </w:tc>
        <w:tc>
          <w:tcPr>
            <w:tcW w:w="1228" w:type="dxa"/>
            <w:tcBorders>
              <w:top w:val="single" w:sz="4" w:space="0" w:color="auto"/>
              <w:left w:val="nil"/>
              <w:bottom w:val="single" w:sz="12" w:space="0" w:color="auto"/>
              <w:right w:val="nil"/>
            </w:tcBorders>
            <w:vAlign w:val="bottom"/>
            <w:hideMark/>
          </w:tcPr>
          <w:p w14:paraId="4EF17A4E" w14:textId="77777777" w:rsidR="0044492E" w:rsidRPr="00F01EC8" w:rsidRDefault="0044492E" w:rsidP="00F01EC8">
            <w:pPr>
              <w:pStyle w:val="NoSpacing"/>
              <w:spacing w:line="256" w:lineRule="auto"/>
              <w:jc w:val="right"/>
              <w:rPr>
                <w:rFonts w:cstheme="minorHAnsi"/>
                <w:sz w:val="20"/>
                <w:szCs w:val="20"/>
              </w:rPr>
            </w:pPr>
            <w:r w:rsidRPr="00F01EC8">
              <w:rPr>
                <w:rFonts w:cs="Arial"/>
                <w:sz w:val="20"/>
                <w:szCs w:val="20"/>
              </w:rPr>
              <w:t>80.4</w:t>
            </w:r>
          </w:p>
        </w:tc>
      </w:tr>
      <w:tr w:rsidR="0044492E" w:rsidRPr="00F01EC8" w14:paraId="2E17692D" w14:textId="77777777" w:rsidTr="005714EF">
        <w:tc>
          <w:tcPr>
            <w:tcW w:w="5135" w:type="dxa"/>
            <w:hideMark/>
          </w:tcPr>
          <w:p w14:paraId="78A98B9C" w14:textId="3D1C606F" w:rsidR="0044492E" w:rsidRPr="00F01EC8" w:rsidRDefault="0044492E" w:rsidP="00F01EC8">
            <w:pPr>
              <w:pStyle w:val="NoSpacing"/>
              <w:spacing w:line="256" w:lineRule="auto"/>
              <w:rPr>
                <w:bCs/>
                <w:sz w:val="20"/>
                <w:szCs w:val="20"/>
              </w:rPr>
            </w:pPr>
            <w:r w:rsidRPr="00F01EC8">
              <w:rPr>
                <w:sz w:val="20"/>
                <w:szCs w:val="20"/>
              </w:rPr>
              <w:t>Amortisation of acquisition intangibles</w:t>
            </w:r>
          </w:p>
        </w:tc>
        <w:tc>
          <w:tcPr>
            <w:tcW w:w="1228" w:type="dxa"/>
            <w:tcBorders>
              <w:top w:val="single" w:sz="12" w:space="0" w:color="auto"/>
              <w:left w:val="nil"/>
              <w:bottom w:val="nil"/>
              <w:right w:val="nil"/>
            </w:tcBorders>
            <w:vAlign w:val="bottom"/>
            <w:hideMark/>
          </w:tcPr>
          <w:p w14:paraId="1B5DCC05"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(3.7)</w:t>
            </w:r>
          </w:p>
        </w:tc>
        <w:tc>
          <w:tcPr>
            <w:tcW w:w="1228" w:type="dxa"/>
            <w:tcBorders>
              <w:top w:val="single" w:sz="12" w:space="0" w:color="auto"/>
              <w:left w:val="nil"/>
              <w:bottom w:val="nil"/>
              <w:right w:val="nil"/>
            </w:tcBorders>
            <w:vAlign w:val="bottom"/>
            <w:hideMark/>
          </w:tcPr>
          <w:p w14:paraId="7868A877"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(3.7)</w:t>
            </w:r>
          </w:p>
        </w:tc>
      </w:tr>
      <w:tr w:rsidR="0044492E" w:rsidRPr="00F01EC8" w14:paraId="3C9B8F89" w14:textId="77777777" w:rsidTr="005714EF">
        <w:tc>
          <w:tcPr>
            <w:tcW w:w="5135" w:type="dxa"/>
            <w:hideMark/>
          </w:tcPr>
          <w:p w14:paraId="532AA3EF" w14:textId="2DFD528E" w:rsidR="0044492E" w:rsidRPr="00F01EC8" w:rsidRDefault="0044492E" w:rsidP="00F01EC8">
            <w:pPr>
              <w:pStyle w:val="NoSpacing"/>
              <w:spacing w:line="256" w:lineRule="auto"/>
              <w:rPr>
                <w:bCs/>
                <w:sz w:val="20"/>
                <w:szCs w:val="20"/>
              </w:rPr>
            </w:pPr>
            <w:r w:rsidRPr="00F01EC8">
              <w:rPr>
                <w:sz w:val="20"/>
                <w:szCs w:val="20"/>
              </w:rPr>
              <w:t>Exceptional credit/</w:t>
            </w:r>
            <w:r>
              <w:rPr>
                <w:sz w:val="20"/>
                <w:szCs w:val="20"/>
              </w:rPr>
              <w:t>(</w:t>
            </w:r>
            <w:r w:rsidRPr="00F01EC8">
              <w:rPr>
                <w:sz w:val="20"/>
                <w:szCs w:val="20"/>
              </w:rPr>
              <w:t>costs</w:t>
            </w:r>
            <w:r>
              <w:rPr>
                <w:sz w:val="20"/>
                <w:szCs w:val="20"/>
              </w:rPr>
              <w:t>)</w:t>
            </w:r>
          </w:p>
        </w:tc>
        <w:tc>
          <w:tcPr>
            <w:tcW w:w="1228" w:type="dxa"/>
            <w:tcBorders>
              <w:top w:val="nil"/>
              <w:left w:val="nil"/>
              <w:bottom w:val="single" w:sz="4" w:space="0" w:color="auto"/>
              <w:right w:val="nil"/>
            </w:tcBorders>
            <w:vAlign w:val="bottom"/>
            <w:hideMark/>
          </w:tcPr>
          <w:p w14:paraId="25DFF7B2" w14:textId="53494F44"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8.3</w:t>
            </w:r>
          </w:p>
        </w:tc>
        <w:tc>
          <w:tcPr>
            <w:tcW w:w="1228" w:type="dxa"/>
            <w:tcBorders>
              <w:top w:val="nil"/>
              <w:left w:val="nil"/>
              <w:bottom w:val="single" w:sz="4" w:space="0" w:color="auto"/>
              <w:right w:val="nil"/>
            </w:tcBorders>
            <w:vAlign w:val="bottom"/>
            <w:hideMark/>
          </w:tcPr>
          <w:p w14:paraId="1C2E2269" w14:textId="2D4698D3" w:rsidR="0044492E" w:rsidRPr="00F01EC8" w:rsidRDefault="0044492E" w:rsidP="00F01EC8">
            <w:pPr>
              <w:pStyle w:val="NoSpacing"/>
              <w:spacing w:line="256" w:lineRule="auto"/>
              <w:jc w:val="right"/>
              <w:rPr>
                <w:rFonts w:cstheme="minorHAnsi"/>
                <w:sz w:val="20"/>
                <w:szCs w:val="20"/>
              </w:rPr>
            </w:pPr>
            <w:r>
              <w:rPr>
                <w:rFonts w:cstheme="minorHAnsi"/>
                <w:sz w:val="20"/>
                <w:szCs w:val="20"/>
              </w:rPr>
              <w:t>(</w:t>
            </w:r>
            <w:r w:rsidRPr="00F01EC8">
              <w:rPr>
                <w:rFonts w:cstheme="minorHAnsi"/>
                <w:sz w:val="20"/>
                <w:szCs w:val="20"/>
              </w:rPr>
              <w:t>33.6</w:t>
            </w:r>
            <w:r>
              <w:rPr>
                <w:rFonts w:cstheme="minorHAnsi"/>
                <w:sz w:val="20"/>
                <w:szCs w:val="20"/>
              </w:rPr>
              <w:t>)</w:t>
            </w:r>
          </w:p>
        </w:tc>
      </w:tr>
      <w:tr w:rsidR="0044492E" w:rsidRPr="00F01EC8" w14:paraId="2B0908E7" w14:textId="77777777" w:rsidTr="005714EF">
        <w:tc>
          <w:tcPr>
            <w:tcW w:w="5135" w:type="dxa"/>
            <w:hideMark/>
          </w:tcPr>
          <w:p w14:paraId="36DE46F9" w14:textId="0AABD21D" w:rsidR="0044492E" w:rsidRPr="00F01EC8" w:rsidRDefault="0044492E" w:rsidP="00F01EC8">
            <w:pPr>
              <w:pStyle w:val="NoSpacing"/>
              <w:spacing w:line="256" w:lineRule="auto"/>
              <w:rPr>
                <w:bCs/>
                <w:sz w:val="20"/>
                <w:szCs w:val="20"/>
              </w:rPr>
            </w:pPr>
            <w:r w:rsidRPr="00F01EC8">
              <w:rPr>
                <w:sz w:val="20"/>
                <w:szCs w:val="20"/>
              </w:rPr>
              <w:t>(Loss)/</w:t>
            </w:r>
            <w:r w:rsidR="005714EF">
              <w:rPr>
                <w:sz w:val="20"/>
                <w:szCs w:val="20"/>
              </w:rPr>
              <w:t>p</w:t>
            </w:r>
            <w:r w:rsidRPr="00F01EC8">
              <w:rPr>
                <w:sz w:val="20"/>
                <w:szCs w:val="20"/>
              </w:rPr>
              <w:t>rofit before tax</w:t>
            </w:r>
          </w:p>
        </w:tc>
        <w:tc>
          <w:tcPr>
            <w:tcW w:w="1228" w:type="dxa"/>
            <w:tcBorders>
              <w:top w:val="single" w:sz="4" w:space="0" w:color="auto"/>
              <w:left w:val="nil"/>
              <w:bottom w:val="single" w:sz="4" w:space="0" w:color="auto"/>
              <w:right w:val="nil"/>
            </w:tcBorders>
            <w:vAlign w:val="bottom"/>
            <w:hideMark/>
          </w:tcPr>
          <w:p w14:paraId="08558DE2"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(28.0)</w:t>
            </w:r>
          </w:p>
        </w:tc>
        <w:tc>
          <w:tcPr>
            <w:tcW w:w="1228" w:type="dxa"/>
            <w:tcBorders>
              <w:top w:val="single" w:sz="4" w:space="0" w:color="auto"/>
              <w:left w:val="nil"/>
              <w:bottom w:val="single" w:sz="4" w:space="0" w:color="auto"/>
              <w:right w:val="nil"/>
            </w:tcBorders>
            <w:vAlign w:val="bottom"/>
            <w:hideMark/>
          </w:tcPr>
          <w:p w14:paraId="5530DF42"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43.1</w:t>
            </w:r>
          </w:p>
        </w:tc>
      </w:tr>
      <w:tr w:rsidR="0044492E" w:rsidRPr="00F01EC8" w14:paraId="5060A610" w14:textId="77777777" w:rsidTr="005714EF">
        <w:tc>
          <w:tcPr>
            <w:tcW w:w="5135" w:type="dxa"/>
            <w:vAlign w:val="bottom"/>
          </w:tcPr>
          <w:p w14:paraId="14A74875" w14:textId="77777777" w:rsidR="0044492E" w:rsidRPr="00F01EC8" w:rsidRDefault="0044492E" w:rsidP="00F01EC8">
            <w:pPr>
              <w:pStyle w:val="NoSpacing"/>
              <w:spacing w:line="256" w:lineRule="auto"/>
              <w:rPr>
                <w:bCs/>
                <w:sz w:val="20"/>
                <w:szCs w:val="20"/>
              </w:rPr>
            </w:pPr>
          </w:p>
        </w:tc>
        <w:tc>
          <w:tcPr>
            <w:tcW w:w="1228" w:type="dxa"/>
            <w:tcBorders>
              <w:top w:val="single" w:sz="12" w:space="0" w:color="auto"/>
              <w:left w:val="nil"/>
              <w:bottom w:val="nil"/>
              <w:right w:val="nil"/>
            </w:tcBorders>
            <w:vAlign w:val="bottom"/>
          </w:tcPr>
          <w:p w14:paraId="70936F5E" w14:textId="77777777" w:rsidR="0044492E" w:rsidRPr="00F01EC8" w:rsidRDefault="0044492E" w:rsidP="00F01EC8">
            <w:pPr>
              <w:pStyle w:val="NoSpacing"/>
              <w:spacing w:line="256" w:lineRule="auto"/>
              <w:jc w:val="right"/>
              <w:rPr>
                <w:rFonts w:cstheme="minorHAnsi"/>
                <w:sz w:val="20"/>
                <w:szCs w:val="20"/>
              </w:rPr>
            </w:pPr>
          </w:p>
        </w:tc>
        <w:tc>
          <w:tcPr>
            <w:tcW w:w="1228" w:type="dxa"/>
            <w:tcBorders>
              <w:top w:val="single" w:sz="12" w:space="0" w:color="auto"/>
              <w:left w:val="nil"/>
              <w:bottom w:val="nil"/>
              <w:right w:val="nil"/>
            </w:tcBorders>
            <w:vAlign w:val="bottom"/>
          </w:tcPr>
          <w:p w14:paraId="63245232" w14:textId="77777777" w:rsidR="0044492E" w:rsidRPr="00F01EC8" w:rsidRDefault="0044492E" w:rsidP="00F01EC8">
            <w:pPr>
              <w:pStyle w:val="NoSpacing"/>
              <w:spacing w:line="256" w:lineRule="auto"/>
              <w:jc w:val="right"/>
              <w:rPr>
                <w:rFonts w:cstheme="minorHAnsi"/>
                <w:sz w:val="20"/>
                <w:szCs w:val="20"/>
              </w:rPr>
            </w:pPr>
          </w:p>
        </w:tc>
      </w:tr>
      <w:tr w:rsidR="0044492E" w:rsidRPr="00F01EC8" w14:paraId="2BAD5EDD" w14:textId="77777777" w:rsidTr="005714EF">
        <w:tc>
          <w:tcPr>
            <w:tcW w:w="5135" w:type="dxa"/>
            <w:vAlign w:val="bottom"/>
            <w:hideMark/>
          </w:tcPr>
          <w:p w14:paraId="26CF9F7C" w14:textId="77777777" w:rsidR="0044492E" w:rsidRPr="00F01EC8" w:rsidRDefault="0044492E" w:rsidP="00F01EC8">
            <w:pPr>
              <w:pStyle w:val="NoSpacing"/>
              <w:spacing w:line="256" w:lineRule="auto"/>
              <w:rPr>
                <w:bCs/>
                <w:sz w:val="20"/>
                <w:szCs w:val="20"/>
              </w:rPr>
            </w:pPr>
            <w:r w:rsidRPr="00F01EC8">
              <w:rPr>
                <w:bCs/>
                <w:sz w:val="20"/>
                <w:szCs w:val="20"/>
              </w:rPr>
              <w:t>Adjusted basic EPS</w:t>
            </w:r>
            <w:r w:rsidRPr="00F01EC8">
              <w:rPr>
                <w:bCs/>
                <w:sz w:val="20"/>
                <w:szCs w:val="20"/>
                <w:vertAlign w:val="superscript"/>
              </w:rPr>
              <w:t>2</w:t>
            </w:r>
          </w:p>
        </w:tc>
        <w:tc>
          <w:tcPr>
            <w:tcW w:w="1228" w:type="dxa"/>
            <w:tcBorders>
              <w:top w:val="nil"/>
              <w:left w:val="nil"/>
              <w:bottom w:val="single" w:sz="12" w:space="0" w:color="auto"/>
              <w:right w:val="nil"/>
            </w:tcBorders>
            <w:vAlign w:val="bottom"/>
            <w:hideMark/>
          </w:tcPr>
          <w:p w14:paraId="06263290" w14:textId="77777777" w:rsidR="0044492E" w:rsidRPr="00F01EC8" w:rsidRDefault="0044492E" w:rsidP="00F01EC8">
            <w:pPr>
              <w:pStyle w:val="NoSpacing"/>
              <w:spacing w:line="256" w:lineRule="auto"/>
              <w:jc w:val="right"/>
              <w:rPr>
                <w:sz w:val="20"/>
                <w:szCs w:val="20"/>
              </w:rPr>
            </w:pPr>
            <w:r w:rsidRPr="00F01EC8">
              <w:rPr>
                <w:sz w:val="20"/>
                <w:szCs w:val="20"/>
              </w:rPr>
              <w:t>(10.1)</w:t>
            </w:r>
          </w:p>
        </w:tc>
        <w:tc>
          <w:tcPr>
            <w:tcW w:w="1228" w:type="dxa"/>
            <w:tcBorders>
              <w:top w:val="nil"/>
              <w:left w:val="nil"/>
              <w:bottom w:val="single" w:sz="12" w:space="0" w:color="auto"/>
              <w:right w:val="nil"/>
            </w:tcBorders>
            <w:vAlign w:val="bottom"/>
            <w:hideMark/>
          </w:tcPr>
          <w:p w14:paraId="026E81FA" w14:textId="77777777" w:rsidR="0044492E" w:rsidRPr="00F01EC8" w:rsidRDefault="0044492E" w:rsidP="00F01EC8">
            <w:pPr>
              <w:pStyle w:val="NoSpacing"/>
              <w:spacing w:line="256" w:lineRule="auto"/>
              <w:jc w:val="right"/>
              <w:rPr>
                <w:sz w:val="20"/>
                <w:szCs w:val="20"/>
              </w:rPr>
            </w:pPr>
            <w:r w:rsidRPr="00F01EC8">
              <w:rPr>
                <w:sz w:val="20"/>
                <w:szCs w:val="20"/>
              </w:rPr>
              <w:t>23.4</w:t>
            </w:r>
          </w:p>
        </w:tc>
      </w:tr>
      <w:tr w:rsidR="0044492E" w:rsidRPr="00F01EC8" w14:paraId="293906A6" w14:textId="77777777" w:rsidTr="005714EF">
        <w:tc>
          <w:tcPr>
            <w:tcW w:w="5135" w:type="dxa"/>
            <w:vAlign w:val="bottom"/>
            <w:hideMark/>
          </w:tcPr>
          <w:p w14:paraId="351D0759" w14:textId="77777777" w:rsidR="0044492E" w:rsidRPr="00F01EC8" w:rsidRDefault="0044492E" w:rsidP="00F01EC8">
            <w:pPr>
              <w:pStyle w:val="NoSpacing"/>
              <w:spacing w:line="256" w:lineRule="auto"/>
              <w:rPr>
                <w:bCs/>
                <w:sz w:val="20"/>
                <w:szCs w:val="20"/>
              </w:rPr>
            </w:pPr>
            <w:r w:rsidRPr="00F01EC8">
              <w:rPr>
                <w:bCs/>
                <w:sz w:val="20"/>
                <w:szCs w:val="20"/>
              </w:rPr>
              <w:t>Basic EPS</w:t>
            </w:r>
          </w:p>
        </w:tc>
        <w:tc>
          <w:tcPr>
            <w:tcW w:w="1228" w:type="dxa"/>
            <w:tcBorders>
              <w:top w:val="nil"/>
              <w:left w:val="nil"/>
              <w:bottom w:val="single" w:sz="12" w:space="0" w:color="auto"/>
              <w:right w:val="nil"/>
            </w:tcBorders>
            <w:hideMark/>
          </w:tcPr>
          <w:p w14:paraId="35AFAA9D"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(9.1)</w:t>
            </w:r>
          </w:p>
        </w:tc>
        <w:tc>
          <w:tcPr>
            <w:tcW w:w="1228" w:type="dxa"/>
            <w:tcBorders>
              <w:top w:val="nil"/>
              <w:left w:val="nil"/>
              <w:bottom w:val="single" w:sz="12" w:space="0" w:color="auto"/>
              <w:right w:val="nil"/>
            </w:tcBorders>
            <w:hideMark/>
          </w:tcPr>
          <w:p w14:paraId="2F31153D"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9.7</w:t>
            </w:r>
          </w:p>
        </w:tc>
      </w:tr>
      <w:tr w:rsidR="0044492E" w:rsidRPr="00F01EC8" w14:paraId="559650C7" w14:textId="77777777" w:rsidTr="005714EF">
        <w:tc>
          <w:tcPr>
            <w:tcW w:w="5135" w:type="dxa"/>
            <w:vAlign w:val="bottom"/>
            <w:hideMark/>
          </w:tcPr>
          <w:p w14:paraId="0BC0E513" w14:textId="77777777" w:rsidR="0044492E" w:rsidRPr="00F01EC8" w:rsidRDefault="0044492E" w:rsidP="00F01EC8">
            <w:pPr>
              <w:pStyle w:val="NoSpacing"/>
              <w:spacing w:line="256" w:lineRule="auto"/>
              <w:rPr>
                <w:bCs/>
                <w:sz w:val="20"/>
                <w:szCs w:val="20"/>
                <w:vertAlign w:val="superscript"/>
              </w:rPr>
            </w:pPr>
            <w:r w:rsidRPr="00F01EC8">
              <w:rPr>
                <w:bCs/>
                <w:sz w:val="20"/>
                <w:szCs w:val="20"/>
              </w:rPr>
              <w:t>Annualised RORE</w:t>
            </w:r>
            <w:r w:rsidRPr="00F01EC8">
              <w:rPr>
                <w:bCs/>
                <w:sz w:val="20"/>
                <w:szCs w:val="20"/>
                <w:vertAlign w:val="superscript"/>
              </w:rPr>
              <w:t>3</w:t>
            </w:r>
          </w:p>
        </w:tc>
        <w:tc>
          <w:tcPr>
            <w:tcW w:w="1228" w:type="dxa"/>
            <w:tcBorders>
              <w:top w:val="single" w:sz="12" w:space="0" w:color="auto"/>
              <w:left w:val="nil"/>
              <w:bottom w:val="single" w:sz="12" w:space="0" w:color="auto"/>
              <w:right w:val="nil"/>
            </w:tcBorders>
            <w:vAlign w:val="bottom"/>
            <w:hideMark/>
          </w:tcPr>
          <w:p w14:paraId="0220CA6B"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6.4%</w:t>
            </w:r>
          </w:p>
        </w:tc>
        <w:tc>
          <w:tcPr>
            <w:tcW w:w="1228" w:type="dxa"/>
            <w:tcBorders>
              <w:top w:val="single" w:sz="12" w:space="0" w:color="auto"/>
              <w:left w:val="nil"/>
              <w:bottom w:val="single" w:sz="12" w:space="0" w:color="auto"/>
              <w:right w:val="nil"/>
            </w:tcBorders>
            <w:vAlign w:val="bottom"/>
            <w:hideMark/>
          </w:tcPr>
          <w:p w14:paraId="3F022D68" w14:textId="77777777" w:rsidR="0044492E" w:rsidRPr="00F01EC8" w:rsidRDefault="0044492E" w:rsidP="00F01EC8">
            <w:pPr>
              <w:pStyle w:val="NoSpacing"/>
              <w:spacing w:line="256" w:lineRule="auto"/>
              <w:jc w:val="right"/>
              <w:rPr>
                <w:rFonts w:cstheme="minorHAnsi"/>
                <w:sz w:val="20"/>
                <w:szCs w:val="20"/>
              </w:rPr>
            </w:pPr>
            <w:r w:rsidRPr="00F01EC8">
              <w:rPr>
                <w:rFonts w:cstheme="minorHAnsi"/>
                <w:sz w:val="20"/>
                <w:szCs w:val="20"/>
              </w:rPr>
              <w:t>22.9%</w:t>
            </w:r>
          </w:p>
        </w:tc>
      </w:tr>
    </w:tbl>
    <w:p w14:paraId="02A5CC65" w14:textId="77777777" w:rsidR="00F01EC8" w:rsidRPr="00F01EC8" w:rsidRDefault="00F01EC8" w:rsidP="00F01EC8">
      <w:pPr>
        <w:rPr>
          <w:rStyle w:val="Strong"/>
          <w:rFonts w:asciiTheme="minorHAnsi" w:hAnsiTheme="minorHAnsi" w:cstheme="minorBidi"/>
          <w:sz w:val="20"/>
          <w:szCs w:val="20"/>
          <w:lang w:eastAsia="en-US"/>
        </w:rPr>
      </w:pPr>
    </w:p>
    <w:p w14:paraId="4D3CCC80" w14:textId="77777777" w:rsidR="00F440A9" w:rsidRPr="00F01EC8" w:rsidRDefault="00F440A9" w:rsidP="00F440A9">
      <w:pPr>
        <w:jc w:val="both"/>
        <w:rPr>
          <w:rStyle w:val="Strong"/>
          <w:rFonts w:asciiTheme="minorHAnsi" w:hAnsiTheme="minorHAnsi"/>
          <w:sz w:val="20"/>
          <w:szCs w:val="20"/>
        </w:rPr>
      </w:pPr>
      <w:r w:rsidRPr="00F01EC8">
        <w:rPr>
          <w:rStyle w:val="Strong"/>
          <w:rFonts w:asciiTheme="minorHAnsi" w:hAnsiTheme="minorHAnsi"/>
          <w:sz w:val="20"/>
          <w:szCs w:val="20"/>
        </w:rPr>
        <w:t xml:space="preserve">Malcolm Le May, Chief Executive Officer, commented: </w:t>
      </w:r>
    </w:p>
    <w:p w14:paraId="39911E25" w14:textId="304A6F36" w:rsidR="0012445B" w:rsidRPr="0012445B" w:rsidRDefault="0012445B" w:rsidP="0012445B">
      <w:pPr>
        <w:jc w:val="both"/>
        <w:rPr>
          <w:rStyle w:val="Strong"/>
          <w:rFonts w:asciiTheme="minorHAnsi" w:eastAsiaTheme="minorHAnsi" w:hAnsiTheme="minorHAnsi" w:cstheme="minorBidi"/>
          <w:b w:val="0"/>
          <w:bCs w:val="0"/>
          <w:sz w:val="20"/>
          <w:szCs w:val="20"/>
          <w:lang w:eastAsia="en-US"/>
        </w:rPr>
      </w:pPr>
      <w:bookmarkStart w:id="0" w:name="_Hlk49256108"/>
      <w:r w:rsidRPr="0012445B">
        <w:rPr>
          <w:rStyle w:val="Strong"/>
          <w:rFonts w:asciiTheme="minorHAnsi" w:eastAsiaTheme="minorHAnsi" w:hAnsiTheme="minorHAnsi" w:cstheme="minorBidi"/>
          <w:b w:val="0"/>
          <w:bCs w:val="0"/>
          <w:sz w:val="20"/>
          <w:szCs w:val="20"/>
          <w:lang w:eastAsia="en-US"/>
        </w:rPr>
        <w:t xml:space="preserve">“I would like to thank all my colleagues for their hard work and compassion in helping our customers through a very difficult period in their lives. The first six months of this year have been the most difficult and testing in my career. However, I am very pleased with how well the Group has responded to the challenges brought about by Covid-19, and how effectively we have operated. We are reporting an adjusted loss before tax for the period of £32.6m, this result is better than our initial view of Covid-19’s potential impact on our businesses. Pleasingly, within this number Vanquis Bank and Moneybarn were both profitable. </w:t>
      </w:r>
    </w:p>
    <w:p w14:paraId="0F3E4909" w14:textId="77777777" w:rsidR="0012445B" w:rsidRPr="0012445B" w:rsidRDefault="0012445B" w:rsidP="0012445B">
      <w:pPr>
        <w:jc w:val="both"/>
        <w:rPr>
          <w:rStyle w:val="Strong"/>
          <w:rFonts w:asciiTheme="minorHAnsi" w:eastAsiaTheme="minorHAnsi" w:hAnsiTheme="minorHAnsi" w:cstheme="minorBidi"/>
          <w:b w:val="0"/>
          <w:bCs w:val="0"/>
          <w:sz w:val="20"/>
          <w:szCs w:val="20"/>
          <w:lang w:eastAsia="en-US"/>
        </w:rPr>
      </w:pPr>
    </w:p>
    <w:p w14:paraId="01CA6978" w14:textId="0D7B00F8" w:rsidR="00F440A9" w:rsidRDefault="0012445B" w:rsidP="0012445B">
      <w:pPr>
        <w:jc w:val="both"/>
        <w:rPr>
          <w:rStyle w:val="Strong"/>
          <w:rFonts w:asciiTheme="minorHAnsi" w:eastAsiaTheme="minorHAnsi" w:hAnsiTheme="minorHAnsi" w:cstheme="minorBidi"/>
          <w:b w:val="0"/>
          <w:bCs w:val="0"/>
          <w:sz w:val="20"/>
          <w:szCs w:val="20"/>
          <w:lang w:eastAsia="en-US"/>
        </w:rPr>
      </w:pPr>
      <w:r w:rsidRPr="0012445B">
        <w:rPr>
          <w:rStyle w:val="Strong"/>
          <w:rFonts w:asciiTheme="minorHAnsi" w:eastAsiaTheme="minorHAnsi" w:hAnsiTheme="minorHAnsi" w:cstheme="minorBidi"/>
          <w:b w:val="0"/>
          <w:bCs w:val="0"/>
          <w:sz w:val="20"/>
          <w:szCs w:val="20"/>
          <w:lang w:eastAsia="en-US"/>
        </w:rPr>
        <w:t xml:space="preserve">Looking forward, our strong financial position will mean </w:t>
      </w:r>
      <w:r>
        <w:rPr>
          <w:rStyle w:val="Strong"/>
          <w:rFonts w:asciiTheme="minorHAnsi" w:eastAsiaTheme="minorHAnsi" w:hAnsiTheme="minorHAnsi" w:cstheme="minorBidi"/>
          <w:b w:val="0"/>
          <w:bCs w:val="0"/>
          <w:sz w:val="20"/>
          <w:szCs w:val="20"/>
          <w:lang w:eastAsia="en-US"/>
        </w:rPr>
        <w:t xml:space="preserve">that </w:t>
      </w:r>
      <w:r w:rsidRPr="0012445B">
        <w:rPr>
          <w:rStyle w:val="Strong"/>
          <w:rFonts w:asciiTheme="minorHAnsi" w:eastAsiaTheme="minorHAnsi" w:hAnsiTheme="minorHAnsi" w:cstheme="minorBidi"/>
          <w:b w:val="0"/>
          <w:bCs w:val="0"/>
          <w:sz w:val="20"/>
          <w:szCs w:val="20"/>
          <w:lang w:eastAsia="en-US"/>
        </w:rPr>
        <w:t>we can keep helping</w:t>
      </w:r>
      <w:r>
        <w:rPr>
          <w:rStyle w:val="Strong"/>
          <w:rFonts w:asciiTheme="minorHAnsi" w:eastAsiaTheme="minorHAnsi" w:hAnsiTheme="minorHAnsi" w:cstheme="minorBidi"/>
          <w:b w:val="0"/>
          <w:bCs w:val="0"/>
          <w:sz w:val="20"/>
          <w:szCs w:val="20"/>
          <w:lang w:eastAsia="en-US"/>
        </w:rPr>
        <w:t>,</w:t>
      </w:r>
      <w:r w:rsidRPr="0012445B">
        <w:rPr>
          <w:rStyle w:val="Strong"/>
          <w:rFonts w:asciiTheme="minorHAnsi" w:eastAsiaTheme="minorHAnsi" w:hAnsiTheme="minorHAnsi" w:cstheme="minorBidi"/>
          <w:b w:val="0"/>
          <w:bCs w:val="0"/>
          <w:sz w:val="20"/>
          <w:szCs w:val="20"/>
          <w:lang w:eastAsia="en-US"/>
        </w:rPr>
        <w:t xml:space="preserve"> and responsibly lending to</w:t>
      </w:r>
      <w:r>
        <w:rPr>
          <w:rStyle w:val="Strong"/>
          <w:rFonts w:asciiTheme="minorHAnsi" w:eastAsiaTheme="minorHAnsi" w:hAnsiTheme="minorHAnsi" w:cstheme="minorBidi"/>
          <w:b w:val="0"/>
          <w:bCs w:val="0"/>
          <w:sz w:val="20"/>
          <w:szCs w:val="20"/>
          <w:lang w:eastAsia="en-US"/>
        </w:rPr>
        <w:t>,</w:t>
      </w:r>
      <w:r w:rsidRPr="0012445B">
        <w:rPr>
          <w:rStyle w:val="Strong"/>
          <w:rFonts w:asciiTheme="minorHAnsi" w:eastAsiaTheme="minorHAnsi" w:hAnsiTheme="minorHAnsi" w:cstheme="minorBidi"/>
          <w:b w:val="0"/>
          <w:bCs w:val="0"/>
          <w:sz w:val="20"/>
          <w:szCs w:val="20"/>
          <w:lang w:eastAsia="en-US"/>
        </w:rPr>
        <w:t xml:space="preserve"> our customers</w:t>
      </w:r>
      <w:r w:rsidR="007D0A8C">
        <w:rPr>
          <w:rStyle w:val="Strong"/>
          <w:rFonts w:asciiTheme="minorHAnsi" w:eastAsiaTheme="minorHAnsi" w:hAnsiTheme="minorHAnsi" w:cstheme="minorBidi"/>
          <w:b w:val="0"/>
          <w:bCs w:val="0"/>
          <w:sz w:val="20"/>
          <w:szCs w:val="20"/>
          <w:lang w:eastAsia="en-US"/>
        </w:rPr>
        <w:t>, m</w:t>
      </w:r>
      <w:r w:rsidRPr="0012445B">
        <w:rPr>
          <w:rStyle w:val="Strong"/>
          <w:rFonts w:asciiTheme="minorHAnsi" w:eastAsiaTheme="minorHAnsi" w:hAnsiTheme="minorHAnsi" w:cstheme="minorBidi"/>
          <w:b w:val="0"/>
          <w:bCs w:val="0"/>
          <w:sz w:val="20"/>
          <w:szCs w:val="20"/>
          <w:lang w:eastAsia="en-US"/>
        </w:rPr>
        <w:t>any of whom are key workers, as we</w:t>
      </w:r>
      <w:r w:rsidR="007D0A8C">
        <w:rPr>
          <w:rStyle w:val="Strong"/>
          <w:rFonts w:asciiTheme="minorHAnsi" w:eastAsiaTheme="minorHAnsi" w:hAnsiTheme="minorHAnsi" w:cstheme="minorBidi"/>
          <w:b w:val="0"/>
          <w:bCs w:val="0"/>
          <w:sz w:val="20"/>
          <w:szCs w:val="20"/>
          <w:lang w:eastAsia="en-US"/>
        </w:rPr>
        <w:t>,</w:t>
      </w:r>
      <w:r w:rsidRPr="0012445B">
        <w:rPr>
          <w:rStyle w:val="Strong"/>
          <w:rFonts w:asciiTheme="minorHAnsi" w:eastAsiaTheme="minorHAnsi" w:hAnsiTheme="minorHAnsi" w:cstheme="minorBidi"/>
          <w:b w:val="0"/>
          <w:bCs w:val="0"/>
          <w:sz w:val="20"/>
          <w:szCs w:val="20"/>
          <w:lang w:eastAsia="en-US"/>
        </w:rPr>
        <w:t xml:space="preserve"> and they</w:t>
      </w:r>
      <w:r w:rsidR="007D0A8C">
        <w:rPr>
          <w:rStyle w:val="Strong"/>
          <w:rFonts w:asciiTheme="minorHAnsi" w:eastAsiaTheme="minorHAnsi" w:hAnsiTheme="minorHAnsi" w:cstheme="minorBidi"/>
          <w:b w:val="0"/>
          <w:bCs w:val="0"/>
          <w:sz w:val="20"/>
          <w:szCs w:val="20"/>
          <w:lang w:eastAsia="en-US"/>
        </w:rPr>
        <w:t>,</w:t>
      </w:r>
      <w:r w:rsidRPr="0012445B">
        <w:rPr>
          <w:rStyle w:val="Strong"/>
          <w:rFonts w:asciiTheme="minorHAnsi" w:eastAsiaTheme="minorHAnsi" w:hAnsiTheme="minorHAnsi" w:cstheme="minorBidi"/>
          <w:b w:val="0"/>
          <w:bCs w:val="0"/>
          <w:sz w:val="20"/>
          <w:szCs w:val="20"/>
          <w:lang w:eastAsia="en-US"/>
        </w:rPr>
        <w:t xml:space="preserve"> face the challenge of furlough support ending and unemployment rising in the coming months.</w:t>
      </w:r>
      <w:r>
        <w:rPr>
          <w:rStyle w:val="Strong"/>
          <w:rFonts w:asciiTheme="minorHAnsi" w:eastAsiaTheme="minorHAnsi" w:hAnsiTheme="minorHAnsi" w:cstheme="minorBidi"/>
          <w:b w:val="0"/>
          <w:bCs w:val="0"/>
          <w:sz w:val="20"/>
          <w:szCs w:val="20"/>
          <w:lang w:eastAsia="en-US"/>
        </w:rPr>
        <w:t xml:space="preserve"> </w:t>
      </w:r>
      <w:r w:rsidRPr="0012445B">
        <w:rPr>
          <w:rStyle w:val="Strong"/>
          <w:rFonts w:asciiTheme="minorHAnsi" w:eastAsiaTheme="minorHAnsi" w:hAnsiTheme="minorHAnsi" w:cstheme="minorBidi"/>
          <w:b w:val="0"/>
          <w:bCs w:val="0"/>
          <w:sz w:val="20"/>
          <w:szCs w:val="20"/>
          <w:lang w:eastAsia="en-US"/>
        </w:rPr>
        <w:t>Provident Financial has performed robustly in the first half of the year because we focused on our customers, colleagues and strengthening our balance sheet for the challenges the pandemic would bring. In fact financial and operational performance were better than expected, and therefore we have decided to repay all furlough support to the government. We believe this is the right thing to do, and on behalf of customers have also advocated the government should support wider funding for the sector. Our market will grow due to the pandemic, but at present it appears the supply of credit into the market is decreasing, which cannot be a good outcome for customers, nor a public policy one for the UK.”</w:t>
      </w:r>
    </w:p>
    <w:bookmarkEnd w:id="0"/>
    <w:p w14:paraId="3A09EF06" w14:textId="77777777" w:rsidR="0012445B" w:rsidRDefault="0012445B" w:rsidP="0012445B">
      <w:pPr>
        <w:jc w:val="both"/>
        <w:rPr>
          <w:rStyle w:val="Strong"/>
          <w:rFonts w:asciiTheme="minorHAnsi" w:hAnsiTheme="minorHAnsi"/>
          <w:sz w:val="20"/>
          <w:szCs w:val="20"/>
        </w:rPr>
      </w:pPr>
    </w:p>
    <w:p w14:paraId="2D9EF9F6" w14:textId="2D571B98" w:rsidR="00F01EC8" w:rsidRDefault="00F01EC8" w:rsidP="00F01EC8">
      <w:pPr>
        <w:jc w:val="both"/>
        <w:rPr>
          <w:rStyle w:val="Strong"/>
          <w:rFonts w:asciiTheme="minorHAnsi" w:hAnsiTheme="minorHAnsi"/>
          <w:sz w:val="20"/>
          <w:szCs w:val="20"/>
        </w:rPr>
      </w:pPr>
      <w:r w:rsidRPr="00F01EC8">
        <w:rPr>
          <w:rStyle w:val="Strong"/>
          <w:rFonts w:asciiTheme="minorHAnsi" w:hAnsiTheme="minorHAnsi"/>
          <w:sz w:val="20"/>
          <w:szCs w:val="20"/>
        </w:rPr>
        <w:t>Highlights</w:t>
      </w:r>
    </w:p>
    <w:p w14:paraId="46E81FD8" w14:textId="54F33E10" w:rsidR="00F01EC8" w:rsidRPr="00F01EC8" w:rsidRDefault="00F01EC8" w:rsidP="00F01EC8">
      <w:pPr>
        <w:pStyle w:val="NoSpacing"/>
        <w:jc w:val="both"/>
        <w:rPr>
          <w:rStyle w:val="Strong"/>
          <w:bCs w:val="0"/>
          <w:sz w:val="20"/>
          <w:szCs w:val="20"/>
        </w:rPr>
      </w:pPr>
      <w:r w:rsidRPr="00F01EC8">
        <w:rPr>
          <w:rStyle w:val="Strong"/>
          <w:bCs w:val="0"/>
          <w:sz w:val="20"/>
          <w:szCs w:val="20"/>
        </w:rPr>
        <w:t xml:space="preserve">Strong capital </w:t>
      </w:r>
      <w:r w:rsidR="000A0A8D">
        <w:rPr>
          <w:rStyle w:val="Strong"/>
          <w:bCs w:val="0"/>
          <w:sz w:val="20"/>
          <w:szCs w:val="20"/>
        </w:rPr>
        <w:t>and</w:t>
      </w:r>
      <w:r w:rsidRPr="00F01EC8">
        <w:rPr>
          <w:rStyle w:val="Strong"/>
          <w:bCs w:val="0"/>
          <w:sz w:val="20"/>
          <w:szCs w:val="20"/>
        </w:rPr>
        <w:t xml:space="preserve"> liquidity built during H1’20; operational adaptations to Covid-19 </w:t>
      </w:r>
      <w:r w:rsidR="00EA73AA">
        <w:rPr>
          <w:rStyle w:val="Strong"/>
          <w:bCs w:val="0"/>
          <w:sz w:val="20"/>
          <w:szCs w:val="20"/>
        </w:rPr>
        <w:t xml:space="preserve">challenges </w:t>
      </w:r>
      <w:r w:rsidRPr="00F01EC8">
        <w:rPr>
          <w:rStyle w:val="Strong"/>
          <w:bCs w:val="0"/>
          <w:sz w:val="20"/>
          <w:szCs w:val="20"/>
        </w:rPr>
        <w:t>effective</w:t>
      </w:r>
    </w:p>
    <w:p w14:paraId="521A8B44" w14:textId="77777777" w:rsidR="00F01EC8" w:rsidRPr="00F01EC8" w:rsidRDefault="00F01EC8" w:rsidP="00F01EC8">
      <w:pPr>
        <w:pStyle w:val="NoSpacing"/>
        <w:jc w:val="both"/>
        <w:rPr>
          <w:rStyle w:val="Strong"/>
          <w:bCs w:val="0"/>
          <w:sz w:val="20"/>
          <w:szCs w:val="20"/>
        </w:rPr>
      </w:pPr>
    </w:p>
    <w:p w14:paraId="5F5D9BD3" w14:textId="529E88D0" w:rsidR="00F01EC8" w:rsidRPr="00F01EC8" w:rsidRDefault="00F01EC8" w:rsidP="00F01EC8">
      <w:pPr>
        <w:pStyle w:val="NoSpacing"/>
        <w:numPr>
          <w:ilvl w:val="0"/>
          <w:numId w:val="18"/>
        </w:numPr>
        <w:jc w:val="both"/>
        <w:rPr>
          <w:rStyle w:val="Strong"/>
          <w:b w:val="0"/>
          <w:bCs w:val="0"/>
          <w:sz w:val="20"/>
          <w:szCs w:val="20"/>
        </w:rPr>
      </w:pPr>
      <w:r w:rsidRPr="00F01EC8">
        <w:rPr>
          <w:rStyle w:val="Strong"/>
          <w:b w:val="0"/>
          <w:bCs w:val="0"/>
          <w:sz w:val="20"/>
          <w:szCs w:val="20"/>
        </w:rPr>
        <w:t>Group statutory loss before tax of £28.0m (H1’19 PBT: £43.1m</w:t>
      </w:r>
      <w:r w:rsidR="007D0A8C" w:rsidRPr="00F01EC8">
        <w:rPr>
          <w:rStyle w:val="Strong"/>
          <w:b w:val="0"/>
          <w:bCs w:val="0"/>
          <w:sz w:val="20"/>
          <w:szCs w:val="20"/>
          <w:vertAlign w:val="superscript"/>
        </w:rPr>
        <w:t>1</w:t>
      </w:r>
      <w:r w:rsidRPr="00F01EC8">
        <w:rPr>
          <w:rStyle w:val="Strong"/>
          <w:b w:val="0"/>
          <w:bCs w:val="0"/>
          <w:sz w:val="20"/>
          <w:szCs w:val="20"/>
        </w:rPr>
        <w:t xml:space="preserve">) includes an exceptional provision release of £8.3m (H1’19: £33.6m exceptional cost) following the completion of the ROP refund programme in 2019 and the re-evaluation of the forward flow of claims that may arise in respect of ROP in future. </w:t>
      </w:r>
    </w:p>
    <w:p w14:paraId="252FCB9D" w14:textId="6482FDBD" w:rsidR="00F01EC8" w:rsidRPr="00F01EC8" w:rsidRDefault="00F01EC8" w:rsidP="00F01EC8">
      <w:pPr>
        <w:pStyle w:val="NoSpacing"/>
        <w:numPr>
          <w:ilvl w:val="0"/>
          <w:numId w:val="18"/>
        </w:numPr>
        <w:jc w:val="both"/>
        <w:rPr>
          <w:rStyle w:val="Strong"/>
          <w:b w:val="0"/>
          <w:bCs w:val="0"/>
          <w:sz w:val="20"/>
          <w:szCs w:val="20"/>
        </w:rPr>
      </w:pPr>
      <w:r w:rsidRPr="00F01EC8">
        <w:rPr>
          <w:rStyle w:val="Strong"/>
          <w:b w:val="0"/>
          <w:bCs w:val="0"/>
          <w:sz w:val="20"/>
          <w:szCs w:val="20"/>
        </w:rPr>
        <w:t>Group adjusted loss before tax of £32.6m (H1’19 PBT: £80.4m</w:t>
      </w:r>
      <w:r w:rsidRPr="00F01EC8">
        <w:rPr>
          <w:rStyle w:val="Strong"/>
          <w:b w:val="0"/>
          <w:bCs w:val="0"/>
          <w:sz w:val="20"/>
          <w:szCs w:val="20"/>
          <w:vertAlign w:val="superscript"/>
        </w:rPr>
        <w:t>1</w:t>
      </w:r>
      <w:r w:rsidRPr="00F01EC8">
        <w:rPr>
          <w:rStyle w:val="Strong"/>
          <w:b w:val="0"/>
          <w:bCs w:val="0"/>
          <w:sz w:val="20"/>
          <w:szCs w:val="20"/>
        </w:rPr>
        <w:t>) is favourable to internal plans</w:t>
      </w:r>
      <w:r w:rsidR="0044492E">
        <w:rPr>
          <w:rStyle w:val="Strong"/>
          <w:b w:val="0"/>
          <w:bCs w:val="0"/>
          <w:sz w:val="20"/>
          <w:szCs w:val="20"/>
        </w:rPr>
        <w:t>, created at the beginning of lockdown</w:t>
      </w:r>
      <w:r w:rsidRPr="00F01EC8">
        <w:rPr>
          <w:rStyle w:val="Strong"/>
          <w:b w:val="0"/>
          <w:bCs w:val="0"/>
          <w:sz w:val="20"/>
          <w:szCs w:val="20"/>
        </w:rPr>
        <w:t>.</w:t>
      </w:r>
    </w:p>
    <w:p w14:paraId="35A31755" w14:textId="104D162D" w:rsidR="00F01EC8" w:rsidRPr="00F01EC8" w:rsidRDefault="00F01EC8" w:rsidP="00F01EC8">
      <w:pPr>
        <w:pStyle w:val="NoSpacing"/>
        <w:numPr>
          <w:ilvl w:val="0"/>
          <w:numId w:val="18"/>
        </w:numPr>
        <w:jc w:val="both"/>
        <w:rPr>
          <w:rStyle w:val="Strong"/>
          <w:b w:val="0"/>
          <w:bCs w:val="0"/>
          <w:sz w:val="20"/>
          <w:szCs w:val="20"/>
        </w:rPr>
      </w:pPr>
      <w:r w:rsidRPr="00F01EC8">
        <w:rPr>
          <w:rStyle w:val="Strong"/>
          <w:b w:val="0"/>
          <w:bCs w:val="0"/>
          <w:sz w:val="20"/>
          <w:szCs w:val="20"/>
        </w:rPr>
        <w:t>Strong capital and liquidity positions built during the period with regulatory capital of £705m at the end of June, which equates to a CET1 ratio of 35.4%, and a surplus of £</w:t>
      </w:r>
      <w:r w:rsidR="00381B17">
        <w:rPr>
          <w:rStyle w:val="Strong"/>
          <w:b w:val="0"/>
          <w:bCs w:val="0"/>
          <w:sz w:val="20"/>
          <w:szCs w:val="20"/>
        </w:rPr>
        <w:t>215</w:t>
      </w:r>
      <w:r w:rsidRPr="00F01EC8">
        <w:rPr>
          <w:rStyle w:val="Strong"/>
          <w:b w:val="0"/>
          <w:bCs w:val="0"/>
          <w:sz w:val="20"/>
          <w:szCs w:val="20"/>
        </w:rPr>
        <w:t>m above the minimum regulatory requirement.</w:t>
      </w:r>
    </w:p>
    <w:p w14:paraId="4CC2F4CA" w14:textId="77777777" w:rsidR="00F01EC8" w:rsidRPr="00126BCD" w:rsidRDefault="00F01EC8" w:rsidP="00F01EC8">
      <w:pPr>
        <w:pStyle w:val="NoSpacing"/>
        <w:numPr>
          <w:ilvl w:val="0"/>
          <w:numId w:val="18"/>
        </w:numPr>
        <w:jc w:val="both"/>
        <w:rPr>
          <w:rStyle w:val="Strong"/>
          <w:b w:val="0"/>
          <w:bCs w:val="0"/>
          <w:sz w:val="20"/>
          <w:szCs w:val="20"/>
        </w:rPr>
      </w:pPr>
      <w:r w:rsidRPr="00F01EC8">
        <w:rPr>
          <w:rStyle w:val="Strong"/>
          <w:b w:val="0"/>
          <w:bCs w:val="0"/>
          <w:sz w:val="20"/>
          <w:szCs w:val="20"/>
        </w:rPr>
        <w:t xml:space="preserve">Total </w:t>
      </w:r>
      <w:r w:rsidRPr="00126BCD">
        <w:rPr>
          <w:rStyle w:val="Strong"/>
          <w:b w:val="0"/>
          <w:bCs w:val="0"/>
          <w:sz w:val="20"/>
          <w:szCs w:val="20"/>
        </w:rPr>
        <w:t>Group liquidity at the end of June stood at £1.2bn, including c.£1bn held by Vanquis Bank.</w:t>
      </w:r>
    </w:p>
    <w:p w14:paraId="6E35CC36" w14:textId="77777777" w:rsidR="00F01EC8" w:rsidRPr="00126BCD" w:rsidRDefault="00F01EC8" w:rsidP="005714EF">
      <w:pPr>
        <w:pStyle w:val="NoSpacing"/>
        <w:numPr>
          <w:ilvl w:val="0"/>
          <w:numId w:val="18"/>
        </w:numPr>
        <w:jc w:val="both"/>
        <w:rPr>
          <w:rStyle w:val="Strong"/>
          <w:b w:val="0"/>
          <w:bCs w:val="0"/>
          <w:sz w:val="20"/>
          <w:szCs w:val="20"/>
        </w:rPr>
      </w:pPr>
      <w:r w:rsidRPr="00126BCD">
        <w:rPr>
          <w:rStyle w:val="Strong"/>
          <w:b w:val="0"/>
          <w:bCs w:val="0"/>
          <w:sz w:val="20"/>
          <w:szCs w:val="20"/>
        </w:rPr>
        <w:t xml:space="preserve">The Voluntary Requirement (VREQ) entered into by Vanquis Bank in December 2016, in respect of payments of dividends and loans to companies within the Group, has been lifted by the Prudential Regulatory Authority (PRA). </w:t>
      </w:r>
    </w:p>
    <w:p w14:paraId="06D86644" w14:textId="58EBED6E" w:rsidR="00565CD3" w:rsidRPr="00126BCD" w:rsidRDefault="00627F8B" w:rsidP="005714EF">
      <w:pPr>
        <w:pStyle w:val="NoSpacing"/>
        <w:numPr>
          <w:ilvl w:val="0"/>
          <w:numId w:val="18"/>
        </w:numPr>
        <w:jc w:val="both"/>
        <w:rPr>
          <w:rStyle w:val="Strong"/>
          <w:b w:val="0"/>
          <w:bCs w:val="0"/>
          <w:sz w:val="20"/>
          <w:szCs w:val="20"/>
        </w:rPr>
      </w:pPr>
      <w:r w:rsidRPr="00126BCD">
        <w:rPr>
          <w:rStyle w:val="Strong"/>
          <w:b w:val="0"/>
          <w:bCs w:val="0"/>
          <w:sz w:val="20"/>
          <w:szCs w:val="20"/>
        </w:rPr>
        <w:lastRenderedPageBreak/>
        <w:t>In June</w:t>
      </w:r>
      <w:r w:rsidR="00565CD3" w:rsidRPr="00126BCD">
        <w:rPr>
          <w:rStyle w:val="Strong"/>
          <w:b w:val="0"/>
          <w:bCs w:val="0"/>
          <w:sz w:val="20"/>
          <w:szCs w:val="20"/>
        </w:rPr>
        <w:t>, a waiver</w:t>
      </w:r>
      <w:r w:rsidRPr="00126BCD">
        <w:rPr>
          <w:rStyle w:val="Strong"/>
          <w:b w:val="0"/>
          <w:bCs w:val="0"/>
          <w:sz w:val="20"/>
          <w:szCs w:val="20"/>
        </w:rPr>
        <w:t xml:space="preserve"> was agreed</w:t>
      </w:r>
      <w:r w:rsidR="00565CD3" w:rsidRPr="00126BCD">
        <w:rPr>
          <w:rStyle w:val="Strong"/>
          <w:b w:val="0"/>
          <w:bCs w:val="0"/>
          <w:sz w:val="20"/>
          <w:szCs w:val="20"/>
        </w:rPr>
        <w:t xml:space="preserve"> up to (but excluding) 31 December 2020 and </w:t>
      </w:r>
      <w:r w:rsidR="002F03CB" w:rsidRPr="00126BCD">
        <w:rPr>
          <w:rStyle w:val="Strong"/>
          <w:b w:val="0"/>
          <w:bCs w:val="0"/>
          <w:sz w:val="20"/>
          <w:szCs w:val="20"/>
        </w:rPr>
        <w:t xml:space="preserve">an </w:t>
      </w:r>
      <w:r w:rsidR="00565CD3" w:rsidRPr="00126BCD">
        <w:rPr>
          <w:rStyle w:val="Strong"/>
          <w:b w:val="0"/>
          <w:bCs w:val="0"/>
          <w:sz w:val="20"/>
          <w:szCs w:val="20"/>
        </w:rPr>
        <w:t xml:space="preserve">amendment with respect to its interest cover covenant on its Revolving Credit Facility (RCF) with the lending banks. </w:t>
      </w:r>
    </w:p>
    <w:p w14:paraId="04B48CA9" w14:textId="7D26BE90" w:rsidR="00F01EC8" w:rsidRPr="00126BCD" w:rsidRDefault="00F01EC8" w:rsidP="005714EF">
      <w:pPr>
        <w:pStyle w:val="NoSpacing"/>
        <w:numPr>
          <w:ilvl w:val="0"/>
          <w:numId w:val="18"/>
        </w:numPr>
        <w:jc w:val="both"/>
        <w:rPr>
          <w:rStyle w:val="Strong"/>
          <w:rFonts w:ascii="Times New Roman" w:hAnsi="Times New Roman" w:cs="Times New Roman"/>
          <w:b w:val="0"/>
          <w:bCs w:val="0"/>
          <w:sz w:val="20"/>
          <w:szCs w:val="20"/>
          <w:lang w:eastAsia="en-GB"/>
        </w:rPr>
      </w:pPr>
      <w:r w:rsidRPr="00126BCD">
        <w:rPr>
          <w:rStyle w:val="Strong"/>
          <w:b w:val="0"/>
          <w:bCs w:val="0"/>
          <w:sz w:val="20"/>
          <w:szCs w:val="20"/>
        </w:rPr>
        <w:t>The Group has taken the decision to repay HMRC all money received to date in respect of the Government’s job retention scheme as well as all deferred tax payments and to not benefit from future Government support in this respect.</w:t>
      </w:r>
      <w:r w:rsidR="004B2171" w:rsidRPr="00126BCD">
        <w:rPr>
          <w:rStyle w:val="Strong"/>
          <w:b w:val="0"/>
          <w:bCs w:val="0"/>
          <w:sz w:val="20"/>
          <w:szCs w:val="20"/>
        </w:rPr>
        <w:t xml:space="preserve"> </w:t>
      </w:r>
      <w:r w:rsidRPr="00126BCD">
        <w:rPr>
          <w:rStyle w:val="Strong"/>
          <w:b w:val="0"/>
          <w:bCs w:val="0"/>
          <w:sz w:val="20"/>
          <w:szCs w:val="20"/>
        </w:rPr>
        <w:t xml:space="preserve"> </w:t>
      </w:r>
    </w:p>
    <w:p w14:paraId="1D84EBCA" w14:textId="77777777" w:rsidR="00F01EC8" w:rsidRPr="00126BCD" w:rsidRDefault="00F01EC8" w:rsidP="005714EF">
      <w:pPr>
        <w:pStyle w:val="NoSpacing"/>
        <w:numPr>
          <w:ilvl w:val="0"/>
          <w:numId w:val="18"/>
        </w:numPr>
        <w:jc w:val="both"/>
        <w:rPr>
          <w:rStyle w:val="Strong"/>
          <w:b w:val="0"/>
          <w:bCs w:val="0"/>
          <w:sz w:val="20"/>
          <w:szCs w:val="20"/>
        </w:rPr>
      </w:pPr>
      <w:r w:rsidRPr="00126BCD">
        <w:rPr>
          <w:rStyle w:val="Strong"/>
          <w:b w:val="0"/>
          <w:bCs w:val="0"/>
          <w:sz w:val="20"/>
          <w:szCs w:val="20"/>
        </w:rPr>
        <w:t>The Board is not proposing an interim dividend (H1’19: 9.0p per share), with the continued aim of preserving capital and supporting business stability. However, it remains the Group’s intention to resume dividend payments to shareholders as soon as operational and financial conditions normalise.</w:t>
      </w:r>
    </w:p>
    <w:p w14:paraId="0F56674C" w14:textId="77777777" w:rsidR="00F01EC8" w:rsidRPr="00F01EC8" w:rsidRDefault="00F01EC8" w:rsidP="00F01EC8">
      <w:pPr>
        <w:pStyle w:val="NoSpacing"/>
        <w:spacing w:line="276" w:lineRule="auto"/>
        <w:ind w:left="720"/>
        <w:jc w:val="both"/>
        <w:rPr>
          <w:sz w:val="20"/>
          <w:szCs w:val="20"/>
        </w:rPr>
      </w:pPr>
    </w:p>
    <w:p w14:paraId="00C589F5" w14:textId="25079EBC" w:rsidR="00F01EC8" w:rsidRDefault="00F01EC8" w:rsidP="00F01EC8">
      <w:pPr>
        <w:jc w:val="both"/>
        <w:rPr>
          <w:rStyle w:val="Strong"/>
          <w:rFonts w:asciiTheme="minorHAnsi" w:hAnsiTheme="minorHAnsi"/>
          <w:sz w:val="20"/>
          <w:szCs w:val="20"/>
        </w:rPr>
      </w:pPr>
      <w:r w:rsidRPr="00F01EC8">
        <w:rPr>
          <w:rStyle w:val="Strong"/>
          <w:rFonts w:asciiTheme="minorHAnsi" w:hAnsiTheme="minorHAnsi"/>
          <w:sz w:val="20"/>
          <w:szCs w:val="20"/>
        </w:rPr>
        <w:t xml:space="preserve">Vanquis Bank responded well to </w:t>
      </w:r>
      <w:r w:rsidR="004D55D9">
        <w:rPr>
          <w:rStyle w:val="Strong"/>
          <w:rFonts w:asciiTheme="minorHAnsi" w:hAnsiTheme="minorHAnsi"/>
          <w:sz w:val="20"/>
          <w:szCs w:val="20"/>
        </w:rPr>
        <w:t xml:space="preserve">the impact of </w:t>
      </w:r>
      <w:r w:rsidRPr="00F01EC8">
        <w:rPr>
          <w:rStyle w:val="Strong"/>
          <w:rFonts w:asciiTheme="minorHAnsi" w:hAnsiTheme="minorHAnsi"/>
          <w:sz w:val="20"/>
          <w:szCs w:val="20"/>
        </w:rPr>
        <w:t>Covid-19; customer spend trends improving more recently</w:t>
      </w:r>
    </w:p>
    <w:p w14:paraId="02C37D44" w14:textId="77777777" w:rsidR="0001424D" w:rsidRPr="00F01EC8" w:rsidRDefault="0001424D" w:rsidP="00F01EC8">
      <w:pPr>
        <w:jc w:val="both"/>
        <w:rPr>
          <w:rStyle w:val="Strong"/>
          <w:rFonts w:asciiTheme="minorHAnsi" w:hAnsiTheme="minorHAnsi"/>
          <w:sz w:val="20"/>
          <w:szCs w:val="20"/>
        </w:rPr>
      </w:pPr>
    </w:p>
    <w:p w14:paraId="354A2A16" w14:textId="04BF28D3" w:rsidR="00F01EC8" w:rsidRPr="00F01EC8" w:rsidRDefault="00F01EC8" w:rsidP="00F01EC8">
      <w:pPr>
        <w:pStyle w:val="ListParagraph"/>
        <w:numPr>
          <w:ilvl w:val="0"/>
          <w:numId w:val="20"/>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Vanquis Bank reported PBT for the first six months of the year of £11.8m (H1’19 restated: £90.5m</w:t>
      </w:r>
      <w:r w:rsidR="007D0A8C" w:rsidRPr="00F01EC8">
        <w:rPr>
          <w:rStyle w:val="Strong"/>
          <w:b w:val="0"/>
          <w:bCs w:val="0"/>
          <w:sz w:val="20"/>
          <w:szCs w:val="20"/>
          <w:vertAlign w:val="superscript"/>
        </w:rPr>
        <w:t>1</w:t>
      </w:r>
      <w:r w:rsidRPr="00F01EC8">
        <w:rPr>
          <w:rFonts w:asciiTheme="minorHAnsi" w:hAnsiTheme="minorHAnsi" w:cs="Arial"/>
          <w:sz w:val="20"/>
          <w:szCs w:val="20"/>
        </w:rPr>
        <w:t xml:space="preserve">), in </w:t>
      </w:r>
      <w:r w:rsidR="005B4C26">
        <w:rPr>
          <w:rFonts w:asciiTheme="minorHAnsi" w:hAnsiTheme="minorHAnsi" w:cs="Arial"/>
          <w:sz w:val="20"/>
          <w:szCs w:val="20"/>
        </w:rPr>
        <w:t xml:space="preserve">line </w:t>
      </w:r>
      <w:r w:rsidRPr="00F01EC8">
        <w:rPr>
          <w:rFonts w:asciiTheme="minorHAnsi" w:hAnsiTheme="minorHAnsi" w:cs="Arial"/>
          <w:sz w:val="20"/>
          <w:szCs w:val="20"/>
        </w:rPr>
        <w:t>with recently produced internal plans, but lower than last year driven by the reduction in customer spend and impairment caused by Covid-19.</w:t>
      </w:r>
    </w:p>
    <w:p w14:paraId="793D5CAA" w14:textId="11DBFDD4" w:rsidR="00F01EC8" w:rsidRPr="00F01EC8" w:rsidRDefault="00F01EC8" w:rsidP="00F01EC8">
      <w:pPr>
        <w:pStyle w:val="ListParagraph"/>
        <w:numPr>
          <w:ilvl w:val="0"/>
          <w:numId w:val="20"/>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 xml:space="preserve">New customer bookings for the period were 147k (H1’19: 190k). </w:t>
      </w:r>
      <w:r w:rsidR="000A0A8D">
        <w:rPr>
          <w:rFonts w:asciiTheme="minorHAnsi" w:hAnsiTheme="minorHAnsi" w:cs="Arial"/>
          <w:sz w:val="20"/>
          <w:szCs w:val="20"/>
        </w:rPr>
        <w:t>D</w:t>
      </w:r>
      <w:r w:rsidRPr="00F01EC8">
        <w:rPr>
          <w:rFonts w:asciiTheme="minorHAnsi" w:hAnsiTheme="minorHAnsi" w:cs="Arial"/>
          <w:sz w:val="20"/>
          <w:szCs w:val="20"/>
        </w:rPr>
        <w:t>ecisive action</w:t>
      </w:r>
      <w:r w:rsidR="000A0A8D">
        <w:rPr>
          <w:rFonts w:asciiTheme="minorHAnsi" w:hAnsiTheme="minorHAnsi" w:cs="Arial"/>
          <w:sz w:val="20"/>
          <w:szCs w:val="20"/>
        </w:rPr>
        <w:t xml:space="preserve"> was taken</w:t>
      </w:r>
      <w:r w:rsidRPr="00F01EC8">
        <w:rPr>
          <w:rFonts w:asciiTheme="minorHAnsi" w:hAnsiTheme="minorHAnsi" w:cs="Arial"/>
          <w:sz w:val="20"/>
          <w:szCs w:val="20"/>
        </w:rPr>
        <w:t xml:space="preserve"> in April to significantly tighten underwriting and reduce new customer bookings by 75%. </w:t>
      </w:r>
      <w:r w:rsidR="000A0A8D">
        <w:rPr>
          <w:rFonts w:asciiTheme="minorHAnsi" w:hAnsiTheme="minorHAnsi" w:cs="Arial"/>
          <w:sz w:val="20"/>
          <w:szCs w:val="20"/>
        </w:rPr>
        <w:t>N</w:t>
      </w:r>
      <w:r w:rsidRPr="00F01EC8">
        <w:rPr>
          <w:rFonts w:asciiTheme="minorHAnsi" w:hAnsiTheme="minorHAnsi" w:cs="Arial"/>
          <w:sz w:val="20"/>
          <w:szCs w:val="20"/>
        </w:rPr>
        <w:t>ew customer booking</w:t>
      </w:r>
      <w:r w:rsidR="000A0A8D">
        <w:rPr>
          <w:rFonts w:asciiTheme="minorHAnsi" w:hAnsiTheme="minorHAnsi" w:cs="Arial"/>
          <w:sz w:val="20"/>
          <w:szCs w:val="20"/>
        </w:rPr>
        <w:t xml:space="preserve"> has been re-established in July</w:t>
      </w:r>
      <w:r w:rsidRPr="00F01EC8">
        <w:rPr>
          <w:rFonts w:asciiTheme="minorHAnsi" w:hAnsiTheme="minorHAnsi" w:cs="Arial"/>
          <w:sz w:val="20"/>
          <w:szCs w:val="20"/>
        </w:rPr>
        <w:t xml:space="preserve"> </w:t>
      </w:r>
      <w:r w:rsidR="000A0A8D">
        <w:rPr>
          <w:rFonts w:asciiTheme="minorHAnsi" w:hAnsiTheme="minorHAnsi" w:cs="Arial"/>
          <w:sz w:val="20"/>
          <w:szCs w:val="20"/>
        </w:rPr>
        <w:t xml:space="preserve">at </w:t>
      </w:r>
      <w:r w:rsidRPr="00F01EC8">
        <w:rPr>
          <w:rFonts w:asciiTheme="minorHAnsi" w:hAnsiTheme="minorHAnsi" w:cs="Arial"/>
          <w:sz w:val="20"/>
          <w:szCs w:val="20"/>
        </w:rPr>
        <w:t>volumes close to 50% of pre-Covid</w:t>
      </w:r>
      <w:r w:rsidR="000A0A8D">
        <w:rPr>
          <w:rFonts w:asciiTheme="minorHAnsi" w:hAnsiTheme="minorHAnsi" w:cs="Arial"/>
          <w:sz w:val="20"/>
          <w:szCs w:val="20"/>
        </w:rPr>
        <w:t>-19</w:t>
      </w:r>
      <w:r w:rsidRPr="00F01EC8">
        <w:rPr>
          <w:rFonts w:asciiTheme="minorHAnsi" w:hAnsiTheme="minorHAnsi" w:cs="Arial"/>
          <w:sz w:val="20"/>
          <w:szCs w:val="20"/>
        </w:rPr>
        <w:t xml:space="preserve"> levels as scorecards are recalibrated. </w:t>
      </w:r>
    </w:p>
    <w:p w14:paraId="4218E6D2" w14:textId="45693E27" w:rsidR="00F01EC8" w:rsidRPr="00F01EC8" w:rsidRDefault="00F01EC8" w:rsidP="004C3C99">
      <w:pPr>
        <w:pStyle w:val="ListParagraph"/>
        <w:numPr>
          <w:ilvl w:val="0"/>
          <w:numId w:val="20"/>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 xml:space="preserve">Customer expenditure trends continue to improve as lockdown restrictions have eased. In April, spend was </w:t>
      </w:r>
      <w:r w:rsidR="000A0A8D" w:rsidRPr="00F01EC8">
        <w:rPr>
          <w:rFonts w:asciiTheme="minorHAnsi" w:hAnsiTheme="minorHAnsi" w:cs="Arial"/>
          <w:sz w:val="20"/>
          <w:szCs w:val="20"/>
        </w:rPr>
        <w:t>40%</w:t>
      </w:r>
      <w:r w:rsidR="000A0A8D">
        <w:rPr>
          <w:rFonts w:asciiTheme="minorHAnsi" w:hAnsiTheme="minorHAnsi" w:cs="Arial"/>
          <w:sz w:val="20"/>
          <w:szCs w:val="20"/>
        </w:rPr>
        <w:t xml:space="preserve"> </w:t>
      </w:r>
      <w:r w:rsidRPr="00F01EC8">
        <w:rPr>
          <w:rFonts w:asciiTheme="minorHAnsi" w:hAnsiTheme="minorHAnsi" w:cs="Arial"/>
          <w:sz w:val="20"/>
          <w:szCs w:val="20"/>
        </w:rPr>
        <w:t xml:space="preserve">lower year-on-year, but </w:t>
      </w:r>
      <w:r w:rsidR="004C3C99">
        <w:rPr>
          <w:rFonts w:asciiTheme="minorHAnsi" w:hAnsiTheme="minorHAnsi" w:cs="Arial"/>
          <w:sz w:val="20"/>
          <w:szCs w:val="20"/>
        </w:rPr>
        <w:t>t</w:t>
      </w:r>
      <w:r w:rsidR="004C3C99" w:rsidRPr="004C3C99">
        <w:rPr>
          <w:rFonts w:asciiTheme="minorHAnsi" w:hAnsiTheme="minorHAnsi" w:cs="Arial"/>
          <w:sz w:val="20"/>
          <w:szCs w:val="20"/>
        </w:rPr>
        <w:t>he progressive improvement in customer spending has continued in the third quarter with the gap to prior year narrowing to 15% in July and August</w:t>
      </w:r>
      <w:r w:rsidR="00134633">
        <w:rPr>
          <w:rFonts w:asciiTheme="minorHAnsi" w:hAnsiTheme="minorHAnsi" w:cs="Arial"/>
          <w:sz w:val="20"/>
          <w:szCs w:val="20"/>
        </w:rPr>
        <w:t>.</w:t>
      </w:r>
    </w:p>
    <w:p w14:paraId="505BEEAA" w14:textId="2ED84684" w:rsidR="00F01EC8" w:rsidRPr="00F01EC8" w:rsidRDefault="00F01EC8" w:rsidP="00F01EC8">
      <w:pPr>
        <w:pStyle w:val="ListParagraph"/>
        <w:numPr>
          <w:ilvl w:val="0"/>
          <w:numId w:val="20"/>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 xml:space="preserve">Payment holiday take up by Vanquis Bank credit card customers was c.2% at the end of June </w:t>
      </w:r>
      <w:r w:rsidR="007D0A8C">
        <w:rPr>
          <w:rFonts w:asciiTheme="minorHAnsi" w:hAnsiTheme="minorHAnsi" w:cs="Arial"/>
          <w:sz w:val="20"/>
          <w:szCs w:val="20"/>
        </w:rPr>
        <w:t>representing</w:t>
      </w:r>
      <w:r w:rsidRPr="00F01EC8">
        <w:rPr>
          <w:rFonts w:asciiTheme="minorHAnsi" w:hAnsiTheme="minorHAnsi" w:cs="Arial"/>
          <w:sz w:val="20"/>
          <w:szCs w:val="20"/>
        </w:rPr>
        <w:t xml:space="preserve"> c.4% of outstanding balances, comparatively lower than market competitors. </w:t>
      </w:r>
    </w:p>
    <w:p w14:paraId="71DFCA91" w14:textId="67FF2141" w:rsidR="00F01EC8" w:rsidRPr="00F01EC8" w:rsidRDefault="00F01EC8" w:rsidP="00F01EC8">
      <w:pPr>
        <w:pStyle w:val="ListParagraph"/>
        <w:numPr>
          <w:ilvl w:val="0"/>
          <w:numId w:val="20"/>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The annualised impairment rate at the end of June of 18.0% (H1’19: 14.9%) reflected additional first half impairment of approximately £70m from the impact of Covid-19 and the adverse macro</w:t>
      </w:r>
      <w:r w:rsidR="000A0A8D">
        <w:rPr>
          <w:rFonts w:asciiTheme="minorHAnsi" w:hAnsiTheme="minorHAnsi" w:cs="Arial"/>
          <w:sz w:val="20"/>
          <w:szCs w:val="20"/>
        </w:rPr>
        <w:t>-</w:t>
      </w:r>
      <w:r w:rsidRPr="00F01EC8">
        <w:rPr>
          <w:rFonts w:asciiTheme="minorHAnsi" w:hAnsiTheme="minorHAnsi" w:cs="Arial"/>
          <w:sz w:val="20"/>
          <w:szCs w:val="20"/>
        </w:rPr>
        <w:t>economic outlook.</w:t>
      </w:r>
    </w:p>
    <w:p w14:paraId="316B2293" w14:textId="77777777" w:rsidR="00F01EC8" w:rsidRPr="00F01EC8" w:rsidRDefault="00F01EC8" w:rsidP="00F01EC8">
      <w:pPr>
        <w:pStyle w:val="ListParagraph"/>
        <w:jc w:val="both"/>
        <w:rPr>
          <w:rFonts w:asciiTheme="minorHAnsi" w:hAnsiTheme="minorHAnsi" w:cs="Arial"/>
          <w:sz w:val="20"/>
          <w:szCs w:val="20"/>
        </w:rPr>
      </w:pPr>
    </w:p>
    <w:p w14:paraId="761A2BA7" w14:textId="71824664" w:rsidR="00F01EC8" w:rsidRDefault="00F01EC8" w:rsidP="00F01EC8">
      <w:pPr>
        <w:jc w:val="both"/>
        <w:rPr>
          <w:rStyle w:val="Strong"/>
          <w:rFonts w:asciiTheme="minorHAnsi" w:hAnsiTheme="minorHAnsi"/>
          <w:sz w:val="20"/>
          <w:szCs w:val="20"/>
        </w:rPr>
      </w:pPr>
      <w:r w:rsidRPr="00F01EC8">
        <w:rPr>
          <w:rStyle w:val="Strong"/>
          <w:rFonts w:asciiTheme="minorHAnsi" w:hAnsiTheme="minorHAnsi"/>
          <w:sz w:val="20"/>
          <w:szCs w:val="20"/>
        </w:rPr>
        <w:t xml:space="preserve">Moneybarn stayed open for business during lockdown </w:t>
      </w:r>
      <w:r w:rsidR="000A0A8D">
        <w:rPr>
          <w:rStyle w:val="Strong"/>
          <w:rFonts w:asciiTheme="minorHAnsi" w:hAnsiTheme="minorHAnsi"/>
          <w:sz w:val="20"/>
          <w:szCs w:val="20"/>
        </w:rPr>
        <w:t>and</w:t>
      </w:r>
      <w:r w:rsidRPr="00F01EC8">
        <w:rPr>
          <w:rStyle w:val="Strong"/>
          <w:rFonts w:asciiTheme="minorHAnsi" w:hAnsiTheme="minorHAnsi"/>
          <w:sz w:val="20"/>
          <w:szCs w:val="20"/>
        </w:rPr>
        <w:t xml:space="preserve"> has seen new business recover strongly</w:t>
      </w:r>
    </w:p>
    <w:p w14:paraId="1C8F3208" w14:textId="77777777" w:rsidR="0001424D" w:rsidRPr="00F01EC8" w:rsidRDefault="0001424D" w:rsidP="00F01EC8">
      <w:pPr>
        <w:jc w:val="both"/>
        <w:rPr>
          <w:rStyle w:val="Strong"/>
          <w:rFonts w:asciiTheme="minorHAnsi" w:hAnsiTheme="minorHAnsi"/>
          <w:b w:val="0"/>
          <w:bCs w:val="0"/>
          <w:sz w:val="20"/>
          <w:szCs w:val="20"/>
        </w:rPr>
      </w:pPr>
    </w:p>
    <w:p w14:paraId="6509A618" w14:textId="308A851B" w:rsidR="00F01EC8" w:rsidRPr="00F01EC8" w:rsidRDefault="00F01EC8" w:rsidP="00F01EC8">
      <w:pPr>
        <w:pStyle w:val="ListParagraph"/>
        <w:numPr>
          <w:ilvl w:val="0"/>
          <w:numId w:val="22"/>
        </w:numPr>
        <w:spacing w:after="160" w:line="256" w:lineRule="auto"/>
        <w:jc w:val="both"/>
        <w:rPr>
          <w:rFonts w:asciiTheme="minorHAnsi" w:hAnsiTheme="minorHAnsi"/>
          <w:sz w:val="20"/>
          <w:szCs w:val="20"/>
        </w:rPr>
      </w:pPr>
      <w:r w:rsidRPr="00F01EC8">
        <w:rPr>
          <w:rFonts w:asciiTheme="minorHAnsi" w:hAnsiTheme="minorHAnsi" w:cs="Arial"/>
          <w:sz w:val="20"/>
          <w:szCs w:val="20"/>
        </w:rPr>
        <w:t>Moneybarn delivered PBT for the period of £2.4m (H1’19: £15.5m</w:t>
      </w:r>
      <w:r w:rsidR="007D0A8C" w:rsidRPr="00F01EC8">
        <w:rPr>
          <w:rStyle w:val="Strong"/>
          <w:b w:val="0"/>
          <w:bCs w:val="0"/>
          <w:sz w:val="20"/>
          <w:szCs w:val="20"/>
          <w:vertAlign w:val="superscript"/>
        </w:rPr>
        <w:t>1</w:t>
      </w:r>
      <w:r w:rsidRPr="00F01EC8">
        <w:rPr>
          <w:rFonts w:asciiTheme="minorHAnsi" w:hAnsiTheme="minorHAnsi" w:cs="Arial"/>
          <w:sz w:val="20"/>
          <w:szCs w:val="20"/>
        </w:rPr>
        <w:t xml:space="preserve">) ahead of management plans </w:t>
      </w:r>
      <w:r w:rsidR="000A0A8D">
        <w:rPr>
          <w:rFonts w:asciiTheme="minorHAnsi" w:hAnsiTheme="minorHAnsi" w:cs="Arial"/>
          <w:sz w:val="20"/>
          <w:szCs w:val="20"/>
        </w:rPr>
        <w:t>created</w:t>
      </w:r>
      <w:r w:rsidRPr="00F01EC8">
        <w:rPr>
          <w:rFonts w:asciiTheme="minorHAnsi" w:hAnsiTheme="minorHAnsi" w:cs="Arial"/>
          <w:sz w:val="20"/>
          <w:szCs w:val="20"/>
        </w:rPr>
        <w:t xml:space="preserve"> post-</w:t>
      </w:r>
      <w:r w:rsidR="00BA2D35">
        <w:rPr>
          <w:rFonts w:asciiTheme="minorHAnsi" w:hAnsiTheme="minorHAnsi" w:cs="Arial"/>
          <w:sz w:val="20"/>
          <w:szCs w:val="20"/>
        </w:rPr>
        <w:t>lockdown</w:t>
      </w:r>
      <w:r w:rsidRPr="00F01EC8">
        <w:rPr>
          <w:rFonts w:asciiTheme="minorHAnsi" w:hAnsiTheme="minorHAnsi" w:cs="Arial"/>
          <w:sz w:val="20"/>
          <w:szCs w:val="20"/>
        </w:rPr>
        <w:t xml:space="preserve"> but down year-on-year. The increase in Moneybarn’s revenue year-on-year was offset by increased impairment. </w:t>
      </w:r>
    </w:p>
    <w:p w14:paraId="3E35CD72" w14:textId="0461CA51" w:rsidR="00F01EC8" w:rsidRPr="00F01EC8" w:rsidRDefault="00F01EC8" w:rsidP="00F01EC8">
      <w:pPr>
        <w:pStyle w:val="ListParagraph"/>
        <w:numPr>
          <w:ilvl w:val="0"/>
          <w:numId w:val="22"/>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Moneybarn remained open to new business throughout April, at a time when many of its competitors stopped lending, and has improved its market share</w:t>
      </w:r>
      <w:r w:rsidR="000A0A8D">
        <w:rPr>
          <w:rFonts w:asciiTheme="minorHAnsi" w:hAnsiTheme="minorHAnsi" w:cs="Arial"/>
          <w:sz w:val="20"/>
          <w:szCs w:val="20"/>
        </w:rPr>
        <w:t>,</w:t>
      </w:r>
      <w:r w:rsidRPr="00F01EC8">
        <w:rPr>
          <w:rFonts w:asciiTheme="minorHAnsi" w:hAnsiTheme="minorHAnsi" w:cs="Arial"/>
          <w:sz w:val="20"/>
          <w:szCs w:val="20"/>
        </w:rPr>
        <w:t xml:space="preserve"> as well as credit quality</w:t>
      </w:r>
      <w:r w:rsidR="000A0A8D">
        <w:rPr>
          <w:rFonts w:asciiTheme="minorHAnsi" w:hAnsiTheme="minorHAnsi" w:cs="Arial"/>
          <w:sz w:val="20"/>
          <w:szCs w:val="20"/>
        </w:rPr>
        <w:t>,</w:t>
      </w:r>
      <w:r w:rsidRPr="00F01EC8">
        <w:rPr>
          <w:rFonts w:asciiTheme="minorHAnsi" w:hAnsiTheme="minorHAnsi" w:cs="Arial"/>
          <w:sz w:val="20"/>
          <w:szCs w:val="20"/>
        </w:rPr>
        <w:t xml:space="preserve"> as a result.</w:t>
      </w:r>
    </w:p>
    <w:p w14:paraId="31176961" w14:textId="77777777" w:rsidR="00F01EC8" w:rsidRPr="00F01EC8" w:rsidRDefault="00F01EC8" w:rsidP="00F01EC8">
      <w:pPr>
        <w:pStyle w:val="ListParagraph"/>
        <w:numPr>
          <w:ilvl w:val="0"/>
          <w:numId w:val="22"/>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Demand for used cars has rebounded strongly and new business volumes have followed suit, with July being a record month with over 4,500 deals written despite tighter underwriting.</w:t>
      </w:r>
    </w:p>
    <w:p w14:paraId="6A327558" w14:textId="38380994" w:rsidR="00F01EC8" w:rsidRPr="00F01EC8" w:rsidRDefault="00F01EC8" w:rsidP="00F01EC8">
      <w:pPr>
        <w:pStyle w:val="ListParagraph"/>
        <w:numPr>
          <w:ilvl w:val="0"/>
          <w:numId w:val="22"/>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Payment holiday take-up by Moneybarn customers peaked at c.28% of customers and has now reduced to c.</w:t>
      </w:r>
      <w:r w:rsidR="007C2FEF">
        <w:rPr>
          <w:rFonts w:asciiTheme="minorHAnsi" w:hAnsiTheme="minorHAnsi" w:cs="Arial"/>
          <w:sz w:val="20"/>
          <w:szCs w:val="20"/>
        </w:rPr>
        <w:t>3</w:t>
      </w:r>
      <w:bookmarkStart w:id="1" w:name="_GoBack"/>
      <w:bookmarkEnd w:id="1"/>
      <w:r w:rsidRPr="00F01EC8">
        <w:rPr>
          <w:rFonts w:asciiTheme="minorHAnsi" w:hAnsiTheme="minorHAnsi" w:cs="Arial"/>
          <w:sz w:val="20"/>
          <w:szCs w:val="20"/>
        </w:rPr>
        <w:t>.5% at the end of July.</w:t>
      </w:r>
    </w:p>
    <w:p w14:paraId="2CCC9945" w14:textId="38386C31" w:rsidR="00F01EC8" w:rsidRPr="00F01EC8" w:rsidRDefault="00F01EC8" w:rsidP="00F01EC8">
      <w:pPr>
        <w:pStyle w:val="ListParagraph"/>
        <w:numPr>
          <w:ilvl w:val="0"/>
          <w:numId w:val="22"/>
        </w:numPr>
        <w:spacing w:after="160" w:line="256" w:lineRule="auto"/>
        <w:jc w:val="both"/>
        <w:rPr>
          <w:rFonts w:asciiTheme="minorHAnsi" w:hAnsiTheme="minorHAnsi" w:cs="Arial"/>
          <w:sz w:val="20"/>
          <w:szCs w:val="20"/>
        </w:rPr>
      </w:pPr>
      <w:r w:rsidRPr="00F01EC8">
        <w:rPr>
          <w:rFonts w:asciiTheme="minorHAnsi" w:hAnsiTheme="minorHAnsi" w:cs="Arial"/>
          <w:sz w:val="20"/>
          <w:szCs w:val="20"/>
        </w:rPr>
        <w:t>The annualised impairment rate increased to 12.0% (H1’19: 7.1%) driven by higher arrears across the book and provisions for the deteriorating macro</w:t>
      </w:r>
      <w:r w:rsidR="000A0A8D">
        <w:rPr>
          <w:rFonts w:asciiTheme="minorHAnsi" w:hAnsiTheme="minorHAnsi" w:cs="Arial"/>
          <w:sz w:val="20"/>
          <w:szCs w:val="20"/>
        </w:rPr>
        <w:t>-</w:t>
      </w:r>
      <w:r w:rsidRPr="00F01EC8">
        <w:rPr>
          <w:rFonts w:asciiTheme="minorHAnsi" w:hAnsiTheme="minorHAnsi" w:cs="Arial"/>
          <w:sz w:val="20"/>
          <w:szCs w:val="20"/>
        </w:rPr>
        <w:t>economic outlook.</w:t>
      </w:r>
    </w:p>
    <w:p w14:paraId="4020BFE9" w14:textId="77777777" w:rsidR="00F01EC8" w:rsidRPr="00F01EC8" w:rsidRDefault="00F01EC8" w:rsidP="00F01EC8">
      <w:pPr>
        <w:pStyle w:val="ListParagraph"/>
        <w:jc w:val="both"/>
        <w:rPr>
          <w:rFonts w:asciiTheme="minorHAnsi" w:hAnsiTheme="minorHAnsi" w:cs="Arial"/>
          <w:sz w:val="20"/>
          <w:szCs w:val="20"/>
        </w:rPr>
      </w:pPr>
    </w:p>
    <w:p w14:paraId="436F314D" w14:textId="3C7F182D" w:rsidR="00F01EC8" w:rsidRDefault="00F01EC8" w:rsidP="00F01EC8">
      <w:pPr>
        <w:jc w:val="both"/>
        <w:rPr>
          <w:rStyle w:val="Strong"/>
          <w:rFonts w:asciiTheme="minorHAnsi" w:hAnsiTheme="minorHAnsi"/>
          <w:sz w:val="20"/>
          <w:szCs w:val="20"/>
        </w:rPr>
      </w:pPr>
      <w:r w:rsidRPr="00F01EC8">
        <w:rPr>
          <w:rStyle w:val="Strong"/>
          <w:rFonts w:asciiTheme="minorHAnsi" w:hAnsiTheme="minorHAnsi"/>
          <w:sz w:val="20"/>
          <w:szCs w:val="20"/>
        </w:rPr>
        <w:t>CCD experienced the greatest level of operational challenges but proved its adaptability &amp; resilience</w:t>
      </w:r>
    </w:p>
    <w:p w14:paraId="72CF43D2" w14:textId="77777777" w:rsidR="0001424D" w:rsidRPr="00F01EC8" w:rsidRDefault="0001424D" w:rsidP="00F01EC8">
      <w:pPr>
        <w:jc w:val="both"/>
        <w:rPr>
          <w:rStyle w:val="Strong"/>
          <w:rFonts w:asciiTheme="minorHAnsi" w:hAnsiTheme="minorHAnsi" w:cstheme="minorBidi"/>
          <w:sz w:val="20"/>
          <w:szCs w:val="20"/>
        </w:rPr>
      </w:pPr>
    </w:p>
    <w:p w14:paraId="1BC320C8" w14:textId="369B30F6" w:rsidR="00F01EC8" w:rsidRPr="00F01EC8" w:rsidRDefault="00F01EC8" w:rsidP="00F01EC8">
      <w:pPr>
        <w:pStyle w:val="ListParagraph"/>
        <w:numPr>
          <w:ilvl w:val="0"/>
          <w:numId w:val="24"/>
        </w:numPr>
        <w:spacing w:after="160" w:line="256" w:lineRule="auto"/>
        <w:jc w:val="both"/>
        <w:rPr>
          <w:rStyle w:val="Strong"/>
          <w:rFonts w:asciiTheme="minorHAnsi" w:hAnsiTheme="minorHAnsi"/>
          <w:sz w:val="20"/>
          <w:szCs w:val="20"/>
        </w:rPr>
      </w:pPr>
      <w:r w:rsidRPr="00F01EC8">
        <w:rPr>
          <w:rStyle w:val="Strong"/>
          <w:rFonts w:asciiTheme="minorHAnsi" w:hAnsiTheme="minorHAnsi"/>
          <w:b w:val="0"/>
          <w:sz w:val="20"/>
          <w:szCs w:val="20"/>
        </w:rPr>
        <w:t>CCD reported a loss before tax</w:t>
      </w:r>
      <w:r w:rsidR="000A0A8D">
        <w:rPr>
          <w:rStyle w:val="Strong"/>
          <w:rFonts w:asciiTheme="minorHAnsi" w:hAnsiTheme="minorHAnsi"/>
          <w:b w:val="0"/>
          <w:sz w:val="20"/>
          <w:szCs w:val="20"/>
        </w:rPr>
        <w:t xml:space="preserve"> (LBT)</w:t>
      </w:r>
      <w:r w:rsidRPr="00F01EC8">
        <w:rPr>
          <w:rStyle w:val="Strong"/>
          <w:rFonts w:asciiTheme="minorHAnsi" w:hAnsiTheme="minorHAnsi"/>
          <w:b w:val="0"/>
          <w:sz w:val="20"/>
          <w:szCs w:val="20"/>
        </w:rPr>
        <w:t xml:space="preserve"> of £37.6m (H1’19 LBT: £15.1m), favourable compared to internal plans but a larger loss than last year, reflecting a significant reduction in receivables and an increase in impairment.</w:t>
      </w:r>
    </w:p>
    <w:p w14:paraId="27CD48E9" w14:textId="614CD5EB" w:rsidR="00F01EC8" w:rsidRPr="00F01EC8" w:rsidRDefault="00F01EC8" w:rsidP="00F01EC8">
      <w:pPr>
        <w:pStyle w:val="ListParagraph"/>
        <w:numPr>
          <w:ilvl w:val="0"/>
          <w:numId w:val="24"/>
        </w:numPr>
        <w:spacing w:after="160" w:line="256" w:lineRule="auto"/>
        <w:jc w:val="both"/>
        <w:rPr>
          <w:rFonts w:asciiTheme="minorHAnsi" w:hAnsiTheme="minorHAnsi"/>
          <w:sz w:val="20"/>
          <w:szCs w:val="20"/>
        </w:rPr>
      </w:pPr>
      <w:r w:rsidRPr="00F01EC8">
        <w:rPr>
          <w:rFonts w:asciiTheme="minorHAnsi" w:hAnsiTheme="minorHAnsi"/>
          <w:bCs/>
          <w:sz w:val="20"/>
          <w:szCs w:val="20"/>
        </w:rPr>
        <w:t>Customer numbers ended June at c.3</w:t>
      </w:r>
      <w:r w:rsidR="00126BCD">
        <w:rPr>
          <w:rFonts w:asciiTheme="minorHAnsi" w:hAnsiTheme="minorHAnsi"/>
          <w:bCs/>
          <w:sz w:val="20"/>
          <w:szCs w:val="20"/>
        </w:rPr>
        <w:t>79</w:t>
      </w:r>
      <w:r w:rsidRPr="00F01EC8">
        <w:rPr>
          <w:rFonts w:asciiTheme="minorHAnsi" w:hAnsiTheme="minorHAnsi"/>
          <w:bCs/>
          <w:sz w:val="20"/>
          <w:szCs w:val="20"/>
        </w:rPr>
        <w:t>k (H1’19: c.53</w:t>
      </w:r>
      <w:r w:rsidR="00126BCD">
        <w:rPr>
          <w:rFonts w:asciiTheme="minorHAnsi" w:hAnsiTheme="minorHAnsi"/>
          <w:bCs/>
          <w:sz w:val="20"/>
          <w:szCs w:val="20"/>
        </w:rPr>
        <w:t>1</w:t>
      </w:r>
      <w:r w:rsidRPr="00F01EC8">
        <w:rPr>
          <w:rFonts w:asciiTheme="minorHAnsi" w:hAnsiTheme="minorHAnsi"/>
          <w:bCs/>
          <w:sz w:val="20"/>
          <w:szCs w:val="20"/>
        </w:rPr>
        <w:t xml:space="preserve">k) driven by lower customer demand and a reduction in new business. </w:t>
      </w:r>
    </w:p>
    <w:p w14:paraId="0972EB97" w14:textId="7AB2154C" w:rsidR="00F01EC8" w:rsidRPr="00F01EC8" w:rsidRDefault="00F01EC8" w:rsidP="00F01EC8">
      <w:pPr>
        <w:pStyle w:val="ListParagraph"/>
        <w:numPr>
          <w:ilvl w:val="0"/>
          <w:numId w:val="24"/>
        </w:numPr>
        <w:spacing w:after="160" w:line="256" w:lineRule="auto"/>
        <w:jc w:val="both"/>
        <w:rPr>
          <w:rFonts w:asciiTheme="minorHAnsi" w:hAnsiTheme="minorHAnsi"/>
          <w:bCs/>
          <w:sz w:val="20"/>
          <w:szCs w:val="20"/>
        </w:rPr>
      </w:pPr>
      <w:r w:rsidRPr="00F01EC8">
        <w:rPr>
          <w:rFonts w:asciiTheme="minorHAnsi" w:hAnsiTheme="minorHAnsi"/>
          <w:bCs/>
          <w:sz w:val="20"/>
          <w:szCs w:val="20"/>
        </w:rPr>
        <w:t>In home credit, collections performance for July was running at &gt;90% of pre-Covid</w:t>
      </w:r>
      <w:r w:rsidR="000A0A8D">
        <w:rPr>
          <w:rFonts w:asciiTheme="minorHAnsi" w:hAnsiTheme="minorHAnsi"/>
          <w:bCs/>
          <w:sz w:val="20"/>
          <w:szCs w:val="20"/>
        </w:rPr>
        <w:t>-19</w:t>
      </w:r>
      <w:r w:rsidRPr="00F01EC8">
        <w:rPr>
          <w:rFonts w:asciiTheme="minorHAnsi" w:hAnsiTheme="minorHAnsi"/>
          <w:bCs/>
          <w:sz w:val="20"/>
          <w:szCs w:val="20"/>
        </w:rPr>
        <w:t xml:space="preserve"> levels with the split between cash and remote collections of c.19% and c.81% respectively. Issue values to existing customers were c.90% of pre-Covid levels in July and c.40% to new customers, demonstrating our stricter approach to lending p</w:t>
      </w:r>
      <w:r w:rsidR="00F440A9">
        <w:rPr>
          <w:rFonts w:asciiTheme="minorHAnsi" w:hAnsiTheme="minorHAnsi"/>
          <w:bCs/>
          <w:sz w:val="20"/>
          <w:szCs w:val="20"/>
        </w:rPr>
        <w:t>ost-lockdown</w:t>
      </w:r>
      <w:r w:rsidRPr="00F01EC8">
        <w:rPr>
          <w:rFonts w:asciiTheme="minorHAnsi" w:hAnsiTheme="minorHAnsi"/>
          <w:bCs/>
          <w:sz w:val="20"/>
          <w:szCs w:val="20"/>
        </w:rPr>
        <w:t>.</w:t>
      </w:r>
    </w:p>
    <w:p w14:paraId="18C4A446" w14:textId="77777777" w:rsidR="00F01EC8" w:rsidRPr="00F01EC8" w:rsidRDefault="00F01EC8" w:rsidP="00F01EC8">
      <w:pPr>
        <w:pStyle w:val="ListParagraph"/>
        <w:numPr>
          <w:ilvl w:val="0"/>
          <w:numId w:val="24"/>
        </w:numPr>
        <w:spacing w:after="160" w:line="256" w:lineRule="auto"/>
        <w:jc w:val="both"/>
        <w:rPr>
          <w:rFonts w:asciiTheme="minorHAnsi" w:hAnsiTheme="minorHAnsi"/>
          <w:bCs/>
          <w:sz w:val="20"/>
          <w:szCs w:val="20"/>
        </w:rPr>
      </w:pPr>
      <w:r w:rsidRPr="00F01EC8">
        <w:rPr>
          <w:rFonts w:asciiTheme="minorHAnsi" w:hAnsiTheme="minorHAnsi"/>
          <w:bCs/>
          <w:sz w:val="20"/>
          <w:szCs w:val="20"/>
        </w:rPr>
        <w:t>Receivables at the end of June stood at £147m (H1’19: £245m) reflecting lower levels of new lending and better than expected collections during the first half.</w:t>
      </w:r>
    </w:p>
    <w:p w14:paraId="4ADECF8B" w14:textId="77777777" w:rsidR="00F01EC8" w:rsidRPr="00F01EC8" w:rsidRDefault="00F01EC8" w:rsidP="00F01EC8">
      <w:pPr>
        <w:pStyle w:val="ListParagraph"/>
        <w:numPr>
          <w:ilvl w:val="0"/>
          <w:numId w:val="24"/>
        </w:numPr>
        <w:spacing w:after="160" w:line="256" w:lineRule="auto"/>
        <w:jc w:val="both"/>
        <w:rPr>
          <w:rStyle w:val="Strong"/>
          <w:rFonts w:asciiTheme="minorHAnsi" w:hAnsiTheme="minorHAnsi"/>
          <w:sz w:val="20"/>
          <w:szCs w:val="20"/>
        </w:rPr>
      </w:pPr>
      <w:r w:rsidRPr="00F01EC8">
        <w:rPr>
          <w:rFonts w:asciiTheme="minorHAnsi" w:hAnsiTheme="minorHAnsi"/>
          <w:sz w:val="20"/>
          <w:szCs w:val="20"/>
        </w:rPr>
        <w:t>Provident Direct (Continuous Payment Authority payment of loan instalments) was rolled out nationally in the UK by the end of March, several months ahead of schedule,</w:t>
      </w:r>
      <w:r w:rsidRPr="00F01EC8">
        <w:rPr>
          <w:rStyle w:val="Strong"/>
          <w:rFonts w:asciiTheme="minorHAnsi" w:hAnsiTheme="minorHAnsi"/>
          <w:b w:val="0"/>
          <w:sz w:val="20"/>
          <w:szCs w:val="20"/>
        </w:rPr>
        <w:t xml:space="preserve"> to provide a non-face-to-face payment channel.</w:t>
      </w:r>
    </w:p>
    <w:p w14:paraId="60CCF796" w14:textId="77777777" w:rsidR="00F01EC8" w:rsidRPr="00F01EC8" w:rsidRDefault="00F01EC8" w:rsidP="00F01EC8">
      <w:pPr>
        <w:pStyle w:val="ListParagraph"/>
        <w:jc w:val="both"/>
        <w:rPr>
          <w:rFonts w:asciiTheme="minorHAnsi" w:hAnsiTheme="minorHAnsi"/>
          <w:sz w:val="20"/>
          <w:szCs w:val="20"/>
        </w:rPr>
      </w:pPr>
    </w:p>
    <w:p w14:paraId="62F181B7" w14:textId="3E72BF1E" w:rsidR="006A3D80" w:rsidRPr="00F01EC8" w:rsidRDefault="006A3D80" w:rsidP="00F01EC8">
      <w:pPr>
        <w:pStyle w:val="NoSpacing"/>
        <w:jc w:val="both"/>
        <w:rPr>
          <w:sz w:val="20"/>
          <w:szCs w:val="20"/>
        </w:rPr>
      </w:pPr>
    </w:p>
    <w:tbl>
      <w:tblPr>
        <w:tblW w:w="0" w:type="auto"/>
        <w:tblLook w:val="04A0" w:firstRow="1" w:lastRow="0" w:firstColumn="1" w:lastColumn="0" w:noHBand="0" w:noVBand="1"/>
      </w:tblPr>
      <w:tblGrid>
        <w:gridCol w:w="4051"/>
        <w:gridCol w:w="1561"/>
        <w:gridCol w:w="1561"/>
        <w:gridCol w:w="1853"/>
      </w:tblGrid>
      <w:tr w:rsidR="00F01EC8" w:rsidRPr="00F01EC8" w14:paraId="3F11A63B" w14:textId="77777777" w:rsidTr="00F01EC8">
        <w:tc>
          <w:tcPr>
            <w:tcW w:w="4051" w:type="dxa"/>
          </w:tcPr>
          <w:p w14:paraId="6D9B58D5" w14:textId="77777777" w:rsidR="00F01EC8" w:rsidRPr="00F01EC8" w:rsidRDefault="00F01EC8">
            <w:pPr>
              <w:pStyle w:val="NoSpacing"/>
              <w:spacing w:line="276" w:lineRule="auto"/>
              <w:rPr>
                <w:b/>
                <w:sz w:val="20"/>
                <w:szCs w:val="20"/>
              </w:rPr>
            </w:pPr>
          </w:p>
          <w:p w14:paraId="7BABD784" w14:textId="77777777" w:rsidR="00F01EC8" w:rsidRPr="00F01EC8" w:rsidRDefault="00F01EC8">
            <w:pPr>
              <w:pStyle w:val="NoSpacing"/>
              <w:spacing w:line="276" w:lineRule="auto"/>
              <w:ind w:left="-110"/>
              <w:rPr>
                <w:b/>
                <w:sz w:val="20"/>
                <w:szCs w:val="20"/>
              </w:rPr>
            </w:pPr>
            <w:r w:rsidRPr="00F01EC8">
              <w:rPr>
                <w:b/>
                <w:sz w:val="20"/>
                <w:szCs w:val="20"/>
              </w:rPr>
              <w:t>Enquiries:</w:t>
            </w:r>
          </w:p>
        </w:tc>
        <w:tc>
          <w:tcPr>
            <w:tcW w:w="1561" w:type="dxa"/>
          </w:tcPr>
          <w:p w14:paraId="0A77D1C7" w14:textId="77777777" w:rsidR="00F01EC8" w:rsidRPr="00F01EC8" w:rsidRDefault="00F01EC8">
            <w:pPr>
              <w:pStyle w:val="NoSpacing"/>
              <w:spacing w:line="276" w:lineRule="auto"/>
              <w:rPr>
                <w:sz w:val="20"/>
                <w:szCs w:val="20"/>
              </w:rPr>
            </w:pPr>
          </w:p>
        </w:tc>
        <w:tc>
          <w:tcPr>
            <w:tcW w:w="1561" w:type="dxa"/>
          </w:tcPr>
          <w:p w14:paraId="31B76548" w14:textId="77777777" w:rsidR="00F01EC8" w:rsidRPr="00F01EC8" w:rsidRDefault="00F01EC8">
            <w:pPr>
              <w:pStyle w:val="NoSpacing"/>
              <w:spacing w:line="276" w:lineRule="auto"/>
              <w:rPr>
                <w:sz w:val="20"/>
                <w:szCs w:val="20"/>
              </w:rPr>
            </w:pPr>
          </w:p>
        </w:tc>
        <w:tc>
          <w:tcPr>
            <w:tcW w:w="1853" w:type="dxa"/>
          </w:tcPr>
          <w:p w14:paraId="63B55884" w14:textId="77777777" w:rsidR="00F01EC8" w:rsidRPr="00F01EC8" w:rsidRDefault="00F01EC8">
            <w:pPr>
              <w:pStyle w:val="NoSpacing"/>
              <w:spacing w:line="276" w:lineRule="auto"/>
              <w:rPr>
                <w:sz w:val="20"/>
                <w:szCs w:val="20"/>
              </w:rPr>
            </w:pPr>
          </w:p>
        </w:tc>
      </w:tr>
      <w:tr w:rsidR="00F01EC8" w:rsidRPr="00F01EC8" w14:paraId="32E1CC69" w14:textId="77777777" w:rsidTr="00F01EC8">
        <w:tc>
          <w:tcPr>
            <w:tcW w:w="4051" w:type="dxa"/>
            <w:hideMark/>
          </w:tcPr>
          <w:p w14:paraId="2322FCF4" w14:textId="77777777" w:rsidR="00F01EC8" w:rsidRPr="00F01EC8" w:rsidRDefault="00F01EC8">
            <w:pPr>
              <w:pStyle w:val="NoSpacing"/>
              <w:spacing w:line="276" w:lineRule="auto"/>
              <w:ind w:left="-111"/>
              <w:rPr>
                <w:sz w:val="20"/>
                <w:szCs w:val="20"/>
                <w:u w:val="single"/>
              </w:rPr>
            </w:pPr>
            <w:r w:rsidRPr="00F01EC8">
              <w:rPr>
                <w:sz w:val="20"/>
                <w:szCs w:val="20"/>
                <w:u w:val="single"/>
              </w:rPr>
              <w:t>Analysts and shareholders:</w:t>
            </w:r>
          </w:p>
        </w:tc>
        <w:tc>
          <w:tcPr>
            <w:tcW w:w="1561" w:type="dxa"/>
          </w:tcPr>
          <w:p w14:paraId="104ED61D" w14:textId="77777777" w:rsidR="00F01EC8" w:rsidRPr="00F01EC8" w:rsidRDefault="00F01EC8">
            <w:pPr>
              <w:pStyle w:val="NoSpacing"/>
              <w:spacing w:line="276" w:lineRule="auto"/>
              <w:rPr>
                <w:sz w:val="20"/>
                <w:szCs w:val="20"/>
              </w:rPr>
            </w:pPr>
          </w:p>
        </w:tc>
        <w:tc>
          <w:tcPr>
            <w:tcW w:w="1561" w:type="dxa"/>
          </w:tcPr>
          <w:p w14:paraId="3B78D63A" w14:textId="77777777" w:rsidR="00F01EC8" w:rsidRPr="00F01EC8" w:rsidRDefault="00F01EC8">
            <w:pPr>
              <w:pStyle w:val="NoSpacing"/>
              <w:spacing w:line="276" w:lineRule="auto"/>
              <w:rPr>
                <w:sz w:val="20"/>
                <w:szCs w:val="20"/>
              </w:rPr>
            </w:pPr>
          </w:p>
        </w:tc>
        <w:tc>
          <w:tcPr>
            <w:tcW w:w="1853" w:type="dxa"/>
          </w:tcPr>
          <w:p w14:paraId="25BF31AF" w14:textId="77777777" w:rsidR="00F01EC8" w:rsidRPr="00F01EC8" w:rsidRDefault="00F01EC8">
            <w:pPr>
              <w:pStyle w:val="NoSpacing"/>
              <w:spacing w:line="276" w:lineRule="auto"/>
              <w:rPr>
                <w:sz w:val="20"/>
                <w:szCs w:val="20"/>
              </w:rPr>
            </w:pPr>
          </w:p>
        </w:tc>
      </w:tr>
      <w:tr w:rsidR="00F01EC8" w:rsidRPr="00F01EC8" w14:paraId="48AAC71E" w14:textId="77777777" w:rsidTr="00F01EC8">
        <w:tc>
          <w:tcPr>
            <w:tcW w:w="4051" w:type="dxa"/>
            <w:hideMark/>
          </w:tcPr>
          <w:p w14:paraId="1B6B96B6" w14:textId="77777777" w:rsidR="00F01EC8" w:rsidRPr="00F01EC8" w:rsidRDefault="00F01EC8">
            <w:pPr>
              <w:pStyle w:val="NoSpacing"/>
              <w:spacing w:line="276" w:lineRule="auto"/>
              <w:ind w:left="-111"/>
              <w:rPr>
                <w:sz w:val="20"/>
                <w:szCs w:val="20"/>
                <w:u w:val="single"/>
              </w:rPr>
            </w:pPr>
            <w:r w:rsidRPr="00F01EC8">
              <w:rPr>
                <w:sz w:val="20"/>
                <w:szCs w:val="20"/>
              </w:rPr>
              <w:t xml:space="preserve">Owen Jones, Head of Investor Relations </w:t>
            </w:r>
          </w:p>
        </w:tc>
        <w:tc>
          <w:tcPr>
            <w:tcW w:w="1561" w:type="dxa"/>
          </w:tcPr>
          <w:p w14:paraId="0981914C" w14:textId="77777777" w:rsidR="00F01EC8" w:rsidRPr="00F01EC8" w:rsidRDefault="00F01EC8">
            <w:pPr>
              <w:pStyle w:val="NoSpacing"/>
              <w:spacing w:line="276" w:lineRule="auto"/>
              <w:rPr>
                <w:sz w:val="20"/>
                <w:szCs w:val="20"/>
              </w:rPr>
            </w:pPr>
          </w:p>
        </w:tc>
        <w:tc>
          <w:tcPr>
            <w:tcW w:w="1561" w:type="dxa"/>
          </w:tcPr>
          <w:p w14:paraId="4AAFC788" w14:textId="77777777" w:rsidR="00F01EC8" w:rsidRPr="00F01EC8" w:rsidRDefault="00F01EC8">
            <w:pPr>
              <w:pStyle w:val="NoSpacing"/>
              <w:spacing w:line="276" w:lineRule="auto"/>
              <w:rPr>
                <w:sz w:val="20"/>
                <w:szCs w:val="20"/>
              </w:rPr>
            </w:pPr>
          </w:p>
        </w:tc>
        <w:tc>
          <w:tcPr>
            <w:tcW w:w="1853" w:type="dxa"/>
            <w:hideMark/>
          </w:tcPr>
          <w:p w14:paraId="54868BB7" w14:textId="77777777" w:rsidR="00F01EC8" w:rsidRPr="00F01EC8" w:rsidRDefault="00F01EC8">
            <w:pPr>
              <w:pStyle w:val="NoSpacing"/>
              <w:spacing w:line="276" w:lineRule="auto"/>
              <w:rPr>
                <w:sz w:val="20"/>
                <w:szCs w:val="20"/>
              </w:rPr>
            </w:pPr>
            <w:r w:rsidRPr="00F01EC8">
              <w:rPr>
                <w:sz w:val="20"/>
                <w:szCs w:val="20"/>
              </w:rPr>
              <w:t>07341 007842</w:t>
            </w:r>
          </w:p>
        </w:tc>
      </w:tr>
      <w:tr w:rsidR="00F01EC8" w:rsidRPr="00F01EC8" w14:paraId="45AF1FC0" w14:textId="77777777" w:rsidTr="00F01EC8">
        <w:tc>
          <w:tcPr>
            <w:tcW w:w="4051" w:type="dxa"/>
            <w:hideMark/>
          </w:tcPr>
          <w:p w14:paraId="5AA5A95B" w14:textId="77777777" w:rsidR="00F01EC8" w:rsidRPr="00F01EC8" w:rsidRDefault="007C2FEF">
            <w:pPr>
              <w:pStyle w:val="NoSpacing"/>
              <w:spacing w:line="276" w:lineRule="auto"/>
              <w:ind w:left="-111"/>
              <w:rPr>
                <w:sz w:val="20"/>
                <w:szCs w:val="20"/>
                <w:u w:val="single"/>
              </w:rPr>
            </w:pPr>
            <w:hyperlink r:id="rId8" w:history="1">
              <w:r w:rsidR="00F01EC8" w:rsidRPr="00F01EC8">
                <w:rPr>
                  <w:rStyle w:val="Hyperlink"/>
                  <w:sz w:val="20"/>
                  <w:szCs w:val="20"/>
                </w:rPr>
                <w:t>Owen.jones@providentfinancial.com</w:t>
              </w:r>
            </w:hyperlink>
            <w:r w:rsidR="00F01EC8" w:rsidRPr="00F01EC8">
              <w:rPr>
                <w:sz w:val="20"/>
                <w:szCs w:val="20"/>
              </w:rPr>
              <w:t xml:space="preserve"> </w:t>
            </w:r>
          </w:p>
        </w:tc>
        <w:tc>
          <w:tcPr>
            <w:tcW w:w="1561" w:type="dxa"/>
          </w:tcPr>
          <w:p w14:paraId="205EF1A3" w14:textId="77777777" w:rsidR="00F01EC8" w:rsidRPr="00F01EC8" w:rsidRDefault="00F01EC8">
            <w:pPr>
              <w:pStyle w:val="NoSpacing"/>
              <w:spacing w:line="276" w:lineRule="auto"/>
              <w:rPr>
                <w:sz w:val="20"/>
                <w:szCs w:val="20"/>
              </w:rPr>
            </w:pPr>
          </w:p>
        </w:tc>
        <w:tc>
          <w:tcPr>
            <w:tcW w:w="1561" w:type="dxa"/>
          </w:tcPr>
          <w:p w14:paraId="7568AB11" w14:textId="77777777" w:rsidR="00F01EC8" w:rsidRPr="00F01EC8" w:rsidRDefault="00F01EC8">
            <w:pPr>
              <w:pStyle w:val="NoSpacing"/>
              <w:spacing w:line="276" w:lineRule="auto"/>
              <w:rPr>
                <w:sz w:val="20"/>
                <w:szCs w:val="20"/>
              </w:rPr>
            </w:pPr>
          </w:p>
        </w:tc>
        <w:tc>
          <w:tcPr>
            <w:tcW w:w="1853" w:type="dxa"/>
          </w:tcPr>
          <w:p w14:paraId="4B779580" w14:textId="77777777" w:rsidR="00F01EC8" w:rsidRPr="00F01EC8" w:rsidRDefault="00F01EC8">
            <w:pPr>
              <w:pStyle w:val="NoSpacing"/>
              <w:spacing w:line="276" w:lineRule="auto"/>
              <w:rPr>
                <w:sz w:val="20"/>
                <w:szCs w:val="20"/>
              </w:rPr>
            </w:pPr>
          </w:p>
        </w:tc>
      </w:tr>
      <w:tr w:rsidR="00F01EC8" w:rsidRPr="00F01EC8" w14:paraId="0F57ADF9" w14:textId="77777777" w:rsidTr="00F01EC8">
        <w:tc>
          <w:tcPr>
            <w:tcW w:w="4051" w:type="dxa"/>
          </w:tcPr>
          <w:p w14:paraId="6A61D0D4" w14:textId="77777777" w:rsidR="00F01EC8" w:rsidRPr="00F01EC8" w:rsidRDefault="00F01EC8">
            <w:pPr>
              <w:pStyle w:val="NoSpacing"/>
              <w:spacing w:line="276" w:lineRule="auto"/>
              <w:ind w:left="-111"/>
              <w:rPr>
                <w:sz w:val="20"/>
                <w:szCs w:val="20"/>
                <w:u w:val="single"/>
              </w:rPr>
            </w:pPr>
          </w:p>
          <w:p w14:paraId="45954B2D" w14:textId="77777777" w:rsidR="00F01EC8" w:rsidRPr="00F01EC8" w:rsidRDefault="00F01EC8">
            <w:pPr>
              <w:pStyle w:val="NoSpacing"/>
              <w:spacing w:line="276" w:lineRule="auto"/>
              <w:ind w:left="-111"/>
              <w:rPr>
                <w:sz w:val="20"/>
                <w:szCs w:val="20"/>
              </w:rPr>
            </w:pPr>
            <w:r w:rsidRPr="00F01EC8">
              <w:rPr>
                <w:sz w:val="20"/>
                <w:szCs w:val="20"/>
                <w:u w:val="single"/>
              </w:rPr>
              <w:t>Media:</w:t>
            </w:r>
          </w:p>
        </w:tc>
        <w:tc>
          <w:tcPr>
            <w:tcW w:w="1561" w:type="dxa"/>
          </w:tcPr>
          <w:p w14:paraId="0B71E859" w14:textId="77777777" w:rsidR="00F01EC8" w:rsidRPr="00F01EC8" w:rsidRDefault="00F01EC8">
            <w:pPr>
              <w:pStyle w:val="NoSpacing"/>
              <w:spacing w:line="276" w:lineRule="auto"/>
              <w:rPr>
                <w:sz w:val="20"/>
                <w:szCs w:val="20"/>
              </w:rPr>
            </w:pPr>
          </w:p>
        </w:tc>
        <w:tc>
          <w:tcPr>
            <w:tcW w:w="1561" w:type="dxa"/>
          </w:tcPr>
          <w:p w14:paraId="2BEB607F" w14:textId="77777777" w:rsidR="00F01EC8" w:rsidRPr="00F01EC8" w:rsidRDefault="00F01EC8">
            <w:pPr>
              <w:pStyle w:val="NoSpacing"/>
              <w:spacing w:line="276" w:lineRule="auto"/>
              <w:rPr>
                <w:sz w:val="20"/>
                <w:szCs w:val="20"/>
              </w:rPr>
            </w:pPr>
          </w:p>
        </w:tc>
        <w:tc>
          <w:tcPr>
            <w:tcW w:w="1853" w:type="dxa"/>
          </w:tcPr>
          <w:p w14:paraId="7FE1AA85" w14:textId="77777777" w:rsidR="00F01EC8" w:rsidRPr="00F01EC8" w:rsidRDefault="00F01EC8">
            <w:pPr>
              <w:pStyle w:val="NoSpacing"/>
              <w:spacing w:line="276" w:lineRule="auto"/>
              <w:rPr>
                <w:sz w:val="20"/>
                <w:szCs w:val="20"/>
              </w:rPr>
            </w:pPr>
          </w:p>
        </w:tc>
      </w:tr>
      <w:tr w:rsidR="00F01EC8" w:rsidRPr="00F01EC8" w14:paraId="1F9E00B0" w14:textId="77777777" w:rsidTr="00F01EC8">
        <w:tc>
          <w:tcPr>
            <w:tcW w:w="4051" w:type="dxa"/>
            <w:hideMark/>
          </w:tcPr>
          <w:p w14:paraId="31B9F476" w14:textId="77777777" w:rsidR="00F01EC8" w:rsidRPr="00F01EC8" w:rsidRDefault="00F01EC8">
            <w:pPr>
              <w:pStyle w:val="NoSpacing"/>
              <w:spacing w:line="276" w:lineRule="auto"/>
              <w:ind w:left="-111"/>
              <w:rPr>
                <w:sz w:val="20"/>
                <w:szCs w:val="20"/>
              </w:rPr>
            </w:pPr>
            <w:r w:rsidRPr="00F01EC8">
              <w:rPr>
                <w:sz w:val="20"/>
                <w:szCs w:val="20"/>
              </w:rPr>
              <w:t xml:space="preserve">Richard King, Provident Financial </w:t>
            </w:r>
          </w:p>
        </w:tc>
        <w:tc>
          <w:tcPr>
            <w:tcW w:w="1561" w:type="dxa"/>
          </w:tcPr>
          <w:p w14:paraId="45E425E3" w14:textId="77777777" w:rsidR="00F01EC8" w:rsidRPr="00F01EC8" w:rsidRDefault="00F01EC8">
            <w:pPr>
              <w:pStyle w:val="NoSpacing"/>
              <w:spacing w:line="276" w:lineRule="auto"/>
              <w:rPr>
                <w:sz w:val="20"/>
                <w:szCs w:val="20"/>
              </w:rPr>
            </w:pPr>
          </w:p>
        </w:tc>
        <w:tc>
          <w:tcPr>
            <w:tcW w:w="1561" w:type="dxa"/>
          </w:tcPr>
          <w:p w14:paraId="5C8E5931" w14:textId="77777777" w:rsidR="00F01EC8" w:rsidRPr="00F01EC8" w:rsidRDefault="00F01EC8">
            <w:pPr>
              <w:pStyle w:val="NoSpacing"/>
              <w:spacing w:line="276" w:lineRule="auto"/>
              <w:rPr>
                <w:sz w:val="20"/>
                <w:szCs w:val="20"/>
              </w:rPr>
            </w:pPr>
          </w:p>
        </w:tc>
        <w:tc>
          <w:tcPr>
            <w:tcW w:w="1853" w:type="dxa"/>
            <w:hideMark/>
          </w:tcPr>
          <w:p w14:paraId="5C00A3EF" w14:textId="77777777" w:rsidR="00F01EC8" w:rsidRPr="00F01EC8" w:rsidRDefault="00F01EC8">
            <w:pPr>
              <w:pStyle w:val="NoSpacing"/>
              <w:spacing w:line="276" w:lineRule="auto"/>
              <w:rPr>
                <w:sz w:val="20"/>
                <w:szCs w:val="20"/>
              </w:rPr>
            </w:pPr>
            <w:r w:rsidRPr="00F01EC8">
              <w:rPr>
                <w:sz w:val="20"/>
                <w:szCs w:val="20"/>
              </w:rPr>
              <w:t>07919 866876</w:t>
            </w:r>
          </w:p>
        </w:tc>
      </w:tr>
      <w:tr w:rsidR="00F01EC8" w:rsidRPr="00F01EC8" w14:paraId="352AEAA8" w14:textId="77777777" w:rsidTr="00F01EC8">
        <w:tc>
          <w:tcPr>
            <w:tcW w:w="4051" w:type="dxa"/>
            <w:hideMark/>
          </w:tcPr>
          <w:p w14:paraId="0B8D12E4" w14:textId="77777777" w:rsidR="00F01EC8" w:rsidRPr="00F01EC8" w:rsidRDefault="00F01EC8">
            <w:pPr>
              <w:pStyle w:val="NoSpacing"/>
              <w:spacing w:line="276" w:lineRule="auto"/>
              <w:ind w:left="-111"/>
              <w:rPr>
                <w:sz w:val="20"/>
                <w:szCs w:val="20"/>
                <w:u w:val="single"/>
              </w:rPr>
            </w:pPr>
            <w:r w:rsidRPr="00F01EC8">
              <w:rPr>
                <w:sz w:val="20"/>
                <w:szCs w:val="20"/>
              </w:rPr>
              <w:t xml:space="preserve">Nick Cosgrove/Simone Selzer, Brunswick </w:t>
            </w:r>
          </w:p>
        </w:tc>
        <w:tc>
          <w:tcPr>
            <w:tcW w:w="1561" w:type="dxa"/>
          </w:tcPr>
          <w:p w14:paraId="3E1A7C16" w14:textId="77777777" w:rsidR="00F01EC8" w:rsidRPr="00F01EC8" w:rsidRDefault="00F01EC8">
            <w:pPr>
              <w:pStyle w:val="NoSpacing"/>
              <w:spacing w:line="276" w:lineRule="auto"/>
              <w:rPr>
                <w:sz w:val="20"/>
                <w:szCs w:val="20"/>
              </w:rPr>
            </w:pPr>
          </w:p>
        </w:tc>
        <w:tc>
          <w:tcPr>
            <w:tcW w:w="1561" w:type="dxa"/>
          </w:tcPr>
          <w:p w14:paraId="191727DE" w14:textId="77777777" w:rsidR="00F01EC8" w:rsidRPr="00F01EC8" w:rsidRDefault="00F01EC8">
            <w:pPr>
              <w:pStyle w:val="NoSpacing"/>
              <w:spacing w:line="276" w:lineRule="auto"/>
              <w:rPr>
                <w:sz w:val="20"/>
                <w:szCs w:val="20"/>
              </w:rPr>
            </w:pPr>
          </w:p>
        </w:tc>
        <w:tc>
          <w:tcPr>
            <w:tcW w:w="1853" w:type="dxa"/>
            <w:hideMark/>
          </w:tcPr>
          <w:p w14:paraId="28613B41" w14:textId="77777777" w:rsidR="00F01EC8" w:rsidRPr="00F01EC8" w:rsidRDefault="00F01EC8">
            <w:pPr>
              <w:pStyle w:val="NoSpacing"/>
              <w:spacing w:line="276" w:lineRule="auto"/>
              <w:rPr>
                <w:sz w:val="20"/>
                <w:szCs w:val="20"/>
              </w:rPr>
            </w:pPr>
            <w:r w:rsidRPr="00F01EC8">
              <w:rPr>
                <w:sz w:val="20"/>
                <w:szCs w:val="20"/>
              </w:rPr>
              <w:t>0207 4045959</w:t>
            </w:r>
          </w:p>
        </w:tc>
      </w:tr>
      <w:tr w:rsidR="00F01EC8" w:rsidRPr="00F01EC8" w14:paraId="1993281C" w14:textId="77777777" w:rsidTr="00F01EC8">
        <w:tc>
          <w:tcPr>
            <w:tcW w:w="4051" w:type="dxa"/>
            <w:hideMark/>
          </w:tcPr>
          <w:p w14:paraId="4A78F1CB" w14:textId="77777777" w:rsidR="00F01EC8" w:rsidRPr="00F01EC8" w:rsidRDefault="007C2FEF">
            <w:pPr>
              <w:pStyle w:val="NoSpacing"/>
              <w:spacing w:line="276" w:lineRule="auto"/>
              <w:ind w:left="-111"/>
              <w:rPr>
                <w:sz w:val="20"/>
                <w:szCs w:val="20"/>
                <w:u w:val="single"/>
              </w:rPr>
            </w:pPr>
            <w:hyperlink r:id="rId9" w:history="1">
              <w:r w:rsidR="00F01EC8" w:rsidRPr="00F01EC8">
                <w:rPr>
                  <w:rStyle w:val="Hyperlink"/>
                  <w:sz w:val="20"/>
                  <w:szCs w:val="20"/>
                </w:rPr>
                <w:t>providentfinancial@brunswickgroup.com</w:t>
              </w:r>
            </w:hyperlink>
          </w:p>
        </w:tc>
        <w:tc>
          <w:tcPr>
            <w:tcW w:w="1561" w:type="dxa"/>
          </w:tcPr>
          <w:p w14:paraId="1CE0CC85" w14:textId="77777777" w:rsidR="00F01EC8" w:rsidRPr="00F01EC8" w:rsidRDefault="00F01EC8">
            <w:pPr>
              <w:pStyle w:val="NoSpacing"/>
              <w:spacing w:line="276" w:lineRule="auto"/>
              <w:rPr>
                <w:sz w:val="20"/>
                <w:szCs w:val="20"/>
              </w:rPr>
            </w:pPr>
          </w:p>
        </w:tc>
        <w:tc>
          <w:tcPr>
            <w:tcW w:w="1561" w:type="dxa"/>
          </w:tcPr>
          <w:p w14:paraId="7712C0A3" w14:textId="77777777" w:rsidR="00F01EC8" w:rsidRPr="00F01EC8" w:rsidRDefault="00F01EC8">
            <w:pPr>
              <w:pStyle w:val="NoSpacing"/>
              <w:spacing w:line="276" w:lineRule="auto"/>
              <w:rPr>
                <w:sz w:val="20"/>
                <w:szCs w:val="20"/>
              </w:rPr>
            </w:pPr>
          </w:p>
        </w:tc>
        <w:tc>
          <w:tcPr>
            <w:tcW w:w="1853" w:type="dxa"/>
          </w:tcPr>
          <w:p w14:paraId="25752181" w14:textId="77777777" w:rsidR="00F01EC8" w:rsidRPr="00F01EC8" w:rsidRDefault="00F01EC8">
            <w:pPr>
              <w:pStyle w:val="NoSpacing"/>
              <w:spacing w:line="276" w:lineRule="auto"/>
              <w:rPr>
                <w:sz w:val="20"/>
                <w:szCs w:val="20"/>
              </w:rPr>
            </w:pPr>
          </w:p>
        </w:tc>
      </w:tr>
    </w:tbl>
    <w:p w14:paraId="3D767045" w14:textId="77777777" w:rsidR="00F01EC8" w:rsidRPr="00F01EC8" w:rsidRDefault="00F01EC8" w:rsidP="00F01EC8">
      <w:pPr>
        <w:jc w:val="both"/>
        <w:rPr>
          <w:rFonts w:asciiTheme="minorHAnsi" w:hAnsiTheme="minorHAnsi" w:cs="Arial"/>
          <w:sz w:val="20"/>
          <w:szCs w:val="20"/>
          <w:lang w:eastAsia="en-US"/>
        </w:rPr>
      </w:pPr>
    </w:p>
    <w:p w14:paraId="03BDE674" w14:textId="77777777" w:rsidR="00F01EC8" w:rsidRPr="00F01EC8" w:rsidRDefault="00F01EC8" w:rsidP="00F01EC8">
      <w:pPr>
        <w:jc w:val="both"/>
        <w:rPr>
          <w:rFonts w:asciiTheme="minorHAnsi" w:hAnsiTheme="minorHAnsi" w:cs="Arial"/>
          <w:sz w:val="20"/>
          <w:szCs w:val="20"/>
        </w:rPr>
      </w:pPr>
    </w:p>
    <w:p w14:paraId="273EAC63" w14:textId="77777777" w:rsidR="00F01EC8" w:rsidRPr="00F01EC8" w:rsidRDefault="00F01EC8" w:rsidP="00F01EC8">
      <w:pPr>
        <w:ind w:left="284" w:hanging="284"/>
        <w:jc w:val="both"/>
        <w:rPr>
          <w:rFonts w:asciiTheme="minorHAnsi" w:hAnsiTheme="minorHAnsi"/>
          <w:i/>
          <w:sz w:val="20"/>
          <w:szCs w:val="20"/>
        </w:rPr>
      </w:pPr>
      <w:r w:rsidRPr="00F01EC8">
        <w:rPr>
          <w:rFonts w:asciiTheme="minorHAnsi" w:hAnsiTheme="minorHAnsi" w:cs="Arial"/>
          <w:i/>
          <w:sz w:val="20"/>
          <w:szCs w:val="20"/>
          <w:vertAlign w:val="superscript"/>
        </w:rPr>
        <w:t>1</w:t>
      </w:r>
      <w:r w:rsidRPr="00F01EC8">
        <w:rPr>
          <w:rFonts w:asciiTheme="minorHAnsi" w:hAnsiTheme="minorHAnsi" w:cs="Arial"/>
          <w:i/>
          <w:sz w:val="20"/>
          <w:szCs w:val="20"/>
        </w:rPr>
        <w:t xml:space="preserve"> </w:t>
      </w:r>
      <w:r w:rsidRPr="00F01EC8">
        <w:rPr>
          <w:rFonts w:asciiTheme="minorHAnsi" w:hAnsiTheme="minorHAnsi" w:cs="Arial"/>
          <w:i/>
          <w:sz w:val="20"/>
          <w:szCs w:val="20"/>
        </w:rPr>
        <w:tab/>
      </w:r>
      <w:r w:rsidRPr="00F01EC8">
        <w:rPr>
          <w:rFonts w:asciiTheme="minorHAnsi" w:hAnsiTheme="minorHAnsi"/>
          <w:i/>
          <w:sz w:val="20"/>
          <w:szCs w:val="20"/>
        </w:rPr>
        <w:t>The 2019 June comparatives have been restated to incorporate two changes in accounting policies reflected in the 2019 financial statements: (i) change in treatment of directly attributable deferred acquisition costs in Vanquis Bank; and (ii) changes in the recognition of revenue on credit impaired receivables and treatment of directly attributable acquisition costs in Moneybarn.</w:t>
      </w:r>
    </w:p>
    <w:p w14:paraId="73DF0F22" w14:textId="33C2FFAF" w:rsidR="00F01EC8" w:rsidRPr="00F01EC8" w:rsidRDefault="00F01EC8" w:rsidP="005714EF">
      <w:pPr>
        <w:pStyle w:val="NoSpacing"/>
        <w:ind w:left="284" w:hanging="284"/>
        <w:jc w:val="both"/>
        <w:rPr>
          <w:i/>
          <w:sz w:val="20"/>
          <w:szCs w:val="20"/>
        </w:rPr>
      </w:pPr>
      <w:r w:rsidRPr="00F01EC8">
        <w:rPr>
          <w:rFonts w:cs="Arial"/>
          <w:i/>
          <w:sz w:val="20"/>
          <w:szCs w:val="20"/>
          <w:vertAlign w:val="superscript"/>
        </w:rPr>
        <w:t>2</w:t>
      </w:r>
      <w:r w:rsidRPr="00F01EC8">
        <w:rPr>
          <w:rFonts w:cs="Arial"/>
          <w:i/>
          <w:sz w:val="20"/>
          <w:szCs w:val="20"/>
          <w:vertAlign w:val="superscript"/>
        </w:rPr>
        <w:tab/>
      </w:r>
      <w:r w:rsidRPr="00F01EC8">
        <w:rPr>
          <w:rFonts w:cs="Arial"/>
          <w:i/>
          <w:sz w:val="20"/>
          <w:szCs w:val="20"/>
        </w:rPr>
        <w:t xml:space="preserve">Adjusted </w:t>
      </w:r>
      <w:r w:rsidR="00126BCD">
        <w:rPr>
          <w:rFonts w:cs="Arial"/>
          <w:i/>
          <w:sz w:val="20"/>
          <w:szCs w:val="20"/>
        </w:rPr>
        <w:t>(Loss)/</w:t>
      </w:r>
      <w:r w:rsidRPr="00F01EC8">
        <w:rPr>
          <w:rFonts w:cs="Arial"/>
          <w:i/>
          <w:sz w:val="20"/>
          <w:szCs w:val="20"/>
        </w:rPr>
        <w:t>profit before tax is stated before: (i) £</w:t>
      </w:r>
      <w:r w:rsidRPr="00F01EC8">
        <w:rPr>
          <w:rFonts w:cstheme="minorHAnsi"/>
          <w:i/>
          <w:sz w:val="20"/>
          <w:szCs w:val="20"/>
        </w:rPr>
        <w:t>3.7</w:t>
      </w:r>
      <w:r w:rsidRPr="00F01EC8">
        <w:rPr>
          <w:rFonts w:cs="Arial"/>
          <w:i/>
          <w:sz w:val="20"/>
          <w:szCs w:val="20"/>
        </w:rPr>
        <w:t xml:space="preserve">m of amortisation in respect of acquisition intangibles established as part of the acquisition of Moneybarn in August 2014 (2019: £3.7m); and (ii) an exceptional credit of £8.3m (2019: </w:t>
      </w:r>
      <w:r w:rsidR="0001424D">
        <w:rPr>
          <w:rFonts w:cs="Arial"/>
          <w:i/>
          <w:sz w:val="20"/>
          <w:szCs w:val="20"/>
        </w:rPr>
        <w:t xml:space="preserve">exceptional cost of </w:t>
      </w:r>
      <w:r w:rsidRPr="00F01EC8">
        <w:rPr>
          <w:rFonts w:cs="Arial"/>
          <w:i/>
          <w:sz w:val="20"/>
          <w:szCs w:val="20"/>
        </w:rPr>
        <w:t>£33.6m</w:t>
      </w:r>
      <w:r w:rsidR="00126BCD">
        <w:rPr>
          <w:rFonts w:cs="Arial"/>
          <w:i/>
          <w:sz w:val="20"/>
          <w:szCs w:val="20"/>
        </w:rPr>
        <w:t>)</w:t>
      </w:r>
      <w:r w:rsidRPr="00F01EC8">
        <w:rPr>
          <w:sz w:val="20"/>
          <w:szCs w:val="20"/>
        </w:rPr>
        <w:t xml:space="preserve"> </w:t>
      </w:r>
      <w:r w:rsidRPr="00F01EC8">
        <w:rPr>
          <w:rFonts w:cs="Arial"/>
          <w:i/>
          <w:sz w:val="20"/>
          <w:szCs w:val="20"/>
        </w:rPr>
        <w:t>following the completion of the ROP refund programme in 2019 and the re-evaluation of the forward flow of claims that may arise in respect of ROP in future.</w:t>
      </w:r>
    </w:p>
    <w:p w14:paraId="4F548569" w14:textId="1469C873" w:rsidR="00F01EC8" w:rsidRDefault="00F01EC8" w:rsidP="00F01EC8">
      <w:pPr>
        <w:ind w:left="284" w:hanging="284"/>
        <w:jc w:val="both"/>
        <w:rPr>
          <w:rFonts w:asciiTheme="minorHAnsi" w:hAnsiTheme="minorHAnsi" w:cs="Arial"/>
          <w:i/>
          <w:sz w:val="20"/>
          <w:szCs w:val="20"/>
        </w:rPr>
      </w:pPr>
      <w:r w:rsidRPr="00F01EC8">
        <w:rPr>
          <w:rFonts w:asciiTheme="minorHAnsi" w:hAnsiTheme="minorHAnsi" w:cs="Arial"/>
          <w:i/>
          <w:sz w:val="20"/>
          <w:szCs w:val="20"/>
          <w:vertAlign w:val="superscript"/>
        </w:rPr>
        <w:t>3</w:t>
      </w:r>
      <w:r w:rsidRPr="00F01EC8">
        <w:rPr>
          <w:rFonts w:asciiTheme="minorHAnsi" w:hAnsiTheme="minorHAnsi" w:cs="Arial"/>
          <w:i/>
          <w:sz w:val="20"/>
          <w:szCs w:val="20"/>
          <w:vertAlign w:val="superscript"/>
        </w:rPr>
        <w:tab/>
      </w:r>
      <w:r w:rsidRPr="00F01EC8">
        <w:rPr>
          <w:rFonts w:asciiTheme="minorHAnsi" w:hAnsiTheme="minorHAnsi" w:cs="Arial"/>
          <w:i/>
          <w:sz w:val="20"/>
          <w:szCs w:val="20"/>
        </w:rPr>
        <w:t>Return on average required regulatory capital (RORE) reflects annualised statutory profit after tax divided by the annualised average monthly regulatory capital requirement.</w:t>
      </w:r>
    </w:p>
    <w:p w14:paraId="393BB2AD" w14:textId="77777777" w:rsidR="0001424D" w:rsidRPr="00F01EC8" w:rsidRDefault="0001424D" w:rsidP="00F01EC8">
      <w:pPr>
        <w:ind w:left="284" w:hanging="284"/>
        <w:jc w:val="both"/>
        <w:rPr>
          <w:rFonts w:asciiTheme="minorHAnsi" w:hAnsiTheme="minorHAnsi" w:cs="Arial"/>
          <w:i/>
          <w:sz w:val="20"/>
          <w:szCs w:val="20"/>
          <w:vertAlign w:val="superscript"/>
        </w:rPr>
      </w:pPr>
    </w:p>
    <w:p w14:paraId="788EE2EF" w14:textId="77777777" w:rsidR="00F01EC8" w:rsidRPr="00F01EC8" w:rsidRDefault="00F01EC8" w:rsidP="00F01EC8">
      <w:pPr>
        <w:jc w:val="both"/>
        <w:rPr>
          <w:rFonts w:asciiTheme="minorHAnsi" w:hAnsiTheme="minorHAnsi" w:cstheme="minorBidi"/>
          <w:b/>
          <w:bCs/>
          <w:sz w:val="20"/>
          <w:szCs w:val="20"/>
        </w:rPr>
      </w:pPr>
      <w:r w:rsidRPr="00F01EC8">
        <w:rPr>
          <w:rFonts w:asciiTheme="minorHAnsi" w:hAnsiTheme="minorHAnsi"/>
          <w:b/>
          <w:bCs/>
          <w:sz w:val="20"/>
          <w:szCs w:val="20"/>
        </w:rPr>
        <w:t>Note:</w:t>
      </w:r>
    </w:p>
    <w:p w14:paraId="6535CBFA" w14:textId="61C85776" w:rsidR="0001424D" w:rsidRDefault="0001424D" w:rsidP="005714EF">
      <w:pPr>
        <w:pStyle w:val="NoSpacing"/>
        <w:jc w:val="both"/>
        <w:rPr>
          <w:sz w:val="20"/>
          <w:szCs w:val="20"/>
          <w:lang w:bidi="en-GB"/>
        </w:rPr>
      </w:pPr>
      <w:r w:rsidRPr="0001424D">
        <w:rPr>
          <w:sz w:val="20"/>
          <w:szCs w:val="20"/>
          <w:lang w:bidi="en-GB"/>
        </w:rPr>
        <w:t xml:space="preserve">This report may contain certain "forward looking statements" regarding the financial position, business strategy or plans for future operations of Provident. All statements other than statements of historical fact included in this document may be forward looking statements. Forward looking statements also often use words such as "believe", "expect", "estimate", "intend", "anticipate" and words of a similar meaning. By their nature, forward looking statements involve risk and uncertainty that could cause actual results to differ from those suggested by them. Much of the risk and uncertainty relates to factors that are beyond Provident’s ability to control or estimate precisely, such as future market conditions and the behaviours of other market participants, and therefore undue reliance should not be placed on such statements which speak only as at the date of this report. Provident does not assume any obligation to, and does not intend to, revise or update these forward looking statements, except as required pursuant to applicable law or regulation. </w:t>
      </w:r>
    </w:p>
    <w:p w14:paraId="5DD03A42" w14:textId="77777777" w:rsidR="0001424D" w:rsidRPr="0001424D" w:rsidRDefault="0001424D" w:rsidP="005714EF">
      <w:pPr>
        <w:pStyle w:val="NoSpacing"/>
        <w:jc w:val="both"/>
        <w:rPr>
          <w:sz w:val="20"/>
          <w:szCs w:val="20"/>
          <w:lang w:bidi="en-GB"/>
        </w:rPr>
      </w:pPr>
    </w:p>
    <w:p w14:paraId="5BDF26E3" w14:textId="77777777" w:rsidR="0001424D" w:rsidRPr="0001424D" w:rsidRDefault="0001424D" w:rsidP="005714EF">
      <w:pPr>
        <w:pStyle w:val="NoSpacing"/>
        <w:jc w:val="both"/>
        <w:rPr>
          <w:sz w:val="20"/>
          <w:szCs w:val="20"/>
          <w:lang w:bidi="en-GB"/>
        </w:rPr>
      </w:pPr>
      <w:r w:rsidRPr="0001424D">
        <w:rPr>
          <w:sz w:val="20"/>
          <w:szCs w:val="20"/>
          <w:lang w:bidi="en-GB"/>
        </w:rPr>
        <w:t>No statement in this announcement is intended as a profit forecast or estimate for any period. No statement in this announcement should be interpreted to indicate a particular level of profit and, as a consequence, it should not be possible to derive a profit figure for any future period from this report.</w:t>
      </w:r>
    </w:p>
    <w:p w14:paraId="7DB99EA2" w14:textId="77777777" w:rsidR="00F01EC8" w:rsidRPr="00F01EC8" w:rsidRDefault="00F01EC8" w:rsidP="00F01EC8">
      <w:pPr>
        <w:pStyle w:val="NoSpacing"/>
        <w:rPr>
          <w:rStyle w:val="Strong"/>
          <w:sz w:val="20"/>
          <w:szCs w:val="20"/>
        </w:rPr>
      </w:pPr>
    </w:p>
    <w:p w14:paraId="4AC84FBC" w14:textId="44553AEE" w:rsidR="00355169" w:rsidRDefault="00355169">
      <w:pPr>
        <w:rPr>
          <w:rStyle w:val="Strong"/>
          <w:rFonts w:asciiTheme="minorHAnsi" w:eastAsiaTheme="minorHAnsi" w:hAnsiTheme="minorHAnsi" w:cstheme="minorBidi"/>
          <w:sz w:val="20"/>
          <w:szCs w:val="20"/>
          <w:lang w:eastAsia="en-US"/>
        </w:rPr>
      </w:pPr>
    </w:p>
    <w:p w14:paraId="14264C19" w14:textId="77777777" w:rsidR="00F01EC8" w:rsidRPr="00F01EC8" w:rsidRDefault="00F01EC8" w:rsidP="00F01EC8">
      <w:pPr>
        <w:pStyle w:val="NoSpacing"/>
        <w:rPr>
          <w:rStyle w:val="Strong"/>
          <w:sz w:val="20"/>
          <w:szCs w:val="20"/>
        </w:rPr>
      </w:pPr>
      <w:r w:rsidRPr="00F01EC8">
        <w:rPr>
          <w:rStyle w:val="Strong"/>
          <w:sz w:val="20"/>
          <w:szCs w:val="20"/>
        </w:rPr>
        <w:t>INTERIM REPORT</w:t>
      </w:r>
    </w:p>
    <w:p w14:paraId="1C42172D" w14:textId="77777777" w:rsidR="00F01EC8" w:rsidRPr="00F01EC8" w:rsidRDefault="00F01EC8" w:rsidP="00F01EC8">
      <w:pPr>
        <w:pStyle w:val="NoSpacing"/>
        <w:rPr>
          <w:rStyle w:val="Strong"/>
          <w:sz w:val="20"/>
          <w:szCs w:val="20"/>
        </w:rPr>
      </w:pPr>
    </w:p>
    <w:p w14:paraId="2E7FE6C0" w14:textId="77777777" w:rsidR="00F01EC8" w:rsidRPr="00F01EC8" w:rsidRDefault="00F01EC8" w:rsidP="00F01EC8">
      <w:pPr>
        <w:pStyle w:val="NoSpacing"/>
        <w:rPr>
          <w:rStyle w:val="Strong"/>
          <w:sz w:val="20"/>
          <w:szCs w:val="20"/>
        </w:rPr>
      </w:pPr>
      <w:r w:rsidRPr="00F01EC8">
        <w:rPr>
          <w:rStyle w:val="Strong"/>
          <w:sz w:val="20"/>
          <w:szCs w:val="20"/>
        </w:rPr>
        <w:t>Chief Executive Officer’s review</w:t>
      </w:r>
    </w:p>
    <w:p w14:paraId="7BC41F93" w14:textId="77777777" w:rsidR="00F01EC8" w:rsidRPr="00F01EC8" w:rsidRDefault="00F01EC8" w:rsidP="00F01EC8">
      <w:pPr>
        <w:pStyle w:val="NoSpacing"/>
        <w:rPr>
          <w:rStyle w:val="Strong"/>
          <w:sz w:val="20"/>
          <w:szCs w:val="20"/>
        </w:rPr>
      </w:pPr>
    </w:p>
    <w:p w14:paraId="2DFC43B6" w14:textId="77777777" w:rsidR="00F01EC8" w:rsidRPr="00F01EC8" w:rsidRDefault="00F01EC8" w:rsidP="00F01EC8">
      <w:pPr>
        <w:pStyle w:val="NoSpacing"/>
        <w:rPr>
          <w:rStyle w:val="Strong"/>
          <w:sz w:val="20"/>
          <w:szCs w:val="20"/>
        </w:rPr>
      </w:pPr>
      <w:r w:rsidRPr="00F01EC8">
        <w:rPr>
          <w:rStyle w:val="Strong"/>
          <w:sz w:val="20"/>
          <w:szCs w:val="20"/>
        </w:rPr>
        <w:t>Introduction</w:t>
      </w:r>
    </w:p>
    <w:p w14:paraId="41BE79F4" w14:textId="77777777" w:rsidR="00F01EC8" w:rsidRPr="00F01EC8" w:rsidRDefault="00F01EC8" w:rsidP="00F01EC8">
      <w:pPr>
        <w:pStyle w:val="NoSpacing"/>
        <w:rPr>
          <w:sz w:val="20"/>
          <w:szCs w:val="20"/>
        </w:rPr>
      </w:pPr>
    </w:p>
    <w:p w14:paraId="43596181" w14:textId="1345B8DC" w:rsidR="00F01EC8" w:rsidRPr="00F01EC8" w:rsidRDefault="00F01EC8" w:rsidP="00F01EC8">
      <w:pPr>
        <w:pStyle w:val="NoSpacing"/>
        <w:jc w:val="both"/>
        <w:rPr>
          <w:sz w:val="20"/>
          <w:szCs w:val="20"/>
        </w:rPr>
      </w:pPr>
      <w:bookmarkStart w:id="2" w:name="_Hlk47004936"/>
      <w:r w:rsidRPr="00F01EC8">
        <w:rPr>
          <w:sz w:val="20"/>
          <w:szCs w:val="20"/>
        </w:rPr>
        <w:t>For January, February and the first three weeks of March, the Group made good progress against many of its key objectives and Key Performance Indicators (KPIs) were tracking in line, if not marginally ahead, of those seen in 2019. Then, from the 23 March 2020, the UK Government ordered that all non-essential travel and activities should cease immediately because of the threat posed by Covid-19. This meant that each of the businesses – Vanquis Bank, Moneybarn and CCD – had to adapt rapidly and introduce new ways of working. The response was swift and effective, enabling us to continue supporting our customers whilst ensuring their safety and that of our colleagues.</w:t>
      </w:r>
    </w:p>
    <w:p w14:paraId="56FE5FDD" w14:textId="77777777" w:rsidR="00F01EC8" w:rsidRPr="00F01EC8" w:rsidRDefault="00F01EC8" w:rsidP="00F01EC8">
      <w:pPr>
        <w:pStyle w:val="NoSpacing"/>
        <w:jc w:val="both"/>
        <w:rPr>
          <w:sz w:val="20"/>
          <w:szCs w:val="20"/>
        </w:rPr>
      </w:pPr>
    </w:p>
    <w:p w14:paraId="77B07E7E" w14:textId="238B3EA9" w:rsidR="00F01EC8" w:rsidRPr="00F01EC8" w:rsidRDefault="00F01EC8" w:rsidP="00F01EC8">
      <w:pPr>
        <w:pStyle w:val="NoSpacing"/>
        <w:jc w:val="both"/>
        <w:rPr>
          <w:sz w:val="20"/>
          <w:szCs w:val="20"/>
        </w:rPr>
      </w:pPr>
      <w:r w:rsidRPr="00F01EC8">
        <w:rPr>
          <w:sz w:val="20"/>
          <w:szCs w:val="20"/>
        </w:rPr>
        <w:t>At the Capital Markets Day (CMD), in November 2019, my colleagues and I set out our ambitions for the future of Provident Financial. These included products and digital initiatives, funding and capital efficiencies and some medium-term financial targets. The effects of Covid-19 will, inevitably, delay the timing of these medium-term targets but it does not mean they must be abandoned entirely. Encouragingly, Covid-19 has not stopped the Group from making progress against several strategic objectives</w:t>
      </w:r>
      <w:r w:rsidR="005728D0">
        <w:rPr>
          <w:sz w:val="20"/>
          <w:szCs w:val="20"/>
        </w:rPr>
        <w:t>:</w:t>
      </w:r>
      <w:r w:rsidRPr="00F01EC8">
        <w:rPr>
          <w:sz w:val="20"/>
          <w:szCs w:val="20"/>
        </w:rPr>
        <w:t xml:space="preserve"> </w:t>
      </w:r>
      <w:r w:rsidR="005728D0">
        <w:rPr>
          <w:sz w:val="20"/>
          <w:szCs w:val="20"/>
        </w:rPr>
        <w:t>p</w:t>
      </w:r>
      <w:r w:rsidRPr="00F01EC8">
        <w:rPr>
          <w:sz w:val="20"/>
          <w:szCs w:val="20"/>
        </w:rPr>
        <w:t xml:space="preserve">roduct initiatives (e.g. Provident Direct) have been delivered ahead of plan, and we </w:t>
      </w:r>
      <w:r w:rsidRPr="00F01EC8">
        <w:rPr>
          <w:sz w:val="20"/>
          <w:szCs w:val="20"/>
        </w:rPr>
        <w:lastRenderedPageBreak/>
        <w:t>have taken steps to improve the efficiency of the funding structure, as demonstrated by the Moneybarn securitisation and the recent tender offer for a portion of the 2023 senior bonds. Cost efficiency continues to be a key focus and will remain so for the foreseeable future.</w:t>
      </w:r>
    </w:p>
    <w:p w14:paraId="48F1A67A" w14:textId="77777777" w:rsidR="00F01EC8" w:rsidRPr="00F01EC8" w:rsidRDefault="00F01EC8" w:rsidP="00F01EC8">
      <w:pPr>
        <w:pStyle w:val="NoSpacing"/>
        <w:jc w:val="both"/>
        <w:rPr>
          <w:sz w:val="20"/>
          <w:szCs w:val="20"/>
        </w:rPr>
      </w:pPr>
    </w:p>
    <w:p w14:paraId="798C7627" w14:textId="77777777" w:rsidR="00F01EC8" w:rsidRPr="00F01EC8" w:rsidRDefault="00F01EC8" w:rsidP="00F01EC8">
      <w:pPr>
        <w:pStyle w:val="NoSpacing"/>
        <w:jc w:val="both"/>
        <w:rPr>
          <w:sz w:val="20"/>
          <w:szCs w:val="20"/>
        </w:rPr>
      </w:pPr>
      <w:r w:rsidRPr="00F01EC8">
        <w:rPr>
          <w:sz w:val="20"/>
          <w:szCs w:val="20"/>
        </w:rPr>
        <w:t xml:space="preserve">Provident Financial is a responsible lender to consumers whose needs are not well served by mainstream lenders and we aim to put people on a path to a better everyday life. Covid-19 has not, and will not, change this. There continue to be significant growth opportunities in our current markets. Inevitably, with the UK economy already in recession, the 10 to 12 million adults in the UK, who sit outside of prime, high street bank risk appetites, will increase and, at the same time, the supply of credit into this segment of the market will decrease as funding and capital constraints impact many of our immediate peers. There remains a great deal of uncertainty as to how the impact of Covid-19 will be felt but the Group has managed well to date. </w:t>
      </w:r>
    </w:p>
    <w:p w14:paraId="1C9D9C39" w14:textId="77777777" w:rsidR="00F01EC8" w:rsidRPr="00F01EC8" w:rsidRDefault="00F01EC8" w:rsidP="00F01EC8">
      <w:pPr>
        <w:pStyle w:val="NoSpacing"/>
        <w:jc w:val="both"/>
        <w:rPr>
          <w:sz w:val="20"/>
          <w:szCs w:val="20"/>
        </w:rPr>
      </w:pPr>
    </w:p>
    <w:bookmarkEnd w:id="2"/>
    <w:p w14:paraId="657EF977" w14:textId="77777777" w:rsidR="00F01EC8" w:rsidRPr="00F01EC8" w:rsidRDefault="00F01EC8" w:rsidP="00F01EC8">
      <w:pPr>
        <w:pStyle w:val="NoSpacing"/>
        <w:jc w:val="both"/>
        <w:rPr>
          <w:rStyle w:val="Strong"/>
          <w:sz w:val="20"/>
          <w:szCs w:val="20"/>
        </w:rPr>
      </w:pPr>
      <w:r w:rsidRPr="00F01EC8">
        <w:rPr>
          <w:rStyle w:val="Strong"/>
          <w:sz w:val="20"/>
          <w:szCs w:val="20"/>
        </w:rPr>
        <w:t>Group financials</w:t>
      </w:r>
    </w:p>
    <w:p w14:paraId="5335445D" w14:textId="77777777" w:rsidR="00F01EC8" w:rsidRPr="00F01EC8" w:rsidRDefault="00F01EC8" w:rsidP="00F01EC8">
      <w:pPr>
        <w:pStyle w:val="NoSpacing"/>
        <w:jc w:val="both"/>
        <w:rPr>
          <w:sz w:val="20"/>
          <w:szCs w:val="20"/>
        </w:rPr>
      </w:pPr>
    </w:p>
    <w:p w14:paraId="3D8C8079" w14:textId="4C7FA586" w:rsidR="00F01EC8" w:rsidRPr="00F01EC8" w:rsidRDefault="00F01EC8" w:rsidP="00F01EC8">
      <w:pPr>
        <w:pStyle w:val="NoSpacing"/>
        <w:jc w:val="both"/>
        <w:rPr>
          <w:sz w:val="20"/>
          <w:szCs w:val="20"/>
        </w:rPr>
      </w:pPr>
      <w:r w:rsidRPr="00F01EC8">
        <w:rPr>
          <w:sz w:val="20"/>
          <w:szCs w:val="20"/>
        </w:rPr>
        <w:t>Turning to the financial results, for the first six months, the Group reported an adjusted loss before tax of £32.6m, which is lower year-on-year reflecting lower revenue less impairment offset by lower costs, but materially better than internal plans drawn up after lockdown started. As a management team, we have focused on operational innovation and capital strength. We have provided support and all necessary resource to colleagues across the Group, including ensuring that colleagues have necessary equipment to work remotely.</w:t>
      </w:r>
    </w:p>
    <w:p w14:paraId="52296FE2" w14:textId="77777777" w:rsidR="00F01EC8" w:rsidRPr="00F01EC8" w:rsidRDefault="00F01EC8" w:rsidP="00F01EC8">
      <w:pPr>
        <w:pStyle w:val="NoSpacing"/>
        <w:jc w:val="both"/>
        <w:rPr>
          <w:sz w:val="20"/>
          <w:szCs w:val="20"/>
        </w:rPr>
      </w:pPr>
    </w:p>
    <w:p w14:paraId="1AB60759" w14:textId="53CC0032" w:rsidR="00F01EC8" w:rsidRPr="00F01EC8" w:rsidRDefault="00F01EC8" w:rsidP="00F01EC8">
      <w:pPr>
        <w:pStyle w:val="NoSpacing"/>
        <w:jc w:val="both"/>
        <w:rPr>
          <w:sz w:val="20"/>
          <w:szCs w:val="20"/>
        </w:rPr>
      </w:pPr>
      <w:r w:rsidRPr="00F01EC8">
        <w:rPr>
          <w:sz w:val="20"/>
          <w:szCs w:val="20"/>
        </w:rPr>
        <w:t>The Group’s capital and liquidity positions have strengthened further during the period. At the end of June, the Group held total regulatory capital of £705m, equating to a total CET1 ratio of 35.4% and a surplus above the minimum regulatory requirement of £</w:t>
      </w:r>
      <w:r w:rsidR="00945334">
        <w:rPr>
          <w:sz w:val="20"/>
          <w:szCs w:val="20"/>
        </w:rPr>
        <w:t>215</w:t>
      </w:r>
      <w:r w:rsidRPr="00F01EC8">
        <w:rPr>
          <w:sz w:val="20"/>
          <w:szCs w:val="20"/>
        </w:rPr>
        <w:t xml:space="preserve">m. The VREQ with respect to dividend and loan payments from Vanquis Bank to the Group has been removed. This development allows the Group to access lower cost retail deposit funding. </w:t>
      </w:r>
    </w:p>
    <w:p w14:paraId="5444976E" w14:textId="77777777" w:rsidR="00F01EC8" w:rsidRPr="00F01EC8" w:rsidRDefault="00F01EC8" w:rsidP="00F01EC8">
      <w:pPr>
        <w:pStyle w:val="NoSpacing"/>
        <w:jc w:val="both"/>
        <w:rPr>
          <w:sz w:val="20"/>
          <w:szCs w:val="20"/>
        </w:rPr>
      </w:pPr>
    </w:p>
    <w:p w14:paraId="469BB093" w14:textId="57FDE79C" w:rsidR="00F01EC8" w:rsidRPr="00F01EC8" w:rsidRDefault="00F01EC8" w:rsidP="00F01EC8">
      <w:pPr>
        <w:pStyle w:val="NoSpacing"/>
        <w:jc w:val="both"/>
        <w:rPr>
          <w:sz w:val="20"/>
          <w:szCs w:val="20"/>
        </w:rPr>
      </w:pPr>
      <w:r w:rsidRPr="00F01EC8">
        <w:rPr>
          <w:sz w:val="20"/>
          <w:szCs w:val="20"/>
        </w:rPr>
        <w:t xml:space="preserve">In early August, the Group launched a tender offer to buy up to £75m of the £250m senior bonds, due to mature in 2023, for which we are paying a coupon of 8 ¼ % owing to a downgrade in our credit outlook by Fitch. This </w:t>
      </w:r>
      <w:r w:rsidR="005728D0">
        <w:rPr>
          <w:sz w:val="20"/>
          <w:szCs w:val="20"/>
        </w:rPr>
        <w:t xml:space="preserve">tender </w:t>
      </w:r>
      <w:r w:rsidRPr="00F01EC8">
        <w:rPr>
          <w:sz w:val="20"/>
          <w:szCs w:val="20"/>
        </w:rPr>
        <w:t xml:space="preserve">was in line with the stated ambition from last year’s CMD to seek funding efficiencies from our existing liquidity structure. The tender was successful, and the transaction closed at £75m but with total demand of c.£130m. We expect to reduce our cost of funding by around £6m on an annualised basis as a result and we will recognise an exceptional one-off P&amp;L benefit of c.£2.0m in H2’20. This transaction </w:t>
      </w:r>
      <w:r w:rsidR="00DD6D48">
        <w:rPr>
          <w:sz w:val="20"/>
          <w:szCs w:val="20"/>
        </w:rPr>
        <w:t>w</w:t>
      </w:r>
      <w:r w:rsidR="00627F8B">
        <w:rPr>
          <w:sz w:val="20"/>
          <w:szCs w:val="20"/>
        </w:rPr>
        <w:t>as</w:t>
      </w:r>
      <w:r w:rsidR="00DD6D48" w:rsidRPr="00F01EC8">
        <w:rPr>
          <w:sz w:val="20"/>
          <w:szCs w:val="20"/>
        </w:rPr>
        <w:t xml:space="preserve"> </w:t>
      </w:r>
      <w:r w:rsidRPr="00F01EC8">
        <w:rPr>
          <w:sz w:val="20"/>
          <w:szCs w:val="20"/>
        </w:rPr>
        <w:t>funded through an intercompany loan from Vanquis Bank of £70m</w:t>
      </w:r>
      <w:r w:rsidR="00627F8B">
        <w:rPr>
          <w:sz w:val="20"/>
          <w:szCs w:val="20"/>
        </w:rPr>
        <w:t xml:space="preserve">. In addition, a dividend of </w:t>
      </w:r>
      <w:r w:rsidRPr="00F01EC8">
        <w:rPr>
          <w:sz w:val="20"/>
          <w:szCs w:val="20"/>
        </w:rPr>
        <w:t>£30m</w:t>
      </w:r>
      <w:r w:rsidR="00627F8B">
        <w:rPr>
          <w:sz w:val="20"/>
          <w:szCs w:val="20"/>
        </w:rPr>
        <w:t xml:space="preserve"> is due to be paid by Vanquis Bank to Provident Financial plc </w:t>
      </w:r>
      <w:r w:rsidR="00EF6F4D">
        <w:rPr>
          <w:sz w:val="20"/>
          <w:szCs w:val="20"/>
        </w:rPr>
        <w:t>following the interim results</w:t>
      </w:r>
      <w:r w:rsidRPr="00F01EC8">
        <w:rPr>
          <w:sz w:val="20"/>
          <w:szCs w:val="20"/>
        </w:rPr>
        <w:t>.</w:t>
      </w:r>
    </w:p>
    <w:p w14:paraId="5DD1D2BD" w14:textId="77777777" w:rsidR="00F01EC8" w:rsidRPr="00F01EC8" w:rsidRDefault="00F01EC8" w:rsidP="00F01EC8">
      <w:pPr>
        <w:pStyle w:val="NoSpacing"/>
        <w:jc w:val="both"/>
        <w:rPr>
          <w:sz w:val="20"/>
          <w:szCs w:val="20"/>
        </w:rPr>
      </w:pPr>
    </w:p>
    <w:p w14:paraId="558E869C" w14:textId="77777777" w:rsidR="00F01EC8" w:rsidRPr="00F01EC8" w:rsidRDefault="00F01EC8" w:rsidP="00F01EC8">
      <w:pPr>
        <w:pStyle w:val="NoSpacing"/>
        <w:jc w:val="both"/>
        <w:rPr>
          <w:rStyle w:val="Strong"/>
          <w:sz w:val="20"/>
          <w:szCs w:val="20"/>
        </w:rPr>
      </w:pPr>
      <w:r w:rsidRPr="00F01EC8">
        <w:rPr>
          <w:rStyle w:val="Strong"/>
          <w:sz w:val="20"/>
          <w:szCs w:val="20"/>
        </w:rPr>
        <w:t>Regulation</w:t>
      </w:r>
    </w:p>
    <w:p w14:paraId="57CEE25E" w14:textId="77777777" w:rsidR="00F01EC8" w:rsidRPr="00F01EC8" w:rsidRDefault="00F01EC8" w:rsidP="00F01EC8">
      <w:pPr>
        <w:pStyle w:val="NoSpacing"/>
        <w:jc w:val="both"/>
        <w:rPr>
          <w:sz w:val="20"/>
          <w:szCs w:val="20"/>
        </w:rPr>
      </w:pPr>
      <w:bookmarkStart w:id="3" w:name="_Hlk49161891"/>
    </w:p>
    <w:p w14:paraId="36CF05DE" w14:textId="7CE5C14C" w:rsidR="00F01EC8" w:rsidRPr="00F01EC8" w:rsidRDefault="004F4C26" w:rsidP="00F01EC8">
      <w:pPr>
        <w:pStyle w:val="NoSpacing"/>
        <w:jc w:val="both"/>
        <w:rPr>
          <w:sz w:val="20"/>
          <w:szCs w:val="20"/>
        </w:rPr>
      </w:pPr>
      <w:bookmarkStart w:id="4" w:name="_Hlk49161678"/>
      <w:r>
        <w:rPr>
          <w:sz w:val="20"/>
          <w:szCs w:val="20"/>
        </w:rPr>
        <w:t>A</w:t>
      </w:r>
      <w:r w:rsidR="00F01EC8" w:rsidRPr="00F01EC8">
        <w:rPr>
          <w:sz w:val="20"/>
          <w:szCs w:val="20"/>
        </w:rPr>
        <w:t xml:space="preserve"> recent statement </w:t>
      </w:r>
      <w:r>
        <w:rPr>
          <w:sz w:val="20"/>
          <w:szCs w:val="20"/>
        </w:rPr>
        <w:t xml:space="preserve">was </w:t>
      </w:r>
      <w:r w:rsidR="00F01EC8" w:rsidRPr="00F01EC8">
        <w:rPr>
          <w:sz w:val="20"/>
          <w:szCs w:val="20"/>
        </w:rPr>
        <w:t>made by the FCA on its findings following a review into the way firms offer relending options in the high-cost short-term credit marke</w:t>
      </w:r>
      <w:r w:rsidR="008D20D8">
        <w:rPr>
          <w:sz w:val="20"/>
          <w:szCs w:val="20"/>
        </w:rPr>
        <w:t>t.</w:t>
      </w:r>
      <w:r w:rsidR="008D20D8" w:rsidRPr="008D20D8">
        <w:t xml:space="preserve"> </w:t>
      </w:r>
      <w:r w:rsidR="008D20D8" w:rsidRPr="005714EF">
        <w:rPr>
          <w:sz w:val="20"/>
          <w:szCs w:val="20"/>
        </w:rPr>
        <w:t xml:space="preserve">Management are </w:t>
      </w:r>
      <w:r w:rsidR="008D20D8" w:rsidRPr="008D20D8">
        <w:rPr>
          <w:sz w:val="20"/>
          <w:szCs w:val="20"/>
        </w:rPr>
        <w:t>currently in dialogue with the FCA on this report and are working with them to determine how the findings translate into a home credit context</w:t>
      </w:r>
      <w:r w:rsidR="00F01EC8" w:rsidRPr="00F01EC8">
        <w:rPr>
          <w:sz w:val="20"/>
          <w:szCs w:val="20"/>
        </w:rPr>
        <w:t xml:space="preserve">. </w:t>
      </w:r>
      <w:r>
        <w:rPr>
          <w:sz w:val="20"/>
          <w:szCs w:val="20"/>
        </w:rPr>
        <w:t>It is also noted that t</w:t>
      </w:r>
      <w:r w:rsidR="00F01EC8" w:rsidRPr="00F01EC8">
        <w:rPr>
          <w:sz w:val="20"/>
          <w:szCs w:val="20"/>
        </w:rPr>
        <w:t xml:space="preserve">he persistent debt measures introduced by the FCA have been delayed until October 2020 to allow firms more time to comply following the onset of Covid-19. Vanquis Bank has made good progress in managing the level of customers in persistent debt, through changes to the credit line increase programme, increasing minimum payments </w:t>
      </w:r>
      <w:r w:rsidR="005728D0" w:rsidRPr="00F01EC8">
        <w:rPr>
          <w:sz w:val="20"/>
          <w:szCs w:val="20"/>
        </w:rPr>
        <w:t xml:space="preserve">due </w:t>
      </w:r>
      <w:r w:rsidR="00F01EC8" w:rsidRPr="00F01EC8">
        <w:rPr>
          <w:sz w:val="20"/>
          <w:szCs w:val="20"/>
        </w:rPr>
        <w:t xml:space="preserve">and enhanced communication encouraging customers to make higher </w:t>
      </w:r>
      <w:r w:rsidR="00E838F4">
        <w:rPr>
          <w:sz w:val="20"/>
          <w:szCs w:val="20"/>
        </w:rPr>
        <w:t xml:space="preserve">than </w:t>
      </w:r>
      <w:r w:rsidR="00F01EC8" w:rsidRPr="00F01EC8">
        <w:rPr>
          <w:sz w:val="20"/>
          <w:szCs w:val="20"/>
        </w:rPr>
        <w:t xml:space="preserve">recommended payments. </w:t>
      </w:r>
    </w:p>
    <w:bookmarkEnd w:id="4"/>
    <w:bookmarkEnd w:id="3"/>
    <w:p w14:paraId="3F20E7B2" w14:textId="77777777" w:rsidR="00F01EC8" w:rsidRPr="00F01EC8" w:rsidRDefault="00F01EC8" w:rsidP="00F01EC8">
      <w:pPr>
        <w:pStyle w:val="NoSpacing"/>
        <w:jc w:val="both"/>
        <w:rPr>
          <w:sz w:val="20"/>
          <w:szCs w:val="20"/>
        </w:rPr>
      </w:pPr>
    </w:p>
    <w:p w14:paraId="6C656D88" w14:textId="77777777" w:rsidR="00F01EC8" w:rsidRPr="00F01EC8" w:rsidRDefault="00F01EC8" w:rsidP="00F01EC8">
      <w:pPr>
        <w:pStyle w:val="NoSpacing"/>
        <w:jc w:val="both"/>
        <w:rPr>
          <w:rStyle w:val="Strong"/>
          <w:sz w:val="20"/>
          <w:szCs w:val="20"/>
        </w:rPr>
      </w:pPr>
      <w:r w:rsidRPr="00F01EC8">
        <w:rPr>
          <w:rStyle w:val="Strong"/>
          <w:sz w:val="20"/>
          <w:szCs w:val="20"/>
        </w:rPr>
        <w:t>Payment holidays</w:t>
      </w:r>
    </w:p>
    <w:p w14:paraId="0A27DA65" w14:textId="77777777" w:rsidR="00F01EC8" w:rsidRPr="00F01EC8" w:rsidRDefault="00F01EC8" w:rsidP="00F01EC8">
      <w:pPr>
        <w:pStyle w:val="NoSpacing"/>
        <w:jc w:val="both"/>
        <w:rPr>
          <w:sz w:val="20"/>
          <w:szCs w:val="20"/>
        </w:rPr>
      </w:pPr>
    </w:p>
    <w:p w14:paraId="35F1FC08" w14:textId="77777777" w:rsidR="00F01EC8" w:rsidRPr="00F01EC8" w:rsidRDefault="00F01EC8" w:rsidP="00F01EC8">
      <w:pPr>
        <w:pStyle w:val="NoSpacing"/>
        <w:jc w:val="both"/>
        <w:rPr>
          <w:rFonts w:cs="Arial"/>
          <w:color w:val="000000"/>
          <w:sz w:val="20"/>
          <w:szCs w:val="20"/>
        </w:rPr>
      </w:pPr>
      <w:r w:rsidRPr="00F01EC8">
        <w:rPr>
          <w:rFonts w:cs="Arial"/>
          <w:color w:val="000000"/>
          <w:sz w:val="20"/>
          <w:szCs w:val="20"/>
        </w:rPr>
        <w:t xml:space="preserve">Following FCA guidance in April, payment holidays were offered to customers in Vanquis Bank, Moneybarn and CCD of between 1 and 3 months. </w:t>
      </w:r>
    </w:p>
    <w:p w14:paraId="1F5E803F" w14:textId="77777777" w:rsidR="00F01EC8" w:rsidRPr="00F01EC8" w:rsidRDefault="00F01EC8" w:rsidP="00F01EC8">
      <w:pPr>
        <w:pStyle w:val="NoSpacing"/>
        <w:jc w:val="both"/>
        <w:rPr>
          <w:rFonts w:cs="Arial"/>
          <w:color w:val="000000"/>
          <w:sz w:val="20"/>
          <w:szCs w:val="20"/>
        </w:rPr>
      </w:pPr>
    </w:p>
    <w:p w14:paraId="076AB35A" w14:textId="0677946F" w:rsidR="00F01EC8" w:rsidRPr="00F01EC8" w:rsidRDefault="00F01EC8" w:rsidP="00F01EC8">
      <w:pPr>
        <w:pStyle w:val="NoSpacing"/>
        <w:jc w:val="both"/>
        <w:rPr>
          <w:rFonts w:cs="Arial"/>
          <w:color w:val="000000"/>
          <w:sz w:val="20"/>
          <w:szCs w:val="20"/>
        </w:rPr>
      </w:pPr>
      <w:r w:rsidRPr="00F01EC8">
        <w:rPr>
          <w:rFonts w:cs="Arial"/>
          <w:color w:val="000000"/>
          <w:sz w:val="20"/>
          <w:szCs w:val="20"/>
        </w:rPr>
        <w:t>Vanquis Bank saw payment holiday activations grow to a peak of 48k customers (3.5% of total</w:t>
      </w:r>
      <w:r w:rsidR="0093517F">
        <w:rPr>
          <w:rFonts w:cs="Arial"/>
          <w:color w:val="000000"/>
          <w:sz w:val="20"/>
          <w:szCs w:val="20"/>
        </w:rPr>
        <w:t xml:space="preserve"> customers</w:t>
      </w:r>
      <w:r w:rsidRPr="00F01EC8">
        <w:rPr>
          <w:rFonts w:cs="Arial"/>
          <w:color w:val="000000"/>
          <w:sz w:val="20"/>
          <w:szCs w:val="20"/>
        </w:rPr>
        <w:t xml:space="preserve">) in June. The take-up of payment holidays since the extension to 6 months has so far been modest. </w:t>
      </w:r>
    </w:p>
    <w:p w14:paraId="236F3B98" w14:textId="77777777" w:rsidR="00F01EC8" w:rsidRPr="00F01EC8" w:rsidRDefault="00F01EC8" w:rsidP="00F01EC8">
      <w:pPr>
        <w:pStyle w:val="NoSpacing"/>
        <w:jc w:val="both"/>
        <w:rPr>
          <w:rFonts w:cs="Arial"/>
          <w:color w:val="000000"/>
          <w:sz w:val="20"/>
          <w:szCs w:val="20"/>
        </w:rPr>
      </w:pPr>
    </w:p>
    <w:p w14:paraId="7D4DFD06" w14:textId="1213FCEB" w:rsidR="00F01EC8" w:rsidRPr="00F01EC8" w:rsidRDefault="00F01EC8" w:rsidP="00F01EC8">
      <w:pPr>
        <w:pStyle w:val="NoSpacing"/>
        <w:jc w:val="both"/>
        <w:rPr>
          <w:rFonts w:cs="Arial"/>
          <w:color w:val="000000"/>
          <w:sz w:val="20"/>
          <w:szCs w:val="20"/>
        </w:rPr>
      </w:pPr>
      <w:r w:rsidRPr="00F01EC8">
        <w:rPr>
          <w:rFonts w:cs="Arial"/>
          <w:color w:val="000000"/>
          <w:sz w:val="20"/>
          <w:szCs w:val="20"/>
        </w:rPr>
        <w:t xml:space="preserve">For Moneybarn, payment holidays increased significantly in April to 23k customers (27% of </w:t>
      </w:r>
      <w:r w:rsidR="0093517F">
        <w:rPr>
          <w:rFonts w:cs="Arial"/>
          <w:color w:val="000000"/>
          <w:sz w:val="20"/>
          <w:szCs w:val="20"/>
        </w:rPr>
        <w:t>receivables</w:t>
      </w:r>
      <w:r w:rsidRPr="00F01EC8">
        <w:rPr>
          <w:rFonts w:cs="Arial"/>
          <w:color w:val="000000"/>
          <w:sz w:val="20"/>
          <w:szCs w:val="20"/>
        </w:rPr>
        <w:t>). The activation of payment holidays has reduced significantly since this point from c.400 activations</w:t>
      </w:r>
      <w:r w:rsidR="007D0A8C">
        <w:rPr>
          <w:rFonts w:cs="Arial"/>
          <w:color w:val="000000"/>
          <w:sz w:val="20"/>
          <w:szCs w:val="20"/>
        </w:rPr>
        <w:t xml:space="preserve"> per </w:t>
      </w:r>
      <w:r w:rsidRPr="00F01EC8">
        <w:rPr>
          <w:rFonts w:cs="Arial"/>
          <w:color w:val="000000"/>
          <w:sz w:val="20"/>
          <w:szCs w:val="20"/>
        </w:rPr>
        <w:t xml:space="preserve">day to 20 activations/day in July and August. Arrears have also improved, with pre-Covid roll rates returning.   </w:t>
      </w:r>
    </w:p>
    <w:p w14:paraId="33F0C1F9" w14:textId="77777777" w:rsidR="00F01EC8" w:rsidRPr="00F01EC8" w:rsidRDefault="00F01EC8" w:rsidP="00F01EC8">
      <w:pPr>
        <w:pStyle w:val="NoSpacing"/>
        <w:jc w:val="both"/>
        <w:rPr>
          <w:rFonts w:cs="Arial"/>
          <w:color w:val="000000"/>
          <w:sz w:val="20"/>
          <w:szCs w:val="20"/>
        </w:rPr>
      </w:pPr>
    </w:p>
    <w:p w14:paraId="364E2B6C" w14:textId="77777777" w:rsidR="00F01EC8" w:rsidRPr="00F01EC8" w:rsidRDefault="00F01EC8" w:rsidP="00F01EC8">
      <w:pPr>
        <w:pStyle w:val="NoSpacing"/>
        <w:jc w:val="both"/>
        <w:rPr>
          <w:rFonts w:cs="Arial"/>
          <w:color w:val="000000"/>
          <w:sz w:val="20"/>
          <w:szCs w:val="20"/>
        </w:rPr>
      </w:pPr>
      <w:r w:rsidRPr="00F01EC8">
        <w:rPr>
          <w:rFonts w:cs="Arial"/>
          <w:color w:val="000000"/>
          <w:sz w:val="20"/>
          <w:szCs w:val="20"/>
        </w:rPr>
        <w:t>Within CCD, the concept of forbearance is implicit within the business model. Payment performance deteriorated in late March and April whilst the revised working practices were rolled out through remote collection practices. Collections have since broadly returned to pre-Covid levels, whilst some customers have been formally placed on payment holidays (c.3%).</w:t>
      </w:r>
    </w:p>
    <w:p w14:paraId="6FE4B063" w14:textId="77777777" w:rsidR="00F01EC8" w:rsidRPr="00F01EC8" w:rsidRDefault="00F01EC8" w:rsidP="00F01EC8">
      <w:pPr>
        <w:pStyle w:val="NoSpacing"/>
        <w:jc w:val="both"/>
        <w:rPr>
          <w:sz w:val="20"/>
          <w:szCs w:val="20"/>
        </w:rPr>
      </w:pPr>
    </w:p>
    <w:p w14:paraId="334FC438" w14:textId="77777777" w:rsidR="00F01EC8" w:rsidRPr="00F01EC8" w:rsidRDefault="00F01EC8" w:rsidP="00F01EC8">
      <w:pPr>
        <w:pStyle w:val="NoSpacing"/>
        <w:jc w:val="both"/>
        <w:rPr>
          <w:rStyle w:val="Strong"/>
          <w:sz w:val="20"/>
          <w:szCs w:val="20"/>
        </w:rPr>
      </w:pPr>
      <w:r w:rsidRPr="00F01EC8">
        <w:rPr>
          <w:rStyle w:val="Strong"/>
          <w:sz w:val="20"/>
          <w:szCs w:val="20"/>
        </w:rPr>
        <w:t>Board and Senior management changes</w:t>
      </w:r>
    </w:p>
    <w:p w14:paraId="162774BC" w14:textId="77777777" w:rsidR="00F01EC8" w:rsidRPr="00F01EC8" w:rsidRDefault="00F01EC8" w:rsidP="00F01EC8">
      <w:pPr>
        <w:pStyle w:val="NoSpacing"/>
        <w:jc w:val="both"/>
        <w:rPr>
          <w:rStyle w:val="Strong"/>
          <w:b w:val="0"/>
          <w:bCs w:val="0"/>
          <w:sz w:val="20"/>
          <w:szCs w:val="20"/>
        </w:rPr>
      </w:pPr>
    </w:p>
    <w:p w14:paraId="02B6025A" w14:textId="77777777" w:rsidR="00F01EC8" w:rsidRPr="00F01EC8" w:rsidRDefault="00F01EC8" w:rsidP="00F01EC8">
      <w:pPr>
        <w:pStyle w:val="NoSpacing"/>
        <w:jc w:val="both"/>
        <w:rPr>
          <w:rStyle w:val="Strong"/>
          <w:b w:val="0"/>
          <w:bCs w:val="0"/>
          <w:sz w:val="20"/>
          <w:szCs w:val="20"/>
        </w:rPr>
      </w:pPr>
      <w:r w:rsidRPr="00F01EC8">
        <w:rPr>
          <w:rStyle w:val="Strong"/>
          <w:b w:val="0"/>
          <w:bCs w:val="0"/>
          <w:sz w:val="20"/>
          <w:szCs w:val="20"/>
        </w:rPr>
        <w:t>During the period, Neeraj Kapur took up his role on the Group Board as Group Chief Financial Officer (CFO) from Simon Thomas. Neeraj brings significant relevant experience as a main board director of a FTSE business and as a bank CFO. He has gained a wealth of knowledge in consumer deposit, lending products and treasury management in his previous roles. Neeraj has been providing capable leadership to the finance and treasury functions since he joined after the Covid-19 lockdown began.</w:t>
      </w:r>
    </w:p>
    <w:p w14:paraId="1B84F710" w14:textId="77777777" w:rsidR="00F01EC8" w:rsidRPr="00F01EC8" w:rsidRDefault="00F01EC8" w:rsidP="00F01EC8">
      <w:pPr>
        <w:pStyle w:val="NoSpacing"/>
        <w:jc w:val="both"/>
        <w:rPr>
          <w:rStyle w:val="Strong"/>
          <w:b w:val="0"/>
          <w:bCs w:val="0"/>
          <w:sz w:val="20"/>
          <w:szCs w:val="20"/>
        </w:rPr>
      </w:pPr>
    </w:p>
    <w:p w14:paraId="5706D56A" w14:textId="77777777" w:rsidR="00F01EC8" w:rsidRPr="00F01EC8" w:rsidRDefault="00F01EC8" w:rsidP="00F01EC8">
      <w:pPr>
        <w:pStyle w:val="NoSpacing"/>
        <w:jc w:val="both"/>
        <w:rPr>
          <w:rStyle w:val="Strong"/>
          <w:b w:val="0"/>
          <w:bCs w:val="0"/>
          <w:sz w:val="20"/>
          <w:szCs w:val="20"/>
        </w:rPr>
      </w:pPr>
      <w:r w:rsidRPr="00F01EC8">
        <w:rPr>
          <w:rStyle w:val="Strong"/>
          <w:b w:val="0"/>
          <w:bCs w:val="0"/>
          <w:sz w:val="20"/>
          <w:szCs w:val="20"/>
        </w:rPr>
        <w:t xml:space="preserve">In July, Margot James joined the Group Board as an Independent Non-Executive Director following a successful career in both the public and private sector. Margot served as an MP from 2010 to 2019, during which she held the position of Minister of State for the Department of Digital, Culture, Media &amp; Sport. In her role as Parliamentary Under Secretary of State at the Department for Business, Energy &amp; Industrial Strategy, Margot had responsibility for small businesses, consumers and corporate governance, including labour markets and the retail sector. In 1985, Margot founded Shire Health Group which provided public relations and medical education services to pharmaceutical companies. </w:t>
      </w:r>
    </w:p>
    <w:p w14:paraId="3C36219E" w14:textId="77777777" w:rsidR="00F01EC8" w:rsidRPr="00F01EC8" w:rsidRDefault="00F01EC8" w:rsidP="00F01EC8">
      <w:pPr>
        <w:pStyle w:val="NoSpacing"/>
        <w:jc w:val="both"/>
        <w:rPr>
          <w:rStyle w:val="Strong"/>
          <w:b w:val="0"/>
          <w:bCs w:val="0"/>
          <w:sz w:val="20"/>
          <w:szCs w:val="20"/>
        </w:rPr>
      </w:pPr>
    </w:p>
    <w:p w14:paraId="03B489A3" w14:textId="77777777" w:rsidR="00F01EC8" w:rsidRPr="00F01EC8" w:rsidRDefault="00F01EC8" w:rsidP="00F01EC8">
      <w:pPr>
        <w:pStyle w:val="NoSpacing"/>
        <w:jc w:val="both"/>
        <w:rPr>
          <w:rStyle w:val="Strong"/>
          <w:b w:val="0"/>
          <w:bCs w:val="0"/>
          <w:sz w:val="20"/>
          <w:szCs w:val="20"/>
        </w:rPr>
      </w:pPr>
      <w:r w:rsidRPr="00F01EC8">
        <w:rPr>
          <w:rStyle w:val="Strong"/>
          <w:b w:val="0"/>
          <w:bCs w:val="0"/>
          <w:sz w:val="20"/>
          <w:szCs w:val="20"/>
        </w:rPr>
        <w:t>Gary Thompson was appointed as Finance Director of Vanquis Bank. Gary has been with the Group for over a decade as Head of Group Finance and Investor Relations and brings a wealth of knowledge to his new role, having worked very closely with the Vanquis Bank team during that period.</w:t>
      </w:r>
    </w:p>
    <w:p w14:paraId="4010E085" w14:textId="77777777" w:rsidR="00F01EC8" w:rsidRPr="00F01EC8" w:rsidRDefault="00F01EC8" w:rsidP="00F01EC8">
      <w:pPr>
        <w:pStyle w:val="NoSpacing"/>
        <w:jc w:val="both"/>
        <w:rPr>
          <w:rStyle w:val="Strong"/>
          <w:b w:val="0"/>
          <w:bCs w:val="0"/>
          <w:sz w:val="20"/>
          <w:szCs w:val="20"/>
        </w:rPr>
      </w:pPr>
    </w:p>
    <w:p w14:paraId="628231E5" w14:textId="77777777" w:rsidR="00F01EC8" w:rsidRPr="00F01EC8" w:rsidRDefault="00F01EC8" w:rsidP="00F01EC8">
      <w:pPr>
        <w:pStyle w:val="NoSpacing"/>
        <w:jc w:val="both"/>
        <w:rPr>
          <w:rStyle w:val="Strong"/>
          <w:b w:val="0"/>
          <w:bCs w:val="0"/>
          <w:sz w:val="20"/>
          <w:szCs w:val="20"/>
        </w:rPr>
      </w:pPr>
      <w:r w:rsidRPr="00F01EC8">
        <w:rPr>
          <w:rStyle w:val="Strong"/>
          <w:b w:val="0"/>
          <w:bCs w:val="0"/>
          <w:sz w:val="20"/>
          <w:szCs w:val="20"/>
        </w:rPr>
        <w:t xml:space="preserve">After the period end, Hamish Paton was appointed as Managing Director of CCD and David Shrimpton was appointed to the same position at Moneybarn. Hamish Paton has worked in the sub-prime segment of the market for many years having served as CEO of Brighthouse and Amigo previously. He will join Provident Financial in mid-September. Chris Gillespie has done an excellent job of stabilising CCD after 2017 and returning the business to its trajectory to return to profitability before Covid and we thank him for all his efforts and wish him well for the future. </w:t>
      </w:r>
    </w:p>
    <w:p w14:paraId="37C10764" w14:textId="77777777" w:rsidR="00F01EC8" w:rsidRPr="00F01EC8" w:rsidRDefault="00F01EC8" w:rsidP="00F01EC8">
      <w:pPr>
        <w:pStyle w:val="NoSpacing"/>
        <w:jc w:val="both"/>
        <w:rPr>
          <w:rStyle w:val="Strong"/>
          <w:b w:val="0"/>
          <w:bCs w:val="0"/>
          <w:sz w:val="20"/>
          <w:szCs w:val="20"/>
        </w:rPr>
      </w:pPr>
    </w:p>
    <w:p w14:paraId="17CFFEBE" w14:textId="15D55374" w:rsidR="00F01EC8" w:rsidRPr="00F01EC8" w:rsidRDefault="00F01EC8" w:rsidP="00F01EC8">
      <w:pPr>
        <w:pStyle w:val="NoSpacing"/>
        <w:jc w:val="both"/>
        <w:rPr>
          <w:rStyle w:val="Strong"/>
          <w:b w:val="0"/>
          <w:bCs w:val="0"/>
          <w:sz w:val="20"/>
          <w:szCs w:val="20"/>
        </w:rPr>
      </w:pPr>
      <w:r w:rsidRPr="00F01EC8">
        <w:rPr>
          <w:rStyle w:val="Strong"/>
          <w:b w:val="0"/>
          <w:bCs w:val="0"/>
          <w:sz w:val="20"/>
          <w:szCs w:val="20"/>
        </w:rPr>
        <w:t xml:space="preserve">David Shrimpton joined Moneybarn as Director of Customer Experience in January 2019, having spent time in senior roles at Wonga and Citigroup, and has held the position of interim MD of Moneybarn since March 2020. </w:t>
      </w:r>
      <w:r w:rsidR="00E838F4">
        <w:rPr>
          <w:rStyle w:val="Strong"/>
          <w:b w:val="0"/>
          <w:bCs w:val="0"/>
          <w:sz w:val="20"/>
          <w:szCs w:val="20"/>
        </w:rPr>
        <w:t xml:space="preserve"> </w:t>
      </w:r>
      <w:r w:rsidRPr="00F01EC8">
        <w:rPr>
          <w:rStyle w:val="Strong"/>
          <w:b w:val="0"/>
          <w:bCs w:val="0"/>
          <w:sz w:val="20"/>
          <w:szCs w:val="20"/>
        </w:rPr>
        <w:t>His appointment on a permanent basis follows the key role that David played in establishing Moneybarn’s response to the early stages of Covid-19, which enabled Moneybarn to lend throughout the lockdown period.</w:t>
      </w:r>
    </w:p>
    <w:p w14:paraId="216C8D54" w14:textId="77777777" w:rsidR="00F01EC8" w:rsidRPr="00F01EC8" w:rsidRDefault="00F01EC8" w:rsidP="00F01EC8">
      <w:pPr>
        <w:pStyle w:val="NoSpacing"/>
        <w:jc w:val="both"/>
        <w:rPr>
          <w:b/>
          <w:sz w:val="20"/>
          <w:szCs w:val="20"/>
        </w:rPr>
      </w:pPr>
    </w:p>
    <w:p w14:paraId="5C7692E0" w14:textId="77777777" w:rsidR="00F01EC8" w:rsidRPr="00F01EC8" w:rsidRDefault="00F01EC8" w:rsidP="00F01EC8">
      <w:pPr>
        <w:pStyle w:val="NoSpacing"/>
        <w:jc w:val="both"/>
        <w:rPr>
          <w:b/>
          <w:sz w:val="20"/>
          <w:szCs w:val="20"/>
        </w:rPr>
      </w:pPr>
      <w:r w:rsidRPr="00F01EC8">
        <w:rPr>
          <w:b/>
          <w:sz w:val="20"/>
          <w:szCs w:val="20"/>
        </w:rPr>
        <w:t>Outlook</w:t>
      </w:r>
    </w:p>
    <w:p w14:paraId="4BED8087" w14:textId="77777777" w:rsidR="00F01EC8" w:rsidRPr="00F01EC8" w:rsidRDefault="00F01EC8" w:rsidP="00F01EC8">
      <w:pPr>
        <w:pStyle w:val="NoSpacing"/>
        <w:jc w:val="both"/>
        <w:rPr>
          <w:sz w:val="20"/>
          <w:szCs w:val="20"/>
        </w:rPr>
      </w:pPr>
    </w:p>
    <w:p w14:paraId="71689D1F" w14:textId="77777777" w:rsidR="00F01EC8" w:rsidRPr="00F01EC8" w:rsidRDefault="00F01EC8" w:rsidP="00F01EC8">
      <w:pPr>
        <w:pStyle w:val="NoSpacing"/>
        <w:jc w:val="both"/>
        <w:rPr>
          <w:sz w:val="20"/>
          <w:szCs w:val="20"/>
        </w:rPr>
      </w:pPr>
      <w:r w:rsidRPr="00F01EC8">
        <w:rPr>
          <w:sz w:val="20"/>
          <w:szCs w:val="20"/>
        </w:rPr>
        <w:t xml:space="preserve">The Group’s response to challenges brought on by the early stages of Covid-19 was swift, putting us in a stronger position heading into the second half of 2020. Since the end of June, some encouraging signs of increased activity levels in our markets can be seen, with improving customer demand and spending trends evident. Indeed, Moneybarn posted record levels of new business in July despite tighter underwriting. However, the potential economic shock, and uncertainty, that Covid-19 will bring to the UK economy over the coming months must not be underestimated. Looking to the full year results, the Group continues to trade in line with internal plans. </w:t>
      </w:r>
    </w:p>
    <w:p w14:paraId="2892CB2E" w14:textId="77777777" w:rsidR="00E838F4" w:rsidRDefault="00E838F4" w:rsidP="00F01EC8">
      <w:pPr>
        <w:pStyle w:val="NoSpacing"/>
        <w:jc w:val="both"/>
        <w:rPr>
          <w:sz w:val="20"/>
          <w:szCs w:val="20"/>
        </w:rPr>
      </w:pPr>
    </w:p>
    <w:p w14:paraId="77BBCC4A" w14:textId="10BA8EE5" w:rsidR="00F01EC8" w:rsidRPr="00F01EC8" w:rsidRDefault="00F01EC8" w:rsidP="00F01EC8">
      <w:pPr>
        <w:pStyle w:val="NoSpacing"/>
        <w:jc w:val="both"/>
        <w:rPr>
          <w:sz w:val="20"/>
          <w:szCs w:val="20"/>
        </w:rPr>
      </w:pPr>
      <w:r w:rsidRPr="00F01EC8">
        <w:rPr>
          <w:sz w:val="20"/>
          <w:szCs w:val="20"/>
        </w:rPr>
        <w:t>The Group’s CMD last year included some medium-term financial and strategic objectives. Good progress against some of these objectives was made during the first six months, such as the accelerated roll out of Provident Direct and our successful bond tender offer. It remains the Group’s intention to get back to a position to deliver against our medium-term financial objectives, albeit Covid-19 will inevitably delay this process. The target is to deliver a Return on Equity (R</w:t>
      </w:r>
      <w:r w:rsidR="007D0A8C">
        <w:rPr>
          <w:sz w:val="20"/>
          <w:szCs w:val="20"/>
        </w:rPr>
        <w:t>O</w:t>
      </w:r>
      <w:r w:rsidRPr="00F01EC8">
        <w:rPr>
          <w:sz w:val="20"/>
          <w:szCs w:val="20"/>
        </w:rPr>
        <w:t xml:space="preserve">E) of between 20% and 25%. We will also target significant and sustainable receivables growth through the cycle. </w:t>
      </w:r>
    </w:p>
    <w:p w14:paraId="7A992A51" w14:textId="77777777" w:rsidR="00F01EC8" w:rsidRPr="00F01EC8" w:rsidRDefault="00F01EC8" w:rsidP="00F01EC8">
      <w:pPr>
        <w:pStyle w:val="NoSpacing"/>
        <w:jc w:val="both"/>
        <w:rPr>
          <w:sz w:val="20"/>
          <w:szCs w:val="20"/>
        </w:rPr>
      </w:pPr>
    </w:p>
    <w:p w14:paraId="60F953F1" w14:textId="77777777" w:rsidR="00F01EC8" w:rsidRPr="00F01EC8" w:rsidRDefault="00F01EC8" w:rsidP="00F01EC8">
      <w:pPr>
        <w:pStyle w:val="NoSpacing"/>
        <w:jc w:val="both"/>
        <w:rPr>
          <w:sz w:val="20"/>
          <w:szCs w:val="20"/>
        </w:rPr>
      </w:pPr>
      <w:r w:rsidRPr="00F01EC8">
        <w:rPr>
          <w:sz w:val="20"/>
          <w:szCs w:val="20"/>
        </w:rPr>
        <w:t>The focus for the second half of this year and 2021 will be on continuing our focus and support of our customers, through lending responsibly as their preferred alternative to inaccessible mainstream lenders. Our financial strength will help us to navigate the challenges of further payment holiday take-up, furlough support finishing for our customers and rising unemployment. Therefore, when combined with our robust capital position and diverse funding structure, I am cautiously optimistic about the outlook for 2020 and beyond.</w:t>
      </w:r>
    </w:p>
    <w:p w14:paraId="581641C1" w14:textId="77777777" w:rsidR="00F01EC8" w:rsidRPr="00F01EC8" w:rsidRDefault="00F01EC8" w:rsidP="00F01EC8">
      <w:pPr>
        <w:pStyle w:val="NoSpacing"/>
        <w:jc w:val="both"/>
        <w:rPr>
          <w:sz w:val="20"/>
          <w:szCs w:val="20"/>
        </w:rPr>
      </w:pPr>
    </w:p>
    <w:p w14:paraId="68E576F5" w14:textId="77777777" w:rsidR="00F01EC8" w:rsidRPr="00F01EC8" w:rsidRDefault="00F01EC8" w:rsidP="00F01EC8">
      <w:pPr>
        <w:pStyle w:val="NoSpacing"/>
        <w:rPr>
          <w:b/>
          <w:sz w:val="20"/>
          <w:szCs w:val="20"/>
        </w:rPr>
      </w:pPr>
      <w:r w:rsidRPr="00F01EC8">
        <w:rPr>
          <w:b/>
          <w:sz w:val="20"/>
          <w:szCs w:val="20"/>
        </w:rPr>
        <w:t>Malcolm Le May</w:t>
      </w:r>
    </w:p>
    <w:p w14:paraId="461179C8" w14:textId="77777777" w:rsidR="00F01EC8" w:rsidRPr="00F01EC8" w:rsidRDefault="00F01EC8" w:rsidP="00F01EC8">
      <w:pPr>
        <w:pStyle w:val="NoSpacing"/>
        <w:rPr>
          <w:b/>
          <w:sz w:val="20"/>
          <w:szCs w:val="20"/>
        </w:rPr>
      </w:pPr>
      <w:r w:rsidRPr="00F01EC8">
        <w:rPr>
          <w:b/>
          <w:sz w:val="20"/>
          <w:szCs w:val="20"/>
        </w:rPr>
        <w:t>Chief Executive Officer</w:t>
      </w:r>
    </w:p>
    <w:p w14:paraId="2779D343" w14:textId="33EF36FF" w:rsidR="00F01EC8" w:rsidRPr="00F01EC8" w:rsidRDefault="00F01EC8" w:rsidP="00F01EC8">
      <w:pPr>
        <w:pStyle w:val="NoSpacing"/>
        <w:rPr>
          <w:b/>
          <w:sz w:val="20"/>
          <w:szCs w:val="20"/>
        </w:rPr>
      </w:pPr>
      <w:r w:rsidRPr="00F01EC8">
        <w:rPr>
          <w:b/>
          <w:sz w:val="20"/>
          <w:szCs w:val="20"/>
        </w:rPr>
        <w:t>26 August 2020</w:t>
      </w:r>
    </w:p>
    <w:p w14:paraId="07AA7082" w14:textId="77777777" w:rsidR="00F01EC8" w:rsidRPr="00F01EC8" w:rsidRDefault="00F01EC8" w:rsidP="00F01EC8">
      <w:pPr>
        <w:pStyle w:val="NoSpacing"/>
        <w:jc w:val="both"/>
        <w:rPr>
          <w:sz w:val="20"/>
          <w:szCs w:val="20"/>
        </w:rPr>
      </w:pPr>
    </w:p>
    <w:p w14:paraId="2D294356" w14:textId="14C292A2" w:rsidR="00F01EC8" w:rsidRDefault="00F01EC8">
      <w:pPr>
        <w:rPr>
          <w:rStyle w:val="Strong"/>
          <w:rFonts w:asciiTheme="minorHAnsi" w:eastAsiaTheme="minorHAnsi" w:hAnsiTheme="minorHAnsi" w:cstheme="minorBidi"/>
          <w:sz w:val="20"/>
          <w:szCs w:val="20"/>
          <w:lang w:eastAsia="en-US"/>
        </w:rPr>
      </w:pPr>
    </w:p>
    <w:p w14:paraId="4A9ADFC1" w14:textId="7B1DB4C4" w:rsidR="00F01EC8" w:rsidRPr="00F01EC8" w:rsidRDefault="00F01EC8" w:rsidP="00F01EC8">
      <w:pPr>
        <w:pStyle w:val="NoSpacing"/>
        <w:jc w:val="both"/>
        <w:rPr>
          <w:rStyle w:val="Strong"/>
          <w:sz w:val="20"/>
          <w:szCs w:val="20"/>
        </w:rPr>
      </w:pPr>
      <w:r w:rsidRPr="00F01EC8">
        <w:rPr>
          <w:rStyle w:val="Strong"/>
          <w:sz w:val="20"/>
          <w:szCs w:val="20"/>
        </w:rPr>
        <w:t xml:space="preserve">Financial </w:t>
      </w:r>
      <w:r w:rsidR="00EF6F4D">
        <w:rPr>
          <w:rStyle w:val="Strong"/>
          <w:sz w:val="20"/>
          <w:szCs w:val="20"/>
        </w:rPr>
        <w:t>r</w:t>
      </w:r>
      <w:r w:rsidRPr="00F01EC8">
        <w:rPr>
          <w:rStyle w:val="Strong"/>
          <w:sz w:val="20"/>
          <w:szCs w:val="20"/>
        </w:rPr>
        <w:t>eview</w:t>
      </w:r>
    </w:p>
    <w:p w14:paraId="3286C9DA" w14:textId="77777777" w:rsidR="00F01EC8" w:rsidRPr="00F01EC8" w:rsidRDefault="00F01EC8" w:rsidP="00F01EC8">
      <w:pPr>
        <w:pStyle w:val="NoSpacing"/>
        <w:jc w:val="both"/>
        <w:rPr>
          <w:sz w:val="20"/>
          <w:szCs w:val="20"/>
        </w:rPr>
      </w:pPr>
    </w:p>
    <w:p w14:paraId="77FA88C2" w14:textId="77777777" w:rsidR="00F01EC8" w:rsidRPr="00F01EC8" w:rsidRDefault="00F01EC8" w:rsidP="00F01EC8">
      <w:pPr>
        <w:pStyle w:val="NoSpacing"/>
        <w:jc w:val="both"/>
        <w:rPr>
          <w:rStyle w:val="Strong"/>
          <w:sz w:val="20"/>
          <w:szCs w:val="20"/>
        </w:rPr>
      </w:pPr>
      <w:r w:rsidRPr="00F01EC8">
        <w:rPr>
          <w:rStyle w:val="Strong"/>
          <w:sz w:val="20"/>
          <w:szCs w:val="20"/>
        </w:rPr>
        <w:lastRenderedPageBreak/>
        <w:t>Group performance</w:t>
      </w:r>
    </w:p>
    <w:p w14:paraId="615D6F23" w14:textId="77777777" w:rsidR="00F01EC8" w:rsidRPr="00F01EC8" w:rsidRDefault="00F01EC8" w:rsidP="00F01EC8">
      <w:pPr>
        <w:pStyle w:val="NoSpacing"/>
        <w:jc w:val="both"/>
        <w:rPr>
          <w:rStyle w:val="Strong"/>
          <w:sz w:val="20"/>
          <w:szCs w:val="20"/>
        </w:rPr>
      </w:pPr>
    </w:p>
    <w:p w14:paraId="587D8ADF" w14:textId="77777777" w:rsidR="00F01EC8" w:rsidRPr="00F01EC8" w:rsidRDefault="00F01EC8" w:rsidP="00F01EC8">
      <w:pPr>
        <w:pStyle w:val="NoSpacing"/>
        <w:rPr>
          <w:rStyle w:val="Strong"/>
          <w:rFonts w:cs="Arial"/>
          <w:b w:val="0"/>
          <w:bCs w:val="0"/>
          <w:sz w:val="20"/>
          <w:szCs w:val="20"/>
        </w:rPr>
      </w:pPr>
      <w:r w:rsidRPr="00F01EC8">
        <w:rPr>
          <w:rFonts w:cs="Arial"/>
          <w:sz w:val="20"/>
          <w:szCs w:val="20"/>
        </w:rPr>
        <w:t>The Group’s 2020 interim results can be summarised as follows:</w:t>
      </w:r>
    </w:p>
    <w:tbl>
      <w:tblPr>
        <w:tblW w:w="8820" w:type="dxa"/>
        <w:tblInd w:w="108" w:type="dxa"/>
        <w:tblLayout w:type="fixed"/>
        <w:tblLook w:val="04A0" w:firstRow="1" w:lastRow="0" w:firstColumn="1" w:lastColumn="0" w:noHBand="0" w:noVBand="1"/>
      </w:tblPr>
      <w:tblGrid>
        <w:gridCol w:w="5135"/>
        <w:gridCol w:w="1228"/>
        <w:gridCol w:w="1228"/>
        <w:gridCol w:w="1229"/>
      </w:tblGrid>
      <w:tr w:rsidR="00F01EC8" w:rsidRPr="00F01EC8" w14:paraId="7CA0BBA9" w14:textId="77777777" w:rsidTr="00F01EC8">
        <w:trPr>
          <w:gridAfter w:val="3"/>
          <w:wAfter w:w="3685" w:type="dxa"/>
        </w:trPr>
        <w:tc>
          <w:tcPr>
            <w:tcW w:w="5137" w:type="dxa"/>
            <w:vAlign w:val="bottom"/>
          </w:tcPr>
          <w:p w14:paraId="63458233" w14:textId="77777777" w:rsidR="00F01EC8" w:rsidRPr="00F01EC8" w:rsidRDefault="00F01EC8">
            <w:pPr>
              <w:pStyle w:val="NoSpacing"/>
              <w:spacing w:line="256" w:lineRule="auto"/>
              <w:ind w:left="-216"/>
              <w:rPr>
                <w:sz w:val="20"/>
                <w:szCs w:val="20"/>
              </w:rPr>
            </w:pPr>
          </w:p>
        </w:tc>
      </w:tr>
      <w:tr w:rsidR="00F01EC8" w:rsidRPr="00F01EC8" w14:paraId="43F7CE19" w14:textId="77777777" w:rsidTr="00F01EC8">
        <w:tc>
          <w:tcPr>
            <w:tcW w:w="5137" w:type="dxa"/>
            <w:vAlign w:val="bottom"/>
          </w:tcPr>
          <w:p w14:paraId="3D4C3A21" w14:textId="77777777" w:rsidR="00F01EC8" w:rsidRPr="00F01EC8" w:rsidRDefault="00F01EC8">
            <w:pPr>
              <w:pStyle w:val="NoSpacing"/>
              <w:spacing w:line="256" w:lineRule="auto"/>
              <w:rPr>
                <w:sz w:val="20"/>
                <w:szCs w:val="20"/>
              </w:rPr>
            </w:pPr>
          </w:p>
        </w:tc>
        <w:tc>
          <w:tcPr>
            <w:tcW w:w="3685" w:type="dxa"/>
            <w:gridSpan w:val="3"/>
            <w:hideMark/>
          </w:tcPr>
          <w:p w14:paraId="305EE805" w14:textId="77777777" w:rsidR="00F01EC8" w:rsidRPr="00F01EC8" w:rsidRDefault="00F01EC8">
            <w:pPr>
              <w:pStyle w:val="NoSpacing"/>
              <w:spacing w:line="256" w:lineRule="auto"/>
              <w:jc w:val="center"/>
              <w:rPr>
                <w:sz w:val="20"/>
                <w:szCs w:val="20"/>
              </w:rPr>
            </w:pPr>
            <w:r w:rsidRPr="00F01EC8">
              <w:rPr>
                <w:sz w:val="20"/>
                <w:szCs w:val="20"/>
              </w:rPr>
              <w:t>Six months ended 30 June</w:t>
            </w:r>
          </w:p>
        </w:tc>
      </w:tr>
      <w:tr w:rsidR="00F01EC8" w:rsidRPr="00F01EC8" w14:paraId="0B7FE6D4" w14:textId="77777777" w:rsidTr="00F01EC8">
        <w:tc>
          <w:tcPr>
            <w:tcW w:w="5137" w:type="dxa"/>
            <w:vAlign w:val="bottom"/>
          </w:tcPr>
          <w:p w14:paraId="14AA7D76" w14:textId="77777777" w:rsidR="00F01EC8" w:rsidRPr="00F01EC8" w:rsidRDefault="00F01EC8">
            <w:pPr>
              <w:pStyle w:val="NoSpacing"/>
              <w:spacing w:line="256" w:lineRule="auto"/>
              <w:rPr>
                <w:sz w:val="20"/>
                <w:szCs w:val="20"/>
              </w:rPr>
            </w:pPr>
          </w:p>
        </w:tc>
        <w:tc>
          <w:tcPr>
            <w:tcW w:w="1228" w:type="dxa"/>
            <w:vAlign w:val="bottom"/>
            <w:hideMark/>
          </w:tcPr>
          <w:p w14:paraId="6B9BCC51" w14:textId="77777777" w:rsidR="00F01EC8" w:rsidRPr="00F01EC8" w:rsidRDefault="00F01EC8" w:rsidP="00F01EC8">
            <w:pPr>
              <w:pStyle w:val="NoSpacing"/>
              <w:spacing w:line="256" w:lineRule="auto"/>
              <w:jc w:val="right"/>
              <w:rPr>
                <w:sz w:val="20"/>
                <w:szCs w:val="20"/>
              </w:rPr>
            </w:pPr>
            <w:r w:rsidRPr="00F01EC8">
              <w:rPr>
                <w:sz w:val="20"/>
                <w:szCs w:val="20"/>
              </w:rPr>
              <w:t>2020</w:t>
            </w:r>
          </w:p>
        </w:tc>
        <w:tc>
          <w:tcPr>
            <w:tcW w:w="1228" w:type="dxa"/>
            <w:vAlign w:val="bottom"/>
            <w:hideMark/>
          </w:tcPr>
          <w:p w14:paraId="52FA1EF5" w14:textId="77777777" w:rsidR="00F01EC8" w:rsidRPr="00F01EC8" w:rsidRDefault="00F01EC8" w:rsidP="00F01EC8">
            <w:pPr>
              <w:pStyle w:val="NoSpacing"/>
              <w:spacing w:line="256" w:lineRule="auto"/>
              <w:jc w:val="right"/>
              <w:rPr>
                <w:sz w:val="20"/>
                <w:szCs w:val="20"/>
              </w:rPr>
            </w:pPr>
            <w:r w:rsidRPr="00F01EC8">
              <w:rPr>
                <w:sz w:val="20"/>
                <w:szCs w:val="20"/>
              </w:rPr>
              <w:t>2019</w:t>
            </w:r>
            <w:r w:rsidRPr="00F01EC8">
              <w:rPr>
                <w:sz w:val="20"/>
                <w:szCs w:val="20"/>
                <w:vertAlign w:val="superscript"/>
              </w:rPr>
              <w:t>1</w:t>
            </w:r>
          </w:p>
        </w:tc>
        <w:tc>
          <w:tcPr>
            <w:tcW w:w="1229" w:type="dxa"/>
            <w:vMerge w:val="restart"/>
            <w:tcBorders>
              <w:top w:val="nil"/>
              <w:left w:val="nil"/>
              <w:bottom w:val="single" w:sz="4" w:space="0" w:color="auto"/>
              <w:right w:val="nil"/>
            </w:tcBorders>
            <w:vAlign w:val="center"/>
            <w:hideMark/>
          </w:tcPr>
          <w:p w14:paraId="60828D9F" w14:textId="77777777" w:rsidR="00F01EC8" w:rsidRPr="00F01EC8" w:rsidRDefault="00F01EC8" w:rsidP="00F01EC8">
            <w:pPr>
              <w:pStyle w:val="NoSpacing"/>
              <w:spacing w:line="256" w:lineRule="auto"/>
              <w:jc w:val="right"/>
              <w:rPr>
                <w:i/>
                <w:sz w:val="20"/>
                <w:szCs w:val="20"/>
              </w:rPr>
            </w:pPr>
            <w:r w:rsidRPr="00F01EC8">
              <w:rPr>
                <w:i/>
                <w:sz w:val="20"/>
                <w:szCs w:val="20"/>
              </w:rPr>
              <w:t>Change</w:t>
            </w:r>
          </w:p>
        </w:tc>
      </w:tr>
      <w:tr w:rsidR="00F01EC8" w:rsidRPr="00F01EC8" w14:paraId="1FFC524C" w14:textId="77777777" w:rsidTr="00F01EC8">
        <w:tc>
          <w:tcPr>
            <w:tcW w:w="5137" w:type="dxa"/>
            <w:vAlign w:val="bottom"/>
          </w:tcPr>
          <w:p w14:paraId="44C7133B" w14:textId="77777777" w:rsidR="00F01EC8" w:rsidRPr="00F01EC8" w:rsidRDefault="00F01EC8">
            <w:pPr>
              <w:pStyle w:val="NoSpacing"/>
              <w:spacing w:line="256" w:lineRule="auto"/>
              <w:rPr>
                <w:sz w:val="20"/>
                <w:szCs w:val="20"/>
              </w:rPr>
            </w:pPr>
          </w:p>
        </w:tc>
        <w:tc>
          <w:tcPr>
            <w:tcW w:w="1228" w:type="dxa"/>
            <w:tcBorders>
              <w:top w:val="nil"/>
              <w:left w:val="nil"/>
              <w:bottom w:val="single" w:sz="4" w:space="0" w:color="auto"/>
              <w:right w:val="nil"/>
            </w:tcBorders>
            <w:vAlign w:val="bottom"/>
            <w:hideMark/>
          </w:tcPr>
          <w:p w14:paraId="24398B76" w14:textId="77777777" w:rsidR="00F01EC8" w:rsidRPr="00F01EC8" w:rsidRDefault="00F01EC8" w:rsidP="00F01EC8">
            <w:pPr>
              <w:pStyle w:val="NoSpacing"/>
              <w:spacing w:line="256" w:lineRule="auto"/>
              <w:jc w:val="right"/>
              <w:rPr>
                <w:sz w:val="20"/>
                <w:szCs w:val="20"/>
              </w:rPr>
            </w:pPr>
            <w:r w:rsidRPr="00F01EC8">
              <w:rPr>
                <w:sz w:val="20"/>
                <w:szCs w:val="20"/>
              </w:rPr>
              <w:t>£m</w:t>
            </w:r>
          </w:p>
        </w:tc>
        <w:tc>
          <w:tcPr>
            <w:tcW w:w="1228" w:type="dxa"/>
            <w:tcBorders>
              <w:top w:val="nil"/>
              <w:left w:val="nil"/>
              <w:bottom w:val="single" w:sz="4" w:space="0" w:color="auto"/>
              <w:right w:val="nil"/>
            </w:tcBorders>
            <w:vAlign w:val="bottom"/>
            <w:hideMark/>
          </w:tcPr>
          <w:p w14:paraId="4EA7FD37" w14:textId="77777777" w:rsidR="00F01EC8" w:rsidRPr="00F01EC8" w:rsidRDefault="00F01EC8" w:rsidP="00F01EC8">
            <w:pPr>
              <w:pStyle w:val="NoSpacing"/>
              <w:spacing w:line="256" w:lineRule="auto"/>
              <w:jc w:val="right"/>
              <w:rPr>
                <w:sz w:val="20"/>
                <w:szCs w:val="20"/>
              </w:rPr>
            </w:pPr>
            <w:r w:rsidRPr="00F01EC8">
              <w:rPr>
                <w:sz w:val="20"/>
                <w:szCs w:val="20"/>
              </w:rPr>
              <w:t>£m</w:t>
            </w:r>
          </w:p>
        </w:tc>
        <w:tc>
          <w:tcPr>
            <w:tcW w:w="1229" w:type="dxa"/>
            <w:vMerge/>
            <w:tcBorders>
              <w:top w:val="nil"/>
              <w:left w:val="nil"/>
              <w:bottom w:val="single" w:sz="4" w:space="0" w:color="auto"/>
              <w:right w:val="nil"/>
            </w:tcBorders>
            <w:vAlign w:val="center"/>
            <w:hideMark/>
          </w:tcPr>
          <w:p w14:paraId="1DAA0E89" w14:textId="77777777" w:rsidR="00F01EC8" w:rsidRPr="00F01EC8" w:rsidRDefault="00F01EC8" w:rsidP="00F01EC8">
            <w:pPr>
              <w:jc w:val="right"/>
              <w:rPr>
                <w:rFonts w:asciiTheme="minorHAnsi" w:hAnsiTheme="minorHAnsi"/>
                <w:i/>
                <w:sz w:val="20"/>
                <w:szCs w:val="20"/>
                <w:lang w:eastAsia="en-US"/>
              </w:rPr>
            </w:pPr>
          </w:p>
        </w:tc>
      </w:tr>
      <w:tr w:rsidR="00F01EC8" w:rsidRPr="00F01EC8" w14:paraId="73071904" w14:textId="77777777" w:rsidTr="00F01EC8">
        <w:tc>
          <w:tcPr>
            <w:tcW w:w="5137" w:type="dxa"/>
            <w:vAlign w:val="bottom"/>
            <w:hideMark/>
          </w:tcPr>
          <w:p w14:paraId="2DEDEDC0" w14:textId="77777777" w:rsidR="00F01EC8" w:rsidRPr="00F01EC8" w:rsidRDefault="00F01EC8">
            <w:pPr>
              <w:pStyle w:val="NoSpacing"/>
              <w:spacing w:line="256" w:lineRule="auto"/>
              <w:rPr>
                <w:sz w:val="20"/>
                <w:szCs w:val="20"/>
              </w:rPr>
            </w:pPr>
            <w:r w:rsidRPr="00F01EC8">
              <w:rPr>
                <w:sz w:val="20"/>
                <w:szCs w:val="20"/>
              </w:rPr>
              <w:t>Adjusted profit/(loss) before tax:</w:t>
            </w:r>
          </w:p>
        </w:tc>
        <w:tc>
          <w:tcPr>
            <w:tcW w:w="1228" w:type="dxa"/>
            <w:tcBorders>
              <w:top w:val="single" w:sz="4" w:space="0" w:color="auto"/>
              <w:left w:val="nil"/>
              <w:bottom w:val="nil"/>
              <w:right w:val="nil"/>
            </w:tcBorders>
            <w:vAlign w:val="bottom"/>
          </w:tcPr>
          <w:p w14:paraId="1BC6A4CF" w14:textId="77777777" w:rsidR="00F01EC8" w:rsidRPr="00F01EC8" w:rsidRDefault="00F01EC8" w:rsidP="00F01EC8">
            <w:pPr>
              <w:pStyle w:val="NoSpacing"/>
              <w:spacing w:line="256" w:lineRule="auto"/>
              <w:jc w:val="right"/>
              <w:rPr>
                <w:sz w:val="20"/>
                <w:szCs w:val="20"/>
              </w:rPr>
            </w:pPr>
          </w:p>
        </w:tc>
        <w:tc>
          <w:tcPr>
            <w:tcW w:w="1228" w:type="dxa"/>
            <w:tcBorders>
              <w:top w:val="single" w:sz="4" w:space="0" w:color="auto"/>
              <w:left w:val="nil"/>
              <w:bottom w:val="nil"/>
              <w:right w:val="nil"/>
            </w:tcBorders>
            <w:vAlign w:val="bottom"/>
          </w:tcPr>
          <w:p w14:paraId="2EAD6CAC" w14:textId="77777777" w:rsidR="00F01EC8" w:rsidRPr="00F01EC8" w:rsidRDefault="00F01EC8" w:rsidP="00F01EC8">
            <w:pPr>
              <w:pStyle w:val="NoSpacing"/>
              <w:spacing w:line="256" w:lineRule="auto"/>
              <w:jc w:val="right"/>
              <w:rPr>
                <w:sz w:val="20"/>
                <w:szCs w:val="20"/>
              </w:rPr>
            </w:pPr>
          </w:p>
        </w:tc>
        <w:tc>
          <w:tcPr>
            <w:tcW w:w="1229" w:type="dxa"/>
            <w:tcBorders>
              <w:top w:val="single" w:sz="4" w:space="0" w:color="auto"/>
              <w:left w:val="nil"/>
              <w:bottom w:val="nil"/>
              <w:right w:val="nil"/>
            </w:tcBorders>
          </w:tcPr>
          <w:p w14:paraId="4E2EC34C" w14:textId="77777777" w:rsidR="00F01EC8" w:rsidRPr="00F01EC8" w:rsidRDefault="00F01EC8" w:rsidP="00F01EC8">
            <w:pPr>
              <w:pStyle w:val="NoSpacing"/>
              <w:spacing w:line="256" w:lineRule="auto"/>
              <w:jc w:val="right"/>
              <w:rPr>
                <w:i/>
                <w:sz w:val="20"/>
                <w:szCs w:val="20"/>
              </w:rPr>
            </w:pPr>
          </w:p>
        </w:tc>
      </w:tr>
      <w:tr w:rsidR="00F01EC8" w:rsidRPr="00F01EC8" w14:paraId="590902DB" w14:textId="77777777" w:rsidTr="00F01EC8">
        <w:tc>
          <w:tcPr>
            <w:tcW w:w="5137" w:type="dxa"/>
            <w:vAlign w:val="bottom"/>
            <w:hideMark/>
          </w:tcPr>
          <w:p w14:paraId="7257A98F" w14:textId="77777777" w:rsidR="00F01EC8" w:rsidRPr="00F01EC8" w:rsidRDefault="00F01EC8">
            <w:pPr>
              <w:pStyle w:val="NoSpacing"/>
              <w:spacing w:line="256" w:lineRule="auto"/>
              <w:rPr>
                <w:sz w:val="20"/>
                <w:szCs w:val="20"/>
              </w:rPr>
            </w:pPr>
            <w:r w:rsidRPr="00F01EC8">
              <w:rPr>
                <w:sz w:val="20"/>
                <w:szCs w:val="20"/>
              </w:rPr>
              <w:t xml:space="preserve">– Vanquis Bank </w:t>
            </w:r>
          </w:p>
        </w:tc>
        <w:tc>
          <w:tcPr>
            <w:tcW w:w="1228" w:type="dxa"/>
            <w:vAlign w:val="bottom"/>
            <w:hideMark/>
          </w:tcPr>
          <w:p w14:paraId="2810BD93" w14:textId="77777777" w:rsidR="00F01EC8" w:rsidRPr="00F01EC8" w:rsidRDefault="00F01EC8" w:rsidP="00F01EC8">
            <w:pPr>
              <w:pStyle w:val="NoSpacing"/>
              <w:spacing w:line="256" w:lineRule="auto"/>
              <w:jc w:val="right"/>
              <w:rPr>
                <w:sz w:val="20"/>
                <w:szCs w:val="20"/>
              </w:rPr>
            </w:pPr>
            <w:r w:rsidRPr="00F01EC8">
              <w:rPr>
                <w:rFonts w:cs="Arial"/>
                <w:sz w:val="20"/>
                <w:szCs w:val="20"/>
              </w:rPr>
              <w:t>11.8</w:t>
            </w:r>
          </w:p>
        </w:tc>
        <w:tc>
          <w:tcPr>
            <w:tcW w:w="1228" w:type="dxa"/>
            <w:vAlign w:val="bottom"/>
            <w:hideMark/>
          </w:tcPr>
          <w:p w14:paraId="2545762A" w14:textId="77777777" w:rsidR="00F01EC8" w:rsidRPr="00F01EC8" w:rsidRDefault="00F01EC8" w:rsidP="00F01EC8">
            <w:pPr>
              <w:pStyle w:val="NoSpacing"/>
              <w:spacing w:line="256" w:lineRule="auto"/>
              <w:jc w:val="right"/>
              <w:rPr>
                <w:sz w:val="20"/>
                <w:szCs w:val="20"/>
              </w:rPr>
            </w:pPr>
            <w:r w:rsidRPr="00F01EC8">
              <w:rPr>
                <w:rFonts w:cs="Arial"/>
                <w:sz w:val="20"/>
                <w:szCs w:val="20"/>
              </w:rPr>
              <w:t>90.5</w:t>
            </w:r>
          </w:p>
        </w:tc>
        <w:tc>
          <w:tcPr>
            <w:tcW w:w="1229" w:type="dxa"/>
            <w:vAlign w:val="bottom"/>
            <w:hideMark/>
          </w:tcPr>
          <w:p w14:paraId="74D2E0DA" w14:textId="77777777" w:rsidR="00F01EC8" w:rsidRPr="00F01EC8" w:rsidRDefault="00F01EC8" w:rsidP="00F01EC8">
            <w:pPr>
              <w:pStyle w:val="NoSpacing"/>
              <w:spacing w:line="256" w:lineRule="auto"/>
              <w:jc w:val="right"/>
              <w:rPr>
                <w:i/>
                <w:sz w:val="20"/>
                <w:szCs w:val="20"/>
              </w:rPr>
            </w:pPr>
            <w:r w:rsidRPr="00F01EC8">
              <w:rPr>
                <w:rFonts w:cs="Arial"/>
                <w:i/>
                <w:iCs/>
                <w:sz w:val="20"/>
                <w:szCs w:val="20"/>
              </w:rPr>
              <w:t>(87.0%)</w:t>
            </w:r>
          </w:p>
        </w:tc>
      </w:tr>
      <w:tr w:rsidR="00F01EC8" w:rsidRPr="00F01EC8" w14:paraId="5D857678" w14:textId="77777777" w:rsidTr="00F01EC8">
        <w:tc>
          <w:tcPr>
            <w:tcW w:w="5137" w:type="dxa"/>
            <w:vAlign w:val="bottom"/>
            <w:hideMark/>
          </w:tcPr>
          <w:p w14:paraId="49BF688B" w14:textId="77777777" w:rsidR="00F01EC8" w:rsidRPr="00F01EC8" w:rsidRDefault="00F01EC8">
            <w:pPr>
              <w:pStyle w:val="NoSpacing"/>
              <w:spacing w:line="256" w:lineRule="auto"/>
              <w:rPr>
                <w:sz w:val="20"/>
                <w:szCs w:val="20"/>
              </w:rPr>
            </w:pPr>
            <w:r w:rsidRPr="00F01EC8">
              <w:rPr>
                <w:sz w:val="20"/>
                <w:szCs w:val="20"/>
              </w:rPr>
              <w:t xml:space="preserve">– Moneybarn </w:t>
            </w:r>
          </w:p>
        </w:tc>
        <w:tc>
          <w:tcPr>
            <w:tcW w:w="1228" w:type="dxa"/>
            <w:vAlign w:val="bottom"/>
            <w:hideMark/>
          </w:tcPr>
          <w:p w14:paraId="4F1A864B"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2.4</w:t>
            </w:r>
          </w:p>
        </w:tc>
        <w:tc>
          <w:tcPr>
            <w:tcW w:w="1228" w:type="dxa"/>
            <w:vAlign w:val="bottom"/>
            <w:hideMark/>
          </w:tcPr>
          <w:p w14:paraId="479ED75E"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15.5</w:t>
            </w:r>
          </w:p>
        </w:tc>
        <w:tc>
          <w:tcPr>
            <w:tcW w:w="1229" w:type="dxa"/>
            <w:vAlign w:val="bottom"/>
            <w:hideMark/>
          </w:tcPr>
          <w:p w14:paraId="33B90F1C" w14:textId="77777777" w:rsidR="00F01EC8" w:rsidRPr="00F01EC8" w:rsidRDefault="00F01EC8" w:rsidP="00F01EC8">
            <w:pPr>
              <w:pStyle w:val="NoSpacing"/>
              <w:spacing w:line="256" w:lineRule="auto"/>
              <w:jc w:val="right"/>
              <w:rPr>
                <w:rFonts w:cstheme="minorHAnsi"/>
                <w:i/>
                <w:sz w:val="20"/>
                <w:szCs w:val="20"/>
              </w:rPr>
            </w:pPr>
            <w:r w:rsidRPr="00F01EC8">
              <w:rPr>
                <w:rFonts w:cs="Arial"/>
                <w:i/>
                <w:iCs/>
                <w:sz w:val="20"/>
                <w:szCs w:val="20"/>
              </w:rPr>
              <w:t>(84.5%)</w:t>
            </w:r>
          </w:p>
        </w:tc>
      </w:tr>
      <w:tr w:rsidR="00F01EC8" w:rsidRPr="00F01EC8" w14:paraId="54B8F372" w14:textId="77777777" w:rsidTr="00F01EC8">
        <w:tc>
          <w:tcPr>
            <w:tcW w:w="5137" w:type="dxa"/>
            <w:vAlign w:val="bottom"/>
            <w:hideMark/>
          </w:tcPr>
          <w:p w14:paraId="641EB681" w14:textId="77777777" w:rsidR="00F01EC8" w:rsidRPr="00F01EC8" w:rsidRDefault="00F01EC8">
            <w:pPr>
              <w:pStyle w:val="NoSpacing"/>
              <w:spacing w:line="256" w:lineRule="auto"/>
              <w:rPr>
                <w:sz w:val="20"/>
                <w:szCs w:val="20"/>
              </w:rPr>
            </w:pPr>
            <w:r w:rsidRPr="00F01EC8">
              <w:rPr>
                <w:sz w:val="20"/>
                <w:szCs w:val="20"/>
              </w:rPr>
              <w:t>– CCD</w:t>
            </w:r>
          </w:p>
        </w:tc>
        <w:tc>
          <w:tcPr>
            <w:tcW w:w="1228" w:type="dxa"/>
            <w:vAlign w:val="bottom"/>
            <w:hideMark/>
          </w:tcPr>
          <w:p w14:paraId="094C55B3"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(37.6)</w:t>
            </w:r>
          </w:p>
        </w:tc>
        <w:tc>
          <w:tcPr>
            <w:tcW w:w="1228" w:type="dxa"/>
            <w:vAlign w:val="bottom"/>
            <w:hideMark/>
          </w:tcPr>
          <w:p w14:paraId="5080578B"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(15.1)</w:t>
            </w:r>
          </w:p>
        </w:tc>
        <w:tc>
          <w:tcPr>
            <w:tcW w:w="1229" w:type="dxa"/>
            <w:vAlign w:val="bottom"/>
            <w:hideMark/>
          </w:tcPr>
          <w:p w14:paraId="66AB4D14" w14:textId="77777777" w:rsidR="00F01EC8" w:rsidRPr="00F01EC8" w:rsidRDefault="00F01EC8" w:rsidP="00F01EC8">
            <w:pPr>
              <w:pStyle w:val="NoSpacing"/>
              <w:spacing w:line="256" w:lineRule="auto"/>
              <w:jc w:val="right"/>
              <w:rPr>
                <w:rFonts w:cstheme="minorHAnsi"/>
                <w:i/>
                <w:sz w:val="20"/>
                <w:szCs w:val="20"/>
              </w:rPr>
            </w:pPr>
            <w:r w:rsidRPr="00F01EC8">
              <w:rPr>
                <w:rFonts w:cs="Arial"/>
                <w:i/>
                <w:iCs/>
                <w:sz w:val="20"/>
                <w:szCs w:val="20"/>
              </w:rPr>
              <w:t>(149.0%)</w:t>
            </w:r>
          </w:p>
        </w:tc>
      </w:tr>
      <w:tr w:rsidR="00F01EC8" w:rsidRPr="00F01EC8" w14:paraId="09DE995F" w14:textId="77777777" w:rsidTr="00F01EC8">
        <w:tc>
          <w:tcPr>
            <w:tcW w:w="5137" w:type="dxa"/>
            <w:vAlign w:val="bottom"/>
            <w:hideMark/>
          </w:tcPr>
          <w:p w14:paraId="56604DEE" w14:textId="77777777" w:rsidR="00F01EC8" w:rsidRPr="00F01EC8" w:rsidRDefault="00F01EC8">
            <w:pPr>
              <w:pStyle w:val="NoSpacing"/>
              <w:spacing w:line="256" w:lineRule="auto"/>
              <w:rPr>
                <w:sz w:val="20"/>
                <w:szCs w:val="20"/>
              </w:rPr>
            </w:pPr>
            <w:r w:rsidRPr="00F01EC8">
              <w:rPr>
                <w:sz w:val="20"/>
                <w:szCs w:val="20"/>
              </w:rPr>
              <w:t>– Central costs</w:t>
            </w:r>
          </w:p>
        </w:tc>
        <w:tc>
          <w:tcPr>
            <w:tcW w:w="1228" w:type="dxa"/>
            <w:tcBorders>
              <w:top w:val="nil"/>
              <w:left w:val="nil"/>
              <w:bottom w:val="single" w:sz="4" w:space="0" w:color="auto"/>
              <w:right w:val="nil"/>
            </w:tcBorders>
            <w:vAlign w:val="bottom"/>
            <w:hideMark/>
          </w:tcPr>
          <w:p w14:paraId="479A846B"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(9.2)</w:t>
            </w:r>
          </w:p>
        </w:tc>
        <w:tc>
          <w:tcPr>
            <w:tcW w:w="1228" w:type="dxa"/>
            <w:tcBorders>
              <w:top w:val="nil"/>
              <w:left w:val="nil"/>
              <w:bottom w:val="single" w:sz="4" w:space="0" w:color="auto"/>
              <w:right w:val="nil"/>
            </w:tcBorders>
            <w:vAlign w:val="bottom"/>
            <w:hideMark/>
          </w:tcPr>
          <w:p w14:paraId="0DD6D85D"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(10.5)</w:t>
            </w:r>
          </w:p>
        </w:tc>
        <w:tc>
          <w:tcPr>
            <w:tcW w:w="1229" w:type="dxa"/>
            <w:tcBorders>
              <w:top w:val="nil"/>
              <w:left w:val="nil"/>
              <w:bottom w:val="single" w:sz="4" w:space="0" w:color="auto"/>
              <w:right w:val="nil"/>
            </w:tcBorders>
            <w:hideMark/>
          </w:tcPr>
          <w:p w14:paraId="063712F3"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12.4%</w:t>
            </w:r>
          </w:p>
        </w:tc>
      </w:tr>
      <w:tr w:rsidR="00F01EC8" w:rsidRPr="00F01EC8" w14:paraId="3D2AD0A5" w14:textId="77777777" w:rsidTr="00F01EC8">
        <w:tc>
          <w:tcPr>
            <w:tcW w:w="5137" w:type="dxa"/>
            <w:vAlign w:val="bottom"/>
            <w:hideMark/>
          </w:tcPr>
          <w:p w14:paraId="3BAE819E" w14:textId="77777777" w:rsidR="00F01EC8" w:rsidRPr="00F01EC8" w:rsidRDefault="00F01EC8">
            <w:pPr>
              <w:pStyle w:val="NoSpacing"/>
              <w:spacing w:line="256" w:lineRule="auto"/>
              <w:rPr>
                <w:bCs/>
                <w:sz w:val="20"/>
                <w:szCs w:val="20"/>
                <w:vertAlign w:val="superscript"/>
              </w:rPr>
            </w:pPr>
            <w:r w:rsidRPr="00F01EC8">
              <w:rPr>
                <w:bCs/>
                <w:sz w:val="20"/>
                <w:szCs w:val="20"/>
              </w:rPr>
              <w:t>Adjusted (loss)/profit before tax</w:t>
            </w:r>
            <w:r w:rsidRPr="00F01EC8">
              <w:rPr>
                <w:bCs/>
                <w:sz w:val="20"/>
                <w:szCs w:val="20"/>
                <w:vertAlign w:val="superscript"/>
              </w:rPr>
              <w:t>2</w:t>
            </w:r>
          </w:p>
        </w:tc>
        <w:tc>
          <w:tcPr>
            <w:tcW w:w="1228" w:type="dxa"/>
            <w:tcBorders>
              <w:top w:val="single" w:sz="4" w:space="0" w:color="auto"/>
              <w:left w:val="nil"/>
              <w:bottom w:val="single" w:sz="12" w:space="0" w:color="auto"/>
              <w:right w:val="nil"/>
            </w:tcBorders>
            <w:vAlign w:val="bottom"/>
            <w:hideMark/>
          </w:tcPr>
          <w:p w14:paraId="30AF5567"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(32.6)</w:t>
            </w:r>
          </w:p>
        </w:tc>
        <w:tc>
          <w:tcPr>
            <w:tcW w:w="1228" w:type="dxa"/>
            <w:tcBorders>
              <w:top w:val="single" w:sz="4" w:space="0" w:color="auto"/>
              <w:left w:val="nil"/>
              <w:bottom w:val="single" w:sz="12" w:space="0" w:color="auto"/>
              <w:right w:val="nil"/>
            </w:tcBorders>
            <w:vAlign w:val="bottom"/>
            <w:hideMark/>
          </w:tcPr>
          <w:p w14:paraId="516C2370" w14:textId="77777777" w:rsidR="00F01EC8" w:rsidRPr="00F01EC8" w:rsidRDefault="00F01EC8" w:rsidP="00F01EC8">
            <w:pPr>
              <w:pStyle w:val="NoSpacing"/>
              <w:spacing w:line="256" w:lineRule="auto"/>
              <w:jc w:val="right"/>
              <w:rPr>
                <w:rFonts w:cstheme="minorHAnsi"/>
                <w:sz w:val="20"/>
                <w:szCs w:val="20"/>
              </w:rPr>
            </w:pPr>
            <w:r w:rsidRPr="00F01EC8">
              <w:rPr>
                <w:rFonts w:cs="Arial"/>
                <w:sz w:val="20"/>
                <w:szCs w:val="20"/>
              </w:rPr>
              <w:t>80.4</w:t>
            </w:r>
          </w:p>
        </w:tc>
        <w:tc>
          <w:tcPr>
            <w:tcW w:w="1229" w:type="dxa"/>
            <w:tcBorders>
              <w:top w:val="single" w:sz="4" w:space="0" w:color="auto"/>
              <w:left w:val="nil"/>
              <w:bottom w:val="single" w:sz="12" w:space="0" w:color="auto"/>
              <w:right w:val="nil"/>
            </w:tcBorders>
            <w:hideMark/>
          </w:tcPr>
          <w:p w14:paraId="3C98636B"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(140.5%)</w:t>
            </w:r>
          </w:p>
        </w:tc>
      </w:tr>
      <w:tr w:rsidR="00F01EC8" w:rsidRPr="00F01EC8" w14:paraId="6D478AF7" w14:textId="77777777" w:rsidTr="00F01EC8">
        <w:tc>
          <w:tcPr>
            <w:tcW w:w="5137" w:type="dxa"/>
            <w:hideMark/>
          </w:tcPr>
          <w:p w14:paraId="2E931C70" w14:textId="77777777" w:rsidR="00F01EC8" w:rsidRPr="00F01EC8" w:rsidRDefault="00F01EC8">
            <w:pPr>
              <w:pStyle w:val="NoSpacing"/>
              <w:spacing w:line="256" w:lineRule="auto"/>
              <w:rPr>
                <w:bCs/>
                <w:sz w:val="20"/>
                <w:szCs w:val="20"/>
              </w:rPr>
            </w:pPr>
            <w:r w:rsidRPr="00F01EC8">
              <w:rPr>
                <w:sz w:val="20"/>
                <w:szCs w:val="20"/>
              </w:rPr>
              <w:t xml:space="preserve">Amortisation of acquisition intangibles </w:t>
            </w:r>
          </w:p>
        </w:tc>
        <w:tc>
          <w:tcPr>
            <w:tcW w:w="1228" w:type="dxa"/>
            <w:tcBorders>
              <w:top w:val="single" w:sz="12" w:space="0" w:color="auto"/>
              <w:left w:val="nil"/>
              <w:bottom w:val="nil"/>
              <w:right w:val="nil"/>
            </w:tcBorders>
            <w:vAlign w:val="bottom"/>
            <w:hideMark/>
          </w:tcPr>
          <w:p w14:paraId="5CB6CE00"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(3.7)</w:t>
            </w:r>
          </w:p>
        </w:tc>
        <w:tc>
          <w:tcPr>
            <w:tcW w:w="1228" w:type="dxa"/>
            <w:tcBorders>
              <w:top w:val="single" w:sz="12" w:space="0" w:color="auto"/>
              <w:left w:val="nil"/>
              <w:bottom w:val="nil"/>
              <w:right w:val="nil"/>
            </w:tcBorders>
            <w:vAlign w:val="bottom"/>
            <w:hideMark/>
          </w:tcPr>
          <w:p w14:paraId="6C09C39E"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(3.7)</w:t>
            </w:r>
          </w:p>
        </w:tc>
        <w:tc>
          <w:tcPr>
            <w:tcW w:w="1229" w:type="dxa"/>
            <w:tcBorders>
              <w:top w:val="single" w:sz="12" w:space="0" w:color="auto"/>
              <w:left w:val="nil"/>
              <w:bottom w:val="nil"/>
              <w:right w:val="nil"/>
            </w:tcBorders>
            <w:hideMark/>
          </w:tcPr>
          <w:p w14:paraId="4DA27AA3"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w:t>
            </w:r>
          </w:p>
        </w:tc>
      </w:tr>
      <w:tr w:rsidR="00F01EC8" w:rsidRPr="00F01EC8" w14:paraId="7C57B6B8" w14:textId="77777777" w:rsidTr="00F01EC8">
        <w:tc>
          <w:tcPr>
            <w:tcW w:w="5137" w:type="dxa"/>
            <w:hideMark/>
          </w:tcPr>
          <w:p w14:paraId="6CAB1812" w14:textId="28135BA1" w:rsidR="00F01EC8" w:rsidRPr="00F01EC8" w:rsidRDefault="00F01EC8">
            <w:pPr>
              <w:pStyle w:val="NoSpacing"/>
              <w:spacing w:line="256" w:lineRule="auto"/>
              <w:rPr>
                <w:bCs/>
                <w:sz w:val="20"/>
                <w:szCs w:val="20"/>
              </w:rPr>
            </w:pPr>
            <w:r w:rsidRPr="00F01EC8">
              <w:rPr>
                <w:sz w:val="20"/>
                <w:szCs w:val="20"/>
              </w:rPr>
              <w:t>Exceptional credit/</w:t>
            </w:r>
            <w:r w:rsidR="005E2D9E">
              <w:rPr>
                <w:sz w:val="20"/>
                <w:szCs w:val="20"/>
              </w:rPr>
              <w:t>(</w:t>
            </w:r>
            <w:r w:rsidRPr="00F01EC8">
              <w:rPr>
                <w:sz w:val="20"/>
                <w:szCs w:val="20"/>
              </w:rPr>
              <w:t>costs</w:t>
            </w:r>
            <w:r w:rsidR="005E2D9E">
              <w:rPr>
                <w:sz w:val="20"/>
                <w:szCs w:val="20"/>
              </w:rPr>
              <w:t>)</w:t>
            </w:r>
          </w:p>
        </w:tc>
        <w:tc>
          <w:tcPr>
            <w:tcW w:w="1228" w:type="dxa"/>
            <w:tcBorders>
              <w:top w:val="nil"/>
              <w:left w:val="nil"/>
              <w:bottom w:val="single" w:sz="4" w:space="0" w:color="auto"/>
              <w:right w:val="nil"/>
            </w:tcBorders>
            <w:vAlign w:val="bottom"/>
            <w:hideMark/>
          </w:tcPr>
          <w:p w14:paraId="7AC74B91" w14:textId="1A565514"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8.3</w:t>
            </w:r>
          </w:p>
        </w:tc>
        <w:tc>
          <w:tcPr>
            <w:tcW w:w="1228" w:type="dxa"/>
            <w:tcBorders>
              <w:top w:val="nil"/>
              <w:left w:val="nil"/>
              <w:bottom w:val="single" w:sz="4" w:space="0" w:color="auto"/>
              <w:right w:val="nil"/>
            </w:tcBorders>
            <w:vAlign w:val="bottom"/>
            <w:hideMark/>
          </w:tcPr>
          <w:p w14:paraId="4AAB0292" w14:textId="3CC11F2D" w:rsidR="00F01EC8" w:rsidRPr="00F01EC8" w:rsidRDefault="00DD6D48" w:rsidP="00F01EC8">
            <w:pPr>
              <w:pStyle w:val="NoSpacing"/>
              <w:spacing w:line="256" w:lineRule="auto"/>
              <w:jc w:val="right"/>
              <w:rPr>
                <w:rFonts w:cstheme="minorHAnsi"/>
                <w:sz w:val="20"/>
                <w:szCs w:val="20"/>
              </w:rPr>
            </w:pPr>
            <w:r>
              <w:rPr>
                <w:rFonts w:cstheme="minorHAnsi"/>
                <w:sz w:val="20"/>
                <w:szCs w:val="20"/>
              </w:rPr>
              <w:t>(</w:t>
            </w:r>
            <w:r w:rsidR="00F01EC8" w:rsidRPr="00F01EC8">
              <w:rPr>
                <w:rFonts w:cstheme="minorHAnsi"/>
                <w:sz w:val="20"/>
                <w:szCs w:val="20"/>
              </w:rPr>
              <w:t>33.6</w:t>
            </w:r>
            <w:r>
              <w:rPr>
                <w:rFonts w:cstheme="minorHAnsi"/>
                <w:sz w:val="20"/>
                <w:szCs w:val="20"/>
              </w:rPr>
              <w:t>)</w:t>
            </w:r>
          </w:p>
        </w:tc>
        <w:tc>
          <w:tcPr>
            <w:tcW w:w="1229" w:type="dxa"/>
            <w:tcBorders>
              <w:top w:val="nil"/>
              <w:left w:val="nil"/>
              <w:bottom w:val="single" w:sz="4" w:space="0" w:color="auto"/>
              <w:right w:val="nil"/>
            </w:tcBorders>
            <w:hideMark/>
          </w:tcPr>
          <w:p w14:paraId="1D8E6F7C"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124.7%</w:t>
            </w:r>
          </w:p>
        </w:tc>
      </w:tr>
      <w:tr w:rsidR="00F01EC8" w:rsidRPr="00F01EC8" w14:paraId="380E874D" w14:textId="77777777" w:rsidTr="00F01EC8">
        <w:tc>
          <w:tcPr>
            <w:tcW w:w="5137" w:type="dxa"/>
            <w:hideMark/>
          </w:tcPr>
          <w:p w14:paraId="4C09A668" w14:textId="3F5265D3" w:rsidR="00F01EC8" w:rsidRPr="00F01EC8" w:rsidRDefault="00F01EC8">
            <w:pPr>
              <w:pStyle w:val="NoSpacing"/>
              <w:spacing w:line="256" w:lineRule="auto"/>
              <w:rPr>
                <w:bCs/>
                <w:sz w:val="20"/>
                <w:szCs w:val="20"/>
              </w:rPr>
            </w:pPr>
            <w:r w:rsidRPr="00F01EC8">
              <w:rPr>
                <w:sz w:val="20"/>
                <w:szCs w:val="20"/>
              </w:rPr>
              <w:t>(Loss)/</w:t>
            </w:r>
            <w:r w:rsidR="00126BCD">
              <w:rPr>
                <w:sz w:val="20"/>
                <w:szCs w:val="20"/>
              </w:rPr>
              <w:t>p</w:t>
            </w:r>
            <w:r w:rsidRPr="00F01EC8">
              <w:rPr>
                <w:sz w:val="20"/>
                <w:szCs w:val="20"/>
              </w:rPr>
              <w:t>rofit before tax</w:t>
            </w:r>
          </w:p>
        </w:tc>
        <w:tc>
          <w:tcPr>
            <w:tcW w:w="1228" w:type="dxa"/>
            <w:tcBorders>
              <w:top w:val="single" w:sz="4" w:space="0" w:color="auto"/>
              <w:left w:val="nil"/>
              <w:bottom w:val="single" w:sz="4" w:space="0" w:color="auto"/>
              <w:right w:val="nil"/>
            </w:tcBorders>
            <w:vAlign w:val="bottom"/>
            <w:hideMark/>
          </w:tcPr>
          <w:p w14:paraId="2941BD79"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(28.0)</w:t>
            </w:r>
          </w:p>
        </w:tc>
        <w:tc>
          <w:tcPr>
            <w:tcW w:w="1228" w:type="dxa"/>
            <w:tcBorders>
              <w:top w:val="single" w:sz="4" w:space="0" w:color="auto"/>
              <w:left w:val="nil"/>
              <w:bottom w:val="single" w:sz="4" w:space="0" w:color="auto"/>
              <w:right w:val="nil"/>
            </w:tcBorders>
            <w:vAlign w:val="bottom"/>
            <w:hideMark/>
          </w:tcPr>
          <w:p w14:paraId="5A0E8EB1"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43.1</w:t>
            </w:r>
          </w:p>
        </w:tc>
        <w:tc>
          <w:tcPr>
            <w:tcW w:w="1229" w:type="dxa"/>
            <w:tcBorders>
              <w:top w:val="single" w:sz="4" w:space="0" w:color="auto"/>
              <w:left w:val="nil"/>
              <w:bottom w:val="single" w:sz="4" w:space="0" w:color="auto"/>
              <w:right w:val="nil"/>
            </w:tcBorders>
            <w:hideMark/>
          </w:tcPr>
          <w:p w14:paraId="7B84FDEE"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(165.0%)</w:t>
            </w:r>
          </w:p>
        </w:tc>
      </w:tr>
      <w:tr w:rsidR="00F01EC8" w:rsidRPr="00F01EC8" w14:paraId="62301090" w14:textId="77777777" w:rsidTr="00F01EC8">
        <w:tc>
          <w:tcPr>
            <w:tcW w:w="5137" w:type="dxa"/>
            <w:vAlign w:val="bottom"/>
          </w:tcPr>
          <w:p w14:paraId="206967EC" w14:textId="77777777" w:rsidR="00F01EC8" w:rsidRPr="00F01EC8" w:rsidRDefault="00F01EC8">
            <w:pPr>
              <w:pStyle w:val="NoSpacing"/>
              <w:spacing w:line="256" w:lineRule="auto"/>
              <w:rPr>
                <w:bCs/>
                <w:sz w:val="20"/>
                <w:szCs w:val="20"/>
              </w:rPr>
            </w:pPr>
          </w:p>
        </w:tc>
        <w:tc>
          <w:tcPr>
            <w:tcW w:w="1228" w:type="dxa"/>
            <w:tcBorders>
              <w:top w:val="single" w:sz="12" w:space="0" w:color="auto"/>
              <w:left w:val="nil"/>
              <w:bottom w:val="nil"/>
              <w:right w:val="nil"/>
            </w:tcBorders>
            <w:vAlign w:val="bottom"/>
          </w:tcPr>
          <w:p w14:paraId="06C47F23" w14:textId="77777777" w:rsidR="00F01EC8" w:rsidRPr="00F01EC8" w:rsidRDefault="00F01EC8" w:rsidP="00F01EC8">
            <w:pPr>
              <w:pStyle w:val="NoSpacing"/>
              <w:spacing w:line="256" w:lineRule="auto"/>
              <w:jc w:val="right"/>
              <w:rPr>
                <w:rFonts w:cstheme="minorHAnsi"/>
                <w:sz w:val="20"/>
                <w:szCs w:val="20"/>
              </w:rPr>
            </w:pPr>
          </w:p>
        </w:tc>
        <w:tc>
          <w:tcPr>
            <w:tcW w:w="1228" w:type="dxa"/>
            <w:tcBorders>
              <w:top w:val="single" w:sz="12" w:space="0" w:color="auto"/>
              <w:left w:val="nil"/>
              <w:bottom w:val="nil"/>
              <w:right w:val="nil"/>
            </w:tcBorders>
            <w:vAlign w:val="bottom"/>
          </w:tcPr>
          <w:p w14:paraId="3B4E103F" w14:textId="77777777" w:rsidR="00F01EC8" w:rsidRPr="00F01EC8" w:rsidRDefault="00F01EC8" w:rsidP="00F01EC8">
            <w:pPr>
              <w:pStyle w:val="NoSpacing"/>
              <w:spacing w:line="256" w:lineRule="auto"/>
              <w:jc w:val="right"/>
              <w:rPr>
                <w:rFonts w:cstheme="minorHAnsi"/>
                <w:sz w:val="20"/>
                <w:szCs w:val="20"/>
              </w:rPr>
            </w:pPr>
          </w:p>
        </w:tc>
        <w:tc>
          <w:tcPr>
            <w:tcW w:w="1229" w:type="dxa"/>
            <w:tcBorders>
              <w:top w:val="single" w:sz="12" w:space="0" w:color="auto"/>
              <w:left w:val="nil"/>
              <w:bottom w:val="nil"/>
              <w:right w:val="nil"/>
            </w:tcBorders>
          </w:tcPr>
          <w:p w14:paraId="3CD21302" w14:textId="77777777" w:rsidR="00F01EC8" w:rsidRPr="00F01EC8" w:rsidRDefault="00F01EC8" w:rsidP="00F01EC8">
            <w:pPr>
              <w:pStyle w:val="NoSpacing"/>
              <w:spacing w:line="256" w:lineRule="auto"/>
              <w:jc w:val="right"/>
              <w:rPr>
                <w:rFonts w:cstheme="minorHAnsi"/>
                <w:i/>
                <w:sz w:val="20"/>
                <w:szCs w:val="20"/>
              </w:rPr>
            </w:pPr>
          </w:p>
        </w:tc>
      </w:tr>
      <w:tr w:rsidR="00F01EC8" w:rsidRPr="00F01EC8" w14:paraId="67577480" w14:textId="77777777" w:rsidTr="00F01EC8">
        <w:tc>
          <w:tcPr>
            <w:tcW w:w="5137" w:type="dxa"/>
            <w:vAlign w:val="bottom"/>
            <w:hideMark/>
          </w:tcPr>
          <w:p w14:paraId="68F8402C" w14:textId="77777777" w:rsidR="00F01EC8" w:rsidRPr="00F01EC8" w:rsidRDefault="00F01EC8">
            <w:pPr>
              <w:pStyle w:val="NoSpacing"/>
              <w:spacing w:line="256" w:lineRule="auto"/>
              <w:rPr>
                <w:bCs/>
                <w:sz w:val="20"/>
                <w:szCs w:val="20"/>
              </w:rPr>
            </w:pPr>
            <w:r w:rsidRPr="00F01EC8">
              <w:rPr>
                <w:bCs/>
                <w:sz w:val="20"/>
                <w:szCs w:val="20"/>
              </w:rPr>
              <w:t>Adjusted basic EPS</w:t>
            </w:r>
            <w:r w:rsidRPr="00F01EC8">
              <w:rPr>
                <w:bCs/>
                <w:sz w:val="20"/>
                <w:szCs w:val="20"/>
                <w:vertAlign w:val="superscript"/>
              </w:rPr>
              <w:t>2</w:t>
            </w:r>
          </w:p>
        </w:tc>
        <w:tc>
          <w:tcPr>
            <w:tcW w:w="1228" w:type="dxa"/>
            <w:tcBorders>
              <w:top w:val="nil"/>
              <w:left w:val="nil"/>
              <w:bottom w:val="single" w:sz="12" w:space="0" w:color="auto"/>
              <w:right w:val="nil"/>
            </w:tcBorders>
            <w:vAlign w:val="bottom"/>
            <w:hideMark/>
          </w:tcPr>
          <w:p w14:paraId="16C2CC5A" w14:textId="77777777" w:rsidR="00F01EC8" w:rsidRPr="00F01EC8" w:rsidRDefault="00F01EC8" w:rsidP="00F01EC8">
            <w:pPr>
              <w:pStyle w:val="NoSpacing"/>
              <w:spacing w:line="256" w:lineRule="auto"/>
              <w:jc w:val="right"/>
              <w:rPr>
                <w:sz w:val="20"/>
                <w:szCs w:val="20"/>
              </w:rPr>
            </w:pPr>
            <w:r w:rsidRPr="00F01EC8">
              <w:rPr>
                <w:sz w:val="20"/>
                <w:szCs w:val="20"/>
              </w:rPr>
              <w:t>(10.1)</w:t>
            </w:r>
          </w:p>
        </w:tc>
        <w:tc>
          <w:tcPr>
            <w:tcW w:w="1228" w:type="dxa"/>
            <w:tcBorders>
              <w:top w:val="nil"/>
              <w:left w:val="nil"/>
              <w:bottom w:val="single" w:sz="12" w:space="0" w:color="auto"/>
              <w:right w:val="nil"/>
            </w:tcBorders>
            <w:vAlign w:val="bottom"/>
            <w:hideMark/>
          </w:tcPr>
          <w:p w14:paraId="4A264F8B" w14:textId="77777777" w:rsidR="00F01EC8" w:rsidRPr="00F01EC8" w:rsidRDefault="00F01EC8" w:rsidP="00F01EC8">
            <w:pPr>
              <w:pStyle w:val="NoSpacing"/>
              <w:spacing w:line="256" w:lineRule="auto"/>
              <w:jc w:val="right"/>
              <w:rPr>
                <w:sz w:val="20"/>
                <w:szCs w:val="20"/>
              </w:rPr>
            </w:pPr>
            <w:r w:rsidRPr="00F01EC8">
              <w:rPr>
                <w:sz w:val="20"/>
                <w:szCs w:val="20"/>
              </w:rPr>
              <w:t>23.4</w:t>
            </w:r>
          </w:p>
        </w:tc>
        <w:tc>
          <w:tcPr>
            <w:tcW w:w="1229" w:type="dxa"/>
            <w:tcBorders>
              <w:top w:val="nil"/>
              <w:left w:val="nil"/>
              <w:bottom w:val="single" w:sz="12" w:space="0" w:color="auto"/>
              <w:right w:val="nil"/>
            </w:tcBorders>
            <w:hideMark/>
          </w:tcPr>
          <w:p w14:paraId="3AC65FD6"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(143.2%)</w:t>
            </w:r>
          </w:p>
        </w:tc>
      </w:tr>
      <w:tr w:rsidR="00F01EC8" w:rsidRPr="00F01EC8" w14:paraId="145A466E" w14:textId="77777777" w:rsidTr="00F01EC8">
        <w:tc>
          <w:tcPr>
            <w:tcW w:w="5137" w:type="dxa"/>
            <w:vAlign w:val="bottom"/>
            <w:hideMark/>
          </w:tcPr>
          <w:p w14:paraId="211D3196" w14:textId="77777777" w:rsidR="00F01EC8" w:rsidRPr="00F01EC8" w:rsidRDefault="00F01EC8">
            <w:pPr>
              <w:pStyle w:val="NoSpacing"/>
              <w:spacing w:line="256" w:lineRule="auto"/>
              <w:rPr>
                <w:bCs/>
                <w:sz w:val="20"/>
                <w:szCs w:val="20"/>
              </w:rPr>
            </w:pPr>
            <w:r w:rsidRPr="00F01EC8">
              <w:rPr>
                <w:bCs/>
                <w:sz w:val="20"/>
                <w:szCs w:val="20"/>
              </w:rPr>
              <w:t>Basic EPS</w:t>
            </w:r>
          </w:p>
        </w:tc>
        <w:tc>
          <w:tcPr>
            <w:tcW w:w="1228" w:type="dxa"/>
            <w:tcBorders>
              <w:top w:val="nil"/>
              <w:left w:val="nil"/>
              <w:bottom w:val="single" w:sz="12" w:space="0" w:color="auto"/>
              <w:right w:val="nil"/>
            </w:tcBorders>
            <w:hideMark/>
          </w:tcPr>
          <w:p w14:paraId="78040E39"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(9.1)</w:t>
            </w:r>
          </w:p>
        </w:tc>
        <w:tc>
          <w:tcPr>
            <w:tcW w:w="1228" w:type="dxa"/>
            <w:tcBorders>
              <w:top w:val="nil"/>
              <w:left w:val="nil"/>
              <w:bottom w:val="single" w:sz="12" w:space="0" w:color="auto"/>
              <w:right w:val="nil"/>
            </w:tcBorders>
            <w:hideMark/>
          </w:tcPr>
          <w:p w14:paraId="4EA28C87"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9.7</w:t>
            </w:r>
          </w:p>
        </w:tc>
        <w:tc>
          <w:tcPr>
            <w:tcW w:w="1229" w:type="dxa"/>
            <w:tcBorders>
              <w:top w:val="nil"/>
              <w:left w:val="nil"/>
              <w:bottom w:val="single" w:sz="12" w:space="0" w:color="auto"/>
              <w:right w:val="nil"/>
            </w:tcBorders>
            <w:hideMark/>
          </w:tcPr>
          <w:p w14:paraId="4CF5FF91" w14:textId="77777777"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(193.8%)</w:t>
            </w:r>
          </w:p>
        </w:tc>
      </w:tr>
      <w:tr w:rsidR="00F01EC8" w:rsidRPr="00F01EC8" w14:paraId="7CDC4C96" w14:textId="77777777" w:rsidTr="00F01EC8">
        <w:tc>
          <w:tcPr>
            <w:tcW w:w="5137" w:type="dxa"/>
            <w:vAlign w:val="bottom"/>
            <w:hideMark/>
          </w:tcPr>
          <w:p w14:paraId="664C9AE3" w14:textId="77777777" w:rsidR="00F01EC8" w:rsidRPr="00F01EC8" w:rsidRDefault="00F01EC8">
            <w:pPr>
              <w:pStyle w:val="NoSpacing"/>
              <w:spacing w:line="256" w:lineRule="auto"/>
              <w:rPr>
                <w:bCs/>
                <w:sz w:val="20"/>
                <w:szCs w:val="20"/>
                <w:vertAlign w:val="superscript"/>
              </w:rPr>
            </w:pPr>
            <w:r w:rsidRPr="00F01EC8">
              <w:rPr>
                <w:bCs/>
                <w:sz w:val="20"/>
                <w:szCs w:val="20"/>
              </w:rPr>
              <w:t>Annualised RORE</w:t>
            </w:r>
            <w:r w:rsidRPr="00F01EC8">
              <w:rPr>
                <w:bCs/>
                <w:sz w:val="20"/>
                <w:szCs w:val="20"/>
                <w:vertAlign w:val="superscript"/>
              </w:rPr>
              <w:t>3</w:t>
            </w:r>
          </w:p>
        </w:tc>
        <w:tc>
          <w:tcPr>
            <w:tcW w:w="1228" w:type="dxa"/>
            <w:tcBorders>
              <w:top w:val="single" w:sz="12" w:space="0" w:color="auto"/>
              <w:left w:val="nil"/>
              <w:bottom w:val="single" w:sz="12" w:space="0" w:color="auto"/>
              <w:right w:val="nil"/>
            </w:tcBorders>
            <w:vAlign w:val="bottom"/>
            <w:hideMark/>
          </w:tcPr>
          <w:p w14:paraId="23DEE7C2"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6.4%</w:t>
            </w:r>
          </w:p>
        </w:tc>
        <w:tc>
          <w:tcPr>
            <w:tcW w:w="1228" w:type="dxa"/>
            <w:tcBorders>
              <w:top w:val="single" w:sz="12" w:space="0" w:color="auto"/>
              <w:left w:val="nil"/>
              <w:bottom w:val="single" w:sz="12" w:space="0" w:color="auto"/>
              <w:right w:val="nil"/>
            </w:tcBorders>
            <w:vAlign w:val="bottom"/>
            <w:hideMark/>
          </w:tcPr>
          <w:p w14:paraId="396DC988" w14:textId="77777777" w:rsidR="00F01EC8" w:rsidRPr="00F01EC8" w:rsidRDefault="00F01EC8" w:rsidP="00F01EC8">
            <w:pPr>
              <w:pStyle w:val="NoSpacing"/>
              <w:spacing w:line="256" w:lineRule="auto"/>
              <w:jc w:val="right"/>
              <w:rPr>
                <w:rFonts w:cstheme="minorHAnsi"/>
                <w:sz w:val="20"/>
                <w:szCs w:val="20"/>
              </w:rPr>
            </w:pPr>
            <w:r w:rsidRPr="00F01EC8">
              <w:rPr>
                <w:rFonts w:cstheme="minorHAnsi"/>
                <w:sz w:val="20"/>
                <w:szCs w:val="20"/>
              </w:rPr>
              <w:t>22.9%</w:t>
            </w:r>
          </w:p>
        </w:tc>
        <w:tc>
          <w:tcPr>
            <w:tcW w:w="1229" w:type="dxa"/>
            <w:tcBorders>
              <w:top w:val="single" w:sz="12" w:space="0" w:color="auto"/>
              <w:left w:val="nil"/>
              <w:bottom w:val="single" w:sz="12" w:space="0" w:color="auto"/>
              <w:right w:val="nil"/>
            </w:tcBorders>
            <w:hideMark/>
          </w:tcPr>
          <w:p w14:paraId="43D927E5" w14:textId="78A4D79C" w:rsidR="00F01EC8" w:rsidRPr="00F01EC8" w:rsidRDefault="00F01EC8" w:rsidP="00F01EC8">
            <w:pPr>
              <w:pStyle w:val="NoSpacing"/>
              <w:spacing w:line="256" w:lineRule="auto"/>
              <w:jc w:val="right"/>
              <w:rPr>
                <w:rFonts w:cstheme="minorHAnsi"/>
                <w:i/>
                <w:sz w:val="20"/>
                <w:szCs w:val="20"/>
              </w:rPr>
            </w:pPr>
            <w:r w:rsidRPr="00F01EC8">
              <w:rPr>
                <w:rFonts w:cstheme="minorHAnsi"/>
                <w:i/>
                <w:sz w:val="20"/>
                <w:szCs w:val="20"/>
              </w:rPr>
              <w:t>(72.</w:t>
            </w:r>
            <w:r w:rsidR="00126BCD">
              <w:rPr>
                <w:rFonts w:cstheme="minorHAnsi"/>
                <w:i/>
                <w:sz w:val="20"/>
                <w:szCs w:val="20"/>
              </w:rPr>
              <w:t>1</w:t>
            </w:r>
            <w:r w:rsidR="00EF6F4D">
              <w:rPr>
                <w:rFonts w:cstheme="minorHAnsi"/>
                <w:i/>
                <w:sz w:val="20"/>
                <w:szCs w:val="20"/>
              </w:rPr>
              <w:t>%</w:t>
            </w:r>
            <w:r w:rsidRPr="00F01EC8">
              <w:rPr>
                <w:rFonts w:cstheme="minorHAnsi"/>
                <w:i/>
                <w:sz w:val="20"/>
                <w:szCs w:val="20"/>
              </w:rPr>
              <w:t>)</w:t>
            </w:r>
          </w:p>
        </w:tc>
      </w:tr>
    </w:tbl>
    <w:p w14:paraId="2A7312E0" w14:textId="77777777" w:rsidR="00F01EC8" w:rsidRPr="00F01EC8" w:rsidRDefault="00F01EC8" w:rsidP="00F01EC8">
      <w:pPr>
        <w:jc w:val="both"/>
        <w:rPr>
          <w:rFonts w:asciiTheme="minorHAnsi" w:hAnsiTheme="minorHAnsi" w:cs="Arial"/>
          <w:sz w:val="20"/>
          <w:szCs w:val="20"/>
          <w:lang w:eastAsia="en-US"/>
        </w:rPr>
      </w:pPr>
    </w:p>
    <w:p w14:paraId="1BA7E2EF" w14:textId="77777777" w:rsidR="00F01EC8" w:rsidRPr="005E2D9E" w:rsidRDefault="00F01EC8" w:rsidP="00F01EC8">
      <w:pPr>
        <w:ind w:left="284" w:hanging="284"/>
        <w:jc w:val="both"/>
        <w:rPr>
          <w:rFonts w:asciiTheme="minorHAnsi" w:hAnsiTheme="minorHAnsi" w:cs="Arial"/>
          <w:i/>
          <w:sz w:val="20"/>
          <w:szCs w:val="20"/>
          <w:vertAlign w:val="superscript"/>
        </w:rPr>
      </w:pPr>
      <w:r w:rsidRPr="00F01EC8">
        <w:rPr>
          <w:rFonts w:asciiTheme="minorHAnsi" w:hAnsiTheme="minorHAnsi" w:cs="Arial"/>
          <w:i/>
          <w:sz w:val="20"/>
          <w:szCs w:val="20"/>
          <w:vertAlign w:val="superscript"/>
        </w:rPr>
        <w:t>1</w:t>
      </w:r>
      <w:r w:rsidRPr="00F01EC8">
        <w:rPr>
          <w:rFonts w:asciiTheme="minorHAnsi" w:hAnsiTheme="minorHAnsi" w:cs="Arial"/>
          <w:i/>
          <w:sz w:val="20"/>
          <w:szCs w:val="20"/>
          <w:vertAlign w:val="superscript"/>
        </w:rPr>
        <w:tab/>
      </w:r>
      <w:r w:rsidRPr="00F01EC8">
        <w:rPr>
          <w:rFonts w:asciiTheme="minorHAnsi" w:hAnsiTheme="minorHAnsi"/>
          <w:i/>
          <w:sz w:val="20"/>
          <w:szCs w:val="20"/>
        </w:rPr>
        <w:t xml:space="preserve">The 2019 June comparatives have been restated to incorporate two changes in accounting policies reflected in the 2019 financial statements: (i) change in treatment of directly attributable deferred acquisition costs in Vanquis Bank; and (ii) changes in the recognition of revenue on credit impaired receivables and treatment of directly attributable </w:t>
      </w:r>
      <w:r w:rsidRPr="005E2D9E">
        <w:rPr>
          <w:rFonts w:asciiTheme="minorHAnsi" w:hAnsiTheme="minorHAnsi"/>
          <w:i/>
          <w:sz w:val="20"/>
          <w:szCs w:val="20"/>
        </w:rPr>
        <w:t>acquisition costs in Moneybarn.</w:t>
      </w:r>
    </w:p>
    <w:p w14:paraId="12B9B036" w14:textId="45D11F09" w:rsidR="00F01EC8" w:rsidRPr="005E2D9E" w:rsidRDefault="00F01EC8" w:rsidP="00F01EC8">
      <w:pPr>
        <w:ind w:left="284" w:hanging="284"/>
        <w:jc w:val="both"/>
        <w:rPr>
          <w:rFonts w:asciiTheme="minorHAnsi" w:hAnsiTheme="minorHAnsi" w:cs="Arial"/>
          <w:i/>
          <w:sz w:val="20"/>
          <w:szCs w:val="20"/>
        </w:rPr>
      </w:pPr>
      <w:r w:rsidRPr="005E2D9E">
        <w:rPr>
          <w:rFonts w:asciiTheme="minorHAnsi" w:hAnsiTheme="minorHAnsi" w:cs="Arial"/>
          <w:i/>
          <w:sz w:val="20"/>
          <w:szCs w:val="20"/>
          <w:vertAlign w:val="superscript"/>
        </w:rPr>
        <w:t>2</w:t>
      </w:r>
      <w:r w:rsidRPr="005E2D9E">
        <w:rPr>
          <w:rFonts w:asciiTheme="minorHAnsi" w:hAnsiTheme="minorHAnsi" w:cs="Arial"/>
          <w:i/>
          <w:sz w:val="20"/>
          <w:szCs w:val="20"/>
        </w:rPr>
        <w:tab/>
        <w:t xml:space="preserve">Adjusted </w:t>
      </w:r>
      <w:r w:rsidR="00126BCD">
        <w:rPr>
          <w:rFonts w:asciiTheme="minorHAnsi" w:hAnsiTheme="minorHAnsi" w:cs="Arial"/>
          <w:i/>
          <w:sz w:val="20"/>
          <w:szCs w:val="20"/>
        </w:rPr>
        <w:t>(loss)/</w:t>
      </w:r>
      <w:r w:rsidRPr="005E2D9E">
        <w:rPr>
          <w:rFonts w:asciiTheme="minorHAnsi" w:hAnsiTheme="minorHAnsi" w:cs="Arial"/>
          <w:i/>
          <w:sz w:val="20"/>
          <w:szCs w:val="20"/>
        </w:rPr>
        <w:t>profit before tax is stated before: (i) £</w:t>
      </w:r>
      <w:r w:rsidRPr="005E2D9E">
        <w:rPr>
          <w:rFonts w:asciiTheme="minorHAnsi" w:hAnsiTheme="minorHAnsi" w:cstheme="minorHAnsi"/>
          <w:i/>
          <w:sz w:val="20"/>
          <w:szCs w:val="20"/>
        </w:rPr>
        <w:t>3.7</w:t>
      </w:r>
      <w:r w:rsidRPr="005E2D9E">
        <w:rPr>
          <w:rFonts w:asciiTheme="minorHAnsi" w:hAnsiTheme="minorHAnsi" w:cs="Arial"/>
          <w:i/>
          <w:sz w:val="20"/>
          <w:szCs w:val="20"/>
        </w:rPr>
        <w:t xml:space="preserve">m of amortisation in respect of acquisition intangibles established as part of the acquisition of Moneybarn in August 2014 (2019: £3.7m); and (ii) an exceptional credit of £8.3m (2019: </w:t>
      </w:r>
      <w:r w:rsidR="005E2D9E" w:rsidRPr="005E2D9E">
        <w:rPr>
          <w:rFonts w:asciiTheme="minorHAnsi" w:hAnsiTheme="minorHAnsi" w:cs="Arial"/>
          <w:i/>
          <w:sz w:val="20"/>
          <w:szCs w:val="20"/>
        </w:rPr>
        <w:t xml:space="preserve">cost of </w:t>
      </w:r>
      <w:r w:rsidRPr="005E2D9E">
        <w:rPr>
          <w:rFonts w:asciiTheme="minorHAnsi" w:hAnsiTheme="minorHAnsi" w:cs="Arial"/>
          <w:i/>
          <w:sz w:val="20"/>
          <w:szCs w:val="20"/>
        </w:rPr>
        <w:t xml:space="preserve">£33.6m) </w:t>
      </w:r>
      <w:r w:rsidRPr="005714EF">
        <w:rPr>
          <w:rStyle w:val="Strong"/>
          <w:rFonts w:asciiTheme="minorHAnsi" w:hAnsiTheme="minorHAnsi"/>
          <w:b w:val="0"/>
          <w:bCs w:val="0"/>
          <w:i/>
          <w:sz w:val="20"/>
          <w:szCs w:val="20"/>
        </w:rPr>
        <w:t>following the completion of the ROP refund programme in 2019 and the re-evaluation of the forward flow of claims that may arise in respect of ROP in future. In 2019,</w:t>
      </w:r>
      <w:r w:rsidR="005E2D9E" w:rsidRPr="005714EF">
        <w:rPr>
          <w:rStyle w:val="Strong"/>
          <w:rFonts w:asciiTheme="minorHAnsi" w:hAnsiTheme="minorHAnsi"/>
          <w:b w:val="0"/>
          <w:bCs w:val="0"/>
          <w:i/>
          <w:sz w:val="20"/>
          <w:szCs w:val="20"/>
        </w:rPr>
        <w:t xml:space="preserve"> the</w:t>
      </w:r>
      <w:r w:rsidRPr="005714EF">
        <w:rPr>
          <w:rStyle w:val="Strong"/>
          <w:rFonts w:asciiTheme="minorHAnsi" w:hAnsiTheme="minorHAnsi"/>
          <w:b w:val="0"/>
          <w:bCs w:val="0"/>
          <w:i/>
          <w:sz w:val="20"/>
          <w:szCs w:val="20"/>
        </w:rPr>
        <w:t xml:space="preserve"> exceptional </w:t>
      </w:r>
      <w:r w:rsidR="005E2D9E" w:rsidRPr="005714EF">
        <w:rPr>
          <w:rStyle w:val="Strong"/>
          <w:rFonts w:asciiTheme="minorHAnsi" w:hAnsiTheme="minorHAnsi"/>
          <w:b w:val="0"/>
          <w:bCs w:val="0"/>
          <w:i/>
          <w:sz w:val="20"/>
          <w:szCs w:val="20"/>
        </w:rPr>
        <w:t xml:space="preserve">cost </w:t>
      </w:r>
      <w:r w:rsidRPr="005714EF">
        <w:rPr>
          <w:rStyle w:val="Strong"/>
          <w:rFonts w:asciiTheme="minorHAnsi" w:hAnsiTheme="minorHAnsi"/>
          <w:b w:val="0"/>
          <w:bCs w:val="0"/>
          <w:i/>
          <w:sz w:val="20"/>
          <w:szCs w:val="20"/>
        </w:rPr>
        <w:t xml:space="preserve">of £33.6m included: (i) £23.6m of defence costs associated with Non-Standard Finance’s (NSF’s) unsolicited offer; and (ii) £10.0m in relation to the turnaround of the home credit business. </w:t>
      </w:r>
    </w:p>
    <w:p w14:paraId="78A9C2BC" w14:textId="77777777" w:rsidR="00F01EC8" w:rsidRPr="005E2D9E" w:rsidRDefault="00F01EC8" w:rsidP="00F01EC8">
      <w:pPr>
        <w:ind w:left="284" w:hanging="284"/>
        <w:jc w:val="both"/>
        <w:rPr>
          <w:rFonts w:asciiTheme="minorHAnsi" w:hAnsiTheme="minorHAnsi" w:cs="Arial"/>
          <w:i/>
          <w:sz w:val="20"/>
          <w:szCs w:val="20"/>
        </w:rPr>
      </w:pPr>
      <w:r w:rsidRPr="005E2D9E">
        <w:rPr>
          <w:rFonts w:asciiTheme="minorHAnsi" w:hAnsiTheme="minorHAnsi" w:cs="Arial"/>
          <w:i/>
          <w:sz w:val="20"/>
          <w:szCs w:val="20"/>
          <w:vertAlign w:val="superscript"/>
        </w:rPr>
        <w:t>3</w:t>
      </w:r>
      <w:r w:rsidRPr="005E2D9E">
        <w:rPr>
          <w:rFonts w:asciiTheme="minorHAnsi" w:hAnsiTheme="minorHAnsi" w:cs="Arial"/>
          <w:i/>
          <w:sz w:val="20"/>
          <w:szCs w:val="20"/>
          <w:vertAlign w:val="superscript"/>
        </w:rPr>
        <w:tab/>
      </w:r>
      <w:r w:rsidRPr="005E2D9E">
        <w:rPr>
          <w:rFonts w:asciiTheme="minorHAnsi" w:hAnsiTheme="minorHAnsi" w:cs="Arial"/>
          <w:i/>
          <w:sz w:val="20"/>
          <w:szCs w:val="20"/>
        </w:rPr>
        <w:t>Return on average required regulatory capital (RORE) reflects annualised statutory profit after tax divided by the annualised average monthly regulatory capital requirement.</w:t>
      </w:r>
    </w:p>
    <w:p w14:paraId="23A08C34" w14:textId="77777777" w:rsidR="00F01EC8" w:rsidRPr="00F01EC8" w:rsidRDefault="00F01EC8" w:rsidP="00F01EC8">
      <w:pPr>
        <w:pStyle w:val="NoSpacing"/>
        <w:jc w:val="both"/>
        <w:rPr>
          <w:rStyle w:val="Strong"/>
          <w:sz w:val="20"/>
          <w:szCs w:val="20"/>
        </w:rPr>
      </w:pPr>
    </w:p>
    <w:p w14:paraId="612F5B90" w14:textId="1CEEEDE0" w:rsidR="00F01EC8" w:rsidRPr="00F01EC8" w:rsidRDefault="00F01EC8" w:rsidP="00F01EC8">
      <w:pPr>
        <w:pStyle w:val="NoSpacing"/>
        <w:jc w:val="both"/>
        <w:rPr>
          <w:rStyle w:val="Strong"/>
          <w:b w:val="0"/>
          <w:bCs w:val="0"/>
          <w:sz w:val="20"/>
          <w:szCs w:val="20"/>
        </w:rPr>
      </w:pPr>
      <w:r w:rsidRPr="00F01EC8">
        <w:rPr>
          <w:rStyle w:val="Strong"/>
          <w:b w:val="0"/>
          <w:bCs w:val="0"/>
          <w:sz w:val="20"/>
          <w:szCs w:val="20"/>
        </w:rPr>
        <w:t>Group adjusted loss before tax of £32.6m (H1’19 PBT</w:t>
      </w:r>
      <w:r w:rsidR="005E2D9E">
        <w:rPr>
          <w:rStyle w:val="Strong"/>
          <w:b w:val="0"/>
          <w:bCs w:val="0"/>
          <w:sz w:val="20"/>
          <w:szCs w:val="20"/>
        </w:rPr>
        <w:t xml:space="preserve"> restated</w:t>
      </w:r>
      <w:r w:rsidRPr="00F01EC8">
        <w:rPr>
          <w:rStyle w:val="Strong"/>
          <w:b w:val="0"/>
          <w:bCs w:val="0"/>
          <w:sz w:val="20"/>
          <w:szCs w:val="20"/>
        </w:rPr>
        <w:t>: £80.4m) is favourable when compared to internal plans but lower year-on-year driven by lower revenues, driven by lower receivables, and higher impairment charges driven by Covid-19. Group statutory loss before tax of £28.0m (H1’19 PBT</w:t>
      </w:r>
      <w:r w:rsidR="005E2D9E">
        <w:rPr>
          <w:rStyle w:val="Strong"/>
          <w:b w:val="0"/>
          <w:bCs w:val="0"/>
          <w:sz w:val="20"/>
          <w:szCs w:val="20"/>
        </w:rPr>
        <w:t xml:space="preserve"> restated</w:t>
      </w:r>
      <w:r w:rsidRPr="00F01EC8">
        <w:rPr>
          <w:rStyle w:val="Strong"/>
          <w:b w:val="0"/>
          <w:bCs w:val="0"/>
          <w:sz w:val="20"/>
          <w:szCs w:val="20"/>
        </w:rPr>
        <w:t xml:space="preserve">: £43.1m) includes an exceptional provision release of £8.3m (H1’19: </w:t>
      </w:r>
      <w:r w:rsidR="00DD6D48">
        <w:rPr>
          <w:rStyle w:val="Strong"/>
          <w:b w:val="0"/>
          <w:bCs w:val="0"/>
          <w:sz w:val="20"/>
          <w:szCs w:val="20"/>
        </w:rPr>
        <w:t xml:space="preserve">exceptional cost of </w:t>
      </w:r>
      <w:r w:rsidRPr="00F01EC8">
        <w:rPr>
          <w:rStyle w:val="Strong"/>
          <w:b w:val="0"/>
          <w:bCs w:val="0"/>
          <w:sz w:val="20"/>
          <w:szCs w:val="20"/>
        </w:rPr>
        <w:t>£33.6m) following the completion of the ROP refund programme in 2019 and the re-evaluation of the forward flow of claims that may arise in respect of ROP in future.</w:t>
      </w:r>
    </w:p>
    <w:p w14:paraId="70D897C0" w14:textId="77777777" w:rsidR="00F01EC8" w:rsidRPr="00F01EC8" w:rsidRDefault="00F01EC8" w:rsidP="00F01EC8">
      <w:pPr>
        <w:pStyle w:val="NoSpacing"/>
        <w:jc w:val="both"/>
        <w:rPr>
          <w:rStyle w:val="Strong"/>
          <w:sz w:val="20"/>
          <w:szCs w:val="20"/>
        </w:rPr>
      </w:pPr>
    </w:p>
    <w:p w14:paraId="404284EE" w14:textId="6008945F" w:rsidR="00F01EC8" w:rsidRPr="00F01EC8" w:rsidRDefault="00F01EC8" w:rsidP="00F01EC8">
      <w:pPr>
        <w:pStyle w:val="NoSpacing"/>
        <w:jc w:val="both"/>
        <w:rPr>
          <w:sz w:val="20"/>
          <w:szCs w:val="20"/>
        </w:rPr>
      </w:pPr>
      <w:r w:rsidRPr="00F01EC8">
        <w:rPr>
          <w:sz w:val="20"/>
          <w:szCs w:val="20"/>
        </w:rPr>
        <w:t>As a result of the Covid-19 pandemic, for the first six months, Vanquis Bank has reported profit before tax for the period of £11.8m (H1’19</w:t>
      </w:r>
      <w:r w:rsidR="005E2D9E">
        <w:rPr>
          <w:sz w:val="20"/>
          <w:szCs w:val="20"/>
        </w:rPr>
        <w:t xml:space="preserve"> restated</w:t>
      </w:r>
      <w:r w:rsidRPr="00F01EC8">
        <w:rPr>
          <w:sz w:val="20"/>
          <w:szCs w:val="20"/>
        </w:rPr>
        <w:t>: £90.5m) and receivables ended the period at £1,202m (H1’19: £1,465</w:t>
      </w:r>
      <w:r w:rsidR="007D0A8C">
        <w:rPr>
          <w:sz w:val="20"/>
          <w:szCs w:val="20"/>
        </w:rPr>
        <w:t>m</w:t>
      </w:r>
      <w:r w:rsidRPr="00F01EC8">
        <w:rPr>
          <w:sz w:val="20"/>
          <w:szCs w:val="20"/>
        </w:rPr>
        <w:t xml:space="preserve">). </w:t>
      </w:r>
    </w:p>
    <w:p w14:paraId="44491AF6" w14:textId="77777777" w:rsidR="00DD6D48" w:rsidRDefault="00DD6D48" w:rsidP="00F01EC8">
      <w:pPr>
        <w:pStyle w:val="NoSpacing"/>
        <w:jc w:val="both"/>
        <w:rPr>
          <w:sz w:val="20"/>
          <w:szCs w:val="20"/>
        </w:rPr>
      </w:pPr>
    </w:p>
    <w:p w14:paraId="52F272C1" w14:textId="591487E8" w:rsidR="00F01EC8" w:rsidRPr="00F01EC8" w:rsidRDefault="00F01EC8" w:rsidP="00F01EC8">
      <w:pPr>
        <w:pStyle w:val="NoSpacing"/>
        <w:jc w:val="both"/>
        <w:rPr>
          <w:sz w:val="20"/>
          <w:szCs w:val="20"/>
        </w:rPr>
      </w:pPr>
      <w:r w:rsidRPr="00F01EC8">
        <w:rPr>
          <w:sz w:val="20"/>
          <w:szCs w:val="20"/>
        </w:rPr>
        <w:t>For the first six months of the year, Moneybarn generated a profit before tax of £2.4m (H1’19: £15.5m), with the reduction driven by a significant increase in impairment due to the macroeconomic climate brought about by Covid-19.</w:t>
      </w:r>
    </w:p>
    <w:p w14:paraId="3A293D37" w14:textId="77777777" w:rsidR="00F01EC8" w:rsidRPr="00F01EC8" w:rsidRDefault="00F01EC8" w:rsidP="00F01EC8">
      <w:pPr>
        <w:pStyle w:val="NoSpacing"/>
        <w:jc w:val="both"/>
        <w:rPr>
          <w:rStyle w:val="Strong"/>
          <w:sz w:val="20"/>
          <w:szCs w:val="20"/>
        </w:rPr>
      </w:pPr>
    </w:p>
    <w:p w14:paraId="5B1E3E6C" w14:textId="3877D1EB" w:rsidR="00F01EC8" w:rsidRPr="00F01EC8" w:rsidRDefault="00F01EC8" w:rsidP="00F01EC8">
      <w:pPr>
        <w:pStyle w:val="NoSpacing"/>
        <w:jc w:val="both"/>
        <w:rPr>
          <w:sz w:val="20"/>
          <w:szCs w:val="20"/>
        </w:rPr>
      </w:pPr>
      <w:r w:rsidRPr="00F01EC8">
        <w:rPr>
          <w:sz w:val="20"/>
          <w:szCs w:val="20"/>
        </w:rPr>
        <w:t>For the first six months, CCD reported a loss before tax of £37.6m, down from a loss before tax for H1’19 of £15.1m but significantly better than internal plans. The loss for the period reflects lower revenue being partially offset by a lower cost base.</w:t>
      </w:r>
    </w:p>
    <w:p w14:paraId="324D8E1A" w14:textId="77777777" w:rsidR="00F01EC8" w:rsidRPr="00F01EC8" w:rsidRDefault="00F01EC8" w:rsidP="00F01EC8">
      <w:pPr>
        <w:pStyle w:val="NoSpacing"/>
        <w:jc w:val="both"/>
        <w:rPr>
          <w:rStyle w:val="Strong"/>
          <w:sz w:val="20"/>
          <w:szCs w:val="20"/>
        </w:rPr>
      </w:pPr>
    </w:p>
    <w:p w14:paraId="64513F41" w14:textId="67291B67" w:rsidR="00F01EC8" w:rsidRDefault="00F01EC8" w:rsidP="00F01EC8">
      <w:pPr>
        <w:pStyle w:val="NoSpacing"/>
        <w:jc w:val="both"/>
        <w:rPr>
          <w:rStyle w:val="Strong"/>
          <w:b w:val="0"/>
          <w:sz w:val="20"/>
          <w:szCs w:val="20"/>
        </w:rPr>
      </w:pPr>
      <w:r w:rsidRPr="00F01EC8">
        <w:rPr>
          <w:rStyle w:val="Strong"/>
          <w:b w:val="0"/>
          <w:sz w:val="20"/>
          <w:szCs w:val="20"/>
        </w:rPr>
        <w:t xml:space="preserve">The Group reported a basic loss per share of 9.1p for </w:t>
      </w:r>
      <w:r w:rsidR="00126BCD">
        <w:rPr>
          <w:rStyle w:val="Strong"/>
          <w:b w:val="0"/>
          <w:sz w:val="20"/>
          <w:szCs w:val="20"/>
        </w:rPr>
        <w:t>the</w:t>
      </w:r>
      <w:r w:rsidRPr="00F01EC8">
        <w:rPr>
          <w:rStyle w:val="Strong"/>
          <w:b w:val="0"/>
          <w:sz w:val="20"/>
          <w:szCs w:val="20"/>
        </w:rPr>
        <w:t xml:space="preserve"> period </w:t>
      </w:r>
      <w:r w:rsidR="00126BCD">
        <w:rPr>
          <w:rStyle w:val="Strong"/>
          <w:b w:val="0"/>
          <w:sz w:val="20"/>
          <w:szCs w:val="20"/>
        </w:rPr>
        <w:t>down from</w:t>
      </w:r>
      <w:r w:rsidRPr="00F01EC8">
        <w:rPr>
          <w:rStyle w:val="Strong"/>
          <w:b w:val="0"/>
          <w:sz w:val="20"/>
          <w:szCs w:val="20"/>
        </w:rPr>
        <w:t xml:space="preserve"> a basic earnings per share of 9.7p in H1’19. This reflects the loss making position of the Group, driven by lower receivables, offset by a tax credit of £4.9m. On an adjusted basis, the Group reported a loss per share of 10.1p</w:t>
      </w:r>
      <w:r w:rsidR="00DD6D48">
        <w:rPr>
          <w:rStyle w:val="Strong"/>
          <w:b w:val="0"/>
          <w:sz w:val="20"/>
          <w:szCs w:val="20"/>
        </w:rPr>
        <w:t xml:space="preserve"> </w:t>
      </w:r>
      <w:r w:rsidR="005E2D9E">
        <w:rPr>
          <w:rStyle w:val="Strong"/>
          <w:b w:val="0"/>
          <w:sz w:val="20"/>
          <w:szCs w:val="20"/>
        </w:rPr>
        <w:t xml:space="preserve">down from </w:t>
      </w:r>
      <w:r w:rsidRPr="00F01EC8">
        <w:rPr>
          <w:rStyle w:val="Strong"/>
          <w:b w:val="0"/>
          <w:sz w:val="20"/>
          <w:szCs w:val="20"/>
        </w:rPr>
        <w:t xml:space="preserve">23.4p in H1’19. </w:t>
      </w:r>
    </w:p>
    <w:p w14:paraId="2719AFB7" w14:textId="77777777" w:rsidR="00EF6F4D" w:rsidRPr="00F01EC8" w:rsidRDefault="00EF6F4D" w:rsidP="00F01EC8">
      <w:pPr>
        <w:pStyle w:val="NoSpacing"/>
        <w:jc w:val="both"/>
        <w:rPr>
          <w:rStyle w:val="Strong"/>
          <w:b w:val="0"/>
          <w:sz w:val="20"/>
          <w:szCs w:val="20"/>
        </w:rPr>
      </w:pPr>
    </w:p>
    <w:p w14:paraId="1714B7B5" w14:textId="6DA3D935" w:rsidR="00EF6F4D" w:rsidRPr="005714EF" w:rsidRDefault="00EF6F4D" w:rsidP="00F01EC8">
      <w:pPr>
        <w:pStyle w:val="NoSpacing"/>
        <w:jc w:val="both"/>
        <w:rPr>
          <w:rStyle w:val="Strong"/>
          <w:b w:val="0"/>
          <w:sz w:val="20"/>
          <w:szCs w:val="20"/>
        </w:rPr>
      </w:pPr>
      <w:r w:rsidRPr="005714EF">
        <w:rPr>
          <w:rStyle w:val="Strong"/>
          <w:b w:val="0"/>
          <w:sz w:val="20"/>
          <w:szCs w:val="20"/>
        </w:rPr>
        <w:t xml:space="preserve">The </w:t>
      </w:r>
      <w:r>
        <w:rPr>
          <w:rStyle w:val="Strong"/>
          <w:b w:val="0"/>
          <w:sz w:val="20"/>
          <w:szCs w:val="20"/>
        </w:rPr>
        <w:t xml:space="preserve">Group generated an annualised RORE of 6.4%, down from a RORE of 22.9% in H1’19, reflecting a </w:t>
      </w:r>
      <w:r w:rsidR="00680F6F">
        <w:rPr>
          <w:rStyle w:val="Strong"/>
          <w:b w:val="0"/>
          <w:sz w:val="20"/>
          <w:szCs w:val="20"/>
        </w:rPr>
        <w:t xml:space="preserve">72% reduction in annualised statutory profits on a relatively flat annualised regulatory </w:t>
      </w:r>
      <w:r w:rsidR="005E2D9E">
        <w:rPr>
          <w:rStyle w:val="Strong"/>
          <w:b w:val="0"/>
          <w:sz w:val="20"/>
          <w:szCs w:val="20"/>
        </w:rPr>
        <w:t xml:space="preserve">capital </w:t>
      </w:r>
      <w:r w:rsidR="00680F6F">
        <w:rPr>
          <w:rStyle w:val="Strong"/>
          <w:b w:val="0"/>
          <w:sz w:val="20"/>
          <w:szCs w:val="20"/>
        </w:rPr>
        <w:t xml:space="preserve">requirement. </w:t>
      </w:r>
    </w:p>
    <w:p w14:paraId="299CF19F" w14:textId="3DF37244" w:rsidR="00F01EC8" w:rsidRDefault="00F01EC8">
      <w:pPr>
        <w:rPr>
          <w:rStyle w:val="Strong"/>
          <w:rFonts w:asciiTheme="minorHAnsi" w:hAnsiTheme="minorHAnsi"/>
          <w:sz w:val="20"/>
          <w:szCs w:val="20"/>
        </w:rPr>
      </w:pPr>
    </w:p>
    <w:p w14:paraId="0F40CC57" w14:textId="2308F49D" w:rsidR="00F01EC8" w:rsidRPr="00F01EC8" w:rsidRDefault="00F01EC8" w:rsidP="00F01EC8">
      <w:pPr>
        <w:rPr>
          <w:rStyle w:val="Strong"/>
          <w:rFonts w:asciiTheme="minorHAnsi" w:hAnsiTheme="minorHAnsi"/>
          <w:sz w:val="20"/>
          <w:szCs w:val="20"/>
        </w:rPr>
      </w:pPr>
      <w:r w:rsidRPr="00F01EC8">
        <w:rPr>
          <w:rStyle w:val="Strong"/>
          <w:rFonts w:asciiTheme="minorHAnsi" w:hAnsiTheme="minorHAnsi"/>
          <w:sz w:val="20"/>
          <w:szCs w:val="20"/>
        </w:rPr>
        <w:lastRenderedPageBreak/>
        <w:t>Impairment provisioning</w:t>
      </w:r>
    </w:p>
    <w:p w14:paraId="43EBD26A" w14:textId="77777777" w:rsidR="00F01EC8" w:rsidRPr="00F01EC8" w:rsidRDefault="00F01EC8" w:rsidP="00F01EC8">
      <w:pPr>
        <w:pStyle w:val="NoSpacing"/>
        <w:jc w:val="both"/>
        <w:rPr>
          <w:sz w:val="20"/>
          <w:szCs w:val="20"/>
        </w:rPr>
      </w:pPr>
      <w:r w:rsidRPr="00F01EC8">
        <w:rPr>
          <w:sz w:val="20"/>
          <w:szCs w:val="20"/>
        </w:rPr>
        <w:t xml:space="preserve">The Group is the leading provider of credit to the underserved in the UK. Our customers have similar traits across all our businesses: they manage their lives on low to average incomes; may have irregular or variable earnings and are often new to credit in the UK or have little or no credit history. It is for these reasons that the impairment provisions held are higher than those which would be reported by prime banks on similar products. </w:t>
      </w:r>
    </w:p>
    <w:p w14:paraId="48F3F7CF" w14:textId="77777777" w:rsidR="00F01EC8" w:rsidRPr="00F01EC8" w:rsidRDefault="00F01EC8" w:rsidP="00F01EC8">
      <w:pPr>
        <w:pStyle w:val="NoSpacing"/>
        <w:jc w:val="both"/>
        <w:rPr>
          <w:sz w:val="20"/>
          <w:szCs w:val="20"/>
        </w:rPr>
      </w:pPr>
    </w:p>
    <w:p w14:paraId="5276AF18" w14:textId="1D362297" w:rsidR="00F01EC8" w:rsidRPr="00F01EC8" w:rsidRDefault="00F01EC8" w:rsidP="00F01EC8">
      <w:pPr>
        <w:pStyle w:val="NoSpacing"/>
        <w:jc w:val="both"/>
        <w:rPr>
          <w:rFonts w:cs="Arial"/>
          <w:color w:val="000000"/>
          <w:sz w:val="20"/>
          <w:szCs w:val="20"/>
        </w:rPr>
      </w:pPr>
      <w:r w:rsidRPr="00F01EC8">
        <w:rPr>
          <w:rFonts w:cs="Arial"/>
          <w:color w:val="000000"/>
          <w:sz w:val="20"/>
          <w:szCs w:val="20"/>
        </w:rPr>
        <w:t xml:space="preserve">The Group’s </w:t>
      </w:r>
      <w:r w:rsidR="00F440A9">
        <w:rPr>
          <w:rFonts w:cs="Arial"/>
          <w:color w:val="000000"/>
          <w:sz w:val="20"/>
          <w:szCs w:val="20"/>
        </w:rPr>
        <w:t xml:space="preserve">IFRS 9 impairment </w:t>
      </w:r>
      <w:r w:rsidRPr="00F01EC8">
        <w:rPr>
          <w:rFonts w:cs="Arial"/>
          <w:color w:val="000000"/>
          <w:sz w:val="20"/>
          <w:szCs w:val="20"/>
        </w:rPr>
        <w:t>coverage ratio</w:t>
      </w:r>
      <w:r w:rsidR="00F440A9">
        <w:rPr>
          <w:rFonts w:cs="Arial"/>
          <w:color w:val="000000"/>
          <w:sz w:val="20"/>
          <w:szCs w:val="20"/>
        </w:rPr>
        <w:t xml:space="preserve"> (gross receivables divided by impairment provision)</w:t>
      </w:r>
      <w:r w:rsidRPr="00F01EC8">
        <w:rPr>
          <w:rFonts w:cs="Arial"/>
          <w:color w:val="000000"/>
          <w:sz w:val="20"/>
          <w:szCs w:val="20"/>
        </w:rPr>
        <w:t xml:space="preserve"> has increased in the period from 28.3% to 33.5% which reflects increases across all divisions:</w:t>
      </w:r>
    </w:p>
    <w:p w14:paraId="2E27FEF7" w14:textId="77777777" w:rsidR="00F01EC8" w:rsidRPr="00F01EC8" w:rsidRDefault="00F01EC8" w:rsidP="00F01EC8">
      <w:pPr>
        <w:pStyle w:val="NoSpacing"/>
        <w:rPr>
          <w:rFonts w:cs="Arial"/>
          <w:color w:val="000000"/>
          <w:sz w:val="20"/>
          <w:szCs w:val="20"/>
        </w:rPr>
      </w:pPr>
    </w:p>
    <w:tbl>
      <w:tblPr>
        <w:tblStyle w:val="TableGrid"/>
        <w:tblW w:w="0" w:type="auto"/>
        <w:tblInd w:w="897" w:type="dxa"/>
        <w:tblLook w:val="04A0" w:firstRow="1" w:lastRow="0" w:firstColumn="1" w:lastColumn="0" w:noHBand="0" w:noVBand="1"/>
      </w:tblPr>
      <w:tblGrid>
        <w:gridCol w:w="1803"/>
        <w:gridCol w:w="1803"/>
        <w:gridCol w:w="1803"/>
        <w:gridCol w:w="1803"/>
      </w:tblGrid>
      <w:tr w:rsidR="00F01EC8" w:rsidRPr="00F01EC8" w14:paraId="2F891EA0" w14:textId="77777777" w:rsidTr="00F01EC8">
        <w:tc>
          <w:tcPr>
            <w:tcW w:w="1803" w:type="dxa"/>
            <w:tcBorders>
              <w:top w:val="single" w:sz="4" w:space="0" w:color="auto"/>
              <w:left w:val="single" w:sz="4" w:space="0" w:color="auto"/>
              <w:bottom w:val="single" w:sz="4" w:space="0" w:color="auto"/>
              <w:right w:val="single" w:sz="4" w:space="0" w:color="auto"/>
            </w:tcBorders>
            <w:vAlign w:val="center"/>
          </w:tcPr>
          <w:p w14:paraId="4F6D1C00" w14:textId="77777777" w:rsidR="00F01EC8" w:rsidRPr="00F01EC8" w:rsidRDefault="00F01EC8">
            <w:pPr>
              <w:jc w:val="center"/>
              <w:rPr>
                <w:rFonts w:asciiTheme="minorHAnsi" w:hAnsiTheme="minorHAnsi" w:cs="Arial"/>
                <w:b/>
                <w:color w:val="000000"/>
                <w:sz w:val="20"/>
                <w:szCs w:val="20"/>
              </w:rPr>
            </w:pPr>
          </w:p>
        </w:tc>
        <w:tc>
          <w:tcPr>
            <w:tcW w:w="1803" w:type="dxa"/>
            <w:tcBorders>
              <w:top w:val="single" w:sz="4" w:space="0" w:color="auto"/>
              <w:left w:val="single" w:sz="4" w:space="0" w:color="auto"/>
              <w:bottom w:val="single" w:sz="4" w:space="0" w:color="auto"/>
              <w:right w:val="single" w:sz="4" w:space="0" w:color="auto"/>
            </w:tcBorders>
            <w:vAlign w:val="center"/>
            <w:hideMark/>
          </w:tcPr>
          <w:p w14:paraId="27D816C6" w14:textId="77777777" w:rsidR="00F01EC8" w:rsidRPr="00F01EC8" w:rsidRDefault="00F01EC8" w:rsidP="00F01EC8">
            <w:pPr>
              <w:jc w:val="right"/>
              <w:rPr>
                <w:rFonts w:asciiTheme="minorHAnsi" w:hAnsiTheme="minorHAnsi" w:cs="Arial"/>
                <w:b/>
                <w:color w:val="000000"/>
                <w:sz w:val="20"/>
                <w:szCs w:val="20"/>
              </w:rPr>
            </w:pPr>
            <w:r w:rsidRPr="00F01EC8">
              <w:rPr>
                <w:rFonts w:asciiTheme="minorHAnsi" w:hAnsiTheme="minorHAnsi" w:cs="Arial"/>
                <w:b/>
                <w:color w:val="000000"/>
                <w:sz w:val="20"/>
                <w:szCs w:val="20"/>
              </w:rPr>
              <w:t>June-20</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7EE7D8D" w14:textId="77777777" w:rsidR="00F01EC8" w:rsidRPr="00F01EC8" w:rsidRDefault="00F01EC8" w:rsidP="00F01EC8">
            <w:pPr>
              <w:jc w:val="right"/>
              <w:rPr>
                <w:rFonts w:asciiTheme="minorHAnsi" w:hAnsiTheme="minorHAnsi" w:cs="Arial"/>
                <w:b/>
                <w:color w:val="000000"/>
                <w:sz w:val="20"/>
                <w:szCs w:val="20"/>
              </w:rPr>
            </w:pPr>
            <w:r w:rsidRPr="00F01EC8">
              <w:rPr>
                <w:rFonts w:asciiTheme="minorHAnsi" w:hAnsiTheme="minorHAnsi" w:cs="Arial"/>
                <w:b/>
                <w:color w:val="000000"/>
                <w:sz w:val="20"/>
                <w:szCs w:val="20"/>
              </w:rPr>
              <w:t>December-19</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35358FA" w14:textId="77777777" w:rsidR="00F01EC8" w:rsidRPr="00F01EC8" w:rsidRDefault="00F01EC8" w:rsidP="00F01EC8">
            <w:pPr>
              <w:jc w:val="right"/>
              <w:rPr>
                <w:rFonts w:asciiTheme="minorHAnsi" w:hAnsiTheme="minorHAnsi" w:cs="Arial"/>
                <w:b/>
                <w:color w:val="000000"/>
                <w:sz w:val="20"/>
                <w:szCs w:val="20"/>
              </w:rPr>
            </w:pPr>
            <w:r w:rsidRPr="00F01EC8">
              <w:rPr>
                <w:rFonts w:asciiTheme="minorHAnsi" w:hAnsiTheme="minorHAnsi" w:cs="Arial"/>
                <w:b/>
                <w:color w:val="000000"/>
                <w:sz w:val="20"/>
                <w:szCs w:val="20"/>
              </w:rPr>
              <w:t>Increase</w:t>
            </w:r>
          </w:p>
        </w:tc>
      </w:tr>
      <w:tr w:rsidR="00F01EC8" w:rsidRPr="00F01EC8" w14:paraId="4919E533" w14:textId="77777777" w:rsidTr="00F01EC8">
        <w:tc>
          <w:tcPr>
            <w:tcW w:w="1803" w:type="dxa"/>
            <w:tcBorders>
              <w:top w:val="single" w:sz="4" w:space="0" w:color="auto"/>
              <w:left w:val="single" w:sz="4" w:space="0" w:color="auto"/>
              <w:bottom w:val="single" w:sz="4" w:space="0" w:color="auto"/>
              <w:right w:val="single" w:sz="4" w:space="0" w:color="auto"/>
            </w:tcBorders>
            <w:vAlign w:val="center"/>
          </w:tcPr>
          <w:p w14:paraId="3A68B59F" w14:textId="77777777" w:rsidR="00F01EC8" w:rsidRPr="00F01EC8" w:rsidRDefault="00F01EC8">
            <w:pPr>
              <w:jc w:val="center"/>
              <w:rPr>
                <w:rFonts w:asciiTheme="minorHAnsi" w:hAnsiTheme="minorHAnsi" w:cs="Arial"/>
                <w:color w:val="000000"/>
                <w:sz w:val="20"/>
                <w:szCs w:val="20"/>
              </w:rPr>
            </w:pPr>
          </w:p>
        </w:tc>
        <w:tc>
          <w:tcPr>
            <w:tcW w:w="1803" w:type="dxa"/>
            <w:tcBorders>
              <w:top w:val="single" w:sz="4" w:space="0" w:color="auto"/>
              <w:left w:val="single" w:sz="4" w:space="0" w:color="auto"/>
              <w:bottom w:val="single" w:sz="4" w:space="0" w:color="auto"/>
              <w:right w:val="single" w:sz="4" w:space="0" w:color="auto"/>
            </w:tcBorders>
            <w:vAlign w:val="center"/>
          </w:tcPr>
          <w:p w14:paraId="5E0C68E8" w14:textId="77777777" w:rsidR="00F01EC8" w:rsidRPr="00F01EC8" w:rsidRDefault="00F01EC8" w:rsidP="00F01EC8">
            <w:pPr>
              <w:jc w:val="right"/>
              <w:rPr>
                <w:rFonts w:asciiTheme="minorHAnsi" w:hAnsiTheme="minorHAnsi" w:cs="Arial"/>
                <w:color w:val="000000"/>
                <w:sz w:val="20"/>
                <w:szCs w:val="20"/>
              </w:rPr>
            </w:pPr>
          </w:p>
        </w:tc>
        <w:tc>
          <w:tcPr>
            <w:tcW w:w="1803" w:type="dxa"/>
            <w:tcBorders>
              <w:top w:val="single" w:sz="4" w:space="0" w:color="auto"/>
              <w:left w:val="single" w:sz="4" w:space="0" w:color="auto"/>
              <w:bottom w:val="single" w:sz="4" w:space="0" w:color="auto"/>
              <w:right w:val="single" w:sz="4" w:space="0" w:color="auto"/>
            </w:tcBorders>
            <w:vAlign w:val="center"/>
          </w:tcPr>
          <w:p w14:paraId="1D216573" w14:textId="77777777" w:rsidR="00F01EC8" w:rsidRPr="00F01EC8" w:rsidRDefault="00F01EC8" w:rsidP="00F01EC8">
            <w:pPr>
              <w:jc w:val="right"/>
              <w:rPr>
                <w:rFonts w:asciiTheme="minorHAnsi" w:hAnsiTheme="minorHAnsi" w:cs="Arial"/>
                <w:color w:val="000000"/>
                <w:sz w:val="20"/>
                <w:szCs w:val="20"/>
              </w:rPr>
            </w:pPr>
          </w:p>
        </w:tc>
        <w:tc>
          <w:tcPr>
            <w:tcW w:w="1803" w:type="dxa"/>
            <w:tcBorders>
              <w:top w:val="single" w:sz="4" w:space="0" w:color="auto"/>
              <w:left w:val="single" w:sz="4" w:space="0" w:color="auto"/>
              <w:bottom w:val="single" w:sz="4" w:space="0" w:color="auto"/>
              <w:right w:val="single" w:sz="4" w:space="0" w:color="auto"/>
            </w:tcBorders>
            <w:vAlign w:val="center"/>
          </w:tcPr>
          <w:p w14:paraId="253DA619" w14:textId="77777777" w:rsidR="00F01EC8" w:rsidRPr="00F01EC8" w:rsidRDefault="00F01EC8" w:rsidP="00F01EC8">
            <w:pPr>
              <w:jc w:val="right"/>
              <w:rPr>
                <w:rFonts w:asciiTheme="minorHAnsi" w:hAnsiTheme="minorHAnsi" w:cs="Arial"/>
                <w:color w:val="000000"/>
                <w:sz w:val="20"/>
                <w:szCs w:val="20"/>
              </w:rPr>
            </w:pPr>
          </w:p>
        </w:tc>
      </w:tr>
      <w:tr w:rsidR="00F01EC8" w:rsidRPr="00F01EC8" w14:paraId="70DBD6DA" w14:textId="77777777" w:rsidTr="00F01EC8">
        <w:tc>
          <w:tcPr>
            <w:tcW w:w="1803" w:type="dxa"/>
            <w:tcBorders>
              <w:top w:val="single" w:sz="4" w:space="0" w:color="auto"/>
              <w:left w:val="single" w:sz="4" w:space="0" w:color="auto"/>
              <w:bottom w:val="single" w:sz="4" w:space="0" w:color="auto"/>
              <w:right w:val="single" w:sz="4" w:space="0" w:color="auto"/>
            </w:tcBorders>
            <w:vAlign w:val="center"/>
            <w:hideMark/>
          </w:tcPr>
          <w:p w14:paraId="017AA063" w14:textId="77777777" w:rsidR="00F01EC8" w:rsidRPr="00F01EC8" w:rsidRDefault="00F01EC8">
            <w:pPr>
              <w:jc w:val="center"/>
              <w:rPr>
                <w:rFonts w:asciiTheme="minorHAnsi" w:hAnsiTheme="minorHAnsi" w:cs="Arial"/>
                <w:color w:val="000000"/>
                <w:sz w:val="20"/>
                <w:szCs w:val="20"/>
              </w:rPr>
            </w:pPr>
            <w:r w:rsidRPr="00F01EC8">
              <w:rPr>
                <w:rFonts w:asciiTheme="minorHAnsi" w:hAnsiTheme="minorHAnsi" w:cs="Arial"/>
                <w:color w:val="000000"/>
                <w:sz w:val="20"/>
                <w:szCs w:val="20"/>
              </w:rPr>
              <w:t>Vanquis Bank</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86794AF"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27.4%</w:t>
            </w:r>
          </w:p>
        </w:tc>
        <w:tc>
          <w:tcPr>
            <w:tcW w:w="1803" w:type="dxa"/>
            <w:tcBorders>
              <w:top w:val="single" w:sz="4" w:space="0" w:color="auto"/>
              <w:left w:val="single" w:sz="4" w:space="0" w:color="auto"/>
              <w:bottom w:val="single" w:sz="4" w:space="0" w:color="auto"/>
              <w:right w:val="single" w:sz="4" w:space="0" w:color="auto"/>
            </w:tcBorders>
            <w:vAlign w:val="center"/>
            <w:hideMark/>
          </w:tcPr>
          <w:p w14:paraId="18BFE98D"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23.2%</w:t>
            </w:r>
          </w:p>
        </w:tc>
        <w:tc>
          <w:tcPr>
            <w:tcW w:w="1803" w:type="dxa"/>
            <w:tcBorders>
              <w:top w:val="single" w:sz="4" w:space="0" w:color="auto"/>
              <w:left w:val="single" w:sz="4" w:space="0" w:color="auto"/>
              <w:bottom w:val="single" w:sz="4" w:space="0" w:color="auto"/>
              <w:right w:val="single" w:sz="4" w:space="0" w:color="auto"/>
            </w:tcBorders>
            <w:vAlign w:val="center"/>
            <w:hideMark/>
          </w:tcPr>
          <w:p w14:paraId="156F7B5A"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4.2%</w:t>
            </w:r>
          </w:p>
        </w:tc>
      </w:tr>
      <w:tr w:rsidR="00F01EC8" w:rsidRPr="00F01EC8" w14:paraId="4BAB2E54" w14:textId="77777777" w:rsidTr="00F01EC8">
        <w:tc>
          <w:tcPr>
            <w:tcW w:w="1803" w:type="dxa"/>
            <w:tcBorders>
              <w:top w:val="single" w:sz="4" w:space="0" w:color="auto"/>
              <w:left w:val="single" w:sz="4" w:space="0" w:color="auto"/>
              <w:bottom w:val="single" w:sz="4" w:space="0" w:color="auto"/>
              <w:right w:val="single" w:sz="4" w:space="0" w:color="auto"/>
            </w:tcBorders>
            <w:vAlign w:val="center"/>
            <w:hideMark/>
          </w:tcPr>
          <w:p w14:paraId="3CCE5B03" w14:textId="77777777" w:rsidR="00F01EC8" w:rsidRPr="00F01EC8" w:rsidRDefault="00F01EC8">
            <w:pPr>
              <w:jc w:val="center"/>
              <w:rPr>
                <w:rFonts w:asciiTheme="minorHAnsi" w:hAnsiTheme="minorHAnsi" w:cs="Arial"/>
                <w:color w:val="000000"/>
                <w:sz w:val="20"/>
                <w:szCs w:val="20"/>
              </w:rPr>
            </w:pPr>
            <w:r w:rsidRPr="00F01EC8">
              <w:rPr>
                <w:rFonts w:asciiTheme="minorHAnsi" w:hAnsiTheme="minorHAnsi" w:cs="Arial"/>
                <w:color w:val="000000"/>
                <w:sz w:val="20"/>
                <w:szCs w:val="20"/>
              </w:rPr>
              <w:t>Moneybarn</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38658A2"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18.8%</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40310D2"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14.4%</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4A93D8D" w14:textId="2A0E4C99"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4.</w:t>
            </w:r>
            <w:r w:rsidR="00126BCD">
              <w:rPr>
                <w:rFonts w:asciiTheme="minorHAnsi" w:hAnsiTheme="minorHAnsi" w:cs="Arial"/>
                <w:color w:val="000000"/>
                <w:sz w:val="20"/>
                <w:szCs w:val="20"/>
              </w:rPr>
              <w:t>4</w:t>
            </w:r>
            <w:r w:rsidRPr="00F01EC8">
              <w:rPr>
                <w:rFonts w:asciiTheme="minorHAnsi" w:hAnsiTheme="minorHAnsi" w:cs="Arial"/>
                <w:color w:val="000000"/>
                <w:sz w:val="20"/>
                <w:szCs w:val="20"/>
              </w:rPr>
              <w:t>%</w:t>
            </w:r>
          </w:p>
        </w:tc>
      </w:tr>
      <w:tr w:rsidR="00F01EC8" w:rsidRPr="00F01EC8" w14:paraId="6C99B236" w14:textId="77777777" w:rsidTr="00F01EC8">
        <w:tc>
          <w:tcPr>
            <w:tcW w:w="1803" w:type="dxa"/>
            <w:tcBorders>
              <w:top w:val="single" w:sz="4" w:space="0" w:color="auto"/>
              <w:left w:val="single" w:sz="4" w:space="0" w:color="auto"/>
              <w:bottom w:val="single" w:sz="4" w:space="0" w:color="auto"/>
              <w:right w:val="single" w:sz="4" w:space="0" w:color="auto"/>
            </w:tcBorders>
            <w:vAlign w:val="center"/>
            <w:hideMark/>
          </w:tcPr>
          <w:p w14:paraId="011D19C5" w14:textId="77777777" w:rsidR="00F01EC8" w:rsidRPr="00F01EC8" w:rsidRDefault="00F01EC8">
            <w:pPr>
              <w:jc w:val="center"/>
              <w:rPr>
                <w:rFonts w:asciiTheme="minorHAnsi" w:hAnsiTheme="minorHAnsi" w:cs="Arial"/>
                <w:color w:val="000000"/>
                <w:sz w:val="20"/>
                <w:szCs w:val="20"/>
              </w:rPr>
            </w:pPr>
            <w:r w:rsidRPr="00F01EC8">
              <w:rPr>
                <w:rFonts w:asciiTheme="minorHAnsi" w:hAnsiTheme="minorHAnsi" w:cs="Arial"/>
                <w:color w:val="000000"/>
                <w:sz w:val="20"/>
                <w:szCs w:val="20"/>
              </w:rPr>
              <w:t>CCD</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4725875"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71.6%</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1B85BB1"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58.1%</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8A27CC7" w14:textId="77777777" w:rsidR="00F01EC8" w:rsidRPr="00F01EC8" w:rsidRDefault="00F01EC8" w:rsidP="00F01EC8">
            <w:pPr>
              <w:jc w:val="right"/>
              <w:rPr>
                <w:rFonts w:asciiTheme="minorHAnsi" w:hAnsiTheme="minorHAnsi" w:cs="Arial"/>
                <w:color w:val="000000"/>
                <w:sz w:val="20"/>
                <w:szCs w:val="20"/>
              </w:rPr>
            </w:pPr>
            <w:r w:rsidRPr="00F01EC8">
              <w:rPr>
                <w:rFonts w:asciiTheme="minorHAnsi" w:hAnsiTheme="minorHAnsi" w:cs="Arial"/>
                <w:color w:val="000000"/>
                <w:sz w:val="20"/>
                <w:szCs w:val="20"/>
              </w:rPr>
              <w:t>13.5%</w:t>
            </w:r>
          </w:p>
        </w:tc>
      </w:tr>
      <w:tr w:rsidR="00F01EC8" w:rsidRPr="00F01EC8" w14:paraId="3FBE0F13" w14:textId="77777777" w:rsidTr="00F01EC8">
        <w:tc>
          <w:tcPr>
            <w:tcW w:w="1803" w:type="dxa"/>
            <w:tcBorders>
              <w:top w:val="single" w:sz="4" w:space="0" w:color="auto"/>
              <w:left w:val="single" w:sz="4" w:space="0" w:color="auto"/>
              <w:bottom w:val="single" w:sz="4" w:space="0" w:color="auto"/>
              <w:right w:val="single" w:sz="4" w:space="0" w:color="auto"/>
            </w:tcBorders>
            <w:vAlign w:val="center"/>
            <w:hideMark/>
          </w:tcPr>
          <w:p w14:paraId="5F56AC3D" w14:textId="77777777" w:rsidR="00F01EC8" w:rsidRPr="00F01EC8" w:rsidRDefault="00F01EC8">
            <w:pPr>
              <w:jc w:val="center"/>
              <w:rPr>
                <w:rFonts w:asciiTheme="minorHAnsi" w:hAnsiTheme="minorHAnsi" w:cs="Arial"/>
                <w:b/>
                <w:color w:val="000000"/>
                <w:sz w:val="20"/>
                <w:szCs w:val="20"/>
              </w:rPr>
            </w:pPr>
            <w:r w:rsidRPr="00F01EC8">
              <w:rPr>
                <w:rFonts w:asciiTheme="minorHAnsi" w:hAnsiTheme="minorHAnsi" w:cs="Arial"/>
                <w:b/>
                <w:color w:val="000000"/>
                <w:sz w:val="20"/>
                <w:szCs w:val="20"/>
              </w:rPr>
              <w:t>Group</w:t>
            </w:r>
          </w:p>
        </w:tc>
        <w:tc>
          <w:tcPr>
            <w:tcW w:w="1803" w:type="dxa"/>
            <w:tcBorders>
              <w:top w:val="single" w:sz="4" w:space="0" w:color="auto"/>
              <w:left w:val="single" w:sz="4" w:space="0" w:color="auto"/>
              <w:bottom w:val="single" w:sz="4" w:space="0" w:color="auto"/>
              <w:right w:val="single" w:sz="4" w:space="0" w:color="auto"/>
            </w:tcBorders>
            <w:vAlign w:val="center"/>
            <w:hideMark/>
          </w:tcPr>
          <w:p w14:paraId="1B1A8C49" w14:textId="77777777" w:rsidR="00F01EC8" w:rsidRPr="00F01EC8" w:rsidRDefault="00F01EC8" w:rsidP="00F01EC8">
            <w:pPr>
              <w:jc w:val="right"/>
              <w:rPr>
                <w:rFonts w:asciiTheme="minorHAnsi" w:hAnsiTheme="minorHAnsi" w:cs="Arial"/>
                <w:b/>
                <w:color w:val="000000"/>
                <w:sz w:val="20"/>
                <w:szCs w:val="20"/>
              </w:rPr>
            </w:pPr>
            <w:r w:rsidRPr="00F01EC8">
              <w:rPr>
                <w:rFonts w:asciiTheme="minorHAnsi" w:hAnsiTheme="minorHAnsi" w:cs="Arial"/>
                <w:b/>
                <w:color w:val="000000"/>
                <w:sz w:val="20"/>
                <w:szCs w:val="20"/>
              </w:rPr>
              <w:t>33.5%</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484841D" w14:textId="77777777" w:rsidR="00F01EC8" w:rsidRPr="00F01EC8" w:rsidRDefault="00F01EC8" w:rsidP="00F01EC8">
            <w:pPr>
              <w:jc w:val="right"/>
              <w:rPr>
                <w:rFonts w:asciiTheme="minorHAnsi" w:hAnsiTheme="minorHAnsi" w:cs="Arial"/>
                <w:b/>
                <w:color w:val="000000"/>
                <w:sz w:val="20"/>
                <w:szCs w:val="20"/>
              </w:rPr>
            </w:pPr>
            <w:r w:rsidRPr="00F01EC8">
              <w:rPr>
                <w:rFonts w:asciiTheme="minorHAnsi" w:hAnsiTheme="minorHAnsi" w:cs="Arial"/>
                <w:b/>
                <w:color w:val="000000"/>
                <w:sz w:val="20"/>
                <w:szCs w:val="20"/>
              </w:rPr>
              <w:t>28.3%</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ACD4432" w14:textId="77777777" w:rsidR="00F01EC8" w:rsidRPr="00F01EC8" w:rsidRDefault="00F01EC8" w:rsidP="00F01EC8">
            <w:pPr>
              <w:jc w:val="right"/>
              <w:rPr>
                <w:rFonts w:asciiTheme="minorHAnsi" w:hAnsiTheme="minorHAnsi" w:cs="Arial"/>
                <w:b/>
                <w:color w:val="000000"/>
                <w:sz w:val="20"/>
                <w:szCs w:val="20"/>
              </w:rPr>
            </w:pPr>
            <w:r w:rsidRPr="00F01EC8">
              <w:rPr>
                <w:rFonts w:asciiTheme="minorHAnsi" w:hAnsiTheme="minorHAnsi" w:cs="Arial"/>
                <w:b/>
                <w:color w:val="000000"/>
                <w:sz w:val="20"/>
                <w:szCs w:val="20"/>
              </w:rPr>
              <w:t>5.2%</w:t>
            </w:r>
          </w:p>
        </w:tc>
      </w:tr>
    </w:tbl>
    <w:p w14:paraId="79552EBB" w14:textId="77777777" w:rsidR="00F01EC8" w:rsidRPr="00F01EC8" w:rsidRDefault="00F01EC8" w:rsidP="00F01EC8">
      <w:pPr>
        <w:pStyle w:val="NoSpacing"/>
        <w:rPr>
          <w:rFonts w:cs="Arial"/>
          <w:color w:val="000000"/>
          <w:sz w:val="20"/>
          <w:szCs w:val="20"/>
        </w:rPr>
      </w:pPr>
    </w:p>
    <w:p w14:paraId="53EEAC2D" w14:textId="77777777" w:rsidR="00F01EC8" w:rsidRPr="00F01EC8" w:rsidRDefault="00F01EC8" w:rsidP="00F01EC8">
      <w:pPr>
        <w:pStyle w:val="NoSpacing"/>
        <w:jc w:val="both"/>
        <w:rPr>
          <w:rFonts w:cs="Arial"/>
          <w:color w:val="000000"/>
          <w:sz w:val="20"/>
          <w:szCs w:val="20"/>
        </w:rPr>
      </w:pPr>
      <w:r w:rsidRPr="00F01EC8">
        <w:rPr>
          <w:rFonts w:cs="Arial"/>
          <w:color w:val="000000"/>
          <w:sz w:val="20"/>
          <w:szCs w:val="20"/>
        </w:rPr>
        <w:t>The coverage ratio in Vanquis Bank has increased by 4.2% to 27.4%, reflecting the impact of the forecast worsening economic outlook and payment holidays.</w:t>
      </w:r>
    </w:p>
    <w:p w14:paraId="06501816" w14:textId="77777777" w:rsidR="00F01EC8" w:rsidRPr="00F01EC8" w:rsidRDefault="00F01EC8" w:rsidP="00F01EC8">
      <w:pPr>
        <w:pStyle w:val="NoSpacing"/>
        <w:jc w:val="both"/>
        <w:rPr>
          <w:rFonts w:cs="Arial"/>
          <w:color w:val="000000"/>
          <w:sz w:val="20"/>
          <w:szCs w:val="20"/>
        </w:rPr>
      </w:pPr>
    </w:p>
    <w:p w14:paraId="49B8C062" w14:textId="0DB9DAE2" w:rsidR="00F01EC8" w:rsidRPr="00F01EC8" w:rsidRDefault="00F01EC8" w:rsidP="00F01EC8">
      <w:pPr>
        <w:pStyle w:val="NoSpacing"/>
        <w:jc w:val="both"/>
        <w:rPr>
          <w:rFonts w:cs="Arial"/>
          <w:color w:val="000000"/>
          <w:sz w:val="20"/>
          <w:szCs w:val="20"/>
        </w:rPr>
      </w:pPr>
      <w:r w:rsidRPr="00F01EC8">
        <w:rPr>
          <w:rFonts w:cs="Arial"/>
          <w:color w:val="000000"/>
          <w:sz w:val="20"/>
          <w:szCs w:val="20"/>
        </w:rPr>
        <w:t>The Moneybarn coverage ratio increased by 4.</w:t>
      </w:r>
      <w:r w:rsidR="00126BCD">
        <w:rPr>
          <w:rFonts w:cs="Arial"/>
          <w:color w:val="000000"/>
          <w:sz w:val="20"/>
          <w:szCs w:val="20"/>
        </w:rPr>
        <w:t>4</w:t>
      </w:r>
      <w:r w:rsidRPr="00F01EC8">
        <w:rPr>
          <w:rFonts w:cs="Arial"/>
          <w:color w:val="000000"/>
          <w:sz w:val="20"/>
          <w:szCs w:val="20"/>
        </w:rPr>
        <w:t>% to 18.8% reflecting the increased levels of payment holidays activated, the macro</w:t>
      </w:r>
      <w:r w:rsidR="005E2D9E">
        <w:rPr>
          <w:rFonts w:cs="Arial"/>
          <w:color w:val="000000"/>
          <w:sz w:val="20"/>
          <w:szCs w:val="20"/>
        </w:rPr>
        <w:t>-</w:t>
      </w:r>
      <w:r w:rsidRPr="00F01EC8">
        <w:rPr>
          <w:rFonts w:cs="Arial"/>
          <w:color w:val="000000"/>
          <w:sz w:val="20"/>
          <w:szCs w:val="20"/>
        </w:rPr>
        <w:t>economic outlook and the nature of the</w:t>
      </w:r>
      <w:r w:rsidR="005E2D9E">
        <w:rPr>
          <w:rFonts w:cs="Arial"/>
          <w:color w:val="000000"/>
          <w:sz w:val="20"/>
          <w:szCs w:val="20"/>
        </w:rPr>
        <w:t xml:space="preserve"> secured</w:t>
      </w:r>
      <w:r w:rsidRPr="00F01EC8">
        <w:rPr>
          <w:rFonts w:cs="Arial"/>
          <w:color w:val="000000"/>
          <w:sz w:val="20"/>
          <w:szCs w:val="20"/>
        </w:rPr>
        <w:t xml:space="preserve"> assets.</w:t>
      </w:r>
    </w:p>
    <w:p w14:paraId="4FB958E0" w14:textId="77777777" w:rsidR="00F01EC8" w:rsidRPr="00F01EC8" w:rsidRDefault="00F01EC8" w:rsidP="00F01EC8">
      <w:pPr>
        <w:pStyle w:val="NoSpacing"/>
        <w:jc w:val="both"/>
        <w:rPr>
          <w:rFonts w:cs="Arial"/>
          <w:color w:val="000000"/>
          <w:sz w:val="20"/>
          <w:szCs w:val="20"/>
        </w:rPr>
      </w:pPr>
    </w:p>
    <w:p w14:paraId="14936B16" w14:textId="77777777" w:rsidR="00F01EC8" w:rsidRPr="00F01EC8" w:rsidRDefault="00F01EC8" w:rsidP="00F01EC8">
      <w:pPr>
        <w:pStyle w:val="NoSpacing"/>
        <w:jc w:val="both"/>
        <w:rPr>
          <w:rFonts w:cs="Arial"/>
          <w:color w:val="000000"/>
          <w:sz w:val="20"/>
          <w:szCs w:val="20"/>
        </w:rPr>
      </w:pPr>
      <w:r w:rsidRPr="00F01EC8">
        <w:rPr>
          <w:rFonts w:cs="Arial"/>
          <w:color w:val="000000"/>
          <w:sz w:val="20"/>
          <w:szCs w:val="20"/>
        </w:rPr>
        <w:t>The coverage ratio in CCD increased by 13.5% to 71.6% reflecting the deterioration in the customer base and those who have defaulted, and are therefore heavily provided, based on the 12-week impairment assessment period.</w:t>
      </w:r>
    </w:p>
    <w:p w14:paraId="767FD912" w14:textId="77777777" w:rsidR="00F01EC8" w:rsidRPr="00F01EC8" w:rsidRDefault="00F01EC8" w:rsidP="00F01EC8">
      <w:pPr>
        <w:pStyle w:val="NoSpacing"/>
        <w:jc w:val="both"/>
        <w:rPr>
          <w:rFonts w:cs="Arial"/>
          <w:color w:val="000000"/>
          <w:sz w:val="20"/>
          <w:szCs w:val="20"/>
        </w:rPr>
      </w:pPr>
      <w:r w:rsidRPr="00F01EC8">
        <w:rPr>
          <w:rFonts w:cs="Arial"/>
          <w:color w:val="000000"/>
          <w:sz w:val="20"/>
          <w:szCs w:val="20"/>
        </w:rPr>
        <w:t xml:space="preserve"> </w:t>
      </w:r>
    </w:p>
    <w:p w14:paraId="21B77C94" w14:textId="4AC96FFD" w:rsidR="00F01EC8" w:rsidRPr="00F01EC8" w:rsidRDefault="00F01EC8" w:rsidP="00F01EC8">
      <w:pPr>
        <w:pStyle w:val="NoSpacing"/>
        <w:jc w:val="both"/>
        <w:rPr>
          <w:rFonts w:cs="Arial"/>
          <w:color w:val="000000"/>
          <w:sz w:val="20"/>
          <w:szCs w:val="20"/>
        </w:rPr>
      </w:pPr>
      <w:r w:rsidRPr="00F01EC8">
        <w:rPr>
          <w:rFonts w:cs="Arial"/>
          <w:color w:val="000000"/>
          <w:sz w:val="20"/>
          <w:szCs w:val="20"/>
        </w:rPr>
        <w:t xml:space="preserve">Our customers are also typically less sensitive to changes in economic conditions as they are more used to managing on tight budgets and they have lower levels of debt than prime customers. They are, therefore, often better placed to manage a recession than prime customers which is why our businesses have proven to be resilient during a downturn in economic conditions. However, we have tightened underwriting over the last six months to manage </w:t>
      </w:r>
      <w:r w:rsidR="005E2D9E">
        <w:rPr>
          <w:rFonts w:cs="Arial"/>
          <w:color w:val="000000"/>
          <w:sz w:val="20"/>
          <w:szCs w:val="20"/>
        </w:rPr>
        <w:t>credit risk</w:t>
      </w:r>
      <w:r w:rsidR="005E2D9E" w:rsidRPr="00F01EC8">
        <w:rPr>
          <w:rFonts w:cs="Arial"/>
          <w:color w:val="000000"/>
          <w:sz w:val="20"/>
          <w:szCs w:val="20"/>
        </w:rPr>
        <w:t xml:space="preserve"> </w:t>
      </w:r>
      <w:r w:rsidRPr="00F01EC8">
        <w:rPr>
          <w:rFonts w:cs="Arial"/>
          <w:color w:val="000000"/>
          <w:sz w:val="20"/>
          <w:szCs w:val="20"/>
        </w:rPr>
        <w:t xml:space="preserve">during this period of uncertainty. </w:t>
      </w:r>
    </w:p>
    <w:p w14:paraId="1733091E" w14:textId="77777777" w:rsidR="00F01EC8" w:rsidRPr="00F01EC8" w:rsidRDefault="00F01EC8" w:rsidP="00F01EC8">
      <w:pPr>
        <w:pStyle w:val="NoSpacing"/>
        <w:jc w:val="both"/>
        <w:rPr>
          <w:rStyle w:val="Strong"/>
          <w:sz w:val="20"/>
          <w:szCs w:val="20"/>
        </w:rPr>
      </w:pPr>
    </w:p>
    <w:p w14:paraId="2BE8C294" w14:textId="77777777" w:rsidR="00FA387C" w:rsidRDefault="00FA387C" w:rsidP="00FA387C">
      <w:pPr>
        <w:jc w:val="both"/>
        <w:rPr>
          <w:rFonts w:asciiTheme="minorHAnsi" w:hAnsiTheme="minorHAnsi"/>
          <w:b/>
          <w:sz w:val="20"/>
          <w:szCs w:val="20"/>
        </w:rPr>
      </w:pPr>
      <w:r w:rsidRPr="00F01EC8">
        <w:rPr>
          <w:rFonts w:asciiTheme="minorHAnsi" w:hAnsiTheme="minorHAnsi"/>
          <w:b/>
          <w:sz w:val="20"/>
          <w:szCs w:val="20"/>
        </w:rPr>
        <w:t>Macroeconomic provision</w:t>
      </w:r>
    </w:p>
    <w:p w14:paraId="1B7D7E4F" w14:textId="77777777" w:rsidR="00FA387C" w:rsidRPr="00F01EC8" w:rsidRDefault="00FA387C" w:rsidP="00FA387C">
      <w:pPr>
        <w:jc w:val="both"/>
        <w:rPr>
          <w:rFonts w:asciiTheme="minorHAnsi" w:hAnsiTheme="minorHAnsi"/>
          <w:b/>
          <w:sz w:val="20"/>
          <w:szCs w:val="20"/>
        </w:rPr>
      </w:pPr>
    </w:p>
    <w:p w14:paraId="38636EAC" w14:textId="77777777" w:rsidR="00FA387C" w:rsidRDefault="00FA387C" w:rsidP="00FA387C">
      <w:pPr>
        <w:jc w:val="both"/>
        <w:rPr>
          <w:rFonts w:asciiTheme="minorHAnsi" w:hAnsiTheme="minorHAnsi"/>
          <w:sz w:val="20"/>
          <w:szCs w:val="20"/>
        </w:rPr>
      </w:pPr>
      <w:r w:rsidRPr="00F01EC8">
        <w:rPr>
          <w:rFonts w:asciiTheme="minorHAnsi" w:hAnsiTheme="minorHAnsi"/>
          <w:sz w:val="20"/>
          <w:szCs w:val="20"/>
        </w:rPr>
        <w:t xml:space="preserve">Separate macroeconomic provisions are recognised to reflect an increased probability of default (PD) and loss given default (LGD), in addition to the core impairment provisions, already recognised based on future macroeconomic scenarios. </w:t>
      </w:r>
    </w:p>
    <w:p w14:paraId="59998B62" w14:textId="77777777" w:rsidR="00FA387C" w:rsidRPr="00F01EC8" w:rsidRDefault="00FA387C" w:rsidP="00FA387C">
      <w:pPr>
        <w:jc w:val="both"/>
        <w:rPr>
          <w:rFonts w:asciiTheme="minorHAnsi" w:hAnsiTheme="minorHAnsi"/>
          <w:sz w:val="20"/>
          <w:szCs w:val="20"/>
        </w:rPr>
      </w:pPr>
    </w:p>
    <w:p w14:paraId="3E7AC3A7" w14:textId="77777777" w:rsidR="00230548" w:rsidRDefault="00FA387C" w:rsidP="00FA387C">
      <w:pPr>
        <w:jc w:val="both"/>
        <w:rPr>
          <w:rFonts w:asciiTheme="minorHAnsi" w:hAnsiTheme="minorHAnsi" w:cs="Arial"/>
          <w:color w:val="000000"/>
          <w:sz w:val="20"/>
          <w:szCs w:val="20"/>
        </w:rPr>
      </w:pPr>
      <w:r w:rsidRPr="00F01EC8">
        <w:rPr>
          <w:rFonts w:asciiTheme="minorHAnsi" w:hAnsiTheme="minorHAnsi" w:cs="Arial"/>
          <w:color w:val="000000"/>
          <w:sz w:val="20"/>
          <w:szCs w:val="20"/>
        </w:rPr>
        <w:t>For Vanquis Bank, the provision reflects the potential for future changes in unemployment under a range of unemployment forecasts. For Moneybarn, both changes in unemployment and used car sales values are assumed.</w:t>
      </w:r>
    </w:p>
    <w:p w14:paraId="728512B4" w14:textId="6D7862FF" w:rsidR="00FA387C" w:rsidRPr="00F01EC8" w:rsidRDefault="00FA387C" w:rsidP="00FA387C">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 </w:t>
      </w:r>
    </w:p>
    <w:p w14:paraId="762B7701" w14:textId="77777777" w:rsidR="00FA387C" w:rsidRDefault="00FA387C" w:rsidP="00FA387C">
      <w:pPr>
        <w:jc w:val="both"/>
        <w:rPr>
          <w:rFonts w:asciiTheme="minorHAnsi" w:hAnsiTheme="minorHAnsi" w:cs="Arial"/>
          <w:sz w:val="20"/>
          <w:szCs w:val="20"/>
        </w:rPr>
      </w:pPr>
      <w:r w:rsidRPr="00F01EC8">
        <w:rPr>
          <w:rFonts w:asciiTheme="minorHAnsi" w:hAnsiTheme="minorHAnsi" w:cs="Arial"/>
          <w:color w:val="000000"/>
          <w:sz w:val="20"/>
          <w:szCs w:val="20"/>
        </w:rPr>
        <w:t xml:space="preserve">The PD impacts from rising unemployment in Moneybarn, follows consistent methodology with Vanquis Bank. </w:t>
      </w:r>
      <w:r w:rsidRPr="00F01EC8">
        <w:rPr>
          <w:rFonts w:asciiTheme="minorHAnsi" w:hAnsiTheme="minorHAnsi" w:cs="Arial"/>
          <w:sz w:val="20"/>
          <w:szCs w:val="20"/>
        </w:rPr>
        <w:t>Moneybarn also analyse trends in the used vehicle resale values to estimate recoveries from the sale of repossessed vehicles at auction.</w:t>
      </w:r>
    </w:p>
    <w:p w14:paraId="7C8145B0" w14:textId="77777777" w:rsidR="00FA387C" w:rsidRPr="00F01EC8" w:rsidRDefault="00FA387C" w:rsidP="00FA387C">
      <w:pPr>
        <w:jc w:val="both"/>
        <w:rPr>
          <w:rFonts w:asciiTheme="minorHAnsi" w:hAnsiTheme="minorHAnsi" w:cs="Arial"/>
          <w:color w:val="000000"/>
          <w:sz w:val="20"/>
          <w:szCs w:val="20"/>
        </w:rPr>
      </w:pPr>
    </w:p>
    <w:p w14:paraId="065B7989" w14:textId="77777777" w:rsidR="00FA387C" w:rsidRDefault="00FA387C" w:rsidP="00FA387C">
      <w:pPr>
        <w:jc w:val="both"/>
        <w:rPr>
          <w:rFonts w:asciiTheme="minorHAnsi" w:hAnsiTheme="minorHAnsi" w:cs="Arial"/>
          <w:color w:val="000000"/>
          <w:sz w:val="20"/>
          <w:szCs w:val="20"/>
        </w:rPr>
      </w:pPr>
      <w:r w:rsidRPr="00F01EC8">
        <w:rPr>
          <w:rFonts w:asciiTheme="minorHAnsi" w:hAnsiTheme="minorHAnsi" w:cs="Arial"/>
          <w:color w:val="000000"/>
          <w:sz w:val="20"/>
          <w:szCs w:val="20"/>
        </w:rPr>
        <w:t>CCD customers are not considered to be reflective of the wider economy as they are less indebted and are therefore not impacted by the same macroeconomic factors or to the same degree. Consequently, there is no evidence of any significant correlation between the impairment charge and macro employment statistics. Consistent with the 2019 year end, a separate macroeconomic provision is not held for CCD.</w:t>
      </w:r>
    </w:p>
    <w:p w14:paraId="32D529C4" w14:textId="26515A62" w:rsidR="00FA387C" w:rsidRDefault="00FA387C" w:rsidP="00FA387C">
      <w:pPr>
        <w:rPr>
          <w:rFonts w:asciiTheme="minorHAnsi" w:hAnsiTheme="minorHAnsi" w:cs="Arial"/>
          <w:color w:val="000000"/>
          <w:sz w:val="20"/>
          <w:szCs w:val="20"/>
        </w:rPr>
      </w:pPr>
    </w:p>
    <w:p w14:paraId="36B0120E" w14:textId="16E988D0" w:rsidR="00FA387C" w:rsidRPr="00F01EC8" w:rsidRDefault="00FA387C" w:rsidP="00FA387C">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For Vanquis Bank and Moneybarn, the unemployment data has been compiled from a consensus of sources including the Bank of England, HM Treasury, the Office for Budget Responsibility (OBR), Bloomberg and several </w:t>
      </w:r>
      <w:r w:rsidR="00B35B8B">
        <w:rPr>
          <w:rFonts w:asciiTheme="minorHAnsi" w:hAnsiTheme="minorHAnsi" w:cs="Arial"/>
          <w:color w:val="000000"/>
          <w:sz w:val="20"/>
          <w:szCs w:val="20"/>
        </w:rPr>
        <w:t xml:space="preserve">of </w:t>
      </w:r>
      <w:r w:rsidRPr="00F01EC8">
        <w:rPr>
          <w:rFonts w:asciiTheme="minorHAnsi" w:hAnsiTheme="minorHAnsi" w:cs="Arial"/>
          <w:color w:val="000000"/>
          <w:sz w:val="20"/>
          <w:szCs w:val="20"/>
        </w:rPr>
        <w:t xml:space="preserve">the prime banks. </w:t>
      </w:r>
    </w:p>
    <w:p w14:paraId="523CB876" w14:textId="77777777" w:rsidR="006C2AF1" w:rsidRDefault="00FA387C" w:rsidP="00FA387C">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The table below shows the annual peak and average unemployment assumptions adopted by Vanquis Bank and Moneybarn and the weightings applied to each. </w:t>
      </w:r>
    </w:p>
    <w:p w14:paraId="4100C57B" w14:textId="77777777" w:rsidR="002303EB" w:rsidRDefault="002303EB" w:rsidP="002303EB">
      <w:pPr>
        <w:rPr>
          <w:rFonts w:asciiTheme="minorHAnsi" w:hAnsiTheme="minorHAnsi" w:cs="Arial"/>
          <w:color w:val="000000"/>
          <w:sz w:val="20"/>
          <w:szCs w:val="20"/>
        </w:rPr>
      </w:pPr>
    </w:p>
    <w:p w14:paraId="1BB1725D" w14:textId="1F41F92C" w:rsidR="00FA387C" w:rsidRDefault="00FA387C" w:rsidP="002303EB">
      <w:pPr>
        <w:rPr>
          <w:rFonts w:asciiTheme="minorHAnsi" w:hAnsiTheme="minorHAnsi" w:cs="Arial"/>
          <w:b/>
          <w:color w:val="000000"/>
          <w:sz w:val="20"/>
          <w:szCs w:val="20"/>
        </w:rPr>
      </w:pPr>
      <w:r w:rsidRPr="00F01EC8">
        <w:rPr>
          <w:rFonts w:asciiTheme="minorHAnsi" w:hAnsiTheme="minorHAnsi" w:cs="Arial"/>
          <w:color w:val="000000"/>
          <w:sz w:val="20"/>
          <w:szCs w:val="20"/>
        </w:rPr>
        <w:t>The combined severe and downside scenarios have doubled from 20% at Dec-19 to 40% at Jun-20 to reflect the uncertain outlook:</w:t>
      </w:r>
      <w:r w:rsidRPr="00F01EC8">
        <w:rPr>
          <w:rFonts w:asciiTheme="minorHAnsi" w:hAnsiTheme="minorHAnsi" w:cs="Arial"/>
          <w:b/>
          <w:color w:val="000000"/>
          <w:sz w:val="20"/>
          <w:szCs w:val="20"/>
        </w:rPr>
        <w:t xml:space="preserve"> </w:t>
      </w:r>
    </w:p>
    <w:p w14:paraId="017D1402" w14:textId="77777777" w:rsidR="00FA387C" w:rsidRPr="00F01EC8" w:rsidRDefault="00FA387C" w:rsidP="00FA387C">
      <w:pPr>
        <w:jc w:val="both"/>
        <w:rPr>
          <w:rFonts w:asciiTheme="minorHAnsi" w:hAnsiTheme="minorHAnsi" w:cs="Arial"/>
          <w:b/>
          <w:color w:val="000000"/>
          <w:sz w:val="20"/>
          <w:szCs w:val="20"/>
        </w:rPr>
      </w:pPr>
    </w:p>
    <w:tbl>
      <w:tblPr>
        <w:tblStyle w:val="TableGrid"/>
        <w:tblW w:w="0" w:type="auto"/>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FA387C" w:rsidRPr="00F01EC8" w14:paraId="718640B6" w14:textId="77777777" w:rsidTr="005714EF">
        <w:tc>
          <w:tcPr>
            <w:tcW w:w="1803" w:type="dxa"/>
            <w:tcBorders>
              <w:bottom w:val="single" w:sz="4" w:space="0" w:color="auto"/>
            </w:tcBorders>
          </w:tcPr>
          <w:p w14:paraId="36754960" w14:textId="77777777" w:rsidR="00FA387C" w:rsidRPr="00F01EC8" w:rsidRDefault="00FA387C" w:rsidP="005714EF">
            <w:pPr>
              <w:jc w:val="both"/>
              <w:rPr>
                <w:rFonts w:asciiTheme="minorHAnsi" w:hAnsiTheme="minorHAnsi" w:cs="Arial"/>
                <w:b/>
                <w:color w:val="000000"/>
                <w:sz w:val="20"/>
                <w:szCs w:val="20"/>
              </w:rPr>
            </w:pPr>
            <w:r>
              <w:rPr>
                <w:rFonts w:asciiTheme="minorHAnsi" w:hAnsiTheme="minorHAnsi" w:cs="Arial"/>
                <w:b/>
                <w:color w:val="000000"/>
                <w:sz w:val="20"/>
                <w:szCs w:val="20"/>
              </w:rPr>
              <w:lastRenderedPageBreak/>
              <w:t>Unemployment rate (%)</w:t>
            </w:r>
          </w:p>
        </w:tc>
        <w:tc>
          <w:tcPr>
            <w:tcW w:w="1803" w:type="dxa"/>
            <w:tcBorders>
              <w:bottom w:val="single" w:sz="4" w:space="0" w:color="auto"/>
            </w:tcBorders>
            <w:hideMark/>
          </w:tcPr>
          <w:p w14:paraId="4C8CA7A4" w14:textId="77777777" w:rsidR="00FA387C" w:rsidRPr="00F01EC8" w:rsidRDefault="00FA387C" w:rsidP="005714EF">
            <w:pPr>
              <w:jc w:val="right"/>
              <w:rPr>
                <w:rFonts w:asciiTheme="minorHAnsi" w:hAnsiTheme="minorHAnsi" w:cs="Arial"/>
                <w:b/>
                <w:color w:val="000000"/>
                <w:sz w:val="20"/>
                <w:szCs w:val="20"/>
              </w:rPr>
            </w:pPr>
            <w:r w:rsidRPr="00F01EC8">
              <w:rPr>
                <w:rFonts w:asciiTheme="minorHAnsi" w:hAnsiTheme="minorHAnsi" w:cs="Arial"/>
                <w:b/>
                <w:color w:val="000000"/>
                <w:sz w:val="20"/>
                <w:szCs w:val="20"/>
              </w:rPr>
              <w:t>Base</w:t>
            </w:r>
          </w:p>
        </w:tc>
        <w:tc>
          <w:tcPr>
            <w:tcW w:w="1803" w:type="dxa"/>
            <w:tcBorders>
              <w:bottom w:val="single" w:sz="4" w:space="0" w:color="auto"/>
            </w:tcBorders>
            <w:hideMark/>
          </w:tcPr>
          <w:p w14:paraId="4B08139F" w14:textId="77777777" w:rsidR="00FA387C" w:rsidRPr="00F01EC8" w:rsidRDefault="00FA387C" w:rsidP="005714EF">
            <w:pPr>
              <w:jc w:val="right"/>
              <w:rPr>
                <w:rFonts w:asciiTheme="minorHAnsi" w:hAnsiTheme="minorHAnsi" w:cs="Arial"/>
                <w:b/>
                <w:color w:val="000000"/>
                <w:sz w:val="20"/>
                <w:szCs w:val="20"/>
              </w:rPr>
            </w:pPr>
            <w:r w:rsidRPr="00F01EC8">
              <w:rPr>
                <w:rFonts w:asciiTheme="minorHAnsi" w:hAnsiTheme="minorHAnsi" w:cs="Arial"/>
                <w:b/>
                <w:color w:val="000000"/>
                <w:sz w:val="20"/>
                <w:szCs w:val="20"/>
              </w:rPr>
              <w:t xml:space="preserve">Upside </w:t>
            </w:r>
          </w:p>
        </w:tc>
        <w:tc>
          <w:tcPr>
            <w:tcW w:w="1803" w:type="dxa"/>
            <w:tcBorders>
              <w:bottom w:val="single" w:sz="4" w:space="0" w:color="auto"/>
            </w:tcBorders>
            <w:hideMark/>
          </w:tcPr>
          <w:p w14:paraId="0FE59AD3" w14:textId="77777777" w:rsidR="00FA387C" w:rsidRPr="00F01EC8" w:rsidRDefault="00FA387C" w:rsidP="005714EF">
            <w:pPr>
              <w:jc w:val="right"/>
              <w:rPr>
                <w:rFonts w:asciiTheme="minorHAnsi" w:hAnsiTheme="minorHAnsi" w:cs="Arial"/>
                <w:b/>
                <w:color w:val="000000"/>
                <w:sz w:val="20"/>
                <w:szCs w:val="20"/>
              </w:rPr>
            </w:pPr>
            <w:r w:rsidRPr="00F01EC8">
              <w:rPr>
                <w:rFonts w:asciiTheme="minorHAnsi" w:hAnsiTheme="minorHAnsi" w:cs="Arial"/>
                <w:b/>
                <w:color w:val="000000"/>
                <w:sz w:val="20"/>
                <w:szCs w:val="20"/>
              </w:rPr>
              <w:t>Downside</w:t>
            </w:r>
          </w:p>
        </w:tc>
        <w:tc>
          <w:tcPr>
            <w:tcW w:w="1804" w:type="dxa"/>
            <w:tcBorders>
              <w:bottom w:val="single" w:sz="4" w:space="0" w:color="auto"/>
            </w:tcBorders>
            <w:hideMark/>
          </w:tcPr>
          <w:p w14:paraId="76713EE1" w14:textId="77777777" w:rsidR="00FA387C" w:rsidRPr="00F01EC8" w:rsidRDefault="00FA387C" w:rsidP="005714EF">
            <w:pPr>
              <w:jc w:val="right"/>
              <w:rPr>
                <w:rFonts w:asciiTheme="minorHAnsi" w:hAnsiTheme="minorHAnsi" w:cs="Arial"/>
                <w:b/>
                <w:color w:val="000000"/>
                <w:sz w:val="20"/>
                <w:szCs w:val="20"/>
              </w:rPr>
            </w:pPr>
            <w:r w:rsidRPr="00F01EC8">
              <w:rPr>
                <w:rFonts w:asciiTheme="minorHAnsi" w:hAnsiTheme="minorHAnsi" w:cs="Arial"/>
                <w:b/>
                <w:color w:val="000000"/>
                <w:sz w:val="20"/>
                <w:szCs w:val="20"/>
              </w:rPr>
              <w:t>Severe</w:t>
            </w:r>
          </w:p>
        </w:tc>
      </w:tr>
      <w:tr w:rsidR="00FA387C" w:rsidRPr="00F01EC8" w14:paraId="3BA555A6" w14:textId="77777777" w:rsidTr="005714EF">
        <w:tc>
          <w:tcPr>
            <w:tcW w:w="1803" w:type="dxa"/>
            <w:tcBorders>
              <w:top w:val="single" w:sz="4" w:space="0" w:color="auto"/>
            </w:tcBorders>
          </w:tcPr>
          <w:p w14:paraId="466D7370" w14:textId="77777777" w:rsidR="00FA387C" w:rsidRPr="00F01EC8" w:rsidRDefault="00FA387C" w:rsidP="005714EF">
            <w:pPr>
              <w:jc w:val="both"/>
              <w:rPr>
                <w:rFonts w:asciiTheme="minorHAnsi" w:hAnsiTheme="minorHAnsi" w:cs="Arial"/>
                <w:color w:val="000000"/>
                <w:sz w:val="20"/>
                <w:szCs w:val="20"/>
              </w:rPr>
            </w:pPr>
          </w:p>
        </w:tc>
        <w:tc>
          <w:tcPr>
            <w:tcW w:w="1803" w:type="dxa"/>
            <w:tcBorders>
              <w:top w:val="single" w:sz="4" w:space="0" w:color="auto"/>
            </w:tcBorders>
          </w:tcPr>
          <w:p w14:paraId="6FF26A20" w14:textId="77777777" w:rsidR="00FA387C" w:rsidRPr="00F01EC8" w:rsidRDefault="00FA387C" w:rsidP="005714EF">
            <w:pPr>
              <w:jc w:val="right"/>
              <w:rPr>
                <w:rFonts w:asciiTheme="minorHAnsi" w:hAnsiTheme="minorHAnsi" w:cs="Arial"/>
                <w:color w:val="000000"/>
                <w:sz w:val="20"/>
                <w:szCs w:val="20"/>
              </w:rPr>
            </w:pPr>
          </w:p>
        </w:tc>
        <w:tc>
          <w:tcPr>
            <w:tcW w:w="1803" w:type="dxa"/>
            <w:tcBorders>
              <w:top w:val="single" w:sz="4" w:space="0" w:color="auto"/>
            </w:tcBorders>
          </w:tcPr>
          <w:p w14:paraId="41DE30AE" w14:textId="77777777" w:rsidR="00FA387C" w:rsidRPr="00F01EC8" w:rsidRDefault="00FA387C" w:rsidP="005714EF">
            <w:pPr>
              <w:jc w:val="right"/>
              <w:rPr>
                <w:rFonts w:asciiTheme="minorHAnsi" w:hAnsiTheme="minorHAnsi" w:cs="Arial"/>
                <w:color w:val="000000"/>
                <w:sz w:val="20"/>
                <w:szCs w:val="20"/>
              </w:rPr>
            </w:pPr>
          </w:p>
        </w:tc>
        <w:tc>
          <w:tcPr>
            <w:tcW w:w="1803" w:type="dxa"/>
            <w:tcBorders>
              <w:top w:val="single" w:sz="4" w:space="0" w:color="auto"/>
            </w:tcBorders>
          </w:tcPr>
          <w:p w14:paraId="03FE6226" w14:textId="77777777" w:rsidR="00FA387C" w:rsidRPr="00F01EC8" w:rsidRDefault="00FA387C" w:rsidP="005714EF">
            <w:pPr>
              <w:jc w:val="right"/>
              <w:rPr>
                <w:rFonts w:asciiTheme="minorHAnsi" w:hAnsiTheme="minorHAnsi" w:cs="Arial"/>
                <w:color w:val="000000"/>
                <w:sz w:val="20"/>
                <w:szCs w:val="20"/>
              </w:rPr>
            </w:pPr>
          </w:p>
        </w:tc>
        <w:tc>
          <w:tcPr>
            <w:tcW w:w="1804" w:type="dxa"/>
            <w:tcBorders>
              <w:top w:val="single" w:sz="4" w:space="0" w:color="auto"/>
            </w:tcBorders>
          </w:tcPr>
          <w:p w14:paraId="5108049A" w14:textId="77777777" w:rsidR="00FA387C" w:rsidRPr="00F01EC8" w:rsidRDefault="00FA387C" w:rsidP="005714EF">
            <w:pPr>
              <w:jc w:val="right"/>
              <w:rPr>
                <w:rFonts w:asciiTheme="minorHAnsi" w:hAnsiTheme="minorHAnsi" w:cs="Arial"/>
                <w:color w:val="000000"/>
                <w:sz w:val="20"/>
                <w:szCs w:val="20"/>
              </w:rPr>
            </w:pPr>
          </w:p>
        </w:tc>
      </w:tr>
      <w:tr w:rsidR="00FA387C" w:rsidRPr="00F01EC8" w14:paraId="74B84BD9" w14:textId="77777777" w:rsidTr="005714EF">
        <w:tc>
          <w:tcPr>
            <w:tcW w:w="1803" w:type="dxa"/>
            <w:hideMark/>
          </w:tcPr>
          <w:p w14:paraId="50D382A4" w14:textId="77777777" w:rsidR="00FA387C" w:rsidRPr="00F01EC8" w:rsidRDefault="00FA387C" w:rsidP="005714EF">
            <w:pPr>
              <w:jc w:val="both"/>
              <w:rPr>
                <w:rFonts w:asciiTheme="minorHAnsi" w:hAnsiTheme="minorHAnsi" w:cs="Arial"/>
                <w:color w:val="000000"/>
                <w:sz w:val="20"/>
                <w:szCs w:val="20"/>
              </w:rPr>
            </w:pPr>
            <w:r w:rsidRPr="00F01EC8">
              <w:rPr>
                <w:rFonts w:asciiTheme="minorHAnsi" w:hAnsiTheme="minorHAnsi" w:cs="Arial"/>
                <w:color w:val="000000"/>
                <w:sz w:val="20"/>
                <w:szCs w:val="20"/>
              </w:rPr>
              <w:t>Weighting</w:t>
            </w:r>
          </w:p>
        </w:tc>
        <w:tc>
          <w:tcPr>
            <w:tcW w:w="1803" w:type="dxa"/>
            <w:hideMark/>
          </w:tcPr>
          <w:p w14:paraId="5D47B667"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50%</w:t>
            </w:r>
          </w:p>
        </w:tc>
        <w:tc>
          <w:tcPr>
            <w:tcW w:w="1803" w:type="dxa"/>
            <w:hideMark/>
          </w:tcPr>
          <w:p w14:paraId="232D6BAE"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10%</w:t>
            </w:r>
          </w:p>
        </w:tc>
        <w:tc>
          <w:tcPr>
            <w:tcW w:w="1803" w:type="dxa"/>
            <w:hideMark/>
          </w:tcPr>
          <w:p w14:paraId="2088B905"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35%</w:t>
            </w:r>
          </w:p>
        </w:tc>
        <w:tc>
          <w:tcPr>
            <w:tcW w:w="1804" w:type="dxa"/>
            <w:hideMark/>
          </w:tcPr>
          <w:p w14:paraId="382EC13E"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5%</w:t>
            </w:r>
          </w:p>
        </w:tc>
      </w:tr>
      <w:tr w:rsidR="00FA387C" w:rsidRPr="00F01EC8" w14:paraId="34D8BEB1" w14:textId="77777777" w:rsidTr="005714EF">
        <w:tc>
          <w:tcPr>
            <w:tcW w:w="1803" w:type="dxa"/>
          </w:tcPr>
          <w:p w14:paraId="5D42CC5A" w14:textId="77777777" w:rsidR="00FA387C" w:rsidRPr="00F01EC8" w:rsidRDefault="00FA387C" w:rsidP="005714EF">
            <w:pPr>
              <w:jc w:val="both"/>
              <w:rPr>
                <w:rFonts w:asciiTheme="minorHAnsi" w:hAnsiTheme="minorHAnsi" w:cs="Arial"/>
                <w:color w:val="000000"/>
                <w:sz w:val="20"/>
                <w:szCs w:val="20"/>
              </w:rPr>
            </w:pPr>
          </w:p>
        </w:tc>
        <w:tc>
          <w:tcPr>
            <w:tcW w:w="1803" w:type="dxa"/>
          </w:tcPr>
          <w:p w14:paraId="66A670BC"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1A3FC68C"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1BB0B211" w14:textId="77777777" w:rsidR="00FA387C" w:rsidRPr="00F01EC8" w:rsidRDefault="00FA387C" w:rsidP="005714EF">
            <w:pPr>
              <w:jc w:val="right"/>
              <w:rPr>
                <w:rFonts w:asciiTheme="minorHAnsi" w:hAnsiTheme="minorHAnsi" w:cs="Arial"/>
                <w:color w:val="000000"/>
                <w:sz w:val="20"/>
                <w:szCs w:val="20"/>
              </w:rPr>
            </w:pPr>
          </w:p>
        </w:tc>
        <w:tc>
          <w:tcPr>
            <w:tcW w:w="1804" w:type="dxa"/>
          </w:tcPr>
          <w:p w14:paraId="64ABFB68" w14:textId="77777777" w:rsidR="00FA387C" w:rsidRPr="00F01EC8" w:rsidRDefault="00FA387C" w:rsidP="005714EF">
            <w:pPr>
              <w:jc w:val="right"/>
              <w:rPr>
                <w:rFonts w:asciiTheme="minorHAnsi" w:hAnsiTheme="minorHAnsi" w:cs="Arial"/>
                <w:color w:val="000000"/>
                <w:sz w:val="20"/>
                <w:szCs w:val="20"/>
              </w:rPr>
            </w:pPr>
          </w:p>
        </w:tc>
      </w:tr>
      <w:tr w:rsidR="00FA387C" w:rsidRPr="00F01EC8" w14:paraId="3C744815" w14:textId="77777777" w:rsidTr="005714EF">
        <w:tc>
          <w:tcPr>
            <w:tcW w:w="1803" w:type="dxa"/>
            <w:hideMark/>
          </w:tcPr>
          <w:p w14:paraId="7A185414" w14:textId="77777777" w:rsidR="00FA387C" w:rsidRPr="00F01EC8" w:rsidRDefault="00FA387C" w:rsidP="005714EF">
            <w:pPr>
              <w:jc w:val="both"/>
              <w:rPr>
                <w:rFonts w:asciiTheme="minorHAnsi" w:hAnsiTheme="minorHAnsi" w:cs="Arial"/>
                <w:b/>
                <w:color w:val="000000"/>
                <w:sz w:val="20"/>
                <w:szCs w:val="20"/>
              </w:rPr>
            </w:pPr>
            <w:r w:rsidRPr="00F01EC8">
              <w:rPr>
                <w:rFonts w:asciiTheme="minorHAnsi" w:hAnsiTheme="minorHAnsi" w:cs="Arial"/>
                <w:b/>
                <w:color w:val="000000"/>
                <w:sz w:val="20"/>
                <w:szCs w:val="20"/>
              </w:rPr>
              <w:t>2020</w:t>
            </w:r>
          </w:p>
        </w:tc>
        <w:tc>
          <w:tcPr>
            <w:tcW w:w="1803" w:type="dxa"/>
          </w:tcPr>
          <w:p w14:paraId="125E83EC"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4EF7A390"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0D4AB950" w14:textId="77777777" w:rsidR="00FA387C" w:rsidRPr="00F01EC8" w:rsidRDefault="00FA387C" w:rsidP="005714EF">
            <w:pPr>
              <w:jc w:val="right"/>
              <w:rPr>
                <w:rFonts w:asciiTheme="minorHAnsi" w:hAnsiTheme="minorHAnsi" w:cs="Arial"/>
                <w:color w:val="000000"/>
                <w:sz w:val="20"/>
                <w:szCs w:val="20"/>
              </w:rPr>
            </w:pPr>
          </w:p>
        </w:tc>
        <w:tc>
          <w:tcPr>
            <w:tcW w:w="1804" w:type="dxa"/>
          </w:tcPr>
          <w:p w14:paraId="06B3D80E" w14:textId="77777777" w:rsidR="00FA387C" w:rsidRPr="00F01EC8" w:rsidRDefault="00FA387C" w:rsidP="005714EF">
            <w:pPr>
              <w:jc w:val="right"/>
              <w:rPr>
                <w:rFonts w:asciiTheme="minorHAnsi" w:hAnsiTheme="minorHAnsi" w:cs="Arial"/>
                <w:color w:val="000000"/>
                <w:sz w:val="20"/>
                <w:szCs w:val="20"/>
              </w:rPr>
            </w:pPr>
          </w:p>
        </w:tc>
      </w:tr>
      <w:tr w:rsidR="00FA387C" w:rsidRPr="00F01EC8" w14:paraId="02820192" w14:textId="77777777" w:rsidTr="005714EF">
        <w:tc>
          <w:tcPr>
            <w:tcW w:w="1803" w:type="dxa"/>
            <w:hideMark/>
          </w:tcPr>
          <w:p w14:paraId="53FE33E8" w14:textId="77777777" w:rsidR="00FA387C" w:rsidRPr="00F01EC8" w:rsidRDefault="00FA387C" w:rsidP="005714EF">
            <w:pPr>
              <w:jc w:val="both"/>
              <w:rPr>
                <w:rFonts w:asciiTheme="minorHAnsi" w:hAnsiTheme="minorHAnsi" w:cs="Arial"/>
                <w:color w:val="000000"/>
                <w:sz w:val="20"/>
                <w:szCs w:val="20"/>
              </w:rPr>
            </w:pPr>
            <w:r w:rsidRPr="00F01EC8">
              <w:rPr>
                <w:rFonts w:asciiTheme="minorHAnsi" w:hAnsiTheme="minorHAnsi" w:cs="Arial"/>
                <w:color w:val="000000"/>
                <w:sz w:val="20"/>
                <w:szCs w:val="20"/>
              </w:rPr>
              <w:t>Peak</w:t>
            </w:r>
          </w:p>
        </w:tc>
        <w:tc>
          <w:tcPr>
            <w:tcW w:w="1803" w:type="dxa"/>
            <w:hideMark/>
          </w:tcPr>
          <w:p w14:paraId="5A1A22CC"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8.0</w:t>
            </w:r>
          </w:p>
        </w:tc>
        <w:tc>
          <w:tcPr>
            <w:tcW w:w="1803" w:type="dxa"/>
            <w:hideMark/>
          </w:tcPr>
          <w:p w14:paraId="37B5CBF2"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6.3</w:t>
            </w:r>
          </w:p>
        </w:tc>
        <w:tc>
          <w:tcPr>
            <w:tcW w:w="1803" w:type="dxa"/>
            <w:hideMark/>
          </w:tcPr>
          <w:p w14:paraId="545DC29A"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10.0</w:t>
            </w:r>
          </w:p>
        </w:tc>
        <w:tc>
          <w:tcPr>
            <w:tcW w:w="1804" w:type="dxa"/>
            <w:hideMark/>
          </w:tcPr>
          <w:p w14:paraId="2BFF76EC"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13.5</w:t>
            </w:r>
          </w:p>
        </w:tc>
      </w:tr>
      <w:tr w:rsidR="00FA387C" w:rsidRPr="00F01EC8" w14:paraId="0B4D589D" w14:textId="77777777" w:rsidTr="005714EF">
        <w:tc>
          <w:tcPr>
            <w:tcW w:w="1803" w:type="dxa"/>
            <w:hideMark/>
          </w:tcPr>
          <w:p w14:paraId="5082FC9A" w14:textId="77777777" w:rsidR="00FA387C" w:rsidRPr="00F01EC8" w:rsidRDefault="00FA387C" w:rsidP="005714EF">
            <w:pPr>
              <w:jc w:val="both"/>
              <w:rPr>
                <w:rFonts w:asciiTheme="minorHAnsi" w:hAnsiTheme="minorHAnsi" w:cs="Arial"/>
                <w:color w:val="000000"/>
                <w:sz w:val="20"/>
                <w:szCs w:val="20"/>
              </w:rPr>
            </w:pPr>
            <w:r w:rsidRPr="00F01EC8">
              <w:rPr>
                <w:rFonts w:asciiTheme="minorHAnsi" w:hAnsiTheme="minorHAnsi" w:cs="Arial"/>
                <w:color w:val="000000"/>
                <w:sz w:val="20"/>
                <w:szCs w:val="20"/>
              </w:rPr>
              <w:t>Average</w:t>
            </w:r>
          </w:p>
        </w:tc>
        <w:tc>
          <w:tcPr>
            <w:tcW w:w="1803" w:type="dxa"/>
            <w:hideMark/>
          </w:tcPr>
          <w:p w14:paraId="4C21937D"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6.1</w:t>
            </w:r>
          </w:p>
        </w:tc>
        <w:tc>
          <w:tcPr>
            <w:tcW w:w="1803" w:type="dxa"/>
            <w:hideMark/>
          </w:tcPr>
          <w:p w14:paraId="3F23F056"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5.3</w:t>
            </w:r>
          </w:p>
        </w:tc>
        <w:tc>
          <w:tcPr>
            <w:tcW w:w="1803" w:type="dxa"/>
            <w:hideMark/>
          </w:tcPr>
          <w:p w14:paraId="60C7E97C"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6.8</w:t>
            </w:r>
          </w:p>
        </w:tc>
        <w:tc>
          <w:tcPr>
            <w:tcW w:w="1804" w:type="dxa"/>
            <w:hideMark/>
          </w:tcPr>
          <w:p w14:paraId="70551681"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8.0</w:t>
            </w:r>
          </w:p>
        </w:tc>
      </w:tr>
      <w:tr w:rsidR="00FA387C" w:rsidRPr="00F01EC8" w14:paraId="185F2D23" w14:textId="77777777" w:rsidTr="005714EF">
        <w:tc>
          <w:tcPr>
            <w:tcW w:w="1803" w:type="dxa"/>
          </w:tcPr>
          <w:p w14:paraId="314D3B5B" w14:textId="77777777" w:rsidR="00FA387C" w:rsidRPr="00F01EC8" w:rsidRDefault="00FA387C" w:rsidP="005714EF">
            <w:pPr>
              <w:jc w:val="both"/>
              <w:rPr>
                <w:rFonts w:asciiTheme="minorHAnsi" w:hAnsiTheme="minorHAnsi" w:cs="Arial"/>
                <w:b/>
                <w:color w:val="000000"/>
                <w:sz w:val="20"/>
                <w:szCs w:val="20"/>
              </w:rPr>
            </w:pPr>
          </w:p>
        </w:tc>
        <w:tc>
          <w:tcPr>
            <w:tcW w:w="1803" w:type="dxa"/>
          </w:tcPr>
          <w:p w14:paraId="7AEACDFF"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1CEDBBD4"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674B8828" w14:textId="77777777" w:rsidR="00FA387C" w:rsidRPr="00F01EC8" w:rsidRDefault="00FA387C" w:rsidP="005714EF">
            <w:pPr>
              <w:jc w:val="right"/>
              <w:rPr>
                <w:rFonts w:asciiTheme="minorHAnsi" w:hAnsiTheme="minorHAnsi" w:cs="Arial"/>
                <w:color w:val="000000"/>
                <w:sz w:val="20"/>
                <w:szCs w:val="20"/>
              </w:rPr>
            </w:pPr>
          </w:p>
        </w:tc>
        <w:tc>
          <w:tcPr>
            <w:tcW w:w="1804" w:type="dxa"/>
          </w:tcPr>
          <w:p w14:paraId="57B3660F" w14:textId="77777777" w:rsidR="00FA387C" w:rsidRPr="00F01EC8" w:rsidRDefault="00FA387C" w:rsidP="005714EF">
            <w:pPr>
              <w:jc w:val="right"/>
              <w:rPr>
                <w:rFonts w:asciiTheme="minorHAnsi" w:hAnsiTheme="minorHAnsi" w:cs="Arial"/>
                <w:color w:val="000000"/>
                <w:sz w:val="20"/>
                <w:szCs w:val="20"/>
              </w:rPr>
            </w:pPr>
          </w:p>
        </w:tc>
      </w:tr>
      <w:tr w:rsidR="00FA387C" w:rsidRPr="00F01EC8" w14:paraId="3ECEA186" w14:textId="77777777" w:rsidTr="005714EF">
        <w:tc>
          <w:tcPr>
            <w:tcW w:w="1803" w:type="dxa"/>
            <w:hideMark/>
          </w:tcPr>
          <w:p w14:paraId="16534978" w14:textId="77777777" w:rsidR="00FA387C" w:rsidRPr="00F01EC8" w:rsidRDefault="00FA387C" w:rsidP="005714EF">
            <w:pPr>
              <w:jc w:val="both"/>
              <w:rPr>
                <w:rFonts w:asciiTheme="minorHAnsi" w:hAnsiTheme="minorHAnsi" w:cs="Arial"/>
                <w:b/>
                <w:color w:val="000000"/>
                <w:sz w:val="20"/>
                <w:szCs w:val="20"/>
              </w:rPr>
            </w:pPr>
            <w:r w:rsidRPr="00F01EC8">
              <w:rPr>
                <w:rFonts w:asciiTheme="minorHAnsi" w:hAnsiTheme="minorHAnsi" w:cs="Arial"/>
                <w:b/>
                <w:color w:val="000000"/>
                <w:sz w:val="20"/>
                <w:szCs w:val="20"/>
              </w:rPr>
              <w:t>2021</w:t>
            </w:r>
          </w:p>
        </w:tc>
        <w:tc>
          <w:tcPr>
            <w:tcW w:w="1803" w:type="dxa"/>
          </w:tcPr>
          <w:p w14:paraId="14364B73"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01F93FDE" w14:textId="77777777" w:rsidR="00FA387C" w:rsidRPr="00F01EC8" w:rsidRDefault="00FA387C" w:rsidP="005714EF">
            <w:pPr>
              <w:jc w:val="right"/>
              <w:rPr>
                <w:rFonts w:asciiTheme="minorHAnsi" w:hAnsiTheme="minorHAnsi" w:cs="Arial"/>
                <w:color w:val="000000"/>
                <w:sz w:val="20"/>
                <w:szCs w:val="20"/>
              </w:rPr>
            </w:pPr>
          </w:p>
        </w:tc>
        <w:tc>
          <w:tcPr>
            <w:tcW w:w="1803" w:type="dxa"/>
          </w:tcPr>
          <w:p w14:paraId="5213C6E5" w14:textId="77777777" w:rsidR="00FA387C" w:rsidRPr="00F01EC8" w:rsidRDefault="00FA387C" w:rsidP="005714EF">
            <w:pPr>
              <w:jc w:val="right"/>
              <w:rPr>
                <w:rFonts w:asciiTheme="minorHAnsi" w:hAnsiTheme="minorHAnsi" w:cs="Arial"/>
                <w:color w:val="000000"/>
                <w:sz w:val="20"/>
                <w:szCs w:val="20"/>
              </w:rPr>
            </w:pPr>
          </w:p>
        </w:tc>
        <w:tc>
          <w:tcPr>
            <w:tcW w:w="1804" w:type="dxa"/>
          </w:tcPr>
          <w:p w14:paraId="5BC20F37" w14:textId="77777777" w:rsidR="00FA387C" w:rsidRPr="00F01EC8" w:rsidRDefault="00FA387C" w:rsidP="005714EF">
            <w:pPr>
              <w:jc w:val="right"/>
              <w:rPr>
                <w:rFonts w:asciiTheme="minorHAnsi" w:hAnsiTheme="minorHAnsi" w:cs="Arial"/>
                <w:color w:val="000000"/>
                <w:sz w:val="20"/>
                <w:szCs w:val="20"/>
              </w:rPr>
            </w:pPr>
          </w:p>
        </w:tc>
      </w:tr>
      <w:tr w:rsidR="00FA387C" w:rsidRPr="00F01EC8" w14:paraId="4372A58E" w14:textId="77777777" w:rsidTr="005714EF">
        <w:tc>
          <w:tcPr>
            <w:tcW w:w="1803" w:type="dxa"/>
            <w:hideMark/>
          </w:tcPr>
          <w:p w14:paraId="181764C7" w14:textId="77777777" w:rsidR="00FA387C" w:rsidRPr="00F01EC8" w:rsidRDefault="00FA387C" w:rsidP="005714EF">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Peak </w:t>
            </w:r>
          </w:p>
        </w:tc>
        <w:tc>
          <w:tcPr>
            <w:tcW w:w="1803" w:type="dxa"/>
            <w:hideMark/>
          </w:tcPr>
          <w:p w14:paraId="5481EAA0"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7.4</w:t>
            </w:r>
          </w:p>
        </w:tc>
        <w:tc>
          <w:tcPr>
            <w:tcW w:w="1803" w:type="dxa"/>
            <w:hideMark/>
          </w:tcPr>
          <w:p w14:paraId="1712EF25"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5.7</w:t>
            </w:r>
          </w:p>
        </w:tc>
        <w:tc>
          <w:tcPr>
            <w:tcW w:w="1803" w:type="dxa"/>
            <w:hideMark/>
          </w:tcPr>
          <w:p w14:paraId="4C6D0AF3"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10.2</w:t>
            </w:r>
          </w:p>
        </w:tc>
        <w:tc>
          <w:tcPr>
            <w:tcW w:w="1804" w:type="dxa"/>
            <w:hideMark/>
          </w:tcPr>
          <w:p w14:paraId="0E49E213"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14.1</w:t>
            </w:r>
          </w:p>
        </w:tc>
      </w:tr>
      <w:tr w:rsidR="00FA387C" w:rsidRPr="00F01EC8" w14:paraId="5BB4D605" w14:textId="77777777" w:rsidTr="005714EF">
        <w:tc>
          <w:tcPr>
            <w:tcW w:w="1803" w:type="dxa"/>
            <w:hideMark/>
          </w:tcPr>
          <w:p w14:paraId="20460A56" w14:textId="77777777" w:rsidR="00FA387C" w:rsidRPr="00F01EC8" w:rsidRDefault="00FA387C" w:rsidP="005714EF">
            <w:pPr>
              <w:jc w:val="both"/>
              <w:rPr>
                <w:rFonts w:asciiTheme="minorHAnsi" w:hAnsiTheme="minorHAnsi" w:cs="Arial"/>
                <w:color w:val="000000"/>
                <w:sz w:val="20"/>
                <w:szCs w:val="20"/>
              </w:rPr>
            </w:pPr>
            <w:r w:rsidRPr="00F01EC8">
              <w:rPr>
                <w:rFonts w:asciiTheme="minorHAnsi" w:hAnsiTheme="minorHAnsi" w:cs="Arial"/>
                <w:color w:val="000000"/>
                <w:sz w:val="20"/>
                <w:szCs w:val="20"/>
              </w:rPr>
              <w:t>Average</w:t>
            </w:r>
          </w:p>
        </w:tc>
        <w:tc>
          <w:tcPr>
            <w:tcW w:w="1803" w:type="dxa"/>
            <w:hideMark/>
          </w:tcPr>
          <w:p w14:paraId="3A073F3D"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6.7</w:t>
            </w:r>
          </w:p>
        </w:tc>
        <w:tc>
          <w:tcPr>
            <w:tcW w:w="1803" w:type="dxa"/>
            <w:hideMark/>
          </w:tcPr>
          <w:p w14:paraId="4311D144"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5.4</w:t>
            </w:r>
          </w:p>
        </w:tc>
        <w:tc>
          <w:tcPr>
            <w:tcW w:w="1803" w:type="dxa"/>
            <w:hideMark/>
          </w:tcPr>
          <w:p w14:paraId="1D95E9D5"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9.4</w:t>
            </w:r>
          </w:p>
        </w:tc>
        <w:tc>
          <w:tcPr>
            <w:tcW w:w="1804" w:type="dxa"/>
            <w:hideMark/>
          </w:tcPr>
          <w:p w14:paraId="1B3858D6" w14:textId="77777777" w:rsidR="00FA387C" w:rsidRPr="00F01EC8" w:rsidRDefault="00FA387C" w:rsidP="005714EF">
            <w:pPr>
              <w:jc w:val="right"/>
              <w:rPr>
                <w:rFonts w:asciiTheme="minorHAnsi" w:hAnsiTheme="minorHAnsi" w:cs="Arial"/>
                <w:color w:val="000000"/>
                <w:sz w:val="20"/>
                <w:szCs w:val="20"/>
              </w:rPr>
            </w:pPr>
            <w:r w:rsidRPr="00F01EC8">
              <w:rPr>
                <w:rFonts w:asciiTheme="minorHAnsi" w:hAnsiTheme="minorHAnsi" w:cs="Arial"/>
                <w:color w:val="000000"/>
                <w:sz w:val="20"/>
                <w:szCs w:val="20"/>
              </w:rPr>
              <w:t>13.4</w:t>
            </w:r>
          </w:p>
        </w:tc>
      </w:tr>
    </w:tbl>
    <w:p w14:paraId="43835435" w14:textId="77777777" w:rsidR="00FA387C" w:rsidRPr="00F01EC8" w:rsidRDefault="00FA387C" w:rsidP="00FA387C">
      <w:pPr>
        <w:jc w:val="both"/>
        <w:rPr>
          <w:rFonts w:asciiTheme="minorHAnsi" w:hAnsiTheme="minorHAnsi" w:cs="Arial"/>
          <w:color w:val="000000"/>
          <w:sz w:val="20"/>
          <w:szCs w:val="20"/>
          <w:lang w:eastAsia="en-US"/>
        </w:rPr>
      </w:pPr>
    </w:p>
    <w:p w14:paraId="20425FA8" w14:textId="2B373F89" w:rsidR="00FA387C" w:rsidRDefault="00FA387C" w:rsidP="00FA387C">
      <w:pPr>
        <w:jc w:val="both"/>
        <w:rPr>
          <w:rFonts w:asciiTheme="minorHAnsi" w:hAnsiTheme="minorHAnsi"/>
          <w:sz w:val="20"/>
          <w:szCs w:val="20"/>
        </w:rPr>
      </w:pPr>
      <w:r w:rsidRPr="00F01EC8">
        <w:rPr>
          <w:rFonts w:asciiTheme="minorHAnsi" w:hAnsiTheme="minorHAnsi"/>
          <w:sz w:val="20"/>
          <w:szCs w:val="20"/>
        </w:rPr>
        <w:t>The impact of the macro</w:t>
      </w:r>
      <w:r w:rsidR="000C340A">
        <w:rPr>
          <w:rFonts w:asciiTheme="minorHAnsi" w:hAnsiTheme="minorHAnsi"/>
          <w:sz w:val="20"/>
          <w:szCs w:val="20"/>
        </w:rPr>
        <w:t>-</w:t>
      </w:r>
      <w:r w:rsidRPr="00F01EC8">
        <w:rPr>
          <w:rFonts w:asciiTheme="minorHAnsi" w:hAnsiTheme="minorHAnsi"/>
          <w:sz w:val="20"/>
          <w:szCs w:val="20"/>
        </w:rPr>
        <w:t>economic scenarios has increased the Group impairment provision by £</w:t>
      </w:r>
      <w:r w:rsidR="000C340A">
        <w:rPr>
          <w:rFonts w:asciiTheme="minorHAnsi" w:hAnsiTheme="minorHAnsi"/>
          <w:sz w:val="20"/>
          <w:szCs w:val="20"/>
        </w:rPr>
        <w:t>73</w:t>
      </w:r>
      <w:r w:rsidRPr="00F01EC8">
        <w:rPr>
          <w:rFonts w:asciiTheme="minorHAnsi" w:hAnsiTheme="minorHAnsi"/>
          <w:sz w:val="20"/>
          <w:szCs w:val="20"/>
        </w:rPr>
        <w:t>m.</w:t>
      </w:r>
      <w:r>
        <w:rPr>
          <w:rFonts w:asciiTheme="minorHAnsi" w:hAnsiTheme="minorHAnsi"/>
          <w:sz w:val="20"/>
          <w:szCs w:val="20"/>
        </w:rPr>
        <w:t xml:space="preserve"> </w:t>
      </w:r>
      <w:r w:rsidRPr="00F01EC8">
        <w:rPr>
          <w:rFonts w:asciiTheme="minorHAnsi" w:hAnsiTheme="minorHAnsi"/>
          <w:sz w:val="20"/>
          <w:szCs w:val="20"/>
        </w:rPr>
        <w:t>Whilst the forward-looking nature of IFRS 9 requires provisions to be established for all losses arising out of the current Covid-19 crisis, the level of uncertainty may mean that additional impairment provision, or releases, may be required in future periods.</w:t>
      </w:r>
    </w:p>
    <w:p w14:paraId="25239367" w14:textId="55A4D7E0" w:rsidR="008B013F" w:rsidRDefault="008B013F">
      <w:pPr>
        <w:rPr>
          <w:rStyle w:val="Strong"/>
          <w:rFonts w:asciiTheme="minorHAnsi" w:eastAsiaTheme="minorHAnsi" w:hAnsiTheme="minorHAnsi" w:cstheme="minorBidi"/>
          <w:sz w:val="20"/>
          <w:szCs w:val="20"/>
          <w:lang w:eastAsia="en-US"/>
        </w:rPr>
      </w:pPr>
    </w:p>
    <w:p w14:paraId="181B0CF7" w14:textId="0F3952A1" w:rsidR="00F01EC8" w:rsidRPr="00F01EC8" w:rsidRDefault="00F01EC8" w:rsidP="00F01EC8">
      <w:pPr>
        <w:pStyle w:val="NoSpacing"/>
        <w:jc w:val="both"/>
        <w:rPr>
          <w:rStyle w:val="Strong"/>
          <w:sz w:val="20"/>
          <w:szCs w:val="20"/>
        </w:rPr>
      </w:pPr>
      <w:r w:rsidRPr="00F01EC8">
        <w:rPr>
          <w:rStyle w:val="Strong"/>
          <w:sz w:val="20"/>
          <w:szCs w:val="20"/>
        </w:rPr>
        <w:t>Vanquis Bank</w:t>
      </w:r>
    </w:p>
    <w:tbl>
      <w:tblPr>
        <w:tblW w:w="9780" w:type="dxa"/>
        <w:tblLayout w:type="fixed"/>
        <w:tblLook w:val="04A0" w:firstRow="1" w:lastRow="0" w:firstColumn="1" w:lastColumn="0" w:noHBand="0" w:noVBand="1"/>
      </w:tblPr>
      <w:tblGrid>
        <w:gridCol w:w="6378"/>
        <w:gridCol w:w="1134"/>
        <w:gridCol w:w="1134"/>
        <w:gridCol w:w="1134"/>
      </w:tblGrid>
      <w:tr w:rsidR="00F01EC8" w:rsidRPr="00F01EC8" w14:paraId="607219C1" w14:textId="77777777" w:rsidTr="00F01EC8">
        <w:tc>
          <w:tcPr>
            <w:tcW w:w="6379" w:type="dxa"/>
          </w:tcPr>
          <w:p w14:paraId="60CD1514" w14:textId="77777777" w:rsidR="00F01EC8" w:rsidRPr="00F01EC8" w:rsidRDefault="00F01EC8">
            <w:pPr>
              <w:pStyle w:val="NoSpacing"/>
              <w:spacing w:line="256" w:lineRule="auto"/>
              <w:rPr>
                <w:sz w:val="20"/>
                <w:szCs w:val="20"/>
              </w:rPr>
            </w:pPr>
          </w:p>
        </w:tc>
        <w:tc>
          <w:tcPr>
            <w:tcW w:w="3402" w:type="dxa"/>
            <w:gridSpan w:val="3"/>
            <w:hideMark/>
          </w:tcPr>
          <w:p w14:paraId="36AE86B2" w14:textId="77777777" w:rsidR="00F01EC8" w:rsidRPr="00F01EC8" w:rsidRDefault="00F01EC8">
            <w:pPr>
              <w:pStyle w:val="NoSpacing"/>
              <w:spacing w:line="256" w:lineRule="auto"/>
              <w:jc w:val="center"/>
              <w:rPr>
                <w:sz w:val="20"/>
                <w:szCs w:val="20"/>
              </w:rPr>
            </w:pPr>
            <w:r w:rsidRPr="00F01EC8">
              <w:rPr>
                <w:sz w:val="20"/>
                <w:szCs w:val="20"/>
              </w:rPr>
              <w:t>Six months ended 30 June</w:t>
            </w:r>
          </w:p>
        </w:tc>
      </w:tr>
      <w:tr w:rsidR="00F01EC8" w:rsidRPr="00F01EC8" w14:paraId="7FB7FED4" w14:textId="77777777" w:rsidTr="00F01EC8">
        <w:tc>
          <w:tcPr>
            <w:tcW w:w="6379" w:type="dxa"/>
          </w:tcPr>
          <w:p w14:paraId="1452D8B5" w14:textId="77777777" w:rsidR="00F01EC8" w:rsidRPr="00F01EC8" w:rsidRDefault="00F01EC8">
            <w:pPr>
              <w:pStyle w:val="NoSpacing"/>
              <w:spacing w:line="256" w:lineRule="auto"/>
              <w:rPr>
                <w:sz w:val="20"/>
                <w:szCs w:val="20"/>
              </w:rPr>
            </w:pPr>
          </w:p>
        </w:tc>
        <w:tc>
          <w:tcPr>
            <w:tcW w:w="1134" w:type="dxa"/>
            <w:hideMark/>
          </w:tcPr>
          <w:p w14:paraId="49505831" w14:textId="77777777" w:rsidR="00F01EC8" w:rsidRPr="00F01EC8" w:rsidRDefault="00F01EC8" w:rsidP="00F01EC8">
            <w:pPr>
              <w:pStyle w:val="NoSpacing"/>
              <w:spacing w:line="256" w:lineRule="auto"/>
              <w:jc w:val="right"/>
              <w:rPr>
                <w:sz w:val="20"/>
                <w:szCs w:val="20"/>
              </w:rPr>
            </w:pPr>
            <w:r w:rsidRPr="00F01EC8">
              <w:rPr>
                <w:sz w:val="20"/>
                <w:szCs w:val="20"/>
              </w:rPr>
              <w:t>2020</w:t>
            </w:r>
          </w:p>
        </w:tc>
        <w:tc>
          <w:tcPr>
            <w:tcW w:w="1134" w:type="dxa"/>
            <w:hideMark/>
          </w:tcPr>
          <w:p w14:paraId="2A5431BC" w14:textId="77777777" w:rsidR="00F01EC8" w:rsidRPr="00F01EC8" w:rsidRDefault="00F01EC8" w:rsidP="00F01EC8">
            <w:pPr>
              <w:pStyle w:val="NoSpacing"/>
              <w:spacing w:line="256" w:lineRule="auto"/>
              <w:jc w:val="right"/>
              <w:rPr>
                <w:sz w:val="20"/>
                <w:szCs w:val="20"/>
              </w:rPr>
            </w:pPr>
            <w:r w:rsidRPr="00F01EC8">
              <w:rPr>
                <w:sz w:val="20"/>
                <w:szCs w:val="20"/>
              </w:rPr>
              <w:t>2019</w:t>
            </w:r>
            <w:r w:rsidRPr="00F01EC8">
              <w:rPr>
                <w:sz w:val="20"/>
                <w:szCs w:val="20"/>
                <w:vertAlign w:val="superscript"/>
              </w:rPr>
              <w:t>1</w:t>
            </w:r>
          </w:p>
        </w:tc>
        <w:tc>
          <w:tcPr>
            <w:tcW w:w="1134" w:type="dxa"/>
            <w:vMerge w:val="restart"/>
            <w:tcBorders>
              <w:top w:val="nil"/>
              <w:left w:val="nil"/>
              <w:bottom w:val="single" w:sz="4" w:space="0" w:color="auto"/>
              <w:right w:val="nil"/>
            </w:tcBorders>
            <w:vAlign w:val="center"/>
            <w:hideMark/>
          </w:tcPr>
          <w:p w14:paraId="7B04BC48" w14:textId="77777777" w:rsidR="00F01EC8" w:rsidRPr="00F01EC8" w:rsidRDefault="00F01EC8" w:rsidP="00F01EC8">
            <w:pPr>
              <w:pStyle w:val="NoSpacing"/>
              <w:spacing w:line="256" w:lineRule="auto"/>
              <w:jc w:val="right"/>
              <w:rPr>
                <w:i/>
                <w:sz w:val="20"/>
                <w:szCs w:val="20"/>
              </w:rPr>
            </w:pPr>
            <w:r w:rsidRPr="00F01EC8">
              <w:rPr>
                <w:i/>
                <w:sz w:val="20"/>
                <w:szCs w:val="20"/>
              </w:rPr>
              <w:t>Change</w:t>
            </w:r>
          </w:p>
        </w:tc>
      </w:tr>
      <w:tr w:rsidR="00F01EC8" w:rsidRPr="00F01EC8" w14:paraId="163B4F21" w14:textId="77777777" w:rsidTr="00F01EC8">
        <w:tc>
          <w:tcPr>
            <w:tcW w:w="6379" w:type="dxa"/>
          </w:tcPr>
          <w:p w14:paraId="50B801C7" w14:textId="77777777" w:rsidR="00F01EC8" w:rsidRPr="00F01EC8" w:rsidRDefault="00F01EC8">
            <w:pPr>
              <w:pStyle w:val="NoSpacing"/>
              <w:spacing w:line="256" w:lineRule="auto"/>
              <w:rPr>
                <w:sz w:val="20"/>
                <w:szCs w:val="20"/>
              </w:rPr>
            </w:pPr>
          </w:p>
        </w:tc>
        <w:tc>
          <w:tcPr>
            <w:tcW w:w="1134" w:type="dxa"/>
            <w:tcBorders>
              <w:top w:val="nil"/>
              <w:left w:val="nil"/>
              <w:bottom w:val="single" w:sz="4" w:space="0" w:color="auto"/>
              <w:right w:val="nil"/>
            </w:tcBorders>
            <w:vAlign w:val="bottom"/>
            <w:hideMark/>
          </w:tcPr>
          <w:p w14:paraId="3E290563" w14:textId="77777777" w:rsidR="00F01EC8" w:rsidRPr="00F01EC8" w:rsidRDefault="00F01EC8" w:rsidP="00F01EC8">
            <w:pPr>
              <w:pStyle w:val="NoSpacing"/>
              <w:spacing w:line="256" w:lineRule="auto"/>
              <w:jc w:val="right"/>
              <w:rPr>
                <w:sz w:val="20"/>
                <w:szCs w:val="20"/>
              </w:rPr>
            </w:pPr>
            <w:r w:rsidRPr="00F01EC8">
              <w:rPr>
                <w:sz w:val="20"/>
                <w:szCs w:val="20"/>
              </w:rPr>
              <w:t>£m</w:t>
            </w:r>
          </w:p>
        </w:tc>
        <w:tc>
          <w:tcPr>
            <w:tcW w:w="1134" w:type="dxa"/>
            <w:tcBorders>
              <w:top w:val="nil"/>
              <w:left w:val="nil"/>
              <w:bottom w:val="single" w:sz="4" w:space="0" w:color="auto"/>
              <w:right w:val="nil"/>
            </w:tcBorders>
            <w:vAlign w:val="bottom"/>
            <w:hideMark/>
          </w:tcPr>
          <w:p w14:paraId="46C0757D" w14:textId="77777777" w:rsidR="00F01EC8" w:rsidRPr="00F01EC8" w:rsidRDefault="00F01EC8" w:rsidP="00F01EC8">
            <w:pPr>
              <w:pStyle w:val="NoSpacing"/>
              <w:spacing w:line="256" w:lineRule="auto"/>
              <w:jc w:val="right"/>
              <w:rPr>
                <w:sz w:val="20"/>
                <w:szCs w:val="20"/>
              </w:rPr>
            </w:pPr>
            <w:r w:rsidRPr="00F01EC8">
              <w:rPr>
                <w:sz w:val="20"/>
                <w:szCs w:val="20"/>
              </w:rPr>
              <w:t>£m</w:t>
            </w:r>
          </w:p>
        </w:tc>
        <w:tc>
          <w:tcPr>
            <w:tcW w:w="1134" w:type="dxa"/>
            <w:vMerge/>
            <w:tcBorders>
              <w:top w:val="nil"/>
              <w:left w:val="nil"/>
              <w:bottom w:val="single" w:sz="4" w:space="0" w:color="auto"/>
              <w:right w:val="nil"/>
            </w:tcBorders>
            <w:vAlign w:val="center"/>
            <w:hideMark/>
          </w:tcPr>
          <w:p w14:paraId="60682409" w14:textId="77777777" w:rsidR="00F01EC8" w:rsidRPr="00F01EC8" w:rsidRDefault="00F01EC8" w:rsidP="00F01EC8">
            <w:pPr>
              <w:jc w:val="right"/>
              <w:rPr>
                <w:rFonts w:asciiTheme="minorHAnsi" w:hAnsiTheme="minorHAnsi"/>
                <w:i/>
                <w:sz w:val="20"/>
                <w:szCs w:val="20"/>
                <w:lang w:eastAsia="en-US"/>
              </w:rPr>
            </w:pPr>
          </w:p>
        </w:tc>
      </w:tr>
      <w:tr w:rsidR="00F01EC8" w:rsidRPr="00F01EC8" w14:paraId="2E3B50EB" w14:textId="77777777" w:rsidTr="00F01EC8">
        <w:tc>
          <w:tcPr>
            <w:tcW w:w="6379" w:type="dxa"/>
          </w:tcPr>
          <w:p w14:paraId="7C576101" w14:textId="77777777" w:rsidR="00F01EC8" w:rsidRPr="00F01EC8" w:rsidRDefault="00F01EC8">
            <w:pPr>
              <w:pStyle w:val="NoSpacing"/>
              <w:spacing w:line="256" w:lineRule="auto"/>
              <w:rPr>
                <w:sz w:val="20"/>
                <w:szCs w:val="20"/>
              </w:rPr>
            </w:pPr>
          </w:p>
        </w:tc>
        <w:tc>
          <w:tcPr>
            <w:tcW w:w="1134" w:type="dxa"/>
            <w:tcBorders>
              <w:top w:val="single" w:sz="4" w:space="0" w:color="auto"/>
              <w:left w:val="nil"/>
              <w:bottom w:val="nil"/>
              <w:right w:val="nil"/>
            </w:tcBorders>
            <w:vAlign w:val="bottom"/>
          </w:tcPr>
          <w:p w14:paraId="3F315029"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61DD04D7"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770FA509" w14:textId="77777777" w:rsidR="00F01EC8" w:rsidRPr="00F01EC8" w:rsidRDefault="00F01EC8" w:rsidP="00F01EC8">
            <w:pPr>
              <w:pStyle w:val="NoSpacing"/>
              <w:spacing w:line="256" w:lineRule="auto"/>
              <w:jc w:val="right"/>
              <w:rPr>
                <w:i/>
                <w:sz w:val="20"/>
                <w:szCs w:val="20"/>
              </w:rPr>
            </w:pPr>
          </w:p>
        </w:tc>
      </w:tr>
      <w:tr w:rsidR="00F01EC8" w:rsidRPr="00F01EC8" w14:paraId="652A1458" w14:textId="77777777" w:rsidTr="00F01EC8">
        <w:tc>
          <w:tcPr>
            <w:tcW w:w="6379" w:type="dxa"/>
            <w:vAlign w:val="bottom"/>
            <w:hideMark/>
          </w:tcPr>
          <w:p w14:paraId="349C0A95" w14:textId="77777777" w:rsidR="00F01EC8" w:rsidRPr="00F01EC8" w:rsidRDefault="00F01EC8">
            <w:pPr>
              <w:pStyle w:val="NoSpacing"/>
              <w:spacing w:line="256" w:lineRule="auto"/>
              <w:rPr>
                <w:sz w:val="20"/>
                <w:szCs w:val="20"/>
              </w:rPr>
            </w:pPr>
            <w:r w:rsidRPr="00F01EC8">
              <w:rPr>
                <w:sz w:val="20"/>
                <w:szCs w:val="20"/>
              </w:rPr>
              <w:t>Customer numbers ('000)</w:t>
            </w:r>
          </w:p>
        </w:tc>
        <w:tc>
          <w:tcPr>
            <w:tcW w:w="1134" w:type="dxa"/>
            <w:vAlign w:val="bottom"/>
            <w:hideMark/>
          </w:tcPr>
          <w:p w14:paraId="614ECD58" w14:textId="77777777" w:rsidR="00F01EC8" w:rsidRPr="00F01EC8" w:rsidRDefault="00F01EC8" w:rsidP="00F01EC8">
            <w:pPr>
              <w:pStyle w:val="NoSpacing"/>
              <w:spacing w:line="256" w:lineRule="auto"/>
              <w:jc w:val="right"/>
              <w:rPr>
                <w:sz w:val="20"/>
                <w:szCs w:val="20"/>
              </w:rPr>
            </w:pPr>
            <w:r w:rsidRPr="00F01EC8">
              <w:rPr>
                <w:sz w:val="20"/>
                <w:szCs w:val="20"/>
              </w:rPr>
              <w:t>1,694</w:t>
            </w:r>
          </w:p>
        </w:tc>
        <w:tc>
          <w:tcPr>
            <w:tcW w:w="1134" w:type="dxa"/>
            <w:vAlign w:val="bottom"/>
            <w:hideMark/>
          </w:tcPr>
          <w:p w14:paraId="2728934B" w14:textId="77777777" w:rsidR="00F01EC8" w:rsidRPr="00F01EC8" w:rsidRDefault="00F01EC8" w:rsidP="00F01EC8">
            <w:pPr>
              <w:pStyle w:val="NoSpacing"/>
              <w:spacing w:line="256" w:lineRule="auto"/>
              <w:jc w:val="right"/>
              <w:rPr>
                <w:sz w:val="20"/>
                <w:szCs w:val="20"/>
              </w:rPr>
            </w:pPr>
            <w:r w:rsidRPr="00F01EC8">
              <w:rPr>
                <w:sz w:val="20"/>
                <w:szCs w:val="20"/>
              </w:rPr>
              <w:t>1,791</w:t>
            </w:r>
          </w:p>
        </w:tc>
        <w:tc>
          <w:tcPr>
            <w:tcW w:w="1134" w:type="dxa"/>
            <w:vAlign w:val="bottom"/>
            <w:hideMark/>
          </w:tcPr>
          <w:p w14:paraId="5AA7746B" w14:textId="77777777" w:rsidR="00F01EC8" w:rsidRPr="00F01EC8" w:rsidRDefault="00F01EC8" w:rsidP="00F01EC8">
            <w:pPr>
              <w:pStyle w:val="NoSpacing"/>
              <w:spacing w:line="256" w:lineRule="auto"/>
              <w:jc w:val="right"/>
              <w:rPr>
                <w:i/>
                <w:sz w:val="20"/>
                <w:szCs w:val="20"/>
              </w:rPr>
            </w:pPr>
            <w:r w:rsidRPr="00F01EC8">
              <w:rPr>
                <w:i/>
                <w:sz w:val="20"/>
                <w:szCs w:val="20"/>
              </w:rPr>
              <w:t>(5.4%)</w:t>
            </w:r>
          </w:p>
        </w:tc>
      </w:tr>
      <w:tr w:rsidR="00F01EC8" w:rsidRPr="00F01EC8" w14:paraId="20996479" w14:textId="77777777" w:rsidTr="00F01EC8">
        <w:tc>
          <w:tcPr>
            <w:tcW w:w="6379" w:type="dxa"/>
            <w:vAlign w:val="bottom"/>
            <w:hideMark/>
          </w:tcPr>
          <w:p w14:paraId="1A5B6E41" w14:textId="77777777" w:rsidR="00F01EC8" w:rsidRPr="00F01EC8" w:rsidRDefault="00F01EC8">
            <w:pPr>
              <w:pStyle w:val="NoSpacing"/>
              <w:spacing w:line="256" w:lineRule="auto"/>
              <w:rPr>
                <w:sz w:val="20"/>
                <w:szCs w:val="20"/>
              </w:rPr>
            </w:pPr>
            <w:r w:rsidRPr="00F01EC8">
              <w:rPr>
                <w:sz w:val="20"/>
                <w:szCs w:val="20"/>
              </w:rPr>
              <w:t>Period-end receivables</w:t>
            </w:r>
          </w:p>
        </w:tc>
        <w:tc>
          <w:tcPr>
            <w:tcW w:w="1134" w:type="dxa"/>
            <w:vAlign w:val="bottom"/>
            <w:hideMark/>
          </w:tcPr>
          <w:p w14:paraId="40A177E0" w14:textId="77777777" w:rsidR="00F01EC8" w:rsidRPr="00F01EC8" w:rsidRDefault="00F01EC8" w:rsidP="00F01EC8">
            <w:pPr>
              <w:pStyle w:val="NoSpacing"/>
              <w:spacing w:line="256" w:lineRule="auto"/>
              <w:jc w:val="right"/>
              <w:rPr>
                <w:sz w:val="20"/>
                <w:szCs w:val="20"/>
              </w:rPr>
            </w:pPr>
            <w:r w:rsidRPr="00F01EC8">
              <w:rPr>
                <w:sz w:val="20"/>
                <w:szCs w:val="20"/>
              </w:rPr>
              <w:t>1,202</w:t>
            </w:r>
          </w:p>
        </w:tc>
        <w:tc>
          <w:tcPr>
            <w:tcW w:w="1134" w:type="dxa"/>
            <w:vAlign w:val="bottom"/>
            <w:hideMark/>
          </w:tcPr>
          <w:p w14:paraId="0D809210" w14:textId="77777777" w:rsidR="00F01EC8" w:rsidRPr="00F01EC8" w:rsidRDefault="00F01EC8" w:rsidP="00F01EC8">
            <w:pPr>
              <w:pStyle w:val="NoSpacing"/>
              <w:spacing w:line="256" w:lineRule="auto"/>
              <w:jc w:val="right"/>
              <w:rPr>
                <w:sz w:val="20"/>
                <w:szCs w:val="20"/>
              </w:rPr>
            </w:pPr>
            <w:r w:rsidRPr="00F01EC8">
              <w:rPr>
                <w:sz w:val="20"/>
                <w:szCs w:val="20"/>
              </w:rPr>
              <w:t>1,465</w:t>
            </w:r>
          </w:p>
        </w:tc>
        <w:tc>
          <w:tcPr>
            <w:tcW w:w="1134" w:type="dxa"/>
            <w:vAlign w:val="bottom"/>
            <w:hideMark/>
          </w:tcPr>
          <w:p w14:paraId="18702072" w14:textId="39E53732" w:rsidR="00F01EC8" w:rsidRPr="00F01EC8" w:rsidRDefault="00F01EC8" w:rsidP="00F01EC8">
            <w:pPr>
              <w:pStyle w:val="NoSpacing"/>
              <w:spacing w:line="256" w:lineRule="auto"/>
              <w:jc w:val="right"/>
              <w:rPr>
                <w:i/>
                <w:sz w:val="20"/>
                <w:szCs w:val="20"/>
              </w:rPr>
            </w:pPr>
            <w:r w:rsidRPr="00F01EC8">
              <w:rPr>
                <w:i/>
                <w:sz w:val="20"/>
                <w:szCs w:val="20"/>
              </w:rPr>
              <w:t>(1</w:t>
            </w:r>
            <w:r w:rsidR="00126BCD">
              <w:rPr>
                <w:i/>
                <w:sz w:val="20"/>
                <w:szCs w:val="20"/>
              </w:rPr>
              <w:t>8.0</w:t>
            </w:r>
            <w:r w:rsidRPr="00F01EC8">
              <w:rPr>
                <w:i/>
                <w:sz w:val="20"/>
                <w:szCs w:val="20"/>
              </w:rPr>
              <w:t>%)</w:t>
            </w:r>
          </w:p>
        </w:tc>
      </w:tr>
      <w:tr w:rsidR="00F01EC8" w:rsidRPr="00F01EC8" w14:paraId="33D2F479" w14:textId="77777777" w:rsidTr="00F01EC8">
        <w:tc>
          <w:tcPr>
            <w:tcW w:w="6379" w:type="dxa"/>
            <w:tcBorders>
              <w:top w:val="nil"/>
              <w:left w:val="nil"/>
              <w:bottom w:val="single" w:sz="4" w:space="0" w:color="auto"/>
              <w:right w:val="nil"/>
            </w:tcBorders>
            <w:vAlign w:val="bottom"/>
            <w:hideMark/>
          </w:tcPr>
          <w:p w14:paraId="37B02C22" w14:textId="77777777" w:rsidR="00F01EC8" w:rsidRPr="00F01EC8" w:rsidRDefault="00F01EC8">
            <w:pPr>
              <w:pStyle w:val="NoSpacing"/>
              <w:spacing w:line="256" w:lineRule="auto"/>
              <w:rPr>
                <w:sz w:val="20"/>
                <w:szCs w:val="20"/>
                <w:vertAlign w:val="superscript"/>
              </w:rPr>
            </w:pPr>
            <w:r w:rsidRPr="00F01EC8">
              <w:rPr>
                <w:sz w:val="20"/>
                <w:szCs w:val="20"/>
              </w:rPr>
              <w:t>Average receivables</w:t>
            </w:r>
            <w:r w:rsidRPr="00F01EC8">
              <w:rPr>
                <w:sz w:val="20"/>
                <w:szCs w:val="20"/>
                <w:vertAlign w:val="superscript"/>
              </w:rPr>
              <w:t>2</w:t>
            </w:r>
          </w:p>
        </w:tc>
        <w:tc>
          <w:tcPr>
            <w:tcW w:w="1134" w:type="dxa"/>
            <w:tcBorders>
              <w:top w:val="nil"/>
              <w:left w:val="nil"/>
              <w:bottom w:val="single" w:sz="4" w:space="0" w:color="auto"/>
              <w:right w:val="nil"/>
            </w:tcBorders>
            <w:vAlign w:val="bottom"/>
            <w:hideMark/>
          </w:tcPr>
          <w:p w14:paraId="7C99D456" w14:textId="77777777" w:rsidR="00F01EC8" w:rsidRPr="00F01EC8" w:rsidRDefault="00F01EC8" w:rsidP="00F01EC8">
            <w:pPr>
              <w:pStyle w:val="NoSpacing"/>
              <w:spacing w:line="256" w:lineRule="auto"/>
              <w:jc w:val="right"/>
              <w:rPr>
                <w:sz w:val="20"/>
                <w:szCs w:val="20"/>
              </w:rPr>
            </w:pPr>
            <w:r w:rsidRPr="00F01EC8">
              <w:rPr>
                <w:sz w:val="20"/>
                <w:szCs w:val="20"/>
              </w:rPr>
              <w:t>1,341</w:t>
            </w:r>
          </w:p>
        </w:tc>
        <w:tc>
          <w:tcPr>
            <w:tcW w:w="1134" w:type="dxa"/>
            <w:tcBorders>
              <w:top w:val="nil"/>
              <w:left w:val="nil"/>
              <w:bottom w:val="single" w:sz="4" w:space="0" w:color="auto"/>
              <w:right w:val="nil"/>
            </w:tcBorders>
            <w:vAlign w:val="bottom"/>
            <w:hideMark/>
          </w:tcPr>
          <w:p w14:paraId="3473EC17" w14:textId="77777777" w:rsidR="00F01EC8" w:rsidRPr="00F01EC8" w:rsidRDefault="00F01EC8" w:rsidP="00F01EC8">
            <w:pPr>
              <w:pStyle w:val="NoSpacing"/>
              <w:spacing w:line="256" w:lineRule="auto"/>
              <w:jc w:val="right"/>
              <w:rPr>
                <w:sz w:val="20"/>
                <w:szCs w:val="20"/>
              </w:rPr>
            </w:pPr>
            <w:r w:rsidRPr="00F01EC8">
              <w:rPr>
                <w:sz w:val="20"/>
                <w:szCs w:val="20"/>
              </w:rPr>
              <w:t>1,465</w:t>
            </w:r>
          </w:p>
        </w:tc>
        <w:tc>
          <w:tcPr>
            <w:tcW w:w="1134" w:type="dxa"/>
            <w:tcBorders>
              <w:top w:val="nil"/>
              <w:left w:val="nil"/>
              <w:bottom w:val="single" w:sz="4" w:space="0" w:color="auto"/>
              <w:right w:val="nil"/>
            </w:tcBorders>
            <w:vAlign w:val="bottom"/>
            <w:hideMark/>
          </w:tcPr>
          <w:p w14:paraId="5E350A24" w14:textId="4A9492FB" w:rsidR="00F01EC8" w:rsidRPr="00F01EC8" w:rsidRDefault="00F01EC8" w:rsidP="00F01EC8">
            <w:pPr>
              <w:pStyle w:val="NoSpacing"/>
              <w:spacing w:line="256" w:lineRule="auto"/>
              <w:jc w:val="right"/>
              <w:rPr>
                <w:i/>
                <w:sz w:val="20"/>
                <w:szCs w:val="20"/>
              </w:rPr>
            </w:pPr>
            <w:r w:rsidRPr="00F01EC8">
              <w:rPr>
                <w:i/>
                <w:sz w:val="20"/>
                <w:szCs w:val="20"/>
              </w:rPr>
              <w:t>(</w:t>
            </w:r>
            <w:r w:rsidR="00126BCD">
              <w:rPr>
                <w:i/>
                <w:sz w:val="20"/>
                <w:szCs w:val="20"/>
              </w:rPr>
              <w:t>8.5</w:t>
            </w:r>
            <w:r w:rsidRPr="00F01EC8">
              <w:rPr>
                <w:i/>
                <w:sz w:val="20"/>
                <w:szCs w:val="20"/>
              </w:rPr>
              <w:t>%)</w:t>
            </w:r>
          </w:p>
        </w:tc>
      </w:tr>
      <w:tr w:rsidR="00F01EC8" w:rsidRPr="00F01EC8" w14:paraId="0FBEF926" w14:textId="77777777" w:rsidTr="00F01EC8">
        <w:tc>
          <w:tcPr>
            <w:tcW w:w="6379" w:type="dxa"/>
            <w:tcBorders>
              <w:top w:val="single" w:sz="4" w:space="0" w:color="auto"/>
              <w:left w:val="nil"/>
              <w:bottom w:val="nil"/>
              <w:right w:val="nil"/>
            </w:tcBorders>
            <w:vAlign w:val="bottom"/>
          </w:tcPr>
          <w:p w14:paraId="3EF9A74A" w14:textId="77777777" w:rsidR="00F01EC8" w:rsidRPr="00F01EC8" w:rsidRDefault="00F01EC8">
            <w:pPr>
              <w:pStyle w:val="NoSpacing"/>
              <w:spacing w:line="256" w:lineRule="auto"/>
              <w:rPr>
                <w:sz w:val="20"/>
                <w:szCs w:val="20"/>
              </w:rPr>
            </w:pPr>
          </w:p>
        </w:tc>
        <w:tc>
          <w:tcPr>
            <w:tcW w:w="1134" w:type="dxa"/>
            <w:tcBorders>
              <w:top w:val="single" w:sz="4" w:space="0" w:color="auto"/>
              <w:left w:val="nil"/>
              <w:bottom w:val="nil"/>
              <w:right w:val="nil"/>
            </w:tcBorders>
            <w:vAlign w:val="bottom"/>
          </w:tcPr>
          <w:p w14:paraId="0A9399DA"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5B81FD1C"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24D80EDD" w14:textId="77777777" w:rsidR="00F01EC8" w:rsidRPr="00F01EC8" w:rsidRDefault="00F01EC8" w:rsidP="00F01EC8">
            <w:pPr>
              <w:pStyle w:val="NoSpacing"/>
              <w:spacing w:line="256" w:lineRule="auto"/>
              <w:jc w:val="right"/>
              <w:rPr>
                <w:i/>
                <w:sz w:val="20"/>
                <w:szCs w:val="20"/>
              </w:rPr>
            </w:pPr>
          </w:p>
        </w:tc>
      </w:tr>
      <w:tr w:rsidR="00F01EC8" w:rsidRPr="00F01EC8" w14:paraId="49825AE7" w14:textId="77777777" w:rsidTr="00F01EC8">
        <w:tc>
          <w:tcPr>
            <w:tcW w:w="6379" w:type="dxa"/>
            <w:vAlign w:val="bottom"/>
            <w:hideMark/>
          </w:tcPr>
          <w:p w14:paraId="2C68D782" w14:textId="77777777" w:rsidR="00F01EC8" w:rsidRPr="00F01EC8" w:rsidRDefault="00F01EC8">
            <w:pPr>
              <w:pStyle w:val="NoSpacing"/>
              <w:spacing w:line="256" w:lineRule="auto"/>
              <w:rPr>
                <w:b/>
                <w:sz w:val="20"/>
                <w:szCs w:val="20"/>
              </w:rPr>
            </w:pPr>
            <w:r w:rsidRPr="00F01EC8">
              <w:rPr>
                <w:b/>
                <w:sz w:val="20"/>
                <w:szCs w:val="20"/>
              </w:rPr>
              <w:t>Revenue</w:t>
            </w:r>
          </w:p>
        </w:tc>
        <w:tc>
          <w:tcPr>
            <w:tcW w:w="1134" w:type="dxa"/>
            <w:vAlign w:val="bottom"/>
            <w:hideMark/>
          </w:tcPr>
          <w:p w14:paraId="4D20729D" w14:textId="77777777" w:rsidR="00F01EC8" w:rsidRPr="00F01EC8" w:rsidRDefault="00F01EC8" w:rsidP="00F01EC8">
            <w:pPr>
              <w:pStyle w:val="NoSpacing"/>
              <w:spacing w:line="256" w:lineRule="auto"/>
              <w:jc w:val="right"/>
              <w:rPr>
                <w:b/>
                <w:sz w:val="20"/>
                <w:szCs w:val="20"/>
              </w:rPr>
            </w:pPr>
            <w:r w:rsidRPr="00F01EC8">
              <w:rPr>
                <w:b/>
                <w:sz w:val="20"/>
                <w:szCs w:val="20"/>
              </w:rPr>
              <w:t>261.1</w:t>
            </w:r>
          </w:p>
        </w:tc>
        <w:tc>
          <w:tcPr>
            <w:tcW w:w="1134" w:type="dxa"/>
            <w:vAlign w:val="bottom"/>
            <w:hideMark/>
          </w:tcPr>
          <w:p w14:paraId="70D9C973" w14:textId="77777777" w:rsidR="00F01EC8" w:rsidRPr="00F01EC8" w:rsidRDefault="00F01EC8" w:rsidP="00F01EC8">
            <w:pPr>
              <w:pStyle w:val="NoSpacing"/>
              <w:spacing w:line="256" w:lineRule="auto"/>
              <w:jc w:val="right"/>
              <w:rPr>
                <w:b/>
                <w:sz w:val="20"/>
                <w:szCs w:val="20"/>
              </w:rPr>
            </w:pPr>
            <w:r w:rsidRPr="00F01EC8">
              <w:rPr>
                <w:b/>
                <w:sz w:val="20"/>
                <w:szCs w:val="20"/>
              </w:rPr>
              <w:t>291.1</w:t>
            </w:r>
          </w:p>
        </w:tc>
        <w:tc>
          <w:tcPr>
            <w:tcW w:w="1134" w:type="dxa"/>
            <w:vAlign w:val="bottom"/>
            <w:hideMark/>
          </w:tcPr>
          <w:p w14:paraId="6E122780" w14:textId="77777777" w:rsidR="00F01EC8" w:rsidRPr="00F01EC8" w:rsidRDefault="00F01EC8" w:rsidP="00F01EC8">
            <w:pPr>
              <w:pStyle w:val="NoSpacing"/>
              <w:spacing w:line="256" w:lineRule="auto"/>
              <w:jc w:val="right"/>
              <w:rPr>
                <w:b/>
                <w:i/>
                <w:sz w:val="20"/>
                <w:szCs w:val="20"/>
              </w:rPr>
            </w:pPr>
            <w:r w:rsidRPr="00F01EC8">
              <w:rPr>
                <w:b/>
                <w:i/>
                <w:sz w:val="20"/>
                <w:szCs w:val="20"/>
              </w:rPr>
              <w:t>(10.3%)</w:t>
            </w:r>
          </w:p>
        </w:tc>
      </w:tr>
      <w:tr w:rsidR="00F01EC8" w:rsidRPr="00F01EC8" w14:paraId="5E463684" w14:textId="77777777" w:rsidTr="00F01EC8">
        <w:tc>
          <w:tcPr>
            <w:tcW w:w="6379" w:type="dxa"/>
            <w:tcBorders>
              <w:top w:val="nil"/>
              <w:left w:val="nil"/>
              <w:bottom w:val="single" w:sz="4" w:space="0" w:color="auto"/>
              <w:right w:val="nil"/>
            </w:tcBorders>
            <w:vAlign w:val="bottom"/>
            <w:hideMark/>
          </w:tcPr>
          <w:p w14:paraId="28E61E12" w14:textId="77777777" w:rsidR="00F01EC8" w:rsidRPr="00F01EC8" w:rsidRDefault="00F01EC8">
            <w:pPr>
              <w:pStyle w:val="NoSpacing"/>
              <w:spacing w:line="256" w:lineRule="auto"/>
              <w:rPr>
                <w:sz w:val="20"/>
                <w:szCs w:val="20"/>
              </w:rPr>
            </w:pPr>
            <w:r w:rsidRPr="00F01EC8">
              <w:rPr>
                <w:sz w:val="20"/>
                <w:szCs w:val="20"/>
              </w:rPr>
              <w:t>Interest</w:t>
            </w:r>
          </w:p>
        </w:tc>
        <w:tc>
          <w:tcPr>
            <w:tcW w:w="1134" w:type="dxa"/>
            <w:tcBorders>
              <w:top w:val="nil"/>
              <w:left w:val="nil"/>
              <w:bottom w:val="single" w:sz="4" w:space="0" w:color="auto"/>
              <w:right w:val="nil"/>
            </w:tcBorders>
            <w:vAlign w:val="bottom"/>
            <w:hideMark/>
          </w:tcPr>
          <w:p w14:paraId="1F1C5D53" w14:textId="77777777" w:rsidR="00F01EC8" w:rsidRPr="00F01EC8" w:rsidRDefault="00F01EC8" w:rsidP="00F01EC8">
            <w:pPr>
              <w:pStyle w:val="NoSpacing"/>
              <w:spacing w:line="256" w:lineRule="auto"/>
              <w:jc w:val="right"/>
              <w:rPr>
                <w:sz w:val="20"/>
                <w:szCs w:val="20"/>
              </w:rPr>
            </w:pPr>
            <w:r w:rsidRPr="00F01EC8">
              <w:rPr>
                <w:rFonts w:cs="Arial"/>
                <w:sz w:val="20"/>
                <w:szCs w:val="20"/>
              </w:rPr>
              <w:t>(16.3)</w:t>
            </w:r>
          </w:p>
        </w:tc>
        <w:tc>
          <w:tcPr>
            <w:tcW w:w="1134" w:type="dxa"/>
            <w:tcBorders>
              <w:top w:val="nil"/>
              <w:left w:val="nil"/>
              <w:bottom w:val="single" w:sz="4" w:space="0" w:color="auto"/>
              <w:right w:val="nil"/>
            </w:tcBorders>
            <w:vAlign w:val="bottom"/>
            <w:hideMark/>
          </w:tcPr>
          <w:p w14:paraId="1E350941" w14:textId="77777777" w:rsidR="00F01EC8" w:rsidRPr="00F01EC8" w:rsidRDefault="00F01EC8" w:rsidP="00F01EC8">
            <w:pPr>
              <w:pStyle w:val="NoSpacing"/>
              <w:spacing w:line="256" w:lineRule="auto"/>
              <w:jc w:val="right"/>
              <w:rPr>
                <w:sz w:val="20"/>
                <w:szCs w:val="20"/>
              </w:rPr>
            </w:pPr>
            <w:r w:rsidRPr="00F01EC8">
              <w:rPr>
                <w:rFonts w:cs="Arial"/>
                <w:sz w:val="20"/>
                <w:szCs w:val="20"/>
              </w:rPr>
              <w:t>(15.9)</w:t>
            </w:r>
          </w:p>
        </w:tc>
        <w:tc>
          <w:tcPr>
            <w:tcW w:w="1134" w:type="dxa"/>
            <w:tcBorders>
              <w:top w:val="nil"/>
              <w:left w:val="nil"/>
              <w:bottom w:val="single" w:sz="4" w:space="0" w:color="auto"/>
              <w:right w:val="nil"/>
            </w:tcBorders>
            <w:vAlign w:val="bottom"/>
            <w:hideMark/>
          </w:tcPr>
          <w:p w14:paraId="73B0BCC1" w14:textId="77777777" w:rsidR="00F01EC8" w:rsidRPr="00F01EC8" w:rsidRDefault="00F01EC8" w:rsidP="00F01EC8">
            <w:pPr>
              <w:pStyle w:val="NoSpacing"/>
              <w:spacing w:line="256" w:lineRule="auto"/>
              <w:jc w:val="right"/>
              <w:rPr>
                <w:i/>
                <w:sz w:val="20"/>
                <w:szCs w:val="20"/>
              </w:rPr>
            </w:pPr>
            <w:r w:rsidRPr="00F01EC8">
              <w:rPr>
                <w:rFonts w:cs="Arial"/>
                <w:i/>
                <w:iCs/>
                <w:sz w:val="20"/>
                <w:szCs w:val="20"/>
              </w:rPr>
              <w:t>(2.5%)</w:t>
            </w:r>
          </w:p>
        </w:tc>
      </w:tr>
      <w:tr w:rsidR="00F01EC8" w:rsidRPr="00F01EC8" w14:paraId="4AD5057A" w14:textId="77777777" w:rsidTr="00F01EC8">
        <w:tc>
          <w:tcPr>
            <w:tcW w:w="6379" w:type="dxa"/>
            <w:tcBorders>
              <w:top w:val="single" w:sz="4" w:space="0" w:color="auto"/>
              <w:left w:val="nil"/>
              <w:bottom w:val="nil"/>
              <w:right w:val="nil"/>
            </w:tcBorders>
            <w:vAlign w:val="bottom"/>
            <w:hideMark/>
          </w:tcPr>
          <w:p w14:paraId="46A65047" w14:textId="77777777" w:rsidR="00F01EC8" w:rsidRPr="00F01EC8" w:rsidRDefault="00F01EC8">
            <w:pPr>
              <w:pStyle w:val="NoSpacing"/>
              <w:spacing w:line="256" w:lineRule="auto"/>
              <w:rPr>
                <w:b/>
                <w:sz w:val="20"/>
                <w:szCs w:val="20"/>
              </w:rPr>
            </w:pPr>
            <w:r w:rsidRPr="00F01EC8">
              <w:rPr>
                <w:b/>
                <w:sz w:val="20"/>
                <w:szCs w:val="20"/>
              </w:rPr>
              <w:t>Net interest margin</w:t>
            </w:r>
          </w:p>
        </w:tc>
        <w:tc>
          <w:tcPr>
            <w:tcW w:w="1134" w:type="dxa"/>
            <w:tcBorders>
              <w:top w:val="single" w:sz="4" w:space="0" w:color="auto"/>
              <w:left w:val="nil"/>
              <w:bottom w:val="nil"/>
              <w:right w:val="nil"/>
            </w:tcBorders>
            <w:vAlign w:val="bottom"/>
            <w:hideMark/>
          </w:tcPr>
          <w:p w14:paraId="756283F7" w14:textId="77777777" w:rsidR="00F01EC8" w:rsidRPr="00F01EC8" w:rsidRDefault="00F01EC8" w:rsidP="00F01EC8">
            <w:pPr>
              <w:pStyle w:val="NoSpacing"/>
              <w:spacing w:line="256" w:lineRule="auto"/>
              <w:jc w:val="right"/>
              <w:rPr>
                <w:b/>
                <w:sz w:val="20"/>
                <w:szCs w:val="20"/>
              </w:rPr>
            </w:pPr>
            <w:r w:rsidRPr="00F01EC8">
              <w:rPr>
                <w:rFonts w:cs="Arial"/>
                <w:b/>
                <w:sz w:val="20"/>
                <w:szCs w:val="20"/>
              </w:rPr>
              <w:t>244.8</w:t>
            </w:r>
          </w:p>
        </w:tc>
        <w:tc>
          <w:tcPr>
            <w:tcW w:w="1134" w:type="dxa"/>
            <w:tcBorders>
              <w:top w:val="single" w:sz="4" w:space="0" w:color="auto"/>
              <w:left w:val="nil"/>
              <w:bottom w:val="nil"/>
              <w:right w:val="nil"/>
            </w:tcBorders>
            <w:vAlign w:val="bottom"/>
            <w:hideMark/>
          </w:tcPr>
          <w:p w14:paraId="5F6D8234" w14:textId="77777777" w:rsidR="00F01EC8" w:rsidRPr="00F01EC8" w:rsidRDefault="00F01EC8" w:rsidP="00F01EC8">
            <w:pPr>
              <w:pStyle w:val="NoSpacing"/>
              <w:spacing w:line="256" w:lineRule="auto"/>
              <w:jc w:val="right"/>
              <w:rPr>
                <w:b/>
                <w:sz w:val="20"/>
                <w:szCs w:val="20"/>
              </w:rPr>
            </w:pPr>
            <w:r w:rsidRPr="00F01EC8">
              <w:rPr>
                <w:rFonts w:cs="Arial"/>
                <w:b/>
                <w:sz w:val="20"/>
                <w:szCs w:val="20"/>
              </w:rPr>
              <w:t>275.2</w:t>
            </w:r>
          </w:p>
        </w:tc>
        <w:tc>
          <w:tcPr>
            <w:tcW w:w="1134" w:type="dxa"/>
            <w:tcBorders>
              <w:top w:val="single" w:sz="4" w:space="0" w:color="auto"/>
              <w:left w:val="nil"/>
              <w:bottom w:val="nil"/>
              <w:right w:val="nil"/>
            </w:tcBorders>
            <w:vAlign w:val="bottom"/>
            <w:hideMark/>
          </w:tcPr>
          <w:p w14:paraId="0728FF41" w14:textId="77777777" w:rsidR="00F01EC8" w:rsidRPr="00F01EC8" w:rsidRDefault="00F01EC8" w:rsidP="00F01EC8">
            <w:pPr>
              <w:pStyle w:val="NoSpacing"/>
              <w:spacing w:line="256" w:lineRule="auto"/>
              <w:jc w:val="right"/>
              <w:rPr>
                <w:b/>
                <w:i/>
                <w:sz w:val="20"/>
                <w:szCs w:val="20"/>
              </w:rPr>
            </w:pPr>
            <w:r w:rsidRPr="00F01EC8">
              <w:rPr>
                <w:rFonts w:cs="Arial"/>
                <w:b/>
                <w:i/>
                <w:iCs/>
                <w:sz w:val="20"/>
                <w:szCs w:val="20"/>
              </w:rPr>
              <w:t>(11.0%)</w:t>
            </w:r>
          </w:p>
        </w:tc>
      </w:tr>
      <w:tr w:rsidR="00F01EC8" w:rsidRPr="00F01EC8" w14:paraId="781D7B8A" w14:textId="77777777" w:rsidTr="00F01EC8">
        <w:tc>
          <w:tcPr>
            <w:tcW w:w="6379" w:type="dxa"/>
            <w:tcBorders>
              <w:top w:val="nil"/>
              <w:left w:val="nil"/>
              <w:bottom w:val="single" w:sz="4" w:space="0" w:color="auto"/>
              <w:right w:val="nil"/>
            </w:tcBorders>
            <w:vAlign w:val="bottom"/>
            <w:hideMark/>
          </w:tcPr>
          <w:p w14:paraId="6940013E" w14:textId="77777777" w:rsidR="00F01EC8" w:rsidRPr="00F01EC8" w:rsidRDefault="00F01EC8">
            <w:pPr>
              <w:pStyle w:val="NoSpacing"/>
              <w:spacing w:line="256" w:lineRule="auto"/>
              <w:rPr>
                <w:sz w:val="20"/>
                <w:szCs w:val="20"/>
              </w:rPr>
            </w:pPr>
            <w:r w:rsidRPr="00F01EC8">
              <w:rPr>
                <w:sz w:val="20"/>
                <w:szCs w:val="20"/>
              </w:rPr>
              <w:t xml:space="preserve">Impairment </w:t>
            </w:r>
          </w:p>
        </w:tc>
        <w:tc>
          <w:tcPr>
            <w:tcW w:w="1134" w:type="dxa"/>
            <w:tcBorders>
              <w:top w:val="nil"/>
              <w:left w:val="nil"/>
              <w:bottom w:val="single" w:sz="4" w:space="0" w:color="auto"/>
              <w:right w:val="nil"/>
            </w:tcBorders>
            <w:vAlign w:val="bottom"/>
            <w:hideMark/>
          </w:tcPr>
          <w:p w14:paraId="577CA541" w14:textId="77777777" w:rsidR="00F01EC8" w:rsidRPr="00F01EC8" w:rsidRDefault="00F01EC8" w:rsidP="00F01EC8">
            <w:pPr>
              <w:pStyle w:val="NoSpacing"/>
              <w:spacing w:line="256" w:lineRule="auto"/>
              <w:jc w:val="right"/>
              <w:rPr>
                <w:sz w:val="20"/>
                <w:szCs w:val="20"/>
              </w:rPr>
            </w:pPr>
            <w:r w:rsidRPr="00F01EC8">
              <w:rPr>
                <w:rFonts w:cs="Arial"/>
                <w:sz w:val="20"/>
                <w:szCs w:val="20"/>
              </w:rPr>
              <w:t>(149.9)</w:t>
            </w:r>
          </w:p>
        </w:tc>
        <w:tc>
          <w:tcPr>
            <w:tcW w:w="1134" w:type="dxa"/>
            <w:tcBorders>
              <w:top w:val="nil"/>
              <w:left w:val="nil"/>
              <w:bottom w:val="single" w:sz="4" w:space="0" w:color="auto"/>
              <w:right w:val="nil"/>
            </w:tcBorders>
            <w:vAlign w:val="bottom"/>
            <w:hideMark/>
          </w:tcPr>
          <w:p w14:paraId="63DC8082" w14:textId="77777777" w:rsidR="00F01EC8" w:rsidRPr="00F01EC8" w:rsidRDefault="00F01EC8" w:rsidP="00F01EC8">
            <w:pPr>
              <w:pStyle w:val="NoSpacing"/>
              <w:spacing w:line="256" w:lineRule="auto"/>
              <w:jc w:val="right"/>
              <w:rPr>
                <w:sz w:val="20"/>
                <w:szCs w:val="20"/>
              </w:rPr>
            </w:pPr>
            <w:r w:rsidRPr="00F01EC8">
              <w:rPr>
                <w:rFonts w:cs="Arial"/>
                <w:sz w:val="20"/>
                <w:szCs w:val="20"/>
              </w:rPr>
              <w:t>(96.6)</w:t>
            </w:r>
          </w:p>
        </w:tc>
        <w:tc>
          <w:tcPr>
            <w:tcW w:w="1134" w:type="dxa"/>
            <w:tcBorders>
              <w:top w:val="nil"/>
              <w:left w:val="nil"/>
              <w:bottom w:val="single" w:sz="4" w:space="0" w:color="auto"/>
              <w:right w:val="nil"/>
            </w:tcBorders>
            <w:vAlign w:val="bottom"/>
            <w:hideMark/>
          </w:tcPr>
          <w:p w14:paraId="1D3AE986" w14:textId="77777777" w:rsidR="00F01EC8" w:rsidRPr="00F01EC8" w:rsidRDefault="00F01EC8" w:rsidP="00F01EC8">
            <w:pPr>
              <w:pStyle w:val="NoSpacing"/>
              <w:spacing w:line="256" w:lineRule="auto"/>
              <w:jc w:val="right"/>
              <w:rPr>
                <w:i/>
                <w:sz w:val="20"/>
                <w:szCs w:val="20"/>
              </w:rPr>
            </w:pPr>
            <w:r w:rsidRPr="00F01EC8">
              <w:rPr>
                <w:i/>
                <w:sz w:val="20"/>
                <w:szCs w:val="20"/>
              </w:rPr>
              <w:t>(55.2%)</w:t>
            </w:r>
          </w:p>
        </w:tc>
      </w:tr>
      <w:tr w:rsidR="00F01EC8" w:rsidRPr="00F01EC8" w14:paraId="593E318D" w14:textId="77777777" w:rsidTr="00F01EC8">
        <w:tc>
          <w:tcPr>
            <w:tcW w:w="6379" w:type="dxa"/>
            <w:tcBorders>
              <w:top w:val="single" w:sz="4" w:space="0" w:color="auto"/>
              <w:left w:val="nil"/>
              <w:bottom w:val="nil"/>
              <w:right w:val="nil"/>
            </w:tcBorders>
            <w:vAlign w:val="bottom"/>
            <w:hideMark/>
          </w:tcPr>
          <w:p w14:paraId="1E195060" w14:textId="77777777" w:rsidR="00F01EC8" w:rsidRPr="00F01EC8" w:rsidRDefault="00F01EC8">
            <w:pPr>
              <w:pStyle w:val="NoSpacing"/>
              <w:spacing w:line="256" w:lineRule="auto"/>
              <w:rPr>
                <w:b/>
                <w:sz w:val="20"/>
                <w:szCs w:val="20"/>
              </w:rPr>
            </w:pPr>
            <w:r w:rsidRPr="00F01EC8">
              <w:rPr>
                <w:b/>
                <w:sz w:val="20"/>
                <w:szCs w:val="20"/>
              </w:rPr>
              <w:t>Risk-adjusted net interest margin</w:t>
            </w:r>
          </w:p>
        </w:tc>
        <w:tc>
          <w:tcPr>
            <w:tcW w:w="1134" w:type="dxa"/>
            <w:tcBorders>
              <w:top w:val="single" w:sz="4" w:space="0" w:color="auto"/>
              <w:left w:val="nil"/>
              <w:bottom w:val="nil"/>
              <w:right w:val="nil"/>
            </w:tcBorders>
            <w:vAlign w:val="bottom"/>
            <w:hideMark/>
          </w:tcPr>
          <w:p w14:paraId="4C2D3470" w14:textId="77777777" w:rsidR="00F01EC8" w:rsidRPr="00F01EC8" w:rsidRDefault="00F01EC8" w:rsidP="00F01EC8">
            <w:pPr>
              <w:pStyle w:val="NoSpacing"/>
              <w:spacing w:line="256" w:lineRule="auto"/>
              <w:jc w:val="right"/>
              <w:rPr>
                <w:rFonts w:cs="Arial"/>
                <w:b/>
                <w:sz w:val="20"/>
                <w:szCs w:val="20"/>
              </w:rPr>
            </w:pPr>
            <w:r w:rsidRPr="00F01EC8">
              <w:rPr>
                <w:rFonts w:cs="Arial"/>
                <w:b/>
                <w:sz w:val="20"/>
                <w:szCs w:val="20"/>
              </w:rPr>
              <w:t>94.9</w:t>
            </w:r>
          </w:p>
        </w:tc>
        <w:tc>
          <w:tcPr>
            <w:tcW w:w="1134" w:type="dxa"/>
            <w:tcBorders>
              <w:top w:val="single" w:sz="4" w:space="0" w:color="auto"/>
              <w:left w:val="nil"/>
              <w:bottom w:val="nil"/>
              <w:right w:val="nil"/>
            </w:tcBorders>
            <w:vAlign w:val="bottom"/>
            <w:hideMark/>
          </w:tcPr>
          <w:p w14:paraId="7D41840D" w14:textId="77777777" w:rsidR="00F01EC8" w:rsidRPr="00F01EC8" w:rsidRDefault="00F01EC8" w:rsidP="00F01EC8">
            <w:pPr>
              <w:pStyle w:val="NoSpacing"/>
              <w:spacing w:line="256" w:lineRule="auto"/>
              <w:jc w:val="right"/>
              <w:rPr>
                <w:rFonts w:cs="Arial"/>
                <w:b/>
                <w:sz w:val="20"/>
                <w:szCs w:val="20"/>
              </w:rPr>
            </w:pPr>
            <w:r w:rsidRPr="00F01EC8">
              <w:rPr>
                <w:rFonts w:cs="Arial"/>
                <w:b/>
                <w:sz w:val="20"/>
                <w:szCs w:val="20"/>
              </w:rPr>
              <w:t>178.6</w:t>
            </w:r>
          </w:p>
        </w:tc>
        <w:tc>
          <w:tcPr>
            <w:tcW w:w="1134" w:type="dxa"/>
            <w:tcBorders>
              <w:top w:val="single" w:sz="4" w:space="0" w:color="auto"/>
              <w:left w:val="nil"/>
              <w:bottom w:val="nil"/>
              <w:right w:val="nil"/>
            </w:tcBorders>
            <w:hideMark/>
          </w:tcPr>
          <w:p w14:paraId="5573DEFB" w14:textId="77777777" w:rsidR="00F01EC8" w:rsidRPr="00F01EC8" w:rsidRDefault="00F01EC8" w:rsidP="00F01EC8">
            <w:pPr>
              <w:pStyle w:val="NoSpacing"/>
              <w:spacing w:line="256" w:lineRule="auto"/>
              <w:jc w:val="right"/>
              <w:rPr>
                <w:b/>
                <w:i/>
                <w:sz w:val="20"/>
                <w:szCs w:val="20"/>
              </w:rPr>
            </w:pPr>
            <w:r w:rsidRPr="00F01EC8">
              <w:rPr>
                <w:b/>
                <w:i/>
                <w:sz w:val="20"/>
                <w:szCs w:val="20"/>
              </w:rPr>
              <w:t>(46.9%)</w:t>
            </w:r>
          </w:p>
        </w:tc>
      </w:tr>
      <w:tr w:rsidR="00F01EC8" w:rsidRPr="00F01EC8" w14:paraId="56B4D7EC" w14:textId="77777777" w:rsidTr="00F01EC8">
        <w:tc>
          <w:tcPr>
            <w:tcW w:w="6379" w:type="dxa"/>
            <w:tcBorders>
              <w:top w:val="nil"/>
              <w:left w:val="nil"/>
              <w:bottom w:val="single" w:sz="4" w:space="0" w:color="auto"/>
              <w:right w:val="nil"/>
            </w:tcBorders>
            <w:vAlign w:val="bottom"/>
            <w:hideMark/>
          </w:tcPr>
          <w:p w14:paraId="41FFDD6B" w14:textId="77777777" w:rsidR="00F01EC8" w:rsidRPr="00F01EC8" w:rsidRDefault="00F01EC8">
            <w:pPr>
              <w:pStyle w:val="NoSpacing"/>
              <w:spacing w:line="256" w:lineRule="auto"/>
              <w:rPr>
                <w:sz w:val="20"/>
                <w:szCs w:val="20"/>
              </w:rPr>
            </w:pPr>
            <w:r w:rsidRPr="00F01EC8">
              <w:rPr>
                <w:sz w:val="20"/>
                <w:szCs w:val="20"/>
              </w:rPr>
              <w:t>Costs</w:t>
            </w:r>
          </w:p>
        </w:tc>
        <w:tc>
          <w:tcPr>
            <w:tcW w:w="1134" w:type="dxa"/>
            <w:tcBorders>
              <w:top w:val="nil"/>
              <w:left w:val="nil"/>
              <w:bottom w:val="single" w:sz="4" w:space="0" w:color="auto"/>
              <w:right w:val="nil"/>
            </w:tcBorders>
            <w:vAlign w:val="bottom"/>
            <w:hideMark/>
          </w:tcPr>
          <w:p w14:paraId="0FDE1AA1" w14:textId="77777777" w:rsidR="00F01EC8" w:rsidRPr="00F01EC8" w:rsidRDefault="00F01EC8" w:rsidP="00F01EC8">
            <w:pPr>
              <w:pStyle w:val="NoSpacing"/>
              <w:spacing w:line="256" w:lineRule="auto"/>
              <w:jc w:val="right"/>
              <w:rPr>
                <w:rFonts w:cs="Arial"/>
                <w:sz w:val="20"/>
                <w:szCs w:val="20"/>
              </w:rPr>
            </w:pPr>
            <w:r w:rsidRPr="00F01EC8">
              <w:rPr>
                <w:rFonts w:cs="Arial"/>
                <w:sz w:val="20"/>
                <w:szCs w:val="20"/>
              </w:rPr>
              <w:t>(83.1)</w:t>
            </w:r>
          </w:p>
        </w:tc>
        <w:tc>
          <w:tcPr>
            <w:tcW w:w="1134" w:type="dxa"/>
            <w:tcBorders>
              <w:top w:val="nil"/>
              <w:left w:val="nil"/>
              <w:bottom w:val="single" w:sz="4" w:space="0" w:color="auto"/>
              <w:right w:val="nil"/>
            </w:tcBorders>
            <w:vAlign w:val="bottom"/>
            <w:hideMark/>
          </w:tcPr>
          <w:p w14:paraId="56B05446" w14:textId="77777777" w:rsidR="00F01EC8" w:rsidRPr="00F01EC8" w:rsidRDefault="00F01EC8" w:rsidP="00F01EC8">
            <w:pPr>
              <w:pStyle w:val="NoSpacing"/>
              <w:spacing w:line="256" w:lineRule="auto"/>
              <w:jc w:val="right"/>
              <w:rPr>
                <w:rFonts w:cs="Arial"/>
                <w:sz w:val="20"/>
                <w:szCs w:val="20"/>
              </w:rPr>
            </w:pPr>
            <w:r w:rsidRPr="00F01EC8">
              <w:rPr>
                <w:rFonts w:cs="Arial"/>
                <w:sz w:val="20"/>
                <w:szCs w:val="20"/>
              </w:rPr>
              <w:t>(88.1)</w:t>
            </w:r>
          </w:p>
        </w:tc>
        <w:tc>
          <w:tcPr>
            <w:tcW w:w="1134" w:type="dxa"/>
            <w:tcBorders>
              <w:top w:val="nil"/>
              <w:left w:val="nil"/>
              <w:bottom w:val="single" w:sz="4" w:space="0" w:color="auto"/>
              <w:right w:val="nil"/>
            </w:tcBorders>
            <w:vAlign w:val="bottom"/>
            <w:hideMark/>
          </w:tcPr>
          <w:p w14:paraId="459DEDB3" w14:textId="77777777" w:rsidR="00F01EC8" w:rsidRPr="00F01EC8" w:rsidRDefault="00F01EC8" w:rsidP="00F01EC8">
            <w:pPr>
              <w:pStyle w:val="NoSpacing"/>
              <w:spacing w:line="256" w:lineRule="auto"/>
              <w:jc w:val="right"/>
              <w:rPr>
                <w:i/>
                <w:sz w:val="20"/>
                <w:szCs w:val="20"/>
              </w:rPr>
            </w:pPr>
            <w:r w:rsidRPr="00F01EC8">
              <w:rPr>
                <w:i/>
                <w:sz w:val="20"/>
                <w:szCs w:val="20"/>
              </w:rPr>
              <w:t>5.7%</w:t>
            </w:r>
          </w:p>
        </w:tc>
      </w:tr>
      <w:tr w:rsidR="00F01EC8" w:rsidRPr="00F01EC8" w14:paraId="43BBFBC3" w14:textId="77777777" w:rsidTr="00F01EC8">
        <w:tc>
          <w:tcPr>
            <w:tcW w:w="6379" w:type="dxa"/>
            <w:tcBorders>
              <w:top w:val="single" w:sz="4" w:space="0" w:color="auto"/>
              <w:left w:val="nil"/>
              <w:bottom w:val="single" w:sz="4" w:space="0" w:color="auto"/>
              <w:right w:val="nil"/>
            </w:tcBorders>
            <w:vAlign w:val="bottom"/>
            <w:hideMark/>
          </w:tcPr>
          <w:p w14:paraId="72CC6826" w14:textId="77777777" w:rsidR="00F01EC8" w:rsidRPr="00F01EC8" w:rsidRDefault="00F01EC8">
            <w:pPr>
              <w:pStyle w:val="NoSpacing"/>
              <w:spacing w:line="256" w:lineRule="auto"/>
              <w:rPr>
                <w:b/>
                <w:sz w:val="20"/>
                <w:szCs w:val="20"/>
              </w:rPr>
            </w:pPr>
            <w:r w:rsidRPr="00F01EC8">
              <w:rPr>
                <w:b/>
                <w:sz w:val="20"/>
                <w:szCs w:val="20"/>
              </w:rPr>
              <w:t>Profit before tax</w:t>
            </w:r>
          </w:p>
        </w:tc>
        <w:tc>
          <w:tcPr>
            <w:tcW w:w="1134" w:type="dxa"/>
            <w:tcBorders>
              <w:top w:val="single" w:sz="4" w:space="0" w:color="auto"/>
              <w:left w:val="nil"/>
              <w:bottom w:val="single" w:sz="4" w:space="0" w:color="auto"/>
              <w:right w:val="nil"/>
            </w:tcBorders>
            <w:vAlign w:val="bottom"/>
            <w:hideMark/>
          </w:tcPr>
          <w:p w14:paraId="26C47DD5" w14:textId="77777777" w:rsidR="00F01EC8" w:rsidRPr="00F01EC8" w:rsidRDefault="00F01EC8" w:rsidP="00F01EC8">
            <w:pPr>
              <w:pStyle w:val="NoSpacing"/>
              <w:spacing w:line="256" w:lineRule="auto"/>
              <w:jc w:val="right"/>
              <w:rPr>
                <w:rFonts w:cs="Arial"/>
                <w:b/>
                <w:sz w:val="20"/>
                <w:szCs w:val="20"/>
              </w:rPr>
            </w:pPr>
            <w:r w:rsidRPr="00F01EC8">
              <w:rPr>
                <w:rFonts w:cs="Arial"/>
                <w:b/>
                <w:sz w:val="20"/>
                <w:szCs w:val="20"/>
              </w:rPr>
              <w:t>11.8</w:t>
            </w:r>
          </w:p>
        </w:tc>
        <w:tc>
          <w:tcPr>
            <w:tcW w:w="1134" w:type="dxa"/>
            <w:tcBorders>
              <w:top w:val="single" w:sz="4" w:space="0" w:color="auto"/>
              <w:left w:val="nil"/>
              <w:bottom w:val="single" w:sz="4" w:space="0" w:color="auto"/>
              <w:right w:val="nil"/>
            </w:tcBorders>
            <w:vAlign w:val="bottom"/>
            <w:hideMark/>
          </w:tcPr>
          <w:p w14:paraId="5B1C09F4" w14:textId="77777777" w:rsidR="00F01EC8" w:rsidRPr="00F01EC8" w:rsidRDefault="00F01EC8" w:rsidP="00F01EC8">
            <w:pPr>
              <w:pStyle w:val="NoSpacing"/>
              <w:spacing w:line="256" w:lineRule="auto"/>
              <w:jc w:val="right"/>
              <w:rPr>
                <w:rFonts w:cs="Arial"/>
                <w:b/>
                <w:sz w:val="20"/>
                <w:szCs w:val="20"/>
              </w:rPr>
            </w:pPr>
            <w:r w:rsidRPr="00F01EC8">
              <w:rPr>
                <w:rFonts w:cs="Arial"/>
                <w:b/>
                <w:sz w:val="20"/>
                <w:szCs w:val="20"/>
              </w:rPr>
              <w:t>90.5</w:t>
            </w:r>
          </w:p>
        </w:tc>
        <w:tc>
          <w:tcPr>
            <w:tcW w:w="1134" w:type="dxa"/>
            <w:tcBorders>
              <w:top w:val="single" w:sz="4" w:space="0" w:color="auto"/>
              <w:left w:val="nil"/>
              <w:bottom w:val="single" w:sz="4" w:space="0" w:color="auto"/>
              <w:right w:val="nil"/>
            </w:tcBorders>
            <w:vAlign w:val="bottom"/>
            <w:hideMark/>
          </w:tcPr>
          <w:p w14:paraId="5DB6AA9C" w14:textId="77777777" w:rsidR="00F01EC8" w:rsidRPr="00F01EC8" w:rsidRDefault="00F01EC8" w:rsidP="00F01EC8">
            <w:pPr>
              <w:pStyle w:val="NoSpacing"/>
              <w:spacing w:line="256" w:lineRule="auto"/>
              <w:jc w:val="right"/>
              <w:rPr>
                <w:b/>
                <w:i/>
                <w:sz w:val="20"/>
                <w:szCs w:val="20"/>
              </w:rPr>
            </w:pPr>
            <w:r w:rsidRPr="00F01EC8">
              <w:rPr>
                <w:b/>
                <w:i/>
                <w:sz w:val="20"/>
                <w:szCs w:val="20"/>
              </w:rPr>
              <w:t>(87.0%)</w:t>
            </w:r>
          </w:p>
        </w:tc>
      </w:tr>
      <w:tr w:rsidR="00F01EC8" w:rsidRPr="00F01EC8" w14:paraId="2FE610F6" w14:textId="77777777" w:rsidTr="00F01EC8">
        <w:tc>
          <w:tcPr>
            <w:tcW w:w="6379" w:type="dxa"/>
            <w:tcBorders>
              <w:top w:val="single" w:sz="4" w:space="0" w:color="auto"/>
              <w:left w:val="nil"/>
              <w:bottom w:val="nil"/>
              <w:right w:val="nil"/>
            </w:tcBorders>
            <w:vAlign w:val="bottom"/>
          </w:tcPr>
          <w:p w14:paraId="1DB6408F" w14:textId="77777777" w:rsidR="00F01EC8" w:rsidRPr="00F01EC8" w:rsidRDefault="00F01EC8">
            <w:pPr>
              <w:pStyle w:val="NoSpacing"/>
              <w:spacing w:line="256" w:lineRule="auto"/>
              <w:rPr>
                <w:sz w:val="20"/>
                <w:szCs w:val="20"/>
              </w:rPr>
            </w:pPr>
          </w:p>
        </w:tc>
        <w:tc>
          <w:tcPr>
            <w:tcW w:w="1134" w:type="dxa"/>
            <w:tcBorders>
              <w:top w:val="single" w:sz="4" w:space="0" w:color="auto"/>
              <w:left w:val="nil"/>
              <w:bottom w:val="nil"/>
              <w:right w:val="nil"/>
            </w:tcBorders>
            <w:vAlign w:val="bottom"/>
          </w:tcPr>
          <w:p w14:paraId="73D763D2" w14:textId="77777777" w:rsidR="00F01EC8" w:rsidRPr="00F01EC8" w:rsidRDefault="00F01EC8" w:rsidP="00F01EC8">
            <w:pPr>
              <w:pStyle w:val="NoSpacing"/>
              <w:spacing w:line="256" w:lineRule="auto"/>
              <w:jc w:val="right"/>
              <w:rPr>
                <w:rFonts w:cs="Arial"/>
                <w:sz w:val="20"/>
                <w:szCs w:val="20"/>
              </w:rPr>
            </w:pPr>
          </w:p>
        </w:tc>
        <w:tc>
          <w:tcPr>
            <w:tcW w:w="1134" w:type="dxa"/>
            <w:tcBorders>
              <w:top w:val="single" w:sz="4" w:space="0" w:color="auto"/>
              <w:left w:val="nil"/>
              <w:bottom w:val="nil"/>
              <w:right w:val="nil"/>
            </w:tcBorders>
            <w:vAlign w:val="bottom"/>
          </w:tcPr>
          <w:p w14:paraId="291D6022" w14:textId="77777777" w:rsidR="00F01EC8" w:rsidRPr="00F01EC8" w:rsidRDefault="00F01EC8" w:rsidP="00F01EC8">
            <w:pPr>
              <w:pStyle w:val="NoSpacing"/>
              <w:spacing w:line="256" w:lineRule="auto"/>
              <w:jc w:val="right"/>
              <w:rPr>
                <w:rFonts w:cs="Arial"/>
                <w:sz w:val="20"/>
                <w:szCs w:val="20"/>
              </w:rPr>
            </w:pPr>
          </w:p>
        </w:tc>
        <w:tc>
          <w:tcPr>
            <w:tcW w:w="1134" w:type="dxa"/>
            <w:tcBorders>
              <w:top w:val="single" w:sz="4" w:space="0" w:color="auto"/>
              <w:left w:val="nil"/>
              <w:bottom w:val="nil"/>
              <w:right w:val="nil"/>
            </w:tcBorders>
          </w:tcPr>
          <w:p w14:paraId="66FDC11B" w14:textId="77777777" w:rsidR="00F01EC8" w:rsidRPr="00F01EC8" w:rsidRDefault="00F01EC8" w:rsidP="00F01EC8">
            <w:pPr>
              <w:pStyle w:val="NoSpacing"/>
              <w:spacing w:line="256" w:lineRule="auto"/>
              <w:jc w:val="right"/>
              <w:rPr>
                <w:i/>
                <w:sz w:val="20"/>
                <w:szCs w:val="20"/>
              </w:rPr>
            </w:pPr>
          </w:p>
        </w:tc>
      </w:tr>
      <w:tr w:rsidR="00F01EC8" w:rsidRPr="00F01EC8" w14:paraId="165E3BD1" w14:textId="77777777" w:rsidTr="00F01EC8">
        <w:tc>
          <w:tcPr>
            <w:tcW w:w="6379" w:type="dxa"/>
            <w:vAlign w:val="bottom"/>
            <w:hideMark/>
          </w:tcPr>
          <w:p w14:paraId="28257347" w14:textId="77777777" w:rsidR="00F01EC8" w:rsidRPr="00F01EC8" w:rsidRDefault="00F01EC8">
            <w:pPr>
              <w:pStyle w:val="NoSpacing"/>
              <w:spacing w:line="256" w:lineRule="auto"/>
              <w:rPr>
                <w:sz w:val="20"/>
                <w:szCs w:val="20"/>
                <w:vertAlign w:val="superscript"/>
              </w:rPr>
            </w:pPr>
            <w:r w:rsidRPr="00F01EC8">
              <w:rPr>
                <w:sz w:val="20"/>
                <w:szCs w:val="20"/>
              </w:rPr>
              <w:t>Annualised revenue yield</w:t>
            </w:r>
            <w:r w:rsidRPr="00F01EC8">
              <w:rPr>
                <w:sz w:val="20"/>
                <w:szCs w:val="20"/>
                <w:vertAlign w:val="superscript"/>
              </w:rPr>
              <w:t>3</w:t>
            </w:r>
          </w:p>
        </w:tc>
        <w:tc>
          <w:tcPr>
            <w:tcW w:w="1134" w:type="dxa"/>
            <w:vAlign w:val="bottom"/>
            <w:hideMark/>
          </w:tcPr>
          <w:p w14:paraId="3FC43054" w14:textId="77777777" w:rsidR="00F01EC8" w:rsidRPr="00F01EC8" w:rsidRDefault="00F01EC8" w:rsidP="00F01EC8">
            <w:pPr>
              <w:pStyle w:val="NoSpacing"/>
              <w:spacing w:line="256" w:lineRule="auto"/>
              <w:jc w:val="right"/>
              <w:rPr>
                <w:sz w:val="20"/>
                <w:szCs w:val="20"/>
              </w:rPr>
            </w:pPr>
            <w:r w:rsidRPr="00F01EC8">
              <w:rPr>
                <w:rFonts w:cs="Arial"/>
                <w:sz w:val="20"/>
                <w:szCs w:val="20"/>
              </w:rPr>
              <w:t>39.4%</w:t>
            </w:r>
          </w:p>
        </w:tc>
        <w:tc>
          <w:tcPr>
            <w:tcW w:w="1134" w:type="dxa"/>
            <w:vAlign w:val="bottom"/>
            <w:hideMark/>
          </w:tcPr>
          <w:p w14:paraId="647ECF92" w14:textId="77777777" w:rsidR="00F01EC8" w:rsidRPr="00F01EC8" w:rsidRDefault="00F01EC8" w:rsidP="00F01EC8">
            <w:pPr>
              <w:pStyle w:val="NoSpacing"/>
              <w:spacing w:line="256" w:lineRule="auto"/>
              <w:jc w:val="right"/>
              <w:rPr>
                <w:sz w:val="20"/>
                <w:szCs w:val="20"/>
              </w:rPr>
            </w:pPr>
            <w:r w:rsidRPr="00F01EC8">
              <w:rPr>
                <w:rFonts w:cs="Arial"/>
                <w:sz w:val="20"/>
                <w:szCs w:val="20"/>
              </w:rPr>
              <w:t>40.9%</w:t>
            </w:r>
          </w:p>
        </w:tc>
        <w:tc>
          <w:tcPr>
            <w:tcW w:w="1134" w:type="dxa"/>
            <w:hideMark/>
          </w:tcPr>
          <w:p w14:paraId="6FEDF1B2" w14:textId="1D6D5301" w:rsidR="00F01EC8" w:rsidRPr="00F01EC8" w:rsidRDefault="00F01EC8" w:rsidP="00F01EC8">
            <w:pPr>
              <w:pStyle w:val="NoSpacing"/>
              <w:spacing w:line="256" w:lineRule="auto"/>
              <w:jc w:val="right"/>
              <w:rPr>
                <w:i/>
                <w:sz w:val="20"/>
                <w:szCs w:val="20"/>
              </w:rPr>
            </w:pPr>
            <w:r w:rsidRPr="00F01EC8">
              <w:rPr>
                <w:i/>
                <w:sz w:val="20"/>
                <w:szCs w:val="20"/>
              </w:rPr>
              <w:t>(</w:t>
            </w:r>
            <w:r w:rsidR="00E3697F">
              <w:rPr>
                <w:i/>
                <w:sz w:val="20"/>
                <w:szCs w:val="20"/>
              </w:rPr>
              <w:t>3.7</w:t>
            </w:r>
            <w:r w:rsidRPr="00F01EC8">
              <w:rPr>
                <w:i/>
                <w:sz w:val="20"/>
                <w:szCs w:val="20"/>
              </w:rPr>
              <w:t>%)</w:t>
            </w:r>
          </w:p>
        </w:tc>
      </w:tr>
      <w:tr w:rsidR="00F01EC8" w:rsidRPr="00F01EC8" w14:paraId="58FE3277" w14:textId="77777777" w:rsidTr="00F01EC8">
        <w:tc>
          <w:tcPr>
            <w:tcW w:w="6379" w:type="dxa"/>
            <w:vAlign w:val="bottom"/>
            <w:hideMark/>
          </w:tcPr>
          <w:p w14:paraId="38298809" w14:textId="77777777" w:rsidR="00F01EC8" w:rsidRPr="00F01EC8" w:rsidRDefault="00F01EC8">
            <w:pPr>
              <w:pStyle w:val="NoSpacing"/>
              <w:spacing w:line="256" w:lineRule="auto"/>
              <w:rPr>
                <w:sz w:val="20"/>
                <w:szCs w:val="20"/>
                <w:vertAlign w:val="superscript"/>
              </w:rPr>
            </w:pPr>
            <w:r w:rsidRPr="00F01EC8">
              <w:rPr>
                <w:sz w:val="20"/>
                <w:szCs w:val="20"/>
              </w:rPr>
              <w:t>Annualised impairment rate</w:t>
            </w:r>
            <w:r w:rsidRPr="00F01EC8">
              <w:rPr>
                <w:sz w:val="20"/>
                <w:szCs w:val="20"/>
                <w:vertAlign w:val="superscript"/>
              </w:rPr>
              <w:t>4</w:t>
            </w:r>
          </w:p>
        </w:tc>
        <w:tc>
          <w:tcPr>
            <w:tcW w:w="1134" w:type="dxa"/>
            <w:vAlign w:val="bottom"/>
            <w:hideMark/>
          </w:tcPr>
          <w:p w14:paraId="2C548335" w14:textId="77777777" w:rsidR="00F01EC8" w:rsidRPr="00F01EC8" w:rsidRDefault="00F01EC8" w:rsidP="00F01EC8">
            <w:pPr>
              <w:pStyle w:val="NoSpacing"/>
              <w:spacing w:line="256" w:lineRule="auto"/>
              <w:jc w:val="right"/>
              <w:rPr>
                <w:sz w:val="20"/>
                <w:szCs w:val="20"/>
              </w:rPr>
            </w:pPr>
            <w:r w:rsidRPr="00F01EC8">
              <w:rPr>
                <w:rFonts w:cs="Arial"/>
                <w:sz w:val="20"/>
                <w:szCs w:val="20"/>
              </w:rPr>
              <w:t>18.0%</w:t>
            </w:r>
          </w:p>
        </w:tc>
        <w:tc>
          <w:tcPr>
            <w:tcW w:w="1134" w:type="dxa"/>
            <w:vAlign w:val="bottom"/>
            <w:hideMark/>
          </w:tcPr>
          <w:p w14:paraId="413A5C19" w14:textId="77777777" w:rsidR="00F01EC8" w:rsidRPr="00F01EC8" w:rsidRDefault="00F01EC8" w:rsidP="00F01EC8">
            <w:pPr>
              <w:pStyle w:val="NoSpacing"/>
              <w:spacing w:line="256" w:lineRule="auto"/>
              <w:jc w:val="right"/>
              <w:rPr>
                <w:sz w:val="20"/>
                <w:szCs w:val="20"/>
              </w:rPr>
            </w:pPr>
            <w:r w:rsidRPr="00F01EC8">
              <w:rPr>
                <w:rFonts w:cs="Arial"/>
                <w:sz w:val="20"/>
                <w:szCs w:val="20"/>
              </w:rPr>
              <w:t>14.9%</w:t>
            </w:r>
          </w:p>
        </w:tc>
        <w:tc>
          <w:tcPr>
            <w:tcW w:w="1134" w:type="dxa"/>
            <w:hideMark/>
          </w:tcPr>
          <w:p w14:paraId="76EC0EBC" w14:textId="21DE5492" w:rsidR="00F01EC8" w:rsidRPr="00F01EC8" w:rsidRDefault="00BC041D" w:rsidP="00F01EC8">
            <w:pPr>
              <w:pStyle w:val="NoSpacing"/>
              <w:spacing w:line="256" w:lineRule="auto"/>
              <w:jc w:val="right"/>
              <w:rPr>
                <w:i/>
                <w:sz w:val="20"/>
                <w:szCs w:val="20"/>
              </w:rPr>
            </w:pPr>
            <w:r>
              <w:rPr>
                <w:i/>
                <w:sz w:val="20"/>
                <w:szCs w:val="20"/>
              </w:rPr>
              <w:t>21.0</w:t>
            </w:r>
            <w:r w:rsidR="00F01EC8" w:rsidRPr="00F01EC8">
              <w:rPr>
                <w:i/>
                <w:sz w:val="20"/>
                <w:szCs w:val="20"/>
              </w:rPr>
              <w:t>%</w:t>
            </w:r>
            <w:r w:rsidR="00126BCD">
              <w:rPr>
                <w:i/>
                <w:sz w:val="20"/>
                <w:szCs w:val="20"/>
              </w:rPr>
              <w:t> </w:t>
            </w:r>
          </w:p>
        </w:tc>
      </w:tr>
      <w:tr w:rsidR="00F01EC8" w:rsidRPr="00F01EC8" w14:paraId="2DBA6EE6" w14:textId="77777777" w:rsidTr="00F01EC8">
        <w:tc>
          <w:tcPr>
            <w:tcW w:w="6379" w:type="dxa"/>
            <w:vAlign w:val="bottom"/>
            <w:hideMark/>
          </w:tcPr>
          <w:p w14:paraId="2AE2D5ED" w14:textId="77777777" w:rsidR="00F01EC8" w:rsidRPr="00F01EC8" w:rsidRDefault="00F01EC8">
            <w:pPr>
              <w:pStyle w:val="NoSpacing"/>
              <w:spacing w:line="256" w:lineRule="auto"/>
              <w:rPr>
                <w:sz w:val="20"/>
                <w:szCs w:val="20"/>
                <w:vertAlign w:val="superscript"/>
              </w:rPr>
            </w:pPr>
            <w:r w:rsidRPr="00F01EC8">
              <w:rPr>
                <w:sz w:val="20"/>
                <w:szCs w:val="20"/>
              </w:rPr>
              <w:t>Annualised return on equity</w:t>
            </w:r>
            <w:r w:rsidRPr="00F01EC8">
              <w:rPr>
                <w:sz w:val="20"/>
                <w:szCs w:val="20"/>
                <w:vertAlign w:val="superscript"/>
              </w:rPr>
              <w:t>5</w:t>
            </w:r>
            <w:r w:rsidRPr="00F01EC8">
              <w:rPr>
                <w:sz w:val="20"/>
                <w:szCs w:val="20"/>
              </w:rPr>
              <w:t xml:space="preserve"> </w:t>
            </w:r>
          </w:p>
        </w:tc>
        <w:tc>
          <w:tcPr>
            <w:tcW w:w="1134" w:type="dxa"/>
            <w:vAlign w:val="bottom"/>
            <w:hideMark/>
          </w:tcPr>
          <w:p w14:paraId="5B359EA4" w14:textId="77777777" w:rsidR="00F01EC8" w:rsidRPr="00F01EC8" w:rsidRDefault="00F01EC8" w:rsidP="00F01EC8">
            <w:pPr>
              <w:pStyle w:val="NoSpacing"/>
              <w:spacing w:line="256" w:lineRule="auto"/>
              <w:jc w:val="right"/>
              <w:rPr>
                <w:sz w:val="20"/>
                <w:szCs w:val="20"/>
              </w:rPr>
            </w:pPr>
            <w:r w:rsidRPr="00F01EC8">
              <w:rPr>
                <w:sz w:val="20"/>
                <w:szCs w:val="20"/>
              </w:rPr>
              <w:t>19.3%</w:t>
            </w:r>
          </w:p>
        </w:tc>
        <w:tc>
          <w:tcPr>
            <w:tcW w:w="1134" w:type="dxa"/>
            <w:vAlign w:val="bottom"/>
            <w:hideMark/>
          </w:tcPr>
          <w:p w14:paraId="3313E69A" w14:textId="77777777" w:rsidR="00F01EC8" w:rsidRPr="00F01EC8" w:rsidRDefault="00F01EC8" w:rsidP="00F01EC8">
            <w:pPr>
              <w:pStyle w:val="NoSpacing"/>
              <w:spacing w:line="256" w:lineRule="auto"/>
              <w:jc w:val="right"/>
              <w:rPr>
                <w:sz w:val="20"/>
                <w:szCs w:val="20"/>
              </w:rPr>
            </w:pPr>
            <w:r w:rsidRPr="00F01EC8">
              <w:rPr>
                <w:sz w:val="20"/>
                <w:szCs w:val="20"/>
              </w:rPr>
              <w:t>36.9%</w:t>
            </w:r>
          </w:p>
        </w:tc>
        <w:tc>
          <w:tcPr>
            <w:tcW w:w="1134" w:type="dxa"/>
            <w:vAlign w:val="bottom"/>
            <w:hideMark/>
          </w:tcPr>
          <w:p w14:paraId="1D826070" w14:textId="08984E1D" w:rsidR="00F01EC8" w:rsidRPr="00F01EC8" w:rsidRDefault="00F01EC8" w:rsidP="00F01EC8">
            <w:pPr>
              <w:pStyle w:val="NoSpacing"/>
              <w:spacing w:line="256" w:lineRule="auto"/>
              <w:jc w:val="right"/>
              <w:rPr>
                <w:i/>
                <w:sz w:val="20"/>
                <w:szCs w:val="20"/>
              </w:rPr>
            </w:pPr>
            <w:r w:rsidRPr="00F01EC8">
              <w:rPr>
                <w:i/>
                <w:sz w:val="20"/>
                <w:szCs w:val="20"/>
              </w:rPr>
              <w:t>(</w:t>
            </w:r>
            <w:r w:rsidR="00BC041D">
              <w:rPr>
                <w:i/>
                <w:sz w:val="20"/>
                <w:szCs w:val="20"/>
              </w:rPr>
              <w:t>47.7</w:t>
            </w:r>
            <w:r w:rsidRPr="00F01EC8">
              <w:rPr>
                <w:i/>
                <w:sz w:val="20"/>
                <w:szCs w:val="20"/>
              </w:rPr>
              <w:t>%)</w:t>
            </w:r>
          </w:p>
        </w:tc>
      </w:tr>
    </w:tbl>
    <w:p w14:paraId="643D2899" w14:textId="77777777" w:rsidR="00F01EC8" w:rsidRPr="00F01EC8" w:rsidRDefault="00F01EC8" w:rsidP="00F01EC8">
      <w:pPr>
        <w:pStyle w:val="NoSpacing"/>
        <w:jc w:val="both"/>
        <w:rPr>
          <w:sz w:val="20"/>
          <w:szCs w:val="20"/>
        </w:rPr>
      </w:pPr>
    </w:p>
    <w:p w14:paraId="194B5485" w14:textId="77777777" w:rsidR="00F01EC8" w:rsidRPr="00F01EC8" w:rsidRDefault="00F01EC8" w:rsidP="00F01EC8">
      <w:pPr>
        <w:pStyle w:val="NoSpacing"/>
        <w:ind w:left="284" w:hanging="284"/>
        <w:jc w:val="both"/>
        <w:rPr>
          <w:i/>
          <w:sz w:val="20"/>
          <w:szCs w:val="20"/>
          <w:vertAlign w:val="superscript"/>
        </w:rPr>
      </w:pPr>
      <w:r w:rsidRPr="00F01EC8">
        <w:rPr>
          <w:i/>
          <w:sz w:val="20"/>
          <w:szCs w:val="20"/>
          <w:vertAlign w:val="superscript"/>
        </w:rPr>
        <w:t>1</w:t>
      </w:r>
      <w:r w:rsidRPr="00F01EC8">
        <w:rPr>
          <w:i/>
          <w:sz w:val="20"/>
          <w:szCs w:val="20"/>
          <w:vertAlign w:val="superscript"/>
        </w:rPr>
        <w:tab/>
      </w:r>
      <w:r w:rsidRPr="00F01EC8">
        <w:rPr>
          <w:rFonts w:eastAsia="Times New Roman" w:cs="Times New Roman"/>
          <w:i/>
          <w:sz w:val="20"/>
          <w:szCs w:val="20"/>
          <w:lang w:eastAsia="en-GB"/>
        </w:rPr>
        <w:t>The 2019 June comparatives have been restated to incorporate two changes in accounting policies reflected in the 2019 financial statements: (i) change in treatment of directly attributable deferred acquisition costs in Vanquis Bank; and (ii) changes in the recognition of revenue on credit impaired receivables and treatment of directly attributable acquisition costs in Moneybarn.</w:t>
      </w:r>
    </w:p>
    <w:p w14:paraId="79F62B1C" w14:textId="6726AAD9" w:rsidR="00F01EC8" w:rsidRPr="00F01EC8" w:rsidRDefault="00F01EC8" w:rsidP="00F01EC8">
      <w:pPr>
        <w:pStyle w:val="NoSpacing"/>
        <w:ind w:left="284" w:hanging="284"/>
        <w:jc w:val="both"/>
        <w:rPr>
          <w:i/>
          <w:sz w:val="20"/>
          <w:szCs w:val="20"/>
          <w:vertAlign w:val="superscript"/>
        </w:rPr>
      </w:pPr>
      <w:r w:rsidRPr="00F01EC8">
        <w:rPr>
          <w:i/>
          <w:sz w:val="20"/>
          <w:szCs w:val="20"/>
          <w:vertAlign w:val="superscript"/>
        </w:rPr>
        <w:t>2</w:t>
      </w:r>
      <w:r w:rsidRPr="00F01EC8">
        <w:rPr>
          <w:i/>
          <w:sz w:val="20"/>
          <w:szCs w:val="20"/>
        </w:rPr>
        <w:tab/>
        <w:t>Calculated as the average of month end receivables for the 6 months ended 30 Jun</w:t>
      </w:r>
      <w:r w:rsidR="00126BCD">
        <w:rPr>
          <w:i/>
          <w:sz w:val="20"/>
          <w:szCs w:val="20"/>
        </w:rPr>
        <w:t>e.</w:t>
      </w:r>
    </w:p>
    <w:p w14:paraId="73E0C53C"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3</w:t>
      </w:r>
      <w:r w:rsidRPr="00F01EC8">
        <w:rPr>
          <w:i/>
          <w:sz w:val="20"/>
          <w:szCs w:val="20"/>
          <w:vertAlign w:val="superscript"/>
        </w:rPr>
        <w:tab/>
      </w:r>
      <w:r w:rsidRPr="00F01EC8">
        <w:rPr>
          <w:i/>
          <w:sz w:val="20"/>
          <w:szCs w:val="20"/>
        </w:rPr>
        <w:t>Revenue as a percentage of average receivables for the 12 months ended 30 June.</w:t>
      </w:r>
    </w:p>
    <w:p w14:paraId="10FB7693"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4</w:t>
      </w:r>
      <w:r w:rsidRPr="00F01EC8">
        <w:rPr>
          <w:i/>
          <w:sz w:val="20"/>
          <w:szCs w:val="20"/>
          <w:vertAlign w:val="superscript"/>
        </w:rPr>
        <w:tab/>
      </w:r>
      <w:r w:rsidRPr="00F01EC8">
        <w:rPr>
          <w:i/>
          <w:sz w:val="20"/>
          <w:szCs w:val="20"/>
        </w:rPr>
        <w:t>Impairment as a percentage of average receivables for the 12 months ended 30 June.</w:t>
      </w:r>
    </w:p>
    <w:p w14:paraId="1A00AEE9" w14:textId="6EA72776" w:rsidR="00F01EC8" w:rsidRPr="00F01EC8" w:rsidRDefault="00F01EC8" w:rsidP="00F01EC8">
      <w:pPr>
        <w:pStyle w:val="NoSpacing"/>
        <w:ind w:left="284" w:hanging="284"/>
        <w:jc w:val="both"/>
        <w:rPr>
          <w:i/>
          <w:sz w:val="20"/>
          <w:szCs w:val="20"/>
        </w:rPr>
      </w:pPr>
      <w:r w:rsidRPr="00F01EC8">
        <w:rPr>
          <w:i/>
          <w:sz w:val="20"/>
          <w:szCs w:val="20"/>
          <w:vertAlign w:val="superscript"/>
        </w:rPr>
        <w:t>5</w:t>
      </w:r>
      <w:r w:rsidRPr="00F01EC8">
        <w:rPr>
          <w:i/>
          <w:sz w:val="20"/>
          <w:szCs w:val="20"/>
          <w:vertAlign w:val="superscript"/>
        </w:rPr>
        <w:tab/>
      </w:r>
      <w:r w:rsidR="00B35B8B" w:rsidRPr="00B35B8B">
        <w:rPr>
          <w:i/>
          <w:sz w:val="20"/>
          <w:szCs w:val="20"/>
        </w:rPr>
        <w:t>Profit after tax as a percentage of average equity</w:t>
      </w:r>
      <w:r w:rsidR="00B35B8B">
        <w:rPr>
          <w:i/>
          <w:sz w:val="20"/>
          <w:szCs w:val="20"/>
        </w:rPr>
        <w:t xml:space="preserve"> </w:t>
      </w:r>
      <w:r w:rsidR="00B35B8B" w:rsidRPr="00F01EC8">
        <w:rPr>
          <w:i/>
          <w:sz w:val="20"/>
          <w:szCs w:val="20"/>
        </w:rPr>
        <w:t>for the 12 months ended 30 June</w:t>
      </w:r>
      <w:r w:rsidR="00B35B8B">
        <w:rPr>
          <w:i/>
          <w:sz w:val="20"/>
          <w:szCs w:val="20"/>
        </w:rPr>
        <w:t>.</w:t>
      </w:r>
    </w:p>
    <w:p w14:paraId="2742DB64" w14:textId="77777777" w:rsidR="00F01EC8" w:rsidRPr="00F01EC8" w:rsidRDefault="00F01EC8" w:rsidP="00F01EC8">
      <w:pPr>
        <w:pStyle w:val="NoSpacing"/>
        <w:jc w:val="both"/>
        <w:rPr>
          <w:i/>
          <w:sz w:val="20"/>
          <w:szCs w:val="20"/>
        </w:rPr>
      </w:pPr>
    </w:p>
    <w:p w14:paraId="4AE74E63" w14:textId="2CDA0FEF" w:rsidR="00F01EC8" w:rsidRPr="00F01EC8" w:rsidRDefault="00F01EC8" w:rsidP="00F01EC8">
      <w:pPr>
        <w:pStyle w:val="NoSpacing"/>
        <w:jc w:val="both"/>
        <w:rPr>
          <w:sz w:val="20"/>
          <w:szCs w:val="20"/>
        </w:rPr>
      </w:pPr>
      <w:r w:rsidRPr="00F01EC8">
        <w:rPr>
          <w:sz w:val="20"/>
          <w:szCs w:val="20"/>
        </w:rPr>
        <w:t xml:space="preserve">Vanquis Bank is a leading specialist in the large and established credit card market with strong capital and liquidity positions. As a </w:t>
      </w:r>
      <w:r w:rsidR="00E838F4">
        <w:rPr>
          <w:sz w:val="20"/>
          <w:szCs w:val="20"/>
        </w:rPr>
        <w:t>consequence</w:t>
      </w:r>
      <w:r w:rsidRPr="00F01EC8">
        <w:rPr>
          <w:sz w:val="20"/>
          <w:szCs w:val="20"/>
        </w:rPr>
        <w:t xml:space="preserve"> of Covid-19, the business reported profit before tax for the first half of £11.8m, down from £90.5m in the first half of 2019, and receivables at the end of the period of £1,202m were approximately £260m lower than June 2019 (H1’19: £1,465m). </w:t>
      </w:r>
    </w:p>
    <w:p w14:paraId="26B71B9C" w14:textId="77777777" w:rsidR="00F01EC8" w:rsidRPr="00F01EC8" w:rsidRDefault="00F01EC8" w:rsidP="00F01EC8">
      <w:pPr>
        <w:pStyle w:val="NoSpacing"/>
        <w:rPr>
          <w:sz w:val="20"/>
          <w:szCs w:val="20"/>
        </w:rPr>
      </w:pPr>
    </w:p>
    <w:p w14:paraId="59AAFBDF" w14:textId="44A20131" w:rsidR="00F01EC8" w:rsidRPr="00F01EC8" w:rsidRDefault="00F01EC8" w:rsidP="00F01EC8">
      <w:pPr>
        <w:pStyle w:val="NoSpacing"/>
        <w:jc w:val="both"/>
        <w:rPr>
          <w:sz w:val="20"/>
          <w:szCs w:val="20"/>
        </w:rPr>
      </w:pPr>
      <w:r w:rsidRPr="00F01EC8">
        <w:rPr>
          <w:sz w:val="20"/>
          <w:szCs w:val="20"/>
        </w:rPr>
        <w:t xml:space="preserve">In response to the Covid-19 pandemic, Vanquis Bank successfully moved 80% of contact centre and 100% of head office colleagues to remote working by mid-April with minimal impact on customer service levels. Customer support was maintained through dialler technology and increased use of SMS communications and those customers in financial difficulty were provided support either through: (i)  payment holidays in line with FCA measures; (ii) the payment freeze </w:t>
      </w:r>
      <w:r w:rsidRPr="00F01EC8">
        <w:rPr>
          <w:sz w:val="20"/>
          <w:szCs w:val="20"/>
        </w:rPr>
        <w:lastRenderedPageBreak/>
        <w:t>option within the ROP product; and (iii) Vanquis Bank’s other forbearance measures. Alongside this, in early April</w:t>
      </w:r>
      <w:r w:rsidR="005E2D9E">
        <w:rPr>
          <w:sz w:val="20"/>
          <w:szCs w:val="20"/>
        </w:rPr>
        <w:t>,</w:t>
      </w:r>
      <w:r w:rsidRPr="00F01EC8">
        <w:rPr>
          <w:sz w:val="20"/>
          <w:szCs w:val="20"/>
        </w:rPr>
        <w:t xml:space="preserve"> underwriting standards were significantly tightened to reduce new credit card bookings by 25%, curtail all new loans business and suspend the Credit Line Increase (CLI) </w:t>
      </w:r>
      <w:r w:rsidR="005E2D9E">
        <w:rPr>
          <w:sz w:val="20"/>
          <w:szCs w:val="20"/>
        </w:rPr>
        <w:t>p</w:t>
      </w:r>
      <w:r w:rsidRPr="00F01EC8">
        <w:rPr>
          <w:sz w:val="20"/>
          <w:szCs w:val="20"/>
        </w:rPr>
        <w:t xml:space="preserve">rogramme. </w:t>
      </w:r>
    </w:p>
    <w:p w14:paraId="0F8D8FCD" w14:textId="77777777" w:rsidR="00F01EC8" w:rsidRPr="00F01EC8" w:rsidRDefault="00F01EC8" w:rsidP="00F01EC8">
      <w:pPr>
        <w:pStyle w:val="NoSpacing"/>
        <w:jc w:val="both"/>
        <w:rPr>
          <w:sz w:val="20"/>
          <w:szCs w:val="20"/>
        </w:rPr>
      </w:pPr>
    </w:p>
    <w:p w14:paraId="44D273A1" w14:textId="34AB8959" w:rsidR="00F01EC8" w:rsidRDefault="00F01EC8" w:rsidP="00F01EC8">
      <w:pPr>
        <w:pStyle w:val="NoSpacing"/>
        <w:jc w:val="both"/>
        <w:rPr>
          <w:sz w:val="20"/>
          <w:szCs w:val="20"/>
        </w:rPr>
      </w:pPr>
      <w:r w:rsidRPr="00F01EC8">
        <w:rPr>
          <w:sz w:val="20"/>
          <w:szCs w:val="20"/>
        </w:rPr>
        <w:t xml:space="preserve">New account bookings for the first six months </w:t>
      </w:r>
      <w:r w:rsidR="005E2D9E">
        <w:rPr>
          <w:sz w:val="20"/>
          <w:szCs w:val="20"/>
        </w:rPr>
        <w:t xml:space="preserve">of the year </w:t>
      </w:r>
      <w:r w:rsidRPr="00F01EC8">
        <w:rPr>
          <w:sz w:val="20"/>
          <w:szCs w:val="20"/>
        </w:rPr>
        <w:t>were 147k, down from 190k in the first half of 2019, following the decision taken to reduce new customer bookings by 75% in April. Vanquis Bank has now initiated a staged re-entry into the market, increasing new credit card volumes to c.50% of their pre-Covid</w:t>
      </w:r>
      <w:r w:rsidR="001D58C3">
        <w:rPr>
          <w:sz w:val="20"/>
          <w:szCs w:val="20"/>
        </w:rPr>
        <w:t>-19</w:t>
      </w:r>
      <w:r w:rsidRPr="00F01EC8">
        <w:rPr>
          <w:sz w:val="20"/>
          <w:szCs w:val="20"/>
        </w:rPr>
        <w:t xml:space="preserve"> levels and recently recommenced personal loan lending to existing credit card customers. Customer numbers ended the period at 1,694</w:t>
      </w:r>
      <w:r w:rsidR="00B35B8B">
        <w:rPr>
          <w:sz w:val="20"/>
          <w:szCs w:val="20"/>
        </w:rPr>
        <w:t>k</w:t>
      </w:r>
      <w:r w:rsidRPr="00F01EC8">
        <w:rPr>
          <w:sz w:val="20"/>
          <w:szCs w:val="20"/>
        </w:rPr>
        <w:t xml:space="preserve"> (H1’19: 1,791</w:t>
      </w:r>
      <w:r w:rsidR="00B35B8B">
        <w:rPr>
          <w:sz w:val="20"/>
          <w:szCs w:val="20"/>
        </w:rPr>
        <w:t>k</w:t>
      </w:r>
      <w:r w:rsidRPr="00F01EC8">
        <w:rPr>
          <w:sz w:val="20"/>
          <w:szCs w:val="20"/>
        </w:rPr>
        <w:t>), a reduction of 5.4% on June 2019.</w:t>
      </w:r>
    </w:p>
    <w:p w14:paraId="6D10955E" w14:textId="77777777" w:rsidR="00DD6D48" w:rsidRPr="00F01EC8" w:rsidRDefault="00DD6D48" w:rsidP="00F01EC8">
      <w:pPr>
        <w:pStyle w:val="NoSpacing"/>
        <w:jc w:val="both"/>
        <w:rPr>
          <w:sz w:val="20"/>
          <w:szCs w:val="20"/>
        </w:rPr>
      </w:pPr>
    </w:p>
    <w:p w14:paraId="58AABE41" w14:textId="517524B7" w:rsidR="00F01EC8" w:rsidRPr="00F01EC8" w:rsidRDefault="00F01EC8" w:rsidP="00F01EC8">
      <w:pPr>
        <w:pStyle w:val="NoSpacing"/>
        <w:jc w:val="both"/>
        <w:rPr>
          <w:sz w:val="20"/>
          <w:szCs w:val="20"/>
        </w:rPr>
      </w:pPr>
      <w:bookmarkStart w:id="5" w:name="_Hlk49171789"/>
      <w:r w:rsidRPr="00F01EC8">
        <w:rPr>
          <w:sz w:val="20"/>
          <w:szCs w:val="20"/>
        </w:rPr>
        <w:t xml:space="preserve">Receivables ended the period at £1,202m (H1’19: £1,465m), a decrease of 18% or £263m compared with the first half of 2019. In addition to the impact of lower new customer acquisition and the suspension of the CLI programme, customer spending was significantly reduced in the second quarter during the Covid-19 lockdown. On a year-on-year basis, customer spending was approximately 40% lower in April, 35% lower in May and 20% lower in June. As a result, account utilisation levels have reduced from c.60% at the start of the year to c.53% at the end of June. </w:t>
      </w:r>
      <w:r w:rsidR="00FA387C" w:rsidRPr="00FA387C">
        <w:rPr>
          <w:sz w:val="20"/>
          <w:szCs w:val="20"/>
        </w:rPr>
        <w:t>The progressive improvement in customer spending has continued early in the third quarter with the gap to prior year narrowing to 15% in July and August</w:t>
      </w:r>
      <w:r w:rsidR="00FA387C">
        <w:rPr>
          <w:sz w:val="20"/>
          <w:szCs w:val="20"/>
        </w:rPr>
        <w:t>.</w:t>
      </w:r>
      <w:r w:rsidRPr="00F01EC8">
        <w:rPr>
          <w:sz w:val="20"/>
          <w:szCs w:val="20"/>
        </w:rPr>
        <w:t xml:space="preserve"> Vanquis Bank has recently recommenced a phased introduction of its CLI programme. </w:t>
      </w:r>
    </w:p>
    <w:bookmarkEnd w:id="5"/>
    <w:p w14:paraId="2951AA7E" w14:textId="77777777" w:rsidR="00F01EC8" w:rsidRPr="00F01EC8" w:rsidRDefault="00F01EC8" w:rsidP="00F01EC8">
      <w:pPr>
        <w:pStyle w:val="NoSpacing"/>
        <w:jc w:val="both"/>
        <w:rPr>
          <w:sz w:val="20"/>
          <w:szCs w:val="20"/>
        </w:rPr>
      </w:pPr>
    </w:p>
    <w:p w14:paraId="3D06664F" w14:textId="186E3C08" w:rsidR="00F01EC8" w:rsidRPr="00F01EC8" w:rsidRDefault="00F01EC8" w:rsidP="00F01EC8">
      <w:pPr>
        <w:pStyle w:val="NoSpacing"/>
        <w:jc w:val="both"/>
        <w:rPr>
          <w:sz w:val="20"/>
          <w:szCs w:val="20"/>
          <w:highlight w:val="magenta"/>
        </w:rPr>
      </w:pPr>
      <w:r w:rsidRPr="00F01EC8">
        <w:rPr>
          <w:sz w:val="20"/>
          <w:szCs w:val="20"/>
        </w:rPr>
        <w:t xml:space="preserve">Vanquis Bank generated revenue in the first half of £261.1m, down from £291.1m in the first half of 2019. The reduction was driven by a combination of the fall in receivables and a moderation in the revenue yield. </w:t>
      </w:r>
      <w:bookmarkStart w:id="6" w:name="_Hlk49000119"/>
      <w:r w:rsidRPr="00F01EC8">
        <w:rPr>
          <w:sz w:val="20"/>
          <w:szCs w:val="20"/>
        </w:rPr>
        <w:t xml:space="preserve">The annualised revenue yield at the end of June was 39.4%, a year-on-year reduction of c.150bps, reflecting the ongoing c.£15-20m annual reduction in ROP income, changes to the basis of charging default and over limit fees and the ban on the use of credit cards for gambling transactions which came into effect </w:t>
      </w:r>
      <w:r w:rsidR="00F22F20">
        <w:rPr>
          <w:sz w:val="20"/>
          <w:szCs w:val="20"/>
        </w:rPr>
        <w:t>in April</w:t>
      </w:r>
      <w:r w:rsidRPr="00F01EC8">
        <w:rPr>
          <w:sz w:val="20"/>
          <w:szCs w:val="20"/>
        </w:rPr>
        <w:t xml:space="preserve">.  </w:t>
      </w:r>
      <w:bookmarkEnd w:id="6"/>
    </w:p>
    <w:p w14:paraId="398FC9EE" w14:textId="77777777" w:rsidR="00F01EC8" w:rsidRPr="00F01EC8" w:rsidRDefault="00F01EC8" w:rsidP="00F01EC8">
      <w:pPr>
        <w:pStyle w:val="NoSpacing"/>
        <w:jc w:val="both"/>
        <w:rPr>
          <w:sz w:val="20"/>
          <w:szCs w:val="20"/>
        </w:rPr>
      </w:pPr>
    </w:p>
    <w:p w14:paraId="5C427225" w14:textId="5D1C2556" w:rsidR="00F01EC8" w:rsidRPr="00F01EC8" w:rsidRDefault="00F01EC8" w:rsidP="00F01EC8">
      <w:pPr>
        <w:pStyle w:val="NoSpacing"/>
        <w:jc w:val="both"/>
        <w:rPr>
          <w:sz w:val="20"/>
          <w:szCs w:val="20"/>
        </w:rPr>
      </w:pPr>
      <w:r w:rsidRPr="00F01EC8">
        <w:rPr>
          <w:sz w:val="20"/>
          <w:szCs w:val="20"/>
        </w:rPr>
        <w:t>The impairment charge for the period was £149.9m (H1’19: £96.6m), an increase of 55% compared with the first half of 2019 notwithstanding the overall reduction in receivables. This equates to an annualised impairment rate at the end of June of 18.0% compared with 1</w:t>
      </w:r>
      <w:r w:rsidR="00B35B8B">
        <w:rPr>
          <w:sz w:val="20"/>
          <w:szCs w:val="20"/>
        </w:rPr>
        <w:t>4.9</w:t>
      </w:r>
      <w:r w:rsidRPr="00F01EC8">
        <w:rPr>
          <w:sz w:val="20"/>
          <w:szCs w:val="20"/>
        </w:rPr>
        <w:t>% at June 2019, reflecting the impact of Covid-19, including the forecast of a deterioration in the macro</w:t>
      </w:r>
      <w:r w:rsidR="001D58C3">
        <w:rPr>
          <w:sz w:val="20"/>
          <w:szCs w:val="20"/>
        </w:rPr>
        <w:t>-</w:t>
      </w:r>
      <w:r w:rsidRPr="00F01EC8">
        <w:rPr>
          <w:sz w:val="20"/>
          <w:szCs w:val="20"/>
        </w:rPr>
        <w:t xml:space="preserve">economic outlook and the exit performance of customers taking payment holidays, which has increased the impairment charge in the first half of 2020 by approximately £70m. </w:t>
      </w:r>
    </w:p>
    <w:p w14:paraId="7C21E89A" w14:textId="77777777" w:rsidR="00F01EC8" w:rsidRPr="00F01EC8" w:rsidRDefault="00F01EC8" w:rsidP="00F01EC8">
      <w:pPr>
        <w:pStyle w:val="NoSpacing"/>
        <w:jc w:val="both"/>
        <w:rPr>
          <w:sz w:val="20"/>
          <w:szCs w:val="20"/>
        </w:rPr>
      </w:pPr>
    </w:p>
    <w:p w14:paraId="3BE5631E" w14:textId="633A8A8D" w:rsidR="00F01EC8" w:rsidRPr="00F01EC8" w:rsidRDefault="00F01EC8" w:rsidP="00F01EC8">
      <w:pPr>
        <w:pStyle w:val="NoSpacing"/>
        <w:jc w:val="both"/>
        <w:rPr>
          <w:sz w:val="20"/>
          <w:szCs w:val="20"/>
        </w:rPr>
      </w:pPr>
      <w:r w:rsidRPr="00F01EC8">
        <w:rPr>
          <w:sz w:val="20"/>
          <w:szCs w:val="20"/>
        </w:rPr>
        <w:t>The take-up of payment holiday</w:t>
      </w:r>
      <w:r w:rsidR="001D58C3">
        <w:rPr>
          <w:sz w:val="20"/>
          <w:szCs w:val="20"/>
        </w:rPr>
        <w:t>s,</w:t>
      </w:r>
      <w:r w:rsidRPr="00F01EC8">
        <w:rPr>
          <w:sz w:val="20"/>
          <w:szCs w:val="20"/>
        </w:rPr>
        <w:t xml:space="preserve"> in line with the FCA measures introduced in April</w:t>
      </w:r>
      <w:r w:rsidR="001D58C3">
        <w:rPr>
          <w:sz w:val="20"/>
          <w:szCs w:val="20"/>
        </w:rPr>
        <w:t>,</w:t>
      </w:r>
      <w:r w:rsidRPr="00F01EC8">
        <w:rPr>
          <w:sz w:val="20"/>
          <w:szCs w:val="20"/>
        </w:rPr>
        <w:t xml:space="preserve"> amounted to approximately 2% of customers and 4% of gross balances at the end of June. This represents a reduction from the peak in May of approximately 3% of customers and 5% of receivables. The daily take-up of payment holidays has continued to be modest in July and August.</w:t>
      </w:r>
    </w:p>
    <w:p w14:paraId="6A184372" w14:textId="77777777" w:rsidR="00F01EC8" w:rsidRPr="00F01EC8" w:rsidRDefault="00F01EC8" w:rsidP="00F01EC8">
      <w:pPr>
        <w:pStyle w:val="NoSpacing"/>
        <w:jc w:val="both"/>
        <w:rPr>
          <w:sz w:val="20"/>
          <w:szCs w:val="20"/>
        </w:rPr>
      </w:pPr>
    </w:p>
    <w:p w14:paraId="3FE06C8B" w14:textId="4CD48176" w:rsidR="00F01EC8" w:rsidRPr="00F01EC8" w:rsidRDefault="00F01EC8" w:rsidP="00F01EC8">
      <w:pPr>
        <w:pStyle w:val="NoSpacing"/>
        <w:jc w:val="both"/>
        <w:rPr>
          <w:sz w:val="20"/>
          <w:szCs w:val="20"/>
        </w:rPr>
      </w:pPr>
      <w:r w:rsidRPr="00F01EC8">
        <w:rPr>
          <w:sz w:val="20"/>
          <w:szCs w:val="20"/>
        </w:rPr>
        <w:t xml:space="preserve">The combination of a lower revenue yield and higher impairment rate resulted in the risk-adjusted margin </w:t>
      </w:r>
      <w:r w:rsidR="00DD6D48">
        <w:rPr>
          <w:sz w:val="20"/>
          <w:szCs w:val="20"/>
        </w:rPr>
        <w:t xml:space="preserve">(‘RAM’) </w:t>
      </w:r>
      <w:r w:rsidRPr="00F01EC8">
        <w:rPr>
          <w:sz w:val="20"/>
          <w:szCs w:val="20"/>
        </w:rPr>
        <w:t xml:space="preserve">reducing from 26.0% at June 2019 to 21.4% at June 2020. </w:t>
      </w:r>
    </w:p>
    <w:p w14:paraId="1FB0DB34" w14:textId="77777777" w:rsidR="00F01EC8" w:rsidRPr="00F01EC8" w:rsidRDefault="00F01EC8" w:rsidP="00F01EC8">
      <w:pPr>
        <w:pStyle w:val="NoSpacing"/>
        <w:jc w:val="both"/>
        <w:rPr>
          <w:sz w:val="20"/>
          <w:szCs w:val="20"/>
        </w:rPr>
      </w:pPr>
    </w:p>
    <w:p w14:paraId="5ED61109" w14:textId="77777777" w:rsidR="00F01EC8" w:rsidRPr="00F01EC8" w:rsidRDefault="00F01EC8" w:rsidP="00F01EC8">
      <w:pPr>
        <w:pStyle w:val="NoSpacing"/>
        <w:jc w:val="both"/>
        <w:rPr>
          <w:sz w:val="20"/>
          <w:szCs w:val="20"/>
        </w:rPr>
      </w:pPr>
      <w:r w:rsidRPr="00F01EC8">
        <w:rPr>
          <w:sz w:val="20"/>
          <w:szCs w:val="20"/>
        </w:rPr>
        <w:t xml:space="preserve">First half costs reduced by 5.7% to £83.1m (H1’19: £88.1m), reflecting the ongoing cost efficiency programme at Vanquis Bank together with the cessation of all discretionary spend in response to Covid-19. </w:t>
      </w:r>
    </w:p>
    <w:p w14:paraId="55587A7B" w14:textId="77777777" w:rsidR="00F01EC8" w:rsidRPr="00F01EC8" w:rsidRDefault="00F01EC8" w:rsidP="00F01EC8">
      <w:pPr>
        <w:pStyle w:val="NoSpacing"/>
        <w:jc w:val="both"/>
        <w:rPr>
          <w:sz w:val="20"/>
          <w:szCs w:val="20"/>
        </w:rPr>
      </w:pPr>
    </w:p>
    <w:p w14:paraId="3E5FB652" w14:textId="77777777" w:rsidR="00F01EC8" w:rsidRPr="00F01EC8" w:rsidRDefault="00F01EC8" w:rsidP="00F01EC8">
      <w:pPr>
        <w:pStyle w:val="NoSpacing"/>
        <w:jc w:val="both"/>
        <w:rPr>
          <w:sz w:val="20"/>
          <w:szCs w:val="20"/>
        </w:rPr>
      </w:pPr>
      <w:r w:rsidRPr="00F01EC8">
        <w:rPr>
          <w:sz w:val="20"/>
          <w:szCs w:val="20"/>
        </w:rPr>
        <w:t xml:space="preserve">Interest costs increased by 2.5% to £16.3m (H1’19: £15.9m) during the first half notwithstanding the reduction in receivables. This reflects the decisive action taken to raise additional retail deposits at the onset of Covid-19 to mitigate the potential for a market wide liquidity stress. Accordingly, Vanquis Bank has been prudently carrying £800m of additional liquidity over and above its regulatory requirements during the second quarter of the year which has resulted in additional funding costs of approximately £2m. </w:t>
      </w:r>
    </w:p>
    <w:p w14:paraId="78E2485E" w14:textId="77777777" w:rsidR="00F01EC8" w:rsidRPr="00F01EC8" w:rsidRDefault="00F01EC8" w:rsidP="00F01EC8">
      <w:pPr>
        <w:pStyle w:val="NoSpacing"/>
        <w:jc w:val="both"/>
        <w:rPr>
          <w:sz w:val="20"/>
          <w:szCs w:val="20"/>
        </w:rPr>
      </w:pPr>
    </w:p>
    <w:p w14:paraId="1BFF4386" w14:textId="593A614D" w:rsidR="00F01EC8" w:rsidRDefault="00F01EC8" w:rsidP="00F01EC8">
      <w:pPr>
        <w:pStyle w:val="NoSpacing"/>
        <w:jc w:val="both"/>
        <w:rPr>
          <w:sz w:val="20"/>
          <w:szCs w:val="20"/>
        </w:rPr>
      </w:pPr>
      <w:bookmarkStart w:id="7" w:name="_Hlk49000148"/>
      <w:r w:rsidRPr="00F01EC8">
        <w:rPr>
          <w:sz w:val="20"/>
          <w:szCs w:val="20"/>
        </w:rPr>
        <w:t xml:space="preserve">The Group notes </w:t>
      </w:r>
      <w:r w:rsidR="00142DD9" w:rsidRPr="00F01EC8">
        <w:rPr>
          <w:sz w:val="20"/>
          <w:szCs w:val="20"/>
        </w:rPr>
        <w:t xml:space="preserve">that the persistent debt measures introduced by the FCA have been delayed until October 2020 to allow firms more time to comply following the onset of Covid-19. Vanquis Bank has made good progress in managing the level of customers in persistent debt, through changes to the credit line increase programme, increasing minimum payments due and enhanced communication encouraging customers to make higher </w:t>
      </w:r>
      <w:r w:rsidR="00142DD9">
        <w:rPr>
          <w:sz w:val="20"/>
          <w:szCs w:val="20"/>
        </w:rPr>
        <w:t xml:space="preserve">than </w:t>
      </w:r>
      <w:r w:rsidR="00142DD9" w:rsidRPr="00F01EC8">
        <w:rPr>
          <w:sz w:val="20"/>
          <w:szCs w:val="20"/>
        </w:rPr>
        <w:t>recommended payments</w:t>
      </w:r>
    </w:p>
    <w:bookmarkEnd w:id="7"/>
    <w:p w14:paraId="01139940" w14:textId="77777777" w:rsidR="00DD6D48" w:rsidRPr="00F01EC8" w:rsidRDefault="00DD6D48" w:rsidP="00F01EC8">
      <w:pPr>
        <w:pStyle w:val="NoSpacing"/>
        <w:jc w:val="both"/>
        <w:rPr>
          <w:sz w:val="20"/>
          <w:szCs w:val="20"/>
        </w:rPr>
      </w:pPr>
    </w:p>
    <w:p w14:paraId="4A9F6159" w14:textId="77777777" w:rsidR="00F01EC8" w:rsidRPr="00F01EC8" w:rsidRDefault="00F01EC8" w:rsidP="00F01EC8">
      <w:pPr>
        <w:pStyle w:val="NoSpacing"/>
        <w:jc w:val="both"/>
        <w:rPr>
          <w:sz w:val="20"/>
          <w:szCs w:val="20"/>
        </w:rPr>
      </w:pPr>
      <w:r w:rsidRPr="00F01EC8">
        <w:rPr>
          <w:sz w:val="20"/>
          <w:szCs w:val="20"/>
        </w:rPr>
        <w:t xml:space="preserve">Vanquis Bank has successfully supported both customers and colleagues through the significant disruption caused by Covid-19 since the start of the second quarter. The business has delivered first half profits and has strong capital and liquidity positions meaning it is well-placed to switch the focus back to re-growing customers and receivables in a sustainable manner. Enhancing the customer and digital propositions as well as broadening the range of products, including an open market launch of loans in early 2021, remain important pillars of developing Vanquis Bank to the ‘Bank for the underserved’. </w:t>
      </w:r>
    </w:p>
    <w:p w14:paraId="153946C2" w14:textId="77777777" w:rsidR="002303EB" w:rsidRDefault="002303EB">
      <w:pPr>
        <w:rPr>
          <w:rStyle w:val="Strong"/>
          <w:rFonts w:asciiTheme="minorHAnsi" w:eastAsiaTheme="minorHAnsi" w:hAnsiTheme="minorHAnsi" w:cstheme="minorBidi"/>
          <w:sz w:val="20"/>
          <w:szCs w:val="20"/>
          <w:lang w:eastAsia="en-US"/>
        </w:rPr>
      </w:pPr>
    </w:p>
    <w:p w14:paraId="13C309B2" w14:textId="04EE184A" w:rsidR="00F01EC8" w:rsidRPr="00F01EC8" w:rsidRDefault="00F01EC8" w:rsidP="00F01EC8">
      <w:pPr>
        <w:pStyle w:val="NoSpacing"/>
        <w:rPr>
          <w:rStyle w:val="Strong"/>
          <w:sz w:val="20"/>
          <w:szCs w:val="20"/>
        </w:rPr>
      </w:pPr>
      <w:r w:rsidRPr="00F01EC8">
        <w:rPr>
          <w:rStyle w:val="Strong"/>
          <w:sz w:val="20"/>
          <w:szCs w:val="20"/>
        </w:rPr>
        <w:lastRenderedPageBreak/>
        <w:t>Moneybarn</w:t>
      </w:r>
    </w:p>
    <w:tbl>
      <w:tblPr>
        <w:tblW w:w="9752" w:type="dxa"/>
        <w:tblLayout w:type="fixed"/>
        <w:tblLook w:val="04A0" w:firstRow="1" w:lastRow="0" w:firstColumn="1" w:lastColumn="0" w:noHBand="0" w:noVBand="1"/>
      </w:tblPr>
      <w:tblGrid>
        <w:gridCol w:w="6350"/>
        <w:gridCol w:w="1134"/>
        <w:gridCol w:w="1134"/>
        <w:gridCol w:w="1134"/>
      </w:tblGrid>
      <w:tr w:rsidR="00F01EC8" w:rsidRPr="00F01EC8" w14:paraId="68EE2734" w14:textId="77777777" w:rsidTr="00F01EC8">
        <w:tc>
          <w:tcPr>
            <w:tcW w:w="6350" w:type="dxa"/>
          </w:tcPr>
          <w:p w14:paraId="3C57ACA2" w14:textId="77777777" w:rsidR="00F01EC8" w:rsidRPr="00F01EC8" w:rsidRDefault="00F01EC8">
            <w:pPr>
              <w:pStyle w:val="NoSpacing"/>
              <w:spacing w:line="256" w:lineRule="auto"/>
              <w:rPr>
                <w:sz w:val="20"/>
                <w:szCs w:val="20"/>
              </w:rPr>
            </w:pPr>
          </w:p>
        </w:tc>
        <w:tc>
          <w:tcPr>
            <w:tcW w:w="3402" w:type="dxa"/>
            <w:gridSpan w:val="3"/>
            <w:hideMark/>
          </w:tcPr>
          <w:p w14:paraId="0A869AD2" w14:textId="77777777" w:rsidR="00F01EC8" w:rsidRPr="00F01EC8" w:rsidRDefault="00F01EC8" w:rsidP="00F01EC8">
            <w:pPr>
              <w:pStyle w:val="NoSpacing"/>
              <w:spacing w:line="256" w:lineRule="auto"/>
              <w:jc w:val="right"/>
              <w:rPr>
                <w:i/>
                <w:sz w:val="20"/>
                <w:szCs w:val="20"/>
              </w:rPr>
            </w:pPr>
            <w:r w:rsidRPr="00F01EC8">
              <w:rPr>
                <w:sz w:val="20"/>
                <w:szCs w:val="20"/>
              </w:rPr>
              <w:t>Six months ended 30 June</w:t>
            </w:r>
          </w:p>
        </w:tc>
      </w:tr>
      <w:tr w:rsidR="00F01EC8" w:rsidRPr="00F01EC8" w14:paraId="013661AC" w14:textId="77777777" w:rsidTr="00F01EC8">
        <w:tc>
          <w:tcPr>
            <w:tcW w:w="6350" w:type="dxa"/>
          </w:tcPr>
          <w:p w14:paraId="1362E995" w14:textId="77777777" w:rsidR="00F01EC8" w:rsidRPr="00F01EC8" w:rsidRDefault="00F01EC8">
            <w:pPr>
              <w:pStyle w:val="NoSpacing"/>
              <w:spacing w:line="256" w:lineRule="auto"/>
              <w:rPr>
                <w:sz w:val="20"/>
                <w:szCs w:val="20"/>
              </w:rPr>
            </w:pPr>
          </w:p>
        </w:tc>
        <w:tc>
          <w:tcPr>
            <w:tcW w:w="1134" w:type="dxa"/>
            <w:hideMark/>
          </w:tcPr>
          <w:p w14:paraId="54A7BDFD" w14:textId="77777777" w:rsidR="00F01EC8" w:rsidRPr="00F01EC8" w:rsidRDefault="00F01EC8" w:rsidP="00F01EC8">
            <w:pPr>
              <w:pStyle w:val="NoSpacing"/>
              <w:spacing w:line="256" w:lineRule="auto"/>
              <w:jc w:val="right"/>
              <w:rPr>
                <w:sz w:val="20"/>
                <w:szCs w:val="20"/>
              </w:rPr>
            </w:pPr>
            <w:r w:rsidRPr="00F01EC8">
              <w:rPr>
                <w:sz w:val="20"/>
                <w:szCs w:val="20"/>
              </w:rPr>
              <w:t>2020</w:t>
            </w:r>
          </w:p>
        </w:tc>
        <w:tc>
          <w:tcPr>
            <w:tcW w:w="1134" w:type="dxa"/>
            <w:hideMark/>
          </w:tcPr>
          <w:p w14:paraId="423069FA" w14:textId="77777777" w:rsidR="00F01EC8" w:rsidRPr="00F01EC8" w:rsidRDefault="00F01EC8" w:rsidP="00F01EC8">
            <w:pPr>
              <w:pStyle w:val="NoSpacing"/>
              <w:spacing w:line="256" w:lineRule="auto"/>
              <w:jc w:val="right"/>
              <w:rPr>
                <w:sz w:val="20"/>
                <w:szCs w:val="20"/>
              </w:rPr>
            </w:pPr>
            <w:r w:rsidRPr="00F01EC8">
              <w:rPr>
                <w:sz w:val="20"/>
                <w:szCs w:val="20"/>
              </w:rPr>
              <w:t>2019</w:t>
            </w:r>
            <w:r w:rsidRPr="00F01EC8">
              <w:rPr>
                <w:sz w:val="20"/>
                <w:szCs w:val="20"/>
                <w:vertAlign w:val="superscript"/>
              </w:rPr>
              <w:t>1</w:t>
            </w:r>
          </w:p>
        </w:tc>
        <w:tc>
          <w:tcPr>
            <w:tcW w:w="1134" w:type="dxa"/>
            <w:vMerge w:val="restart"/>
            <w:tcBorders>
              <w:top w:val="nil"/>
              <w:left w:val="nil"/>
              <w:bottom w:val="single" w:sz="4" w:space="0" w:color="auto"/>
              <w:right w:val="nil"/>
            </w:tcBorders>
            <w:vAlign w:val="center"/>
            <w:hideMark/>
          </w:tcPr>
          <w:p w14:paraId="565E7835" w14:textId="77777777" w:rsidR="00F01EC8" w:rsidRPr="00F01EC8" w:rsidRDefault="00F01EC8" w:rsidP="00F01EC8">
            <w:pPr>
              <w:pStyle w:val="NoSpacing"/>
              <w:spacing w:line="256" w:lineRule="auto"/>
              <w:jc w:val="right"/>
              <w:rPr>
                <w:i/>
                <w:sz w:val="20"/>
                <w:szCs w:val="20"/>
              </w:rPr>
            </w:pPr>
            <w:r w:rsidRPr="00F01EC8">
              <w:rPr>
                <w:i/>
                <w:sz w:val="20"/>
                <w:szCs w:val="20"/>
              </w:rPr>
              <w:t>Change</w:t>
            </w:r>
          </w:p>
        </w:tc>
      </w:tr>
      <w:tr w:rsidR="00F01EC8" w:rsidRPr="00F01EC8" w14:paraId="1F6CD92F" w14:textId="77777777" w:rsidTr="00F01EC8">
        <w:tc>
          <w:tcPr>
            <w:tcW w:w="6350" w:type="dxa"/>
          </w:tcPr>
          <w:p w14:paraId="1E4DC3DA" w14:textId="77777777" w:rsidR="00F01EC8" w:rsidRPr="00F01EC8" w:rsidRDefault="00F01EC8">
            <w:pPr>
              <w:pStyle w:val="NoSpacing"/>
              <w:spacing w:line="256" w:lineRule="auto"/>
              <w:rPr>
                <w:sz w:val="20"/>
                <w:szCs w:val="20"/>
              </w:rPr>
            </w:pPr>
          </w:p>
        </w:tc>
        <w:tc>
          <w:tcPr>
            <w:tcW w:w="1134" w:type="dxa"/>
            <w:tcBorders>
              <w:top w:val="nil"/>
              <w:left w:val="nil"/>
              <w:bottom w:val="single" w:sz="4" w:space="0" w:color="auto"/>
              <w:right w:val="nil"/>
            </w:tcBorders>
            <w:vAlign w:val="bottom"/>
            <w:hideMark/>
          </w:tcPr>
          <w:p w14:paraId="285F36CC" w14:textId="77777777" w:rsidR="00F01EC8" w:rsidRPr="00F01EC8" w:rsidRDefault="00F01EC8" w:rsidP="00F01EC8">
            <w:pPr>
              <w:pStyle w:val="NoSpacing"/>
              <w:spacing w:line="256" w:lineRule="auto"/>
              <w:jc w:val="right"/>
              <w:rPr>
                <w:sz w:val="20"/>
                <w:szCs w:val="20"/>
              </w:rPr>
            </w:pPr>
            <w:r w:rsidRPr="00F01EC8">
              <w:rPr>
                <w:sz w:val="20"/>
                <w:szCs w:val="20"/>
              </w:rPr>
              <w:t>£m</w:t>
            </w:r>
          </w:p>
        </w:tc>
        <w:tc>
          <w:tcPr>
            <w:tcW w:w="1134" w:type="dxa"/>
            <w:tcBorders>
              <w:top w:val="nil"/>
              <w:left w:val="nil"/>
              <w:bottom w:val="single" w:sz="4" w:space="0" w:color="auto"/>
              <w:right w:val="nil"/>
            </w:tcBorders>
            <w:vAlign w:val="bottom"/>
            <w:hideMark/>
          </w:tcPr>
          <w:p w14:paraId="67C602B7" w14:textId="77777777" w:rsidR="00F01EC8" w:rsidRPr="00F01EC8" w:rsidRDefault="00F01EC8" w:rsidP="00F01EC8">
            <w:pPr>
              <w:pStyle w:val="NoSpacing"/>
              <w:spacing w:line="256" w:lineRule="auto"/>
              <w:jc w:val="right"/>
              <w:rPr>
                <w:sz w:val="20"/>
                <w:szCs w:val="20"/>
              </w:rPr>
            </w:pPr>
            <w:r w:rsidRPr="00F01EC8">
              <w:rPr>
                <w:sz w:val="20"/>
                <w:szCs w:val="20"/>
              </w:rPr>
              <w:t>£m</w:t>
            </w:r>
          </w:p>
        </w:tc>
        <w:tc>
          <w:tcPr>
            <w:tcW w:w="1134" w:type="dxa"/>
            <w:vMerge/>
            <w:tcBorders>
              <w:top w:val="nil"/>
              <w:left w:val="nil"/>
              <w:bottom w:val="single" w:sz="4" w:space="0" w:color="auto"/>
              <w:right w:val="nil"/>
            </w:tcBorders>
            <w:vAlign w:val="center"/>
            <w:hideMark/>
          </w:tcPr>
          <w:p w14:paraId="32631D6E" w14:textId="77777777" w:rsidR="00F01EC8" w:rsidRPr="00F01EC8" w:rsidRDefault="00F01EC8" w:rsidP="00F01EC8">
            <w:pPr>
              <w:jc w:val="right"/>
              <w:rPr>
                <w:rFonts w:asciiTheme="minorHAnsi" w:hAnsiTheme="minorHAnsi"/>
                <w:i/>
                <w:sz w:val="20"/>
                <w:szCs w:val="20"/>
                <w:lang w:eastAsia="en-US"/>
              </w:rPr>
            </w:pPr>
          </w:p>
        </w:tc>
      </w:tr>
      <w:tr w:rsidR="00F01EC8" w:rsidRPr="00F01EC8" w14:paraId="2F252ACF" w14:textId="77777777" w:rsidTr="00F01EC8">
        <w:tc>
          <w:tcPr>
            <w:tcW w:w="6350" w:type="dxa"/>
          </w:tcPr>
          <w:p w14:paraId="2DD499D8" w14:textId="77777777" w:rsidR="00F01EC8" w:rsidRPr="00F01EC8" w:rsidRDefault="00F01EC8">
            <w:pPr>
              <w:pStyle w:val="NoSpacing"/>
              <w:spacing w:line="256" w:lineRule="auto"/>
              <w:rPr>
                <w:sz w:val="20"/>
                <w:szCs w:val="20"/>
              </w:rPr>
            </w:pPr>
          </w:p>
        </w:tc>
        <w:tc>
          <w:tcPr>
            <w:tcW w:w="1134" w:type="dxa"/>
            <w:tcBorders>
              <w:top w:val="single" w:sz="4" w:space="0" w:color="auto"/>
              <w:left w:val="nil"/>
              <w:bottom w:val="nil"/>
              <w:right w:val="nil"/>
            </w:tcBorders>
            <w:vAlign w:val="bottom"/>
          </w:tcPr>
          <w:p w14:paraId="501ECF08"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48F93E65"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1CDB9664" w14:textId="77777777" w:rsidR="00F01EC8" w:rsidRPr="00F01EC8" w:rsidRDefault="00F01EC8" w:rsidP="00F01EC8">
            <w:pPr>
              <w:pStyle w:val="NoSpacing"/>
              <w:spacing w:line="256" w:lineRule="auto"/>
              <w:jc w:val="right"/>
              <w:rPr>
                <w:i/>
                <w:sz w:val="20"/>
                <w:szCs w:val="20"/>
              </w:rPr>
            </w:pPr>
          </w:p>
        </w:tc>
      </w:tr>
      <w:tr w:rsidR="00F01EC8" w:rsidRPr="00F01EC8" w14:paraId="70743075" w14:textId="77777777" w:rsidTr="00F01EC8">
        <w:tc>
          <w:tcPr>
            <w:tcW w:w="6350" w:type="dxa"/>
            <w:vAlign w:val="bottom"/>
            <w:hideMark/>
          </w:tcPr>
          <w:p w14:paraId="3FE80EAE" w14:textId="77777777" w:rsidR="00F01EC8" w:rsidRPr="00F01EC8" w:rsidRDefault="00F01EC8">
            <w:pPr>
              <w:pStyle w:val="NoSpacing"/>
              <w:spacing w:line="256" w:lineRule="auto"/>
              <w:rPr>
                <w:sz w:val="20"/>
                <w:szCs w:val="20"/>
              </w:rPr>
            </w:pPr>
            <w:r w:rsidRPr="00F01EC8">
              <w:rPr>
                <w:sz w:val="20"/>
                <w:szCs w:val="20"/>
              </w:rPr>
              <w:t>Customer numbers ('000)</w:t>
            </w:r>
          </w:p>
        </w:tc>
        <w:tc>
          <w:tcPr>
            <w:tcW w:w="1134" w:type="dxa"/>
            <w:vAlign w:val="bottom"/>
            <w:hideMark/>
          </w:tcPr>
          <w:p w14:paraId="44880DFD" w14:textId="77777777" w:rsidR="00F01EC8" w:rsidRPr="00F01EC8" w:rsidRDefault="00F01EC8" w:rsidP="00F01EC8">
            <w:pPr>
              <w:pStyle w:val="NoSpacing"/>
              <w:spacing w:line="256" w:lineRule="auto"/>
              <w:jc w:val="right"/>
              <w:rPr>
                <w:sz w:val="20"/>
                <w:szCs w:val="20"/>
              </w:rPr>
            </w:pPr>
            <w:r w:rsidRPr="00F01EC8">
              <w:rPr>
                <w:sz w:val="20"/>
                <w:szCs w:val="20"/>
              </w:rPr>
              <w:t>82</w:t>
            </w:r>
          </w:p>
        </w:tc>
        <w:tc>
          <w:tcPr>
            <w:tcW w:w="1134" w:type="dxa"/>
            <w:vAlign w:val="bottom"/>
            <w:hideMark/>
          </w:tcPr>
          <w:p w14:paraId="328D8884" w14:textId="77777777" w:rsidR="00F01EC8" w:rsidRPr="00F01EC8" w:rsidRDefault="00F01EC8" w:rsidP="00F01EC8">
            <w:pPr>
              <w:pStyle w:val="NoSpacing"/>
              <w:spacing w:line="256" w:lineRule="auto"/>
              <w:jc w:val="right"/>
              <w:rPr>
                <w:sz w:val="20"/>
                <w:szCs w:val="20"/>
              </w:rPr>
            </w:pPr>
            <w:r w:rsidRPr="00F01EC8">
              <w:rPr>
                <w:sz w:val="20"/>
                <w:szCs w:val="20"/>
              </w:rPr>
              <w:t>70</w:t>
            </w:r>
          </w:p>
        </w:tc>
        <w:tc>
          <w:tcPr>
            <w:tcW w:w="1134" w:type="dxa"/>
            <w:vAlign w:val="bottom"/>
            <w:hideMark/>
          </w:tcPr>
          <w:p w14:paraId="7ABAEF1D" w14:textId="401206BE" w:rsidR="00F01EC8" w:rsidRPr="00F01EC8" w:rsidRDefault="00F01EC8" w:rsidP="00F01EC8">
            <w:pPr>
              <w:pStyle w:val="NoSpacing"/>
              <w:spacing w:line="256" w:lineRule="auto"/>
              <w:jc w:val="right"/>
              <w:rPr>
                <w:i/>
                <w:sz w:val="20"/>
                <w:szCs w:val="20"/>
              </w:rPr>
            </w:pPr>
            <w:r w:rsidRPr="00F01EC8">
              <w:rPr>
                <w:i/>
                <w:sz w:val="20"/>
                <w:szCs w:val="20"/>
              </w:rPr>
              <w:t>1</w:t>
            </w:r>
            <w:r w:rsidR="00230548">
              <w:rPr>
                <w:i/>
                <w:sz w:val="20"/>
                <w:szCs w:val="20"/>
              </w:rPr>
              <w:t>7.1</w:t>
            </w:r>
            <w:r w:rsidRPr="00F01EC8">
              <w:rPr>
                <w:i/>
                <w:sz w:val="20"/>
                <w:szCs w:val="20"/>
              </w:rPr>
              <w:t>%</w:t>
            </w:r>
          </w:p>
        </w:tc>
      </w:tr>
      <w:tr w:rsidR="00F01EC8" w:rsidRPr="00F01EC8" w14:paraId="6235B506" w14:textId="77777777" w:rsidTr="00F01EC8">
        <w:tc>
          <w:tcPr>
            <w:tcW w:w="6350" w:type="dxa"/>
            <w:vAlign w:val="bottom"/>
            <w:hideMark/>
          </w:tcPr>
          <w:p w14:paraId="3473DB56" w14:textId="77777777" w:rsidR="00F01EC8" w:rsidRPr="00F01EC8" w:rsidRDefault="00F01EC8">
            <w:pPr>
              <w:pStyle w:val="NoSpacing"/>
              <w:spacing w:line="256" w:lineRule="auto"/>
              <w:rPr>
                <w:sz w:val="20"/>
                <w:szCs w:val="20"/>
              </w:rPr>
            </w:pPr>
            <w:r w:rsidRPr="00F01EC8">
              <w:rPr>
                <w:sz w:val="20"/>
                <w:szCs w:val="20"/>
              </w:rPr>
              <w:t>Period-end receivables</w:t>
            </w:r>
          </w:p>
        </w:tc>
        <w:tc>
          <w:tcPr>
            <w:tcW w:w="1134" w:type="dxa"/>
            <w:vAlign w:val="bottom"/>
            <w:hideMark/>
          </w:tcPr>
          <w:p w14:paraId="5BB23C32" w14:textId="77777777" w:rsidR="00F01EC8" w:rsidRPr="00F01EC8" w:rsidRDefault="00F01EC8" w:rsidP="00F01EC8">
            <w:pPr>
              <w:pStyle w:val="NoSpacing"/>
              <w:spacing w:line="256" w:lineRule="auto"/>
              <w:jc w:val="right"/>
              <w:rPr>
                <w:sz w:val="20"/>
                <w:szCs w:val="20"/>
              </w:rPr>
            </w:pPr>
            <w:r w:rsidRPr="00F01EC8">
              <w:rPr>
                <w:sz w:val="20"/>
                <w:szCs w:val="20"/>
              </w:rPr>
              <w:t>529.4</w:t>
            </w:r>
          </w:p>
        </w:tc>
        <w:tc>
          <w:tcPr>
            <w:tcW w:w="1134" w:type="dxa"/>
            <w:vAlign w:val="bottom"/>
            <w:hideMark/>
          </w:tcPr>
          <w:p w14:paraId="5FBC2EB7" w14:textId="77777777" w:rsidR="00F01EC8" w:rsidRPr="00F01EC8" w:rsidRDefault="00F01EC8" w:rsidP="00F01EC8">
            <w:pPr>
              <w:pStyle w:val="NoSpacing"/>
              <w:spacing w:line="256" w:lineRule="auto"/>
              <w:jc w:val="right"/>
              <w:rPr>
                <w:sz w:val="20"/>
                <w:szCs w:val="20"/>
              </w:rPr>
            </w:pPr>
            <w:r w:rsidRPr="00F01EC8">
              <w:rPr>
                <w:sz w:val="20"/>
                <w:szCs w:val="20"/>
              </w:rPr>
              <w:t>484.7</w:t>
            </w:r>
          </w:p>
        </w:tc>
        <w:tc>
          <w:tcPr>
            <w:tcW w:w="1134" w:type="dxa"/>
            <w:vAlign w:val="bottom"/>
            <w:hideMark/>
          </w:tcPr>
          <w:p w14:paraId="5159198A" w14:textId="77777777" w:rsidR="00F01EC8" w:rsidRPr="00F01EC8" w:rsidRDefault="00F01EC8" w:rsidP="00F01EC8">
            <w:pPr>
              <w:pStyle w:val="NoSpacing"/>
              <w:spacing w:line="256" w:lineRule="auto"/>
              <w:jc w:val="right"/>
              <w:rPr>
                <w:i/>
                <w:sz w:val="20"/>
                <w:szCs w:val="20"/>
              </w:rPr>
            </w:pPr>
            <w:r w:rsidRPr="00F01EC8">
              <w:rPr>
                <w:i/>
                <w:sz w:val="20"/>
                <w:szCs w:val="20"/>
              </w:rPr>
              <w:t>9.2%</w:t>
            </w:r>
          </w:p>
        </w:tc>
      </w:tr>
      <w:tr w:rsidR="00F01EC8" w:rsidRPr="00F01EC8" w14:paraId="5ABD087E" w14:textId="77777777" w:rsidTr="00F01EC8">
        <w:tc>
          <w:tcPr>
            <w:tcW w:w="6350" w:type="dxa"/>
            <w:tcBorders>
              <w:top w:val="nil"/>
              <w:left w:val="nil"/>
              <w:bottom w:val="single" w:sz="4" w:space="0" w:color="auto"/>
              <w:right w:val="nil"/>
            </w:tcBorders>
            <w:vAlign w:val="bottom"/>
            <w:hideMark/>
          </w:tcPr>
          <w:p w14:paraId="416E849E" w14:textId="77777777" w:rsidR="00F01EC8" w:rsidRPr="00F01EC8" w:rsidRDefault="00F01EC8">
            <w:pPr>
              <w:pStyle w:val="NoSpacing"/>
              <w:spacing w:line="256" w:lineRule="auto"/>
              <w:rPr>
                <w:sz w:val="20"/>
                <w:szCs w:val="20"/>
              </w:rPr>
            </w:pPr>
            <w:r w:rsidRPr="00F01EC8">
              <w:rPr>
                <w:sz w:val="20"/>
                <w:szCs w:val="20"/>
              </w:rPr>
              <w:t>Average receivables</w:t>
            </w:r>
            <w:r w:rsidRPr="00F01EC8">
              <w:rPr>
                <w:sz w:val="20"/>
                <w:szCs w:val="20"/>
                <w:vertAlign w:val="superscript"/>
              </w:rPr>
              <w:t>2</w:t>
            </w:r>
          </w:p>
        </w:tc>
        <w:tc>
          <w:tcPr>
            <w:tcW w:w="1134" w:type="dxa"/>
            <w:tcBorders>
              <w:top w:val="nil"/>
              <w:left w:val="nil"/>
              <w:bottom w:val="single" w:sz="4" w:space="0" w:color="auto"/>
              <w:right w:val="nil"/>
            </w:tcBorders>
            <w:vAlign w:val="bottom"/>
            <w:hideMark/>
          </w:tcPr>
          <w:p w14:paraId="47E26848" w14:textId="77777777" w:rsidR="00F01EC8" w:rsidRPr="00F01EC8" w:rsidRDefault="00F01EC8" w:rsidP="00F01EC8">
            <w:pPr>
              <w:pStyle w:val="NoSpacing"/>
              <w:spacing w:line="256" w:lineRule="auto"/>
              <w:jc w:val="right"/>
              <w:rPr>
                <w:sz w:val="20"/>
                <w:szCs w:val="20"/>
              </w:rPr>
            </w:pPr>
            <w:r w:rsidRPr="00F01EC8">
              <w:rPr>
                <w:sz w:val="20"/>
                <w:szCs w:val="20"/>
              </w:rPr>
              <w:t>520.6</w:t>
            </w:r>
          </w:p>
        </w:tc>
        <w:tc>
          <w:tcPr>
            <w:tcW w:w="1134" w:type="dxa"/>
            <w:tcBorders>
              <w:top w:val="nil"/>
              <w:left w:val="nil"/>
              <w:bottom w:val="single" w:sz="4" w:space="0" w:color="auto"/>
              <w:right w:val="nil"/>
            </w:tcBorders>
            <w:vAlign w:val="bottom"/>
            <w:hideMark/>
          </w:tcPr>
          <w:p w14:paraId="53C7658D" w14:textId="77777777" w:rsidR="00F01EC8" w:rsidRPr="00F01EC8" w:rsidRDefault="00F01EC8" w:rsidP="00F01EC8">
            <w:pPr>
              <w:pStyle w:val="NoSpacing"/>
              <w:spacing w:line="256" w:lineRule="auto"/>
              <w:jc w:val="right"/>
              <w:rPr>
                <w:sz w:val="20"/>
                <w:szCs w:val="20"/>
              </w:rPr>
            </w:pPr>
            <w:r w:rsidRPr="00F01EC8">
              <w:rPr>
                <w:sz w:val="20"/>
                <w:szCs w:val="20"/>
              </w:rPr>
              <w:t>436.2</w:t>
            </w:r>
          </w:p>
        </w:tc>
        <w:tc>
          <w:tcPr>
            <w:tcW w:w="1134" w:type="dxa"/>
            <w:tcBorders>
              <w:top w:val="nil"/>
              <w:left w:val="nil"/>
              <w:bottom w:val="single" w:sz="4" w:space="0" w:color="auto"/>
              <w:right w:val="nil"/>
            </w:tcBorders>
            <w:vAlign w:val="bottom"/>
            <w:hideMark/>
          </w:tcPr>
          <w:p w14:paraId="238FB26F" w14:textId="46D41BBA" w:rsidR="00F01EC8" w:rsidRPr="00F01EC8" w:rsidRDefault="00F01EC8" w:rsidP="00F01EC8">
            <w:pPr>
              <w:pStyle w:val="NoSpacing"/>
              <w:spacing w:line="256" w:lineRule="auto"/>
              <w:jc w:val="right"/>
              <w:rPr>
                <w:i/>
                <w:sz w:val="20"/>
                <w:szCs w:val="20"/>
              </w:rPr>
            </w:pPr>
            <w:r w:rsidRPr="00F01EC8">
              <w:rPr>
                <w:i/>
                <w:sz w:val="20"/>
                <w:szCs w:val="20"/>
              </w:rPr>
              <w:t>1</w:t>
            </w:r>
            <w:r w:rsidR="00230548">
              <w:rPr>
                <w:i/>
                <w:sz w:val="20"/>
                <w:szCs w:val="20"/>
              </w:rPr>
              <w:t>9.3</w:t>
            </w:r>
            <w:r w:rsidRPr="00F01EC8">
              <w:rPr>
                <w:i/>
                <w:sz w:val="20"/>
                <w:szCs w:val="20"/>
              </w:rPr>
              <w:t>%</w:t>
            </w:r>
          </w:p>
        </w:tc>
      </w:tr>
      <w:tr w:rsidR="00F01EC8" w:rsidRPr="00F01EC8" w14:paraId="62DBA2EF" w14:textId="77777777" w:rsidTr="00F01EC8">
        <w:tc>
          <w:tcPr>
            <w:tcW w:w="6350" w:type="dxa"/>
            <w:tcBorders>
              <w:top w:val="single" w:sz="4" w:space="0" w:color="auto"/>
              <w:left w:val="nil"/>
              <w:bottom w:val="nil"/>
              <w:right w:val="nil"/>
            </w:tcBorders>
            <w:vAlign w:val="bottom"/>
          </w:tcPr>
          <w:p w14:paraId="20FB9E25" w14:textId="77777777" w:rsidR="00F01EC8" w:rsidRPr="00F01EC8" w:rsidRDefault="00F01EC8">
            <w:pPr>
              <w:pStyle w:val="NoSpacing"/>
              <w:spacing w:line="256" w:lineRule="auto"/>
              <w:rPr>
                <w:sz w:val="20"/>
                <w:szCs w:val="20"/>
              </w:rPr>
            </w:pPr>
          </w:p>
        </w:tc>
        <w:tc>
          <w:tcPr>
            <w:tcW w:w="1134" w:type="dxa"/>
            <w:tcBorders>
              <w:top w:val="single" w:sz="4" w:space="0" w:color="auto"/>
              <w:left w:val="nil"/>
              <w:bottom w:val="nil"/>
              <w:right w:val="nil"/>
            </w:tcBorders>
            <w:vAlign w:val="bottom"/>
          </w:tcPr>
          <w:p w14:paraId="6FEEB925"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3441BA20" w14:textId="77777777" w:rsidR="00F01EC8" w:rsidRPr="00F01EC8" w:rsidRDefault="00F01EC8" w:rsidP="00F01EC8">
            <w:pPr>
              <w:pStyle w:val="NoSpacing"/>
              <w:spacing w:line="256" w:lineRule="auto"/>
              <w:jc w:val="right"/>
              <w:rPr>
                <w:sz w:val="20"/>
                <w:szCs w:val="20"/>
              </w:rPr>
            </w:pPr>
          </w:p>
        </w:tc>
        <w:tc>
          <w:tcPr>
            <w:tcW w:w="1134" w:type="dxa"/>
            <w:tcBorders>
              <w:top w:val="single" w:sz="4" w:space="0" w:color="auto"/>
              <w:left w:val="nil"/>
              <w:bottom w:val="nil"/>
              <w:right w:val="nil"/>
            </w:tcBorders>
            <w:vAlign w:val="bottom"/>
          </w:tcPr>
          <w:p w14:paraId="588E36DD" w14:textId="77777777" w:rsidR="00F01EC8" w:rsidRPr="00F01EC8" w:rsidRDefault="00F01EC8" w:rsidP="00F01EC8">
            <w:pPr>
              <w:pStyle w:val="NoSpacing"/>
              <w:spacing w:line="256" w:lineRule="auto"/>
              <w:jc w:val="right"/>
              <w:rPr>
                <w:i/>
                <w:sz w:val="20"/>
                <w:szCs w:val="20"/>
              </w:rPr>
            </w:pPr>
          </w:p>
        </w:tc>
      </w:tr>
      <w:tr w:rsidR="00F01EC8" w:rsidRPr="00F01EC8" w14:paraId="2AF421A2" w14:textId="77777777" w:rsidTr="00F01EC8">
        <w:tc>
          <w:tcPr>
            <w:tcW w:w="6350" w:type="dxa"/>
            <w:vAlign w:val="bottom"/>
            <w:hideMark/>
          </w:tcPr>
          <w:p w14:paraId="1F06A52F" w14:textId="77777777" w:rsidR="00F01EC8" w:rsidRPr="00F01EC8" w:rsidRDefault="00F01EC8">
            <w:pPr>
              <w:pStyle w:val="NoSpacing"/>
              <w:spacing w:line="256" w:lineRule="auto"/>
              <w:rPr>
                <w:b/>
                <w:sz w:val="20"/>
                <w:szCs w:val="20"/>
              </w:rPr>
            </w:pPr>
            <w:r w:rsidRPr="00F01EC8">
              <w:rPr>
                <w:b/>
                <w:sz w:val="20"/>
                <w:szCs w:val="20"/>
              </w:rPr>
              <w:t>Revenue</w:t>
            </w:r>
          </w:p>
        </w:tc>
        <w:tc>
          <w:tcPr>
            <w:tcW w:w="1134" w:type="dxa"/>
            <w:hideMark/>
          </w:tcPr>
          <w:p w14:paraId="5CFBC74D" w14:textId="77777777" w:rsidR="00F01EC8" w:rsidRPr="00F01EC8" w:rsidRDefault="00F01EC8" w:rsidP="00F01EC8">
            <w:pPr>
              <w:pStyle w:val="NoSpacing"/>
              <w:spacing w:line="256" w:lineRule="auto"/>
              <w:jc w:val="right"/>
              <w:rPr>
                <w:b/>
                <w:sz w:val="20"/>
                <w:szCs w:val="20"/>
              </w:rPr>
            </w:pPr>
            <w:r w:rsidRPr="00F01EC8">
              <w:rPr>
                <w:b/>
                <w:sz w:val="20"/>
                <w:szCs w:val="20"/>
              </w:rPr>
              <w:t>66.1</w:t>
            </w:r>
          </w:p>
        </w:tc>
        <w:tc>
          <w:tcPr>
            <w:tcW w:w="1134" w:type="dxa"/>
            <w:hideMark/>
          </w:tcPr>
          <w:p w14:paraId="4219BCE6" w14:textId="77777777" w:rsidR="00F01EC8" w:rsidRPr="00F01EC8" w:rsidRDefault="00F01EC8" w:rsidP="00F01EC8">
            <w:pPr>
              <w:pStyle w:val="NoSpacing"/>
              <w:spacing w:line="256" w:lineRule="auto"/>
              <w:jc w:val="right"/>
              <w:rPr>
                <w:b/>
                <w:sz w:val="20"/>
                <w:szCs w:val="20"/>
              </w:rPr>
            </w:pPr>
            <w:r w:rsidRPr="00F01EC8">
              <w:rPr>
                <w:b/>
                <w:sz w:val="20"/>
                <w:szCs w:val="20"/>
              </w:rPr>
              <w:t>58.3</w:t>
            </w:r>
          </w:p>
        </w:tc>
        <w:tc>
          <w:tcPr>
            <w:tcW w:w="1134" w:type="dxa"/>
            <w:vAlign w:val="bottom"/>
            <w:hideMark/>
          </w:tcPr>
          <w:p w14:paraId="70709AEB" w14:textId="77777777" w:rsidR="00F01EC8" w:rsidRPr="00F01EC8" w:rsidRDefault="00F01EC8" w:rsidP="00F01EC8">
            <w:pPr>
              <w:pStyle w:val="NoSpacing"/>
              <w:spacing w:line="256" w:lineRule="auto"/>
              <w:jc w:val="right"/>
              <w:rPr>
                <w:b/>
                <w:i/>
                <w:sz w:val="20"/>
                <w:szCs w:val="20"/>
              </w:rPr>
            </w:pPr>
            <w:r w:rsidRPr="00F01EC8">
              <w:rPr>
                <w:b/>
                <w:i/>
                <w:sz w:val="20"/>
                <w:szCs w:val="20"/>
              </w:rPr>
              <w:t>13.4%</w:t>
            </w:r>
          </w:p>
        </w:tc>
      </w:tr>
      <w:tr w:rsidR="00F01EC8" w:rsidRPr="00F01EC8" w14:paraId="11218962" w14:textId="77777777" w:rsidTr="00F01EC8">
        <w:tc>
          <w:tcPr>
            <w:tcW w:w="6350" w:type="dxa"/>
            <w:tcBorders>
              <w:top w:val="nil"/>
              <w:left w:val="nil"/>
              <w:bottom w:val="single" w:sz="4" w:space="0" w:color="auto"/>
              <w:right w:val="nil"/>
            </w:tcBorders>
            <w:vAlign w:val="bottom"/>
            <w:hideMark/>
          </w:tcPr>
          <w:p w14:paraId="72BB0BDB" w14:textId="77777777" w:rsidR="00F01EC8" w:rsidRPr="00F01EC8" w:rsidRDefault="00F01EC8">
            <w:pPr>
              <w:pStyle w:val="NoSpacing"/>
              <w:spacing w:line="256" w:lineRule="auto"/>
              <w:rPr>
                <w:sz w:val="20"/>
                <w:szCs w:val="20"/>
              </w:rPr>
            </w:pPr>
            <w:r w:rsidRPr="00F01EC8">
              <w:rPr>
                <w:sz w:val="20"/>
                <w:szCs w:val="20"/>
              </w:rPr>
              <w:t>Interest</w:t>
            </w:r>
          </w:p>
        </w:tc>
        <w:tc>
          <w:tcPr>
            <w:tcW w:w="1134" w:type="dxa"/>
            <w:tcBorders>
              <w:top w:val="nil"/>
              <w:left w:val="nil"/>
              <w:bottom w:val="single" w:sz="4" w:space="0" w:color="auto"/>
              <w:right w:val="nil"/>
            </w:tcBorders>
            <w:vAlign w:val="bottom"/>
            <w:hideMark/>
          </w:tcPr>
          <w:p w14:paraId="0CC2BFC1" w14:textId="77777777" w:rsidR="00F01EC8" w:rsidRPr="00F01EC8" w:rsidRDefault="00F01EC8" w:rsidP="00F01EC8">
            <w:pPr>
              <w:pStyle w:val="NoSpacing"/>
              <w:spacing w:line="256" w:lineRule="auto"/>
              <w:jc w:val="right"/>
              <w:rPr>
                <w:sz w:val="20"/>
                <w:szCs w:val="20"/>
              </w:rPr>
            </w:pPr>
            <w:r w:rsidRPr="00F01EC8">
              <w:rPr>
                <w:sz w:val="20"/>
                <w:szCs w:val="20"/>
              </w:rPr>
              <w:t>(13.3)</w:t>
            </w:r>
          </w:p>
        </w:tc>
        <w:tc>
          <w:tcPr>
            <w:tcW w:w="1134" w:type="dxa"/>
            <w:tcBorders>
              <w:top w:val="nil"/>
              <w:left w:val="nil"/>
              <w:bottom w:val="single" w:sz="4" w:space="0" w:color="auto"/>
              <w:right w:val="nil"/>
            </w:tcBorders>
            <w:vAlign w:val="bottom"/>
            <w:hideMark/>
          </w:tcPr>
          <w:p w14:paraId="264317DF" w14:textId="77777777" w:rsidR="00F01EC8" w:rsidRPr="00F01EC8" w:rsidRDefault="00F01EC8" w:rsidP="00F01EC8">
            <w:pPr>
              <w:pStyle w:val="NoSpacing"/>
              <w:spacing w:line="256" w:lineRule="auto"/>
              <w:jc w:val="right"/>
              <w:rPr>
                <w:sz w:val="20"/>
                <w:szCs w:val="20"/>
              </w:rPr>
            </w:pPr>
            <w:r w:rsidRPr="00F01EC8">
              <w:rPr>
                <w:sz w:val="20"/>
                <w:szCs w:val="20"/>
              </w:rPr>
              <w:t>(13.7)</w:t>
            </w:r>
          </w:p>
        </w:tc>
        <w:tc>
          <w:tcPr>
            <w:tcW w:w="1134" w:type="dxa"/>
            <w:tcBorders>
              <w:top w:val="nil"/>
              <w:left w:val="nil"/>
              <w:bottom w:val="single" w:sz="4" w:space="0" w:color="auto"/>
              <w:right w:val="nil"/>
            </w:tcBorders>
            <w:vAlign w:val="bottom"/>
            <w:hideMark/>
          </w:tcPr>
          <w:p w14:paraId="76F787CC" w14:textId="77777777" w:rsidR="00F01EC8" w:rsidRPr="00F01EC8" w:rsidRDefault="00F01EC8" w:rsidP="00F01EC8">
            <w:pPr>
              <w:pStyle w:val="NoSpacing"/>
              <w:spacing w:line="256" w:lineRule="auto"/>
              <w:jc w:val="right"/>
              <w:rPr>
                <w:i/>
                <w:sz w:val="20"/>
                <w:szCs w:val="20"/>
              </w:rPr>
            </w:pPr>
            <w:r w:rsidRPr="00F01EC8">
              <w:rPr>
                <w:i/>
                <w:sz w:val="20"/>
                <w:szCs w:val="20"/>
              </w:rPr>
              <w:t>2.9%</w:t>
            </w:r>
          </w:p>
        </w:tc>
      </w:tr>
      <w:tr w:rsidR="00F01EC8" w:rsidRPr="00F01EC8" w14:paraId="71C38A31" w14:textId="77777777" w:rsidTr="00F01EC8">
        <w:tc>
          <w:tcPr>
            <w:tcW w:w="6350" w:type="dxa"/>
            <w:tcBorders>
              <w:top w:val="single" w:sz="4" w:space="0" w:color="auto"/>
              <w:left w:val="nil"/>
              <w:bottom w:val="nil"/>
              <w:right w:val="nil"/>
            </w:tcBorders>
            <w:vAlign w:val="bottom"/>
            <w:hideMark/>
          </w:tcPr>
          <w:p w14:paraId="4EA03A36" w14:textId="77777777" w:rsidR="00F01EC8" w:rsidRPr="00F01EC8" w:rsidRDefault="00F01EC8">
            <w:pPr>
              <w:pStyle w:val="NoSpacing"/>
              <w:spacing w:line="256" w:lineRule="auto"/>
              <w:rPr>
                <w:b/>
                <w:sz w:val="20"/>
                <w:szCs w:val="20"/>
              </w:rPr>
            </w:pPr>
            <w:r w:rsidRPr="00F01EC8">
              <w:rPr>
                <w:b/>
                <w:sz w:val="20"/>
                <w:szCs w:val="20"/>
              </w:rPr>
              <w:t>Net interest margin</w:t>
            </w:r>
          </w:p>
        </w:tc>
        <w:tc>
          <w:tcPr>
            <w:tcW w:w="1134" w:type="dxa"/>
            <w:tcBorders>
              <w:top w:val="single" w:sz="4" w:space="0" w:color="auto"/>
              <w:left w:val="nil"/>
              <w:bottom w:val="nil"/>
              <w:right w:val="nil"/>
            </w:tcBorders>
            <w:vAlign w:val="bottom"/>
            <w:hideMark/>
          </w:tcPr>
          <w:p w14:paraId="73E5F9A3" w14:textId="77777777" w:rsidR="00F01EC8" w:rsidRPr="00F01EC8" w:rsidRDefault="00F01EC8" w:rsidP="00F01EC8">
            <w:pPr>
              <w:pStyle w:val="NoSpacing"/>
              <w:spacing w:line="256" w:lineRule="auto"/>
              <w:jc w:val="right"/>
              <w:rPr>
                <w:b/>
                <w:sz w:val="20"/>
                <w:szCs w:val="20"/>
              </w:rPr>
            </w:pPr>
            <w:r w:rsidRPr="00F01EC8">
              <w:rPr>
                <w:b/>
                <w:sz w:val="20"/>
                <w:szCs w:val="20"/>
              </w:rPr>
              <w:t>52.8</w:t>
            </w:r>
          </w:p>
        </w:tc>
        <w:tc>
          <w:tcPr>
            <w:tcW w:w="1134" w:type="dxa"/>
            <w:tcBorders>
              <w:top w:val="single" w:sz="4" w:space="0" w:color="auto"/>
              <w:left w:val="nil"/>
              <w:bottom w:val="nil"/>
              <w:right w:val="nil"/>
            </w:tcBorders>
            <w:vAlign w:val="bottom"/>
            <w:hideMark/>
          </w:tcPr>
          <w:p w14:paraId="58A6E21E" w14:textId="77777777" w:rsidR="00F01EC8" w:rsidRPr="00F01EC8" w:rsidRDefault="00F01EC8" w:rsidP="00F01EC8">
            <w:pPr>
              <w:pStyle w:val="NoSpacing"/>
              <w:spacing w:line="256" w:lineRule="auto"/>
              <w:jc w:val="right"/>
              <w:rPr>
                <w:b/>
                <w:sz w:val="20"/>
                <w:szCs w:val="20"/>
              </w:rPr>
            </w:pPr>
            <w:r w:rsidRPr="00F01EC8">
              <w:rPr>
                <w:b/>
                <w:sz w:val="20"/>
                <w:szCs w:val="20"/>
              </w:rPr>
              <w:t>44.6</w:t>
            </w:r>
          </w:p>
        </w:tc>
        <w:tc>
          <w:tcPr>
            <w:tcW w:w="1134" w:type="dxa"/>
            <w:tcBorders>
              <w:top w:val="single" w:sz="4" w:space="0" w:color="auto"/>
              <w:left w:val="nil"/>
              <w:bottom w:val="nil"/>
              <w:right w:val="nil"/>
            </w:tcBorders>
            <w:vAlign w:val="bottom"/>
            <w:hideMark/>
          </w:tcPr>
          <w:p w14:paraId="153D7523" w14:textId="77777777" w:rsidR="00F01EC8" w:rsidRPr="00F01EC8" w:rsidRDefault="00F01EC8" w:rsidP="00F01EC8">
            <w:pPr>
              <w:pStyle w:val="NoSpacing"/>
              <w:spacing w:line="256" w:lineRule="auto"/>
              <w:jc w:val="right"/>
              <w:rPr>
                <w:b/>
                <w:i/>
                <w:sz w:val="20"/>
                <w:szCs w:val="20"/>
              </w:rPr>
            </w:pPr>
            <w:r w:rsidRPr="00F01EC8">
              <w:rPr>
                <w:b/>
                <w:i/>
                <w:sz w:val="20"/>
                <w:szCs w:val="20"/>
              </w:rPr>
              <w:t>18.4%</w:t>
            </w:r>
          </w:p>
        </w:tc>
      </w:tr>
      <w:tr w:rsidR="00F01EC8" w:rsidRPr="00F01EC8" w14:paraId="38688BBD" w14:textId="77777777" w:rsidTr="00F01EC8">
        <w:tc>
          <w:tcPr>
            <w:tcW w:w="6350" w:type="dxa"/>
            <w:tcBorders>
              <w:top w:val="nil"/>
              <w:left w:val="nil"/>
              <w:bottom w:val="single" w:sz="4" w:space="0" w:color="auto"/>
              <w:right w:val="nil"/>
            </w:tcBorders>
            <w:vAlign w:val="bottom"/>
            <w:hideMark/>
          </w:tcPr>
          <w:p w14:paraId="759968C4" w14:textId="77777777" w:rsidR="00F01EC8" w:rsidRPr="00F01EC8" w:rsidRDefault="00F01EC8">
            <w:pPr>
              <w:pStyle w:val="NoSpacing"/>
              <w:spacing w:line="256" w:lineRule="auto"/>
              <w:rPr>
                <w:sz w:val="20"/>
                <w:szCs w:val="20"/>
              </w:rPr>
            </w:pPr>
            <w:r w:rsidRPr="00F01EC8">
              <w:rPr>
                <w:sz w:val="20"/>
                <w:szCs w:val="20"/>
              </w:rPr>
              <w:t>Impairment</w:t>
            </w:r>
          </w:p>
        </w:tc>
        <w:tc>
          <w:tcPr>
            <w:tcW w:w="1134" w:type="dxa"/>
            <w:tcBorders>
              <w:top w:val="nil"/>
              <w:left w:val="nil"/>
              <w:bottom w:val="single" w:sz="4" w:space="0" w:color="auto"/>
              <w:right w:val="nil"/>
            </w:tcBorders>
            <w:vAlign w:val="bottom"/>
            <w:hideMark/>
          </w:tcPr>
          <w:p w14:paraId="195527DC" w14:textId="77777777" w:rsidR="00F01EC8" w:rsidRPr="00F01EC8" w:rsidRDefault="00F01EC8" w:rsidP="00F01EC8">
            <w:pPr>
              <w:pStyle w:val="NoSpacing"/>
              <w:spacing w:line="256" w:lineRule="auto"/>
              <w:jc w:val="right"/>
              <w:rPr>
                <w:sz w:val="20"/>
                <w:szCs w:val="20"/>
              </w:rPr>
            </w:pPr>
            <w:r w:rsidRPr="00F01EC8">
              <w:rPr>
                <w:sz w:val="20"/>
                <w:szCs w:val="20"/>
              </w:rPr>
              <w:t>(37.5)</w:t>
            </w:r>
          </w:p>
        </w:tc>
        <w:tc>
          <w:tcPr>
            <w:tcW w:w="1134" w:type="dxa"/>
            <w:tcBorders>
              <w:top w:val="nil"/>
              <w:left w:val="nil"/>
              <w:bottom w:val="single" w:sz="4" w:space="0" w:color="auto"/>
              <w:right w:val="nil"/>
            </w:tcBorders>
            <w:vAlign w:val="bottom"/>
            <w:hideMark/>
          </w:tcPr>
          <w:p w14:paraId="72E6D1C0" w14:textId="77777777" w:rsidR="00F01EC8" w:rsidRPr="00F01EC8" w:rsidRDefault="00F01EC8" w:rsidP="00F01EC8">
            <w:pPr>
              <w:pStyle w:val="NoSpacing"/>
              <w:spacing w:line="256" w:lineRule="auto"/>
              <w:jc w:val="right"/>
              <w:rPr>
                <w:sz w:val="20"/>
                <w:szCs w:val="20"/>
              </w:rPr>
            </w:pPr>
            <w:r w:rsidRPr="00F01EC8">
              <w:rPr>
                <w:sz w:val="20"/>
                <w:szCs w:val="20"/>
              </w:rPr>
              <w:t>(17.5)</w:t>
            </w:r>
          </w:p>
        </w:tc>
        <w:tc>
          <w:tcPr>
            <w:tcW w:w="1134" w:type="dxa"/>
            <w:tcBorders>
              <w:top w:val="nil"/>
              <w:left w:val="nil"/>
              <w:bottom w:val="single" w:sz="4" w:space="0" w:color="auto"/>
              <w:right w:val="nil"/>
            </w:tcBorders>
            <w:vAlign w:val="bottom"/>
            <w:hideMark/>
          </w:tcPr>
          <w:p w14:paraId="1C09A0BF" w14:textId="77777777" w:rsidR="00F01EC8" w:rsidRPr="00F01EC8" w:rsidRDefault="00F01EC8" w:rsidP="00F01EC8">
            <w:pPr>
              <w:pStyle w:val="NoSpacing"/>
              <w:spacing w:line="256" w:lineRule="auto"/>
              <w:jc w:val="right"/>
              <w:rPr>
                <w:i/>
                <w:sz w:val="20"/>
                <w:szCs w:val="20"/>
              </w:rPr>
            </w:pPr>
            <w:r w:rsidRPr="00F01EC8">
              <w:rPr>
                <w:i/>
                <w:sz w:val="20"/>
                <w:szCs w:val="20"/>
              </w:rPr>
              <w:t>(114.3%)</w:t>
            </w:r>
          </w:p>
        </w:tc>
      </w:tr>
      <w:tr w:rsidR="00F01EC8" w:rsidRPr="00F01EC8" w14:paraId="5E3D5C8A" w14:textId="77777777" w:rsidTr="00F01EC8">
        <w:tc>
          <w:tcPr>
            <w:tcW w:w="6350" w:type="dxa"/>
            <w:tcBorders>
              <w:top w:val="single" w:sz="4" w:space="0" w:color="auto"/>
              <w:left w:val="nil"/>
              <w:bottom w:val="nil"/>
              <w:right w:val="nil"/>
            </w:tcBorders>
            <w:vAlign w:val="bottom"/>
            <w:hideMark/>
          </w:tcPr>
          <w:p w14:paraId="1DC5AF06" w14:textId="77777777" w:rsidR="00F01EC8" w:rsidRPr="00F01EC8" w:rsidRDefault="00F01EC8">
            <w:pPr>
              <w:pStyle w:val="NoSpacing"/>
              <w:spacing w:line="256" w:lineRule="auto"/>
              <w:rPr>
                <w:b/>
                <w:sz w:val="20"/>
                <w:szCs w:val="20"/>
              </w:rPr>
            </w:pPr>
            <w:r w:rsidRPr="00F01EC8">
              <w:rPr>
                <w:b/>
                <w:sz w:val="20"/>
                <w:szCs w:val="20"/>
              </w:rPr>
              <w:t>Risk-adjusted net interest margin</w:t>
            </w:r>
          </w:p>
        </w:tc>
        <w:tc>
          <w:tcPr>
            <w:tcW w:w="1134" w:type="dxa"/>
            <w:tcBorders>
              <w:top w:val="single" w:sz="4" w:space="0" w:color="auto"/>
              <w:left w:val="nil"/>
              <w:bottom w:val="nil"/>
              <w:right w:val="nil"/>
            </w:tcBorders>
            <w:vAlign w:val="bottom"/>
            <w:hideMark/>
          </w:tcPr>
          <w:p w14:paraId="43D83918" w14:textId="77777777" w:rsidR="00F01EC8" w:rsidRPr="00F01EC8" w:rsidRDefault="00F01EC8" w:rsidP="00F01EC8">
            <w:pPr>
              <w:pStyle w:val="NoSpacing"/>
              <w:spacing w:line="256" w:lineRule="auto"/>
              <w:jc w:val="right"/>
              <w:rPr>
                <w:b/>
                <w:sz w:val="20"/>
                <w:szCs w:val="20"/>
              </w:rPr>
            </w:pPr>
            <w:r w:rsidRPr="00F01EC8">
              <w:rPr>
                <w:b/>
                <w:sz w:val="20"/>
                <w:szCs w:val="20"/>
              </w:rPr>
              <w:t>15.3</w:t>
            </w:r>
          </w:p>
        </w:tc>
        <w:tc>
          <w:tcPr>
            <w:tcW w:w="1134" w:type="dxa"/>
            <w:tcBorders>
              <w:top w:val="single" w:sz="4" w:space="0" w:color="auto"/>
              <w:left w:val="nil"/>
              <w:bottom w:val="nil"/>
              <w:right w:val="nil"/>
            </w:tcBorders>
            <w:vAlign w:val="bottom"/>
            <w:hideMark/>
          </w:tcPr>
          <w:p w14:paraId="5913253C" w14:textId="77777777" w:rsidR="00F01EC8" w:rsidRPr="00F01EC8" w:rsidRDefault="00F01EC8" w:rsidP="00F01EC8">
            <w:pPr>
              <w:pStyle w:val="NoSpacing"/>
              <w:spacing w:line="256" w:lineRule="auto"/>
              <w:jc w:val="right"/>
              <w:rPr>
                <w:b/>
                <w:sz w:val="20"/>
                <w:szCs w:val="20"/>
              </w:rPr>
            </w:pPr>
            <w:r w:rsidRPr="00F01EC8">
              <w:rPr>
                <w:b/>
                <w:sz w:val="20"/>
                <w:szCs w:val="20"/>
              </w:rPr>
              <w:t>27.1</w:t>
            </w:r>
          </w:p>
        </w:tc>
        <w:tc>
          <w:tcPr>
            <w:tcW w:w="1134" w:type="dxa"/>
            <w:tcBorders>
              <w:top w:val="single" w:sz="4" w:space="0" w:color="auto"/>
              <w:left w:val="nil"/>
              <w:bottom w:val="nil"/>
              <w:right w:val="nil"/>
            </w:tcBorders>
            <w:vAlign w:val="bottom"/>
            <w:hideMark/>
          </w:tcPr>
          <w:p w14:paraId="4E884EA1" w14:textId="77777777" w:rsidR="00F01EC8" w:rsidRPr="00F01EC8" w:rsidRDefault="00F01EC8" w:rsidP="00F01EC8">
            <w:pPr>
              <w:pStyle w:val="NoSpacing"/>
              <w:spacing w:line="256" w:lineRule="auto"/>
              <w:jc w:val="right"/>
              <w:rPr>
                <w:b/>
                <w:i/>
                <w:sz w:val="20"/>
                <w:szCs w:val="20"/>
              </w:rPr>
            </w:pPr>
            <w:r w:rsidRPr="00F01EC8">
              <w:rPr>
                <w:b/>
                <w:i/>
                <w:sz w:val="20"/>
                <w:szCs w:val="20"/>
              </w:rPr>
              <w:t>(43.5%)</w:t>
            </w:r>
          </w:p>
        </w:tc>
      </w:tr>
      <w:tr w:rsidR="00F01EC8" w:rsidRPr="00F01EC8" w14:paraId="29519C86" w14:textId="77777777" w:rsidTr="00F01EC8">
        <w:tc>
          <w:tcPr>
            <w:tcW w:w="6350" w:type="dxa"/>
            <w:tcBorders>
              <w:top w:val="nil"/>
              <w:left w:val="nil"/>
              <w:bottom w:val="single" w:sz="4" w:space="0" w:color="auto"/>
              <w:right w:val="nil"/>
            </w:tcBorders>
            <w:vAlign w:val="bottom"/>
            <w:hideMark/>
          </w:tcPr>
          <w:p w14:paraId="7314031B" w14:textId="77777777" w:rsidR="00F01EC8" w:rsidRPr="00F01EC8" w:rsidRDefault="00F01EC8">
            <w:pPr>
              <w:pStyle w:val="NoSpacing"/>
              <w:spacing w:line="256" w:lineRule="auto"/>
              <w:rPr>
                <w:sz w:val="20"/>
                <w:szCs w:val="20"/>
              </w:rPr>
            </w:pPr>
            <w:r w:rsidRPr="00F01EC8">
              <w:rPr>
                <w:sz w:val="20"/>
                <w:szCs w:val="20"/>
              </w:rPr>
              <w:t>Costs</w:t>
            </w:r>
          </w:p>
        </w:tc>
        <w:tc>
          <w:tcPr>
            <w:tcW w:w="1134" w:type="dxa"/>
            <w:tcBorders>
              <w:top w:val="nil"/>
              <w:left w:val="nil"/>
              <w:bottom w:val="single" w:sz="4" w:space="0" w:color="auto"/>
              <w:right w:val="nil"/>
            </w:tcBorders>
            <w:vAlign w:val="bottom"/>
            <w:hideMark/>
          </w:tcPr>
          <w:p w14:paraId="61C80F01" w14:textId="77777777" w:rsidR="00F01EC8" w:rsidRPr="00F01EC8" w:rsidRDefault="00F01EC8" w:rsidP="00F01EC8">
            <w:pPr>
              <w:pStyle w:val="NoSpacing"/>
              <w:spacing w:line="256" w:lineRule="auto"/>
              <w:jc w:val="right"/>
              <w:rPr>
                <w:sz w:val="20"/>
                <w:szCs w:val="20"/>
              </w:rPr>
            </w:pPr>
            <w:r w:rsidRPr="00F01EC8">
              <w:rPr>
                <w:sz w:val="20"/>
                <w:szCs w:val="20"/>
              </w:rPr>
              <w:t>(12.9)</w:t>
            </w:r>
          </w:p>
        </w:tc>
        <w:tc>
          <w:tcPr>
            <w:tcW w:w="1134" w:type="dxa"/>
            <w:tcBorders>
              <w:top w:val="nil"/>
              <w:left w:val="nil"/>
              <w:bottom w:val="single" w:sz="4" w:space="0" w:color="auto"/>
              <w:right w:val="nil"/>
            </w:tcBorders>
            <w:vAlign w:val="bottom"/>
            <w:hideMark/>
          </w:tcPr>
          <w:p w14:paraId="52F47E4A" w14:textId="77777777" w:rsidR="00F01EC8" w:rsidRPr="00F01EC8" w:rsidRDefault="00F01EC8" w:rsidP="00F01EC8">
            <w:pPr>
              <w:pStyle w:val="NoSpacing"/>
              <w:spacing w:line="256" w:lineRule="auto"/>
              <w:jc w:val="right"/>
              <w:rPr>
                <w:sz w:val="20"/>
                <w:szCs w:val="20"/>
              </w:rPr>
            </w:pPr>
            <w:r w:rsidRPr="00F01EC8">
              <w:rPr>
                <w:sz w:val="20"/>
                <w:szCs w:val="20"/>
              </w:rPr>
              <w:t>(11.6)</w:t>
            </w:r>
          </w:p>
        </w:tc>
        <w:tc>
          <w:tcPr>
            <w:tcW w:w="1134" w:type="dxa"/>
            <w:tcBorders>
              <w:top w:val="nil"/>
              <w:left w:val="nil"/>
              <w:bottom w:val="single" w:sz="4" w:space="0" w:color="auto"/>
              <w:right w:val="nil"/>
            </w:tcBorders>
            <w:vAlign w:val="bottom"/>
            <w:hideMark/>
          </w:tcPr>
          <w:p w14:paraId="089DD06D" w14:textId="77777777" w:rsidR="00F01EC8" w:rsidRPr="00F01EC8" w:rsidRDefault="00F01EC8" w:rsidP="00F01EC8">
            <w:pPr>
              <w:pStyle w:val="NoSpacing"/>
              <w:spacing w:line="256" w:lineRule="auto"/>
              <w:jc w:val="right"/>
              <w:rPr>
                <w:i/>
                <w:sz w:val="20"/>
                <w:szCs w:val="20"/>
              </w:rPr>
            </w:pPr>
            <w:r w:rsidRPr="00F01EC8">
              <w:rPr>
                <w:i/>
                <w:sz w:val="20"/>
                <w:szCs w:val="20"/>
              </w:rPr>
              <w:t>(11.2%)</w:t>
            </w:r>
          </w:p>
        </w:tc>
      </w:tr>
      <w:tr w:rsidR="00F01EC8" w:rsidRPr="00F01EC8" w14:paraId="6A9AA54A" w14:textId="77777777" w:rsidTr="00F01EC8">
        <w:tc>
          <w:tcPr>
            <w:tcW w:w="6350" w:type="dxa"/>
            <w:tcBorders>
              <w:top w:val="single" w:sz="4" w:space="0" w:color="auto"/>
              <w:left w:val="nil"/>
              <w:bottom w:val="nil"/>
              <w:right w:val="nil"/>
            </w:tcBorders>
            <w:vAlign w:val="bottom"/>
            <w:hideMark/>
          </w:tcPr>
          <w:p w14:paraId="3AEE79A0" w14:textId="77777777" w:rsidR="00F01EC8" w:rsidRPr="00F01EC8" w:rsidRDefault="00F01EC8">
            <w:pPr>
              <w:pStyle w:val="NoSpacing"/>
              <w:spacing w:line="256" w:lineRule="auto"/>
              <w:rPr>
                <w:b/>
                <w:sz w:val="20"/>
                <w:szCs w:val="20"/>
              </w:rPr>
            </w:pPr>
            <w:r w:rsidRPr="00F01EC8">
              <w:rPr>
                <w:b/>
                <w:sz w:val="20"/>
                <w:szCs w:val="20"/>
              </w:rPr>
              <w:t>Adjusted profit before tax</w:t>
            </w:r>
            <w:r w:rsidRPr="00F01EC8">
              <w:rPr>
                <w:b/>
                <w:sz w:val="20"/>
                <w:szCs w:val="20"/>
                <w:vertAlign w:val="superscript"/>
              </w:rPr>
              <w:t>3</w:t>
            </w:r>
          </w:p>
        </w:tc>
        <w:tc>
          <w:tcPr>
            <w:tcW w:w="1134" w:type="dxa"/>
            <w:tcBorders>
              <w:top w:val="single" w:sz="4" w:space="0" w:color="auto"/>
              <w:left w:val="nil"/>
              <w:bottom w:val="nil"/>
              <w:right w:val="nil"/>
            </w:tcBorders>
            <w:vAlign w:val="bottom"/>
            <w:hideMark/>
          </w:tcPr>
          <w:p w14:paraId="69BCCAC3" w14:textId="77777777" w:rsidR="00F01EC8" w:rsidRPr="00F01EC8" w:rsidRDefault="00F01EC8" w:rsidP="00F01EC8">
            <w:pPr>
              <w:pStyle w:val="NoSpacing"/>
              <w:spacing w:line="256" w:lineRule="auto"/>
              <w:jc w:val="right"/>
              <w:rPr>
                <w:b/>
                <w:sz w:val="20"/>
                <w:szCs w:val="20"/>
              </w:rPr>
            </w:pPr>
            <w:r w:rsidRPr="00F01EC8">
              <w:rPr>
                <w:b/>
                <w:sz w:val="20"/>
                <w:szCs w:val="20"/>
              </w:rPr>
              <w:t>2.4</w:t>
            </w:r>
          </w:p>
        </w:tc>
        <w:tc>
          <w:tcPr>
            <w:tcW w:w="1134" w:type="dxa"/>
            <w:tcBorders>
              <w:top w:val="single" w:sz="4" w:space="0" w:color="auto"/>
              <w:left w:val="nil"/>
              <w:bottom w:val="nil"/>
              <w:right w:val="nil"/>
            </w:tcBorders>
            <w:vAlign w:val="bottom"/>
            <w:hideMark/>
          </w:tcPr>
          <w:p w14:paraId="0ABB7A4D" w14:textId="77777777" w:rsidR="00F01EC8" w:rsidRPr="00F01EC8" w:rsidRDefault="00F01EC8" w:rsidP="00F01EC8">
            <w:pPr>
              <w:pStyle w:val="NoSpacing"/>
              <w:spacing w:line="256" w:lineRule="auto"/>
              <w:jc w:val="right"/>
              <w:rPr>
                <w:b/>
                <w:sz w:val="20"/>
                <w:szCs w:val="20"/>
              </w:rPr>
            </w:pPr>
            <w:r w:rsidRPr="00F01EC8">
              <w:rPr>
                <w:b/>
                <w:sz w:val="20"/>
                <w:szCs w:val="20"/>
              </w:rPr>
              <w:t>15.5</w:t>
            </w:r>
          </w:p>
        </w:tc>
        <w:tc>
          <w:tcPr>
            <w:tcW w:w="1134" w:type="dxa"/>
            <w:tcBorders>
              <w:top w:val="single" w:sz="4" w:space="0" w:color="auto"/>
              <w:left w:val="nil"/>
              <w:bottom w:val="nil"/>
              <w:right w:val="nil"/>
            </w:tcBorders>
            <w:vAlign w:val="bottom"/>
            <w:hideMark/>
          </w:tcPr>
          <w:p w14:paraId="554F9F2F" w14:textId="77777777" w:rsidR="00F01EC8" w:rsidRPr="00F01EC8" w:rsidRDefault="00F01EC8" w:rsidP="00F01EC8">
            <w:pPr>
              <w:pStyle w:val="NoSpacing"/>
              <w:spacing w:line="256" w:lineRule="auto"/>
              <w:jc w:val="right"/>
              <w:rPr>
                <w:b/>
                <w:i/>
                <w:sz w:val="20"/>
                <w:szCs w:val="20"/>
              </w:rPr>
            </w:pPr>
            <w:r w:rsidRPr="00F01EC8">
              <w:rPr>
                <w:b/>
                <w:i/>
                <w:sz w:val="20"/>
                <w:szCs w:val="20"/>
              </w:rPr>
              <w:t>(84.5%)</w:t>
            </w:r>
          </w:p>
        </w:tc>
      </w:tr>
      <w:tr w:rsidR="00F01EC8" w:rsidRPr="00F01EC8" w14:paraId="46ECFAC8" w14:textId="77777777" w:rsidTr="00F01EC8">
        <w:tc>
          <w:tcPr>
            <w:tcW w:w="6350" w:type="dxa"/>
            <w:vAlign w:val="bottom"/>
          </w:tcPr>
          <w:p w14:paraId="49C3F235" w14:textId="77777777" w:rsidR="00F01EC8" w:rsidRPr="00F01EC8" w:rsidRDefault="00F01EC8">
            <w:pPr>
              <w:pStyle w:val="NoSpacing"/>
              <w:spacing w:line="256" w:lineRule="auto"/>
              <w:rPr>
                <w:sz w:val="20"/>
                <w:szCs w:val="20"/>
              </w:rPr>
            </w:pPr>
          </w:p>
        </w:tc>
        <w:tc>
          <w:tcPr>
            <w:tcW w:w="1134" w:type="dxa"/>
            <w:vAlign w:val="bottom"/>
          </w:tcPr>
          <w:p w14:paraId="7D2FAB6C" w14:textId="77777777" w:rsidR="00F01EC8" w:rsidRPr="00F01EC8" w:rsidRDefault="00F01EC8" w:rsidP="00F01EC8">
            <w:pPr>
              <w:pStyle w:val="NoSpacing"/>
              <w:spacing w:line="256" w:lineRule="auto"/>
              <w:jc w:val="right"/>
              <w:rPr>
                <w:sz w:val="20"/>
                <w:szCs w:val="20"/>
              </w:rPr>
            </w:pPr>
          </w:p>
        </w:tc>
        <w:tc>
          <w:tcPr>
            <w:tcW w:w="1134" w:type="dxa"/>
            <w:vAlign w:val="bottom"/>
          </w:tcPr>
          <w:p w14:paraId="28D05C13" w14:textId="77777777" w:rsidR="00F01EC8" w:rsidRPr="00F01EC8" w:rsidRDefault="00F01EC8" w:rsidP="00F01EC8">
            <w:pPr>
              <w:pStyle w:val="NoSpacing"/>
              <w:spacing w:line="256" w:lineRule="auto"/>
              <w:jc w:val="right"/>
              <w:rPr>
                <w:sz w:val="20"/>
                <w:szCs w:val="20"/>
              </w:rPr>
            </w:pPr>
          </w:p>
        </w:tc>
        <w:tc>
          <w:tcPr>
            <w:tcW w:w="1134" w:type="dxa"/>
            <w:vAlign w:val="bottom"/>
          </w:tcPr>
          <w:p w14:paraId="5C6918E5" w14:textId="77777777" w:rsidR="00F01EC8" w:rsidRPr="00F01EC8" w:rsidRDefault="00F01EC8" w:rsidP="00F01EC8">
            <w:pPr>
              <w:pStyle w:val="NoSpacing"/>
              <w:spacing w:line="256" w:lineRule="auto"/>
              <w:jc w:val="right"/>
              <w:rPr>
                <w:i/>
                <w:sz w:val="20"/>
                <w:szCs w:val="20"/>
              </w:rPr>
            </w:pPr>
          </w:p>
        </w:tc>
      </w:tr>
      <w:tr w:rsidR="00F01EC8" w:rsidRPr="00F01EC8" w14:paraId="7B74E837" w14:textId="77777777" w:rsidTr="00F01EC8">
        <w:tc>
          <w:tcPr>
            <w:tcW w:w="6350" w:type="dxa"/>
            <w:vAlign w:val="bottom"/>
            <w:hideMark/>
          </w:tcPr>
          <w:p w14:paraId="0C5DB296" w14:textId="77777777" w:rsidR="00F01EC8" w:rsidRPr="00F01EC8" w:rsidRDefault="00F01EC8">
            <w:pPr>
              <w:pStyle w:val="NoSpacing"/>
              <w:spacing w:line="256" w:lineRule="auto"/>
              <w:rPr>
                <w:sz w:val="20"/>
                <w:szCs w:val="20"/>
              </w:rPr>
            </w:pPr>
            <w:r w:rsidRPr="00F01EC8">
              <w:rPr>
                <w:sz w:val="20"/>
                <w:szCs w:val="20"/>
              </w:rPr>
              <w:t>Annualised revenue yield</w:t>
            </w:r>
            <w:r w:rsidRPr="00F01EC8">
              <w:rPr>
                <w:sz w:val="20"/>
                <w:szCs w:val="20"/>
                <w:vertAlign w:val="superscript"/>
              </w:rPr>
              <w:t>4</w:t>
            </w:r>
          </w:p>
        </w:tc>
        <w:tc>
          <w:tcPr>
            <w:tcW w:w="1134" w:type="dxa"/>
            <w:vAlign w:val="bottom"/>
            <w:hideMark/>
          </w:tcPr>
          <w:p w14:paraId="0198D580" w14:textId="77777777" w:rsidR="00F01EC8" w:rsidRPr="00F01EC8" w:rsidRDefault="00F01EC8" w:rsidP="00F01EC8">
            <w:pPr>
              <w:pStyle w:val="NoSpacing"/>
              <w:spacing w:line="256" w:lineRule="auto"/>
              <w:jc w:val="right"/>
              <w:rPr>
                <w:sz w:val="20"/>
                <w:szCs w:val="20"/>
              </w:rPr>
            </w:pPr>
            <w:r w:rsidRPr="00F01EC8">
              <w:rPr>
                <w:sz w:val="20"/>
                <w:szCs w:val="20"/>
              </w:rPr>
              <w:t>25.2%</w:t>
            </w:r>
          </w:p>
        </w:tc>
        <w:tc>
          <w:tcPr>
            <w:tcW w:w="1134" w:type="dxa"/>
            <w:vAlign w:val="bottom"/>
            <w:hideMark/>
          </w:tcPr>
          <w:p w14:paraId="5F433B08" w14:textId="77777777" w:rsidR="00F01EC8" w:rsidRPr="00F01EC8" w:rsidRDefault="00F01EC8" w:rsidP="00F01EC8">
            <w:pPr>
              <w:pStyle w:val="NoSpacing"/>
              <w:spacing w:line="256" w:lineRule="auto"/>
              <w:jc w:val="right"/>
              <w:rPr>
                <w:sz w:val="20"/>
                <w:szCs w:val="20"/>
              </w:rPr>
            </w:pPr>
            <w:r w:rsidRPr="00F01EC8">
              <w:rPr>
                <w:sz w:val="20"/>
                <w:szCs w:val="20"/>
              </w:rPr>
              <w:t>24.7%</w:t>
            </w:r>
          </w:p>
        </w:tc>
        <w:tc>
          <w:tcPr>
            <w:tcW w:w="1134" w:type="dxa"/>
            <w:vAlign w:val="bottom"/>
            <w:hideMark/>
          </w:tcPr>
          <w:p w14:paraId="313C9034" w14:textId="08AC65E7" w:rsidR="00F01EC8" w:rsidRPr="00F01EC8" w:rsidRDefault="00BC041D" w:rsidP="00F01EC8">
            <w:pPr>
              <w:pStyle w:val="NoSpacing"/>
              <w:spacing w:line="256" w:lineRule="auto"/>
              <w:jc w:val="right"/>
              <w:rPr>
                <w:i/>
                <w:sz w:val="20"/>
                <w:szCs w:val="20"/>
              </w:rPr>
            </w:pPr>
            <w:r>
              <w:rPr>
                <w:i/>
                <w:sz w:val="20"/>
                <w:szCs w:val="20"/>
              </w:rPr>
              <w:t>2.0</w:t>
            </w:r>
            <w:r w:rsidR="00F01EC8" w:rsidRPr="00F01EC8">
              <w:rPr>
                <w:i/>
                <w:sz w:val="20"/>
                <w:szCs w:val="20"/>
              </w:rPr>
              <w:t>%</w:t>
            </w:r>
          </w:p>
        </w:tc>
      </w:tr>
      <w:tr w:rsidR="00F01EC8" w:rsidRPr="00F01EC8" w14:paraId="271244C5" w14:textId="77777777" w:rsidTr="00F01EC8">
        <w:tc>
          <w:tcPr>
            <w:tcW w:w="6350" w:type="dxa"/>
            <w:vAlign w:val="bottom"/>
            <w:hideMark/>
          </w:tcPr>
          <w:p w14:paraId="4EFD7134" w14:textId="77777777" w:rsidR="00F01EC8" w:rsidRPr="00F01EC8" w:rsidRDefault="00F01EC8">
            <w:pPr>
              <w:pStyle w:val="NoSpacing"/>
              <w:spacing w:line="256" w:lineRule="auto"/>
              <w:rPr>
                <w:sz w:val="20"/>
                <w:szCs w:val="20"/>
              </w:rPr>
            </w:pPr>
            <w:r w:rsidRPr="00F01EC8">
              <w:rPr>
                <w:sz w:val="20"/>
                <w:szCs w:val="20"/>
              </w:rPr>
              <w:t>Annualised impairment rate</w:t>
            </w:r>
            <w:r w:rsidRPr="00F01EC8">
              <w:rPr>
                <w:sz w:val="20"/>
                <w:szCs w:val="20"/>
                <w:vertAlign w:val="superscript"/>
              </w:rPr>
              <w:t>5</w:t>
            </w:r>
          </w:p>
        </w:tc>
        <w:tc>
          <w:tcPr>
            <w:tcW w:w="1134" w:type="dxa"/>
            <w:vAlign w:val="bottom"/>
            <w:hideMark/>
          </w:tcPr>
          <w:p w14:paraId="6BECAF08" w14:textId="77777777" w:rsidR="00F01EC8" w:rsidRPr="00F01EC8" w:rsidRDefault="00F01EC8" w:rsidP="00F01EC8">
            <w:pPr>
              <w:pStyle w:val="NoSpacing"/>
              <w:spacing w:line="256" w:lineRule="auto"/>
              <w:jc w:val="right"/>
              <w:rPr>
                <w:sz w:val="20"/>
                <w:szCs w:val="20"/>
              </w:rPr>
            </w:pPr>
            <w:r w:rsidRPr="00F01EC8">
              <w:rPr>
                <w:sz w:val="20"/>
                <w:szCs w:val="20"/>
              </w:rPr>
              <w:t>12.0%</w:t>
            </w:r>
          </w:p>
        </w:tc>
        <w:tc>
          <w:tcPr>
            <w:tcW w:w="1134" w:type="dxa"/>
            <w:vAlign w:val="bottom"/>
            <w:hideMark/>
          </w:tcPr>
          <w:p w14:paraId="7203A942" w14:textId="77777777" w:rsidR="00F01EC8" w:rsidRPr="00F01EC8" w:rsidRDefault="00F01EC8" w:rsidP="00F01EC8">
            <w:pPr>
              <w:pStyle w:val="NoSpacing"/>
              <w:spacing w:line="256" w:lineRule="auto"/>
              <w:jc w:val="right"/>
              <w:rPr>
                <w:sz w:val="20"/>
                <w:szCs w:val="20"/>
              </w:rPr>
            </w:pPr>
            <w:r w:rsidRPr="00F01EC8">
              <w:rPr>
                <w:sz w:val="20"/>
                <w:szCs w:val="20"/>
              </w:rPr>
              <w:t>7.1%</w:t>
            </w:r>
          </w:p>
        </w:tc>
        <w:tc>
          <w:tcPr>
            <w:tcW w:w="1134" w:type="dxa"/>
            <w:vAlign w:val="bottom"/>
            <w:hideMark/>
          </w:tcPr>
          <w:p w14:paraId="118143CA" w14:textId="1D89F383" w:rsidR="00F01EC8" w:rsidRPr="00F01EC8" w:rsidRDefault="00BC041D" w:rsidP="00F01EC8">
            <w:pPr>
              <w:pStyle w:val="NoSpacing"/>
              <w:spacing w:line="256" w:lineRule="auto"/>
              <w:jc w:val="right"/>
              <w:rPr>
                <w:i/>
                <w:sz w:val="20"/>
                <w:szCs w:val="20"/>
              </w:rPr>
            </w:pPr>
            <w:r>
              <w:rPr>
                <w:i/>
                <w:sz w:val="20"/>
                <w:szCs w:val="20"/>
              </w:rPr>
              <w:t>70.3</w:t>
            </w:r>
            <w:r w:rsidR="00F01EC8" w:rsidRPr="00F01EC8">
              <w:rPr>
                <w:i/>
                <w:sz w:val="20"/>
                <w:szCs w:val="20"/>
              </w:rPr>
              <w:t>%</w:t>
            </w:r>
          </w:p>
        </w:tc>
      </w:tr>
      <w:tr w:rsidR="00F01EC8" w:rsidRPr="00F01EC8" w14:paraId="47D13DD2" w14:textId="77777777" w:rsidTr="00F01EC8">
        <w:tc>
          <w:tcPr>
            <w:tcW w:w="6350" w:type="dxa"/>
            <w:vAlign w:val="bottom"/>
            <w:hideMark/>
          </w:tcPr>
          <w:p w14:paraId="02E50FBD" w14:textId="77777777" w:rsidR="00F01EC8" w:rsidRPr="00F01EC8" w:rsidRDefault="00F01EC8">
            <w:pPr>
              <w:pStyle w:val="NoSpacing"/>
              <w:spacing w:line="256" w:lineRule="auto"/>
              <w:rPr>
                <w:sz w:val="20"/>
                <w:szCs w:val="20"/>
              </w:rPr>
            </w:pPr>
            <w:r w:rsidRPr="00F01EC8">
              <w:rPr>
                <w:sz w:val="20"/>
                <w:szCs w:val="20"/>
              </w:rPr>
              <w:t>Annualised return on assets</w:t>
            </w:r>
            <w:r w:rsidRPr="00F01EC8">
              <w:rPr>
                <w:sz w:val="20"/>
                <w:szCs w:val="20"/>
                <w:vertAlign w:val="superscript"/>
              </w:rPr>
              <w:t>6</w:t>
            </w:r>
          </w:p>
        </w:tc>
        <w:tc>
          <w:tcPr>
            <w:tcW w:w="1134" w:type="dxa"/>
            <w:vAlign w:val="bottom"/>
            <w:hideMark/>
          </w:tcPr>
          <w:p w14:paraId="289974CB" w14:textId="77777777" w:rsidR="00F01EC8" w:rsidRPr="00F01EC8" w:rsidRDefault="00F01EC8" w:rsidP="00F01EC8">
            <w:pPr>
              <w:pStyle w:val="NoSpacing"/>
              <w:spacing w:line="256" w:lineRule="auto"/>
              <w:jc w:val="right"/>
              <w:rPr>
                <w:sz w:val="20"/>
                <w:szCs w:val="20"/>
              </w:rPr>
            </w:pPr>
            <w:r w:rsidRPr="00F01EC8">
              <w:rPr>
                <w:sz w:val="20"/>
                <w:szCs w:val="20"/>
              </w:rPr>
              <w:t>8.9%</w:t>
            </w:r>
          </w:p>
        </w:tc>
        <w:tc>
          <w:tcPr>
            <w:tcW w:w="1134" w:type="dxa"/>
            <w:vAlign w:val="bottom"/>
            <w:hideMark/>
          </w:tcPr>
          <w:p w14:paraId="22224CE4" w14:textId="77777777" w:rsidR="00F01EC8" w:rsidRPr="00F01EC8" w:rsidRDefault="00F01EC8" w:rsidP="00F01EC8">
            <w:pPr>
              <w:pStyle w:val="NoSpacing"/>
              <w:spacing w:line="256" w:lineRule="auto"/>
              <w:jc w:val="right"/>
              <w:rPr>
                <w:sz w:val="20"/>
                <w:szCs w:val="20"/>
              </w:rPr>
            </w:pPr>
            <w:r w:rsidRPr="00F01EC8">
              <w:rPr>
                <w:sz w:val="20"/>
                <w:szCs w:val="20"/>
              </w:rPr>
              <w:t>10.9%</w:t>
            </w:r>
          </w:p>
        </w:tc>
        <w:tc>
          <w:tcPr>
            <w:tcW w:w="1134" w:type="dxa"/>
            <w:vAlign w:val="bottom"/>
            <w:hideMark/>
          </w:tcPr>
          <w:p w14:paraId="18EC99B4" w14:textId="707D60DF" w:rsidR="00F01EC8" w:rsidRPr="00F01EC8" w:rsidRDefault="00F01EC8" w:rsidP="00F01EC8">
            <w:pPr>
              <w:pStyle w:val="NoSpacing"/>
              <w:spacing w:line="256" w:lineRule="auto"/>
              <w:jc w:val="right"/>
              <w:rPr>
                <w:i/>
                <w:sz w:val="20"/>
                <w:szCs w:val="20"/>
              </w:rPr>
            </w:pPr>
            <w:r w:rsidRPr="00F01EC8">
              <w:rPr>
                <w:i/>
                <w:sz w:val="20"/>
                <w:szCs w:val="20"/>
              </w:rPr>
              <w:t>(</w:t>
            </w:r>
            <w:r w:rsidR="00BC041D">
              <w:rPr>
                <w:i/>
                <w:sz w:val="20"/>
                <w:szCs w:val="20"/>
              </w:rPr>
              <w:t>18.3</w:t>
            </w:r>
            <w:r w:rsidRPr="00F01EC8">
              <w:rPr>
                <w:i/>
                <w:sz w:val="20"/>
                <w:szCs w:val="20"/>
              </w:rPr>
              <w:t>%)</w:t>
            </w:r>
          </w:p>
        </w:tc>
      </w:tr>
      <w:tr w:rsidR="00F01EC8" w:rsidRPr="00F01EC8" w14:paraId="63CC9A52" w14:textId="77777777" w:rsidTr="00F01EC8">
        <w:tc>
          <w:tcPr>
            <w:tcW w:w="6350" w:type="dxa"/>
            <w:vAlign w:val="bottom"/>
          </w:tcPr>
          <w:p w14:paraId="413D7A4E" w14:textId="77777777" w:rsidR="00F01EC8" w:rsidRPr="00F01EC8" w:rsidRDefault="00F01EC8">
            <w:pPr>
              <w:pStyle w:val="NoSpacing"/>
              <w:spacing w:line="256" w:lineRule="auto"/>
              <w:rPr>
                <w:sz w:val="20"/>
                <w:szCs w:val="20"/>
              </w:rPr>
            </w:pPr>
          </w:p>
        </w:tc>
        <w:tc>
          <w:tcPr>
            <w:tcW w:w="1134" w:type="dxa"/>
            <w:vAlign w:val="bottom"/>
          </w:tcPr>
          <w:p w14:paraId="6E89D415" w14:textId="77777777" w:rsidR="00F01EC8" w:rsidRPr="00F01EC8" w:rsidRDefault="00F01EC8" w:rsidP="00F01EC8">
            <w:pPr>
              <w:pStyle w:val="NoSpacing"/>
              <w:spacing w:line="256" w:lineRule="auto"/>
              <w:jc w:val="right"/>
              <w:rPr>
                <w:sz w:val="20"/>
                <w:szCs w:val="20"/>
              </w:rPr>
            </w:pPr>
          </w:p>
        </w:tc>
        <w:tc>
          <w:tcPr>
            <w:tcW w:w="1134" w:type="dxa"/>
            <w:vAlign w:val="bottom"/>
          </w:tcPr>
          <w:p w14:paraId="389A09FD" w14:textId="77777777" w:rsidR="00F01EC8" w:rsidRPr="00F01EC8" w:rsidRDefault="00F01EC8" w:rsidP="00F01EC8">
            <w:pPr>
              <w:pStyle w:val="NoSpacing"/>
              <w:spacing w:line="256" w:lineRule="auto"/>
              <w:jc w:val="right"/>
              <w:rPr>
                <w:sz w:val="20"/>
                <w:szCs w:val="20"/>
              </w:rPr>
            </w:pPr>
          </w:p>
        </w:tc>
        <w:tc>
          <w:tcPr>
            <w:tcW w:w="1134" w:type="dxa"/>
            <w:vAlign w:val="bottom"/>
          </w:tcPr>
          <w:p w14:paraId="087DF92B" w14:textId="77777777" w:rsidR="00F01EC8" w:rsidRPr="00F01EC8" w:rsidRDefault="00F01EC8" w:rsidP="00F01EC8">
            <w:pPr>
              <w:pStyle w:val="NoSpacing"/>
              <w:spacing w:line="256" w:lineRule="auto"/>
              <w:jc w:val="right"/>
              <w:rPr>
                <w:sz w:val="20"/>
                <w:szCs w:val="20"/>
              </w:rPr>
            </w:pPr>
          </w:p>
        </w:tc>
      </w:tr>
    </w:tbl>
    <w:p w14:paraId="3B49225E" w14:textId="77777777" w:rsidR="00F01EC8" w:rsidRPr="00F01EC8" w:rsidRDefault="00F01EC8" w:rsidP="00F01EC8">
      <w:pPr>
        <w:pStyle w:val="NoSpacing"/>
        <w:rPr>
          <w:sz w:val="20"/>
          <w:szCs w:val="20"/>
        </w:rPr>
      </w:pPr>
    </w:p>
    <w:p w14:paraId="7FB83D2C" w14:textId="77777777" w:rsidR="00F01EC8" w:rsidRPr="00F01EC8" w:rsidRDefault="00F01EC8" w:rsidP="00F01EC8">
      <w:pPr>
        <w:pStyle w:val="NoSpacing"/>
        <w:ind w:left="284" w:hanging="284"/>
        <w:jc w:val="both"/>
        <w:rPr>
          <w:i/>
          <w:sz w:val="20"/>
          <w:szCs w:val="20"/>
          <w:vertAlign w:val="superscript"/>
        </w:rPr>
      </w:pPr>
      <w:r w:rsidRPr="00F01EC8">
        <w:rPr>
          <w:i/>
          <w:sz w:val="20"/>
          <w:szCs w:val="20"/>
          <w:vertAlign w:val="superscript"/>
        </w:rPr>
        <w:t>1</w:t>
      </w:r>
      <w:r w:rsidRPr="00F01EC8">
        <w:rPr>
          <w:i/>
          <w:sz w:val="20"/>
          <w:szCs w:val="20"/>
          <w:vertAlign w:val="superscript"/>
        </w:rPr>
        <w:tab/>
      </w:r>
      <w:r w:rsidRPr="00F01EC8">
        <w:rPr>
          <w:i/>
          <w:sz w:val="20"/>
          <w:szCs w:val="20"/>
        </w:rPr>
        <w:t>The 2019 June comparatives have been restated to incorporate two changes in accounting policies reflected in the 2019 financial statements: (i) change in treatment of directly attributable deferred acquisition costs in Vanquis Bank; and (ii) changes in the recognition of revenue on credit impaired receivables and treatment of directly attributable acquisition costs in Moneybarn.</w:t>
      </w:r>
    </w:p>
    <w:p w14:paraId="5A0FB6B2"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2</w:t>
      </w:r>
      <w:r w:rsidRPr="00F01EC8">
        <w:rPr>
          <w:i/>
          <w:sz w:val="20"/>
          <w:szCs w:val="20"/>
        </w:rPr>
        <w:tab/>
        <w:t>Calculated as the average of month end receivables for the 6 months ended 30 June. 2019 is stated prior to the impact of the balance reduction adjustment of £1.8m in respect of the FCA investigation into affordability, forbearance and termination options.</w:t>
      </w:r>
    </w:p>
    <w:p w14:paraId="27E0B24B"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3</w:t>
      </w:r>
      <w:r w:rsidRPr="00F01EC8">
        <w:rPr>
          <w:i/>
          <w:sz w:val="20"/>
          <w:szCs w:val="20"/>
          <w:vertAlign w:val="superscript"/>
        </w:rPr>
        <w:tab/>
      </w:r>
      <w:r w:rsidRPr="00F01EC8">
        <w:rPr>
          <w:i/>
          <w:sz w:val="20"/>
          <w:szCs w:val="20"/>
        </w:rPr>
        <w:t>Adjusted profit before tax is stated before the amortisation of acquisition intangibles of £</w:t>
      </w:r>
      <w:r w:rsidRPr="00F01EC8">
        <w:rPr>
          <w:rFonts w:cstheme="minorHAnsi"/>
          <w:i/>
          <w:sz w:val="20"/>
          <w:szCs w:val="20"/>
        </w:rPr>
        <w:t>3.7</w:t>
      </w:r>
      <w:r w:rsidRPr="00F01EC8">
        <w:rPr>
          <w:i/>
          <w:sz w:val="20"/>
          <w:szCs w:val="20"/>
        </w:rPr>
        <w:t xml:space="preserve">m (2019: £3.7m).  </w:t>
      </w:r>
    </w:p>
    <w:p w14:paraId="7224A2BD"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4</w:t>
      </w:r>
      <w:r w:rsidRPr="00F01EC8">
        <w:rPr>
          <w:i/>
          <w:sz w:val="20"/>
          <w:szCs w:val="20"/>
        </w:rPr>
        <w:tab/>
        <w:t>Revenue as a percentage of average receivables for the 12 months ended 30 June.</w:t>
      </w:r>
    </w:p>
    <w:p w14:paraId="02840F0C"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5</w:t>
      </w:r>
      <w:r w:rsidRPr="00F01EC8">
        <w:rPr>
          <w:i/>
          <w:sz w:val="20"/>
          <w:szCs w:val="20"/>
          <w:vertAlign w:val="superscript"/>
        </w:rPr>
        <w:tab/>
      </w:r>
      <w:r w:rsidRPr="00F01EC8">
        <w:rPr>
          <w:i/>
          <w:sz w:val="20"/>
          <w:szCs w:val="20"/>
        </w:rPr>
        <w:t>Impairment as a percentage of average receivables for the 12 months ended 30 June.</w:t>
      </w:r>
    </w:p>
    <w:p w14:paraId="1F41DF82" w14:textId="77777777" w:rsidR="00F01EC8" w:rsidRPr="00F01EC8" w:rsidRDefault="00F01EC8" w:rsidP="00F01EC8">
      <w:pPr>
        <w:pStyle w:val="NoSpacing"/>
        <w:ind w:left="284" w:hanging="284"/>
        <w:jc w:val="both"/>
        <w:rPr>
          <w:i/>
          <w:sz w:val="20"/>
          <w:szCs w:val="20"/>
        </w:rPr>
      </w:pPr>
      <w:r w:rsidRPr="00F01EC8">
        <w:rPr>
          <w:i/>
          <w:sz w:val="20"/>
          <w:szCs w:val="20"/>
          <w:vertAlign w:val="superscript"/>
        </w:rPr>
        <w:t>6</w:t>
      </w:r>
      <w:r w:rsidRPr="00F01EC8">
        <w:rPr>
          <w:i/>
          <w:sz w:val="20"/>
          <w:szCs w:val="20"/>
          <w:vertAlign w:val="superscript"/>
        </w:rPr>
        <w:tab/>
      </w:r>
      <w:r w:rsidRPr="00F01EC8">
        <w:rPr>
          <w:i/>
          <w:sz w:val="20"/>
          <w:szCs w:val="20"/>
        </w:rPr>
        <w:t>Adjusted profit before interest after tax as a percentage of average receivables for the 12 months ended 30 June.</w:t>
      </w:r>
    </w:p>
    <w:p w14:paraId="3D282EC8" w14:textId="77777777" w:rsidR="00F01EC8" w:rsidRPr="00F01EC8" w:rsidRDefault="00F01EC8" w:rsidP="00F01EC8">
      <w:pPr>
        <w:pStyle w:val="NoSpacing"/>
        <w:ind w:left="284" w:hanging="284"/>
        <w:jc w:val="both"/>
        <w:rPr>
          <w:i/>
          <w:sz w:val="20"/>
          <w:szCs w:val="20"/>
        </w:rPr>
      </w:pPr>
    </w:p>
    <w:p w14:paraId="4997941C" w14:textId="1BD14BFB" w:rsidR="00F01EC8" w:rsidRPr="00F01EC8" w:rsidRDefault="00F01EC8" w:rsidP="00F01EC8">
      <w:pPr>
        <w:pStyle w:val="NoSpacing"/>
        <w:jc w:val="both"/>
        <w:rPr>
          <w:sz w:val="20"/>
          <w:szCs w:val="20"/>
        </w:rPr>
      </w:pPr>
      <w:bookmarkStart w:id="8" w:name="_Hlk48577619"/>
      <w:r w:rsidRPr="00F01EC8">
        <w:rPr>
          <w:sz w:val="20"/>
          <w:szCs w:val="20"/>
        </w:rPr>
        <w:t xml:space="preserve">In the five years since acquisition by Provident Financial, Moneybarn has become one of the largest suppliers of vehicle finance to underserved customers in the UK. The business has a strong track record, delivering high levels of growth and strong returns, and is in an excellent position to continue to deliver profitable growth in the medium term from existing and adjacent markets. For the first six months of the year, Moneybarn generated a profit before tax of £2.4m (H1’19: £15.5m), with the reduction driven by a significant increase in impairment. </w:t>
      </w:r>
    </w:p>
    <w:p w14:paraId="5719CDC3" w14:textId="77777777" w:rsidR="00F01EC8" w:rsidRPr="00F01EC8" w:rsidRDefault="00F01EC8" w:rsidP="00F01EC8">
      <w:pPr>
        <w:pStyle w:val="NoSpacing"/>
        <w:jc w:val="both"/>
        <w:rPr>
          <w:sz w:val="20"/>
          <w:szCs w:val="20"/>
        </w:rPr>
      </w:pPr>
    </w:p>
    <w:p w14:paraId="13F798A5" w14:textId="77777777" w:rsidR="00F01EC8" w:rsidRPr="00F01EC8" w:rsidRDefault="00F01EC8" w:rsidP="00F01EC8">
      <w:pPr>
        <w:pStyle w:val="NoSpacing"/>
        <w:jc w:val="both"/>
        <w:rPr>
          <w:sz w:val="20"/>
          <w:szCs w:val="20"/>
        </w:rPr>
      </w:pPr>
      <w:r w:rsidRPr="00F01EC8">
        <w:rPr>
          <w:sz w:val="20"/>
          <w:szCs w:val="20"/>
        </w:rPr>
        <w:t xml:space="preserve">Moneybarn was able to continue lending to its customers throughout the entire lockdown period thanks to actions taken at the outset to ensure that all customer facing colleagues were able to work remotely. Moneybarn’s contact centre is now back operating at close to full capacity thanks to working pattern changes, such as coordinated shifts and changes to working hours. As a result of remaining open, Moneybarn has consolidated and increased its market position and cemented its relationships with key introducers. </w:t>
      </w:r>
    </w:p>
    <w:p w14:paraId="1CA7AD83" w14:textId="77777777" w:rsidR="00F01EC8" w:rsidRPr="00F01EC8" w:rsidRDefault="00F01EC8" w:rsidP="00F01EC8">
      <w:pPr>
        <w:pStyle w:val="NoSpacing"/>
        <w:jc w:val="both"/>
        <w:rPr>
          <w:sz w:val="20"/>
          <w:szCs w:val="20"/>
        </w:rPr>
      </w:pPr>
    </w:p>
    <w:p w14:paraId="67B83D93" w14:textId="661A94F1" w:rsidR="00F01EC8" w:rsidRPr="00F01EC8" w:rsidRDefault="00F01EC8" w:rsidP="00F01EC8">
      <w:pPr>
        <w:pStyle w:val="NoSpacing"/>
        <w:jc w:val="both"/>
        <w:rPr>
          <w:sz w:val="20"/>
          <w:szCs w:val="20"/>
        </w:rPr>
      </w:pPr>
      <w:r w:rsidRPr="00F01EC8">
        <w:rPr>
          <w:sz w:val="20"/>
          <w:szCs w:val="20"/>
        </w:rPr>
        <w:t xml:space="preserve">New business volumes during January and February remained strong, and were consistent with 2019 growth trends, as were the first three weeks of March. For April, new business volumes fell significantly, before starting to recover in May mainly due to the fact that car sales outlets were initially closed. Despite tightening underwriting criteria during the period, which saw the Tier 3A category – the highest risk </w:t>
      </w:r>
      <w:r w:rsidR="000F6745">
        <w:rPr>
          <w:sz w:val="20"/>
          <w:szCs w:val="20"/>
        </w:rPr>
        <w:t>level</w:t>
      </w:r>
      <w:r w:rsidRPr="00F01EC8">
        <w:rPr>
          <w:sz w:val="20"/>
          <w:szCs w:val="20"/>
        </w:rPr>
        <w:t xml:space="preserve"> accept</w:t>
      </w:r>
      <w:r w:rsidR="000F6745">
        <w:rPr>
          <w:sz w:val="20"/>
          <w:szCs w:val="20"/>
        </w:rPr>
        <w:t>ed</w:t>
      </w:r>
      <w:r w:rsidRPr="00F01EC8">
        <w:rPr>
          <w:sz w:val="20"/>
          <w:szCs w:val="20"/>
        </w:rPr>
        <w:t xml:space="preserve"> – fall from c.17% to c.2%, new business volumes were encouraging in June with July seeing record levels of new business. One feature of the new business levels has been the migration of customers away from prime and near-prime lenders towards Moneybarn, i.e. we have started to see a change in risk appetite elsewhere in the sector. In addition, since lockdown began in the third week of March, </w:t>
      </w:r>
      <w:r w:rsidR="00DD6D48">
        <w:rPr>
          <w:sz w:val="20"/>
          <w:szCs w:val="20"/>
        </w:rPr>
        <w:t xml:space="preserve"> over </w:t>
      </w:r>
      <w:r w:rsidRPr="00F01EC8">
        <w:rPr>
          <w:sz w:val="20"/>
          <w:szCs w:val="20"/>
        </w:rPr>
        <w:t xml:space="preserve">40% of Moneybarn’s lending has been to people classified as keyworkers. Overall, customer numbers and receivables are up by around 10% since December to 82k and £529m, respectively. </w:t>
      </w:r>
    </w:p>
    <w:p w14:paraId="221F1914" w14:textId="77777777" w:rsidR="00F01EC8" w:rsidRPr="00F01EC8" w:rsidRDefault="00F01EC8" w:rsidP="00F01EC8">
      <w:pPr>
        <w:pStyle w:val="NoSpacing"/>
        <w:jc w:val="both"/>
        <w:rPr>
          <w:sz w:val="20"/>
          <w:szCs w:val="20"/>
        </w:rPr>
      </w:pPr>
    </w:p>
    <w:p w14:paraId="1E11E497" w14:textId="561ACC0A" w:rsidR="00F01EC8" w:rsidRPr="00F01EC8" w:rsidRDefault="00F01EC8" w:rsidP="00F01EC8">
      <w:pPr>
        <w:pStyle w:val="NoSpacing"/>
        <w:jc w:val="both"/>
        <w:rPr>
          <w:sz w:val="20"/>
          <w:szCs w:val="20"/>
        </w:rPr>
      </w:pPr>
      <w:r w:rsidRPr="00F01EC8">
        <w:rPr>
          <w:sz w:val="20"/>
          <w:szCs w:val="20"/>
        </w:rPr>
        <w:lastRenderedPageBreak/>
        <w:t xml:space="preserve">Moneybarn ended the period with 82k customers, representing an increase vs. H1’19 of 12k or 17%. This performance was in line with management’s expectations set at the beginning of the year and was achieved despite underwriting standards tightening during the period. Moneybarn wrote over 4,500 new </w:t>
      </w:r>
      <w:r w:rsidR="000F6745">
        <w:rPr>
          <w:sz w:val="20"/>
          <w:szCs w:val="20"/>
        </w:rPr>
        <w:t>loans</w:t>
      </w:r>
      <w:r w:rsidR="000F6745" w:rsidRPr="00F01EC8">
        <w:rPr>
          <w:sz w:val="20"/>
          <w:szCs w:val="20"/>
        </w:rPr>
        <w:t xml:space="preserve"> </w:t>
      </w:r>
      <w:r w:rsidR="000F6745">
        <w:rPr>
          <w:sz w:val="20"/>
          <w:szCs w:val="20"/>
        </w:rPr>
        <w:t>in July</w:t>
      </w:r>
      <w:r w:rsidRPr="00F01EC8">
        <w:rPr>
          <w:sz w:val="20"/>
          <w:szCs w:val="20"/>
        </w:rPr>
        <w:t xml:space="preserve"> representing record new business volumes for a single month. There is a clear underlying demand for quality used cars, especially within Moneybarn’s core market, driven by post-lockdown concerns around the use of public transport and prime- and near-prime providers pulling back from the market. </w:t>
      </w:r>
    </w:p>
    <w:p w14:paraId="2F7B43E8" w14:textId="77777777" w:rsidR="00F01EC8" w:rsidRPr="00F01EC8" w:rsidRDefault="00F01EC8" w:rsidP="00F01EC8">
      <w:pPr>
        <w:pStyle w:val="NoSpacing"/>
        <w:jc w:val="both"/>
        <w:rPr>
          <w:sz w:val="20"/>
          <w:szCs w:val="20"/>
        </w:rPr>
      </w:pPr>
    </w:p>
    <w:p w14:paraId="26E8E6F6" w14:textId="342D7A46" w:rsidR="00F01EC8" w:rsidRPr="00F01EC8" w:rsidRDefault="00F01EC8" w:rsidP="00F01EC8">
      <w:pPr>
        <w:pStyle w:val="NoSpacing"/>
        <w:jc w:val="both"/>
        <w:rPr>
          <w:sz w:val="20"/>
          <w:szCs w:val="20"/>
        </w:rPr>
      </w:pPr>
      <w:r w:rsidRPr="00F01EC8">
        <w:rPr>
          <w:sz w:val="20"/>
          <w:szCs w:val="20"/>
        </w:rPr>
        <w:t xml:space="preserve">At the end of June, receivables stood at £529.4m vs. £484.7m </w:t>
      </w:r>
      <w:r w:rsidR="00DD6D48">
        <w:rPr>
          <w:sz w:val="20"/>
          <w:szCs w:val="20"/>
        </w:rPr>
        <w:t xml:space="preserve">at H1’19 </w:t>
      </w:r>
      <w:r w:rsidRPr="00F01EC8">
        <w:rPr>
          <w:sz w:val="20"/>
          <w:szCs w:val="20"/>
        </w:rPr>
        <w:t xml:space="preserve">driven by better than anticipated new business volumes of 16k (H1’19: 20k), particularly towards the end of the period. In the context of the disruption that Covid-19 brought, and the knock-on impact to Moneybarn’s key introducers and underlying customer base, the new business performance is significantly ahead of internal plans. </w:t>
      </w:r>
    </w:p>
    <w:p w14:paraId="4FF13060" w14:textId="77777777" w:rsidR="00F01EC8" w:rsidRPr="00F01EC8" w:rsidRDefault="00F01EC8" w:rsidP="00F01EC8">
      <w:pPr>
        <w:pStyle w:val="NoSpacing"/>
        <w:rPr>
          <w:sz w:val="20"/>
          <w:szCs w:val="20"/>
        </w:rPr>
      </w:pPr>
    </w:p>
    <w:p w14:paraId="72D9B7E0" w14:textId="77777777" w:rsidR="00F01EC8" w:rsidRPr="00F01EC8" w:rsidRDefault="00F01EC8" w:rsidP="00F01EC8">
      <w:pPr>
        <w:pStyle w:val="NoSpacing"/>
        <w:jc w:val="both"/>
        <w:rPr>
          <w:sz w:val="20"/>
          <w:szCs w:val="20"/>
        </w:rPr>
      </w:pPr>
      <w:r w:rsidRPr="00F01EC8">
        <w:rPr>
          <w:sz w:val="20"/>
          <w:szCs w:val="20"/>
        </w:rPr>
        <w:t>As a result of the higher receivables base, revenues during H1’20 increased by 13.4% year-on-year to £66.1m (H1’19: £58.3m), in line with internal plans. The growth was partially offset by a reduction in higher risk lending during the period which brought the average APR lower. The resulting annualised revenue yield at the end of June was 25.2% vs. 24.7% in June 2019.</w:t>
      </w:r>
    </w:p>
    <w:p w14:paraId="257006E2" w14:textId="77777777" w:rsidR="00F01EC8" w:rsidRPr="00F01EC8" w:rsidRDefault="00F01EC8" w:rsidP="00F01EC8">
      <w:pPr>
        <w:pStyle w:val="NoSpacing"/>
        <w:jc w:val="both"/>
        <w:rPr>
          <w:sz w:val="20"/>
          <w:szCs w:val="20"/>
        </w:rPr>
      </w:pPr>
    </w:p>
    <w:p w14:paraId="55C4E557" w14:textId="77777777" w:rsidR="00F01EC8" w:rsidRPr="00F01EC8" w:rsidRDefault="00F01EC8" w:rsidP="00F01EC8">
      <w:pPr>
        <w:pStyle w:val="NoSpacing"/>
        <w:jc w:val="both"/>
        <w:rPr>
          <w:sz w:val="20"/>
          <w:szCs w:val="20"/>
        </w:rPr>
      </w:pPr>
      <w:r w:rsidRPr="00F01EC8">
        <w:rPr>
          <w:sz w:val="20"/>
          <w:szCs w:val="20"/>
        </w:rPr>
        <w:t xml:space="preserve">Impairment increased significantly during the period to £37.5m (H1’19: £17.5m) as a result of Covid-19 impacting arrears rates and an increase in provisions driven by a forecast deterioration in the macroeconomic environment. The annualised impairment rate increased from 7.1% in June 2019 to 12.0%. </w:t>
      </w:r>
    </w:p>
    <w:p w14:paraId="7D9F2141" w14:textId="77777777" w:rsidR="00F01EC8" w:rsidRPr="00F01EC8" w:rsidRDefault="00F01EC8" w:rsidP="00F01EC8">
      <w:pPr>
        <w:pStyle w:val="NoSpacing"/>
        <w:jc w:val="both"/>
        <w:rPr>
          <w:sz w:val="20"/>
          <w:szCs w:val="20"/>
        </w:rPr>
      </w:pPr>
    </w:p>
    <w:p w14:paraId="5CCBB4F8" w14:textId="5AF215EC" w:rsidR="00F01EC8" w:rsidRPr="00F01EC8" w:rsidRDefault="00F01EC8" w:rsidP="00F01EC8">
      <w:pPr>
        <w:pStyle w:val="NoSpacing"/>
        <w:jc w:val="both"/>
        <w:rPr>
          <w:sz w:val="20"/>
          <w:szCs w:val="20"/>
        </w:rPr>
      </w:pPr>
      <w:r w:rsidRPr="00F01EC8">
        <w:rPr>
          <w:sz w:val="20"/>
          <w:szCs w:val="20"/>
        </w:rPr>
        <w:t>As a result of the increased impairment rate, the risk-adjusted margin fell to 13.2% at the end of June vs. 1</w:t>
      </w:r>
      <w:r w:rsidR="00B35B8B">
        <w:rPr>
          <w:sz w:val="20"/>
          <w:szCs w:val="20"/>
        </w:rPr>
        <w:t>7.6</w:t>
      </w:r>
      <w:r w:rsidRPr="00F01EC8">
        <w:rPr>
          <w:sz w:val="20"/>
          <w:szCs w:val="20"/>
        </w:rPr>
        <w:t>% a year earlier. Moneybarn’s impairment rate continues to be impacted by higher provision amounts as the termination process remains challenging as the company is restricted in terms of its ability and its partners</w:t>
      </w:r>
      <w:r w:rsidR="00230548">
        <w:rPr>
          <w:sz w:val="20"/>
          <w:szCs w:val="20"/>
        </w:rPr>
        <w:t>’</w:t>
      </w:r>
      <w:r w:rsidRPr="00F01EC8">
        <w:rPr>
          <w:sz w:val="20"/>
          <w:szCs w:val="20"/>
        </w:rPr>
        <w:t xml:space="preserve"> ability to collect vehicles, a situation that is improving but unlikely to fully recover until October.</w:t>
      </w:r>
    </w:p>
    <w:p w14:paraId="0DEA7FC3" w14:textId="77777777" w:rsidR="00F01EC8" w:rsidRPr="00F01EC8" w:rsidRDefault="00F01EC8" w:rsidP="00F01EC8">
      <w:pPr>
        <w:pStyle w:val="NoSpacing"/>
        <w:jc w:val="both"/>
        <w:rPr>
          <w:sz w:val="20"/>
          <w:szCs w:val="20"/>
        </w:rPr>
      </w:pPr>
    </w:p>
    <w:p w14:paraId="7834245E" w14:textId="07ED3D77" w:rsidR="00F01EC8" w:rsidRPr="00F01EC8" w:rsidRDefault="00F01EC8" w:rsidP="00F01EC8">
      <w:pPr>
        <w:pStyle w:val="NoSpacing"/>
        <w:jc w:val="both"/>
        <w:rPr>
          <w:sz w:val="20"/>
          <w:szCs w:val="20"/>
        </w:rPr>
      </w:pPr>
      <w:r w:rsidRPr="00F01EC8">
        <w:rPr>
          <w:sz w:val="20"/>
          <w:szCs w:val="20"/>
        </w:rPr>
        <w:t>Moneybarn took a proactive approach to offering its customers a solution to ease any potential financial hardship they, or their households, might be experiencing. Before the FCA’s formal guidance, Moneybarn was offering its customers a payment holiday arrangement. Therefore, Moneybarn experienced an earlier take-up of such arrangements than the wider market. At its peak, the take-up of a payment holiday by Moneybarn customers was 27.5% of customers (or c.23k customers). Following the expiry of the first 3 month payment holiday the current live payment holiday number is around 5k customers</w:t>
      </w:r>
      <w:r w:rsidR="00EC11B0">
        <w:rPr>
          <w:sz w:val="20"/>
          <w:szCs w:val="20"/>
        </w:rPr>
        <w:t xml:space="preserve"> (c</w:t>
      </w:r>
      <w:r w:rsidR="004D55D9">
        <w:rPr>
          <w:sz w:val="20"/>
          <w:szCs w:val="20"/>
        </w:rPr>
        <w:t>.</w:t>
      </w:r>
      <w:r w:rsidR="00EC11B0">
        <w:rPr>
          <w:sz w:val="20"/>
          <w:szCs w:val="20"/>
        </w:rPr>
        <w:t>3.5%</w:t>
      </w:r>
      <w:r w:rsidR="00B35B8B">
        <w:rPr>
          <w:sz w:val="20"/>
          <w:szCs w:val="20"/>
        </w:rPr>
        <w:t>)</w:t>
      </w:r>
      <w:r w:rsidRPr="00F01EC8">
        <w:rPr>
          <w:sz w:val="20"/>
          <w:szCs w:val="20"/>
        </w:rPr>
        <w:t xml:space="preserve"> who have come off payment holidays, around a third then go on to miss a repayment, in line with internal expectations.</w:t>
      </w:r>
    </w:p>
    <w:p w14:paraId="036423C3" w14:textId="77777777" w:rsidR="00F01EC8" w:rsidRPr="00F01EC8" w:rsidRDefault="00F01EC8" w:rsidP="00F01EC8">
      <w:pPr>
        <w:pStyle w:val="NoSpacing"/>
        <w:jc w:val="both"/>
        <w:rPr>
          <w:sz w:val="20"/>
          <w:szCs w:val="20"/>
        </w:rPr>
      </w:pPr>
    </w:p>
    <w:p w14:paraId="33BC9BD3" w14:textId="5D127565" w:rsidR="00F01EC8" w:rsidRPr="00F01EC8" w:rsidRDefault="00F01EC8" w:rsidP="00F01EC8">
      <w:pPr>
        <w:pStyle w:val="NoSpacing"/>
        <w:jc w:val="both"/>
        <w:rPr>
          <w:sz w:val="20"/>
          <w:szCs w:val="20"/>
        </w:rPr>
      </w:pPr>
      <w:r w:rsidRPr="00F01EC8">
        <w:rPr>
          <w:sz w:val="20"/>
          <w:szCs w:val="20"/>
        </w:rPr>
        <w:t xml:space="preserve">Costs increased slightly in the period to £12.9m, from £11.6m last year, reflecting an increase in headcount, an increase in volume driven costs – such as credit bureau searches – and arrangements for working remotely. Interest costs are broadly flat year-on-year reflecting a lower cost of funding being offset by a higher receivables balance. </w:t>
      </w:r>
    </w:p>
    <w:p w14:paraId="65B2B907" w14:textId="77777777" w:rsidR="00F01EC8" w:rsidRPr="00F01EC8" w:rsidRDefault="00F01EC8" w:rsidP="00F01EC8">
      <w:pPr>
        <w:pStyle w:val="NoSpacing"/>
        <w:jc w:val="both"/>
        <w:rPr>
          <w:sz w:val="20"/>
          <w:szCs w:val="20"/>
        </w:rPr>
      </w:pPr>
    </w:p>
    <w:p w14:paraId="14713768" w14:textId="282E94C3" w:rsidR="00F01EC8" w:rsidRPr="00F01EC8" w:rsidRDefault="00F01EC8" w:rsidP="00F01EC8">
      <w:pPr>
        <w:pStyle w:val="NoSpacing"/>
        <w:jc w:val="both"/>
        <w:rPr>
          <w:sz w:val="20"/>
          <w:szCs w:val="20"/>
        </w:rPr>
      </w:pPr>
      <w:r w:rsidRPr="00F01EC8">
        <w:rPr>
          <w:sz w:val="20"/>
          <w:szCs w:val="20"/>
        </w:rPr>
        <w:t xml:space="preserve">After the period end, the FCA announced its intention to ban motor finance discretionary commission models, following a consultation in October 2019. This covers some arrangements whereby car retailers and motor finance brokers receive commission which is linked to the interest rate that customers pay which, in the eyes of the FCA, creates an incentive to sell more expensive credit to certain customers. Moneybarn has never employed this commission structure, </w:t>
      </w:r>
      <w:r w:rsidR="00E838F4">
        <w:rPr>
          <w:sz w:val="20"/>
          <w:szCs w:val="20"/>
        </w:rPr>
        <w:t>and pays</w:t>
      </w:r>
      <w:r w:rsidRPr="00F01EC8">
        <w:rPr>
          <w:sz w:val="20"/>
          <w:szCs w:val="20"/>
        </w:rPr>
        <w:t xml:space="preserve"> largely fixed </w:t>
      </w:r>
      <w:r w:rsidR="00E838F4">
        <w:rPr>
          <w:sz w:val="20"/>
          <w:szCs w:val="20"/>
        </w:rPr>
        <w:t xml:space="preserve">commissions </w:t>
      </w:r>
      <w:r w:rsidRPr="00F01EC8">
        <w:rPr>
          <w:sz w:val="20"/>
          <w:szCs w:val="20"/>
        </w:rPr>
        <w:t xml:space="preserve">except for very limited volume-related discounts to its larger introducers. </w:t>
      </w:r>
    </w:p>
    <w:p w14:paraId="56675FE8" w14:textId="77777777" w:rsidR="00F01EC8" w:rsidRPr="00F01EC8" w:rsidRDefault="00F01EC8" w:rsidP="00F01EC8">
      <w:pPr>
        <w:pStyle w:val="NoSpacing"/>
        <w:jc w:val="both"/>
        <w:rPr>
          <w:sz w:val="20"/>
          <w:szCs w:val="20"/>
        </w:rPr>
      </w:pPr>
      <w:r w:rsidRPr="00F01EC8">
        <w:rPr>
          <w:sz w:val="20"/>
          <w:szCs w:val="20"/>
        </w:rPr>
        <w:t xml:space="preserve"> </w:t>
      </w:r>
    </w:p>
    <w:bookmarkEnd w:id="8"/>
    <w:p w14:paraId="56D719ED" w14:textId="0710CFDE" w:rsidR="00F01EC8" w:rsidRPr="00F01EC8" w:rsidRDefault="00F01EC8" w:rsidP="00F01EC8">
      <w:pPr>
        <w:rPr>
          <w:rStyle w:val="Strong"/>
          <w:rFonts w:asciiTheme="minorHAnsi" w:hAnsiTheme="minorHAnsi"/>
          <w:sz w:val="20"/>
          <w:szCs w:val="20"/>
        </w:rPr>
      </w:pPr>
      <w:r w:rsidRPr="00F01EC8">
        <w:rPr>
          <w:rStyle w:val="Strong"/>
          <w:rFonts w:asciiTheme="minorHAnsi" w:hAnsiTheme="minorHAnsi"/>
          <w:sz w:val="20"/>
          <w:szCs w:val="20"/>
        </w:rPr>
        <w:t>Consumer Credit Division</w:t>
      </w:r>
    </w:p>
    <w:tbl>
      <w:tblPr>
        <w:tblW w:w="9667" w:type="dxa"/>
        <w:tblLayout w:type="fixed"/>
        <w:tblLook w:val="04A0" w:firstRow="1" w:lastRow="0" w:firstColumn="1" w:lastColumn="0" w:noHBand="0" w:noVBand="1"/>
      </w:tblPr>
      <w:tblGrid>
        <w:gridCol w:w="6123"/>
        <w:gridCol w:w="1181"/>
        <w:gridCol w:w="1181"/>
        <w:gridCol w:w="1182"/>
      </w:tblGrid>
      <w:tr w:rsidR="00F01EC8" w:rsidRPr="00F01EC8" w14:paraId="1E3005BE" w14:textId="77777777" w:rsidTr="00F01EC8">
        <w:tc>
          <w:tcPr>
            <w:tcW w:w="6123" w:type="dxa"/>
          </w:tcPr>
          <w:p w14:paraId="150A805A" w14:textId="77777777" w:rsidR="00F01EC8" w:rsidRPr="00F01EC8" w:rsidRDefault="00F01EC8">
            <w:pPr>
              <w:pStyle w:val="NoSpacing"/>
              <w:spacing w:line="256" w:lineRule="auto"/>
              <w:rPr>
                <w:sz w:val="20"/>
                <w:szCs w:val="20"/>
              </w:rPr>
            </w:pPr>
          </w:p>
        </w:tc>
        <w:tc>
          <w:tcPr>
            <w:tcW w:w="3544" w:type="dxa"/>
            <w:gridSpan w:val="3"/>
            <w:hideMark/>
          </w:tcPr>
          <w:p w14:paraId="4EEABBB6" w14:textId="77777777" w:rsidR="00F01EC8" w:rsidRPr="00F01EC8" w:rsidRDefault="00F01EC8">
            <w:pPr>
              <w:pStyle w:val="NoSpacing"/>
              <w:spacing w:line="256" w:lineRule="auto"/>
              <w:jc w:val="center"/>
              <w:rPr>
                <w:sz w:val="20"/>
                <w:szCs w:val="20"/>
              </w:rPr>
            </w:pPr>
            <w:r w:rsidRPr="00F01EC8">
              <w:rPr>
                <w:sz w:val="20"/>
                <w:szCs w:val="20"/>
              </w:rPr>
              <w:t>Six months ended 30 June</w:t>
            </w:r>
          </w:p>
        </w:tc>
      </w:tr>
      <w:tr w:rsidR="00F01EC8" w:rsidRPr="00F01EC8" w14:paraId="313C7433" w14:textId="77777777" w:rsidTr="00F01EC8">
        <w:tc>
          <w:tcPr>
            <w:tcW w:w="6123" w:type="dxa"/>
          </w:tcPr>
          <w:p w14:paraId="33590E95" w14:textId="77777777" w:rsidR="00F01EC8" w:rsidRPr="00F01EC8" w:rsidRDefault="00F01EC8">
            <w:pPr>
              <w:pStyle w:val="NoSpacing"/>
              <w:spacing w:line="256" w:lineRule="auto"/>
              <w:rPr>
                <w:sz w:val="20"/>
                <w:szCs w:val="20"/>
              </w:rPr>
            </w:pPr>
          </w:p>
        </w:tc>
        <w:tc>
          <w:tcPr>
            <w:tcW w:w="1181" w:type="dxa"/>
            <w:hideMark/>
          </w:tcPr>
          <w:p w14:paraId="7A914BAF" w14:textId="77777777" w:rsidR="00F01EC8" w:rsidRPr="00F01EC8" w:rsidRDefault="00F01EC8">
            <w:pPr>
              <w:pStyle w:val="NoSpacing"/>
              <w:spacing w:line="256" w:lineRule="auto"/>
              <w:jc w:val="center"/>
              <w:rPr>
                <w:sz w:val="20"/>
                <w:szCs w:val="20"/>
              </w:rPr>
            </w:pPr>
            <w:r w:rsidRPr="00F01EC8">
              <w:rPr>
                <w:sz w:val="20"/>
                <w:szCs w:val="20"/>
              </w:rPr>
              <w:t>2020</w:t>
            </w:r>
          </w:p>
        </w:tc>
        <w:tc>
          <w:tcPr>
            <w:tcW w:w="1181" w:type="dxa"/>
            <w:hideMark/>
          </w:tcPr>
          <w:p w14:paraId="33116572" w14:textId="5E8F4F1E" w:rsidR="00F01EC8" w:rsidRPr="00F01EC8" w:rsidRDefault="00F01EC8">
            <w:pPr>
              <w:pStyle w:val="NoSpacing"/>
              <w:spacing w:line="256" w:lineRule="auto"/>
              <w:jc w:val="center"/>
              <w:rPr>
                <w:sz w:val="20"/>
                <w:szCs w:val="20"/>
              </w:rPr>
            </w:pPr>
            <w:r w:rsidRPr="00F01EC8">
              <w:rPr>
                <w:sz w:val="20"/>
                <w:szCs w:val="20"/>
              </w:rPr>
              <w:t>2019</w:t>
            </w:r>
          </w:p>
        </w:tc>
        <w:tc>
          <w:tcPr>
            <w:tcW w:w="1182" w:type="dxa"/>
            <w:vMerge w:val="restart"/>
            <w:tcBorders>
              <w:top w:val="nil"/>
              <w:left w:val="nil"/>
              <w:bottom w:val="single" w:sz="4" w:space="0" w:color="auto"/>
              <w:right w:val="nil"/>
            </w:tcBorders>
            <w:vAlign w:val="center"/>
            <w:hideMark/>
          </w:tcPr>
          <w:p w14:paraId="3D6D9D68" w14:textId="77777777" w:rsidR="00F01EC8" w:rsidRPr="00F01EC8" w:rsidRDefault="00F01EC8">
            <w:pPr>
              <w:pStyle w:val="NoSpacing"/>
              <w:spacing w:line="256" w:lineRule="auto"/>
              <w:jc w:val="center"/>
              <w:rPr>
                <w:i/>
                <w:sz w:val="20"/>
                <w:szCs w:val="20"/>
              </w:rPr>
            </w:pPr>
            <w:r w:rsidRPr="00F01EC8">
              <w:rPr>
                <w:i/>
                <w:sz w:val="20"/>
                <w:szCs w:val="20"/>
              </w:rPr>
              <w:t>Change</w:t>
            </w:r>
          </w:p>
        </w:tc>
      </w:tr>
      <w:tr w:rsidR="00F01EC8" w:rsidRPr="00F01EC8" w14:paraId="62F9CC81" w14:textId="77777777" w:rsidTr="00F01EC8">
        <w:tc>
          <w:tcPr>
            <w:tcW w:w="6123" w:type="dxa"/>
          </w:tcPr>
          <w:p w14:paraId="7742A510" w14:textId="77777777" w:rsidR="00F01EC8" w:rsidRPr="00F01EC8" w:rsidRDefault="00F01EC8">
            <w:pPr>
              <w:pStyle w:val="NoSpacing"/>
              <w:spacing w:line="256" w:lineRule="auto"/>
              <w:rPr>
                <w:sz w:val="20"/>
                <w:szCs w:val="20"/>
              </w:rPr>
            </w:pPr>
          </w:p>
        </w:tc>
        <w:tc>
          <w:tcPr>
            <w:tcW w:w="1181" w:type="dxa"/>
            <w:tcBorders>
              <w:top w:val="nil"/>
              <w:left w:val="nil"/>
              <w:bottom w:val="single" w:sz="4" w:space="0" w:color="auto"/>
              <w:right w:val="nil"/>
            </w:tcBorders>
            <w:vAlign w:val="bottom"/>
            <w:hideMark/>
          </w:tcPr>
          <w:p w14:paraId="52C33D2A" w14:textId="77777777" w:rsidR="00F01EC8" w:rsidRPr="00F01EC8" w:rsidRDefault="00F01EC8">
            <w:pPr>
              <w:pStyle w:val="NoSpacing"/>
              <w:spacing w:line="256" w:lineRule="auto"/>
              <w:jc w:val="center"/>
              <w:rPr>
                <w:sz w:val="20"/>
                <w:szCs w:val="20"/>
              </w:rPr>
            </w:pPr>
            <w:r w:rsidRPr="00F01EC8">
              <w:rPr>
                <w:sz w:val="20"/>
                <w:szCs w:val="20"/>
              </w:rPr>
              <w:t>£m</w:t>
            </w:r>
          </w:p>
        </w:tc>
        <w:tc>
          <w:tcPr>
            <w:tcW w:w="1181" w:type="dxa"/>
            <w:tcBorders>
              <w:top w:val="nil"/>
              <w:left w:val="nil"/>
              <w:bottom w:val="single" w:sz="4" w:space="0" w:color="auto"/>
              <w:right w:val="nil"/>
            </w:tcBorders>
            <w:vAlign w:val="bottom"/>
            <w:hideMark/>
          </w:tcPr>
          <w:p w14:paraId="270E52E5" w14:textId="77777777" w:rsidR="00F01EC8" w:rsidRPr="00F01EC8" w:rsidRDefault="00F01EC8">
            <w:pPr>
              <w:pStyle w:val="NoSpacing"/>
              <w:spacing w:line="256" w:lineRule="auto"/>
              <w:jc w:val="center"/>
              <w:rPr>
                <w:sz w:val="20"/>
                <w:szCs w:val="20"/>
              </w:rPr>
            </w:pPr>
            <w:r w:rsidRPr="00F01EC8">
              <w:rPr>
                <w:sz w:val="20"/>
                <w:szCs w:val="20"/>
              </w:rPr>
              <w:t>£m</w:t>
            </w:r>
          </w:p>
        </w:tc>
        <w:tc>
          <w:tcPr>
            <w:tcW w:w="1182" w:type="dxa"/>
            <w:vMerge/>
            <w:tcBorders>
              <w:top w:val="nil"/>
              <w:left w:val="nil"/>
              <w:bottom w:val="single" w:sz="4" w:space="0" w:color="auto"/>
              <w:right w:val="nil"/>
            </w:tcBorders>
            <w:vAlign w:val="center"/>
            <w:hideMark/>
          </w:tcPr>
          <w:p w14:paraId="6B8EDE7A" w14:textId="77777777" w:rsidR="00F01EC8" w:rsidRPr="00F01EC8" w:rsidRDefault="00F01EC8">
            <w:pPr>
              <w:rPr>
                <w:rFonts w:asciiTheme="minorHAnsi" w:hAnsiTheme="minorHAnsi"/>
                <w:i/>
                <w:sz w:val="20"/>
                <w:szCs w:val="20"/>
                <w:lang w:eastAsia="en-US"/>
              </w:rPr>
            </w:pPr>
          </w:p>
        </w:tc>
      </w:tr>
      <w:tr w:rsidR="00F01EC8" w:rsidRPr="00F01EC8" w14:paraId="50425F0E" w14:textId="77777777" w:rsidTr="00F01EC8">
        <w:tc>
          <w:tcPr>
            <w:tcW w:w="6123" w:type="dxa"/>
          </w:tcPr>
          <w:p w14:paraId="24275724" w14:textId="77777777" w:rsidR="00F01EC8" w:rsidRPr="00F01EC8" w:rsidRDefault="00F01EC8">
            <w:pPr>
              <w:pStyle w:val="NoSpacing"/>
              <w:spacing w:line="256" w:lineRule="auto"/>
              <w:rPr>
                <w:sz w:val="20"/>
                <w:szCs w:val="20"/>
              </w:rPr>
            </w:pPr>
          </w:p>
        </w:tc>
        <w:tc>
          <w:tcPr>
            <w:tcW w:w="1181" w:type="dxa"/>
            <w:tcBorders>
              <w:top w:val="single" w:sz="4" w:space="0" w:color="auto"/>
              <w:left w:val="nil"/>
              <w:bottom w:val="nil"/>
              <w:right w:val="nil"/>
            </w:tcBorders>
            <w:vAlign w:val="bottom"/>
          </w:tcPr>
          <w:p w14:paraId="1446D799" w14:textId="77777777" w:rsidR="00F01EC8" w:rsidRPr="00F01EC8" w:rsidRDefault="00F01EC8">
            <w:pPr>
              <w:pStyle w:val="NoSpacing"/>
              <w:spacing w:line="256" w:lineRule="auto"/>
              <w:jc w:val="center"/>
              <w:rPr>
                <w:sz w:val="20"/>
                <w:szCs w:val="20"/>
              </w:rPr>
            </w:pPr>
          </w:p>
        </w:tc>
        <w:tc>
          <w:tcPr>
            <w:tcW w:w="1181" w:type="dxa"/>
            <w:tcBorders>
              <w:top w:val="single" w:sz="4" w:space="0" w:color="auto"/>
              <w:left w:val="nil"/>
              <w:bottom w:val="nil"/>
              <w:right w:val="nil"/>
            </w:tcBorders>
            <w:vAlign w:val="bottom"/>
          </w:tcPr>
          <w:p w14:paraId="7CC9C20C" w14:textId="77777777" w:rsidR="00F01EC8" w:rsidRPr="00F01EC8" w:rsidRDefault="00F01EC8">
            <w:pPr>
              <w:pStyle w:val="NoSpacing"/>
              <w:spacing w:line="256" w:lineRule="auto"/>
              <w:jc w:val="center"/>
              <w:rPr>
                <w:sz w:val="20"/>
                <w:szCs w:val="20"/>
              </w:rPr>
            </w:pPr>
          </w:p>
        </w:tc>
        <w:tc>
          <w:tcPr>
            <w:tcW w:w="1182" w:type="dxa"/>
            <w:tcBorders>
              <w:top w:val="single" w:sz="4" w:space="0" w:color="auto"/>
              <w:left w:val="nil"/>
              <w:bottom w:val="nil"/>
              <w:right w:val="nil"/>
            </w:tcBorders>
            <w:vAlign w:val="bottom"/>
          </w:tcPr>
          <w:p w14:paraId="632652C6" w14:textId="77777777" w:rsidR="00F01EC8" w:rsidRPr="00F01EC8" w:rsidRDefault="00F01EC8">
            <w:pPr>
              <w:pStyle w:val="NoSpacing"/>
              <w:spacing w:line="256" w:lineRule="auto"/>
              <w:jc w:val="center"/>
              <w:rPr>
                <w:i/>
                <w:sz w:val="20"/>
                <w:szCs w:val="20"/>
              </w:rPr>
            </w:pPr>
          </w:p>
        </w:tc>
      </w:tr>
      <w:tr w:rsidR="00F01EC8" w:rsidRPr="00F01EC8" w14:paraId="4BB7CB4C" w14:textId="77777777" w:rsidTr="00F01EC8">
        <w:tc>
          <w:tcPr>
            <w:tcW w:w="6123" w:type="dxa"/>
            <w:vAlign w:val="bottom"/>
            <w:hideMark/>
          </w:tcPr>
          <w:p w14:paraId="1D456FDC" w14:textId="77777777" w:rsidR="00F01EC8" w:rsidRPr="00F01EC8" w:rsidRDefault="00F01EC8">
            <w:pPr>
              <w:pStyle w:val="NoSpacing"/>
              <w:spacing w:line="256" w:lineRule="auto"/>
              <w:rPr>
                <w:sz w:val="20"/>
                <w:szCs w:val="20"/>
              </w:rPr>
            </w:pPr>
            <w:r w:rsidRPr="00F01EC8">
              <w:rPr>
                <w:sz w:val="20"/>
                <w:szCs w:val="20"/>
              </w:rPr>
              <w:t>Customer numbers ('000)</w:t>
            </w:r>
          </w:p>
        </w:tc>
        <w:tc>
          <w:tcPr>
            <w:tcW w:w="1181" w:type="dxa"/>
            <w:vAlign w:val="bottom"/>
            <w:hideMark/>
          </w:tcPr>
          <w:p w14:paraId="0BE10140" w14:textId="77777777" w:rsidR="00F01EC8" w:rsidRPr="00F01EC8" w:rsidRDefault="00F01EC8">
            <w:pPr>
              <w:pStyle w:val="NoSpacing"/>
              <w:spacing w:line="256" w:lineRule="auto"/>
              <w:jc w:val="center"/>
              <w:rPr>
                <w:sz w:val="20"/>
                <w:szCs w:val="20"/>
              </w:rPr>
            </w:pPr>
            <w:r w:rsidRPr="00F01EC8">
              <w:rPr>
                <w:sz w:val="20"/>
                <w:szCs w:val="20"/>
              </w:rPr>
              <w:t>379</w:t>
            </w:r>
          </w:p>
        </w:tc>
        <w:tc>
          <w:tcPr>
            <w:tcW w:w="1181" w:type="dxa"/>
            <w:vAlign w:val="bottom"/>
            <w:hideMark/>
          </w:tcPr>
          <w:p w14:paraId="51F99BD0" w14:textId="77777777" w:rsidR="00F01EC8" w:rsidRPr="00F01EC8" w:rsidRDefault="00F01EC8">
            <w:pPr>
              <w:pStyle w:val="NoSpacing"/>
              <w:spacing w:line="256" w:lineRule="auto"/>
              <w:jc w:val="center"/>
              <w:rPr>
                <w:sz w:val="20"/>
                <w:szCs w:val="20"/>
              </w:rPr>
            </w:pPr>
            <w:r w:rsidRPr="00F01EC8">
              <w:rPr>
                <w:sz w:val="20"/>
                <w:szCs w:val="20"/>
              </w:rPr>
              <w:t>531</w:t>
            </w:r>
          </w:p>
        </w:tc>
        <w:tc>
          <w:tcPr>
            <w:tcW w:w="1182" w:type="dxa"/>
            <w:vAlign w:val="bottom"/>
            <w:hideMark/>
          </w:tcPr>
          <w:p w14:paraId="6FDB50CD" w14:textId="2A3C85BD" w:rsidR="00F01EC8" w:rsidRPr="00F01EC8" w:rsidRDefault="00F01EC8">
            <w:pPr>
              <w:pStyle w:val="NoSpacing"/>
              <w:spacing w:line="256" w:lineRule="auto"/>
              <w:jc w:val="center"/>
              <w:rPr>
                <w:i/>
                <w:sz w:val="20"/>
                <w:szCs w:val="20"/>
              </w:rPr>
            </w:pPr>
            <w:r w:rsidRPr="00F01EC8">
              <w:rPr>
                <w:i/>
                <w:sz w:val="20"/>
                <w:szCs w:val="20"/>
              </w:rPr>
              <w:t>(28.</w:t>
            </w:r>
            <w:r w:rsidR="00230548">
              <w:rPr>
                <w:i/>
                <w:sz w:val="20"/>
                <w:szCs w:val="20"/>
              </w:rPr>
              <w:t>6</w:t>
            </w:r>
            <w:r w:rsidRPr="00F01EC8">
              <w:rPr>
                <w:i/>
                <w:sz w:val="20"/>
                <w:szCs w:val="20"/>
              </w:rPr>
              <w:t>%)</w:t>
            </w:r>
          </w:p>
        </w:tc>
      </w:tr>
      <w:tr w:rsidR="00F01EC8" w:rsidRPr="00F01EC8" w14:paraId="33B29DA1" w14:textId="77777777" w:rsidTr="00F01EC8">
        <w:tc>
          <w:tcPr>
            <w:tcW w:w="6123" w:type="dxa"/>
            <w:vAlign w:val="bottom"/>
            <w:hideMark/>
          </w:tcPr>
          <w:p w14:paraId="64FF0224" w14:textId="77777777" w:rsidR="00F01EC8" w:rsidRPr="00F01EC8" w:rsidRDefault="00F01EC8">
            <w:pPr>
              <w:pStyle w:val="NoSpacing"/>
              <w:spacing w:line="256" w:lineRule="auto"/>
              <w:rPr>
                <w:sz w:val="20"/>
                <w:szCs w:val="20"/>
              </w:rPr>
            </w:pPr>
            <w:r w:rsidRPr="00F01EC8">
              <w:rPr>
                <w:sz w:val="20"/>
                <w:szCs w:val="20"/>
              </w:rPr>
              <w:t>Period-end receivables</w:t>
            </w:r>
          </w:p>
        </w:tc>
        <w:tc>
          <w:tcPr>
            <w:tcW w:w="1181" w:type="dxa"/>
            <w:vAlign w:val="bottom"/>
            <w:hideMark/>
          </w:tcPr>
          <w:p w14:paraId="26020F9F" w14:textId="77777777" w:rsidR="00F01EC8" w:rsidRPr="00F01EC8" w:rsidRDefault="00F01EC8">
            <w:pPr>
              <w:pStyle w:val="NoSpacing"/>
              <w:spacing w:line="256" w:lineRule="auto"/>
              <w:jc w:val="center"/>
              <w:rPr>
                <w:sz w:val="20"/>
                <w:szCs w:val="20"/>
              </w:rPr>
            </w:pPr>
            <w:r w:rsidRPr="00F01EC8">
              <w:rPr>
                <w:sz w:val="20"/>
                <w:szCs w:val="20"/>
              </w:rPr>
              <w:t>146.9</w:t>
            </w:r>
          </w:p>
        </w:tc>
        <w:tc>
          <w:tcPr>
            <w:tcW w:w="1181" w:type="dxa"/>
            <w:vAlign w:val="bottom"/>
            <w:hideMark/>
          </w:tcPr>
          <w:p w14:paraId="381E19DC" w14:textId="77777777" w:rsidR="00F01EC8" w:rsidRPr="00F01EC8" w:rsidRDefault="00F01EC8">
            <w:pPr>
              <w:pStyle w:val="NoSpacing"/>
              <w:spacing w:line="256" w:lineRule="auto"/>
              <w:jc w:val="center"/>
              <w:rPr>
                <w:sz w:val="20"/>
                <w:szCs w:val="20"/>
              </w:rPr>
            </w:pPr>
            <w:r w:rsidRPr="00F01EC8">
              <w:rPr>
                <w:sz w:val="20"/>
                <w:szCs w:val="20"/>
              </w:rPr>
              <w:t>245.4</w:t>
            </w:r>
          </w:p>
        </w:tc>
        <w:tc>
          <w:tcPr>
            <w:tcW w:w="1182" w:type="dxa"/>
            <w:vAlign w:val="bottom"/>
            <w:hideMark/>
          </w:tcPr>
          <w:p w14:paraId="75D2D141" w14:textId="77777777" w:rsidR="00F01EC8" w:rsidRPr="00F01EC8" w:rsidRDefault="00F01EC8">
            <w:pPr>
              <w:pStyle w:val="NoSpacing"/>
              <w:spacing w:line="256" w:lineRule="auto"/>
              <w:jc w:val="center"/>
              <w:rPr>
                <w:i/>
                <w:sz w:val="20"/>
                <w:szCs w:val="20"/>
              </w:rPr>
            </w:pPr>
            <w:r w:rsidRPr="00F01EC8">
              <w:rPr>
                <w:i/>
                <w:sz w:val="20"/>
                <w:szCs w:val="20"/>
              </w:rPr>
              <w:t>(40.1%)</w:t>
            </w:r>
          </w:p>
        </w:tc>
      </w:tr>
      <w:tr w:rsidR="00F01EC8" w:rsidRPr="00F01EC8" w14:paraId="5A966C54" w14:textId="77777777" w:rsidTr="00F01EC8">
        <w:tc>
          <w:tcPr>
            <w:tcW w:w="6123" w:type="dxa"/>
            <w:tcBorders>
              <w:top w:val="nil"/>
              <w:left w:val="nil"/>
              <w:bottom w:val="single" w:sz="4" w:space="0" w:color="auto"/>
              <w:right w:val="nil"/>
            </w:tcBorders>
            <w:vAlign w:val="bottom"/>
            <w:hideMark/>
          </w:tcPr>
          <w:p w14:paraId="6655FC6F" w14:textId="3ADB10E8" w:rsidR="00F01EC8" w:rsidRPr="00F01EC8" w:rsidRDefault="00F01EC8">
            <w:pPr>
              <w:pStyle w:val="NoSpacing"/>
              <w:spacing w:line="256" w:lineRule="auto"/>
              <w:rPr>
                <w:sz w:val="20"/>
                <w:szCs w:val="20"/>
                <w:vertAlign w:val="superscript"/>
              </w:rPr>
            </w:pPr>
            <w:r w:rsidRPr="00F01EC8">
              <w:rPr>
                <w:sz w:val="20"/>
                <w:szCs w:val="20"/>
              </w:rPr>
              <w:t>Average receivables</w:t>
            </w:r>
            <w:r w:rsidR="00DD6D48">
              <w:rPr>
                <w:sz w:val="20"/>
                <w:szCs w:val="20"/>
                <w:vertAlign w:val="superscript"/>
              </w:rPr>
              <w:t>1</w:t>
            </w:r>
          </w:p>
        </w:tc>
        <w:tc>
          <w:tcPr>
            <w:tcW w:w="1181" w:type="dxa"/>
            <w:tcBorders>
              <w:top w:val="nil"/>
              <w:left w:val="nil"/>
              <w:bottom w:val="single" w:sz="4" w:space="0" w:color="auto"/>
              <w:right w:val="nil"/>
            </w:tcBorders>
            <w:vAlign w:val="bottom"/>
            <w:hideMark/>
          </w:tcPr>
          <w:p w14:paraId="0BC20B17" w14:textId="77777777" w:rsidR="00F01EC8" w:rsidRPr="00F01EC8" w:rsidRDefault="00F01EC8">
            <w:pPr>
              <w:pStyle w:val="NoSpacing"/>
              <w:spacing w:line="256" w:lineRule="auto"/>
              <w:jc w:val="center"/>
              <w:rPr>
                <w:sz w:val="20"/>
                <w:szCs w:val="20"/>
              </w:rPr>
            </w:pPr>
            <w:r w:rsidRPr="00F01EC8">
              <w:rPr>
                <w:sz w:val="20"/>
                <w:szCs w:val="20"/>
              </w:rPr>
              <w:t>191.2</w:t>
            </w:r>
          </w:p>
        </w:tc>
        <w:tc>
          <w:tcPr>
            <w:tcW w:w="1181" w:type="dxa"/>
            <w:tcBorders>
              <w:top w:val="nil"/>
              <w:left w:val="nil"/>
              <w:bottom w:val="single" w:sz="4" w:space="0" w:color="auto"/>
              <w:right w:val="nil"/>
            </w:tcBorders>
            <w:vAlign w:val="bottom"/>
            <w:hideMark/>
          </w:tcPr>
          <w:p w14:paraId="2E301FE3" w14:textId="77777777" w:rsidR="00F01EC8" w:rsidRPr="00F01EC8" w:rsidRDefault="00F01EC8">
            <w:pPr>
              <w:pStyle w:val="NoSpacing"/>
              <w:spacing w:line="256" w:lineRule="auto"/>
              <w:jc w:val="center"/>
              <w:rPr>
                <w:sz w:val="20"/>
                <w:szCs w:val="20"/>
              </w:rPr>
            </w:pPr>
            <w:r w:rsidRPr="00F01EC8">
              <w:rPr>
                <w:sz w:val="20"/>
                <w:szCs w:val="20"/>
              </w:rPr>
              <w:t>254.2</w:t>
            </w:r>
          </w:p>
        </w:tc>
        <w:tc>
          <w:tcPr>
            <w:tcW w:w="1182" w:type="dxa"/>
            <w:tcBorders>
              <w:top w:val="nil"/>
              <w:left w:val="nil"/>
              <w:bottom w:val="single" w:sz="4" w:space="0" w:color="auto"/>
              <w:right w:val="nil"/>
            </w:tcBorders>
            <w:vAlign w:val="bottom"/>
            <w:hideMark/>
          </w:tcPr>
          <w:p w14:paraId="07441997" w14:textId="2697BD17" w:rsidR="00F01EC8" w:rsidRPr="00F01EC8" w:rsidRDefault="00F01EC8">
            <w:pPr>
              <w:pStyle w:val="NoSpacing"/>
              <w:spacing w:line="256" w:lineRule="auto"/>
              <w:jc w:val="center"/>
              <w:rPr>
                <w:i/>
                <w:sz w:val="20"/>
                <w:szCs w:val="20"/>
              </w:rPr>
            </w:pPr>
            <w:r w:rsidRPr="00F01EC8">
              <w:rPr>
                <w:i/>
                <w:sz w:val="20"/>
                <w:szCs w:val="20"/>
              </w:rPr>
              <w:t>(24.</w:t>
            </w:r>
            <w:r w:rsidR="00230548">
              <w:rPr>
                <w:i/>
                <w:sz w:val="20"/>
                <w:szCs w:val="20"/>
              </w:rPr>
              <w:t>8</w:t>
            </w:r>
            <w:r w:rsidRPr="00F01EC8">
              <w:rPr>
                <w:i/>
                <w:sz w:val="20"/>
                <w:szCs w:val="20"/>
              </w:rPr>
              <w:t>%)</w:t>
            </w:r>
          </w:p>
        </w:tc>
      </w:tr>
      <w:tr w:rsidR="00F01EC8" w:rsidRPr="00F01EC8" w14:paraId="2CB65908" w14:textId="77777777" w:rsidTr="00F01EC8">
        <w:tc>
          <w:tcPr>
            <w:tcW w:w="6123" w:type="dxa"/>
            <w:tcBorders>
              <w:top w:val="single" w:sz="4" w:space="0" w:color="auto"/>
              <w:left w:val="nil"/>
              <w:bottom w:val="nil"/>
              <w:right w:val="nil"/>
            </w:tcBorders>
            <w:vAlign w:val="bottom"/>
          </w:tcPr>
          <w:p w14:paraId="57C6AE60" w14:textId="77777777" w:rsidR="00F01EC8" w:rsidRPr="00F01EC8" w:rsidRDefault="00F01EC8">
            <w:pPr>
              <w:pStyle w:val="NoSpacing"/>
              <w:spacing w:line="256" w:lineRule="auto"/>
              <w:rPr>
                <w:sz w:val="20"/>
                <w:szCs w:val="20"/>
              </w:rPr>
            </w:pPr>
          </w:p>
        </w:tc>
        <w:tc>
          <w:tcPr>
            <w:tcW w:w="1181" w:type="dxa"/>
            <w:tcBorders>
              <w:top w:val="single" w:sz="4" w:space="0" w:color="auto"/>
              <w:left w:val="nil"/>
              <w:bottom w:val="nil"/>
              <w:right w:val="nil"/>
            </w:tcBorders>
            <w:vAlign w:val="bottom"/>
          </w:tcPr>
          <w:p w14:paraId="7C1C8D3C" w14:textId="77777777" w:rsidR="00F01EC8" w:rsidRPr="00F01EC8" w:rsidRDefault="00F01EC8">
            <w:pPr>
              <w:pStyle w:val="NoSpacing"/>
              <w:spacing w:line="256" w:lineRule="auto"/>
              <w:jc w:val="center"/>
              <w:rPr>
                <w:sz w:val="20"/>
                <w:szCs w:val="20"/>
              </w:rPr>
            </w:pPr>
          </w:p>
        </w:tc>
        <w:tc>
          <w:tcPr>
            <w:tcW w:w="1181" w:type="dxa"/>
            <w:tcBorders>
              <w:top w:val="single" w:sz="4" w:space="0" w:color="auto"/>
              <w:left w:val="nil"/>
              <w:bottom w:val="nil"/>
              <w:right w:val="nil"/>
            </w:tcBorders>
            <w:vAlign w:val="bottom"/>
          </w:tcPr>
          <w:p w14:paraId="6E633A5E" w14:textId="77777777" w:rsidR="00F01EC8" w:rsidRPr="00F01EC8" w:rsidRDefault="00F01EC8">
            <w:pPr>
              <w:pStyle w:val="NoSpacing"/>
              <w:spacing w:line="256" w:lineRule="auto"/>
              <w:jc w:val="center"/>
              <w:rPr>
                <w:sz w:val="20"/>
                <w:szCs w:val="20"/>
              </w:rPr>
            </w:pPr>
          </w:p>
        </w:tc>
        <w:tc>
          <w:tcPr>
            <w:tcW w:w="1182" w:type="dxa"/>
            <w:tcBorders>
              <w:top w:val="single" w:sz="4" w:space="0" w:color="auto"/>
              <w:left w:val="nil"/>
              <w:bottom w:val="nil"/>
              <w:right w:val="nil"/>
            </w:tcBorders>
            <w:vAlign w:val="bottom"/>
          </w:tcPr>
          <w:p w14:paraId="6FC326D9" w14:textId="77777777" w:rsidR="00F01EC8" w:rsidRPr="00F01EC8" w:rsidRDefault="00F01EC8">
            <w:pPr>
              <w:pStyle w:val="NoSpacing"/>
              <w:spacing w:line="256" w:lineRule="auto"/>
              <w:jc w:val="center"/>
              <w:rPr>
                <w:i/>
                <w:sz w:val="20"/>
                <w:szCs w:val="20"/>
              </w:rPr>
            </w:pPr>
          </w:p>
        </w:tc>
      </w:tr>
      <w:tr w:rsidR="00F01EC8" w:rsidRPr="00F01EC8" w14:paraId="06D5303A" w14:textId="77777777" w:rsidTr="00F01EC8">
        <w:tc>
          <w:tcPr>
            <w:tcW w:w="6123" w:type="dxa"/>
            <w:vAlign w:val="bottom"/>
            <w:hideMark/>
          </w:tcPr>
          <w:p w14:paraId="6A8247AB" w14:textId="77777777" w:rsidR="00F01EC8" w:rsidRPr="00F01EC8" w:rsidRDefault="00F01EC8">
            <w:pPr>
              <w:pStyle w:val="NoSpacing"/>
              <w:spacing w:line="256" w:lineRule="auto"/>
              <w:rPr>
                <w:b/>
                <w:sz w:val="20"/>
                <w:szCs w:val="20"/>
              </w:rPr>
            </w:pPr>
            <w:r w:rsidRPr="00F01EC8">
              <w:rPr>
                <w:b/>
                <w:sz w:val="20"/>
                <w:szCs w:val="20"/>
              </w:rPr>
              <w:t>Revenue</w:t>
            </w:r>
          </w:p>
        </w:tc>
        <w:tc>
          <w:tcPr>
            <w:tcW w:w="1181" w:type="dxa"/>
            <w:vAlign w:val="bottom"/>
            <w:hideMark/>
          </w:tcPr>
          <w:p w14:paraId="23045B11" w14:textId="77777777" w:rsidR="00F01EC8" w:rsidRPr="00F01EC8" w:rsidRDefault="00F01EC8">
            <w:pPr>
              <w:pStyle w:val="NoSpacing"/>
              <w:spacing w:line="256" w:lineRule="auto"/>
              <w:jc w:val="center"/>
              <w:rPr>
                <w:b/>
                <w:sz w:val="20"/>
                <w:szCs w:val="20"/>
              </w:rPr>
            </w:pPr>
            <w:r w:rsidRPr="00F01EC8">
              <w:rPr>
                <w:rFonts w:cs="Arial"/>
                <w:b/>
                <w:sz w:val="20"/>
                <w:szCs w:val="20"/>
              </w:rPr>
              <w:t>118.4</w:t>
            </w:r>
          </w:p>
        </w:tc>
        <w:tc>
          <w:tcPr>
            <w:tcW w:w="1181" w:type="dxa"/>
            <w:vAlign w:val="bottom"/>
            <w:hideMark/>
          </w:tcPr>
          <w:p w14:paraId="79265CE2" w14:textId="77777777" w:rsidR="00F01EC8" w:rsidRPr="00F01EC8" w:rsidRDefault="00F01EC8">
            <w:pPr>
              <w:pStyle w:val="NoSpacing"/>
              <w:spacing w:line="256" w:lineRule="auto"/>
              <w:jc w:val="center"/>
              <w:rPr>
                <w:b/>
                <w:sz w:val="20"/>
                <w:szCs w:val="20"/>
              </w:rPr>
            </w:pPr>
            <w:r w:rsidRPr="00F01EC8">
              <w:rPr>
                <w:rFonts w:cs="Arial"/>
                <w:b/>
                <w:sz w:val="20"/>
                <w:szCs w:val="20"/>
              </w:rPr>
              <w:t>152.1</w:t>
            </w:r>
          </w:p>
        </w:tc>
        <w:tc>
          <w:tcPr>
            <w:tcW w:w="1182" w:type="dxa"/>
            <w:vAlign w:val="bottom"/>
            <w:hideMark/>
          </w:tcPr>
          <w:p w14:paraId="4FC655C4" w14:textId="77777777" w:rsidR="00F01EC8" w:rsidRPr="00F01EC8" w:rsidRDefault="00F01EC8">
            <w:pPr>
              <w:pStyle w:val="NoSpacing"/>
              <w:spacing w:line="256" w:lineRule="auto"/>
              <w:jc w:val="center"/>
              <w:rPr>
                <w:b/>
                <w:i/>
                <w:sz w:val="20"/>
                <w:szCs w:val="20"/>
              </w:rPr>
            </w:pPr>
            <w:r w:rsidRPr="00F01EC8">
              <w:rPr>
                <w:b/>
                <w:i/>
                <w:sz w:val="20"/>
                <w:szCs w:val="20"/>
              </w:rPr>
              <w:t>(22.2%)</w:t>
            </w:r>
          </w:p>
        </w:tc>
      </w:tr>
      <w:tr w:rsidR="00F01EC8" w:rsidRPr="00F01EC8" w14:paraId="647C817E" w14:textId="77777777" w:rsidTr="00F01EC8">
        <w:tc>
          <w:tcPr>
            <w:tcW w:w="6123" w:type="dxa"/>
            <w:tcBorders>
              <w:top w:val="nil"/>
              <w:left w:val="nil"/>
              <w:bottom w:val="single" w:sz="4" w:space="0" w:color="auto"/>
              <w:right w:val="nil"/>
            </w:tcBorders>
            <w:vAlign w:val="bottom"/>
            <w:hideMark/>
          </w:tcPr>
          <w:p w14:paraId="3BA7C363" w14:textId="77777777" w:rsidR="00F01EC8" w:rsidRPr="00F01EC8" w:rsidRDefault="00F01EC8">
            <w:pPr>
              <w:pStyle w:val="NoSpacing"/>
              <w:spacing w:line="256" w:lineRule="auto"/>
              <w:rPr>
                <w:sz w:val="20"/>
                <w:szCs w:val="20"/>
              </w:rPr>
            </w:pPr>
            <w:r w:rsidRPr="00F01EC8">
              <w:rPr>
                <w:sz w:val="20"/>
                <w:szCs w:val="20"/>
              </w:rPr>
              <w:t>Interest</w:t>
            </w:r>
          </w:p>
        </w:tc>
        <w:tc>
          <w:tcPr>
            <w:tcW w:w="1181" w:type="dxa"/>
            <w:tcBorders>
              <w:top w:val="nil"/>
              <w:left w:val="nil"/>
              <w:bottom w:val="single" w:sz="4" w:space="0" w:color="auto"/>
              <w:right w:val="nil"/>
            </w:tcBorders>
            <w:vAlign w:val="bottom"/>
            <w:hideMark/>
          </w:tcPr>
          <w:p w14:paraId="2DFF8E26" w14:textId="77777777" w:rsidR="00F01EC8" w:rsidRPr="00F01EC8" w:rsidRDefault="00F01EC8">
            <w:pPr>
              <w:pStyle w:val="NoSpacing"/>
              <w:spacing w:line="256" w:lineRule="auto"/>
              <w:jc w:val="center"/>
              <w:rPr>
                <w:sz w:val="20"/>
                <w:szCs w:val="20"/>
              </w:rPr>
            </w:pPr>
            <w:r w:rsidRPr="00F01EC8">
              <w:rPr>
                <w:rFonts w:cs="Arial"/>
                <w:sz w:val="20"/>
                <w:szCs w:val="20"/>
              </w:rPr>
              <w:t>(4.6)</w:t>
            </w:r>
          </w:p>
        </w:tc>
        <w:tc>
          <w:tcPr>
            <w:tcW w:w="1181" w:type="dxa"/>
            <w:tcBorders>
              <w:top w:val="nil"/>
              <w:left w:val="nil"/>
              <w:bottom w:val="single" w:sz="4" w:space="0" w:color="auto"/>
              <w:right w:val="nil"/>
            </w:tcBorders>
            <w:vAlign w:val="bottom"/>
            <w:hideMark/>
          </w:tcPr>
          <w:p w14:paraId="3FFD11D6" w14:textId="77777777" w:rsidR="00F01EC8" w:rsidRPr="00F01EC8" w:rsidRDefault="00F01EC8">
            <w:pPr>
              <w:pStyle w:val="NoSpacing"/>
              <w:spacing w:line="256" w:lineRule="auto"/>
              <w:jc w:val="center"/>
              <w:rPr>
                <w:sz w:val="20"/>
                <w:szCs w:val="20"/>
              </w:rPr>
            </w:pPr>
            <w:r w:rsidRPr="00F01EC8">
              <w:rPr>
                <w:rFonts w:cs="Arial"/>
                <w:sz w:val="20"/>
                <w:szCs w:val="20"/>
              </w:rPr>
              <w:t>(5.1)</w:t>
            </w:r>
          </w:p>
        </w:tc>
        <w:tc>
          <w:tcPr>
            <w:tcW w:w="1182" w:type="dxa"/>
            <w:tcBorders>
              <w:top w:val="nil"/>
              <w:left w:val="nil"/>
              <w:bottom w:val="single" w:sz="4" w:space="0" w:color="auto"/>
              <w:right w:val="nil"/>
            </w:tcBorders>
            <w:vAlign w:val="bottom"/>
            <w:hideMark/>
          </w:tcPr>
          <w:p w14:paraId="6AA203E6" w14:textId="77777777" w:rsidR="00F01EC8" w:rsidRPr="00F01EC8" w:rsidRDefault="00F01EC8">
            <w:pPr>
              <w:pStyle w:val="NoSpacing"/>
              <w:spacing w:line="256" w:lineRule="auto"/>
              <w:jc w:val="center"/>
              <w:rPr>
                <w:i/>
                <w:sz w:val="20"/>
                <w:szCs w:val="20"/>
              </w:rPr>
            </w:pPr>
            <w:r w:rsidRPr="00F01EC8">
              <w:rPr>
                <w:i/>
                <w:sz w:val="20"/>
                <w:szCs w:val="20"/>
              </w:rPr>
              <w:t>9.8%</w:t>
            </w:r>
          </w:p>
        </w:tc>
      </w:tr>
      <w:tr w:rsidR="00F01EC8" w:rsidRPr="00F01EC8" w14:paraId="18AA542B" w14:textId="77777777" w:rsidTr="00F01EC8">
        <w:tc>
          <w:tcPr>
            <w:tcW w:w="6123" w:type="dxa"/>
            <w:tcBorders>
              <w:top w:val="single" w:sz="4" w:space="0" w:color="auto"/>
              <w:left w:val="nil"/>
              <w:bottom w:val="nil"/>
              <w:right w:val="nil"/>
            </w:tcBorders>
            <w:vAlign w:val="bottom"/>
            <w:hideMark/>
          </w:tcPr>
          <w:p w14:paraId="1780B10B" w14:textId="77777777" w:rsidR="00F01EC8" w:rsidRPr="00F01EC8" w:rsidRDefault="00F01EC8">
            <w:pPr>
              <w:pStyle w:val="NoSpacing"/>
              <w:spacing w:line="256" w:lineRule="auto"/>
              <w:rPr>
                <w:b/>
                <w:sz w:val="20"/>
                <w:szCs w:val="20"/>
              </w:rPr>
            </w:pPr>
            <w:r w:rsidRPr="00F01EC8">
              <w:rPr>
                <w:b/>
                <w:sz w:val="20"/>
                <w:szCs w:val="20"/>
              </w:rPr>
              <w:t>Net interest margin</w:t>
            </w:r>
          </w:p>
        </w:tc>
        <w:tc>
          <w:tcPr>
            <w:tcW w:w="1181" w:type="dxa"/>
            <w:tcBorders>
              <w:top w:val="single" w:sz="4" w:space="0" w:color="auto"/>
              <w:left w:val="nil"/>
              <w:bottom w:val="nil"/>
              <w:right w:val="nil"/>
            </w:tcBorders>
            <w:vAlign w:val="bottom"/>
            <w:hideMark/>
          </w:tcPr>
          <w:p w14:paraId="3F14A68C" w14:textId="77777777" w:rsidR="00F01EC8" w:rsidRPr="00F01EC8" w:rsidRDefault="00F01EC8">
            <w:pPr>
              <w:pStyle w:val="NoSpacing"/>
              <w:spacing w:line="256" w:lineRule="auto"/>
              <w:jc w:val="center"/>
              <w:rPr>
                <w:b/>
                <w:sz w:val="20"/>
                <w:szCs w:val="20"/>
              </w:rPr>
            </w:pPr>
            <w:r w:rsidRPr="00F01EC8">
              <w:rPr>
                <w:rFonts w:cs="Arial"/>
                <w:b/>
                <w:sz w:val="20"/>
                <w:szCs w:val="20"/>
              </w:rPr>
              <w:t>113.8</w:t>
            </w:r>
          </w:p>
        </w:tc>
        <w:tc>
          <w:tcPr>
            <w:tcW w:w="1181" w:type="dxa"/>
            <w:tcBorders>
              <w:top w:val="single" w:sz="4" w:space="0" w:color="auto"/>
              <w:left w:val="nil"/>
              <w:bottom w:val="nil"/>
              <w:right w:val="nil"/>
            </w:tcBorders>
            <w:vAlign w:val="bottom"/>
            <w:hideMark/>
          </w:tcPr>
          <w:p w14:paraId="16462181" w14:textId="77777777" w:rsidR="00F01EC8" w:rsidRPr="00F01EC8" w:rsidRDefault="00F01EC8">
            <w:pPr>
              <w:pStyle w:val="NoSpacing"/>
              <w:spacing w:line="256" w:lineRule="auto"/>
              <w:jc w:val="center"/>
              <w:rPr>
                <w:b/>
                <w:sz w:val="20"/>
                <w:szCs w:val="20"/>
              </w:rPr>
            </w:pPr>
            <w:r w:rsidRPr="00F01EC8">
              <w:rPr>
                <w:rFonts w:cs="Arial"/>
                <w:b/>
                <w:sz w:val="20"/>
                <w:szCs w:val="20"/>
              </w:rPr>
              <w:t>147.0</w:t>
            </w:r>
          </w:p>
        </w:tc>
        <w:tc>
          <w:tcPr>
            <w:tcW w:w="1182" w:type="dxa"/>
            <w:tcBorders>
              <w:top w:val="single" w:sz="4" w:space="0" w:color="auto"/>
              <w:left w:val="nil"/>
              <w:bottom w:val="nil"/>
              <w:right w:val="nil"/>
            </w:tcBorders>
            <w:vAlign w:val="bottom"/>
            <w:hideMark/>
          </w:tcPr>
          <w:p w14:paraId="1B8000C5" w14:textId="77777777" w:rsidR="00F01EC8" w:rsidRPr="00F01EC8" w:rsidRDefault="00F01EC8">
            <w:pPr>
              <w:pStyle w:val="NoSpacing"/>
              <w:spacing w:line="256" w:lineRule="auto"/>
              <w:jc w:val="center"/>
              <w:rPr>
                <w:b/>
                <w:i/>
                <w:sz w:val="20"/>
                <w:szCs w:val="20"/>
              </w:rPr>
            </w:pPr>
            <w:r w:rsidRPr="00F01EC8">
              <w:rPr>
                <w:b/>
                <w:i/>
                <w:sz w:val="20"/>
                <w:szCs w:val="20"/>
              </w:rPr>
              <w:t>(22.6%)</w:t>
            </w:r>
          </w:p>
        </w:tc>
      </w:tr>
      <w:tr w:rsidR="00F01EC8" w:rsidRPr="00F01EC8" w14:paraId="25EB7453" w14:textId="77777777" w:rsidTr="00F01EC8">
        <w:tc>
          <w:tcPr>
            <w:tcW w:w="6123" w:type="dxa"/>
            <w:tcBorders>
              <w:top w:val="nil"/>
              <w:left w:val="nil"/>
              <w:bottom w:val="single" w:sz="4" w:space="0" w:color="auto"/>
              <w:right w:val="nil"/>
            </w:tcBorders>
            <w:vAlign w:val="bottom"/>
            <w:hideMark/>
          </w:tcPr>
          <w:p w14:paraId="596BBDDA" w14:textId="77777777" w:rsidR="00F01EC8" w:rsidRPr="00F01EC8" w:rsidRDefault="00F01EC8">
            <w:pPr>
              <w:pStyle w:val="NoSpacing"/>
              <w:spacing w:line="256" w:lineRule="auto"/>
              <w:rPr>
                <w:sz w:val="20"/>
                <w:szCs w:val="20"/>
              </w:rPr>
            </w:pPr>
            <w:r w:rsidRPr="00F01EC8">
              <w:rPr>
                <w:sz w:val="20"/>
                <w:szCs w:val="20"/>
              </w:rPr>
              <w:t>Impairment</w:t>
            </w:r>
          </w:p>
        </w:tc>
        <w:tc>
          <w:tcPr>
            <w:tcW w:w="1181" w:type="dxa"/>
            <w:tcBorders>
              <w:top w:val="nil"/>
              <w:left w:val="nil"/>
              <w:bottom w:val="single" w:sz="4" w:space="0" w:color="auto"/>
              <w:right w:val="nil"/>
            </w:tcBorders>
            <w:vAlign w:val="bottom"/>
            <w:hideMark/>
          </w:tcPr>
          <w:p w14:paraId="155F31EF" w14:textId="77777777" w:rsidR="00F01EC8" w:rsidRPr="00F01EC8" w:rsidRDefault="00F01EC8">
            <w:pPr>
              <w:pStyle w:val="NoSpacing"/>
              <w:spacing w:line="256" w:lineRule="auto"/>
              <w:jc w:val="center"/>
              <w:rPr>
                <w:rFonts w:cs="Arial"/>
                <w:sz w:val="20"/>
                <w:szCs w:val="20"/>
              </w:rPr>
            </w:pPr>
            <w:r w:rsidRPr="00F01EC8">
              <w:rPr>
                <w:rFonts w:cs="Arial"/>
                <w:sz w:val="20"/>
                <w:szCs w:val="20"/>
              </w:rPr>
              <w:t>(52.9)</w:t>
            </w:r>
          </w:p>
        </w:tc>
        <w:tc>
          <w:tcPr>
            <w:tcW w:w="1181" w:type="dxa"/>
            <w:tcBorders>
              <w:top w:val="nil"/>
              <w:left w:val="nil"/>
              <w:bottom w:val="single" w:sz="4" w:space="0" w:color="auto"/>
              <w:right w:val="nil"/>
            </w:tcBorders>
            <w:vAlign w:val="bottom"/>
            <w:hideMark/>
          </w:tcPr>
          <w:p w14:paraId="000B5A38" w14:textId="77777777" w:rsidR="00F01EC8" w:rsidRPr="00F01EC8" w:rsidRDefault="00F01EC8">
            <w:pPr>
              <w:pStyle w:val="NoSpacing"/>
              <w:spacing w:line="256" w:lineRule="auto"/>
              <w:jc w:val="center"/>
              <w:rPr>
                <w:rFonts w:cs="Arial"/>
                <w:sz w:val="20"/>
                <w:szCs w:val="20"/>
              </w:rPr>
            </w:pPr>
            <w:r w:rsidRPr="00F01EC8">
              <w:rPr>
                <w:rFonts w:cs="Arial"/>
                <w:sz w:val="20"/>
                <w:szCs w:val="20"/>
              </w:rPr>
              <w:t>(51.8)</w:t>
            </w:r>
          </w:p>
        </w:tc>
        <w:tc>
          <w:tcPr>
            <w:tcW w:w="1182" w:type="dxa"/>
            <w:tcBorders>
              <w:top w:val="nil"/>
              <w:left w:val="nil"/>
              <w:bottom w:val="single" w:sz="4" w:space="0" w:color="auto"/>
              <w:right w:val="nil"/>
            </w:tcBorders>
            <w:vAlign w:val="bottom"/>
            <w:hideMark/>
          </w:tcPr>
          <w:p w14:paraId="4E90D941" w14:textId="77777777" w:rsidR="00F01EC8" w:rsidRPr="00F01EC8" w:rsidRDefault="00F01EC8">
            <w:pPr>
              <w:pStyle w:val="NoSpacing"/>
              <w:spacing w:line="256" w:lineRule="auto"/>
              <w:jc w:val="center"/>
              <w:rPr>
                <w:i/>
                <w:sz w:val="20"/>
                <w:szCs w:val="20"/>
              </w:rPr>
            </w:pPr>
            <w:r w:rsidRPr="00F01EC8">
              <w:rPr>
                <w:i/>
                <w:sz w:val="20"/>
                <w:szCs w:val="20"/>
              </w:rPr>
              <w:t>(2.1%)</w:t>
            </w:r>
          </w:p>
        </w:tc>
      </w:tr>
      <w:tr w:rsidR="00F01EC8" w:rsidRPr="00F01EC8" w14:paraId="6F171ABA" w14:textId="77777777" w:rsidTr="00F01EC8">
        <w:tc>
          <w:tcPr>
            <w:tcW w:w="6123" w:type="dxa"/>
            <w:tcBorders>
              <w:top w:val="single" w:sz="4" w:space="0" w:color="auto"/>
              <w:left w:val="nil"/>
              <w:bottom w:val="nil"/>
              <w:right w:val="nil"/>
            </w:tcBorders>
            <w:vAlign w:val="bottom"/>
            <w:hideMark/>
          </w:tcPr>
          <w:p w14:paraId="54DA4FDF" w14:textId="77777777" w:rsidR="00F01EC8" w:rsidRPr="00F01EC8" w:rsidRDefault="00F01EC8">
            <w:pPr>
              <w:pStyle w:val="NoSpacing"/>
              <w:spacing w:line="256" w:lineRule="auto"/>
              <w:rPr>
                <w:b/>
                <w:sz w:val="20"/>
                <w:szCs w:val="20"/>
              </w:rPr>
            </w:pPr>
            <w:r w:rsidRPr="00F01EC8">
              <w:rPr>
                <w:b/>
                <w:sz w:val="20"/>
                <w:szCs w:val="20"/>
              </w:rPr>
              <w:t>Risk-adjusted net interest margin</w:t>
            </w:r>
          </w:p>
        </w:tc>
        <w:tc>
          <w:tcPr>
            <w:tcW w:w="1181" w:type="dxa"/>
            <w:tcBorders>
              <w:top w:val="single" w:sz="4" w:space="0" w:color="auto"/>
              <w:left w:val="nil"/>
              <w:bottom w:val="nil"/>
              <w:right w:val="nil"/>
            </w:tcBorders>
            <w:vAlign w:val="bottom"/>
            <w:hideMark/>
          </w:tcPr>
          <w:p w14:paraId="5636EEEF" w14:textId="77777777" w:rsidR="00F01EC8" w:rsidRPr="00F01EC8" w:rsidRDefault="00F01EC8">
            <w:pPr>
              <w:pStyle w:val="NoSpacing"/>
              <w:spacing w:line="256" w:lineRule="auto"/>
              <w:jc w:val="center"/>
              <w:rPr>
                <w:rFonts w:cs="Arial"/>
                <w:b/>
                <w:sz w:val="20"/>
                <w:szCs w:val="20"/>
              </w:rPr>
            </w:pPr>
            <w:r w:rsidRPr="00F01EC8">
              <w:rPr>
                <w:rFonts w:cs="Arial"/>
                <w:b/>
                <w:sz w:val="20"/>
                <w:szCs w:val="20"/>
              </w:rPr>
              <w:t>60.9</w:t>
            </w:r>
          </w:p>
        </w:tc>
        <w:tc>
          <w:tcPr>
            <w:tcW w:w="1181" w:type="dxa"/>
            <w:tcBorders>
              <w:top w:val="single" w:sz="4" w:space="0" w:color="auto"/>
              <w:left w:val="nil"/>
              <w:bottom w:val="nil"/>
              <w:right w:val="nil"/>
            </w:tcBorders>
            <w:vAlign w:val="bottom"/>
            <w:hideMark/>
          </w:tcPr>
          <w:p w14:paraId="14792743" w14:textId="77777777" w:rsidR="00F01EC8" w:rsidRPr="00F01EC8" w:rsidRDefault="00F01EC8">
            <w:pPr>
              <w:pStyle w:val="NoSpacing"/>
              <w:spacing w:line="256" w:lineRule="auto"/>
              <w:jc w:val="center"/>
              <w:rPr>
                <w:rFonts w:cs="Arial"/>
                <w:b/>
                <w:sz w:val="20"/>
                <w:szCs w:val="20"/>
              </w:rPr>
            </w:pPr>
            <w:r w:rsidRPr="00F01EC8">
              <w:rPr>
                <w:rFonts w:cs="Arial"/>
                <w:b/>
                <w:sz w:val="20"/>
                <w:szCs w:val="20"/>
              </w:rPr>
              <w:t>95.2</w:t>
            </w:r>
          </w:p>
        </w:tc>
        <w:tc>
          <w:tcPr>
            <w:tcW w:w="1182" w:type="dxa"/>
            <w:tcBorders>
              <w:top w:val="single" w:sz="4" w:space="0" w:color="auto"/>
              <w:left w:val="nil"/>
              <w:bottom w:val="nil"/>
              <w:right w:val="nil"/>
            </w:tcBorders>
            <w:vAlign w:val="bottom"/>
            <w:hideMark/>
          </w:tcPr>
          <w:p w14:paraId="06E3E00E" w14:textId="77777777" w:rsidR="00F01EC8" w:rsidRPr="00F01EC8" w:rsidRDefault="00F01EC8">
            <w:pPr>
              <w:pStyle w:val="NoSpacing"/>
              <w:spacing w:line="256" w:lineRule="auto"/>
              <w:jc w:val="center"/>
              <w:rPr>
                <w:b/>
                <w:i/>
                <w:sz w:val="20"/>
                <w:szCs w:val="20"/>
              </w:rPr>
            </w:pPr>
            <w:r w:rsidRPr="00F01EC8">
              <w:rPr>
                <w:b/>
                <w:i/>
                <w:sz w:val="20"/>
                <w:szCs w:val="20"/>
              </w:rPr>
              <w:t>(36.0%)</w:t>
            </w:r>
          </w:p>
        </w:tc>
      </w:tr>
      <w:tr w:rsidR="00F01EC8" w:rsidRPr="00F01EC8" w14:paraId="4557C296" w14:textId="77777777" w:rsidTr="00F01EC8">
        <w:tc>
          <w:tcPr>
            <w:tcW w:w="6123" w:type="dxa"/>
            <w:tcBorders>
              <w:top w:val="nil"/>
              <w:left w:val="nil"/>
              <w:bottom w:val="single" w:sz="4" w:space="0" w:color="auto"/>
              <w:right w:val="nil"/>
            </w:tcBorders>
            <w:vAlign w:val="bottom"/>
            <w:hideMark/>
          </w:tcPr>
          <w:p w14:paraId="646940C3" w14:textId="77777777" w:rsidR="00F01EC8" w:rsidRPr="00F01EC8" w:rsidRDefault="00F01EC8">
            <w:pPr>
              <w:pStyle w:val="NoSpacing"/>
              <w:spacing w:line="256" w:lineRule="auto"/>
              <w:rPr>
                <w:sz w:val="20"/>
                <w:szCs w:val="20"/>
              </w:rPr>
            </w:pPr>
            <w:r w:rsidRPr="00F01EC8">
              <w:rPr>
                <w:sz w:val="20"/>
                <w:szCs w:val="20"/>
              </w:rPr>
              <w:lastRenderedPageBreak/>
              <w:t>Costs</w:t>
            </w:r>
          </w:p>
        </w:tc>
        <w:tc>
          <w:tcPr>
            <w:tcW w:w="1181" w:type="dxa"/>
            <w:tcBorders>
              <w:top w:val="nil"/>
              <w:left w:val="nil"/>
              <w:bottom w:val="single" w:sz="4" w:space="0" w:color="auto"/>
              <w:right w:val="nil"/>
            </w:tcBorders>
            <w:vAlign w:val="bottom"/>
            <w:hideMark/>
          </w:tcPr>
          <w:p w14:paraId="34E667F6" w14:textId="77777777" w:rsidR="00F01EC8" w:rsidRPr="00F01EC8" w:rsidRDefault="00F01EC8">
            <w:pPr>
              <w:pStyle w:val="NoSpacing"/>
              <w:spacing w:line="256" w:lineRule="auto"/>
              <w:jc w:val="center"/>
              <w:rPr>
                <w:rFonts w:cs="Arial"/>
                <w:sz w:val="20"/>
                <w:szCs w:val="20"/>
              </w:rPr>
            </w:pPr>
            <w:r w:rsidRPr="00F01EC8">
              <w:rPr>
                <w:rFonts w:cs="Arial"/>
                <w:sz w:val="20"/>
                <w:szCs w:val="20"/>
              </w:rPr>
              <w:t>(98.5)</w:t>
            </w:r>
          </w:p>
        </w:tc>
        <w:tc>
          <w:tcPr>
            <w:tcW w:w="1181" w:type="dxa"/>
            <w:tcBorders>
              <w:top w:val="nil"/>
              <w:left w:val="nil"/>
              <w:bottom w:val="single" w:sz="4" w:space="0" w:color="auto"/>
              <w:right w:val="nil"/>
            </w:tcBorders>
            <w:vAlign w:val="bottom"/>
            <w:hideMark/>
          </w:tcPr>
          <w:p w14:paraId="062F0A28" w14:textId="77777777" w:rsidR="00F01EC8" w:rsidRPr="00F01EC8" w:rsidRDefault="00F01EC8">
            <w:pPr>
              <w:pStyle w:val="NoSpacing"/>
              <w:spacing w:line="256" w:lineRule="auto"/>
              <w:jc w:val="center"/>
              <w:rPr>
                <w:rFonts w:cs="Arial"/>
                <w:sz w:val="20"/>
                <w:szCs w:val="20"/>
              </w:rPr>
            </w:pPr>
            <w:r w:rsidRPr="00F01EC8">
              <w:rPr>
                <w:rFonts w:cs="Arial"/>
                <w:sz w:val="20"/>
                <w:szCs w:val="20"/>
              </w:rPr>
              <w:t>(110.3)</w:t>
            </w:r>
          </w:p>
        </w:tc>
        <w:tc>
          <w:tcPr>
            <w:tcW w:w="1182" w:type="dxa"/>
            <w:tcBorders>
              <w:top w:val="nil"/>
              <w:left w:val="nil"/>
              <w:bottom w:val="single" w:sz="4" w:space="0" w:color="auto"/>
              <w:right w:val="nil"/>
            </w:tcBorders>
            <w:vAlign w:val="bottom"/>
            <w:hideMark/>
          </w:tcPr>
          <w:p w14:paraId="55A56670" w14:textId="77777777" w:rsidR="00F01EC8" w:rsidRPr="00F01EC8" w:rsidRDefault="00F01EC8">
            <w:pPr>
              <w:pStyle w:val="NoSpacing"/>
              <w:spacing w:line="256" w:lineRule="auto"/>
              <w:jc w:val="center"/>
              <w:rPr>
                <w:i/>
                <w:sz w:val="20"/>
                <w:szCs w:val="20"/>
              </w:rPr>
            </w:pPr>
            <w:r w:rsidRPr="00F01EC8">
              <w:rPr>
                <w:i/>
                <w:sz w:val="20"/>
                <w:szCs w:val="20"/>
              </w:rPr>
              <w:t>10.7%</w:t>
            </w:r>
          </w:p>
        </w:tc>
      </w:tr>
      <w:tr w:rsidR="00F01EC8" w:rsidRPr="00F01EC8" w14:paraId="60348270" w14:textId="77777777" w:rsidTr="00F01EC8">
        <w:tc>
          <w:tcPr>
            <w:tcW w:w="6123" w:type="dxa"/>
            <w:tcBorders>
              <w:top w:val="single" w:sz="4" w:space="0" w:color="auto"/>
              <w:left w:val="nil"/>
              <w:bottom w:val="nil"/>
              <w:right w:val="nil"/>
            </w:tcBorders>
            <w:vAlign w:val="bottom"/>
            <w:hideMark/>
          </w:tcPr>
          <w:p w14:paraId="52D0BD8C" w14:textId="01247A6A" w:rsidR="00F01EC8" w:rsidRPr="00F01EC8" w:rsidRDefault="00F01EC8">
            <w:pPr>
              <w:pStyle w:val="NoSpacing"/>
              <w:spacing w:line="256" w:lineRule="auto"/>
              <w:rPr>
                <w:b/>
                <w:sz w:val="20"/>
                <w:szCs w:val="20"/>
              </w:rPr>
            </w:pPr>
            <w:r w:rsidRPr="00F01EC8">
              <w:rPr>
                <w:b/>
                <w:sz w:val="20"/>
                <w:szCs w:val="20"/>
              </w:rPr>
              <w:t>Adjusted loss before tax</w:t>
            </w:r>
            <w:r w:rsidR="00DD6D48">
              <w:rPr>
                <w:b/>
                <w:sz w:val="20"/>
                <w:szCs w:val="20"/>
                <w:vertAlign w:val="superscript"/>
              </w:rPr>
              <w:t>2</w:t>
            </w:r>
          </w:p>
        </w:tc>
        <w:tc>
          <w:tcPr>
            <w:tcW w:w="1181" w:type="dxa"/>
            <w:tcBorders>
              <w:top w:val="single" w:sz="4" w:space="0" w:color="auto"/>
              <w:left w:val="nil"/>
              <w:bottom w:val="nil"/>
              <w:right w:val="nil"/>
            </w:tcBorders>
            <w:vAlign w:val="bottom"/>
            <w:hideMark/>
          </w:tcPr>
          <w:p w14:paraId="2D048185" w14:textId="77777777" w:rsidR="00F01EC8" w:rsidRPr="00F01EC8" w:rsidRDefault="00F01EC8">
            <w:pPr>
              <w:pStyle w:val="NoSpacing"/>
              <w:spacing w:line="256" w:lineRule="auto"/>
              <w:jc w:val="center"/>
              <w:rPr>
                <w:rFonts w:cs="Arial"/>
                <w:b/>
                <w:sz w:val="20"/>
                <w:szCs w:val="20"/>
              </w:rPr>
            </w:pPr>
            <w:r w:rsidRPr="00F01EC8">
              <w:rPr>
                <w:rFonts w:cs="Arial"/>
                <w:b/>
                <w:sz w:val="20"/>
                <w:szCs w:val="20"/>
              </w:rPr>
              <w:t>(37.6)</w:t>
            </w:r>
          </w:p>
        </w:tc>
        <w:tc>
          <w:tcPr>
            <w:tcW w:w="1181" w:type="dxa"/>
            <w:tcBorders>
              <w:top w:val="single" w:sz="4" w:space="0" w:color="auto"/>
              <w:left w:val="nil"/>
              <w:bottom w:val="nil"/>
              <w:right w:val="nil"/>
            </w:tcBorders>
            <w:vAlign w:val="bottom"/>
            <w:hideMark/>
          </w:tcPr>
          <w:p w14:paraId="20E9A71B" w14:textId="77777777" w:rsidR="00F01EC8" w:rsidRPr="00F01EC8" w:rsidRDefault="00F01EC8">
            <w:pPr>
              <w:pStyle w:val="NoSpacing"/>
              <w:spacing w:line="256" w:lineRule="auto"/>
              <w:jc w:val="center"/>
              <w:rPr>
                <w:rFonts w:cs="Arial"/>
                <w:b/>
                <w:sz w:val="20"/>
                <w:szCs w:val="20"/>
              </w:rPr>
            </w:pPr>
            <w:r w:rsidRPr="00F01EC8">
              <w:rPr>
                <w:rFonts w:cs="Arial"/>
                <w:b/>
                <w:sz w:val="20"/>
                <w:szCs w:val="20"/>
              </w:rPr>
              <w:t>(15.1)</w:t>
            </w:r>
          </w:p>
        </w:tc>
        <w:tc>
          <w:tcPr>
            <w:tcW w:w="1182" w:type="dxa"/>
            <w:tcBorders>
              <w:top w:val="single" w:sz="4" w:space="0" w:color="auto"/>
              <w:left w:val="nil"/>
              <w:bottom w:val="nil"/>
              <w:right w:val="nil"/>
            </w:tcBorders>
            <w:vAlign w:val="bottom"/>
            <w:hideMark/>
          </w:tcPr>
          <w:p w14:paraId="3EBC7DD7" w14:textId="77777777" w:rsidR="00F01EC8" w:rsidRPr="00F01EC8" w:rsidRDefault="00F01EC8">
            <w:pPr>
              <w:pStyle w:val="NoSpacing"/>
              <w:spacing w:line="256" w:lineRule="auto"/>
              <w:jc w:val="center"/>
              <w:rPr>
                <w:b/>
                <w:i/>
                <w:sz w:val="20"/>
                <w:szCs w:val="20"/>
              </w:rPr>
            </w:pPr>
            <w:r w:rsidRPr="00F01EC8">
              <w:rPr>
                <w:b/>
                <w:i/>
                <w:sz w:val="20"/>
                <w:szCs w:val="20"/>
              </w:rPr>
              <w:t>(149.0%)</w:t>
            </w:r>
          </w:p>
        </w:tc>
      </w:tr>
      <w:tr w:rsidR="00F01EC8" w:rsidRPr="00F01EC8" w14:paraId="42A9A1B0" w14:textId="77777777" w:rsidTr="00F01EC8">
        <w:tc>
          <w:tcPr>
            <w:tcW w:w="6123" w:type="dxa"/>
            <w:vAlign w:val="bottom"/>
          </w:tcPr>
          <w:p w14:paraId="597CDAA7" w14:textId="77777777" w:rsidR="00F01EC8" w:rsidRPr="00F01EC8" w:rsidRDefault="00F01EC8">
            <w:pPr>
              <w:pStyle w:val="NoSpacing"/>
              <w:spacing w:line="256" w:lineRule="auto"/>
              <w:rPr>
                <w:sz w:val="20"/>
                <w:szCs w:val="20"/>
              </w:rPr>
            </w:pPr>
          </w:p>
        </w:tc>
        <w:tc>
          <w:tcPr>
            <w:tcW w:w="1181" w:type="dxa"/>
            <w:vAlign w:val="bottom"/>
          </w:tcPr>
          <w:p w14:paraId="25DD1BF3" w14:textId="77777777" w:rsidR="00F01EC8" w:rsidRPr="00F01EC8" w:rsidRDefault="00F01EC8">
            <w:pPr>
              <w:pStyle w:val="NoSpacing"/>
              <w:spacing w:line="256" w:lineRule="auto"/>
              <w:jc w:val="center"/>
              <w:rPr>
                <w:sz w:val="20"/>
                <w:szCs w:val="20"/>
              </w:rPr>
            </w:pPr>
          </w:p>
        </w:tc>
        <w:tc>
          <w:tcPr>
            <w:tcW w:w="1181" w:type="dxa"/>
            <w:vAlign w:val="bottom"/>
          </w:tcPr>
          <w:p w14:paraId="2E86069B" w14:textId="77777777" w:rsidR="00F01EC8" w:rsidRPr="00F01EC8" w:rsidRDefault="00F01EC8">
            <w:pPr>
              <w:pStyle w:val="NoSpacing"/>
              <w:spacing w:line="256" w:lineRule="auto"/>
              <w:jc w:val="center"/>
              <w:rPr>
                <w:sz w:val="20"/>
                <w:szCs w:val="20"/>
              </w:rPr>
            </w:pPr>
          </w:p>
        </w:tc>
        <w:tc>
          <w:tcPr>
            <w:tcW w:w="1182" w:type="dxa"/>
            <w:vAlign w:val="bottom"/>
          </w:tcPr>
          <w:p w14:paraId="66B82D2A" w14:textId="77777777" w:rsidR="00F01EC8" w:rsidRPr="00F01EC8" w:rsidRDefault="00F01EC8">
            <w:pPr>
              <w:pStyle w:val="NoSpacing"/>
              <w:spacing w:line="256" w:lineRule="auto"/>
              <w:jc w:val="center"/>
              <w:rPr>
                <w:i/>
                <w:sz w:val="20"/>
                <w:szCs w:val="20"/>
              </w:rPr>
            </w:pPr>
          </w:p>
        </w:tc>
      </w:tr>
      <w:tr w:rsidR="00F01EC8" w:rsidRPr="00F01EC8" w14:paraId="7259BEA9" w14:textId="77777777" w:rsidTr="00F01EC8">
        <w:tc>
          <w:tcPr>
            <w:tcW w:w="6123" w:type="dxa"/>
            <w:vAlign w:val="bottom"/>
            <w:hideMark/>
          </w:tcPr>
          <w:p w14:paraId="00ACB954" w14:textId="6F78D7B9" w:rsidR="00F01EC8" w:rsidRPr="00F01EC8" w:rsidRDefault="00F01EC8">
            <w:pPr>
              <w:pStyle w:val="NoSpacing"/>
              <w:spacing w:line="256" w:lineRule="auto"/>
              <w:rPr>
                <w:sz w:val="20"/>
                <w:szCs w:val="20"/>
                <w:vertAlign w:val="superscript"/>
              </w:rPr>
            </w:pPr>
            <w:r w:rsidRPr="00F01EC8">
              <w:rPr>
                <w:sz w:val="20"/>
                <w:szCs w:val="20"/>
              </w:rPr>
              <w:t>Annualised revenue yield</w:t>
            </w:r>
            <w:r w:rsidR="00DD6D48">
              <w:rPr>
                <w:sz w:val="20"/>
                <w:szCs w:val="20"/>
                <w:vertAlign w:val="superscript"/>
              </w:rPr>
              <w:t>3</w:t>
            </w:r>
          </w:p>
        </w:tc>
        <w:tc>
          <w:tcPr>
            <w:tcW w:w="1181" w:type="dxa"/>
            <w:hideMark/>
          </w:tcPr>
          <w:p w14:paraId="7D4E7D90" w14:textId="77777777" w:rsidR="00F01EC8" w:rsidRPr="00F01EC8" w:rsidRDefault="00F01EC8">
            <w:pPr>
              <w:pStyle w:val="NoSpacing"/>
              <w:spacing w:line="256" w:lineRule="auto"/>
              <w:jc w:val="center"/>
              <w:rPr>
                <w:sz w:val="20"/>
                <w:szCs w:val="20"/>
              </w:rPr>
            </w:pPr>
            <w:r w:rsidRPr="00F01EC8">
              <w:rPr>
                <w:sz w:val="20"/>
                <w:szCs w:val="20"/>
              </w:rPr>
              <w:t>121.2%</w:t>
            </w:r>
          </w:p>
        </w:tc>
        <w:tc>
          <w:tcPr>
            <w:tcW w:w="1181" w:type="dxa"/>
            <w:hideMark/>
          </w:tcPr>
          <w:p w14:paraId="47340A67" w14:textId="77777777" w:rsidR="00F01EC8" w:rsidRPr="00F01EC8" w:rsidRDefault="00F01EC8">
            <w:pPr>
              <w:pStyle w:val="NoSpacing"/>
              <w:spacing w:line="256" w:lineRule="auto"/>
              <w:jc w:val="center"/>
              <w:rPr>
                <w:sz w:val="20"/>
                <w:szCs w:val="20"/>
              </w:rPr>
            </w:pPr>
            <w:r w:rsidRPr="00F01EC8">
              <w:rPr>
                <w:sz w:val="20"/>
                <w:szCs w:val="20"/>
              </w:rPr>
              <w:t>117.3%</w:t>
            </w:r>
          </w:p>
        </w:tc>
        <w:tc>
          <w:tcPr>
            <w:tcW w:w="1182" w:type="dxa"/>
            <w:vAlign w:val="bottom"/>
            <w:hideMark/>
          </w:tcPr>
          <w:p w14:paraId="327FF7FF" w14:textId="5E24D12E" w:rsidR="00F01EC8" w:rsidRPr="00F01EC8" w:rsidRDefault="00F01EC8">
            <w:pPr>
              <w:pStyle w:val="NoSpacing"/>
              <w:spacing w:line="256" w:lineRule="auto"/>
              <w:jc w:val="center"/>
              <w:rPr>
                <w:i/>
                <w:sz w:val="20"/>
                <w:szCs w:val="20"/>
              </w:rPr>
            </w:pPr>
            <w:r w:rsidRPr="00F01EC8">
              <w:rPr>
                <w:rFonts w:cs="Arial"/>
                <w:i/>
                <w:iCs/>
                <w:sz w:val="20"/>
                <w:szCs w:val="20"/>
              </w:rPr>
              <w:t>3.</w:t>
            </w:r>
            <w:r w:rsidR="00BC041D">
              <w:rPr>
                <w:rFonts w:cs="Arial"/>
                <w:i/>
                <w:iCs/>
                <w:sz w:val="20"/>
                <w:szCs w:val="20"/>
              </w:rPr>
              <w:t>3</w:t>
            </w:r>
            <w:r w:rsidRPr="00F01EC8">
              <w:rPr>
                <w:rFonts w:cs="Arial"/>
                <w:i/>
                <w:iCs/>
                <w:sz w:val="20"/>
                <w:szCs w:val="20"/>
              </w:rPr>
              <w:t>%</w:t>
            </w:r>
          </w:p>
        </w:tc>
      </w:tr>
      <w:tr w:rsidR="00F01EC8" w:rsidRPr="00F01EC8" w14:paraId="081DD5FE" w14:textId="77777777" w:rsidTr="00F01EC8">
        <w:tc>
          <w:tcPr>
            <w:tcW w:w="6123" w:type="dxa"/>
            <w:vAlign w:val="bottom"/>
            <w:hideMark/>
          </w:tcPr>
          <w:p w14:paraId="77F44F1B" w14:textId="09F8BC4A" w:rsidR="00F01EC8" w:rsidRPr="00F01EC8" w:rsidRDefault="00F01EC8">
            <w:pPr>
              <w:pStyle w:val="NoSpacing"/>
              <w:spacing w:line="256" w:lineRule="auto"/>
              <w:rPr>
                <w:sz w:val="20"/>
                <w:szCs w:val="20"/>
                <w:vertAlign w:val="superscript"/>
              </w:rPr>
            </w:pPr>
            <w:r w:rsidRPr="00F01EC8">
              <w:rPr>
                <w:sz w:val="20"/>
                <w:szCs w:val="20"/>
              </w:rPr>
              <w:t>Annualised impairment rate</w:t>
            </w:r>
            <w:r w:rsidR="00DD6D48">
              <w:rPr>
                <w:sz w:val="20"/>
                <w:szCs w:val="20"/>
                <w:vertAlign w:val="superscript"/>
              </w:rPr>
              <w:t>4</w:t>
            </w:r>
          </w:p>
        </w:tc>
        <w:tc>
          <w:tcPr>
            <w:tcW w:w="1181" w:type="dxa"/>
            <w:hideMark/>
          </w:tcPr>
          <w:p w14:paraId="728BA66F" w14:textId="77777777" w:rsidR="00F01EC8" w:rsidRPr="00F01EC8" w:rsidRDefault="00F01EC8">
            <w:pPr>
              <w:pStyle w:val="NoSpacing"/>
              <w:spacing w:line="256" w:lineRule="auto"/>
              <w:jc w:val="center"/>
              <w:rPr>
                <w:sz w:val="20"/>
                <w:szCs w:val="20"/>
              </w:rPr>
            </w:pPr>
            <w:r w:rsidRPr="00F01EC8">
              <w:rPr>
                <w:sz w:val="20"/>
                <w:szCs w:val="20"/>
              </w:rPr>
              <w:t>45.1%</w:t>
            </w:r>
          </w:p>
        </w:tc>
        <w:tc>
          <w:tcPr>
            <w:tcW w:w="1181" w:type="dxa"/>
            <w:hideMark/>
          </w:tcPr>
          <w:p w14:paraId="727CD241" w14:textId="77777777" w:rsidR="00F01EC8" w:rsidRPr="00F01EC8" w:rsidRDefault="00F01EC8">
            <w:pPr>
              <w:pStyle w:val="NoSpacing"/>
              <w:spacing w:line="256" w:lineRule="auto"/>
              <w:jc w:val="center"/>
              <w:rPr>
                <w:sz w:val="20"/>
                <w:szCs w:val="20"/>
              </w:rPr>
            </w:pPr>
            <w:r w:rsidRPr="00F01EC8">
              <w:rPr>
                <w:sz w:val="20"/>
                <w:szCs w:val="20"/>
              </w:rPr>
              <w:t>38.0%</w:t>
            </w:r>
          </w:p>
        </w:tc>
        <w:tc>
          <w:tcPr>
            <w:tcW w:w="1182" w:type="dxa"/>
            <w:vAlign w:val="bottom"/>
            <w:hideMark/>
          </w:tcPr>
          <w:p w14:paraId="399AF10A" w14:textId="3525CDFF" w:rsidR="00F01EC8" w:rsidRPr="00F01EC8" w:rsidRDefault="00BC041D">
            <w:pPr>
              <w:pStyle w:val="NoSpacing"/>
              <w:spacing w:line="256" w:lineRule="auto"/>
              <w:jc w:val="center"/>
              <w:rPr>
                <w:i/>
                <w:sz w:val="20"/>
                <w:szCs w:val="20"/>
              </w:rPr>
            </w:pPr>
            <w:r>
              <w:rPr>
                <w:rFonts w:cs="Arial"/>
                <w:i/>
                <w:iCs/>
                <w:sz w:val="20"/>
                <w:szCs w:val="20"/>
              </w:rPr>
              <w:t>18.7</w:t>
            </w:r>
            <w:r w:rsidR="00F01EC8" w:rsidRPr="00F01EC8">
              <w:rPr>
                <w:rFonts w:cs="Arial"/>
                <w:i/>
                <w:iCs/>
                <w:sz w:val="20"/>
                <w:szCs w:val="20"/>
              </w:rPr>
              <w:t>%</w:t>
            </w:r>
          </w:p>
        </w:tc>
      </w:tr>
      <w:tr w:rsidR="00F01EC8" w:rsidRPr="00F01EC8" w14:paraId="6BEE197F" w14:textId="77777777" w:rsidTr="00F01EC8">
        <w:tc>
          <w:tcPr>
            <w:tcW w:w="6123" w:type="dxa"/>
            <w:vAlign w:val="bottom"/>
            <w:hideMark/>
          </w:tcPr>
          <w:p w14:paraId="7BA71E14" w14:textId="265C0713" w:rsidR="00F01EC8" w:rsidRPr="00F01EC8" w:rsidRDefault="00F01EC8">
            <w:pPr>
              <w:pStyle w:val="NoSpacing"/>
              <w:spacing w:line="256" w:lineRule="auto"/>
              <w:rPr>
                <w:sz w:val="20"/>
                <w:szCs w:val="20"/>
              </w:rPr>
            </w:pPr>
            <w:r w:rsidRPr="00F01EC8">
              <w:rPr>
                <w:sz w:val="20"/>
                <w:szCs w:val="20"/>
              </w:rPr>
              <w:t>Annualised return on assets</w:t>
            </w:r>
            <w:r w:rsidR="00DD6D48">
              <w:rPr>
                <w:sz w:val="20"/>
                <w:szCs w:val="20"/>
                <w:vertAlign w:val="superscript"/>
              </w:rPr>
              <w:t>5</w:t>
            </w:r>
          </w:p>
        </w:tc>
        <w:tc>
          <w:tcPr>
            <w:tcW w:w="1181" w:type="dxa"/>
            <w:vAlign w:val="bottom"/>
            <w:hideMark/>
          </w:tcPr>
          <w:p w14:paraId="5539D6EE" w14:textId="77777777" w:rsidR="00F01EC8" w:rsidRPr="00F01EC8" w:rsidRDefault="00F01EC8">
            <w:pPr>
              <w:pStyle w:val="NoSpacing"/>
              <w:spacing w:line="256" w:lineRule="auto"/>
              <w:jc w:val="center"/>
              <w:rPr>
                <w:sz w:val="20"/>
                <w:szCs w:val="20"/>
              </w:rPr>
            </w:pPr>
            <w:r w:rsidRPr="00F01EC8">
              <w:rPr>
                <w:rFonts w:cs="Arial"/>
                <w:sz w:val="20"/>
                <w:szCs w:val="20"/>
              </w:rPr>
              <w:t>(15.8%)</w:t>
            </w:r>
          </w:p>
        </w:tc>
        <w:tc>
          <w:tcPr>
            <w:tcW w:w="1181" w:type="dxa"/>
            <w:vAlign w:val="bottom"/>
            <w:hideMark/>
          </w:tcPr>
          <w:p w14:paraId="26F7576E" w14:textId="77777777" w:rsidR="00F01EC8" w:rsidRPr="00F01EC8" w:rsidRDefault="00F01EC8">
            <w:pPr>
              <w:pStyle w:val="NoSpacing"/>
              <w:spacing w:line="256" w:lineRule="auto"/>
              <w:jc w:val="center"/>
              <w:rPr>
                <w:sz w:val="20"/>
                <w:szCs w:val="20"/>
              </w:rPr>
            </w:pPr>
            <w:r w:rsidRPr="00F01EC8">
              <w:rPr>
                <w:rFonts w:cs="Arial"/>
                <w:sz w:val="20"/>
                <w:szCs w:val="20"/>
              </w:rPr>
              <w:t>(5.5%)</w:t>
            </w:r>
          </w:p>
        </w:tc>
        <w:tc>
          <w:tcPr>
            <w:tcW w:w="1182" w:type="dxa"/>
            <w:vAlign w:val="bottom"/>
            <w:hideMark/>
          </w:tcPr>
          <w:p w14:paraId="79E1F12C" w14:textId="49B00D2F" w:rsidR="00F01EC8" w:rsidRPr="00F01EC8" w:rsidRDefault="00BC041D">
            <w:pPr>
              <w:pStyle w:val="NoSpacing"/>
              <w:spacing w:line="256" w:lineRule="auto"/>
              <w:jc w:val="center"/>
              <w:rPr>
                <w:i/>
                <w:sz w:val="20"/>
                <w:szCs w:val="20"/>
              </w:rPr>
            </w:pPr>
            <w:r>
              <w:rPr>
                <w:i/>
                <w:sz w:val="20"/>
                <w:szCs w:val="20"/>
              </w:rPr>
              <w:t>(</w:t>
            </w:r>
            <w:r w:rsidR="00F01EC8" w:rsidRPr="00F01EC8">
              <w:rPr>
                <w:i/>
                <w:sz w:val="20"/>
                <w:szCs w:val="20"/>
              </w:rPr>
              <w:t>1</w:t>
            </w:r>
            <w:r>
              <w:rPr>
                <w:i/>
                <w:sz w:val="20"/>
                <w:szCs w:val="20"/>
              </w:rPr>
              <w:t>87.3</w:t>
            </w:r>
            <w:r w:rsidR="00F01EC8" w:rsidRPr="00F01EC8">
              <w:rPr>
                <w:i/>
                <w:sz w:val="20"/>
                <w:szCs w:val="20"/>
              </w:rPr>
              <w:t>%</w:t>
            </w:r>
            <w:r>
              <w:rPr>
                <w:i/>
                <w:sz w:val="20"/>
                <w:szCs w:val="20"/>
              </w:rPr>
              <w:t>)</w:t>
            </w:r>
          </w:p>
        </w:tc>
      </w:tr>
      <w:tr w:rsidR="00F01EC8" w:rsidRPr="00F01EC8" w14:paraId="0E60049D" w14:textId="77777777" w:rsidTr="00F01EC8">
        <w:tc>
          <w:tcPr>
            <w:tcW w:w="6123" w:type="dxa"/>
            <w:vAlign w:val="bottom"/>
          </w:tcPr>
          <w:p w14:paraId="2855085C" w14:textId="77777777" w:rsidR="00F01EC8" w:rsidRPr="00F01EC8" w:rsidRDefault="00F01EC8">
            <w:pPr>
              <w:pStyle w:val="NoSpacing"/>
              <w:spacing w:line="256" w:lineRule="auto"/>
              <w:rPr>
                <w:sz w:val="20"/>
                <w:szCs w:val="20"/>
              </w:rPr>
            </w:pPr>
          </w:p>
        </w:tc>
        <w:tc>
          <w:tcPr>
            <w:tcW w:w="1181" w:type="dxa"/>
            <w:vAlign w:val="bottom"/>
          </w:tcPr>
          <w:p w14:paraId="612E8890" w14:textId="77777777" w:rsidR="00F01EC8" w:rsidRPr="00F01EC8" w:rsidRDefault="00F01EC8">
            <w:pPr>
              <w:pStyle w:val="NoSpacing"/>
              <w:spacing w:line="256" w:lineRule="auto"/>
              <w:rPr>
                <w:sz w:val="20"/>
                <w:szCs w:val="20"/>
              </w:rPr>
            </w:pPr>
          </w:p>
        </w:tc>
        <w:tc>
          <w:tcPr>
            <w:tcW w:w="1181" w:type="dxa"/>
            <w:vAlign w:val="bottom"/>
          </w:tcPr>
          <w:p w14:paraId="5139DFAB" w14:textId="77777777" w:rsidR="00F01EC8" w:rsidRPr="00F01EC8" w:rsidRDefault="00F01EC8">
            <w:pPr>
              <w:pStyle w:val="NoSpacing"/>
              <w:spacing w:line="256" w:lineRule="auto"/>
              <w:rPr>
                <w:sz w:val="20"/>
                <w:szCs w:val="20"/>
              </w:rPr>
            </w:pPr>
          </w:p>
        </w:tc>
        <w:tc>
          <w:tcPr>
            <w:tcW w:w="1182" w:type="dxa"/>
            <w:vAlign w:val="bottom"/>
          </w:tcPr>
          <w:p w14:paraId="3446776B" w14:textId="77777777" w:rsidR="00F01EC8" w:rsidRPr="00F01EC8" w:rsidRDefault="00F01EC8">
            <w:pPr>
              <w:pStyle w:val="NoSpacing"/>
              <w:spacing w:line="256" w:lineRule="auto"/>
              <w:rPr>
                <w:color w:val="FF0000"/>
                <w:sz w:val="20"/>
                <w:szCs w:val="20"/>
              </w:rPr>
            </w:pPr>
          </w:p>
        </w:tc>
      </w:tr>
      <w:tr w:rsidR="00F01EC8" w:rsidRPr="00F01EC8" w14:paraId="6C0E70B5" w14:textId="77777777" w:rsidTr="00F01EC8">
        <w:tc>
          <w:tcPr>
            <w:tcW w:w="6123" w:type="dxa"/>
            <w:vAlign w:val="bottom"/>
          </w:tcPr>
          <w:p w14:paraId="149DAC1E" w14:textId="77777777" w:rsidR="00F01EC8" w:rsidRPr="00F01EC8" w:rsidRDefault="00F01EC8">
            <w:pPr>
              <w:pStyle w:val="NoSpacing"/>
              <w:spacing w:line="256" w:lineRule="auto"/>
              <w:rPr>
                <w:sz w:val="20"/>
                <w:szCs w:val="20"/>
              </w:rPr>
            </w:pPr>
          </w:p>
        </w:tc>
        <w:tc>
          <w:tcPr>
            <w:tcW w:w="1181" w:type="dxa"/>
            <w:vAlign w:val="bottom"/>
          </w:tcPr>
          <w:p w14:paraId="7FE0AD66" w14:textId="77777777" w:rsidR="00F01EC8" w:rsidRPr="00F01EC8" w:rsidRDefault="00F01EC8">
            <w:pPr>
              <w:pStyle w:val="NoSpacing"/>
              <w:spacing w:line="256" w:lineRule="auto"/>
              <w:jc w:val="center"/>
              <w:rPr>
                <w:sz w:val="20"/>
                <w:szCs w:val="20"/>
              </w:rPr>
            </w:pPr>
          </w:p>
        </w:tc>
        <w:tc>
          <w:tcPr>
            <w:tcW w:w="1181" w:type="dxa"/>
            <w:vAlign w:val="bottom"/>
          </w:tcPr>
          <w:p w14:paraId="69690C3A" w14:textId="77777777" w:rsidR="00F01EC8" w:rsidRPr="00F01EC8" w:rsidRDefault="00F01EC8">
            <w:pPr>
              <w:pStyle w:val="NoSpacing"/>
              <w:spacing w:line="256" w:lineRule="auto"/>
              <w:jc w:val="center"/>
              <w:rPr>
                <w:sz w:val="20"/>
                <w:szCs w:val="20"/>
              </w:rPr>
            </w:pPr>
          </w:p>
        </w:tc>
        <w:tc>
          <w:tcPr>
            <w:tcW w:w="1182" w:type="dxa"/>
            <w:vAlign w:val="bottom"/>
          </w:tcPr>
          <w:p w14:paraId="7E06F5BE" w14:textId="77777777" w:rsidR="00F01EC8" w:rsidRPr="00F01EC8" w:rsidRDefault="00F01EC8">
            <w:pPr>
              <w:pStyle w:val="NoSpacing"/>
              <w:spacing w:line="256" w:lineRule="auto"/>
              <w:jc w:val="center"/>
              <w:rPr>
                <w:sz w:val="20"/>
                <w:szCs w:val="20"/>
              </w:rPr>
            </w:pPr>
          </w:p>
        </w:tc>
      </w:tr>
    </w:tbl>
    <w:p w14:paraId="0106C52C" w14:textId="4FD5F488" w:rsidR="00F01EC8" w:rsidRPr="00F01EC8" w:rsidRDefault="00F01EC8" w:rsidP="00F01EC8">
      <w:pPr>
        <w:pStyle w:val="NoSpacing"/>
        <w:ind w:left="284" w:hanging="284"/>
        <w:jc w:val="both"/>
        <w:rPr>
          <w:i/>
          <w:sz w:val="20"/>
          <w:szCs w:val="20"/>
          <w:vertAlign w:val="superscript"/>
        </w:rPr>
      </w:pPr>
      <w:r w:rsidRPr="00F01EC8">
        <w:rPr>
          <w:i/>
          <w:sz w:val="20"/>
          <w:szCs w:val="20"/>
          <w:vertAlign w:val="superscript"/>
        </w:rPr>
        <w:tab/>
      </w:r>
    </w:p>
    <w:p w14:paraId="7BC6CE5F" w14:textId="5E12E743" w:rsidR="00F01EC8" w:rsidRPr="00F01EC8" w:rsidRDefault="00DD6D48" w:rsidP="00F01EC8">
      <w:pPr>
        <w:pStyle w:val="NoSpacing"/>
        <w:ind w:left="284" w:hanging="284"/>
        <w:jc w:val="both"/>
        <w:rPr>
          <w:i/>
          <w:sz w:val="20"/>
          <w:szCs w:val="20"/>
        </w:rPr>
      </w:pPr>
      <w:r>
        <w:rPr>
          <w:i/>
          <w:sz w:val="20"/>
          <w:szCs w:val="20"/>
          <w:vertAlign w:val="superscript"/>
        </w:rPr>
        <w:t>1</w:t>
      </w:r>
      <w:r w:rsidR="00F01EC8" w:rsidRPr="00F01EC8">
        <w:rPr>
          <w:i/>
          <w:sz w:val="20"/>
          <w:szCs w:val="20"/>
        </w:rPr>
        <w:tab/>
        <w:t>Calculated as the average of month end receivables for the 6 months ended 30 June.</w:t>
      </w:r>
    </w:p>
    <w:p w14:paraId="14E804DB" w14:textId="163ED7B9" w:rsidR="00F01EC8" w:rsidRPr="00F01EC8" w:rsidRDefault="00DD6D48" w:rsidP="00F01EC8">
      <w:pPr>
        <w:pStyle w:val="NoSpacing"/>
        <w:ind w:left="284" w:hanging="284"/>
        <w:jc w:val="both"/>
        <w:rPr>
          <w:i/>
          <w:sz w:val="20"/>
          <w:szCs w:val="20"/>
          <w:vertAlign w:val="superscript"/>
        </w:rPr>
      </w:pPr>
      <w:r>
        <w:rPr>
          <w:i/>
          <w:sz w:val="20"/>
          <w:szCs w:val="20"/>
          <w:vertAlign w:val="superscript"/>
        </w:rPr>
        <w:t>2</w:t>
      </w:r>
      <w:r w:rsidR="00F01EC8" w:rsidRPr="00F01EC8">
        <w:rPr>
          <w:i/>
          <w:sz w:val="20"/>
          <w:szCs w:val="20"/>
          <w:vertAlign w:val="superscript"/>
        </w:rPr>
        <w:tab/>
      </w:r>
      <w:r w:rsidR="00F01EC8" w:rsidRPr="00F01EC8">
        <w:rPr>
          <w:i/>
          <w:sz w:val="20"/>
          <w:szCs w:val="20"/>
        </w:rPr>
        <w:t>In 2019, adjusted loss before tax was stated before exceptional costs of £10.0m in relation to the turnaround of the home credit business following the poor execution of the migration to the new operating model in July 2017.</w:t>
      </w:r>
    </w:p>
    <w:p w14:paraId="240F0B9E" w14:textId="03E69AA5" w:rsidR="00F01EC8" w:rsidRPr="00F01EC8" w:rsidRDefault="00DD6D48" w:rsidP="00F01EC8">
      <w:pPr>
        <w:pStyle w:val="NoSpacing"/>
        <w:ind w:left="284" w:hanging="284"/>
        <w:jc w:val="both"/>
        <w:rPr>
          <w:i/>
          <w:sz w:val="20"/>
          <w:szCs w:val="20"/>
          <w:vertAlign w:val="superscript"/>
        </w:rPr>
      </w:pPr>
      <w:r>
        <w:rPr>
          <w:i/>
          <w:sz w:val="20"/>
          <w:szCs w:val="20"/>
          <w:vertAlign w:val="superscript"/>
        </w:rPr>
        <w:t>3</w:t>
      </w:r>
      <w:r w:rsidR="00F01EC8" w:rsidRPr="00F01EC8">
        <w:rPr>
          <w:i/>
          <w:sz w:val="20"/>
          <w:szCs w:val="20"/>
        </w:rPr>
        <w:tab/>
        <w:t>Revenue as a percentage of average receivables for the 12 months ended 30 June.</w:t>
      </w:r>
    </w:p>
    <w:p w14:paraId="025F4ED4" w14:textId="3A7FFE21" w:rsidR="00F01EC8" w:rsidRPr="00230548" w:rsidRDefault="00DD6D48" w:rsidP="00230548">
      <w:pPr>
        <w:pStyle w:val="NoSpacing"/>
        <w:ind w:left="284" w:hanging="284"/>
        <w:jc w:val="both"/>
        <w:rPr>
          <w:i/>
          <w:sz w:val="20"/>
          <w:szCs w:val="20"/>
        </w:rPr>
      </w:pPr>
      <w:r>
        <w:rPr>
          <w:i/>
          <w:sz w:val="20"/>
          <w:szCs w:val="20"/>
          <w:vertAlign w:val="superscript"/>
        </w:rPr>
        <w:t>4</w:t>
      </w:r>
      <w:r w:rsidR="00F01EC8" w:rsidRPr="00F01EC8">
        <w:rPr>
          <w:i/>
          <w:sz w:val="20"/>
          <w:szCs w:val="20"/>
          <w:vertAlign w:val="superscript"/>
        </w:rPr>
        <w:tab/>
      </w:r>
      <w:r w:rsidR="00F01EC8" w:rsidRPr="00F01EC8">
        <w:rPr>
          <w:i/>
          <w:sz w:val="20"/>
          <w:szCs w:val="20"/>
        </w:rPr>
        <w:t>Impairment as a percentage of average receivables for the 12 months ended 30 June.</w:t>
      </w:r>
    </w:p>
    <w:p w14:paraId="1D5FD324" w14:textId="4F56DD51" w:rsidR="00F01EC8" w:rsidRPr="00F01EC8" w:rsidRDefault="00DD6D48" w:rsidP="00F01EC8">
      <w:pPr>
        <w:pStyle w:val="NoSpacing"/>
        <w:ind w:left="284" w:hanging="284"/>
        <w:jc w:val="both"/>
        <w:rPr>
          <w:sz w:val="20"/>
          <w:szCs w:val="20"/>
        </w:rPr>
      </w:pPr>
      <w:r>
        <w:rPr>
          <w:i/>
          <w:sz w:val="20"/>
          <w:szCs w:val="20"/>
          <w:vertAlign w:val="superscript"/>
        </w:rPr>
        <w:t>5</w:t>
      </w:r>
      <w:r w:rsidR="00F01EC8" w:rsidRPr="00F01EC8">
        <w:rPr>
          <w:i/>
          <w:sz w:val="20"/>
          <w:szCs w:val="20"/>
          <w:vertAlign w:val="superscript"/>
        </w:rPr>
        <w:tab/>
      </w:r>
      <w:r w:rsidR="00F01EC8" w:rsidRPr="00F01EC8">
        <w:rPr>
          <w:i/>
          <w:sz w:val="20"/>
          <w:szCs w:val="20"/>
        </w:rPr>
        <w:t>Adjusted loss before interest after tax as a percentage of average receivables for the 12 months ended 30 June.</w:t>
      </w:r>
      <w:r w:rsidR="00F01EC8" w:rsidRPr="00F01EC8">
        <w:rPr>
          <w:sz w:val="20"/>
          <w:szCs w:val="20"/>
        </w:rPr>
        <w:t xml:space="preserve"> </w:t>
      </w:r>
    </w:p>
    <w:p w14:paraId="0033C16F" w14:textId="77777777" w:rsidR="00F01EC8" w:rsidRPr="00F01EC8" w:rsidRDefault="00F01EC8" w:rsidP="00F01EC8">
      <w:pPr>
        <w:pStyle w:val="NoSpacing"/>
        <w:rPr>
          <w:sz w:val="20"/>
          <w:szCs w:val="20"/>
        </w:rPr>
      </w:pPr>
    </w:p>
    <w:p w14:paraId="5C907007" w14:textId="77777777" w:rsidR="00F01EC8" w:rsidRPr="00F01EC8" w:rsidRDefault="00F01EC8" w:rsidP="00230548">
      <w:pPr>
        <w:pStyle w:val="NoSpacing"/>
        <w:jc w:val="both"/>
        <w:rPr>
          <w:sz w:val="20"/>
          <w:szCs w:val="20"/>
        </w:rPr>
      </w:pPr>
      <w:r w:rsidRPr="00F01EC8">
        <w:rPr>
          <w:sz w:val="20"/>
          <w:szCs w:val="20"/>
        </w:rPr>
        <w:t xml:space="preserve">The Consumer Credit Division (‘CCD’), which comprises Provident home credit and Satsuma, was on track to break even during 2020 prior to Covid-19. It is still the Group’s intention to return this business to standalone profitability, albeit the timing of this has been delayed. The strategy for CCD will be to focus on leveraging efficiency in serving its customers, while continuing to be underpinned by a relationship model, and offering customer choice. </w:t>
      </w:r>
    </w:p>
    <w:p w14:paraId="2C2698EF" w14:textId="77777777" w:rsidR="00F01EC8" w:rsidRPr="00F01EC8" w:rsidRDefault="00F01EC8" w:rsidP="00230548">
      <w:pPr>
        <w:pStyle w:val="NoSpacing"/>
        <w:jc w:val="both"/>
        <w:rPr>
          <w:sz w:val="20"/>
          <w:szCs w:val="20"/>
        </w:rPr>
      </w:pPr>
    </w:p>
    <w:p w14:paraId="5FC5C943" w14:textId="527555ED" w:rsidR="00F01EC8" w:rsidRPr="00F01EC8" w:rsidRDefault="00F01EC8" w:rsidP="00230548">
      <w:pPr>
        <w:pStyle w:val="NoSpacing"/>
        <w:jc w:val="both"/>
        <w:rPr>
          <w:sz w:val="20"/>
          <w:szCs w:val="20"/>
        </w:rPr>
      </w:pPr>
      <w:r w:rsidRPr="00F01EC8">
        <w:rPr>
          <w:sz w:val="20"/>
          <w:szCs w:val="20"/>
        </w:rPr>
        <w:t>For the first six months, CCD reported a</w:t>
      </w:r>
      <w:r w:rsidR="00680F6F">
        <w:rPr>
          <w:sz w:val="20"/>
          <w:szCs w:val="20"/>
        </w:rPr>
        <w:t xml:space="preserve"> </w:t>
      </w:r>
      <w:r w:rsidRPr="00F01EC8">
        <w:rPr>
          <w:sz w:val="20"/>
          <w:szCs w:val="20"/>
        </w:rPr>
        <w:t>loss before tax of £37.6m, down from a loss for H1’19 of £15.1m but significantly better than internal plans. The loss for the period reflects lower net revenue being partially offset by a lower cost base.</w:t>
      </w:r>
    </w:p>
    <w:p w14:paraId="41C6F145" w14:textId="77777777" w:rsidR="00F01EC8" w:rsidRPr="00F01EC8" w:rsidRDefault="00F01EC8" w:rsidP="00F01EC8">
      <w:pPr>
        <w:pStyle w:val="NoSpacing"/>
        <w:jc w:val="both"/>
        <w:rPr>
          <w:sz w:val="20"/>
          <w:szCs w:val="20"/>
        </w:rPr>
      </w:pPr>
    </w:p>
    <w:p w14:paraId="0822CD6B" w14:textId="77777777" w:rsidR="00F01EC8" w:rsidRPr="00F01EC8" w:rsidRDefault="00F01EC8" w:rsidP="00F01EC8">
      <w:pPr>
        <w:pStyle w:val="NoSpacing"/>
        <w:jc w:val="both"/>
        <w:rPr>
          <w:sz w:val="20"/>
          <w:szCs w:val="20"/>
        </w:rPr>
      </w:pPr>
      <w:r w:rsidRPr="00F01EC8">
        <w:rPr>
          <w:sz w:val="20"/>
          <w:szCs w:val="20"/>
        </w:rPr>
        <w:t xml:space="preserve">The home credit business responded to the challenges presented by Covid-19 by introducing several new ways of working, in order to adapt and continue supporting its customers. Home credit field-based colleagues are able to offer lending and collections services on a fully remote basis including: taking repayments online, over the phone or via an Allpay card, managing loan applications remotely to new, existing or returning customers, offering Provident Direct and utilising central collections activity to support with a particular focus on later-stage arrears. As lockdown restrictions have eased, some field-based colleagues have been able to make home visits again since mid-June onwards. However, they are only able to do so when agreed in advance with the customer. </w:t>
      </w:r>
    </w:p>
    <w:p w14:paraId="3A2F442F" w14:textId="77777777" w:rsidR="00F01EC8" w:rsidRPr="00F01EC8" w:rsidRDefault="00F01EC8" w:rsidP="00F01EC8">
      <w:pPr>
        <w:pStyle w:val="NoSpacing"/>
        <w:jc w:val="both"/>
        <w:rPr>
          <w:sz w:val="20"/>
          <w:szCs w:val="20"/>
        </w:rPr>
      </w:pPr>
    </w:p>
    <w:p w14:paraId="42578F66" w14:textId="6E7546E2" w:rsidR="00F01EC8" w:rsidRPr="00F01EC8" w:rsidRDefault="00F01EC8" w:rsidP="00F01EC8">
      <w:pPr>
        <w:pStyle w:val="NoSpacing"/>
        <w:jc w:val="both"/>
        <w:rPr>
          <w:sz w:val="20"/>
          <w:szCs w:val="20"/>
        </w:rPr>
      </w:pPr>
      <w:r w:rsidRPr="00F01EC8">
        <w:rPr>
          <w:sz w:val="20"/>
          <w:szCs w:val="20"/>
        </w:rPr>
        <w:t xml:space="preserve">The home credit team implemented a process to help identify customers indicating that they have been impacted by Covid-19 and whose circumstances have changed as a result. At the end of June, there were c.8.5k customers on a payment holiday which equates to around 3% of customers and 1% of receivables. In Satsuma, payment holiday take-up at the end of June represented c.3% of customers and 4% of receivables. </w:t>
      </w:r>
    </w:p>
    <w:p w14:paraId="34250B1B" w14:textId="77777777" w:rsidR="00F01EC8" w:rsidRPr="00F01EC8" w:rsidRDefault="00F01EC8" w:rsidP="00F01EC8">
      <w:pPr>
        <w:pStyle w:val="NoSpacing"/>
        <w:jc w:val="both"/>
        <w:rPr>
          <w:sz w:val="20"/>
          <w:szCs w:val="20"/>
        </w:rPr>
      </w:pPr>
    </w:p>
    <w:p w14:paraId="0C27D67D" w14:textId="5A9017E0" w:rsidR="00F01EC8" w:rsidRPr="00F01EC8" w:rsidRDefault="00F01EC8" w:rsidP="00F01EC8">
      <w:pPr>
        <w:pStyle w:val="NoSpacing"/>
        <w:jc w:val="both"/>
        <w:rPr>
          <w:sz w:val="20"/>
          <w:szCs w:val="20"/>
        </w:rPr>
      </w:pPr>
      <w:r w:rsidRPr="00F01EC8">
        <w:rPr>
          <w:sz w:val="20"/>
          <w:szCs w:val="20"/>
        </w:rPr>
        <w:t>The significant operational changes outlined above have enabled new ways of working and our</w:t>
      </w:r>
      <w:r w:rsidR="00062D7A">
        <w:rPr>
          <w:sz w:val="20"/>
          <w:szCs w:val="20"/>
        </w:rPr>
        <w:t xml:space="preserve"> </w:t>
      </w:r>
      <w:r w:rsidR="00062D7A" w:rsidRPr="00F01EC8">
        <w:rPr>
          <w:sz w:val="20"/>
          <w:szCs w:val="20"/>
        </w:rPr>
        <w:t>Customer Experience Managers</w:t>
      </w:r>
      <w:r w:rsidRPr="00F01EC8">
        <w:rPr>
          <w:sz w:val="20"/>
          <w:szCs w:val="20"/>
        </w:rPr>
        <w:t xml:space="preserve"> </w:t>
      </w:r>
      <w:r w:rsidR="00062D7A">
        <w:rPr>
          <w:sz w:val="20"/>
          <w:szCs w:val="20"/>
        </w:rPr>
        <w:t>(</w:t>
      </w:r>
      <w:r w:rsidRPr="00F01EC8">
        <w:rPr>
          <w:sz w:val="20"/>
          <w:szCs w:val="20"/>
        </w:rPr>
        <w:t>CEMs</w:t>
      </w:r>
      <w:r w:rsidR="00062D7A">
        <w:rPr>
          <w:sz w:val="20"/>
          <w:szCs w:val="20"/>
        </w:rPr>
        <w:t>)</w:t>
      </w:r>
      <w:r w:rsidRPr="00F01EC8">
        <w:rPr>
          <w:sz w:val="20"/>
          <w:szCs w:val="20"/>
        </w:rPr>
        <w:t xml:space="preserve"> have become more efficient as a result and are more effectively aligned to customer preferences. Alongside that, the reduction in customer numbers and receivables have led to more immediate cost base action being necessary. At the end of July, home credit launched a consultation period with a view to removing around 300 CEMs and </w:t>
      </w:r>
      <w:r w:rsidR="00062D7A" w:rsidRPr="00F01EC8">
        <w:rPr>
          <w:sz w:val="20"/>
          <w:szCs w:val="20"/>
        </w:rPr>
        <w:t xml:space="preserve">Customer </w:t>
      </w:r>
      <w:r w:rsidR="00062D7A">
        <w:rPr>
          <w:sz w:val="20"/>
          <w:szCs w:val="20"/>
        </w:rPr>
        <w:t>Service</w:t>
      </w:r>
      <w:r w:rsidR="00062D7A" w:rsidRPr="00F01EC8">
        <w:rPr>
          <w:sz w:val="20"/>
          <w:szCs w:val="20"/>
        </w:rPr>
        <w:t xml:space="preserve"> Managers </w:t>
      </w:r>
      <w:r w:rsidR="00062D7A">
        <w:rPr>
          <w:sz w:val="20"/>
          <w:szCs w:val="20"/>
        </w:rPr>
        <w:t>(</w:t>
      </w:r>
      <w:r w:rsidR="00062D7A" w:rsidRPr="00F01EC8">
        <w:rPr>
          <w:sz w:val="20"/>
          <w:szCs w:val="20"/>
        </w:rPr>
        <w:t>C</w:t>
      </w:r>
      <w:r w:rsidR="00062D7A">
        <w:rPr>
          <w:sz w:val="20"/>
          <w:szCs w:val="20"/>
        </w:rPr>
        <w:t>S</w:t>
      </w:r>
      <w:r w:rsidR="00062D7A" w:rsidRPr="00F01EC8">
        <w:rPr>
          <w:sz w:val="20"/>
          <w:szCs w:val="20"/>
        </w:rPr>
        <w:t>Ms</w:t>
      </w:r>
      <w:r w:rsidR="00062D7A">
        <w:rPr>
          <w:sz w:val="20"/>
          <w:szCs w:val="20"/>
        </w:rPr>
        <w:t>)</w:t>
      </w:r>
      <w:r w:rsidRPr="00F01EC8">
        <w:rPr>
          <w:sz w:val="20"/>
          <w:szCs w:val="20"/>
        </w:rPr>
        <w:t xml:space="preserve">. The proposal is to replace the CEMs/CSMs role with a new Customer Representative (‘CR’) role, reporting to Business Managers. The proposed CR role will also see the introduction of a higher level of variable remuneration. </w:t>
      </w:r>
    </w:p>
    <w:p w14:paraId="6F5C3E6B" w14:textId="77777777" w:rsidR="00F01EC8" w:rsidRPr="00F01EC8" w:rsidRDefault="00F01EC8" w:rsidP="00F01EC8">
      <w:pPr>
        <w:pStyle w:val="NoSpacing"/>
        <w:jc w:val="both"/>
        <w:rPr>
          <w:sz w:val="20"/>
          <w:szCs w:val="20"/>
        </w:rPr>
      </w:pPr>
    </w:p>
    <w:p w14:paraId="40D373E0" w14:textId="5B451473" w:rsidR="00F01EC8" w:rsidRDefault="00F01EC8" w:rsidP="00F01EC8">
      <w:pPr>
        <w:pStyle w:val="NoSpacing"/>
        <w:jc w:val="both"/>
        <w:rPr>
          <w:sz w:val="20"/>
          <w:szCs w:val="20"/>
        </w:rPr>
      </w:pPr>
      <w:r w:rsidRPr="00F01EC8">
        <w:rPr>
          <w:sz w:val="20"/>
          <w:szCs w:val="20"/>
        </w:rPr>
        <w:t>Customer numbers ended the period at 379k, which represents a reduction vs  H1’19 of c.29%, driven by significantly reduced new customer bookings during the Covid-19 lockdown period. This is reflected in new issue volumes being down by c.40% vs H1’19 in home credit as a result of tighter underwriting standards and operational restrictions, particularly in the early stages of lockdown. Lending volumes fell by c.80% in Satsuma in H1’20 due to changes in the affordability assessment and customer onboarding processes during the first quarter and a subsequent pause in all lending in Satsuma during May which will remain in place until more operational and regulatory certainty can be established.</w:t>
      </w:r>
    </w:p>
    <w:p w14:paraId="7C8CA0A4" w14:textId="77777777" w:rsidR="004D55D9" w:rsidRPr="00F01EC8" w:rsidRDefault="004D55D9" w:rsidP="00F01EC8">
      <w:pPr>
        <w:pStyle w:val="NoSpacing"/>
        <w:jc w:val="both"/>
        <w:rPr>
          <w:sz w:val="20"/>
          <w:szCs w:val="20"/>
        </w:rPr>
      </w:pPr>
    </w:p>
    <w:p w14:paraId="0B112C86" w14:textId="77777777" w:rsidR="00F01EC8" w:rsidRPr="00F01EC8" w:rsidRDefault="00F01EC8" w:rsidP="00F01EC8">
      <w:pPr>
        <w:pStyle w:val="NoSpacing"/>
        <w:jc w:val="both"/>
        <w:rPr>
          <w:sz w:val="20"/>
          <w:szCs w:val="20"/>
        </w:rPr>
      </w:pPr>
      <w:r w:rsidRPr="00F01EC8">
        <w:rPr>
          <w:sz w:val="20"/>
          <w:szCs w:val="20"/>
        </w:rPr>
        <w:t xml:space="preserve">CCD receivables ended the period at £147m, which represents a decline of 40% year-on-year, driven by lower issue volumes during the period and higher provisioning levels. Satsuma receivables of £16m at the end of June represented a fall of c.60% year-on-year as lending to new and existing customers was paused alongside collection activity remaining strong. </w:t>
      </w:r>
    </w:p>
    <w:p w14:paraId="2CE5C37C" w14:textId="77777777" w:rsidR="00F01EC8" w:rsidRPr="00F01EC8" w:rsidRDefault="00F01EC8" w:rsidP="00F01EC8">
      <w:pPr>
        <w:pStyle w:val="NoSpacing"/>
        <w:jc w:val="both"/>
        <w:rPr>
          <w:sz w:val="20"/>
          <w:szCs w:val="20"/>
        </w:rPr>
      </w:pPr>
    </w:p>
    <w:p w14:paraId="0589255F" w14:textId="278850CB" w:rsidR="00F01EC8" w:rsidRPr="00F01EC8" w:rsidRDefault="00F01EC8" w:rsidP="00F01EC8">
      <w:pPr>
        <w:pStyle w:val="NoSpacing"/>
        <w:jc w:val="both"/>
        <w:rPr>
          <w:sz w:val="20"/>
          <w:szCs w:val="20"/>
        </w:rPr>
      </w:pPr>
      <w:r w:rsidRPr="00F01EC8">
        <w:rPr>
          <w:sz w:val="20"/>
          <w:szCs w:val="20"/>
        </w:rPr>
        <w:lastRenderedPageBreak/>
        <w:t xml:space="preserve">Revenue for the period was £118.4m, a reduction of 22% vs H1’19, which is consistent with the c.25% fall in </w:t>
      </w:r>
      <w:r w:rsidR="00062D7A">
        <w:rPr>
          <w:sz w:val="20"/>
          <w:szCs w:val="20"/>
        </w:rPr>
        <w:t xml:space="preserve">average </w:t>
      </w:r>
      <w:r w:rsidRPr="00F01EC8">
        <w:rPr>
          <w:sz w:val="20"/>
          <w:szCs w:val="20"/>
        </w:rPr>
        <w:t>receivables over the same period. The reported annualised revenue yield for H1’20 is 121%, ahead of the comparable figure for H1’19 of 117%.</w:t>
      </w:r>
    </w:p>
    <w:p w14:paraId="796B5F43" w14:textId="77777777" w:rsidR="00F01EC8" w:rsidRPr="00F01EC8" w:rsidRDefault="00F01EC8" w:rsidP="00F01EC8">
      <w:pPr>
        <w:pStyle w:val="NoSpacing"/>
        <w:jc w:val="both"/>
        <w:rPr>
          <w:sz w:val="20"/>
          <w:szCs w:val="20"/>
        </w:rPr>
      </w:pPr>
    </w:p>
    <w:p w14:paraId="27327E8F" w14:textId="21619F09" w:rsidR="00F01EC8" w:rsidRPr="00F01EC8" w:rsidRDefault="00F01EC8" w:rsidP="00F01EC8">
      <w:pPr>
        <w:pStyle w:val="NoSpacing"/>
        <w:jc w:val="both"/>
        <w:rPr>
          <w:sz w:val="20"/>
          <w:szCs w:val="20"/>
        </w:rPr>
      </w:pPr>
      <w:r w:rsidRPr="00F01EC8">
        <w:rPr>
          <w:sz w:val="20"/>
          <w:szCs w:val="20"/>
        </w:rPr>
        <w:t>Impairment for the first six months of the year amounted to £52.9m, an increase of just 2% vs H1’19. Despite the significantly smaller book year-on-year, the impairment charge has remained similar to the prior year owing to a more adverse arrears distribution as a consequence of Covid-19. The impairment charge equates to an annualised impairment rate at the end of June of 45.1% vs 38.0% in H1’19. The RAM at the end of June was 7</w:t>
      </w:r>
      <w:r w:rsidR="00FC4BC4">
        <w:rPr>
          <w:sz w:val="20"/>
          <w:szCs w:val="20"/>
        </w:rPr>
        <w:t>6.1</w:t>
      </w:r>
      <w:r w:rsidRPr="00F01EC8">
        <w:rPr>
          <w:sz w:val="20"/>
          <w:szCs w:val="20"/>
        </w:rPr>
        <w:t xml:space="preserve">%, lower vs H1’19 by </w:t>
      </w:r>
      <w:r w:rsidR="000F4B70">
        <w:rPr>
          <w:sz w:val="20"/>
          <w:szCs w:val="20"/>
        </w:rPr>
        <w:t>4.0</w:t>
      </w:r>
      <w:r w:rsidRPr="00F01EC8">
        <w:rPr>
          <w:sz w:val="20"/>
          <w:szCs w:val="20"/>
        </w:rPr>
        <w:t xml:space="preserve">%, </w:t>
      </w:r>
      <w:r w:rsidR="00062D7A">
        <w:rPr>
          <w:sz w:val="20"/>
          <w:szCs w:val="20"/>
        </w:rPr>
        <w:t>due</w:t>
      </w:r>
      <w:r w:rsidRPr="00F01EC8">
        <w:rPr>
          <w:sz w:val="20"/>
          <w:szCs w:val="20"/>
        </w:rPr>
        <w:t xml:space="preserve"> to lower net revenue </w:t>
      </w:r>
      <w:r w:rsidR="00062D7A">
        <w:rPr>
          <w:sz w:val="20"/>
          <w:szCs w:val="20"/>
        </w:rPr>
        <w:t>including</w:t>
      </w:r>
      <w:r w:rsidRPr="00F01EC8">
        <w:rPr>
          <w:sz w:val="20"/>
          <w:szCs w:val="20"/>
        </w:rPr>
        <w:t xml:space="preserve"> a higher impairment</w:t>
      </w:r>
      <w:r w:rsidR="00062D7A">
        <w:rPr>
          <w:sz w:val="20"/>
          <w:szCs w:val="20"/>
        </w:rPr>
        <w:t xml:space="preserve"> charge</w:t>
      </w:r>
      <w:r w:rsidRPr="00F01EC8">
        <w:rPr>
          <w:sz w:val="20"/>
          <w:szCs w:val="20"/>
        </w:rPr>
        <w:t xml:space="preserve">.  </w:t>
      </w:r>
    </w:p>
    <w:p w14:paraId="572DF91B" w14:textId="77777777" w:rsidR="00F01EC8" w:rsidRPr="00F01EC8" w:rsidRDefault="00F01EC8" w:rsidP="00F01EC8">
      <w:pPr>
        <w:pStyle w:val="NoSpacing"/>
        <w:jc w:val="both"/>
        <w:rPr>
          <w:sz w:val="20"/>
          <w:szCs w:val="20"/>
        </w:rPr>
      </w:pPr>
    </w:p>
    <w:p w14:paraId="19BA73C0" w14:textId="299F2BD7" w:rsidR="00F01EC8" w:rsidRPr="00F01EC8" w:rsidRDefault="00F01EC8" w:rsidP="00F01EC8">
      <w:pPr>
        <w:pStyle w:val="NoSpacing"/>
        <w:jc w:val="both"/>
        <w:rPr>
          <w:sz w:val="20"/>
          <w:szCs w:val="20"/>
        </w:rPr>
      </w:pPr>
      <w:r w:rsidRPr="00F01EC8">
        <w:rPr>
          <w:sz w:val="20"/>
          <w:szCs w:val="20"/>
        </w:rPr>
        <w:t xml:space="preserve">Costs of £98.5m were £11.8m lower vs H1’19. Expenses were lower, driven by lower salary costs following management action taken in 2018 and 2019, in restricting and lowering headcount in both the field and head office, partially offset by higher complaint costs. </w:t>
      </w:r>
    </w:p>
    <w:p w14:paraId="20F758A8" w14:textId="77777777" w:rsidR="00F01EC8" w:rsidRPr="00F01EC8" w:rsidRDefault="00F01EC8" w:rsidP="00F01EC8">
      <w:pPr>
        <w:pStyle w:val="NoSpacing"/>
        <w:jc w:val="both"/>
        <w:rPr>
          <w:sz w:val="20"/>
          <w:szCs w:val="20"/>
        </w:rPr>
      </w:pPr>
    </w:p>
    <w:p w14:paraId="4C10D895" w14:textId="77777777" w:rsidR="00F01EC8" w:rsidRPr="00F01EC8" w:rsidRDefault="00F01EC8" w:rsidP="00F01EC8">
      <w:pPr>
        <w:pStyle w:val="NoSpacing"/>
        <w:rPr>
          <w:b/>
          <w:sz w:val="20"/>
          <w:szCs w:val="20"/>
        </w:rPr>
      </w:pPr>
      <w:r w:rsidRPr="00F01EC8">
        <w:rPr>
          <w:b/>
          <w:sz w:val="20"/>
          <w:szCs w:val="20"/>
        </w:rPr>
        <w:t>Central costs</w:t>
      </w:r>
    </w:p>
    <w:p w14:paraId="3D51A4C5" w14:textId="77777777" w:rsidR="00F01EC8" w:rsidRPr="00F01EC8" w:rsidRDefault="00F01EC8" w:rsidP="00F01EC8">
      <w:pPr>
        <w:pStyle w:val="NoSpacing"/>
        <w:rPr>
          <w:sz w:val="20"/>
          <w:szCs w:val="20"/>
          <w:highlight w:val="magenta"/>
        </w:rPr>
      </w:pPr>
    </w:p>
    <w:p w14:paraId="002AEED7" w14:textId="77777777" w:rsidR="00F01EC8" w:rsidRPr="00F01EC8" w:rsidRDefault="00F01EC8" w:rsidP="00230548">
      <w:pPr>
        <w:jc w:val="both"/>
        <w:rPr>
          <w:rFonts w:asciiTheme="minorHAnsi" w:hAnsiTheme="minorHAnsi"/>
          <w:sz w:val="20"/>
          <w:szCs w:val="20"/>
        </w:rPr>
      </w:pPr>
      <w:r w:rsidRPr="00F01EC8">
        <w:rPr>
          <w:rFonts w:asciiTheme="minorHAnsi" w:hAnsiTheme="minorHAnsi"/>
          <w:sz w:val="20"/>
          <w:szCs w:val="20"/>
        </w:rPr>
        <w:t>Central costs have reduced from £10.5m to £9.2m year on year reflecting lower share incentive, Blueprint and Group risk costs. A £1.8m funding cost was incurred from carrying the increased liquidity headroom in response to Covid-19.</w:t>
      </w:r>
    </w:p>
    <w:p w14:paraId="72EA3DE6" w14:textId="77777777" w:rsidR="00DD6D48" w:rsidRDefault="00DD6D48" w:rsidP="00F01EC8">
      <w:pPr>
        <w:pStyle w:val="NoSpacing"/>
        <w:rPr>
          <w:b/>
          <w:sz w:val="20"/>
          <w:szCs w:val="20"/>
        </w:rPr>
      </w:pPr>
    </w:p>
    <w:p w14:paraId="0A195658" w14:textId="0F776855" w:rsidR="00F01EC8" w:rsidRPr="00F01EC8" w:rsidRDefault="00F01EC8" w:rsidP="00F01EC8">
      <w:pPr>
        <w:pStyle w:val="NoSpacing"/>
        <w:rPr>
          <w:b/>
          <w:sz w:val="20"/>
          <w:szCs w:val="20"/>
        </w:rPr>
      </w:pPr>
      <w:r w:rsidRPr="00F01EC8">
        <w:rPr>
          <w:b/>
          <w:sz w:val="20"/>
          <w:szCs w:val="20"/>
        </w:rPr>
        <w:t>Exceptional items</w:t>
      </w:r>
    </w:p>
    <w:p w14:paraId="09123634" w14:textId="77777777" w:rsidR="00F01EC8" w:rsidRPr="00F01EC8" w:rsidRDefault="00F01EC8" w:rsidP="00F01EC8">
      <w:pPr>
        <w:pStyle w:val="NoSpacing"/>
        <w:rPr>
          <w:sz w:val="20"/>
          <w:szCs w:val="20"/>
          <w:highlight w:val="magenta"/>
        </w:rPr>
      </w:pPr>
    </w:p>
    <w:p w14:paraId="1AB62EA4" w14:textId="552D9C26" w:rsidR="00F01EC8" w:rsidRPr="00F01EC8" w:rsidRDefault="00F01EC8" w:rsidP="00F01EC8">
      <w:pPr>
        <w:pStyle w:val="NoSpacing"/>
        <w:jc w:val="both"/>
        <w:rPr>
          <w:rFonts w:eastAsia="Calibri" w:cs="Calibri"/>
          <w:color w:val="000000"/>
          <w:sz w:val="20"/>
          <w:szCs w:val="20"/>
          <w:lang w:val="en-US"/>
        </w:rPr>
      </w:pPr>
      <w:r w:rsidRPr="00F01EC8">
        <w:rPr>
          <w:sz w:val="20"/>
          <w:szCs w:val="20"/>
        </w:rPr>
        <w:t xml:space="preserve">The exceptional credit in the first half of 2020 reflects the £8.3m release of provisions established in 2017 following the completion of the ROP refund programme in 2019 and the re-evaluation of the forward flow of claims which may arise in respect of ROP complaints. Exceptional costs in 2019 comprised (i) £23.6m of defence costs </w:t>
      </w:r>
      <w:r w:rsidRPr="00F01EC8">
        <w:rPr>
          <w:rFonts w:eastAsia="Calibri" w:cs="Calibri"/>
          <w:color w:val="000000"/>
          <w:sz w:val="20"/>
          <w:szCs w:val="20"/>
          <w:lang w:val="en-US"/>
        </w:rPr>
        <w:t xml:space="preserve">associated with Non-Standard Finance plc’s (NSF’s) unsolicited offer for the </w:t>
      </w:r>
      <w:r w:rsidR="005714EF">
        <w:rPr>
          <w:rFonts w:eastAsia="Calibri" w:cs="Calibri"/>
          <w:color w:val="000000"/>
          <w:sz w:val="20"/>
          <w:szCs w:val="20"/>
          <w:lang w:val="en-US"/>
        </w:rPr>
        <w:t>G</w:t>
      </w:r>
      <w:r w:rsidRPr="00F01EC8">
        <w:rPr>
          <w:rFonts w:eastAsia="Calibri" w:cs="Calibri"/>
          <w:color w:val="000000"/>
          <w:sz w:val="20"/>
          <w:szCs w:val="20"/>
          <w:lang w:val="en-US"/>
        </w:rPr>
        <w:t xml:space="preserve">roup; and (ii) £10.0m </w:t>
      </w:r>
      <w:r w:rsidRPr="00F01EC8">
        <w:rPr>
          <w:sz w:val="20"/>
          <w:szCs w:val="20"/>
        </w:rPr>
        <w:t xml:space="preserve">in relation to the ongoing turnaround of the home credit business. </w:t>
      </w:r>
    </w:p>
    <w:p w14:paraId="5A281848" w14:textId="77777777" w:rsidR="00F01EC8" w:rsidRPr="00F01EC8" w:rsidRDefault="00F01EC8" w:rsidP="00F01EC8">
      <w:pPr>
        <w:pStyle w:val="NoSpacing"/>
        <w:rPr>
          <w:sz w:val="20"/>
          <w:szCs w:val="20"/>
        </w:rPr>
      </w:pPr>
    </w:p>
    <w:p w14:paraId="4F3858C6" w14:textId="77777777" w:rsidR="00F01EC8" w:rsidRPr="00F01EC8" w:rsidRDefault="00F01EC8" w:rsidP="00F01EC8">
      <w:pPr>
        <w:pStyle w:val="NoSpacing"/>
        <w:rPr>
          <w:b/>
          <w:sz w:val="20"/>
          <w:szCs w:val="20"/>
        </w:rPr>
      </w:pPr>
      <w:r w:rsidRPr="00F01EC8">
        <w:rPr>
          <w:b/>
          <w:sz w:val="20"/>
          <w:szCs w:val="20"/>
        </w:rPr>
        <w:t>Tax</w:t>
      </w:r>
    </w:p>
    <w:p w14:paraId="3FB27CDF" w14:textId="77777777" w:rsidR="00F01EC8" w:rsidRPr="00F01EC8" w:rsidRDefault="00F01EC8" w:rsidP="00F01EC8">
      <w:pPr>
        <w:pStyle w:val="NoSpacing"/>
        <w:rPr>
          <w:b/>
          <w:sz w:val="20"/>
          <w:szCs w:val="20"/>
        </w:rPr>
      </w:pPr>
    </w:p>
    <w:p w14:paraId="3D6D41CA" w14:textId="0A509DB1" w:rsidR="00F01EC8" w:rsidRPr="00F01EC8" w:rsidRDefault="00F01EC8" w:rsidP="00F01EC8">
      <w:pPr>
        <w:pStyle w:val="NoSpacing"/>
        <w:jc w:val="both"/>
        <w:rPr>
          <w:sz w:val="20"/>
          <w:szCs w:val="20"/>
        </w:rPr>
      </w:pPr>
      <w:r w:rsidRPr="00F01EC8">
        <w:rPr>
          <w:sz w:val="20"/>
          <w:szCs w:val="20"/>
        </w:rPr>
        <w:t>The tax credit/(charge) for the period has been calculated by applying the best estimate of the effective tax rate for the financial year of 21.4% (2019: 26.3%), to the (loss)/profit before tax, amortisation of acquisition intangibles and exceptional items for the period. The tax rate reflects the impact of the bank corporation tax surcharge of 8% which came into force on 1 January 2016 and applies to Vanquis Bank profits in excess of £25m. It also reflects (i) the beneficial impact of measuring deferred tax assets at 19% (2019: 17%), and in the case of Vanquis Bank at 27% (2019: 25%), following the announcement in the March 2020 Budget that the rate of mainstream UK corporation tax would remain at 19% from 1 April 2020 rather than the previously enacted rate of 17%; (ii) the benefit of the release of part of the provision for uncertain tax liabilities which is no longer required; and (</w:t>
      </w:r>
      <w:r w:rsidR="00343AB9">
        <w:rPr>
          <w:sz w:val="20"/>
          <w:szCs w:val="20"/>
        </w:rPr>
        <w:t>i</w:t>
      </w:r>
      <w:r w:rsidRPr="00F01EC8">
        <w:rPr>
          <w:sz w:val="20"/>
          <w:szCs w:val="20"/>
        </w:rPr>
        <w:t xml:space="preserve">ii) the adverse impact of the write off of deferred tax assets related to share awards reflecting the reduction in expected tax relief as a result of the lower share price and expected level of vesting. </w:t>
      </w:r>
    </w:p>
    <w:p w14:paraId="2381C6DD" w14:textId="77777777" w:rsidR="00F01EC8" w:rsidRPr="00F01EC8" w:rsidRDefault="00F01EC8" w:rsidP="00F01EC8">
      <w:pPr>
        <w:pStyle w:val="NoSpacing"/>
        <w:jc w:val="both"/>
        <w:rPr>
          <w:sz w:val="20"/>
          <w:szCs w:val="20"/>
        </w:rPr>
      </w:pPr>
    </w:p>
    <w:p w14:paraId="44B6D604" w14:textId="51CC450E" w:rsidR="00F01EC8" w:rsidRPr="00F01EC8" w:rsidRDefault="00F01EC8" w:rsidP="00F01EC8">
      <w:pPr>
        <w:pStyle w:val="NoSpacing"/>
        <w:jc w:val="both"/>
        <w:rPr>
          <w:sz w:val="20"/>
          <w:szCs w:val="20"/>
        </w:rPr>
      </w:pPr>
      <w:r w:rsidRPr="00F01EC8">
        <w:rPr>
          <w:sz w:val="20"/>
          <w:szCs w:val="20"/>
        </w:rPr>
        <w:t xml:space="preserve">The tax rate also reflects the recognition of deferred tax assets in respect of losses and other temporary differences on the basis that the </w:t>
      </w:r>
      <w:r w:rsidR="005714EF">
        <w:rPr>
          <w:sz w:val="20"/>
          <w:szCs w:val="20"/>
        </w:rPr>
        <w:t>G</w:t>
      </w:r>
      <w:r w:rsidRPr="00F01EC8">
        <w:rPr>
          <w:sz w:val="20"/>
          <w:szCs w:val="20"/>
        </w:rPr>
        <w:t>roup is expected to have sufficient taxable profits available in the future to enable such deferred tax assets to be recovered.</w:t>
      </w:r>
    </w:p>
    <w:p w14:paraId="353D271A" w14:textId="77777777" w:rsidR="00F01EC8" w:rsidRPr="00F01EC8" w:rsidRDefault="00F01EC8" w:rsidP="00F01EC8">
      <w:pPr>
        <w:pStyle w:val="NoSpacing"/>
        <w:jc w:val="both"/>
        <w:rPr>
          <w:sz w:val="20"/>
          <w:szCs w:val="20"/>
        </w:rPr>
      </w:pPr>
    </w:p>
    <w:p w14:paraId="0611ED83" w14:textId="5A619AB1" w:rsidR="00F01EC8" w:rsidRPr="00F01EC8" w:rsidRDefault="00F01EC8" w:rsidP="00F01EC8">
      <w:pPr>
        <w:pStyle w:val="NoSpacing"/>
        <w:jc w:val="both"/>
        <w:rPr>
          <w:sz w:val="20"/>
          <w:szCs w:val="20"/>
        </w:rPr>
      </w:pPr>
      <w:r w:rsidRPr="00F01EC8">
        <w:rPr>
          <w:sz w:val="20"/>
          <w:szCs w:val="20"/>
        </w:rPr>
        <w:t xml:space="preserve">The tax charge in respect of the exceptional credit in 2020 amounts to £2.2m which represents tax at the combined mainstream corporation tax rate and bank corporation tax surcharge rate of 27% in respect of the £8.3m exceptional release of provisions established in 2017 following the completion of the ROP refund programme in 2019 and the re-evaluation of the forward flow of claims that may arise in respect of ROP complaints more generally. The tax credit in 2019 in respect of exceptional costs amounted to £2.0m and represented: (i) tax relief of £1.9m in respect of the exceptional restructuring costs in CCD; and (ii) tax relief of £0.1m in respect of exceptional costs associated with the defence of the unsolicited offer from NSF. </w:t>
      </w:r>
    </w:p>
    <w:p w14:paraId="78D15EA1" w14:textId="77777777" w:rsidR="00F01EC8" w:rsidRPr="00F01EC8" w:rsidRDefault="00F01EC8" w:rsidP="00F01EC8">
      <w:pPr>
        <w:pStyle w:val="NoSpacing"/>
        <w:jc w:val="both"/>
        <w:rPr>
          <w:sz w:val="20"/>
          <w:szCs w:val="20"/>
        </w:rPr>
      </w:pPr>
    </w:p>
    <w:p w14:paraId="13282E7E" w14:textId="77777777" w:rsidR="00F01EC8" w:rsidRPr="00F01EC8" w:rsidRDefault="00F01EC8" w:rsidP="00F01EC8">
      <w:pPr>
        <w:pStyle w:val="NoSpacing"/>
        <w:jc w:val="both"/>
        <w:rPr>
          <w:sz w:val="20"/>
          <w:szCs w:val="20"/>
          <w:highlight w:val="magenta"/>
        </w:rPr>
      </w:pPr>
      <w:r w:rsidRPr="00F01EC8">
        <w:rPr>
          <w:sz w:val="20"/>
          <w:szCs w:val="20"/>
        </w:rPr>
        <w:t>The tax credit in respect of the amortisation of acquisition intangibles is £0.1m (2019: £0.7m) and represents a tax credit of £0.7m in respect of the amortisation net of the impact of measuring the related deferred tax liability at 19% (2019: 17%) following the announcement that the rate of mainstream UK corporation tax will remain at 19% from 1 April 2020 rather than the previously enacted rate of 17%, which amounts to £0.6m.</w:t>
      </w:r>
    </w:p>
    <w:p w14:paraId="078C4FC0" w14:textId="77777777" w:rsidR="00F01EC8" w:rsidRPr="00F01EC8" w:rsidRDefault="00F01EC8" w:rsidP="00F01EC8">
      <w:pPr>
        <w:pStyle w:val="NoSpacing"/>
        <w:rPr>
          <w:sz w:val="20"/>
          <w:szCs w:val="20"/>
          <w:highlight w:val="magenta"/>
        </w:rPr>
      </w:pPr>
    </w:p>
    <w:p w14:paraId="2CDC202A" w14:textId="77777777" w:rsidR="00F01EC8" w:rsidRPr="00F01EC8" w:rsidRDefault="00F01EC8" w:rsidP="00F01EC8">
      <w:pPr>
        <w:pStyle w:val="NoSpacing"/>
        <w:rPr>
          <w:rStyle w:val="Strong"/>
          <w:sz w:val="20"/>
          <w:szCs w:val="20"/>
        </w:rPr>
      </w:pPr>
      <w:r w:rsidRPr="00F01EC8">
        <w:rPr>
          <w:rStyle w:val="Strong"/>
          <w:sz w:val="20"/>
          <w:szCs w:val="20"/>
        </w:rPr>
        <w:t>Dividends</w:t>
      </w:r>
    </w:p>
    <w:p w14:paraId="13CAB391" w14:textId="77777777" w:rsidR="00F01EC8" w:rsidRPr="00F01EC8" w:rsidRDefault="00F01EC8" w:rsidP="00F01EC8">
      <w:pPr>
        <w:pStyle w:val="NoSpacing"/>
        <w:rPr>
          <w:sz w:val="20"/>
          <w:szCs w:val="20"/>
          <w:highlight w:val="magenta"/>
        </w:rPr>
      </w:pPr>
    </w:p>
    <w:p w14:paraId="62578004" w14:textId="2C9818DB" w:rsidR="00F01EC8" w:rsidRPr="00F01EC8" w:rsidRDefault="00F01EC8" w:rsidP="00F01EC8">
      <w:pPr>
        <w:pStyle w:val="NoSpacing"/>
        <w:jc w:val="both"/>
        <w:rPr>
          <w:sz w:val="20"/>
          <w:szCs w:val="20"/>
          <w:highlight w:val="magenta"/>
        </w:rPr>
      </w:pPr>
      <w:r w:rsidRPr="00F01EC8">
        <w:rPr>
          <w:sz w:val="20"/>
          <w:szCs w:val="20"/>
        </w:rPr>
        <w:lastRenderedPageBreak/>
        <w:t>The Board is not proposing an interim dividend with respect to this financial year (H1’19: 9.0p per share), in line with its decision to preserve capital, and support business stability</w:t>
      </w:r>
      <w:r w:rsidR="00E838F4">
        <w:rPr>
          <w:sz w:val="20"/>
          <w:szCs w:val="20"/>
        </w:rPr>
        <w:t>,</w:t>
      </w:r>
      <w:r w:rsidRPr="00F01EC8">
        <w:rPr>
          <w:sz w:val="20"/>
          <w:szCs w:val="20"/>
        </w:rPr>
        <w:t xml:space="preserve"> when deciding to </w:t>
      </w:r>
      <w:r w:rsidR="00E838F4">
        <w:rPr>
          <w:sz w:val="20"/>
          <w:szCs w:val="20"/>
        </w:rPr>
        <w:t>not pay</w:t>
      </w:r>
      <w:r w:rsidR="00E838F4" w:rsidRPr="00F01EC8">
        <w:rPr>
          <w:sz w:val="20"/>
          <w:szCs w:val="20"/>
        </w:rPr>
        <w:t xml:space="preserve"> </w:t>
      </w:r>
      <w:r w:rsidRPr="00F01EC8">
        <w:rPr>
          <w:sz w:val="20"/>
          <w:szCs w:val="20"/>
        </w:rPr>
        <w:t>the final dividend for FY’19. However, it remains our intention to resume dividend payments to shareholders as soon as operational and financial conditions normalise.</w:t>
      </w:r>
    </w:p>
    <w:p w14:paraId="51D6F816" w14:textId="77777777" w:rsidR="00F01EC8" w:rsidRPr="00F01EC8" w:rsidRDefault="00F01EC8" w:rsidP="00F01EC8">
      <w:pPr>
        <w:pStyle w:val="NoSpacing"/>
        <w:rPr>
          <w:sz w:val="20"/>
          <w:szCs w:val="20"/>
        </w:rPr>
      </w:pPr>
    </w:p>
    <w:p w14:paraId="3EF84DA4" w14:textId="61FE4E1E" w:rsidR="00F01EC8" w:rsidRPr="00F01EC8" w:rsidRDefault="00F01EC8" w:rsidP="00F01EC8">
      <w:pPr>
        <w:pStyle w:val="NoSpacing"/>
        <w:rPr>
          <w:rStyle w:val="Strong"/>
          <w:sz w:val="20"/>
          <w:szCs w:val="20"/>
        </w:rPr>
      </w:pPr>
      <w:r w:rsidRPr="00F01EC8">
        <w:rPr>
          <w:rStyle w:val="Strong"/>
          <w:sz w:val="20"/>
          <w:szCs w:val="20"/>
        </w:rPr>
        <w:t xml:space="preserve">Funding and </w:t>
      </w:r>
      <w:r w:rsidR="00680F6F">
        <w:rPr>
          <w:rStyle w:val="Strong"/>
          <w:sz w:val="20"/>
          <w:szCs w:val="20"/>
        </w:rPr>
        <w:t>c</w:t>
      </w:r>
      <w:r w:rsidRPr="00F01EC8">
        <w:rPr>
          <w:rStyle w:val="Strong"/>
          <w:sz w:val="20"/>
          <w:szCs w:val="20"/>
        </w:rPr>
        <w:t>apital</w:t>
      </w:r>
    </w:p>
    <w:p w14:paraId="56C76AC3" w14:textId="77777777" w:rsidR="00F01EC8" w:rsidRPr="00F01EC8" w:rsidRDefault="00F01EC8" w:rsidP="00F01EC8">
      <w:pPr>
        <w:pStyle w:val="NoSpacing"/>
        <w:rPr>
          <w:sz w:val="20"/>
          <w:szCs w:val="20"/>
        </w:rPr>
      </w:pPr>
    </w:p>
    <w:p w14:paraId="3B57A10B" w14:textId="77777777" w:rsidR="00F01EC8" w:rsidRPr="00F01EC8" w:rsidRDefault="00F01EC8" w:rsidP="00F01EC8">
      <w:pPr>
        <w:pStyle w:val="Body"/>
        <w:jc w:val="both"/>
        <w:rPr>
          <w:rFonts w:asciiTheme="minorHAnsi" w:hAnsiTheme="minorHAnsi" w:cs="Arial"/>
          <w:sz w:val="20"/>
          <w:szCs w:val="20"/>
        </w:rPr>
      </w:pPr>
      <w:r w:rsidRPr="00F01EC8">
        <w:rPr>
          <w:rFonts w:asciiTheme="minorHAnsi" w:hAnsiTheme="minorHAnsi" w:cs="Arial"/>
          <w:sz w:val="20"/>
          <w:szCs w:val="20"/>
        </w:rPr>
        <w:t>The Group has strong capital and liquidity positions comprising:</w:t>
      </w:r>
    </w:p>
    <w:p w14:paraId="2BC9F38C" w14:textId="77777777" w:rsidR="00F01EC8" w:rsidRPr="00F01EC8" w:rsidRDefault="00F01EC8" w:rsidP="00F01EC8">
      <w:pPr>
        <w:pStyle w:val="Body"/>
        <w:jc w:val="both"/>
        <w:rPr>
          <w:rFonts w:asciiTheme="minorHAnsi" w:hAnsiTheme="minorHAnsi" w:cs="Arial"/>
          <w:sz w:val="20"/>
          <w:szCs w:val="20"/>
        </w:rPr>
      </w:pPr>
    </w:p>
    <w:p w14:paraId="7D90FF72" w14:textId="7407B674" w:rsidR="00F01EC8" w:rsidRPr="00F01EC8" w:rsidRDefault="00F01EC8" w:rsidP="00F01EC8">
      <w:pPr>
        <w:pStyle w:val="NoSpacing"/>
        <w:numPr>
          <w:ilvl w:val="0"/>
          <w:numId w:val="26"/>
        </w:numPr>
        <w:jc w:val="both"/>
        <w:rPr>
          <w:sz w:val="20"/>
          <w:szCs w:val="20"/>
        </w:rPr>
      </w:pPr>
      <w:bookmarkStart w:id="9" w:name="_Hlk49170000"/>
      <w:r w:rsidRPr="00F01EC8">
        <w:rPr>
          <w:sz w:val="20"/>
          <w:szCs w:val="20"/>
        </w:rPr>
        <w:t>Regulatory capital headroom at 30 June 2020 of approximately £</w:t>
      </w:r>
      <w:r w:rsidR="00BB5DDF">
        <w:rPr>
          <w:sz w:val="20"/>
          <w:szCs w:val="20"/>
        </w:rPr>
        <w:t>215</w:t>
      </w:r>
      <w:r w:rsidRPr="00F01EC8">
        <w:rPr>
          <w:sz w:val="20"/>
          <w:szCs w:val="20"/>
        </w:rPr>
        <w:t>m excluding the capital conservation buffer of approximately £50m which is held and may be used at the Group’s discretion including the advent of a stress scenario such as currently being experienced in the UK.</w:t>
      </w:r>
    </w:p>
    <w:bookmarkEnd w:id="9"/>
    <w:p w14:paraId="3EA4C475" w14:textId="77777777" w:rsidR="00F01EC8" w:rsidRPr="00F01EC8" w:rsidRDefault="00F01EC8" w:rsidP="00F01EC8">
      <w:pPr>
        <w:pStyle w:val="NoSpacing"/>
        <w:ind w:left="720"/>
        <w:jc w:val="both"/>
        <w:rPr>
          <w:sz w:val="20"/>
          <w:szCs w:val="20"/>
        </w:rPr>
      </w:pPr>
    </w:p>
    <w:p w14:paraId="521182B6" w14:textId="77777777" w:rsidR="00F01EC8" w:rsidRPr="00F01EC8" w:rsidRDefault="00F01EC8" w:rsidP="00F01EC8">
      <w:pPr>
        <w:pStyle w:val="NoSpacing"/>
        <w:numPr>
          <w:ilvl w:val="0"/>
          <w:numId w:val="26"/>
        </w:numPr>
        <w:jc w:val="both"/>
        <w:rPr>
          <w:sz w:val="20"/>
          <w:szCs w:val="20"/>
        </w:rPr>
      </w:pPr>
      <w:r w:rsidRPr="00F01EC8">
        <w:rPr>
          <w:sz w:val="20"/>
          <w:szCs w:val="20"/>
        </w:rPr>
        <w:t>Liquidity headroom on committed facilities and surplus cash and liquid resources amounting to approximately £200m plus approximately £1bn of liquid resources held by Vanquis Bank (c£200m in respect of their regulatory requirements) as well as ongoing access to the retail deposits market.</w:t>
      </w:r>
    </w:p>
    <w:p w14:paraId="04D06187" w14:textId="77777777" w:rsidR="00F01EC8" w:rsidRPr="00F01EC8" w:rsidRDefault="00F01EC8" w:rsidP="00F01EC8">
      <w:pPr>
        <w:pStyle w:val="Body"/>
        <w:jc w:val="both"/>
        <w:rPr>
          <w:rFonts w:asciiTheme="minorHAnsi" w:hAnsiTheme="minorHAnsi" w:cs="Arial"/>
          <w:sz w:val="20"/>
          <w:szCs w:val="20"/>
        </w:rPr>
      </w:pPr>
    </w:p>
    <w:p w14:paraId="493A309D" w14:textId="790512E5" w:rsidR="00F01EC8" w:rsidRPr="00F01EC8" w:rsidRDefault="00F01EC8" w:rsidP="00F01EC8">
      <w:pPr>
        <w:pStyle w:val="NoSpacing"/>
        <w:jc w:val="both"/>
        <w:rPr>
          <w:sz w:val="20"/>
          <w:szCs w:val="20"/>
        </w:rPr>
      </w:pPr>
      <w:r w:rsidRPr="00F01EC8">
        <w:rPr>
          <w:sz w:val="20"/>
          <w:szCs w:val="20"/>
        </w:rPr>
        <w:t xml:space="preserve">The Group’s capital review (C-SREP) with the PRA concluded in July 2020. The Group’s Pillar 2A capital requirement has been lowered from 20.65% to 19.33% and the fixed monetary add-on in respect of pension risk has been removed. </w:t>
      </w:r>
    </w:p>
    <w:p w14:paraId="5867D631" w14:textId="77777777" w:rsidR="00F01EC8" w:rsidRPr="00F01EC8" w:rsidRDefault="00F01EC8" w:rsidP="00F01EC8">
      <w:pPr>
        <w:pStyle w:val="NoSpacing"/>
        <w:jc w:val="both"/>
        <w:rPr>
          <w:sz w:val="20"/>
          <w:szCs w:val="20"/>
        </w:rPr>
      </w:pPr>
    </w:p>
    <w:p w14:paraId="229109DE" w14:textId="0526C187" w:rsidR="00F01EC8" w:rsidRPr="00F01EC8" w:rsidRDefault="00F01EC8" w:rsidP="00F01EC8">
      <w:pPr>
        <w:pStyle w:val="NoSpacing"/>
        <w:jc w:val="both"/>
        <w:rPr>
          <w:sz w:val="20"/>
          <w:szCs w:val="20"/>
        </w:rPr>
      </w:pPr>
      <w:bookmarkStart w:id="10" w:name="_Hlk49172236"/>
      <w:r w:rsidRPr="00F01EC8">
        <w:rPr>
          <w:sz w:val="20"/>
          <w:szCs w:val="20"/>
        </w:rPr>
        <w:t>The Group’s CET1 ratio on an accrued profits basis at 30 June 2020 was 35.4% compared with the Group’s Pillar 2A requirement of 19.3%. The regulatory capital headroom above total requirements was approximately £</w:t>
      </w:r>
      <w:r w:rsidR="00213A82">
        <w:rPr>
          <w:sz w:val="20"/>
          <w:szCs w:val="20"/>
        </w:rPr>
        <w:t>215</w:t>
      </w:r>
      <w:r w:rsidRPr="00F01EC8">
        <w:rPr>
          <w:sz w:val="20"/>
          <w:szCs w:val="20"/>
        </w:rPr>
        <w:t xml:space="preserve">m. </w:t>
      </w:r>
      <w:r w:rsidR="0044492E">
        <w:rPr>
          <w:sz w:val="20"/>
          <w:szCs w:val="20"/>
        </w:rPr>
        <w:t>T</w:t>
      </w:r>
      <w:r w:rsidRPr="00F01EC8">
        <w:rPr>
          <w:sz w:val="20"/>
          <w:szCs w:val="20"/>
        </w:rPr>
        <w:t xml:space="preserve">he Board’s current </w:t>
      </w:r>
      <w:r w:rsidR="00507B17">
        <w:rPr>
          <w:sz w:val="20"/>
          <w:szCs w:val="20"/>
        </w:rPr>
        <w:t xml:space="preserve">view on </w:t>
      </w:r>
      <w:r w:rsidRPr="00F01EC8">
        <w:rPr>
          <w:sz w:val="20"/>
          <w:szCs w:val="20"/>
        </w:rPr>
        <w:t xml:space="preserve">risk appetite </w:t>
      </w:r>
      <w:r w:rsidR="00507B17">
        <w:rPr>
          <w:sz w:val="20"/>
          <w:szCs w:val="20"/>
        </w:rPr>
        <w:t>is to</w:t>
      </w:r>
      <w:r w:rsidRPr="00F01EC8">
        <w:rPr>
          <w:sz w:val="20"/>
          <w:szCs w:val="20"/>
        </w:rPr>
        <w:t xml:space="preserve"> maintain a capital buffer in excess of £</w:t>
      </w:r>
      <w:r w:rsidR="00507B17">
        <w:rPr>
          <w:sz w:val="20"/>
          <w:szCs w:val="20"/>
        </w:rPr>
        <w:t>10</w:t>
      </w:r>
      <w:r w:rsidRPr="00F01EC8">
        <w:rPr>
          <w:sz w:val="20"/>
          <w:szCs w:val="20"/>
        </w:rPr>
        <w:t>0m</w:t>
      </w:r>
      <w:r w:rsidR="00507B17">
        <w:rPr>
          <w:sz w:val="20"/>
          <w:szCs w:val="20"/>
        </w:rPr>
        <w:t xml:space="preserve"> due to market uncertainties</w:t>
      </w:r>
      <w:r w:rsidRPr="00F01EC8">
        <w:rPr>
          <w:sz w:val="20"/>
          <w:szCs w:val="20"/>
        </w:rPr>
        <w:t>. The increase in headroom from £160m at 31 December 2019 reflects: (i) the preservation of capital through the cancellation of the 2019 dividend; and (ii) reduced risk weighted exposures in respect of customer receivables. These benefits were partly offset by the consolidated Group loss to 30 June and the anticipated third year transitional impact of IFRS 9 (net of additional capital mitigation in response to Covid-19 noted below).</w:t>
      </w:r>
    </w:p>
    <w:bookmarkEnd w:id="10"/>
    <w:p w14:paraId="31344AFD" w14:textId="77777777" w:rsidR="00F01EC8" w:rsidRPr="00F01EC8" w:rsidRDefault="00F01EC8" w:rsidP="00F01EC8">
      <w:pPr>
        <w:pStyle w:val="NoSpacing"/>
        <w:jc w:val="both"/>
        <w:rPr>
          <w:color w:val="000000"/>
          <w:sz w:val="20"/>
          <w:szCs w:val="20"/>
          <w:bdr w:val="none" w:sz="0" w:space="0" w:color="auto" w:frame="1"/>
          <w:lang w:val="en-US"/>
        </w:rPr>
      </w:pPr>
    </w:p>
    <w:p w14:paraId="3E2D8E5F" w14:textId="0ADED91D" w:rsidR="00F01EC8" w:rsidRPr="00F01EC8" w:rsidRDefault="00F01EC8" w:rsidP="00F01EC8">
      <w:pPr>
        <w:pStyle w:val="NoSpacing"/>
        <w:jc w:val="both"/>
        <w:rPr>
          <w:rFonts w:cs="Arial"/>
          <w:color w:val="000000"/>
          <w:sz w:val="20"/>
          <w:szCs w:val="20"/>
          <w:lang w:val="en-US"/>
        </w:rPr>
      </w:pPr>
      <w:bookmarkStart w:id="11" w:name="_Hlk14964236"/>
      <w:bookmarkStart w:id="12" w:name="_Hlk49172318"/>
      <w:r w:rsidRPr="00F01EC8">
        <w:rPr>
          <w:rFonts w:cs="Arial"/>
          <w:sz w:val="20"/>
          <w:szCs w:val="20"/>
        </w:rPr>
        <w:t xml:space="preserve">As previously reported, the Group has elected to phase in the impact of adopting IFRS 9 over a five-year period. This is achieved by applying add back factors of 95%, 85%, 70%, 50% and 25% for years one to five respectively to the initial IFRS 9 transition adjustment plus any subsequent increase in expected credit losses (ECL) in the non-credit-impaired book from transition to the end of the reporting period. The PRA ratified additional capital mitigation proposed by the Basel Committee, in response to Covid-19, with these measures coming into force from 27 June 2020. The new measures allow for the increase in ECL in the non-credit impaired book arising in 2020 and 2021 to be fully added back in those years. This relief is then phased out over the following three years on a straight line basis (2022: 75%, 2023: 50%, 2024: 25%, 2025: 0%). </w:t>
      </w:r>
      <w:bookmarkEnd w:id="11"/>
      <w:r w:rsidRPr="00F01EC8">
        <w:rPr>
          <w:rFonts w:cs="Arial"/>
          <w:color w:val="000000"/>
          <w:sz w:val="20"/>
          <w:szCs w:val="20"/>
          <w:lang w:val="en-US"/>
        </w:rPr>
        <w:t>The impact of the IFRS 9 transitional arrangements on CET 1 as at 30 June 20</w:t>
      </w:r>
      <w:r w:rsidR="00062D7A">
        <w:rPr>
          <w:rFonts w:cs="Arial"/>
          <w:color w:val="000000"/>
          <w:sz w:val="20"/>
          <w:szCs w:val="20"/>
          <w:lang w:val="en-US"/>
        </w:rPr>
        <w:t>20</w:t>
      </w:r>
      <w:r w:rsidRPr="00F01EC8">
        <w:rPr>
          <w:rFonts w:cs="Arial"/>
          <w:color w:val="000000"/>
          <w:sz w:val="20"/>
          <w:szCs w:val="20"/>
          <w:lang w:val="en-US"/>
        </w:rPr>
        <w:t xml:space="preserve"> was £159.2m.</w:t>
      </w:r>
    </w:p>
    <w:p w14:paraId="74BBB0C5" w14:textId="77777777" w:rsidR="00F01EC8" w:rsidRPr="00F01EC8" w:rsidRDefault="00F01EC8" w:rsidP="00F01EC8">
      <w:pPr>
        <w:pStyle w:val="NoSpacing"/>
        <w:jc w:val="both"/>
        <w:rPr>
          <w:rFonts w:cs="Arial"/>
          <w:color w:val="000000"/>
          <w:sz w:val="20"/>
          <w:szCs w:val="20"/>
          <w:lang w:val="en-US"/>
        </w:rPr>
      </w:pPr>
    </w:p>
    <w:p w14:paraId="5F7962BC" w14:textId="77777777" w:rsidR="00F01EC8" w:rsidRPr="00F01EC8" w:rsidRDefault="00F01EC8" w:rsidP="00F01EC8">
      <w:pPr>
        <w:pStyle w:val="NoSpacing"/>
        <w:jc w:val="both"/>
        <w:rPr>
          <w:sz w:val="20"/>
          <w:szCs w:val="20"/>
        </w:rPr>
      </w:pPr>
      <w:r w:rsidRPr="00F01EC8">
        <w:rPr>
          <w:sz w:val="20"/>
          <w:szCs w:val="20"/>
        </w:rPr>
        <w:t xml:space="preserve">The Group continues to actively explore a number of options to improve capital efficiency. These include, but are not limited to, supplementing the existing capital base made up entirely of core equity tier one with tier 2 debt capital to support growth and improved return on equity. The Board also continues to monitor its risk appetite in respect of the appropriate level of regulatory capital headroom with regard to the Group’s recovery post Covid-19. </w:t>
      </w:r>
    </w:p>
    <w:bookmarkEnd w:id="12"/>
    <w:p w14:paraId="4ECDB929" w14:textId="77777777" w:rsidR="00F01EC8" w:rsidRPr="00F01EC8" w:rsidRDefault="00F01EC8" w:rsidP="00F01EC8">
      <w:pPr>
        <w:pStyle w:val="NoSpacing"/>
        <w:jc w:val="both"/>
        <w:rPr>
          <w:sz w:val="20"/>
          <w:szCs w:val="20"/>
        </w:rPr>
      </w:pPr>
    </w:p>
    <w:p w14:paraId="45454531" w14:textId="77777777" w:rsidR="00F01EC8" w:rsidRPr="00F01EC8" w:rsidRDefault="00F01EC8" w:rsidP="00F01EC8">
      <w:pPr>
        <w:pStyle w:val="NoSpacing"/>
        <w:jc w:val="both"/>
        <w:rPr>
          <w:rFonts w:cs="Arial"/>
          <w:sz w:val="20"/>
          <w:szCs w:val="20"/>
        </w:rPr>
      </w:pPr>
      <w:r w:rsidRPr="00F01EC8">
        <w:rPr>
          <w:rFonts w:cs="Arial"/>
          <w:sz w:val="20"/>
          <w:szCs w:val="20"/>
        </w:rPr>
        <w:t>The Group’s current funding strategy is to maintain committed facilities to meet contractual maturities and fund growth for at least the following 12 months and maintain access to four main sources of funding comprising: (i) the syndicated revolving bank facility; (ii) market funding, including retail bonds, institutional bonds and private placements; (iii) securitisation; and (iv) retail deposits.</w:t>
      </w:r>
    </w:p>
    <w:p w14:paraId="0D7C46D7" w14:textId="77777777" w:rsidR="00F01EC8" w:rsidRPr="00F01EC8" w:rsidRDefault="00F01EC8" w:rsidP="00F01EC8">
      <w:pPr>
        <w:pStyle w:val="NoSpacing"/>
        <w:jc w:val="both"/>
        <w:rPr>
          <w:rFonts w:cs="Arial"/>
          <w:sz w:val="20"/>
          <w:szCs w:val="20"/>
        </w:rPr>
      </w:pPr>
      <w:r w:rsidRPr="00F01EC8">
        <w:rPr>
          <w:rFonts w:cs="Arial"/>
          <w:sz w:val="20"/>
          <w:szCs w:val="20"/>
        </w:rPr>
        <w:t xml:space="preserve"> </w:t>
      </w:r>
    </w:p>
    <w:p w14:paraId="73B65801" w14:textId="77777777" w:rsidR="00F01EC8" w:rsidRPr="00F01EC8" w:rsidRDefault="00F01EC8" w:rsidP="00F01EC8">
      <w:pPr>
        <w:pStyle w:val="NoSpacing"/>
        <w:jc w:val="both"/>
        <w:rPr>
          <w:rFonts w:cs="Arial"/>
          <w:sz w:val="20"/>
          <w:szCs w:val="20"/>
        </w:rPr>
      </w:pPr>
      <w:r w:rsidRPr="00F01EC8">
        <w:rPr>
          <w:rFonts w:cs="Arial"/>
          <w:sz w:val="20"/>
          <w:szCs w:val="20"/>
        </w:rPr>
        <w:t>The flow of retail deposits within Vanquis Bank has continued to be strong and, at 30 June 2020, Vanquis Bank had retail deposit funding of £1.9bn, up from £1.3bn at 31 December 2019, which reflects the steps taken by Vanquis Bank to increase liquidity in response to Covid-19.</w:t>
      </w:r>
    </w:p>
    <w:p w14:paraId="355B1D84" w14:textId="77777777" w:rsidR="00F01EC8" w:rsidRPr="00F01EC8" w:rsidRDefault="00F01EC8" w:rsidP="00F01EC8">
      <w:pPr>
        <w:pStyle w:val="NoSpacing"/>
        <w:jc w:val="both"/>
        <w:rPr>
          <w:sz w:val="20"/>
          <w:szCs w:val="20"/>
        </w:rPr>
      </w:pPr>
    </w:p>
    <w:p w14:paraId="0388343D" w14:textId="78BCE318" w:rsidR="00F01EC8" w:rsidRPr="00F01EC8" w:rsidRDefault="00F01EC8" w:rsidP="00F01EC8">
      <w:pPr>
        <w:pStyle w:val="NoSpacing"/>
        <w:jc w:val="both"/>
        <w:rPr>
          <w:sz w:val="20"/>
          <w:szCs w:val="20"/>
        </w:rPr>
      </w:pPr>
      <w:r w:rsidRPr="00F01EC8">
        <w:rPr>
          <w:sz w:val="20"/>
          <w:szCs w:val="20"/>
        </w:rPr>
        <w:t>During the first half of 2020, the Group delivered on a number of its funding objectives: (i) signed an agreement to fund the Moneybarn receivables book through securitisation (ii) repaid</w:t>
      </w:r>
      <w:r w:rsidR="00E838F4">
        <w:rPr>
          <w:sz w:val="20"/>
          <w:szCs w:val="20"/>
        </w:rPr>
        <w:t xml:space="preserve"> early</w:t>
      </w:r>
      <w:r w:rsidRPr="00F01EC8">
        <w:rPr>
          <w:sz w:val="20"/>
          <w:szCs w:val="20"/>
        </w:rPr>
        <w:t xml:space="preserve"> the remaining M&amp;G loan facility of £25m on 14 February 2020; (iii) in line with its contractual maturity, repaid a £25m bond on 14 April 2020</w:t>
      </w:r>
      <w:r w:rsidR="00DD6D48">
        <w:rPr>
          <w:sz w:val="20"/>
          <w:szCs w:val="20"/>
        </w:rPr>
        <w:t xml:space="preserve">. After the period end, the Group </w:t>
      </w:r>
      <w:r w:rsidRPr="00F01EC8">
        <w:rPr>
          <w:sz w:val="20"/>
          <w:szCs w:val="20"/>
        </w:rPr>
        <w:t xml:space="preserve">secured intra-Group funding through Vanquis Bank. </w:t>
      </w:r>
    </w:p>
    <w:p w14:paraId="1B48AF20" w14:textId="77777777" w:rsidR="00F01EC8" w:rsidRPr="00F01EC8" w:rsidRDefault="00F01EC8" w:rsidP="00F01EC8">
      <w:pPr>
        <w:pStyle w:val="NoSpacing"/>
        <w:jc w:val="both"/>
        <w:rPr>
          <w:sz w:val="20"/>
          <w:szCs w:val="20"/>
        </w:rPr>
      </w:pPr>
    </w:p>
    <w:p w14:paraId="4E73237C" w14:textId="77777777" w:rsidR="00F01EC8" w:rsidRPr="00F01EC8" w:rsidRDefault="00F01EC8" w:rsidP="00F01EC8">
      <w:pPr>
        <w:pStyle w:val="NoSpacing"/>
        <w:jc w:val="both"/>
        <w:rPr>
          <w:sz w:val="20"/>
          <w:szCs w:val="20"/>
        </w:rPr>
      </w:pPr>
      <w:r w:rsidRPr="00F01EC8">
        <w:rPr>
          <w:sz w:val="20"/>
          <w:szCs w:val="20"/>
        </w:rPr>
        <w:t xml:space="preserve">In addition, after the period end, consistent with the Group's strategy of cost effective management of its liabilities, the Group successfully completed a tender offer for £75m of senior bonds due to mature in 2023. The transaction reduces </w:t>
      </w:r>
      <w:r w:rsidRPr="00F01EC8">
        <w:rPr>
          <w:sz w:val="20"/>
          <w:szCs w:val="20"/>
        </w:rPr>
        <w:lastRenderedPageBreak/>
        <w:t>the Group’s overall cost of borrowing and strengthens its balance sheet in line with the overall strategy of strengthening its position in the market.</w:t>
      </w:r>
    </w:p>
    <w:p w14:paraId="3225231D" w14:textId="77777777" w:rsidR="00F01EC8" w:rsidRPr="00F01EC8" w:rsidRDefault="00F01EC8" w:rsidP="00F01EC8">
      <w:pPr>
        <w:pStyle w:val="NoSpacing"/>
        <w:jc w:val="both"/>
        <w:rPr>
          <w:sz w:val="20"/>
          <w:szCs w:val="20"/>
        </w:rPr>
      </w:pPr>
    </w:p>
    <w:p w14:paraId="55C0EBEC" w14:textId="77777777" w:rsidR="00F01EC8" w:rsidRPr="00F01EC8" w:rsidRDefault="00F01EC8" w:rsidP="00F01EC8">
      <w:pPr>
        <w:pStyle w:val="NoSpacing"/>
        <w:jc w:val="both"/>
        <w:rPr>
          <w:sz w:val="20"/>
          <w:szCs w:val="20"/>
        </w:rPr>
      </w:pPr>
      <w:r w:rsidRPr="00F01EC8">
        <w:rPr>
          <w:sz w:val="20"/>
          <w:szCs w:val="20"/>
        </w:rPr>
        <w:t>Headroom on the Group</w:t>
      </w:r>
      <w:r w:rsidRPr="00F01EC8">
        <w:rPr>
          <w:sz w:val="20"/>
          <w:szCs w:val="20"/>
          <w:lang w:val="fr-FR"/>
        </w:rPr>
        <w:t>’</w:t>
      </w:r>
      <w:r w:rsidRPr="00F01EC8">
        <w:rPr>
          <w:sz w:val="20"/>
          <w:szCs w:val="20"/>
        </w:rPr>
        <w:t xml:space="preserve">s committed debt facilities was £196m at 30 June 2020. Together with the ongoing retail deposits programme, </w:t>
      </w:r>
      <w:bookmarkStart w:id="13" w:name="_Hlk373740"/>
      <w:r w:rsidRPr="00F01EC8">
        <w:rPr>
          <w:sz w:val="20"/>
          <w:szCs w:val="20"/>
        </w:rPr>
        <w:t xml:space="preserve">this comfortably meets the Group’s funding strategy. </w:t>
      </w:r>
      <w:bookmarkStart w:id="14" w:name="_Hlk14617166"/>
      <w:r w:rsidRPr="00F01EC8">
        <w:rPr>
          <w:sz w:val="20"/>
          <w:szCs w:val="20"/>
        </w:rPr>
        <w:t>There are no further contractual maturities of the Group’s facilities until a scheduled maturity of a £65m bond in September 2021.</w:t>
      </w:r>
    </w:p>
    <w:p w14:paraId="65279526" w14:textId="77777777" w:rsidR="00F01EC8" w:rsidRPr="00F01EC8" w:rsidRDefault="00F01EC8" w:rsidP="00F01EC8">
      <w:pPr>
        <w:pStyle w:val="NoSpacing"/>
        <w:jc w:val="both"/>
        <w:rPr>
          <w:sz w:val="20"/>
          <w:szCs w:val="20"/>
        </w:rPr>
      </w:pPr>
    </w:p>
    <w:p w14:paraId="3A91B988" w14:textId="01610BCE" w:rsidR="00F01EC8" w:rsidRPr="00F01EC8" w:rsidRDefault="00F01EC8" w:rsidP="00F01EC8">
      <w:pPr>
        <w:pStyle w:val="NoSpacing"/>
        <w:jc w:val="both"/>
        <w:rPr>
          <w:sz w:val="20"/>
          <w:szCs w:val="20"/>
        </w:rPr>
      </w:pPr>
      <w:r w:rsidRPr="00F01EC8">
        <w:rPr>
          <w:sz w:val="20"/>
          <w:szCs w:val="20"/>
        </w:rPr>
        <w:t xml:space="preserve">The Group is actively </w:t>
      </w:r>
      <w:r w:rsidRPr="00F01EC8">
        <w:rPr>
          <w:rFonts w:cs="Arial"/>
          <w:sz w:val="20"/>
          <w:szCs w:val="20"/>
        </w:rPr>
        <w:t xml:space="preserve">exploring additional funding options including, but not limited to: (i) changing the funding mix to be more </w:t>
      </w:r>
      <w:r w:rsidR="00DD6D48">
        <w:rPr>
          <w:rFonts w:cs="Arial"/>
          <w:sz w:val="20"/>
          <w:szCs w:val="20"/>
        </w:rPr>
        <w:t>efficient</w:t>
      </w:r>
      <w:r w:rsidRPr="00F01EC8">
        <w:rPr>
          <w:rFonts w:cs="Arial"/>
          <w:sz w:val="20"/>
          <w:szCs w:val="20"/>
        </w:rPr>
        <w:t>; (ii) securitisation of the Vanquis Bank receivables book; and (iii) optimising the mix of debt capital and senior debt in the funding profile.</w:t>
      </w:r>
    </w:p>
    <w:bookmarkEnd w:id="13"/>
    <w:bookmarkEnd w:id="14"/>
    <w:p w14:paraId="03877160" w14:textId="77777777" w:rsidR="00F01EC8" w:rsidRPr="00F01EC8" w:rsidRDefault="00F01EC8" w:rsidP="00F01EC8">
      <w:pPr>
        <w:pStyle w:val="NoSpacing"/>
        <w:jc w:val="both"/>
        <w:rPr>
          <w:sz w:val="20"/>
          <w:szCs w:val="20"/>
        </w:rPr>
      </w:pPr>
    </w:p>
    <w:p w14:paraId="7E15109D" w14:textId="6407A136" w:rsidR="00F01EC8" w:rsidRPr="00F01EC8" w:rsidRDefault="00F01EC8" w:rsidP="00F01EC8">
      <w:pPr>
        <w:pStyle w:val="NoSpacing"/>
        <w:jc w:val="both"/>
        <w:rPr>
          <w:sz w:val="20"/>
          <w:szCs w:val="20"/>
        </w:rPr>
      </w:pPr>
      <w:r w:rsidRPr="00F01EC8">
        <w:rPr>
          <w:sz w:val="20"/>
          <w:szCs w:val="20"/>
        </w:rPr>
        <w:t>On 5 April 20</w:t>
      </w:r>
      <w:r w:rsidR="00062D7A">
        <w:rPr>
          <w:sz w:val="20"/>
          <w:szCs w:val="20"/>
        </w:rPr>
        <w:t>20</w:t>
      </w:r>
      <w:r w:rsidRPr="00F01EC8">
        <w:rPr>
          <w:sz w:val="20"/>
          <w:szCs w:val="20"/>
        </w:rPr>
        <w:t xml:space="preserve">, Fitch Ratings revised the Group’s outlook to negative, reflecting the economic fallout from the Covid-19 pandemic. The credit rating is therefore currently BB+ with a negative outlook. </w:t>
      </w:r>
    </w:p>
    <w:p w14:paraId="4E937E76" w14:textId="77777777" w:rsidR="00F01EC8" w:rsidRPr="00F01EC8" w:rsidRDefault="00F01EC8" w:rsidP="00F01EC8">
      <w:pPr>
        <w:jc w:val="both"/>
        <w:rPr>
          <w:rFonts w:asciiTheme="minorHAnsi" w:hAnsiTheme="minorHAnsi"/>
          <w:sz w:val="20"/>
          <w:szCs w:val="20"/>
        </w:rPr>
      </w:pPr>
    </w:p>
    <w:p w14:paraId="4951F1C8" w14:textId="1D03B8A0" w:rsidR="00F01EC8" w:rsidRDefault="00F01EC8" w:rsidP="00F01EC8">
      <w:pPr>
        <w:jc w:val="both"/>
        <w:rPr>
          <w:rStyle w:val="Strong"/>
          <w:rFonts w:asciiTheme="minorHAnsi" w:hAnsiTheme="minorHAnsi"/>
          <w:sz w:val="20"/>
          <w:szCs w:val="20"/>
        </w:rPr>
      </w:pPr>
      <w:r w:rsidRPr="00F01EC8">
        <w:rPr>
          <w:rStyle w:val="Strong"/>
          <w:rFonts w:asciiTheme="minorHAnsi" w:hAnsiTheme="minorHAnsi"/>
          <w:sz w:val="20"/>
          <w:szCs w:val="20"/>
        </w:rPr>
        <w:t>Principal risks and uncertainties</w:t>
      </w:r>
    </w:p>
    <w:p w14:paraId="32CE9975" w14:textId="77777777" w:rsidR="00E838F4" w:rsidRPr="00F01EC8" w:rsidRDefault="00E838F4" w:rsidP="00F01EC8">
      <w:pPr>
        <w:jc w:val="both"/>
        <w:rPr>
          <w:rStyle w:val="Strong"/>
          <w:rFonts w:asciiTheme="minorHAnsi" w:hAnsiTheme="minorHAnsi"/>
          <w:sz w:val="20"/>
          <w:szCs w:val="20"/>
        </w:rPr>
      </w:pPr>
    </w:p>
    <w:p w14:paraId="67B56D6E" w14:textId="55A3C874" w:rsidR="00F01EC8" w:rsidRDefault="00F01EC8" w:rsidP="00F01EC8">
      <w:pPr>
        <w:jc w:val="both"/>
        <w:rPr>
          <w:rFonts w:asciiTheme="minorHAnsi" w:hAnsiTheme="minorHAnsi"/>
          <w:sz w:val="20"/>
          <w:szCs w:val="20"/>
        </w:rPr>
      </w:pPr>
      <w:r w:rsidRPr="00F01EC8">
        <w:rPr>
          <w:rFonts w:asciiTheme="minorHAnsi" w:hAnsiTheme="minorHAnsi"/>
          <w:sz w:val="20"/>
          <w:szCs w:val="20"/>
        </w:rPr>
        <w:t xml:space="preserve">The principal risks and uncertainties affecting the </w:t>
      </w:r>
      <w:r w:rsidR="005714EF">
        <w:rPr>
          <w:rFonts w:asciiTheme="minorHAnsi" w:hAnsiTheme="minorHAnsi"/>
          <w:sz w:val="20"/>
          <w:szCs w:val="20"/>
        </w:rPr>
        <w:t>G</w:t>
      </w:r>
      <w:r w:rsidRPr="00F01EC8">
        <w:rPr>
          <w:rFonts w:asciiTheme="minorHAnsi" w:hAnsiTheme="minorHAnsi"/>
          <w:sz w:val="20"/>
          <w:szCs w:val="20"/>
        </w:rPr>
        <w:t>roup are largely consistent with those set out in the 2019 Annual Report and Financial Statements and comprise the following risks: credit risk, capital risk, liquidity and funding risk, information and data security risk, operational risk, regulatory and conduct risk, business resilience, people and model risk.</w:t>
      </w:r>
    </w:p>
    <w:p w14:paraId="16DB7510" w14:textId="77777777" w:rsidR="00F01EC8" w:rsidRPr="00F01EC8" w:rsidRDefault="00F01EC8" w:rsidP="00F01EC8">
      <w:pPr>
        <w:jc w:val="both"/>
        <w:rPr>
          <w:rFonts w:asciiTheme="minorHAnsi" w:hAnsiTheme="minorHAnsi"/>
          <w:sz w:val="20"/>
          <w:szCs w:val="20"/>
        </w:rPr>
      </w:pPr>
    </w:p>
    <w:p w14:paraId="363404C1" w14:textId="511BF245"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 xml:space="preserve">A full assessment of the risks and uncertainties, together with the controls and processes which are in place to monitor and mitigate the risks where possible, are set out on pages 42 to 53 of the 2019 Annual Report &amp; Financial Statements which is available on the </w:t>
      </w:r>
      <w:r w:rsidR="005714EF">
        <w:rPr>
          <w:rFonts w:asciiTheme="minorHAnsi" w:hAnsiTheme="minorHAnsi"/>
          <w:sz w:val="20"/>
          <w:szCs w:val="20"/>
        </w:rPr>
        <w:t>G</w:t>
      </w:r>
      <w:r w:rsidRPr="00F01EC8">
        <w:rPr>
          <w:rFonts w:asciiTheme="minorHAnsi" w:hAnsiTheme="minorHAnsi"/>
          <w:sz w:val="20"/>
          <w:szCs w:val="20"/>
        </w:rPr>
        <w:t xml:space="preserve">roup’s website, </w:t>
      </w:r>
      <w:hyperlink r:id="rId10" w:history="1">
        <w:r w:rsidRPr="00F01EC8">
          <w:rPr>
            <w:rStyle w:val="Hyperlink"/>
            <w:rFonts w:asciiTheme="minorHAnsi" w:hAnsiTheme="minorHAnsi"/>
            <w:sz w:val="20"/>
            <w:szCs w:val="20"/>
          </w:rPr>
          <w:t>www.providentfinancial.com</w:t>
        </w:r>
      </w:hyperlink>
      <w:r w:rsidRPr="00F01EC8">
        <w:rPr>
          <w:rFonts w:asciiTheme="minorHAnsi" w:hAnsiTheme="minorHAnsi"/>
          <w:sz w:val="20"/>
          <w:szCs w:val="20"/>
        </w:rPr>
        <w:t xml:space="preserve">. </w:t>
      </w:r>
    </w:p>
    <w:p w14:paraId="04A73A42" w14:textId="77777777" w:rsidR="00F01EC8" w:rsidRPr="00F01EC8" w:rsidRDefault="00F01EC8" w:rsidP="00F01EC8">
      <w:pPr>
        <w:jc w:val="both"/>
        <w:rPr>
          <w:rFonts w:asciiTheme="minorHAnsi" w:hAnsiTheme="minorHAnsi"/>
          <w:sz w:val="20"/>
          <w:szCs w:val="20"/>
        </w:rPr>
      </w:pPr>
    </w:p>
    <w:p w14:paraId="1E7296CC" w14:textId="5B039186"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The Group Board, directors and management have focused on the Group’s principal risks throughout the first half in response to the changing and challenging operational environment as a result of Covid</w:t>
      </w:r>
      <w:r w:rsidR="00062D7A">
        <w:rPr>
          <w:rFonts w:asciiTheme="minorHAnsi" w:hAnsiTheme="minorHAnsi"/>
          <w:sz w:val="20"/>
          <w:szCs w:val="20"/>
        </w:rPr>
        <w:t>-</w:t>
      </w:r>
      <w:r w:rsidRPr="00F01EC8">
        <w:rPr>
          <w:rFonts w:asciiTheme="minorHAnsi" w:hAnsiTheme="minorHAnsi"/>
          <w:sz w:val="20"/>
          <w:szCs w:val="20"/>
        </w:rPr>
        <w:t>19. This was essential to ensure the principal risks were appropriately managed and further mitigated where possible. The response through the first half, and planned approach for the remaining six months of the 2020 financial year, are:</w:t>
      </w:r>
    </w:p>
    <w:p w14:paraId="7432A9ED" w14:textId="77777777" w:rsidR="00F01EC8" w:rsidRDefault="00F01EC8" w:rsidP="00F01EC8">
      <w:pPr>
        <w:jc w:val="both"/>
        <w:rPr>
          <w:rFonts w:asciiTheme="minorHAnsi" w:hAnsiTheme="minorHAnsi"/>
          <w:sz w:val="20"/>
          <w:szCs w:val="20"/>
        </w:rPr>
      </w:pPr>
    </w:p>
    <w:p w14:paraId="2D0FD904" w14:textId="7C26B675" w:rsidR="00F01EC8" w:rsidRPr="00F01EC8" w:rsidRDefault="00F01EC8" w:rsidP="00F01EC8">
      <w:pPr>
        <w:jc w:val="both"/>
        <w:rPr>
          <w:rFonts w:asciiTheme="minorHAnsi" w:hAnsiTheme="minorHAnsi"/>
          <w:sz w:val="20"/>
          <w:szCs w:val="20"/>
          <w:u w:val="single"/>
        </w:rPr>
      </w:pPr>
      <w:r w:rsidRPr="00F01EC8">
        <w:rPr>
          <w:rFonts w:asciiTheme="minorHAnsi" w:hAnsiTheme="minorHAnsi"/>
          <w:sz w:val="20"/>
          <w:szCs w:val="20"/>
          <w:u w:val="single"/>
        </w:rPr>
        <w:t>Credit risk</w:t>
      </w:r>
    </w:p>
    <w:p w14:paraId="54053E2D" w14:textId="60BF8E00"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All of the Group’s divisions have tightened lending policies and underwriting criteria through the first half, thereby limiting new business and improving the quality of newly acquired customers.  The relaxation of tightening will be gradual, on a test and learn basis</w:t>
      </w:r>
      <w:r w:rsidR="005F2A6D">
        <w:rPr>
          <w:rFonts w:asciiTheme="minorHAnsi" w:hAnsiTheme="minorHAnsi"/>
          <w:sz w:val="20"/>
          <w:szCs w:val="20"/>
        </w:rPr>
        <w:t>,</w:t>
      </w:r>
      <w:r w:rsidRPr="00F01EC8">
        <w:rPr>
          <w:rFonts w:asciiTheme="minorHAnsi" w:hAnsiTheme="minorHAnsi"/>
          <w:sz w:val="20"/>
          <w:szCs w:val="20"/>
        </w:rPr>
        <w:t xml:space="preserve"> and an assessment of repayment performance will be made before further changes are made.</w:t>
      </w:r>
      <w:r w:rsidR="0093517F">
        <w:rPr>
          <w:rFonts w:asciiTheme="minorHAnsi" w:hAnsiTheme="minorHAnsi"/>
          <w:sz w:val="20"/>
          <w:szCs w:val="20"/>
        </w:rPr>
        <w:t xml:space="preserve"> All divisions have also worked closely with their customers </w:t>
      </w:r>
      <w:r w:rsidR="00C32E9C">
        <w:rPr>
          <w:rFonts w:asciiTheme="minorHAnsi" w:hAnsiTheme="minorHAnsi"/>
          <w:sz w:val="20"/>
          <w:szCs w:val="20"/>
        </w:rPr>
        <w:t>by offering</w:t>
      </w:r>
      <w:r w:rsidR="0093517F">
        <w:rPr>
          <w:rFonts w:asciiTheme="minorHAnsi" w:hAnsiTheme="minorHAnsi"/>
          <w:sz w:val="20"/>
          <w:szCs w:val="20"/>
        </w:rPr>
        <w:t xml:space="preserve"> payment holidays</w:t>
      </w:r>
      <w:r w:rsidR="00C32E9C">
        <w:rPr>
          <w:rFonts w:asciiTheme="minorHAnsi" w:hAnsiTheme="minorHAnsi"/>
          <w:sz w:val="20"/>
          <w:szCs w:val="20"/>
        </w:rPr>
        <w:t>,</w:t>
      </w:r>
      <w:r w:rsidR="0093517F">
        <w:rPr>
          <w:rFonts w:asciiTheme="minorHAnsi" w:hAnsiTheme="minorHAnsi"/>
          <w:sz w:val="20"/>
          <w:szCs w:val="20"/>
        </w:rPr>
        <w:t xml:space="preserve"> or payment arrangements</w:t>
      </w:r>
      <w:r w:rsidR="00C32E9C">
        <w:rPr>
          <w:rFonts w:asciiTheme="minorHAnsi" w:hAnsiTheme="minorHAnsi"/>
          <w:sz w:val="20"/>
          <w:szCs w:val="20"/>
        </w:rPr>
        <w:t>,</w:t>
      </w:r>
      <w:r w:rsidR="0093517F">
        <w:rPr>
          <w:rFonts w:asciiTheme="minorHAnsi" w:hAnsiTheme="minorHAnsi"/>
          <w:sz w:val="20"/>
          <w:szCs w:val="20"/>
        </w:rPr>
        <w:t xml:space="preserve"> </w:t>
      </w:r>
      <w:r w:rsidR="00C32E9C">
        <w:rPr>
          <w:rFonts w:asciiTheme="minorHAnsi" w:hAnsiTheme="minorHAnsi"/>
          <w:sz w:val="20"/>
          <w:szCs w:val="20"/>
        </w:rPr>
        <w:t>as</w:t>
      </w:r>
      <w:r w:rsidR="0093517F">
        <w:rPr>
          <w:rFonts w:asciiTheme="minorHAnsi" w:hAnsiTheme="minorHAnsi"/>
          <w:sz w:val="20"/>
          <w:szCs w:val="20"/>
        </w:rPr>
        <w:t xml:space="preserve"> appropriate. This close relationship </w:t>
      </w:r>
      <w:r w:rsidR="00C32E9C">
        <w:rPr>
          <w:rFonts w:asciiTheme="minorHAnsi" w:hAnsiTheme="minorHAnsi"/>
          <w:sz w:val="20"/>
          <w:szCs w:val="20"/>
        </w:rPr>
        <w:t xml:space="preserve">with customers </w:t>
      </w:r>
      <w:r w:rsidR="0093517F">
        <w:rPr>
          <w:rFonts w:asciiTheme="minorHAnsi" w:hAnsiTheme="minorHAnsi"/>
          <w:sz w:val="20"/>
          <w:szCs w:val="20"/>
        </w:rPr>
        <w:t xml:space="preserve">will continue in the second half of the year </w:t>
      </w:r>
      <w:r w:rsidR="00C32E9C">
        <w:rPr>
          <w:rFonts w:asciiTheme="minorHAnsi" w:hAnsiTheme="minorHAnsi"/>
          <w:sz w:val="20"/>
          <w:szCs w:val="20"/>
        </w:rPr>
        <w:t xml:space="preserve">as the economic uncertainty continues. </w:t>
      </w:r>
      <w:r w:rsidR="0093517F">
        <w:rPr>
          <w:rFonts w:asciiTheme="minorHAnsi" w:hAnsiTheme="minorHAnsi"/>
          <w:sz w:val="20"/>
          <w:szCs w:val="20"/>
        </w:rPr>
        <w:t xml:space="preserve"> </w:t>
      </w:r>
    </w:p>
    <w:p w14:paraId="66919B1A" w14:textId="77777777" w:rsidR="00F01EC8" w:rsidRDefault="00F01EC8" w:rsidP="00F01EC8">
      <w:pPr>
        <w:pStyle w:val="NoSpacing"/>
        <w:jc w:val="both"/>
        <w:rPr>
          <w:sz w:val="20"/>
          <w:szCs w:val="20"/>
        </w:rPr>
      </w:pPr>
    </w:p>
    <w:p w14:paraId="682F2860" w14:textId="56ADDA03" w:rsidR="00F01EC8" w:rsidRPr="00F01EC8" w:rsidRDefault="00F01EC8" w:rsidP="00F01EC8">
      <w:pPr>
        <w:pStyle w:val="NoSpacing"/>
        <w:jc w:val="both"/>
        <w:rPr>
          <w:sz w:val="20"/>
          <w:szCs w:val="20"/>
          <w:u w:val="single"/>
        </w:rPr>
      </w:pPr>
      <w:r w:rsidRPr="00F01EC8">
        <w:rPr>
          <w:sz w:val="20"/>
          <w:szCs w:val="20"/>
          <w:u w:val="single"/>
        </w:rPr>
        <w:t>Capital risk</w:t>
      </w:r>
    </w:p>
    <w:p w14:paraId="7754F1B0" w14:textId="56F0B217"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 xml:space="preserve">The 2019 final dividend was not proposed for approval at </w:t>
      </w:r>
      <w:r w:rsidR="00E838F4">
        <w:rPr>
          <w:rFonts w:asciiTheme="minorHAnsi" w:hAnsiTheme="minorHAnsi"/>
          <w:sz w:val="20"/>
          <w:szCs w:val="20"/>
        </w:rPr>
        <w:t xml:space="preserve">Provident </w:t>
      </w:r>
      <w:proofErr w:type="spellStart"/>
      <w:r w:rsidR="00E838F4">
        <w:rPr>
          <w:rFonts w:asciiTheme="minorHAnsi" w:hAnsiTheme="minorHAnsi"/>
          <w:sz w:val="20"/>
          <w:szCs w:val="20"/>
        </w:rPr>
        <w:t>Financial’s</w:t>
      </w:r>
      <w:proofErr w:type="spellEnd"/>
      <w:r w:rsidRPr="00F01EC8">
        <w:rPr>
          <w:rFonts w:asciiTheme="minorHAnsi" w:hAnsiTheme="minorHAnsi"/>
          <w:sz w:val="20"/>
          <w:szCs w:val="20"/>
        </w:rPr>
        <w:t xml:space="preserve"> AGM in May to preserve both cash and capital. </w:t>
      </w:r>
      <w:r w:rsidR="00044F8B">
        <w:rPr>
          <w:rFonts w:asciiTheme="minorHAnsi" w:hAnsiTheme="minorHAnsi"/>
          <w:sz w:val="20"/>
          <w:szCs w:val="20"/>
        </w:rPr>
        <w:t xml:space="preserve">The Group has </w:t>
      </w:r>
      <w:r w:rsidR="00DD6168">
        <w:rPr>
          <w:rFonts w:asciiTheme="minorHAnsi" w:hAnsiTheme="minorHAnsi"/>
          <w:sz w:val="20"/>
          <w:szCs w:val="20"/>
        </w:rPr>
        <w:t xml:space="preserve">also </w:t>
      </w:r>
      <w:r w:rsidR="00044F8B">
        <w:rPr>
          <w:rFonts w:asciiTheme="minorHAnsi" w:hAnsiTheme="minorHAnsi"/>
          <w:sz w:val="20"/>
          <w:szCs w:val="20"/>
        </w:rPr>
        <w:t>decided not to pay an interim dividend for th</w:t>
      </w:r>
      <w:r w:rsidR="00DD6168">
        <w:rPr>
          <w:rFonts w:asciiTheme="minorHAnsi" w:hAnsiTheme="minorHAnsi"/>
          <w:sz w:val="20"/>
          <w:szCs w:val="20"/>
        </w:rPr>
        <w:t xml:space="preserve">e </w:t>
      </w:r>
      <w:r w:rsidR="00062D7A">
        <w:rPr>
          <w:rFonts w:asciiTheme="minorHAnsi" w:hAnsiTheme="minorHAnsi"/>
          <w:sz w:val="20"/>
          <w:szCs w:val="20"/>
        </w:rPr>
        <w:t>half</w:t>
      </w:r>
      <w:r w:rsidR="00044F8B">
        <w:rPr>
          <w:rFonts w:asciiTheme="minorHAnsi" w:hAnsiTheme="minorHAnsi"/>
          <w:sz w:val="20"/>
          <w:szCs w:val="20"/>
        </w:rPr>
        <w:t xml:space="preserve"> year. </w:t>
      </w:r>
      <w:r w:rsidRPr="00F01EC8">
        <w:rPr>
          <w:rFonts w:asciiTheme="minorHAnsi" w:hAnsiTheme="minorHAnsi"/>
          <w:sz w:val="20"/>
          <w:szCs w:val="20"/>
        </w:rPr>
        <w:t>Future dividend decisions will be made as and when conditions normalise.  A reduction in customer receivables, combined with tighter underwriting has increased surplus capital held. When combined with the reduction in countercyclical buffer and increased dynamic provisions, through relief for Covid-19 related provisions, the Group’s surplus regulatory capital has increased from £117m at 31 December 2019 to £</w:t>
      </w:r>
      <w:r w:rsidR="00EF2D7B">
        <w:rPr>
          <w:rFonts w:asciiTheme="minorHAnsi" w:hAnsiTheme="minorHAnsi"/>
          <w:sz w:val="20"/>
          <w:szCs w:val="20"/>
        </w:rPr>
        <w:t>215</w:t>
      </w:r>
      <w:r w:rsidRPr="00F01EC8">
        <w:rPr>
          <w:rFonts w:asciiTheme="minorHAnsi" w:hAnsiTheme="minorHAnsi"/>
          <w:sz w:val="20"/>
          <w:szCs w:val="20"/>
        </w:rPr>
        <w:t>m at 30 June 2020.</w:t>
      </w:r>
    </w:p>
    <w:p w14:paraId="19C472A2" w14:textId="77777777" w:rsidR="00F01EC8" w:rsidRDefault="00F01EC8" w:rsidP="00F01EC8">
      <w:pPr>
        <w:pStyle w:val="NoSpacing"/>
        <w:jc w:val="both"/>
        <w:rPr>
          <w:sz w:val="20"/>
          <w:szCs w:val="20"/>
        </w:rPr>
      </w:pPr>
    </w:p>
    <w:p w14:paraId="10C8EE31" w14:textId="06B0B09E" w:rsidR="00F01EC8" w:rsidRPr="00F01EC8" w:rsidRDefault="00F01EC8" w:rsidP="00F01EC8">
      <w:pPr>
        <w:pStyle w:val="NoSpacing"/>
        <w:jc w:val="both"/>
        <w:rPr>
          <w:sz w:val="20"/>
          <w:szCs w:val="20"/>
          <w:u w:val="single"/>
        </w:rPr>
      </w:pPr>
      <w:r w:rsidRPr="00F01EC8">
        <w:rPr>
          <w:sz w:val="20"/>
          <w:szCs w:val="20"/>
          <w:u w:val="single"/>
        </w:rPr>
        <w:t>Liquidity and funding risk</w:t>
      </w:r>
    </w:p>
    <w:p w14:paraId="0462FC7C" w14:textId="206E7291" w:rsidR="00F01EC8" w:rsidRDefault="00F01EC8" w:rsidP="00F01EC8">
      <w:pPr>
        <w:jc w:val="both"/>
        <w:rPr>
          <w:rFonts w:asciiTheme="minorHAnsi" w:hAnsiTheme="minorHAnsi"/>
          <w:sz w:val="20"/>
          <w:szCs w:val="20"/>
        </w:rPr>
      </w:pPr>
      <w:r w:rsidRPr="00F01EC8">
        <w:rPr>
          <w:rFonts w:asciiTheme="minorHAnsi" w:hAnsiTheme="minorHAnsi"/>
          <w:sz w:val="20"/>
          <w:szCs w:val="20"/>
        </w:rPr>
        <w:t>The Group was able to raise additional liquidity rapidly through April and May resulting in headroom on committed facilities and surplus cash and liquid resources increasing to approximately £1.2bn in May to mitigate risk of operational disruption and utilisation of undrawn credit facilities in Vanquis Bank. £1bn of surplus liquidity continues to be held to mitigate against any ongoing risk.</w:t>
      </w:r>
    </w:p>
    <w:p w14:paraId="4A9657C4" w14:textId="77777777" w:rsidR="00F01EC8" w:rsidRPr="00F01EC8" w:rsidRDefault="00F01EC8" w:rsidP="00F01EC8">
      <w:pPr>
        <w:jc w:val="both"/>
        <w:rPr>
          <w:rFonts w:asciiTheme="minorHAnsi" w:hAnsiTheme="minorHAnsi"/>
          <w:sz w:val="20"/>
          <w:szCs w:val="20"/>
        </w:rPr>
      </w:pPr>
    </w:p>
    <w:p w14:paraId="647CCA08" w14:textId="77777777" w:rsidR="00F01EC8" w:rsidRPr="00F01EC8" w:rsidRDefault="00F01EC8" w:rsidP="00F01EC8">
      <w:pPr>
        <w:pStyle w:val="NoSpacing"/>
        <w:jc w:val="both"/>
        <w:rPr>
          <w:sz w:val="20"/>
          <w:szCs w:val="20"/>
          <w:u w:val="single"/>
        </w:rPr>
      </w:pPr>
      <w:r w:rsidRPr="00F01EC8">
        <w:rPr>
          <w:sz w:val="20"/>
          <w:szCs w:val="20"/>
          <w:u w:val="single"/>
        </w:rPr>
        <w:t>Operational, people, business resilience and information and data security risk</w:t>
      </w:r>
    </w:p>
    <w:p w14:paraId="44366F64" w14:textId="77777777"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 xml:space="preserve">All divisions had to adapt rapidly and introduce new ways of working in response to Covid-19. The response was swift and effective, enabling us to continue supporting our customers whilst ensuring the safety and wellbeing of our colleagues. This support has enabled colleagues from across the Group to have the necessary equipment to work remotely. The provisions to work remotely have proved to be effective and therefore the measures will remain in place for the short to medium-term. Colleagues will return to working from the Group’s offices when this is deemed to be safe and operationally viable. </w:t>
      </w:r>
    </w:p>
    <w:p w14:paraId="363A2EFF" w14:textId="77777777" w:rsidR="00F01EC8" w:rsidRDefault="00F01EC8" w:rsidP="00F01EC8">
      <w:pPr>
        <w:pStyle w:val="NoSpacing"/>
        <w:jc w:val="both"/>
        <w:rPr>
          <w:sz w:val="20"/>
          <w:szCs w:val="20"/>
        </w:rPr>
      </w:pPr>
    </w:p>
    <w:p w14:paraId="775C35D4" w14:textId="04B1DB64" w:rsidR="00F01EC8" w:rsidRPr="00F01EC8" w:rsidRDefault="00F01EC8" w:rsidP="00F01EC8">
      <w:pPr>
        <w:pStyle w:val="NoSpacing"/>
        <w:jc w:val="both"/>
        <w:rPr>
          <w:sz w:val="20"/>
          <w:szCs w:val="20"/>
          <w:u w:val="single"/>
        </w:rPr>
      </w:pPr>
      <w:r w:rsidRPr="00F01EC8">
        <w:rPr>
          <w:sz w:val="20"/>
          <w:szCs w:val="20"/>
          <w:u w:val="single"/>
        </w:rPr>
        <w:t>Regulatory and conduct risk</w:t>
      </w:r>
    </w:p>
    <w:p w14:paraId="7226863B" w14:textId="77777777"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 xml:space="preserve">The Group has worked closely with its regulators through the first half to ensure customers could continue to be served responsibly, recognising that many of these are vulnerable. This has included offering payment holidays and other forbearance where appropriate. There continues to be heightened Claims Management Company (CMC) activity in relation to non-standard lending, particularly in respect of irresponsible lending in high-cost credit and more recently in-home credit. As a result, CCD (Home Credit) has seen an increase in the number of such complaints during 2020. An increasing proportion of complaints are being managed internally, reducing referrals to the FOS. CCD continues to robustly defend inappropriate or unsubstantiated claims. </w:t>
      </w:r>
    </w:p>
    <w:p w14:paraId="4AF87394" w14:textId="77777777" w:rsidR="00F01EC8" w:rsidRPr="00F01EC8" w:rsidRDefault="00F01EC8" w:rsidP="00F01EC8">
      <w:pPr>
        <w:pStyle w:val="NoSpacing"/>
        <w:jc w:val="both"/>
        <w:rPr>
          <w:sz w:val="20"/>
          <w:szCs w:val="20"/>
        </w:rPr>
      </w:pPr>
    </w:p>
    <w:p w14:paraId="40F7E0F2" w14:textId="77777777" w:rsidR="00F01EC8" w:rsidRPr="00F01EC8" w:rsidRDefault="00F01EC8" w:rsidP="00F01EC8">
      <w:pPr>
        <w:pStyle w:val="NoSpacing"/>
        <w:jc w:val="both"/>
        <w:rPr>
          <w:sz w:val="20"/>
          <w:szCs w:val="20"/>
          <w:u w:val="single"/>
        </w:rPr>
      </w:pPr>
      <w:r w:rsidRPr="00F01EC8">
        <w:rPr>
          <w:sz w:val="20"/>
          <w:szCs w:val="20"/>
          <w:u w:val="single"/>
        </w:rPr>
        <w:t>Model risk</w:t>
      </w:r>
    </w:p>
    <w:p w14:paraId="6A0BDE3F" w14:textId="58647553" w:rsidR="00F01EC8" w:rsidRPr="00F01EC8" w:rsidRDefault="00F01EC8" w:rsidP="00F01EC8">
      <w:pPr>
        <w:jc w:val="both"/>
        <w:rPr>
          <w:rFonts w:asciiTheme="minorHAnsi" w:hAnsiTheme="minorHAnsi"/>
          <w:sz w:val="20"/>
          <w:szCs w:val="20"/>
        </w:rPr>
      </w:pPr>
      <w:r w:rsidRPr="00F01EC8">
        <w:rPr>
          <w:rFonts w:asciiTheme="minorHAnsi" w:hAnsiTheme="minorHAnsi"/>
          <w:sz w:val="20"/>
          <w:szCs w:val="20"/>
        </w:rPr>
        <w:t xml:space="preserve">A Model Risk policy has been approved by the Group Board in the first half. Independent model validation has been initiated for the Group’s most </w:t>
      </w:r>
      <w:r w:rsidR="00C32E9C">
        <w:rPr>
          <w:rFonts w:asciiTheme="minorHAnsi" w:hAnsiTheme="minorHAnsi"/>
          <w:sz w:val="20"/>
          <w:szCs w:val="20"/>
        </w:rPr>
        <w:t>significant</w:t>
      </w:r>
      <w:r w:rsidR="00C32E9C" w:rsidRPr="00F01EC8">
        <w:rPr>
          <w:rFonts w:asciiTheme="minorHAnsi" w:hAnsiTheme="minorHAnsi"/>
          <w:sz w:val="20"/>
          <w:szCs w:val="20"/>
        </w:rPr>
        <w:t xml:space="preserve"> </w:t>
      </w:r>
      <w:r w:rsidRPr="00F01EC8">
        <w:rPr>
          <w:rFonts w:asciiTheme="minorHAnsi" w:hAnsiTheme="minorHAnsi"/>
          <w:sz w:val="20"/>
          <w:szCs w:val="20"/>
        </w:rPr>
        <w:t xml:space="preserve">models.  </w:t>
      </w:r>
    </w:p>
    <w:p w14:paraId="6F5335E2" w14:textId="77777777" w:rsidR="00F01EC8" w:rsidRDefault="00F01EC8" w:rsidP="00F01EC8">
      <w:pPr>
        <w:pStyle w:val="NoSpacing"/>
        <w:jc w:val="both"/>
        <w:rPr>
          <w:rStyle w:val="Strong"/>
          <w:sz w:val="20"/>
          <w:szCs w:val="20"/>
        </w:rPr>
      </w:pPr>
    </w:p>
    <w:p w14:paraId="645A1331" w14:textId="650AEDD7" w:rsidR="00F01EC8" w:rsidRPr="00F01EC8" w:rsidRDefault="00F01EC8" w:rsidP="00F01EC8">
      <w:pPr>
        <w:pStyle w:val="NoSpacing"/>
        <w:jc w:val="both"/>
        <w:rPr>
          <w:rStyle w:val="Strong"/>
          <w:sz w:val="20"/>
          <w:szCs w:val="20"/>
        </w:rPr>
      </w:pPr>
      <w:r w:rsidRPr="00F01EC8">
        <w:rPr>
          <w:rStyle w:val="Strong"/>
          <w:sz w:val="20"/>
          <w:szCs w:val="20"/>
        </w:rPr>
        <w:t xml:space="preserve">Related party transactions          </w:t>
      </w:r>
    </w:p>
    <w:p w14:paraId="6C2FF2D4" w14:textId="44108FF6" w:rsidR="00F01EC8" w:rsidRPr="00F01EC8" w:rsidRDefault="00F01EC8" w:rsidP="00F01EC8">
      <w:pPr>
        <w:pStyle w:val="NoSpacing"/>
        <w:jc w:val="both"/>
        <w:rPr>
          <w:sz w:val="20"/>
          <w:szCs w:val="20"/>
        </w:rPr>
      </w:pPr>
      <w:r w:rsidRPr="00F01EC8">
        <w:rPr>
          <w:sz w:val="20"/>
          <w:szCs w:val="20"/>
        </w:rPr>
        <w:t xml:space="preserve">                                                                                                                                                                                                                                                                                                                                                                                                                                                                                                                                                                                                                                                                                                                                                                                                                                                                                                                                                                                                                                                                                                                                                                                                                                                                                                                                                                                                                                                                                                                                                                                                                                                                                                                                                                                                                                                                                                                                                                                                                                                                                                                                                                                                                                                                                                                                                                       In August 2020 Provident Financial plc agreed a £70m intercompany facility with Vanquis Bank to allow upstream funding which facilitated the tender of the</w:t>
      </w:r>
      <w:r w:rsidR="00062D7A">
        <w:rPr>
          <w:sz w:val="20"/>
          <w:szCs w:val="20"/>
        </w:rPr>
        <w:t xml:space="preserve"> 2023</w:t>
      </w:r>
      <w:r w:rsidRPr="00F01EC8">
        <w:rPr>
          <w:sz w:val="20"/>
          <w:szCs w:val="20"/>
        </w:rPr>
        <w:t xml:space="preserve"> bonds.</w:t>
      </w:r>
    </w:p>
    <w:p w14:paraId="0683A5EE" w14:textId="77777777" w:rsidR="00F01EC8" w:rsidRPr="00F01EC8" w:rsidRDefault="00F01EC8" w:rsidP="00F01EC8">
      <w:pPr>
        <w:rPr>
          <w:rFonts w:asciiTheme="minorHAnsi" w:hAnsiTheme="minorHAnsi" w:cs="Arial"/>
          <w:b/>
          <w:sz w:val="20"/>
          <w:szCs w:val="20"/>
          <w:u w:val="single"/>
        </w:rPr>
      </w:pPr>
    </w:p>
    <w:p w14:paraId="03815922" w14:textId="77777777" w:rsidR="00F01EC8" w:rsidRPr="00F01EC8" w:rsidRDefault="00F01EC8" w:rsidP="00F01EC8">
      <w:pPr>
        <w:rPr>
          <w:rFonts w:asciiTheme="minorHAnsi" w:hAnsiTheme="minorHAnsi" w:cs="Arial"/>
          <w:b/>
          <w:sz w:val="20"/>
          <w:szCs w:val="20"/>
          <w:u w:val="single"/>
        </w:rPr>
      </w:pPr>
    </w:p>
    <w:p w14:paraId="557A07C5" w14:textId="3CC3E403" w:rsidR="00DA6694" w:rsidRPr="00F01EC8" w:rsidRDefault="00DA6694" w:rsidP="00DA6694">
      <w:pPr>
        <w:jc w:val="both"/>
        <w:rPr>
          <w:rFonts w:asciiTheme="minorHAnsi" w:hAnsiTheme="minorHAnsi" w:cs="Arial"/>
          <w:sz w:val="20"/>
          <w:szCs w:val="20"/>
          <w:u w:val="single"/>
        </w:rPr>
      </w:pPr>
      <w:r w:rsidRPr="00F01EC8">
        <w:rPr>
          <w:rFonts w:asciiTheme="minorHAnsi" w:hAnsiTheme="minorHAnsi" w:cs="Arial"/>
          <w:b/>
          <w:color w:val="000000"/>
          <w:sz w:val="20"/>
          <w:szCs w:val="20"/>
          <w:u w:val="single"/>
        </w:rPr>
        <w:t>Unaudited condensed interim financial statements</w:t>
      </w:r>
      <w:r w:rsidRPr="00F01EC8">
        <w:rPr>
          <w:rFonts w:asciiTheme="minorHAnsi" w:hAnsiTheme="minorHAnsi" w:cs="Arial"/>
          <w:sz w:val="20"/>
          <w:szCs w:val="20"/>
          <w:u w:val="single"/>
        </w:rPr>
        <w:t xml:space="preserve"> </w:t>
      </w:r>
    </w:p>
    <w:p w14:paraId="458905FB" w14:textId="77777777" w:rsidR="00DA6694" w:rsidRPr="00F01EC8" w:rsidRDefault="00DA6694" w:rsidP="00DA6694">
      <w:pPr>
        <w:jc w:val="both"/>
        <w:rPr>
          <w:rFonts w:asciiTheme="minorHAnsi" w:hAnsiTheme="minorHAnsi" w:cs="Arial"/>
          <w:sz w:val="20"/>
          <w:szCs w:val="20"/>
        </w:rPr>
      </w:pPr>
    </w:p>
    <w:p w14:paraId="34B739DD" w14:textId="77777777" w:rsidR="00DA6694" w:rsidRPr="00F01EC8" w:rsidRDefault="00DA6694" w:rsidP="00DA6694">
      <w:pPr>
        <w:jc w:val="both"/>
        <w:rPr>
          <w:rFonts w:asciiTheme="minorHAnsi" w:hAnsiTheme="minorHAnsi" w:cs="Arial"/>
          <w:b/>
          <w:sz w:val="20"/>
          <w:szCs w:val="20"/>
        </w:rPr>
      </w:pPr>
      <w:r w:rsidRPr="00F01EC8">
        <w:rPr>
          <w:rFonts w:asciiTheme="minorHAnsi" w:hAnsiTheme="minorHAnsi" w:cs="Arial"/>
          <w:b/>
          <w:sz w:val="20"/>
          <w:szCs w:val="20"/>
        </w:rPr>
        <w:t>Consolidated income statement</w:t>
      </w:r>
    </w:p>
    <w:p w14:paraId="7433984B" w14:textId="77777777" w:rsidR="00DA6694" w:rsidRPr="00F01EC8" w:rsidRDefault="00DA6694" w:rsidP="00DA6694">
      <w:pPr>
        <w:rPr>
          <w:rFonts w:asciiTheme="minorHAnsi" w:hAnsiTheme="minorHAnsi" w:cs="Arial"/>
          <w:b/>
          <w:sz w:val="20"/>
          <w:szCs w:val="20"/>
        </w:rPr>
      </w:pPr>
    </w:p>
    <w:tbl>
      <w:tblPr>
        <w:tblW w:w="9923" w:type="dxa"/>
        <w:tblLayout w:type="fixed"/>
        <w:tblLook w:val="0000" w:firstRow="0" w:lastRow="0" w:firstColumn="0" w:lastColumn="0" w:noHBand="0" w:noVBand="0"/>
      </w:tblPr>
      <w:tblGrid>
        <w:gridCol w:w="6938"/>
        <w:gridCol w:w="125"/>
        <w:gridCol w:w="506"/>
        <w:gridCol w:w="1177"/>
        <w:gridCol w:w="1177"/>
      </w:tblGrid>
      <w:tr w:rsidR="00DA6694" w:rsidRPr="00F01EC8" w14:paraId="4A85851D" w14:textId="77777777" w:rsidTr="00AC0A5D">
        <w:tc>
          <w:tcPr>
            <w:tcW w:w="6938" w:type="dxa"/>
          </w:tcPr>
          <w:p w14:paraId="7A665A3F" w14:textId="77777777" w:rsidR="00DA6694" w:rsidRPr="00F01EC8" w:rsidRDefault="00DA6694" w:rsidP="00AC0A5D">
            <w:pPr>
              <w:rPr>
                <w:rFonts w:asciiTheme="minorHAnsi" w:hAnsiTheme="minorHAnsi" w:cs="Arial"/>
                <w:sz w:val="20"/>
                <w:szCs w:val="20"/>
              </w:rPr>
            </w:pPr>
          </w:p>
        </w:tc>
        <w:tc>
          <w:tcPr>
            <w:tcW w:w="631" w:type="dxa"/>
            <w:gridSpan w:val="2"/>
          </w:tcPr>
          <w:p w14:paraId="43A11D65" w14:textId="77777777" w:rsidR="00DA6694" w:rsidRPr="00F01EC8" w:rsidRDefault="00DA6694" w:rsidP="00AC0A5D">
            <w:pPr>
              <w:jc w:val="right"/>
              <w:rPr>
                <w:rFonts w:asciiTheme="minorHAnsi" w:hAnsiTheme="minorHAnsi" w:cs="Arial"/>
                <w:sz w:val="20"/>
                <w:szCs w:val="20"/>
              </w:rPr>
            </w:pPr>
          </w:p>
        </w:tc>
        <w:tc>
          <w:tcPr>
            <w:tcW w:w="2354" w:type="dxa"/>
            <w:gridSpan w:val="2"/>
          </w:tcPr>
          <w:p w14:paraId="16F184EF"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0CE9914B" w14:textId="77777777" w:rsidTr="00082465">
        <w:tc>
          <w:tcPr>
            <w:tcW w:w="6938" w:type="dxa"/>
          </w:tcPr>
          <w:p w14:paraId="7F507D87" w14:textId="77777777" w:rsidR="00DA6694" w:rsidRPr="00F01EC8" w:rsidRDefault="00DA6694" w:rsidP="00AC0A5D">
            <w:pPr>
              <w:rPr>
                <w:rFonts w:asciiTheme="minorHAnsi" w:hAnsiTheme="minorHAnsi" w:cs="Arial"/>
                <w:sz w:val="20"/>
                <w:szCs w:val="20"/>
              </w:rPr>
            </w:pPr>
          </w:p>
        </w:tc>
        <w:tc>
          <w:tcPr>
            <w:tcW w:w="631" w:type="dxa"/>
            <w:gridSpan w:val="2"/>
          </w:tcPr>
          <w:p w14:paraId="4DEC95A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Note</w:t>
            </w:r>
          </w:p>
        </w:tc>
        <w:tc>
          <w:tcPr>
            <w:tcW w:w="1177" w:type="dxa"/>
          </w:tcPr>
          <w:p w14:paraId="08354FC8" w14:textId="62640BA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3C3552" w:rsidRPr="00F01EC8">
              <w:rPr>
                <w:rFonts w:asciiTheme="minorHAnsi" w:hAnsiTheme="minorHAnsi" w:cs="Arial"/>
                <w:sz w:val="20"/>
                <w:szCs w:val="20"/>
              </w:rPr>
              <w:t>20</w:t>
            </w:r>
            <w:r w:rsidRPr="00F01EC8">
              <w:rPr>
                <w:rFonts w:asciiTheme="minorHAnsi" w:hAnsiTheme="minorHAnsi" w:cs="Arial"/>
                <w:sz w:val="20"/>
                <w:szCs w:val="20"/>
              </w:rPr>
              <w:t> </w:t>
            </w:r>
          </w:p>
        </w:tc>
        <w:tc>
          <w:tcPr>
            <w:tcW w:w="1177" w:type="dxa"/>
          </w:tcPr>
          <w:p w14:paraId="00425CAA" w14:textId="6F0B0AD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3C3552" w:rsidRPr="00F01EC8">
              <w:rPr>
                <w:rFonts w:asciiTheme="minorHAnsi" w:hAnsiTheme="minorHAnsi" w:cs="Arial"/>
                <w:sz w:val="20"/>
                <w:szCs w:val="20"/>
              </w:rPr>
              <w:t xml:space="preserve">9 </w:t>
            </w:r>
            <w:r w:rsidR="005F7C97" w:rsidRPr="00F01EC8">
              <w:rPr>
                <w:rFonts w:asciiTheme="minorHAnsi" w:hAnsiTheme="minorHAnsi" w:cs="Arial"/>
                <w:sz w:val="20"/>
                <w:szCs w:val="20"/>
              </w:rPr>
              <w:t>(</w:t>
            </w:r>
            <w:r w:rsidR="003C3552" w:rsidRPr="00F01EC8">
              <w:rPr>
                <w:rFonts w:asciiTheme="minorHAnsi" w:hAnsiTheme="minorHAnsi" w:cs="Arial"/>
                <w:sz w:val="20"/>
                <w:szCs w:val="20"/>
              </w:rPr>
              <w:t>restated</w:t>
            </w:r>
            <w:r w:rsidR="005F7C97" w:rsidRPr="00F01EC8">
              <w:rPr>
                <w:rFonts w:asciiTheme="minorHAnsi" w:hAnsiTheme="minorHAnsi" w:cs="Arial"/>
                <w:sz w:val="20"/>
                <w:szCs w:val="20"/>
              </w:rPr>
              <w:t>)</w:t>
            </w:r>
          </w:p>
        </w:tc>
      </w:tr>
      <w:tr w:rsidR="00DA6694" w:rsidRPr="00F01EC8" w14:paraId="3455CC8F" w14:textId="77777777" w:rsidTr="00082465">
        <w:tc>
          <w:tcPr>
            <w:tcW w:w="6938" w:type="dxa"/>
          </w:tcPr>
          <w:p w14:paraId="7777B22D" w14:textId="77777777" w:rsidR="00DA6694" w:rsidRPr="00F01EC8" w:rsidRDefault="00DA6694" w:rsidP="00AC0A5D">
            <w:pPr>
              <w:rPr>
                <w:rFonts w:asciiTheme="minorHAnsi" w:hAnsiTheme="minorHAnsi" w:cs="Arial"/>
                <w:sz w:val="20"/>
                <w:szCs w:val="20"/>
              </w:rPr>
            </w:pPr>
          </w:p>
        </w:tc>
        <w:tc>
          <w:tcPr>
            <w:tcW w:w="631" w:type="dxa"/>
            <w:gridSpan w:val="2"/>
          </w:tcPr>
          <w:p w14:paraId="45FB5EF3" w14:textId="77777777" w:rsidR="00DA6694" w:rsidRPr="00F01EC8" w:rsidRDefault="00DA6694" w:rsidP="00AC0A5D">
            <w:pPr>
              <w:jc w:val="right"/>
              <w:rPr>
                <w:rFonts w:asciiTheme="minorHAnsi" w:hAnsiTheme="minorHAnsi" w:cs="Arial"/>
                <w:sz w:val="20"/>
                <w:szCs w:val="20"/>
              </w:rPr>
            </w:pPr>
          </w:p>
        </w:tc>
        <w:tc>
          <w:tcPr>
            <w:tcW w:w="1177" w:type="dxa"/>
            <w:tcBorders>
              <w:top w:val="nil"/>
              <w:left w:val="nil"/>
              <w:bottom w:val="single" w:sz="4" w:space="0" w:color="auto"/>
              <w:right w:val="nil"/>
            </w:tcBorders>
          </w:tcPr>
          <w:p w14:paraId="57766F8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77" w:type="dxa"/>
            <w:tcBorders>
              <w:top w:val="nil"/>
              <w:left w:val="nil"/>
              <w:bottom w:val="single" w:sz="4" w:space="0" w:color="auto"/>
              <w:right w:val="nil"/>
            </w:tcBorders>
          </w:tcPr>
          <w:p w14:paraId="75A0C94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116F9DB4" w14:textId="77777777" w:rsidTr="00082465">
        <w:tc>
          <w:tcPr>
            <w:tcW w:w="6938" w:type="dxa"/>
            <w:vAlign w:val="bottom"/>
          </w:tcPr>
          <w:p w14:paraId="5A954CDC" w14:textId="77777777" w:rsidR="00DA6694" w:rsidRPr="00F01EC8" w:rsidRDefault="00DA6694" w:rsidP="00AC0A5D">
            <w:pPr>
              <w:rPr>
                <w:rFonts w:asciiTheme="minorHAnsi" w:hAnsiTheme="minorHAnsi" w:cs="Arial"/>
                <w:bCs/>
                <w:sz w:val="20"/>
                <w:szCs w:val="20"/>
              </w:rPr>
            </w:pPr>
            <w:bookmarkStart w:id="15" w:name="_Hlk48925542"/>
            <w:r w:rsidRPr="00F01EC8">
              <w:rPr>
                <w:rFonts w:asciiTheme="minorHAnsi" w:hAnsiTheme="minorHAnsi" w:cs="Arial"/>
                <w:bCs/>
                <w:sz w:val="20"/>
                <w:szCs w:val="20"/>
              </w:rPr>
              <w:t>Revenue</w:t>
            </w:r>
          </w:p>
        </w:tc>
        <w:tc>
          <w:tcPr>
            <w:tcW w:w="631" w:type="dxa"/>
            <w:gridSpan w:val="2"/>
            <w:vAlign w:val="bottom"/>
          </w:tcPr>
          <w:p w14:paraId="2CB275A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4</w:t>
            </w:r>
          </w:p>
        </w:tc>
        <w:tc>
          <w:tcPr>
            <w:tcW w:w="1177" w:type="dxa"/>
            <w:tcBorders>
              <w:top w:val="single" w:sz="4" w:space="0" w:color="auto"/>
              <w:left w:val="nil"/>
              <w:right w:val="nil"/>
            </w:tcBorders>
            <w:vAlign w:val="bottom"/>
          </w:tcPr>
          <w:p w14:paraId="555775EE" w14:textId="41883CF3" w:rsidR="00DA6694" w:rsidRPr="00F01EC8" w:rsidRDefault="00DE2D8B" w:rsidP="00AC0A5D">
            <w:pPr>
              <w:jc w:val="right"/>
              <w:rPr>
                <w:rFonts w:asciiTheme="minorHAnsi" w:hAnsiTheme="minorHAnsi" w:cs="Arial"/>
                <w:sz w:val="20"/>
                <w:szCs w:val="20"/>
              </w:rPr>
            </w:pPr>
            <w:r w:rsidRPr="00F01EC8">
              <w:rPr>
                <w:rFonts w:asciiTheme="minorHAnsi" w:hAnsiTheme="minorHAnsi" w:cs="Arial"/>
                <w:sz w:val="20"/>
                <w:szCs w:val="20"/>
              </w:rPr>
              <w:t>445.6</w:t>
            </w:r>
            <w:r w:rsidR="00B133E8" w:rsidRPr="00F01EC8">
              <w:rPr>
                <w:rFonts w:asciiTheme="minorHAnsi" w:hAnsiTheme="minorHAnsi" w:cs="Arial"/>
                <w:sz w:val="20"/>
                <w:szCs w:val="20"/>
              </w:rPr>
              <w:t> </w:t>
            </w:r>
          </w:p>
        </w:tc>
        <w:tc>
          <w:tcPr>
            <w:tcW w:w="1177" w:type="dxa"/>
            <w:tcBorders>
              <w:top w:val="single" w:sz="4" w:space="0" w:color="auto"/>
              <w:left w:val="nil"/>
              <w:right w:val="nil"/>
            </w:tcBorders>
            <w:vAlign w:val="bottom"/>
          </w:tcPr>
          <w:p w14:paraId="17542080" w14:textId="328C8C2A" w:rsidR="00DA6694" w:rsidRPr="00F01EC8" w:rsidRDefault="003C3552" w:rsidP="00AC0A5D">
            <w:pPr>
              <w:jc w:val="right"/>
              <w:rPr>
                <w:rFonts w:asciiTheme="minorHAnsi" w:hAnsiTheme="minorHAnsi" w:cs="Arial"/>
                <w:sz w:val="20"/>
                <w:szCs w:val="20"/>
              </w:rPr>
            </w:pPr>
            <w:r w:rsidRPr="00F01EC8">
              <w:rPr>
                <w:rFonts w:asciiTheme="minorHAnsi" w:hAnsiTheme="minorHAnsi" w:cs="Arial"/>
                <w:sz w:val="20"/>
                <w:szCs w:val="20"/>
              </w:rPr>
              <w:t>501.5</w:t>
            </w:r>
            <w:r w:rsidR="00DA6694" w:rsidRPr="00F01EC8">
              <w:rPr>
                <w:rFonts w:asciiTheme="minorHAnsi" w:hAnsiTheme="minorHAnsi" w:cs="Arial"/>
                <w:sz w:val="20"/>
                <w:szCs w:val="20"/>
              </w:rPr>
              <w:t> </w:t>
            </w:r>
          </w:p>
        </w:tc>
      </w:tr>
      <w:tr w:rsidR="00DA6694" w:rsidRPr="00F01EC8" w14:paraId="5E360D21" w14:textId="77777777" w:rsidTr="00082465">
        <w:trPr>
          <w:trHeight w:val="195"/>
        </w:trPr>
        <w:tc>
          <w:tcPr>
            <w:tcW w:w="6938" w:type="dxa"/>
            <w:vAlign w:val="bottom"/>
          </w:tcPr>
          <w:p w14:paraId="0201B5A5"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Finance costs</w:t>
            </w:r>
          </w:p>
        </w:tc>
        <w:tc>
          <w:tcPr>
            <w:tcW w:w="631" w:type="dxa"/>
            <w:gridSpan w:val="2"/>
            <w:vAlign w:val="bottom"/>
          </w:tcPr>
          <w:p w14:paraId="16A237B6" w14:textId="77777777" w:rsidR="00DA6694" w:rsidRPr="00F01EC8" w:rsidRDefault="00DA6694" w:rsidP="00AC0A5D">
            <w:pPr>
              <w:jc w:val="right"/>
              <w:rPr>
                <w:rFonts w:asciiTheme="minorHAnsi" w:hAnsiTheme="minorHAnsi" w:cs="Arial"/>
                <w:sz w:val="20"/>
                <w:szCs w:val="20"/>
              </w:rPr>
            </w:pPr>
          </w:p>
        </w:tc>
        <w:tc>
          <w:tcPr>
            <w:tcW w:w="1177" w:type="dxa"/>
            <w:tcBorders>
              <w:left w:val="nil"/>
              <w:bottom w:val="single" w:sz="4" w:space="0" w:color="auto"/>
              <w:right w:val="nil"/>
            </w:tcBorders>
            <w:vAlign w:val="bottom"/>
          </w:tcPr>
          <w:p w14:paraId="68400082" w14:textId="3BF0021C" w:rsidR="00DA6694" w:rsidRPr="00F01EC8" w:rsidRDefault="00DE2D8B" w:rsidP="00AC0A5D">
            <w:pPr>
              <w:jc w:val="right"/>
              <w:rPr>
                <w:rFonts w:asciiTheme="minorHAnsi" w:hAnsiTheme="minorHAnsi" w:cs="Arial"/>
                <w:sz w:val="20"/>
                <w:szCs w:val="20"/>
              </w:rPr>
            </w:pPr>
            <w:r w:rsidRPr="00F01EC8">
              <w:rPr>
                <w:rFonts w:asciiTheme="minorHAnsi" w:hAnsiTheme="minorHAnsi" w:cs="Arial"/>
                <w:sz w:val="20"/>
                <w:szCs w:val="20"/>
              </w:rPr>
              <w:t>(36.0)</w:t>
            </w:r>
          </w:p>
        </w:tc>
        <w:tc>
          <w:tcPr>
            <w:tcW w:w="1177" w:type="dxa"/>
            <w:tcBorders>
              <w:left w:val="nil"/>
              <w:bottom w:val="single" w:sz="4" w:space="0" w:color="auto"/>
              <w:right w:val="nil"/>
            </w:tcBorders>
            <w:vAlign w:val="bottom"/>
          </w:tcPr>
          <w:p w14:paraId="7A605F54" w14:textId="5C8B32F8" w:rsidR="00DA6694" w:rsidRPr="00F01EC8" w:rsidRDefault="003C3552" w:rsidP="003C3552">
            <w:pPr>
              <w:jc w:val="center"/>
              <w:rPr>
                <w:rFonts w:asciiTheme="minorHAnsi" w:hAnsiTheme="minorHAnsi" w:cs="Arial"/>
                <w:sz w:val="20"/>
                <w:szCs w:val="20"/>
              </w:rPr>
            </w:pPr>
            <w:r w:rsidRPr="00F01EC8">
              <w:rPr>
                <w:rFonts w:asciiTheme="minorHAnsi" w:hAnsiTheme="minorHAnsi" w:cs="Arial"/>
                <w:sz w:val="20"/>
                <w:szCs w:val="20"/>
              </w:rPr>
              <w:t xml:space="preserve">      </w:t>
            </w:r>
            <w:r w:rsidR="009E3DBD" w:rsidRPr="00F01EC8">
              <w:rPr>
                <w:rFonts w:asciiTheme="minorHAnsi" w:hAnsiTheme="minorHAnsi" w:cs="Arial"/>
                <w:sz w:val="20"/>
                <w:szCs w:val="20"/>
              </w:rPr>
              <w:t xml:space="preserve">    </w:t>
            </w:r>
            <w:r w:rsidR="00DA6694" w:rsidRPr="00F01EC8">
              <w:rPr>
                <w:rFonts w:asciiTheme="minorHAnsi" w:hAnsiTheme="minorHAnsi" w:cs="Arial"/>
                <w:sz w:val="20"/>
                <w:szCs w:val="20"/>
              </w:rPr>
              <w:t>(</w:t>
            </w:r>
            <w:r w:rsidRPr="00F01EC8">
              <w:rPr>
                <w:rFonts w:asciiTheme="minorHAnsi" w:hAnsiTheme="minorHAnsi" w:cs="Arial"/>
                <w:sz w:val="20"/>
                <w:szCs w:val="20"/>
              </w:rPr>
              <w:t>36.5</w:t>
            </w:r>
            <w:r w:rsidR="00DA6694" w:rsidRPr="00F01EC8">
              <w:rPr>
                <w:rFonts w:asciiTheme="minorHAnsi" w:hAnsiTheme="minorHAnsi" w:cs="Arial"/>
                <w:sz w:val="20"/>
                <w:szCs w:val="20"/>
              </w:rPr>
              <w:t>)</w:t>
            </w:r>
          </w:p>
        </w:tc>
      </w:tr>
      <w:tr w:rsidR="009652C6" w:rsidRPr="00F01EC8" w14:paraId="02FD9B72" w14:textId="77777777" w:rsidTr="00082465">
        <w:tc>
          <w:tcPr>
            <w:tcW w:w="6938" w:type="dxa"/>
            <w:vAlign w:val="bottom"/>
          </w:tcPr>
          <w:p w14:paraId="24567B6F" w14:textId="0D835E8F" w:rsidR="009652C6" w:rsidRPr="00F01EC8" w:rsidRDefault="009652C6" w:rsidP="00AC0A5D">
            <w:pPr>
              <w:rPr>
                <w:rFonts w:asciiTheme="minorHAnsi" w:hAnsiTheme="minorHAnsi" w:cs="Arial"/>
                <w:b/>
                <w:sz w:val="20"/>
                <w:szCs w:val="20"/>
              </w:rPr>
            </w:pPr>
            <w:r w:rsidRPr="00F01EC8">
              <w:rPr>
                <w:rFonts w:asciiTheme="minorHAnsi" w:hAnsiTheme="minorHAnsi" w:cs="Arial"/>
                <w:b/>
                <w:sz w:val="20"/>
                <w:szCs w:val="20"/>
              </w:rPr>
              <w:t>Net interest margin</w:t>
            </w:r>
          </w:p>
        </w:tc>
        <w:tc>
          <w:tcPr>
            <w:tcW w:w="631" w:type="dxa"/>
            <w:gridSpan w:val="2"/>
            <w:vAlign w:val="bottom"/>
          </w:tcPr>
          <w:p w14:paraId="24CA2240" w14:textId="77777777" w:rsidR="009652C6" w:rsidRPr="00F01EC8" w:rsidRDefault="009652C6" w:rsidP="00AC0A5D">
            <w:pPr>
              <w:jc w:val="right"/>
              <w:rPr>
                <w:rFonts w:asciiTheme="minorHAnsi" w:hAnsiTheme="minorHAnsi" w:cs="Arial"/>
                <w:b/>
                <w:sz w:val="20"/>
                <w:szCs w:val="20"/>
              </w:rPr>
            </w:pPr>
          </w:p>
        </w:tc>
        <w:tc>
          <w:tcPr>
            <w:tcW w:w="1177" w:type="dxa"/>
            <w:tcBorders>
              <w:top w:val="single" w:sz="4" w:space="0" w:color="auto"/>
            </w:tcBorders>
            <w:vAlign w:val="bottom"/>
          </w:tcPr>
          <w:p w14:paraId="7990AB51" w14:textId="5AD118BD" w:rsidR="009652C6" w:rsidRPr="00F01EC8" w:rsidRDefault="00B133E8" w:rsidP="00AC0A5D">
            <w:pPr>
              <w:jc w:val="right"/>
              <w:rPr>
                <w:rFonts w:asciiTheme="minorHAnsi" w:hAnsiTheme="minorHAnsi" w:cs="Arial"/>
                <w:b/>
                <w:sz w:val="20"/>
                <w:szCs w:val="20"/>
              </w:rPr>
            </w:pPr>
            <w:r w:rsidRPr="00F01EC8">
              <w:rPr>
                <w:rFonts w:asciiTheme="minorHAnsi" w:hAnsiTheme="minorHAnsi" w:cs="Arial"/>
                <w:b/>
                <w:sz w:val="20"/>
                <w:szCs w:val="20"/>
              </w:rPr>
              <w:t>409.6 </w:t>
            </w:r>
          </w:p>
        </w:tc>
        <w:tc>
          <w:tcPr>
            <w:tcW w:w="1177" w:type="dxa"/>
            <w:tcBorders>
              <w:top w:val="single" w:sz="4" w:space="0" w:color="auto"/>
            </w:tcBorders>
            <w:vAlign w:val="bottom"/>
          </w:tcPr>
          <w:p w14:paraId="3E0939DD" w14:textId="2DDC35FD" w:rsidR="009652C6" w:rsidRPr="00F01EC8" w:rsidRDefault="00B133E8" w:rsidP="00AC0A5D">
            <w:pPr>
              <w:jc w:val="right"/>
              <w:rPr>
                <w:rFonts w:asciiTheme="minorHAnsi" w:hAnsiTheme="minorHAnsi" w:cs="Arial"/>
                <w:b/>
                <w:sz w:val="20"/>
                <w:szCs w:val="20"/>
              </w:rPr>
            </w:pPr>
            <w:r w:rsidRPr="00F01EC8">
              <w:rPr>
                <w:rFonts w:asciiTheme="minorHAnsi" w:hAnsiTheme="minorHAnsi" w:cs="Arial"/>
                <w:b/>
                <w:sz w:val="20"/>
                <w:szCs w:val="20"/>
              </w:rPr>
              <w:t>465.0 </w:t>
            </w:r>
          </w:p>
        </w:tc>
      </w:tr>
      <w:tr w:rsidR="00DA6694" w:rsidRPr="00F01EC8" w14:paraId="06E9D370" w14:textId="77777777" w:rsidTr="00082465">
        <w:tc>
          <w:tcPr>
            <w:tcW w:w="6938" w:type="dxa"/>
            <w:vAlign w:val="bottom"/>
          </w:tcPr>
          <w:p w14:paraId="5AA28F51"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Impairment charges</w:t>
            </w:r>
          </w:p>
        </w:tc>
        <w:tc>
          <w:tcPr>
            <w:tcW w:w="631" w:type="dxa"/>
            <w:gridSpan w:val="2"/>
            <w:vAlign w:val="bottom"/>
          </w:tcPr>
          <w:p w14:paraId="2960F895" w14:textId="77777777" w:rsidR="00DA6694" w:rsidRPr="00F01EC8" w:rsidRDefault="00DA6694" w:rsidP="00AC0A5D">
            <w:pPr>
              <w:jc w:val="right"/>
              <w:rPr>
                <w:rFonts w:asciiTheme="minorHAnsi" w:hAnsiTheme="minorHAnsi" w:cs="Arial"/>
                <w:sz w:val="20"/>
                <w:szCs w:val="20"/>
              </w:rPr>
            </w:pPr>
          </w:p>
        </w:tc>
        <w:tc>
          <w:tcPr>
            <w:tcW w:w="1177" w:type="dxa"/>
            <w:tcBorders>
              <w:bottom w:val="single" w:sz="4" w:space="0" w:color="auto"/>
            </w:tcBorders>
            <w:vAlign w:val="bottom"/>
          </w:tcPr>
          <w:p w14:paraId="082D4406" w14:textId="17C66EA1" w:rsidR="00DA6694" w:rsidRPr="00F01EC8" w:rsidRDefault="00C800EB" w:rsidP="00AC0A5D">
            <w:pPr>
              <w:jc w:val="right"/>
              <w:rPr>
                <w:rFonts w:asciiTheme="minorHAnsi" w:hAnsiTheme="minorHAnsi" w:cs="Arial"/>
                <w:sz w:val="20"/>
                <w:szCs w:val="20"/>
              </w:rPr>
            </w:pPr>
            <w:r w:rsidRPr="00F01EC8">
              <w:rPr>
                <w:rFonts w:asciiTheme="minorHAnsi" w:hAnsiTheme="minorHAnsi" w:cs="Arial"/>
                <w:sz w:val="20"/>
                <w:szCs w:val="20"/>
              </w:rPr>
              <w:t xml:space="preserve">(240.3) </w:t>
            </w:r>
          </w:p>
        </w:tc>
        <w:tc>
          <w:tcPr>
            <w:tcW w:w="1177" w:type="dxa"/>
            <w:tcBorders>
              <w:bottom w:val="single" w:sz="4" w:space="0" w:color="auto"/>
            </w:tcBorders>
            <w:vAlign w:val="bottom"/>
          </w:tcPr>
          <w:p w14:paraId="4B975021" w14:textId="54E9EC6A" w:rsidR="00DA6694" w:rsidRPr="00F01EC8" w:rsidRDefault="003C3552" w:rsidP="00AC0A5D">
            <w:pPr>
              <w:jc w:val="right"/>
              <w:rPr>
                <w:rFonts w:asciiTheme="minorHAnsi" w:hAnsiTheme="minorHAnsi" w:cs="Arial"/>
                <w:sz w:val="20"/>
                <w:szCs w:val="20"/>
              </w:rPr>
            </w:pPr>
            <w:r w:rsidRPr="00F01EC8">
              <w:rPr>
                <w:rFonts w:asciiTheme="minorHAnsi" w:hAnsiTheme="minorHAnsi" w:cs="Arial"/>
                <w:sz w:val="20"/>
                <w:szCs w:val="20"/>
              </w:rPr>
              <w:t xml:space="preserve"> </w:t>
            </w:r>
            <w:r w:rsidR="00DA6694" w:rsidRPr="00F01EC8">
              <w:rPr>
                <w:rFonts w:asciiTheme="minorHAnsi" w:hAnsiTheme="minorHAnsi" w:cs="Arial"/>
                <w:sz w:val="20"/>
                <w:szCs w:val="20"/>
              </w:rPr>
              <w:t>(</w:t>
            </w:r>
            <w:r w:rsidRPr="00F01EC8">
              <w:rPr>
                <w:rFonts w:asciiTheme="minorHAnsi" w:hAnsiTheme="minorHAnsi" w:cs="Arial"/>
                <w:sz w:val="20"/>
                <w:szCs w:val="20"/>
              </w:rPr>
              <w:t>165.9</w:t>
            </w:r>
            <w:r w:rsidR="00DA6694" w:rsidRPr="00F01EC8">
              <w:rPr>
                <w:rFonts w:asciiTheme="minorHAnsi" w:hAnsiTheme="minorHAnsi" w:cs="Arial"/>
                <w:sz w:val="20"/>
                <w:szCs w:val="20"/>
              </w:rPr>
              <w:t>)</w:t>
            </w:r>
          </w:p>
        </w:tc>
      </w:tr>
      <w:tr w:rsidR="009652C6" w:rsidRPr="00F01EC8" w14:paraId="202BF3AF" w14:textId="77777777" w:rsidTr="00082465">
        <w:tc>
          <w:tcPr>
            <w:tcW w:w="6938" w:type="dxa"/>
            <w:vAlign w:val="bottom"/>
          </w:tcPr>
          <w:p w14:paraId="0219B644" w14:textId="42DC5889" w:rsidR="009652C6" w:rsidRPr="00F01EC8" w:rsidRDefault="009652C6" w:rsidP="00AC0A5D">
            <w:pPr>
              <w:rPr>
                <w:rFonts w:asciiTheme="minorHAnsi" w:hAnsiTheme="minorHAnsi" w:cs="Arial"/>
                <w:b/>
                <w:sz w:val="20"/>
                <w:szCs w:val="20"/>
              </w:rPr>
            </w:pPr>
            <w:r w:rsidRPr="00F01EC8">
              <w:rPr>
                <w:rFonts w:asciiTheme="minorHAnsi" w:hAnsiTheme="minorHAnsi" w:cs="Arial"/>
                <w:b/>
                <w:sz w:val="20"/>
                <w:szCs w:val="20"/>
              </w:rPr>
              <w:t>Risk-adjusted net interest margin</w:t>
            </w:r>
          </w:p>
        </w:tc>
        <w:tc>
          <w:tcPr>
            <w:tcW w:w="631" w:type="dxa"/>
            <w:gridSpan w:val="2"/>
            <w:vAlign w:val="bottom"/>
          </w:tcPr>
          <w:p w14:paraId="2F7209E6" w14:textId="77777777" w:rsidR="009652C6" w:rsidRPr="00F01EC8" w:rsidRDefault="009652C6" w:rsidP="00AC0A5D">
            <w:pPr>
              <w:jc w:val="right"/>
              <w:rPr>
                <w:rFonts w:asciiTheme="minorHAnsi" w:hAnsiTheme="minorHAnsi" w:cs="Arial"/>
                <w:b/>
                <w:sz w:val="20"/>
                <w:szCs w:val="20"/>
              </w:rPr>
            </w:pPr>
          </w:p>
        </w:tc>
        <w:tc>
          <w:tcPr>
            <w:tcW w:w="1177" w:type="dxa"/>
            <w:tcBorders>
              <w:top w:val="single" w:sz="4" w:space="0" w:color="auto"/>
              <w:left w:val="nil"/>
              <w:bottom w:val="single" w:sz="4" w:space="0" w:color="auto"/>
              <w:right w:val="nil"/>
            </w:tcBorders>
            <w:vAlign w:val="bottom"/>
          </w:tcPr>
          <w:p w14:paraId="44F28311" w14:textId="2C8762C0" w:rsidR="009652C6" w:rsidRPr="00F01EC8" w:rsidRDefault="00B133E8" w:rsidP="00AC0A5D">
            <w:pPr>
              <w:jc w:val="right"/>
              <w:rPr>
                <w:rFonts w:asciiTheme="minorHAnsi" w:hAnsiTheme="minorHAnsi" w:cs="Arial"/>
                <w:b/>
                <w:sz w:val="20"/>
                <w:szCs w:val="20"/>
              </w:rPr>
            </w:pPr>
            <w:r w:rsidRPr="00F01EC8">
              <w:rPr>
                <w:rFonts w:asciiTheme="minorHAnsi" w:hAnsiTheme="minorHAnsi" w:cs="Arial"/>
                <w:b/>
                <w:sz w:val="20"/>
                <w:szCs w:val="20"/>
              </w:rPr>
              <w:t>169.3 </w:t>
            </w:r>
          </w:p>
        </w:tc>
        <w:tc>
          <w:tcPr>
            <w:tcW w:w="1177" w:type="dxa"/>
            <w:tcBorders>
              <w:top w:val="single" w:sz="4" w:space="0" w:color="auto"/>
              <w:left w:val="nil"/>
              <w:bottom w:val="single" w:sz="4" w:space="0" w:color="auto"/>
              <w:right w:val="nil"/>
            </w:tcBorders>
            <w:vAlign w:val="bottom"/>
          </w:tcPr>
          <w:p w14:paraId="269AEABC" w14:textId="0D9A1A4E" w:rsidR="009652C6" w:rsidRPr="00F01EC8" w:rsidRDefault="00B133E8" w:rsidP="00AC0A5D">
            <w:pPr>
              <w:jc w:val="right"/>
              <w:rPr>
                <w:rFonts w:asciiTheme="minorHAnsi" w:hAnsiTheme="minorHAnsi" w:cs="Arial"/>
                <w:b/>
                <w:sz w:val="20"/>
                <w:szCs w:val="20"/>
              </w:rPr>
            </w:pPr>
            <w:r w:rsidRPr="00F01EC8">
              <w:rPr>
                <w:rFonts w:asciiTheme="minorHAnsi" w:hAnsiTheme="minorHAnsi" w:cs="Arial"/>
                <w:b/>
                <w:sz w:val="20"/>
                <w:szCs w:val="20"/>
              </w:rPr>
              <w:t>299.1 </w:t>
            </w:r>
          </w:p>
        </w:tc>
      </w:tr>
      <w:tr w:rsidR="00DA6694" w:rsidRPr="00F01EC8" w14:paraId="12A6E2C1" w14:textId="77777777" w:rsidTr="00082465">
        <w:tc>
          <w:tcPr>
            <w:tcW w:w="6938" w:type="dxa"/>
            <w:vAlign w:val="bottom"/>
          </w:tcPr>
          <w:p w14:paraId="5361342C"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Administrative and operating costs</w:t>
            </w:r>
          </w:p>
        </w:tc>
        <w:tc>
          <w:tcPr>
            <w:tcW w:w="631" w:type="dxa"/>
            <w:gridSpan w:val="2"/>
            <w:vAlign w:val="bottom"/>
          </w:tcPr>
          <w:p w14:paraId="531B5692" w14:textId="77777777" w:rsidR="00DA6694" w:rsidRPr="00F01EC8" w:rsidRDefault="00DA6694" w:rsidP="00AC0A5D">
            <w:pPr>
              <w:jc w:val="right"/>
              <w:rPr>
                <w:rFonts w:asciiTheme="minorHAnsi" w:hAnsiTheme="minorHAnsi" w:cs="Arial"/>
                <w:sz w:val="20"/>
                <w:szCs w:val="20"/>
              </w:rPr>
            </w:pPr>
          </w:p>
        </w:tc>
        <w:tc>
          <w:tcPr>
            <w:tcW w:w="1177" w:type="dxa"/>
            <w:tcBorders>
              <w:top w:val="single" w:sz="4" w:space="0" w:color="auto"/>
              <w:left w:val="nil"/>
              <w:right w:val="nil"/>
            </w:tcBorders>
            <w:vAlign w:val="bottom"/>
          </w:tcPr>
          <w:p w14:paraId="5AD51008" w14:textId="664A5702" w:rsidR="00DA6694" w:rsidRPr="00F01EC8" w:rsidRDefault="00B755DE" w:rsidP="00AC0A5D">
            <w:pPr>
              <w:jc w:val="right"/>
              <w:rPr>
                <w:rFonts w:asciiTheme="minorHAnsi" w:hAnsiTheme="minorHAnsi" w:cs="Arial"/>
                <w:sz w:val="20"/>
                <w:szCs w:val="20"/>
              </w:rPr>
            </w:pPr>
            <w:r w:rsidRPr="00F01EC8">
              <w:rPr>
                <w:rFonts w:asciiTheme="minorHAnsi" w:hAnsiTheme="minorHAnsi" w:cs="Arial"/>
                <w:sz w:val="20"/>
                <w:szCs w:val="20"/>
              </w:rPr>
              <w:t>(</w:t>
            </w:r>
            <w:r w:rsidR="00583E1F" w:rsidRPr="00F01EC8">
              <w:rPr>
                <w:rFonts w:asciiTheme="minorHAnsi" w:hAnsiTheme="minorHAnsi" w:cs="Arial"/>
                <w:sz w:val="20"/>
                <w:szCs w:val="20"/>
              </w:rPr>
              <w:t>197.3</w:t>
            </w:r>
            <w:r w:rsidRPr="00F01EC8">
              <w:rPr>
                <w:rFonts w:asciiTheme="minorHAnsi" w:hAnsiTheme="minorHAnsi" w:cs="Arial"/>
                <w:sz w:val="20"/>
                <w:szCs w:val="20"/>
              </w:rPr>
              <w:t>)</w:t>
            </w:r>
          </w:p>
        </w:tc>
        <w:tc>
          <w:tcPr>
            <w:tcW w:w="1177" w:type="dxa"/>
            <w:tcBorders>
              <w:top w:val="single" w:sz="4" w:space="0" w:color="auto"/>
              <w:left w:val="nil"/>
              <w:right w:val="nil"/>
            </w:tcBorders>
            <w:vAlign w:val="bottom"/>
          </w:tcPr>
          <w:p w14:paraId="3AD4D973" w14:textId="7303E00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5945CC" w:rsidRPr="00F01EC8">
              <w:rPr>
                <w:rFonts w:asciiTheme="minorHAnsi" w:hAnsiTheme="minorHAnsi" w:cs="Arial"/>
                <w:sz w:val="20"/>
                <w:szCs w:val="20"/>
              </w:rPr>
              <w:t>2</w:t>
            </w:r>
            <w:r w:rsidR="00B133E8" w:rsidRPr="00F01EC8">
              <w:rPr>
                <w:rFonts w:asciiTheme="minorHAnsi" w:hAnsiTheme="minorHAnsi" w:cs="Arial"/>
                <w:sz w:val="20"/>
                <w:szCs w:val="20"/>
              </w:rPr>
              <w:t>56.0</w:t>
            </w:r>
            <w:r w:rsidRPr="00F01EC8">
              <w:rPr>
                <w:rFonts w:asciiTheme="minorHAnsi" w:hAnsiTheme="minorHAnsi" w:cs="Arial"/>
                <w:sz w:val="20"/>
                <w:szCs w:val="20"/>
              </w:rPr>
              <w:t>)</w:t>
            </w:r>
          </w:p>
        </w:tc>
      </w:tr>
      <w:tr w:rsidR="00DA6694" w:rsidRPr="00F01EC8" w14:paraId="0DD467E4" w14:textId="77777777" w:rsidTr="00AC0A5D">
        <w:tc>
          <w:tcPr>
            <w:tcW w:w="6938" w:type="dxa"/>
            <w:tcBorders>
              <w:bottom w:val="single" w:sz="4" w:space="0" w:color="auto"/>
            </w:tcBorders>
            <w:vAlign w:val="bottom"/>
          </w:tcPr>
          <w:p w14:paraId="6D538174" w14:textId="5641B35F" w:rsidR="00DA6694" w:rsidRPr="00F01EC8" w:rsidRDefault="00621CE4" w:rsidP="00FB2FF4">
            <w:pPr>
              <w:rPr>
                <w:rFonts w:asciiTheme="minorHAnsi" w:hAnsiTheme="minorHAnsi" w:cs="Arial"/>
                <w:b/>
                <w:bCs/>
                <w:sz w:val="20"/>
                <w:szCs w:val="20"/>
              </w:rPr>
            </w:pPr>
            <w:r w:rsidRPr="00F01EC8">
              <w:rPr>
                <w:rFonts w:asciiTheme="minorHAnsi" w:hAnsiTheme="minorHAnsi" w:cs="Arial"/>
                <w:b/>
                <w:bCs/>
                <w:sz w:val="20"/>
                <w:szCs w:val="20"/>
              </w:rPr>
              <w:t>(Loss)/p</w:t>
            </w:r>
            <w:r w:rsidR="00DA6694" w:rsidRPr="00F01EC8">
              <w:rPr>
                <w:rFonts w:asciiTheme="minorHAnsi" w:hAnsiTheme="minorHAnsi" w:cs="Arial"/>
                <w:b/>
                <w:bCs/>
                <w:sz w:val="20"/>
                <w:szCs w:val="20"/>
              </w:rPr>
              <w:t>rofit before tax</w:t>
            </w:r>
          </w:p>
        </w:tc>
        <w:tc>
          <w:tcPr>
            <w:tcW w:w="631" w:type="dxa"/>
            <w:gridSpan w:val="2"/>
            <w:tcBorders>
              <w:bottom w:val="single" w:sz="4" w:space="0" w:color="auto"/>
            </w:tcBorders>
            <w:vAlign w:val="bottom"/>
          </w:tcPr>
          <w:p w14:paraId="379A417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4</w:t>
            </w:r>
          </w:p>
        </w:tc>
        <w:tc>
          <w:tcPr>
            <w:tcW w:w="1177" w:type="dxa"/>
            <w:tcBorders>
              <w:top w:val="single" w:sz="4" w:space="0" w:color="auto"/>
              <w:left w:val="nil"/>
              <w:bottom w:val="single" w:sz="4" w:space="0" w:color="auto"/>
              <w:right w:val="nil"/>
            </w:tcBorders>
            <w:vAlign w:val="bottom"/>
          </w:tcPr>
          <w:p w14:paraId="33CD6118" w14:textId="30BF738B" w:rsidR="00DA6694" w:rsidRPr="00F01EC8" w:rsidRDefault="00DE2D8B" w:rsidP="00AC0A5D">
            <w:pPr>
              <w:jc w:val="right"/>
              <w:rPr>
                <w:rFonts w:asciiTheme="minorHAnsi" w:hAnsiTheme="minorHAnsi" w:cs="Arial"/>
                <w:sz w:val="20"/>
                <w:szCs w:val="20"/>
              </w:rPr>
            </w:pPr>
            <w:r w:rsidRPr="00F01EC8">
              <w:rPr>
                <w:rFonts w:asciiTheme="minorHAnsi" w:hAnsiTheme="minorHAnsi" w:cs="Arial"/>
                <w:sz w:val="20"/>
                <w:szCs w:val="20"/>
              </w:rPr>
              <w:t>(28.0)</w:t>
            </w:r>
          </w:p>
        </w:tc>
        <w:tc>
          <w:tcPr>
            <w:tcW w:w="1177" w:type="dxa"/>
            <w:tcBorders>
              <w:top w:val="single" w:sz="4" w:space="0" w:color="auto"/>
              <w:left w:val="nil"/>
              <w:bottom w:val="single" w:sz="4" w:space="0" w:color="auto"/>
              <w:right w:val="nil"/>
            </w:tcBorders>
            <w:vAlign w:val="bottom"/>
          </w:tcPr>
          <w:p w14:paraId="6912B5C6" w14:textId="6FB29E02"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43.1</w:t>
            </w:r>
            <w:r w:rsidR="00DA6694" w:rsidRPr="00F01EC8">
              <w:rPr>
                <w:rFonts w:asciiTheme="minorHAnsi" w:hAnsiTheme="minorHAnsi" w:cs="Arial"/>
                <w:sz w:val="20"/>
                <w:szCs w:val="20"/>
              </w:rPr>
              <w:t> </w:t>
            </w:r>
          </w:p>
        </w:tc>
      </w:tr>
      <w:bookmarkEnd w:id="15"/>
      <w:tr w:rsidR="00DA6694" w:rsidRPr="00F01EC8" w14:paraId="2E5569C6" w14:textId="77777777" w:rsidTr="00AC0A5D">
        <w:tc>
          <w:tcPr>
            <w:tcW w:w="7063" w:type="dxa"/>
            <w:gridSpan w:val="2"/>
            <w:tcBorders>
              <w:top w:val="single" w:sz="4" w:space="0" w:color="auto"/>
              <w:left w:val="single" w:sz="4" w:space="0" w:color="auto"/>
            </w:tcBorders>
            <w:vAlign w:val="bottom"/>
          </w:tcPr>
          <w:p w14:paraId="28A24C14" w14:textId="306D69F2" w:rsidR="00DA6694" w:rsidRPr="00F01EC8" w:rsidRDefault="00621CE4" w:rsidP="00FB2FF4">
            <w:pPr>
              <w:rPr>
                <w:rFonts w:asciiTheme="minorHAnsi" w:hAnsiTheme="minorHAnsi" w:cs="Arial"/>
                <w:sz w:val="20"/>
                <w:szCs w:val="20"/>
              </w:rPr>
            </w:pPr>
            <w:r w:rsidRPr="00F01EC8">
              <w:rPr>
                <w:rFonts w:asciiTheme="minorHAnsi" w:hAnsiTheme="minorHAnsi" w:cs="Arial"/>
                <w:sz w:val="20"/>
                <w:szCs w:val="20"/>
              </w:rPr>
              <w:t>(Loss)/p</w:t>
            </w:r>
            <w:r w:rsidR="00DA6694" w:rsidRPr="00F01EC8">
              <w:rPr>
                <w:rFonts w:asciiTheme="minorHAnsi" w:hAnsiTheme="minorHAnsi" w:cs="Arial"/>
                <w:sz w:val="20"/>
                <w:szCs w:val="20"/>
              </w:rPr>
              <w:t>rofit before tax, amortisation of acquisition intangibles and exceptional items</w:t>
            </w:r>
          </w:p>
        </w:tc>
        <w:tc>
          <w:tcPr>
            <w:tcW w:w="506" w:type="dxa"/>
            <w:tcBorders>
              <w:top w:val="single" w:sz="4" w:space="0" w:color="auto"/>
            </w:tcBorders>
            <w:vAlign w:val="bottom"/>
          </w:tcPr>
          <w:p w14:paraId="754D623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4</w:t>
            </w:r>
          </w:p>
        </w:tc>
        <w:tc>
          <w:tcPr>
            <w:tcW w:w="1177" w:type="dxa"/>
            <w:tcBorders>
              <w:top w:val="single" w:sz="4" w:space="0" w:color="auto"/>
              <w:left w:val="nil"/>
              <w:right w:val="nil"/>
            </w:tcBorders>
            <w:vAlign w:val="bottom"/>
          </w:tcPr>
          <w:p w14:paraId="34BDFF12" w14:textId="708646DF" w:rsidR="00DA6694" w:rsidRPr="00F01EC8" w:rsidRDefault="00621CE4" w:rsidP="00AC0A5D">
            <w:pPr>
              <w:jc w:val="right"/>
              <w:rPr>
                <w:rFonts w:asciiTheme="minorHAnsi" w:hAnsiTheme="minorHAnsi" w:cs="Arial"/>
                <w:sz w:val="20"/>
                <w:szCs w:val="20"/>
              </w:rPr>
            </w:pPr>
            <w:r w:rsidRPr="00F01EC8">
              <w:rPr>
                <w:rFonts w:asciiTheme="minorHAnsi" w:hAnsiTheme="minorHAnsi" w:cs="Arial"/>
                <w:sz w:val="20"/>
                <w:szCs w:val="20"/>
              </w:rPr>
              <w:t>(</w:t>
            </w:r>
            <w:r w:rsidR="00DE2D8B" w:rsidRPr="00F01EC8">
              <w:rPr>
                <w:rFonts w:asciiTheme="minorHAnsi" w:hAnsiTheme="minorHAnsi" w:cs="Arial"/>
                <w:sz w:val="20"/>
                <w:szCs w:val="20"/>
              </w:rPr>
              <w:t>32.6</w:t>
            </w:r>
            <w:r w:rsidRPr="00F01EC8">
              <w:rPr>
                <w:rFonts w:asciiTheme="minorHAnsi" w:hAnsiTheme="minorHAnsi" w:cs="Arial"/>
                <w:sz w:val="20"/>
                <w:szCs w:val="20"/>
              </w:rPr>
              <w:t>)</w:t>
            </w:r>
          </w:p>
        </w:tc>
        <w:tc>
          <w:tcPr>
            <w:tcW w:w="1177" w:type="dxa"/>
            <w:tcBorders>
              <w:top w:val="single" w:sz="4" w:space="0" w:color="auto"/>
              <w:left w:val="nil"/>
              <w:right w:val="single" w:sz="4" w:space="0" w:color="auto"/>
            </w:tcBorders>
            <w:vAlign w:val="bottom"/>
          </w:tcPr>
          <w:p w14:paraId="77EF31C6" w14:textId="2C2630C7"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80.4</w:t>
            </w:r>
            <w:r w:rsidR="00DA6694" w:rsidRPr="00F01EC8">
              <w:rPr>
                <w:rFonts w:asciiTheme="minorHAnsi" w:hAnsiTheme="minorHAnsi" w:cs="Arial"/>
                <w:sz w:val="20"/>
                <w:szCs w:val="20"/>
              </w:rPr>
              <w:t> </w:t>
            </w:r>
          </w:p>
        </w:tc>
      </w:tr>
      <w:tr w:rsidR="00DA6694" w:rsidRPr="00F01EC8" w14:paraId="11EC2C67" w14:textId="77777777" w:rsidTr="00AC0A5D">
        <w:tc>
          <w:tcPr>
            <w:tcW w:w="6938" w:type="dxa"/>
            <w:tcBorders>
              <w:left w:val="single" w:sz="4" w:space="0" w:color="auto"/>
            </w:tcBorders>
            <w:vAlign w:val="bottom"/>
          </w:tcPr>
          <w:p w14:paraId="1DC799B0"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Amortisation of acquisition intangibles</w:t>
            </w:r>
          </w:p>
        </w:tc>
        <w:tc>
          <w:tcPr>
            <w:tcW w:w="631" w:type="dxa"/>
            <w:gridSpan w:val="2"/>
            <w:vAlign w:val="bottom"/>
          </w:tcPr>
          <w:p w14:paraId="0D5FB6B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4</w:t>
            </w:r>
          </w:p>
        </w:tc>
        <w:tc>
          <w:tcPr>
            <w:tcW w:w="1177" w:type="dxa"/>
            <w:tcBorders>
              <w:left w:val="nil"/>
              <w:right w:val="nil"/>
            </w:tcBorders>
            <w:vAlign w:val="bottom"/>
          </w:tcPr>
          <w:p w14:paraId="2BF1C37B" w14:textId="12A73379" w:rsidR="00DA6694" w:rsidRPr="00F01EC8" w:rsidRDefault="00DE2D8B" w:rsidP="00AC0A5D">
            <w:pPr>
              <w:jc w:val="right"/>
              <w:rPr>
                <w:rFonts w:asciiTheme="minorHAnsi" w:hAnsiTheme="minorHAnsi" w:cs="Arial"/>
                <w:sz w:val="20"/>
                <w:szCs w:val="20"/>
              </w:rPr>
            </w:pPr>
            <w:r w:rsidRPr="00F01EC8">
              <w:rPr>
                <w:rFonts w:asciiTheme="minorHAnsi" w:hAnsiTheme="minorHAnsi" w:cs="Arial"/>
                <w:sz w:val="20"/>
                <w:szCs w:val="20"/>
              </w:rPr>
              <w:t>(3.7)</w:t>
            </w:r>
          </w:p>
        </w:tc>
        <w:tc>
          <w:tcPr>
            <w:tcW w:w="1177" w:type="dxa"/>
            <w:tcBorders>
              <w:left w:val="nil"/>
              <w:right w:val="single" w:sz="4" w:space="0" w:color="auto"/>
            </w:tcBorders>
            <w:vAlign w:val="bottom"/>
          </w:tcPr>
          <w:p w14:paraId="74E50B3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(3.7)</w:t>
            </w:r>
          </w:p>
        </w:tc>
      </w:tr>
      <w:tr w:rsidR="00DA6694" w:rsidRPr="00F01EC8" w14:paraId="241769D8" w14:textId="77777777" w:rsidTr="00AC0A5D">
        <w:tc>
          <w:tcPr>
            <w:tcW w:w="6938" w:type="dxa"/>
            <w:tcBorders>
              <w:left w:val="single" w:sz="4" w:space="0" w:color="auto"/>
              <w:bottom w:val="single" w:sz="4" w:space="0" w:color="auto"/>
            </w:tcBorders>
            <w:vAlign w:val="bottom"/>
          </w:tcPr>
          <w:p w14:paraId="2C7022CB"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Exceptional items</w:t>
            </w:r>
          </w:p>
        </w:tc>
        <w:tc>
          <w:tcPr>
            <w:tcW w:w="631" w:type="dxa"/>
            <w:gridSpan w:val="2"/>
            <w:tcBorders>
              <w:bottom w:val="single" w:sz="4" w:space="0" w:color="auto"/>
            </w:tcBorders>
            <w:vAlign w:val="bottom"/>
          </w:tcPr>
          <w:p w14:paraId="64F3822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4</w:t>
            </w:r>
          </w:p>
        </w:tc>
        <w:tc>
          <w:tcPr>
            <w:tcW w:w="1177" w:type="dxa"/>
            <w:tcBorders>
              <w:left w:val="nil"/>
              <w:bottom w:val="single" w:sz="4" w:space="0" w:color="auto"/>
              <w:right w:val="nil"/>
            </w:tcBorders>
            <w:vAlign w:val="bottom"/>
          </w:tcPr>
          <w:p w14:paraId="6CD461FD" w14:textId="0E07C7D3" w:rsidR="00DA6694" w:rsidRPr="00F01EC8" w:rsidRDefault="00DE2D8B" w:rsidP="00AC0A5D">
            <w:pPr>
              <w:jc w:val="right"/>
              <w:rPr>
                <w:rFonts w:asciiTheme="minorHAnsi" w:hAnsiTheme="minorHAnsi" w:cs="Arial"/>
                <w:sz w:val="20"/>
                <w:szCs w:val="20"/>
              </w:rPr>
            </w:pPr>
            <w:r w:rsidRPr="00F01EC8">
              <w:rPr>
                <w:rFonts w:asciiTheme="minorHAnsi" w:hAnsiTheme="minorHAnsi" w:cs="Arial"/>
                <w:sz w:val="20"/>
                <w:szCs w:val="20"/>
              </w:rPr>
              <w:t>8.3</w:t>
            </w:r>
            <w:r w:rsidR="00B133E8" w:rsidRPr="00F01EC8">
              <w:rPr>
                <w:rFonts w:asciiTheme="minorHAnsi" w:hAnsiTheme="minorHAnsi" w:cs="Arial"/>
                <w:sz w:val="20"/>
                <w:szCs w:val="20"/>
              </w:rPr>
              <w:t> </w:t>
            </w:r>
          </w:p>
        </w:tc>
        <w:tc>
          <w:tcPr>
            <w:tcW w:w="1177" w:type="dxa"/>
            <w:tcBorders>
              <w:left w:val="nil"/>
              <w:bottom w:val="single" w:sz="4" w:space="0" w:color="auto"/>
              <w:right w:val="single" w:sz="4" w:space="0" w:color="auto"/>
            </w:tcBorders>
            <w:vAlign w:val="bottom"/>
          </w:tcPr>
          <w:p w14:paraId="2AC0089E" w14:textId="61076E6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w:t>
            </w:r>
            <w:r w:rsidR="003C3552" w:rsidRPr="00F01EC8">
              <w:rPr>
                <w:rFonts w:asciiTheme="minorHAnsi" w:hAnsiTheme="minorHAnsi" w:cs="Arial"/>
                <w:sz w:val="20"/>
                <w:szCs w:val="20"/>
              </w:rPr>
              <w:t>3</w:t>
            </w:r>
            <w:r w:rsidRPr="00F01EC8">
              <w:rPr>
                <w:rFonts w:asciiTheme="minorHAnsi" w:hAnsiTheme="minorHAnsi" w:cs="Arial"/>
                <w:sz w:val="20"/>
                <w:szCs w:val="20"/>
              </w:rPr>
              <w:t>.6)</w:t>
            </w:r>
          </w:p>
        </w:tc>
      </w:tr>
      <w:tr w:rsidR="00DA6694" w:rsidRPr="00F01EC8" w14:paraId="3871EB4A" w14:textId="77777777" w:rsidTr="00AC0A5D">
        <w:tc>
          <w:tcPr>
            <w:tcW w:w="6938" w:type="dxa"/>
            <w:tcBorders>
              <w:top w:val="single" w:sz="4" w:space="0" w:color="auto"/>
            </w:tcBorders>
            <w:vAlign w:val="bottom"/>
          </w:tcPr>
          <w:p w14:paraId="31445225" w14:textId="5896ED7D"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 xml:space="preserve">Tax </w:t>
            </w:r>
            <w:r w:rsidR="00BA200B" w:rsidRPr="00F01EC8">
              <w:rPr>
                <w:rFonts w:asciiTheme="minorHAnsi" w:hAnsiTheme="minorHAnsi" w:cs="Arial"/>
                <w:sz w:val="20"/>
                <w:szCs w:val="20"/>
              </w:rPr>
              <w:t>credit</w:t>
            </w:r>
            <w:r w:rsidR="00DE2D8B" w:rsidRPr="00F01EC8">
              <w:rPr>
                <w:rFonts w:asciiTheme="minorHAnsi" w:hAnsiTheme="minorHAnsi" w:cs="Arial"/>
                <w:sz w:val="20"/>
                <w:szCs w:val="20"/>
              </w:rPr>
              <w:t>/</w:t>
            </w:r>
            <w:r w:rsidR="00BA200B" w:rsidRPr="00F01EC8">
              <w:rPr>
                <w:rFonts w:asciiTheme="minorHAnsi" w:hAnsiTheme="minorHAnsi" w:cs="Arial"/>
                <w:sz w:val="20"/>
                <w:szCs w:val="20"/>
              </w:rPr>
              <w:t>(</w:t>
            </w:r>
            <w:r w:rsidRPr="00F01EC8">
              <w:rPr>
                <w:rFonts w:asciiTheme="minorHAnsi" w:hAnsiTheme="minorHAnsi" w:cs="Arial"/>
                <w:sz w:val="20"/>
                <w:szCs w:val="20"/>
              </w:rPr>
              <w:t>charge</w:t>
            </w:r>
            <w:r w:rsidR="00BA200B" w:rsidRPr="00F01EC8">
              <w:rPr>
                <w:rFonts w:asciiTheme="minorHAnsi" w:hAnsiTheme="minorHAnsi" w:cs="Arial"/>
                <w:sz w:val="20"/>
                <w:szCs w:val="20"/>
              </w:rPr>
              <w:t>)</w:t>
            </w:r>
            <w:r w:rsidRPr="00F01EC8">
              <w:rPr>
                <w:rFonts w:asciiTheme="minorHAnsi" w:hAnsiTheme="minorHAnsi" w:cs="Arial"/>
                <w:sz w:val="20"/>
                <w:szCs w:val="20"/>
              </w:rPr>
              <w:t xml:space="preserve"> </w:t>
            </w:r>
          </w:p>
        </w:tc>
        <w:tc>
          <w:tcPr>
            <w:tcW w:w="631" w:type="dxa"/>
            <w:gridSpan w:val="2"/>
            <w:tcBorders>
              <w:top w:val="single" w:sz="4" w:space="0" w:color="auto"/>
            </w:tcBorders>
            <w:vAlign w:val="bottom"/>
          </w:tcPr>
          <w:p w14:paraId="251024A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5</w:t>
            </w:r>
          </w:p>
        </w:tc>
        <w:tc>
          <w:tcPr>
            <w:tcW w:w="1177" w:type="dxa"/>
            <w:tcBorders>
              <w:top w:val="single" w:sz="4" w:space="0" w:color="auto"/>
              <w:left w:val="nil"/>
              <w:bottom w:val="single" w:sz="4" w:space="0" w:color="auto"/>
              <w:right w:val="nil"/>
            </w:tcBorders>
            <w:vAlign w:val="bottom"/>
          </w:tcPr>
          <w:p w14:paraId="775A8130" w14:textId="2032A061" w:rsidR="00DA6694" w:rsidRPr="00F01EC8" w:rsidRDefault="00813115" w:rsidP="00FB2FF4">
            <w:pPr>
              <w:jc w:val="right"/>
              <w:rPr>
                <w:rFonts w:asciiTheme="minorHAnsi" w:hAnsiTheme="minorHAnsi" w:cs="Arial"/>
                <w:sz w:val="20"/>
                <w:szCs w:val="20"/>
              </w:rPr>
            </w:pPr>
            <w:r w:rsidRPr="00F01EC8">
              <w:rPr>
                <w:rFonts w:asciiTheme="minorHAnsi" w:hAnsiTheme="minorHAnsi" w:cs="Arial"/>
                <w:sz w:val="20"/>
                <w:szCs w:val="20"/>
              </w:rPr>
              <w:t>4.9</w:t>
            </w:r>
            <w:r w:rsidR="00B133E8" w:rsidRPr="00F01EC8">
              <w:rPr>
                <w:rFonts w:asciiTheme="minorHAnsi" w:hAnsiTheme="minorHAnsi" w:cs="Arial"/>
                <w:sz w:val="20"/>
                <w:szCs w:val="20"/>
              </w:rPr>
              <w:t> </w:t>
            </w:r>
          </w:p>
        </w:tc>
        <w:tc>
          <w:tcPr>
            <w:tcW w:w="1177" w:type="dxa"/>
            <w:tcBorders>
              <w:top w:val="single" w:sz="4" w:space="0" w:color="auto"/>
              <w:left w:val="nil"/>
              <w:bottom w:val="single" w:sz="4" w:space="0" w:color="auto"/>
              <w:right w:val="nil"/>
            </w:tcBorders>
            <w:vAlign w:val="bottom"/>
          </w:tcPr>
          <w:p w14:paraId="661B17EE" w14:textId="59764AC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5F7C97" w:rsidRPr="00F01EC8">
              <w:rPr>
                <w:rFonts w:asciiTheme="minorHAnsi" w:hAnsiTheme="minorHAnsi" w:cs="Arial"/>
                <w:sz w:val="20"/>
                <w:szCs w:val="20"/>
              </w:rPr>
              <w:t>8</w:t>
            </w:r>
            <w:r w:rsidRPr="00F01EC8">
              <w:rPr>
                <w:rFonts w:asciiTheme="minorHAnsi" w:hAnsiTheme="minorHAnsi" w:cs="Arial"/>
                <w:sz w:val="20"/>
                <w:szCs w:val="20"/>
              </w:rPr>
              <w:t>.</w:t>
            </w:r>
            <w:r w:rsidR="005E45C2" w:rsidRPr="00F01EC8">
              <w:rPr>
                <w:rFonts w:asciiTheme="minorHAnsi" w:hAnsiTheme="minorHAnsi" w:cs="Arial"/>
                <w:sz w:val="20"/>
                <w:szCs w:val="20"/>
              </w:rPr>
              <w:t>5</w:t>
            </w:r>
            <w:r w:rsidRPr="00F01EC8">
              <w:rPr>
                <w:rFonts w:asciiTheme="minorHAnsi" w:hAnsiTheme="minorHAnsi" w:cs="Arial"/>
                <w:sz w:val="20"/>
                <w:szCs w:val="20"/>
              </w:rPr>
              <w:t>)</w:t>
            </w:r>
          </w:p>
        </w:tc>
      </w:tr>
      <w:tr w:rsidR="00DA6694" w:rsidRPr="00F01EC8" w14:paraId="52040C52" w14:textId="77777777" w:rsidTr="00AC0A5D">
        <w:tc>
          <w:tcPr>
            <w:tcW w:w="6938" w:type="dxa"/>
            <w:vAlign w:val="bottom"/>
          </w:tcPr>
          <w:p w14:paraId="055C49F5" w14:textId="7DC549C8" w:rsidR="00DA6694" w:rsidRPr="00F01EC8" w:rsidRDefault="00AA3B35" w:rsidP="00AA3B35">
            <w:pPr>
              <w:rPr>
                <w:rFonts w:asciiTheme="minorHAnsi" w:hAnsiTheme="minorHAnsi" w:cs="Arial"/>
                <w:b/>
                <w:bCs/>
                <w:sz w:val="20"/>
                <w:szCs w:val="20"/>
                <w:lang w:val="en-US"/>
              </w:rPr>
            </w:pPr>
            <w:r w:rsidRPr="00F01EC8">
              <w:rPr>
                <w:rFonts w:asciiTheme="minorHAnsi" w:hAnsiTheme="minorHAnsi" w:cs="Arial"/>
                <w:b/>
                <w:bCs/>
                <w:sz w:val="20"/>
                <w:szCs w:val="20"/>
                <w:lang w:val="en-US"/>
              </w:rPr>
              <w:t>(</w:t>
            </w:r>
            <w:r w:rsidR="00DE2D8B" w:rsidRPr="00F01EC8">
              <w:rPr>
                <w:rFonts w:asciiTheme="minorHAnsi" w:hAnsiTheme="minorHAnsi" w:cs="Arial"/>
                <w:b/>
                <w:bCs/>
                <w:sz w:val="20"/>
                <w:szCs w:val="20"/>
                <w:lang w:val="en-US"/>
              </w:rPr>
              <w:t>Loss</w:t>
            </w:r>
            <w:r w:rsidRPr="00F01EC8">
              <w:rPr>
                <w:rFonts w:asciiTheme="minorHAnsi" w:hAnsiTheme="minorHAnsi" w:cs="Arial"/>
                <w:b/>
                <w:bCs/>
                <w:sz w:val="20"/>
                <w:szCs w:val="20"/>
                <w:lang w:val="en-US"/>
              </w:rPr>
              <w:t>)</w:t>
            </w:r>
            <w:r w:rsidR="00DE2D8B" w:rsidRPr="00F01EC8">
              <w:rPr>
                <w:rFonts w:asciiTheme="minorHAnsi" w:hAnsiTheme="minorHAnsi" w:cs="Arial"/>
                <w:b/>
                <w:bCs/>
                <w:sz w:val="20"/>
                <w:szCs w:val="20"/>
                <w:lang w:val="en-US"/>
              </w:rPr>
              <w:t>/p</w:t>
            </w:r>
            <w:r w:rsidR="00DA6694" w:rsidRPr="00F01EC8">
              <w:rPr>
                <w:rFonts w:asciiTheme="minorHAnsi" w:hAnsiTheme="minorHAnsi" w:cs="Arial"/>
                <w:b/>
                <w:bCs/>
                <w:sz w:val="20"/>
                <w:szCs w:val="20"/>
                <w:lang w:val="en-US"/>
              </w:rPr>
              <w:t>rofit for the period attributable to equity shareholders</w:t>
            </w:r>
          </w:p>
        </w:tc>
        <w:tc>
          <w:tcPr>
            <w:tcW w:w="631" w:type="dxa"/>
            <w:gridSpan w:val="2"/>
            <w:vAlign w:val="bottom"/>
          </w:tcPr>
          <w:p w14:paraId="408DE7D6" w14:textId="77777777" w:rsidR="00DA6694" w:rsidRPr="00F01EC8" w:rsidRDefault="00DA6694" w:rsidP="00AC0A5D">
            <w:pPr>
              <w:jc w:val="right"/>
              <w:rPr>
                <w:rFonts w:asciiTheme="minorHAnsi" w:hAnsiTheme="minorHAnsi" w:cs="Arial"/>
                <w:sz w:val="20"/>
                <w:szCs w:val="20"/>
                <w:lang w:val="en-US"/>
              </w:rPr>
            </w:pPr>
          </w:p>
        </w:tc>
        <w:tc>
          <w:tcPr>
            <w:tcW w:w="1177" w:type="dxa"/>
            <w:tcBorders>
              <w:top w:val="single" w:sz="4" w:space="0" w:color="auto"/>
              <w:left w:val="nil"/>
              <w:bottom w:val="single" w:sz="12" w:space="0" w:color="auto"/>
              <w:right w:val="nil"/>
            </w:tcBorders>
            <w:vAlign w:val="bottom"/>
          </w:tcPr>
          <w:p w14:paraId="1F03E08D" w14:textId="1019BF52" w:rsidR="00DA6694" w:rsidRPr="00F01EC8" w:rsidRDefault="00813115"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(23.1</w:t>
            </w:r>
            <w:r w:rsidR="00DE2D8B" w:rsidRPr="00F01EC8">
              <w:rPr>
                <w:rFonts w:asciiTheme="minorHAnsi" w:hAnsiTheme="minorHAnsi" w:cs="Arial"/>
                <w:sz w:val="20"/>
                <w:szCs w:val="20"/>
                <w:lang w:val="en-US"/>
              </w:rPr>
              <w:t>)</w:t>
            </w:r>
          </w:p>
        </w:tc>
        <w:tc>
          <w:tcPr>
            <w:tcW w:w="1177" w:type="dxa"/>
            <w:tcBorders>
              <w:top w:val="single" w:sz="4" w:space="0" w:color="auto"/>
              <w:left w:val="nil"/>
              <w:bottom w:val="single" w:sz="12" w:space="0" w:color="auto"/>
              <w:right w:val="nil"/>
            </w:tcBorders>
            <w:vAlign w:val="bottom"/>
          </w:tcPr>
          <w:p w14:paraId="72CA3299" w14:textId="0DCF10EE" w:rsidR="00DA6694" w:rsidRPr="00F01EC8" w:rsidRDefault="00DA6694"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2</w:t>
            </w:r>
            <w:r w:rsidR="005F7C97" w:rsidRPr="00F01EC8">
              <w:rPr>
                <w:rFonts w:asciiTheme="minorHAnsi" w:hAnsiTheme="minorHAnsi" w:cs="Arial"/>
                <w:sz w:val="20"/>
                <w:szCs w:val="20"/>
                <w:lang w:val="en-US"/>
              </w:rPr>
              <w:t>4.</w:t>
            </w:r>
            <w:r w:rsidR="005E45C2" w:rsidRPr="00F01EC8">
              <w:rPr>
                <w:rFonts w:asciiTheme="minorHAnsi" w:hAnsiTheme="minorHAnsi" w:cs="Arial"/>
                <w:sz w:val="20"/>
                <w:szCs w:val="20"/>
                <w:lang w:val="en-US"/>
              </w:rPr>
              <w:t>6</w:t>
            </w:r>
            <w:r w:rsidRPr="00F01EC8">
              <w:rPr>
                <w:rFonts w:asciiTheme="minorHAnsi" w:hAnsiTheme="minorHAnsi" w:cs="Arial"/>
                <w:sz w:val="20"/>
                <w:szCs w:val="20"/>
                <w:lang w:val="en-US"/>
              </w:rPr>
              <w:t> </w:t>
            </w:r>
          </w:p>
        </w:tc>
      </w:tr>
    </w:tbl>
    <w:p w14:paraId="00597FA2" w14:textId="77777777" w:rsidR="00DA6694" w:rsidRPr="00F01EC8" w:rsidRDefault="00DA6694" w:rsidP="00DA6694">
      <w:pPr>
        <w:rPr>
          <w:rFonts w:asciiTheme="minorHAnsi" w:hAnsiTheme="minorHAnsi" w:cs="Arial"/>
          <w:b/>
          <w:sz w:val="20"/>
          <w:szCs w:val="20"/>
        </w:rPr>
      </w:pPr>
    </w:p>
    <w:p w14:paraId="0482152A" w14:textId="77777777" w:rsidR="00DA6694" w:rsidRPr="00F01EC8" w:rsidRDefault="00DA6694" w:rsidP="00DA6694">
      <w:pPr>
        <w:rPr>
          <w:rFonts w:asciiTheme="minorHAnsi" w:hAnsiTheme="minorHAnsi" w:cs="Arial"/>
          <w:sz w:val="20"/>
          <w:szCs w:val="20"/>
        </w:rPr>
      </w:pPr>
      <w:r w:rsidRPr="00F01EC8">
        <w:rPr>
          <w:rFonts w:asciiTheme="minorHAnsi" w:hAnsiTheme="minorHAnsi" w:cs="Arial"/>
          <w:sz w:val="20"/>
          <w:szCs w:val="20"/>
        </w:rPr>
        <w:t>All of the above activities relate to continuing operations.</w:t>
      </w:r>
    </w:p>
    <w:p w14:paraId="0D729F4A" w14:textId="77777777" w:rsidR="00DA6694" w:rsidRPr="00F01EC8" w:rsidRDefault="00DA6694" w:rsidP="00DA6694">
      <w:pPr>
        <w:jc w:val="both"/>
        <w:rPr>
          <w:rFonts w:asciiTheme="minorHAnsi" w:hAnsiTheme="minorHAnsi" w:cs="Arial"/>
          <w:b/>
          <w:sz w:val="20"/>
          <w:szCs w:val="20"/>
        </w:rPr>
      </w:pPr>
    </w:p>
    <w:p w14:paraId="0155901F" w14:textId="77777777" w:rsidR="00DA6694" w:rsidRPr="00F01EC8" w:rsidRDefault="00DA6694" w:rsidP="00DA6694">
      <w:pPr>
        <w:rPr>
          <w:rFonts w:asciiTheme="minorHAnsi" w:hAnsiTheme="minorHAnsi" w:cs="Arial"/>
          <w:b/>
          <w:sz w:val="20"/>
          <w:szCs w:val="20"/>
        </w:rPr>
      </w:pPr>
      <w:r w:rsidRPr="00F01EC8">
        <w:rPr>
          <w:rFonts w:asciiTheme="minorHAnsi" w:hAnsiTheme="minorHAnsi" w:cs="Arial"/>
          <w:b/>
          <w:sz w:val="20"/>
          <w:szCs w:val="20"/>
        </w:rPr>
        <w:t>Consolidated statement of comprehensive income</w:t>
      </w:r>
    </w:p>
    <w:p w14:paraId="4A86A554" w14:textId="77777777" w:rsidR="00DA6694" w:rsidRPr="00F01EC8" w:rsidRDefault="00DA6694" w:rsidP="00DA6694">
      <w:pPr>
        <w:rPr>
          <w:rFonts w:asciiTheme="minorHAnsi" w:hAnsiTheme="minorHAnsi" w:cs="Arial"/>
          <w:bCs/>
          <w:sz w:val="20"/>
          <w:szCs w:val="20"/>
        </w:rPr>
      </w:pPr>
    </w:p>
    <w:tbl>
      <w:tblPr>
        <w:tblW w:w="9923" w:type="dxa"/>
        <w:tblLook w:val="0000" w:firstRow="0" w:lastRow="0" w:firstColumn="0" w:lastColumn="0" w:noHBand="0" w:noVBand="0"/>
      </w:tblPr>
      <w:tblGrid>
        <w:gridCol w:w="6804"/>
        <w:gridCol w:w="775"/>
        <w:gridCol w:w="1172"/>
        <w:gridCol w:w="1172"/>
      </w:tblGrid>
      <w:tr w:rsidR="00DA6694" w:rsidRPr="00F01EC8" w14:paraId="45EA52ED" w14:textId="77777777" w:rsidTr="00AC0A5D">
        <w:tc>
          <w:tcPr>
            <w:tcW w:w="6804" w:type="dxa"/>
          </w:tcPr>
          <w:p w14:paraId="2A816238" w14:textId="77777777" w:rsidR="00DA6694" w:rsidRPr="00F01EC8" w:rsidRDefault="00DA6694" w:rsidP="00AC0A5D">
            <w:pPr>
              <w:rPr>
                <w:rFonts w:asciiTheme="minorHAnsi" w:hAnsiTheme="minorHAnsi" w:cs="Arial"/>
                <w:sz w:val="20"/>
                <w:szCs w:val="20"/>
              </w:rPr>
            </w:pPr>
          </w:p>
        </w:tc>
        <w:tc>
          <w:tcPr>
            <w:tcW w:w="775" w:type="dxa"/>
          </w:tcPr>
          <w:p w14:paraId="40A1CBBF" w14:textId="77777777" w:rsidR="00DA6694" w:rsidRPr="00F01EC8" w:rsidRDefault="00DA6694" w:rsidP="00AC0A5D">
            <w:pPr>
              <w:jc w:val="right"/>
              <w:rPr>
                <w:rFonts w:asciiTheme="minorHAnsi" w:hAnsiTheme="minorHAnsi" w:cs="Arial"/>
                <w:sz w:val="20"/>
                <w:szCs w:val="20"/>
              </w:rPr>
            </w:pPr>
          </w:p>
        </w:tc>
        <w:tc>
          <w:tcPr>
            <w:tcW w:w="2344" w:type="dxa"/>
            <w:gridSpan w:val="2"/>
          </w:tcPr>
          <w:p w14:paraId="1A122A3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0B43491B" w14:textId="77777777" w:rsidTr="00AC0A5D">
        <w:tc>
          <w:tcPr>
            <w:tcW w:w="6804" w:type="dxa"/>
          </w:tcPr>
          <w:p w14:paraId="497C2ADC" w14:textId="77777777" w:rsidR="00DA6694" w:rsidRPr="00F01EC8" w:rsidRDefault="00DA6694" w:rsidP="00AC0A5D">
            <w:pPr>
              <w:rPr>
                <w:rFonts w:asciiTheme="minorHAnsi" w:hAnsiTheme="minorHAnsi" w:cs="Arial"/>
                <w:sz w:val="20"/>
                <w:szCs w:val="20"/>
              </w:rPr>
            </w:pPr>
          </w:p>
        </w:tc>
        <w:tc>
          <w:tcPr>
            <w:tcW w:w="775" w:type="dxa"/>
          </w:tcPr>
          <w:p w14:paraId="3B850ED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Note</w:t>
            </w:r>
          </w:p>
        </w:tc>
        <w:tc>
          <w:tcPr>
            <w:tcW w:w="1172" w:type="dxa"/>
          </w:tcPr>
          <w:p w14:paraId="7A963A0B" w14:textId="3373F80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3C3552" w:rsidRPr="00F01EC8">
              <w:rPr>
                <w:rFonts w:asciiTheme="minorHAnsi" w:hAnsiTheme="minorHAnsi" w:cs="Arial"/>
                <w:sz w:val="20"/>
                <w:szCs w:val="20"/>
              </w:rPr>
              <w:t>20</w:t>
            </w:r>
            <w:r w:rsidRPr="00F01EC8">
              <w:rPr>
                <w:rFonts w:asciiTheme="minorHAnsi" w:hAnsiTheme="minorHAnsi" w:cs="Arial"/>
                <w:sz w:val="20"/>
                <w:szCs w:val="20"/>
              </w:rPr>
              <w:t> </w:t>
            </w:r>
          </w:p>
        </w:tc>
        <w:tc>
          <w:tcPr>
            <w:tcW w:w="1172" w:type="dxa"/>
          </w:tcPr>
          <w:p w14:paraId="703DBB31" w14:textId="0A516136"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3C3552" w:rsidRPr="00F01EC8">
              <w:rPr>
                <w:rFonts w:asciiTheme="minorHAnsi" w:hAnsiTheme="minorHAnsi" w:cs="Arial"/>
                <w:sz w:val="20"/>
                <w:szCs w:val="20"/>
              </w:rPr>
              <w:t>9</w:t>
            </w:r>
            <w:r w:rsidR="005E45C2" w:rsidRPr="00F01EC8">
              <w:rPr>
                <w:rFonts w:asciiTheme="minorHAnsi" w:hAnsiTheme="minorHAnsi" w:cs="Arial"/>
                <w:sz w:val="20"/>
                <w:szCs w:val="20"/>
              </w:rPr>
              <w:t xml:space="preserve"> (restated)</w:t>
            </w:r>
          </w:p>
        </w:tc>
      </w:tr>
      <w:tr w:rsidR="00DA6694" w:rsidRPr="00F01EC8" w14:paraId="284795AE" w14:textId="77777777" w:rsidTr="00AC0A5D">
        <w:tc>
          <w:tcPr>
            <w:tcW w:w="6804" w:type="dxa"/>
          </w:tcPr>
          <w:p w14:paraId="2F583F7E" w14:textId="77777777" w:rsidR="00DA6694" w:rsidRPr="00F01EC8" w:rsidRDefault="00DA6694" w:rsidP="00AC0A5D">
            <w:pPr>
              <w:rPr>
                <w:rFonts w:asciiTheme="minorHAnsi" w:hAnsiTheme="minorHAnsi" w:cs="Arial"/>
                <w:sz w:val="20"/>
                <w:szCs w:val="20"/>
              </w:rPr>
            </w:pPr>
          </w:p>
        </w:tc>
        <w:tc>
          <w:tcPr>
            <w:tcW w:w="775" w:type="dxa"/>
          </w:tcPr>
          <w:p w14:paraId="67887E77" w14:textId="77777777" w:rsidR="00DA6694" w:rsidRPr="00F01EC8" w:rsidRDefault="00DA6694" w:rsidP="00AC0A5D">
            <w:pPr>
              <w:jc w:val="right"/>
              <w:rPr>
                <w:rFonts w:asciiTheme="minorHAnsi" w:hAnsiTheme="minorHAnsi" w:cs="Arial"/>
                <w:sz w:val="20"/>
                <w:szCs w:val="20"/>
              </w:rPr>
            </w:pPr>
          </w:p>
        </w:tc>
        <w:tc>
          <w:tcPr>
            <w:tcW w:w="1172" w:type="dxa"/>
            <w:tcBorders>
              <w:top w:val="nil"/>
              <w:left w:val="nil"/>
              <w:bottom w:val="single" w:sz="4" w:space="0" w:color="auto"/>
              <w:right w:val="nil"/>
            </w:tcBorders>
          </w:tcPr>
          <w:p w14:paraId="7A68962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72" w:type="dxa"/>
            <w:tcBorders>
              <w:top w:val="nil"/>
              <w:left w:val="nil"/>
              <w:bottom w:val="single" w:sz="4" w:space="0" w:color="auto"/>
              <w:right w:val="nil"/>
            </w:tcBorders>
          </w:tcPr>
          <w:p w14:paraId="19568C0D"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24B2E5E5" w14:textId="77777777" w:rsidTr="00AC0A5D">
        <w:tc>
          <w:tcPr>
            <w:tcW w:w="6804" w:type="dxa"/>
            <w:vAlign w:val="bottom"/>
          </w:tcPr>
          <w:p w14:paraId="5D460E93" w14:textId="54237B63" w:rsidR="00DA6694" w:rsidRPr="00F01EC8" w:rsidRDefault="00BA200B" w:rsidP="00BA200B">
            <w:pPr>
              <w:rPr>
                <w:rFonts w:asciiTheme="minorHAnsi" w:hAnsiTheme="minorHAnsi" w:cs="Arial"/>
                <w:b/>
                <w:bCs/>
                <w:sz w:val="20"/>
                <w:szCs w:val="20"/>
              </w:rPr>
            </w:pPr>
            <w:r w:rsidRPr="00F01EC8">
              <w:rPr>
                <w:rFonts w:asciiTheme="minorHAnsi" w:hAnsiTheme="minorHAnsi" w:cs="Arial"/>
                <w:b/>
                <w:bCs/>
                <w:sz w:val="20"/>
                <w:szCs w:val="20"/>
                <w:lang w:val="en-US"/>
              </w:rPr>
              <w:t>(</w:t>
            </w:r>
            <w:r w:rsidR="00DE2D8B" w:rsidRPr="00F01EC8">
              <w:rPr>
                <w:rFonts w:asciiTheme="minorHAnsi" w:hAnsiTheme="minorHAnsi" w:cs="Arial"/>
                <w:b/>
                <w:bCs/>
                <w:sz w:val="20"/>
                <w:szCs w:val="20"/>
                <w:lang w:val="en-US"/>
              </w:rPr>
              <w:t>Loss</w:t>
            </w:r>
            <w:r w:rsidRPr="00F01EC8">
              <w:rPr>
                <w:rFonts w:asciiTheme="minorHAnsi" w:hAnsiTheme="minorHAnsi" w:cs="Arial"/>
                <w:b/>
                <w:bCs/>
                <w:sz w:val="20"/>
                <w:szCs w:val="20"/>
                <w:lang w:val="en-US"/>
              </w:rPr>
              <w:t>)</w:t>
            </w:r>
            <w:r w:rsidR="00DE2D8B" w:rsidRPr="00F01EC8">
              <w:rPr>
                <w:rFonts w:asciiTheme="minorHAnsi" w:hAnsiTheme="minorHAnsi" w:cs="Arial"/>
                <w:b/>
                <w:bCs/>
                <w:sz w:val="20"/>
                <w:szCs w:val="20"/>
                <w:lang w:val="en-US"/>
              </w:rPr>
              <w:t>/profit</w:t>
            </w:r>
            <w:r w:rsidR="00DA6694" w:rsidRPr="00F01EC8">
              <w:rPr>
                <w:rFonts w:asciiTheme="minorHAnsi" w:hAnsiTheme="minorHAnsi" w:cs="Arial"/>
                <w:b/>
                <w:bCs/>
                <w:sz w:val="20"/>
                <w:szCs w:val="20"/>
              </w:rPr>
              <w:t xml:space="preserve"> for the period attributable to equity shareholders</w:t>
            </w:r>
          </w:p>
        </w:tc>
        <w:tc>
          <w:tcPr>
            <w:tcW w:w="775" w:type="dxa"/>
            <w:vAlign w:val="bottom"/>
          </w:tcPr>
          <w:p w14:paraId="63A9F97D" w14:textId="77777777" w:rsidR="00DA6694" w:rsidRPr="00F01EC8" w:rsidRDefault="00DA6694" w:rsidP="00AC0A5D">
            <w:pPr>
              <w:jc w:val="right"/>
              <w:rPr>
                <w:rFonts w:asciiTheme="minorHAnsi" w:hAnsiTheme="minorHAnsi" w:cs="Arial"/>
                <w:sz w:val="20"/>
                <w:szCs w:val="20"/>
              </w:rPr>
            </w:pPr>
          </w:p>
        </w:tc>
        <w:tc>
          <w:tcPr>
            <w:tcW w:w="1172" w:type="dxa"/>
            <w:tcBorders>
              <w:top w:val="single" w:sz="4" w:space="0" w:color="auto"/>
              <w:left w:val="nil"/>
              <w:bottom w:val="single" w:sz="4" w:space="0" w:color="auto"/>
              <w:right w:val="nil"/>
            </w:tcBorders>
            <w:vAlign w:val="bottom"/>
          </w:tcPr>
          <w:p w14:paraId="0AD51352" w14:textId="2695711C" w:rsidR="00DA6694" w:rsidRPr="00F01EC8" w:rsidRDefault="006135C7" w:rsidP="00AC0A5D">
            <w:pPr>
              <w:jc w:val="right"/>
              <w:rPr>
                <w:rFonts w:asciiTheme="minorHAnsi" w:hAnsiTheme="minorHAnsi" w:cs="Arial"/>
                <w:sz w:val="20"/>
                <w:szCs w:val="20"/>
              </w:rPr>
            </w:pPr>
            <w:r w:rsidRPr="00F01EC8">
              <w:rPr>
                <w:rFonts w:asciiTheme="minorHAnsi" w:hAnsiTheme="minorHAnsi" w:cs="Arial"/>
                <w:sz w:val="20"/>
                <w:szCs w:val="20"/>
              </w:rPr>
              <w:t>(23.1</w:t>
            </w:r>
            <w:r w:rsidR="00DE2D8B" w:rsidRPr="00F01EC8">
              <w:rPr>
                <w:rFonts w:asciiTheme="minorHAnsi" w:hAnsiTheme="minorHAnsi" w:cs="Arial"/>
                <w:sz w:val="20"/>
                <w:szCs w:val="20"/>
              </w:rPr>
              <w:t>)</w:t>
            </w:r>
          </w:p>
        </w:tc>
        <w:tc>
          <w:tcPr>
            <w:tcW w:w="1172" w:type="dxa"/>
            <w:tcBorders>
              <w:top w:val="single" w:sz="4" w:space="0" w:color="auto"/>
              <w:left w:val="nil"/>
              <w:bottom w:val="single" w:sz="4" w:space="0" w:color="auto"/>
              <w:right w:val="nil"/>
            </w:tcBorders>
            <w:vAlign w:val="bottom"/>
          </w:tcPr>
          <w:p w14:paraId="2B52DB46" w14:textId="1733ED5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5E45C2" w:rsidRPr="00F01EC8">
              <w:rPr>
                <w:rFonts w:asciiTheme="minorHAnsi" w:hAnsiTheme="minorHAnsi" w:cs="Arial"/>
                <w:sz w:val="20"/>
                <w:szCs w:val="20"/>
              </w:rPr>
              <w:t>4</w:t>
            </w:r>
            <w:r w:rsidRPr="00F01EC8">
              <w:rPr>
                <w:rFonts w:asciiTheme="minorHAnsi" w:hAnsiTheme="minorHAnsi" w:cs="Arial"/>
                <w:sz w:val="20"/>
                <w:szCs w:val="20"/>
              </w:rPr>
              <w:t>.</w:t>
            </w:r>
            <w:r w:rsidR="005E45C2" w:rsidRPr="00F01EC8">
              <w:rPr>
                <w:rFonts w:asciiTheme="minorHAnsi" w:hAnsiTheme="minorHAnsi" w:cs="Arial"/>
                <w:sz w:val="20"/>
                <w:szCs w:val="20"/>
              </w:rPr>
              <w:t>6</w:t>
            </w:r>
            <w:r w:rsidRPr="00F01EC8">
              <w:rPr>
                <w:rFonts w:asciiTheme="minorHAnsi" w:hAnsiTheme="minorHAnsi" w:cs="Arial"/>
                <w:sz w:val="20"/>
                <w:szCs w:val="20"/>
              </w:rPr>
              <w:t> </w:t>
            </w:r>
          </w:p>
        </w:tc>
      </w:tr>
      <w:tr w:rsidR="00DA6694" w:rsidRPr="00F01EC8" w14:paraId="55FC805A" w14:textId="77777777" w:rsidTr="00AC0A5D">
        <w:tc>
          <w:tcPr>
            <w:tcW w:w="6804" w:type="dxa"/>
            <w:vAlign w:val="bottom"/>
          </w:tcPr>
          <w:p w14:paraId="7E2A5762"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Items that will not be reclassified subsequently to the income statement:</w:t>
            </w:r>
          </w:p>
        </w:tc>
        <w:tc>
          <w:tcPr>
            <w:tcW w:w="775" w:type="dxa"/>
            <w:vAlign w:val="bottom"/>
          </w:tcPr>
          <w:p w14:paraId="39673899" w14:textId="77777777" w:rsidR="00DA6694" w:rsidRPr="00F01EC8" w:rsidRDefault="00DA6694" w:rsidP="00AC0A5D">
            <w:pPr>
              <w:jc w:val="right"/>
              <w:rPr>
                <w:rFonts w:asciiTheme="minorHAnsi" w:hAnsiTheme="minorHAnsi" w:cs="Arial"/>
                <w:sz w:val="20"/>
                <w:szCs w:val="20"/>
              </w:rPr>
            </w:pPr>
          </w:p>
        </w:tc>
        <w:tc>
          <w:tcPr>
            <w:tcW w:w="1172" w:type="dxa"/>
            <w:vAlign w:val="bottom"/>
          </w:tcPr>
          <w:p w14:paraId="47F311EF" w14:textId="77777777" w:rsidR="00DA6694" w:rsidRPr="00F01EC8" w:rsidRDefault="00DA6694" w:rsidP="00AC0A5D">
            <w:pPr>
              <w:jc w:val="right"/>
              <w:rPr>
                <w:rFonts w:asciiTheme="minorHAnsi" w:hAnsiTheme="minorHAnsi" w:cs="Arial"/>
                <w:sz w:val="20"/>
                <w:szCs w:val="20"/>
              </w:rPr>
            </w:pPr>
          </w:p>
        </w:tc>
        <w:tc>
          <w:tcPr>
            <w:tcW w:w="1172" w:type="dxa"/>
            <w:vAlign w:val="bottom"/>
          </w:tcPr>
          <w:p w14:paraId="5303DB2F" w14:textId="77777777" w:rsidR="00DA6694" w:rsidRPr="00F01EC8" w:rsidRDefault="00DA6694" w:rsidP="00AC0A5D">
            <w:pPr>
              <w:jc w:val="right"/>
              <w:rPr>
                <w:rFonts w:asciiTheme="minorHAnsi" w:hAnsiTheme="minorHAnsi" w:cs="Arial"/>
                <w:sz w:val="20"/>
                <w:szCs w:val="20"/>
              </w:rPr>
            </w:pPr>
          </w:p>
        </w:tc>
      </w:tr>
      <w:tr w:rsidR="005E45C2" w:rsidRPr="00F01EC8" w14:paraId="028E7F1C" w14:textId="77777777" w:rsidTr="00AC0A5D">
        <w:tc>
          <w:tcPr>
            <w:tcW w:w="6804" w:type="dxa"/>
            <w:vAlign w:val="bottom"/>
          </w:tcPr>
          <w:p w14:paraId="52D4D43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actuarial movements on retirement benefit asset</w:t>
            </w:r>
          </w:p>
        </w:tc>
        <w:tc>
          <w:tcPr>
            <w:tcW w:w="775" w:type="dxa"/>
            <w:vAlign w:val="bottom"/>
          </w:tcPr>
          <w:p w14:paraId="49DDFB73"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9</w:t>
            </w:r>
          </w:p>
        </w:tc>
        <w:tc>
          <w:tcPr>
            <w:tcW w:w="1172" w:type="dxa"/>
            <w:vAlign w:val="bottom"/>
          </w:tcPr>
          <w:p w14:paraId="640450D4" w14:textId="392D75FB" w:rsidR="005E45C2" w:rsidRPr="00F01EC8" w:rsidRDefault="00DE2D8B" w:rsidP="005E45C2">
            <w:pPr>
              <w:jc w:val="right"/>
              <w:rPr>
                <w:rFonts w:asciiTheme="minorHAnsi" w:hAnsiTheme="minorHAnsi" w:cs="Arial"/>
                <w:sz w:val="20"/>
                <w:szCs w:val="20"/>
              </w:rPr>
            </w:pPr>
            <w:r w:rsidRPr="00F01EC8">
              <w:rPr>
                <w:rFonts w:asciiTheme="minorHAnsi" w:hAnsiTheme="minorHAnsi" w:cs="Arial"/>
                <w:sz w:val="20"/>
                <w:szCs w:val="20"/>
              </w:rPr>
              <w:t>38.3</w:t>
            </w:r>
          </w:p>
        </w:tc>
        <w:tc>
          <w:tcPr>
            <w:tcW w:w="1172" w:type="dxa"/>
            <w:vAlign w:val="bottom"/>
          </w:tcPr>
          <w:p w14:paraId="149DBDFE" w14:textId="2E55B58D"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(15.7)</w:t>
            </w:r>
          </w:p>
        </w:tc>
      </w:tr>
      <w:tr w:rsidR="00DE2D8B" w:rsidRPr="00F01EC8" w14:paraId="417468B9" w14:textId="77777777" w:rsidTr="00AC0A5D">
        <w:tc>
          <w:tcPr>
            <w:tcW w:w="6804" w:type="dxa"/>
            <w:vAlign w:val="bottom"/>
          </w:tcPr>
          <w:p w14:paraId="247918AC" w14:textId="22464D40"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fair value movement in investments</w:t>
            </w:r>
          </w:p>
        </w:tc>
        <w:tc>
          <w:tcPr>
            <w:tcW w:w="775" w:type="dxa"/>
            <w:vAlign w:val="bottom"/>
          </w:tcPr>
          <w:p w14:paraId="54B44AD6" w14:textId="7E0E4F43"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10</w:t>
            </w:r>
          </w:p>
        </w:tc>
        <w:tc>
          <w:tcPr>
            <w:tcW w:w="1172" w:type="dxa"/>
            <w:vAlign w:val="bottom"/>
          </w:tcPr>
          <w:p w14:paraId="23A7D11B" w14:textId="5B79567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1.4</w:t>
            </w:r>
          </w:p>
        </w:tc>
        <w:tc>
          <w:tcPr>
            <w:tcW w:w="1172" w:type="dxa"/>
            <w:vAlign w:val="bottom"/>
          </w:tcPr>
          <w:p w14:paraId="780DB8B8" w14:textId="0603B454"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3.9 </w:t>
            </w:r>
          </w:p>
        </w:tc>
      </w:tr>
      <w:tr w:rsidR="00DE2D8B" w:rsidRPr="00F01EC8" w14:paraId="05E2A758" w14:textId="77777777" w:rsidTr="00AC0A5D">
        <w:tc>
          <w:tcPr>
            <w:tcW w:w="6804" w:type="dxa"/>
            <w:vAlign w:val="bottom"/>
          </w:tcPr>
          <w:p w14:paraId="2FAF13BD"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tax on items that will not be reclassified subsequently to the income statement</w:t>
            </w:r>
          </w:p>
        </w:tc>
        <w:tc>
          <w:tcPr>
            <w:tcW w:w="775" w:type="dxa"/>
            <w:vAlign w:val="bottom"/>
          </w:tcPr>
          <w:p w14:paraId="6A9506D6" w14:textId="77777777" w:rsidR="00DE2D8B" w:rsidRPr="00F01EC8" w:rsidRDefault="00DE2D8B" w:rsidP="00DE2D8B">
            <w:pPr>
              <w:jc w:val="right"/>
              <w:rPr>
                <w:rFonts w:asciiTheme="minorHAnsi" w:hAnsiTheme="minorHAnsi" w:cs="Arial"/>
                <w:sz w:val="20"/>
                <w:szCs w:val="20"/>
              </w:rPr>
            </w:pPr>
          </w:p>
        </w:tc>
        <w:tc>
          <w:tcPr>
            <w:tcW w:w="1172" w:type="dxa"/>
            <w:vAlign w:val="bottom"/>
          </w:tcPr>
          <w:p w14:paraId="72343407" w14:textId="2013E9A3" w:rsidR="00DE2D8B" w:rsidRPr="00F01EC8" w:rsidRDefault="00DE2D8B" w:rsidP="00FB2FF4">
            <w:pPr>
              <w:jc w:val="right"/>
              <w:rPr>
                <w:rFonts w:asciiTheme="minorHAnsi" w:hAnsiTheme="minorHAnsi" w:cs="Arial"/>
                <w:sz w:val="20"/>
                <w:szCs w:val="20"/>
              </w:rPr>
            </w:pPr>
            <w:r w:rsidRPr="00F01EC8">
              <w:rPr>
                <w:rFonts w:asciiTheme="minorHAnsi" w:hAnsiTheme="minorHAnsi" w:cs="Arial"/>
                <w:sz w:val="20"/>
                <w:szCs w:val="20"/>
              </w:rPr>
              <w:t>(7.7)</w:t>
            </w:r>
          </w:p>
        </w:tc>
        <w:tc>
          <w:tcPr>
            <w:tcW w:w="1172" w:type="dxa"/>
            <w:vAlign w:val="bottom"/>
          </w:tcPr>
          <w:p w14:paraId="57BCED26" w14:textId="36F6E8A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2.0 </w:t>
            </w:r>
          </w:p>
        </w:tc>
      </w:tr>
      <w:tr w:rsidR="00DE2D8B" w:rsidRPr="00F01EC8" w14:paraId="3C9EF677" w14:textId="77777777" w:rsidTr="00AC0A5D">
        <w:tc>
          <w:tcPr>
            <w:tcW w:w="6804" w:type="dxa"/>
            <w:vAlign w:val="bottom"/>
          </w:tcPr>
          <w:p w14:paraId="633A9AF5" w14:textId="77777777" w:rsidR="00DE2D8B" w:rsidRPr="00F01EC8" w:rsidRDefault="00DE2D8B" w:rsidP="00DE2D8B">
            <w:pPr>
              <w:ind w:left="142" w:hanging="142"/>
              <w:rPr>
                <w:rFonts w:asciiTheme="minorHAnsi" w:hAnsiTheme="minorHAnsi" w:cs="Arial"/>
                <w:sz w:val="20"/>
                <w:szCs w:val="20"/>
              </w:rPr>
            </w:pPr>
            <w:r w:rsidRPr="00F01EC8">
              <w:rPr>
                <w:rFonts w:asciiTheme="minorHAnsi" w:hAnsiTheme="minorHAnsi" w:cs="Arial"/>
                <w:sz w:val="20"/>
                <w:szCs w:val="20"/>
              </w:rPr>
              <w:t>– impact of change in UK tax rate on items that will not be reclassified subsequently to the income statement</w:t>
            </w:r>
          </w:p>
        </w:tc>
        <w:tc>
          <w:tcPr>
            <w:tcW w:w="775" w:type="dxa"/>
            <w:vAlign w:val="bottom"/>
          </w:tcPr>
          <w:p w14:paraId="5A57877D" w14:textId="77777777" w:rsidR="00DE2D8B" w:rsidRPr="00F01EC8" w:rsidRDefault="00DE2D8B" w:rsidP="00DE2D8B">
            <w:pPr>
              <w:jc w:val="right"/>
              <w:rPr>
                <w:rFonts w:asciiTheme="minorHAnsi" w:hAnsiTheme="minorHAnsi" w:cs="Arial"/>
                <w:sz w:val="20"/>
                <w:szCs w:val="20"/>
              </w:rPr>
            </w:pPr>
          </w:p>
        </w:tc>
        <w:tc>
          <w:tcPr>
            <w:tcW w:w="1172" w:type="dxa"/>
            <w:vAlign w:val="bottom"/>
          </w:tcPr>
          <w:p w14:paraId="6AF5A21F" w14:textId="39494C94"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(1.9)</w:t>
            </w:r>
          </w:p>
        </w:tc>
        <w:tc>
          <w:tcPr>
            <w:tcW w:w="1172" w:type="dxa"/>
            <w:vAlign w:val="bottom"/>
          </w:tcPr>
          <w:p w14:paraId="6C5965B0" w14:textId="33CE23C9"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(0.3)</w:t>
            </w:r>
          </w:p>
        </w:tc>
      </w:tr>
      <w:tr w:rsidR="00DE2D8B" w:rsidRPr="00F01EC8" w14:paraId="70192716" w14:textId="77777777" w:rsidTr="00AC0A5D">
        <w:tc>
          <w:tcPr>
            <w:tcW w:w="6804" w:type="dxa"/>
            <w:vAlign w:val="bottom"/>
          </w:tcPr>
          <w:p w14:paraId="396211DE"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Items that may be reclassified subsequently to the income statement:</w:t>
            </w:r>
          </w:p>
        </w:tc>
        <w:tc>
          <w:tcPr>
            <w:tcW w:w="775" w:type="dxa"/>
            <w:vAlign w:val="bottom"/>
          </w:tcPr>
          <w:p w14:paraId="025434F0" w14:textId="77777777" w:rsidR="00DE2D8B" w:rsidRPr="00F01EC8" w:rsidRDefault="00DE2D8B" w:rsidP="00DE2D8B">
            <w:pPr>
              <w:jc w:val="right"/>
              <w:rPr>
                <w:rFonts w:asciiTheme="minorHAnsi" w:hAnsiTheme="minorHAnsi" w:cs="Arial"/>
                <w:sz w:val="20"/>
                <w:szCs w:val="20"/>
              </w:rPr>
            </w:pPr>
          </w:p>
        </w:tc>
        <w:tc>
          <w:tcPr>
            <w:tcW w:w="1172" w:type="dxa"/>
            <w:vAlign w:val="bottom"/>
          </w:tcPr>
          <w:p w14:paraId="737F9302" w14:textId="77777777" w:rsidR="00DE2D8B" w:rsidRPr="00F01EC8" w:rsidRDefault="00DE2D8B" w:rsidP="00DE2D8B">
            <w:pPr>
              <w:jc w:val="right"/>
              <w:rPr>
                <w:rFonts w:asciiTheme="minorHAnsi" w:hAnsiTheme="minorHAnsi" w:cs="Arial"/>
                <w:sz w:val="20"/>
                <w:szCs w:val="20"/>
              </w:rPr>
            </w:pPr>
          </w:p>
        </w:tc>
        <w:tc>
          <w:tcPr>
            <w:tcW w:w="1172" w:type="dxa"/>
            <w:vAlign w:val="bottom"/>
          </w:tcPr>
          <w:p w14:paraId="003799EF" w14:textId="77777777" w:rsidR="00DE2D8B" w:rsidRPr="00F01EC8" w:rsidRDefault="00DE2D8B" w:rsidP="00DE2D8B">
            <w:pPr>
              <w:jc w:val="right"/>
              <w:rPr>
                <w:rFonts w:asciiTheme="minorHAnsi" w:hAnsiTheme="minorHAnsi" w:cs="Arial"/>
                <w:sz w:val="20"/>
                <w:szCs w:val="20"/>
              </w:rPr>
            </w:pPr>
          </w:p>
        </w:tc>
      </w:tr>
      <w:tr w:rsidR="00DE2D8B" w:rsidRPr="00F01EC8" w14:paraId="63EEA166" w14:textId="77777777" w:rsidTr="00AC0A5D">
        <w:tc>
          <w:tcPr>
            <w:tcW w:w="6804" w:type="dxa"/>
            <w:vAlign w:val="bottom"/>
          </w:tcPr>
          <w:p w14:paraId="736493E6"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lastRenderedPageBreak/>
              <w:t>– exchange differences on translation of foreign operations</w:t>
            </w:r>
          </w:p>
        </w:tc>
        <w:tc>
          <w:tcPr>
            <w:tcW w:w="775" w:type="dxa"/>
            <w:vAlign w:val="bottom"/>
          </w:tcPr>
          <w:p w14:paraId="748AE57F" w14:textId="77777777" w:rsidR="00DE2D8B" w:rsidRPr="00F01EC8" w:rsidRDefault="00DE2D8B" w:rsidP="00DE2D8B">
            <w:pPr>
              <w:jc w:val="right"/>
              <w:rPr>
                <w:rFonts w:asciiTheme="minorHAnsi" w:hAnsiTheme="minorHAnsi" w:cs="Arial"/>
                <w:sz w:val="20"/>
                <w:szCs w:val="20"/>
              </w:rPr>
            </w:pPr>
          </w:p>
        </w:tc>
        <w:tc>
          <w:tcPr>
            <w:tcW w:w="1172" w:type="dxa"/>
            <w:vAlign w:val="bottom"/>
          </w:tcPr>
          <w:p w14:paraId="0F933E96" w14:textId="4C0B9CC9"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lang w:val="fr-FR"/>
              </w:rPr>
              <w:t>-</w:t>
            </w:r>
          </w:p>
        </w:tc>
        <w:tc>
          <w:tcPr>
            <w:tcW w:w="1172" w:type="dxa"/>
            <w:vAlign w:val="bottom"/>
          </w:tcPr>
          <w:p w14:paraId="1ED4C74D" w14:textId="053F948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0.1 </w:t>
            </w:r>
          </w:p>
        </w:tc>
      </w:tr>
      <w:tr w:rsidR="00DE2D8B" w:rsidRPr="00F01EC8" w14:paraId="7C11320C" w14:textId="77777777" w:rsidTr="00AC0A5D">
        <w:tc>
          <w:tcPr>
            <w:tcW w:w="6804" w:type="dxa"/>
            <w:vAlign w:val="bottom"/>
          </w:tcPr>
          <w:p w14:paraId="5EB8BEE9" w14:textId="319C3CB3" w:rsidR="00DE2D8B" w:rsidRPr="00F01EC8" w:rsidRDefault="00DE2D8B" w:rsidP="00DE2D8B">
            <w:pPr>
              <w:rPr>
                <w:rFonts w:asciiTheme="minorHAnsi" w:hAnsiTheme="minorHAnsi" w:cs="Arial"/>
                <w:bCs/>
                <w:sz w:val="20"/>
                <w:szCs w:val="20"/>
              </w:rPr>
            </w:pPr>
            <w:r w:rsidRPr="00F01EC8">
              <w:rPr>
                <w:rFonts w:asciiTheme="minorHAnsi" w:hAnsiTheme="minorHAnsi" w:cs="Arial"/>
                <w:sz w:val="20"/>
                <w:szCs w:val="20"/>
              </w:rPr>
              <w:t>Other comprehensive income</w:t>
            </w:r>
            <w:r w:rsidR="00621CE4" w:rsidRPr="00F01EC8">
              <w:rPr>
                <w:rFonts w:asciiTheme="minorHAnsi" w:hAnsiTheme="minorHAnsi" w:cs="Arial"/>
                <w:sz w:val="20"/>
                <w:szCs w:val="20"/>
              </w:rPr>
              <w:t>/(expense)</w:t>
            </w:r>
            <w:r w:rsidRPr="00F01EC8">
              <w:rPr>
                <w:rFonts w:asciiTheme="minorHAnsi" w:hAnsiTheme="minorHAnsi" w:cs="Arial"/>
                <w:sz w:val="20"/>
                <w:szCs w:val="20"/>
              </w:rPr>
              <w:t xml:space="preserve"> for the period</w:t>
            </w:r>
          </w:p>
        </w:tc>
        <w:tc>
          <w:tcPr>
            <w:tcW w:w="775" w:type="dxa"/>
            <w:vAlign w:val="bottom"/>
          </w:tcPr>
          <w:p w14:paraId="7080CB3B" w14:textId="77777777" w:rsidR="00DE2D8B" w:rsidRPr="00F01EC8" w:rsidRDefault="00DE2D8B" w:rsidP="00DE2D8B">
            <w:pPr>
              <w:jc w:val="right"/>
              <w:rPr>
                <w:rFonts w:asciiTheme="minorHAnsi" w:hAnsiTheme="minorHAnsi" w:cs="Arial"/>
                <w:sz w:val="20"/>
                <w:szCs w:val="20"/>
              </w:rPr>
            </w:pPr>
          </w:p>
        </w:tc>
        <w:tc>
          <w:tcPr>
            <w:tcW w:w="1172" w:type="dxa"/>
            <w:tcBorders>
              <w:top w:val="single" w:sz="4" w:space="0" w:color="auto"/>
              <w:left w:val="nil"/>
              <w:bottom w:val="nil"/>
              <w:right w:val="nil"/>
            </w:tcBorders>
            <w:vAlign w:val="bottom"/>
          </w:tcPr>
          <w:p w14:paraId="1801876E" w14:textId="51D16D7A"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30.1</w:t>
            </w:r>
          </w:p>
        </w:tc>
        <w:tc>
          <w:tcPr>
            <w:tcW w:w="1172" w:type="dxa"/>
            <w:tcBorders>
              <w:top w:val="single" w:sz="4" w:space="0" w:color="auto"/>
              <w:left w:val="nil"/>
              <w:bottom w:val="nil"/>
              <w:right w:val="nil"/>
            </w:tcBorders>
            <w:vAlign w:val="bottom"/>
          </w:tcPr>
          <w:p w14:paraId="0DB53725" w14:textId="1A0B36CE"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(10.0)</w:t>
            </w:r>
          </w:p>
        </w:tc>
      </w:tr>
      <w:tr w:rsidR="00DE2D8B" w:rsidRPr="00F01EC8" w14:paraId="39EC0697" w14:textId="77777777" w:rsidTr="00AC0A5D">
        <w:tc>
          <w:tcPr>
            <w:tcW w:w="6804" w:type="dxa"/>
            <w:vAlign w:val="bottom"/>
          </w:tcPr>
          <w:p w14:paraId="3AB9EB9F" w14:textId="77777777" w:rsidR="00DE2D8B" w:rsidRPr="00F01EC8" w:rsidRDefault="00DE2D8B" w:rsidP="00DE2D8B">
            <w:pPr>
              <w:rPr>
                <w:rFonts w:asciiTheme="minorHAnsi" w:hAnsiTheme="minorHAnsi" w:cs="Arial"/>
                <w:b/>
                <w:bCs/>
                <w:sz w:val="20"/>
                <w:szCs w:val="20"/>
              </w:rPr>
            </w:pPr>
            <w:r w:rsidRPr="00F01EC8">
              <w:rPr>
                <w:rFonts w:asciiTheme="minorHAnsi" w:hAnsiTheme="minorHAnsi" w:cs="Arial"/>
                <w:b/>
                <w:bCs/>
                <w:sz w:val="20"/>
                <w:szCs w:val="20"/>
              </w:rPr>
              <w:t>Total comprehensive income for the period</w:t>
            </w:r>
          </w:p>
        </w:tc>
        <w:tc>
          <w:tcPr>
            <w:tcW w:w="775" w:type="dxa"/>
            <w:vAlign w:val="bottom"/>
          </w:tcPr>
          <w:p w14:paraId="099116F2" w14:textId="77777777" w:rsidR="00DE2D8B" w:rsidRPr="00F01EC8" w:rsidRDefault="00DE2D8B" w:rsidP="00DE2D8B">
            <w:pPr>
              <w:jc w:val="right"/>
              <w:rPr>
                <w:rFonts w:asciiTheme="minorHAnsi" w:hAnsiTheme="minorHAnsi" w:cs="Arial"/>
                <w:sz w:val="20"/>
                <w:szCs w:val="20"/>
                <w:lang w:val="en-US"/>
              </w:rPr>
            </w:pPr>
          </w:p>
        </w:tc>
        <w:tc>
          <w:tcPr>
            <w:tcW w:w="1172" w:type="dxa"/>
            <w:tcBorders>
              <w:top w:val="single" w:sz="4" w:space="0" w:color="auto"/>
              <w:left w:val="nil"/>
              <w:bottom w:val="single" w:sz="12" w:space="0" w:color="auto"/>
              <w:right w:val="nil"/>
            </w:tcBorders>
            <w:vAlign w:val="bottom"/>
          </w:tcPr>
          <w:p w14:paraId="1E29EFC6" w14:textId="38A0B2F4" w:rsidR="00DE2D8B" w:rsidRPr="00F01EC8" w:rsidRDefault="006135C7" w:rsidP="00DE2D8B">
            <w:pPr>
              <w:jc w:val="right"/>
              <w:rPr>
                <w:rFonts w:asciiTheme="minorHAnsi" w:hAnsiTheme="minorHAnsi" w:cs="Arial"/>
                <w:sz w:val="20"/>
                <w:szCs w:val="20"/>
                <w:lang w:val="en-US"/>
              </w:rPr>
            </w:pPr>
            <w:r w:rsidRPr="00F01EC8">
              <w:rPr>
                <w:rFonts w:asciiTheme="minorHAnsi" w:hAnsiTheme="minorHAnsi" w:cs="Arial"/>
                <w:sz w:val="20"/>
                <w:szCs w:val="20"/>
                <w:lang w:val="en-US"/>
              </w:rPr>
              <w:t>7.0</w:t>
            </w:r>
          </w:p>
        </w:tc>
        <w:tc>
          <w:tcPr>
            <w:tcW w:w="1172" w:type="dxa"/>
            <w:tcBorders>
              <w:top w:val="single" w:sz="4" w:space="0" w:color="auto"/>
              <w:left w:val="nil"/>
              <w:bottom w:val="single" w:sz="12" w:space="0" w:color="auto"/>
              <w:right w:val="nil"/>
            </w:tcBorders>
            <w:vAlign w:val="bottom"/>
          </w:tcPr>
          <w:p w14:paraId="49E038B3" w14:textId="6D8F3701" w:rsidR="00DE2D8B" w:rsidRPr="00F01EC8" w:rsidRDefault="00DE2D8B" w:rsidP="00DE2D8B">
            <w:pPr>
              <w:jc w:val="right"/>
              <w:rPr>
                <w:rFonts w:asciiTheme="minorHAnsi" w:hAnsiTheme="minorHAnsi" w:cs="Arial"/>
                <w:sz w:val="20"/>
                <w:szCs w:val="20"/>
                <w:lang w:val="en-US"/>
              </w:rPr>
            </w:pPr>
            <w:r w:rsidRPr="00F01EC8">
              <w:rPr>
                <w:rFonts w:asciiTheme="minorHAnsi" w:hAnsiTheme="minorHAnsi" w:cs="Arial"/>
                <w:sz w:val="20"/>
                <w:szCs w:val="20"/>
                <w:lang w:val="en-US"/>
              </w:rPr>
              <w:t>14.6 </w:t>
            </w:r>
          </w:p>
        </w:tc>
      </w:tr>
    </w:tbl>
    <w:p w14:paraId="2EC5A759" w14:textId="77777777" w:rsidR="00DA6694" w:rsidRPr="00F01EC8" w:rsidRDefault="00DA6694" w:rsidP="00DA6694">
      <w:pPr>
        <w:rPr>
          <w:rFonts w:asciiTheme="minorHAnsi" w:hAnsiTheme="minorHAnsi" w:cs="Arial"/>
          <w:b/>
          <w:sz w:val="20"/>
          <w:szCs w:val="20"/>
        </w:rPr>
      </w:pPr>
    </w:p>
    <w:tbl>
      <w:tblPr>
        <w:tblW w:w="9923" w:type="dxa"/>
        <w:tblLook w:val="0000" w:firstRow="0" w:lastRow="0" w:firstColumn="0" w:lastColumn="0" w:noHBand="0" w:noVBand="0"/>
      </w:tblPr>
      <w:tblGrid>
        <w:gridCol w:w="6494"/>
        <w:gridCol w:w="1085"/>
        <w:gridCol w:w="1172"/>
        <w:gridCol w:w="1172"/>
      </w:tblGrid>
      <w:tr w:rsidR="00DA6694" w:rsidRPr="00F01EC8" w14:paraId="7E86613E" w14:textId="77777777" w:rsidTr="00AC0A5D">
        <w:tc>
          <w:tcPr>
            <w:tcW w:w="6494" w:type="dxa"/>
          </w:tcPr>
          <w:p w14:paraId="6FB1C8A9" w14:textId="70FDCE35" w:rsidR="00DA6694" w:rsidRPr="00F01EC8" w:rsidRDefault="00AE5765" w:rsidP="00AC0A5D">
            <w:pPr>
              <w:rPr>
                <w:rFonts w:asciiTheme="minorHAnsi" w:hAnsiTheme="minorHAnsi" w:cs="Arial"/>
                <w:b/>
                <w:sz w:val="20"/>
                <w:szCs w:val="20"/>
              </w:rPr>
            </w:pPr>
            <w:r w:rsidRPr="00F01EC8">
              <w:rPr>
                <w:rFonts w:asciiTheme="minorHAnsi" w:hAnsiTheme="minorHAnsi" w:cs="Arial"/>
                <w:b/>
                <w:sz w:val="20"/>
                <w:szCs w:val="20"/>
              </w:rPr>
              <w:t>(Loss)/</w:t>
            </w:r>
            <w:r w:rsidR="00EC48CC">
              <w:rPr>
                <w:rFonts w:asciiTheme="minorHAnsi" w:hAnsiTheme="minorHAnsi" w:cs="Arial"/>
                <w:b/>
                <w:sz w:val="20"/>
                <w:szCs w:val="20"/>
              </w:rPr>
              <w:t>e</w:t>
            </w:r>
            <w:r w:rsidR="00DA6694" w:rsidRPr="00F01EC8">
              <w:rPr>
                <w:rFonts w:asciiTheme="minorHAnsi" w:hAnsiTheme="minorHAnsi" w:cs="Arial"/>
                <w:b/>
                <w:sz w:val="20"/>
                <w:szCs w:val="20"/>
              </w:rPr>
              <w:t>arnings per share</w:t>
            </w:r>
          </w:p>
        </w:tc>
        <w:tc>
          <w:tcPr>
            <w:tcW w:w="1085" w:type="dxa"/>
          </w:tcPr>
          <w:p w14:paraId="126BF89A" w14:textId="77777777" w:rsidR="00DA6694" w:rsidRPr="00F01EC8" w:rsidRDefault="00DA6694" w:rsidP="00AC0A5D">
            <w:pPr>
              <w:jc w:val="right"/>
              <w:rPr>
                <w:rFonts w:asciiTheme="minorHAnsi" w:hAnsiTheme="minorHAnsi" w:cs="Arial"/>
                <w:sz w:val="20"/>
                <w:szCs w:val="20"/>
              </w:rPr>
            </w:pPr>
          </w:p>
        </w:tc>
        <w:tc>
          <w:tcPr>
            <w:tcW w:w="2344" w:type="dxa"/>
            <w:gridSpan w:val="2"/>
          </w:tcPr>
          <w:p w14:paraId="532CF38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40DE1364" w14:textId="77777777" w:rsidTr="00AC0A5D">
        <w:tc>
          <w:tcPr>
            <w:tcW w:w="6494" w:type="dxa"/>
          </w:tcPr>
          <w:p w14:paraId="044D8F5F" w14:textId="77777777" w:rsidR="00DA6694" w:rsidRPr="00F01EC8" w:rsidRDefault="00DA6694" w:rsidP="00AC0A5D">
            <w:pPr>
              <w:rPr>
                <w:rFonts w:asciiTheme="minorHAnsi" w:hAnsiTheme="minorHAnsi" w:cs="Arial"/>
                <w:b/>
                <w:sz w:val="20"/>
                <w:szCs w:val="20"/>
              </w:rPr>
            </w:pPr>
          </w:p>
        </w:tc>
        <w:tc>
          <w:tcPr>
            <w:tcW w:w="1085" w:type="dxa"/>
          </w:tcPr>
          <w:p w14:paraId="2E81EF2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Note</w:t>
            </w:r>
          </w:p>
        </w:tc>
        <w:tc>
          <w:tcPr>
            <w:tcW w:w="1172" w:type="dxa"/>
          </w:tcPr>
          <w:p w14:paraId="49BF80A2" w14:textId="699530B4"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991B92" w:rsidRPr="00F01EC8">
              <w:rPr>
                <w:rFonts w:asciiTheme="minorHAnsi" w:hAnsiTheme="minorHAnsi" w:cs="Arial"/>
                <w:sz w:val="20"/>
                <w:szCs w:val="20"/>
              </w:rPr>
              <w:t>20</w:t>
            </w:r>
            <w:r w:rsidRPr="00F01EC8">
              <w:rPr>
                <w:rFonts w:asciiTheme="minorHAnsi" w:hAnsiTheme="minorHAnsi" w:cs="Arial"/>
                <w:sz w:val="20"/>
                <w:szCs w:val="20"/>
              </w:rPr>
              <w:t> </w:t>
            </w:r>
          </w:p>
        </w:tc>
        <w:tc>
          <w:tcPr>
            <w:tcW w:w="1172" w:type="dxa"/>
          </w:tcPr>
          <w:p w14:paraId="52B690CE" w14:textId="15ACAD9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991B92" w:rsidRPr="00F01EC8">
              <w:rPr>
                <w:rFonts w:asciiTheme="minorHAnsi" w:hAnsiTheme="minorHAnsi" w:cs="Arial"/>
                <w:sz w:val="20"/>
                <w:szCs w:val="20"/>
              </w:rPr>
              <w:t>9</w:t>
            </w:r>
            <w:r w:rsidR="0052672D" w:rsidRPr="00F01EC8">
              <w:rPr>
                <w:rFonts w:asciiTheme="minorHAnsi" w:hAnsiTheme="minorHAnsi" w:cs="Arial"/>
                <w:sz w:val="20"/>
                <w:szCs w:val="20"/>
              </w:rPr>
              <w:t xml:space="preserve"> (restated)</w:t>
            </w:r>
          </w:p>
        </w:tc>
      </w:tr>
      <w:tr w:rsidR="00DA6694" w:rsidRPr="00F01EC8" w14:paraId="3CFE68C9" w14:textId="77777777" w:rsidTr="00AC0A5D">
        <w:tc>
          <w:tcPr>
            <w:tcW w:w="6494" w:type="dxa"/>
          </w:tcPr>
          <w:p w14:paraId="229AB407" w14:textId="77777777" w:rsidR="00DA6694" w:rsidRPr="00F01EC8" w:rsidRDefault="00DA6694" w:rsidP="00AC0A5D">
            <w:pPr>
              <w:rPr>
                <w:rFonts w:asciiTheme="minorHAnsi" w:hAnsiTheme="minorHAnsi" w:cs="Arial"/>
                <w:b/>
                <w:sz w:val="20"/>
                <w:szCs w:val="20"/>
              </w:rPr>
            </w:pPr>
          </w:p>
        </w:tc>
        <w:tc>
          <w:tcPr>
            <w:tcW w:w="1085" w:type="dxa"/>
          </w:tcPr>
          <w:p w14:paraId="23F93C13" w14:textId="77777777" w:rsidR="00DA6694" w:rsidRPr="00F01EC8" w:rsidRDefault="00DA6694" w:rsidP="00AC0A5D">
            <w:pPr>
              <w:jc w:val="right"/>
              <w:rPr>
                <w:rFonts w:asciiTheme="minorHAnsi" w:hAnsiTheme="minorHAnsi" w:cs="Arial"/>
                <w:sz w:val="20"/>
                <w:szCs w:val="20"/>
              </w:rPr>
            </w:pPr>
          </w:p>
        </w:tc>
        <w:tc>
          <w:tcPr>
            <w:tcW w:w="1172" w:type="dxa"/>
            <w:tcBorders>
              <w:top w:val="nil"/>
              <w:left w:val="nil"/>
              <w:bottom w:val="single" w:sz="4" w:space="0" w:color="auto"/>
              <w:right w:val="nil"/>
            </w:tcBorders>
          </w:tcPr>
          <w:p w14:paraId="2B825BF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pence </w:t>
            </w:r>
          </w:p>
        </w:tc>
        <w:tc>
          <w:tcPr>
            <w:tcW w:w="1172" w:type="dxa"/>
            <w:tcBorders>
              <w:top w:val="nil"/>
              <w:left w:val="nil"/>
              <w:bottom w:val="single" w:sz="4" w:space="0" w:color="auto"/>
              <w:right w:val="nil"/>
            </w:tcBorders>
          </w:tcPr>
          <w:p w14:paraId="430F4CB4"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pence </w:t>
            </w:r>
          </w:p>
        </w:tc>
      </w:tr>
      <w:tr w:rsidR="005E45C2" w:rsidRPr="00F01EC8" w14:paraId="7157C8AB" w14:textId="77777777" w:rsidTr="00AC0A5D">
        <w:tc>
          <w:tcPr>
            <w:tcW w:w="6494" w:type="dxa"/>
            <w:vAlign w:val="bottom"/>
          </w:tcPr>
          <w:p w14:paraId="0706C73B"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Basic</w:t>
            </w:r>
          </w:p>
        </w:tc>
        <w:tc>
          <w:tcPr>
            <w:tcW w:w="1085" w:type="dxa"/>
            <w:vAlign w:val="bottom"/>
          </w:tcPr>
          <w:p w14:paraId="2A15DE9A"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6</w:t>
            </w:r>
          </w:p>
        </w:tc>
        <w:tc>
          <w:tcPr>
            <w:tcW w:w="1172" w:type="dxa"/>
            <w:tcBorders>
              <w:top w:val="nil"/>
              <w:left w:val="nil"/>
              <w:bottom w:val="single" w:sz="12" w:space="0" w:color="auto"/>
              <w:right w:val="nil"/>
            </w:tcBorders>
            <w:vAlign w:val="bottom"/>
          </w:tcPr>
          <w:p w14:paraId="24098E51" w14:textId="17498769" w:rsidR="005E45C2" w:rsidRPr="00F01EC8" w:rsidRDefault="00AE5765" w:rsidP="005E45C2">
            <w:pPr>
              <w:jc w:val="right"/>
              <w:rPr>
                <w:rFonts w:asciiTheme="minorHAnsi" w:hAnsiTheme="minorHAnsi" w:cs="Arial"/>
                <w:sz w:val="20"/>
                <w:szCs w:val="20"/>
              </w:rPr>
            </w:pPr>
            <w:r w:rsidRPr="00F01EC8">
              <w:rPr>
                <w:rFonts w:asciiTheme="minorHAnsi" w:hAnsiTheme="minorHAnsi" w:cs="Arial"/>
                <w:sz w:val="20"/>
                <w:szCs w:val="20"/>
              </w:rPr>
              <w:t>(</w:t>
            </w:r>
            <w:r w:rsidR="002F1961" w:rsidRPr="00F01EC8">
              <w:rPr>
                <w:rFonts w:asciiTheme="minorHAnsi" w:hAnsiTheme="minorHAnsi" w:cs="Arial"/>
                <w:sz w:val="20"/>
                <w:szCs w:val="20"/>
              </w:rPr>
              <w:t>9.1</w:t>
            </w:r>
            <w:r w:rsidRPr="00F01EC8">
              <w:rPr>
                <w:rFonts w:asciiTheme="minorHAnsi" w:hAnsiTheme="minorHAnsi" w:cs="Arial"/>
                <w:sz w:val="20"/>
                <w:szCs w:val="20"/>
              </w:rPr>
              <w:t>)</w:t>
            </w:r>
          </w:p>
        </w:tc>
        <w:tc>
          <w:tcPr>
            <w:tcW w:w="1172" w:type="dxa"/>
            <w:tcBorders>
              <w:top w:val="nil"/>
              <w:left w:val="nil"/>
              <w:bottom w:val="single" w:sz="12" w:space="0" w:color="auto"/>
              <w:right w:val="nil"/>
            </w:tcBorders>
            <w:vAlign w:val="bottom"/>
          </w:tcPr>
          <w:p w14:paraId="1DA58122" w14:textId="3EFA3A25" w:rsidR="005E45C2" w:rsidRPr="00F01EC8" w:rsidRDefault="001440D0" w:rsidP="005E45C2">
            <w:pPr>
              <w:jc w:val="right"/>
              <w:rPr>
                <w:rFonts w:asciiTheme="minorHAnsi" w:hAnsiTheme="minorHAnsi" w:cs="Arial"/>
                <w:sz w:val="20"/>
                <w:szCs w:val="20"/>
              </w:rPr>
            </w:pPr>
            <w:r w:rsidRPr="00F01EC8">
              <w:rPr>
                <w:rFonts w:asciiTheme="minorHAnsi" w:hAnsiTheme="minorHAnsi" w:cs="Arial"/>
                <w:sz w:val="20"/>
                <w:szCs w:val="20"/>
              </w:rPr>
              <w:t>9</w:t>
            </w:r>
            <w:r w:rsidR="005E45C2" w:rsidRPr="00F01EC8">
              <w:rPr>
                <w:rFonts w:asciiTheme="minorHAnsi" w:hAnsiTheme="minorHAnsi" w:cs="Arial"/>
                <w:sz w:val="20"/>
                <w:szCs w:val="20"/>
              </w:rPr>
              <w:t>.</w:t>
            </w:r>
            <w:r w:rsidR="002F1961" w:rsidRPr="00F01EC8">
              <w:rPr>
                <w:rFonts w:asciiTheme="minorHAnsi" w:hAnsiTheme="minorHAnsi" w:cs="Arial"/>
                <w:sz w:val="20"/>
                <w:szCs w:val="20"/>
              </w:rPr>
              <w:t>7</w:t>
            </w:r>
            <w:r w:rsidR="005E45C2" w:rsidRPr="00F01EC8">
              <w:rPr>
                <w:rFonts w:asciiTheme="minorHAnsi" w:hAnsiTheme="minorHAnsi" w:cs="Arial"/>
                <w:sz w:val="20"/>
                <w:szCs w:val="20"/>
              </w:rPr>
              <w:t> </w:t>
            </w:r>
          </w:p>
        </w:tc>
      </w:tr>
      <w:tr w:rsidR="005E45C2" w:rsidRPr="00F01EC8" w14:paraId="74A854B5" w14:textId="77777777" w:rsidTr="00AC0A5D">
        <w:tc>
          <w:tcPr>
            <w:tcW w:w="6494" w:type="dxa"/>
            <w:vAlign w:val="bottom"/>
          </w:tcPr>
          <w:p w14:paraId="4FBA47B9"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xml:space="preserve">Diluted                                                       </w:t>
            </w:r>
          </w:p>
        </w:tc>
        <w:tc>
          <w:tcPr>
            <w:tcW w:w="1085" w:type="dxa"/>
            <w:vAlign w:val="bottom"/>
          </w:tcPr>
          <w:p w14:paraId="385E6AEF"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6</w:t>
            </w:r>
          </w:p>
        </w:tc>
        <w:tc>
          <w:tcPr>
            <w:tcW w:w="1172" w:type="dxa"/>
            <w:tcBorders>
              <w:top w:val="single" w:sz="12" w:space="0" w:color="auto"/>
              <w:left w:val="nil"/>
              <w:bottom w:val="single" w:sz="12" w:space="0" w:color="auto"/>
              <w:right w:val="nil"/>
            </w:tcBorders>
            <w:vAlign w:val="bottom"/>
          </w:tcPr>
          <w:p w14:paraId="19392DCA" w14:textId="690A7728" w:rsidR="005E45C2" w:rsidRPr="00F01EC8" w:rsidRDefault="00AE5765" w:rsidP="005E45C2">
            <w:pPr>
              <w:jc w:val="right"/>
              <w:rPr>
                <w:rFonts w:asciiTheme="minorHAnsi" w:hAnsiTheme="minorHAnsi" w:cs="Arial"/>
                <w:sz w:val="20"/>
                <w:szCs w:val="20"/>
              </w:rPr>
            </w:pPr>
            <w:r w:rsidRPr="00F01EC8">
              <w:rPr>
                <w:rFonts w:asciiTheme="minorHAnsi" w:hAnsiTheme="minorHAnsi" w:cs="Arial"/>
                <w:sz w:val="20"/>
                <w:szCs w:val="20"/>
              </w:rPr>
              <w:t>(</w:t>
            </w:r>
            <w:r w:rsidR="002F1961" w:rsidRPr="00F01EC8">
              <w:rPr>
                <w:rFonts w:asciiTheme="minorHAnsi" w:hAnsiTheme="minorHAnsi" w:cs="Arial"/>
                <w:sz w:val="20"/>
                <w:szCs w:val="20"/>
              </w:rPr>
              <w:t>9.1</w:t>
            </w:r>
            <w:r w:rsidRPr="00F01EC8">
              <w:rPr>
                <w:rFonts w:asciiTheme="minorHAnsi" w:hAnsiTheme="minorHAnsi" w:cs="Arial"/>
                <w:sz w:val="20"/>
                <w:szCs w:val="20"/>
              </w:rPr>
              <w:t>)</w:t>
            </w:r>
          </w:p>
        </w:tc>
        <w:tc>
          <w:tcPr>
            <w:tcW w:w="1172" w:type="dxa"/>
            <w:tcBorders>
              <w:top w:val="single" w:sz="12" w:space="0" w:color="auto"/>
              <w:left w:val="nil"/>
              <w:bottom w:val="single" w:sz="12" w:space="0" w:color="auto"/>
              <w:right w:val="nil"/>
            </w:tcBorders>
            <w:vAlign w:val="bottom"/>
          </w:tcPr>
          <w:p w14:paraId="419E657D" w14:textId="20E598A4" w:rsidR="005E45C2" w:rsidRPr="00F01EC8" w:rsidRDefault="001440D0" w:rsidP="005E45C2">
            <w:pPr>
              <w:jc w:val="right"/>
              <w:rPr>
                <w:rFonts w:asciiTheme="minorHAnsi" w:hAnsiTheme="minorHAnsi" w:cs="Arial"/>
                <w:sz w:val="20"/>
                <w:szCs w:val="20"/>
              </w:rPr>
            </w:pPr>
            <w:r w:rsidRPr="00F01EC8">
              <w:rPr>
                <w:rFonts w:asciiTheme="minorHAnsi" w:hAnsiTheme="minorHAnsi" w:cs="Arial"/>
                <w:sz w:val="20"/>
                <w:szCs w:val="20"/>
              </w:rPr>
              <w:t>9</w:t>
            </w:r>
            <w:r w:rsidR="005E45C2" w:rsidRPr="00F01EC8">
              <w:rPr>
                <w:rFonts w:asciiTheme="minorHAnsi" w:hAnsiTheme="minorHAnsi" w:cs="Arial"/>
                <w:sz w:val="20"/>
                <w:szCs w:val="20"/>
              </w:rPr>
              <w:t>.</w:t>
            </w:r>
            <w:r w:rsidR="002F1961" w:rsidRPr="00F01EC8">
              <w:rPr>
                <w:rFonts w:asciiTheme="minorHAnsi" w:hAnsiTheme="minorHAnsi" w:cs="Arial"/>
                <w:sz w:val="20"/>
                <w:szCs w:val="20"/>
              </w:rPr>
              <w:t>7</w:t>
            </w:r>
            <w:r w:rsidR="005E45C2" w:rsidRPr="00F01EC8">
              <w:rPr>
                <w:rFonts w:asciiTheme="minorHAnsi" w:hAnsiTheme="minorHAnsi" w:cs="Arial"/>
                <w:sz w:val="20"/>
                <w:szCs w:val="20"/>
              </w:rPr>
              <w:t> </w:t>
            </w:r>
          </w:p>
        </w:tc>
      </w:tr>
      <w:tr w:rsidR="005E45C2" w:rsidRPr="00F01EC8" w14:paraId="76EA093C" w14:textId="77777777" w:rsidTr="00AC0A5D">
        <w:tc>
          <w:tcPr>
            <w:tcW w:w="6494" w:type="dxa"/>
            <w:vAlign w:val="bottom"/>
          </w:tcPr>
          <w:p w14:paraId="78C69DF5" w14:textId="77777777" w:rsidR="005E45C2" w:rsidRPr="00F01EC8" w:rsidRDefault="005E45C2" w:rsidP="005E45C2">
            <w:pPr>
              <w:rPr>
                <w:rFonts w:asciiTheme="minorHAnsi" w:hAnsiTheme="minorHAnsi" w:cs="Arial"/>
                <w:b/>
                <w:sz w:val="20"/>
                <w:szCs w:val="20"/>
              </w:rPr>
            </w:pPr>
          </w:p>
        </w:tc>
        <w:tc>
          <w:tcPr>
            <w:tcW w:w="1085" w:type="dxa"/>
            <w:vAlign w:val="bottom"/>
          </w:tcPr>
          <w:p w14:paraId="76A6CA18" w14:textId="77777777" w:rsidR="005E45C2" w:rsidRPr="00F01EC8" w:rsidRDefault="005E45C2" w:rsidP="005E45C2">
            <w:pPr>
              <w:jc w:val="right"/>
              <w:rPr>
                <w:rFonts w:asciiTheme="minorHAnsi" w:hAnsiTheme="minorHAnsi" w:cs="Arial"/>
                <w:sz w:val="20"/>
                <w:szCs w:val="20"/>
              </w:rPr>
            </w:pPr>
          </w:p>
        </w:tc>
        <w:tc>
          <w:tcPr>
            <w:tcW w:w="1172" w:type="dxa"/>
            <w:tcBorders>
              <w:top w:val="single" w:sz="12" w:space="0" w:color="auto"/>
              <w:left w:val="nil"/>
              <w:right w:val="nil"/>
            </w:tcBorders>
            <w:vAlign w:val="bottom"/>
          </w:tcPr>
          <w:p w14:paraId="77A3F1ED" w14:textId="77777777" w:rsidR="005E45C2" w:rsidRPr="00F01EC8" w:rsidRDefault="005E45C2" w:rsidP="005E45C2">
            <w:pPr>
              <w:jc w:val="right"/>
              <w:rPr>
                <w:rFonts w:asciiTheme="minorHAnsi" w:hAnsiTheme="minorHAnsi" w:cs="Arial"/>
                <w:sz w:val="20"/>
                <w:szCs w:val="20"/>
              </w:rPr>
            </w:pPr>
          </w:p>
        </w:tc>
        <w:tc>
          <w:tcPr>
            <w:tcW w:w="1172" w:type="dxa"/>
            <w:tcBorders>
              <w:top w:val="single" w:sz="12" w:space="0" w:color="auto"/>
              <w:left w:val="nil"/>
              <w:right w:val="nil"/>
            </w:tcBorders>
            <w:vAlign w:val="bottom"/>
          </w:tcPr>
          <w:p w14:paraId="67851100" w14:textId="77777777" w:rsidR="005E45C2" w:rsidRPr="00F01EC8" w:rsidRDefault="005E45C2" w:rsidP="005E45C2">
            <w:pPr>
              <w:jc w:val="right"/>
              <w:rPr>
                <w:rFonts w:asciiTheme="minorHAnsi" w:hAnsiTheme="minorHAnsi" w:cs="Arial"/>
                <w:sz w:val="20"/>
                <w:szCs w:val="20"/>
              </w:rPr>
            </w:pPr>
          </w:p>
        </w:tc>
      </w:tr>
      <w:tr w:rsidR="005E45C2" w:rsidRPr="00F01EC8" w14:paraId="7D2C24D0" w14:textId="77777777" w:rsidTr="00AC0A5D">
        <w:tc>
          <w:tcPr>
            <w:tcW w:w="6494" w:type="dxa"/>
            <w:vAlign w:val="bottom"/>
          </w:tcPr>
          <w:p w14:paraId="0B7133A4"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Dividends per share</w:t>
            </w:r>
          </w:p>
        </w:tc>
        <w:tc>
          <w:tcPr>
            <w:tcW w:w="1085" w:type="dxa"/>
            <w:vAlign w:val="bottom"/>
          </w:tcPr>
          <w:p w14:paraId="10D6E356" w14:textId="77777777" w:rsidR="005E45C2" w:rsidRPr="00F01EC8" w:rsidRDefault="005E45C2" w:rsidP="005E45C2">
            <w:pPr>
              <w:jc w:val="right"/>
              <w:rPr>
                <w:rFonts w:asciiTheme="minorHAnsi" w:hAnsiTheme="minorHAnsi" w:cs="Arial"/>
                <w:sz w:val="20"/>
                <w:szCs w:val="20"/>
              </w:rPr>
            </w:pPr>
          </w:p>
        </w:tc>
        <w:tc>
          <w:tcPr>
            <w:tcW w:w="2344" w:type="dxa"/>
            <w:gridSpan w:val="2"/>
          </w:tcPr>
          <w:p w14:paraId="1EDC1C08"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5E45C2" w:rsidRPr="00F01EC8" w14:paraId="0F893CB8" w14:textId="77777777" w:rsidTr="00AC0A5D">
        <w:tc>
          <w:tcPr>
            <w:tcW w:w="6494" w:type="dxa"/>
            <w:vAlign w:val="bottom"/>
          </w:tcPr>
          <w:p w14:paraId="218D2B76" w14:textId="77777777" w:rsidR="005E45C2" w:rsidRPr="00F01EC8" w:rsidRDefault="005E45C2" w:rsidP="005E45C2">
            <w:pPr>
              <w:rPr>
                <w:rFonts w:asciiTheme="minorHAnsi" w:hAnsiTheme="minorHAnsi" w:cs="Arial"/>
                <w:b/>
                <w:sz w:val="20"/>
                <w:szCs w:val="20"/>
              </w:rPr>
            </w:pPr>
          </w:p>
        </w:tc>
        <w:tc>
          <w:tcPr>
            <w:tcW w:w="1085" w:type="dxa"/>
            <w:vAlign w:val="bottom"/>
          </w:tcPr>
          <w:p w14:paraId="3FC916EC" w14:textId="77777777" w:rsidR="005E45C2" w:rsidRPr="00F01EC8" w:rsidRDefault="005E45C2" w:rsidP="005E45C2">
            <w:pPr>
              <w:jc w:val="right"/>
              <w:rPr>
                <w:rFonts w:asciiTheme="minorHAnsi" w:hAnsiTheme="minorHAnsi" w:cs="Arial"/>
                <w:sz w:val="20"/>
                <w:szCs w:val="20"/>
              </w:rPr>
            </w:pPr>
          </w:p>
        </w:tc>
        <w:tc>
          <w:tcPr>
            <w:tcW w:w="1172" w:type="dxa"/>
          </w:tcPr>
          <w:p w14:paraId="20813966" w14:textId="55E158C3"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2020 </w:t>
            </w:r>
          </w:p>
        </w:tc>
        <w:tc>
          <w:tcPr>
            <w:tcW w:w="1172" w:type="dxa"/>
          </w:tcPr>
          <w:p w14:paraId="1883B37B" w14:textId="2C212576"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2019 </w:t>
            </w:r>
          </w:p>
        </w:tc>
      </w:tr>
      <w:tr w:rsidR="005E45C2" w:rsidRPr="00F01EC8" w14:paraId="2CB1628C" w14:textId="77777777" w:rsidTr="00AC0A5D">
        <w:tc>
          <w:tcPr>
            <w:tcW w:w="6494" w:type="dxa"/>
            <w:vAlign w:val="bottom"/>
          </w:tcPr>
          <w:p w14:paraId="1EEB19D1" w14:textId="77777777" w:rsidR="005E45C2" w:rsidRPr="00F01EC8" w:rsidRDefault="005E45C2" w:rsidP="005E45C2">
            <w:pPr>
              <w:rPr>
                <w:rFonts w:asciiTheme="minorHAnsi" w:hAnsiTheme="minorHAnsi" w:cs="Arial"/>
                <w:b/>
                <w:sz w:val="20"/>
                <w:szCs w:val="20"/>
              </w:rPr>
            </w:pPr>
          </w:p>
        </w:tc>
        <w:tc>
          <w:tcPr>
            <w:tcW w:w="1085" w:type="dxa"/>
            <w:vAlign w:val="bottom"/>
          </w:tcPr>
          <w:p w14:paraId="3C4A1887" w14:textId="77777777" w:rsidR="005E45C2" w:rsidRPr="00F01EC8" w:rsidRDefault="005E45C2" w:rsidP="005E45C2">
            <w:pPr>
              <w:jc w:val="right"/>
              <w:rPr>
                <w:rFonts w:asciiTheme="minorHAnsi" w:hAnsiTheme="minorHAnsi" w:cs="Arial"/>
                <w:sz w:val="20"/>
                <w:szCs w:val="20"/>
              </w:rPr>
            </w:pPr>
          </w:p>
        </w:tc>
        <w:tc>
          <w:tcPr>
            <w:tcW w:w="1172" w:type="dxa"/>
            <w:tcBorders>
              <w:bottom w:val="single" w:sz="4" w:space="0" w:color="auto"/>
            </w:tcBorders>
          </w:tcPr>
          <w:p w14:paraId="019BD654"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pence </w:t>
            </w:r>
          </w:p>
        </w:tc>
        <w:tc>
          <w:tcPr>
            <w:tcW w:w="1172" w:type="dxa"/>
            <w:tcBorders>
              <w:bottom w:val="single" w:sz="4" w:space="0" w:color="auto"/>
            </w:tcBorders>
          </w:tcPr>
          <w:p w14:paraId="5279FB7A"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pence </w:t>
            </w:r>
          </w:p>
        </w:tc>
      </w:tr>
      <w:tr w:rsidR="0092086F" w:rsidRPr="00F01EC8" w14:paraId="1AC98DB7" w14:textId="77777777" w:rsidTr="00AC0A5D">
        <w:tc>
          <w:tcPr>
            <w:tcW w:w="6494" w:type="dxa"/>
            <w:vAlign w:val="bottom"/>
          </w:tcPr>
          <w:p w14:paraId="2C1E5107" w14:textId="77777777" w:rsidR="0092086F" w:rsidRPr="00F01EC8" w:rsidRDefault="0092086F" w:rsidP="0092086F">
            <w:pPr>
              <w:rPr>
                <w:rFonts w:asciiTheme="minorHAnsi" w:hAnsiTheme="minorHAnsi" w:cs="Arial"/>
                <w:sz w:val="20"/>
                <w:szCs w:val="20"/>
              </w:rPr>
            </w:pPr>
            <w:r w:rsidRPr="00F01EC8">
              <w:rPr>
                <w:rFonts w:asciiTheme="minorHAnsi" w:hAnsiTheme="minorHAnsi" w:cs="Arial"/>
                <w:sz w:val="20"/>
                <w:szCs w:val="20"/>
              </w:rPr>
              <w:t xml:space="preserve">Interim dividend                                    </w:t>
            </w:r>
          </w:p>
        </w:tc>
        <w:tc>
          <w:tcPr>
            <w:tcW w:w="1085" w:type="dxa"/>
            <w:vAlign w:val="bottom"/>
          </w:tcPr>
          <w:p w14:paraId="22174DEA" w14:textId="77777777" w:rsidR="0092086F" w:rsidRPr="00F01EC8" w:rsidRDefault="0092086F" w:rsidP="0092086F">
            <w:pPr>
              <w:jc w:val="right"/>
              <w:rPr>
                <w:rFonts w:asciiTheme="minorHAnsi" w:hAnsiTheme="minorHAnsi" w:cs="Arial"/>
                <w:sz w:val="20"/>
                <w:szCs w:val="20"/>
              </w:rPr>
            </w:pPr>
            <w:r w:rsidRPr="00F01EC8">
              <w:rPr>
                <w:rFonts w:asciiTheme="minorHAnsi" w:hAnsiTheme="minorHAnsi" w:cs="Arial"/>
                <w:sz w:val="20"/>
                <w:szCs w:val="20"/>
              </w:rPr>
              <w:t>7</w:t>
            </w:r>
          </w:p>
        </w:tc>
        <w:tc>
          <w:tcPr>
            <w:tcW w:w="1172" w:type="dxa"/>
            <w:tcBorders>
              <w:top w:val="single" w:sz="4" w:space="0" w:color="auto"/>
              <w:left w:val="nil"/>
              <w:bottom w:val="single" w:sz="12" w:space="0" w:color="auto"/>
              <w:right w:val="nil"/>
            </w:tcBorders>
            <w:vAlign w:val="bottom"/>
          </w:tcPr>
          <w:p w14:paraId="7314D1B6" w14:textId="2BD1E7FD" w:rsidR="0092086F" w:rsidRPr="00F01EC8" w:rsidRDefault="00B2187F" w:rsidP="0092086F">
            <w:pPr>
              <w:jc w:val="right"/>
              <w:rPr>
                <w:rFonts w:asciiTheme="minorHAnsi" w:hAnsiTheme="minorHAnsi" w:cs="Arial"/>
                <w:sz w:val="20"/>
                <w:szCs w:val="20"/>
                <w:highlight w:val="yellow"/>
              </w:rPr>
            </w:pPr>
            <w:r w:rsidRPr="00F01EC8">
              <w:rPr>
                <w:rFonts w:asciiTheme="minorHAnsi" w:hAnsiTheme="minorHAnsi" w:cs="Arial"/>
                <w:sz w:val="20"/>
                <w:szCs w:val="20"/>
                <w:lang w:val="fr-FR"/>
              </w:rPr>
              <w:t>-</w:t>
            </w:r>
          </w:p>
        </w:tc>
        <w:tc>
          <w:tcPr>
            <w:tcW w:w="1172" w:type="dxa"/>
            <w:tcBorders>
              <w:top w:val="single" w:sz="4" w:space="0" w:color="auto"/>
              <w:left w:val="nil"/>
              <w:bottom w:val="single" w:sz="12" w:space="0" w:color="auto"/>
              <w:right w:val="nil"/>
            </w:tcBorders>
            <w:vAlign w:val="bottom"/>
          </w:tcPr>
          <w:p w14:paraId="00BE2CCE" w14:textId="6AFC0A92" w:rsidR="0092086F" w:rsidRPr="00F01EC8" w:rsidRDefault="0092086F" w:rsidP="0092086F">
            <w:pPr>
              <w:jc w:val="right"/>
              <w:rPr>
                <w:rFonts w:asciiTheme="minorHAnsi" w:hAnsiTheme="minorHAnsi" w:cs="Arial"/>
                <w:sz w:val="20"/>
                <w:szCs w:val="20"/>
              </w:rPr>
            </w:pPr>
            <w:r w:rsidRPr="00F01EC8">
              <w:rPr>
                <w:rFonts w:asciiTheme="minorHAnsi" w:hAnsiTheme="minorHAnsi" w:cs="Arial"/>
                <w:sz w:val="20"/>
                <w:szCs w:val="20"/>
              </w:rPr>
              <w:t>9.0 </w:t>
            </w:r>
          </w:p>
        </w:tc>
      </w:tr>
      <w:tr w:rsidR="0092086F" w:rsidRPr="00F01EC8" w14:paraId="670AA9E2" w14:textId="77777777" w:rsidTr="00AC0A5D">
        <w:tc>
          <w:tcPr>
            <w:tcW w:w="6494" w:type="dxa"/>
            <w:vAlign w:val="bottom"/>
          </w:tcPr>
          <w:p w14:paraId="414E65C5" w14:textId="77777777" w:rsidR="0092086F" w:rsidRPr="00F01EC8" w:rsidRDefault="0092086F" w:rsidP="0092086F">
            <w:pPr>
              <w:rPr>
                <w:rFonts w:asciiTheme="minorHAnsi" w:hAnsiTheme="minorHAnsi" w:cs="Arial"/>
                <w:sz w:val="20"/>
                <w:szCs w:val="20"/>
              </w:rPr>
            </w:pPr>
            <w:r w:rsidRPr="00F01EC8">
              <w:rPr>
                <w:rFonts w:asciiTheme="minorHAnsi" w:hAnsiTheme="minorHAnsi" w:cs="Arial"/>
                <w:sz w:val="20"/>
                <w:szCs w:val="20"/>
              </w:rPr>
              <w:t xml:space="preserve">Paid in the period* </w:t>
            </w:r>
          </w:p>
        </w:tc>
        <w:tc>
          <w:tcPr>
            <w:tcW w:w="1085" w:type="dxa"/>
            <w:vAlign w:val="bottom"/>
          </w:tcPr>
          <w:p w14:paraId="77A3160F" w14:textId="77777777" w:rsidR="0092086F" w:rsidRPr="00F01EC8" w:rsidRDefault="0092086F" w:rsidP="0092086F">
            <w:pPr>
              <w:jc w:val="right"/>
              <w:rPr>
                <w:rFonts w:asciiTheme="minorHAnsi" w:hAnsiTheme="minorHAnsi" w:cs="Arial"/>
                <w:sz w:val="20"/>
                <w:szCs w:val="20"/>
              </w:rPr>
            </w:pPr>
            <w:r w:rsidRPr="00F01EC8">
              <w:rPr>
                <w:rFonts w:asciiTheme="minorHAnsi" w:hAnsiTheme="minorHAnsi" w:cs="Arial"/>
                <w:sz w:val="20"/>
                <w:szCs w:val="20"/>
              </w:rPr>
              <w:t>7</w:t>
            </w:r>
          </w:p>
        </w:tc>
        <w:tc>
          <w:tcPr>
            <w:tcW w:w="1172" w:type="dxa"/>
            <w:tcBorders>
              <w:top w:val="single" w:sz="12" w:space="0" w:color="auto"/>
              <w:left w:val="nil"/>
              <w:bottom w:val="single" w:sz="12" w:space="0" w:color="auto"/>
              <w:right w:val="nil"/>
            </w:tcBorders>
            <w:vAlign w:val="bottom"/>
          </w:tcPr>
          <w:p w14:paraId="46923DBA" w14:textId="2EBD9174" w:rsidR="0092086F" w:rsidRPr="00F01EC8" w:rsidRDefault="00B2187F" w:rsidP="0092086F">
            <w:pPr>
              <w:jc w:val="right"/>
              <w:rPr>
                <w:rFonts w:asciiTheme="minorHAnsi" w:hAnsiTheme="minorHAnsi" w:cs="Arial"/>
                <w:sz w:val="20"/>
                <w:szCs w:val="20"/>
                <w:highlight w:val="yellow"/>
              </w:rPr>
            </w:pPr>
            <w:r w:rsidRPr="00F01EC8">
              <w:rPr>
                <w:rFonts w:asciiTheme="minorHAnsi" w:hAnsiTheme="minorHAnsi" w:cs="Arial"/>
                <w:sz w:val="20"/>
                <w:szCs w:val="20"/>
                <w:lang w:val="fr-FR"/>
              </w:rPr>
              <w:t>-</w:t>
            </w:r>
          </w:p>
        </w:tc>
        <w:tc>
          <w:tcPr>
            <w:tcW w:w="1172" w:type="dxa"/>
            <w:tcBorders>
              <w:top w:val="single" w:sz="12" w:space="0" w:color="auto"/>
              <w:left w:val="nil"/>
              <w:bottom w:val="single" w:sz="12" w:space="0" w:color="auto"/>
              <w:right w:val="nil"/>
            </w:tcBorders>
            <w:vAlign w:val="bottom"/>
          </w:tcPr>
          <w:p w14:paraId="7356E135" w14:textId="2BE6C4DC" w:rsidR="0092086F" w:rsidRPr="00F01EC8" w:rsidRDefault="0092086F" w:rsidP="0092086F">
            <w:pPr>
              <w:jc w:val="right"/>
              <w:rPr>
                <w:rFonts w:asciiTheme="minorHAnsi" w:hAnsiTheme="minorHAnsi" w:cs="Arial"/>
                <w:sz w:val="20"/>
                <w:szCs w:val="20"/>
              </w:rPr>
            </w:pPr>
            <w:r w:rsidRPr="00F01EC8">
              <w:rPr>
                <w:rFonts w:asciiTheme="minorHAnsi" w:hAnsiTheme="minorHAnsi" w:cs="Arial"/>
                <w:sz w:val="20"/>
                <w:szCs w:val="20"/>
              </w:rPr>
              <w:t>10.0 </w:t>
            </w:r>
          </w:p>
        </w:tc>
      </w:tr>
    </w:tbl>
    <w:p w14:paraId="1F243838" w14:textId="77777777" w:rsidR="00DA6694" w:rsidRPr="00F01EC8" w:rsidRDefault="00DA6694" w:rsidP="00DA6694">
      <w:pPr>
        <w:rPr>
          <w:rFonts w:asciiTheme="minorHAnsi" w:hAnsiTheme="minorHAnsi" w:cs="Arial"/>
          <w:bCs/>
          <w:sz w:val="20"/>
          <w:szCs w:val="20"/>
          <w:lang w:val="en-US"/>
        </w:rPr>
      </w:pPr>
    </w:p>
    <w:p w14:paraId="4B8D6C26" w14:textId="53B54C55" w:rsidR="00DA6694" w:rsidRPr="00F01EC8" w:rsidRDefault="00DA6694" w:rsidP="00DA6694">
      <w:pPr>
        <w:rPr>
          <w:rFonts w:asciiTheme="minorHAnsi" w:hAnsiTheme="minorHAnsi" w:cs="Arial"/>
          <w:bCs/>
          <w:sz w:val="20"/>
          <w:szCs w:val="20"/>
          <w:lang w:val="en-US"/>
        </w:rPr>
      </w:pPr>
      <w:r w:rsidRPr="00F01EC8">
        <w:rPr>
          <w:rFonts w:asciiTheme="minorHAnsi" w:hAnsiTheme="minorHAnsi" w:cs="Arial"/>
          <w:bCs/>
          <w:sz w:val="20"/>
          <w:szCs w:val="20"/>
          <w:lang w:val="en-US"/>
        </w:rPr>
        <w:t>* Dividends paid in the period were £</w:t>
      </w:r>
      <w:r w:rsidR="00D421B5" w:rsidRPr="00F01EC8">
        <w:rPr>
          <w:rFonts w:asciiTheme="minorHAnsi" w:hAnsiTheme="minorHAnsi" w:cs="Arial"/>
          <w:bCs/>
          <w:sz w:val="20"/>
          <w:szCs w:val="20"/>
          <w:lang w:val="en-US"/>
        </w:rPr>
        <w:t>nil</w:t>
      </w:r>
      <w:r w:rsidRPr="00F01EC8">
        <w:rPr>
          <w:rFonts w:asciiTheme="minorHAnsi" w:hAnsiTheme="minorHAnsi" w:cs="Arial"/>
          <w:bCs/>
          <w:sz w:val="20"/>
          <w:szCs w:val="20"/>
          <w:lang w:val="en-US"/>
        </w:rPr>
        <w:t xml:space="preserve"> (201</w:t>
      </w:r>
      <w:r w:rsidR="00BD6E10" w:rsidRPr="00F01EC8">
        <w:rPr>
          <w:rFonts w:asciiTheme="minorHAnsi" w:hAnsiTheme="minorHAnsi" w:cs="Arial"/>
          <w:bCs/>
          <w:sz w:val="20"/>
          <w:szCs w:val="20"/>
          <w:lang w:val="en-US"/>
        </w:rPr>
        <w:t>9</w:t>
      </w:r>
      <w:r w:rsidRPr="00F01EC8">
        <w:rPr>
          <w:rFonts w:asciiTheme="minorHAnsi" w:hAnsiTheme="minorHAnsi" w:cs="Arial"/>
          <w:bCs/>
          <w:sz w:val="20"/>
          <w:szCs w:val="20"/>
          <w:lang w:val="en-US"/>
        </w:rPr>
        <w:t>: £</w:t>
      </w:r>
      <w:r w:rsidR="00BD6E10" w:rsidRPr="00F01EC8">
        <w:rPr>
          <w:rFonts w:asciiTheme="minorHAnsi" w:hAnsiTheme="minorHAnsi" w:cs="Arial"/>
          <w:bCs/>
          <w:sz w:val="20"/>
          <w:szCs w:val="20"/>
          <w:lang w:val="en-US"/>
        </w:rPr>
        <w:t>25.1m</w:t>
      </w:r>
      <w:r w:rsidRPr="00F01EC8">
        <w:rPr>
          <w:rFonts w:asciiTheme="minorHAnsi" w:hAnsiTheme="minorHAnsi" w:cs="Arial"/>
          <w:bCs/>
          <w:sz w:val="20"/>
          <w:szCs w:val="20"/>
          <w:lang w:val="en-US"/>
        </w:rPr>
        <w:t>).</w:t>
      </w:r>
    </w:p>
    <w:p w14:paraId="2FC720C4" w14:textId="77777777" w:rsidR="00DA6694" w:rsidRPr="00F01EC8" w:rsidRDefault="00DA6694" w:rsidP="00DA6694">
      <w:pPr>
        <w:rPr>
          <w:rFonts w:asciiTheme="minorHAnsi" w:hAnsiTheme="minorHAnsi" w:cs="Arial"/>
          <w:sz w:val="20"/>
          <w:szCs w:val="20"/>
        </w:rPr>
      </w:pPr>
    </w:p>
    <w:p w14:paraId="0540DE24" w14:textId="77777777" w:rsidR="00DA6694" w:rsidRPr="00F01EC8" w:rsidRDefault="00DA6694" w:rsidP="00DA6694">
      <w:pPr>
        <w:rPr>
          <w:rFonts w:asciiTheme="minorHAnsi" w:hAnsiTheme="minorHAnsi" w:cs="Arial"/>
          <w:sz w:val="20"/>
          <w:szCs w:val="20"/>
        </w:rPr>
      </w:pPr>
    </w:p>
    <w:p w14:paraId="46E53613" w14:textId="6D3E497E" w:rsidR="00DA6694" w:rsidRPr="00F01EC8" w:rsidRDefault="00DA6694" w:rsidP="00DA6694">
      <w:pPr>
        <w:rPr>
          <w:rFonts w:asciiTheme="minorHAnsi" w:hAnsiTheme="minorHAnsi" w:cs="Arial"/>
          <w:b/>
          <w:sz w:val="20"/>
          <w:szCs w:val="20"/>
        </w:rPr>
      </w:pPr>
      <w:r w:rsidRPr="00F01EC8">
        <w:rPr>
          <w:rFonts w:asciiTheme="minorHAnsi" w:hAnsiTheme="minorHAnsi" w:cs="Arial"/>
          <w:b/>
          <w:sz w:val="20"/>
          <w:szCs w:val="20"/>
        </w:rPr>
        <w:t xml:space="preserve">Consolidated balance sheet </w:t>
      </w:r>
    </w:p>
    <w:p w14:paraId="62585E9A" w14:textId="77777777" w:rsidR="00DA6694" w:rsidRPr="00F01EC8" w:rsidRDefault="00DA6694" w:rsidP="00DA6694">
      <w:pPr>
        <w:rPr>
          <w:rFonts w:asciiTheme="minorHAnsi" w:hAnsiTheme="minorHAnsi" w:cs="Arial"/>
          <w:b/>
          <w:sz w:val="20"/>
          <w:szCs w:val="20"/>
        </w:rPr>
      </w:pPr>
    </w:p>
    <w:tbl>
      <w:tblPr>
        <w:tblW w:w="9913" w:type="dxa"/>
        <w:tblLook w:val="0000" w:firstRow="0" w:lastRow="0" w:firstColumn="0" w:lastColumn="0" w:noHBand="0" w:noVBand="0"/>
      </w:tblPr>
      <w:tblGrid>
        <w:gridCol w:w="4489"/>
        <w:gridCol w:w="1191"/>
        <w:gridCol w:w="1522"/>
        <w:gridCol w:w="1386"/>
        <w:gridCol w:w="1325"/>
      </w:tblGrid>
      <w:tr w:rsidR="00FB2FF4" w:rsidRPr="00F01EC8" w14:paraId="5B5AC7C7" w14:textId="77777777" w:rsidTr="00FB2FF4">
        <w:trPr>
          <w:trHeight w:val="142"/>
        </w:trPr>
        <w:tc>
          <w:tcPr>
            <w:tcW w:w="4489" w:type="dxa"/>
          </w:tcPr>
          <w:p w14:paraId="733222C4" w14:textId="77777777" w:rsidR="00DA6694" w:rsidRPr="00F01EC8" w:rsidRDefault="00DA6694" w:rsidP="00AC0A5D">
            <w:pPr>
              <w:rPr>
                <w:rFonts w:asciiTheme="minorHAnsi" w:hAnsiTheme="minorHAnsi" w:cs="Arial"/>
                <w:sz w:val="20"/>
                <w:szCs w:val="20"/>
              </w:rPr>
            </w:pPr>
          </w:p>
        </w:tc>
        <w:tc>
          <w:tcPr>
            <w:tcW w:w="1191" w:type="dxa"/>
          </w:tcPr>
          <w:p w14:paraId="656CBDD3" w14:textId="77777777" w:rsidR="00DA6694" w:rsidRPr="00F01EC8" w:rsidRDefault="00DA6694" w:rsidP="00AC0A5D">
            <w:pPr>
              <w:jc w:val="right"/>
              <w:rPr>
                <w:rFonts w:asciiTheme="minorHAnsi" w:hAnsiTheme="minorHAnsi" w:cs="Arial"/>
                <w:sz w:val="20"/>
                <w:szCs w:val="20"/>
              </w:rPr>
            </w:pPr>
          </w:p>
        </w:tc>
        <w:tc>
          <w:tcPr>
            <w:tcW w:w="1522" w:type="dxa"/>
          </w:tcPr>
          <w:p w14:paraId="17BB34FA"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30 June </w:t>
            </w:r>
          </w:p>
        </w:tc>
        <w:tc>
          <w:tcPr>
            <w:tcW w:w="1386" w:type="dxa"/>
          </w:tcPr>
          <w:p w14:paraId="03EC0ED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lang w:val="fr-FR"/>
              </w:rPr>
              <w:t xml:space="preserve">31 </w:t>
            </w:r>
            <w:r w:rsidRPr="00F01EC8">
              <w:rPr>
                <w:rFonts w:asciiTheme="minorHAnsi" w:hAnsiTheme="minorHAnsi" w:cs="Arial"/>
                <w:sz w:val="20"/>
                <w:szCs w:val="20"/>
              </w:rPr>
              <w:t>December</w:t>
            </w:r>
            <w:r w:rsidRPr="00F01EC8">
              <w:rPr>
                <w:rFonts w:asciiTheme="minorHAnsi" w:hAnsiTheme="minorHAnsi" w:cs="Arial"/>
                <w:sz w:val="20"/>
                <w:szCs w:val="20"/>
                <w:lang w:val="fr-FR"/>
              </w:rPr>
              <w:t> </w:t>
            </w:r>
          </w:p>
        </w:tc>
        <w:tc>
          <w:tcPr>
            <w:tcW w:w="1325" w:type="dxa"/>
          </w:tcPr>
          <w:p w14:paraId="12016A61"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30 June </w:t>
            </w:r>
          </w:p>
        </w:tc>
      </w:tr>
      <w:tr w:rsidR="00FB2FF4" w:rsidRPr="00F01EC8" w14:paraId="68862ACE" w14:textId="77777777" w:rsidTr="00FB2FF4">
        <w:trPr>
          <w:trHeight w:val="142"/>
        </w:trPr>
        <w:tc>
          <w:tcPr>
            <w:tcW w:w="4489" w:type="dxa"/>
          </w:tcPr>
          <w:p w14:paraId="44AF1481" w14:textId="77777777" w:rsidR="00DA6694" w:rsidRPr="00F01EC8" w:rsidRDefault="00DA6694" w:rsidP="00AC0A5D">
            <w:pPr>
              <w:rPr>
                <w:rFonts w:asciiTheme="minorHAnsi" w:hAnsiTheme="minorHAnsi" w:cs="Arial"/>
                <w:sz w:val="20"/>
                <w:szCs w:val="20"/>
              </w:rPr>
            </w:pPr>
          </w:p>
        </w:tc>
        <w:tc>
          <w:tcPr>
            <w:tcW w:w="1191" w:type="dxa"/>
          </w:tcPr>
          <w:p w14:paraId="0BB2725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Note</w:t>
            </w:r>
          </w:p>
        </w:tc>
        <w:tc>
          <w:tcPr>
            <w:tcW w:w="1522" w:type="dxa"/>
          </w:tcPr>
          <w:p w14:paraId="57D8D5B5" w14:textId="349EBF4F"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20</w:t>
            </w:r>
            <w:r w:rsidR="008B0E9A" w:rsidRPr="00F01EC8">
              <w:rPr>
                <w:rFonts w:asciiTheme="minorHAnsi" w:hAnsiTheme="minorHAnsi" w:cs="Arial"/>
                <w:sz w:val="20"/>
                <w:szCs w:val="20"/>
                <w:lang w:val="fr-FR"/>
              </w:rPr>
              <w:t>20</w:t>
            </w:r>
            <w:r w:rsidRPr="00F01EC8">
              <w:rPr>
                <w:rFonts w:asciiTheme="minorHAnsi" w:hAnsiTheme="minorHAnsi" w:cs="Arial"/>
                <w:sz w:val="20"/>
                <w:szCs w:val="20"/>
                <w:lang w:val="fr-FR"/>
              </w:rPr>
              <w:t> </w:t>
            </w:r>
          </w:p>
        </w:tc>
        <w:tc>
          <w:tcPr>
            <w:tcW w:w="1386" w:type="dxa"/>
          </w:tcPr>
          <w:p w14:paraId="348B6EC0" w14:textId="316FEC50"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201</w:t>
            </w:r>
            <w:r w:rsidR="008B0E9A" w:rsidRPr="00F01EC8">
              <w:rPr>
                <w:rFonts w:asciiTheme="minorHAnsi" w:hAnsiTheme="minorHAnsi" w:cs="Arial"/>
                <w:sz w:val="20"/>
                <w:szCs w:val="20"/>
                <w:lang w:val="fr-FR"/>
              </w:rPr>
              <w:t>9</w:t>
            </w:r>
            <w:r w:rsidRPr="00F01EC8">
              <w:rPr>
                <w:rFonts w:asciiTheme="minorHAnsi" w:hAnsiTheme="minorHAnsi" w:cs="Arial"/>
                <w:sz w:val="20"/>
                <w:szCs w:val="20"/>
                <w:lang w:val="fr-FR"/>
              </w:rPr>
              <w:t> </w:t>
            </w:r>
          </w:p>
        </w:tc>
        <w:tc>
          <w:tcPr>
            <w:tcW w:w="1325" w:type="dxa"/>
          </w:tcPr>
          <w:p w14:paraId="6424881A" w14:textId="26FB1B41"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201</w:t>
            </w:r>
            <w:r w:rsidR="008B0E9A" w:rsidRPr="00F01EC8">
              <w:rPr>
                <w:rFonts w:asciiTheme="minorHAnsi" w:hAnsiTheme="minorHAnsi" w:cs="Arial"/>
                <w:sz w:val="20"/>
                <w:szCs w:val="20"/>
                <w:lang w:val="fr-FR"/>
              </w:rPr>
              <w:t>9</w:t>
            </w:r>
            <w:r w:rsidR="0064757C" w:rsidRPr="00F01EC8">
              <w:rPr>
                <w:rFonts w:asciiTheme="minorHAnsi" w:hAnsiTheme="minorHAnsi" w:cs="Arial"/>
                <w:sz w:val="20"/>
                <w:szCs w:val="20"/>
                <w:lang w:val="fr-FR"/>
              </w:rPr>
              <w:t xml:space="preserve"> (</w:t>
            </w:r>
            <w:proofErr w:type="spellStart"/>
            <w:r w:rsidR="0064757C" w:rsidRPr="00F01EC8">
              <w:rPr>
                <w:rFonts w:asciiTheme="minorHAnsi" w:hAnsiTheme="minorHAnsi" w:cs="Arial"/>
                <w:sz w:val="20"/>
                <w:szCs w:val="20"/>
                <w:lang w:val="fr-FR"/>
              </w:rPr>
              <w:t>restated</w:t>
            </w:r>
            <w:proofErr w:type="spellEnd"/>
            <w:r w:rsidR="0064757C" w:rsidRPr="00F01EC8">
              <w:rPr>
                <w:rFonts w:asciiTheme="minorHAnsi" w:hAnsiTheme="minorHAnsi" w:cs="Arial"/>
                <w:sz w:val="20"/>
                <w:szCs w:val="20"/>
                <w:lang w:val="fr-FR"/>
              </w:rPr>
              <w:t>)</w:t>
            </w:r>
          </w:p>
        </w:tc>
      </w:tr>
      <w:tr w:rsidR="00FB2FF4" w:rsidRPr="00F01EC8" w14:paraId="7CDADF85" w14:textId="77777777" w:rsidTr="00FB2FF4">
        <w:trPr>
          <w:trHeight w:val="142"/>
        </w:trPr>
        <w:tc>
          <w:tcPr>
            <w:tcW w:w="4489" w:type="dxa"/>
          </w:tcPr>
          <w:p w14:paraId="7E25071C" w14:textId="77777777" w:rsidR="00DA6694" w:rsidRPr="00F01EC8" w:rsidRDefault="00DA6694" w:rsidP="00AC0A5D">
            <w:pPr>
              <w:rPr>
                <w:rFonts w:asciiTheme="minorHAnsi" w:hAnsiTheme="minorHAnsi" w:cs="Arial"/>
                <w:sz w:val="20"/>
                <w:szCs w:val="20"/>
                <w:lang w:val="fr-FR"/>
              </w:rPr>
            </w:pPr>
          </w:p>
        </w:tc>
        <w:tc>
          <w:tcPr>
            <w:tcW w:w="1191" w:type="dxa"/>
          </w:tcPr>
          <w:p w14:paraId="6D8EBB0D" w14:textId="77777777" w:rsidR="00DA6694" w:rsidRPr="00F01EC8" w:rsidRDefault="00DA6694" w:rsidP="00AC0A5D">
            <w:pPr>
              <w:jc w:val="right"/>
              <w:rPr>
                <w:rFonts w:asciiTheme="minorHAnsi" w:hAnsiTheme="minorHAnsi" w:cs="Arial"/>
                <w:sz w:val="20"/>
                <w:szCs w:val="20"/>
                <w:lang w:val="fr-FR"/>
              </w:rPr>
            </w:pPr>
          </w:p>
        </w:tc>
        <w:tc>
          <w:tcPr>
            <w:tcW w:w="1522" w:type="dxa"/>
            <w:tcBorders>
              <w:top w:val="nil"/>
              <w:left w:val="nil"/>
              <w:bottom w:val="single" w:sz="4" w:space="0" w:color="auto"/>
              <w:right w:val="nil"/>
            </w:tcBorders>
          </w:tcPr>
          <w:p w14:paraId="17AAC18F"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1386" w:type="dxa"/>
            <w:tcBorders>
              <w:top w:val="nil"/>
              <w:left w:val="nil"/>
              <w:bottom w:val="single" w:sz="4" w:space="0" w:color="auto"/>
              <w:right w:val="nil"/>
            </w:tcBorders>
          </w:tcPr>
          <w:p w14:paraId="0CD04AB7"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1325" w:type="dxa"/>
            <w:tcBorders>
              <w:top w:val="nil"/>
              <w:left w:val="nil"/>
              <w:bottom w:val="single" w:sz="4" w:space="0" w:color="auto"/>
              <w:right w:val="nil"/>
            </w:tcBorders>
          </w:tcPr>
          <w:p w14:paraId="2DCF1810"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r>
      <w:tr w:rsidR="00FB2FF4" w:rsidRPr="00F01EC8" w14:paraId="37628606" w14:textId="77777777" w:rsidTr="00FB2FF4">
        <w:trPr>
          <w:trHeight w:val="142"/>
        </w:trPr>
        <w:tc>
          <w:tcPr>
            <w:tcW w:w="4489" w:type="dxa"/>
            <w:vAlign w:val="bottom"/>
          </w:tcPr>
          <w:p w14:paraId="73BDFCFB" w14:textId="77777777" w:rsidR="00DA6694" w:rsidRPr="00F01EC8" w:rsidRDefault="00DA6694" w:rsidP="00AC0A5D">
            <w:pPr>
              <w:rPr>
                <w:rFonts w:asciiTheme="minorHAnsi" w:hAnsiTheme="minorHAnsi" w:cs="Arial"/>
                <w:b/>
                <w:sz w:val="20"/>
                <w:szCs w:val="20"/>
                <w:lang w:val="fr-FR"/>
              </w:rPr>
            </w:pPr>
            <w:r w:rsidRPr="00F01EC8">
              <w:rPr>
                <w:rFonts w:asciiTheme="minorHAnsi" w:hAnsiTheme="minorHAnsi" w:cs="Arial"/>
                <w:b/>
                <w:sz w:val="20"/>
                <w:szCs w:val="20"/>
              </w:rPr>
              <w:t>ASSETS</w:t>
            </w:r>
          </w:p>
        </w:tc>
        <w:tc>
          <w:tcPr>
            <w:tcW w:w="1191" w:type="dxa"/>
          </w:tcPr>
          <w:p w14:paraId="5A9F1933" w14:textId="77777777" w:rsidR="00DA6694" w:rsidRPr="00F01EC8" w:rsidRDefault="00DA6694" w:rsidP="00AC0A5D">
            <w:pPr>
              <w:jc w:val="right"/>
              <w:rPr>
                <w:rFonts w:asciiTheme="minorHAnsi" w:hAnsiTheme="minorHAnsi" w:cs="Arial"/>
                <w:sz w:val="20"/>
                <w:szCs w:val="20"/>
                <w:lang w:val="fr-FR"/>
              </w:rPr>
            </w:pPr>
          </w:p>
        </w:tc>
        <w:tc>
          <w:tcPr>
            <w:tcW w:w="1522" w:type="dxa"/>
            <w:tcBorders>
              <w:top w:val="single" w:sz="4" w:space="0" w:color="auto"/>
              <w:left w:val="nil"/>
              <w:bottom w:val="nil"/>
              <w:right w:val="nil"/>
            </w:tcBorders>
          </w:tcPr>
          <w:p w14:paraId="2496A8A6" w14:textId="77777777" w:rsidR="00DA6694" w:rsidRPr="00F01EC8" w:rsidRDefault="00DA6694" w:rsidP="00AC0A5D">
            <w:pPr>
              <w:jc w:val="right"/>
              <w:rPr>
                <w:rFonts w:asciiTheme="minorHAnsi" w:hAnsiTheme="minorHAnsi" w:cs="Arial"/>
                <w:sz w:val="20"/>
                <w:szCs w:val="20"/>
                <w:lang w:val="fr-FR"/>
              </w:rPr>
            </w:pPr>
          </w:p>
        </w:tc>
        <w:tc>
          <w:tcPr>
            <w:tcW w:w="1386" w:type="dxa"/>
            <w:tcBorders>
              <w:top w:val="single" w:sz="4" w:space="0" w:color="auto"/>
              <w:left w:val="nil"/>
              <w:bottom w:val="nil"/>
              <w:right w:val="nil"/>
            </w:tcBorders>
          </w:tcPr>
          <w:p w14:paraId="42D0AA18" w14:textId="77777777" w:rsidR="00DA6694" w:rsidRPr="00F01EC8" w:rsidRDefault="00DA6694" w:rsidP="00AC0A5D">
            <w:pPr>
              <w:jc w:val="right"/>
              <w:rPr>
                <w:rFonts w:asciiTheme="minorHAnsi" w:hAnsiTheme="minorHAnsi" w:cs="Arial"/>
                <w:sz w:val="20"/>
                <w:szCs w:val="20"/>
                <w:lang w:val="fr-FR"/>
              </w:rPr>
            </w:pPr>
          </w:p>
        </w:tc>
        <w:tc>
          <w:tcPr>
            <w:tcW w:w="1325" w:type="dxa"/>
            <w:tcBorders>
              <w:top w:val="single" w:sz="4" w:space="0" w:color="auto"/>
              <w:left w:val="nil"/>
              <w:bottom w:val="nil"/>
              <w:right w:val="nil"/>
            </w:tcBorders>
          </w:tcPr>
          <w:p w14:paraId="5A1A20A0" w14:textId="77777777" w:rsidR="00DA6694" w:rsidRPr="00F01EC8" w:rsidRDefault="00DA6694" w:rsidP="00AC0A5D">
            <w:pPr>
              <w:jc w:val="right"/>
              <w:rPr>
                <w:rFonts w:asciiTheme="minorHAnsi" w:hAnsiTheme="minorHAnsi" w:cs="Arial"/>
                <w:sz w:val="20"/>
                <w:szCs w:val="20"/>
                <w:lang w:val="fr-FR"/>
              </w:rPr>
            </w:pPr>
          </w:p>
        </w:tc>
      </w:tr>
      <w:tr w:rsidR="00FB2FF4" w:rsidRPr="00F01EC8" w14:paraId="0484F098" w14:textId="77777777" w:rsidTr="00FB2FF4">
        <w:trPr>
          <w:trHeight w:val="142"/>
        </w:trPr>
        <w:tc>
          <w:tcPr>
            <w:tcW w:w="4489" w:type="dxa"/>
            <w:vAlign w:val="bottom"/>
          </w:tcPr>
          <w:p w14:paraId="59BC5D3C" w14:textId="2050906B" w:rsidR="00DA6694" w:rsidRPr="00F01EC8" w:rsidRDefault="00DA6694" w:rsidP="00AC0A5D">
            <w:pPr>
              <w:rPr>
                <w:rFonts w:asciiTheme="minorHAnsi" w:hAnsiTheme="minorHAnsi" w:cs="Arial"/>
                <w:b/>
                <w:sz w:val="20"/>
                <w:szCs w:val="20"/>
                <w:lang w:val="fr-FR"/>
              </w:rPr>
            </w:pPr>
            <w:r w:rsidRPr="00F01EC8">
              <w:rPr>
                <w:rFonts w:asciiTheme="minorHAnsi" w:hAnsiTheme="minorHAnsi" w:cs="Arial"/>
                <w:b/>
                <w:sz w:val="20"/>
                <w:szCs w:val="20"/>
                <w:lang w:val="fr-FR"/>
              </w:rPr>
              <w:t>Non-</w:t>
            </w:r>
            <w:r w:rsidR="00082465" w:rsidRPr="00F01EC8">
              <w:rPr>
                <w:rFonts w:asciiTheme="minorHAnsi" w:hAnsiTheme="minorHAnsi" w:cs="Arial"/>
                <w:b/>
                <w:sz w:val="20"/>
                <w:szCs w:val="20"/>
                <w:lang w:val="fr-FR"/>
              </w:rPr>
              <w:t>current</w:t>
            </w:r>
            <w:r w:rsidRPr="00F01EC8">
              <w:rPr>
                <w:rFonts w:asciiTheme="minorHAnsi" w:hAnsiTheme="minorHAnsi" w:cs="Arial"/>
                <w:b/>
                <w:sz w:val="20"/>
                <w:szCs w:val="20"/>
                <w:lang w:val="fr-FR"/>
              </w:rPr>
              <w:t xml:space="preserve"> </w:t>
            </w:r>
            <w:r w:rsidRPr="00F01EC8">
              <w:rPr>
                <w:rFonts w:asciiTheme="minorHAnsi" w:hAnsiTheme="minorHAnsi" w:cs="Arial"/>
                <w:b/>
                <w:sz w:val="20"/>
                <w:szCs w:val="20"/>
              </w:rPr>
              <w:t>assets</w:t>
            </w:r>
            <w:r w:rsidRPr="00F01EC8">
              <w:rPr>
                <w:rFonts w:asciiTheme="minorHAnsi" w:hAnsiTheme="minorHAnsi" w:cs="Arial"/>
                <w:b/>
                <w:sz w:val="20"/>
                <w:szCs w:val="20"/>
                <w:lang w:val="fr-FR"/>
              </w:rPr>
              <w:t xml:space="preserve"> </w:t>
            </w:r>
          </w:p>
        </w:tc>
        <w:tc>
          <w:tcPr>
            <w:tcW w:w="1191" w:type="dxa"/>
            <w:vAlign w:val="bottom"/>
          </w:tcPr>
          <w:p w14:paraId="2A51A475" w14:textId="77777777" w:rsidR="00DA6694" w:rsidRPr="00F01EC8" w:rsidRDefault="00DA6694" w:rsidP="00AC0A5D">
            <w:pPr>
              <w:jc w:val="right"/>
              <w:rPr>
                <w:rFonts w:asciiTheme="minorHAnsi" w:hAnsiTheme="minorHAnsi" w:cs="Arial"/>
                <w:sz w:val="20"/>
                <w:szCs w:val="20"/>
                <w:lang w:val="fr-FR"/>
              </w:rPr>
            </w:pPr>
          </w:p>
        </w:tc>
        <w:tc>
          <w:tcPr>
            <w:tcW w:w="1522" w:type="dxa"/>
            <w:vAlign w:val="bottom"/>
          </w:tcPr>
          <w:p w14:paraId="191EF84B" w14:textId="77777777" w:rsidR="00DA6694" w:rsidRPr="00F01EC8" w:rsidRDefault="00DA6694" w:rsidP="00AC0A5D">
            <w:pPr>
              <w:jc w:val="right"/>
              <w:rPr>
                <w:rFonts w:asciiTheme="minorHAnsi" w:hAnsiTheme="minorHAnsi" w:cs="Arial"/>
                <w:sz w:val="20"/>
                <w:szCs w:val="20"/>
                <w:lang w:val="fr-FR"/>
              </w:rPr>
            </w:pPr>
          </w:p>
        </w:tc>
        <w:tc>
          <w:tcPr>
            <w:tcW w:w="1386" w:type="dxa"/>
            <w:vAlign w:val="bottom"/>
          </w:tcPr>
          <w:p w14:paraId="54281C47" w14:textId="77777777" w:rsidR="00DA6694" w:rsidRPr="00F01EC8" w:rsidRDefault="00DA6694" w:rsidP="00AC0A5D">
            <w:pPr>
              <w:jc w:val="right"/>
              <w:rPr>
                <w:rFonts w:asciiTheme="minorHAnsi" w:hAnsiTheme="minorHAnsi" w:cs="Arial"/>
                <w:sz w:val="20"/>
                <w:szCs w:val="20"/>
                <w:lang w:val="fr-FR"/>
              </w:rPr>
            </w:pPr>
          </w:p>
        </w:tc>
        <w:tc>
          <w:tcPr>
            <w:tcW w:w="1325" w:type="dxa"/>
            <w:vAlign w:val="bottom"/>
          </w:tcPr>
          <w:p w14:paraId="21D1B121" w14:textId="77777777" w:rsidR="00DA6694" w:rsidRPr="00F01EC8" w:rsidRDefault="00DA6694" w:rsidP="00AC0A5D">
            <w:pPr>
              <w:jc w:val="right"/>
              <w:rPr>
                <w:rFonts w:asciiTheme="minorHAnsi" w:hAnsiTheme="minorHAnsi" w:cs="Arial"/>
                <w:sz w:val="20"/>
                <w:szCs w:val="20"/>
                <w:lang w:val="fr-FR"/>
              </w:rPr>
            </w:pPr>
          </w:p>
        </w:tc>
      </w:tr>
      <w:tr w:rsidR="00FB2FF4" w:rsidRPr="00F01EC8" w14:paraId="56E20BE5" w14:textId="77777777" w:rsidTr="00FB2FF4">
        <w:trPr>
          <w:trHeight w:val="142"/>
        </w:trPr>
        <w:tc>
          <w:tcPr>
            <w:tcW w:w="4489" w:type="dxa"/>
            <w:vAlign w:val="bottom"/>
          </w:tcPr>
          <w:p w14:paraId="7B0EB422"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Goodwill</w:t>
            </w:r>
          </w:p>
        </w:tc>
        <w:tc>
          <w:tcPr>
            <w:tcW w:w="1191" w:type="dxa"/>
            <w:vAlign w:val="bottom"/>
          </w:tcPr>
          <w:p w14:paraId="7E21700A"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63D41ADA" w14:textId="09966734" w:rsidR="005E45C2" w:rsidRPr="00F01EC8" w:rsidRDefault="00A241E0" w:rsidP="005E45C2">
            <w:pPr>
              <w:jc w:val="right"/>
              <w:rPr>
                <w:rFonts w:asciiTheme="minorHAnsi" w:hAnsiTheme="minorHAnsi" w:cs="Arial"/>
                <w:sz w:val="20"/>
                <w:szCs w:val="20"/>
              </w:rPr>
            </w:pPr>
            <w:r w:rsidRPr="00F01EC8">
              <w:rPr>
                <w:rFonts w:asciiTheme="minorHAnsi" w:hAnsiTheme="minorHAnsi" w:cs="Arial"/>
                <w:sz w:val="20"/>
                <w:szCs w:val="20"/>
              </w:rPr>
              <w:t>71.2</w:t>
            </w:r>
          </w:p>
        </w:tc>
        <w:tc>
          <w:tcPr>
            <w:tcW w:w="1386" w:type="dxa"/>
            <w:vAlign w:val="bottom"/>
          </w:tcPr>
          <w:p w14:paraId="5B171AB3"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71.2 </w:t>
            </w:r>
          </w:p>
        </w:tc>
        <w:tc>
          <w:tcPr>
            <w:tcW w:w="1325" w:type="dxa"/>
            <w:vAlign w:val="bottom"/>
          </w:tcPr>
          <w:p w14:paraId="20682862" w14:textId="7A1B1CB2"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71.2 </w:t>
            </w:r>
          </w:p>
        </w:tc>
      </w:tr>
      <w:tr w:rsidR="00FB2FF4" w:rsidRPr="00F01EC8" w14:paraId="5DC800D9" w14:textId="77777777" w:rsidTr="00FB2FF4">
        <w:trPr>
          <w:trHeight w:val="142"/>
        </w:trPr>
        <w:tc>
          <w:tcPr>
            <w:tcW w:w="4489" w:type="dxa"/>
            <w:vAlign w:val="bottom"/>
          </w:tcPr>
          <w:p w14:paraId="38EF374B"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Other intangible assets</w:t>
            </w:r>
          </w:p>
        </w:tc>
        <w:tc>
          <w:tcPr>
            <w:tcW w:w="1191" w:type="dxa"/>
            <w:vAlign w:val="bottom"/>
          </w:tcPr>
          <w:p w14:paraId="4C290FB0"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5E4BABCD" w14:textId="6BECBF74" w:rsidR="005E45C2" w:rsidRPr="00F01EC8" w:rsidRDefault="00A241E0" w:rsidP="005E45C2">
            <w:pPr>
              <w:jc w:val="right"/>
              <w:rPr>
                <w:rFonts w:asciiTheme="minorHAnsi" w:hAnsiTheme="minorHAnsi" w:cs="Arial"/>
                <w:sz w:val="20"/>
                <w:szCs w:val="20"/>
              </w:rPr>
            </w:pPr>
            <w:r w:rsidRPr="00F01EC8">
              <w:rPr>
                <w:rFonts w:asciiTheme="minorHAnsi" w:hAnsiTheme="minorHAnsi" w:cs="Arial"/>
                <w:sz w:val="20"/>
                <w:szCs w:val="20"/>
              </w:rPr>
              <w:t>4</w:t>
            </w:r>
            <w:r w:rsidR="00A31159" w:rsidRPr="00F01EC8">
              <w:rPr>
                <w:rFonts w:asciiTheme="minorHAnsi" w:hAnsiTheme="minorHAnsi" w:cs="Arial"/>
                <w:sz w:val="20"/>
                <w:szCs w:val="20"/>
              </w:rPr>
              <w:t>0.7</w:t>
            </w:r>
          </w:p>
        </w:tc>
        <w:tc>
          <w:tcPr>
            <w:tcW w:w="1386" w:type="dxa"/>
            <w:vAlign w:val="bottom"/>
          </w:tcPr>
          <w:p w14:paraId="180AC1A6" w14:textId="2900B05F"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44.1 </w:t>
            </w:r>
          </w:p>
        </w:tc>
        <w:tc>
          <w:tcPr>
            <w:tcW w:w="1325" w:type="dxa"/>
            <w:vAlign w:val="bottom"/>
          </w:tcPr>
          <w:p w14:paraId="6FB3BF8A" w14:textId="1F8DF701"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51.1 </w:t>
            </w:r>
          </w:p>
        </w:tc>
      </w:tr>
      <w:tr w:rsidR="00FB2FF4" w:rsidRPr="00F01EC8" w14:paraId="6EB1BA91" w14:textId="77777777" w:rsidTr="00FB2FF4">
        <w:trPr>
          <w:trHeight w:val="142"/>
        </w:trPr>
        <w:tc>
          <w:tcPr>
            <w:tcW w:w="4489" w:type="dxa"/>
            <w:vAlign w:val="bottom"/>
          </w:tcPr>
          <w:p w14:paraId="5CD57E70"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Property, plant and equipment</w:t>
            </w:r>
          </w:p>
        </w:tc>
        <w:tc>
          <w:tcPr>
            <w:tcW w:w="1191" w:type="dxa"/>
            <w:vAlign w:val="bottom"/>
          </w:tcPr>
          <w:p w14:paraId="05608753"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63343F8F" w14:textId="7479C856" w:rsidR="005E45C2" w:rsidRPr="00F01EC8" w:rsidRDefault="00A241E0" w:rsidP="005E45C2">
            <w:pPr>
              <w:jc w:val="right"/>
              <w:rPr>
                <w:rFonts w:asciiTheme="minorHAnsi" w:hAnsiTheme="minorHAnsi" w:cs="Arial"/>
                <w:sz w:val="20"/>
                <w:szCs w:val="20"/>
              </w:rPr>
            </w:pPr>
            <w:r w:rsidRPr="00F01EC8">
              <w:rPr>
                <w:rFonts w:asciiTheme="minorHAnsi" w:hAnsiTheme="minorHAnsi" w:cs="Arial"/>
                <w:sz w:val="20"/>
                <w:szCs w:val="20"/>
              </w:rPr>
              <w:t>1</w:t>
            </w:r>
            <w:r w:rsidR="00A31159" w:rsidRPr="00F01EC8">
              <w:rPr>
                <w:rFonts w:asciiTheme="minorHAnsi" w:hAnsiTheme="minorHAnsi" w:cs="Arial"/>
                <w:sz w:val="20"/>
                <w:szCs w:val="20"/>
              </w:rPr>
              <w:t>9.1</w:t>
            </w:r>
          </w:p>
        </w:tc>
        <w:tc>
          <w:tcPr>
            <w:tcW w:w="1386" w:type="dxa"/>
            <w:vAlign w:val="bottom"/>
          </w:tcPr>
          <w:p w14:paraId="66774AEE" w14:textId="0E292198"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19.3 </w:t>
            </w:r>
          </w:p>
        </w:tc>
        <w:tc>
          <w:tcPr>
            <w:tcW w:w="1325" w:type="dxa"/>
            <w:vAlign w:val="bottom"/>
          </w:tcPr>
          <w:p w14:paraId="09828194" w14:textId="3B0FD208"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22.3 </w:t>
            </w:r>
          </w:p>
        </w:tc>
      </w:tr>
      <w:tr w:rsidR="00FB2FF4" w:rsidRPr="00F01EC8" w14:paraId="1BA1EBF9" w14:textId="77777777" w:rsidTr="00FB2FF4">
        <w:trPr>
          <w:trHeight w:val="142"/>
        </w:trPr>
        <w:tc>
          <w:tcPr>
            <w:tcW w:w="4489" w:type="dxa"/>
            <w:vAlign w:val="bottom"/>
          </w:tcPr>
          <w:p w14:paraId="334F4889"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Right of use assets</w:t>
            </w:r>
          </w:p>
        </w:tc>
        <w:tc>
          <w:tcPr>
            <w:tcW w:w="1191" w:type="dxa"/>
            <w:vAlign w:val="bottom"/>
          </w:tcPr>
          <w:p w14:paraId="039E6CFD" w14:textId="36832667" w:rsidR="005E45C2" w:rsidRPr="00F01EC8" w:rsidRDefault="005E45C2" w:rsidP="005E45C2">
            <w:pPr>
              <w:jc w:val="right"/>
              <w:rPr>
                <w:rFonts w:asciiTheme="minorHAnsi" w:hAnsiTheme="minorHAnsi" w:cs="Arial"/>
                <w:sz w:val="20"/>
                <w:szCs w:val="20"/>
              </w:rPr>
            </w:pPr>
          </w:p>
        </w:tc>
        <w:tc>
          <w:tcPr>
            <w:tcW w:w="1522" w:type="dxa"/>
            <w:vAlign w:val="bottom"/>
          </w:tcPr>
          <w:p w14:paraId="6FC7E8BE" w14:textId="051052E0" w:rsidR="005E45C2" w:rsidRPr="00F01EC8" w:rsidRDefault="00A241E0" w:rsidP="005E45C2">
            <w:pPr>
              <w:jc w:val="right"/>
              <w:rPr>
                <w:rFonts w:asciiTheme="minorHAnsi" w:hAnsiTheme="minorHAnsi" w:cs="Arial"/>
                <w:sz w:val="20"/>
                <w:szCs w:val="20"/>
              </w:rPr>
            </w:pPr>
            <w:r w:rsidRPr="00F01EC8">
              <w:rPr>
                <w:rFonts w:asciiTheme="minorHAnsi" w:hAnsiTheme="minorHAnsi" w:cs="Arial"/>
                <w:sz w:val="20"/>
                <w:szCs w:val="20"/>
                <w:lang w:val="fr-FR"/>
              </w:rPr>
              <w:t>62.4</w:t>
            </w:r>
          </w:p>
        </w:tc>
        <w:tc>
          <w:tcPr>
            <w:tcW w:w="1386" w:type="dxa"/>
            <w:vAlign w:val="bottom"/>
          </w:tcPr>
          <w:p w14:paraId="6338C220" w14:textId="3BAC4C13" w:rsidR="005E45C2" w:rsidRPr="00F01EC8" w:rsidRDefault="005E45C2" w:rsidP="005E45C2">
            <w:pPr>
              <w:jc w:val="center"/>
              <w:rPr>
                <w:rFonts w:asciiTheme="minorHAnsi" w:hAnsiTheme="minorHAnsi" w:cs="Arial"/>
                <w:sz w:val="20"/>
                <w:szCs w:val="20"/>
              </w:rPr>
            </w:pPr>
            <w:r w:rsidRPr="00F01EC8">
              <w:rPr>
                <w:rFonts w:asciiTheme="minorHAnsi" w:hAnsiTheme="minorHAnsi" w:cs="Arial"/>
                <w:sz w:val="20"/>
                <w:szCs w:val="20"/>
              </w:rPr>
              <w:t xml:space="preserve">                 67.1</w:t>
            </w:r>
          </w:p>
        </w:tc>
        <w:tc>
          <w:tcPr>
            <w:tcW w:w="1325" w:type="dxa"/>
            <w:vAlign w:val="bottom"/>
          </w:tcPr>
          <w:p w14:paraId="137C1E45" w14:textId="3CD2D97A"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lang w:val="fr-FR"/>
              </w:rPr>
              <w:t>79.8 </w:t>
            </w:r>
          </w:p>
        </w:tc>
      </w:tr>
      <w:tr w:rsidR="00FB2FF4" w:rsidRPr="00F01EC8" w14:paraId="48A0164A" w14:textId="77777777" w:rsidTr="00FB2FF4">
        <w:trPr>
          <w:trHeight w:val="142"/>
        </w:trPr>
        <w:tc>
          <w:tcPr>
            <w:tcW w:w="4489" w:type="dxa"/>
            <w:vAlign w:val="bottom"/>
          </w:tcPr>
          <w:p w14:paraId="2DE67E0F"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Financial assets:</w:t>
            </w:r>
          </w:p>
        </w:tc>
        <w:tc>
          <w:tcPr>
            <w:tcW w:w="1191" w:type="dxa"/>
            <w:vAlign w:val="bottom"/>
          </w:tcPr>
          <w:p w14:paraId="7E7ECDAD"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61A569F2" w14:textId="77777777" w:rsidR="005E45C2" w:rsidRPr="00F01EC8" w:rsidRDefault="005E45C2" w:rsidP="005E45C2">
            <w:pPr>
              <w:jc w:val="right"/>
              <w:rPr>
                <w:rFonts w:asciiTheme="minorHAnsi" w:hAnsiTheme="minorHAnsi" w:cs="Arial"/>
                <w:sz w:val="20"/>
                <w:szCs w:val="20"/>
                <w:lang w:val="fr-FR"/>
              </w:rPr>
            </w:pPr>
          </w:p>
        </w:tc>
        <w:tc>
          <w:tcPr>
            <w:tcW w:w="1386" w:type="dxa"/>
            <w:vAlign w:val="bottom"/>
          </w:tcPr>
          <w:p w14:paraId="21DE4BBF" w14:textId="77777777" w:rsidR="005E45C2" w:rsidRPr="00F01EC8" w:rsidRDefault="005E45C2" w:rsidP="005E45C2">
            <w:pPr>
              <w:jc w:val="right"/>
              <w:rPr>
                <w:rFonts w:asciiTheme="minorHAnsi" w:hAnsiTheme="minorHAnsi" w:cs="Arial"/>
                <w:sz w:val="20"/>
                <w:szCs w:val="20"/>
                <w:lang w:val="fr-FR"/>
              </w:rPr>
            </w:pPr>
          </w:p>
        </w:tc>
        <w:tc>
          <w:tcPr>
            <w:tcW w:w="1325" w:type="dxa"/>
            <w:vAlign w:val="bottom"/>
          </w:tcPr>
          <w:p w14:paraId="680CA844" w14:textId="77777777" w:rsidR="005E45C2" w:rsidRPr="00F01EC8" w:rsidRDefault="005E45C2" w:rsidP="005E45C2">
            <w:pPr>
              <w:jc w:val="right"/>
              <w:rPr>
                <w:rFonts w:asciiTheme="minorHAnsi" w:hAnsiTheme="minorHAnsi" w:cs="Arial"/>
                <w:sz w:val="20"/>
                <w:szCs w:val="20"/>
                <w:lang w:val="fr-FR"/>
              </w:rPr>
            </w:pPr>
          </w:p>
        </w:tc>
      </w:tr>
      <w:tr w:rsidR="00FB2FF4" w:rsidRPr="00F01EC8" w14:paraId="42CA4F8B" w14:textId="77777777" w:rsidTr="00FB2FF4">
        <w:trPr>
          <w:trHeight w:val="142"/>
        </w:trPr>
        <w:tc>
          <w:tcPr>
            <w:tcW w:w="4489" w:type="dxa"/>
            <w:vAlign w:val="bottom"/>
          </w:tcPr>
          <w:p w14:paraId="4083E9B4"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amounts receivable from customers</w:t>
            </w:r>
          </w:p>
        </w:tc>
        <w:tc>
          <w:tcPr>
            <w:tcW w:w="1191" w:type="dxa"/>
            <w:vAlign w:val="bottom"/>
          </w:tcPr>
          <w:p w14:paraId="1FA9698C"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8</w:t>
            </w:r>
          </w:p>
        </w:tc>
        <w:tc>
          <w:tcPr>
            <w:tcW w:w="1522" w:type="dxa"/>
            <w:vAlign w:val="bottom"/>
          </w:tcPr>
          <w:p w14:paraId="4142DA74" w14:textId="3CCF6938" w:rsidR="005E45C2" w:rsidRPr="00F01EC8" w:rsidRDefault="00A241E0" w:rsidP="005E45C2">
            <w:pPr>
              <w:jc w:val="right"/>
              <w:rPr>
                <w:rFonts w:asciiTheme="minorHAnsi" w:hAnsiTheme="minorHAnsi" w:cs="Arial"/>
                <w:color w:val="000000" w:themeColor="text1"/>
                <w:sz w:val="20"/>
                <w:szCs w:val="20"/>
              </w:rPr>
            </w:pPr>
            <w:r w:rsidRPr="00F01EC8">
              <w:rPr>
                <w:rFonts w:asciiTheme="minorHAnsi" w:hAnsiTheme="minorHAnsi" w:cs="Arial"/>
                <w:color w:val="000000" w:themeColor="text1"/>
                <w:sz w:val="20"/>
                <w:szCs w:val="20"/>
              </w:rPr>
              <w:t>385.</w:t>
            </w:r>
            <w:r w:rsidR="008969BE" w:rsidRPr="00F01EC8">
              <w:rPr>
                <w:rFonts w:asciiTheme="minorHAnsi" w:hAnsiTheme="minorHAnsi" w:cs="Arial"/>
                <w:color w:val="000000" w:themeColor="text1"/>
                <w:sz w:val="20"/>
                <w:szCs w:val="20"/>
              </w:rPr>
              <w:t>1</w:t>
            </w:r>
          </w:p>
        </w:tc>
        <w:tc>
          <w:tcPr>
            <w:tcW w:w="1386" w:type="dxa"/>
            <w:vAlign w:val="bottom"/>
          </w:tcPr>
          <w:p w14:paraId="3CC36FA1" w14:textId="65B470EA"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418.3</w:t>
            </w:r>
          </w:p>
        </w:tc>
        <w:tc>
          <w:tcPr>
            <w:tcW w:w="1325" w:type="dxa"/>
            <w:vAlign w:val="bottom"/>
          </w:tcPr>
          <w:p w14:paraId="309E4503" w14:textId="0F9959E9" w:rsidR="005E45C2" w:rsidRPr="00F01EC8" w:rsidRDefault="00DE2D8B" w:rsidP="005E45C2">
            <w:pPr>
              <w:jc w:val="right"/>
              <w:rPr>
                <w:rFonts w:asciiTheme="minorHAnsi" w:hAnsiTheme="minorHAnsi" w:cs="Arial"/>
                <w:sz w:val="20"/>
                <w:szCs w:val="20"/>
              </w:rPr>
            </w:pPr>
            <w:r w:rsidRPr="00F01EC8">
              <w:rPr>
                <w:rFonts w:asciiTheme="minorHAnsi" w:hAnsiTheme="minorHAnsi" w:cs="Arial"/>
                <w:color w:val="000000" w:themeColor="text1"/>
                <w:sz w:val="20"/>
                <w:szCs w:val="20"/>
              </w:rPr>
              <w:t>401.4</w:t>
            </w:r>
            <w:r w:rsidR="005E45C2" w:rsidRPr="00F01EC8">
              <w:rPr>
                <w:rFonts w:asciiTheme="minorHAnsi" w:hAnsiTheme="minorHAnsi" w:cs="Arial"/>
                <w:color w:val="000000" w:themeColor="text1"/>
                <w:sz w:val="20"/>
                <w:szCs w:val="20"/>
              </w:rPr>
              <w:t> </w:t>
            </w:r>
          </w:p>
        </w:tc>
      </w:tr>
      <w:tr w:rsidR="00FB2FF4" w:rsidRPr="00F01EC8" w14:paraId="42FD76D5" w14:textId="77777777" w:rsidTr="00FB2FF4">
        <w:trPr>
          <w:trHeight w:val="142"/>
        </w:trPr>
        <w:tc>
          <w:tcPr>
            <w:tcW w:w="4489" w:type="dxa"/>
            <w:vAlign w:val="bottom"/>
          </w:tcPr>
          <w:p w14:paraId="665A5DF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Retirement benefit asset</w:t>
            </w:r>
          </w:p>
        </w:tc>
        <w:tc>
          <w:tcPr>
            <w:tcW w:w="1191" w:type="dxa"/>
            <w:vAlign w:val="bottom"/>
          </w:tcPr>
          <w:p w14:paraId="33D397BC"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9</w:t>
            </w:r>
          </w:p>
        </w:tc>
        <w:tc>
          <w:tcPr>
            <w:tcW w:w="1522" w:type="dxa"/>
            <w:vAlign w:val="bottom"/>
          </w:tcPr>
          <w:p w14:paraId="5770DA51" w14:textId="091AFCF1" w:rsidR="005E45C2" w:rsidRPr="00F01EC8" w:rsidRDefault="00A241E0" w:rsidP="005E45C2">
            <w:pPr>
              <w:jc w:val="right"/>
              <w:rPr>
                <w:rFonts w:asciiTheme="minorHAnsi" w:hAnsiTheme="minorHAnsi" w:cs="Arial"/>
                <w:color w:val="000000" w:themeColor="text1"/>
                <w:sz w:val="20"/>
                <w:szCs w:val="20"/>
                <w:lang w:val="fr-FR"/>
              </w:rPr>
            </w:pPr>
            <w:r w:rsidRPr="00F01EC8">
              <w:rPr>
                <w:rFonts w:asciiTheme="minorHAnsi" w:hAnsiTheme="minorHAnsi" w:cs="Arial"/>
                <w:color w:val="000000" w:themeColor="text1"/>
                <w:sz w:val="20"/>
                <w:szCs w:val="20"/>
                <w:lang w:val="fr-FR"/>
              </w:rPr>
              <w:t>118.4</w:t>
            </w:r>
          </w:p>
        </w:tc>
        <w:tc>
          <w:tcPr>
            <w:tcW w:w="1386" w:type="dxa"/>
            <w:vAlign w:val="bottom"/>
          </w:tcPr>
          <w:p w14:paraId="1F743928" w14:textId="09145851"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color w:val="000000" w:themeColor="text1"/>
                <w:sz w:val="20"/>
                <w:szCs w:val="20"/>
                <w:lang w:val="fr-FR"/>
              </w:rPr>
              <w:t xml:space="preserve">  78.0 </w:t>
            </w:r>
          </w:p>
        </w:tc>
        <w:tc>
          <w:tcPr>
            <w:tcW w:w="1325" w:type="dxa"/>
            <w:vAlign w:val="bottom"/>
          </w:tcPr>
          <w:p w14:paraId="48C1844E" w14:textId="59B1CE84"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color w:val="000000" w:themeColor="text1"/>
                <w:sz w:val="20"/>
                <w:szCs w:val="20"/>
                <w:lang w:val="fr-FR"/>
              </w:rPr>
              <w:t>70.3 </w:t>
            </w:r>
          </w:p>
        </w:tc>
      </w:tr>
      <w:tr w:rsidR="00FB2FF4" w:rsidRPr="00F01EC8" w14:paraId="78885B80" w14:textId="77777777" w:rsidTr="00FB2FF4">
        <w:trPr>
          <w:trHeight w:val="142"/>
        </w:trPr>
        <w:tc>
          <w:tcPr>
            <w:tcW w:w="4489" w:type="dxa"/>
            <w:vAlign w:val="bottom"/>
          </w:tcPr>
          <w:p w14:paraId="10C4A2B2"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Deferred tax asset</w:t>
            </w:r>
          </w:p>
        </w:tc>
        <w:tc>
          <w:tcPr>
            <w:tcW w:w="1191" w:type="dxa"/>
            <w:vAlign w:val="bottom"/>
          </w:tcPr>
          <w:p w14:paraId="62A24DEB"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0794269D" w14:textId="6B664CFD" w:rsidR="005E45C2" w:rsidRPr="00F01EC8" w:rsidRDefault="00A241E0" w:rsidP="005E45C2">
            <w:pPr>
              <w:jc w:val="right"/>
              <w:rPr>
                <w:rFonts w:asciiTheme="minorHAnsi" w:hAnsiTheme="minorHAnsi" w:cs="Arial"/>
                <w:color w:val="000000" w:themeColor="text1"/>
                <w:sz w:val="20"/>
                <w:szCs w:val="20"/>
                <w:lang w:val="fr-FR"/>
              </w:rPr>
            </w:pPr>
            <w:r w:rsidRPr="00F01EC8">
              <w:rPr>
                <w:rFonts w:asciiTheme="minorHAnsi" w:hAnsiTheme="minorHAnsi" w:cs="Arial"/>
                <w:sz w:val="20"/>
                <w:szCs w:val="20"/>
                <w:lang w:val="fr-FR"/>
              </w:rPr>
              <w:t>21.0</w:t>
            </w:r>
          </w:p>
        </w:tc>
        <w:tc>
          <w:tcPr>
            <w:tcW w:w="1386" w:type="dxa"/>
            <w:vAlign w:val="bottom"/>
          </w:tcPr>
          <w:p w14:paraId="5999FA46" w14:textId="34F8A2A9"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color w:val="000000" w:themeColor="text1"/>
                <w:sz w:val="20"/>
                <w:szCs w:val="20"/>
                <w:lang w:val="fr-FR"/>
              </w:rPr>
              <w:t>25.0 </w:t>
            </w:r>
          </w:p>
        </w:tc>
        <w:tc>
          <w:tcPr>
            <w:tcW w:w="1325" w:type="dxa"/>
            <w:vAlign w:val="bottom"/>
          </w:tcPr>
          <w:p w14:paraId="032333D6" w14:textId="3F044343"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32.0 </w:t>
            </w:r>
          </w:p>
        </w:tc>
      </w:tr>
      <w:tr w:rsidR="00FB2FF4" w:rsidRPr="00F01EC8" w14:paraId="763436DF" w14:textId="77777777" w:rsidTr="00FB2FF4">
        <w:trPr>
          <w:trHeight w:val="142"/>
        </w:trPr>
        <w:tc>
          <w:tcPr>
            <w:tcW w:w="4489" w:type="dxa"/>
            <w:vAlign w:val="bottom"/>
          </w:tcPr>
          <w:p w14:paraId="222B37A3" w14:textId="77777777" w:rsidR="005E45C2" w:rsidRPr="00F01EC8" w:rsidRDefault="005E45C2" w:rsidP="005E45C2">
            <w:pPr>
              <w:rPr>
                <w:rFonts w:asciiTheme="minorHAnsi" w:hAnsiTheme="minorHAnsi" w:cs="Arial"/>
                <w:sz w:val="20"/>
                <w:szCs w:val="20"/>
              </w:rPr>
            </w:pPr>
          </w:p>
        </w:tc>
        <w:tc>
          <w:tcPr>
            <w:tcW w:w="1191" w:type="dxa"/>
            <w:vAlign w:val="bottom"/>
          </w:tcPr>
          <w:p w14:paraId="6F02359D"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left w:val="nil"/>
              <w:bottom w:val="single" w:sz="4" w:space="0" w:color="auto"/>
              <w:right w:val="nil"/>
            </w:tcBorders>
            <w:vAlign w:val="bottom"/>
          </w:tcPr>
          <w:p w14:paraId="42CFBA3A" w14:textId="7B4F9FCD"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717.9</w:t>
            </w:r>
          </w:p>
        </w:tc>
        <w:tc>
          <w:tcPr>
            <w:tcW w:w="1386" w:type="dxa"/>
            <w:tcBorders>
              <w:top w:val="single" w:sz="4" w:space="0" w:color="auto"/>
              <w:left w:val="nil"/>
              <w:bottom w:val="single" w:sz="4" w:space="0" w:color="auto"/>
              <w:right w:val="nil"/>
            </w:tcBorders>
            <w:vAlign w:val="bottom"/>
          </w:tcPr>
          <w:p w14:paraId="36281604" w14:textId="420295AA"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723.0 </w:t>
            </w:r>
          </w:p>
        </w:tc>
        <w:tc>
          <w:tcPr>
            <w:tcW w:w="1325" w:type="dxa"/>
            <w:tcBorders>
              <w:top w:val="single" w:sz="4" w:space="0" w:color="auto"/>
              <w:left w:val="nil"/>
              <w:bottom w:val="single" w:sz="4" w:space="0" w:color="auto"/>
              <w:right w:val="nil"/>
            </w:tcBorders>
            <w:vAlign w:val="bottom"/>
          </w:tcPr>
          <w:p w14:paraId="3AE17437" w14:textId="183E3DC5" w:rsidR="005E45C2" w:rsidRPr="00F01EC8" w:rsidRDefault="00DE2D8B" w:rsidP="005E45C2">
            <w:pPr>
              <w:jc w:val="right"/>
              <w:rPr>
                <w:rFonts w:asciiTheme="minorHAnsi" w:hAnsiTheme="minorHAnsi" w:cs="Arial"/>
                <w:sz w:val="20"/>
                <w:szCs w:val="20"/>
              </w:rPr>
            </w:pPr>
            <w:r w:rsidRPr="00F01EC8">
              <w:rPr>
                <w:rFonts w:asciiTheme="minorHAnsi" w:hAnsiTheme="minorHAnsi" w:cs="Arial"/>
                <w:sz w:val="20"/>
                <w:szCs w:val="20"/>
              </w:rPr>
              <w:t>728.1</w:t>
            </w:r>
            <w:r w:rsidR="005E45C2" w:rsidRPr="00F01EC8">
              <w:rPr>
                <w:rFonts w:asciiTheme="minorHAnsi" w:hAnsiTheme="minorHAnsi" w:cs="Arial"/>
                <w:sz w:val="20"/>
                <w:szCs w:val="20"/>
              </w:rPr>
              <w:t> </w:t>
            </w:r>
          </w:p>
        </w:tc>
      </w:tr>
      <w:tr w:rsidR="00FB2FF4" w:rsidRPr="00F01EC8" w14:paraId="5BBA6DDB" w14:textId="77777777" w:rsidTr="00FB2FF4">
        <w:trPr>
          <w:trHeight w:val="142"/>
        </w:trPr>
        <w:tc>
          <w:tcPr>
            <w:tcW w:w="4489" w:type="dxa"/>
            <w:vAlign w:val="bottom"/>
          </w:tcPr>
          <w:p w14:paraId="4C2A017F"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Current assets</w:t>
            </w:r>
          </w:p>
        </w:tc>
        <w:tc>
          <w:tcPr>
            <w:tcW w:w="1191" w:type="dxa"/>
            <w:vAlign w:val="bottom"/>
          </w:tcPr>
          <w:p w14:paraId="028841FA"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4057C952"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02D31CCC"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78046598" w14:textId="77777777" w:rsidR="005E45C2" w:rsidRPr="00F01EC8" w:rsidRDefault="005E45C2" w:rsidP="005E45C2">
            <w:pPr>
              <w:jc w:val="right"/>
              <w:rPr>
                <w:rFonts w:asciiTheme="minorHAnsi" w:hAnsiTheme="minorHAnsi" w:cs="Arial"/>
                <w:sz w:val="20"/>
                <w:szCs w:val="20"/>
              </w:rPr>
            </w:pPr>
          </w:p>
        </w:tc>
      </w:tr>
      <w:tr w:rsidR="00FB2FF4" w:rsidRPr="00F01EC8" w14:paraId="139CF3F1" w14:textId="77777777" w:rsidTr="00FB2FF4">
        <w:trPr>
          <w:trHeight w:val="142"/>
        </w:trPr>
        <w:tc>
          <w:tcPr>
            <w:tcW w:w="4489" w:type="dxa"/>
            <w:vAlign w:val="bottom"/>
          </w:tcPr>
          <w:p w14:paraId="1A156239"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Financial assets:</w:t>
            </w:r>
          </w:p>
        </w:tc>
        <w:tc>
          <w:tcPr>
            <w:tcW w:w="1191" w:type="dxa"/>
            <w:vAlign w:val="bottom"/>
          </w:tcPr>
          <w:p w14:paraId="4165DB41"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7B992F71"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3EBDF24B"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180504FC" w14:textId="77777777" w:rsidR="005E45C2" w:rsidRPr="00F01EC8" w:rsidRDefault="005E45C2" w:rsidP="005E45C2">
            <w:pPr>
              <w:jc w:val="right"/>
              <w:rPr>
                <w:rFonts w:asciiTheme="minorHAnsi" w:hAnsiTheme="minorHAnsi" w:cs="Arial"/>
                <w:sz w:val="20"/>
                <w:szCs w:val="20"/>
              </w:rPr>
            </w:pPr>
          </w:p>
        </w:tc>
      </w:tr>
      <w:tr w:rsidR="00FB2FF4" w:rsidRPr="00F01EC8" w14:paraId="2DDE2E37" w14:textId="77777777" w:rsidTr="00FB2FF4">
        <w:trPr>
          <w:trHeight w:val="142"/>
        </w:trPr>
        <w:tc>
          <w:tcPr>
            <w:tcW w:w="4489" w:type="dxa"/>
            <w:vAlign w:val="bottom"/>
          </w:tcPr>
          <w:p w14:paraId="07472777" w14:textId="1B850B88" w:rsidR="005E45C2" w:rsidRPr="00F01EC8" w:rsidRDefault="005E45C2" w:rsidP="005E45C2">
            <w:pPr>
              <w:ind w:left="142" w:hanging="142"/>
              <w:rPr>
                <w:rFonts w:asciiTheme="minorHAnsi" w:hAnsiTheme="minorHAnsi" w:cs="Arial"/>
                <w:color w:val="000000" w:themeColor="text1"/>
                <w:sz w:val="20"/>
                <w:szCs w:val="20"/>
              </w:rPr>
            </w:pPr>
            <w:r w:rsidRPr="00F01EC8">
              <w:rPr>
                <w:rFonts w:asciiTheme="minorHAnsi" w:hAnsiTheme="minorHAnsi" w:cs="Arial"/>
                <w:color w:val="000000" w:themeColor="text1"/>
                <w:sz w:val="20"/>
                <w:szCs w:val="20"/>
              </w:rPr>
              <w:t>– investment held a</w:t>
            </w:r>
            <w:r w:rsidR="00D04BB7" w:rsidRPr="00F01EC8">
              <w:rPr>
                <w:rFonts w:asciiTheme="minorHAnsi" w:hAnsiTheme="minorHAnsi" w:cs="Arial"/>
                <w:color w:val="000000" w:themeColor="text1"/>
                <w:sz w:val="20"/>
                <w:szCs w:val="20"/>
              </w:rPr>
              <w:t>t</w:t>
            </w:r>
            <w:r w:rsidRPr="00F01EC8">
              <w:rPr>
                <w:rFonts w:asciiTheme="minorHAnsi" w:hAnsiTheme="minorHAnsi" w:cs="Arial"/>
                <w:color w:val="000000" w:themeColor="text1"/>
                <w:sz w:val="20"/>
                <w:szCs w:val="20"/>
              </w:rPr>
              <w:t xml:space="preserve"> fair value through other comprehensive income </w:t>
            </w:r>
          </w:p>
        </w:tc>
        <w:tc>
          <w:tcPr>
            <w:tcW w:w="1191" w:type="dxa"/>
            <w:vAlign w:val="bottom"/>
          </w:tcPr>
          <w:p w14:paraId="4FC1BB93" w14:textId="77777777" w:rsidR="005E45C2" w:rsidRPr="00F01EC8" w:rsidRDefault="005E45C2" w:rsidP="005E45C2">
            <w:pPr>
              <w:jc w:val="right"/>
              <w:rPr>
                <w:rFonts w:asciiTheme="minorHAnsi" w:hAnsiTheme="minorHAnsi" w:cs="Arial"/>
                <w:color w:val="000000" w:themeColor="text1"/>
                <w:sz w:val="20"/>
                <w:szCs w:val="20"/>
              </w:rPr>
            </w:pPr>
            <w:r w:rsidRPr="00F01EC8">
              <w:rPr>
                <w:rFonts w:asciiTheme="minorHAnsi" w:hAnsiTheme="minorHAnsi" w:cs="Arial"/>
                <w:color w:val="000000" w:themeColor="text1"/>
                <w:sz w:val="20"/>
                <w:szCs w:val="20"/>
              </w:rPr>
              <w:t>10</w:t>
            </w:r>
          </w:p>
        </w:tc>
        <w:tc>
          <w:tcPr>
            <w:tcW w:w="1522" w:type="dxa"/>
            <w:vAlign w:val="bottom"/>
          </w:tcPr>
          <w:p w14:paraId="5645CAD8" w14:textId="26D47959" w:rsidR="005E45C2" w:rsidRPr="00F01EC8" w:rsidRDefault="00A241E0" w:rsidP="005E45C2">
            <w:pPr>
              <w:jc w:val="right"/>
              <w:rPr>
                <w:rFonts w:asciiTheme="minorHAnsi" w:hAnsiTheme="minorHAnsi" w:cs="Arial"/>
                <w:color w:val="000000" w:themeColor="text1"/>
                <w:sz w:val="20"/>
                <w:szCs w:val="20"/>
              </w:rPr>
            </w:pPr>
            <w:r w:rsidRPr="00F01EC8">
              <w:rPr>
                <w:rFonts w:asciiTheme="minorHAnsi" w:hAnsiTheme="minorHAnsi" w:cs="Arial"/>
                <w:color w:val="000000" w:themeColor="text1"/>
                <w:sz w:val="20"/>
                <w:szCs w:val="20"/>
              </w:rPr>
              <w:t>18.0</w:t>
            </w:r>
          </w:p>
        </w:tc>
        <w:tc>
          <w:tcPr>
            <w:tcW w:w="1386" w:type="dxa"/>
            <w:vAlign w:val="bottom"/>
          </w:tcPr>
          <w:p w14:paraId="4E83B582" w14:textId="006EC6EE" w:rsidR="005E45C2" w:rsidRPr="00F01EC8" w:rsidRDefault="005E45C2" w:rsidP="005E45C2">
            <w:pPr>
              <w:jc w:val="right"/>
              <w:rPr>
                <w:rFonts w:asciiTheme="minorHAnsi" w:hAnsiTheme="minorHAnsi" w:cs="Arial"/>
                <w:color w:val="000000" w:themeColor="text1"/>
                <w:sz w:val="20"/>
                <w:szCs w:val="20"/>
              </w:rPr>
            </w:pPr>
            <w:r w:rsidRPr="00F01EC8">
              <w:rPr>
                <w:rFonts w:asciiTheme="minorHAnsi" w:hAnsiTheme="minorHAnsi" w:cs="Arial"/>
                <w:color w:val="000000" w:themeColor="text1"/>
                <w:sz w:val="20"/>
                <w:szCs w:val="20"/>
              </w:rPr>
              <w:t>16.6 </w:t>
            </w:r>
          </w:p>
        </w:tc>
        <w:tc>
          <w:tcPr>
            <w:tcW w:w="1325" w:type="dxa"/>
            <w:vAlign w:val="bottom"/>
          </w:tcPr>
          <w:p w14:paraId="2DD70B6D" w14:textId="067469E5" w:rsidR="005E45C2" w:rsidRPr="00F01EC8" w:rsidRDefault="005E45C2" w:rsidP="005E45C2">
            <w:pPr>
              <w:jc w:val="right"/>
              <w:rPr>
                <w:rFonts w:asciiTheme="minorHAnsi" w:hAnsiTheme="minorHAnsi" w:cs="Arial"/>
                <w:color w:val="000000" w:themeColor="text1"/>
                <w:sz w:val="20"/>
                <w:szCs w:val="20"/>
              </w:rPr>
            </w:pPr>
            <w:r w:rsidRPr="00F01EC8">
              <w:rPr>
                <w:rFonts w:asciiTheme="minorHAnsi" w:hAnsiTheme="minorHAnsi" w:cs="Arial"/>
                <w:color w:val="000000" w:themeColor="text1"/>
                <w:sz w:val="20"/>
                <w:szCs w:val="20"/>
              </w:rPr>
              <w:t>21.1 </w:t>
            </w:r>
          </w:p>
        </w:tc>
      </w:tr>
      <w:tr w:rsidR="00FB2FF4" w:rsidRPr="00F01EC8" w14:paraId="0978BA9D" w14:textId="77777777" w:rsidTr="00FB2FF4">
        <w:trPr>
          <w:trHeight w:val="142"/>
        </w:trPr>
        <w:tc>
          <w:tcPr>
            <w:tcW w:w="4489" w:type="dxa"/>
            <w:vAlign w:val="bottom"/>
          </w:tcPr>
          <w:p w14:paraId="3F9FB0BF"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amounts receivable from customers</w:t>
            </w:r>
          </w:p>
        </w:tc>
        <w:tc>
          <w:tcPr>
            <w:tcW w:w="1191" w:type="dxa"/>
            <w:vAlign w:val="bottom"/>
          </w:tcPr>
          <w:p w14:paraId="6C4C7523"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8</w:t>
            </w:r>
          </w:p>
        </w:tc>
        <w:tc>
          <w:tcPr>
            <w:tcW w:w="1522" w:type="dxa"/>
            <w:vAlign w:val="bottom"/>
          </w:tcPr>
          <w:p w14:paraId="4C36B32E" w14:textId="23494B8D"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1,493.3</w:t>
            </w:r>
          </w:p>
        </w:tc>
        <w:tc>
          <w:tcPr>
            <w:tcW w:w="1386" w:type="dxa"/>
            <w:vAlign w:val="bottom"/>
          </w:tcPr>
          <w:p w14:paraId="6984C21A" w14:textId="138FA3B1"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1,794.3 </w:t>
            </w:r>
          </w:p>
        </w:tc>
        <w:tc>
          <w:tcPr>
            <w:tcW w:w="1325" w:type="dxa"/>
            <w:vAlign w:val="bottom"/>
          </w:tcPr>
          <w:p w14:paraId="251749D8" w14:textId="73B74A81" w:rsidR="005E45C2" w:rsidRPr="00F01EC8" w:rsidRDefault="005E45C2" w:rsidP="00FB2FF4">
            <w:pPr>
              <w:jc w:val="right"/>
              <w:rPr>
                <w:rFonts w:asciiTheme="minorHAnsi" w:hAnsiTheme="minorHAnsi" w:cs="Arial"/>
                <w:sz w:val="20"/>
                <w:szCs w:val="20"/>
              </w:rPr>
            </w:pPr>
            <w:r w:rsidRPr="00F01EC8">
              <w:rPr>
                <w:rFonts w:asciiTheme="minorHAnsi" w:hAnsiTheme="minorHAnsi" w:cs="Arial"/>
                <w:sz w:val="20"/>
                <w:szCs w:val="20"/>
              </w:rPr>
              <w:t>1,</w:t>
            </w:r>
            <w:r w:rsidR="00DE2D8B" w:rsidRPr="00F01EC8">
              <w:rPr>
                <w:rFonts w:asciiTheme="minorHAnsi" w:hAnsiTheme="minorHAnsi" w:cs="Arial"/>
                <w:sz w:val="20"/>
                <w:szCs w:val="20"/>
              </w:rPr>
              <w:t>793.5</w:t>
            </w:r>
            <w:r w:rsidRPr="00F01EC8">
              <w:rPr>
                <w:rFonts w:asciiTheme="minorHAnsi" w:hAnsiTheme="minorHAnsi" w:cs="Arial"/>
                <w:sz w:val="20"/>
                <w:szCs w:val="20"/>
              </w:rPr>
              <w:t> </w:t>
            </w:r>
          </w:p>
        </w:tc>
      </w:tr>
      <w:tr w:rsidR="00FB2FF4" w:rsidRPr="00F01EC8" w14:paraId="34D9FF9B" w14:textId="77777777" w:rsidTr="00FB2FF4">
        <w:trPr>
          <w:trHeight w:val="142"/>
        </w:trPr>
        <w:tc>
          <w:tcPr>
            <w:tcW w:w="4489" w:type="dxa"/>
            <w:vAlign w:val="bottom"/>
          </w:tcPr>
          <w:p w14:paraId="779BD60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cash and cash equivalents</w:t>
            </w:r>
          </w:p>
        </w:tc>
        <w:tc>
          <w:tcPr>
            <w:tcW w:w="1191" w:type="dxa"/>
            <w:vAlign w:val="bottom"/>
          </w:tcPr>
          <w:p w14:paraId="306E9ED7"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1ED05EEC" w14:textId="59B22CE0" w:rsidR="005E45C2" w:rsidRPr="00F01EC8" w:rsidRDefault="00A241E0" w:rsidP="005E45C2">
            <w:pPr>
              <w:jc w:val="right"/>
              <w:rPr>
                <w:rFonts w:asciiTheme="minorHAnsi" w:hAnsiTheme="minorHAnsi" w:cs="Arial"/>
                <w:sz w:val="20"/>
                <w:szCs w:val="20"/>
              </w:rPr>
            </w:pPr>
            <w:r w:rsidRPr="00F01EC8">
              <w:rPr>
                <w:rFonts w:asciiTheme="minorHAnsi" w:hAnsiTheme="minorHAnsi" w:cs="Arial"/>
                <w:sz w:val="20"/>
                <w:szCs w:val="20"/>
              </w:rPr>
              <w:t>1,042.7</w:t>
            </w:r>
          </w:p>
        </w:tc>
        <w:tc>
          <w:tcPr>
            <w:tcW w:w="1386" w:type="dxa"/>
            <w:vAlign w:val="bottom"/>
          </w:tcPr>
          <w:p w14:paraId="3AD63BC8" w14:textId="79CD0F42"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353.6 </w:t>
            </w:r>
          </w:p>
        </w:tc>
        <w:tc>
          <w:tcPr>
            <w:tcW w:w="1325" w:type="dxa"/>
            <w:vAlign w:val="bottom"/>
          </w:tcPr>
          <w:p w14:paraId="47C03C66" w14:textId="38650BAF"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440.0 </w:t>
            </w:r>
          </w:p>
        </w:tc>
      </w:tr>
      <w:tr w:rsidR="00FB2FF4" w:rsidRPr="00F01EC8" w14:paraId="258838F3" w14:textId="77777777" w:rsidTr="00FB2FF4">
        <w:trPr>
          <w:trHeight w:val="142"/>
        </w:trPr>
        <w:tc>
          <w:tcPr>
            <w:tcW w:w="4489" w:type="dxa"/>
            <w:vAlign w:val="bottom"/>
          </w:tcPr>
          <w:p w14:paraId="2A2F9C0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trade and other receivables</w:t>
            </w:r>
          </w:p>
        </w:tc>
        <w:tc>
          <w:tcPr>
            <w:tcW w:w="1191" w:type="dxa"/>
            <w:vAlign w:val="bottom"/>
          </w:tcPr>
          <w:p w14:paraId="7F816D4A"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234AAB4B" w14:textId="622ABDF5"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45.5</w:t>
            </w:r>
          </w:p>
        </w:tc>
        <w:tc>
          <w:tcPr>
            <w:tcW w:w="1386" w:type="dxa"/>
            <w:vAlign w:val="bottom"/>
          </w:tcPr>
          <w:p w14:paraId="029A1605" w14:textId="4C71116A"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33.3 </w:t>
            </w:r>
          </w:p>
        </w:tc>
        <w:tc>
          <w:tcPr>
            <w:tcW w:w="1325" w:type="dxa"/>
            <w:vAlign w:val="bottom"/>
          </w:tcPr>
          <w:p w14:paraId="6C4B7303" w14:textId="24368981" w:rsidR="005E45C2" w:rsidRPr="00F01EC8" w:rsidRDefault="0064757C" w:rsidP="005E45C2">
            <w:pPr>
              <w:jc w:val="right"/>
              <w:rPr>
                <w:rFonts w:asciiTheme="minorHAnsi" w:hAnsiTheme="minorHAnsi" w:cs="Arial"/>
                <w:sz w:val="20"/>
                <w:szCs w:val="20"/>
              </w:rPr>
            </w:pPr>
            <w:r w:rsidRPr="00F01EC8">
              <w:rPr>
                <w:rFonts w:asciiTheme="minorHAnsi" w:hAnsiTheme="minorHAnsi" w:cs="Arial"/>
                <w:sz w:val="20"/>
                <w:szCs w:val="20"/>
              </w:rPr>
              <w:t>49.8</w:t>
            </w:r>
            <w:r w:rsidR="005E45C2" w:rsidRPr="00F01EC8">
              <w:rPr>
                <w:rFonts w:asciiTheme="minorHAnsi" w:hAnsiTheme="minorHAnsi" w:cs="Arial"/>
                <w:sz w:val="20"/>
                <w:szCs w:val="20"/>
              </w:rPr>
              <w:t> </w:t>
            </w:r>
          </w:p>
        </w:tc>
      </w:tr>
      <w:tr w:rsidR="00FB2FF4" w:rsidRPr="00F01EC8" w14:paraId="768FB162" w14:textId="77777777" w:rsidTr="00FB2FF4">
        <w:trPr>
          <w:trHeight w:val="142"/>
        </w:trPr>
        <w:tc>
          <w:tcPr>
            <w:tcW w:w="4489" w:type="dxa"/>
            <w:vAlign w:val="bottom"/>
          </w:tcPr>
          <w:p w14:paraId="00A4101A" w14:textId="77777777" w:rsidR="005E45C2" w:rsidRPr="00F01EC8" w:rsidRDefault="005E45C2" w:rsidP="005E45C2">
            <w:pPr>
              <w:rPr>
                <w:rFonts w:asciiTheme="minorHAnsi" w:hAnsiTheme="minorHAnsi" w:cs="Arial"/>
                <w:sz w:val="20"/>
                <w:szCs w:val="20"/>
              </w:rPr>
            </w:pPr>
          </w:p>
        </w:tc>
        <w:tc>
          <w:tcPr>
            <w:tcW w:w="1191" w:type="dxa"/>
            <w:vAlign w:val="bottom"/>
          </w:tcPr>
          <w:p w14:paraId="310A7270"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left w:val="nil"/>
              <w:bottom w:val="single" w:sz="4" w:space="0" w:color="auto"/>
              <w:right w:val="nil"/>
            </w:tcBorders>
            <w:vAlign w:val="bottom"/>
          </w:tcPr>
          <w:p w14:paraId="78D506FB" w14:textId="15E713FE" w:rsidR="005E45C2" w:rsidRPr="00F01EC8" w:rsidRDefault="008969BE" w:rsidP="008969BE">
            <w:pPr>
              <w:jc w:val="right"/>
              <w:rPr>
                <w:rFonts w:asciiTheme="minorHAnsi" w:hAnsiTheme="minorHAnsi" w:cs="Arial"/>
                <w:sz w:val="20"/>
                <w:szCs w:val="20"/>
                <w:lang w:val="fr-FR"/>
              </w:rPr>
            </w:pPr>
            <w:r w:rsidRPr="00F01EC8">
              <w:rPr>
                <w:rFonts w:asciiTheme="minorHAnsi" w:hAnsiTheme="minorHAnsi" w:cs="Arial"/>
                <w:sz w:val="20"/>
                <w:szCs w:val="20"/>
                <w:lang w:val="fr-FR"/>
              </w:rPr>
              <w:t>2,599.5</w:t>
            </w:r>
          </w:p>
        </w:tc>
        <w:tc>
          <w:tcPr>
            <w:tcW w:w="1386" w:type="dxa"/>
            <w:tcBorders>
              <w:top w:val="single" w:sz="4" w:space="0" w:color="auto"/>
              <w:left w:val="nil"/>
              <w:bottom w:val="single" w:sz="4" w:space="0" w:color="auto"/>
              <w:right w:val="nil"/>
            </w:tcBorders>
            <w:vAlign w:val="bottom"/>
          </w:tcPr>
          <w:p w14:paraId="1F79BDCA" w14:textId="4F51550E"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lang w:val="fr-FR"/>
              </w:rPr>
              <w:t>2,197.8 </w:t>
            </w:r>
          </w:p>
        </w:tc>
        <w:tc>
          <w:tcPr>
            <w:tcW w:w="1325" w:type="dxa"/>
            <w:tcBorders>
              <w:top w:val="single" w:sz="4" w:space="0" w:color="auto"/>
              <w:left w:val="nil"/>
              <w:bottom w:val="single" w:sz="4" w:space="0" w:color="auto"/>
              <w:right w:val="nil"/>
            </w:tcBorders>
            <w:vAlign w:val="bottom"/>
          </w:tcPr>
          <w:p w14:paraId="1C72AE26" w14:textId="2E6C653F"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2,</w:t>
            </w:r>
            <w:r w:rsidR="0064757C" w:rsidRPr="00F01EC8">
              <w:rPr>
                <w:rFonts w:asciiTheme="minorHAnsi" w:hAnsiTheme="minorHAnsi" w:cs="Arial"/>
                <w:sz w:val="20"/>
                <w:szCs w:val="20"/>
                <w:lang w:val="fr-FR"/>
              </w:rPr>
              <w:t>3</w:t>
            </w:r>
            <w:r w:rsidR="00DE2D8B" w:rsidRPr="00F01EC8">
              <w:rPr>
                <w:rFonts w:asciiTheme="minorHAnsi" w:hAnsiTheme="minorHAnsi" w:cs="Arial"/>
                <w:sz w:val="20"/>
                <w:szCs w:val="20"/>
                <w:lang w:val="fr-FR"/>
              </w:rPr>
              <w:t>04.4</w:t>
            </w:r>
            <w:r w:rsidRPr="00F01EC8">
              <w:rPr>
                <w:rFonts w:asciiTheme="minorHAnsi" w:hAnsiTheme="minorHAnsi" w:cs="Arial"/>
                <w:sz w:val="20"/>
                <w:szCs w:val="20"/>
                <w:lang w:val="fr-FR"/>
              </w:rPr>
              <w:t> </w:t>
            </w:r>
          </w:p>
        </w:tc>
      </w:tr>
      <w:tr w:rsidR="00FB2FF4" w:rsidRPr="00F01EC8" w14:paraId="3E0B4BFC" w14:textId="77777777" w:rsidTr="00FB2FF4">
        <w:trPr>
          <w:trHeight w:val="142"/>
        </w:trPr>
        <w:tc>
          <w:tcPr>
            <w:tcW w:w="4489" w:type="dxa"/>
            <w:vAlign w:val="bottom"/>
          </w:tcPr>
          <w:p w14:paraId="0194E4AE" w14:textId="77777777" w:rsidR="005E45C2" w:rsidRPr="00F01EC8" w:rsidRDefault="005E45C2" w:rsidP="005E45C2">
            <w:pPr>
              <w:rPr>
                <w:rFonts w:asciiTheme="minorHAnsi" w:hAnsiTheme="minorHAnsi" w:cs="Arial"/>
                <w:b/>
                <w:sz w:val="20"/>
                <w:szCs w:val="20"/>
                <w:lang w:val="fr-FR"/>
              </w:rPr>
            </w:pPr>
            <w:r w:rsidRPr="00F01EC8">
              <w:rPr>
                <w:rFonts w:asciiTheme="minorHAnsi" w:hAnsiTheme="minorHAnsi" w:cs="Arial"/>
                <w:b/>
                <w:sz w:val="20"/>
                <w:szCs w:val="20"/>
                <w:lang w:val="fr-FR"/>
              </w:rPr>
              <w:t>Total</w:t>
            </w:r>
            <w:r w:rsidRPr="00F01EC8">
              <w:rPr>
                <w:rFonts w:asciiTheme="minorHAnsi" w:hAnsiTheme="minorHAnsi" w:cs="Arial"/>
                <w:b/>
                <w:sz w:val="20"/>
                <w:szCs w:val="20"/>
              </w:rPr>
              <w:t xml:space="preserve"> assets</w:t>
            </w:r>
          </w:p>
        </w:tc>
        <w:tc>
          <w:tcPr>
            <w:tcW w:w="1191" w:type="dxa"/>
            <w:vAlign w:val="bottom"/>
          </w:tcPr>
          <w:p w14:paraId="4815A63A" w14:textId="77777777"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4</w:t>
            </w:r>
          </w:p>
        </w:tc>
        <w:tc>
          <w:tcPr>
            <w:tcW w:w="1522" w:type="dxa"/>
            <w:tcBorders>
              <w:top w:val="single" w:sz="4" w:space="0" w:color="auto"/>
              <w:left w:val="nil"/>
              <w:bottom w:val="single" w:sz="4" w:space="0" w:color="auto"/>
              <w:right w:val="nil"/>
            </w:tcBorders>
            <w:vAlign w:val="bottom"/>
          </w:tcPr>
          <w:p w14:paraId="0196CFB3" w14:textId="78D9A48D" w:rsidR="005E45C2" w:rsidRPr="00F01EC8" w:rsidRDefault="008969BE" w:rsidP="00FB2FF4">
            <w:pPr>
              <w:jc w:val="right"/>
              <w:rPr>
                <w:rFonts w:asciiTheme="minorHAnsi" w:hAnsiTheme="minorHAnsi" w:cs="Arial"/>
                <w:sz w:val="20"/>
                <w:szCs w:val="20"/>
              </w:rPr>
            </w:pPr>
            <w:r w:rsidRPr="00F01EC8">
              <w:rPr>
                <w:rFonts w:asciiTheme="minorHAnsi" w:hAnsiTheme="minorHAnsi" w:cs="Arial"/>
                <w:sz w:val="20"/>
                <w:szCs w:val="20"/>
              </w:rPr>
              <w:t>3,317.4</w:t>
            </w:r>
          </w:p>
        </w:tc>
        <w:tc>
          <w:tcPr>
            <w:tcW w:w="1386" w:type="dxa"/>
            <w:tcBorders>
              <w:top w:val="single" w:sz="4" w:space="0" w:color="auto"/>
              <w:left w:val="nil"/>
              <w:bottom w:val="single" w:sz="4" w:space="0" w:color="auto"/>
              <w:right w:val="nil"/>
            </w:tcBorders>
            <w:vAlign w:val="bottom"/>
          </w:tcPr>
          <w:p w14:paraId="11AAAFB1" w14:textId="5EC6051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2,920.8 </w:t>
            </w:r>
          </w:p>
        </w:tc>
        <w:tc>
          <w:tcPr>
            <w:tcW w:w="1325" w:type="dxa"/>
            <w:tcBorders>
              <w:top w:val="single" w:sz="4" w:space="0" w:color="auto"/>
              <w:left w:val="nil"/>
              <w:bottom w:val="single" w:sz="4" w:space="0" w:color="auto"/>
              <w:right w:val="nil"/>
            </w:tcBorders>
            <w:vAlign w:val="bottom"/>
          </w:tcPr>
          <w:p w14:paraId="5C22CC7A" w14:textId="100C8F91"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3,0</w:t>
            </w:r>
            <w:r w:rsidR="00F16935" w:rsidRPr="00F01EC8">
              <w:rPr>
                <w:rFonts w:asciiTheme="minorHAnsi" w:hAnsiTheme="minorHAnsi" w:cs="Arial"/>
                <w:sz w:val="20"/>
                <w:szCs w:val="20"/>
              </w:rPr>
              <w:t>32</w:t>
            </w:r>
            <w:r w:rsidRPr="00F01EC8">
              <w:rPr>
                <w:rFonts w:asciiTheme="minorHAnsi" w:hAnsiTheme="minorHAnsi" w:cs="Arial"/>
                <w:sz w:val="20"/>
                <w:szCs w:val="20"/>
              </w:rPr>
              <w:t>.5 </w:t>
            </w:r>
          </w:p>
        </w:tc>
      </w:tr>
      <w:tr w:rsidR="00FB2FF4" w:rsidRPr="00F01EC8" w14:paraId="66B39181" w14:textId="77777777" w:rsidTr="00FB2FF4">
        <w:trPr>
          <w:trHeight w:val="109"/>
        </w:trPr>
        <w:tc>
          <w:tcPr>
            <w:tcW w:w="4489" w:type="dxa"/>
            <w:vAlign w:val="bottom"/>
          </w:tcPr>
          <w:p w14:paraId="526ED4AB" w14:textId="77777777" w:rsidR="005E45C2" w:rsidRPr="00F01EC8" w:rsidRDefault="005E45C2" w:rsidP="005E45C2">
            <w:pPr>
              <w:rPr>
                <w:rFonts w:asciiTheme="minorHAnsi" w:hAnsiTheme="minorHAnsi" w:cs="Arial"/>
                <w:sz w:val="20"/>
                <w:szCs w:val="20"/>
              </w:rPr>
            </w:pPr>
          </w:p>
        </w:tc>
        <w:tc>
          <w:tcPr>
            <w:tcW w:w="1191" w:type="dxa"/>
            <w:vAlign w:val="bottom"/>
          </w:tcPr>
          <w:p w14:paraId="00E180F6"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left w:val="nil"/>
              <w:bottom w:val="nil"/>
              <w:right w:val="nil"/>
            </w:tcBorders>
            <w:vAlign w:val="bottom"/>
          </w:tcPr>
          <w:p w14:paraId="661D12DD" w14:textId="77777777" w:rsidR="005E45C2" w:rsidRPr="00F01EC8" w:rsidRDefault="005E45C2" w:rsidP="005E45C2">
            <w:pPr>
              <w:jc w:val="right"/>
              <w:rPr>
                <w:rFonts w:asciiTheme="minorHAnsi" w:hAnsiTheme="minorHAnsi" w:cs="Arial"/>
                <w:sz w:val="20"/>
                <w:szCs w:val="20"/>
              </w:rPr>
            </w:pPr>
          </w:p>
        </w:tc>
        <w:tc>
          <w:tcPr>
            <w:tcW w:w="1386" w:type="dxa"/>
            <w:tcBorders>
              <w:top w:val="single" w:sz="4" w:space="0" w:color="auto"/>
              <w:left w:val="nil"/>
              <w:bottom w:val="nil"/>
              <w:right w:val="nil"/>
            </w:tcBorders>
            <w:vAlign w:val="bottom"/>
          </w:tcPr>
          <w:p w14:paraId="04699CA7" w14:textId="77777777" w:rsidR="005E45C2" w:rsidRPr="00F01EC8" w:rsidRDefault="005E45C2" w:rsidP="005E45C2">
            <w:pPr>
              <w:jc w:val="right"/>
              <w:rPr>
                <w:rFonts w:asciiTheme="minorHAnsi" w:hAnsiTheme="minorHAnsi" w:cs="Arial"/>
                <w:sz w:val="20"/>
                <w:szCs w:val="20"/>
              </w:rPr>
            </w:pPr>
          </w:p>
        </w:tc>
        <w:tc>
          <w:tcPr>
            <w:tcW w:w="1325" w:type="dxa"/>
            <w:tcBorders>
              <w:top w:val="single" w:sz="4" w:space="0" w:color="auto"/>
              <w:left w:val="nil"/>
              <w:bottom w:val="nil"/>
              <w:right w:val="nil"/>
            </w:tcBorders>
            <w:vAlign w:val="bottom"/>
          </w:tcPr>
          <w:p w14:paraId="62AB74FA" w14:textId="77777777" w:rsidR="005E45C2" w:rsidRPr="00F01EC8" w:rsidRDefault="005E45C2" w:rsidP="005E45C2">
            <w:pPr>
              <w:jc w:val="right"/>
              <w:rPr>
                <w:rFonts w:asciiTheme="minorHAnsi" w:hAnsiTheme="minorHAnsi" w:cs="Arial"/>
                <w:sz w:val="20"/>
                <w:szCs w:val="20"/>
              </w:rPr>
            </w:pPr>
          </w:p>
        </w:tc>
      </w:tr>
      <w:tr w:rsidR="00FB2FF4" w:rsidRPr="00F01EC8" w14:paraId="6424B837" w14:textId="77777777" w:rsidTr="00FB2FF4">
        <w:trPr>
          <w:trHeight w:val="142"/>
        </w:trPr>
        <w:tc>
          <w:tcPr>
            <w:tcW w:w="4489" w:type="dxa"/>
            <w:vAlign w:val="bottom"/>
          </w:tcPr>
          <w:p w14:paraId="11E1F747"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LIABILITIES</w:t>
            </w:r>
          </w:p>
        </w:tc>
        <w:tc>
          <w:tcPr>
            <w:tcW w:w="1191" w:type="dxa"/>
            <w:vAlign w:val="bottom"/>
          </w:tcPr>
          <w:p w14:paraId="24D82A79"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13E228F8"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664A70BB"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50D3B071" w14:textId="77777777" w:rsidR="005E45C2" w:rsidRPr="00F01EC8" w:rsidRDefault="005E45C2" w:rsidP="005E45C2">
            <w:pPr>
              <w:jc w:val="right"/>
              <w:rPr>
                <w:rFonts w:asciiTheme="minorHAnsi" w:hAnsiTheme="minorHAnsi" w:cs="Arial"/>
                <w:sz w:val="20"/>
                <w:szCs w:val="20"/>
              </w:rPr>
            </w:pPr>
          </w:p>
        </w:tc>
      </w:tr>
      <w:tr w:rsidR="00FB2FF4" w:rsidRPr="00F01EC8" w14:paraId="346154DD" w14:textId="77777777" w:rsidTr="00FB2FF4">
        <w:trPr>
          <w:trHeight w:val="142"/>
        </w:trPr>
        <w:tc>
          <w:tcPr>
            <w:tcW w:w="4489" w:type="dxa"/>
            <w:vAlign w:val="bottom"/>
          </w:tcPr>
          <w:p w14:paraId="6FBBF5A9"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Current liabilities</w:t>
            </w:r>
          </w:p>
        </w:tc>
        <w:tc>
          <w:tcPr>
            <w:tcW w:w="1191" w:type="dxa"/>
            <w:vAlign w:val="bottom"/>
          </w:tcPr>
          <w:p w14:paraId="18CC52E0"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7194263A"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5B8B6A84"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0E823614" w14:textId="77777777" w:rsidR="005E45C2" w:rsidRPr="00F01EC8" w:rsidRDefault="005E45C2" w:rsidP="005E45C2">
            <w:pPr>
              <w:jc w:val="right"/>
              <w:rPr>
                <w:rFonts w:asciiTheme="minorHAnsi" w:hAnsiTheme="minorHAnsi" w:cs="Arial"/>
                <w:sz w:val="20"/>
                <w:szCs w:val="20"/>
              </w:rPr>
            </w:pPr>
          </w:p>
        </w:tc>
      </w:tr>
      <w:tr w:rsidR="00FB2FF4" w:rsidRPr="00F01EC8" w14:paraId="155FFD30" w14:textId="77777777" w:rsidTr="00FB2FF4">
        <w:trPr>
          <w:trHeight w:val="142"/>
        </w:trPr>
        <w:tc>
          <w:tcPr>
            <w:tcW w:w="4489" w:type="dxa"/>
            <w:vAlign w:val="bottom"/>
          </w:tcPr>
          <w:p w14:paraId="1501739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Financial liabilities:</w:t>
            </w:r>
          </w:p>
        </w:tc>
        <w:tc>
          <w:tcPr>
            <w:tcW w:w="1191" w:type="dxa"/>
            <w:vAlign w:val="bottom"/>
          </w:tcPr>
          <w:p w14:paraId="73BBF80A"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0D277A77"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3E91F12F"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7FDE7CA0" w14:textId="77777777" w:rsidR="005E45C2" w:rsidRPr="00F01EC8" w:rsidRDefault="005E45C2" w:rsidP="005E45C2">
            <w:pPr>
              <w:jc w:val="right"/>
              <w:rPr>
                <w:rFonts w:asciiTheme="minorHAnsi" w:hAnsiTheme="minorHAnsi" w:cs="Arial"/>
                <w:sz w:val="20"/>
                <w:szCs w:val="20"/>
              </w:rPr>
            </w:pPr>
          </w:p>
        </w:tc>
      </w:tr>
      <w:tr w:rsidR="00FB2FF4" w:rsidRPr="00F01EC8" w14:paraId="217E9683" w14:textId="77777777" w:rsidTr="00FB2FF4">
        <w:trPr>
          <w:trHeight w:val="142"/>
        </w:trPr>
        <w:tc>
          <w:tcPr>
            <w:tcW w:w="4489" w:type="dxa"/>
            <w:vAlign w:val="bottom"/>
          </w:tcPr>
          <w:p w14:paraId="1E80E60B"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retail deposits</w:t>
            </w:r>
          </w:p>
        </w:tc>
        <w:tc>
          <w:tcPr>
            <w:tcW w:w="1191" w:type="dxa"/>
            <w:vAlign w:val="bottom"/>
          </w:tcPr>
          <w:p w14:paraId="5205F209"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49232C65" w14:textId="16A4B7D7" w:rsidR="005E45C2"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(997.4)</w:t>
            </w:r>
          </w:p>
        </w:tc>
        <w:tc>
          <w:tcPr>
            <w:tcW w:w="1386" w:type="dxa"/>
            <w:vAlign w:val="bottom"/>
          </w:tcPr>
          <w:p w14:paraId="656AF276" w14:textId="3F79676D"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(410.0)</w:t>
            </w:r>
          </w:p>
        </w:tc>
        <w:tc>
          <w:tcPr>
            <w:tcW w:w="1325" w:type="dxa"/>
            <w:vAlign w:val="bottom"/>
          </w:tcPr>
          <w:p w14:paraId="52E4758D" w14:textId="6FAF4AF5"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(375.9)</w:t>
            </w:r>
          </w:p>
        </w:tc>
      </w:tr>
      <w:tr w:rsidR="00FB2FF4" w:rsidRPr="00F01EC8" w14:paraId="102D863A" w14:textId="77777777" w:rsidTr="00FB2FF4">
        <w:trPr>
          <w:trHeight w:val="142"/>
        </w:trPr>
        <w:tc>
          <w:tcPr>
            <w:tcW w:w="4489" w:type="dxa"/>
            <w:vAlign w:val="bottom"/>
          </w:tcPr>
          <w:p w14:paraId="1060F5D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 bank and other borrowings</w:t>
            </w:r>
          </w:p>
        </w:tc>
        <w:tc>
          <w:tcPr>
            <w:tcW w:w="1191" w:type="dxa"/>
            <w:vAlign w:val="bottom"/>
          </w:tcPr>
          <w:p w14:paraId="72C3C8D6" w14:textId="77777777" w:rsidR="005E45C2" w:rsidRPr="00F01EC8" w:rsidRDefault="005E45C2" w:rsidP="005E45C2">
            <w:pPr>
              <w:jc w:val="right"/>
              <w:rPr>
                <w:rFonts w:asciiTheme="minorHAnsi" w:hAnsiTheme="minorHAnsi" w:cs="Arial"/>
                <w:sz w:val="20"/>
                <w:szCs w:val="20"/>
              </w:rPr>
            </w:pPr>
          </w:p>
        </w:tc>
        <w:tc>
          <w:tcPr>
            <w:tcW w:w="1522" w:type="dxa"/>
            <w:tcBorders>
              <w:bottom w:val="single" w:sz="4" w:space="0" w:color="auto"/>
            </w:tcBorders>
            <w:vAlign w:val="bottom"/>
          </w:tcPr>
          <w:p w14:paraId="5BFCBF7D" w14:textId="482D66CE" w:rsidR="005E45C2"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(0.8)</w:t>
            </w:r>
          </w:p>
        </w:tc>
        <w:tc>
          <w:tcPr>
            <w:tcW w:w="1386" w:type="dxa"/>
            <w:tcBorders>
              <w:bottom w:val="single" w:sz="4" w:space="0" w:color="auto"/>
            </w:tcBorders>
            <w:vAlign w:val="bottom"/>
          </w:tcPr>
          <w:p w14:paraId="0A4B0118" w14:textId="29D63163"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(53.5)</w:t>
            </w:r>
          </w:p>
        </w:tc>
        <w:tc>
          <w:tcPr>
            <w:tcW w:w="1325" w:type="dxa"/>
            <w:tcBorders>
              <w:bottom w:val="single" w:sz="4" w:space="0" w:color="auto"/>
            </w:tcBorders>
            <w:vAlign w:val="bottom"/>
          </w:tcPr>
          <w:p w14:paraId="7A75B1A8" w14:textId="295E485F"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(83.8)</w:t>
            </w:r>
          </w:p>
        </w:tc>
      </w:tr>
      <w:tr w:rsidR="00FB2FF4" w:rsidRPr="00F01EC8" w14:paraId="3A1F13BA" w14:textId="77777777" w:rsidTr="00FB2FF4">
        <w:trPr>
          <w:trHeight w:val="142"/>
        </w:trPr>
        <w:tc>
          <w:tcPr>
            <w:tcW w:w="4489" w:type="dxa"/>
            <w:vAlign w:val="bottom"/>
          </w:tcPr>
          <w:p w14:paraId="3D830CDA"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Total borrowings</w:t>
            </w:r>
          </w:p>
        </w:tc>
        <w:tc>
          <w:tcPr>
            <w:tcW w:w="1191" w:type="dxa"/>
            <w:vAlign w:val="bottom"/>
          </w:tcPr>
          <w:p w14:paraId="6790E05C"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bottom w:val="single" w:sz="4" w:space="0" w:color="auto"/>
            </w:tcBorders>
            <w:vAlign w:val="bottom"/>
          </w:tcPr>
          <w:p w14:paraId="3BFC091B" w14:textId="10CDD36A" w:rsidR="005E45C2"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(998.2)</w:t>
            </w:r>
            <w:r w:rsidR="00A241E0" w:rsidRPr="00F01EC8" w:rsidDel="00CE207E">
              <w:rPr>
                <w:rFonts w:asciiTheme="minorHAnsi" w:hAnsiTheme="minorHAnsi" w:cs="Arial"/>
                <w:sz w:val="20"/>
                <w:szCs w:val="20"/>
              </w:rPr>
              <w:t xml:space="preserve"> </w:t>
            </w:r>
          </w:p>
        </w:tc>
        <w:tc>
          <w:tcPr>
            <w:tcW w:w="1386" w:type="dxa"/>
            <w:tcBorders>
              <w:top w:val="single" w:sz="4" w:space="0" w:color="auto"/>
              <w:bottom w:val="single" w:sz="4" w:space="0" w:color="auto"/>
            </w:tcBorders>
            <w:vAlign w:val="bottom"/>
          </w:tcPr>
          <w:p w14:paraId="4EF628EC" w14:textId="47785038"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(463.5)</w:t>
            </w:r>
          </w:p>
        </w:tc>
        <w:tc>
          <w:tcPr>
            <w:tcW w:w="1325" w:type="dxa"/>
            <w:tcBorders>
              <w:top w:val="single" w:sz="4" w:space="0" w:color="auto"/>
              <w:bottom w:val="single" w:sz="4" w:space="0" w:color="auto"/>
            </w:tcBorders>
            <w:vAlign w:val="bottom"/>
          </w:tcPr>
          <w:p w14:paraId="548CD6F3" w14:textId="43A0DFB1"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(459.7)</w:t>
            </w:r>
          </w:p>
        </w:tc>
      </w:tr>
      <w:tr w:rsidR="00FB2FF4" w:rsidRPr="00F01EC8" w14:paraId="0835017A" w14:textId="77777777" w:rsidTr="00FB2FF4">
        <w:trPr>
          <w:trHeight w:val="142"/>
        </w:trPr>
        <w:tc>
          <w:tcPr>
            <w:tcW w:w="4489" w:type="dxa"/>
            <w:vAlign w:val="bottom"/>
          </w:tcPr>
          <w:p w14:paraId="55448C2D" w14:textId="77777777" w:rsidR="005E45C2" w:rsidRPr="00F01EC8" w:rsidRDefault="005E45C2" w:rsidP="005E45C2">
            <w:pPr>
              <w:rPr>
                <w:rFonts w:asciiTheme="minorHAnsi" w:hAnsiTheme="minorHAnsi" w:cs="Arial"/>
                <w:sz w:val="20"/>
                <w:szCs w:val="20"/>
                <w:lang w:val="en-US"/>
              </w:rPr>
            </w:pPr>
            <w:r w:rsidRPr="00F01EC8">
              <w:rPr>
                <w:rFonts w:asciiTheme="minorHAnsi" w:hAnsiTheme="minorHAnsi" w:cs="Arial"/>
                <w:sz w:val="20"/>
                <w:szCs w:val="20"/>
              </w:rPr>
              <w:t>–</w:t>
            </w:r>
            <w:r w:rsidRPr="00F01EC8">
              <w:rPr>
                <w:rFonts w:asciiTheme="minorHAnsi" w:hAnsiTheme="minorHAnsi" w:cs="Arial"/>
                <w:sz w:val="20"/>
                <w:szCs w:val="20"/>
                <w:lang w:val="en-US"/>
              </w:rPr>
              <w:t xml:space="preserve"> trade and other payables</w:t>
            </w:r>
          </w:p>
        </w:tc>
        <w:tc>
          <w:tcPr>
            <w:tcW w:w="1191" w:type="dxa"/>
            <w:vAlign w:val="bottom"/>
          </w:tcPr>
          <w:p w14:paraId="41C290BC"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603755D6" w14:textId="314F6C07"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(80.1</w:t>
            </w:r>
            <w:r w:rsidR="00FB2FF4" w:rsidRPr="00F01EC8">
              <w:rPr>
                <w:rFonts w:asciiTheme="minorHAnsi" w:hAnsiTheme="minorHAnsi" w:cs="Arial"/>
                <w:sz w:val="20"/>
                <w:szCs w:val="20"/>
              </w:rPr>
              <w:t>)</w:t>
            </w:r>
          </w:p>
        </w:tc>
        <w:tc>
          <w:tcPr>
            <w:tcW w:w="1386" w:type="dxa"/>
            <w:vAlign w:val="bottom"/>
          </w:tcPr>
          <w:p w14:paraId="45E4CEE7" w14:textId="3A94B6B2"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(89.3)</w:t>
            </w:r>
          </w:p>
        </w:tc>
        <w:tc>
          <w:tcPr>
            <w:tcW w:w="1325" w:type="dxa"/>
            <w:vAlign w:val="bottom"/>
          </w:tcPr>
          <w:p w14:paraId="75E25DCA" w14:textId="0F6CCF6F"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(92.3)</w:t>
            </w:r>
          </w:p>
        </w:tc>
      </w:tr>
      <w:tr w:rsidR="00FB2FF4" w:rsidRPr="00F01EC8" w14:paraId="14329A46" w14:textId="77777777" w:rsidTr="00FB2FF4">
        <w:trPr>
          <w:trHeight w:val="142"/>
        </w:trPr>
        <w:tc>
          <w:tcPr>
            <w:tcW w:w="4489" w:type="dxa"/>
            <w:vAlign w:val="bottom"/>
          </w:tcPr>
          <w:p w14:paraId="748658CB"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w:t>
            </w:r>
            <w:r w:rsidRPr="00F01EC8">
              <w:rPr>
                <w:rFonts w:asciiTheme="minorHAnsi" w:hAnsiTheme="minorHAnsi" w:cs="Arial"/>
                <w:sz w:val="20"/>
                <w:szCs w:val="20"/>
                <w:lang w:val="en-US"/>
              </w:rPr>
              <w:t xml:space="preserve"> lease liabilities</w:t>
            </w:r>
          </w:p>
        </w:tc>
        <w:tc>
          <w:tcPr>
            <w:tcW w:w="1191" w:type="dxa"/>
            <w:vAlign w:val="bottom"/>
          </w:tcPr>
          <w:p w14:paraId="61095BC8" w14:textId="60650C77" w:rsidR="005E45C2" w:rsidRPr="00F01EC8" w:rsidRDefault="005E45C2" w:rsidP="005E45C2">
            <w:pPr>
              <w:jc w:val="right"/>
              <w:rPr>
                <w:rFonts w:asciiTheme="minorHAnsi" w:hAnsiTheme="minorHAnsi" w:cs="Arial"/>
                <w:sz w:val="20"/>
                <w:szCs w:val="20"/>
              </w:rPr>
            </w:pPr>
          </w:p>
        </w:tc>
        <w:tc>
          <w:tcPr>
            <w:tcW w:w="1522" w:type="dxa"/>
            <w:vAlign w:val="bottom"/>
          </w:tcPr>
          <w:p w14:paraId="3F12E132" w14:textId="2BA90830" w:rsidR="005E45C2" w:rsidRPr="00F01EC8" w:rsidRDefault="008969BE" w:rsidP="008969BE">
            <w:pPr>
              <w:jc w:val="right"/>
              <w:rPr>
                <w:rFonts w:asciiTheme="minorHAnsi" w:hAnsiTheme="minorHAnsi" w:cs="Arial"/>
                <w:sz w:val="20"/>
                <w:szCs w:val="20"/>
              </w:rPr>
            </w:pPr>
            <w:r w:rsidRPr="00F01EC8">
              <w:rPr>
                <w:rFonts w:asciiTheme="minorHAnsi" w:hAnsiTheme="minorHAnsi" w:cs="Arial"/>
                <w:sz w:val="20"/>
                <w:szCs w:val="20"/>
              </w:rPr>
              <w:t>(9.5)</w:t>
            </w:r>
          </w:p>
        </w:tc>
        <w:tc>
          <w:tcPr>
            <w:tcW w:w="1386" w:type="dxa"/>
            <w:vAlign w:val="bottom"/>
          </w:tcPr>
          <w:p w14:paraId="52561753" w14:textId="00535F45"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(10.2)</w:t>
            </w:r>
          </w:p>
        </w:tc>
        <w:tc>
          <w:tcPr>
            <w:tcW w:w="1325" w:type="dxa"/>
            <w:vAlign w:val="bottom"/>
          </w:tcPr>
          <w:p w14:paraId="4BC9B507" w14:textId="33E938AB"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(13.6)</w:t>
            </w:r>
          </w:p>
        </w:tc>
      </w:tr>
      <w:tr w:rsidR="00FB2FF4" w:rsidRPr="00F01EC8" w14:paraId="3FD18261" w14:textId="77777777" w:rsidTr="00FB2FF4">
        <w:trPr>
          <w:trHeight w:val="142"/>
        </w:trPr>
        <w:tc>
          <w:tcPr>
            <w:tcW w:w="4489" w:type="dxa"/>
            <w:vAlign w:val="bottom"/>
          </w:tcPr>
          <w:p w14:paraId="745522E7" w14:textId="77777777" w:rsidR="005E45C2" w:rsidRPr="00F01EC8" w:rsidRDefault="005E45C2" w:rsidP="005E45C2">
            <w:pPr>
              <w:rPr>
                <w:rFonts w:asciiTheme="minorHAnsi" w:hAnsiTheme="minorHAnsi" w:cs="Arial"/>
                <w:sz w:val="20"/>
                <w:szCs w:val="20"/>
                <w:lang w:val="fr-FR"/>
              </w:rPr>
            </w:pPr>
            <w:r w:rsidRPr="00F01EC8">
              <w:rPr>
                <w:rFonts w:asciiTheme="minorHAnsi" w:hAnsiTheme="minorHAnsi" w:cs="Arial"/>
                <w:sz w:val="20"/>
                <w:szCs w:val="20"/>
              </w:rPr>
              <w:t>Current</w:t>
            </w:r>
            <w:r w:rsidRPr="00F01EC8">
              <w:rPr>
                <w:rFonts w:asciiTheme="minorHAnsi" w:hAnsiTheme="minorHAnsi" w:cs="Arial"/>
                <w:sz w:val="20"/>
                <w:szCs w:val="20"/>
                <w:lang w:val="fr-FR"/>
              </w:rPr>
              <w:t xml:space="preserve"> </w:t>
            </w:r>
            <w:proofErr w:type="spellStart"/>
            <w:r w:rsidRPr="00F01EC8">
              <w:rPr>
                <w:rFonts w:asciiTheme="minorHAnsi" w:hAnsiTheme="minorHAnsi" w:cs="Arial"/>
                <w:sz w:val="20"/>
                <w:szCs w:val="20"/>
                <w:lang w:val="fr-FR"/>
              </w:rPr>
              <w:t>tax</w:t>
            </w:r>
            <w:proofErr w:type="spellEnd"/>
            <w:r w:rsidRPr="00F01EC8">
              <w:rPr>
                <w:rFonts w:asciiTheme="minorHAnsi" w:hAnsiTheme="minorHAnsi" w:cs="Arial"/>
                <w:sz w:val="20"/>
                <w:szCs w:val="20"/>
                <w:lang w:val="fr-FR"/>
              </w:rPr>
              <w:t xml:space="preserve"> </w:t>
            </w:r>
            <w:proofErr w:type="spellStart"/>
            <w:r w:rsidRPr="00F01EC8">
              <w:rPr>
                <w:rFonts w:asciiTheme="minorHAnsi" w:hAnsiTheme="minorHAnsi" w:cs="Arial"/>
                <w:sz w:val="20"/>
                <w:szCs w:val="20"/>
                <w:lang w:val="fr-FR"/>
              </w:rPr>
              <w:t>liabilities</w:t>
            </w:r>
            <w:proofErr w:type="spellEnd"/>
          </w:p>
        </w:tc>
        <w:tc>
          <w:tcPr>
            <w:tcW w:w="1191" w:type="dxa"/>
            <w:vAlign w:val="bottom"/>
          </w:tcPr>
          <w:p w14:paraId="0128EFF5" w14:textId="77777777" w:rsidR="005E45C2" w:rsidRPr="00F01EC8" w:rsidRDefault="005E45C2" w:rsidP="005E45C2">
            <w:pPr>
              <w:jc w:val="right"/>
              <w:rPr>
                <w:rFonts w:asciiTheme="minorHAnsi" w:hAnsiTheme="minorHAnsi" w:cs="Arial"/>
                <w:sz w:val="20"/>
                <w:szCs w:val="20"/>
                <w:lang w:val="fr-FR"/>
              </w:rPr>
            </w:pPr>
          </w:p>
        </w:tc>
        <w:tc>
          <w:tcPr>
            <w:tcW w:w="1522" w:type="dxa"/>
            <w:vAlign w:val="bottom"/>
          </w:tcPr>
          <w:p w14:paraId="1A8A3D2F" w14:textId="456F9C81" w:rsidR="005E45C2" w:rsidRPr="00F01EC8" w:rsidRDefault="008969BE" w:rsidP="00FB2FF4">
            <w:pPr>
              <w:jc w:val="right"/>
              <w:rPr>
                <w:rFonts w:asciiTheme="minorHAnsi" w:hAnsiTheme="minorHAnsi" w:cs="Arial"/>
                <w:sz w:val="20"/>
                <w:szCs w:val="20"/>
                <w:lang w:val="fr-FR"/>
              </w:rPr>
            </w:pPr>
            <w:r w:rsidRPr="00F01EC8">
              <w:rPr>
                <w:rFonts w:asciiTheme="minorHAnsi" w:hAnsiTheme="minorHAnsi" w:cs="Arial"/>
                <w:sz w:val="20"/>
                <w:szCs w:val="20"/>
                <w:lang w:val="fr-FR"/>
              </w:rPr>
              <w:t>(12.0</w:t>
            </w:r>
            <w:r w:rsidR="00FB2FF4" w:rsidRPr="00F01EC8">
              <w:rPr>
                <w:rFonts w:asciiTheme="minorHAnsi" w:hAnsiTheme="minorHAnsi" w:cs="Arial"/>
                <w:sz w:val="20"/>
                <w:szCs w:val="20"/>
                <w:lang w:val="fr-FR"/>
              </w:rPr>
              <w:t>)</w:t>
            </w:r>
          </w:p>
        </w:tc>
        <w:tc>
          <w:tcPr>
            <w:tcW w:w="1386" w:type="dxa"/>
            <w:vAlign w:val="bottom"/>
          </w:tcPr>
          <w:p w14:paraId="4459E9E0" w14:textId="31927AA3"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(34.7)</w:t>
            </w:r>
          </w:p>
        </w:tc>
        <w:tc>
          <w:tcPr>
            <w:tcW w:w="1325" w:type="dxa"/>
            <w:vAlign w:val="bottom"/>
          </w:tcPr>
          <w:p w14:paraId="486E0563" w14:textId="6596C78C"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(30.6)</w:t>
            </w:r>
          </w:p>
        </w:tc>
      </w:tr>
      <w:tr w:rsidR="00FB2FF4" w:rsidRPr="00F01EC8" w14:paraId="4BA9BF9B" w14:textId="77777777" w:rsidTr="00FB2FF4">
        <w:trPr>
          <w:trHeight w:val="142"/>
        </w:trPr>
        <w:tc>
          <w:tcPr>
            <w:tcW w:w="4489" w:type="dxa"/>
            <w:vAlign w:val="bottom"/>
          </w:tcPr>
          <w:p w14:paraId="63838DCA" w14:textId="77777777" w:rsidR="005E45C2" w:rsidRPr="00F01EC8" w:rsidRDefault="005E45C2" w:rsidP="005E45C2">
            <w:pPr>
              <w:rPr>
                <w:rFonts w:asciiTheme="minorHAnsi" w:hAnsiTheme="minorHAnsi" w:cs="Arial"/>
                <w:sz w:val="20"/>
                <w:szCs w:val="20"/>
                <w:lang w:val="fr-FR"/>
              </w:rPr>
            </w:pPr>
            <w:r w:rsidRPr="00F01EC8">
              <w:rPr>
                <w:rFonts w:asciiTheme="minorHAnsi" w:hAnsiTheme="minorHAnsi" w:cs="Arial"/>
                <w:sz w:val="20"/>
                <w:szCs w:val="20"/>
                <w:lang w:val="fr-FR"/>
              </w:rPr>
              <w:t>Provisions</w:t>
            </w:r>
          </w:p>
        </w:tc>
        <w:tc>
          <w:tcPr>
            <w:tcW w:w="1191" w:type="dxa"/>
            <w:vAlign w:val="bottom"/>
          </w:tcPr>
          <w:p w14:paraId="48E37452" w14:textId="77777777"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12</w:t>
            </w:r>
          </w:p>
        </w:tc>
        <w:tc>
          <w:tcPr>
            <w:tcW w:w="1522" w:type="dxa"/>
            <w:tcBorders>
              <w:left w:val="nil"/>
              <w:bottom w:val="single" w:sz="4" w:space="0" w:color="auto"/>
              <w:right w:val="nil"/>
            </w:tcBorders>
            <w:vAlign w:val="bottom"/>
          </w:tcPr>
          <w:p w14:paraId="58F243E1" w14:textId="728D1FE6" w:rsidR="005E45C2" w:rsidRPr="00F01EC8" w:rsidRDefault="008969BE"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(9.0</w:t>
            </w:r>
            <w:r w:rsidR="00FB2FF4" w:rsidRPr="00F01EC8">
              <w:rPr>
                <w:rFonts w:asciiTheme="minorHAnsi" w:hAnsiTheme="minorHAnsi" w:cs="Arial"/>
                <w:sz w:val="20"/>
                <w:szCs w:val="20"/>
                <w:lang w:val="fr-FR"/>
              </w:rPr>
              <w:t>)</w:t>
            </w:r>
          </w:p>
        </w:tc>
        <w:tc>
          <w:tcPr>
            <w:tcW w:w="1386" w:type="dxa"/>
            <w:tcBorders>
              <w:left w:val="nil"/>
              <w:bottom w:val="single" w:sz="4" w:space="0" w:color="auto"/>
              <w:right w:val="nil"/>
            </w:tcBorders>
            <w:vAlign w:val="bottom"/>
          </w:tcPr>
          <w:p w14:paraId="612303A0" w14:textId="6AE066C7"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(14.5)</w:t>
            </w:r>
          </w:p>
        </w:tc>
        <w:tc>
          <w:tcPr>
            <w:tcW w:w="1325" w:type="dxa"/>
            <w:tcBorders>
              <w:left w:val="nil"/>
              <w:bottom w:val="single" w:sz="4" w:space="0" w:color="auto"/>
              <w:right w:val="nil"/>
            </w:tcBorders>
            <w:vAlign w:val="bottom"/>
          </w:tcPr>
          <w:p w14:paraId="174EF8C1" w14:textId="0C5EA35D"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(35.6)</w:t>
            </w:r>
          </w:p>
        </w:tc>
      </w:tr>
      <w:tr w:rsidR="00FB2FF4" w:rsidRPr="00F01EC8" w14:paraId="1BAFF685" w14:textId="77777777" w:rsidTr="00FB2FF4">
        <w:trPr>
          <w:trHeight w:val="142"/>
        </w:trPr>
        <w:tc>
          <w:tcPr>
            <w:tcW w:w="4489" w:type="dxa"/>
            <w:vAlign w:val="bottom"/>
          </w:tcPr>
          <w:p w14:paraId="4A287FB0" w14:textId="77777777" w:rsidR="005E45C2" w:rsidRPr="00F01EC8" w:rsidRDefault="005E45C2" w:rsidP="005E45C2">
            <w:pPr>
              <w:rPr>
                <w:rFonts w:asciiTheme="minorHAnsi" w:hAnsiTheme="minorHAnsi" w:cs="Arial"/>
                <w:sz w:val="20"/>
                <w:szCs w:val="20"/>
                <w:lang w:val="fr-FR"/>
              </w:rPr>
            </w:pPr>
          </w:p>
        </w:tc>
        <w:tc>
          <w:tcPr>
            <w:tcW w:w="1191" w:type="dxa"/>
            <w:vAlign w:val="bottom"/>
          </w:tcPr>
          <w:p w14:paraId="0EB76FBD" w14:textId="77777777" w:rsidR="005E45C2" w:rsidRPr="00F01EC8" w:rsidRDefault="005E45C2" w:rsidP="005E45C2">
            <w:pPr>
              <w:jc w:val="right"/>
              <w:rPr>
                <w:rFonts w:asciiTheme="minorHAnsi" w:hAnsiTheme="minorHAnsi" w:cs="Arial"/>
                <w:sz w:val="20"/>
                <w:szCs w:val="20"/>
                <w:lang w:val="fr-FR"/>
              </w:rPr>
            </w:pPr>
          </w:p>
        </w:tc>
        <w:tc>
          <w:tcPr>
            <w:tcW w:w="1522" w:type="dxa"/>
            <w:tcBorders>
              <w:top w:val="single" w:sz="4" w:space="0" w:color="auto"/>
              <w:left w:val="nil"/>
              <w:bottom w:val="single" w:sz="4" w:space="0" w:color="auto"/>
              <w:right w:val="nil"/>
            </w:tcBorders>
            <w:vAlign w:val="bottom"/>
          </w:tcPr>
          <w:p w14:paraId="2E464F3F" w14:textId="0F412010" w:rsidR="005E45C2" w:rsidRPr="00F01EC8" w:rsidRDefault="008969BE"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(1,108.8)</w:t>
            </w:r>
          </w:p>
        </w:tc>
        <w:tc>
          <w:tcPr>
            <w:tcW w:w="1386" w:type="dxa"/>
            <w:tcBorders>
              <w:top w:val="single" w:sz="4" w:space="0" w:color="auto"/>
              <w:left w:val="nil"/>
              <w:bottom w:val="single" w:sz="4" w:space="0" w:color="auto"/>
              <w:right w:val="nil"/>
            </w:tcBorders>
            <w:vAlign w:val="bottom"/>
          </w:tcPr>
          <w:p w14:paraId="5A5AF675" w14:textId="7E251E41"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lang w:val="fr-FR"/>
              </w:rPr>
              <w:t>(612.2)</w:t>
            </w:r>
          </w:p>
        </w:tc>
        <w:tc>
          <w:tcPr>
            <w:tcW w:w="1325" w:type="dxa"/>
            <w:tcBorders>
              <w:top w:val="single" w:sz="4" w:space="0" w:color="auto"/>
              <w:left w:val="nil"/>
              <w:bottom w:val="single" w:sz="4" w:space="0" w:color="auto"/>
              <w:right w:val="nil"/>
            </w:tcBorders>
            <w:vAlign w:val="bottom"/>
          </w:tcPr>
          <w:p w14:paraId="6EADC6C9" w14:textId="1878BB14" w:rsidR="005E45C2" w:rsidRPr="00F01EC8" w:rsidRDefault="005E45C2" w:rsidP="005E45C2">
            <w:pPr>
              <w:jc w:val="right"/>
              <w:rPr>
                <w:rFonts w:asciiTheme="minorHAnsi" w:hAnsiTheme="minorHAnsi" w:cs="Arial"/>
                <w:sz w:val="20"/>
                <w:szCs w:val="20"/>
                <w:lang w:val="fr-FR"/>
              </w:rPr>
            </w:pPr>
            <w:r w:rsidRPr="00F01EC8">
              <w:rPr>
                <w:rFonts w:asciiTheme="minorHAnsi" w:hAnsiTheme="minorHAnsi" w:cs="Arial"/>
                <w:sz w:val="20"/>
                <w:szCs w:val="20"/>
              </w:rPr>
              <w:t>(631.8)</w:t>
            </w:r>
          </w:p>
        </w:tc>
      </w:tr>
      <w:tr w:rsidR="00FB2FF4" w:rsidRPr="00F01EC8" w14:paraId="0B42AC50" w14:textId="77777777" w:rsidTr="00FB2FF4">
        <w:trPr>
          <w:trHeight w:val="142"/>
        </w:trPr>
        <w:tc>
          <w:tcPr>
            <w:tcW w:w="4489" w:type="dxa"/>
            <w:vAlign w:val="bottom"/>
          </w:tcPr>
          <w:p w14:paraId="48911C90" w14:textId="77777777" w:rsidR="005E45C2" w:rsidRPr="00F01EC8" w:rsidRDefault="005E45C2" w:rsidP="005E45C2">
            <w:pPr>
              <w:rPr>
                <w:rFonts w:asciiTheme="minorHAnsi" w:hAnsiTheme="minorHAnsi" w:cs="Arial"/>
                <w:b/>
                <w:sz w:val="20"/>
                <w:szCs w:val="20"/>
                <w:lang w:val="fr-FR"/>
              </w:rPr>
            </w:pPr>
            <w:r w:rsidRPr="00F01EC8">
              <w:rPr>
                <w:rFonts w:asciiTheme="minorHAnsi" w:hAnsiTheme="minorHAnsi" w:cs="Arial"/>
                <w:b/>
                <w:sz w:val="20"/>
                <w:szCs w:val="20"/>
                <w:lang w:val="fr-FR"/>
              </w:rPr>
              <w:lastRenderedPageBreak/>
              <w:t>Non-</w:t>
            </w:r>
            <w:proofErr w:type="spellStart"/>
            <w:r w:rsidRPr="00F01EC8">
              <w:rPr>
                <w:rFonts w:asciiTheme="minorHAnsi" w:hAnsiTheme="minorHAnsi" w:cs="Arial"/>
                <w:b/>
                <w:sz w:val="20"/>
                <w:szCs w:val="20"/>
                <w:lang w:val="fr-FR"/>
              </w:rPr>
              <w:t>current</w:t>
            </w:r>
            <w:proofErr w:type="spellEnd"/>
            <w:r w:rsidRPr="00F01EC8">
              <w:rPr>
                <w:rFonts w:asciiTheme="minorHAnsi" w:hAnsiTheme="minorHAnsi" w:cs="Arial"/>
                <w:b/>
                <w:sz w:val="20"/>
                <w:szCs w:val="20"/>
                <w:lang w:val="fr-FR"/>
              </w:rPr>
              <w:t xml:space="preserve"> </w:t>
            </w:r>
            <w:proofErr w:type="spellStart"/>
            <w:r w:rsidRPr="00F01EC8">
              <w:rPr>
                <w:rFonts w:asciiTheme="minorHAnsi" w:hAnsiTheme="minorHAnsi" w:cs="Arial"/>
                <w:b/>
                <w:sz w:val="20"/>
                <w:szCs w:val="20"/>
                <w:lang w:val="fr-FR"/>
              </w:rPr>
              <w:t>liabilities</w:t>
            </w:r>
            <w:proofErr w:type="spellEnd"/>
          </w:p>
        </w:tc>
        <w:tc>
          <w:tcPr>
            <w:tcW w:w="1191" w:type="dxa"/>
            <w:vAlign w:val="bottom"/>
          </w:tcPr>
          <w:p w14:paraId="0201AEC3" w14:textId="77777777" w:rsidR="005E45C2" w:rsidRPr="00F01EC8" w:rsidRDefault="005E45C2" w:rsidP="005E45C2">
            <w:pPr>
              <w:jc w:val="right"/>
              <w:rPr>
                <w:rFonts w:asciiTheme="minorHAnsi" w:hAnsiTheme="minorHAnsi" w:cs="Arial"/>
                <w:sz w:val="20"/>
                <w:szCs w:val="20"/>
                <w:lang w:val="fr-FR"/>
              </w:rPr>
            </w:pPr>
          </w:p>
        </w:tc>
        <w:tc>
          <w:tcPr>
            <w:tcW w:w="1522" w:type="dxa"/>
            <w:vAlign w:val="bottom"/>
          </w:tcPr>
          <w:p w14:paraId="159A1847" w14:textId="77777777" w:rsidR="005E45C2" w:rsidRPr="00F01EC8" w:rsidRDefault="005E45C2" w:rsidP="005E45C2">
            <w:pPr>
              <w:jc w:val="right"/>
              <w:rPr>
                <w:rFonts w:asciiTheme="minorHAnsi" w:hAnsiTheme="minorHAnsi" w:cs="Arial"/>
                <w:sz w:val="20"/>
                <w:szCs w:val="20"/>
                <w:lang w:val="fr-FR"/>
              </w:rPr>
            </w:pPr>
          </w:p>
        </w:tc>
        <w:tc>
          <w:tcPr>
            <w:tcW w:w="1386" w:type="dxa"/>
            <w:vAlign w:val="bottom"/>
          </w:tcPr>
          <w:p w14:paraId="53A2206E" w14:textId="77777777" w:rsidR="005E45C2" w:rsidRPr="00F01EC8" w:rsidRDefault="005E45C2" w:rsidP="005E45C2">
            <w:pPr>
              <w:jc w:val="right"/>
              <w:rPr>
                <w:rFonts w:asciiTheme="minorHAnsi" w:hAnsiTheme="minorHAnsi" w:cs="Arial"/>
                <w:sz w:val="20"/>
                <w:szCs w:val="20"/>
                <w:lang w:val="fr-FR"/>
              </w:rPr>
            </w:pPr>
          </w:p>
        </w:tc>
        <w:tc>
          <w:tcPr>
            <w:tcW w:w="1325" w:type="dxa"/>
            <w:vAlign w:val="bottom"/>
          </w:tcPr>
          <w:p w14:paraId="0DC2F521" w14:textId="77777777" w:rsidR="005E45C2" w:rsidRPr="00F01EC8" w:rsidRDefault="005E45C2" w:rsidP="005E45C2">
            <w:pPr>
              <w:jc w:val="right"/>
              <w:rPr>
                <w:rFonts w:asciiTheme="minorHAnsi" w:hAnsiTheme="minorHAnsi" w:cs="Arial"/>
                <w:sz w:val="20"/>
                <w:szCs w:val="20"/>
                <w:lang w:val="fr-FR"/>
              </w:rPr>
            </w:pPr>
          </w:p>
        </w:tc>
      </w:tr>
      <w:tr w:rsidR="00FB2FF4" w:rsidRPr="00F01EC8" w14:paraId="3E735221" w14:textId="77777777" w:rsidTr="00FB2FF4">
        <w:trPr>
          <w:trHeight w:val="142"/>
        </w:trPr>
        <w:tc>
          <w:tcPr>
            <w:tcW w:w="4489" w:type="dxa"/>
            <w:vAlign w:val="bottom"/>
          </w:tcPr>
          <w:p w14:paraId="17D92AD1"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Financial liabilities:</w:t>
            </w:r>
          </w:p>
        </w:tc>
        <w:tc>
          <w:tcPr>
            <w:tcW w:w="1191" w:type="dxa"/>
            <w:vAlign w:val="bottom"/>
          </w:tcPr>
          <w:p w14:paraId="014C5EC9"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69DCE3BD"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5A19B5A2"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2759E357" w14:textId="77777777" w:rsidR="005E45C2" w:rsidRPr="00F01EC8" w:rsidRDefault="005E45C2" w:rsidP="005E45C2">
            <w:pPr>
              <w:jc w:val="right"/>
              <w:rPr>
                <w:rFonts w:asciiTheme="minorHAnsi" w:hAnsiTheme="minorHAnsi" w:cs="Arial"/>
                <w:sz w:val="20"/>
                <w:szCs w:val="20"/>
              </w:rPr>
            </w:pPr>
          </w:p>
        </w:tc>
      </w:tr>
      <w:tr w:rsidR="00FB2FF4" w:rsidRPr="00F01EC8" w14:paraId="6414961F" w14:textId="77777777" w:rsidTr="00FB2FF4">
        <w:trPr>
          <w:trHeight w:val="142"/>
        </w:trPr>
        <w:tc>
          <w:tcPr>
            <w:tcW w:w="4489" w:type="dxa"/>
            <w:vAlign w:val="bottom"/>
          </w:tcPr>
          <w:p w14:paraId="69228770" w14:textId="77777777" w:rsidR="00A241E0" w:rsidRPr="00F01EC8" w:rsidRDefault="00A241E0" w:rsidP="00A241E0">
            <w:pPr>
              <w:rPr>
                <w:rFonts w:asciiTheme="minorHAnsi" w:hAnsiTheme="minorHAnsi" w:cs="Arial"/>
                <w:sz w:val="20"/>
                <w:szCs w:val="20"/>
              </w:rPr>
            </w:pPr>
            <w:r w:rsidRPr="00F01EC8">
              <w:rPr>
                <w:rFonts w:asciiTheme="minorHAnsi" w:hAnsiTheme="minorHAnsi" w:cs="Arial"/>
                <w:sz w:val="20"/>
                <w:szCs w:val="20"/>
              </w:rPr>
              <w:t>– retail deposits</w:t>
            </w:r>
          </w:p>
        </w:tc>
        <w:tc>
          <w:tcPr>
            <w:tcW w:w="1191" w:type="dxa"/>
            <w:vAlign w:val="bottom"/>
          </w:tcPr>
          <w:p w14:paraId="6CB2D084" w14:textId="77777777" w:rsidR="00A241E0" w:rsidRPr="00F01EC8" w:rsidRDefault="00A241E0" w:rsidP="00A241E0">
            <w:pPr>
              <w:jc w:val="right"/>
              <w:rPr>
                <w:rFonts w:asciiTheme="minorHAnsi" w:hAnsiTheme="minorHAnsi" w:cs="Arial"/>
                <w:sz w:val="20"/>
                <w:szCs w:val="20"/>
              </w:rPr>
            </w:pPr>
          </w:p>
        </w:tc>
        <w:tc>
          <w:tcPr>
            <w:tcW w:w="1522" w:type="dxa"/>
            <w:vAlign w:val="bottom"/>
          </w:tcPr>
          <w:p w14:paraId="22F64952" w14:textId="51037958" w:rsidR="00A241E0" w:rsidRPr="00F01EC8" w:rsidRDefault="00A241E0" w:rsidP="00A241E0">
            <w:pPr>
              <w:jc w:val="right"/>
              <w:rPr>
                <w:rFonts w:asciiTheme="minorHAnsi" w:hAnsiTheme="minorHAnsi" w:cs="Arial"/>
                <w:sz w:val="20"/>
                <w:szCs w:val="20"/>
              </w:rPr>
            </w:pPr>
            <w:r w:rsidRPr="00F01EC8">
              <w:rPr>
                <w:rFonts w:asciiTheme="minorHAnsi" w:hAnsiTheme="minorHAnsi" w:cs="Arial"/>
                <w:sz w:val="20"/>
                <w:szCs w:val="20"/>
              </w:rPr>
              <w:t>(919.9)</w:t>
            </w:r>
          </w:p>
        </w:tc>
        <w:tc>
          <w:tcPr>
            <w:tcW w:w="1386" w:type="dxa"/>
            <w:vAlign w:val="bottom"/>
          </w:tcPr>
          <w:p w14:paraId="5D67A1E2" w14:textId="5B0F2AC7" w:rsidR="00A241E0" w:rsidRPr="00F01EC8" w:rsidRDefault="00A241E0" w:rsidP="00A241E0">
            <w:pPr>
              <w:jc w:val="right"/>
              <w:rPr>
                <w:rFonts w:asciiTheme="minorHAnsi" w:hAnsiTheme="minorHAnsi" w:cs="Arial"/>
                <w:sz w:val="20"/>
                <w:szCs w:val="20"/>
              </w:rPr>
            </w:pPr>
            <w:r w:rsidRPr="00F01EC8">
              <w:rPr>
                <w:rFonts w:asciiTheme="minorHAnsi" w:hAnsiTheme="minorHAnsi" w:cs="Arial"/>
                <w:sz w:val="20"/>
                <w:szCs w:val="20"/>
              </w:rPr>
              <w:t>(935.2)</w:t>
            </w:r>
          </w:p>
        </w:tc>
        <w:tc>
          <w:tcPr>
            <w:tcW w:w="1325" w:type="dxa"/>
            <w:vAlign w:val="bottom"/>
          </w:tcPr>
          <w:p w14:paraId="6BBA45CC" w14:textId="2134326E" w:rsidR="00A241E0" w:rsidRPr="00F01EC8" w:rsidRDefault="00A241E0" w:rsidP="00A241E0">
            <w:pPr>
              <w:jc w:val="right"/>
              <w:rPr>
                <w:rFonts w:asciiTheme="minorHAnsi" w:hAnsiTheme="minorHAnsi" w:cs="Arial"/>
                <w:sz w:val="20"/>
                <w:szCs w:val="20"/>
              </w:rPr>
            </w:pPr>
            <w:r w:rsidRPr="00F01EC8">
              <w:rPr>
                <w:rFonts w:asciiTheme="minorHAnsi" w:hAnsiTheme="minorHAnsi" w:cs="Arial"/>
                <w:sz w:val="20"/>
                <w:szCs w:val="20"/>
              </w:rPr>
              <w:t>(1,096.4)</w:t>
            </w:r>
          </w:p>
        </w:tc>
      </w:tr>
      <w:tr w:rsidR="00FB2FF4" w:rsidRPr="00F01EC8" w14:paraId="793A22C7" w14:textId="77777777" w:rsidTr="00FB2FF4">
        <w:trPr>
          <w:trHeight w:val="142"/>
        </w:trPr>
        <w:tc>
          <w:tcPr>
            <w:tcW w:w="4489" w:type="dxa"/>
            <w:vAlign w:val="bottom"/>
          </w:tcPr>
          <w:p w14:paraId="04D01C93" w14:textId="77777777" w:rsidR="00A241E0" w:rsidRPr="00F01EC8" w:rsidRDefault="00A241E0" w:rsidP="00A241E0">
            <w:pPr>
              <w:rPr>
                <w:rFonts w:asciiTheme="minorHAnsi" w:hAnsiTheme="minorHAnsi" w:cs="Arial"/>
                <w:sz w:val="20"/>
                <w:szCs w:val="20"/>
              </w:rPr>
            </w:pPr>
            <w:r w:rsidRPr="00F01EC8">
              <w:rPr>
                <w:rFonts w:asciiTheme="minorHAnsi" w:hAnsiTheme="minorHAnsi" w:cs="Arial"/>
                <w:sz w:val="20"/>
                <w:szCs w:val="20"/>
              </w:rPr>
              <w:t>– bank and other borrowings</w:t>
            </w:r>
          </w:p>
        </w:tc>
        <w:tc>
          <w:tcPr>
            <w:tcW w:w="1191" w:type="dxa"/>
            <w:vAlign w:val="bottom"/>
          </w:tcPr>
          <w:p w14:paraId="3EE4E9CD" w14:textId="77777777" w:rsidR="00A241E0" w:rsidRPr="00F01EC8" w:rsidRDefault="00A241E0" w:rsidP="00A241E0">
            <w:pPr>
              <w:jc w:val="right"/>
              <w:rPr>
                <w:rFonts w:asciiTheme="minorHAnsi" w:hAnsiTheme="minorHAnsi" w:cs="Arial"/>
                <w:sz w:val="20"/>
                <w:szCs w:val="20"/>
              </w:rPr>
            </w:pPr>
          </w:p>
        </w:tc>
        <w:tc>
          <w:tcPr>
            <w:tcW w:w="1522" w:type="dxa"/>
            <w:tcBorders>
              <w:bottom w:val="single" w:sz="4" w:space="0" w:color="auto"/>
            </w:tcBorders>
            <w:vAlign w:val="bottom"/>
          </w:tcPr>
          <w:p w14:paraId="6EEA325D" w14:textId="0D52FB4A" w:rsidR="00A241E0" w:rsidRPr="00F01EC8" w:rsidRDefault="00A241E0" w:rsidP="00A241E0">
            <w:pPr>
              <w:jc w:val="right"/>
              <w:rPr>
                <w:rFonts w:asciiTheme="minorHAnsi" w:hAnsiTheme="minorHAnsi" w:cs="Arial"/>
                <w:sz w:val="20"/>
                <w:szCs w:val="20"/>
              </w:rPr>
            </w:pPr>
            <w:r w:rsidRPr="00F01EC8">
              <w:rPr>
                <w:rFonts w:asciiTheme="minorHAnsi" w:hAnsiTheme="minorHAnsi" w:cs="Arial"/>
                <w:sz w:val="20"/>
                <w:szCs w:val="20"/>
              </w:rPr>
              <w:t>(475.5)</w:t>
            </w:r>
          </w:p>
        </w:tc>
        <w:tc>
          <w:tcPr>
            <w:tcW w:w="1386" w:type="dxa"/>
            <w:tcBorders>
              <w:bottom w:val="single" w:sz="4" w:space="0" w:color="auto"/>
            </w:tcBorders>
            <w:vAlign w:val="bottom"/>
          </w:tcPr>
          <w:p w14:paraId="299B1246" w14:textId="5B3826FF" w:rsidR="00A241E0" w:rsidRPr="00F01EC8" w:rsidRDefault="00A241E0" w:rsidP="00A241E0">
            <w:pPr>
              <w:jc w:val="right"/>
              <w:rPr>
                <w:rFonts w:asciiTheme="minorHAnsi" w:hAnsiTheme="minorHAnsi" w:cs="Arial"/>
                <w:sz w:val="20"/>
                <w:szCs w:val="20"/>
              </w:rPr>
            </w:pPr>
            <w:r w:rsidRPr="00F01EC8">
              <w:rPr>
                <w:rFonts w:asciiTheme="minorHAnsi" w:hAnsiTheme="minorHAnsi" w:cs="Arial"/>
                <w:sz w:val="20"/>
                <w:szCs w:val="20"/>
              </w:rPr>
              <w:t>(564.8)</w:t>
            </w:r>
          </w:p>
        </w:tc>
        <w:tc>
          <w:tcPr>
            <w:tcW w:w="1325" w:type="dxa"/>
            <w:tcBorders>
              <w:bottom w:val="single" w:sz="4" w:space="0" w:color="auto"/>
            </w:tcBorders>
            <w:vAlign w:val="bottom"/>
          </w:tcPr>
          <w:p w14:paraId="3D18BDE7" w14:textId="37C9D37B" w:rsidR="00A241E0" w:rsidRPr="00F01EC8" w:rsidRDefault="00A241E0" w:rsidP="00A241E0">
            <w:pPr>
              <w:jc w:val="right"/>
              <w:rPr>
                <w:rFonts w:asciiTheme="minorHAnsi" w:hAnsiTheme="minorHAnsi" w:cs="Arial"/>
                <w:sz w:val="20"/>
                <w:szCs w:val="20"/>
              </w:rPr>
            </w:pPr>
            <w:r w:rsidRPr="00F01EC8">
              <w:rPr>
                <w:rFonts w:asciiTheme="minorHAnsi" w:hAnsiTheme="minorHAnsi" w:cs="Arial"/>
                <w:sz w:val="20"/>
                <w:szCs w:val="20"/>
              </w:rPr>
              <w:t>(533.5)</w:t>
            </w:r>
          </w:p>
        </w:tc>
      </w:tr>
      <w:tr w:rsidR="00FB2FF4" w:rsidRPr="00F01EC8" w14:paraId="5BB8F6BB" w14:textId="77777777" w:rsidTr="00FB2FF4">
        <w:trPr>
          <w:trHeight w:val="142"/>
        </w:trPr>
        <w:tc>
          <w:tcPr>
            <w:tcW w:w="4489" w:type="dxa"/>
            <w:vAlign w:val="bottom"/>
          </w:tcPr>
          <w:p w14:paraId="465520A8"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Total borrowings</w:t>
            </w:r>
          </w:p>
        </w:tc>
        <w:tc>
          <w:tcPr>
            <w:tcW w:w="1191" w:type="dxa"/>
            <w:vAlign w:val="bottom"/>
          </w:tcPr>
          <w:p w14:paraId="4AD2AA51"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bottom w:val="single" w:sz="4" w:space="0" w:color="auto"/>
            </w:tcBorders>
            <w:vAlign w:val="bottom"/>
          </w:tcPr>
          <w:p w14:paraId="0EDCC4BD" w14:textId="437F02F3" w:rsidR="005E45C2" w:rsidRPr="00F01EC8" w:rsidRDefault="00A241E0" w:rsidP="005E45C2">
            <w:pPr>
              <w:jc w:val="right"/>
              <w:rPr>
                <w:rFonts w:asciiTheme="minorHAnsi" w:hAnsiTheme="minorHAnsi" w:cs="Arial"/>
                <w:sz w:val="20"/>
                <w:szCs w:val="20"/>
              </w:rPr>
            </w:pPr>
            <w:r w:rsidRPr="00F01EC8">
              <w:rPr>
                <w:rFonts w:asciiTheme="minorHAnsi" w:hAnsiTheme="minorHAnsi" w:cs="Arial"/>
                <w:sz w:val="20"/>
                <w:szCs w:val="20"/>
              </w:rPr>
              <w:t>(1,395.4)</w:t>
            </w:r>
            <w:r w:rsidRPr="00F01EC8" w:rsidDel="00CE207E">
              <w:rPr>
                <w:rFonts w:asciiTheme="minorHAnsi" w:hAnsiTheme="minorHAnsi" w:cs="Arial"/>
                <w:sz w:val="20"/>
                <w:szCs w:val="20"/>
              </w:rPr>
              <w:t xml:space="preserve"> </w:t>
            </w:r>
          </w:p>
        </w:tc>
        <w:tc>
          <w:tcPr>
            <w:tcW w:w="1386" w:type="dxa"/>
            <w:tcBorders>
              <w:top w:val="single" w:sz="4" w:space="0" w:color="auto"/>
              <w:bottom w:val="single" w:sz="4" w:space="0" w:color="auto"/>
            </w:tcBorders>
            <w:vAlign w:val="bottom"/>
          </w:tcPr>
          <w:p w14:paraId="46743BEF" w14:textId="6A3ED0D3"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(1,500.0)</w:t>
            </w:r>
          </w:p>
        </w:tc>
        <w:tc>
          <w:tcPr>
            <w:tcW w:w="1325" w:type="dxa"/>
            <w:tcBorders>
              <w:top w:val="single" w:sz="4" w:space="0" w:color="auto"/>
              <w:bottom w:val="single" w:sz="4" w:space="0" w:color="auto"/>
            </w:tcBorders>
            <w:vAlign w:val="bottom"/>
          </w:tcPr>
          <w:p w14:paraId="742C1F48" w14:textId="56DE88AB"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(1,629.9)</w:t>
            </w:r>
          </w:p>
        </w:tc>
      </w:tr>
      <w:tr w:rsidR="00FB2FF4" w:rsidRPr="00F01EC8" w14:paraId="764D49DC" w14:textId="77777777" w:rsidTr="00FB2FF4">
        <w:trPr>
          <w:trHeight w:val="142"/>
        </w:trPr>
        <w:tc>
          <w:tcPr>
            <w:tcW w:w="4489" w:type="dxa"/>
            <w:vAlign w:val="bottom"/>
          </w:tcPr>
          <w:p w14:paraId="32A9EAD3" w14:textId="3A3D0DFE" w:rsidR="00FB2FF4" w:rsidRPr="00F01EC8" w:rsidRDefault="00FB2FF4" w:rsidP="005E45C2">
            <w:pPr>
              <w:rPr>
                <w:rFonts w:asciiTheme="minorHAnsi" w:hAnsiTheme="minorHAnsi" w:cs="Arial"/>
                <w:sz w:val="20"/>
                <w:szCs w:val="20"/>
              </w:rPr>
            </w:pPr>
            <w:r w:rsidRPr="00F01EC8">
              <w:rPr>
                <w:rFonts w:asciiTheme="minorHAnsi" w:hAnsiTheme="minorHAnsi" w:cs="Arial"/>
                <w:sz w:val="20"/>
                <w:szCs w:val="20"/>
              </w:rPr>
              <w:t>–</w:t>
            </w:r>
            <w:r w:rsidRPr="00F01EC8">
              <w:rPr>
                <w:rFonts w:asciiTheme="minorHAnsi" w:hAnsiTheme="minorHAnsi" w:cs="Arial"/>
                <w:sz w:val="20"/>
                <w:szCs w:val="20"/>
                <w:lang w:val="en-US"/>
              </w:rPr>
              <w:t xml:space="preserve"> derivatives</w:t>
            </w:r>
          </w:p>
        </w:tc>
        <w:tc>
          <w:tcPr>
            <w:tcW w:w="1191" w:type="dxa"/>
            <w:vAlign w:val="bottom"/>
          </w:tcPr>
          <w:p w14:paraId="3BA26A4F" w14:textId="4401F970" w:rsidR="00FB2FF4" w:rsidRPr="00F01EC8" w:rsidRDefault="00FB2FF4" w:rsidP="005E45C2">
            <w:pPr>
              <w:jc w:val="right"/>
              <w:rPr>
                <w:rFonts w:asciiTheme="minorHAnsi" w:hAnsiTheme="minorHAnsi" w:cs="Arial"/>
                <w:sz w:val="20"/>
                <w:szCs w:val="20"/>
              </w:rPr>
            </w:pPr>
          </w:p>
        </w:tc>
        <w:tc>
          <w:tcPr>
            <w:tcW w:w="1522" w:type="dxa"/>
            <w:tcBorders>
              <w:top w:val="single" w:sz="4" w:space="0" w:color="auto"/>
            </w:tcBorders>
            <w:vAlign w:val="bottom"/>
          </w:tcPr>
          <w:p w14:paraId="60D52161" w14:textId="534E97CC" w:rsidR="00FB2FF4"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(1.2)</w:t>
            </w:r>
          </w:p>
        </w:tc>
        <w:tc>
          <w:tcPr>
            <w:tcW w:w="1386" w:type="dxa"/>
            <w:tcBorders>
              <w:top w:val="single" w:sz="4" w:space="0" w:color="auto"/>
            </w:tcBorders>
            <w:vAlign w:val="bottom"/>
          </w:tcPr>
          <w:p w14:paraId="6B6E676B" w14:textId="4108C48D" w:rsidR="00FB2FF4"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lang w:val="fr-FR"/>
              </w:rPr>
              <w:t>-</w:t>
            </w:r>
          </w:p>
        </w:tc>
        <w:tc>
          <w:tcPr>
            <w:tcW w:w="1325" w:type="dxa"/>
            <w:tcBorders>
              <w:top w:val="single" w:sz="4" w:space="0" w:color="auto"/>
            </w:tcBorders>
            <w:vAlign w:val="bottom"/>
          </w:tcPr>
          <w:p w14:paraId="05826444" w14:textId="08691BA9" w:rsidR="00FB2FF4"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lang w:val="fr-FR"/>
              </w:rPr>
              <w:t>-</w:t>
            </w:r>
          </w:p>
        </w:tc>
      </w:tr>
      <w:tr w:rsidR="00FB2FF4" w:rsidRPr="00F01EC8" w14:paraId="5277AA7D" w14:textId="77777777" w:rsidTr="00FB2FF4">
        <w:trPr>
          <w:trHeight w:val="142"/>
        </w:trPr>
        <w:tc>
          <w:tcPr>
            <w:tcW w:w="4489" w:type="dxa"/>
            <w:vAlign w:val="bottom"/>
          </w:tcPr>
          <w:p w14:paraId="61DE3B39"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w:t>
            </w:r>
            <w:r w:rsidRPr="00F01EC8">
              <w:rPr>
                <w:rFonts w:asciiTheme="minorHAnsi" w:hAnsiTheme="minorHAnsi" w:cs="Arial"/>
                <w:sz w:val="20"/>
                <w:szCs w:val="20"/>
                <w:lang w:val="en-US"/>
              </w:rPr>
              <w:t xml:space="preserve"> lease liabilities</w:t>
            </w:r>
          </w:p>
        </w:tc>
        <w:tc>
          <w:tcPr>
            <w:tcW w:w="1191" w:type="dxa"/>
            <w:vAlign w:val="bottom"/>
          </w:tcPr>
          <w:p w14:paraId="2592EB00" w14:textId="1F9C2346" w:rsidR="005E45C2" w:rsidRPr="00F01EC8" w:rsidRDefault="005E45C2" w:rsidP="005E45C2">
            <w:pPr>
              <w:jc w:val="right"/>
              <w:rPr>
                <w:rFonts w:asciiTheme="minorHAnsi" w:hAnsiTheme="minorHAnsi" w:cs="Arial"/>
                <w:sz w:val="20"/>
                <w:szCs w:val="20"/>
              </w:rPr>
            </w:pPr>
          </w:p>
        </w:tc>
        <w:tc>
          <w:tcPr>
            <w:tcW w:w="1522" w:type="dxa"/>
            <w:tcBorders>
              <w:bottom w:val="single" w:sz="4" w:space="0" w:color="auto"/>
            </w:tcBorders>
            <w:vAlign w:val="bottom"/>
          </w:tcPr>
          <w:p w14:paraId="104E2B0E" w14:textId="1F19FA61"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(64.1)</w:t>
            </w:r>
            <w:r w:rsidR="00FB2FF4" w:rsidRPr="00F01EC8" w:rsidDel="00CE207E">
              <w:rPr>
                <w:rFonts w:asciiTheme="minorHAnsi" w:hAnsiTheme="minorHAnsi" w:cs="Arial"/>
                <w:sz w:val="20"/>
                <w:szCs w:val="20"/>
              </w:rPr>
              <w:t xml:space="preserve"> </w:t>
            </w:r>
          </w:p>
        </w:tc>
        <w:tc>
          <w:tcPr>
            <w:tcW w:w="1386" w:type="dxa"/>
            <w:tcBorders>
              <w:bottom w:val="single" w:sz="4" w:space="0" w:color="auto"/>
            </w:tcBorders>
            <w:vAlign w:val="bottom"/>
          </w:tcPr>
          <w:p w14:paraId="21D67993" w14:textId="67602B7B"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(68.1)</w:t>
            </w:r>
          </w:p>
        </w:tc>
        <w:tc>
          <w:tcPr>
            <w:tcW w:w="1325" w:type="dxa"/>
            <w:tcBorders>
              <w:bottom w:val="single" w:sz="4" w:space="0" w:color="auto"/>
            </w:tcBorders>
            <w:vAlign w:val="bottom"/>
          </w:tcPr>
          <w:p w14:paraId="3C02CCCD" w14:textId="26030360"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(72.7)</w:t>
            </w:r>
          </w:p>
        </w:tc>
      </w:tr>
      <w:tr w:rsidR="00FB2FF4" w:rsidRPr="00F01EC8" w14:paraId="4191C62E" w14:textId="77777777" w:rsidTr="00FB2FF4">
        <w:trPr>
          <w:trHeight w:val="142"/>
        </w:trPr>
        <w:tc>
          <w:tcPr>
            <w:tcW w:w="4489" w:type="dxa"/>
            <w:vAlign w:val="bottom"/>
          </w:tcPr>
          <w:p w14:paraId="53D46B54"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Total liabilities</w:t>
            </w:r>
          </w:p>
        </w:tc>
        <w:tc>
          <w:tcPr>
            <w:tcW w:w="1191" w:type="dxa"/>
            <w:vAlign w:val="bottom"/>
          </w:tcPr>
          <w:p w14:paraId="17266144"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left w:val="nil"/>
              <w:bottom w:val="single" w:sz="4" w:space="0" w:color="auto"/>
              <w:right w:val="nil"/>
            </w:tcBorders>
            <w:vAlign w:val="bottom"/>
          </w:tcPr>
          <w:p w14:paraId="366E28D3" w14:textId="2258E133"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(2,569.5</w:t>
            </w:r>
            <w:r w:rsidR="00FB2FF4" w:rsidRPr="00F01EC8">
              <w:rPr>
                <w:rFonts w:asciiTheme="minorHAnsi" w:hAnsiTheme="minorHAnsi" w:cs="Arial"/>
                <w:sz w:val="20"/>
                <w:szCs w:val="20"/>
              </w:rPr>
              <w:t>)</w:t>
            </w:r>
          </w:p>
        </w:tc>
        <w:tc>
          <w:tcPr>
            <w:tcW w:w="1386" w:type="dxa"/>
            <w:tcBorders>
              <w:top w:val="single" w:sz="4" w:space="0" w:color="auto"/>
              <w:left w:val="nil"/>
              <w:bottom w:val="single" w:sz="4" w:space="0" w:color="auto"/>
              <w:right w:val="nil"/>
            </w:tcBorders>
            <w:vAlign w:val="bottom"/>
          </w:tcPr>
          <w:p w14:paraId="3B20E631" w14:textId="05C00E20"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(2,180.3)</w:t>
            </w:r>
          </w:p>
        </w:tc>
        <w:tc>
          <w:tcPr>
            <w:tcW w:w="1325" w:type="dxa"/>
            <w:tcBorders>
              <w:top w:val="single" w:sz="4" w:space="0" w:color="auto"/>
              <w:left w:val="nil"/>
              <w:bottom w:val="single" w:sz="4" w:space="0" w:color="auto"/>
              <w:right w:val="nil"/>
            </w:tcBorders>
            <w:vAlign w:val="bottom"/>
          </w:tcPr>
          <w:p w14:paraId="782BC0D6" w14:textId="4C55D2FD"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(2,334.4)</w:t>
            </w:r>
          </w:p>
        </w:tc>
      </w:tr>
      <w:tr w:rsidR="00FB2FF4" w:rsidRPr="00F01EC8" w14:paraId="0D71D672" w14:textId="77777777" w:rsidTr="00FB2FF4">
        <w:trPr>
          <w:trHeight w:val="142"/>
        </w:trPr>
        <w:tc>
          <w:tcPr>
            <w:tcW w:w="4489" w:type="dxa"/>
            <w:vAlign w:val="bottom"/>
          </w:tcPr>
          <w:p w14:paraId="106CB70B"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NET ASSETS</w:t>
            </w:r>
          </w:p>
        </w:tc>
        <w:tc>
          <w:tcPr>
            <w:tcW w:w="1191" w:type="dxa"/>
            <w:vAlign w:val="bottom"/>
          </w:tcPr>
          <w:p w14:paraId="35B6DCCA"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4</w:t>
            </w:r>
          </w:p>
        </w:tc>
        <w:tc>
          <w:tcPr>
            <w:tcW w:w="1522" w:type="dxa"/>
            <w:tcBorders>
              <w:top w:val="single" w:sz="4" w:space="0" w:color="auto"/>
              <w:left w:val="nil"/>
              <w:bottom w:val="single" w:sz="12" w:space="0" w:color="auto"/>
              <w:right w:val="nil"/>
            </w:tcBorders>
            <w:vAlign w:val="bottom"/>
          </w:tcPr>
          <w:p w14:paraId="43410946" w14:textId="4F8E6A7C"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747.9</w:t>
            </w:r>
          </w:p>
        </w:tc>
        <w:tc>
          <w:tcPr>
            <w:tcW w:w="1386" w:type="dxa"/>
            <w:tcBorders>
              <w:top w:val="single" w:sz="4" w:space="0" w:color="auto"/>
              <w:left w:val="nil"/>
              <w:bottom w:val="single" w:sz="12" w:space="0" w:color="auto"/>
              <w:right w:val="nil"/>
            </w:tcBorders>
            <w:vAlign w:val="bottom"/>
          </w:tcPr>
          <w:p w14:paraId="310D9EBE" w14:textId="2CCCC9A3"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740.5 </w:t>
            </w:r>
          </w:p>
        </w:tc>
        <w:tc>
          <w:tcPr>
            <w:tcW w:w="1325" w:type="dxa"/>
            <w:tcBorders>
              <w:top w:val="single" w:sz="4" w:space="0" w:color="auto"/>
              <w:left w:val="nil"/>
              <w:bottom w:val="single" w:sz="12" w:space="0" w:color="auto"/>
              <w:right w:val="nil"/>
            </w:tcBorders>
            <w:vAlign w:val="bottom"/>
          </w:tcPr>
          <w:p w14:paraId="728FB078" w14:textId="1BD7DEBB"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6</w:t>
            </w:r>
            <w:r w:rsidR="00FE6C1A" w:rsidRPr="00F01EC8">
              <w:rPr>
                <w:rFonts w:asciiTheme="minorHAnsi" w:hAnsiTheme="minorHAnsi" w:cs="Arial"/>
                <w:sz w:val="20"/>
                <w:szCs w:val="20"/>
              </w:rPr>
              <w:t>9</w:t>
            </w:r>
            <w:r w:rsidRPr="00F01EC8">
              <w:rPr>
                <w:rFonts w:asciiTheme="minorHAnsi" w:hAnsiTheme="minorHAnsi" w:cs="Arial"/>
                <w:sz w:val="20"/>
                <w:szCs w:val="20"/>
              </w:rPr>
              <w:t>8.1 </w:t>
            </w:r>
          </w:p>
        </w:tc>
      </w:tr>
      <w:tr w:rsidR="00FB2FF4" w:rsidRPr="00F01EC8" w14:paraId="273768F6" w14:textId="77777777" w:rsidTr="00FB2FF4">
        <w:trPr>
          <w:trHeight w:val="142"/>
        </w:trPr>
        <w:tc>
          <w:tcPr>
            <w:tcW w:w="4489" w:type="dxa"/>
            <w:vAlign w:val="bottom"/>
          </w:tcPr>
          <w:p w14:paraId="633C87CA" w14:textId="77777777" w:rsidR="005E45C2" w:rsidRPr="00F01EC8" w:rsidRDefault="005E45C2" w:rsidP="005E45C2">
            <w:pPr>
              <w:rPr>
                <w:rFonts w:asciiTheme="minorHAnsi" w:hAnsiTheme="minorHAnsi" w:cs="Arial"/>
                <w:sz w:val="20"/>
                <w:szCs w:val="20"/>
              </w:rPr>
            </w:pPr>
          </w:p>
        </w:tc>
        <w:tc>
          <w:tcPr>
            <w:tcW w:w="1191" w:type="dxa"/>
            <w:vAlign w:val="bottom"/>
          </w:tcPr>
          <w:p w14:paraId="243228F3" w14:textId="77777777" w:rsidR="005E45C2" w:rsidRPr="00F01EC8" w:rsidRDefault="005E45C2" w:rsidP="005E45C2">
            <w:pPr>
              <w:jc w:val="right"/>
              <w:rPr>
                <w:rFonts w:asciiTheme="minorHAnsi" w:hAnsiTheme="minorHAnsi" w:cs="Arial"/>
                <w:sz w:val="20"/>
                <w:szCs w:val="20"/>
              </w:rPr>
            </w:pPr>
          </w:p>
        </w:tc>
        <w:tc>
          <w:tcPr>
            <w:tcW w:w="1522" w:type="dxa"/>
            <w:tcBorders>
              <w:top w:val="single" w:sz="12" w:space="0" w:color="auto"/>
              <w:left w:val="nil"/>
              <w:bottom w:val="nil"/>
              <w:right w:val="nil"/>
            </w:tcBorders>
            <w:vAlign w:val="bottom"/>
          </w:tcPr>
          <w:p w14:paraId="3359C094" w14:textId="77777777" w:rsidR="005E45C2" w:rsidRPr="00F01EC8" w:rsidRDefault="005E45C2" w:rsidP="005E45C2">
            <w:pPr>
              <w:jc w:val="right"/>
              <w:rPr>
                <w:rFonts w:asciiTheme="minorHAnsi" w:hAnsiTheme="minorHAnsi" w:cs="Arial"/>
                <w:sz w:val="20"/>
                <w:szCs w:val="20"/>
              </w:rPr>
            </w:pPr>
          </w:p>
        </w:tc>
        <w:tc>
          <w:tcPr>
            <w:tcW w:w="1386" w:type="dxa"/>
            <w:tcBorders>
              <w:top w:val="single" w:sz="12" w:space="0" w:color="auto"/>
              <w:left w:val="nil"/>
              <w:bottom w:val="nil"/>
              <w:right w:val="nil"/>
            </w:tcBorders>
            <w:vAlign w:val="bottom"/>
          </w:tcPr>
          <w:p w14:paraId="153DC07D" w14:textId="77777777" w:rsidR="005E45C2" w:rsidRPr="00F01EC8" w:rsidRDefault="005E45C2" w:rsidP="005E45C2">
            <w:pPr>
              <w:jc w:val="right"/>
              <w:rPr>
                <w:rFonts w:asciiTheme="minorHAnsi" w:hAnsiTheme="minorHAnsi" w:cs="Arial"/>
                <w:sz w:val="20"/>
                <w:szCs w:val="20"/>
              </w:rPr>
            </w:pPr>
          </w:p>
        </w:tc>
        <w:tc>
          <w:tcPr>
            <w:tcW w:w="1325" w:type="dxa"/>
            <w:tcBorders>
              <w:top w:val="single" w:sz="12" w:space="0" w:color="auto"/>
              <w:left w:val="nil"/>
              <w:bottom w:val="nil"/>
              <w:right w:val="nil"/>
            </w:tcBorders>
            <w:vAlign w:val="bottom"/>
          </w:tcPr>
          <w:p w14:paraId="7D0E4343" w14:textId="77777777" w:rsidR="005E45C2" w:rsidRPr="00F01EC8" w:rsidRDefault="005E45C2" w:rsidP="005E45C2">
            <w:pPr>
              <w:jc w:val="right"/>
              <w:rPr>
                <w:rFonts w:asciiTheme="minorHAnsi" w:hAnsiTheme="minorHAnsi" w:cs="Arial"/>
                <w:sz w:val="20"/>
                <w:szCs w:val="20"/>
              </w:rPr>
            </w:pPr>
          </w:p>
        </w:tc>
      </w:tr>
      <w:tr w:rsidR="00FB2FF4" w:rsidRPr="00F01EC8" w14:paraId="1A8653EE" w14:textId="77777777" w:rsidTr="00FB2FF4">
        <w:trPr>
          <w:trHeight w:val="142"/>
        </w:trPr>
        <w:tc>
          <w:tcPr>
            <w:tcW w:w="4489" w:type="dxa"/>
            <w:vAlign w:val="bottom"/>
          </w:tcPr>
          <w:p w14:paraId="13C27684"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SHAREHOLDERS’ EQUITY</w:t>
            </w:r>
          </w:p>
        </w:tc>
        <w:tc>
          <w:tcPr>
            <w:tcW w:w="1191" w:type="dxa"/>
            <w:vAlign w:val="bottom"/>
          </w:tcPr>
          <w:p w14:paraId="264974EE"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6B17932B" w14:textId="77777777" w:rsidR="005E45C2" w:rsidRPr="00F01EC8" w:rsidRDefault="005E45C2" w:rsidP="005E45C2">
            <w:pPr>
              <w:jc w:val="right"/>
              <w:rPr>
                <w:rFonts w:asciiTheme="minorHAnsi" w:hAnsiTheme="minorHAnsi" w:cs="Arial"/>
                <w:sz w:val="20"/>
                <w:szCs w:val="20"/>
              </w:rPr>
            </w:pPr>
          </w:p>
        </w:tc>
        <w:tc>
          <w:tcPr>
            <w:tcW w:w="1386" w:type="dxa"/>
            <w:vAlign w:val="bottom"/>
          </w:tcPr>
          <w:p w14:paraId="0275C81E" w14:textId="77777777" w:rsidR="005E45C2" w:rsidRPr="00F01EC8" w:rsidRDefault="005E45C2" w:rsidP="005E45C2">
            <w:pPr>
              <w:jc w:val="right"/>
              <w:rPr>
                <w:rFonts w:asciiTheme="minorHAnsi" w:hAnsiTheme="minorHAnsi" w:cs="Arial"/>
                <w:sz w:val="20"/>
                <w:szCs w:val="20"/>
              </w:rPr>
            </w:pPr>
          </w:p>
        </w:tc>
        <w:tc>
          <w:tcPr>
            <w:tcW w:w="1325" w:type="dxa"/>
            <w:vAlign w:val="bottom"/>
          </w:tcPr>
          <w:p w14:paraId="7B8AE529" w14:textId="77777777" w:rsidR="005E45C2" w:rsidRPr="00F01EC8" w:rsidRDefault="005E45C2" w:rsidP="005E45C2">
            <w:pPr>
              <w:jc w:val="right"/>
              <w:rPr>
                <w:rFonts w:asciiTheme="minorHAnsi" w:hAnsiTheme="minorHAnsi" w:cs="Arial"/>
                <w:sz w:val="20"/>
                <w:szCs w:val="20"/>
              </w:rPr>
            </w:pPr>
          </w:p>
        </w:tc>
      </w:tr>
      <w:tr w:rsidR="00FB2FF4" w:rsidRPr="00F01EC8" w14:paraId="39917B64" w14:textId="77777777" w:rsidTr="00FB2FF4">
        <w:trPr>
          <w:trHeight w:val="142"/>
        </w:trPr>
        <w:tc>
          <w:tcPr>
            <w:tcW w:w="4489" w:type="dxa"/>
            <w:vAlign w:val="bottom"/>
          </w:tcPr>
          <w:p w14:paraId="2E4E8995"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Share capital</w:t>
            </w:r>
          </w:p>
        </w:tc>
        <w:tc>
          <w:tcPr>
            <w:tcW w:w="1191" w:type="dxa"/>
            <w:vAlign w:val="bottom"/>
          </w:tcPr>
          <w:p w14:paraId="1600F4D8"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3DBDC288" w14:textId="1B4075E9" w:rsidR="005E45C2"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52.6</w:t>
            </w:r>
          </w:p>
        </w:tc>
        <w:tc>
          <w:tcPr>
            <w:tcW w:w="1386" w:type="dxa"/>
            <w:vAlign w:val="bottom"/>
          </w:tcPr>
          <w:p w14:paraId="33DCC0DC"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52.5 </w:t>
            </w:r>
          </w:p>
        </w:tc>
        <w:tc>
          <w:tcPr>
            <w:tcW w:w="1325" w:type="dxa"/>
            <w:vAlign w:val="bottom"/>
          </w:tcPr>
          <w:p w14:paraId="36DF8F84" w14:textId="2688E270"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52.5 </w:t>
            </w:r>
          </w:p>
        </w:tc>
      </w:tr>
      <w:tr w:rsidR="00FB2FF4" w:rsidRPr="00F01EC8" w14:paraId="1735558C" w14:textId="77777777" w:rsidTr="00FB2FF4">
        <w:trPr>
          <w:trHeight w:val="142"/>
        </w:trPr>
        <w:tc>
          <w:tcPr>
            <w:tcW w:w="4489" w:type="dxa"/>
            <w:vAlign w:val="bottom"/>
          </w:tcPr>
          <w:p w14:paraId="1D378D43"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Share premium</w:t>
            </w:r>
          </w:p>
        </w:tc>
        <w:tc>
          <w:tcPr>
            <w:tcW w:w="1191" w:type="dxa"/>
            <w:vAlign w:val="bottom"/>
          </w:tcPr>
          <w:p w14:paraId="77330653"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7B8686D3" w14:textId="12F83D18" w:rsidR="005E45C2"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273.2</w:t>
            </w:r>
          </w:p>
        </w:tc>
        <w:tc>
          <w:tcPr>
            <w:tcW w:w="1386" w:type="dxa"/>
            <w:vAlign w:val="bottom"/>
          </w:tcPr>
          <w:p w14:paraId="72EF4369" w14:textId="77777777"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273.2 </w:t>
            </w:r>
          </w:p>
        </w:tc>
        <w:tc>
          <w:tcPr>
            <w:tcW w:w="1325" w:type="dxa"/>
            <w:vAlign w:val="bottom"/>
          </w:tcPr>
          <w:p w14:paraId="5FFA0F99" w14:textId="46BAB5F1"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273.2 </w:t>
            </w:r>
          </w:p>
        </w:tc>
      </w:tr>
      <w:tr w:rsidR="00FB2FF4" w:rsidRPr="00F01EC8" w14:paraId="1683EECE" w14:textId="77777777" w:rsidTr="00FB2FF4">
        <w:trPr>
          <w:trHeight w:val="142"/>
        </w:trPr>
        <w:tc>
          <w:tcPr>
            <w:tcW w:w="4489" w:type="dxa"/>
            <w:vAlign w:val="bottom"/>
          </w:tcPr>
          <w:p w14:paraId="741FA416"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Other reserves</w:t>
            </w:r>
          </w:p>
        </w:tc>
        <w:tc>
          <w:tcPr>
            <w:tcW w:w="1191" w:type="dxa"/>
            <w:vAlign w:val="bottom"/>
          </w:tcPr>
          <w:p w14:paraId="7CE6E416" w14:textId="77777777" w:rsidR="005E45C2" w:rsidRPr="00F01EC8" w:rsidRDefault="005E45C2" w:rsidP="005E45C2">
            <w:pPr>
              <w:jc w:val="right"/>
              <w:rPr>
                <w:rFonts w:asciiTheme="minorHAnsi" w:hAnsiTheme="minorHAnsi" w:cs="Arial"/>
                <w:sz w:val="20"/>
                <w:szCs w:val="20"/>
              </w:rPr>
            </w:pPr>
          </w:p>
        </w:tc>
        <w:tc>
          <w:tcPr>
            <w:tcW w:w="1522" w:type="dxa"/>
            <w:vAlign w:val="bottom"/>
          </w:tcPr>
          <w:p w14:paraId="40C92930" w14:textId="584C8634" w:rsidR="005E45C2" w:rsidRPr="00F01EC8" w:rsidRDefault="00FB2FF4" w:rsidP="005E45C2">
            <w:pPr>
              <w:jc w:val="right"/>
              <w:rPr>
                <w:rFonts w:asciiTheme="minorHAnsi" w:hAnsiTheme="minorHAnsi" w:cs="Arial"/>
                <w:sz w:val="20"/>
                <w:szCs w:val="20"/>
              </w:rPr>
            </w:pPr>
            <w:r w:rsidRPr="00F01EC8">
              <w:rPr>
                <w:rFonts w:asciiTheme="minorHAnsi" w:hAnsiTheme="minorHAnsi" w:cs="Arial"/>
                <w:sz w:val="20"/>
                <w:szCs w:val="20"/>
              </w:rPr>
              <w:t>295.5</w:t>
            </w:r>
          </w:p>
        </w:tc>
        <w:tc>
          <w:tcPr>
            <w:tcW w:w="1386" w:type="dxa"/>
            <w:vAlign w:val="bottom"/>
          </w:tcPr>
          <w:p w14:paraId="003DE065" w14:textId="189E6F8A"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295.9 </w:t>
            </w:r>
          </w:p>
        </w:tc>
        <w:tc>
          <w:tcPr>
            <w:tcW w:w="1325" w:type="dxa"/>
            <w:vAlign w:val="bottom"/>
          </w:tcPr>
          <w:p w14:paraId="60D640E1" w14:textId="2D4F946A"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295.6 </w:t>
            </w:r>
          </w:p>
        </w:tc>
      </w:tr>
      <w:tr w:rsidR="00FB2FF4" w:rsidRPr="00F01EC8" w14:paraId="192DA9FA" w14:textId="77777777" w:rsidTr="00FB2FF4">
        <w:trPr>
          <w:trHeight w:val="142"/>
        </w:trPr>
        <w:tc>
          <w:tcPr>
            <w:tcW w:w="4489" w:type="dxa"/>
            <w:vAlign w:val="bottom"/>
          </w:tcPr>
          <w:p w14:paraId="5E6D0863" w14:textId="77777777" w:rsidR="005E45C2" w:rsidRPr="00F01EC8" w:rsidRDefault="005E45C2" w:rsidP="005E45C2">
            <w:pPr>
              <w:rPr>
                <w:rFonts w:asciiTheme="minorHAnsi" w:hAnsiTheme="minorHAnsi" w:cs="Arial"/>
                <w:sz w:val="20"/>
                <w:szCs w:val="20"/>
              </w:rPr>
            </w:pPr>
            <w:r w:rsidRPr="00F01EC8">
              <w:rPr>
                <w:rFonts w:asciiTheme="minorHAnsi" w:hAnsiTheme="minorHAnsi" w:cs="Arial"/>
                <w:sz w:val="20"/>
                <w:szCs w:val="20"/>
              </w:rPr>
              <w:t>Retained earnings</w:t>
            </w:r>
          </w:p>
        </w:tc>
        <w:tc>
          <w:tcPr>
            <w:tcW w:w="1191" w:type="dxa"/>
            <w:vAlign w:val="bottom"/>
          </w:tcPr>
          <w:p w14:paraId="17E7969C" w14:textId="77777777" w:rsidR="005E45C2" w:rsidRPr="00F01EC8" w:rsidRDefault="005E45C2" w:rsidP="005E45C2">
            <w:pPr>
              <w:jc w:val="right"/>
              <w:rPr>
                <w:rFonts w:asciiTheme="minorHAnsi" w:hAnsiTheme="minorHAnsi" w:cs="Arial"/>
                <w:sz w:val="20"/>
                <w:szCs w:val="20"/>
              </w:rPr>
            </w:pPr>
          </w:p>
        </w:tc>
        <w:tc>
          <w:tcPr>
            <w:tcW w:w="1522" w:type="dxa"/>
            <w:tcBorders>
              <w:top w:val="nil"/>
              <w:left w:val="nil"/>
              <w:bottom w:val="single" w:sz="4" w:space="0" w:color="auto"/>
              <w:right w:val="nil"/>
            </w:tcBorders>
            <w:vAlign w:val="bottom"/>
          </w:tcPr>
          <w:p w14:paraId="2A898D94" w14:textId="7E156902"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126.6</w:t>
            </w:r>
          </w:p>
        </w:tc>
        <w:tc>
          <w:tcPr>
            <w:tcW w:w="1386" w:type="dxa"/>
            <w:tcBorders>
              <w:top w:val="nil"/>
              <w:left w:val="nil"/>
              <w:bottom w:val="single" w:sz="4" w:space="0" w:color="auto"/>
              <w:right w:val="nil"/>
            </w:tcBorders>
            <w:vAlign w:val="bottom"/>
          </w:tcPr>
          <w:p w14:paraId="7A09355D" w14:textId="7B3E50F3"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118.9 </w:t>
            </w:r>
          </w:p>
        </w:tc>
        <w:tc>
          <w:tcPr>
            <w:tcW w:w="1325" w:type="dxa"/>
            <w:tcBorders>
              <w:top w:val="nil"/>
              <w:left w:val="nil"/>
              <w:bottom w:val="single" w:sz="4" w:space="0" w:color="auto"/>
              <w:right w:val="nil"/>
            </w:tcBorders>
            <w:vAlign w:val="bottom"/>
          </w:tcPr>
          <w:p w14:paraId="4E511F61" w14:textId="65281521" w:rsidR="005E45C2" w:rsidRPr="00F01EC8" w:rsidRDefault="00FE6C1A" w:rsidP="005E45C2">
            <w:pPr>
              <w:jc w:val="right"/>
              <w:rPr>
                <w:rFonts w:asciiTheme="minorHAnsi" w:hAnsiTheme="minorHAnsi" w:cs="Arial"/>
                <w:sz w:val="20"/>
                <w:szCs w:val="20"/>
              </w:rPr>
            </w:pPr>
            <w:r w:rsidRPr="00F01EC8">
              <w:rPr>
                <w:rFonts w:asciiTheme="minorHAnsi" w:hAnsiTheme="minorHAnsi" w:cs="Arial"/>
                <w:sz w:val="20"/>
                <w:szCs w:val="20"/>
              </w:rPr>
              <w:t>7</w:t>
            </w:r>
            <w:r w:rsidR="005E45C2" w:rsidRPr="00F01EC8">
              <w:rPr>
                <w:rFonts w:asciiTheme="minorHAnsi" w:hAnsiTheme="minorHAnsi" w:cs="Arial"/>
                <w:sz w:val="20"/>
                <w:szCs w:val="20"/>
              </w:rPr>
              <w:t>6.8 </w:t>
            </w:r>
          </w:p>
        </w:tc>
      </w:tr>
      <w:tr w:rsidR="00FB2FF4" w:rsidRPr="00F01EC8" w14:paraId="7291142F" w14:textId="77777777" w:rsidTr="00FB2FF4">
        <w:trPr>
          <w:trHeight w:val="142"/>
        </w:trPr>
        <w:tc>
          <w:tcPr>
            <w:tcW w:w="4489" w:type="dxa"/>
            <w:vAlign w:val="bottom"/>
          </w:tcPr>
          <w:p w14:paraId="07DE9837" w14:textId="77777777" w:rsidR="005E45C2" w:rsidRPr="00F01EC8" w:rsidRDefault="005E45C2" w:rsidP="005E45C2">
            <w:pPr>
              <w:rPr>
                <w:rFonts w:asciiTheme="minorHAnsi" w:hAnsiTheme="minorHAnsi" w:cs="Arial"/>
                <w:b/>
                <w:sz w:val="20"/>
                <w:szCs w:val="20"/>
              </w:rPr>
            </w:pPr>
            <w:r w:rsidRPr="00F01EC8">
              <w:rPr>
                <w:rFonts w:asciiTheme="minorHAnsi" w:hAnsiTheme="minorHAnsi" w:cs="Arial"/>
                <w:b/>
                <w:sz w:val="20"/>
                <w:szCs w:val="20"/>
              </w:rPr>
              <w:t>TOTAL EQUITY</w:t>
            </w:r>
          </w:p>
        </w:tc>
        <w:tc>
          <w:tcPr>
            <w:tcW w:w="1191" w:type="dxa"/>
            <w:vAlign w:val="bottom"/>
          </w:tcPr>
          <w:p w14:paraId="018238E5" w14:textId="77777777" w:rsidR="005E45C2" w:rsidRPr="00F01EC8" w:rsidRDefault="005E45C2" w:rsidP="005E45C2">
            <w:pPr>
              <w:jc w:val="right"/>
              <w:rPr>
                <w:rFonts w:asciiTheme="minorHAnsi" w:hAnsiTheme="minorHAnsi" w:cs="Arial"/>
                <w:sz w:val="20"/>
                <w:szCs w:val="20"/>
              </w:rPr>
            </w:pPr>
          </w:p>
        </w:tc>
        <w:tc>
          <w:tcPr>
            <w:tcW w:w="1522" w:type="dxa"/>
            <w:tcBorders>
              <w:top w:val="single" w:sz="4" w:space="0" w:color="auto"/>
              <w:left w:val="nil"/>
              <w:bottom w:val="single" w:sz="12" w:space="0" w:color="auto"/>
              <w:right w:val="nil"/>
            </w:tcBorders>
            <w:vAlign w:val="bottom"/>
          </w:tcPr>
          <w:p w14:paraId="7BCD6488" w14:textId="713B07F6" w:rsidR="005E45C2" w:rsidRPr="00F01EC8" w:rsidRDefault="008969BE" w:rsidP="005E45C2">
            <w:pPr>
              <w:jc w:val="right"/>
              <w:rPr>
                <w:rFonts w:asciiTheme="minorHAnsi" w:hAnsiTheme="minorHAnsi" w:cs="Arial"/>
                <w:sz w:val="20"/>
                <w:szCs w:val="20"/>
              </w:rPr>
            </w:pPr>
            <w:r w:rsidRPr="00F01EC8">
              <w:rPr>
                <w:rFonts w:asciiTheme="minorHAnsi" w:hAnsiTheme="minorHAnsi" w:cs="Arial"/>
                <w:sz w:val="20"/>
                <w:szCs w:val="20"/>
              </w:rPr>
              <w:t>747.9</w:t>
            </w:r>
          </w:p>
        </w:tc>
        <w:tc>
          <w:tcPr>
            <w:tcW w:w="1386" w:type="dxa"/>
            <w:tcBorders>
              <w:top w:val="single" w:sz="4" w:space="0" w:color="auto"/>
              <w:left w:val="nil"/>
              <w:bottom w:val="single" w:sz="12" w:space="0" w:color="auto"/>
              <w:right w:val="nil"/>
            </w:tcBorders>
            <w:vAlign w:val="bottom"/>
          </w:tcPr>
          <w:p w14:paraId="1196B038" w14:textId="468C382B"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740.5 </w:t>
            </w:r>
          </w:p>
        </w:tc>
        <w:tc>
          <w:tcPr>
            <w:tcW w:w="1325" w:type="dxa"/>
            <w:tcBorders>
              <w:top w:val="single" w:sz="4" w:space="0" w:color="auto"/>
              <w:left w:val="nil"/>
              <w:bottom w:val="single" w:sz="12" w:space="0" w:color="auto"/>
              <w:right w:val="nil"/>
            </w:tcBorders>
            <w:vAlign w:val="bottom"/>
          </w:tcPr>
          <w:p w14:paraId="5CF30845" w14:textId="4878FC3E" w:rsidR="005E45C2" w:rsidRPr="00F01EC8" w:rsidRDefault="005E45C2" w:rsidP="005E45C2">
            <w:pPr>
              <w:jc w:val="right"/>
              <w:rPr>
                <w:rFonts w:asciiTheme="minorHAnsi" w:hAnsiTheme="minorHAnsi" w:cs="Arial"/>
                <w:sz w:val="20"/>
                <w:szCs w:val="20"/>
              </w:rPr>
            </w:pPr>
            <w:r w:rsidRPr="00F01EC8">
              <w:rPr>
                <w:rFonts w:asciiTheme="minorHAnsi" w:hAnsiTheme="minorHAnsi" w:cs="Arial"/>
                <w:sz w:val="20"/>
                <w:szCs w:val="20"/>
              </w:rPr>
              <w:t>6</w:t>
            </w:r>
            <w:r w:rsidR="00FE6C1A" w:rsidRPr="00F01EC8">
              <w:rPr>
                <w:rFonts w:asciiTheme="minorHAnsi" w:hAnsiTheme="minorHAnsi" w:cs="Arial"/>
                <w:sz w:val="20"/>
                <w:szCs w:val="20"/>
              </w:rPr>
              <w:t>9</w:t>
            </w:r>
            <w:r w:rsidRPr="00F01EC8">
              <w:rPr>
                <w:rFonts w:asciiTheme="minorHAnsi" w:hAnsiTheme="minorHAnsi" w:cs="Arial"/>
                <w:sz w:val="20"/>
                <w:szCs w:val="20"/>
              </w:rPr>
              <w:t>8.1 </w:t>
            </w:r>
          </w:p>
        </w:tc>
      </w:tr>
    </w:tbl>
    <w:p w14:paraId="62E853FE" w14:textId="77777777" w:rsidR="00DA6694" w:rsidRPr="00F01EC8" w:rsidRDefault="00DA6694" w:rsidP="00DA6694">
      <w:pPr>
        <w:rPr>
          <w:rFonts w:asciiTheme="minorHAnsi" w:hAnsiTheme="minorHAnsi" w:cs="Arial"/>
          <w:b/>
          <w:sz w:val="20"/>
          <w:szCs w:val="20"/>
        </w:rPr>
      </w:pPr>
    </w:p>
    <w:p w14:paraId="05EB1B3B" w14:textId="77777777" w:rsidR="00DA6694" w:rsidRPr="00F01EC8" w:rsidRDefault="00DA6694" w:rsidP="00DA6694">
      <w:pPr>
        <w:rPr>
          <w:rFonts w:asciiTheme="minorHAnsi" w:hAnsiTheme="minorHAnsi" w:cs="Arial"/>
          <w:b/>
          <w:sz w:val="20"/>
          <w:szCs w:val="20"/>
        </w:rPr>
      </w:pPr>
    </w:p>
    <w:p w14:paraId="4D48848A" w14:textId="77777777" w:rsidR="00DA6694" w:rsidRPr="00F01EC8" w:rsidRDefault="00DA6694" w:rsidP="00DA6694">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F01EC8">
        <w:rPr>
          <w:rFonts w:asciiTheme="minorHAnsi" w:hAnsiTheme="minorHAnsi" w:cs="Arial"/>
          <w:b/>
          <w:sz w:val="20"/>
          <w:szCs w:val="20"/>
        </w:rPr>
        <w:t>Consolidated statement of changes in shareholders’ equity</w:t>
      </w:r>
    </w:p>
    <w:p w14:paraId="7211852F" w14:textId="77777777" w:rsidR="00DA6694" w:rsidRPr="00F01EC8" w:rsidRDefault="00DA6694" w:rsidP="00DA6694">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tbl>
      <w:tblPr>
        <w:tblW w:w="9889" w:type="dxa"/>
        <w:tblLayout w:type="fixed"/>
        <w:tblLook w:val="0000" w:firstRow="0" w:lastRow="0" w:firstColumn="0" w:lastColumn="0" w:noHBand="0" w:noVBand="0"/>
      </w:tblPr>
      <w:tblGrid>
        <w:gridCol w:w="5195"/>
        <w:gridCol w:w="849"/>
        <w:gridCol w:w="1018"/>
        <w:gridCol w:w="989"/>
        <w:gridCol w:w="1021"/>
        <w:gridCol w:w="817"/>
      </w:tblGrid>
      <w:tr w:rsidR="00DA6694" w:rsidRPr="00F01EC8" w14:paraId="481FEF25" w14:textId="77777777" w:rsidTr="00FB2FF4">
        <w:tc>
          <w:tcPr>
            <w:tcW w:w="5195" w:type="dxa"/>
          </w:tcPr>
          <w:p w14:paraId="252F6139" w14:textId="77777777" w:rsidR="00DA6694" w:rsidRPr="00F01EC8" w:rsidRDefault="00DA6694" w:rsidP="00AC0A5D">
            <w:pPr>
              <w:rPr>
                <w:rFonts w:asciiTheme="minorHAnsi" w:hAnsiTheme="minorHAnsi" w:cs="Arial"/>
                <w:sz w:val="20"/>
                <w:szCs w:val="20"/>
              </w:rPr>
            </w:pPr>
          </w:p>
        </w:tc>
        <w:tc>
          <w:tcPr>
            <w:tcW w:w="849" w:type="dxa"/>
            <w:tcBorders>
              <w:top w:val="nil"/>
              <w:left w:val="nil"/>
              <w:bottom w:val="single" w:sz="4" w:space="0" w:color="auto"/>
              <w:right w:val="nil"/>
            </w:tcBorders>
          </w:tcPr>
          <w:p w14:paraId="25B1990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Share </w:t>
            </w:r>
          </w:p>
          <w:p w14:paraId="2947984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capital </w:t>
            </w:r>
          </w:p>
          <w:p w14:paraId="3AA9984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018" w:type="dxa"/>
            <w:tcBorders>
              <w:top w:val="nil"/>
              <w:left w:val="nil"/>
              <w:bottom w:val="single" w:sz="4" w:space="0" w:color="auto"/>
              <w:right w:val="nil"/>
            </w:tcBorders>
          </w:tcPr>
          <w:p w14:paraId="17430C3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Share </w:t>
            </w:r>
          </w:p>
          <w:p w14:paraId="02389DE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premium </w:t>
            </w:r>
          </w:p>
          <w:p w14:paraId="510F884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989" w:type="dxa"/>
            <w:tcBorders>
              <w:top w:val="nil"/>
              <w:left w:val="nil"/>
              <w:bottom w:val="single" w:sz="4" w:space="0" w:color="auto"/>
              <w:right w:val="nil"/>
            </w:tcBorders>
          </w:tcPr>
          <w:p w14:paraId="5BEBFD4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Other </w:t>
            </w:r>
          </w:p>
          <w:p w14:paraId="0761B7A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reserves </w:t>
            </w:r>
          </w:p>
          <w:p w14:paraId="4ACFA0D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021" w:type="dxa"/>
            <w:tcBorders>
              <w:top w:val="nil"/>
              <w:left w:val="nil"/>
              <w:bottom w:val="single" w:sz="4" w:space="0" w:color="auto"/>
              <w:right w:val="nil"/>
            </w:tcBorders>
          </w:tcPr>
          <w:p w14:paraId="1A59444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Retained </w:t>
            </w:r>
          </w:p>
          <w:p w14:paraId="6D9CFCC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earnings </w:t>
            </w:r>
          </w:p>
          <w:p w14:paraId="40D4FACA" w14:textId="45A5E0DA" w:rsidR="00FB2FF4" w:rsidRPr="00F01EC8" w:rsidRDefault="00FB2FF4" w:rsidP="00AC0A5D">
            <w:pPr>
              <w:jc w:val="right"/>
              <w:rPr>
                <w:rFonts w:asciiTheme="minorHAnsi" w:hAnsiTheme="minorHAnsi" w:cs="Arial"/>
                <w:sz w:val="20"/>
                <w:szCs w:val="20"/>
              </w:rPr>
            </w:pPr>
            <w:r w:rsidRPr="00F01EC8">
              <w:rPr>
                <w:rFonts w:asciiTheme="minorHAnsi" w:hAnsiTheme="minorHAnsi" w:cs="Arial"/>
                <w:sz w:val="20"/>
                <w:szCs w:val="20"/>
              </w:rPr>
              <w:t>(restated)</w:t>
            </w:r>
          </w:p>
          <w:p w14:paraId="3A9B60B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817" w:type="dxa"/>
            <w:tcBorders>
              <w:top w:val="nil"/>
              <w:left w:val="nil"/>
              <w:bottom w:val="single" w:sz="4" w:space="0" w:color="auto"/>
              <w:right w:val="nil"/>
            </w:tcBorders>
          </w:tcPr>
          <w:p w14:paraId="75D98239" w14:textId="77777777" w:rsidR="00DA6694" w:rsidRPr="00F01EC8" w:rsidRDefault="00DA6694" w:rsidP="00AC0A5D">
            <w:pPr>
              <w:jc w:val="right"/>
              <w:rPr>
                <w:rFonts w:asciiTheme="minorHAnsi" w:hAnsiTheme="minorHAnsi" w:cs="Arial"/>
                <w:sz w:val="20"/>
                <w:szCs w:val="20"/>
              </w:rPr>
            </w:pPr>
          </w:p>
          <w:p w14:paraId="3465C4B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Total </w:t>
            </w:r>
          </w:p>
          <w:p w14:paraId="3F3750B4"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4AE9788F" w14:textId="77777777" w:rsidTr="00FB2FF4">
        <w:tc>
          <w:tcPr>
            <w:tcW w:w="5195" w:type="dxa"/>
            <w:vAlign w:val="bottom"/>
          </w:tcPr>
          <w:p w14:paraId="0C262B8C" w14:textId="211BC15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At 31 December 201</w:t>
            </w:r>
            <w:r w:rsidR="000D697D" w:rsidRPr="00F01EC8">
              <w:rPr>
                <w:rFonts w:asciiTheme="minorHAnsi" w:hAnsiTheme="minorHAnsi" w:cs="Arial"/>
                <w:b/>
                <w:sz w:val="20"/>
                <w:szCs w:val="20"/>
              </w:rPr>
              <w:t>8</w:t>
            </w:r>
            <w:r w:rsidR="00FB2FF4" w:rsidRPr="00F01EC8">
              <w:rPr>
                <w:rFonts w:asciiTheme="minorHAnsi" w:hAnsiTheme="minorHAnsi" w:cs="Arial"/>
                <w:b/>
                <w:sz w:val="20"/>
                <w:szCs w:val="20"/>
              </w:rPr>
              <w:t xml:space="preserve"> (restated)</w:t>
            </w:r>
          </w:p>
        </w:tc>
        <w:tc>
          <w:tcPr>
            <w:tcW w:w="849" w:type="dxa"/>
            <w:tcBorders>
              <w:top w:val="single" w:sz="4" w:space="0" w:color="auto"/>
              <w:left w:val="nil"/>
              <w:bottom w:val="single" w:sz="12" w:space="0" w:color="auto"/>
              <w:right w:val="nil"/>
            </w:tcBorders>
            <w:vAlign w:val="bottom"/>
          </w:tcPr>
          <w:p w14:paraId="2F6149D1" w14:textId="64A34E60"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52.5</w:t>
            </w:r>
            <w:r w:rsidR="00DA6694" w:rsidRPr="00F01EC8">
              <w:rPr>
                <w:rFonts w:asciiTheme="minorHAnsi" w:hAnsiTheme="minorHAnsi" w:cs="Arial"/>
                <w:sz w:val="20"/>
                <w:szCs w:val="20"/>
              </w:rPr>
              <w:t> </w:t>
            </w:r>
          </w:p>
        </w:tc>
        <w:tc>
          <w:tcPr>
            <w:tcW w:w="1018" w:type="dxa"/>
            <w:tcBorders>
              <w:top w:val="single" w:sz="4" w:space="0" w:color="auto"/>
              <w:left w:val="nil"/>
              <w:bottom w:val="single" w:sz="12" w:space="0" w:color="auto"/>
              <w:right w:val="nil"/>
            </w:tcBorders>
            <w:vAlign w:val="bottom"/>
          </w:tcPr>
          <w:p w14:paraId="425993FE" w14:textId="49949C2E"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273.</w:t>
            </w:r>
            <w:r w:rsidR="000D697D" w:rsidRPr="00F01EC8">
              <w:rPr>
                <w:rFonts w:asciiTheme="minorHAnsi" w:hAnsiTheme="minorHAnsi" w:cs="Arial"/>
                <w:sz w:val="20"/>
                <w:szCs w:val="20"/>
              </w:rPr>
              <w:t>2</w:t>
            </w:r>
            <w:r w:rsidRPr="00F01EC8">
              <w:rPr>
                <w:rFonts w:asciiTheme="minorHAnsi" w:hAnsiTheme="minorHAnsi" w:cs="Arial"/>
                <w:sz w:val="20"/>
                <w:szCs w:val="20"/>
              </w:rPr>
              <w:t> </w:t>
            </w:r>
          </w:p>
        </w:tc>
        <w:tc>
          <w:tcPr>
            <w:tcW w:w="989" w:type="dxa"/>
            <w:tcBorders>
              <w:top w:val="single" w:sz="4" w:space="0" w:color="auto"/>
              <w:left w:val="nil"/>
              <w:bottom w:val="single" w:sz="12" w:space="0" w:color="auto"/>
              <w:right w:val="nil"/>
            </w:tcBorders>
            <w:vAlign w:val="bottom"/>
          </w:tcPr>
          <w:p w14:paraId="018F528A" w14:textId="74CF62FB"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292.1</w:t>
            </w:r>
            <w:r w:rsidR="00DA6694" w:rsidRPr="00F01EC8">
              <w:rPr>
                <w:rFonts w:asciiTheme="minorHAnsi" w:hAnsiTheme="minorHAnsi" w:cs="Arial"/>
                <w:sz w:val="20"/>
                <w:szCs w:val="20"/>
              </w:rPr>
              <w:t> </w:t>
            </w:r>
          </w:p>
        </w:tc>
        <w:tc>
          <w:tcPr>
            <w:tcW w:w="1021" w:type="dxa"/>
            <w:tcBorders>
              <w:top w:val="single" w:sz="4" w:space="0" w:color="auto"/>
              <w:left w:val="nil"/>
              <w:bottom w:val="single" w:sz="12" w:space="0" w:color="auto"/>
              <w:right w:val="nil"/>
            </w:tcBorders>
            <w:vAlign w:val="bottom"/>
          </w:tcPr>
          <w:p w14:paraId="725E34BF" w14:textId="3E1E1D70" w:rsidR="00DA6694" w:rsidRPr="00F01EC8" w:rsidRDefault="000D697D" w:rsidP="000D697D">
            <w:pPr>
              <w:jc w:val="center"/>
              <w:rPr>
                <w:rFonts w:asciiTheme="minorHAnsi" w:hAnsiTheme="minorHAnsi" w:cs="Arial"/>
                <w:sz w:val="20"/>
                <w:szCs w:val="20"/>
              </w:rPr>
            </w:pPr>
            <w:r w:rsidRPr="00F01EC8">
              <w:rPr>
                <w:rFonts w:asciiTheme="minorHAnsi" w:hAnsiTheme="minorHAnsi" w:cs="Arial"/>
                <w:sz w:val="20"/>
                <w:szCs w:val="20"/>
              </w:rPr>
              <w:t xml:space="preserve">        94.3</w:t>
            </w:r>
            <w:r w:rsidR="00DA6694" w:rsidRPr="00F01EC8">
              <w:rPr>
                <w:rFonts w:asciiTheme="minorHAnsi" w:hAnsiTheme="minorHAnsi" w:cs="Arial"/>
                <w:sz w:val="20"/>
                <w:szCs w:val="20"/>
              </w:rPr>
              <w:t> </w:t>
            </w:r>
          </w:p>
        </w:tc>
        <w:tc>
          <w:tcPr>
            <w:tcW w:w="817" w:type="dxa"/>
            <w:tcBorders>
              <w:top w:val="single" w:sz="4" w:space="0" w:color="auto"/>
              <w:left w:val="nil"/>
              <w:bottom w:val="single" w:sz="12" w:space="0" w:color="auto"/>
              <w:right w:val="nil"/>
            </w:tcBorders>
            <w:vAlign w:val="bottom"/>
          </w:tcPr>
          <w:p w14:paraId="231A8192" w14:textId="687C110B"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712.1</w:t>
            </w:r>
            <w:r w:rsidR="00DA6694" w:rsidRPr="00F01EC8">
              <w:rPr>
                <w:rFonts w:asciiTheme="minorHAnsi" w:hAnsiTheme="minorHAnsi" w:cs="Arial"/>
                <w:sz w:val="20"/>
                <w:szCs w:val="20"/>
              </w:rPr>
              <w:t> </w:t>
            </w:r>
          </w:p>
        </w:tc>
      </w:tr>
      <w:tr w:rsidR="00E128F6" w:rsidRPr="00F01EC8" w14:paraId="05836F40" w14:textId="77777777" w:rsidTr="00FB2FF4">
        <w:tc>
          <w:tcPr>
            <w:tcW w:w="5195" w:type="dxa"/>
            <w:vAlign w:val="bottom"/>
          </w:tcPr>
          <w:p w14:paraId="79C2DA77" w14:textId="58C9C585" w:rsidR="00E128F6" w:rsidRPr="00F01EC8" w:rsidRDefault="00E128F6" w:rsidP="00E128F6">
            <w:pPr>
              <w:rPr>
                <w:rFonts w:asciiTheme="minorHAnsi" w:hAnsiTheme="minorHAnsi" w:cs="Arial"/>
                <w:b/>
                <w:sz w:val="20"/>
                <w:szCs w:val="20"/>
                <w:highlight w:val="yellow"/>
              </w:rPr>
            </w:pPr>
            <w:r w:rsidRPr="00F01EC8">
              <w:rPr>
                <w:rFonts w:asciiTheme="minorHAnsi" w:hAnsiTheme="minorHAnsi" w:cs="Arial"/>
                <w:sz w:val="20"/>
                <w:szCs w:val="20"/>
              </w:rPr>
              <w:t>Impact of ado</w:t>
            </w:r>
            <w:r w:rsidR="008E6BCE" w:rsidRPr="00F01EC8">
              <w:rPr>
                <w:rFonts w:asciiTheme="minorHAnsi" w:hAnsiTheme="minorHAnsi" w:cs="Arial"/>
                <w:sz w:val="20"/>
                <w:szCs w:val="20"/>
              </w:rPr>
              <w:t>ption of IFRS 16 ‘Leases’</w:t>
            </w:r>
          </w:p>
        </w:tc>
        <w:tc>
          <w:tcPr>
            <w:tcW w:w="849" w:type="dxa"/>
            <w:tcBorders>
              <w:top w:val="single" w:sz="4" w:space="0" w:color="auto"/>
              <w:left w:val="nil"/>
              <w:bottom w:val="single" w:sz="12" w:space="0" w:color="auto"/>
              <w:right w:val="nil"/>
            </w:tcBorders>
            <w:vAlign w:val="bottom"/>
          </w:tcPr>
          <w:p w14:paraId="4344033D"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4" w:space="0" w:color="auto"/>
              <w:left w:val="nil"/>
              <w:bottom w:val="single" w:sz="12" w:space="0" w:color="auto"/>
              <w:right w:val="nil"/>
            </w:tcBorders>
            <w:vAlign w:val="bottom"/>
          </w:tcPr>
          <w:p w14:paraId="233D0651"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4" w:space="0" w:color="auto"/>
              <w:left w:val="nil"/>
              <w:bottom w:val="single" w:sz="12" w:space="0" w:color="auto"/>
              <w:right w:val="nil"/>
            </w:tcBorders>
            <w:vAlign w:val="bottom"/>
          </w:tcPr>
          <w:p w14:paraId="77280C04"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21" w:type="dxa"/>
            <w:tcBorders>
              <w:top w:val="single" w:sz="4" w:space="0" w:color="auto"/>
              <w:left w:val="nil"/>
              <w:bottom w:val="single" w:sz="12" w:space="0" w:color="auto"/>
              <w:right w:val="nil"/>
            </w:tcBorders>
            <w:vAlign w:val="bottom"/>
          </w:tcPr>
          <w:p w14:paraId="5661F74E" w14:textId="696D34C5"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(5.6)</w:t>
            </w:r>
          </w:p>
        </w:tc>
        <w:tc>
          <w:tcPr>
            <w:tcW w:w="817" w:type="dxa"/>
            <w:tcBorders>
              <w:top w:val="single" w:sz="4" w:space="0" w:color="auto"/>
              <w:left w:val="nil"/>
              <w:bottom w:val="single" w:sz="12" w:space="0" w:color="auto"/>
              <w:right w:val="nil"/>
            </w:tcBorders>
            <w:vAlign w:val="bottom"/>
          </w:tcPr>
          <w:p w14:paraId="07593CF0" w14:textId="73BD6808"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(5.6)</w:t>
            </w:r>
          </w:p>
        </w:tc>
      </w:tr>
      <w:tr w:rsidR="00DA6694" w:rsidRPr="00F01EC8" w14:paraId="6A93D02A" w14:textId="77777777" w:rsidTr="00FB2FF4">
        <w:tc>
          <w:tcPr>
            <w:tcW w:w="5195" w:type="dxa"/>
            <w:vAlign w:val="bottom"/>
          </w:tcPr>
          <w:p w14:paraId="1E4F963C" w14:textId="5295B060" w:rsidR="00DA6694" w:rsidRPr="00F01EC8" w:rsidRDefault="00DA6694" w:rsidP="00AC0A5D">
            <w:pPr>
              <w:rPr>
                <w:rFonts w:asciiTheme="minorHAnsi" w:hAnsiTheme="minorHAnsi" w:cs="Arial"/>
                <w:b/>
                <w:sz w:val="20"/>
                <w:szCs w:val="20"/>
                <w:highlight w:val="yellow"/>
              </w:rPr>
            </w:pPr>
            <w:r w:rsidRPr="00F01EC8">
              <w:rPr>
                <w:rFonts w:asciiTheme="minorHAnsi" w:hAnsiTheme="minorHAnsi" w:cs="Arial"/>
                <w:b/>
                <w:sz w:val="20"/>
                <w:szCs w:val="20"/>
              </w:rPr>
              <w:t>At 1 January 201</w:t>
            </w:r>
            <w:r w:rsidR="000D697D" w:rsidRPr="00F01EC8">
              <w:rPr>
                <w:rFonts w:asciiTheme="minorHAnsi" w:hAnsiTheme="minorHAnsi" w:cs="Arial"/>
                <w:b/>
                <w:sz w:val="20"/>
                <w:szCs w:val="20"/>
              </w:rPr>
              <w:t>9</w:t>
            </w:r>
          </w:p>
        </w:tc>
        <w:tc>
          <w:tcPr>
            <w:tcW w:w="849" w:type="dxa"/>
            <w:tcBorders>
              <w:top w:val="single" w:sz="4" w:space="0" w:color="auto"/>
              <w:left w:val="nil"/>
              <w:bottom w:val="single" w:sz="12" w:space="0" w:color="auto"/>
              <w:right w:val="nil"/>
            </w:tcBorders>
            <w:vAlign w:val="bottom"/>
          </w:tcPr>
          <w:p w14:paraId="6E43472C" w14:textId="2B7C1108"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52.5</w:t>
            </w:r>
            <w:r w:rsidR="00DA6694" w:rsidRPr="00F01EC8">
              <w:rPr>
                <w:rFonts w:asciiTheme="minorHAnsi" w:hAnsiTheme="minorHAnsi" w:cs="Arial"/>
                <w:sz w:val="20"/>
                <w:szCs w:val="20"/>
              </w:rPr>
              <w:t> </w:t>
            </w:r>
          </w:p>
        </w:tc>
        <w:tc>
          <w:tcPr>
            <w:tcW w:w="1018" w:type="dxa"/>
            <w:tcBorders>
              <w:top w:val="single" w:sz="4" w:space="0" w:color="auto"/>
              <w:left w:val="nil"/>
              <w:bottom w:val="single" w:sz="12" w:space="0" w:color="auto"/>
              <w:right w:val="nil"/>
            </w:tcBorders>
            <w:vAlign w:val="bottom"/>
          </w:tcPr>
          <w:p w14:paraId="260E58D9" w14:textId="6FBD54A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273.</w:t>
            </w:r>
            <w:r w:rsidR="000D697D" w:rsidRPr="00F01EC8">
              <w:rPr>
                <w:rFonts w:asciiTheme="minorHAnsi" w:hAnsiTheme="minorHAnsi" w:cs="Arial"/>
                <w:sz w:val="20"/>
                <w:szCs w:val="20"/>
              </w:rPr>
              <w:t>2</w:t>
            </w:r>
            <w:r w:rsidRPr="00F01EC8">
              <w:rPr>
                <w:rFonts w:asciiTheme="minorHAnsi" w:hAnsiTheme="minorHAnsi" w:cs="Arial"/>
                <w:sz w:val="20"/>
                <w:szCs w:val="20"/>
              </w:rPr>
              <w:t> </w:t>
            </w:r>
          </w:p>
        </w:tc>
        <w:tc>
          <w:tcPr>
            <w:tcW w:w="989" w:type="dxa"/>
            <w:tcBorders>
              <w:top w:val="single" w:sz="4" w:space="0" w:color="auto"/>
              <w:left w:val="nil"/>
              <w:bottom w:val="single" w:sz="12" w:space="0" w:color="auto"/>
              <w:right w:val="nil"/>
            </w:tcBorders>
            <w:vAlign w:val="bottom"/>
          </w:tcPr>
          <w:p w14:paraId="0F734C09" w14:textId="275EFD8F"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292.1</w:t>
            </w:r>
            <w:r w:rsidR="00DA6694" w:rsidRPr="00F01EC8">
              <w:rPr>
                <w:rFonts w:asciiTheme="minorHAnsi" w:hAnsiTheme="minorHAnsi" w:cs="Arial"/>
                <w:sz w:val="20"/>
                <w:szCs w:val="20"/>
              </w:rPr>
              <w:t> </w:t>
            </w:r>
          </w:p>
        </w:tc>
        <w:tc>
          <w:tcPr>
            <w:tcW w:w="1021" w:type="dxa"/>
            <w:tcBorders>
              <w:top w:val="single" w:sz="4" w:space="0" w:color="auto"/>
              <w:left w:val="nil"/>
              <w:bottom w:val="single" w:sz="12" w:space="0" w:color="auto"/>
              <w:right w:val="nil"/>
            </w:tcBorders>
            <w:vAlign w:val="bottom"/>
          </w:tcPr>
          <w:p w14:paraId="5538A885" w14:textId="13864869"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88.7</w:t>
            </w:r>
            <w:r w:rsidR="00DA6694" w:rsidRPr="00F01EC8">
              <w:rPr>
                <w:rFonts w:asciiTheme="minorHAnsi" w:hAnsiTheme="minorHAnsi" w:cs="Arial"/>
                <w:sz w:val="20"/>
                <w:szCs w:val="20"/>
              </w:rPr>
              <w:t> </w:t>
            </w:r>
          </w:p>
        </w:tc>
        <w:tc>
          <w:tcPr>
            <w:tcW w:w="817" w:type="dxa"/>
            <w:tcBorders>
              <w:top w:val="single" w:sz="4" w:space="0" w:color="auto"/>
              <w:left w:val="nil"/>
              <w:bottom w:val="single" w:sz="12" w:space="0" w:color="auto"/>
              <w:right w:val="nil"/>
            </w:tcBorders>
            <w:vAlign w:val="bottom"/>
          </w:tcPr>
          <w:p w14:paraId="79A5D971" w14:textId="718E5E2C" w:rsidR="00DA6694" w:rsidRPr="00F01EC8" w:rsidRDefault="000D697D" w:rsidP="00AC0A5D">
            <w:pPr>
              <w:jc w:val="right"/>
              <w:rPr>
                <w:rFonts w:asciiTheme="minorHAnsi" w:hAnsiTheme="minorHAnsi" w:cs="Arial"/>
                <w:sz w:val="20"/>
                <w:szCs w:val="20"/>
              </w:rPr>
            </w:pPr>
            <w:r w:rsidRPr="00F01EC8">
              <w:rPr>
                <w:rFonts w:asciiTheme="minorHAnsi" w:hAnsiTheme="minorHAnsi" w:cs="Arial"/>
                <w:sz w:val="20"/>
                <w:szCs w:val="20"/>
              </w:rPr>
              <w:t xml:space="preserve">  706.5</w:t>
            </w:r>
            <w:r w:rsidR="00DA6694" w:rsidRPr="00F01EC8">
              <w:rPr>
                <w:rFonts w:asciiTheme="minorHAnsi" w:hAnsiTheme="minorHAnsi" w:cs="Arial"/>
                <w:sz w:val="20"/>
                <w:szCs w:val="20"/>
              </w:rPr>
              <w:t> </w:t>
            </w:r>
          </w:p>
        </w:tc>
      </w:tr>
      <w:tr w:rsidR="00DA6694" w:rsidRPr="00F01EC8" w14:paraId="50081CC4" w14:textId="77777777" w:rsidTr="00FB2FF4">
        <w:tc>
          <w:tcPr>
            <w:tcW w:w="5195" w:type="dxa"/>
            <w:vAlign w:val="bottom"/>
          </w:tcPr>
          <w:p w14:paraId="43A5CEDF"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Profit for the period</w:t>
            </w:r>
          </w:p>
        </w:tc>
        <w:tc>
          <w:tcPr>
            <w:tcW w:w="849" w:type="dxa"/>
            <w:tcBorders>
              <w:top w:val="single" w:sz="12" w:space="0" w:color="auto"/>
              <w:left w:val="nil"/>
              <w:bottom w:val="single" w:sz="4" w:space="0" w:color="auto"/>
              <w:right w:val="nil"/>
            </w:tcBorders>
            <w:vAlign w:val="bottom"/>
          </w:tcPr>
          <w:p w14:paraId="4AFE2544"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12" w:space="0" w:color="auto"/>
              <w:left w:val="nil"/>
              <w:bottom w:val="single" w:sz="4" w:space="0" w:color="auto"/>
              <w:right w:val="nil"/>
            </w:tcBorders>
            <w:vAlign w:val="bottom"/>
          </w:tcPr>
          <w:p w14:paraId="12E87CE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12" w:space="0" w:color="auto"/>
              <w:left w:val="nil"/>
              <w:bottom w:val="single" w:sz="4" w:space="0" w:color="auto"/>
              <w:right w:val="nil"/>
            </w:tcBorders>
            <w:vAlign w:val="bottom"/>
          </w:tcPr>
          <w:p w14:paraId="7C0C12D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c>
          <w:tcPr>
            <w:tcW w:w="1021" w:type="dxa"/>
            <w:tcBorders>
              <w:top w:val="single" w:sz="12" w:space="0" w:color="auto"/>
              <w:left w:val="nil"/>
              <w:bottom w:val="single" w:sz="4" w:space="0" w:color="auto"/>
              <w:right w:val="nil"/>
            </w:tcBorders>
            <w:vAlign w:val="bottom"/>
          </w:tcPr>
          <w:p w14:paraId="763B9E0A" w14:textId="772BE11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991B92" w:rsidRPr="00F01EC8">
              <w:rPr>
                <w:rFonts w:asciiTheme="minorHAnsi" w:hAnsiTheme="minorHAnsi" w:cs="Arial"/>
                <w:sz w:val="20"/>
                <w:szCs w:val="20"/>
              </w:rPr>
              <w:t>4.</w:t>
            </w:r>
            <w:r w:rsidR="00FE6C1A" w:rsidRPr="00F01EC8">
              <w:rPr>
                <w:rFonts w:asciiTheme="minorHAnsi" w:hAnsiTheme="minorHAnsi" w:cs="Arial"/>
                <w:sz w:val="20"/>
                <w:szCs w:val="20"/>
              </w:rPr>
              <w:t>6</w:t>
            </w:r>
            <w:r w:rsidRPr="00F01EC8">
              <w:rPr>
                <w:rFonts w:asciiTheme="minorHAnsi" w:hAnsiTheme="minorHAnsi" w:cs="Arial"/>
                <w:sz w:val="20"/>
                <w:szCs w:val="20"/>
              </w:rPr>
              <w:t> </w:t>
            </w:r>
          </w:p>
        </w:tc>
        <w:tc>
          <w:tcPr>
            <w:tcW w:w="817" w:type="dxa"/>
            <w:tcBorders>
              <w:top w:val="single" w:sz="12" w:space="0" w:color="auto"/>
              <w:left w:val="nil"/>
              <w:bottom w:val="single" w:sz="4" w:space="0" w:color="auto"/>
              <w:right w:val="nil"/>
            </w:tcBorders>
            <w:vAlign w:val="bottom"/>
          </w:tcPr>
          <w:p w14:paraId="682AE10A" w14:textId="47C36CE2"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991B92" w:rsidRPr="00F01EC8">
              <w:rPr>
                <w:rFonts w:asciiTheme="minorHAnsi" w:hAnsiTheme="minorHAnsi" w:cs="Arial"/>
                <w:sz w:val="20"/>
                <w:szCs w:val="20"/>
              </w:rPr>
              <w:t>4.</w:t>
            </w:r>
            <w:r w:rsidR="00FE6C1A" w:rsidRPr="00F01EC8">
              <w:rPr>
                <w:rFonts w:asciiTheme="minorHAnsi" w:hAnsiTheme="minorHAnsi" w:cs="Arial"/>
                <w:sz w:val="20"/>
                <w:szCs w:val="20"/>
              </w:rPr>
              <w:t>6</w:t>
            </w:r>
            <w:r w:rsidRPr="00F01EC8">
              <w:rPr>
                <w:rFonts w:asciiTheme="minorHAnsi" w:hAnsiTheme="minorHAnsi" w:cs="Arial"/>
                <w:sz w:val="20"/>
                <w:szCs w:val="20"/>
              </w:rPr>
              <w:t> </w:t>
            </w:r>
          </w:p>
        </w:tc>
      </w:tr>
      <w:tr w:rsidR="00DA6694" w:rsidRPr="00F01EC8" w14:paraId="167483C4" w14:textId="77777777" w:rsidTr="00FB2FF4">
        <w:tc>
          <w:tcPr>
            <w:tcW w:w="5195" w:type="dxa"/>
            <w:vAlign w:val="bottom"/>
          </w:tcPr>
          <w:p w14:paraId="624466C4" w14:textId="77777777" w:rsidR="00DA6694" w:rsidRPr="00F01EC8" w:rsidRDefault="00DA6694" w:rsidP="00AC0A5D">
            <w:pPr>
              <w:ind w:left="142" w:hanging="142"/>
              <w:rPr>
                <w:rFonts w:asciiTheme="minorHAnsi" w:hAnsiTheme="minorHAnsi" w:cs="Arial"/>
                <w:sz w:val="20"/>
                <w:szCs w:val="20"/>
              </w:rPr>
            </w:pPr>
            <w:r w:rsidRPr="00F01EC8">
              <w:rPr>
                <w:rFonts w:asciiTheme="minorHAnsi" w:hAnsiTheme="minorHAnsi" w:cs="Arial"/>
                <w:sz w:val="20"/>
                <w:szCs w:val="20"/>
              </w:rPr>
              <w:t>Other comprehensive income/(expense):</w:t>
            </w:r>
          </w:p>
        </w:tc>
        <w:tc>
          <w:tcPr>
            <w:tcW w:w="849" w:type="dxa"/>
            <w:tcBorders>
              <w:top w:val="single" w:sz="4" w:space="0" w:color="auto"/>
              <w:left w:val="nil"/>
              <w:right w:val="nil"/>
            </w:tcBorders>
            <w:vAlign w:val="bottom"/>
          </w:tcPr>
          <w:p w14:paraId="752745B1" w14:textId="77777777" w:rsidR="00DA6694" w:rsidRPr="00F01EC8" w:rsidRDefault="00DA6694" w:rsidP="00AC0A5D">
            <w:pPr>
              <w:jc w:val="right"/>
              <w:rPr>
                <w:rFonts w:asciiTheme="minorHAnsi" w:hAnsiTheme="minorHAnsi" w:cs="Arial"/>
                <w:sz w:val="20"/>
                <w:szCs w:val="20"/>
              </w:rPr>
            </w:pPr>
          </w:p>
        </w:tc>
        <w:tc>
          <w:tcPr>
            <w:tcW w:w="1018" w:type="dxa"/>
            <w:tcBorders>
              <w:top w:val="single" w:sz="4" w:space="0" w:color="auto"/>
              <w:left w:val="nil"/>
              <w:right w:val="nil"/>
            </w:tcBorders>
            <w:vAlign w:val="bottom"/>
          </w:tcPr>
          <w:p w14:paraId="7EA984FE" w14:textId="77777777" w:rsidR="00DA6694" w:rsidRPr="00F01EC8" w:rsidRDefault="00DA6694" w:rsidP="00AC0A5D">
            <w:pPr>
              <w:jc w:val="right"/>
              <w:rPr>
                <w:rFonts w:asciiTheme="minorHAnsi" w:hAnsiTheme="minorHAnsi" w:cs="Arial"/>
                <w:sz w:val="20"/>
                <w:szCs w:val="20"/>
              </w:rPr>
            </w:pPr>
          </w:p>
        </w:tc>
        <w:tc>
          <w:tcPr>
            <w:tcW w:w="989" w:type="dxa"/>
            <w:tcBorders>
              <w:top w:val="single" w:sz="4" w:space="0" w:color="auto"/>
              <w:left w:val="nil"/>
              <w:right w:val="nil"/>
            </w:tcBorders>
            <w:vAlign w:val="bottom"/>
          </w:tcPr>
          <w:p w14:paraId="4860017A" w14:textId="77777777" w:rsidR="00DA6694" w:rsidRPr="00F01EC8" w:rsidRDefault="00DA6694" w:rsidP="00AC0A5D">
            <w:pPr>
              <w:jc w:val="right"/>
              <w:rPr>
                <w:rFonts w:asciiTheme="minorHAnsi" w:hAnsiTheme="minorHAnsi" w:cs="Arial"/>
                <w:sz w:val="20"/>
                <w:szCs w:val="20"/>
              </w:rPr>
            </w:pPr>
          </w:p>
        </w:tc>
        <w:tc>
          <w:tcPr>
            <w:tcW w:w="1021" w:type="dxa"/>
            <w:tcBorders>
              <w:top w:val="single" w:sz="4" w:space="0" w:color="auto"/>
              <w:left w:val="nil"/>
              <w:right w:val="nil"/>
            </w:tcBorders>
            <w:vAlign w:val="bottom"/>
          </w:tcPr>
          <w:p w14:paraId="2625933E" w14:textId="77777777" w:rsidR="00DA6694" w:rsidRPr="00F01EC8" w:rsidRDefault="00DA6694" w:rsidP="00AC0A5D">
            <w:pPr>
              <w:jc w:val="right"/>
              <w:rPr>
                <w:rFonts w:asciiTheme="minorHAnsi" w:hAnsiTheme="minorHAnsi" w:cs="Arial"/>
                <w:sz w:val="20"/>
                <w:szCs w:val="20"/>
              </w:rPr>
            </w:pPr>
          </w:p>
        </w:tc>
        <w:tc>
          <w:tcPr>
            <w:tcW w:w="817" w:type="dxa"/>
            <w:tcBorders>
              <w:top w:val="single" w:sz="4" w:space="0" w:color="auto"/>
              <w:left w:val="nil"/>
              <w:right w:val="nil"/>
            </w:tcBorders>
            <w:vAlign w:val="bottom"/>
          </w:tcPr>
          <w:p w14:paraId="0A8E76E9" w14:textId="77777777" w:rsidR="00DA6694" w:rsidRPr="00F01EC8" w:rsidRDefault="00DA6694" w:rsidP="00AC0A5D">
            <w:pPr>
              <w:jc w:val="right"/>
              <w:rPr>
                <w:rFonts w:asciiTheme="minorHAnsi" w:hAnsiTheme="minorHAnsi" w:cs="Arial"/>
                <w:sz w:val="20"/>
                <w:szCs w:val="20"/>
              </w:rPr>
            </w:pPr>
          </w:p>
        </w:tc>
      </w:tr>
      <w:tr w:rsidR="00FE6C1A" w:rsidRPr="00F01EC8" w14:paraId="128AD31C" w14:textId="77777777" w:rsidTr="00FB2FF4">
        <w:tc>
          <w:tcPr>
            <w:tcW w:w="5195" w:type="dxa"/>
            <w:vAlign w:val="bottom"/>
          </w:tcPr>
          <w:p w14:paraId="0EEFB5BF" w14:textId="77777777" w:rsidR="00FE6C1A" w:rsidRPr="00F01EC8" w:rsidRDefault="00FE6C1A" w:rsidP="00FE6C1A">
            <w:pPr>
              <w:ind w:left="142" w:hanging="142"/>
              <w:rPr>
                <w:rFonts w:asciiTheme="minorHAnsi" w:hAnsiTheme="minorHAnsi" w:cs="Arial"/>
                <w:sz w:val="20"/>
                <w:szCs w:val="20"/>
              </w:rPr>
            </w:pPr>
            <w:r w:rsidRPr="00F01EC8">
              <w:rPr>
                <w:rFonts w:asciiTheme="minorHAnsi" w:hAnsiTheme="minorHAnsi" w:cs="Arial"/>
                <w:sz w:val="20"/>
                <w:szCs w:val="20"/>
              </w:rPr>
              <w:t>– fair value movement in investments</w:t>
            </w:r>
          </w:p>
        </w:tc>
        <w:tc>
          <w:tcPr>
            <w:tcW w:w="849" w:type="dxa"/>
            <w:tcBorders>
              <w:left w:val="nil"/>
              <w:right w:val="nil"/>
            </w:tcBorders>
            <w:vAlign w:val="bottom"/>
          </w:tcPr>
          <w:p w14:paraId="1D1C1510" w14:textId="77777777"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5960D4E3" w14:textId="77777777"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72D3ECA4" w14:textId="21CF48BB"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3.9 </w:t>
            </w:r>
          </w:p>
        </w:tc>
        <w:tc>
          <w:tcPr>
            <w:tcW w:w="1021" w:type="dxa"/>
            <w:tcBorders>
              <w:left w:val="nil"/>
              <w:right w:val="nil"/>
            </w:tcBorders>
            <w:vAlign w:val="bottom"/>
          </w:tcPr>
          <w:p w14:paraId="472A4A29" w14:textId="513C7FB2"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 </w:t>
            </w:r>
          </w:p>
        </w:tc>
        <w:tc>
          <w:tcPr>
            <w:tcW w:w="817" w:type="dxa"/>
            <w:tcBorders>
              <w:left w:val="nil"/>
              <w:right w:val="nil"/>
            </w:tcBorders>
            <w:vAlign w:val="bottom"/>
          </w:tcPr>
          <w:p w14:paraId="3C6BE707" w14:textId="08329C18"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3.9 </w:t>
            </w:r>
          </w:p>
        </w:tc>
      </w:tr>
      <w:tr w:rsidR="00FE6C1A" w:rsidRPr="00F01EC8" w14:paraId="5AA571E1" w14:textId="77777777" w:rsidTr="00FB2FF4">
        <w:tc>
          <w:tcPr>
            <w:tcW w:w="5195" w:type="dxa"/>
            <w:vAlign w:val="bottom"/>
          </w:tcPr>
          <w:p w14:paraId="72D18B4C" w14:textId="77777777" w:rsidR="00FE6C1A" w:rsidRPr="00F01EC8" w:rsidRDefault="00FE6C1A" w:rsidP="00FE6C1A">
            <w:pPr>
              <w:ind w:left="170" w:hanging="170"/>
              <w:rPr>
                <w:rFonts w:asciiTheme="minorHAnsi" w:hAnsiTheme="minorHAnsi" w:cs="Arial"/>
                <w:sz w:val="20"/>
                <w:szCs w:val="20"/>
              </w:rPr>
            </w:pPr>
            <w:r w:rsidRPr="00F01EC8">
              <w:rPr>
                <w:rFonts w:asciiTheme="minorHAnsi" w:hAnsiTheme="minorHAnsi" w:cs="Arial"/>
                <w:sz w:val="20"/>
                <w:szCs w:val="20"/>
              </w:rPr>
              <w:t>– actuarial movements on retirement benefit asset (note 9)</w:t>
            </w:r>
          </w:p>
        </w:tc>
        <w:tc>
          <w:tcPr>
            <w:tcW w:w="849" w:type="dxa"/>
            <w:tcBorders>
              <w:left w:val="nil"/>
              <w:right w:val="nil"/>
            </w:tcBorders>
            <w:vAlign w:val="bottom"/>
          </w:tcPr>
          <w:p w14:paraId="6BD9D04D" w14:textId="77777777"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1E19172E" w14:textId="77777777"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439B0744" w14:textId="0AAF392B"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 </w:t>
            </w:r>
          </w:p>
        </w:tc>
        <w:tc>
          <w:tcPr>
            <w:tcW w:w="1021" w:type="dxa"/>
            <w:tcBorders>
              <w:left w:val="nil"/>
              <w:right w:val="nil"/>
            </w:tcBorders>
            <w:vAlign w:val="bottom"/>
          </w:tcPr>
          <w:p w14:paraId="2D72A774" w14:textId="125F2969"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(15.7)</w:t>
            </w:r>
          </w:p>
        </w:tc>
        <w:tc>
          <w:tcPr>
            <w:tcW w:w="817" w:type="dxa"/>
            <w:tcBorders>
              <w:left w:val="nil"/>
              <w:right w:val="nil"/>
            </w:tcBorders>
            <w:vAlign w:val="bottom"/>
          </w:tcPr>
          <w:p w14:paraId="228EC843" w14:textId="71932D92" w:rsidR="00FE6C1A" w:rsidRPr="00F01EC8" w:rsidRDefault="00FE6C1A" w:rsidP="00FE6C1A">
            <w:pPr>
              <w:jc w:val="right"/>
              <w:rPr>
                <w:rFonts w:asciiTheme="minorHAnsi" w:hAnsiTheme="minorHAnsi" w:cs="Arial"/>
                <w:sz w:val="20"/>
                <w:szCs w:val="20"/>
              </w:rPr>
            </w:pPr>
            <w:r w:rsidRPr="00F01EC8">
              <w:rPr>
                <w:rFonts w:asciiTheme="minorHAnsi" w:hAnsiTheme="minorHAnsi" w:cs="Arial"/>
                <w:sz w:val="20"/>
                <w:szCs w:val="20"/>
              </w:rPr>
              <w:t>(15.7)</w:t>
            </w:r>
          </w:p>
        </w:tc>
      </w:tr>
      <w:tr w:rsidR="00FE6C1A" w:rsidRPr="00F01EC8" w14:paraId="4443C98D" w14:textId="77777777" w:rsidTr="00FB2FF4">
        <w:tc>
          <w:tcPr>
            <w:tcW w:w="5195" w:type="dxa"/>
            <w:vAlign w:val="bottom"/>
          </w:tcPr>
          <w:p w14:paraId="11C99897" w14:textId="1A9A75E7" w:rsidR="00FE6C1A" w:rsidRPr="00F01EC8" w:rsidRDefault="00E128F6" w:rsidP="00FE6C1A">
            <w:pPr>
              <w:ind w:left="170" w:hanging="170"/>
              <w:rPr>
                <w:rFonts w:asciiTheme="minorHAnsi" w:hAnsiTheme="minorHAnsi" w:cs="Arial"/>
                <w:sz w:val="20"/>
                <w:szCs w:val="20"/>
              </w:rPr>
            </w:pPr>
            <w:r w:rsidRPr="00F01EC8">
              <w:rPr>
                <w:rFonts w:asciiTheme="minorHAnsi" w:hAnsiTheme="minorHAnsi" w:cs="Arial"/>
                <w:sz w:val="20"/>
                <w:szCs w:val="20"/>
              </w:rPr>
              <w:t>– exchange differences on translation of foreign operations</w:t>
            </w:r>
          </w:p>
        </w:tc>
        <w:tc>
          <w:tcPr>
            <w:tcW w:w="849" w:type="dxa"/>
            <w:tcBorders>
              <w:left w:val="nil"/>
              <w:right w:val="nil"/>
            </w:tcBorders>
            <w:vAlign w:val="bottom"/>
          </w:tcPr>
          <w:p w14:paraId="7DEFA31B" w14:textId="32A9F1F1" w:rsidR="00FE6C1A" w:rsidRPr="00F01EC8" w:rsidRDefault="00E128F6" w:rsidP="00FE6C1A">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vAlign w:val="bottom"/>
          </w:tcPr>
          <w:p w14:paraId="6D51433C" w14:textId="3CB367EB" w:rsidR="00FE6C1A" w:rsidRPr="00F01EC8" w:rsidRDefault="00E128F6" w:rsidP="00FE6C1A">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618D3B86" w14:textId="49A67325" w:rsidR="00FE6C1A" w:rsidRPr="00F01EC8" w:rsidRDefault="00E128F6" w:rsidP="00FE6C1A">
            <w:pPr>
              <w:jc w:val="right"/>
              <w:rPr>
                <w:rFonts w:asciiTheme="minorHAnsi" w:hAnsiTheme="minorHAnsi" w:cs="Arial"/>
                <w:sz w:val="20"/>
                <w:szCs w:val="20"/>
              </w:rPr>
            </w:pPr>
            <w:r w:rsidRPr="00F01EC8">
              <w:rPr>
                <w:rFonts w:asciiTheme="minorHAnsi" w:hAnsiTheme="minorHAnsi" w:cs="Arial"/>
                <w:sz w:val="20"/>
                <w:szCs w:val="20"/>
              </w:rPr>
              <w:t>-</w:t>
            </w:r>
          </w:p>
        </w:tc>
        <w:tc>
          <w:tcPr>
            <w:tcW w:w="1021" w:type="dxa"/>
            <w:tcBorders>
              <w:left w:val="nil"/>
              <w:right w:val="nil"/>
            </w:tcBorders>
            <w:vAlign w:val="bottom"/>
          </w:tcPr>
          <w:p w14:paraId="02315EB9" w14:textId="30E7F01F" w:rsidR="00FE6C1A" w:rsidRPr="00F01EC8" w:rsidRDefault="00E128F6" w:rsidP="00FE6C1A">
            <w:pPr>
              <w:jc w:val="right"/>
              <w:rPr>
                <w:rFonts w:asciiTheme="minorHAnsi" w:hAnsiTheme="minorHAnsi" w:cs="Arial"/>
                <w:sz w:val="20"/>
                <w:szCs w:val="20"/>
              </w:rPr>
            </w:pPr>
            <w:r w:rsidRPr="00F01EC8">
              <w:rPr>
                <w:rFonts w:asciiTheme="minorHAnsi" w:hAnsiTheme="minorHAnsi" w:cs="Arial"/>
                <w:sz w:val="20"/>
                <w:szCs w:val="20"/>
              </w:rPr>
              <w:t>0.1</w:t>
            </w:r>
          </w:p>
        </w:tc>
        <w:tc>
          <w:tcPr>
            <w:tcW w:w="817" w:type="dxa"/>
            <w:tcBorders>
              <w:left w:val="nil"/>
              <w:right w:val="nil"/>
            </w:tcBorders>
            <w:vAlign w:val="bottom"/>
          </w:tcPr>
          <w:p w14:paraId="3B0B86EB" w14:textId="6D69D4D8" w:rsidR="00FE6C1A" w:rsidRPr="00F01EC8" w:rsidRDefault="00E128F6" w:rsidP="00FE6C1A">
            <w:pPr>
              <w:jc w:val="right"/>
              <w:rPr>
                <w:rFonts w:asciiTheme="minorHAnsi" w:hAnsiTheme="minorHAnsi" w:cs="Arial"/>
                <w:sz w:val="20"/>
                <w:szCs w:val="20"/>
              </w:rPr>
            </w:pPr>
            <w:r w:rsidRPr="00F01EC8">
              <w:rPr>
                <w:rFonts w:asciiTheme="minorHAnsi" w:hAnsiTheme="minorHAnsi" w:cs="Arial"/>
                <w:sz w:val="20"/>
                <w:szCs w:val="20"/>
              </w:rPr>
              <w:t>0.1</w:t>
            </w:r>
          </w:p>
        </w:tc>
      </w:tr>
      <w:tr w:rsidR="00E128F6" w:rsidRPr="00F01EC8" w14:paraId="6A48C72B" w14:textId="77777777" w:rsidTr="00FB2FF4">
        <w:tc>
          <w:tcPr>
            <w:tcW w:w="5195" w:type="dxa"/>
            <w:vAlign w:val="bottom"/>
          </w:tcPr>
          <w:p w14:paraId="180E9FC7" w14:textId="77777777" w:rsidR="00E128F6" w:rsidRPr="00F01EC8" w:rsidRDefault="00E128F6" w:rsidP="00E128F6">
            <w:pPr>
              <w:ind w:left="142" w:hanging="142"/>
              <w:rPr>
                <w:rFonts w:asciiTheme="minorHAnsi" w:hAnsiTheme="minorHAnsi" w:cs="Arial"/>
                <w:sz w:val="20"/>
                <w:szCs w:val="20"/>
              </w:rPr>
            </w:pPr>
            <w:r w:rsidRPr="00F01EC8">
              <w:rPr>
                <w:rFonts w:asciiTheme="minorHAnsi" w:hAnsiTheme="minorHAnsi" w:cs="Arial"/>
                <w:sz w:val="20"/>
                <w:szCs w:val="20"/>
              </w:rPr>
              <w:t>– tax on items taken directly to other comprehensive income</w:t>
            </w:r>
          </w:p>
        </w:tc>
        <w:tc>
          <w:tcPr>
            <w:tcW w:w="849" w:type="dxa"/>
            <w:tcBorders>
              <w:left w:val="nil"/>
              <w:right w:val="nil"/>
            </w:tcBorders>
            <w:vAlign w:val="bottom"/>
          </w:tcPr>
          <w:p w14:paraId="0414635F"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1D34F154"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131AF7BD" w14:textId="326C31AA"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(1.0)</w:t>
            </w:r>
          </w:p>
        </w:tc>
        <w:tc>
          <w:tcPr>
            <w:tcW w:w="1021" w:type="dxa"/>
            <w:tcBorders>
              <w:left w:val="nil"/>
              <w:right w:val="nil"/>
            </w:tcBorders>
            <w:vAlign w:val="bottom"/>
          </w:tcPr>
          <w:p w14:paraId="0C9EC76F" w14:textId="2E592111"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3.0 </w:t>
            </w:r>
          </w:p>
        </w:tc>
        <w:tc>
          <w:tcPr>
            <w:tcW w:w="817" w:type="dxa"/>
            <w:tcBorders>
              <w:left w:val="nil"/>
              <w:right w:val="nil"/>
            </w:tcBorders>
            <w:vAlign w:val="bottom"/>
          </w:tcPr>
          <w:p w14:paraId="4255A286" w14:textId="22E89C09"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2.0 </w:t>
            </w:r>
          </w:p>
        </w:tc>
      </w:tr>
      <w:tr w:rsidR="00E128F6" w:rsidRPr="00F01EC8" w14:paraId="56C83A1C" w14:textId="77777777" w:rsidTr="00FB2FF4">
        <w:tc>
          <w:tcPr>
            <w:tcW w:w="5195" w:type="dxa"/>
            <w:vAlign w:val="bottom"/>
          </w:tcPr>
          <w:p w14:paraId="050DAA52" w14:textId="77777777" w:rsidR="00E128F6" w:rsidRPr="00F01EC8" w:rsidRDefault="00E128F6" w:rsidP="00E128F6">
            <w:pPr>
              <w:ind w:left="142" w:hanging="142"/>
              <w:rPr>
                <w:rFonts w:asciiTheme="minorHAnsi" w:hAnsiTheme="minorHAnsi" w:cs="Arial"/>
                <w:sz w:val="20"/>
                <w:szCs w:val="20"/>
              </w:rPr>
            </w:pPr>
            <w:r w:rsidRPr="00F01EC8">
              <w:rPr>
                <w:rFonts w:asciiTheme="minorHAnsi" w:hAnsiTheme="minorHAnsi" w:cs="Arial"/>
                <w:sz w:val="20"/>
                <w:szCs w:val="20"/>
              </w:rPr>
              <w:t>– impact of change in UK tax rate</w:t>
            </w:r>
          </w:p>
        </w:tc>
        <w:tc>
          <w:tcPr>
            <w:tcW w:w="849" w:type="dxa"/>
            <w:tcBorders>
              <w:left w:val="nil"/>
              <w:right w:val="nil"/>
            </w:tcBorders>
            <w:vAlign w:val="bottom"/>
          </w:tcPr>
          <w:p w14:paraId="784BBC44"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0C826A8D"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023E61CB" w14:textId="0AE09871"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1021" w:type="dxa"/>
            <w:tcBorders>
              <w:left w:val="nil"/>
              <w:right w:val="nil"/>
            </w:tcBorders>
            <w:vAlign w:val="bottom"/>
          </w:tcPr>
          <w:p w14:paraId="2E3A4F8F" w14:textId="2D38B868"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(0.3) </w:t>
            </w:r>
          </w:p>
        </w:tc>
        <w:tc>
          <w:tcPr>
            <w:tcW w:w="817" w:type="dxa"/>
            <w:tcBorders>
              <w:left w:val="nil"/>
              <w:right w:val="nil"/>
            </w:tcBorders>
            <w:vAlign w:val="bottom"/>
          </w:tcPr>
          <w:p w14:paraId="0E0AFE3E" w14:textId="7F93C53F"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(0.3) </w:t>
            </w:r>
          </w:p>
        </w:tc>
      </w:tr>
      <w:tr w:rsidR="00E128F6" w:rsidRPr="00F01EC8" w14:paraId="1144978F" w14:textId="77777777" w:rsidTr="00FB2FF4">
        <w:tc>
          <w:tcPr>
            <w:tcW w:w="5195" w:type="dxa"/>
            <w:vAlign w:val="bottom"/>
          </w:tcPr>
          <w:p w14:paraId="5A6A16BE" w14:textId="452EF3D2"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Other comprehensive income</w:t>
            </w:r>
            <w:r w:rsidR="008E6BCE" w:rsidRPr="00F01EC8">
              <w:rPr>
                <w:rFonts w:asciiTheme="minorHAnsi" w:hAnsiTheme="minorHAnsi" w:cs="Arial"/>
                <w:sz w:val="20"/>
                <w:szCs w:val="20"/>
              </w:rPr>
              <w:t>/(expense)</w:t>
            </w:r>
            <w:r w:rsidRPr="00F01EC8">
              <w:rPr>
                <w:rFonts w:asciiTheme="minorHAnsi" w:hAnsiTheme="minorHAnsi" w:cs="Arial"/>
                <w:sz w:val="20"/>
                <w:szCs w:val="20"/>
              </w:rPr>
              <w:t xml:space="preserve"> for the period</w:t>
            </w:r>
          </w:p>
        </w:tc>
        <w:tc>
          <w:tcPr>
            <w:tcW w:w="849" w:type="dxa"/>
            <w:tcBorders>
              <w:top w:val="single" w:sz="4" w:space="0" w:color="auto"/>
              <w:left w:val="nil"/>
              <w:bottom w:val="single" w:sz="4" w:space="0" w:color="auto"/>
              <w:right w:val="nil"/>
            </w:tcBorders>
            <w:vAlign w:val="bottom"/>
          </w:tcPr>
          <w:p w14:paraId="32F7574F"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4" w:space="0" w:color="auto"/>
              <w:left w:val="nil"/>
              <w:bottom w:val="single" w:sz="4" w:space="0" w:color="auto"/>
              <w:right w:val="nil"/>
            </w:tcBorders>
            <w:vAlign w:val="bottom"/>
          </w:tcPr>
          <w:p w14:paraId="55DD34D5"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4" w:space="0" w:color="auto"/>
              <w:left w:val="nil"/>
              <w:bottom w:val="single" w:sz="4" w:space="0" w:color="auto"/>
              <w:right w:val="nil"/>
            </w:tcBorders>
            <w:vAlign w:val="bottom"/>
          </w:tcPr>
          <w:p w14:paraId="2240C5FE" w14:textId="1C5DA6CE" w:rsidR="00E128F6" w:rsidRPr="00F01EC8" w:rsidRDefault="00E128F6" w:rsidP="00E128F6">
            <w:pPr>
              <w:jc w:val="center"/>
              <w:rPr>
                <w:rFonts w:asciiTheme="minorHAnsi" w:hAnsiTheme="minorHAnsi" w:cs="Arial"/>
                <w:sz w:val="20"/>
                <w:szCs w:val="20"/>
              </w:rPr>
            </w:pPr>
            <w:r w:rsidRPr="00F01EC8">
              <w:rPr>
                <w:rFonts w:asciiTheme="minorHAnsi" w:hAnsiTheme="minorHAnsi" w:cs="Arial"/>
                <w:sz w:val="20"/>
                <w:szCs w:val="20"/>
              </w:rPr>
              <w:t xml:space="preserve">           2.9</w:t>
            </w:r>
          </w:p>
        </w:tc>
        <w:tc>
          <w:tcPr>
            <w:tcW w:w="1021" w:type="dxa"/>
            <w:tcBorders>
              <w:top w:val="single" w:sz="4" w:space="0" w:color="auto"/>
              <w:left w:val="nil"/>
              <w:bottom w:val="single" w:sz="4" w:space="0" w:color="auto"/>
              <w:right w:val="nil"/>
            </w:tcBorders>
            <w:vAlign w:val="bottom"/>
          </w:tcPr>
          <w:p w14:paraId="29F8695B" w14:textId="0A586BCE"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(12.9)</w:t>
            </w:r>
          </w:p>
        </w:tc>
        <w:tc>
          <w:tcPr>
            <w:tcW w:w="817" w:type="dxa"/>
            <w:tcBorders>
              <w:top w:val="single" w:sz="4" w:space="0" w:color="auto"/>
              <w:left w:val="nil"/>
              <w:bottom w:val="single" w:sz="4" w:space="0" w:color="auto"/>
              <w:right w:val="nil"/>
            </w:tcBorders>
            <w:vAlign w:val="bottom"/>
          </w:tcPr>
          <w:p w14:paraId="39EE97DC" w14:textId="58B01D48"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(10.0)</w:t>
            </w:r>
          </w:p>
        </w:tc>
      </w:tr>
      <w:tr w:rsidR="00E128F6" w:rsidRPr="00F01EC8" w14:paraId="180E5D2B" w14:textId="77777777" w:rsidTr="00FB2FF4">
        <w:tc>
          <w:tcPr>
            <w:tcW w:w="5195" w:type="dxa"/>
            <w:vAlign w:val="bottom"/>
          </w:tcPr>
          <w:p w14:paraId="0F770B1D" w14:textId="0C1DA665" w:rsidR="00E128F6" w:rsidRPr="00F01EC8" w:rsidRDefault="00E128F6" w:rsidP="00836A77">
            <w:pPr>
              <w:rPr>
                <w:rFonts w:asciiTheme="minorHAnsi" w:hAnsiTheme="minorHAnsi" w:cs="Arial"/>
                <w:sz w:val="20"/>
                <w:szCs w:val="20"/>
              </w:rPr>
            </w:pPr>
            <w:r w:rsidRPr="00F01EC8">
              <w:rPr>
                <w:rFonts w:asciiTheme="minorHAnsi" w:hAnsiTheme="minorHAnsi" w:cs="Arial"/>
                <w:sz w:val="20"/>
                <w:szCs w:val="20"/>
              </w:rPr>
              <w:t>Total comprehensive income</w:t>
            </w:r>
            <w:r w:rsidR="00CD0CCF" w:rsidRPr="00F01EC8">
              <w:rPr>
                <w:rFonts w:asciiTheme="minorHAnsi" w:hAnsiTheme="minorHAnsi" w:cs="Arial"/>
                <w:sz w:val="20"/>
                <w:szCs w:val="20"/>
              </w:rPr>
              <w:t xml:space="preserve"> </w:t>
            </w:r>
            <w:r w:rsidRPr="00F01EC8">
              <w:rPr>
                <w:rFonts w:asciiTheme="minorHAnsi" w:hAnsiTheme="minorHAnsi" w:cs="Arial"/>
                <w:sz w:val="20"/>
                <w:szCs w:val="20"/>
              </w:rPr>
              <w:t>for the period</w:t>
            </w:r>
          </w:p>
        </w:tc>
        <w:tc>
          <w:tcPr>
            <w:tcW w:w="849" w:type="dxa"/>
            <w:tcBorders>
              <w:top w:val="single" w:sz="4" w:space="0" w:color="auto"/>
              <w:left w:val="nil"/>
              <w:bottom w:val="single" w:sz="4" w:space="0" w:color="auto"/>
              <w:right w:val="nil"/>
            </w:tcBorders>
            <w:vAlign w:val="bottom"/>
          </w:tcPr>
          <w:p w14:paraId="64F219EB"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4" w:space="0" w:color="auto"/>
              <w:left w:val="nil"/>
              <w:bottom w:val="single" w:sz="4" w:space="0" w:color="auto"/>
              <w:right w:val="nil"/>
            </w:tcBorders>
            <w:vAlign w:val="bottom"/>
          </w:tcPr>
          <w:p w14:paraId="36D94A07"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4" w:space="0" w:color="auto"/>
              <w:left w:val="nil"/>
              <w:bottom w:val="single" w:sz="4" w:space="0" w:color="auto"/>
              <w:right w:val="nil"/>
            </w:tcBorders>
            <w:vAlign w:val="bottom"/>
          </w:tcPr>
          <w:p w14:paraId="48F9B979" w14:textId="2BC743DF"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2.9 </w:t>
            </w:r>
          </w:p>
        </w:tc>
        <w:tc>
          <w:tcPr>
            <w:tcW w:w="1021" w:type="dxa"/>
            <w:tcBorders>
              <w:top w:val="single" w:sz="4" w:space="0" w:color="auto"/>
              <w:left w:val="nil"/>
              <w:bottom w:val="single" w:sz="4" w:space="0" w:color="auto"/>
              <w:right w:val="nil"/>
            </w:tcBorders>
            <w:vAlign w:val="bottom"/>
          </w:tcPr>
          <w:p w14:paraId="2F4D2303" w14:textId="325DA1E1" w:rsidR="00E128F6" w:rsidRPr="00F01EC8" w:rsidRDefault="00E128F6" w:rsidP="00836A77">
            <w:pPr>
              <w:jc w:val="right"/>
              <w:rPr>
                <w:rFonts w:asciiTheme="minorHAnsi" w:hAnsiTheme="minorHAnsi" w:cs="Arial"/>
                <w:sz w:val="20"/>
                <w:szCs w:val="20"/>
              </w:rPr>
            </w:pPr>
            <w:r w:rsidRPr="00F01EC8">
              <w:rPr>
                <w:rFonts w:asciiTheme="minorHAnsi" w:hAnsiTheme="minorHAnsi" w:cs="Arial"/>
                <w:sz w:val="20"/>
                <w:szCs w:val="20"/>
              </w:rPr>
              <w:t>11.7</w:t>
            </w:r>
          </w:p>
        </w:tc>
        <w:tc>
          <w:tcPr>
            <w:tcW w:w="817" w:type="dxa"/>
            <w:tcBorders>
              <w:top w:val="single" w:sz="4" w:space="0" w:color="auto"/>
              <w:left w:val="nil"/>
              <w:bottom w:val="single" w:sz="4" w:space="0" w:color="auto"/>
              <w:right w:val="nil"/>
            </w:tcBorders>
            <w:vAlign w:val="bottom"/>
          </w:tcPr>
          <w:p w14:paraId="3D44EB94" w14:textId="2F4A518F" w:rsidR="00E128F6" w:rsidRPr="00F01EC8" w:rsidRDefault="00E128F6" w:rsidP="00836A77">
            <w:pPr>
              <w:jc w:val="right"/>
              <w:rPr>
                <w:rFonts w:asciiTheme="minorHAnsi" w:hAnsiTheme="minorHAnsi" w:cs="Arial"/>
                <w:sz w:val="20"/>
                <w:szCs w:val="20"/>
              </w:rPr>
            </w:pPr>
            <w:r w:rsidRPr="00F01EC8">
              <w:rPr>
                <w:rFonts w:asciiTheme="minorHAnsi" w:hAnsiTheme="minorHAnsi" w:cs="Arial"/>
                <w:sz w:val="20"/>
                <w:szCs w:val="20"/>
              </w:rPr>
              <w:t>14.6</w:t>
            </w:r>
          </w:p>
        </w:tc>
      </w:tr>
      <w:tr w:rsidR="00E128F6" w:rsidRPr="00F01EC8" w14:paraId="7A35080C" w14:textId="77777777" w:rsidTr="00FB2FF4">
        <w:tc>
          <w:tcPr>
            <w:tcW w:w="5195" w:type="dxa"/>
            <w:vAlign w:val="bottom"/>
          </w:tcPr>
          <w:p w14:paraId="7A18EA46"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Transactions with owners:</w:t>
            </w:r>
          </w:p>
        </w:tc>
        <w:tc>
          <w:tcPr>
            <w:tcW w:w="849" w:type="dxa"/>
            <w:tcBorders>
              <w:top w:val="single" w:sz="4" w:space="0" w:color="auto"/>
              <w:left w:val="nil"/>
              <w:right w:val="nil"/>
            </w:tcBorders>
            <w:vAlign w:val="bottom"/>
          </w:tcPr>
          <w:p w14:paraId="28E06D5A" w14:textId="77777777" w:rsidR="00E128F6" w:rsidRPr="00F01EC8" w:rsidRDefault="00E128F6" w:rsidP="00E128F6">
            <w:pPr>
              <w:jc w:val="right"/>
              <w:rPr>
                <w:rFonts w:asciiTheme="minorHAnsi" w:hAnsiTheme="minorHAnsi" w:cs="Arial"/>
                <w:sz w:val="20"/>
                <w:szCs w:val="20"/>
              </w:rPr>
            </w:pPr>
          </w:p>
        </w:tc>
        <w:tc>
          <w:tcPr>
            <w:tcW w:w="1018" w:type="dxa"/>
            <w:tcBorders>
              <w:top w:val="single" w:sz="4" w:space="0" w:color="auto"/>
              <w:left w:val="nil"/>
              <w:right w:val="nil"/>
            </w:tcBorders>
            <w:vAlign w:val="bottom"/>
          </w:tcPr>
          <w:p w14:paraId="44CFDB27" w14:textId="77777777" w:rsidR="00E128F6" w:rsidRPr="00F01EC8" w:rsidRDefault="00E128F6" w:rsidP="00E128F6">
            <w:pPr>
              <w:jc w:val="right"/>
              <w:rPr>
                <w:rFonts w:asciiTheme="minorHAnsi" w:hAnsiTheme="minorHAnsi" w:cs="Arial"/>
                <w:sz w:val="20"/>
                <w:szCs w:val="20"/>
              </w:rPr>
            </w:pPr>
          </w:p>
        </w:tc>
        <w:tc>
          <w:tcPr>
            <w:tcW w:w="989" w:type="dxa"/>
            <w:tcBorders>
              <w:top w:val="single" w:sz="4" w:space="0" w:color="auto"/>
              <w:left w:val="nil"/>
              <w:right w:val="nil"/>
            </w:tcBorders>
            <w:vAlign w:val="bottom"/>
          </w:tcPr>
          <w:p w14:paraId="75174F9D" w14:textId="77777777" w:rsidR="00E128F6" w:rsidRPr="00F01EC8" w:rsidRDefault="00E128F6" w:rsidP="00E128F6">
            <w:pPr>
              <w:jc w:val="right"/>
              <w:rPr>
                <w:rFonts w:asciiTheme="minorHAnsi" w:hAnsiTheme="minorHAnsi" w:cs="Arial"/>
                <w:sz w:val="20"/>
                <w:szCs w:val="20"/>
              </w:rPr>
            </w:pPr>
          </w:p>
        </w:tc>
        <w:tc>
          <w:tcPr>
            <w:tcW w:w="1021" w:type="dxa"/>
            <w:tcBorders>
              <w:top w:val="single" w:sz="4" w:space="0" w:color="auto"/>
              <w:left w:val="nil"/>
              <w:right w:val="nil"/>
            </w:tcBorders>
            <w:vAlign w:val="bottom"/>
          </w:tcPr>
          <w:p w14:paraId="1A56422F" w14:textId="77777777" w:rsidR="00E128F6" w:rsidRPr="00F01EC8" w:rsidRDefault="00E128F6" w:rsidP="00E128F6">
            <w:pPr>
              <w:jc w:val="right"/>
              <w:rPr>
                <w:rFonts w:asciiTheme="minorHAnsi" w:hAnsiTheme="minorHAnsi" w:cs="Arial"/>
                <w:sz w:val="20"/>
                <w:szCs w:val="20"/>
              </w:rPr>
            </w:pPr>
          </w:p>
        </w:tc>
        <w:tc>
          <w:tcPr>
            <w:tcW w:w="817" w:type="dxa"/>
            <w:tcBorders>
              <w:top w:val="single" w:sz="4" w:space="0" w:color="auto"/>
              <w:left w:val="nil"/>
              <w:right w:val="nil"/>
            </w:tcBorders>
            <w:vAlign w:val="bottom"/>
          </w:tcPr>
          <w:p w14:paraId="7A35BA32" w14:textId="77777777" w:rsidR="00E128F6" w:rsidRPr="00F01EC8" w:rsidRDefault="00E128F6" w:rsidP="00E128F6">
            <w:pPr>
              <w:jc w:val="right"/>
              <w:rPr>
                <w:rFonts w:asciiTheme="minorHAnsi" w:hAnsiTheme="minorHAnsi" w:cs="Arial"/>
                <w:sz w:val="20"/>
                <w:szCs w:val="20"/>
              </w:rPr>
            </w:pPr>
          </w:p>
        </w:tc>
      </w:tr>
      <w:tr w:rsidR="00E128F6" w:rsidRPr="00F01EC8" w14:paraId="360FA530" w14:textId="77777777" w:rsidTr="00FB2FF4">
        <w:tc>
          <w:tcPr>
            <w:tcW w:w="5195" w:type="dxa"/>
            <w:vAlign w:val="bottom"/>
          </w:tcPr>
          <w:p w14:paraId="0CB47C24" w14:textId="5D91BD4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share-based payment charge</w:t>
            </w:r>
          </w:p>
        </w:tc>
        <w:tc>
          <w:tcPr>
            <w:tcW w:w="849" w:type="dxa"/>
            <w:tcBorders>
              <w:left w:val="nil"/>
              <w:right w:val="nil"/>
            </w:tcBorders>
            <w:vAlign w:val="bottom"/>
          </w:tcPr>
          <w:p w14:paraId="030B26BB" w14:textId="6AB2556D"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5DD98981" w14:textId="284E69A0"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7D7D1532" w14:textId="4BD5119D"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2.1 </w:t>
            </w:r>
          </w:p>
        </w:tc>
        <w:tc>
          <w:tcPr>
            <w:tcW w:w="1021" w:type="dxa"/>
            <w:tcBorders>
              <w:left w:val="nil"/>
              <w:right w:val="nil"/>
            </w:tcBorders>
            <w:vAlign w:val="bottom"/>
          </w:tcPr>
          <w:p w14:paraId="42A30F42" w14:textId="64DE57A6"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817" w:type="dxa"/>
            <w:tcBorders>
              <w:left w:val="nil"/>
              <w:right w:val="nil"/>
            </w:tcBorders>
            <w:vAlign w:val="bottom"/>
          </w:tcPr>
          <w:p w14:paraId="048D26A1" w14:textId="551EA7DE"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2.1 </w:t>
            </w:r>
          </w:p>
        </w:tc>
      </w:tr>
      <w:tr w:rsidR="00E128F6" w:rsidRPr="00F01EC8" w14:paraId="00C6B7CC" w14:textId="77777777" w:rsidTr="00FB2FF4">
        <w:tc>
          <w:tcPr>
            <w:tcW w:w="5195" w:type="dxa"/>
            <w:vAlign w:val="bottom"/>
          </w:tcPr>
          <w:p w14:paraId="1140ECD8" w14:textId="036298D2"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transfer of share-based payment reserve</w:t>
            </w:r>
          </w:p>
        </w:tc>
        <w:tc>
          <w:tcPr>
            <w:tcW w:w="849" w:type="dxa"/>
            <w:tcBorders>
              <w:left w:val="nil"/>
              <w:right w:val="nil"/>
            </w:tcBorders>
            <w:vAlign w:val="bottom"/>
          </w:tcPr>
          <w:p w14:paraId="02CADC1C" w14:textId="65A1B032"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3B6AD625" w14:textId="763DE82A"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0CA61739" w14:textId="6EBEC34A"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(1.5)</w:t>
            </w:r>
          </w:p>
        </w:tc>
        <w:tc>
          <w:tcPr>
            <w:tcW w:w="1021" w:type="dxa"/>
            <w:tcBorders>
              <w:left w:val="nil"/>
              <w:right w:val="nil"/>
            </w:tcBorders>
            <w:vAlign w:val="bottom"/>
          </w:tcPr>
          <w:p w14:paraId="5AD59EA7" w14:textId="4821AB6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1.5 </w:t>
            </w:r>
          </w:p>
        </w:tc>
        <w:tc>
          <w:tcPr>
            <w:tcW w:w="817" w:type="dxa"/>
            <w:tcBorders>
              <w:left w:val="nil"/>
              <w:right w:val="nil"/>
            </w:tcBorders>
            <w:vAlign w:val="bottom"/>
          </w:tcPr>
          <w:p w14:paraId="5034484E" w14:textId="3B880AA3"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r>
      <w:tr w:rsidR="00E128F6" w:rsidRPr="00F01EC8" w14:paraId="7A710EC8" w14:textId="77777777" w:rsidTr="00FB2FF4">
        <w:tc>
          <w:tcPr>
            <w:tcW w:w="5195" w:type="dxa"/>
            <w:vAlign w:val="bottom"/>
          </w:tcPr>
          <w:p w14:paraId="6285D051" w14:textId="60EEC241"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dividends</w:t>
            </w:r>
          </w:p>
        </w:tc>
        <w:tc>
          <w:tcPr>
            <w:tcW w:w="849" w:type="dxa"/>
            <w:tcBorders>
              <w:left w:val="nil"/>
              <w:bottom w:val="single" w:sz="4" w:space="0" w:color="auto"/>
              <w:right w:val="nil"/>
            </w:tcBorders>
            <w:vAlign w:val="bottom"/>
          </w:tcPr>
          <w:p w14:paraId="4295B102" w14:textId="2477E2B3"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bottom w:val="single" w:sz="4" w:space="0" w:color="auto"/>
              <w:right w:val="nil"/>
            </w:tcBorders>
            <w:vAlign w:val="bottom"/>
          </w:tcPr>
          <w:p w14:paraId="03B46928" w14:textId="19293D3A"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bottom w:val="single" w:sz="4" w:space="0" w:color="auto"/>
              <w:right w:val="nil"/>
            </w:tcBorders>
            <w:vAlign w:val="bottom"/>
          </w:tcPr>
          <w:p w14:paraId="3B32C553" w14:textId="569EB4B8"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21" w:type="dxa"/>
            <w:tcBorders>
              <w:left w:val="nil"/>
              <w:bottom w:val="single" w:sz="4" w:space="0" w:color="auto"/>
              <w:right w:val="nil"/>
            </w:tcBorders>
            <w:vAlign w:val="bottom"/>
          </w:tcPr>
          <w:p w14:paraId="25C8D7EC" w14:textId="728019B1"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(25.1)</w:t>
            </w:r>
          </w:p>
        </w:tc>
        <w:tc>
          <w:tcPr>
            <w:tcW w:w="817" w:type="dxa"/>
            <w:tcBorders>
              <w:left w:val="nil"/>
              <w:bottom w:val="single" w:sz="4" w:space="0" w:color="auto"/>
              <w:right w:val="nil"/>
            </w:tcBorders>
            <w:vAlign w:val="bottom"/>
          </w:tcPr>
          <w:p w14:paraId="25103940" w14:textId="74ADC986"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(25.1)</w:t>
            </w:r>
          </w:p>
        </w:tc>
      </w:tr>
      <w:tr w:rsidR="00E128F6" w:rsidRPr="00F01EC8" w14:paraId="22D4961E" w14:textId="77777777" w:rsidTr="00FB2FF4">
        <w:tc>
          <w:tcPr>
            <w:tcW w:w="5195" w:type="dxa"/>
            <w:vAlign w:val="bottom"/>
          </w:tcPr>
          <w:p w14:paraId="5E511A3F" w14:textId="01BC383F" w:rsidR="00E128F6" w:rsidRPr="00F01EC8" w:rsidRDefault="00E128F6" w:rsidP="00E128F6">
            <w:pPr>
              <w:rPr>
                <w:rFonts w:asciiTheme="minorHAnsi" w:hAnsiTheme="minorHAnsi" w:cs="Arial"/>
                <w:b/>
                <w:sz w:val="20"/>
                <w:szCs w:val="20"/>
              </w:rPr>
            </w:pPr>
            <w:r w:rsidRPr="00F01EC8">
              <w:rPr>
                <w:rFonts w:asciiTheme="minorHAnsi" w:hAnsiTheme="minorHAnsi" w:cs="Arial"/>
                <w:b/>
                <w:sz w:val="20"/>
                <w:szCs w:val="20"/>
              </w:rPr>
              <w:t>At 30 June 2019 and 1 July 2019</w:t>
            </w:r>
          </w:p>
        </w:tc>
        <w:tc>
          <w:tcPr>
            <w:tcW w:w="849" w:type="dxa"/>
            <w:tcBorders>
              <w:top w:val="single" w:sz="4" w:space="0" w:color="auto"/>
              <w:left w:val="nil"/>
              <w:bottom w:val="single" w:sz="4" w:space="0" w:color="auto"/>
              <w:right w:val="nil"/>
            </w:tcBorders>
            <w:vAlign w:val="bottom"/>
          </w:tcPr>
          <w:p w14:paraId="6868CC02" w14:textId="3E5C37C9"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52.5 </w:t>
            </w:r>
          </w:p>
        </w:tc>
        <w:tc>
          <w:tcPr>
            <w:tcW w:w="1018" w:type="dxa"/>
            <w:tcBorders>
              <w:top w:val="single" w:sz="4" w:space="0" w:color="auto"/>
              <w:left w:val="nil"/>
              <w:bottom w:val="single" w:sz="4" w:space="0" w:color="auto"/>
              <w:right w:val="nil"/>
            </w:tcBorders>
            <w:vAlign w:val="bottom"/>
          </w:tcPr>
          <w:p w14:paraId="176762DD" w14:textId="6D573F35"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273.2 </w:t>
            </w:r>
          </w:p>
        </w:tc>
        <w:tc>
          <w:tcPr>
            <w:tcW w:w="989" w:type="dxa"/>
            <w:tcBorders>
              <w:top w:val="single" w:sz="4" w:space="0" w:color="auto"/>
              <w:left w:val="nil"/>
              <w:bottom w:val="single" w:sz="4" w:space="0" w:color="auto"/>
              <w:right w:val="nil"/>
            </w:tcBorders>
            <w:vAlign w:val="bottom"/>
          </w:tcPr>
          <w:p w14:paraId="74486E9B" w14:textId="4C8157EE"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295.6 </w:t>
            </w:r>
          </w:p>
        </w:tc>
        <w:tc>
          <w:tcPr>
            <w:tcW w:w="1021" w:type="dxa"/>
            <w:tcBorders>
              <w:top w:val="single" w:sz="4" w:space="0" w:color="auto"/>
              <w:left w:val="nil"/>
              <w:bottom w:val="single" w:sz="4" w:space="0" w:color="auto"/>
              <w:right w:val="nil"/>
            </w:tcBorders>
            <w:vAlign w:val="bottom"/>
          </w:tcPr>
          <w:p w14:paraId="19C8249A" w14:textId="7E773273"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76.8 </w:t>
            </w:r>
          </w:p>
        </w:tc>
        <w:tc>
          <w:tcPr>
            <w:tcW w:w="817" w:type="dxa"/>
            <w:tcBorders>
              <w:top w:val="single" w:sz="4" w:space="0" w:color="auto"/>
              <w:left w:val="nil"/>
              <w:bottom w:val="single" w:sz="4" w:space="0" w:color="auto"/>
              <w:right w:val="nil"/>
            </w:tcBorders>
            <w:vAlign w:val="bottom"/>
          </w:tcPr>
          <w:p w14:paraId="2E30D7D3" w14:textId="0C8133B9"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698.1 </w:t>
            </w:r>
          </w:p>
        </w:tc>
      </w:tr>
      <w:tr w:rsidR="00E128F6" w:rsidRPr="00F01EC8" w14:paraId="7F0BACEB" w14:textId="77777777" w:rsidTr="00FB2FF4">
        <w:tc>
          <w:tcPr>
            <w:tcW w:w="5195" w:type="dxa"/>
            <w:vAlign w:val="bottom"/>
          </w:tcPr>
          <w:p w14:paraId="508FB5EB"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Profit for the period</w:t>
            </w:r>
          </w:p>
        </w:tc>
        <w:tc>
          <w:tcPr>
            <w:tcW w:w="849" w:type="dxa"/>
            <w:tcBorders>
              <w:top w:val="single" w:sz="4" w:space="0" w:color="auto"/>
              <w:left w:val="nil"/>
              <w:bottom w:val="single" w:sz="4" w:space="0" w:color="auto"/>
              <w:right w:val="nil"/>
            </w:tcBorders>
            <w:vAlign w:val="bottom"/>
          </w:tcPr>
          <w:p w14:paraId="3442DAFA"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4" w:space="0" w:color="auto"/>
              <w:left w:val="nil"/>
              <w:bottom w:val="single" w:sz="4" w:space="0" w:color="auto"/>
              <w:right w:val="nil"/>
            </w:tcBorders>
            <w:vAlign w:val="bottom"/>
          </w:tcPr>
          <w:p w14:paraId="03D78429"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4" w:space="0" w:color="auto"/>
              <w:left w:val="nil"/>
              <w:bottom w:val="single" w:sz="4" w:space="0" w:color="auto"/>
              <w:right w:val="nil"/>
            </w:tcBorders>
            <w:vAlign w:val="bottom"/>
          </w:tcPr>
          <w:p w14:paraId="7DF5DC7A"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21" w:type="dxa"/>
            <w:tcBorders>
              <w:top w:val="single" w:sz="4" w:space="0" w:color="auto"/>
              <w:left w:val="nil"/>
              <w:bottom w:val="single" w:sz="4" w:space="0" w:color="auto"/>
              <w:right w:val="nil"/>
            </w:tcBorders>
            <w:vAlign w:val="bottom"/>
          </w:tcPr>
          <w:p w14:paraId="5C182E61" w14:textId="668EABFF"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59.8 </w:t>
            </w:r>
          </w:p>
        </w:tc>
        <w:tc>
          <w:tcPr>
            <w:tcW w:w="817" w:type="dxa"/>
            <w:tcBorders>
              <w:top w:val="single" w:sz="4" w:space="0" w:color="auto"/>
              <w:left w:val="nil"/>
              <w:bottom w:val="single" w:sz="4" w:space="0" w:color="auto"/>
              <w:right w:val="nil"/>
            </w:tcBorders>
            <w:vAlign w:val="bottom"/>
          </w:tcPr>
          <w:p w14:paraId="26B81508" w14:textId="3BE9AE16"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59.8 </w:t>
            </w:r>
          </w:p>
        </w:tc>
      </w:tr>
      <w:tr w:rsidR="00E128F6" w:rsidRPr="00F01EC8" w14:paraId="48EADF20" w14:textId="77777777" w:rsidTr="00FB2FF4">
        <w:tc>
          <w:tcPr>
            <w:tcW w:w="5195" w:type="dxa"/>
            <w:vAlign w:val="bottom"/>
          </w:tcPr>
          <w:p w14:paraId="7DF5AB7A"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Other comprehensive income/(expense):</w:t>
            </w:r>
          </w:p>
        </w:tc>
        <w:tc>
          <w:tcPr>
            <w:tcW w:w="849" w:type="dxa"/>
            <w:tcBorders>
              <w:top w:val="single" w:sz="4" w:space="0" w:color="auto"/>
              <w:left w:val="nil"/>
              <w:right w:val="nil"/>
            </w:tcBorders>
            <w:vAlign w:val="bottom"/>
          </w:tcPr>
          <w:p w14:paraId="54C06E1E" w14:textId="77777777" w:rsidR="00E128F6" w:rsidRPr="00F01EC8" w:rsidRDefault="00E128F6" w:rsidP="00E128F6">
            <w:pPr>
              <w:jc w:val="right"/>
              <w:rPr>
                <w:rFonts w:asciiTheme="minorHAnsi" w:hAnsiTheme="minorHAnsi" w:cs="Arial"/>
                <w:sz w:val="20"/>
                <w:szCs w:val="20"/>
              </w:rPr>
            </w:pPr>
          </w:p>
        </w:tc>
        <w:tc>
          <w:tcPr>
            <w:tcW w:w="1018" w:type="dxa"/>
            <w:tcBorders>
              <w:top w:val="single" w:sz="4" w:space="0" w:color="auto"/>
              <w:left w:val="nil"/>
              <w:right w:val="nil"/>
            </w:tcBorders>
            <w:vAlign w:val="bottom"/>
          </w:tcPr>
          <w:p w14:paraId="754D460B" w14:textId="77777777" w:rsidR="00E128F6" w:rsidRPr="00F01EC8" w:rsidRDefault="00E128F6" w:rsidP="00E128F6">
            <w:pPr>
              <w:jc w:val="right"/>
              <w:rPr>
                <w:rFonts w:asciiTheme="minorHAnsi" w:hAnsiTheme="minorHAnsi" w:cs="Arial"/>
                <w:sz w:val="20"/>
                <w:szCs w:val="20"/>
              </w:rPr>
            </w:pPr>
          </w:p>
        </w:tc>
        <w:tc>
          <w:tcPr>
            <w:tcW w:w="989" w:type="dxa"/>
            <w:tcBorders>
              <w:top w:val="single" w:sz="4" w:space="0" w:color="auto"/>
              <w:left w:val="nil"/>
              <w:right w:val="nil"/>
            </w:tcBorders>
            <w:vAlign w:val="bottom"/>
          </w:tcPr>
          <w:p w14:paraId="30850956" w14:textId="77777777" w:rsidR="00E128F6" w:rsidRPr="00F01EC8" w:rsidRDefault="00E128F6" w:rsidP="00E128F6">
            <w:pPr>
              <w:jc w:val="right"/>
              <w:rPr>
                <w:rFonts w:asciiTheme="minorHAnsi" w:hAnsiTheme="minorHAnsi" w:cs="Arial"/>
                <w:sz w:val="20"/>
                <w:szCs w:val="20"/>
              </w:rPr>
            </w:pPr>
          </w:p>
        </w:tc>
        <w:tc>
          <w:tcPr>
            <w:tcW w:w="1021" w:type="dxa"/>
            <w:tcBorders>
              <w:top w:val="single" w:sz="4" w:space="0" w:color="auto"/>
              <w:left w:val="nil"/>
              <w:right w:val="nil"/>
            </w:tcBorders>
            <w:vAlign w:val="bottom"/>
          </w:tcPr>
          <w:p w14:paraId="7AC3ED19" w14:textId="77777777" w:rsidR="00E128F6" w:rsidRPr="00F01EC8" w:rsidRDefault="00E128F6" w:rsidP="00E128F6">
            <w:pPr>
              <w:jc w:val="right"/>
              <w:rPr>
                <w:rFonts w:asciiTheme="minorHAnsi" w:hAnsiTheme="minorHAnsi" w:cs="Arial"/>
                <w:sz w:val="20"/>
                <w:szCs w:val="20"/>
              </w:rPr>
            </w:pPr>
          </w:p>
        </w:tc>
        <w:tc>
          <w:tcPr>
            <w:tcW w:w="817" w:type="dxa"/>
            <w:tcBorders>
              <w:top w:val="single" w:sz="4" w:space="0" w:color="auto"/>
              <w:left w:val="nil"/>
              <w:right w:val="nil"/>
            </w:tcBorders>
            <w:vAlign w:val="bottom"/>
          </w:tcPr>
          <w:p w14:paraId="496BD583" w14:textId="77777777" w:rsidR="00E128F6" w:rsidRPr="00F01EC8" w:rsidRDefault="00E128F6" w:rsidP="00E128F6">
            <w:pPr>
              <w:jc w:val="right"/>
              <w:rPr>
                <w:rFonts w:asciiTheme="minorHAnsi" w:hAnsiTheme="minorHAnsi" w:cs="Arial"/>
                <w:sz w:val="20"/>
                <w:szCs w:val="20"/>
              </w:rPr>
            </w:pPr>
          </w:p>
        </w:tc>
      </w:tr>
      <w:tr w:rsidR="00E128F6" w:rsidRPr="00F01EC8" w14:paraId="390F5D08" w14:textId="77777777" w:rsidTr="00FB2FF4">
        <w:tc>
          <w:tcPr>
            <w:tcW w:w="5195" w:type="dxa"/>
            <w:vAlign w:val="bottom"/>
          </w:tcPr>
          <w:p w14:paraId="757EB4F9"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fair value movement in investments</w:t>
            </w:r>
          </w:p>
        </w:tc>
        <w:tc>
          <w:tcPr>
            <w:tcW w:w="849" w:type="dxa"/>
            <w:tcBorders>
              <w:left w:val="nil"/>
              <w:right w:val="nil"/>
            </w:tcBorders>
            <w:vAlign w:val="bottom"/>
          </w:tcPr>
          <w:p w14:paraId="18F1B94F"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0C5EC120"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2A23AFA9" w14:textId="73E98692"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0.6 </w:t>
            </w:r>
          </w:p>
        </w:tc>
        <w:tc>
          <w:tcPr>
            <w:tcW w:w="1021" w:type="dxa"/>
            <w:tcBorders>
              <w:left w:val="nil"/>
              <w:right w:val="nil"/>
            </w:tcBorders>
            <w:vAlign w:val="bottom"/>
          </w:tcPr>
          <w:p w14:paraId="3616A15D"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817" w:type="dxa"/>
            <w:tcBorders>
              <w:left w:val="nil"/>
              <w:right w:val="nil"/>
            </w:tcBorders>
            <w:vAlign w:val="bottom"/>
          </w:tcPr>
          <w:p w14:paraId="1D3944C1" w14:textId="0545BA51"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w:t>
            </w:r>
            <w:r w:rsidR="0016241F" w:rsidRPr="00F01EC8">
              <w:rPr>
                <w:rFonts w:asciiTheme="minorHAnsi" w:hAnsiTheme="minorHAnsi" w:cs="Arial"/>
                <w:sz w:val="20"/>
                <w:szCs w:val="20"/>
              </w:rPr>
              <w:t>6</w:t>
            </w:r>
            <w:r w:rsidRPr="00F01EC8">
              <w:rPr>
                <w:rFonts w:asciiTheme="minorHAnsi" w:hAnsiTheme="minorHAnsi" w:cs="Arial"/>
                <w:sz w:val="20"/>
                <w:szCs w:val="20"/>
              </w:rPr>
              <w:t> </w:t>
            </w:r>
          </w:p>
        </w:tc>
      </w:tr>
      <w:tr w:rsidR="00E128F6" w:rsidRPr="00F01EC8" w14:paraId="2F34BE1B" w14:textId="77777777" w:rsidTr="00FB2FF4">
        <w:tc>
          <w:tcPr>
            <w:tcW w:w="5195" w:type="dxa"/>
            <w:vAlign w:val="bottom"/>
          </w:tcPr>
          <w:p w14:paraId="1D70C93C"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actuarial movements on retirement benefit asset (note 9)</w:t>
            </w:r>
          </w:p>
        </w:tc>
        <w:tc>
          <w:tcPr>
            <w:tcW w:w="849" w:type="dxa"/>
            <w:tcBorders>
              <w:left w:val="nil"/>
              <w:right w:val="nil"/>
            </w:tcBorders>
            <w:vAlign w:val="bottom"/>
          </w:tcPr>
          <w:p w14:paraId="0AE4C7A9"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05CC4F1A"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0A034E79"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21" w:type="dxa"/>
            <w:tcBorders>
              <w:left w:val="nil"/>
              <w:right w:val="nil"/>
            </w:tcBorders>
            <w:vAlign w:val="bottom"/>
          </w:tcPr>
          <w:p w14:paraId="3BE62A02" w14:textId="4D56D8CE"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6.0</w:t>
            </w:r>
          </w:p>
        </w:tc>
        <w:tc>
          <w:tcPr>
            <w:tcW w:w="817" w:type="dxa"/>
            <w:tcBorders>
              <w:left w:val="nil"/>
              <w:right w:val="nil"/>
            </w:tcBorders>
            <w:vAlign w:val="bottom"/>
          </w:tcPr>
          <w:p w14:paraId="07E67575" w14:textId="0CCD010C"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6.0</w:t>
            </w:r>
          </w:p>
        </w:tc>
      </w:tr>
      <w:tr w:rsidR="00E128F6" w:rsidRPr="00F01EC8" w14:paraId="26276E40" w14:textId="77777777" w:rsidTr="00FB2FF4">
        <w:tc>
          <w:tcPr>
            <w:tcW w:w="5195" w:type="dxa"/>
            <w:vAlign w:val="bottom"/>
          </w:tcPr>
          <w:p w14:paraId="400FA5BC" w14:textId="65298893"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exchange differences on translation of foreign operations</w:t>
            </w:r>
          </w:p>
        </w:tc>
        <w:tc>
          <w:tcPr>
            <w:tcW w:w="849" w:type="dxa"/>
            <w:tcBorders>
              <w:left w:val="nil"/>
              <w:right w:val="nil"/>
            </w:tcBorders>
            <w:vAlign w:val="bottom"/>
          </w:tcPr>
          <w:p w14:paraId="335600E1" w14:textId="0569679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vAlign w:val="bottom"/>
          </w:tcPr>
          <w:p w14:paraId="056C7A94" w14:textId="37B7CCD2"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2DA73424" w14:textId="21395A46"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1021" w:type="dxa"/>
            <w:tcBorders>
              <w:left w:val="nil"/>
              <w:right w:val="nil"/>
            </w:tcBorders>
            <w:vAlign w:val="bottom"/>
          </w:tcPr>
          <w:p w14:paraId="028821A6" w14:textId="15FCC339"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(0.1)</w:t>
            </w:r>
          </w:p>
        </w:tc>
        <w:tc>
          <w:tcPr>
            <w:tcW w:w="817" w:type="dxa"/>
            <w:tcBorders>
              <w:left w:val="nil"/>
              <w:right w:val="nil"/>
            </w:tcBorders>
            <w:vAlign w:val="bottom"/>
          </w:tcPr>
          <w:p w14:paraId="3B7F853E" w14:textId="6F84F581"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(0.1)</w:t>
            </w:r>
          </w:p>
        </w:tc>
      </w:tr>
      <w:tr w:rsidR="00E128F6" w:rsidRPr="00F01EC8" w14:paraId="160044D8" w14:textId="77777777" w:rsidTr="00FB2FF4">
        <w:tc>
          <w:tcPr>
            <w:tcW w:w="5195" w:type="dxa"/>
            <w:vAlign w:val="bottom"/>
          </w:tcPr>
          <w:p w14:paraId="156DD8EB"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tax on items taken directly to other comprehensive income</w:t>
            </w:r>
          </w:p>
        </w:tc>
        <w:tc>
          <w:tcPr>
            <w:tcW w:w="849" w:type="dxa"/>
            <w:tcBorders>
              <w:left w:val="nil"/>
              <w:right w:val="nil"/>
            </w:tcBorders>
            <w:vAlign w:val="bottom"/>
          </w:tcPr>
          <w:p w14:paraId="3227714F"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2E32B78C"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6AB83326" w14:textId="15C210A9"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(0.2)</w:t>
            </w:r>
            <w:r w:rsidR="00E128F6" w:rsidRPr="00F01EC8">
              <w:rPr>
                <w:rFonts w:asciiTheme="minorHAnsi" w:hAnsiTheme="minorHAnsi" w:cs="Arial"/>
                <w:sz w:val="20"/>
                <w:szCs w:val="20"/>
              </w:rPr>
              <w:t> </w:t>
            </w:r>
          </w:p>
        </w:tc>
        <w:tc>
          <w:tcPr>
            <w:tcW w:w="1021" w:type="dxa"/>
            <w:tcBorders>
              <w:left w:val="nil"/>
              <w:right w:val="nil"/>
            </w:tcBorders>
            <w:vAlign w:val="bottom"/>
          </w:tcPr>
          <w:p w14:paraId="378F28F9" w14:textId="5C53AE15"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(1.2)</w:t>
            </w:r>
            <w:r w:rsidR="00E128F6" w:rsidRPr="00F01EC8">
              <w:rPr>
                <w:rFonts w:asciiTheme="minorHAnsi" w:hAnsiTheme="minorHAnsi" w:cs="Arial"/>
                <w:sz w:val="20"/>
                <w:szCs w:val="20"/>
              </w:rPr>
              <w:t> </w:t>
            </w:r>
          </w:p>
        </w:tc>
        <w:tc>
          <w:tcPr>
            <w:tcW w:w="817" w:type="dxa"/>
            <w:tcBorders>
              <w:left w:val="nil"/>
              <w:right w:val="nil"/>
            </w:tcBorders>
            <w:vAlign w:val="bottom"/>
          </w:tcPr>
          <w:p w14:paraId="0A23AF14" w14:textId="4156E581"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(1</w:t>
            </w:r>
            <w:r w:rsidR="00E128F6" w:rsidRPr="00F01EC8">
              <w:rPr>
                <w:rFonts w:asciiTheme="minorHAnsi" w:hAnsiTheme="minorHAnsi" w:cs="Arial"/>
                <w:sz w:val="20"/>
                <w:szCs w:val="20"/>
              </w:rPr>
              <w:t>.</w:t>
            </w:r>
            <w:r w:rsidRPr="00F01EC8">
              <w:rPr>
                <w:rFonts w:asciiTheme="minorHAnsi" w:hAnsiTheme="minorHAnsi" w:cs="Arial"/>
                <w:sz w:val="20"/>
                <w:szCs w:val="20"/>
              </w:rPr>
              <w:t>4)</w:t>
            </w:r>
            <w:r w:rsidR="00E128F6" w:rsidRPr="00F01EC8">
              <w:rPr>
                <w:rFonts w:asciiTheme="minorHAnsi" w:hAnsiTheme="minorHAnsi" w:cs="Arial"/>
                <w:sz w:val="20"/>
                <w:szCs w:val="20"/>
              </w:rPr>
              <w:t> </w:t>
            </w:r>
          </w:p>
        </w:tc>
      </w:tr>
      <w:tr w:rsidR="00E128F6" w:rsidRPr="00F01EC8" w14:paraId="05BF6CEB" w14:textId="77777777" w:rsidTr="00FB2FF4">
        <w:tc>
          <w:tcPr>
            <w:tcW w:w="5195" w:type="dxa"/>
            <w:vAlign w:val="bottom"/>
          </w:tcPr>
          <w:p w14:paraId="235DDD40"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 impact of change in UK tax rate</w:t>
            </w:r>
          </w:p>
        </w:tc>
        <w:tc>
          <w:tcPr>
            <w:tcW w:w="849" w:type="dxa"/>
            <w:tcBorders>
              <w:left w:val="nil"/>
              <w:bottom w:val="single" w:sz="4" w:space="0" w:color="auto"/>
              <w:right w:val="nil"/>
            </w:tcBorders>
            <w:vAlign w:val="bottom"/>
          </w:tcPr>
          <w:p w14:paraId="62FD9E5D"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bottom w:val="single" w:sz="4" w:space="0" w:color="auto"/>
              <w:right w:val="nil"/>
            </w:tcBorders>
            <w:vAlign w:val="bottom"/>
          </w:tcPr>
          <w:p w14:paraId="36B145E1"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bottom w:val="single" w:sz="4" w:space="0" w:color="auto"/>
              <w:right w:val="nil"/>
            </w:tcBorders>
            <w:vAlign w:val="bottom"/>
          </w:tcPr>
          <w:p w14:paraId="49D29863" w14:textId="6734023E"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w:t>
            </w:r>
            <w:r w:rsidR="0016241F" w:rsidRPr="00F01EC8">
              <w:rPr>
                <w:rFonts w:asciiTheme="minorHAnsi" w:hAnsiTheme="minorHAnsi" w:cs="Arial"/>
                <w:sz w:val="20"/>
                <w:szCs w:val="20"/>
              </w:rPr>
              <w:t>1</w:t>
            </w:r>
          </w:p>
        </w:tc>
        <w:tc>
          <w:tcPr>
            <w:tcW w:w="1021" w:type="dxa"/>
            <w:tcBorders>
              <w:left w:val="nil"/>
              <w:bottom w:val="single" w:sz="4" w:space="0" w:color="auto"/>
              <w:right w:val="nil"/>
            </w:tcBorders>
            <w:vAlign w:val="bottom"/>
          </w:tcPr>
          <w:p w14:paraId="2F2CEB07" w14:textId="1D71453A"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w:t>
            </w:r>
            <w:r w:rsidR="0016241F" w:rsidRPr="00F01EC8">
              <w:rPr>
                <w:rFonts w:asciiTheme="minorHAnsi" w:hAnsiTheme="minorHAnsi" w:cs="Arial"/>
                <w:sz w:val="20"/>
                <w:szCs w:val="20"/>
              </w:rPr>
              <w:t>1</w:t>
            </w:r>
          </w:p>
        </w:tc>
        <w:tc>
          <w:tcPr>
            <w:tcW w:w="817" w:type="dxa"/>
            <w:tcBorders>
              <w:left w:val="nil"/>
              <w:bottom w:val="single" w:sz="4" w:space="0" w:color="auto"/>
              <w:right w:val="nil"/>
            </w:tcBorders>
            <w:vAlign w:val="bottom"/>
          </w:tcPr>
          <w:p w14:paraId="694135F2" w14:textId="3128FE0C"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w:t>
            </w:r>
            <w:r w:rsidR="0016241F" w:rsidRPr="00F01EC8">
              <w:rPr>
                <w:rFonts w:asciiTheme="minorHAnsi" w:hAnsiTheme="minorHAnsi" w:cs="Arial"/>
                <w:sz w:val="20"/>
                <w:szCs w:val="20"/>
              </w:rPr>
              <w:t>2</w:t>
            </w:r>
          </w:p>
        </w:tc>
      </w:tr>
      <w:tr w:rsidR="00E128F6" w:rsidRPr="00F01EC8" w14:paraId="459B5BE9" w14:textId="77777777" w:rsidTr="00FB2FF4">
        <w:tc>
          <w:tcPr>
            <w:tcW w:w="5195" w:type="dxa"/>
            <w:vAlign w:val="bottom"/>
          </w:tcPr>
          <w:p w14:paraId="1BC22B58" w14:textId="3D496EDD" w:rsidR="00E128F6" w:rsidRPr="00F01EC8" w:rsidRDefault="00E128F6" w:rsidP="008E6BCE">
            <w:pPr>
              <w:rPr>
                <w:rFonts w:asciiTheme="minorHAnsi" w:hAnsiTheme="minorHAnsi" w:cs="Arial"/>
                <w:sz w:val="20"/>
                <w:szCs w:val="20"/>
              </w:rPr>
            </w:pPr>
            <w:r w:rsidRPr="00F01EC8">
              <w:rPr>
                <w:rFonts w:asciiTheme="minorHAnsi" w:hAnsiTheme="minorHAnsi" w:cs="Arial"/>
                <w:sz w:val="20"/>
                <w:szCs w:val="20"/>
              </w:rPr>
              <w:t>Other comprehensive income for the period</w:t>
            </w:r>
          </w:p>
        </w:tc>
        <w:tc>
          <w:tcPr>
            <w:tcW w:w="849" w:type="dxa"/>
            <w:tcBorders>
              <w:top w:val="single" w:sz="4" w:space="0" w:color="auto"/>
              <w:left w:val="nil"/>
              <w:bottom w:val="single" w:sz="4" w:space="0" w:color="auto"/>
              <w:right w:val="nil"/>
            </w:tcBorders>
            <w:vAlign w:val="bottom"/>
          </w:tcPr>
          <w:p w14:paraId="03059CC0"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4" w:space="0" w:color="auto"/>
              <w:left w:val="nil"/>
              <w:bottom w:val="single" w:sz="4" w:space="0" w:color="auto"/>
              <w:right w:val="nil"/>
            </w:tcBorders>
            <w:vAlign w:val="bottom"/>
          </w:tcPr>
          <w:p w14:paraId="095B13B2"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4" w:space="0" w:color="auto"/>
              <w:left w:val="nil"/>
              <w:bottom w:val="single" w:sz="4" w:space="0" w:color="auto"/>
              <w:right w:val="nil"/>
            </w:tcBorders>
            <w:vAlign w:val="bottom"/>
          </w:tcPr>
          <w:p w14:paraId="060F5203" w14:textId="7705DD22"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w:t>
            </w:r>
            <w:r w:rsidR="0016241F" w:rsidRPr="00F01EC8">
              <w:rPr>
                <w:rFonts w:asciiTheme="minorHAnsi" w:hAnsiTheme="minorHAnsi" w:cs="Arial"/>
                <w:sz w:val="20"/>
                <w:szCs w:val="20"/>
              </w:rPr>
              <w:t>5</w:t>
            </w:r>
            <w:r w:rsidRPr="00F01EC8">
              <w:rPr>
                <w:rFonts w:asciiTheme="minorHAnsi" w:hAnsiTheme="minorHAnsi" w:cs="Arial"/>
                <w:sz w:val="20"/>
                <w:szCs w:val="20"/>
              </w:rPr>
              <w:t> </w:t>
            </w:r>
          </w:p>
        </w:tc>
        <w:tc>
          <w:tcPr>
            <w:tcW w:w="1021" w:type="dxa"/>
            <w:tcBorders>
              <w:top w:val="single" w:sz="4" w:space="0" w:color="auto"/>
              <w:left w:val="nil"/>
              <w:bottom w:val="single" w:sz="4" w:space="0" w:color="auto"/>
              <w:right w:val="nil"/>
            </w:tcBorders>
            <w:vAlign w:val="bottom"/>
          </w:tcPr>
          <w:p w14:paraId="14C9E5FF" w14:textId="075AC19F"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4.8</w:t>
            </w:r>
          </w:p>
        </w:tc>
        <w:tc>
          <w:tcPr>
            <w:tcW w:w="817" w:type="dxa"/>
            <w:tcBorders>
              <w:top w:val="single" w:sz="4" w:space="0" w:color="auto"/>
              <w:left w:val="nil"/>
              <w:bottom w:val="single" w:sz="4" w:space="0" w:color="auto"/>
              <w:right w:val="nil"/>
            </w:tcBorders>
            <w:vAlign w:val="bottom"/>
          </w:tcPr>
          <w:p w14:paraId="2089129A" w14:textId="60D1F8B8"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5.3</w:t>
            </w:r>
          </w:p>
        </w:tc>
      </w:tr>
      <w:tr w:rsidR="00E128F6" w:rsidRPr="00F01EC8" w14:paraId="130197DF" w14:textId="77777777" w:rsidTr="00FB2FF4">
        <w:tc>
          <w:tcPr>
            <w:tcW w:w="5195" w:type="dxa"/>
            <w:vAlign w:val="bottom"/>
          </w:tcPr>
          <w:p w14:paraId="7421DBCC" w14:textId="17310716"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Total comprehensive income for the period</w:t>
            </w:r>
          </w:p>
        </w:tc>
        <w:tc>
          <w:tcPr>
            <w:tcW w:w="849" w:type="dxa"/>
            <w:tcBorders>
              <w:top w:val="single" w:sz="4" w:space="0" w:color="auto"/>
              <w:left w:val="nil"/>
              <w:bottom w:val="single" w:sz="4" w:space="0" w:color="auto"/>
              <w:right w:val="nil"/>
            </w:tcBorders>
            <w:vAlign w:val="bottom"/>
          </w:tcPr>
          <w:p w14:paraId="51FA1F5D"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top w:val="single" w:sz="4" w:space="0" w:color="auto"/>
              <w:left w:val="nil"/>
              <w:bottom w:val="single" w:sz="4" w:space="0" w:color="auto"/>
              <w:right w:val="nil"/>
            </w:tcBorders>
            <w:vAlign w:val="bottom"/>
          </w:tcPr>
          <w:p w14:paraId="03920F2D"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top w:val="single" w:sz="4" w:space="0" w:color="auto"/>
              <w:left w:val="nil"/>
              <w:bottom w:val="single" w:sz="4" w:space="0" w:color="auto"/>
              <w:right w:val="nil"/>
            </w:tcBorders>
            <w:vAlign w:val="bottom"/>
          </w:tcPr>
          <w:p w14:paraId="155CE367" w14:textId="4908AD5A"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0.</w:t>
            </w:r>
            <w:r w:rsidR="0016241F" w:rsidRPr="00F01EC8">
              <w:rPr>
                <w:rFonts w:asciiTheme="minorHAnsi" w:hAnsiTheme="minorHAnsi" w:cs="Arial"/>
                <w:sz w:val="20"/>
                <w:szCs w:val="20"/>
              </w:rPr>
              <w:t>5</w:t>
            </w:r>
            <w:r w:rsidRPr="00F01EC8">
              <w:rPr>
                <w:rFonts w:asciiTheme="minorHAnsi" w:hAnsiTheme="minorHAnsi" w:cs="Arial"/>
                <w:sz w:val="20"/>
                <w:szCs w:val="20"/>
              </w:rPr>
              <w:t> </w:t>
            </w:r>
          </w:p>
        </w:tc>
        <w:tc>
          <w:tcPr>
            <w:tcW w:w="1021" w:type="dxa"/>
            <w:tcBorders>
              <w:top w:val="single" w:sz="4" w:space="0" w:color="auto"/>
              <w:left w:val="nil"/>
              <w:bottom w:val="single" w:sz="4" w:space="0" w:color="auto"/>
              <w:right w:val="nil"/>
            </w:tcBorders>
            <w:vAlign w:val="bottom"/>
          </w:tcPr>
          <w:p w14:paraId="278CA6C8" w14:textId="757408C9"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64.6</w:t>
            </w:r>
            <w:r w:rsidR="00E128F6" w:rsidRPr="00F01EC8">
              <w:rPr>
                <w:rFonts w:asciiTheme="minorHAnsi" w:hAnsiTheme="minorHAnsi" w:cs="Arial"/>
                <w:sz w:val="20"/>
                <w:szCs w:val="20"/>
              </w:rPr>
              <w:t> </w:t>
            </w:r>
          </w:p>
        </w:tc>
        <w:tc>
          <w:tcPr>
            <w:tcW w:w="817" w:type="dxa"/>
            <w:tcBorders>
              <w:top w:val="single" w:sz="4" w:space="0" w:color="auto"/>
              <w:left w:val="nil"/>
              <w:bottom w:val="single" w:sz="4" w:space="0" w:color="auto"/>
              <w:right w:val="nil"/>
            </w:tcBorders>
            <w:vAlign w:val="bottom"/>
          </w:tcPr>
          <w:p w14:paraId="59E7219E" w14:textId="49862817" w:rsidR="00E128F6" w:rsidRPr="00F01EC8" w:rsidRDefault="0016241F" w:rsidP="00E128F6">
            <w:pPr>
              <w:jc w:val="right"/>
              <w:rPr>
                <w:rFonts w:asciiTheme="minorHAnsi" w:hAnsiTheme="minorHAnsi" w:cs="Arial"/>
                <w:sz w:val="20"/>
                <w:szCs w:val="20"/>
              </w:rPr>
            </w:pPr>
            <w:r w:rsidRPr="00F01EC8">
              <w:rPr>
                <w:rFonts w:asciiTheme="minorHAnsi" w:hAnsiTheme="minorHAnsi" w:cs="Arial"/>
                <w:sz w:val="20"/>
                <w:szCs w:val="20"/>
              </w:rPr>
              <w:t xml:space="preserve"> 65.1</w:t>
            </w:r>
            <w:r w:rsidR="00E128F6" w:rsidRPr="00F01EC8">
              <w:rPr>
                <w:rFonts w:asciiTheme="minorHAnsi" w:hAnsiTheme="minorHAnsi" w:cs="Arial"/>
                <w:sz w:val="20"/>
                <w:szCs w:val="20"/>
              </w:rPr>
              <w:t> </w:t>
            </w:r>
          </w:p>
        </w:tc>
      </w:tr>
      <w:tr w:rsidR="00E128F6" w:rsidRPr="00F01EC8" w14:paraId="1669D344" w14:textId="77777777" w:rsidTr="00FB2FF4">
        <w:tc>
          <w:tcPr>
            <w:tcW w:w="5195" w:type="dxa"/>
            <w:vAlign w:val="bottom"/>
          </w:tcPr>
          <w:p w14:paraId="3F2C07F3"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Transactions with owners:</w:t>
            </w:r>
          </w:p>
        </w:tc>
        <w:tc>
          <w:tcPr>
            <w:tcW w:w="849" w:type="dxa"/>
            <w:tcBorders>
              <w:top w:val="single" w:sz="4" w:space="0" w:color="auto"/>
              <w:left w:val="nil"/>
              <w:right w:val="nil"/>
            </w:tcBorders>
            <w:vAlign w:val="bottom"/>
          </w:tcPr>
          <w:p w14:paraId="1739C920" w14:textId="77777777" w:rsidR="00E128F6" w:rsidRPr="00F01EC8" w:rsidRDefault="00E128F6" w:rsidP="00E128F6">
            <w:pPr>
              <w:jc w:val="right"/>
              <w:rPr>
                <w:rFonts w:asciiTheme="minorHAnsi" w:hAnsiTheme="minorHAnsi" w:cs="Arial"/>
                <w:sz w:val="20"/>
                <w:szCs w:val="20"/>
              </w:rPr>
            </w:pPr>
          </w:p>
        </w:tc>
        <w:tc>
          <w:tcPr>
            <w:tcW w:w="1018" w:type="dxa"/>
            <w:tcBorders>
              <w:top w:val="single" w:sz="4" w:space="0" w:color="auto"/>
              <w:left w:val="nil"/>
              <w:right w:val="nil"/>
            </w:tcBorders>
            <w:vAlign w:val="bottom"/>
          </w:tcPr>
          <w:p w14:paraId="1EE58DEB" w14:textId="77777777" w:rsidR="00E128F6" w:rsidRPr="00F01EC8" w:rsidRDefault="00E128F6" w:rsidP="00E128F6">
            <w:pPr>
              <w:jc w:val="right"/>
              <w:rPr>
                <w:rFonts w:asciiTheme="minorHAnsi" w:hAnsiTheme="minorHAnsi" w:cs="Arial"/>
                <w:sz w:val="20"/>
                <w:szCs w:val="20"/>
              </w:rPr>
            </w:pPr>
          </w:p>
        </w:tc>
        <w:tc>
          <w:tcPr>
            <w:tcW w:w="989" w:type="dxa"/>
            <w:tcBorders>
              <w:top w:val="single" w:sz="4" w:space="0" w:color="auto"/>
              <w:left w:val="nil"/>
              <w:right w:val="nil"/>
            </w:tcBorders>
            <w:vAlign w:val="bottom"/>
          </w:tcPr>
          <w:p w14:paraId="67823A2C" w14:textId="77777777" w:rsidR="00E128F6" w:rsidRPr="00F01EC8" w:rsidRDefault="00E128F6" w:rsidP="00E128F6">
            <w:pPr>
              <w:jc w:val="right"/>
              <w:rPr>
                <w:rFonts w:asciiTheme="minorHAnsi" w:hAnsiTheme="minorHAnsi" w:cs="Arial"/>
                <w:sz w:val="20"/>
                <w:szCs w:val="20"/>
              </w:rPr>
            </w:pPr>
          </w:p>
        </w:tc>
        <w:tc>
          <w:tcPr>
            <w:tcW w:w="1021" w:type="dxa"/>
            <w:tcBorders>
              <w:top w:val="single" w:sz="4" w:space="0" w:color="auto"/>
              <w:left w:val="nil"/>
              <w:right w:val="nil"/>
            </w:tcBorders>
            <w:vAlign w:val="bottom"/>
          </w:tcPr>
          <w:p w14:paraId="09FEA6F8" w14:textId="77777777" w:rsidR="00E128F6" w:rsidRPr="00F01EC8" w:rsidRDefault="00E128F6" w:rsidP="00E128F6">
            <w:pPr>
              <w:jc w:val="right"/>
              <w:rPr>
                <w:rFonts w:asciiTheme="minorHAnsi" w:hAnsiTheme="minorHAnsi" w:cs="Arial"/>
                <w:sz w:val="20"/>
                <w:szCs w:val="20"/>
              </w:rPr>
            </w:pPr>
          </w:p>
        </w:tc>
        <w:tc>
          <w:tcPr>
            <w:tcW w:w="817" w:type="dxa"/>
            <w:tcBorders>
              <w:top w:val="single" w:sz="4" w:space="0" w:color="auto"/>
              <w:left w:val="nil"/>
              <w:right w:val="nil"/>
            </w:tcBorders>
            <w:vAlign w:val="bottom"/>
          </w:tcPr>
          <w:p w14:paraId="09582AAD" w14:textId="77777777" w:rsidR="00E128F6" w:rsidRPr="00F01EC8" w:rsidRDefault="00E128F6" w:rsidP="00E128F6">
            <w:pPr>
              <w:jc w:val="right"/>
              <w:rPr>
                <w:rFonts w:asciiTheme="minorHAnsi" w:hAnsiTheme="minorHAnsi" w:cs="Arial"/>
                <w:sz w:val="20"/>
                <w:szCs w:val="20"/>
              </w:rPr>
            </w:pPr>
          </w:p>
        </w:tc>
      </w:tr>
      <w:tr w:rsidR="003355ED" w:rsidRPr="00F01EC8" w14:paraId="4ABDDF04" w14:textId="77777777" w:rsidTr="00FB2FF4">
        <w:tc>
          <w:tcPr>
            <w:tcW w:w="5195" w:type="dxa"/>
            <w:vAlign w:val="bottom"/>
          </w:tcPr>
          <w:p w14:paraId="74DA95D1" w14:textId="3C088491" w:rsidR="003355ED" w:rsidRPr="00F01EC8" w:rsidRDefault="00F07488" w:rsidP="003355ED">
            <w:pPr>
              <w:rPr>
                <w:rFonts w:asciiTheme="minorHAnsi" w:hAnsiTheme="minorHAnsi" w:cs="Arial"/>
                <w:sz w:val="20"/>
                <w:szCs w:val="20"/>
              </w:rPr>
            </w:pPr>
            <w:r w:rsidRPr="00F01EC8">
              <w:rPr>
                <w:rFonts w:asciiTheme="minorHAnsi" w:hAnsiTheme="minorHAnsi" w:cs="Arial"/>
                <w:sz w:val="20"/>
                <w:szCs w:val="20"/>
              </w:rPr>
              <w:t>– share-based payment credit</w:t>
            </w:r>
          </w:p>
        </w:tc>
        <w:tc>
          <w:tcPr>
            <w:tcW w:w="849" w:type="dxa"/>
            <w:tcBorders>
              <w:left w:val="nil"/>
              <w:right w:val="nil"/>
            </w:tcBorders>
            <w:vAlign w:val="bottom"/>
          </w:tcPr>
          <w:p w14:paraId="00B26306" w14:textId="77777777" w:rsidR="003355ED" w:rsidRPr="00F01EC8" w:rsidRDefault="003355ED" w:rsidP="003355ED">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right w:val="nil"/>
            </w:tcBorders>
            <w:vAlign w:val="bottom"/>
          </w:tcPr>
          <w:p w14:paraId="568D8677" w14:textId="43DA9064" w:rsidR="003355ED" w:rsidRPr="00F01EC8" w:rsidRDefault="003355ED" w:rsidP="003355ED">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right w:val="nil"/>
            </w:tcBorders>
            <w:vAlign w:val="bottom"/>
          </w:tcPr>
          <w:p w14:paraId="0E6C604C" w14:textId="0964EF91" w:rsidR="003355ED" w:rsidRPr="00F01EC8" w:rsidRDefault="003355ED" w:rsidP="003355ED">
            <w:pPr>
              <w:jc w:val="right"/>
              <w:rPr>
                <w:rFonts w:asciiTheme="minorHAnsi" w:hAnsiTheme="minorHAnsi" w:cs="Arial"/>
                <w:sz w:val="20"/>
                <w:szCs w:val="20"/>
              </w:rPr>
            </w:pPr>
            <w:r w:rsidRPr="00F01EC8">
              <w:rPr>
                <w:rFonts w:asciiTheme="minorHAnsi" w:hAnsiTheme="minorHAnsi" w:cs="Arial"/>
                <w:sz w:val="20"/>
                <w:szCs w:val="20"/>
              </w:rPr>
              <w:t>(0.2) </w:t>
            </w:r>
          </w:p>
        </w:tc>
        <w:tc>
          <w:tcPr>
            <w:tcW w:w="1021" w:type="dxa"/>
            <w:tcBorders>
              <w:left w:val="nil"/>
              <w:right w:val="nil"/>
            </w:tcBorders>
            <w:vAlign w:val="bottom"/>
          </w:tcPr>
          <w:p w14:paraId="6EB6F31D" w14:textId="488447E0" w:rsidR="003355ED" w:rsidRPr="00F01EC8" w:rsidRDefault="003355ED" w:rsidP="003355ED">
            <w:pPr>
              <w:jc w:val="right"/>
              <w:rPr>
                <w:rFonts w:asciiTheme="minorHAnsi" w:hAnsiTheme="minorHAnsi" w:cs="Arial"/>
                <w:sz w:val="20"/>
                <w:szCs w:val="20"/>
              </w:rPr>
            </w:pPr>
            <w:r w:rsidRPr="00F01EC8">
              <w:rPr>
                <w:rFonts w:asciiTheme="minorHAnsi" w:hAnsiTheme="minorHAnsi" w:cs="Arial"/>
                <w:sz w:val="20"/>
                <w:szCs w:val="20"/>
              </w:rPr>
              <w:t>- </w:t>
            </w:r>
          </w:p>
        </w:tc>
        <w:tc>
          <w:tcPr>
            <w:tcW w:w="817" w:type="dxa"/>
            <w:tcBorders>
              <w:left w:val="nil"/>
              <w:right w:val="nil"/>
            </w:tcBorders>
            <w:vAlign w:val="bottom"/>
          </w:tcPr>
          <w:p w14:paraId="7B997F84" w14:textId="6F3A8620" w:rsidR="003355ED" w:rsidRPr="00F01EC8" w:rsidRDefault="003355ED" w:rsidP="003355ED">
            <w:pPr>
              <w:jc w:val="right"/>
              <w:rPr>
                <w:rFonts w:asciiTheme="minorHAnsi" w:hAnsiTheme="minorHAnsi" w:cs="Arial"/>
                <w:sz w:val="20"/>
                <w:szCs w:val="20"/>
              </w:rPr>
            </w:pPr>
            <w:r w:rsidRPr="00F01EC8">
              <w:rPr>
                <w:rFonts w:asciiTheme="minorHAnsi" w:hAnsiTheme="minorHAnsi" w:cs="Arial"/>
                <w:sz w:val="20"/>
                <w:szCs w:val="20"/>
              </w:rPr>
              <w:t>(0.2) </w:t>
            </w:r>
          </w:p>
        </w:tc>
      </w:tr>
      <w:tr w:rsidR="0016241F" w:rsidRPr="00F01EC8" w14:paraId="67E1A93E" w14:textId="77777777" w:rsidTr="00FB2FF4">
        <w:tc>
          <w:tcPr>
            <w:tcW w:w="5195" w:type="dxa"/>
            <w:vAlign w:val="bottom"/>
          </w:tcPr>
          <w:p w14:paraId="2713AA42" w14:textId="5F195A54" w:rsidR="0016241F" w:rsidRPr="00F01EC8" w:rsidRDefault="0016241F" w:rsidP="0016241F">
            <w:pPr>
              <w:rPr>
                <w:rFonts w:asciiTheme="minorHAnsi" w:hAnsiTheme="minorHAnsi" w:cs="Arial"/>
                <w:sz w:val="20"/>
                <w:szCs w:val="20"/>
              </w:rPr>
            </w:pPr>
            <w:r w:rsidRPr="00F01EC8">
              <w:rPr>
                <w:rFonts w:asciiTheme="minorHAnsi" w:hAnsiTheme="minorHAnsi" w:cs="Arial"/>
                <w:sz w:val="20"/>
                <w:szCs w:val="20"/>
              </w:rPr>
              <w:t>– dividends</w:t>
            </w:r>
          </w:p>
        </w:tc>
        <w:tc>
          <w:tcPr>
            <w:tcW w:w="849" w:type="dxa"/>
            <w:tcBorders>
              <w:left w:val="nil"/>
              <w:bottom w:val="single" w:sz="4" w:space="0" w:color="auto"/>
              <w:right w:val="nil"/>
            </w:tcBorders>
            <w:vAlign w:val="bottom"/>
          </w:tcPr>
          <w:p w14:paraId="387767FD" w14:textId="77777777" w:rsidR="0016241F" w:rsidRPr="00F01EC8" w:rsidRDefault="0016241F" w:rsidP="0016241F">
            <w:pPr>
              <w:jc w:val="right"/>
              <w:rPr>
                <w:rFonts w:asciiTheme="minorHAnsi" w:hAnsiTheme="minorHAnsi" w:cs="Arial"/>
                <w:sz w:val="20"/>
                <w:szCs w:val="20"/>
              </w:rPr>
            </w:pPr>
            <w:r w:rsidRPr="00F01EC8">
              <w:rPr>
                <w:rFonts w:asciiTheme="minorHAnsi" w:hAnsiTheme="minorHAnsi" w:cs="Arial"/>
                <w:sz w:val="20"/>
                <w:szCs w:val="20"/>
              </w:rPr>
              <w:t>- </w:t>
            </w:r>
          </w:p>
        </w:tc>
        <w:tc>
          <w:tcPr>
            <w:tcW w:w="1018" w:type="dxa"/>
            <w:tcBorders>
              <w:left w:val="nil"/>
              <w:bottom w:val="single" w:sz="4" w:space="0" w:color="auto"/>
              <w:right w:val="nil"/>
            </w:tcBorders>
            <w:vAlign w:val="bottom"/>
          </w:tcPr>
          <w:p w14:paraId="57DD2FB9" w14:textId="77777777" w:rsidR="0016241F" w:rsidRPr="00F01EC8" w:rsidRDefault="0016241F" w:rsidP="0016241F">
            <w:pPr>
              <w:jc w:val="right"/>
              <w:rPr>
                <w:rFonts w:asciiTheme="minorHAnsi" w:hAnsiTheme="minorHAnsi" w:cs="Arial"/>
                <w:sz w:val="20"/>
                <w:szCs w:val="20"/>
              </w:rPr>
            </w:pPr>
            <w:r w:rsidRPr="00F01EC8">
              <w:rPr>
                <w:rFonts w:asciiTheme="minorHAnsi" w:hAnsiTheme="minorHAnsi" w:cs="Arial"/>
                <w:sz w:val="20"/>
                <w:szCs w:val="20"/>
              </w:rPr>
              <w:t>- </w:t>
            </w:r>
          </w:p>
        </w:tc>
        <w:tc>
          <w:tcPr>
            <w:tcW w:w="989" w:type="dxa"/>
            <w:tcBorders>
              <w:left w:val="nil"/>
              <w:bottom w:val="single" w:sz="4" w:space="0" w:color="auto"/>
              <w:right w:val="nil"/>
            </w:tcBorders>
            <w:vAlign w:val="bottom"/>
          </w:tcPr>
          <w:p w14:paraId="5B7CABBD" w14:textId="529B727A" w:rsidR="0016241F" w:rsidRPr="00F01EC8" w:rsidRDefault="0016241F" w:rsidP="0016241F">
            <w:pPr>
              <w:jc w:val="right"/>
              <w:rPr>
                <w:rFonts w:asciiTheme="minorHAnsi" w:hAnsiTheme="minorHAnsi" w:cs="Arial"/>
                <w:sz w:val="20"/>
                <w:szCs w:val="20"/>
              </w:rPr>
            </w:pPr>
            <w:r w:rsidRPr="00F01EC8">
              <w:rPr>
                <w:rFonts w:asciiTheme="minorHAnsi" w:hAnsiTheme="minorHAnsi" w:cs="Arial"/>
                <w:sz w:val="20"/>
                <w:szCs w:val="20"/>
              </w:rPr>
              <w:t>-</w:t>
            </w:r>
          </w:p>
        </w:tc>
        <w:tc>
          <w:tcPr>
            <w:tcW w:w="1021" w:type="dxa"/>
            <w:tcBorders>
              <w:left w:val="nil"/>
              <w:bottom w:val="single" w:sz="4" w:space="0" w:color="auto"/>
              <w:right w:val="nil"/>
            </w:tcBorders>
            <w:vAlign w:val="bottom"/>
          </w:tcPr>
          <w:p w14:paraId="58D56234" w14:textId="5C4569B1" w:rsidR="0016241F" w:rsidRPr="00F01EC8" w:rsidRDefault="0016241F" w:rsidP="0016241F">
            <w:pPr>
              <w:jc w:val="right"/>
              <w:rPr>
                <w:rFonts w:asciiTheme="minorHAnsi" w:hAnsiTheme="minorHAnsi" w:cs="Arial"/>
                <w:sz w:val="20"/>
                <w:szCs w:val="20"/>
              </w:rPr>
            </w:pPr>
            <w:r w:rsidRPr="00F01EC8">
              <w:rPr>
                <w:rFonts w:asciiTheme="minorHAnsi" w:hAnsiTheme="minorHAnsi" w:cs="Arial"/>
                <w:sz w:val="20"/>
                <w:szCs w:val="20"/>
              </w:rPr>
              <w:t>(22.5) </w:t>
            </w:r>
          </w:p>
        </w:tc>
        <w:tc>
          <w:tcPr>
            <w:tcW w:w="817" w:type="dxa"/>
            <w:tcBorders>
              <w:left w:val="nil"/>
              <w:bottom w:val="single" w:sz="4" w:space="0" w:color="auto"/>
              <w:right w:val="nil"/>
            </w:tcBorders>
            <w:vAlign w:val="bottom"/>
          </w:tcPr>
          <w:p w14:paraId="0D2537FD" w14:textId="48E8BDF3" w:rsidR="0016241F" w:rsidRPr="00F01EC8" w:rsidRDefault="0016241F" w:rsidP="0016241F">
            <w:pPr>
              <w:jc w:val="right"/>
              <w:rPr>
                <w:rFonts w:asciiTheme="minorHAnsi" w:hAnsiTheme="minorHAnsi" w:cs="Arial"/>
                <w:sz w:val="20"/>
                <w:szCs w:val="20"/>
              </w:rPr>
            </w:pPr>
            <w:r w:rsidRPr="00F01EC8">
              <w:rPr>
                <w:rFonts w:asciiTheme="minorHAnsi" w:hAnsiTheme="minorHAnsi" w:cs="Arial"/>
                <w:sz w:val="20"/>
                <w:szCs w:val="20"/>
              </w:rPr>
              <w:t>(22.5) </w:t>
            </w:r>
          </w:p>
        </w:tc>
      </w:tr>
      <w:tr w:rsidR="00E128F6" w:rsidRPr="00F01EC8" w14:paraId="378EA13C" w14:textId="77777777" w:rsidTr="00FB2FF4">
        <w:tc>
          <w:tcPr>
            <w:tcW w:w="5195" w:type="dxa"/>
            <w:vAlign w:val="bottom"/>
          </w:tcPr>
          <w:p w14:paraId="5726A28A" w14:textId="7E27FB5D" w:rsidR="00E128F6" w:rsidRPr="00F01EC8" w:rsidRDefault="00E128F6" w:rsidP="00E128F6">
            <w:pPr>
              <w:rPr>
                <w:rFonts w:asciiTheme="minorHAnsi" w:hAnsiTheme="minorHAnsi" w:cs="Arial"/>
                <w:b/>
                <w:sz w:val="20"/>
                <w:szCs w:val="20"/>
              </w:rPr>
            </w:pPr>
            <w:r w:rsidRPr="00F01EC8">
              <w:rPr>
                <w:rFonts w:asciiTheme="minorHAnsi" w:hAnsiTheme="minorHAnsi" w:cs="Arial"/>
                <w:b/>
                <w:sz w:val="20"/>
                <w:szCs w:val="20"/>
              </w:rPr>
              <w:t xml:space="preserve">At 31 December 2019 </w:t>
            </w:r>
          </w:p>
        </w:tc>
        <w:tc>
          <w:tcPr>
            <w:tcW w:w="849" w:type="dxa"/>
            <w:tcBorders>
              <w:top w:val="single" w:sz="4" w:space="0" w:color="auto"/>
              <w:left w:val="nil"/>
              <w:bottom w:val="single" w:sz="4" w:space="0" w:color="auto"/>
              <w:right w:val="nil"/>
            </w:tcBorders>
            <w:vAlign w:val="bottom"/>
          </w:tcPr>
          <w:p w14:paraId="00365B02"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52.5 </w:t>
            </w:r>
          </w:p>
        </w:tc>
        <w:tc>
          <w:tcPr>
            <w:tcW w:w="1018" w:type="dxa"/>
            <w:tcBorders>
              <w:top w:val="single" w:sz="4" w:space="0" w:color="auto"/>
              <w:left w:val="nil"/>
              <w:bottom w:val="single" w:sz="4" w:space="0" w:color="auto"/>
              <w:right w:val="nil"/>
            </w:tcBorders>
            <w:vAlign w:val="bottom"/>
          </w:tcPr>
          <w:p w14:paraId="404E0B28" w14:textId="77777777"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273.2 </w:t>
            </w:r>
          </w:p>
        </w:tc>
        <w:tc>
          <w:tcPr>
            <w:tcW w:w="989" w:type="dxa"/>
            <w:tcBorders>
              <w:top w:val="single" w:sz="4" w:space="0" w:color="auto"/>
              <w:left w:val="nil"/>
              <w:bottom w:val="single" w:sz="4" w:space="0" w:color="auto"/>
              <w:right w:val="nil"/>
            </w:tcBorders>
            <w:vAlign w:val="bottom"/>
          </w:tcPr>
          <w:p w14:paraId="0D0ED68D" w14:textId="6A160C13"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295.9 </w:t>
            </w:r>
          </w:p>
        </w:tc>
        <w:tc>
          <w:tcPr>
            <w:tcW w:w="1021" w:type="dxa"/>
            <w:tcBorders>
              <w:top w:val="single" w:sz="4" w:space="0" w:color="auto"/>
              <w:left w:val="nil"/>
              <w:bottom w:val="single" w:sz="4" w:space="0" w:color="auto"/>
              <w:right w:val="nil"/>
            </w:tcBorders>
            <w:vAlign w:val="bottom"/>
          </w:tcPr>
          <w:p w14:paraId="0D4998FF" w14:textId="68E6CB58"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118.9 </w:t>
            </w:r>
          </w:p>
        </w:tc>
        <w:tc>
          <w:tcPr>
            <w:tcW w:w="817" w:type="dxa"/>
            <w:tcBorders>
              <w:top w:val="single" w:sz="4" w:space="0" w:color="auto"/>
              <w:left w:val="nil"/>
              <w:bottom w:val="single" w:sz="4" w:space="0" w:color="auto"/>
              <w:right w:val="nil"/>
            </w:tcBorders>
            <w:vAlign w:val="bottom"/>
          </w:tcPr>
          <w:p w14:paraId="5B7F23D6" w14:textId="77F92621" w:rsidR="00E128F6" w:rsidRPr="00F01EC8" w:rsidRDefault="00E128F6" w:rsidP="00E128F6">
            <w:pPr>
              <w:jc w:val="right"/>
              <w:rPr>
                <w:rFonts w:asciiTheme="minorHAnsi" w:hAnsiTheme="minorHAnsi" w:cs="Arial"/>
                <w:sz w:val="20"/>
                <w:szCs w:val="20"/>
              </w:rPr>
            </w:pPr>
            <w:r w:rsidRPr="00F01EC8">
              <w:rPr>
                <w:rFonts w:asciiTheme="minorHAnsi" w:hAnsiTheme="minorHAnsi" w:cs="Arial"/>
                <w:sz w:val="20"/>
                <w:szCs w:val="20"/>
              </w:rPr>
              <w:t>740.5 </w:t>
            </w:r>
          </w:p>
        </w:tc>
      </w:tr>
      <w:tr w:rsidR="00CF5D81" w:rsidRPr="00F01EC8" w14:paraId="39FEE2B3" w14:textId="77777777" w:rsidTr="00FB2FF4">
        <w:tc>
          <w:tcPr>
            <w:tcW w:w="5195" w:type="dxa"/>
            <w:vAlign w:val="bottom"/>
          </w:tcPr>
          <w:p w14:paraId="48DE4091" w14:textId="627A6626" w:rsidR="00CF5D81" w:rsidRPr="00F01EC8" w:rsidRDefault="00CF5D81" w:rsidP="00CF5D81">
            <w:pPr>
              <w:rPr>
                <w:rFonts w:asciiTheme="minorHAnsi" w:hAnsiTheme="minorHAnsi" w:cs="Arial"/>
                <w:sz w:val="20"/>
                <w:szCs w:val="20"/>
              </w:rPr>
            </w:pPr>
            <w:r w:rsidRPr="00F01EC8">
              <w:rPr>
                <w:rFonts w:asciiTheme="minorHAnsi" w:hAnsiTheme="minorHAnsi" w:cs="Arial"/>
                <w:b/>
                <w:sz w:val="20"/>
                <w:szCs w:val="20"/>
              </w:rPr>
              <w:t>At 1 January 2020</w:t>
            </w:r>
          </w:p>
        </w:tc>
        <w:tc>
          <w:tcPr>
            <w:tcW w:w="849" w:type="dxa"/>
            <w:tcBorders>
              <w:top w:val="single" w:sz="4" w:space="0" w:color="auto"/>
              <w:left w:val="nil"/>
              <w:bottom w:val="single" w:sz="4" w:space="0" w:color="auto"/>
              <w:right w:val="nil"/>
            </w:tcBorders>
            <w:vAlign w:val="bottom"/>
          </w:tcPr>
          <w:p w14:paraId="115FDF3C" w14:textId="281BB39B" w:rsidR="00CF5D81" w:rsidRPr="00F01EC8" w:rsidRDefault="00CF5D81" w:rsidP="00CF5D81">
            <w:pPr>
              <w:jc w:val="right"/>
              <w:rPr>
                <w:rFonts w:asciiTheme="minorHAnsi" w:hAnsiTheme="minorHAnsi" w:cs="Arial"/>
                <w:sz w:val="20"/>
                <w:szCs w:val="20"/>
              </w:rPr>
            </w:pPr>
            <w:r w:rsidRPr="00F01EC8">
              <w:rPr>
                <w:rFonts w:asciiTheme="minorHAnsi" w:hAnsiTheme="minorHAnsi" w:cs="Arial"/>
                <w:sz w:val="20"/>
                <w:szCs w:val="20"/>
              </w:rPr>
              <w:t>52.5 </w:t>
            </w:r>
          </w:p>
        </w:tc>
        <w:tc>
          <w:tcPr>
            <w:tcW w:w="1018" w:type="dxa"/>
            <w:tcBorders>
              <w:top w:val="single" w:sz="4" w:space="0" w:color="auto"/>
              <w:left w:val="nil"/>
              <w:bottom w:val="single" w:sz="4" w:space="0" w:color="auto"/>
              <w:right w:val="nil"/>
            </w:tcBorders>
            <w:vAlign w:val="bottom"/>
          </w:tcPr>
          <w:p w14:paraId="2603AB22" w14:textId="49C61348" w:rsidR="00CF5D81" w:rsidRPr="00F01EC8" w:rsidRDefault="00CF5D81" w:rsidP="00CF5D81">
            <w:pPr>
              <w:jc w:val="right"/>
              <w:rPr>
                <w:rFonts w:asciiTheme="minorHAnsi" w:hAnsiTheme="minorHAnsi" w:cs="Arial"/>
                <w:sz w:val="20"/>
                <w:szCs w:val="20"/>
              </w:rPr>
            </w:pPr>
            <w:r w:rsidRPr="00F01EC8">
              <w:rPr>
                <w:rFonts w:asciiTheme="minorHAnsi" w:hAnsiTheme="minorHAnsi" w:cs="Arial"/>
                <w:sz w:val="20"/>
                <w:szCs w:val="20"/>
              </w:rPr>
              <w:t>273.2 </w:t>
            </w:r>
          </w:p>
        </w:tc>
        <w:tc>
          <w:tcPr>
            <w:tcW w:w="989" w:type="dxa"/>
            <w:tcBorders>
              <w:top w:val="single" w:sz="4" w:space="0" w:color="auto"/>
              <w:left w:val="nil"/>
              <w:bottom w:val="single" w:sz="4" w:space="0" w:color="auto"/>
              <w:right w:val="nil"/>
            </w:tcBorders>
            <w:vAlign w:val="bottom"/>
          </w:tcPr>
          <w:p w14:paraId="75C902E0" w14:textId="4EDE800E" w:rsidR="00CF5D81" w:rsidRPr="00F01EC8" w:rsidRDefault="00CF5D81" w:rsidP="00CF5D81">
            <w:pPr>
              <w:jc w:val="right"/>
              <w:rPr>
                <w:rFonts w:asciiTheme="minorHAnsi" w:hAnsiTheme="minorHAnsi" w:cs="Arial"/>
                <w:sz w:val="20"/>
                <w:szCs w:val="20"/>
              </w:rPr>
            </w:pPr>
            <w:r w:rsidRPr="00F01EC8">
              <w:rPr>
                <w:rFonts w:asciiTheme="minorHAnsi" w:hAnsiTheme="minorHAnsi" w:cs="Arial"/>
                <w:sz w:val="20"/>
                <w:szCs w:val="20"/>
              </w:rPr>
              <w:t>295.9 </w:t>
            </w:r>
          </w:p>
        </w:tc>
        <w:tc>
          <w:tcPr>
            <w:tcW w:w="1021" w:type="dxa"/>
            <w:tcBorders>
              <w:top w:val="single" w:sz="4" w:space="0" w:color="auto"/>
              <w:left w:val="nil"/>
              <w:bottom w:val="single" w:sz="4" w:space="0" w:color="auto"/>
              <w:right w:val="nil"/>
            </w:tcBorders>
            <w:vAlign w:val="bottom"/>
          </w:tcPr>
          <w:p w14:paraId="3B804F2D" w14:textId="48E37D31" w:rsidR="00CF5D81" w:rsidRPr="00F01EC8" w:rsidRDefault="00CF5D81" w:rsidP="00CF5D81">
            <w:pPr>
              <w:jc w:val="right"/>
              <w:rPr>
                <w:rFonts w:asciiTheme="minorHAnsi" w:hAnsiTheme="minorHAnsi" w:cs="Arial"/>
                <w:sz w:val="20"/>
                <w:szCs w:val="20"/>
              </w:rPr>
            </w:pPr>
            <w:r w:rsidRPr="00F01EC8">
              <w:rPr>
                <w:rFonts w:asciiTheme="minorHAnsi" w:hAnsiTheme="minorHAnsi" w:cs="Arial"/>
                <w:sz w:val="20"/>
                <w:szCs w:val="20"/>
              </w:rPr>
              <w:t>118.9 </w:t>
            </w:r>
          </w:p>
        </w:tc>
        <w:tc>
          <w:tcPr>
            <w:tcW w:w="817" w:type="dxa"/>
            <w:tcBorders>
              <w:top w:val="single" w:sz="4" w:space="0" w:color="auto"/>
              <w:left w:val="nil"/>
              <w:bottom w:val="single" w:sz="4" w:space="0" w:color="auto"/>
              <w:right w:val="nil"/>
            </w:tcBorders>
            <w:vAlign w:val="bottom"/>
          </w:tcPr>
          <w:p w14:paraId="446A384E" w14:textId="5A468E0D" w:rsidR="00CF5D81" w:rsidRPr="00F01EC8" w:rsidRDefault="00CF5D81" w:rsidP="00CF5D81">
            <w:pPr>
              <w:jc w:val="right"/>
              <w:rPr>
                <w:rFonts w:asciiTheme="minorHAnsi" w:hAnsiTheme="minorHAnsi" w:cs="Arial"/>
                <w:sz w:val="20"/>
                <w:szCs w:val="20"/>
              </w:rPr>
            </w:pPr>
            <w:r w:rsidRPr="00F01EC8">
              <w:rPr>
                <w:rFonts w:asciiTheme="minorHAnsi" w:hAnsiTheme="minorHAnsi" w:cs="Arial"/>
                <w:sz w:val="20"/>
                <w:szCs w:val="20"/>
              </w:rPr>
              <w:t>740.5 </w:t>
            </w:r>
          </w:p>
        </w:tc>
      </w:tr>
      <w:tr w:rsidR="00E128F6" w:rsidRPr="00F01EC8" w14:paraId="111686D0" w14:textId="77777777" w:rsidTr="00FB2FF4">
        <w:tc>
          <w:tcPr>
            <w:tcW w:w="5195" w:type="dxa"/>
            <w:vAlign w:val="bottom"/>
          </w:tcPr>
          <w:p w14:paraId="024BC91E" w14:textId="5597FF60" w:rsidR="00E128F6" w:rsidRPr="00F01EC8" w:rsidRDefault="00D04BB7" w:rsidP="00E128F6">
            <w:pPr>
              <w:rPr>
                <w:rFonts w:asciiTheme="minorHAnsi" w:hAnsiTheme="minorHAnsi" w:cs="Arial"/>
                <w:b/>
                <w:sz w:val="20"/>
                <w:szCs w:val="20"/>
              </w:rPr>
            </w:pPr>
            <w:r w:rsidRPr="00F01EC8">
              <w:rPr>
                <w:rFonts w:asciiTheme="minorHAnsi" w:hAnsiTheme="minorHAnsi" w:cs="Arial"/>
                <w:sz w:val="20"/>
                <w:szCs w:val="20"/>
              </w:rPr>
              <w:t>Loss</w:t>
            </w:r>
            <w:r w:rsidR="00E128F6" w:rsidRPr="00F01EC8">
              <w:rPr>
                <w:rFonts w:asciiTheme="minorHAnsi" w:hAnsiTheme="minorHAnsi" w:cs="Arial"/>
                <w:sz w:val="20"/>
                <w:szCs w:val="20"/>
              </w:rPr>
              <w:t xml:space="preserve"> for the period</w:t>
            </w:r>
          </w:p>
        </w:tc>
        <w:tc>
          <w:tcPr>
            <w:tcW w:w="849" w:type="dxa"/>
            <w:tcBorders>
              <w:top w:val="single" w:sz="4" w:space="0" w:color="auto"/>
              <w:left w:val="nil"/>
              <w:bottom w:val="single" w:sz="4" w:space="0" w:color="auto"/>
              <w:right w:val="nil"/>
            </w:tcBorders>
            <w:vAlign w:val="bottom"/>
          </w:tcPr>
          <w:p w14:paraId="306F4071" w14:textId="5FC46CFA" w:rsidR="00E128F6" w:rsidRPr="00F01EC8" w:rsidRDefault="00E128F6" w:rsidP="00E128F6">
            <w:pPr>
              <w:jc w:val="right"/>
              <w:rPr>
                <w:rFonts w:asciiTheme="minorHAnsi" w:hAnsiTheme="minorHAnsi" w:cs="Arial"/>
                <w:sz w:val="20"/>
                <w:szCs w:val="20"/>
              </w:rPr>
            </w:pPr>
          </w:p>
        </w:tc>
        <w:tc>
          <w:tcPr>
            <w:tcW w:w="1018" w:type="dxa"/>
            <w:tcBorders>
              <w:top w:val="single" w:sz="4" w:space="0" w:color="auto"/>
              <w:left w:val="nil"/>
              <w:bottom w:val="single" w:sz="4" w:space="0" w:color="auto"/>
              <w:right w:val="nil"/>
            </w:tcBorders>
            <w:vAlign w:val="bottom"/>
          </w:tcPr>
          <w:p w14:paraId="3707FFE7" w14:textId="0D958E03" w:rsidR="00E128F6" w:rsidRPr="00F01EC8" w:rsidRDefault="00E128F6" w:rsidP="00E128F6">
            <w:pPr>
              <w:jc w:val="right"/>
              <w:rPr>
                <w:rFonts w:asciiTheme="minorHAnsi" w:hAnsiTheme="minorHAnsi" w:cs="Arial"/>
                <w:sz w:val="20"/>
                <w:szCs w:val="20"/>
              </w:rPr>
            </w:pPr>
          </w:p>
        </w:tc>
        <w:tc>
          <w:tcPr>
            <w:tcW w:w="989" w:type="dxa"/>
            <w:tcBorders>
              <w:top w:val="single" w:sz="4" w:space="0" w:color="auto"/>
              <w:left w:val="nil"/>
              <w:bottom w:val="single" w:sz="4" w:space="0" w:color="auto"/>
              <w:right w:val="nil"/>
            </w:tcBorders>
            <w:vAlign w:val="bottom"/>
          </w:tcPr>
          <w:p w14:paraId="48F10B06" w14:textId="3D75BEBD" w:rsidR="00E128F6" w:rsidRPr="00F01EC8" w:rsidRDefault="00E128F6" w:rsidP="00E128F6">
            <w:pPr>
              <w:jc w:val="right"/>
              <w:rPr>
                <w:rFonts w:asciiTheme="minorHAnsi" w:hAnsiTheme="minorHAnsi" w:cs="Arial"/>
                <w:sz w:val="20"/>
                <w:szCs w:val="20"/>
              </w:rPr>
            </w:pPr>
          </w:p>
        </w:tc>
        <w:tc>
          <w:tcPr>
            <w:tcW w:w="1021" w:type="dxa"/>
            <w:tcBorders>
              <w:top w:val="single" w:sz="4" w:space="0" w:color="auto"/>
              <w:left w:val="nil"/>
              <w:bottom w:val="single" w:sz="4" w:space="0" w:color="auto"/>
              <w:right w:val="nil"/>
            </w:tcBorders>
            <w:vAlign w:val="bottom"/>
          </w:tcPr>
          <w:p w14:paraId="6240B14E" w14:textId="14725EBE" w:rsidR="00E128F6" w:rsidRPr="00F01EC8" w:rsidRDefault="008969BE" w:rsidP="00E128F6">
            <w:pPr>
              <w:jc w:val="right"/>
              <w:rPr>
                <w:rFonts w:asciiTheme="minorHAnsi" w:hAnsiTheme="minorHAnsi" w:cs="Arial"/>
                <w:sz w:val="20"/>
                <w:szCs w:val="20"/>
              </w:rPr>
            </w:pPr>
            <w:r w:rsidRPr="00F01EC8">
              <w:rPr>
                <w:rFonts w:asciiTheme="minorHAnsi" w:hAnsiTheme="minorHAnsi" w:cs="Arial"/>
                <w:sz w:val="20"/>
                <w:szCs w:val="20"/>
              </w:rPr>
              <w:t>(23.1</w:t>
            </w:r>
            <w:r w:rsidR="00DE2D8B" w:rsidRPr="00F01EC8">
              <w:rPr>
                <w:rFonts w:asciiTheme="minorHAnsi" w:hAnsiTheme="minorHAnsi" w:cs="Arial"/>
                <w:sz w:val="20"/>
                <w:szCs w:val="20"/>
              </w:rPr>
              <w:t>)</w:t>
            </w:r>
          </w:p>
        </w:tc>
        <w:tc>
          <w:tcPr>
            <w:tcW w:w="817" w:type="dxa"/>
            <w:tcBorders>
              <w:top w:val="single" w:sz="4" w:space="0" w:color="auto"/>
              <w:left w:val="nil"/>
              <w:bottom w:val="single" w:sz="4" w:space="0" w:color="auto"/>
              <w:right w:val="nil"/>
            </w:tcBorders>
            <w:vAlign w:val="bottom"/>
          </w:tcPr>
          <w:p w14:paraId="66DEEC27" w14:textId="68975895" w:rsidR="00E128F6" w:rsidRPr="00F01EC8" w:rsidRDefault="00D04BB7" w:rsidP="00E128F6">
            <w:pPr>
              <w:jc w:val="right"/>
              <w:rPr>
                <w:rFonts w:asciiTheme="minorHAnsi" w:hAnsiTheme="minorHAnsi" w:cs="Arial"/>
                <w:sz w:val="20"/>
                <w:szCs w:val="20"/>
              </w:rPr>
            </w:pPr>
            <w:r w:rsidRPr="00F01EC8">
              <w:rPr>
                <w:rFonts w:asciiTheme="minorHAnsi" w:hAnsiTheme="minorHAnsi" w:cs="Arial"/>
                <w:sz w:val="20"/>
                <w:szCs w:val="20"/>
              </w:rPr>
              <w:t>(23.1)</w:t>
            </w:r>
          </w:p>
        </w:tc>
      </w:tr>
      <w:tr w:rsidR="00E128F6" w:rsidRPr="00F01EC8" w14:paraId="4B6F638D" w14:textId="77777777" w:rsidTr="00FB2FF4">
        <w:tc>
          <w:tcPr>
            <w:tcW w:w="5195" w:type="dxa"/>
            <w:vAlign w:val="bottom"/>
          </w:tcPr>
          <w:p w14:paraId="283E8998"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Other comprehensive income/(expense):</w:t>
            </w:r>
          </w:p>
        </w:tc>
        <w:tc>
          <w:tcPr>
            <w:tcW w:w="849" w:type="dxa"/>
            <w:tcBorders>
              <w:top w:val="single" w:sz="4" w:space="0" w:color="auto"/>
              <w:left w:val="nil"/>
              <w:right w:val="nil"/>
            </w:tcBorders>
            <w:vAlign w:val="bottom"/>
          </w:tcPr>
          <w:p w14:paraId="02315042" w14:textId="77777777" w:rsidR="00E128F6" w:rsidRPr="00F01EC8" w:rsidRDefault="00E128F6" w:rsidP="00E128F6">
            <w:pPr>
              <w:jc w:val="right"/>
              <w:rPr>
                <w:rFonts w:asciiTheme="minorHAnsi" w:hAnsiTheme="minorHAnsi" w:cs="Arial"/>
                <w:sz w:val="20"/>
                <w:szCs w:val="20"/>
              </w:rPr>
            </w:pPr>
          </w:p>
        </w:tc>
        <w:tc>
          <w:tcPr>
            <w:tcW w:w="1018" w:type="dxa"/>
            <w:tcBorders>
              <w:top w:val="single" w:sz="4" w:space="0" w:color="auto"/>
              <w:left w:val="nil"/>
              <w:right w:val="nil"/>
            </w:tcBorders>
            <w:vAlign w:val="bottom"/>
          </w:tcPr>
          <w:p w14:paraId="38E0A4C1" w14:textId="77777777" w:rsidR="00E128F6" w:rsidRPr="00F01EC8" w:rsidRDefault="00E128F6" w:rsidP="00E128F6">
            <w:pPr>
              <w:jc w:val="right"/>
              <w:rPr>
                <w:rFonts w:asciiTheme="minorHAnsi" w:hAnsiTheme="minorHAnsi" w:cs="Arial"/>
                <w:sz w:val="20"/>
                <w:szCs w:val="20"/>
              </w:rPr>
            </w:pPr>
          </w:p>
        </w:tc>
        <w:tc>
          <w:tcPr>
            <w:tcW w:w="989" w:type="dxa"/>
            <w:tcBorders>
              <w:top w:val="single" w:sz="4" w:space="0" w:color="auto"/>
              <w:left w:val="nil"/>
              <w:right w:val="nil"/>
            </w:tcBorders>
            <w:vAlign w:val="bottom"/>
          </w:tcPr>
          <w:p w14:paraId="1D1D6379" w14:textId="77777777" w:rsidR="00E128F6" w:rsidRPr="00F01EC8" w:rsidRDefault="00E128F6" w:rsidP="00E128F6">
            <w:pPr>
              <w:jc w:val="right"/>
              <w:rPr>
                <w:rFonts w:asciiTheme="minorHAnsi" w:hAnsiTheme="minorHAnsi" w:cs="Arial"/>
                <w:sz w:val="20"/>
                <w:szCs w:val="20"/>
              </w:rPr>
            </w:pPr>
          </w:p>
        </w:tc>
        <w:tc>
          <w:tcPr>
            <w:tcW w:w="1021" w:type="dxa"/>
            <w:tcBorders>
              <w:top w:val="single" w:sz="4" w:space="0" w:color="auto"/>
              <w:left w:val="nil"/>
              <w:right w:val="nil"/>
            </w:tcBorders>
            <w:vAlign w:val="bottom"/>
          </w:tcPr>
          <w:p w14:paraId="0B7DDDE5" w14:textId="77777777" w:rsidR="00E128F6" w:rsidRPr="00F01EC8" w:rsidRDefault="00E128F6" w:rsidP="00E128F6">
            <w:pPr>
              <w:jc w:val="right"/>
              <w:rPr>
                <w:rFonts w:asciiTheme="minorHAnsi" w:hAnsiTheme="minorHAnsi" w:cs="Arial"/>
                <w:sz w:val="20"/>
                <w:szCs w:val="20"/>
              </w:rPr>
            </w:pPr>
          </w:p>
        </w:tc>
        <w:tc>
          <w:tcPr>
            <w:tcW w:w="817" w:type="dxa"/>
            <w:tcBorders>
              <w:top w:val="single" w:sz="4" w:space="0" w:color="auto"/>
              <w:left w:val="nil"/>
              <w:right w:val="nil"/>
            </w:tcBorders>
            <w:vAlign w:val="bottom"/>
          </w:tcPr>
          <w:p w14:paraId="76B651DC" w14:textId="77777777" w:rsidR="00E128F6" w:rsidRPr="00F01EC8" w:rsidRDefault="00E128F6" w:rsidP="00E128F6">
            <w:pPr>
              <w:jc w:val="right"/>
              <w:rPr>
                <w:rFonts w:asciiTheme="minorHAnsi" w:hAnsiTheme="minorHAnsi" w:cs="Arial"/>
                <w:sz w:val="20"/>
                <w:szCs w:val="20"/>
              </w:rPr>
            </w:pPr>
          </w:p>
        </w:tc>
      </w:tr>
      <w:tr w:rsidR="00E128F6" w:rsidRPr="00F01EC8" w14:paraId="6828AA1A" w14:textId="77777777" w:rsidTr="00FB2FF4">
        <w:tc>
          <w:tcPr>
            <w:tcW w:w="5195" w:type="dxa"/>
            <w:vAlign w:val="bottom"/>
          </w:tcPr>
          <w:p w14:paraId="0B4AF12B"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lastRenderedPageBreak/>
              <w:t>– fair value movement in investments</w:t>
            </w:r>
          </w:p>
        </w:tc>
        <w:tc>
          <w:tcPr>
            <w:tcW w:w="849" w:type="dxa"/>
            <w:tcBorders>
              <w:left w:val="nil"/>
              <w:right w:val="nil"/>
            </w:tcBorders>
            <w:vAlign w:val="bottom"/>
          </w:tcPr>
          <w:p w14:paraId="5512A309" w14:textId="1BF34851"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vAlign w:val="bottom"/>
          </w:tcPr>
          <w:p w14:paraId="470574C0" w14:textId="5F29FDC7"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375CB37B" w14:textId="68F99787"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1.4</w:t>
            </w:r>
          </w:p>
        </w:tc>
        <w:tc>
          <w:tcPr>
            <w:tcW w:w="1021" w:type="dxa"/>
            <w:tcBorders>
              <w:left w:val="nil"/>
              <w:right w:val="nil"/>
            </w:tcBorders>
            <w:vAlign w:val="bottom"/>
          </w:tcPr>
          <w:p w14:paraId="7A5E4554" w14:textId="4A3706E2"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817" w:type="dxa"/>
            <w:tcBorders>
              <w:left w:val="nil"/>
              <w:right w:val="nil"/>
            </w:tcBorders>
            <w:vAlign w:val="bottom"/>
          </w:tcPr>
          <w:p w14:paraId="0D96AAF1" w14:textId="3C0FFB12"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1.4</w:t>
            </w:r>
          </w:p>
        </w:tc>
      </w:tr>
      <w:tr w:rsidR="00DE2D8B" w:rsidRPr="00F01EC8" w14:paraId="62A060AB" w14:textId="77777777" w:rsidTr="00FB2FF4">
        <w:tc>
          <w:tcPr>
            <w:tcW w:w="5195" w:type="dxa"/>
            <w:vAlign w:val="bottom"/>
          </w:tcPr>
          <w:p w14:paraId="7B129D61"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actuarial movements on retirement benefit asset (note 9)</w:t>
            </w:r>
          </w:p>
        </w:tc>
        <w:tc>
          <w:tcPr>
            <w:tcW w:w="849" w:type="dxa"/>
            <w:tcBorders>
              <w:left w:val="nil"/>
              <w:right w:val="nil"/>
            </w:tcBorders>
          </w:tcPr>
          <w:p w14:paraId="142C8EB2" w14:textId="4C1FBBC1"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tcPr>
          <w:p w14:paraId="0C6B1144" w14:textId="7872A943"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028225F0" w14:textId="61D45A7C"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21" w:type="dxa"/>
            <w:tcBorders>
              <w:left w:val="nil"/>
              <w:right w:val="nil"/>
            </w:tcBorders>
            <w:vAlign w:val="bottom"/>
          </w:tcPr>
          <w:p w14:paraId="55F61F8F" w14:textId="2AA03DA9"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38.3</w:t>
            </w:r>
          </w:p>
        </w:tc>
        <w:tc>
          <w:tcPr>
            <w:tcW w:w="817" w:type="dxa"/>
            <w:tcBorders>
              <w:left w:val="nil"/>
              <w:right w:val="nil"/>
            </w:tcBorders>
            <w:vAlign w:val="bottom"/>
          </w:tcPr>
          <w:p w14:paraId="5E2593B5" w14:textId="606A4479"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38.3</w:t>
            </w:r>
          </w:p>
        </w:tc>
      </w:tr>
      <w:tr w:rsidR="00DE2D8B" w:rsidRPr="00F01EC8" w14:paraId="22AABC50" w14:textId="77777777" w:rsidTr="00FB2FF4">
        <w:tc>
          <w:tcPr>
            <w:tcW w:w="5195" w:type="dxa"/>
            <w:vAlign w:val="bottom"/>
          </w:tcPr>
          <w:p w14:paraId="5BA2698E"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tax on items taken directly to other comprehensive income</w:t>
            </w:r>
          </w:p>
        </w:tc>
        <w:tc>
          <w:tcPr>
            <w:tcW w:w="849" w:type="dxa"/>
            <w:tcBorders>
              <w:left w:val="nil"/>
              <w:right w:val="nil"/>
            </w:tcBorders>
          </w:tcPr>
          <w:p w14:paraId="00B85F28" w14:textId="67D1CC1E"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tcPr>
          <w:p w14:paraId="3C272A98" w14:textId="769085E5"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4599D160" w14:textId="216D8AB8"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(0.4)</w:t>
            </w:r>
          </w:p>
        </w:tc>
        <w:tc>
          <w:tcPr>
            <w:tcW w:w="1021" w:type="dxa"/>
            <w:tcBorders>
              <w:left w:val="nil"/>
              <w:right w:val="nil"/>
            </w:tcBorders>
            <w:vAlign w:val="bottom"/>
          </w:tcPr>
          <w:p w14:paraId="3902321B" w14:textId="026F774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(7.3)</w:t>
            </w:r>
          </w:p>
        </w:tc>
        <w:tc>
          <w:tcPr>
            <w:tcW w:w="817" w:type="dxa"/>
            <w:tcBorders>
              <w:left w:val="nil"/>
              <w:right w:val="nil"/>
            </w:tcBorders>
            <w:vAlign w:val="bottom"/>
          </w:tcPr>
          <w:p w14:paraId="244914AB" w14:textId="5127ABCC"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r w:rsidR="00836A77" w:rsidRPr="00F01EC8">
              <w:rPr>
                <w:rFonts w:asciiTheme="minorHAnsi" w:hAnsiTheme="minorHAnsi" w:cs="Arial"/>
                <w:sz w:val="20"/>
                <w:szCs w:val="20"/>
              </w:rPr>
              <w:t>7.7</w:t>
            </w:r>
            <w:r w:rsidRPr="00F01EC8">
              <w:rPr>
                <w:rFonts w:asciiTheme="minorHAnsi" w:hAnsiTheme="minorHAnsi" w:cs="Arial"/>
                <w:sz w:val="20"/>
                <w:szCs w:val="20"/>
              </w:rPr>
              <w:t>)</w:t>
            </w:r>
          </w:p>
        </w:tc>
      </w:tr>
      <w:tr w:rsidR="00DE2D8B" w:rsidRPr="00F01EC8" w14:paraId="5037D047" w14:textId="77777777" w:rsidTr="00FB2FF4">
        <w:tc>
          <w:tcPr>
            <w:tcW w:w="5195" w:type="dxa"/>
            <w:vAlign w:val="bottom"/>
          </w:tcPr>
          <w:p w14:paraId="0B071AE3"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impact of change in UK tax rate</w:t>
            </w:r>
          </w:p>
        </w:tc>
        <w:tc>
          <w:tcPr>
            <w:tcW w:w="849" w:type="dxa"/>
            <w:tcBorders>
              <w:left w:val="nil"/>
              <w:bottom w:val="single" w:sz="4" w:space="0" w:color="auto"/>
              <w:right w:val="nil"/>
            </w:tcBorders>
          </w:tcPr>
          <w:p w14:paraId="2A9F376E" w14:textId="1582B965"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bottom w:val="single" w:sz="4" w:space="0" w:color="auto"/>
              <w:right w:val="nil"/>
            </w:tcBorders>
          </w:tcPr>
          <w:p w14:paraId="391E3CF2" w14:textId="530F14B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bottom w:val="single" w:sz="4" w:space="0" w:color="auto"/>
              <w:right w:val="nil"/>
            </w:tcBorders>
            <w:vAlign w:val="bottom"/>
          </w:tcPr>
          <w:p w14:paraId="5814DC6A" w14:textId="049BD5C5"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(0.3)</w:t>
            </w:r>
          </w:p>
        </w:tc>
        <w:tc>
          <w:tcPr>
            <w:tcW w:w="1021" w:type="dxa"/>
            <w:tcBorders>
              <w:left w:val="nil"/>
              <w:bottom w:val="single" w:sz="4" w:space="0" w:color="auto"/>
              <w:right w:val="nil"/>
            </w:tcBorders>
            <w:vAlign w:val="bottom"/>
          </w:tcPr>
          <w:p w14:paraId="3358B9CE" w14:textId="6964916C"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(1.6)</w:t>
            </w:r>
          </w:p>
        </w:tc>
        <w:tc>
          <w:tcPr>
            <w:tcW w:w="817" w:type="dxa"/>
            <w:tcBorders>
              <w:left w:val="nil"/>
              <w:bottom w:val="single" w:sz="4" w:space="0" w:color="auto"/>
              <w:right w:val="nil"/>
            </w:tcBorders>
            <w:vAlign w:val="bottom"/>
          </w:tcPr>
          <w:p w14:paraId="6DDCF1DE" w14:textId="522BD88A"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(1.9)</w:t>
            </w:r>
          </w:p>
        </w:tc>
      </w:tr>
      <w:tr w:rsidR="00E128F6" w:rsidRPr="00F01EC8" w14:paraId="4D26FB36" w14:textId="77777777" w:rsidTr="00FB2FF4">
        <w:tc>
          <w:tcPr>
            <w:tcW w:w="5195" w:type="dxa"/>
            <w:vAlign w:val="bottom"/>
          </w:tcPr>
          <w:p w14:paraId="083E0CBD" w14:textId="471AB245"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Other comprehensive income for the period</w:t>
            </w:r>
          </w:p>
        </w:tc>
        <w:tc>
          <w:tcPr>
            <w:tcW w:w="849" w:type="dxa"/>
            <w:tcBorders>
              <w:top w:val="single" w:sz="4" w:space="0" w:color="auto"/>
              <w:left w:val="nil"/>
              <w:bottom w:val="single" w:sz="4" w:space="0" w:color="auto"/>
              <w:right w:val="nil"/>
            </w:tcBorders>
            <w:vAlign w:val="bottom"/>
          </w:tcPr>
          <w:p w14:paraId="4F7B5313" w14:textId="771F0D15"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top w:val="single" w:sz="4" w:space="0" w:color="auto"/>
              <w:left w:val="nil"/>
              <w:bottom w:val="single" w:sz="4" w:space="0" w:color="auto"/>
              <w:right w:val="nil"/>
            </w:tcBorders>
            <w:vAlign w:val="bottom"/>
          </w:tcPr>
          <w:p w14:paraId="492EE462" w14:textId="7D45CE7E"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top w:val="single" w:sz="4" w:space="0" w:color="auto"/>
              <w:left w:val="nil"/>
              <w:bottom w:val="single" w:sz="4" w:space="0" w:color="auto"/>
              <w:right w:val="nil"/>
            </w:tcBorders>
            <w:vAlign w:val="bottom"/>
          </w:tcPr>
          <w:p w14:paraId="26FC4D55" w14:textId="7A0FBF51"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0.7</w:t>
            </w:r>
          </w:p>
        </w:tc>
        <w:tc>
          <w:tcPr>
            <w:tcW w:w="1021" w:type="dxa"/>
            <w:tcBorders>
              <w:top w:val="single" w:sz="4" w:space="0" w:color="auto"/>
              <w:left w:val="nil"/>
              <w:bottom w:val="single" w:sz="4" w:space="0" w:color="auto"/>
              <w:right w:val="nil"/>
            </w:tcBorders>
            <w:vAlign w:val="bottom"/>
          </w:tcPr>
          <w:p w14:paraId="382F8587" w14:textId="492B76E5"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29.4</w:t>
            </w:r>
          </w:p>
        </w:tc>
        <w:tc>
          <w:tcPr>
            <w:tcW w:w="817" w:type="dxa"/>
            <w:tcBorders>
              <w:top w:val="single" w:sz="4" w:space="0" w:color="auto"/>
              <w:left w:val="nil"/>
              <w:bottom w:val="single" w:sz="4" w:space="0" w:color="auto"/>
              <w:right w:val="nil"/>
            </w:tcBorders>
            <w:vAlign w:val="bottom"/>
          </w:tcPr>
          <w:p w14:paraId="1222691B" w14:textId="237CFB65"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30.1</w:t>
            </w:r>
          </w:p>
        </w:tc>
      </w:tr>
      <w:tr w:rsidR="00E128F6" w:rsidRPr="00F01EC8" w14:paraId="4370F83C" w14:textId="77777777" w:rsidTr="00FB2FF4">
        <w:tc>
          <w:tcPr>
            <w:tcW w:w="5195" w:type="dxa"/>
            <w:vAlign w:val="bottom"/>
          </w:tcPr>
          <w:p w14:paraId="6B802E9E"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Total comprehensive income for the period</w:t>
            </w:r>
          </w:p>
        </w:tc>
        <w:tc>
          <w:tcPr>
            <w:tcW w:w="849" w:type="dxa"/>
            <w:tcBorders>
              <w:top w:val="single" w:sz="4" w:space="0" w:color="auto"/>
              <w:left w:val="nil"/>
              <w:bottom w:val="single" w:sz="4" w:space="0" w:color="auto"/>
              <w:right w:val="nil"/>
            </w:tcBorders>
            <w:vAlign w:val="bottom"/>
          </w:tcPr>
          <w:p w14:paraId="2F8941BC" w14:textId="0CC5211E"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top w:val="single" w:sz="4" w:space="0" w:color="auto"/>
              <w:left w:val="nil"/>
              <w:bottom w:val="single" w:sz="4" w:space="0" w:color="auto"/>
              <w:right w:val="nil"/>
            </w:tcBorders>
            <w:vAlign w:val="bottom"/>
          </w:tcPr>
          <w:p w14:paraId="3FAB9726" w14:textId="0194440F"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top w:val="single" w:sz="4" w:space="0" w:color="auto"/>
              <w:left w:val="nil"/>
              <w:bottom w:val="single" w:sz="4" w:space="0" w:color="auto"/>
              <w:right w:val="nil"/>
            </w:tcBorders>
            <w:vAlign w:val="bottom"/>
          </w:tcPr>
          <w:p w14:paraId="34D25C14" w14:textId="3003A3DB"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0.7</w:t>
            </w:r>
          </w:p>
        </w:tc>
        <w:tc>
          <w:tcPr>
            <w:tcW w:w="1021" w:type="dxa"/>
            <w:tcBorders>
              <w:top w:val="single" w:sz="4" w:space="0" w:color="auto"/>
              <w:left w:val="nil"/>
              <w:bottom w:val="single" w:sz="4" w:space="0" w:color="auto"/>
              <w:right w:val="nil"/>
            </w:tcBorders>
            <w:vAlign w:val="bottom"/>
          </w:tcPr>
          <w:p w14:paraId="05234BDA" w14:textId="509517AA" w:rsidR="00E128F6" w:rsidRPr="00F01EC8" w:rsidRDefault="008969BE" w:rsidP="00E128F6">
            <w:pPr>
              <w:jc w:val="right"/>
              <w:rPr>
                <w:rFonts w:asciiTheme="minorHAnsi" w:hAnsiTheme="minorHAnsi" w:cs="Arial"/>
                <w:sz w:val="20"/>
                <w:szCs w:val="20"/>
              </w:rPr>
            </w:pPr>
            <w:r w:rsidRPr="00F01EC8">
              <w:rPr>
                <w:rFonts w:asciiTheme="minorHAnsi" w:hAnsiTheme="minorHAnsi" w:cs="Arial"/>
                <w:sz w:val="20"/>
                <w:szCs w:val="20"/>
              </w:rPr>
              <w:t>6.3</w:t>
            </w:r>
          </w:p>
        </w:tc>
        <w:tc>
          <w:tcPr>
            <w:tcW w:w="817" w:type="dxa"/>
            <w:tcBorders>
              <w:top w:val="single" w:sz="4" w:space="0" w:color="auto"/>
              <w:left w:val="nil"/>
              <w:bottom w:val="single" w:sz="4" w:space="0" w:color="auto"/>
              <w:right w:val="nil"/>
            </w:tcBorders>
            <w:vAlign w:val="bottom"/>
          </w:tcPr>
          <w:p w14:paraId="3621A2D8" w14:textId="6CFDC0B1" w:rsidR="00E128F6" w:rsidRPr="00F01EC8" w:rsidRDefault="00CD0CCF" w:rsidP="00E128F6">
            <w:pPr>
              <w:jc w:val="right"/>
              <w:rPr>
                <w:rFonts w:asciiTheme="minorHAnsi" w:hAnsiTheme="minorHAnsi" w:cs="Arial"/>
                <w:sz w:val="20"/>
                <w:szCs w:val="20"/>
              </w:rPr>
            </w:pPr>
            <w:r w:rsidRPr="00F01EC8">
              <w:rPr>
                <w:rFonts w:asciiTheme="minorHAnsi" w:hAnsiTheme="minorHAnsi" w:cs="Arial"/>
                <w:sz w:val="20"/>
                <w:szCs w:val="20"/>
              </w:rPr>
              <w:t>7.0</w:t>
            </w:r>
          </w:p>
        </w:tc>
      </w:tr>
      <w:tr w:rsidR="00E128F6" w:rsidRPr="00F01EC8" w14:paraId="0C0DFDBA" w14:textId="77777777" w:rsidTr="00FB2FF4">
        <w:tc>
          <w:tcPr>
            <w:tcW w:w="5195" w:type="dxa"/>
            <w:vAlign w:val="bottom"/>
          </w:tcPr>
          <w:p w14:paraId="5FEFDF60" w14:textId="77777777" w:rsidR="00E128F6" w:rsidRPr="00F01EC8" w:rsidRDefault="00E128F6" w:rsidP="00E128F6">
            <w:pPr>
              <w:rPr>
                <w:rFonts w:asciiTheme="minorHAnsi" w:hAnsiTheme="minorHAnsi" w:cs="Arial"/>
                <w:sz w:val="20"/>
                <w:szCs w:val="20"/>
              </w:rPr>
            </w:pPr>
            <w:r w:rsidRPr="00F01EC8">
              <w:rPr>
                <w:rFonts w:asciiTheme="minorHAnsi" w:hAnsiTheme="minorHAnsi" w:cs="Arial"/>
                <w:sz w:val="20"/>
                <w:szCs w:val="20"/>
              </w:rPr>
              <w:t>Transactions with owners:</w:t>
            </w:r>
          </w:p>
        </w:tc>
        <w:tc>
          <w:tcPr>
            <w:tcW w:w="849" w:type="dxa"/>
            <w:tcBorders>
              <w:top w:val="single" w:sz="4" w:space="0" w:color="auto"/>
              <w:left w:val="nil"/>
              <w:right w:val="nil"/>
            </w:tcBorders>
            <w:vAlign w:val="bottom"/>
          </w:tcPr>
          <w:p w14:paraId="10594DF4" w14:textId="77777777" w:rsidR="00E128F6" w:rsidRPr="00F01EC8" w:rsidRDefault="00E128F6" w:rsidP="00E128F6">
            <w:pPr>
              <w:jc w:val="right"/>
              <w:rPr>
                <w:rFonts w:asciiTheme="minorHAnsi" w:hAnsiTheme="minorHAnsi" w:cs="Arial"/>
                <w:sz w:val="20"/>
                <w:szCs w:val="20"/>
              </w:rPr>
            </w:pPr>
          </w:p>
        </w:tc>
        <w:tc>
          <w:tcPr>
            <w:tcW w:w="1018" w:type="dxa"/>
            <w:tcBorders>
              <w:top w:val="single" w:sz="4" w:space="0" w:color="auto"/>
              <w:left w:val="nil"/>
              <w:right w:val="nil"/>
            </w:tcBorders>
            <w:vAlign w:val="bottom"/>
          </w:tcPr>
          <w:p w14:paraId="4D104894" w14:textId="77777777" w:rsidR="00E128F6" w:rsidRPr="00F01EC8" w:rsidRDefault="00E128F6" w:rsidP="00E128F6">
            <w:pPr>
              <w:jc w:val="right"/>
              <w:rPr>
                <w:rFonts w:asciiTheme="minorHAnsi" w:hAnsiTheme="minorHAnsi" w:cs="Arial"/>
                <w:sz w:val="20"/>
                <w:szCs w:val="20"/>
              </w:rPr>
            </w:pPr>
          </w:p>
        </w:tc>
        <w:tc>
          <w:tcPr>
            <w:tcW w:w="989" w:type="dxa"/>
            <w:tcBorders>
              <w:top w:val="single" w:sz="4" w:space="0" w:color="auto"/>
              <w:left w:val="nil"/>
              <w:right w:val="nil"/>
            </w:tcBorders>
            <w:vAlign w:val="bottom"/>
          </w:tcPr>
          <w:p w14:paraId="04BD45CA" w14:textId="77777777" w:rsidR="00E128F6" w:rsidRPr="00F01EC8" w:rsidRDefault="00E128F6" w:rsidP="00E128F6">
            <w:pPr>
              <w:jc w:val="right"/>
              <w:rPr>
                <w:rFonts w:asciiTheme="minorHAnsi" w:hAnsiTheme="minorHAnsi" w:cs="Arial"/>
                <w:sz w:val="20"/>
                <w:szCs w:val="20"/>
              </w:rPr>
            </w:pPr>
          </w:p>
        </w:tc>
        <w:tc>
          <w:tcPr>
            <w:tcW w:w="1021" w:type="dxa"/>
            <w:tcBorders>
              <w:top w:val="single" w:sz="4" w:space="0" w:color="auto"/>
              <w:left w:val="nil"/>
              <w:right w:val="nil"/>
            </w:tcBorders>
            <w:vAlign w:val="bottom"/>
          </w:tcPr>
          <w:p w14:paraId="6C2AF8B3" w14:textId="77777777" w:rsidR="00E128F6" w:rsidRPr="00F01EC8" w:rsidRDefault="00E128F6" w:rsidP="00E128F6">
            <w:pPr>
              <w:jc w:val="right"/>
              <w:rPr>
                <w:rFonts w:asciiTheme="minorHAnsi" w:hAnsiTheme="minorHAnsi" w:cs="Arial"/>
                <w:sz w:val="20"/>
                <w:szCs w:val="20"/>
              </w:rPr>
            </w:pPr>
          </w:p>
        </w:tc>
        <w:tc>
          <w:tcPr>
            <w:tcW w:w="817" w:type="dxa"/>
            <w:tcBorders>
              <w:top w:val="single" w:sz="4" w:space="0" w:color="auto"/>
              <w:left w:val="nil"/>
              <w:right w:val="nil"/>
            </w:tcBorders>
            <w:vAlign w:val="bottom"/>
          </w:tcPr>
          <w:p w14:paraId="4793CC36" w14:textId="77777777" w:rsidR="00E128F6" w:rsidRPr="00F01EC8" w:rsidRDefault="00E128F6" w:rsidP="00E128F6">
            <w:pPr>
              <w:jc w:val="right"/>
              <w:rPr>
                <w:rFonts w:asciiTheme="minorHAnsi" w:hAnsiTheme="minorHAnsi" w:cs="Arial"/>
                <w:sz w:val="20"/>
                <w:szCs w:val="20"/>
              </w:rPr>
            </w:pPr>
          </w:p>
        </w:tc>
      </w:tr>
      <w:tr w:rsidR="00DE2D8B" w:rsidRPr="00F01EC8" w14:paraId="14653B28" w14:textId="77777777" w:rsidTr="00FB2FF4">
        <w:tc>
          <w:tcPr>
            <w:tcW w:w="5195" w:type="dxa"/>
            <w:vAlign w:val="bottom"/>
          </w:tcPr>
          <w:p w14:paraId="0C02F0A8" w14:textId="7E5C2F3B"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issue of share capital</w:t>
            </w:r>
          </w:p>
        </w:tc>
        <w:tc>
          <w:tcPr>
            <w:tcW w:w="849" w:type="dxa"/>
            <w:tcBorders>
              <w:left w:val="nil"/>
              <w:right w:val="nil"/>
            </w:tcBorders>
            <w:vAlign w:val="bottom"/>
          </w:tcPr>
          <w:p w14:paraId="67D70976" w14:textId="318CDF96" w:rsidR="00DE2D8B" w:rsidRPr="00F01EC8" w:rsidDel="00CE207E" w:rsidRDefault="00DE2D8B" w:rsidP="00DE2D8B">
            <w:pPr>
              <w:jc w:val="right"/>
              <w:rPr>
                <w:rFonts w:asciiTheme="minorHAnsi" w:hAnsiTheme="minorHAnsi" w:cs="Arial"/>
                <w:sz w:val="20"/>
                <w:szCs w:val="20"/>
              </w:rPr>
            </w:pPr>
            <w:r w:rsidRPr="00F01EC8">
              <w:rPr>
                <w:rFonts w:asciiTheme="minorHAnsi" w:hAnsiTheme="minorHAnsi" w:cs="Arial"/>
                <w:sz w:val="20"/>
                <w:szCs w:val="20"/>
              </w:rPr>
              <w:t>0.1</w:t>
            </w:r>
          </w:p>
        </w:tc>
        <w:tc>
          <w:tcPr>
            <w:tcW w:w="1018" w:type="dxa"/>
            <w:tcBorders>
              <w:left w:val="nil"/>
              <w:right w:val="nil"/>
            </w:tcBorders>
          </w:tcPr>
          <w:p w14:paraId="3F92E90E" w14:textId="4680A514" w:rsidR="00DE2D8B" w:rsidRPr="00F01EC8" w:rsidDel="00CE207E"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tcPr>
          <w:p w14:paraId="02039B3A" w14:textId="5049BE6A"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21" w:type="dxa"/>
            <w:tcBorders>
              <w:left w:val="nil"/>
              <w:right w:val="nil"/>
            </w:tcBorders>
          </w:tcPr>
          <w:p w14:paraId="5F66AB14" w14:textId="381AD3A8" w:rsidR="00DE2D8B" w:rsidRPr="00F01EC8" w:rsidDel="00CE207E"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817" w:type="dxa"/>
            <w:tcBorders>
              <w:left w:val="nil"/>
              <w:right w:val="nil"/>
            </w:tcBorders>
            <w:vAlign w:val="bottom"/>
          </w:tcPr>
          <w:p w14:paraId="00BE0227" w14:textId="2F514F8A"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0.1</w:t>
            </w:r>
          </w:p>
        </w:tc>
      </w:tr>
      <w:tr w:rsidR="00DE2D8B" w:rsidRPr="00F01EC8" w14:paraId="0028F30C" w14:textId="77777777" w:rsidTr="00FB2FF4">
        <w:tc>
          <w:tcPr>
            <w:tcW w:w="5195" w:type="dxa"/>
            <w:vAlign w:val="bottom"/>
          </w:tcPr>
          <w:p w14:paraId="0FCB6E56"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share-based payment charge</w:t>
            </w:r>
          </w:p>
        </w:tc>
        <w:tc>
          <w:tcPr>
            <w:tcW w:w="849" w:type="dxa"/>
            <w:tcBorders>
              <w:left w:val="nil"/>
              <w:right w:val="nil"/>
            </w:tcBorders>
          </w:tcPr>
          <w:p w14:paraId="0A54A1B4" w14:textId="4C800A10"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tcPr>
          <w:p w14:paraId="6BCC1C4D" w14:textId="670EF14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1066B2BB" w14:textId="434C5A50"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0.3</w:t>
            </w:r>
          </w:p>
        </w:tc>
        <w:tc>
          <w:tcPr>
            <w:tcW w:w="1021" w:type="dxa"/>
            <w:tcBorders>
              <w:left w:val="nil"/>
              <w:right w:val="nil"/>
            </w:tcBorders>
            <w:vAlign w:val="bottom"/>
          </w:tcPr>
          <w:p w14:paraId="4EE3740B" w14:textId="63317724"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817" w:type="dxa"/>
            <w:tcBorders>
              <w:left w:val="nil"/>
              <w:right w:val="nil"/>
            </w:tcBorders>
            <w:vAlign w:val="bottom"/>
          </w:tcPr>
          <w:p w14:paraId="06E7A81C" w14:textId="7BB4963D"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0.3</w:t>
            </w:r>
          </w:p>
        </w:tc>
      </w:tr>
      <w:tr w:rsidR="00DE2D8B" w:rsidRPr="00F01EC8" w14:paraId="7CAC0F55" w14:textId="77777777" w:rsidTr="00FB2FF4">
        <w:tc>
          <w:tcPr>
            <w:tcW w:w="5195" w:type="dxa"/>
            <w:vAlign w:val="bottom"/>
          </w:tcPr>
          <w:p w14:paraId="3E00C1AA" w14:textId="77777777" w:rsidR="00DE2D8B" w:rsidRPr="00F01EC8" w:rsidRDefault="00DE2D8B" w:rsidP="00DE2D8B">
            <w:pPr>
              <w:rPr>
                <w:rFonts w:asciiTheme="minorHAnsi" w:hAnsiTheme="minorHAnsi" w:cs="Arial"/>
                <w:sz w:val="20"/>
                <w:szCs w:val="20"/>
              </w:rPr>
            </w:pPr>
            <w:r w:rsidRPr="00F01EC8">
              <w:rPr>
                <w:rFonts w:asciiTheme="minorHAnsi" w:hAnsiTheme="minorHAnsi" w:cs="Arial"/>
                <w:sz w:val="20"/>
                <w:szCs w:val="20"/>
              </w:rPr>
              <w:t>– transfer of share-based payment reserve</w:t>
            </w:r>
          </w:p>
        </w:tc>
        <w:tc>
          <w:tcPr>
            <w:tcW w:w="849" w:type="dxa"/>
            <w:tcBorders>
              <w:left w:val="nil"/>
              <w:right w:val="nil"/>
            </w:tcBorders>
          </w:tcPr>
          <w:p w14:paraId="3E127A57" w14:textId="59F48D28"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1018" w:type="dxa"/>
            <w:tcBorders>
              <w:left w:val="nil"/>
              <w:right w:val="nil"/>
            </w:tcBorders>
          </w:tcPr>
          <w:p w14:paraId="65EC2CD3" w14:textId="15D8200F"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c>
          <w:tcPr>
            <w:tcW w:w="989" w:type="dxa"/>
            <w:tcBorders>
              <w:left w:val="nil"/>
              <w:right w:val="nil"/>
            </w:tcBorders>
            <w:vAlign w:val="bottom"/>
          </w:tcPr>
          <w:p w14:paraId="308096F6" w14:textId="1F52A1D7"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(1.4)</w:t>
            </w:r>
          </w:p>
        </w:tc>
        <w:tc>
          <w:tcPr>
            <w:tcW w:w="1021" w:type="dxa"/>
            <w:tcBorders>
              <w:left w:val="nil"/>
              <w:right w:val="nil"/>
            </w:tcBorders>
            <w:vAlign w:val="bottom"/>
          </w:tcPr>
          <w:p w14:paraId="502C1BF4" w14:textId="40176609"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1.4</w:t>
            </w:r>
          </w:p>
        </w:tc>
        <w:tc>
          <w:tcPr>
            <w:tcW w:w="817" w:type="dxa"/>
            <w:tcBorders>
              <w:left w:val="nil"/>
              <w:right w:val="nil"/>
            </w:tcBorders>
            <w:vAlign w:val="bottom"/>
          </w:tcPr>
          <w:p w14:paraId="47394F82" w14:textId="5CB23232" w:rsidR="00DE2D8B" w:rsidRPr="00F01EC8" w:rsidRDefault="00DE2D8B" w:rsidP="00DE2D8B">
            <w:pPr>
              <w:jc w:val="right"/>
              <w:rPr>
                <w:rFonts w:asciiTheme="minorHAnsi" w:hAnsiTheme="minorHAnsi" w:cs="Arial"/>
                <w:sz w:val="20"/>
                <w:szCs w:val="20"/>
              </w:rPr>
            </w:pPr>
            <w:r w:rsidRPr="00F01EC8">
              <w:rPr>
                <w:rFonts w:asciiTheme="minorHAnsi" w:hAnsiTheme="minorHAnsi" w:cs="Arial"/>
                <w:sz w:val="20"/>
                <w:szCs w:val="20"/>
              </w:rPr>
              <w:t>-</w:t>
            </w:r>
          </w:p>
        </w:tc>
      </w:tr>
      <w:tr w:rsidR="00E128F6" w:rsidRPr="00F01EC8" w14:paraId="614348AC" w14:textId="77777777" w:rsidTr="00FB2FF4">
        <w:tc>
          <w:tcPr>
            <w:tcW w:w="5195" w:type="dxa"/>
            <w:vAlign w:val="bottom"/>
          </w:tcPr>
          <w:p w14:paraId="58A14491" w14:textId="676A5091" w:rsidR="00E128F6" w:rsidRPr="00F01EC8" w:rsidRDefault="00E128F6" w:rsidP="00E128F6">
            <w:pPr>
              <w:rPr>
                <w:rFonts w:asciiTheme="minorHAnsi" w:hAnsiTheme="minorHAnsi" w:cs="Arial"/>
                <w:sz w:val="20"/>
                <w:szCs w:val="20"/>
              </w:rPr>
            </w:pPr>
            <w:r w:rsidRPr="00F01EC8">
              <w:rPr>
                <w:rFonts w:asciiTheme="minorHAnsi" w:hAnsiTheme="minorHAnsi" w:cs="Arial"/>
                <w:b/>
                <w:sz w:val="20"/>
                <w:szCs w:val="20"/>
              </w:rPr>
              <w:t>At 30 June 2020</w:t>
            </w:r>
          </w:p>
        </w:tc>
        <w:tc>
          <w:tcPr>
            <w:tcW w:w="849" w:type="dxa"/>
            <w:tcBorders>
              <w:top w:val="single" w:sz="4" w:space="0" w:color="auto"/>
              <w:left w:val="nil"/>
              <w:bottom w:val="single" w:sz="12" w:space="0" w:color="auto"/>
              <w:right w:val="nil"/>
            </w:tcBorders>
            <w:vAlign w:val="bottom"/>
          </w:tcPr>
          <w:p w14:paraId="3DD0442B" w14:textId="3B3C9A95"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52.6</w:t>
            </w:r>
          </w:p>
        </w:tc>
        <w:tc>
          <w:tcPr>
            <w:tcW w:w="1018" w:type="dxa"/>
            <w:tcBorders>
              <w:top w:val="single" w:sz="4" w:space="0" w:color="auto"/>
              <w:left w:val="nil"/>
              <w:bottom w:val="single" w:sz="12" w:space="0" w:color="auto"/>
              <w:right w:val="nil"/>
            </w:tcBorders>
            <w:vAlign w:val="bottom"/>
          </w:tcPr>
          <w:p w14:paraId="79D4091F" w14:textId="1F03079E"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273.2</w:t>
            </w:r>
          </w:p>
        </w:tc>
        <w:tc>
          <w:tcPr>
            <w:tcW w:w="989" w:type="dxa"/>
            <w:tcBorders>
              <w:top w:val="single" w:sz="4" w:space="0" w:color="auto"/>
              <w:left w:val="nil"/>
              <w:bottom w:val="single" w:sz="12" w:space="0" w:color="auto"/>
              <w:right w:val="nil"/>
            </w:tcBorders>
            <w:vAlign w:val="bottom"/>
          </w:tcPr>
          <w:p w14:paraId="566EF2DB" w14:textId="524808CC" w:rsidR="00E128F6" w:rsidRPr="00F01EC8" w:rsidRDefault="00DE2D8B" w:rsidP="00E128F6">
            <w:pPr>
              <w:jc w:val="right"/>
              <w:rPr>
                <w:rFonts w:asciiTheme="minorHAnsi" w:hAnsiTheme="minorHAnsi" w:cs="Arial"/>
                <w:sz w:val="20"/>
                <w:szCs w:val="20"/>
              </w:rPr>
            </w:pPr>
            <w:r w:rsidRPr="00F01EC8">
              <w:rPr>
                <w:rFonts w:asciiTheme="minorHAnsi" w:hAnsiTheme="minorHAnsi" w:cs="Arial"/>
                <w:sz w:val="20"/>
                <w:szCs w:val="20"/>
              </w:rPr>
              <w:t>295.5</w:t>
            </w:r>
          </w:p>
        </w:tc>
        <w:tc>
          <w:tcPr>
            <w:tcW w:w="1021" w:type="dxa"/>
            <w:tcBorders>
              <w:top w:val="single" w:sz="4" w:space="0" w:color="auto"/>
              <w:left w:val="nil"/>
              <w:bottom w:val="single" w:sz="12" w:space="0" w:color="auto"/>
              <w:right w:val="nil"/>
            </w:tcBorders>
            <w:vAlign w:val="bottom"/>
          </w:tcPr>
          <w:p w14:paraId="79679A7D" w14:textId="465E768E" w:rsidR="00E128F6" w:rsidRPr="00F01EC8" w:rsidRDefault="008969BE" w:rsidP="00E128F6">
            <w:pPr>
              <w:jc w:val="right"/>
              <w:rPr>
                <w:rFonts w:asciiTheme="minorHAnsi" w:hAnsiTheme="minorHAnsi" w:cs="Arial"/>
                <w:sz w:val="20"/>
                <w:szCs w:val="20"/>
              </w:rPr>
            </w:pPr>
            <w:r w:rsidRPr="00F01EC8">
              <w:rPr>
                <w:rFonts w:asciiTheme="minorHAnsi" w:hAnsiTheme="minorHAnsi" w:cs="Arial"/>
                <w:sz w:val="20"/>
                <w:szCs w:val="20"/>
              </w:rPr>
              <w:t>126.6</w:t>
            </w:r>
          </w:p>
        </w:tc>
        <w:tc>
          <w:tcPr>
            <w:tcW w:w="817" w:type="dxa"/>
            <w:tcBorders>
              <w:top w:val="single" w:sz="4" w:space="0" w:color="auto"/>
              <w:left w:val="nil"/>
              <w:bottom w:val="single" w:sz="12" w:space="0" w:color="auto"/>
              <w:right w:val="nil"/>
            </w:tcBorders>
            <w:vAlign w:val="bottom"/>
          </w:tcPr>
          <w:p w14:paraId="169EB2EF" w14:textId="56C77770" w:rsidR="00E128F6" w:rsidRPr="00F01EC8" w:rsidRDefault="008969BE" w:rsidP="00E128F6">
            <w:pPr>
              <w:jc w:val="right"/>
              <w:rPr>
                <w:rFonts w:asciiTheme="minorHAnsi" w:hAnsiTheme="minorHAnsi" w:cs="Arial"/>
                <w:sz w:val="20"/>
                <w:szCs w:val="20"/>
              </w:rPr>
            </w:pPr>
            <w:r w:rsidRPr="00F01EC8">
              <w:rPr>
                <w:rFonts w:asciiTheme="minorHAnsi" w:hAnsiTheme="minorHAnsi" w:cs="Arial"/>
                <w:sz w:val="20"/>
                <w:szCs w:val="20"/>
              </w:rPr>
              <w:t>747.9</w:t>
            </w:r>
          </w:p>
        </w:tc>
      </w:tr>
    </w:tbl>
    <w:p w14:paraId="6D47E41F" w14:textId="77777777" w:rsidR="00DA6694" w:rsidRPr="00F01EC8" w:rsidRDefault="00DA6694" w:rsidP="00DA6694">
      <w:pPr>
        <w:rPr>
          <w:rFonts w:asciiTheme="minorHAnsi" w:hAnsiTheme="minorHAnsi" w:cs="Arial"/>
          <w:b/>
          <w:sz w:val="20"/>
          <w:szCs w:val="20"/>
        </w:rPr>
      </w:pPr>
    </w:p>
    <w:p w14:paraId="7A0759D7" w14:textId="77777777" w:rsidR="00DA6694" w:rsidRPr="00F01EC8" w:rsidRDefault="00DA6694" w:rsidP="00DA6694">
      <w:p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The rights issue in April 2018 was undertaken through a cash box structure which allowed merger relief to be applied to the issue of shares rather than recording share premium. The resulting merger reserve of £278.2m is included within other reserves, of which £228.2m is distributable as the capital was retained for the purposes of the company with the remaining £50.0m not distributable as it was used to inject capital into Vanquis Bank.</w:t>
      </w:r>
    </w:p>
    <w:p w14:paraId="070E928E" w14:textId="77777777" w:rsidR="00DA6694" w:rsidRPr="00F01EC8" w:rsidRDefault="00DA6694" w:rsidP="00DA6694">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6F5018BC" w14:textId="77777777" w:rsidR="00831A11" w:rsidRDefault="00831A11" w:rsidP="00DA6694">
      <w:pPr>
        <w:rPr>
          <w:rFonts w:asciiTheme="minorHAnsi" w:hAnsiTheme="minorHAnsi" w:cs="Arial"/>
          <w:b/>
          <w:sz w:val="20"/>
          <w:szCs w:val="20"/>
        </w:rPr>
      </w:pPr>
    </w:p>
    <w:p w14:paraId="55191864" w14:textId="037D0C5E" w:rsidR="00DA6694" w:rsidRPr="00F01EC8" w:rsidRDefault="00DA6694" w:rsidP="00DA6694">
      <w:pPr>
        <w:rPr>
          <w:rFonts w:asciiTheme="minorHAnsi" w:hAnsiTheme="minorHAnsi" w:cs="Arial"/>
          <w:b/>
          <w:sz w:val="20"/>
          <w:szCs w:val="20"/>
        </w:rPr>
      </w:pPr>
      <w:r w:rsidRPr="00F01EC8">
        <w:rPr>
          <w:rFonts w:asciiTheme="minorHAnsi" w:hAnsiTheme="minorHAnsi" w:cs="Arial"/>
          <w:b/>
          <w:sz w:val="20"/>
          <w:szCs w:val="20"/>
        </w:rPr>
        <w:t xml:space="preserve">Consolidated statement of cash flows </w:t>
      </w:r>
    </w:p>
    <w:p w14:paraId="3EC9A71E" w14:textId="77777777" w:rsidR="00DA6694" w:rsidRPr="00F01EC8" w:rsidRDefault="00DA6694" w:rsidP="00DA6694">
      <w:pPr>
        <w:rPr>
          <w:rFonts w:asciiTheme="minorHAnsi" w:hAnsiTheme="minorHAnsi" w:cs="Arial"/>
          <w:b/>
          <w:sz w:val="20"/>
          <w:szCs w:val="20"/>
        </w:rPr>
      </w:pPr>
    </w:p>
    <w:tbl>
      <w:tblPr>
        <w:tblW w:w="9923" w:type="dxa"/>
        <w:tblLook w:val="0000" w:firstRow="0" w:lastRow="0" w:firstColumn="0" w:lastColumn="0" w:noHBand="0" w:noVBand="0"/>
      </w:tblPr>
      <w:tblGrid>
        <w:gridCol w:w="6487"/>
        <w:gridCol w:w="992"/>
        <w:gridCol w:w="1276"/>
        <w:gridCol w:w="1168"/>
      </w:tblGrid>
      <w:tr w:rsidR="00DA6694" w:rsidRPr="00F01EC8" w14:paraId="7D2CD2AD" w14:textId="77777777" w:rsidTr="00AC0A5D">
        <w:tc>
          <w:tcPr>
            <w:tcW w:w="6487" w:type="dxa"/>
          </w:tcPr>
          <w:p w14:paraId="591D0E3A" w14:textId="77777777" w:rsidR="00DA6694" w:rsidRPr="00F01EC8" w:rsidRDefault="00DA6694" w:rsidP="00AC0A5D">
            <w:pPr>
              <w:jc w:val="right"/>
              <w:rPr>
                <w:rFonts w:asciiTheme="minorHAnsi" w:hAnsiTheme="minorHAnsi" w:cs="Arial"/>
                <w:sz w:val="20"/>
                <w:szCs w:val="20"/>
              </w:rPr>
            </w:pPr>
          </w:p>
        </w:tc>
        <w:tc>
          <w:tcPr>
            <w:tcW w:w="992" w:type="dxa"/>
          </w:tcPr>
          <w:p w14:paraId="4AB7A93A" w14:textId="77777777" w:rsidR="00DA6694" w:rsidRPr="00F01EC8" w:rsidRDefault="00DA6694" w:rsidP="00AC0A5D">
            <w:pPr>
              <w:jc w:val="right"/>
              <w:rPr>
                <w:rFonts w:asciiTheme="minorHAnsi" w:hAnsiTheme="minorHAnsi" w:cs="Arial"/>
                <w:sz w:val="20"/>
                <w:szCs w:val="20"/>
              </w:rPr>
            </w:pPr>
          </w:p>
        </w:tc>
        <w:tc>
          <w:tcPr>
            <w:tcW w:w="2444" w:type="dxa"/>
            <w:gridSpan w:val="2"/>
          </w:tcPr>
          <w:p w14:paraId="02E3EDF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6B78703B" w14:textId="77777777" w:rsidTr="00AC0A5D">
        <w:tc>
          <w:tcPr>
            <w:tcW w:w="6487" w:type="dxa"/>
          </w:tcPr>
          <w:p w14:paraId="3B9B2EA9" w14:textId="77777777" w:rsidR="00DA6694" w:rsidRPr="00F01EC8" w:rsidRDefault="00DA6694" w:rsidP="00AC0A5D">
            <w:pPr>
              <w:jc w:val="right"/>
              <w:rPr>
                <w:rFonts w:asciiTheme="minorHAnsi" w:hAnsiTheme="minorHAnsi" w:cs="Arial"/>
                <w:sz w:val="20"/>
                <w:szCs w:val="20"/>
              </w:rPr>
            </w:pPr>
          </w:p>
        </w:tc>
        <w:tc>
          <w:tcPr>
            <w:tcW w:w="992" w:type="dxa"/>
          </w:tcPr>
          <w:p w14:paraId="4B59E4E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Note</w:t>
            </w:r>
          </w:p>
        </w:tc>
        <w:tc>
          <w:tcPr>
            <w:tcW w:w="1276" w:type="dxa"/>
          </w:tcPr>
          <w:p w14:paraId="52AE839F" w14:textId="2ADE2956"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20</w:t>
            </w:r>
            <w:r w:rsidR="00991B92" w:rsidRPr="00F01EC8">
              <w:rPr>
                <w:rFonts w:asciiTheme="minorHAnsi" w:hAnsiTheme="minorHAnsi" w:cs="Arial"/>
                <w:sz w:val="20"/>
                <w:szCs w:val="20"/>
                <w:lang w:val="fr-FR"/>
              </w:rPr>
              <w:t>20</w:t>
            </w:r>
            <w:r w:rsidRPr="00F01EC8">
              <w:rPr>
                <w:rFonts w:asciiTheme="minorHAnsi" w:hAnsiTheme="minorHAnsi" w:cs="Arial"/>
                <w:sz w:val="20"/>
                <w:szCs w:val="20"/>
                <w:lang w:val="fr-FR"/>
              </w:rPr>
              <w:t> </w:t>
            </w:r>
          </w:p>
        </w:tc>
        <w:tc>
          <w:tcPr>
            <w:tcW w:w="1168" w:type="dxa"/>
          </w:tcPr>
          <w:p w14:paraId="1044BF46" w14:textId="77777777" w:rsidR="00D04BB7"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201</w:t>
            </w:r>
            <w:r w:rsidR="00991B92" w:rsidRPr="00F01EC8">
              <w:rPr>
                <w:rFonts w:asciiTheme="minorHAnsi" w:hAnsiTheme="minorHAnsi" w:cs="Arial"/>
                <w:sz w:val="20"/>
                <w:szCs w:val="20"/>
                <w:lang w:val="fr-FR"/>
              </w:rPr>
              <w:t>9</w:t>
            </w:r>
          </w:p>
          <w:p w14:paraId="0BFC5C95" w14:textId="6A09D05A" w:rsidR="00DA6694" w:rsidRPr="00F01EC8" w:rsidRDefault="00D04BB7" w:rsidP="00AC0A5D">
            <w:pPr>
              <w:jc w:val="right"/>
              <w:rPr>
                <w:rFonts w:asciiTheme="minorHAnsi" w:hAnsiTheme="minorHAnsi" w:cs="Arial"/>
                <w:sz w:val="20"/>
                <w:szCs w:val="20"/>
              </w:rPr>
            </w:pPr>
            <w:r w:rsidRPr="00F01EC8">
              <w:rPr>
                <w:rFonts w:asciiTheme="minorHAnsi" w:hAnsiTheme="minorHAnsi" w:cs="Arial"/>
                <w:sz w:val="20"/>
                <w:szCs w:val="20"/>
                <w:lang w:val="fr-FR"/>
              </w:rPr>
              <w:t>(</w:t>
            </w:r>
            <w:proofErr w:type="spellStart"/>
            <w:r w:rsidRPr="00F01EC8">
              <w:rPr>
                <w:rFonts w:asciiTheme="minorHAnsi" w:hAnsiTheme="minorHAnsi" w:cs="Arial"/>
                <w:sz w:val="20"/>
                <w:szCs w:val="20"/>
                <w:lang w:val="fr-FR"/>
              </w:rPr>
              <w:t>restated</w:t>
            </w:r>
            <w:proofErr w:type="spellEnd"/>
            <w:r w:rsidRPr="00F01EC8">
              <w:rPr>
                <w:rFonts w:asciiTheme="minorHAnsi" w:hAnsiTheme="minorHAnsi" w:cs="Arial"/>
                <w:sz w:val="20"/>
                <w:szCs w:val="20"/>
                <w:lang w:val="fr-FR"/>
              </w:rPr>
              <w:t>)</w:t>
            </w:r>
            <w:r w:rsidR="00DA6694" w:rsidRPr="00F01EC8">
              <w:rPr>
                <w:rFonts w:asciiTheme="minorHAnsi" w:hAnsiTheme="minorHAnsi" w:cs="Arial"/>
                <w:sz w:val="20"/>
                <w:szCs w:val="20"/>
                <w:lang w:val="fr-FR"/>
              </w:rPr>
              <w:t> </w:t>
            </w:r>
          </w:p>
        </w:tc>
      </w:tr>
      <w:tr w:rsidR="00DA6694" w:rsidRPr="00F01EC8" w14:paraId="08715CEB" w14:textId="77777777" w:rsidTr="00AC0A5D">
        <w:tc>
          <w:tcPr>
            <w:tcW w:w="6487" w:type="dxa"/>
          </w:tcPr>
          <w:p w14:paraId="067678CE" w14:textId="77777777" w:rsidR="00DA6694" w:rsidRPr="00F01EC8" w:rsidRDefault="00DA6694" w:rsidP="00AC0A5D">
            <w:pPr>
              <w:jc w:val="right"/>
              <w:rPr>
                <w:rFonts w:asciiTheme="minorHAnsi" w:hAnsiTheme="minorHAnsi" w:cs="Arial"/>
                <w:sz w:val="20"/>
                <w:szCs w:val="20"/>
              </w:rPr>
            </w:pPr>
          </w:p>
        </w:tc>
        <w:tc>
          <w:tcPr>
            <w:tcW w:w="992" w:type="dxa"/>
          </w:tcPr>
          <w:p w14:paraId="0A052392" w14:textId="77777777" w:rsidR="00DA6694" w:rsidRPr="00F01EC8" w:rsidRDefault="00DA6694" w:rsidP="00AC0A5D">
            <w:pPr>
              <w:jc w:val="right"/>
              <w:rPr>
                <w:rFonts w:asciiTheme="minorHAnsi" w:hAnsiTheme="minorHAnsi" w:cs="Arial"/>
                <w:sz w:val="20"/>
                <w:szCs w:val="20"/>
              </w:rPr>
            </w:pPr>
          </w:p>
        </w:tc>
        <w:tc>
          <w:tcPr>
            <w:tcW w:w="1276" w:type="dxa"/>
            <w:tcBorders>
              <w:top w:val="nil"/>
              <w:left w:val="nil"/>
              <w:bottom w:val="single" w:sz="4" w:space="0" w:color="auto"/>
              <w:right w:val="nil"/>
            </w:tcBorders>
          </w:tcPr>
          <w:p w14:paraId="02325C6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68" w:type="dxa"/>
            <w:tcBorders>
              <w:top w:val="nil"/>
              <w:left w:val="nil"/>
              <w:bottom w:val="single" w:sz="4" w:space="0" w:color="auto"/>
              <w:right w:val="nil"/>
            </w:tcBorders>
          </w:tcPr>
          <w:p w14:paraId="610E9B8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61133DA4" w14:textId="77777777" w:rsidTr="00AC0A5D">
        <w:tc>
          <w:tcPr>
            <w:tcW w:w="6487" w:type="dxa"/>
            <w:vAlign w:val="bottom"/>
          </w:tcPr>
          <w:p w14:paraId="000669CF"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Cash flows from operating activities </w:t>
            </w:r>
          </w:p>
        </w:tc>
        <w:tc>
          <w:tcPr>
            <w:tcW w:w="992" w:type="dxa"/>
            <w:vAlign w:val="bottom"/>
          </w:tcPr>
          <w:p w14:paraId="1115D3CA" w14:textId="77777777" w:rsidR="00DA6694" w:rsidRPr="00F01EC8" w:rsidRDefault="00DA6694" w:rsidP="00AC0A5D">
            <w:pPr>
              <w:jc w:val="right"/>
              <w:rPr>
                <w:rFonts w:asciiTheme="minorHAnsi" w:hAnsiTheme="minorHAnsi" w:cs="Arial"/>
                <w:sz w:val="20"/>
                <w:szCs w:val="20"/>
              </w:rPr>
            </w:pPr>
          </w:p>
        </w:tc>
        <w:tc>
          <w:tcPr>
            <w:tcW w:w="1276" w:type="dxa"/>
            <w:tcBorders>
              <w:top w:val="single" w:sz="4" w:space="0" w:color="auto"/>
              <w:left w:val="nil"/>
              <w:bottom w:val="nil"/>
              <w:right w:val="nil"/>
            </w:tcBorders>
            <w:vAlign w:val="bottom"/>
          </w:tcPr>
          <w:p w14:paraId="0D6A9898" w14:textId="77777777" w:rsidR="00DA6694" w:rsidRPr="00F01EC8" w:rsidRDefault="00DA6694" w:rsidP="00AC0A5D">
            <w:pPr>
              <w:jc w:val="right"/>
              <w:rPr>
                <w:rFonts w:asciiTheme="minorHAnsi" w:hAnsiTheme="minorHAnsi" w:cs="Arial"/>
                <w:sz w:val="20"/>
                <w:szCs w:val="20"/>
              </w:rPr>
            </w:pPr>
          </w:p>
        </w:tc>
        <w:tc>
          <w:tcPr>
            <w:tcW w:w="1168" w:type="dxa"/>
            <w:tcBorders>
              <w:top w:val="single" w:sz="4" w:space="0" w:color="auto"/>
              <w:left w:val="nil"/>
              <w:bottom w:val="nil"/>
              <w:right w:val="nil"/>
            </w:tcBorders>
            <w:vAlign w:val="bottom"/>
          </w:tcPr>
          <w:p w14:paraId="4D6CC6CB" w14:textId="77777777" w:rsidR="00DA6694" w:rsidRPr="00F01EC8" w:rsidRDefault="00DA6694" w:rsidP="00AC0A5D">
            <w:pPr>
              <w:jc w:val="right"/>
              <w:rPr>
                <w:rFonts w:asciiTheme="minorHAnsi" w:hAnsiTheme="minorHAnsi" w:cs="Arial"/>
                <w:sz w:val="20"/>
                <w:szCs w:val="20"/>
              </w:rPr>
            </w:pPr>
          </w:p>
        </w:tc>
      </w:tr>
      <w:tr w:rsidR="00F4329B" w:rsidRPr="00F01EC8" w14:paraId="71F41F16" w14:textId="77777777" w:rsidTr="00AC0A5D">
        <w:tc>
          <w:tcPr>
            <w:tcW w:w="6487" w:type="dxa"/>
            <w:vAlign w:val="bottom"/>
          </w:tcPr>
          <w:p w14:paraId="3A30B9C9"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Cash generated from operations</w:t>
            </w:r>
          </w:p>
        </w:tc>
        <w:tc>
          <w:tcPr>
            <w:tcW w:w="992" w:type="dxa"/>
            <w:vAlign w:val="bottom"/>
          </w:tcPr>
          <w:p w14:paraId="7A541B7F" w14:textId="3547CC2D" w:rsidR="00F4329B" w:rsidRPr="00F01EC8" w:rsidRDefault="00762D7D">
            <w:pPr>
              <w:jc w:val="right"/>
              <w:rPr>
                <w:rFonts w:asciiTheme="minorHAnsi" w:hAnsiTheme="minorHAnsi" w:cs="Arial"/>
                <w:sz w:val="20"/>
                <w:szCs w:val="20"/>
              </w:rPr>
            </w:pPr>
            <w:r w:rsidRPr="00F01EC8">
              <w:rPr>
                <w:rFonts w:asciiTheme="minorHAnsi" w:hAnsiTheme="minorHAnsi" w:cs="Arial"/>
                <w:sz w:val="20"/>
                <w:szCs w:val="20"/>
              </w:rPr>
              <w:t>15</w:t>
            </w:r>
          </w:p>
        </w:tc>
        <w:tc>
          <w:tcPr>
            <w:tcW w:w="1276" w:type="dxa"/>
            <w:vAlign w:val="bottom"/>
          </w:tcPr>
          <w:p w14:paraId="07AFE248" w14:textId="406CF81F"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330.0</w:t>
            </w:r>
          </w:p>
        </w:tc>
        <w:tc>
          <w:tcPr>
            <w:tcW w:w="1168" w:type="dxa"/>
            <w:vAlign w:val="bottom"/>
          </w:tcPr>
          <w:p w14:paraId="0188A37A" w14:textId="041A21BD"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67.4 </w:t>
            </w:r>
          </w:p>
        </w:tc>
      </w:tr>
      <w:tr w:rsidR="00F4329B" w:rsidRPr="00F01EC8" w14:paraId="228A9EE7" w14:textId="77777777" w:rsidTr="00AC0A5D">
        <w:tc>
          <w:tcPr>
            <w:tcW w:w="6487" w:type="dxa"/>
            <w:vAlign w:val="bottom"/>
          </w:tcPr>
          <w:p w14:paraId="3D598FCC"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Finance costs paid</w:t>
            </w:r>
          </w:p>
        </w:tc>
        <w:tc>
          <w:tcPr>
            <w:tcW w:w="992" w:type="dxa"/>
            <w:vAlign w:val="bottom"/>
          </w:tcPr>
          <w:p w14:paraId="2FEE4D6B"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641CC036" w14:textId="3BE7FF60" w:rsidR="00F4329B" w:rsidRPr="00F01EC8" w:rsidRDefault="00126ABF" w:rsidP="009A1669">
            <w:pPr>
              <w:jc w:val="right"/>
              <w:rPr>
                <w:rFonts w:asciiTheme="minorHAnsi" w:hAnsiTheme="minorHAnsi" w:cs="Arial"/>
                <w:sz w:val="20"/>
                <w:szCs w:val="20"/>
              </w:rPr>
            </w:pPr>
            <w:r w:rsidRPr="00F01EC8">
              <w:rPr>
                <w:rFonts w:asciiTheme="minorHAnsi" w:hAnsiTheme="minorHAnsi" w:cs="Arial"/>
                <w:sz w:val="20"/>
                <w:szCs w:val="20"/>
              </w:rPr>
              <w:t>(2</w:t>
            </w:r>
            <w:r w:rsidR="009A1669" w:rsidRPr="00F01EC8">
              <w:rPr>
                <w:rFonts w:asciiTheme="minorHAnsi" w:hAnsiTheme="minorHAnsi" w:cs="Arial"/>
                <w:sz w:val="20"/>
                <w:szCs w:val="20"/>
              </w:rPr>
              <w:t>8</w:t>
            </w:r>
            <w:r w:rsidRPr="00F01EC8">
              <w:rPr>
                <w:rFonts w:asciiTheme="minorHAnsi" w:hAnsiTheme="minorHAnsi" w:cs="Arial"/>
                <w:sz w:val="20"/>
                <w:szCs w:val="20"/>
              </w:rPr>
              <w:t>.7)</w:t>
            </w:r>
          </w:p>
        </w:tc>
        <w:tc>
          <w:tcPr>
            <w:tcW w:w="1168" w:type="dxa"/>
            <w:vAlign w:val="bottom"/>
          </w:tcPr>
          <w:p w14:paraId="3E06B641" w14:textId="2FC15E47"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(31.3)</w:t>
            </w:r>
          </w:p>
        </w:tc>
      </w:tr>
      <w:tr w:rsidR="00F4329B" w:rsidRPr="00F01EC8" w14:paraId="5411B261" w14:textId="77777777" w:rsidTr="00AC0A5D">
        <w:tc>
          <w:tcPr>
            <w:tcW w:w="6487" w:type="dxa"/>
            <w:vAlign w:val="bottom"/>
          </w:tcPr>
          <w:p w14:paraId="3CB0D1D3"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Tax paid</w:t>
            </w:r>
          </w:p>
        </w:tc>
        <w:tc>
          <w:tcPr>
            <w:tcW w:w="992" w:type="dxa"/>
            <w:vAlign w:val="bottom"/>
          </w:tcPr>
          <w:p w14:paraId="666E5DD9" w14:textId="77777777" w:rsidR="00F4329B" w:rsidRPr="00F01EC8" w:rsidRDefault="00F4329B" w:rsidP="00F4329B">
            <w:pPr>
              <w:jc w:val="right"/>
              <w:rPr>
                <w:rFonts w:asciiTheme="minorHAnsi" w:hAnsiTheme="minorHAnsi" w:cs="Arial"/>
                <w:sz w:val="20"/>
                <w:szCs w:val="20"/>
              </w:rPr>
            </w:pPr>
          </w:p>
        </w:tc>
        <w:tc>
          <w:tcPr>
            <w:tcW w:w="1276" w:type="dxa"/>
            <w:tcBorders>
              <w:left w:val="nil"/>
              <w:bottom w:val="single" w:sz="4" w:space="0" w:color="auto"/>
              <w:right w:val="nil"/>
            </w:tcBorders>
            <w:vAlign w:val="bottom"/>
          </w:tcPr>
          <w:p w14:paraId="331331A3" w14:textId="170133BF"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(23.4)</w:t>
            </w:r>
          </w:p>
        </w:tc>
        <w:tc>
          <w:tcPr>
            <w:tcW w:w="1168" w:type="dxa"/>
            <w:tcBorders>
              <w:left w:val="nil"/>
              <w:bottom w:val="single" w:sz="4" w:space="0" w:color="auto"/>
              <w:right w:val="nil"/>
            </w:tcBorders>
            <w:vAlign w:val="bottom"/>
          </w:tcPr>
          <w:p w14:paraId="026411F6" w14:textId="6C979E2B"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(8.1)</w:t>
            </w:r>
          </w:p>
        </w:tc>
      </w:tr>
      <w:tr w:rsidR="00F4329B" w:rsidRPr="00F01EC8" w14:paraId="4969879D" w14:textId="77777777" w:rsidTr="00AC0A5D">
        <w:tc>
          <w:tcPr>
            <w:tcW w:w="6487" w:type="dxa"/>
            <w:vAlign w:val="bottom"/>
          </w:tcPr>
          <w:p w14:paraId="45F50CEE" w14:textId="77777777"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 xml:space="preserve">Net cash generated from operating activities </w:t>
            </w:r>
          </w:p>
        </w:tc>
        <w:tc>
          <w:tcPr>
            <w:tcW w:w="992" w:type="dxa"/>
            <w:vAlign w:val="bottom"/>
          </w:tcPr>
          <w:p w14:paraId="64FDE132"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7AB53A17" w14:textId="79F68A92"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27</w:t>
            </w:r>
            <w:r w:rsidR="00836A77" w:rsidRPr="00F01EC8">
              <w:rPr>
                <w:rFonts w:asciiTheme="minorHAnsi" w:hAnsiTheme="minorHAnsi" w:cs="Arial"/>
                <w:sz w:val="20"/>
                <w:szCs w:val="20"/>
              </w:rPr>
              <w:t>7</w:t>
            </w:r>
            <w:r w:rsidRPr="00F01EC8">
              <w:rPr>
                <w:rFonts w:asciiTheme="minorHAnsi" w:hAnsiTheme="minorHAnsi" w:cs="Arial"/>
                <w:sz w:val="20"/>
                <w:szCs w:val="20"/>
              </w:rPr>
              <w:t>.9</w:t>
            </w:r>
          </w:p>
        </w:tc>
        <w:tc>
          <w:tcPr>
            <w:tcW w:w="1168" w:type="dxa"/>
            <w:vAlign w:val="bottom"/>
          </w:tcPr>
          <w:p w14:paraId="15827906" w14:textId="6588EFDE"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28.0 </w:t>
            </w:r>
          </w:p>
        </w:tc>
      </w:tr>
      <w:tr w:rsidR="00F4329B" w:rsidRPr="00F01EC8" w14:paraId="4FC23F5F" w14:textId="77777777" w:rsidTr="00AC0A5D">
        <w:tc>
          <w:tcPr>
            <w:tcW w:w="6487" w:type="dxa"/>
            <w:vAlign w:val="bottom"/>
          </w:tcPr>
          <w:p w14:paraId="708460DB" w14:textId="77777777" w:rsidR="00F4329B" w:rsidRPr="00F01EC8" w:rsidRDefault="00F4329B" w:rsidP="00F4329B">
            <w:pPr>
              <w:rPr>
                <w:rFonts w:asciiTheme="minorHAnsi" w:hAnsiTheme="minorHAnsi" w:cs="Arial"/>
                <w:sz w:val="20"/>
                <w:szCs w:val="20"/>
              </w:rPr>
            </w:pPr>
          </w:p>
        </w:tc>
        <w:tc>
          <w:tcPr>
            <w:tcW w:w="992" w:type="dxa"/>
            <w:vAlign w:val="bottom"/>
          </w:tcPr>
          <w:p w14:paraId="2184B50F"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nil"/>
              <w:right w:val="nil"/>
            </w:tcBorders>
            <w:vAlign w:val="bottom"/>
          </w:tcPr>
          <w:p w14:paraId="7B22D1E5" w14:textId="77777777" w:rsidR="00F4329B" w:rsidRPr="00F01EC8" w:rsidRDefault="00F4329B" w:rsidP="00F4329B">
            <w:pPr>
              <w:jc w:val="right"/>
              <w:rPr>
                <w:rFonts w:asciiTheme="minorHAnsi" w:hAnsiTheme="minorHAnsi" w:cs="Arial"/>
                <w:sz w:val="20"/>
                <w:szCs w:val="20"/>
              </w:rPr>
            </w:pPr>
          </w:p>
        </w:tc>
        <w:tc>
          <w:tcPr>
            <w:tcW w:w="1168" w:type="dxa"/>
            <w:tcBorders>
              <w:top w:val="single" w:sz="4" w:space="0" w:color="auto"/>
              <w:left w:val="nil"/>
              <w:bottom w:val="nil"/>
              <w:right w:val="nil"/>
            </w:tcBorders>
            <w:vAlign w:val="bottom"/>
          </w:tcPr>
          <w:p w14:paraId="01DB290B" w14:textId="77777777" w:rsidR="00F4329B" w:rsidRPr="00F01EC8" w:rsidRDefault="00F4329B" w:rsidP="00F4329B">
            <w:pPr>
              <w:jc w:val="right"/>
              <w:rPr>
                <w:rFonts w:asciiTheme="minorHAnsi" w:hAnsiTheme="minorHAnsi" w:cs="Arial"/>
                <w:sz w:val="20"/>
                <w:szCs w:val="20"/>
              </w:rPr>
            </w:pPr>
          </w:p>
        </w:tc>
      </w:tr>
      <w:tr w:rsidR="00F4329B" w:rsidRPr="00F01EC8" w14:paraId="629E0F3A" w14:textId="77777777" w:rsidTr="00AC0A5D">
        <w:tc>
          <w:tcPr>
            <w:tcW w:w="6487" w:type="dxa"/>
            <w:vAlign w:val="bottom"/>
          </w:tcPr>
          <w:p w14:paraId="6A05F814" w14:textId="77777777"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 xml:space="preserve">Cash flows from investing activities </w:t>
            </w:r>
          </w:p>
        </w:tc>
        <w:tc>
          <w:tcPr>
            <w:tcW w:w="992" w:type="dxa"/>
            <w:vAlign w:val="bottom"/>
          </w:tcPr>
          <w:p w14:paraId="020AFC93"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7A8836B1" w14:textId="77777777" w:rsidR="00F4329B" w:rsidRPr="00F01EC8" w:rsidRDefault="00F4329B" w:rsidP="00F4329B">
            <w:pPr>
              <w:jc w:val="right"/>
              <w:rPr>
                <w:rFonts w:asciiTheme="minorHAnsi" w:hAnsiTheme="minorHAnsi" w:cs="Arial"/>
                <w:sz w:val="20"/>
                <w:szCs w:val="20"/>
              </w:rPr>
            </w:pPr>
          </w:p>
        </w:tc>
        <w:tc>
          <w:tcPr>
            <w:tcW w:w="1168" w:type="dxa"/>
            <w:vAlign w:val="bottom"/>
          </w:tcPr>
          <w:p w14:paraId="56A71359" w14:textId="77777777" w:rsidR="00F4329B" w:rsidRPr="00F01EC8" w:rsidRDefault="00F4329B" w:rsidP="00F4329B">
            <w:pPr>
              <w:jc w:val="right"/>
              <w:rPr>
                <w:rFonts w:asciiTheme="minorHAnsi" w:hAnsiTheme="minorHAnsi" w:cs="Arial"/>
                <w:sz w:val="20"/>
                <w:szCs w:val="20"/>
              </w:rPr>
            </w:pPr>
          </w:p>
        </w:tc>
      </w:tr>
      <w:tr w:rsidR="00F4329B" w:rsidRPr="00F01EC8" w14:paraId="3451C466" w14:textId="77777777" w:rsidTr="00AC0A5D">
        <w:tc>
          <w:tcPr>
            <w:tcW w:w="6487" w:type="dxa"/>
            <w:vAlign w:val="bottom"/>
          </w:tcPr>
          <w:p w14:paraId="64BB125D"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Purchase of intangible assets</w:t>
            </w:r>
          </w:p>
        </w:tc>
        <w:tc>
          <w:tcPr>
            <w:tcW w:w="992" w:type="dxa"/>
            <w:vAlign w:val="bottom"/>
          </w:tcPr>
          <w:p w14:paraId="77BC6202"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1108D9F8" w14:textId="1A7C0A64"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(3.8)</w:t>
            </w:r>
          </w:p>
        </w:tc>
        <w:tc>
          <w:tcPr>
            <w:tcW w:w="1168" w:type="dxa"/>
            <w:vAlign w:val="bottom"/>
          </w:tcPr>
          <w:p w14:paraId="1B9EC0A9" w14:textId="77F45B6E"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(2.5)</w:t>
            </w:r>
          </w:p>
        </w:tc>
      </w:tr>
      <w:tr w:rsidR="00F4329B" w:rsidRPr="00F01EC8" w14:paraId="5080358A" w14:textId="77777777" w:rsidTr="00AC0A5D">
        <w:tc>
          <w:tcPr>
            <w:tcW w:w="6487" w:type="dxa"/>
            <w:vAlign w:val="bottom"/>
          </w:tcPr>
          <w:p w14:paraId="3FE84EF4"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Purchase of property, plant and equipment</w:t>
            </w:r>
          </w:p>
        </w:tc>
        <w:tc>
          <w:tcPr>
            <w:tcW w:w="992" w:type="dxa"/>
            <w:vAlign w:val="bottom"/>
          </w:tcPr>
          <w:p w14:paraId="4E29AE92"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301AFF44" w14:textId="23A764FD"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(3.9)</w:t>
            </w:r>
          </w:p>
        </w:tc>
        <w:tc>
          <w:tcPr>
            <w:tcW w:w="1168" w:type="dxa"/>
            <w:vAlign w:val="bottom"/>
          </w:tcPr>
          <w:p w14:paraId="16BFA095" w14:textId="4D86DB3F"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(3.7)</w:t>
            </w:r>
          </w:p>
        </w:tc>
      </w:tr>
      <w:tr w:rsidR="00F4329B" w:rsidRPr="00F01EC8" w14:paraId="61BD1019" w14:textId="77777777" w:rsidTr="00AC0A5D">
        <w:tc>
          <w:tcPr>
            <w:tcW w:w="6487" w:type="dxa"/>
            <w:vAlign w:val="bottom"/>
          </w:tcPr>
          <w:p w14:paraId="6192DEED"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Proceeds from disposal of property, plant and equipment</w:t>
            </w:r>
          </w:p>
        </w:tc>
        <w:tc>
          <w:tcPr>
            <w:tcW w:w="992" w:type="dxa"/>
            <w:vAlign w:val="bottom"/>
          </w:tcPr>
          <w:p w14:paraId="5A7F043C"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55D25F57" w14:textId="67D9FC66"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0.7</w:t>
            </w:r>
          </w:p>
        </w:tc>
        <w:tc>
          <w:tcPr>
            <w:tcW w:w="1168" w:type="dxa"/>
            <w:vAlign w:val="bottom"/>
          </w:tcPr>
          <w:p w14:paraId="02A07BE1" w14:textId="1632F635"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1.1 </w:t>
            </w:r>
          </w:p>
        </w:tc>
      </w:tr>
      <w:tr w:rsidR="00F4329B" w:rsidRPr="00F01EC8" w14:paraId="47A683E1" w14:textId="77777777" w:rsidTr="00AC0A5D">
        <w:tc>
          <w:tcPr>
            <w:tcW w:w="6487" w:type="dxa"/>
            <w:vAlign w:val="bottom"/>
          </w:tcPr>
          <w:p w14:paraId="2D1F731D" w14:textId="0A37BB0E" w:rsidR="00F4329B" w:rsidRPr="00F01EC8" w:rsidRDefault="0027142E" w:rsidP="00F4329B">
            <w:pPr>
              <w:rPr>
                <w:rFonts w:asciiTheme="minorHAnsi" w:hAnsiTheme="minorHAnsi" w:cs="Arial"/>
                <w:sz w:val="20"/>
                <w:szCs w:val="20"/>
              </w:rPr>
            </w:pPr>
            <w:r w:rsidRPr="00F01EC8">
              <w:rPr>
                <w:rFonts w:asciiTheme="minorHAnsi" w:hAnsiTheme="minorHAnsi" w:cs="Arial"/>
                <w:sz w:val="20"/>
                <w:szCs w:val="20"/>
              </w:rPr>
              <w:t>Sale</w:t>
            </w:r>
            <w:r w:rsidR="00F4329B" w:rsidRPr="00F01EC8">
              <w:rPr>
                <w:rFonts w:asciiTheme="minorHAnsi" w:hAnsiTheme="minorHAnsi" w:cs="Arial"/>
                <w:sz w:val="20"/>
                <w:szCs w:val="20"/>
              </w:rPr>
              <w:t xml:space="preserve"> of government gilts</w:t>
            </w:r>
          </w:p>
        </w:tc>
        <w:tc>
          <w:tcPr>
            <w:tcW w:w="992" w:type="dxa"/>
            <w:vAlign w:val="bottom"/>
          </w:tcPr>
          <w:p w14:paraId="2A8FFCD3"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70E2E398" w14:textId="70422EC6"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vAlign w:val="bottom"/>
          </w:tcPr>
          <w:p w14:paraId="4B424038" w14:textId="1D78A561"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30.6 </w:t>
            </w:r>
          </w:p>
        </w:tc>
      </w:tr>
      <w:tr w:rsidR="00F4329B" w:rsidRPr="00F01EC8" w14:paraId="2877277C" w14:textId="77777777" w:rsidTr="00AC0A5D">
        <w:tc>
          <w:tcPr>
            <w:tcW w:w="6487" w:type="dxa"/>
            <w:vAlign w:val="bottom"/>
          </w:tcPr>
          <w:p w14:paraId="5A1E18EB" w14:textId="1E70B10B"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Net cash (used in)</w:t>
            </w:r>
            <w:r w:rsidR="00C875B7" w:rsidRPr="00F01EC8">
              <w:rPr>
                <w:rFonts w:asciiTheme="minorHAnsi" w:hAnsiTheme="minorHAnsi" w:cs="Arial"/>
                <w:b/>
                <w:sz w:val="20"/>
                <w:szCs w:val="20"/>
              </w:rPr>
              <w:t>/generated from</w:t>
            </w:r>
            <w:r w:rsidRPr="00F01EC8">
              <w:rPr>
                <w:rFonts w:asciiTheme="minorHAnsi" w:hAnsiTheme="minorHAnsi" w:cs="Arial"/>
                <w:b/>
                <w:sz w:val="20"/>
                <w:szCs w:val="20"/>
              </w:rPr>
              <w:t xml:space="preserve"> investing activities </w:t>
            </w:r>
          </w:p>
        </w:tc>
        <w:tc>
          <w:tcPr>
            <w:tcW w:w="992" w:type="dxa"/>
            <w:vAlign w:val="bottom"/>
          </w:tcPr>
          <w:p w14:paraId="4FAEC277"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nil"/>
              <w:right w:val="nil"/>
            </w:tcBorders>
            <w:vAlign w:val="bottom"/>
          </w:tcPr>
          <w:p w14:paraId="7E6739ED" w14:textId="30B4C1A1"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(7.0)</w:t>
            </w:r>
          </w:p>
        </w:tc>
        <w:tc>
          <w:tcPr>
            <w:tcW w:w="1168" w:type="dxa"/>
            <w:tcBorders>
              <w:top w:val="single" w:sz="4" w:space="0" w:color="auto"/>
              <w:left w:val="nil"/>
              <w:bottom w:val="nil"/>
              <w:right w:val="nil"/>
            </w:tcBorders>
            <w:vAlign w:val="bottom"/>
          </w:tcPr>
          <w:p w14:paraId="59262C1D" w14:textId="50EF8699"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25.5 </w:t>
            </w:r>
          </w:p>
        </w:tc>
      </w:tr>
      <w:tr w:rsidR="00F4329B" w:rsidRPr="00F01EC8" w14:paraId="2889A240" w14:textId="77777777" w:rsidTr="00AC0A5D">
        <w:tc>
          <w:tcPr>
            <w:tcW w:w="6487" w:type="dxa"/>
            <w:vAlign w:val="bottom"/>
          </w:tcPr>
          <w:p w14:paraId="7E327671" w14:textId="77777777" w:rsidR="00F4329B" w:rsidRPr="00F01EC8" w:rsidRDefault="00F4329B" w:rsidP="00F4329B">
            <w:pPr>
              <w:rPr>
                <w:rFonts w:asciiTheme="minorHAnsi" w:hAnsiTheme="minorHAnsi" w:cs="Arial"/>
                <w:sz w:val="20"/>
                <w:szCs w:val="20"/>
              </w:rPr>
            </w:pPr>
          </w:p>
        </w:tc>
        <w:tc>
          <w:tcPr>
            <w:tcW w:w="992" w:type="dxa"/>
            <w:vAlign w:val="bottom"/>
          </w:tcPr>
          <w:p w14:paraId="70F6C84E"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nil"/>
              <w:right w:val="nil"/>
            </w:tcBorders>
            <w:vAlign w:val="bottom"/>
          </w:tcPr>
          <w:p w14:paraId="466F50E5" w14:textId="77777777" w:rsidR="00F4329B" w:rsidRPr="00F01EC8" w:rsidRDefault="00F4329B" w:rsidP="00F4329B">
            <w:pPr>
              <w:jc w:val="right"/>
              <w:rPr>
                <w:rFonts w:asciiTheme="minorHAnsi" w:hAnsiTheme="minorHAnsi" w:cs="Arial"/>
                <w:sz w:val="20"/>
                <w:szCs w:val="20"/>
              </w:rPr>
            </w:pPr>
          </w:p>
        </w:tc>
        <w:tc>
          <w:tcPr>
            <w:tcW w:w="1168" w:type="dxa"/>
            <w:tcBorders>
              <w:top w:val="single" w:sz="4" w:space="0" w:color="auto"/>
              <w:left w:val="nil"/>
              <w:bottom w:val="nil"/>
              <w:right w:val="nil"/>
            </w:tcBorders>
            <w:vAlign w:val="bottom"/>
          </w:tcPr>
          <w:p w14:paraId="377F4512" w14:textId="77777777" w:rsidR="00F4329B" w:rsidRPr="00F01EC8" w:rsidRDefault="00F4329B" w:rsidP="00F4329B">
            <w:pPr>
              <w:jc w:val="right"/>
              <w:rPr>
                <w:rFonts w:asciiTheme="minorHAnsi" w:hAnsiTheme="minorHAnsi" w:cs="Arial"/>
                <w:sz w:val="20"/>
                <w:szCs w:val="20"/>
              </w:rPr>
            </w:pPr>
          </w:p>
        </w:tc>
      </w:tr>
      <w:tr w:rsidR="00F4329B" w:rsidRPr="00F01EC8" w14:paraId="6F3AE0B9" w14:textId="77777777" w:rsidTr="00AC0A5D">
        <w:tc>
          <w:tcPr>
            <w:tcW w:w="6487" w:type="dxa"/>
            <w:vAlign w:val="bottom"/>
          </w:tcPr>
          <w:p w14:paraId="43223B81" w14:textId="77777777"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 xml:space="preserve">Cash flows from financing activities </w:t>
            </w:r>
          </w:p>
        </w:tc>
        <w:tc>
          <w:tcPr>
            <w:tcW w:w="992" w:type="dxa"/>
            <w:vAlign w:val="bottom"/>
          </w:tcPr>
          <w:p w14:paraId="13519DEE"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3D2473AD" w14:textId="77777777" w:rsidR="00F4329B" w:rsidRPr="00F01EC8" w:rsidRDefault="00F4329B" w:rsidP="00F4329B">
            <w:pPr>
              <w:jc w:val="right"/>
              <w:rPr>
                <w:rFonts w:asciiTheme="minorHAnsi" w:hAnsiTheme="minorHAnsi" w:cs="Arial"/>
                <w:sz w:val="20"/>
                <w:szCs w:val="20"/>
              </w:rPr>
            </w:pPr>
          </w:p>
        </w:tc>
        <w:tc>
          <w:tcPr>
            <w:tcW w:w="1168" w:type="dxa"/>
            <w:vAlign w:val="bottom"/>
          </w:tcPr>
          <w:p w14:paraId="3A7680E0" w14:textId="77777777" w:rsidR="00F4329B" w:rsidRPr="00F01EC8" w:rsidRDefault="00F4329B" w:rsidP="00F4329B">
            <w:pPr>
              <w:jc w:val="right"/>
              <w:rPr>
                <w:rFonts w:asciiTheme="minorHAnsi" w:hAnsiTheme="minorHAnsi" w:cs="Arial"/>
                <w:sz w:val="20"/>
                <w:szCs w:val="20"/>
              </w:rPr>
            </w:pPr>
          </w:p>
        </w:tc>
      </w:tr>
      <w:tr w:rsidR="00F4329B" w:rsidRPr="00F01EC8" w14:paraId="60B7E42B" w14:textId="77777777" w:rsidTr="00AC0A5D">
        <w:tc>
          <w:tcPr>
            <w:tcW w:w="6487" w:type="dxa"/>
            <w:vAlign w:val="bottom"/>
          </w:tcPr>
          <w:p w14:paraId="40CC00C2"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 xml:space="preserve">Proceeds from bank and other borrowings </w:t>
            </w:r>
          </w:p>
        </w:tc>
        <w:tc>
          <w:tcPr>
            <w:tcW w:w="992" w:type="dxa"/>
            <w:vAlign w:val="bottom"/>
          </w:tcPr>
          <w:p w14:paraId="6D45ED83"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2EB5AF08" w14:textId="2174F889"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809.3</w:t>
            </w:r>
          </w:p>
        </w:tc>
        <w:tc>
          <w:tcPr>
            <w:tcW w:w="1168" w:type="dxa"/>
            <w:vAlign w:val="bottom"/>
          </w:tcPr>
          <w:p w14:paraId="0B0883E0" w14:textId="24033221"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157.5 </w:t>
            </w:r>
          </w:p>
        </w:tc>
      </w:tr>
      <w:tr w:rsidR="00F4329B" w:rsidRPr="00F01EC8" w14:paraId="19899871" w14:textId="77777777" w:rsidTr="00AC0A5D">
        <w:tc>
          <w:tcPr>
            <w:tcW w:w="6487" w:type="dxa"/>
            <w:vAlign w:val="bottom"/>
          </w:tcPr>
          <w:p w14:paraId="09B91D84" w14:textId="77777777" w:rsidR="00F4329B" w:rsidRPr="00F01EC8" w:rsidRDefault="00F4329B" w:rsidP="00F4329B">
            <w:pPr>
              <w:rPr>
                <w:rFonts w:asciiTheme="minorHAnsi" w:hAnsiTheme="minorHAnsi" w:cs="Arial"/>
                <w:sz w:val="20"/>
                <w:szCs w:val="20"/>
                <w:lang w:val="en-US"/>
              </w:rPr>
            </w:pPr>
            <w:r w:rsidRPr="00F01EC8">
              <w:rPr>
                <w:rFonts w:asciiTheme="minorHAnsi" w:hAnsiTheme="minorHAnsi" w:cs="Arial"/>
                <w:sz w:val="20"/>
                <w:szCs w:val="20"/>
                <w:lang w:val="en-US"/>
              </w:rPr>
              <w:t>Repayment of bank and other borrowings</w:t>
            </w:r>
          </w:p>
        </w:tc>
        <w:tc>
          <w:tcPr>
            <w:tcW w:w="992" w:type="dxa"/>
            <w:vAlign w:val="bottom"/>
          </w:tcPr>
          <w:p w14:paraId="1DAE06E7"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384B9D5E" w14:textId="0D9CE0C5"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(384.5)</w:t>
            </w:r>
          </w:p>
        </w:tc>
        <w:tc>
          <w:tcPr>
            <w:tcW w:w="1168" w:type="dxa"/>
            <w:vAlign w:val="bottom"/>
          </w:tcPr>
          <w:p w14:paraId="47E0E3A2" w14:textId="04851F73"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(125.7)</w:t>
            </w:r>
          </w:p>
        </w:tc>
      </w:tr>
      <w:tr w:rsidR="00F4329B" w:rsidRPr="00F01EC8" w14:paraId="6C6FFCEE" w14:textId="77777777" w:rsidTr="00AC0A5D">
        <w:tc>
          <w:tcPr>
            <w:tcW w:w="6487" w:type="dxa"/>
            <w:vAlign w:val="bottom"/>
          </w:tcPr>
          <w:p w14:paraId="4EA9F1AE" w14:textId="77777777" w:rsidR="00F4329B" w:rsidRPr="00F01EC8" w:rsidRDefault="00F4329B" w:rsidP="00F4329B">
            <w:pPr>
              <w:rPr>
                <w:rFonts w:asciiTheme="minorHAnsi" w:hAnsiTheme="minorHAnsi" w:cs="Arial"/>
                <w:sz w:val="20"/>
                <w:szCs w:val="20"/>
                <w:lang w:val="en-US"/>
              </w:rPr>
            </w:pPr>
            <w:r w:rsidRPr="00F01EC8">
              <w:rPr>
                <w:rFonts w:asciiTheme="minorHAnsi" w:hAnsiTheme="minorHAnsi" w:cs="Arial"/>
                <w:sz w:val="20"/>
                <w:szCs w:val="20"/>
                <w:lang w:val="en-US"/>
              </w:rPr>
              <w:t>Payment of lease liabilities</w:t>
            </w:r>
          </w:p>
        </w:tc>
        <w:tc>
          <w:tcPr>
            <w:tcW w:w="992" w:type="dxa"/>
            <w:vAlign w:val="bottom"/>
          </w:tcPr>
          <w:p w14:paraId="68A976C0"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483D9C16" w14:textId="0DF81CD5" w:rsidR="00F4329B" w:rsidRPr="00F01EC8" w:rsidRDefault="00126ABF" w:rsidP="009A1669">
            <w:pPr>
              <w:jc w:val="right"/>
              <w:rPr>
                <w:rFonts w:asciiTheme="minorHAnsi" w:hAnsiTheme="minorHAnsi" w:cs="Arial"/>
                <w:sz w:val="20"/>
                <w:szCs w:val="20"/>
              </w:rPr>
            </w:pPr>
            <w:r w:rsidRPr="00F01EC8">
              <w:rPr>
                <w:rFonts w:asciiTheme="minorHAnsi" w:hAnsiTheme="minorHAnsi" w:cs="Arial"/>
                <w:sz w:val="20"/>
                <w:szCs w:val="20"/>
              </w:rPr>
              <w:t>(</w:t>
            </w:r>
            <w:r w:rsidR="009A1669" w:rsidRPr="00F01EC8">
              <w:rPr>
                <w:rFonts w:asciiTheme="minorHAnsi" w:hAnsiTheme="minorHAnsi" w:cs="Arial"/>
                <w:sz w:val="20"/>
                <w:szCs w:val="20"/>
              </w:rPr>
              <w:t>4</w:t>
            </w:r>
            <w:r w:rsidRPr="00F01EC8">
              <w:rPr>
                <w:rFonts w:asciiTheme="minorHAnsi" w:hAnsiTheme="minorHAnsi" w:cs="Arial"/>
                <w:sz w:val="20"/>
                <w:szCs w:val="20"/>
              </w:rPr>
              <w:t>.7)</w:t>
            </w:r>
          </w:p>
        </w:tc>
        <w:tc>
          <w:tcPr>
            <w:tcW w:w="1168" w:type="dxa"/>
            <w:vAlign w:val="bottom"/>
          </w:tcPr>
          <w:p w14:paraId="7E99C6E3" w14:textId="5E56DC93"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(6.8)</w:t>
            </w:r>
          </w:p>
        </w:tc>
      </w:tr>
      <w:tr w:rsidR="00F4329B" w:rsidRPr="00F01EC8" w14:paraId="14754FB4" w14:textId="77777777" w:rsidTr="00AC0A5D">
        <w:tc>
          <w:tcPr>
            <w:tcW w:w="6487" w:type="dxa"/>
            <w:vAlign w:val="bottom"/>
          </w:tcPr>
          <w:p w14:paraId="1F472A14"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Dividends paid to company shareholders</w:t>
            </w:r>
          </w:p>
        </w:tc>
        <w:tc>
          <w:tcPr>
            <w:tcW w:w="992" w:type="dxa"/>
            <w:vAlign w:val="bottom"/>
          </w:tcPr>
          <w:p w14:paraId="0825FF3C" w14:textId="77777777"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7</w:t>
            </w:r>
          </w:p>
        </w:tc>
        <w:tc>
          <w:tcPr>
            <w:tcW w:w="1276" w:type="dxa"/>
            <w:vAlign w:val="bottom"/>
          </w:tcPr>
          <w:p w14:paraId="34BD5C97" w14:textId="623325D0" w:rsidR="00F4329B" w:rsidRPr="00F01EC8" w:rsidRDefault="00836A77" w:rsidP="00F4329B">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vAlign w:val="bottom"/>
          </w:tcPr>
          <w:p w14:paraId="5F95E4BF" w14:textId="7B95A2E2"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(25.1)</w:t>
            </w:r>
          </w:p>
        </w:tc>
      </w:tr>
      <w:tr w:rsidR="00F4329B" w:rsidRPr="00F01EC8" w14:paraId="085098D5" w14:textId="77777777" w:rsidTr="00AC0A5D">
        <w:tc>
          <w:tcPr>
            <w:tcW w:w="6487" w:type="dxa"/>
            <w:vAlign w:val="bottom"/>
          </w:tcPr>
          <w:p w14:paraId="23B4824E"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Proceeds from issue of share capital</w:t>
            </w:r>
          </w:p>
        </w:tc>
        <w:tc>
          <w:tcPr>
            <w:tcW w:w="992" w:type="dxa"/>
            <w:vAlign w:val="bottom"/>
          </w:tcPr>
          <w:p w14:paraId="5EF7B291"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5F8A4269" w14:textId="5D95619E"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0.1</w:t>
            </w:r>
          </w:p>
        </w:tc>
        <w:tc>
          <w:tcPr>
            <w:tcW w:w="1168" w:type="dxa"/>
            <w:vAlign w:val="bottom"/>
          </w:tcPr>
          <w:p w14:paraId="562298E6" w14:textId="551496F3"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 </w:t>
            </w:r>
          </w:p>
        </w:tc>
      </w:tr>
      <w:tr w:rsidR="00F4329B" w:rsidRPr="00F01EC8" w14:paraId="7EC12A3B" w14:textId="77777777" w:rsidTr="00AC0A5D">
        <w:tc>
          <w:tcPr>
            <w:tcW w:w="6487" w:type="dxa"/>
            <w:vAlign w:val="bottom"/>
          </w:tcPr>
          <w:p w14:paraId="1703DEBA" w14:textId="6444AC8A"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Net cash generated from</w:t>
            </w:r>
            <w:r w:rsidR="00C875B7" w:rsidRPr="00F01EC8">
              <w:rPr>
                <w:rFonts w:asciiTheme="minorHAnsi" w:hAnsiTheme="minorHAnsi" w:cs="Arial"/>
                <w:b/>
                <w:sz w:val="20"/>
                <w:szCs w:val="20"/>
              </w:rPr>
              <w:t>/(used in)</w:t>
            </w:r>
            <w:r w:rsidRPr="00F01EC8">
              <w:rPr>
                <w:rFonts w:asciiTheme="minorHAnsi" w:hAnsiTheme="minorHAnsi" w:cs="Arial"/>
                <w:b/>
                <w:sz w:val="20"/>
                <w:szCs w:val="20"/>
              </w:rPr>
              <w:t xml:space="preserve"> financing activities </w:t>
            </w:r>
          </w:p>
        </w:tc>
        <w:tc>
          <w:tcPr>
            <w:tcW w:w="992" w:type="dxa"/>
            <w:vAlign w:val="bottom"/>
          </w:tcPr>
          <w:p w14:paraId="0A8433A8"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nil"/>
              <w:right w:val="nil"/>
            </w:tcBorders>
            <w:vAlign w:val="bottom"/>
          </w:tcPr>
          <w:p w14:paraId="0CBE5C59" w14:textId="022EFE9A"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4</w:t>
            </w:r>
            <w:r w:rsidR="00836A77" w:rsidRPr="00F01EC8">
              <w:rPr>
                <w:rFonts w:asciiTheme="minorHAnsi" w:hAnsiTheme="minorHAnsi" w:cs="Arial"/>
                <w:sz w:val="20"/>
                <w:szCs w:val="20"/>
              </w:rPr>
              <w:t>20</w:t>
            </w:r>
            <w:r w:rsidRPr="00F01EC8">
              <w:rPr>
                <w:rFonts w:asciiTheme="minorHAnsi" w:hAnsiTheme="minorHAnsi" w:cs="Arial"/>
                <w:sz w:val="20"/>
                <w:szCs w:val="20"/>
              </w:rPr>
              <w:t>.2</w:t>
            </w:r>
          </w:p>
        </w:tc>
        <w:tc>
          <w:tcPr>
            <w:tcW w:w="1168" w:type="dxa"/>
            <w:tcBorders>
              <w:top w:val="single" w:sz="4" w:space="0" w:color="auto"/>
              <w:left w:val="nil"/>
              <w:bottom w:val="nil"/>
              <w:right w:val="nil"/>
            </w:tcBorders>
            <w:vAlign w:val="bottom"/>
          </w:tcPr>
          <w:p w14:paraId="7DE96B2A" w14:textId="34DA3760"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(0.1)</w:t>
            </w:r>
          </w:p>
        </w:tc>
      </w:tr>
      <w:tr w:rsidR="00F4329B" w:rsidRPr="00F01EC8" w14:paraId="0DAC73BC" w14:textId="77777777" w:rsidTr="00AC0A5D">
        <w:tc>
          <w:tcPr>
            <w:tcW w:w="6487" w:type="dxa"/>
            <w:vAlign w:val="bottom"/>
          </w:tcPr>
          <w:p w14:paraId="537E22ED" w14:textId="77777777" w:rsidR="00F4329B" w:rsidRPr="00F01EC8" w:rsidRDefault="00F4329B" w:rsidP="00F4329B">
            <w:pPr>
              <w:rPr>
                <w:rFonts w:asciiTheme="minorHAnsi" w:hAnsiTheme="minorHAnsi" w:cs="Arial"/>
                <w:sz w:val="20"/>
                <w:szCs w:val="20"/>
              </w:rPr>
            </w:pPr>
          </w:p>
        </w:tc>
        <w:tc>
          <w:tcPr>
            <w:tcW w:w="992" w:type="dxa"/>
            <w:vAlign w:val="bottom"/>
          </w:tcPr>
          <w:p w14:paraId="290EC3ED"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nil"/>
              <w:right w:val="nil"/>
            </w:tcBorders>
            <w:vAlign w:val="bottom"/>
          </w:tcPr>
          <w:p w14:paraId="367F2F2B" w14:textId="77777777" w:rsidR="00F4329B" w:rsidRPr="00F01EC8" w:rsidRDefault="00F4329B" w:rsidP="00F4329B">
            <w:pPr>
              <w:jc w:val="right"/>
              <w:rPr>
                <w:rFonts w:asciiTheme="minorHAnsi" w:hAnsiTheme="minorHAnsi" w:cs="Arial"/>
                <w:sz w:val="20"/>
                <w:szCs w:val="20"/>
              </w:rPr>
            </w:pPr>
          </w:p>
        </w:tc>
        <w:tc>
          <w:tcPr>
            <w:tcW w:w="1168" w:type="dxa"/>
            <w:tcBorders>
              <w:top w:val="single" w:sz="4" w:space="0" w:color="auto"/>
              <w:left w:val="nil"/>
              <w:bottom w:val="nil"/>
              <w:right w:val="nil"/>
            </w:tcBorders>
            <w:vAlign w:val="bottom"/>
          </w:tcPr>
          <w:p w14:paraId="484156D1" w14:textId="77777777" w:rsidR="00F4329B" w:rsidRPr="00F01EC8" w:rsidRDefault="00F4329B" w:rsidP="00F4329B">
            <w:pPr>
              <w:jc w:val="right"/>
              <w:rPr>
                <w:rFonts w:asciiTheme="minorHAnsi" w:hAnsiTheme="minorHAnsi" w:cs="Arial"/>
                <w:sz w:val="20"/>
                <w:szCs w:val="20"/>
              </w:rPr>
            </w:pPr>
          </w:p>
        </w:tc>
      </w:tr>
      <w:tr w:rsidR="00F4329B" w:rsidRPr="00F01EC8" w14:paraId="67FE9203" w14:textId="77777777" w:rsidTr="00AC0A5D">
        <w:tc>
          <w:tcPr>
            <w:tcW w:w="6487" w:type="dxa"/>
            <w:vAlign w:val="bottom"/>
          </w:tcPr>
          <w:p w14:paraId="2BE0A4AD" w14:textId="30EC2BEE"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Net increase in cash, cash equivalents and overdrafts</w:t>
            </w:r>
          </w:p>
        </w:tc>
        <w:tc>
          <w:tcPr>
            <w:tcW w:w="992" w:type="dxa"/>
            <w:vAlign w:val="bottom"/>
          </w:tcPr>
          <w:p w14:paraId="641A4F39"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605E1765" w14:textId="569363E6"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691.1</w:t>
            </w:r>
          </w:p>
        </w:tc>
        <w:tc>
          <w:tcPr>
            <w:tcW w:w="1168" w:type="dxa"/>
            <w:vAlign w:val="bottom"/>
          </w:tcPr>
          <w:p w14:paraId="14B467CB" w14:textId="1FBA721D"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53.4 </w:t>
            </w:r>
          </w:p>
        </w:tc>
      </w:tr>
      <w:tr w:rsidR="00F4329B" w:rsidRPr="00F01EC8" w14:paraId="66CCF60B" w14:textId="77777777" w:rsidTr="00AC0A5D">
        <w:tc>
          <w:tcPr>
            <w:tcW w:w="6487" w:type="dxa"/>
            <w:vAlign w:val="bottom"/>
          </w:tcPr>
          <w:p w14:paraId="2C3470EE"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Cash, cash equivalents and overdrafts at beginning of period</w:t>
            </w:r>
          </w:p>
        </w:tc>
        <w:tc>
          <w:tcPr>
            <w:tcW w:w="992" w:type="dxa"/>
            <w:vAlign w:val="bottom"/>
          </w:tcPr>
          <w:p w14:paraId="72DD2D41"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2A1E0BCE" w14:textId="6F6C6158"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350.8</w:t>
            </w:r>
          </w:p>
        </w:tc>
        <w:tc>
          <w:tcPr>
            <w:tcW w:w="1168" w:type="dxa"/>
            <w:vAlign w:val="bottom"/>
          </w:tcPr>
          <w:p w14:paraId="5DB7949B" w14:textId="19B8D30B"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380.9 </w:t>
            </w:r>
          </w:p>
        </w:tc>
      </w:tr>
      <w:tr w:rsidR="00F4329B" w:rsidRPr="00F01EC8" w14:paraId="5EF24001" w14:textId="77777777" w:rsidTr="00AC0A5D">
        <w:tc>
          <w:tcPr>
            <w:tcW w:w="6487" w:type="dxa"/>
            <w:vAlign w:val="bottom"/>
          </w:tcPr>
          <w:p w14:paraId="6007E7E0" w14:textId="77777777"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Cash, cash equivalents and overdrafts at end of period</w:t>
            </w:r>
          </w:p>
        </w:tc>
        <w:tc>
          <w:tcPr>
            <w:tcW w:w="992" w:type="dxa"/>
            <w:vAlign w:val="bottom"/>
          </w:tcPr>
          <w:p w14:paraId="2A575B16"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single" w:sz="12" w:space="0" w:color="auto"/>
              <w:right w:val="nil"/>
            </w:tcBorders>
            <w:vAlign w:val="bottom"/>
          </w:tcPr>
          <w:p w14:paraId="744E253E" w14:textId="399C1727"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1,0</w:t>
            </w:r>
            <w:r w:rsidR="00684E6B" w:rsidRPr="00F01EC8">
              <w:rPr>
                <w:rFonts w:asciiTheme="minorHAnsi" w:hAnsiTheme="minorHAnsi" w:cs="Arial"/>
                <w:sz w:val="20"/>
                <w:szCs w:val="20"/>
              </w:rPr>
              <w:t>41</w:t>
            </w:r>
            <w:r w:rsidRPr="00F01EC8">
              <w:rPr>
                <w:rFonts w:asciiTheme="minorHAnsi" w:hAnsiTheme="minorHAnsi" w:cs="Arial"/>
                <w:sz w:val="20"/>
                <w:szCs w:val="20"/>
              </w:rPr>
              <w:t>.9</w:t>
            </w:r>
          </w:p>
        </w:tc>
        <w:tc>
          <w:tcPr>
            <w:tcW w:w="1168" w:type="dxa"/>
            <w:tcBorders>
              <w:top w:val="single" w:sz="4" w:space="0" w:color="auto"/>
              <w:left w:val="nil"/>
              <w:bottom w:val="single" w:sz="12" w:space="0" w:color="auto"/>
              <w:right w:val="nil"/>
            </w:tcBorders>
            <w:vAlign w:val="bottom"/>
          </w:tcPr>
          <w:p w14:paraId="74F7BBF3" w14:textId="25727C7B"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434.3 </w:t>
            </w:r>
          </w:p>
        </w:tc>
      </w:tr>
      <w:tr w:rsidR="00F4329B" w:rsidRPr="00F01EC8" w14:paraId="28D9320F" w14:textId="77777777" w:rsidTr="00AC0A5D">
        <w:tc>
          <w:tcPr>
            <w:tcW w:w="6487" w:type="dxa"/>
            <w:vAlign w:val="bottom"/>
          </w:tcPr>
          <w:p w14:paraId="0E8E4168" w14:textId="77777777" w:rsidR="00F4329B" w:rsidRPr="00F01EC8" w:rsidRDefault="00F4329B" w:rsidP="00F4329B">
            <w:pPr>
              <w:rPr>
                <w:rFonts w:asciiTheme="minorHAnsi" w:hAnsiTheme="minorHAnsi" w:cs="Arial"/>
                <w:sz w:val="20"/>
                <w:szCs w:val="20"/>
              </w:rPr>
            </w:pPr>
          </w:p>
        </w:tc>
        <w:tc>
          <w:tcPr>
            <w:tcW w:w="992" w:type="dxa"/>
            <w:vAlign w:val="bottom"/>
          </w:tcPr>
          <w:p w14:paraId="026FDA7F" w14:textId="77777777" w:rsidR="00F4329B" w:rsidRPr="00F01EC8" w:rsidRDefault="00F4329B" w:rsidP="00F4329B">
            <w:pPr>
              <w:jc w:val="right"/>
              <w:rPr>
                <w:rFonts w:asciiTheme="minorHAnsi" w:hAnsiTheme="minorHAnsi" w:cs="Arial"/>
                <w:sz w:val="20"/>
                <w:szCs w:val="20"/>
              </w:rPr>
            </w:pPr>
          </w:p>
        </w:tc>
        <w:tc>
          <w:tcPr>
            <w:tcW w:w="1276" w:type="dxa"/>
            <w:tcBorders>
              <w:top w:val="single" w:sz="12" w:space="0" w:color="auto"/>
              <w:left w:val="nil"/>
              <w:bottom w:val="nil"/>
              <w:right w:val="nil"/>
            </w:tcBorders>
            <w:vAlign w:val="bottom"/>
          </w:tcPr>
          <w:p w14:paraId="181DF7F5" w14:textId="77777777" w:rsidR="00F4329B" w:rsidRPr="00F01EC8" w:rsidRDefault="00F4329B" w:rsidP="00F4329B">
            <w:pPr>
              <w:jc w:val="right"/>
              <w:rPr>
                <w:rFonts w:asciiTheme="minorHAnsi" w:hAnsiTheme="minorHAnsi" w:cs="Arial"/>
                <w:sz w:val="20"/>
                <w:szCs w:val="20"/>
              </w:rPr>
            </w:pPr>
          </w:p>
        </w:tc>
        <w:tc>
          <w:tcPr>
            <w:tcW w:w="1168" w:type="dxa"/>
            <w:tcBorders>
              <w:top w:val="single" w:sz="12" w:space="0" w:color="auto"/>
              <w:left w:val="nil"/>
              <w:bottom w:val="nil"/>
              <w:right w:val="nil"/>
            </w:tcBorders>
            <w:vAlign w:val="bottom"/>
          </w:tcPr>
          <w:p w14:paraId="50BE1FDD" w14:textId="77777777" w:rsidR="00F4329B" w:rsidRPr="00F01EC8" w:rsidRDefault="00F4329B" w:rsidP="00F4329B">
            <w:pPr>
              <w:jc w:val="right"/>
              <w:rPr>
                <w:rFonts w:asciiTheme="minorHAnsi" w:hAnsiTheme="minorHAnsi" w:cs="Arial"/>
                <w:sz w:val="20"/>
                <w:szCs w:val="20"/>
              </w:rPr>
            </w:pPr>
          </w:p>
        </w:tc>
      </w:tr>
      <w:tr w:rsidR="00F4329B" w:rsidRPr="00F01EC8" w14:paraId="4D4D91F3" w14:textId="77777777" w:rsidTr="00AC0A5D">
        <w:tc>
          <w:tcPr>
            <w:tcW w:w="6487" w:type="dxa"/>
            <w:vAlign w:val="bottom"/>
          </w:tcPr>
          <w:p w14:paraId="2F623BF2" w14:textId="77777777"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Cash, cash equivalents and overdrafts at end of period comprise:</w:t>
            </w:r>
          </w:p>
        </w:tc>
        <w:tc>
          <w:tcPr>
            <w:tcW w:w="992" w:type="dxa"/>
            <w:vAlign w:val="bottom"/>
          </w:tcPr>
          <w:p w14:paraId="66A28C3A"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04EA7AB2" w14:textId="77777777" w:rsidR="00F4329B" w:rsidRPr="00F01EC8" w:rsidRDefault="00F4329B" w:rsidP="00F4329B">
            <w:pPr>
              <w:jc w:val="right"/>
              <w:rPr>
                <w:rFonts w:asciiTheme="minorHAnsi" w:hAnsiTheme="minorHAnsi" w:cs="Arial"/>
                <w:sz w:val="20"/>
                <w:szCs w:val="20"/>
              </w:rPr>
            </w:pPr>
          </w:p>
        </w:tc>
        <w:tc>
          <w:tcPr>
            <w:tcW w:w="1168" w:type="dxa"/>
            <w:vAlign w:val="bottom"/>
          </w:tcPr>
          <w:p w14:paraId="3271A82D" w14:textId="77777777" w:rsidR="00F4329B" w:rsidRPr="00F01EC8" w:rsidRDefault="00F4329B" w:rsidP="00F4329B">
            <w:pPr>
              <w:jc w:val="right"/>
              <w:rPr>
                <w:rFonts w:asciiTheme="minorHAnsi" w:hAnsiTheme="minorHAnsi" w:cs="Arial"/>
                <w:sz w:val="20"/>
                <w:szCs w:val="20"/>
              </w:rPr>
            </w:pPr>
          </w:p>
        </w:tc>
      </w:tr>
      <w:tr w:rsidR="00F4329B" w:rsidRPr="00F01EC8" w14:paraId="449C98F6" w14:textId="77777777" w:rsidTr="00AC0A5D">
        <w:tc>
          <w:tcPr>
            <w:tcW w:w="6487" w:type="dxa"/>
            <w:vAlign w:val="bottom"/>
          </w:tcPr>
          <w:p w14:paraId="33E4FBAF"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Cash at bank and in hand</w:t>
            </w:r>
          </w:p>
        </w:tc>
        <w:tc>
          <w:tcPr>
            <w:tcW w:w="992" w:type="dxa"/>
            <w:vAlign w:val="bottom"/>
          </w:tcPr>
          <w:p w14:paraId="72982B55" w14:textId="77777777" w:rsidR="00F4329B" w:rsidRPr="00F01EC8" w:rsidRDefault="00F4329B" w:rsidP="00F4329B">
            <w:pPr>
              <w:jc w:val="right"/>
              <w:rPr>
                <w:rFonts w:asciiTheme="minorHAnsi" w:hAnsiTheme="minorHAnsi" w:cs="Arial"/>
                <w:sz w:val="20"/>
                <w:szCs w:val="20"/>
              </w:rPr>
            </w:pPr>
          </w:p>
        </w:tc>
        <w:tc>
          <w:tcPr>
            <w:tcW w:w="1276" w:type="dxa"/>
            <w:vAlign w:val="bottom"/>
          </w:tcPr>
          <w:p w14:paraId="52C35603" w14:textId="4D5FC0F7"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1,042.7</w:t>
            </w:r>
          </w:p>
        </w:tc>
        <w:tc>
          <w:tcPr>
            <w:tcW w:w="1168" w:type="dxa"/>
            <w:vAlign w:val="bottom"/>
          </w:tcPr>
          <w:p w14:paraId="2AC78DED" w14:textId="093BDA43"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440.0 </w:t>
            </w:r>
          </w:p>
        </w:tc>
      </w:tr>
      <w:tr w:rsidR="00F4329B" w:rsidRPr="00F01EC8" w14:paraId="0B14FFAB" w14:textId="77777777" w:rsidTr="00AC0A5D">
        <w:tc>
          <w:tcPr>
            <w:tcW w:w="6487" w:type="dxa"/>
            <w:vAlign w:val="bottom"/>
          </w:tcPr>
          <w:p w14:paraId="46A4E35E" w14:textId="77777777" w:rsidR="00F4329B" w:rsidRPr="00F01EC8" w:rsidRDefault="00F4329B" w:rsidP="00F4329B">
            <w:pPr>
              <w:rPr>
                <w:rFonts w:asciiTheme="minorHAnsi" w:hAnsiTheme="minorHAnsi" w:cs="Arial"/>
                <w:sz w:val="20"/>
                <w:szCs w:val="20"/>
              </w:rPr>
            </w:pPr>
            <w:r w:rsidRPr="00F01EC8">
              <w:rPr>
                <w:rFonts w:asciiTheme="minorHAnsi" w:hAnsiTheme="minorHAnsi" w:cs="Arial"/>
                <w:sz w:val="20"/>
                <w:szCs w:val="20"/>
              </w:rPr>
              <w:t>Overdrafts (held in bank and other borrowings)</w:t>
            </w:r>
          </w:p>
        </w:tc>
        <w:tc>
          <w:tcPr>
            <w:tcW w:w="992" w:type="dxa"/>
            <w:vAlign w:val="bottom"/>
          </w:tcPr>
          <w:p w14:paraId="3EB36A5C" w14:textId="77777777" w:rsidR="00F4329B" w:rsidRPr="00F01EC8" w:rsidRDefault="00F4329B" w:rsidP="00F4329B">
            <w:pPr>
              <w:jc w:val="right"/>
              <w:rPr>
                <w:rFonts w:asciiTheme="minorHAnsi" w:hAnsiTheme="minorHAnsi" w:cs="Arial"/>
                <w:sz w:val="20"/>
                <w:szCs w:val="20"/>
              </w:rPr>
            </w:pPr>
          </w:p>
        </w:tc>
        <w:tc>
          <w:tcPr>
            <w:tcW w:w="1276" w:type="dxa"/>
            <w:tcBorders>
              <w:top w:val="nil"/>
              <w:left w:val="nil"/>
              <w:bottom w:val="single" w:sz="4" w:space="0" w:color="auto"/>
              <w:right w:val="nil"/>
            </w:tcBorders>
            <w:vAlign w:val="bottom"/>
          </w:tcPr>
          <w:p w14:paraId="040423C4" w14:textId="6D7A9BEB"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(0.8)</w:t>
            </w:r>
          </w:p>
        </w:tc>
        <w:tc>
          <w:tcPr>
            <w:tcW w:w="1168" w:type="dxa"/>
            <w:tcBorders>
              <w:top w:val="nil"/>
              <w:left w:val="nil"/>
              <w:bottom w:val="single" w:sz="4" w:space="0" w:color="auto"/>
              <w:right w:val="nil"/>
            </w:tcBorders>
            <w:vAlign w:val="bottom"/>
          </w:tcPr>
          <w:p w14:paraId="2DDCCF9A" w14:textId="69950946"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(5.7)</w:t>
            </w:r>
          </w:p>
        </w:tc>
      </w:tr>
      <w:tr w:rsidR="00F4329B" w:rsidRPr="00F01EC8" w14:paraId="750D6670" w14:textId="77777777" w:rsidTr="00AC0A5D">
        <w:tc>
          <w:tcPr>
            <w:tcW w:w="6487" w:type="dxa"/>
            <w:vAlign w:val="bottom"/>
          </w:tcPr>
          <w:p w14:paraId="3FA109DB" w14:textId="77777777" w:rsidR="00F4329B" w:rsidRPr="00F01EC8" w:rsidRDefault="00F4329B" w:rsidP="00F4329B">
            <w:pPr>
              <w:rPr>
                <w:rFonts w:asciiTheme="minorHAnsi" w:hAnsiTheme="minorHAnsi" w:cs="Arial"/>
                <w:b/>
                <w:sz w:val="20"/>
                <w:szCs w:val="20"/>
              </w:rPr>
            </w:pPr>
            <w:r w:rsidRPr="00F01EC8">
              <w:rPr>
                <w:rFonts w:asciiTheme="minorHAnsi" w:hAnsiTheme="minorHAnsi" w:cs="Arial"/>
                <w:b/>
                <w:sz w:val="20"/>
                <w:szCs w:val="20"/>
              </w:rPr>
              <w:t>Total cash, cash equivalents and overdrafts</w:t>
            </w:r>
          </w:p>
        </w:tc>
        <w:tc>
          <w:tcPr>
            <w:tcW w:w="992" w:type="dxa"/>
            <w:vAlign w:val="bottom"/>
          </w:tcPr>
          <w:p w14:paraId="2003DC05" w14:textId="77777777" w:rsidR="00F4329B" w:rsidRPr="00F01EC8" w:rsidRDefault="00F4329B" w:rsidP="00F4329B">
            <w:pPr>
              <w:jc w:val="right"/>
              <w:rPr>
                <w:rFonts w:asciiTheme="minorHAnsi" w:hAnsiTheme="minorHAnsi" w:cs="Arial"/>
                <w:sz w:val="20"/>
                <w:szCs w:val="20"/>
              </w:rPr>
            </w:pPr>
          </w:p>
        </w:tc>
        <w:tc>
          <w:tcPr>
            <w:tcW w:w="1276" w:type="dxa"/>
            <w:tcBorders>
              <w:top w:val="single" w:sz="4" w:space="0" w:color="auto"/>
              <w:left w:val="nil"/>
              <w:bottom w:val="single" w:sz="12" w:space="0" w:color="auto"/>
              <w:right w:val="nil"/>
            </w:tcBorders>
            <w:vAlign w:val="bottom"/>
          </w:tcPr>
          <w:p w14:paraId="4F1C6DE7" w14:textId="13BC7E8F" w:rsidR="00F4329B" w:rsidRPr="00F01EC8" w:rsidRDefault="00126ABF" w:rsidP="00F4329B">
            <w:pPr>
              <w:jc w:val="right"/>
              <w:rPr>
                <w:rFonts w:asciiTheme="minorHAnsi" w:hAnsiTheme="minorHAnsi" w:cs="Arial"/>
                <w:sz w:val="20"/>
                <w:szCs w:val="20"/>
              </w:rPr>
            </w:pPr>
            <w:r w:rsidRPr="00F01EC8">
              <w:rPr>
                <w:rFonts w:asciiTheme="minorHAnsi" w:hAnsiTheme="minorHAnsi" w:cs="Arial"/>
                <w:sz w:val="20"/>
                <w:szCs w:val="20"/>
              </w:rPr>
              <w:t>1,041.9</w:t>
            </w:r>
          </w:p>
        </w:tc>
        <w:tc>
          <w:tcPr>
            <w:tcW w:w="1168" w:type="dxa"/>
            <w:tcBorders>
              <w:top w:val="single" w:sz="4" w:space="0" w:color="auto"/>
              <w:left w:val="nil"/>
              <w:bottom w:val="single" w:sz="12" w:space="0" w:color="auto"/>
              <w:right w:val="nil"/>
            </w:tcBorders>
            <w:vAlign w:val="bottom"/>
          </w:tcPr>
          <w:p w14:paraId="10B118B4" w14:textId="13747792" w:rsidR="00F4329B" w:rsidRPr="00F01EC8" w:rsidRDefault="00F4329B" w:rsidP="00F4329B">
            <w:pPr>
              <w:jc w:val="right"/>
              <w:rPr>
                <w:rFonts w:asciiTheme="minorHAnsi" w:hAnsiTheme="minorHAnsi" w:cs="Arial"/>
                <w:sz w:val="20"/>
                <w:szCs w:val="20"/>
              </w:rPr>
            </w:pPr>
            <w:r w:rsidRPr="00F01EC8">
              <w:rPr>
                <w:rFonts w:asciiTheme="minorHAnsi" w:hAnsiTheme="minorHAnsi" w:cs="Arial"/>
                <w:sz w:val="20"/>
                <w:szCs w:val="20"/>
              </w:rPr>
              <w:t>434.3 </w:t>
            </w:r>
          </w:p>
        </w:tc>
      </w:tr>
    </w:tbl>
    <w:p w14:paraId="1E1FC79B" w14:textId="77777777" w:rsidR="00DA6694" w:rsidRPr="00F01EC8" w:rsidRDefault="00DA6694" w:rsidP="00DA6694">
      <w:pPr>
        <w:rPr>
          <w:rFonts w:asciiTheme="minorHAnsi" w:hAnsiTheme="minorHAnsi" w:cs="Arial"/>
          <w:sz w:val="20"/>
          <w:szCs w:val="20"/>
        </w:rPr>
      </w:pPr>
    </w:p>
    <w:p w14:paraId="443954F5" w14:textId="2C1CAA85" w:rsidR="00DA6694" w:rsidRPr="00F01EC8" w:rsidRDefault="00DA6694" w:rsidP="00DA6694">
      <w:pPr>
        <w:jc w:val="both"/>
        <w:rPr>
          <w:rFonts w:asciiTheme="minorHAnsi" w:hAnsiTheme="minorHAnsi" w:cs="Avenir-Light"/>
          <w:sz w:val="20"/>
          <w:szCs w:val="20"/>
          <w:lang w:val="en-US"/>
        </w:rPr>
      </w:pPr>
      <w:r w:rsidRPr="00F01EC8">
        <w:rPr>
          <w:rFonts w:asciiTheme="minorHAnsi" w:hAnsiTheme="minorHAnsi" w:cs="Avenir-Light"/>
          <w:sz w:val="20"/>
          <w:szCs w:val="20"/>
          <w:lang w:val="en-US"/>
        </w:rPr>
        <w:t xml:space="preserve">Cash at bank and in hand includes </w:t>
      </w:r>
      <w:r w:rsidR="008E6BCE" w:rsidRPr="00F01EC8">
        <w:rPr>
          <w:rFonts w:asciiTheme="minorHAnsi" w:hAnsiTheme="minorHAnsi" w:cs="Avenir-Light"/>
          <w:sz w:val="20"/>
          <w:szCs w:val="20"/>
          <w:lang w:val="en-US"/>
        </w:rPr>
        <w:t>£1,014.4</w:t>
      </w:r>
      <w:r w:rsidRPr="00F01EC8">
        <w:rPr>
          <w:rFonts w:asciiTheme="minorHAnsi" w:hAnsiTheme="minorHAnsi" w:cs="Avenir-Light"/>
          <w:sz w:val="20"/>
          <w:szCs w:val="20"/>
          <w:lang w:val="en-US"/>
        </w:rPr>
        <w:t>m (201</w:t>
      </w:r>
      <w:r w:rsidR="00BD6E10" w:rsidRPr="00F01EC8">
        <w:rPr>
          <w:rFonts w:asciiTheme="minorHAnsi" w:hAnsiTheme="minorHAnsi" w:cs="Avenir-Light"/>
          <w:sz w:val="20"/>
          <w:szCs w:val="20"/>
          <w:lang w:val="en-US"/>
        </w:rPr>
        <w:t>9</w:t>
      </w:r>
      <w:r w:rsidRPr="00F01EC8">
        <w:rPr>
          <w:rFonts w:asciiTheme="minorHAnsi" w:hAnsiTheme="minorHAnsi" w:cs="Avenir-Light"/>
          <w:sz w:val="20"/>
          <w:szCs w:val="20"/>
          <w:lang w:val="en-US"/>
        </w:rPr>
        <w:t>: £4</w:t>
      </w:r>
      <w:r w:rsidR="00BD6E10" w:rsidRPr="00F01EC8">
        <w:rPr>
          <w:rFonts w:asciiTheme="minorHAnsi" w:hAnsiTheme="minorHAnsi" w:cs="Avenir-Light"/>
          <w:sz w:val="20"/>
          <w:szCs w:val="20"/>
          <w:lang w:val="en-US"/>
        </w:rPr>
        <w:t>23.3</w:t>
      </w:r>
      <w:r w:rsidRPr="00F01EC8">
        <w:rPr>
          <w:rFonts w:asciiTheme="minorHAnsi" w:hAnsiTheme="minorHAnsi" w:cs="Avenir-Light"/>
          <w:sz w:val="20"/>
          <w:szCs w:val="20"/>
          <w:lang w:val="en-US"/>
        </w:rPr>
        <w:t xml:space="preserve">m) in respect of the liquid assets buffer, including other liquidity resources, held by Vanquis Bank in accordance with the PRA’s liquidity regime. </w:t>
      </w:r>
      <w:r w:rsidRPr="00F01EC8">
        <w:rPr>
          <w:rFonts w:asciiTheme="minorHAnsi" w:hAnsiTheme="minorHAnsi" w:cs="Avenir-Light"/>
          <w:sz w:val="20"/>
          <w:szCs w:val="20"/>
        </w:rPr>
        <w:t>As at 30 June 20</w:t>
      </w:r>
      <w:r w:rsidR="00BD6E10" w:rsidRPr="00F01EC8">
        <w:rPr>
          <w:rFonts w:asciiTheme="minorHAnsi" w:hAnsiTheme="minorHAnsi" w:cs="Avenir-Light"/>
          <w:sz w:val="20"/>
          <w:szCs w:val="20"/>
        </w:rPr>
        <w:t>20</w:t>
      </w:r>
      <w:r w:rsidRPr="00F01EC8">
        <w:rPr>
          <w:rFonts w:asciiTheme="minorHAnsi" w:hAnsiTheme="minorHAnsi" w:cs="Avenir-Light"/>
          <w:sz w:val="20"/>
          <w:szCs w:val="20"/>
        </w:rPr>
        <w:t xml:space="preserve">, </w:t>
      </w:r>
      <w:r w:rsidR="00C875B7" w:rsidRPr="00F01EC8">
        <w:rPr>
          <w:rFonts w:asciiTheme="minorHAnsi" w:hAnsiTheme="minorHAnsi" w:cs="Avenir-Light"/>
          <w:sz w:val="20"/>
          <w:szCs w:val="20"/>
        </w:rPr>
        <w:t>£</w:t>
      </w:r>
      <w:r w:rsidR="00AD1E75" w:rsidRPr="00F01EC8">
        <w:rPr>
          <w:rFonts w:asciiTheme="minorHAnsi" w:hAnsiTheme="minorHAnsi" w:cs="Avenir-Light"/>
          <w:sz w:val="20"/>
          <w:szCs w:val="20"/>
        </w:rPr>
        <w:t>825.0</w:t>
      </w:r>
      <w:r w:rsidRPr="00F01EC8">
        <w:rPr>
          <w:rFonts w:asciiTheme="minorHAnsi" w:hAnsiTheme="minorHAnsi" w:cs="Avenir-Light"/>
          <w:sz w:val="20"/>
          <w:szCs w:val="20"/>
        </w:rPr>
        <w:t>m (201</w:t>
      </w:r>
      <w:r w:rsidR="00BD6E10" w:rsidRPr="00F01EC8">
        <w:rPr>
          <w:rFonts w:asciiTheme="minorHAnsi" w:hAnsiTheme="minorHAnsi" w:cs="Avenir-Light"/>
          <w:sz w:val="20"/>
          <w:szCs w:val="20"/>
        </w:rPr>
        <w:t>9</w:t>
      </w:r>
      <w:r w:rsidRPr="00F01EC8">
        <w:rPr>
          <w:rFonts w:asciiTheme="minorHAnsi" w:hAnsiTheme="minorHAnsi" w:cs="Avenir-Light"/>
          <w:sz w:val="20"/>
          <w:szCs w:val="20"/>
        </w:rPr>
        <w:t>: £</w:t>
      </w:r>
      <w:r w:rsidR="00BD6E10" w:rsidRPr="00F01EC8">
        <w:rPr>
          <w:rFonts w:asciiTheme="minorHAnsi" w:hAnsiTheme="minorHAnsi" w:cs="Avenir-Light"/>
          <w:sz w:val="20"/>
          <w:szCs w:val="20"/>
        </w:rPr>
        <w:t>143.3</w:t>
      </w:r>
      <w:r w:rsidRPr="00F01EC8">
        <w:rPr>
          <w:rFonts w:asciiTheme="minorHAnsi" w:hAnsiTheme="minorHAnsi" w:cs="Avenir-Light"/>
          <w:sz w:val="20"/>
          <w:szCs w:val="20"/>
        </w:rPr>
        <w:t>m) of the buffer was available to finance Vanquis Bank’s day-to-day operations.</w:t>
      </w:r>
    </w:p>
    <w:p w14:paraId="76FC58BC" w14:textId="77777777" w:rsidR="002303EB" w:rsidRDefault="002303EB" w:rsidP="00DA6694">
      <w:pPr>
        <w:jc w:val="both"/>
        <w:rPr>
          <w:rFonts w:asciiTheme="minorHAnsi" w:hAnsiTheme="minorHAnsi" w:cs="Arial"/>
          <w:b/>
          <w:sz w:val="20"/>
          <w:szCs w:val="20"/>
        </w:rPr>
      </w:pPr>
    </w:p>
    <w:p w14:paraId="0171BD6F" w14:textId="77777777" w:rsidR="00831A11" w:rsidRDefault="00831A11" w:rsidP="00DA6694">
      <w:pPr>
        <w:jc w:val="both"/>
        <w:rPr>
          <w:rFonts w:asciiTheme="minorHAnsi" w:hAnsiTheme="minorHAnsi" w:cs="Arial"/>
          <w:b/>
          <w:bCs/>
          <w:sz w:val="20"/>
          <w:szCs w:val="20"/>
        </w:rPr>
      </w:pPr>
    </w:p>
    <w:p w14:paraId="68110E94" w14:textId="6941193A" w:rsidR="00DA6694" w:rsidRPr="00F01EC8" w:rsidRDefault="00DA6694" w:rsidP="00DA6694">
      <w:pPr>
        <w:jc w:val="both"/>
        <w:rPr>
          <w:rFonts w:asciiTheme="minorHAnsi" w:hAnsiTheme="minorHAnsi" w:cs="Arial"/>
          <w:bCs/>
          <w:sz w:val="20"/>
          <w:szCs w:val="20"/>
        </w:rPr>
      </w:pPr>
      <w:r w:rsidRPr="00F01EC8">
        <w:rPr>
          <w:rFonts w:asciiTheme="minorHAnsi" w:hAnsiTheme="minorHAnsi" w:cs="Arial"/>
          <w:b/>
          <w:bCs/>
          <w:sz w:val="20"/>
          <w:szCs w:val="20"/>
        </w:rPr>
        <w:t>Notes to the unaudited condensed interim financial statements</w:t>
      </w:r>
    </w:p>
    <w:p w14:paraId="71692BC3" w14:textId="77777777" w:rsidR="00DA6694" w:rsidRPr="00F01EC8" w:rsidRDefault="00DA6694" w:rsidP="00DA6694">
      <w:pPr>
        <w:jc w:val="both"/>
        <w:rPr>
          <w:rFonts w:asciiTheme="minorHAnsi" w:hAnsiTheme="minorHAnsi" w:cs="Arial"/>
          <w:sz w:val="20"/>
          <w:szCs w:val="20"/>
        </w:rPr>
      </w:pPr>
    </w:p>
    <w:p w14:paraId="6AC0DC89" w14:textId="77777777" w:rsidR="00DA6694" w:rsidRPr="00F01EC8" w:rsidRDefault="00DA6694" w:rsidP="00DA66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rPr>
          <w:rFonts w:asciiTheme="minorHAnsi" w:hAnsiTheme="minorHAnsi" w:cs="Arial"/>
        </w:rPr>
      </w:pPr>
      <w:r w:rsidRPr="00F01EC8">
        <w:rPr>
          <w:rStyle w:val="bodycopynumber"/>
          <w:rFonts w:asciiTheme="minorHAnsi" w:hAnsiTheme="minorHAnsi" w:cs="Arial"/>
          <w:b/>
          <w:bCs/>
          <w:sz w:val="20"/>
        </w:rPr>
        <w:t>1</w:t>
      </w:r>
      <w:r w:rsidRPr="00F01EC8">
        <w:rPr>
          <w:rStyle w:val="bodycopynumber"/>
          <w:rFonts w:asciiTheme="minorHAnsi" w:hAnsiTheme="minorHAnsi" w:cs="Arial"/>
          <w:bCs/>
          <w:sz w:val="20"/>
        </w:rPr>
        <w:t>.</w:t>
      </w:r>
      <w:r w:rsidRPr="00F01EC8">
        <w:rPr>
          <w:rStyle w:val="bodycopynumber"/>
          <w:rFonts w:asciiTheme="minorHAnsi" w:hAnsiTheme="minorHAnsi" w:cs="Arial"/>
          <w:bCs/>
          <w:sz w:val="20"/>
        </w:rPr>
        <w:tab/>
      </w:r>
      <w:r w:rsidRPr="00F01EC8">
        <w:rPr>
          <w:rFonts w:asciiTheme="minorHAnsi" w:hAnsiTheme="minorHAnsi" w:cs="Arial"/>
          <w:b/>
        </w:rPr>
        <w:t>General information</w:t>
      </w:r>
    </w:p>
    <w:p w14:paraId="03D967FD" w14:textId="77777777" w:rsidR="00DA6694" w:rsidRPr="00F01EC8" w:rsidRDefault="00DA6694" w:rsidP="00DA6694">
      <w:pPr>
        <w:pStyle w:val="HTMLPreformatted"/>
        <w:rPr>
          <w:rFonts w:asciiTheme="minorHAnsi" w:hAnsiTheme="minorHAnsi" w:cs="Arial"/>
        </w:rPr>
      </w:pPr>
    </w:p>
    <w:p w14:paraId="4676FDD2" w14:textId="77777777" w:rsidR="00DA6694" w:rsidRPr="00F01EC8" w:rsidRDefault="00DA6694" w:rsidP="00DA6694">
      <w:pPr>
        <w:pStyle w:val="HTMLPreformatted"/>
        <w:jc w:val="both"/>
        <w:rPr>
          <w:rFonts w:asciiTheme="minorHAnsi" w:hAnsiTheme="minorHAnsi" w:cs="Arial"/>
        </w:rPr>
      </w:pPr>
      <w:r w:rsidRPr="00F01EC8">
        <w:rPr>
          <w:rFonts w:asciiTheme="minorHAnsi" w:hAnsiTheme="minorHAnsi" w:cs="Arial"/>
        </w:rPr>
        <w:t>The company is a public limited company, incorporated and domiciled in the UK. The address of its registered office is No. 1 Godwin Street, Bradford, BD1 2SU. The company is listed on the London Stock Exchange.</w:t>
      </w:r>
    </w:p>
    <w:p w14:paraId="5DF441DF"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300"/>
        <w:jc w:val="both"/>
        <w:rPr>
          <w:rStyle w:val="bodycopynumber"/>
          <w:rFonts w:asciiTheme="minorHAnsi" w:hAnsiTheme="minorHAnsi" w:cs="Arial"/>
          <w:b/>
          <w:bCs/>
          <w:sz w:val="20"/>
          <w:szCs w:val="20"/>
        </w:rPr>
      </w:pPr>
    </w:p>
    <w:p w14:paraId="7E8FE704" w14:textId="4411B409"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The </w:t>
      </w:r>
      <w:bookmarkStart w:id="16" w:name="OLE_LINK14"/>
      <w:bookmarkStart w:id="17" w:name="OLE_LINK17"/>
      <w:r w:rsidRPr="00F01EC8">
        <w:rPr>
          <w:rFonts w:asciiTheme="minorHAnsi" w:hAnsiTheme="minorHAnsi" w:cs="Arial"/>
          <w:sz w:val="20"/>
          <w:szCs w:val="20"/>
        </w:rPr>
        <w:t xml:space="preserve">unaudited condensed interim financial statements </w:t>
      </w:r>
      <w:bookmarkEnd w:id="16"/>
      <w:bookmarkEnd w:id="17"/>
      <w:r w:rsidRPr="00F01EC8">
        <w:rPr>
          <w:rFonts w:asciiTheme="minorHAnsi" w:hAnsiTheme="minorHAnsi" w:cs="Arial"/>
          <w:sz w:val="20"/>
          <w:szCs w:val="20"/>
        </w:rPr>
        <w:t xml:space="preserve">do not constitute the statutory financial statements of the </w:t>
      </w:r>
      <w:r w:rsidR="005714EF">
        <w:rPr>
          <w:rFonts w:asciiTheme="minorHAnsi" w:hAnsiTheme="minorHAnsi" w:cs="Arial"/>
          <w:sz w:val="20"/>
          <w:szCs w:val="20"/>
        </w:rPr>
        <w:t>G</w:t>
      </w:r>
      <w:r w:rsidRPr="00F01EC8">
        <w:rPr>
          <w:rFonts w:asciiTheme="minorHAnsi" w:hAnsiTheme="minorHAnsi" w:cs="Arial"/>
          <w:sz w:val="20"/>
          <w:szCs w:val="20"/>
        </w:rPr>
        <w:t>roup within the meaning of section 434 of the Companies Act 2006. The statutory financial statements for the year ended 31 December 201</w:t>
      </w:r>
      <w:r w:rsidR="00BD6E10" w:rsidRPr="00F01EC8">
        <w:rPr>
          <w:rFonts w:asciiTheme="minorHAnsi" w:hAnsiTheme="minorHAnsi" w:cs="Arial"/>
          <w:sz w:val="20"/>
          <w:szCs w:val="20"/>
        </w:rPr>
        <w:t>9</w:t>
      </w:r>
      <w:r w:rsidRPr="00F01EC8">
        <w:rPr>
          <w:rFonts w:asciiTheme="minorHAnsi" w:hAnsiTheme="minorHAnsi" w:cs="Arial"/>
          <w:sz w:val="20"/>
          <w:szCs w:val="20"/>
        </w:rPr>
        <w:t xml:space="preserve"> were approved by the board of directors on </w:t>
      </w:r>
      <w:r w:rsidR="00CF5D81" w:rsidRPr="00F01EC8">
        <w:rPr>
          <w:rFonts w:asciiTheme="minorHAnsi" w:hAnsiTheme="minorHAnsi" w:cs="Arial"/>
          <w:sz w:val="20"/>
          <w:szCs w:val="20"/>
        </w:rPr>
        <w:t>27 February</w:t>
      </w:r>
      <w:r w:rsidRPr="00F01EC8">
        <w:rPr>
          <w:rFonts w:asciiTheme="minorHAnsi" w:hAnsiTheme="minorHAnsi" w:cs="Arial"/>
          <w:sz w:val="20"/>
          <w:szCs w:val="20"/>
        </w:rPr>
        <w:t xml:space="preserve"> 20</w:t>
      </w:r>
      <w:r w:rsidR="00CF5D81" w:rsidRPr="00F01EC8">
        <w:rPr>
          <w:rFonts w:asciiTheme="minorHAnsi" w:hAnsiTheme="minorHAnsi" w:cs="Arial"/>
          <w:sz w:val="20"/>
          <w:szCs w:val="20"/>
        </w:rPr>
        <w:t>20</w:t>
      </w:r>
      <w:r w:rsidRPr="00F01EC8">
        <w:rPr>
          <w:rFonts w:asciiTheme="minorHAnsi" w:hAnsiTheme="minorHAnsi" w:cs="Arial"/>
          <w:sz w:val="20"/>
          <w:szCs w:val="20"/>
        </w:rPr>
        <w:t xml:space="preserve"> and have been delivered to the Registrar of Companies. The report of the auditor on those financial statements was unqualified, did not draw attention to any matters by way of emphasis and did not contain any statement under section 498(2) or (3) of the Companies Act 2006.   </w:t>
      </w:r>
    </w:p>
    <w:p w14:paraId="719E90F1"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B2B5D91" w14:textId="70287DB8"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The unaudited condensed interim financial statements for the six months ended 30 June 20</w:t>
      </w:r>
      <w:r w:rsidR="00BD6E10" w:rsidRPr="00F01EC8">
        <w:rPr>
          <w:rFonts w:asciiTheme="minorHAnsi" w:hAnsiTheme="minorHAnsi" w:cs="Arial"/>
          <w:sz w:val="20"/>
          <w:szCs w:val="20"/>
        </w:rPr>
        <w:t>20</w:t>
      </w:r>
      <w:r w:rsidRPr="00F01EC8">
        <w:rPr>
          <w:rFonts w:asciiTheme="minorHAnsi" w:hAnsiTheme="minorHAnsi" w:cs="Arial"/>
          <w:sz w:val="20"/>
          <w:szCs w:val="20"/>
        </w:rPr>
        <w:t xml:space="preserve"> have been reviewed, not audited, and were approved by the board of directors on </w:t>
      </w:r>
      <w:r w:rsidR="00CF5D81" w:rsidRPr="00F01EC8">
        <w:rPr>
          <w:rFonts w:asciiTheme="minorHAnsi" w:hAnsiTheme="minorHAnsi" w:cs="Arial"/>
          <w:sz w:val="20"/>
          <w:szCs w:val="20"/>
        </w:rPr>
        <w:t>26 August 2020</w:t>
      </w:r>
      <w:r w:rsidRPr="00F01EC8">
        <w:rPr>
          <w:rFonts w:asciiTheme="minorHAnsi" w:hAnsiTheme="minorHAnsi" w:cs="Arial"/>
          <w:sz w:val="20"/>
          <w:szCs w:val="20"/>
        </w:rPr>
        <w:t>.</w:t>
      </w:r>
    </w:p>
    <w:p w14:paraId="278DBDF9" w14:textId="77777777" w:rsidR="00DA6694" w:rsidRPr="00F01EC8" w:rsidRDefault="00DA6694" w:rsidP="00DA6694">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
          <w:bCs/>
          <w:sz w:val="20"/>
          <w:szCs w:val="20"/>
        </w:rPr>
      </w:pPr>
    </w:p>
    <w:p w14:paraId="03BDC66A" w14:textId="77777777" w:rsidR="00DA6694" w:rsidRPr="00F01EC8" w:rsidRDefault="00DA6694" w:rsidP="00DA6694">
      <w:pPr>
        <w:ind w:left="567" w:hanging="567"/>
        <w:jc w:val="both"/>
        <w:rPr>
          <w:rStyle w:val="bodycopynumber"/>
          <w:rFonts w:asciiTheme="minorHAnsi" w:hAnsiTheme="minorHAnsi" w:cs="Arial"/>
          <w:b/>
          <w:bCs/>
          <w:sz w:val="20"/>
          <w:szCs w:val="20"/>
        </w:rPr>
      </w:pPr>
      <w:r w:rsidRPr="00F01EC8">
        <w:rPr>
          <w:rStyle w:val="bodycopynumber"/>
          <w:rFonts w:asciiTheme="minorHAnsi" w:hAnsiTheme="minorHAnsi" w:cs="Arial"/>
          <w:b/>
          <w:bCs/>
          <w:sz w:val="20"/>
          <w:szCs w:val="20"/>
        </w:rPr>
        <w:t>2.</w:t>
      </w:r>
      <w:r w:rsidRPr="00F01EC8">
        <w:rPr>
          <w:rStyle w:val="bodycopynumber"/>
          <w:rFonts w:asciiTheme="minorHAnsi" w:hAnsiTheme="minorHAnsi" w:cs="Arial"/>
          <w:b/>
          <w:bCs/>
          <w:sz w:val="20"/>
          <w:szCs w:val="20"/>
        </w:rPr>
        <w:tab/>
        <w:t>Basis of preparation</w:t>
      </w:r>
    </w:p>
    <w:p w14:paraId="22717287"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5436A59" w14:textId="4AB6E045"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The unaudited condensed interim financial statements for the six months ended 30 June 20</w:t>
      </w:r>
      <w:r w:rsidR="00BD6E10" w:rsidRPr="00F01EC8">
        <w:rPr>
          <w:rFonts w:asciiTheme="minorHAnsi" w:hAnsiTheme="minorHAnsi" w:cs="Arial"/>
          <w:sz w:val="20"/>
          <w:szCs w:val="20"/>
        </w:rPr>
        <w:t>20</w:t>
      </w:r>
      <w:r w:rsidRPr="00F01EC8">
        <w:rPr>
          <w:rFonts w:asciiTheme="minorHAnsi" w:hAnsiTheme="minorHAnsi" w:cs="Arial"/>
          <w:sz w:val="20"/>
          <w:szCs w:val="20"/>
        </w:rPr>
        <w:t xml:space="preserve"> have been prepared in accordance with IAS 34 ‘Interim Financial Reporting’ as adopted by the European Union. The unaudited condensed interim financial statements should be read in conjunction with the statutory financial statements for the year ended 31 December 201</w:t>
      </w:r>
      <w:r w:rsidR="00BD6E10" w:rsidRPr="00F01EC8">
        <w:rPr>
          <w:rFonts w:asciiTheme="minorHAnsi" w:hAnsiTheme="minorHAnsi" w:cs="Arial"/>
          <w:sz w:val="20"/>
          <w:szCs w:val="20"/>
        </w:rPr>
        <w:t>9</w:t>
      </w:r>
      <w:r w:rsidRPr="00F01EC8">
        <w:rPr>
          <w:rFonts w:asciiTheme="minorHAnsi" w:hAnsiTheme="minorHAnsi" w:cs="Arial"/>
          <w:sz w:val="20"/>
          <w:szCs w:val="20"/>
        </w:rPr>
        <w:t xml:space="preserve"> which have been prepared in accordance with International Financial Reporting Standards (IFRS) as adopted by the European Union.</w:t>
      </w:r>
    </w:p>
    <w:p w14:paraId="3653D936"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3687A565" w14:textId="5D25415B" w:rsidR="000E1EF3" w:rsidRPr="00F01EC8" w:rsidRDefault="00EA2B7F" w:rsidP="000E1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In assessing whether the Group is a going concern, t</w:t>
      </w:r>
      <w:r w:rsidR="00DA6694" w:rsidRPr="00F01EC8">
        <w:rPr>
          <w:rFonts w:asciiTheme="minorHAnsi" w:hAnsiTheme="minorHAnsi" w:cs="Arial"/>
          <w:sz w:val="20"/>
          <w:szCs w:val="20"/>
        </w:rPr>
        <w:t xml:space="preserve">he directors </w:t>
      </w:r>
      <w:r w:rsidRPr="00F01EC8">
        <w:rPr>
          <w:rFonts w:asciiTheme="minorHAnsi" w:hAnsiTheme="minorHAnsi" w:cs="Arial"/>
          <w:sz w:val="20"/>
          <w:szCs w:val="20"/>
        </w:rPr>
        <w:t>have</w:t>
      </w:r>
      <w:r w:rsidR="00DA6694" w:rsidRPr="00F01EC8">
        <w:rPr>
          <w:rFonts w:asciiTheme="minorHAnsi" w:hAnsiTheme="minorHAnsi" w:cs="Arial"/>
          <w:sz w:val="20"/>
          <w:szCs w:val="20"/>
        </w:rPr>
        <w:t xml:space="preserve"> review</w:t>
      </w:r>
      <w:r w:rsidRPr="00F01EC8">
        <w:rPr>
          <w:rFonts w:asciiTheme="minorHAnsi" w:hAnsiTheme="minorHAnsi" w:cs="Arial"/>
          <w:sz w:val="20"/>
          <w:szCs w:val="20"/>
        </w:rPr>
        <w:t>ed</w:t>
      </w:r>
      <w:r w:rsidR="00DA6694" w:rsidRPr="00F01EC8">
        <w:rPr>
          <w:rFonts w:asciiTheme="minorHAnsi" w:hAnsiTheme="minorHAnsi" w:cs="Arial"/>
          <w:sz w:val="20"/>
          <w:szCs w:val="20"/>
        </w:rPr>
        <w:t xml:space="preserve"> the </w:t>
      </w:r>
      <w:r w:rsidR="005714EF">
        <w:rPr>
          <w:rFonts w:asciiTheme="minorHAnsi" w:hAnsiTheme="minorHAnsi" w:cs="Arial"/>
          <w:sz w:val="20"/>
          <w:szCs w:val="20"/>
        </w:rPr>
        <w:t>G</w:t>
      </w:r>
      <w:r w:rsidR="00DA6694" w:rsidRPr="00F01EC8">
        <w:rPr>
          <w:rFonts w:asciiTheme="minorHAnsi" w:hAnsiTheme="minorHAnsi" w:cs="Arial"/>
          <w:sz w:val="20"/>
          <w:szCs w:val="20"/>
        </w:rPr>
        <w:t xml:space="preserve">roup’s </w:t>
      </w:r>
      <w:r w:rsidRPr="00F01EC8">
        <w:rPr>
          <w:rFonts w:asciiTheme="minorHAnsi" w:hAnsiTheme="minorHAnsi" w:cs="Arial"/>
          <w:sz w:val="20"/>
          <w:szCs w:val="20"/>
        </w:rPr>
        <w:t xml:space="preserve">latest </w:t>
      </w:r>
      <w:r w:rsidR="00DA6694" w:rsidRPr="00F01EC8">
        <w:rPr>
          <w:rFonts w:asciiTheme="minorHAnsi" w:hAnsiTheme="minorHAnsi" w:cs="Arial"/>
          <w:sz w:val="20"/>
          <w:szCs w:val="20"/>
        </w:rPr>
        <w:t>budgets,</w:t>
      </w:r>
      <w:r w:rsidRPr="00F01EC8">
        <w:rPr>
          <w:rFonts w:asciiTheme="minorHAnsi" w:hAnsiTheme="minorHAnsi" w:cs="Arial"/>
          <w:sz w:val="20"/>
          <w:szCs w:val="20"/>
        </w:rPr>
        <w:t xml:space="preserve"> as approved in July 2020, which includes</w:t>
      </w:r>
      <w:r w:rsidR="00422125" w:rsidRPr="00F01EC8">
        <w:rPr>
          <w:rFonts w:asciiTheme="minorHAnsi" w:hAnsiTheme="minorHAnsi" w:cs="Arial"/>
          <w:sz w:val="20"/>
          <w:szCs w:val="20"/>
        </w:rPr>
        <w:t xml:space="preserve"> capital and liquidity forecasts</w:t>
      </w:r>
      <w:r w:rsidR="00F85436" w:rsidRPr="00F01EC8">
        <w:rPr>
          <w:rFonts w:asciiTheme="minorHAnsi" w:hAnsiTheme="minorHAnsi" w:cs="Arial"/>
          <w:sz w:val="20"/>
          <w:szCs w:val="20"/>
        </w:rPr>
        <w:t>,</w:t>
      </w:r>
      <w:r w:rsidR="00422125" w:rsidRPr="00F01EC8">
        <w:rPr>
          <w:rFonts w:asciiTheme="minorHAnsi" w:hAnsiTheme="minorHAnsi" w:cs="Arial"/>
          <w:sz w:val="20"/>
          <w:szCs w:val="20"/>
        </w:rPr>
        <w:t xml:space="preserve"> </w:t>
      </w:r>
      <w:r w:rsidRPr="00F01EC8">
        <w:rPr>
          <w:rFonts w:asciiTheme="minorHAnsi" w:hAnsiTheme="minorHAnsi" w:cs="Arial"/>
          <w:sz w:val="20"/>
          <w:szCs w:val="20"/>
        </w:rPr>
        <w:t xml:space="preserve">on detailed projections </w:t>
      </w:r>
      <w:r w:rsidR="00DA6694" w:rsidRPr="00F01EC8">
        <w:rPr>
          <w:rFonts w:asciiTheme="minorHAnsi" w:hAnsiTheme="minorHAnsi" w:cs="Arial"/>
          <w:sz w:val="20"/>
          <w:szCs w:val="20"/>
        </w:rPr>
        <w:t>for 20</w:t>
      </w:r>
      <w:r w:rsidR="00BD6E10" w:rsidRPr="00F01EC8">
        <w:rPr>
          <w:rFonts w:asciiTheme="minorHAnsi" w:hAnsiTheme="minorHAnsi" w:cs="Arial"/>
          <w:sz w:val="20"/>
          <w:szCs w:val="20"/>
        </w:rPr>
        <w:t>20</w:t>
      </w:r>
      <w:r w:rsidR="00DA6694" w:rsidRPr="00F01EC8">
        <w:rPr>
          <w:rFonts w:asciiTheme="minorHAnsi" w:hAnsiTheme="minorHAnsi" w:cs="Arial"/>
          <w:sz w:val="20"/>
          <w:szCs w:val="20"/>
        </w:rPr>
        <w:t xml:space="preserve"> and 202</w:t>
      </w:r>
      <w:r w:rsidR="00BD6E10" w:rsidRPr="00F01EC8">
        <w:rPr>
          <w:rFonts w:asciiTheme="minorHAnsi" w:hAnsiTheme="minorHAnsi" w:cs="Arial"/>
          <w:sz w:val="20"/>
          <w:szCs w:val="20"/>
        </w:rPr>
        <w:t>1</w:t>
      </w:r>
      <w:r w:rsidR="00DA6694" w:rsidRPr="00F01EC8">
        <w:rPr>
          <w:rFonts w:asciiTheme="minorHAnsi" w:hAnsiTheme="minorHAnsi" w:cs="Arial"/>
          <w:sz w:val="20"/>
          <w:szCs w:val="20"/>
        </w:rPr>
        <w:t xml:space="preserve"> together</w:t>
      </w:r>
      <w:r w:rsidRPr="00F01EC8">
        <w:rPr>
          <w:rFonts w:asciiTheme="minorHAnsi" w:hAnsiTheme="minorHAnsi" w:cs="Arial"/>
          <w:sz w:val="20"/>
          <w:szCs w:val="20"/>
        </w:rPr>
        <w:t xml:space="preserve"> with</w:t>
      </w:r>
      <w:r w:rsidR="00DA6694" w:rsidRPr="00F01EC8">
        <w:rPr>
          <w:rFonts w:asciiTheme="minorHAnsi" w:hAnsiTheme="minorHAnsi" w:cs="Arial"/>
          <w:sz w:val="20"/>
          <w:szCs w:val="20"/>
        </w:rPr>
        <w:t xml:space="preserve"> outline projections for the three subsequent years.</w:t>
      </w:r>
      <w:r w:rsidR="00BB6BC2" w:rsidRPr="00F01EC8">
        <w:rPr>
          <w:rFonts w:asciiTheme="minorHAnsi" w:hAnsiTheme="minorHAnsi" w:cs="Arial"/>
          <w:sz w:val="20"/>
          <w:szCs w:val="20"/>
        </w:rPr>
        <w:t xml:space="preserve"> </w:t>
      </w:r>
      <w:r w:rsidR="000E1EF3" w:rsidRPr="00F01EC8">
        <w:rPr>
          <w:rFonts w:asciiTheme="minorHAnsi" w:hAnsiTheme="minorHAnsi" w:cs="Arial"/>
          <w:sz w:val="20"/>
          <w:szCs w:val="20"/>
        </w:rPr>
        <w:t xml:space="preserve">This assessment has included consideration of the Group’s principal risks and uncertainties, including that of Covid-19, and the likelihood of these risks materialising into losses. </w:t>
      </w:r>
    </w:p>
    <w:p w14:paraId="74900DAB" w14:textId="77777777" w:rsidR="000E1EF3" w:rsidRPr="00F01EC8" w:rsidRDefault="000E1EF3" w:rsidP="000E1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13CAE688" w14:textId="4D485077" w:rsidR="000E1EF3" w:rsidRPr="00F01EC8" w:rsidRDefault="00422125"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Given the uncertain outlook as a result of Covid-19,</w:t>
      </w:r>
      <w:r w:rsidR="00EA2B7F" w:rsidRPr="00F01EC8">
        <w:rPr>
          <w:rFonts w:asciiTheme="minorHAnsi" w:hAnsiTheme="minorHAnsi" w:cs="Arial"/>
          <w:sz w:val="20"/>
          <w:szCs w:val="20"/>
        </w:rPr>
        <w:t xml:space="preserve"> additional</w:t>
      </w:r>
      <w:r w:rsidRPr="00F01EC8">
        <w:rPr>
          <w:rFonts w:asciiTheme="minorHAnsi" w:hAnsiTheme="minorHAnsi" w:cs="Arial"/>
          <w:sz w:val="20"/>
          <w:szCs w:val="20"/>
        </w:rPr>
        <w:t xml:space="preserve"> stress testing has been performed through modelling a range of </w:t>
      </w:r>
      <w:r w:rsidR="00EA2B7F" w:rsidRPr="00F01EC8">
        <w:rPr>
          <w:rFonts w:asciiTheme="minorHAnsi" w:hAnsiTheme="minorHAnsi" w:cs="Arial"/>
          <w:sz w:val="20"/>
          <w:szCs w:val="20"/>
        </w:rPr>
        <w:t xml:space="preserve">macro-economic </w:t>
      </w:r>
      <w:r w:rsidRPr="00F01EC8">
        <w:rPr>
          <w:rFonts w:asciiTheme="minorHAnsi" w:hAnsiTheme="minorHAnsi" w:cs="Arial"/>
          <w:sz w:val="20"/>
          <w:szCs w:val="20"/>
        </w:rPr>
        <w:t>scenarios</w:t>
      </w:r>
      <w:r w:rsidR="000E1EF3" w:rsidRPr="00F01EC8">
        <w:rPr>
          <w:rFonts w:asciiTheme="minorHAnsi" w:hAnsiTheme="minorHAnsi" w:cs="Arial"/>
          <w:sz w:val="20"/>
          <w:szCs w:val="20"/>
        </w:rPr>
        <w:t xml:space="preserve">. This initially assumes </w:t>
      </w:r>
      <w:r w:rsidR="00EA2B7F" w:rsidRPr="00F01EC8">
        <w:rPr>
          <w:rFonts w:asciiTheme="minorHAnsi" w:hAnsiTheme="minorHAnsi" w:cs="Arial"/>
          <w:sz w:val="20"/>
          <w:szCs w:val="20"/>
        </w:rPr>
        <w:t>a severe but plausible downturn</w:t>
      </w:r>
      <w:r w:rsidR="000E1EF3" w:rsidRPr="00F01EC8">
        <w:rPr>
          <w:rFonts w:asciiTheme="minorHAnsi" w:hAnsiTheme="minorHAnsi" w:cs="Arial"/>
          <w:sz w:val="20"/>
          <w:szCs w:val="20"/>
        </w:rPr>
        <w:t>, with ‘severe’</w:t>
      </w:r>
      <w:r w:rsidR="00EA2B7F" w:rsidRPr="00F01EC8">
        <w:rPr>
          <w:rFonts w:asciiTheme="minorHAnsi" w:hAnsiTheme="minorHAnsi" w:cs="Arial"/>
          <w:sz w:val="20"/>
          <w:szCs w:val="20"/>
        </w:rPr>
        <w:t xml:space="preserve"> </w:t>
      </w:r>
      <w:r w:rsidR="000E1EF3" w:rsidRPr="00F01EC8">
        <w:rPr>
          <w:rFonts w:asciiTheme="minorHAnsi" w:hAnsiTheme="minorHAnsi" w:cs="Arial"/>
          <w:sz w:val="20"/>
          <w:szCs w:val="20"/>
        </w:rPr>
        <w:t xml:space="preserve">being defined consistently with the </w:t>
      </w:r>
      <w:r w:rsidR="00EA2B7F" w:rsidRPr="00F01EC8">
        <w:rPr>
          <w:rFonts w:asciiTheme="minorHAnsi" w:hAnsiTheme="minorHAnsi" w:cs="Arial"/>
          <w:sz w:val="20"/>
          <w:szCs w:val="20"/>
        </w:rPr>
        <w:t xml:space="preserve">Group’s IFRS 9 </w:t>
      </w:r>
      <w:r w:rsidR="000E1EF3" w:rsidRPr="00F01EC8">
        <w:rPr>
          <w:rFonts w:asciiTheme="minorHAnsi" w:hAnsiTheme="minorHAnsi" w:cs="Arial"/>
          <w:sz w:val="20"/>
          <w:szCs w:val="20"/>
        </w:rPr>
        <w:t>‘severe’ macro-economic weighting. This assumes that unemployment in the UK reaches a peak unemployment rate of 14%. Further, more severe, scenarios have been modelled whi</w:t>
      </w:r>
      <w:r w:rsidRPr="00F01EC8">
        <w:rPr>
          <w:rFonts w:asciiTheme="minorHAnsi" w:hAnsiTheme="minorHAnsi" w:cs="Arial"/>
          <w:sz w:val="20"/>
          <w:szCs w:val="20"/>
        </w:rPr>
        <w:t xml:space="preserve">ch would need to materialise </w:t>
      </w:r>
      <w:r w:rsidR="00EA2B7F" w:rsidRPr="00F01EC8">
        <w:rPr>
          <w:rFonts w:asciiTheme="minorHAnsi" w:hAnsiTheme="minorHAnsi" w:cs="Arial"/>
          <w:sz w:val="20"/>
          <w:szCs w:val="20"/>
        </w:rPr>
        <w:t>to</w:t>
      </w:r>
      <w:r w:rsidRPr="00F01EC8">
        <w:rPr>
          <w:rFonts w:asciiTheme="minorHAnsi" w:hAnsiTheme="minorHAnsi" w:cs="Arial"/>
          <w:sz w:val="20"/>
          <w:szCs w:val="20"/>
        </w:rPr>
        <w:t xml:space="preserve"> prevent the directors from adopting the going concern assumption. </w:t>
      </w:r>
      <w:r w:rsidR="000E1EF3" w:rsidRPr="00F01EC8">
        <w:rPr>
          <w:rFonts w:asciiTheme="minorHAnsi" w:hAnsiTheme="minorHAnsi" w:cs="Arial"/>
          <w:sz w:val="20"/>
          <w:szCs w:val="20"/>
        </w:rPr>
        <w:t>The projections do not assume any further refinancing</w:t>
      </w:r>
      <w:r w:rsidR="00F85436" w:rsidRPr="00F01EC8">
        <w:rPr>
          <w:rFonts w:asciiTheme="minorHAnsi" w:hAnsiTheme="minorHAnsi" w:cs="Arial"/>
          <w:sz w:val="20"/>
          <w:szCs w:val="20"/>
        </w:rPr>
        <w:t>, or government support,</w:t>
      </w:r>
      <w:r w:rsidR="000E1EF3" w:rsidRPr="00F01EC8">
        <w:rPr>
          <w:rFonts w:asciiTheme="minorHAnsi" w:hAnsiTheme="minorHAnsi" w:cs="Arial"/>
          <w:sz w:val="20"/>
          <w:szCs w:val="20"/>
        </w:rPr>
        <w:t xml:space="preserve"> and the Group’s revised TCR has been assumed in </w:t>
      </w:r>
      <w:r w:rsidR="00F85436" w:rsidRPr="00F01EC8">
        <w:rPr>
          <w:rFonts w:asciiTheme="minorHAnsi" w:hAnsiTheme="minorHAnsi" w:cs="Arial"/>
          <w:sz w:val="20"/>
          <w:szCs w:val="20"/>
        </w:rPr>
        <w:t>all</w:t>
      </w:r>
      <w:r w:rsidR="000E1EF3" w:rsidRPr="00F01EC8">
        <w:rPr>
          <w:rFonts w:asciiTheme="minorHAnsi" w:hAnsiTheme="minorHAnsi" w:cs="Arial"/>
          <w:sz w:val="20"/>
          <w:szCs w:val="20"/>
        </w:rPr>
        <w:t xml:space="preserve"> scenarios modelled.</w:t>
      </w:r>
    </w:p>
    <w:p w14:paraId="71A08C36" w14:textId="77777777" w:rsidR="00EA2B7F" w:rsidRPr="00F01EC8" w:rsidRDefault="00EA2B7F" w:rsidP="00EA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372FD5A0" w14:textId="07533D1F" w:rsidR="00EA2B7F" w:rsidRPr="00F01EC8" w:rsidRDefault="00EA2B7F" w:rsidP="00EA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Based on this review, the directors are satisfied that the </w:t>
      </w:r>
      <w:r w:rsidR="005714EF">
        <w:rPr>
          <w:rFonts w:asciiTheme="minorHAnsi" w:hAnsiTheme="minorHAnsi" w:cs="Arial"/>
          <w:sz w:val="20"/>
          <w:szCs w:val="20"/>
        </w:rPr>
        <w:t>G</w:t>
      </w:r>
      <w:r w:rsidRPr="00F01EC8">
        <w:rPr>
          <w:rFonts w:asciiTheme="minorHAnsi" w:hAnsiTheme="minorHAnsi" w:cs="Arial"/>
          <w:sz w:val="20"/>
          <w:szCs w:val="20"/>
        </w:rPr>
        <w:t xml:space="preserve">roup has </w:t>
      </w:r>
      <w:r w:rsidR="000E1EF3" w:rsidRPr="00F01EC8">
        <w:rPr>
          <w:rFonts w:asciiTheme="minorHAnsi" w:hAnsiTheme="minorHAnsi" w:cs="Arial"/>
          <w:sz w:val="20"/>
          <w:szCs w:val="20"/>
        </w:rPr>
        <w:t xml:space="preserve">the </w:t>
      </w:r>
      <w:r w:rsidR="00F85436" w:rsidRPr="00F01EC8">
        <w:rPr>
          <w:rFonts w:asciiTheme="minorHAnsi" w:hAnsiTheme="minorHAnsi" w:cs="Arial"/>
          <w:sz w:val="20"/>
          <w:szCs w:val="20"/>
        </w:rPr>
        <w:t xml:space="preserve">required </w:t>
      </w:r>
      <w:r w:rsidR="000E1EF3" w:rsidRPr="00F01EC8">
        <w:rPr>
          <w:rFonts w:asciiTheme="minorHAnsi" w:hAnsiTheme="minorHAnsi" w:cs="Arial"/>
          <w:sz w:val="20"/>
          <w:szCs w:val="20"/>
        </w:rPr>
        <w:t xml:space="preserve">resources to continue in business for a period of at least twelve months </w:t>
      </w:r>
      <w:r w:rsidR="00F85436" w:rsidRPr="00F01EC8">
        <w:rPr>
          <w:rFonts w:asciiTheme="minorHAnsi" w:hAnsiTheme="minorHAnsi" w:cs="Arial"/>
          <w:sz w:val="20"/>
          <w:szCs w:val="20"/>
        </w:rPr>
        <w:t>following</w:t>
      </w:r>
      <w:r w:rsidR="000E1EF3" w:rsidRPr="00F01EC8">
        <w:rPr>
          <w:rFonts w:asciiTheme="minorHAnsi" w:hAnsiTheme="minorHAnsi" w:cs="Arial"/>
          <w:sz w:val="20"/>
          <w:szCs w:val="20"/>
        </w:rPr>
        <w:t xml:space="preserve"> the approval of the interim financial statements</w:t>
      </w:r>
      <w:r w:rsidRPr="00F01EC8">
        <w:rPr>
          <w:rFonts w:asciiTheme="minorHAnsi" w:hAnsiTheme="minorHAnsi" w:cs="Arial"/>
          <w:sz w:val="20"/>
          <w:szCs w:val="20"/>
        </w:rPr>
        <w:t>. For this reason, the directors continue to adopt the going concern basis in preparing the unaudited condensed interim financial statements.</w:t>
      </w:r>
    </w:p>
    <w:p w14:paraId="3E28709A" w14:textId="77777777" w:rsidR="00752F66" w:rsidRPr="00F01EC8" w:rsidRDefault="00752F66" w:rsidP="005769A4">
      <w:pPr>
        <w:rPr>
          <w:rFonts w:asciiTheme="minorHAnsi" w:hAnsiTheme="minorHAnsi" w:cs="OpenSansLight-Italic"/>
          <w:iCs/>
          <w:color w:val="000000"/>
          <w:sz w:val="20"/>
          <w:szCs w:val="20"/>
        </w:rPr>
      </w:pPr>
    </w:p>
    <w:p w14:paraId="167A971D" w14:textId="77777777" w:rsidR="008202D8" w:rsidRPr="00F01EC8" w:rsidRDefault="008202D8" w:rsidP="005769A4">
      <w:pPr>
        <w:rPr>
          <w:rFonts w:asciiTheme="minorHAnsi" w:hAnsiTheme="minorHAnsi" w:cs="Arial"/>
          <w:b/>
          <w:bCs/>
          <w:sz w:val="20"/>
          <w:szCs w:val="20"/>
        </w:rPr>
      </w:pPr>
    </w:p>
    <w:p w14:paraId="202EC7DF" w14:textId="0E23AFAB" w:rsidR="00DA6694" w:rsidRPr="00F01EC8" w:rsidRDefault="00B55293" w:rsidP="00FB2FF4">
      <w:pPr>
        <w:jc w:val="both"/>
        <w:rPr>
          <w:rStyle w:val="bodycopynumber"/>
          <w:rFonts w:asciiTheme="minorHAnsi" w:hAnsiTheme="minorHAnsi" w:cs="Arial"/>
          <w:b/>
          <w:bCs/>
          <w:sz w:val="20"/>
          <w:szCs w:val="20"/>
        </w:rPr>
      </w:pPr>
      <w:bookmarkStart w:id="18" w:name="_Hlk47704268"/>
      <w:r w:rsidRPr="00F01EC8">
        <w:rPr>
          <w:rStyle w:val="bodycopynumber"/>
          <w:rFonts w:asciiTheme="minorHAnsi" w:hAnsiTheme="minorHAnsi" w:cs="Arial"/>
          <w:b/>
          <w:bCs/>
          <w:sz w:val="20"/>
          <w:szCs w:val="20"/>
        </w:rPr>
        <w:t>3</w:t>
      </w:r>
      <w:r w:rsidR="00DA6694" w:rsidRPr="00F01EC8">
        <w:rPr>
          <w:rStyle w:val="bodycopynumber"/>
          <w:rFonts w:asciiTheme="minorHAnsi" w:hAnsiTheme="minorHAnsi" w:cs="Arial"/>
          <w:b/>
          <w:bCs/>
          <w:sz w:val="20"/>
          <w:szCs w:val="20"/>
        </w:rPr>
        <w:t>.</w:t>
      </w:r>
      <w:r w:rsidR="00DA6694" w:rsidRPr="00F01EC8">
        <w:rPr>
          <w:rStyle w:val="bodycopynumber"/>
          <w:rFonts w:asciiTheme="minorHAnsi" w:hAnsiTheme="minorHAnsi" w:cs="Arial"/>
          <w:b/>
          <w:bCs/>
          <w:sz w:val="20"/>
          <w:szCs w:val="20"/>
        </w:rPr>
        <w:tab/>
        <w:t>Accounting policies</w:t>
      </w:r>
    </w:p>
    <w:p w14:paraId="3DB67062"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A59A9D4" w14:textId="77777777" w:rsidR="00461638" w:rsidRPr="00F01EC8" w:rsidRDefault="00461638" w:rsidP="00461638">
      <w:pPr>
        <w:jc w:val="both"/>
        <w:rPr>
          <w:rFonts w:asciiTheme="minorHAnsi" w:hAnsiTheme="minorHAnsi" w:cs="Arial"/>
          <w:sz w:val="20"/>
          <w:szCs w:val="20"/>
        </w:rPr>
      </w:pPr>
      <w:r w:rsidRPr="00F01EC8">
        <w:rPr>
          <w:rFonts w:asciiTheme="minorHAnsi" w:hAnsiTheme="minorHAnsi" w:cs="Arial"/>
          <w:sz w:val="20"/>
          <w:szCs w:val="20"/>
        </w:rPr>
        <w:t>The accounting policies applied in preparing the unaudited condensed interim financial statements are consistent with those used in preparing the statutory financial statements for the year ended 31 December 2019. The 2019 June comparatives have been restated to reflect the two changes in accounting policies reflected in the 2019 financial statements: (i) change in treatment of directly attributable deferred acquisition costs in Vanquis Bank; and (ii) changes in the recognition of revenue on credit impaired receivables and treatment of directly attributable acquisition costs in Moneybarn.</w:t>
      </w:r>
    </w:p>
    <w:p w14:paraId="5260CFDC" w14:textId="77777777" w:rsidR="00461638" w:rsidRPr="00F01EC8" w:rsidRDefault="00461638" w:rsidP="00461638">
      <w:pPr>
        <w:rPr>
          <w:rFonts w:asciiTheme="minorHAnsi" w:hAnsiTheme="minorHAnsi" w:cs="Arial"/>
          <w:sz w:val="20"/>
          <w:szCs w:val="20"/>
        </w:rPr>
      </w:pPr>
    </w:p>
    <w:p w14:paraId="6713001D" w14:textId="77777777" w:rsidR="00461638" w:rsidRPr="00F01EC8" w:rsidRDefault="00461638" w:rsidP="00F43660">
      <w:pPr>
        <w:jc w:val="both"/>
        <w:rPr>
          <w:rFonts w:asciiTheme="minorHAnsi" w:hAnsiTheme="minorHAnsi" w:cs="Arial"/>
          <w:sz w:val="20"/>
          <w:szCs w:val="20"/>
          <w:u w:val="single"/>
        </w:rPr>
      </w:pPr>
      <w:r w:rsidRPr="00F01EC8">
        <w:rPr>
          <w:rFonts w:asciiTheme="minorHAnsi" w:hAnsiTheme="minorHAnsi" w:cs="Arial"/>
          <w:sz w:val="20"/>
          <w:szCs w:val="20"/>
          <w:u w:val="single"/>
        </w:rPr>
        <w:t>Change in treatment of directly attributable acquisition costs in Vanquis Bank</w:t>
      </w:r>
    </w:p>
    <w:p w14:paraId="3BE46247" w14:textId="456C3379" w:rsidR="00461638" w:rsidRPr="00F01EC8" w:rsidRDefault="00461638" w:rsidP="00F43660">
      <w:pPr>
        <w:jc w:val="both"/>
        <w:rPr>
          <w:rFonts w:asciiTheme="minorHAnsi" w:hAnsiTheme="minorHAnsi" w:cs="Arial"/>
          <w:sz w:val="20"/>
          <w:szCs w:val="20"/>
        </w:rPr>
      </w:pPr>
      <w:r w:rsidRPr="00F01EC8">
        <w:rPr>
          <w:rFonts w:asciiTheme="minorHAnsi" w:hAnsiTheme="minorHAnsi" w:cs="Arial"/>
          <w:sz w:val="20"/>
          <w:szCs w:val="20"/>
        </w:rPr>
        <w:t xml:space="preserve">As part of a refresh of contractual terms with affiliates during 2019, the </w:t>
      </w:r>
      <w:r w:rsidR="005714EF">
        <w:rPr>
          <w:rFonts w:asciiTheme="minorHAnsi" w:hAnsiTheme="minorHAnsi" w:cs="Arial"/>
          <w:sz w:val="20"/>
          <w:szCs w:val="20"/>
        </w:rPr>
        <w:t>G</w:t>
      </w:r>
      <w:r w:rsidRPr="00F01EC8">
        <w:rPr>
          <w:rFonts w:asciiTheme="minorHAnsi" w:hAnsiTheme="minorHAnsi" w:cs="Arial"/>
          <w:sz w:val="20"/>
          <w:szCs w:val="20"/>
        </w:rPr>
        <w:t>roup reviewed the treatment of directly attributable acquisition costs paid by Vanquis Bank to third parties upon acceptance of new credit card customers introduced by those third parties. Historically, such costs were charged to the income statement as incurred on the basis that the credit card customer is not required to use the credit card. Upon review of this policy, it was determined that the expected use of the issued credit cards can be reliably predicted and it was probable that the issued credit cards would be used resulting in the recognition of credit card receivables with the associated benefits flowing to Vanquis</w:t>
      </w:r>
      <w:r w:rsidR="002303EB">
        <w:rPr>
          <w:rFonts w:asciiTheme="minorHAnsi" w:hAnsiTheme="minorHAnsi" w:cs="Arial"/>
          <w:sz w:val="20"/>
          <w:szCs w:val="20"/>
        </w:rPr>
        <w:t xml:space="preserve"> </w:t>
      </w:r>
      <w:r w:rsidRPr="00F01EC8">
        <w:rPr>
          <w:rFonts w:asciiTheme="minorHAnsi" w:hAnsiTheme="minorHAnsi" w:cs="Arial"/>
          <w:sz w:val="20"/>
          <w:szCs w:val="20"/>
        </w:rPr>
        <w:lastRenderedPageBreak/>
        <w:t xml:space="preserve">Bank. Accordingly, directly attributable acquisition costs are now capitalised as part of credit card receivables and amortised over the expected life of customer accounts. </w:t>
      </w:r>
    </w:p>
    <w:p w14:paraId="30762D0F" w14:textId="77777777" w:rsidR="00461638" w:rsidRPr="00F01EC8" w:rsidRDefault="00461638" w:rsidP="00F43660">
      <w:pPr>
        <w:jc w:val="both"/>
        <w:rPr>
          <w:rFonts w:asciiTheme="minorHAnsi" w:hAnsiTheme="minorHAnsi" w:cs="Arial"/>
          <w:sz w:val="20"/>
          <w:szCs w:val="20"/>
        </w:rPr>
      </w:pPr>
    </w:p>
    <w:p w14:paraId="5EF84687" w14:textId="4566B966" w:rsidR="00461638" w:rsidRPr="00F01EC8" w:rsidRDefault="00461638" w:rsidP="00F43660">
      <w:pPr>
        <w:jc w:val="both"/>
        <w:rPr>
          <w:rFonts w:asciiTheme="minorHAnsi" w:hAnsiTheme="minorHAnsi" w:cs="Arial"/>
          <w:sz w:val="20"/>
          <w:szCs w:val="20"/>
        </w:rPr>
      </w:pPr>
      <w:r w:rsidRPr="00F01EC8">
        <w:rPr>
          <w:rFonts w:asciiTheme="minorHAnsi" w:hAnsiTheme="minorHAnsi" w:cs="Arial"/>
          <w:sz w:val="20"/>
          <w:szCs w:val="20"/>
        </w:rPr>
        <w:t xml:space="preserve">The </w:t>
      </w:r>
      <w:r w:rsidR="005714EF">
        <w:rPr>
          <w:rFonts w:asciiTheme="minorHAnsi" w:hAnsiTheme="minorHAnsi" w:cs="Arial"/>
          <w:sz w:val="20"/>
          <w:szCs w:val="20"/>
        </w:rPr>
        <w:t>G</w:t>
      </w:r>
      <w:r w:rsidRPr="00F01EC8">
        <w:rPr>
          <w:rFonts w:asciiTheme="minorHAnsi" w:hAnsiTheme="minorHAnsi" w:cs="Arial"/>
          <w:sz w:val="20"/>
          <w:szCs w:val="20"/>
        </w:rPr>
        <w:t>roup concluded that the new treatment represented a change in accounting policy and restated the 2018 results. The June 2019 consolidated income statement, statement of comprehensive income, balance sheet and statement of changes in shareholders’ equity have therefore also been restated. The prior year restatement has resulted in an increase in receivables of £26.7m at June 2019 and an increase in profit before tax in the first six months ended 30 June 2019 of £5.5m, comprising a reduction in costs of £9.0m and a reduction in revenue of £3.5m.</w:t>
      </w:r>
    </w:p>
    <w:p w14:paraId="75B69BC1" w14:textId="77777777" w:rsidR="00461638" w:rsidRPr="00F01EC8" w:rsidRDefault="00461638" w:rsidP="00F43660">
      <w:pPr>
        <w:jc w:val="both"/>
        <w:rPr>
          <w:rFonts w:asciiTheme="minorHAnsi" w:hAnsiTheme="minorHAnsi" w:cs="Arial"/>
          <w:sz w:val="20"/>
          <w:szCs w:val="20"/>
        </w:rPr>
      </w:pPr>
    </w:p>
    <w:p w14:paraId="79823ED6" w14:textId="77777777" w:rsidR="00461638" w:rsidRPr="00F01EC8" w:rsidRDefault="00461638" w:rsidP="00F43660">
      <w:pPr>
        <w:jc w:val="both"/>
        <w:rPr>
          <w:rFonts w:asciiTheme="minorHAnsi" w:hAnsiTheme="minorHAnsi" w:cs="Arial"/>
          <w:sz w:val="20"/>
          <w:szCs w:val="20"/>
          <w:u w:val="single"/>
        </w:rPr>
      </w:pPr>
      <w:r w:rsidRPr="00F01EC8">
        <w:rPr>
          <w:rFonts w:asciiTheme="minorHAnsi" w:hAnsiTheme="minorHAnsi" w:cs="Arial"/>
          <w:sz w:val="20"/>
          <w:szCs w:val="20"/>
          <w:u w:val="single"/>
        </w:rPr>
        <w:t>Changes in treatment of revenue recognition on credit impaired receivables and directly attributable acquisition costs in Moneybarn</w:t>
      </w:r>
    </w:p>
    <w:p w14:paraId="40AB639A" w14:textId="792A4082" w:rsidR="00461638" w:rsidRPr="00F01EC8" w:rsidRDefault="00461638" w:rsidP="00F43660">
      <w:pPr>
        <w:jc w:val="both"/>
        <w:rPr>
          <w:rFonts w:asciiTheme="minorHAnsi" w:hAnsiTheme="minorHAnsi" w:cs="Arial"/>
          <w:sz w:val="20"/>
          <w:szCs w:val="20"/>
        </w:rPr>
      </w:pPr>
      <w:r w:rsidRPr="00F01EC8">
        <w:rPr>
          <w:rFonts w:asciiTheme="minorHAnsi" w:hAnsiTheme="minorHAnsi" w:cs="Arial"/>
          <w:sz w:val="20"/>
          <w:szCs w:val="20"/>
        </w:rPr>
        <w:t xml:space="preserve">In preparing the 2019 financial statements, the </w:t>
      </w:r>
      <w:r w:rsidR="005714EF">
        <w:rPr>
          <w:rFonts w:asciiTheme="minorHAnsi" w:hAnsiTheme="minorHAnsi" w:cs="Arial"/>
          <w:sz w:val="20"/>
          <w:szCs w:val="20"/>
        </w:rPr>
        <w:t>G</w:t>
      </w:r>
      <w:r w:rsidRPr="00F01EC8">
        <w:rPr>
          <w:rFonts w:asciiTheme="minorHAnsi" w:hAnsiTheme="minorHAnsi" w:cs="Arial"/>
          <w:sz w:val="20"/>
          <w:szCs w:val="20"/>
        </w:rPr>
        <w:t xml:space="preserve">roup made two changes in accounting treatment in Moneybarn relating to: (i) revenue recognition on the conditional sale agreements within Moneybarn which are classified as credit impaired (i.e. stage 3 assets under IFRS 9), following adoption of IFRS 16 on 1 January 2019; and (ii) the treatment from a disclosure perspective of directly attributable acquisition costs to align with the rest of the </w:t>
      </w:r>
      <w:r w:rsidR="005714EF">
        <w:rPr>
          <w:rFonts w:asciiTheme="minorHAnsi" w:hAnsiTheme="minorHAnsi" w:cs="Arial"/>
          <w:sz w:val="20"/>
          <w:szCs w:val="20"/>
        </w:rPr>
        <w:t>G</w:t>
      </w:r>
      <w:r w:rsidRPr="00F01EC8">
        <w:rPr>
          <w:rFonts w:asciiTheme="minorHAnsi" w:hAnsiTheme="minorHAnsi" w:cs="Arial"/>
          <w:sz w:val="20"/>
          <w:szCs w:val="20"/>
        </w:rPr>
        <w:t xml:space="preserve">roup. </w:t>
      </w:r>
    </w:p>
    <w:p w14:paraId="791ED867" w14:textId="77777777" w:rsidR="00461638" w:rsidRPr="00F01EC8" w:rsidRDefault="00461638" w:rsidP="00F43660">
      <w:pPr>
        <w:jc w:val="both"/>
        <w:rPr>
          <w:rFonts w:asciiTheme="minorHAnsi" w:hAnsiTheme="minorHAnsi" w:cs="Arial"/>
          <w:sz w:val="20"/>
          <w:szCs w:val="20"/>
        </w:rPr>
      </w:pPr>
    </w:p>
    <w:p w14:paraId="14B17E2C" w14:textId="2D8E2DD7" w:rsidR="00461638" w:rsidRPr="00F01EC8" w:rsidRDefault="00461638" w:rsidP="00F43660">
      <w:pPr>
        <w:jc w:val="both"/>
        <w:rPr>
          <w:rFonts w:asciiTheme="minorHAnsi" w:hAnsiTheme="minorHAnsi" w:cs="Arial"/>
          <w:sz w:val="20"/>
          <w:szCs w:val="20"/>
        </w:rPr>
      </w:pPr>
      <w:r w:rsidRPr="00F01EC8">
        <w:rPr>
          <w:rFonts w:asciiTheme="minorHAnsi" w:hAnsiTheme="minorHAnsi" w:cs="Arial"/>
          <w:sz w:val="20"/>
          <w:szCs w:val="20"/>
        </w:rPr>
        <w:t xml:space="preserve">The </w:t>
      </w:r>
      <w:r w:rsidR="005714EF">
        <w:rPr>
          <w:rFonts w:asciiTheme="minorHAnsi" w:hAnsiTheme="minorHAnsi" w:cs="Arial"/>
          <w:sz w:val="20"/>
          <w:szCs w:val="20"/>
        </w:rPr>
        <w:t>G</w:t>
      </w:r>
      <w:r w:rsidRPr="00F01EC8">
        <w:rPr>
          <w:rFonts w:asciiTheme="minorHAnsi" w:hAnsiTheme="minorHAnsi" w:cs="Arial"/>
          <w:sz w:val="20"/>
          <w:szCs w:val="20"/>
        </w:rPr>
        <w:t>roup concluded that the new treatment reflected a change in accounting policy required to be applied retrospectively and accordingly restated the 2018 results. The June 2019 consolidated income statement, statement of comprehensive income, balance sheet and statement of changes in shareholders’ equity have therefore also been restated. The restatement results in a reduction in Moneybarn’s revenue for the 6 months ended 30 June 2019 of £8.6m with a corresponding reduction in administrative and operating costs of £8.6m. There is no impact on profit before tax. The carrying value of receivables at 30 June 2019 has increased by £23.4m with a corresponding reduction in trade and other receivables.</w:t>
      </w:r>
    </w:p>
    <w:p w14:paraId="3F100769" w14:textId="77777777" w:rsidR="00461638" w:rsidRPr="00F01EC8" w:rsidRDefault="00461638" w:rsidP="00F43660">
      <w:pPr>
        <w:ind w:left="567" w:hanging="567"/>
        <w:jc w:val="both"/>
        <w:rPr>
          <w:rFonts w:asciiTheme="minorHAnsi" w:hAnsiTheme="minorHAnsi" w:cs="Arial"/>
          <w:b/>
          <w:sz w:val="20"/>
          <w:szCs w:val="20"/>
        </w:rPr>
      </w:pPr>
    </w:p>
    <w:p w14:paraId="3A9B9F43" w14:textId="77777777" w:rsidR="00752F66" w:rsidRPr="00F01EC8" w:rsidRDefault="00752F66" w:rsidP="00F43660">
      <w:pPr>
        <w:ind w:left="567" w:hanging="567"/>
        <w:jc w:val="both"/>
        <w:rPr>
          <w:rFonts w:asciiTheme="minorHAnsi" w:hAnsiTheme="minorHAnsi" w:cs="Arial"/>
          <w:b/>
          <w:sz w:val="20"/>
          <w:szCs w:val="20"/>
        </w:rPr>
      </w:pPr>
      <w:r w:rsidRPr="00F01EC8">
        <w:rPr>
          <w:rFonts w:asciiTheme="minorHAnsi" w:hAnsiTheme="minorHAnsi" w:cs="Arial"/>
          <w:b/>
          <w:sz w:val="20"/>
          <w:szCs w:val="20"/>
        </w:rPr>
        <w:t>Critical accounting judgements and key sources of estimation uncertainty</w:t>
      </w:r>
    </w:p>
    <w:p w14:paraId="7F399E8F" w14:textId="77777777" w:rsidR="00752F66" w:rsidRPr="00F01EC8" w:rsidRDefault="00752F66" w:rsidP="00F4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1A99312" w14:textId="2BC6D22E" w:rsidR="00D851AC" w:rsidRPr="00F01EC8" w:rsidRDefault="00D851AC" w:rsidP="00F43660">
      <w:p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The significant accounting judgements</w:t>
      </w:r>
      <w:r w:rsidR="00D47DE8" w:rsidRPr="00F01EC8">
        <w:rPr>
          <w:rFonts w:asciiTheme="minorHAnsi" w:hAnsiTheme="minorHAnsi" w:cs="Arial"/>
          <w:sz w:val="20"/>
          <w:szCs w:val="20"/>
        </w:rPr>
        <w:t xml:space="preserve"> exercised by management</w:t>
      </w:r>
      <w:r w:rsidRPr="00F01EC8">
        <w:rPr>
          <w:rFonts w:asciiTheme="minorHAnsi" w:hAnsiTheme="minorHAnsi" w:cs="Arial"/>
          <w:sz w:val="20"/>
          <w:szCs w:val="20"/>
        </w:rPr>
        <w:t xml:space="preserve"> and key sources of estimation uncertainty in the interim financial statements are consistent with those adopted in the statutory financial statements for the year ended 31 December 2019 with the exception of the impact of Covid-19.  </w:t>
      </w:r>
    </w:p>
    <w:p w14:paraId="2BCC1B88" w14:textId="20EF38C3" w:rsidR="00D851AC" w:rsidRPr="00F01EC8" w:rsidRDefault="00D851AC" w:rsidP="00FC53AA">
      <w:pPr>
        <w:autoSpaceDE w:val="0"/>
        <w:autoSpaceDN w:val="0"/>
        <w:adjustRightInd w:val="0"/>
        <w:jc w:val="both"/>
        <w:rPr>
          <w:rFonts w:asciiTheme="minorHAnsi" w:hAnsiTheme="minorHAnsi" w:cs="Arial"/>
          <w:sz w:val="20"/>
          <w:szCs w:val="20"/>
        </w:rPr>
      </w:pPr>
    </w:p>
    <w:p w14:paraId="552A472D" w14:textId="74138D57" w:rsidR="00D45128" w:rsidRPr="00F01EC8" w:rsidRDefault="00D45128" w:rsidP="00FC53AA">
      <w:pPr>
        <w:autoSpaceDE w:val="0"/>
        <w:autoSpaceDN w:val="0"/>
        <w:adjustRightInd w:val="0"/>
        <w:jc w:val="both"/>
        <w:rPr>
          <w:rFonts w:asciiTheme="minorHAnsi" w:hAnsiTheme="minorHAnsi" w:cs="Arial"/>
          <w:sz w:val="20"/>
          <w:szCs w:val="20"/>
          <w:u w:val="single"/>
        </w:rPr>
      </w:pPr>
      <w:r w:rsidRPr="00F01EC8">
        <w:rPr>
          <w:rFonts w:asciiTheme="minorHAnsi" w:hAnsiTheme="minorHAnsi" w:cs="Arial"/>
          <w:sz w:val="20"/>
          <w:szCs w:val="20"/>
          <w:u w:val="single"/>
        </w:rPr>
        <w:t>Amounts receivable from customers</w:t>
      </w:r>
    </w:p>
    <w:p w14:paraId="42A7B511" w14:textId="79B368A1" w:rsidR="00C570EA" w:rsidRPr="00F01EC8" w:rsidRDefault="00752F66"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As disclosed in the 2019 Annual report and financial statements, </w:t>
      </w:r>
      <w:r w:rsidR="00C570EA" w:rsidRPr="00F01EC8">
        <w:rPr>
          <w:rFonts w:asciiTheme="minorHAnsi" w:hAnsiTheme="minorHAnsi" w:cs="Arial"/>
          <w:sz w:val="20"/>
          <w:szCs w:val="20"/>
        </w:rPr>
        <w:t>the valuation of amounts receivable from customers remains a significant accounting judgement.</w:t>
      </w:r>
    </w:p>
    <w:p w14:paraId="07551864" w14:textId="60E3C844" w:rsidR="00752F66" w:rsidRPr="00F01EC8" w:rsidRDefault="00C570EA"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Expected Credit Losses (ECL) are recognised on inception of a loan based on the probability of default (PD), exposure at default (EAD) and the loss given default (LGD)</w:t>
      </w:r>
      <w:r w:rsidR="00752F66" w:rsidRPr="00F01EC8">
        <w:rPr>
          <w:rFonts w:asciiTheme="minorHAnsi" w:hAnsiTheme="minorHAnsi" w:cs="Arial"/>
          <w:sz w:val="20"/>
          <w:szCs w:val="20"/>
        </w:rPr>
        <w:t xml:space="preserve">. For the purposes of assessing </w:t>
      </w:r>
      <w:r w:rsidR="00D851AC" w:rsidRPr="00F01EC8">
        <w:rPr>
          <w:rFonts w:asciiTheme="minorHAnsi" w:hAnsiTheme="minorHAnsi" w:cs="Arial"/>
          <w:sz w:val="20"/>
          <w:szCs w:val="20"/>
        </w:rPr>
        <w:t>ECL for amounts</w:t>
      </w:r>
      <w:r w:rsidR="00752F66" w:rsidRPr="00F01EC8">
        <w:rPr>
          <w:rFonts w:asciiTheme="minorHAnsi" w:hAnsiTheme="minorHAnsi" w:cs="Arial"/>
          <w:sz w:val="20"/>
          <w:szCs w:val="20"/>
        </w:rPr>
        <w:t xml:space="preserve"> receivable</w:t>
      </w:r>
      <w:r w:rsidR="00D851AC" w:rsidRPr="00F01EC8">
        <w:rPr>
          <w:rFonts w:asciiTheme="minorHAnsi" w:hAnsiTheme="minorHAnsi" w:cs="Arial"/>
          <w:sz w:val="20"/>
          <w:szCs w:val="20"/>
        </w:rPr>
        <w:t xml:space="preserve"> from customers</w:t>
      </w:r>
      <w:r w:rsidR="00752F66" w:rsidRPr="00F01EC8">
        <w:rPr>
          <w:rFonts w:asciiTheme="minorHAnsi" w:hAnsiTheme="minorHAnsi" w:cs="Arial"/>
          <w:sz w:val="20"/>
          <w:szCs w:val="20"/>
        </w:rPr>
        <w:t xml:space="preserve">, </w:t>
      </w:r>
      <w:r w:rsidR="00D851AC" w:rsidRPr="00F01EC8">
        <w:rPr>
          <w:rFonts w:asciiTheme="minorHAnsi" w:hAnsiTheme="minorHAnsi" w:cs="Arial"/>
          <w:sz w:val="20"/>
          <w:szCs w:val="20"/>
        </w:rPr>
        <w:t xml:space="preserve">receivables </w:t>
      </w:r>
      <w:r w:rsidR="00752F66" w:rsidRPr="00F01EC8">
        <w:rPr>
          <w:rFonts w:asciiTheme="minorHAnsi" w:hAnsiTheme="minorHAnsi" w:cs="Arial"/>
          <w:sz w:val="20"/>
          <w:szCs w:val="20"/>
        </w:rPr>
        <w:t xml:space="preserve">are categorised </w:t>
      </w:r>
      <w:r w:rsidRPr="00F01EC8">
        <w:rPr>
          <w:rFonts w:asciiTheme="minorHAnsi" w:hAnsiTheme="minorHAnsi" w:cs="Arial"/>
          <w:sz w:val="20"/>
          <w:szCs w:val="20"/>
        </w:rPr>
        <w:t>based on the PD</w:t>
      </w:r>
      <w:r w:rsidR="00D45128" w:rsidRPr="00F01EC8">
        <w:rPr>
          <w:rFonts w:asciiTheme="minorHAnsi" w:hAnsiTheme="minorHAnsi" w:cs="Arial"/>
          <w:sz w:val="20"/>
          <w:szCs w:val="20"/>
        </w:rPr>
        <w:t xml:space="preserve"> </w:t>
      </w:r>
      <w:r w:rsidR="00752F66" w:rsidRPr="00F01EC8">
        <w:rPr>
          <w:rFonts w:asciiTheme="minorHAnsi" w:hAnsiTheme="minorHAnsi" w:cs="Arial"/>
          <w:sz w:val="20"/>
          <w:szCs w:val="20"/>
        </w:rPr>
        <w:t>into IFRS 9 stages and cohorts which</w:t>
      </w:r>
      <w:r w:rsidR="00D45128" w:rsidRPr="00F01EC8">
        <w:rPr>
          <w:rFonts w:asciiTheme="minorHAnsi" w:hAnsiTheme="minorHAnsi" w:cs="Arial"/>
          <w:sz w:val="20"/>
          <w:szCs w:val="20"/>
        </w:rPr>
        <w:t xml:space="preserve"> are believed to provide evidence of a significant increase in credit risk (SICR)</w:t>
      </w:r>
      <w:r w:rsidRPr="00F01EC8">
        <w:rPr>
          <w:rFonts w:asciiTheme="minorHAnsi" w:hAnsiTheme="minorHAnsi" w:cs="Arial"/>
          <w:sz w:val="20"/>
          <w:szCs w:val="20"/>
        </w:rPr>
        <w:t xml:space="preserve"> or default</w:t>
      </w:r>
      <w:r w:rsidR="00D45128" w:rsidRPr="00F01EC8">
        <w:rPr>
          <w:rFonts w:asciiTheme="minorHAnsi" w:hAnsiTheme="minorHAnsi" w:cs="Arial"/>
          <w:sz w:val="20"/>
          <w:szCs w:val="20"/>
        </w:rPr>
        <w:t>. These stages</w:t>
      </w:r>
      <w:r w:rsidR="00752F66" w:rsidRPr="00F01EC8">
        <w:rPr>
          <w:rFonts w:asciiTheme="minorHAnsi" w:hAnsiTheme="minorHAnsi" w:cs="Arial"/>
          <w:sz w:val="20"/>
          <w:szCs w:val="20"/>
        </w:rPr>
        <w:t xml:space="preserve"> are considered to be the most reliable indication of </w:t>
      </w:r>
      <w:r w:rsidRPr="00F01EC8">
        <w:rPr>
          <w:rFonts w:asciiTheme="minorHAnsi" w:hAnsiTheme="minorHAnsi" w:cs="Arial"/>
          <w:sz w:val="20"/>
          <w:szCs w:val="20"/>
        </w:rPr>
        <w:t>ECL.</w:t>
      </w:r>
      <w:r w:rsidR="00D45128" w:rsidRPr="00F01EC8">
        <w:rPr>
          <w:rFonts w:asciiTheme="minorHAnsi" w:hAnsiTheme="minorHAnsi" w:cs="Arial"/>
          <w:sz w:val="20"/>
          <w:szCs w:val="20"/>
        </w:rPr>
        <w:t xml:space="preserve"> </w:t>
      </w:r>
    </w:p>
    <w:p w14:paraId="6B01CB24" w14:textId="308A48D5" w:rsidR="00C570EA" w:rsidRPr="00F01EC8" w:rsidRDefault="00C570EA"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Stage 1 - Losses are recognised on inception of a loan based on the probability of a customer defaulting within 12 months.</w:t>
      </w:r>
    </w:p>
    <w:p w14:paraId="4418EB32" w14:textId="243310D0" w:rsidR="00C570EA" w:rsidRPr="00F01EC8" w:rsidRDefault="00C570EA"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Stage 2 - When an account </w:t>
      </w:r>
      <w:r w:rsidR="00435685" w:rsidRPr="00F01EC8">
        <w:rPr>
          <w:rFonts w:asciiTheme="minorHAnsi" w:hAnsiTheme="minorHAnsi" w:cs="Arial"/>
          <w:sz w:val="20"/>
          <w:szCs w:val="20"/>
        </w:rPr>
        <w:t>has</w:t>
      </w:r>
      <w:r w:rsidRPr="00F01EC8">
        <w:rPr>
          <w:rFonts w:asciiTheme="minorHAnsi" w:hAnsiTheme="minorHAnsi" w:cs="Arial"/>
          <w:sz w:val="20"/>
          <w:szCs w:val="20"/>
        </w:rPr>
        <w:t xml:space="preserve"> suffered a </w:t>
      </w:r>
      <w:r w:rsidR="00435685" w:rsidRPr="00F01EC8">
        <w:rPr>
          <w:rFonts w:asciiTheme="minorHAnsi" w:hAnsiTheme="minorHAnsi" w:cs="Arial"/>
          <w:sz w:val="20"/>
          <w:szCs w:val="20"/>
        </w:rPr>
        <w:t xml:space="preserve">SICR </w:t>
      </w:r>
      <w:r w:rsidRPr="00F01EC8">
        <w:rPr>
          <w:rFonts w:asciiTheme="minorHAnsi" w:hAnsiTheme="minorHAnsi" w:cs="Arial"/>
          <w:sz w:val="20"/>
          <w:szCs w:val="20"/>
        </w:rPr>
        <w:t>but have not defaulted, the</w:t>
      </w:r>
      <w:r w:rsidR="00435685" w:rsidRPr="00F01EC8">
        <w:rPr>
          <w:rFonts w:asciiTheme="minorHAnsi" w:hAnsiTheme="minorHAnsi" w:cs="Arial"/>
          <w:sz w:val="20"/>
          <w:szCs w:val="20"/>
        </w:rPr>
        <w:t xml:space="preserve"> account is </w:t>
      </w:r>
      <w:r w:rsidRPr="00F01EC8">
        <w:rPr>
          <w:rFonts w:asciiTheme="minorHAnsi" w:hAnsiTheme="minorHAnsi" w:cs="Arial"/>
          <w:sz w:val="20"/>
          <w:szCs w:val="20"/>
        </w:rPr>
        <w:t>move to Stage 2 based on comparisons of current PD’s to origination PD’s</w:t>
      </w:r>
      <w:r w:rsidR="00435685" w:rsidRPr="00F01EC8">
        <w:rPr>
          <w:rFonts w:asciiTheme="minorHAnsi" w:hAnsiTheme="minorHAnsi" w:cs="Arial"/>
          <w:sz w:val="20"/>
          <w:szCs w:val="20"/>
        </w:rPr>
        <w:t>. Lifetime losses are recognised when a significant increase in credit risk is evident.</w:t>
      </w:r>
    </w:p>
    <w:p w14:paraId="35F00CA4" w14:textId="58012584" w:rsidR="00C570EA" w:rsidRPr="00F01EC8" w:rsidRDefault="00435685"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Stage 3 – When an account defaults</w:t>
      </w:r>
      <w:r w:rsidR="007D2791" w:rsidRPr="00F01EC8">
        <w:rPr>
          <w:rFonts w:asciiTheme="minorHAnsi" w:hAnsiTheme="minorHAnsi" w:cs="Arial"/>
          <w:sz w:val="20"/>
          <w:szCs w:val="20"/>
        </w:rPr>
        <w:t xml:space="preserve">. </w:t>
      </w:r>
    </w:p>
    <w:p w14:paraId="10CF787A" w14:textId="54C3B6E0" w:rsidR="00D47DE8" w:rsidRPr="00F01EC8" w:rsidRDefault="00D47DE8" w:rsidP="00FC53AA">
      <w:pPr>
        <w:pStyle w:val="ListParagraph"/>
        <w:numPr>
          <w:ilvl w:val="0"/>
          <w:numId w:val="15"/>
        </w:num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Probability of Default (PD)</w:t>
      </w:r>
    </w:p>
    <w:p w14:paraId="669570CB" w14:textId="5B23736F" w:rsidR="00752F66" w:rsidRPr="00F01EC8" w:rsidRDefault="00752F66"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A </w:t>
      </w:r>
      <w:r w:rsidR="00D47DE8" w:rsidRPr="00F01EC8">
        <w:rPr>
          <w:rFonts w:asciiTheme="minorHAnsi" w:hAnsiTheme="minorHAnsi" w:cs="Arial"/>
          <w:sz w:val="20"/>
          <w:szCs w:val="20"/>
        </w:rPr>
        <w:t>SICR</w:t>
      </w:r>
      <w:r w:rsidRPr="00F01EC8">
        <w:rPr>
          <w:rFonts w:asciiTheme="minorHAnsi" w:hAnsiTheme="minorHAnsi" w:cs="Arial"/>
          <w:sz w:val="20"/>
          <w:szCs w:val="20"/>
        </w:rPr>
        <w:t xml:space="preserve"> for customers in Vanquis Bank is when there has been a significant increase in behavioural score or when one contractual monthly payment has been missed. In Moneybarn and on the Satsuma monthly product</w:t>
      </w:r>
      <w:r w:rsidR="00D47DE8" w:rsidRPr="00F01EC8">
        <w:rPr>
          <w:rFonts w:asciiTheme="minorHAnsi" w:hAnsiTheme="minorHAnsi" w:cs="Arial"/>
          <w:sz w:val="20"/>
          <w:szCs w:val="20"/>
        </w:rPr>
        <w:t>,</w:t>
      </w:r>
      <w:r w:rsidRPr="00F01EC8">
        <w:rPr>
          <w:rFonts w:asciiTheme="minorHAnsi" w:hAnsiTheme="minorHAnsi" w:cs="Arial"/>
          <w:sz w:val="20"/>
          <w:szCs w:val="20"/>
        </w:rPr>
        <w:t xml:space="preserve"> a significant increase in credit risk is when one contractual monthly payment has been missed. In CCD, credit risk is assumed to increase significantly when the cumulative amount of two or more contractual weekly payments has been missed in the previous 12 weeks, since only at this point do the expected future cash flows from loans deteriorate significantly.  </w:t>
      </w:r>
    </w:p>
    <w:p w14:paraId="09DA6014" w14:textId="02269CCF" w:rsidR="00EC48CC" w:rsidRDefault="00D47DE8"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Default is assumed in Vanquis Bank and the Satsuma monthly product when three contractual repayments have been missed. Moneybarn assumes default when the customer’s vehicle has been terminated and CCD when the customer </w:t>
      </w:r>
      <w:r w:rsidR="00C570EA" w:rsidRPr="00F01EC8">
        <w:rPr>
          <w:rFonts w:asciiTheme="minorHAnsi" w:hAnsiTheme="minorHAnsi" w:cs="Arial"/>
          <w:sz w:val="20"/>
          <w:szCs w:val="20"/>
        </w:rPr>
        <w:t>has missed a cumulative amount of five or more contractual weekly payments in the previous 12 weeks</w:t>
      </w:r>
      <w:r w:rsidRPr="00F01EC8">
        <w:rPr>
          <w:rFonts w:asciiTheme="minorHAnsi" w:hAnsiTheme="minorHAnsi" w:cs="Arial"/>
          <w:sz w:val="20"/>
          <w:szCs w:val="20"/>
        </w:rPr>
        <w:t xml:space="preserve">. </w:t>
      </w:r>
    </w:p>
    <w:p w14:paraId="09C355F8" w14:textId="61C97D57" w:rsidR="007C5EF7" w:rsidRPr="00F01EC8" w:rsidRDefault="00055BBF"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The </w:t>
      </w:r>
      <w:r w:rsidR="00AB3FC4" w:rsidRPr="00F01EC8">
        <w:rPr>
          <w:rFonts w:asciiTheme="minorHAnsi" w:hAnsiTheme="minorHAnsi" w:cs="Arial"/>
          <w:sz w:val="20"/>
          <w:szCs w:val="20"/>
        </w:rPr>
        <w:t>PD and evidence of a SICR has been reassessed by both Vanquis Bank and Moneybarn in response to Covid-19</w:t>
      </w:r>
      <w:r w:rsidR="004E6723" w:rsidRPr="00F01EC8">
        <w:rPr>
          <w:rFonts w:asciiTheme="minorHAnsi" w:hAnsiTheme="minorHAnsi" w:cs="Arial"/>
          <w:sz w:val="20"/>
          <w:szCs w:val="20"/>
        </w:rPr>
        <w:t>, In particular</w:t>
      </w:r>
      <w:r w:rsidR="007C5EF7" w:rsidRPr="00F01EC8">
        <w:rPr>
          <w:rFonts w:asciiTheme="minorHAnsi" w:hAnsiTheme="minorHAnsi" w:cs="Arial"/>
          <w:sz w:val="20"/>
          <w:szCs w:val="20"/>
        </w:rPr>
        <w:t xml:space="preserve"> for</w:t>
      </w:r>
      <w:r w:rsidR="00AB3FC4" w:rsidRPr="00F01EC8">
        <w:rPr>
          <w:rFonts w:asciiTheme="minorHAnsi" w:hAnsiTheme="minorHAnsi" w:cs="Arial"/>
          <w:sz w:val="20"/>
          <w:szCs w:val="20"/>
        </w:rPr>
        <w:t>:</w:t>
      </w:r>
    </w:p>
    <w:p w14:paraId="627119F5" w14:textId="7F0E765B" w:rsidR="007C5EF7" w:rsidRPr="00F01EC8" w:rsidRDefault="007C5EF7" w:rsidP="00343AB9">
      <w:pPr>
        <w:pStyle w:val="ListParagraph"/>
        <w:numPr>
          <w:ilvl w:val="1"/>
          <w:numId w:val="15"/>
        </w:num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C</w:t>
      </w:r>
      <w:r w:rsidR="00AB3FC4" w:rsidRPr="00F01EC8">
        <w:rPr>
          <w:rFonts w:asciiTheme="minorHAnsi" w:hAnsiTheme="minorHAnsi" w:cs="Arial"/>
          <w:sz w:val="20"/>
          <w:szCs w:val="20"/>
        </w:rPr>
        <w:t xml:space="preserve">ustomers who have activated a payment holiday where PD estimates have been revised reflecting customer repayment behaviour on exiting </w:t>
      </w:r>
      <w:r w:rsidRPr="00F01EC8">
        <w:rPr>
          <w:rFonts w:asciiTheme="minorHAnsi" w:hAnsiTheme="minorHAnsi" w:cs="Arial"/>
          <w:sz w:val="20"/>
          <w:szCs w:val="20"/>
        </w:rPr>
        <w:t>the</w:t>
      </w:r>
      <w:r w:rsidR="00AB3FC4" w:rsidRPr="00F01EC8">
        <w:rPr>
          <w:rFonts w:asciiTheme="minorHAnsi" w:hAnsiTheme="minorHAnsi" w:cs="Arial"/>
          <w:sz w:val="20"/>
          <w:szCs w:val="20"/>
        </w:rPr>
        <w:t xml:space="preserve"> payment holiday</w:t>
      </w:r>
      <w:r w:rsidRPr="00F01EC8">
        <w:rPr>
          <w:rFonts w:asciiTheme="minorHAnsi" w:hAnsiTheme="minorHAnsi" w:cs="Arial"/>
          <w:sz w:val="20"/>
          <w:szCs w:val="20"/>
        </w:rPr>
        <w:t>; and</w:t>
      </w:r>
    </w:p>
    <w:p w14:paraId="32FA355B" w14:textId="08C4DC01" w:rsidR="00055BBF" w:rsidRPr="00F01EC8" w:rsidRDefault="00AB3FC4" w:rsidP="00343AB9">
      <w:pPr>
        <w:pStyle w:val="ListParagraph"/>
        <w:numPr>
          <w:ilvl w:val="1"/>
          <w:numId w:val="15"/>
        </w:num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lastRenderedPageBreak/>
        <w:t>In Vanquis Bank, due to the low level of payment holidays activated</w:t>
      </w:r>
      <w:r w:rsidR="007C5EF7" w:rsidRPr="00F01EC8">
        <w:rPr>
          <w:rFonts w:asciiTheme="minorHAnsi" w:hAnsiTheme="minorHAnsi" w:cs="Arial"/>
          <w:sz w:val="20"/>
          <w:szCs w:val="20"/>
        </w:rPr>
        <w:t xml:space="preserve"> in the first half,</w:t>
      </w:r>
      <w:r w:rsidRPr="00F01EC8">
        <w:rPr>
          <w:rFonts w:asciiTheme="minorHAnsi" w:hAnsiTheme="minorHAnsi" w:cs="Arial"/>
          <w:sz w:val="20"/>
          <w:szCs w:val="20"/>
        </w:rPr>
        <w:t xml:space="preserve"> and detailed </w:t>
      </w:r>
      <w:r w:rsidR="007C5EF7" w:rsidRPr="00F01EC8">
        <w:rPr>
          <w:rFonts w:asciiTheme="minorHAnsi" w:hAnsiTheme="minorHAnsi" w:cs="Arial"/>
          <w:sz w:val="20"/>
          <w:szCs w:val="20"/>
        </w:rPr>
        <w:t xml:space="preserve">customer-level </w:t>
      </w:r>
      <w:r w:rsidRPr="00F01EC8">
        <w:rPr>
          <w:rFonts w:asciiTheme="minorHAnsi" w:hAnsiTheme="minorHAnsi" w:cs="Arial"/>
          <w:sz w:val="20"/>
          <w:szCs w:val="20"/>
        </w:rPr>
        <w:t xml:space="preserve">bureau analysis </w:t>
      </w:r>
      <w:r w:rsidR="007C5EF7" w:rsidRPr="00F01EC8">
        <w:rPr>
          <w:rFonts w:asciiTheme="minorHAnsi" w:hAnsiTheme="minorHAnsi" w:cs="Arial"/>
          <w:sz w:val="20"/>
          <w:szCs w:val="20"/>
        </w:rPr>
        <w:t xml:space="preserve">being </w:t>
      </w:r>
      <w:r w:rsidRPr="00F01EC8">
        <w:rPr>
          <w:rFonts w:asciiTheme="minorHAnsi" w:hAnsiTheme="minorHAnsi" w:cs="Arial"/>
          <w:sz w:val="20"/>
          <w:szCs w:val="20"/>
        </w:rPr>
        <w:t>held, PD’s have also been adjusted for customers who may activate a payment holiday in the second half of the year</w:t>
      </w:r>
      <w:r w:rsidR="007C5EF7" w:rsidRPr="00F01EC8">
        <w:rPr>
          <w:rFonts w:asciiTheme="minorHAnsi" w:hAnsiTheme="minorHAnsi" w:cs="Arial"/>
          <w:sz w:val="20"/>
          <w:szCs w:val="20"/>
        </w:rPr>
        <w:t>. This is in response to revised FCA guidance on payment holidays to credit card customers issued in June 2020</w:t>
      </w:r>
      <w:r w:rsidRPr="00F01EC8">
        <w:rPr>
          <w:rFonts w:asciiTheme="minorHAnsi" w:hAnsiTheme="minorHAnsi" w:cs="Arial"/>
          <w:sz w:val="20"/>
          <w:szCs w:val="20"/>
        </w:rPr>
        <w:t xml:space="preserve">. </w:t>
      </w:r>
    </w:p>
    <w:p w14:paraId="4EA074ED" w14:textId="5E4F9D0A" w:rsidR="009652C6" w:rsidRPr="00F01EC8" w:rsidRDefault="009652C6" w:rsidP="00FC53AA">
      <w:pPr>
        <w:autoSpaceDE w:val="0"/>
        <w:autoSpaceDN w:val="0"/>
        <w:adjustRightInd w:val="0"/>
        <w:spacing w:after="100" w:line="161" w:lineRule="atLeast"/>
        <w:jc w:val="both"/>
        <w:rPr>
          <w:rFonts w:asciiTheme="minorHAnsi" w:hAnsiTheme="minorHAnsi" w:cs="Arial"/>
          <w:sz w:val="20"/>
          <w:szCs w:val="20"/>
        </w:rPr>
      </w:pPr>
      <w:bookmarkStart w:id="19" w:name="_Hlk48667660"/>
      <w:r w:rsidRPr="00F01EC8">
        <w:rPr>
          <w:rFonts w:asciiTheme="minorHAnsi" w:hAnsiTheme="minorHAnsi" w:cs="Arial"/>
          <w:sz w:val="20"/>
          <w:szCs w:val="20"/>
        </w:rPr>
        <w:t>The</w:t>
      </w:r>
      <w:r w:rsidR="001A51B8" w:rsidRPr="00F01EC8">
        <w:rPr>
          <w:rFonts w:asciiTheme="minorHAnsi" w:hAnsiTheme="minorHAnsi" w:cs="Arial"/>
          <w:sz w:val="20"/>
          <w:szCs w:val="20"/>
        </w:rPr>
        <w:t xml:space="preserve"> home credit business has</w:t>
      </w:r>
      <w:r w:rsidRPr="00F01EC8">
        <w:rPr>
          <w:rFonts w:asciiTheme="minorHAnsi" w:hAnsiTheme="minorHAnsi" w:cs="Arial"/>
          <w:sz w:val="20"/>
          <w:szCs w:val="20"/>
        </w:rPr>
        <w:t xml:space="preserve"> payment holidays implicit within their business model</w:t>
      </w:r>
      <w:r w:rsidR="001A51B8" w:rsidRPr="00F01EC8">
        <w:rPr>
          <w:rFonts w:asciiTheme="minorHAnsi" w:hAnsiTheme="minorHAnsi" w:cs="Arial"/>
          <w:sz w:val="20"/>
          <w:szCs w:val="20"/>
        </w:rPr>
        <w:t>; c</w:t>
      </w:r>
      <w:r w:rsidRPr="00F01EC8">
        <w:rPr>
          <w:rFonts w:asciiTheme="minorHAnsi" w:hAnsiTheme="minorHAnsi" w:cs="Arial"/>
          <w:sz w:val="20"/>
          <w:szCs w:val="20"/>
        </w:rPr>
        <w:t>ustomers valu</w:t>
      </w:r>
      <w:r w:rsidR="001A51B8" w:rsidRPr="00F01EC8">
        <w:rPr>
          <w:rFonts w:asciiTheme="minorHAnsi" w:hAnsiTheme="minorHAnsi" w:cs="Arial"/>
          <w:sz w:val="20"/>
          <w:szCs w:val="20"/>
        </w:rPr>
        <w:t>e</w:t>
      </w:r>
      <w:r w:rsidRPr="00F01EC8">
        <w:rPr>
          <w:rFonts w:asciiTheme="minorHAnsi" w:hAnsiTheme="minorHAnsi" w:cs="Arial"/>
          <w:sz w:val="20"/>
          <w:szCs w:val="20"/>
        </w:rPr>
        <w:t xml:space="preserve"> the fixed cost product with no missed payment penalties. The accounting methodology </w:t>
      </w:r>
      <w:r w:rsidR="001A51B8" w:rsidRPr="00F01EC8">
        <w:rPr>
          <w:rFonts w:asciiTheme="minorHAnsi" w:hAnsiTheme="minorHAnsi" w:cs="Arial"/>
          <w:sz w:val="20"/>
          <w:szCs w:val="20"/>
        </w:rPr>
        <w:t>was therefore not required to</w:t>
      </w:r>
      <w:r w:rsidRPr="00F01EC8">
        <w:rPr>
          <w:rFonts w:asciiTheme="minorHAnsi" w:hAnsiTheme="minorHAnsi" w:cs="Arial"/>
          <w:sz w:val="20"/>
          <w:szCs w:val="20"/>
        </w:rPr>
        <w:t xml:space="preserve"> be adjusted, at </w:t>
      </w:r>
      <w:r w:rsidR="001A51B8" w:rsidRPr="00F01EC8">
        <w:rPr>
          <w:rFonts w:asciiTheme="minorHAnsi" w:hAnsiTheme="minorHAnsi" w:cs="Arial"/>
          <w:sz w:val="20"/>
          <w:szCs w:val="20"/>
        </w:rPr>
        <w:t>30 June</w:t>
      </w:r>
      <w:r w:rsidRPr="00F01EC8">
        <w:rPr>
          <w:rFonts w:asciiTheme="minorHAnsi" w:hAnsiTheme="minorHAnsi" w:cs="Arial"/>
          <w:sz w:val="20"/>
          <w:szCs w:val="20"/>
        </w:rPr>
        <w:t>. This was supported by customer repayment levels returning to pre Covid-19 levels by 30 June</w:t>
      </w:r>
      <w:r w:rsidR="00EC48CC">
        <w:rPr>
          <w:rFonts w:asciiTheme="minorHAnsi" w:hAnsiTheme="minorHAnsi" w:cs="Arial"/>
          <w:sz w:val="20"/>
          <w:szCs w:val="20"/>
        </w:rPr>
        <w:t>.</w:t>
      </w:r>
      <w:r w:rsidRPr="00F01EC8">
        <w:rPr>
          <w:rFonts w:asciiTheme="minorHAnsi" w:hAnsiTheme="minorHAnsi" w:cs="Arial"/>
          <w:sz w:val="20"/>
          <w:szCs w:val="20"/>
        </w:rPr>
        <w:t xml:space="preserve"> </w:t>
      </w:r>
    </w:p>
    <w:bookmarkEnd w:id="19"/>
    <w:p w14:paraId="44F9C1DC" w14:textId="589F15BA" w:rsidR="00435685" w:rsidRPr="00F01EC8" w:rsidRDefault="00435685" w:rsidP="00FC53AA">
      <w:pPr>
        <w:pStyle w:val="ListParagraph"/>
        <w:numPr>
          <w:ilvl w:val="0"/>
          <w:numId w:val="15"/>
        </w:num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Exposure at Default (EAD)</w:t>
      </w:r>
    </w:p>
    <w:p w14:paraId="1F2E9C25" w14:textId="1B0C1C9C" w:rsidR="00435685" w:rsidRPr="00F01EC8" w:rsidRDefault="00435685"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EAD in Vanquis Bank reflects the current balance on the card plus future expected spend and interest. It does not include any credit line increases which a customer may become eligible for after the balance sheet date. For loan balances, an estimation is made of the outstanding loan, based on assumed repayments, at the point of default, discounted to the balance sheet date. </w:t>
      </w:r>
    </w:p>
    <w:p w14:paraId="65702B29" w14:textId="77777777" w:rsidR="00435685" w:rsidRPr="00F01EC8" w:rsidRDefault="00435685" w:rsidP="00FC53AA">
      <w:pPr>
        <w:pStyle w:val="ListParagraph"/>
        <w:numPr>
          <w:ilvl w:val="0"/>
          <w:numId w:val="15"/>
        </w:num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Loss Given Default (LGD)</w:t>
      </w:r>
    </w:p>
    <w:p w14:paraId="3AB24E3C" w14:textId="30EC0C68" w:rsidR="00435685" w:rsidRPr="00F01EC8" w:rsidRDefault="00435685" w:rsidP="00FC53AA">
      <w:pPr>
        <w:autoSpaceDE w:val="0"/>
        <w:autoSpaceDN w:val="0"/>
        <w:adjustRightInd w:val="0"/>
        <w:spacing w:after="100" w:line="161" w:lineRule="atLeast"/>
        <w:jc w:val="both"/>
        <w:rPr>
          <w:rFonts w:asciiTheme="minorHAnsi" w:hAnsiTheme="minorHAnsi" w:cs="Arial"/>
          <w:sz w:val="20"/>
          <w:szCs w:val="20"/>
        </w:rPr>
      </w:pPr>
      <w:r w:rsidRPr="00F01EC8">
        <w:rPr>
          <w:rFonts w:asciiTheme="minorHAnsi" w:hAnsiTheme="minorHAnsi" w:cs="Arial"/>
          <w:sz w:val="20"/>
          <w:szCs w:val="20"/>
        </w:rPr>
        <w:t xml:space="preserve">LGD </w:t>
      </w:r>
      <w:r w:rsidR="007D2791" w:rsidRPr="00F01EC8">
        <w:rPr>
          <w:rFonts w:asciiTheme="minorHAnsi" w:hAnsiTheme="minorHAnsi" w:cs="Arial"/>
          <w:sz w:val="20"/>
          <w:szCs w:val="20"/>
        </w:rPr>
        <w:t>reflect</w:t>
      </w:r>
      <w:r w:rsidRPr="00F01EC8">
        <w:rPr>
          <w:rFonts w:asciiTheme="minorHAnsi" w:hAnsiTheme="minorHAnsi" w:cs="Arial"/>
          <w:sz w:val="20"/>
          <w:szCs w:val="20"/>
        </w:rPr>
        <w:t xml:space="preserve"> estimated losses following default and takes account of subsequent customer repayments, including through payment arrangements, recoveries through third party debt collection agencies and external debt sales. For Moneybarn the LGD also takes account of </w:t>
      </w:r>
      <w:r w:rsidR="00193A38" w:rsidRPr="00F01EC8">
        <w:rPr>
          <w:rFonts w:asciiTheme="minorHAnsi" w:hAnsiTheme="minorHAnsi" w:cs="Arial"/>
          <w:sz w:val="20"/>
          <w:szCs w:val="20"/>
        </w:rPr>
        <w:t xml:space="preserve">proceeds from the sale of the vehicle at auction. </w:t>
      </w:r>
    </w:p>
    <w:p w14:paraId="0E150BFE" w14:textId="0AE18656" w:rsidR="00752F66" w:rsidRPr="00F01EC8" w:rsidRDefault="00752F66" w:rsidP="00FC53AA">
      <w:pPr>
        <w:autoSpaceDE w:val="0"/>
        <w:autoSpaceDN w:val="0"/>
        <w:adjustRightInd w:val="0"/>
        <w:spacing w:after="100" w:line="161" w:lineRule="atLeast"/>
        <w:jc w:val="both"/>
        <w:rPr>
          <w:rFonts w:asciiTheme="minorHAnsi" w:hAnsiTheme="minorHAnsi" w:cs="Arial"/>
          <w:b/>
          <w:sz w:val="20"/>
          <w:szCs w:val="20"/>
        </w:rPr>
      </w:pPr>
      <w:r w:rsidRPr="00F01EC8">
        <w:rPr>
          <w:rFonts w:asciiTheme="minorHAnsi" w:hAnsiTheme="minorHAnsi" w:cs="Arial"/>
          <w:b/>
          <w:sz w:val="20"/>
          <w:szCs w:val="20"/>
        </w:rPr>
        <w:t xml:space="preserve">Key sources of estimation uncertainty: </w:t>
      </w:r>
    </w:p>
    <w:p w14:paraId="5879C67F" w14:textId="6ED3BDEF" w:rsidR="00752F66" w:rsidRPr="00F01EC8" w:rsidRDefault="00752F66" w:rsidP="00FC53AA">
      <w:pPr>
        <w:numPr>
          <w:ilvl w:val="0"/>
          <w:numId w:val="13"/>
        </w:num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 xml:space="preserve">The level of impairment </w:t>
      </w:r>
      <w:r w:rsidR="00193A38" w:rsidRPr="00F01EC8">
        <w:rPr>
          <w:rFonts w:asciiTheme="minorHAnsi" w:hAnsiTheme="minorHAnsi" w:cs="Arial"/>
          <w:sz w:val="20"/>
          <w:szCs w:val="20"/>
        </w:rPr>
        <w:t>recognised by</w:t>
      </w:r>
      <w:r w:rsidRPr="00F01EC8">
        <w:rPr>
          <w:rFonts w:asciiTheme="minorHAnsi" w:hAnsiTheme="minorHAnsi" w:cs="Arial"/>
          <w:sz w:val="20"/>
          <w:szCs w:val="20"/>
        </w:rPr>
        <w:t xml:space="preserve"> each of the Group’s businesses is calculated using models which </w:t>
      </w:r>
      <w:r w:rsidR="00193A38" w:rsidRPr="00F01EC8">
        <w:rPr>
          <w:rFonts w:asciiTheme="minorHAnsi" w:hAnsiTheme="minorHAnsi" w:cs="Arial"/>
          <w:sz w:val="20"/>
          <w:szCs w:val="20"/>
        </w:rPr>
        <w:t xml:space="preserve">utilise </w:t>
      </w:r>
      <w:r w:rsidRPr="00F01EC8">
        <w:rPr>
          <w:rFonts w:asciiTheme="minorHAnsi" w:hAnsiTheme="minorHAnsi" w:cs="Arial"/>
          <w:sz w:val="20"/>
          <w:szCs w:val="20"/>
        </w:rPr>
        <w:t>historical payment performance to generate the estimated amount and timing of future cash flows from each arrears stage, and are regularly tested using subsequent cash collections to ensure they retain sufficient accuracy. The impairment models are regularly reviewed to take account of the current economic environment</w:t>
      </w:r>
      <w:r w:rsidR="00D851AC" w:rsidRPr="00F01EC8">
        <w:rPr>
          <w:rFonts w:asciiTheme="minorHAnsi" w:hAnsiTheme="minorHAnsi" w:cs="Arial"/>
          <w:sz w:val="20"/>
          <w:szCs w:val="20"/>
        </w:rPr>
        <w:t xml:space="preserve"> </w:t>
      </w:r>
      <w:r w:rsidRPr="00F01EC8">
        <w:rPr>
          <w:rFonts w:asciiTheme="minorHAnsi" w:hAnsiTheme="minorHAnsi" w:cs="Arial"/>
          <w:sz w:val="20"/>
          <w:szCs w:val="20"/>
        </w:rPr>
        <w:t xml:space="preserve">product mix and recent customer payment performance. </w:t>
      </w:r>
    </w:p>
    <w:p w14:paraId="2BC35C0D" w14:textId="2F410EFB" w:rsidR="003A6130" w:rsidRPr="00F01EC8" w:rsidRDefault="003A6130" w:rsidP="00FC53AA">
      <w:pPr>
        <w:autoSpaceDE w:val="0"/>
        <w:autoSpaceDN w:val="0"/>
        <w:adjustRightInd w:val="0"/>
        <w:jc w:val="both"/>
        <w:rPr>
          <w:rFonts w:asciiTheme="minorHAnsi" w:hAnsiTheme="minorHAnsi" w:cs="Arial"/>
          <w:sz w:val="20"/>
          <w:szCs w:val="20"/>
        </w:rPr>
      </w:pPr>
    </w:p>
    <w:p w14:paraId="72502727" w14:textId="3222D6CA" w:rsidR="003A6130" w:rsidRPr="00F01EC8" w:rsidRDefault="003A6130" w:rsidP="00FC53AA">
      <w:p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 xml:space="preserve">The impact of Covid-19 has significantly influenced ECL in the period. </w:t>
      </w:r>
      <w:r w:rsidR="00E46979" w:rsidRPr="00F01EC8">
        <w:rPr>
          <w:rFonts w:asciiTheme="minorHAnsi" w:hAnsiTheme="minorHAnsi" w:cs="Arial"/>
          <w:sz w:val="20"/>
          <w:szCs w:val="20"/>
        </w:rPr>
        <w:t xml:space="preserve">Each division has reviewed individual customer behaviour in light of Covid-19 </w:t>
      </w:r>
      <w:r w:rsidR="00193A38" w:rsidRPr="00F01EC8">
        <w:rPr>
          <w:rFonts w:asciiTheme="minorHAnsi" w:hAnsiTheme="minorHAnsi" w:cs="Arial"/>
          <w:sz w:val="20"/>
          <w:szCs w:val="20"/>
        </w:rPr>
        <w:t>to adjust the previous calculations of PD, EAD and LGD. This</w:t>
      </w:r>
      <w:r w:rsidR="00E46979" w:rsidRPr="00F01EC8">
        <w:rPr>
          <w:rFonts w:asciiTheme="minorHAnsi" w:hAnsiTheme="minorHAnsi" w:cs="Arial"/>
          <w:sz w:val="20"/>
          <w:szCs w:val="20"/>
        </w:rPr>
        <w:t xml:space="preserve"> </w:t>
      </w:r>
      <w:r w:rsidRPr="00F01EC8">
        <w:rPr>
          <w:rFonts w:asciiTheme="minorHAnsi" w:hAnsiTheme="minorHAnsi" w:cs="Arial"/>
          <w:sz w:val="20"/>
          <w:szCs w:val="20"/>
        </w:rPr>
        <w:t>reflects assumptions in respect of:</w:t>
      </w:r>
    </w:p>
    <w:p w14:paraId="2262CE02" w14:textId="49679F88" w:rsidR="003A6130" w:rsidRPr="00F01EC8" w:rsidRDefault="007D2791" w:rsidP="00EC48CC">
      <w:pPr>
        <w:pStyle w:val="ListParagraph"/>
        <w:numPr>
          <w:ilvl w:val="0"/>
          <w:numId w:val="14"/>
        </w:numPr>
        <w:autoSpaceDE w:val="0"/>
        <w:autoSpaceDN w:val="0"/>
        <w:adjustRightInd w:val="0"/>
        <w:jc w:val="both"/>
        <w:rPr>
          <w:rFonts w:asciiTheme="minorHAnsi" w:hAnsiTheme="minorHAnsi" w:cs="Arial"/>
          <w:sz w:val="20"/>
          <w:szCs w:val="20"/>
        </w:rPr>
      </w:pPr>
      <w:bookmarkStart w:id="20" w:name="_Hlk47705035"/>
      <w:r w:rsidRPr="00F01EC8">
        <w:rPr>
          <w:rFonts w:asciiTheme="minorHAnsi" w:hAnsiTheme="minorHAnsi" w:cs="Arial"/>
          <w:sz w:val="20"/>
          <w:szCs w:val="20"/>
        </w:rPr>
        <w:t xml:space="preserve">higher PD for </w:t>
      </w:r>
      <w:r w:rsidR="003A6130" w:rsidRPr="00F01EC8">
        <w:rPr>
          <w:rFonts w:asciiTheme="minorHAnsi" w:hAnsiTheme="minorHAnsi" w:cs="Arial"/>
          <w:sz w:val="20"/>
          <w:szCs w:val="20"/>
        </w:rPr>
        <w:t>customers who have</w:t>
      </w:r>
      <w:r w:rsidR="00193A38" w:rsidRPr="00F01EC8">
        <w:rPr>
          <w:rFonts w:asciiTheme="minorHAnsi" w:hAnsiTheme="minorHAnsi" w:cs="Arial"/>
          <w:sz w:val="20"/>
          <w:szCs w:val="20"/>
        </w:rPr>
        <w:t xml:space="preserve"> already</w:t>
      </w:r>
      <w:r w:rsidR="003A6130" w:rsidRPr="00F01EC8">
        <w:rPr>
          <w:rFonts w:asciiTheme="minorHAnsi" w:hAnsiTheme="minorHAnsi" w:cs="Arial"/>
          <w:sz w:val="20"/>
          <w:szCs w:val="20"/>
        </w:rPr>
        <w:t xml:space="preserve"> activated a payment holiday</w:t>
      </w:r>
      <w:r w:rsidR="00193A38" w:rsidRPr="00F01EC8">
        <w:rPr>
          <w:rFonts w:asciiTheme="minorHAnsi" w:hAnsiTheme="minorHAnsi" w:cs="Arial"/>
          <w:sz w:val="20"/>
          <w:szCs w:val="20"/>
        </w:rPr>
        <w:t xml:space="preserve"> including the expectation of how a customer will continue to repay following the end of the payment holiday</w:t>
      </w:r>
      <w:r w:rsidR="003A6130" w:rsidRPr="00F01EC8">
        <w:rPr>
          <w:rFonts w:asciiTheme="minorHAnsi" w:hAnsiTheme="minorHAnsi" w:cs="Arial"/>
          <w:sz w:val="20"/>
          <w:szCs w:val="20"/>
        </w:rPr>
        <w:t>;</w:t>
      </w:r>
    </w:p>
    <w:p w14:paraId="4C97A292" w14:textId="5FE9FB49" w:rsidR="003A6130" w:rsidRPr="00F01EC8" w:rsidRDefault="007D2791" w:rsidP="00EC48CC">
      <w:pPr>
        <w:pStyle w:val="ListParagraph"/>
        <w:numPr>
          <w:ilvl w:val="0"/>
          <w:numId w:val="14"/>
        </w:num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 xml:space="preserve">higher PD from </w:t>
      </w:r>
      <w:r w:rsidR="003A6130" w:rsidRPr="00F01EC8">
        <w:rPr>
          <w:rFonts w:asciiTheme="minorHAnsi" w:hAnsiTheme="minorHAnsi" w:cs="Arial"/>
          <w:sz w:val="20"/>
          <w:szCs w:val="20"/>
        </w:rPr>
        <w:t>increased arrears where a customer may not have been able to meet their repayments but not activated a payment holiday</w:t>
      </w:r>
      <w:r w:rsidR="00193A38" w:rsidRPr="00F01EC8">
        <w:rPr>
          <w:rFonts w:asciiTheme="minorHAnsi" w:hAnsiTheme="minorHAnsi" w:cs="Arial"/>
          <w:sz w:val="20"/>
          <w:szCs w:val="20"/>
        </w:rPr>
        <w:t xml:space="preserve">. Future repayment expectations have been derived from detailed analysis of previous customer behaviour, including payment history </w:t>
      </w:r>
      <w:r w:rsidR="00711D87" w:rsidRPr="00F01EC8">
        <w:rPr>
          <w:rFonts w:asciiTheme="minorHAnsi" w:hAnsiTheme="minorHAnsi" w:cs="Arial"/>
          <w:sz w:val="20"/>
          <w:szCs w:val="20"/>
        </w:rPr>
        <w:t xml:space="preserve">or </w:t>
      </w:r>
      <w:r w:rsidR="00193A38" w:rsidRPr="00F01EC8">
        <w:rPr>
          <w:rFonts w:asciiTheme="minorHAnsi" w:hAnsiTheme="minorHAnsi" w:cs="Arial"/>
          <w:sz w:val="20"/>
          <w:szCs w:val="20"/>
        </w:rPr>
        <w:t>evidence of a SICR from bureau analysis</w:t>
      </w:r>
      <w:r w:rsidR="003A6130" w:rsidRPr="00F01EC8">
        <w:rPr>
          <w:rFonts w:asciiTheme="minorHAnsi" w:hAnsiTheme="minorHAnsi" w:cs="Arial"/>
          <w:sz w:val="20"/>
          <w:szCs w:val="20"/>
        </w:rPr>
        <w:t xml:space="preserve">; </w:t>
      </w:r>
    </w:p>
    <w:p w14:paraId="5C1E94A5" w14:textId="77777777" w:rsidR="007D2791" w:rsidRPr="00F01EC8" w:rsidRDefault="003A6130" w:rsidP="00EC48CC">
      <w:pPr>
        <w:pStyle w:val="ListParagraph"/>
        <w:numPr>
          <w:ilvl w:val="0"/>
          <w:numId w:val="14"/>
        </w:num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 xml:space="preserve">the potential for further payment holidays where FCA guidance was in place at the period end, </w:t>
      </w:r>
      <w:r w:rsidR="00E46979" w:rsidRPr="00F01EC8">
        <w:rPr>
          <w:rFonts w:asciiTheme="minorHAnsi" w:hAnsiTheme="minorHAnsi" w:cs="Arial"/>
          <w:sz w:val="20"/>
          <w:szCs w:val="20"/>
        </w:rPr>
        <w:t>extending</w:t>
      </w:r>
      <w:r w:rsidRPr="00F01EC8">
        <w:rPr>
          <w:rFonts w:asciiTheme="minorHAnsi" w:hAnsiTheme="minorHAnsi" w:cs="Arial"/>
          <w:sz w:val="20"/>
          <w:szCs w:val="20"/>
        </w:rPr>
        <w:t xml:space="preserve"> the period over which customers could activate a payment holiday</w:t>
      </w:r>
      <w:r w:rsidR="00193A38" w:rsidRPr="00F01EC8">
        <w:rPr>
          <w:rFonts w:asciiTheme="minorHAnsi" w:hAnsiTheme="minorHAnsi" w:cs="Arial"/>
          <w:sz w:val="20"/>
          <w:szCs w:val="20"/>
        </w:rPr>
        <w:t xml:space="preserve"> to 31 October</w:t>
      </w:r>
      <w:r w:rsidRPr="00F01EC8">
        <w:rPr>
          <w:rFonts w:asciiTheme="minorHAnsi" w:hAnsiTheme="minorHAnsi" w:cs="Arial"/>
          <w:sz w:val="20"/>
          <w:szCs w:val="20"/>
        </w:rPr>
        <w:t xml:space="preserve">; </w:t>
      </w:r>
    </w:p>
    <w:p w14:paraId="621C4778" w14:textId="5B24B8B0" w:rsidR="003A6130" w:rsidRPr="00F01EC8" w:rsidRDefault="007D2791" w:rsidP="00EC48CC">
      <w:pPr>
        <w:pStyle w:val="ListParagraph"/>
        <w:numPr>
          <w:ilvl w:val="0"/>
          <w:numId w:val="14"/>
        </w:num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higher loss given default where recoveries from the customer may be impacted, as well as lower recoveries from</w:t>
      </w:r>
      <w:r w:rsidRPr="00F01EC8">
        <w:rPr>
          <w:rFonts w:asciiTheme="minorHAnsi" w:hAnsiTheme="minorHAnsi"/>
          <w:sz w:val="20"/>
          <w:szCs w:val="20"/>
        </w:rPr>
        <w:t xml:space="preserve"> </w:t>
      </w:r>
      <w:r w:rsidRPr="00F01EC8">
        <w:rPr>
          <w:rFonts w:asciiTheme="minorHAnsi" w:hAnsiTheme="minorHAnsi" w:cs="Arial"/>
          <w:sz w:val="20"/>
          <w:szCs w:val="20"/>
        </w:rPr>
        <w:t>third party debt collection agencies and external debt sales</w:t>
      </w:r>
      <w:bookmarkStart w:id="21" w:name="_Hlk47704461"/>
      <w:r w:rsidRPr="00F01EC8">
        <w:rPr>
          <w:rFonts w:asciiTheme="minorHAnsi" w:hAnsiTheme="minorHAnsi" w:cs="Arial"/>
          <w:sz w:val="20"/>
          <w:szCs w:val="20"/>
        </w:rPr>
        <w:t xml:space="preserve">. </w:t>
      </w:r>
      <w:bookmarkStart w:id="22" w:name="_Hlk47704877"/>
      <w:r w:rsidRPr="00F01EC8">
        <w:rPr>
          <w:rFonts w:asciiTheme="minorHAnsi" w:hAnsiTheme="minorHAnsi" w:cs="Arial"/>
          <w:sz w:val="20"/>
          <w:szCs w:val="20"/>
        </w:rPr>
        <w:t xml:space="preserve">For Moneybarn, </w:t>
      </w:r>
      <w:r w:rsidR="00B66E69" w:rsidRPr="00F01EC8">
        <w:rPr>
          <w:rFonts w:asciiTheme="minorHAnsi" w:hAnsiTheme="minorHAnsi" w:cs="Arial"/>
          <w:sz w:val="20"/>
          <w:szCs w:val="20"/>
        </w:rPr>
        <w:t xml:space="preserve">trends in the used vehicle resale values have been analysed to estimate </w:t>
      </w:r>
      <w:r w:rsidRPr="00F01EC8">
        <w:rPr>
          <w:rFonts w:asciiTheme="minorHAnsi" w:hAnsiTheme="minorHAnsi" w:cs="Arial"/>
          <w:sz w:val="20"/>
          <w:szCs w:val="20"/>
        </w:rPr>
        <w:t>recoveries from the sale of the vehicle at auction.</w:t>
      </w:r>
      <w:bookmarkEnd w:id="21"/>
      <w:r w:rsidR="00B66E69" w:rsidRPr="00F01EC8">
        <w:rPr>
          <w:rFonts w:asciiTheme="minorHAnsi" w:hAnsiTheme="minorHAnsi" w:cs="Arial"/>
          <w:sz w:val="20"/>
          <w:szCs w:val="20"/>
        </w:rPr>
        <w:t xml:space="preserve"> </w:t>
      </w:r>
      <w:bookmarkStart w:id="23" w:name="_Hlk47704831"/>
      <w:r w:rsidR="00B66E69" w:rsidRPr="00F01EC8">
        <w:rPr>
          <w:rFonts w:asciiTheme="minorHAnsi" w:hAnsiTheme="minorHAnsi" w:cs="Arial"/>
          <w:sz w:val="20"/>
          <w:szCs w:val="20"/>
        </w:rPr>
        <w:t>This also reflects assumptions over the timing of resale given the difficulties in recovering the vehicles</w:t>
      </w:r>
      <w:r w:rsidR="00EC48CC">
        <w:rPr>
          <w:rFonts w:asciiTheme="minorHAnsi" w:hAnsiTheme="minorHAnsi" w:cs="Arial"/>
          <w:sz w:val="20"/>
          <w:szCs w:val="20"/>
        </w:rPr>
        <w:t>; and</w:t>
      </w:r>
    </w:p>
    <w:bookmarkEnd w:id="23"/>
    <w:bookmarkEnd w:id="22"/>
    <w:p w14:paraId="6DE87D49" w14:textId="5D4B767F" w:rsidR="003A6130" w:rsidRPr="00F01EC8" w:rsidRDefault="003A6130" w:rsidP="00EC48CC">
      <w:pPr>
        <w:pStyle w:val="ListParagraph"/>
        <w:numPr>
          <w:ilvl w:val="0"/>
          <w:numId w:val="14"/>
        </w:numPr>
        <w:autoSpaceDE w:val="0"/>
        <w:autoSpaceDN w:val="0"/>
        <w:adjustRightInd w:val="0"/>
        <w:jc w:val="both"/>
        <w:rPr>
          <w:rFonts w:asciiTheme="minorHAnsi" w:hAnsiTheme="minorHAnsi" w:cs="Arial"/>
          <w:sz w:val="20"/>
          <w:szCs w:val="20"/>
        </w:rPr>
      </w:pPr>
      <w:r w:rsidRPr="00F01EC8">
        <w:rPr>
          <w:rFonts w:asciiTheme="minorHAnsi" w:hAnsiTheme="minorHAnsi" w:cs="Arial"/>
          <w:sz w:val="20"/>
          <w:szCs w:val="20"/>
        </w:rPr>
        <w:t xml:space="preserve">the potential impact to </w:t>
      </w:r>
      <w:r w:rsidR="00E46979" w:rsidRPr="00F01EC8">
        <w:rPr>
          <w:rFonts w:asciiTheme="minorHAnsi" w:hAnsiTheme="minorHAnsi" w:cs="Arial"/>
          <w:sz w:val="20"/>
          <w:szCs w:val="20"/>
        </w:rPr>
        <w:t>PD or LGD</w:t>
      </w:r>
      <w:r w:rsidRPr="00F01EC8">
        <w:rPr>
          <w:rFonts w:asciiTheme="minorHAnsi" w:hAnsiTheme="minorHAnsi" w:cs="Arial"/>
          <w:sz w:val="20"/>
          <w:szCs w:val="20"/>
        </w:rPr>
        <w:t xml:space="preserve"> as a result of </w:t>
      </w:r>
      <w:r w:rsidR="00E46979" w:rsidRPr="00F01EC8">
        <w:rPr>
          <w:rFonts w:asciiTheme="minorHAnsi" w:hAnsiTheme="minorHAnsi" w:cs="Arial"/>
          <w:sz w:val="20"/>
          <w:szCs w:val="20"/>
        </w:rPr>
        <w:t xml:space="preserve">changing forecasts in </w:t>
      </w:r>
      <w:r w:rsidRPr="00F01EC8">
        <w:rPr>
          <w:rFonts w:asciiTheme="minorHAnsi" w:hAnsiTheme="minorHAnsi" w:cs="Arial"/>
          <w:sz w:val="20"/>
          <w:szCs w:val="20"/>
        </w:rPr>
        <w:t>macro-economic environment.</w:t>
      </w:r>
    </w:p>
    <w:bookmarkEnd w:id="20"/>
    <w:p w14:paraId="07E25E18" w14:textId="79E84F71" w:rsidR="00D851AC" w:rsidRPr="00F01EC8" w:rsidRDefault="00D851AC" w:rsidP="00FC53AA">
      <w:pPr>
        <w:autoSpaceDE w:val="0"/>
        <w:autoSpaceDN w:val="0"/>
        <w:adjustRightInd w:val="0"/>
        <w:jc w:val="both"/>
        <w:rPr>
          <w:rFonts w:asciiTheme="minorHAnsi" w:hAnsiTheme="minorHAnsi" w:cs="Arial"/>
          <w:sz w:val="20"/>
          <w:szCs w:val="20"/>
        </w:rPr>
      </w:pPr>
    </w:p>
    <w:p w14:paraId="0144E2B8" w14:textId="41CC689E" w:rsidR="00C32E9C" w:rsidRPr="005714EF" w:rsidRDefault="00711D87" w:rsidP="00EC48CC">
      <w:pPr>
        <w:jc w:val="both"/>
        <w:rPr>
          <w:rFonts w:asciiTheme="minorHAnsi" w:hAnsiTheme="minorHAnsi" w:cs="Arial"/>
          <w:color w:val="000000"/>
          <w:sz w:val="20"/>
          <w:szCs w:val="20"/>
        </w:rPr>
      </w:pPr>
      <w:r w:rsidRPr="00F01EC8">
        <w:rPr>
          <w:rFonts w:asciiTheme="minorHAnsi" w:hAnsiTheme="minorHAnsi" w:cs="Arial"/>
          <w:sz w:val="20"/>
          <w:szCs w:val="20"/>
        </w:rPr>
        <w:t>Based on IASB guidance, the activation of a payment holiday by a customer is not automatically deemed to be indicative of a SICR. A customer who is not in arrears on activation of a payment holiday, would remain in stage 1 unless internal data or external bureau analysis, utilised by Vanquis Bank and Moneybarn respectively, indicates a SICR. If this were to be evident, a customer would be moved to stage 2</w:t>
      </w:r>
      <w:r w:rsidR="00E46979" w:rsidRPr="00F01EC8">
        <w:rPr>
          <w:rFonts w:asciiTheme="minorHAnsi" w:hAnsiTheme="minorHAnsi" w:cs="Arial"/>
          <w:color w:val="000000"/>
          <w:sz w:val="20"/>
          <w:szCs w:val="20"/>
        </w:rPr>
        <w:t>. Individual customer behaviour has continued to be analysed</w:t>
      </w:r>
      <w:r w:rsidRPr="00F01EC8">
        <w:rPr>
          <w:rFonts w:asciiTheme="minorHAnsi" w:hAnsiTheme="minorHAnsi" w:cs="Arial"/>
          <w:color w:val="000000"/>
          <w:sz w:val="20"/>
          <w:szCs w:val="20"/>
        </w:rPr>
        <w:t xml:space="preserve"> to understand repayment behaviour on exit of a payment holiday to update the PD’s, and stage classification, accordingly.</w:t>
      </w:r>
    </w:p>
    <w:p w14:paraId="06519642" w14:textId="77777777" w:rsidR="00EC48CC" w:rsidRDefault="00EC48CC" w:rsidP="00E46979">
      <w:pPr>
        <w:rPr>
          <w:rFonts w:asciiTheme="minorHAnsi" w:hAnsiTheme="minorHAnsi"/>
          <w:sz w:val="20"/>
          <w:szCs w:val="20"/>
          <w:u w:val="single"/>
        </w:rPr>
      </w:pPr>
    </w:p>
    <w:p w14:paraId="5037EB35" w14:textId="73D051C8" w:rsidR="00E46979" w:rsidRPr="00F01EC8" w:rsidRDefault="00E46979" w:rsidP="00E46979">
      <w:pPr>
        <w:rPr>
          <w:rFonts w:asciiTheme="minorHAnsi" w:hAnsiTheme="minorHAnsi"/>
          <w:sz w:val="20"/>
          <w:szCs w:val="20"/>
          <w:u w:val="single"/>
        </w:rPr>
      </w:pPr>
      <w:r w:rsidRPr="00F01EC8">
        <w:rPr>
          <w:rFonts w:asciiTheme="minorHAnsi" w:hAnsiTheme="minorHAnsi"/>
          <w:sz w:val="20"/>
          <w:szCs w:val="20"/>
          <w:u w:val="single"/>
        </w:rPr>
        <w:t>Macro-economic provision</w:t>
      </w:r>
    </w:p>
    <w:p w14:paraId="0C472A52" w14:textId="65CF885A" w:rsidR="00E46979" w:rsidRPr="00F01EC8" w:rsidRDefault="00E46979" w:rsidP="00E46979">
      <w:pPr>
        <w:pStyle w:val="Pa20"/>
        <w:spacing w:after="100"/>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Separate macroeconomic provisions are recognised to reflect </w:t>
      </w:r>
      <w:r w:rsidR="00B133E8" w:rsidRPr="00F01EC8">
        <w:rPr>
          <w:rFonts w:asciiTheme="minorHAnsi" w:hAnsiTheme="minorHAnsi" w:cs="Arial"/>
          <w:color w:val="000000"/>
          <w:sz w:val="20"/>
          <w:szCs w:val="20"/>
        </w:rPr>
        <w:t xml:space="preserve">an </w:t>
      </w:r>
      <w:r w:rsidRPr="00F01EC8">
        <w:rPr>
          <w:rFonts w:asciiTheme="minorHAnsi" w:hAnsiTheme="minorHAnsi" w:cs="Arial"/>
          <w:color w:val="000000"/>
          <w:sz w:val="20"/>
          <w:szCs w:val="20"/>
        </w:rPr>
        <w:t xml:space="preserve">increased PD and LGD, in addition to the core impairment provisions, already recognised based on future macro-economic scenarios. </w:t>
      </w:r>
    </w:p>
    <w:p w14:paraId="5A10C4C5" w14:textId="603CB2C4" w:rsidR="00B14E7F" w:rsidRPr="00F01EC8" w:rsidRDefault="00B14E7F" w:rsidP="00E46979">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For Vanquis Bank, the provision reflects the potential for future changes in unemployment under a range of unemployment forecasts For Moneybarn, trends in the used vehicle resale values have been analysed to estimate recoveries from the sale of the vehicle at auction. This also reflects assumptions over the timing of resale given difficulties in recovering the vehicles. </w:t>
      </w:r>
      <w:r w:rsidR="00711D87" w:rsidRPr="00F01EC8">
        <w:rPr>
          <w:rFonts w:asciiTheme="minorHAnsi" w:hAnsiTheme="minorHAnsi" w:cs="Arial"/>
          <w:color w:val="000000"/>
          <w:sz w:val="20"/>
          <w:szCs w:val="20"/>
        </w:rPr>
        <w:t>Unemployment is utilised by both Vanquis Bank and Moneybarn as a key macro-economic indicator as analysis has clearly evidenced correlation between changes in unemployment and credit losses incurred by the business. This will continue to be analysed to assess if there are</w:t>
      </w:r>
      <w:r w:rsidR="00125E2F" w:rsidRPr="00F01EC8">
        <w:rPr>
          <w:rFonts w:asciiTheme="minorHAnsi" w:hAnsiTheme="minorHAnsi" w:cs="Arial"/>
          <w:color w:val="000000"/>
          <w:sz w:val="20"/>
          <w:szCs w:val="20"/>
        </w:rPr>
        <w:t xml:space="preserve"> any</w:t>
      </w:r>
      <w:r w:rsidR="00711D87" w:rsidRPr="00F01EC8">
        <w:rPr>
          <w:rFonts w:asciiTheme="minorHAnsi" w:hAnsiTheme="minorHAnsi" w:cs="Arial"/>
          <w:color w:val="000000"/>
          <w:sz w:val="20"/>
          <w:szCs w:val="20"/>
        </w:rPr>
        <w:t xml:space="preserve"> additional macro-economic indicators which </w:t>
      </w:r>
      <w:r w:rsidR="00125E2F" w:rsidRPr="00F01EC8">
        <w:rPr>
          <w:rFonts w:asciiTheme="minorHAnsi" w:hAnsiTheme="minorHAnsi" w:cs="Arial"/>
          <w:color w:val="000000"/>
          <w:sz w:val="20"/>
          <w:szCs w:val="20"/>
        </w:rPr>
        <w:t xml:space="preserve">also </w:t>
      </w:r>
      <w:r w:rsidR="00711D87" w:rsidRPr="00F01EC8">
        <w:rPr>
          <w:rFonts w:asciiTheme="minorHAnsi" w:hAnsiTheme="minorHAnsi" w:cs="Arial"/>
          <w:color w:val="000000"/>
          <w:sz w:val="20"/>
          <w:szCs w:val="20"/>
        </w:rPr>
        <w:t xml:space="preserve">correlate to credit losses. </w:t>
      </w:r>
    </w:p>
    <w:p w14:paraId="1BA33E7A" w14:textId="77777777" w:rsidR="00B14E7F" w:rsidRPr="00F01EC8" w:rsidRDefault="00B14E7F" w:rsidP="00E46979">
      <w:pPr>
        <w:jc w:val="both"/>
        <w:rPr>
          <w:rFonts w:asciiTheme="minorHAnsi" w:hAnsiTheme="minorHAnsi" w:cs="Arial"/>
          <w:color w:val="000000"/>
          <w:sz w:val="20"/>
          <w:szCs w:val="20"/>
        </w:rPr>
      </w:pPr>
    </w:p>
    <w:p w14:paraId="2E838F64" w14:textId="5059AF34" w:rsidR="00E46979" w:rsidRPr="00F01EC8" w:rsidRDefault="00E46979" w:rsidP="00E46979">
      <w:pPr>
        <w:jc w:val="both"/>
        <w:rPr>
          <w:rFonts w:asciiTheme="minorHAnsi" w:hAnsiTheme="minorHAnsi" w:cs="Arial"/>
          <w:color w:val="000000"/>
          <w:sz w:val="20"/>
          <w:szCs w:val="20"/>
        </w:rPr>
      </w:pPr>
      <w:r w:rsidRPr="00F01EC8">
        <w:rPr>
          <w:rFonts w:asciiTheme="minorHAnsi" w:hAnsiTheme="minorHAnsi" w:cs="Arial"/>
          <w:color w:val="000000"/>
          <w:sz w:val="20"/>
          <w:szCs w:val="20"/>
        </w:rPr>
        <w:t>CCD customers are not considered to be reflective of the wider economy as they are less indebted and are therefore not impacted by the same macro-economic factors or to the same degree. Consequently there is no evidence of any significant correlation between the impairment charge and macro employment statistics. Consistent with the 2019 year end, a separate macroeconomic provision is not held for CCD.</w:t>
      </w:r>
    </w:p>
    <w:p w14:paraId="62660A87" w14:textId="77777777" w:rsidR="00193A38" w:rsidRPr="00F01EC8" w:rsidRDefault="00193A38" w:rsidP="00E46979">
      <w:pPr>
        <w:jc w:val="both"/>
        <w:rPr>
          <w:rFonts w:asciiTheme="minorHAnsi" w:hAnsiTheme="minorHAnsi" w:cs="Arial"/>
          <w:color w:val="000000"/>
          <w:sz w:val="20"/>
          <w:szCs w:val="20"/>
        </w:rPr>
      </w:pPr>
    </w:p>
    <w:p w14:paraId="0820BEAE" w14:textId="6AA4B9A3" w:rsidR="00E46979" w:rsidRPr="00F01EC8" w:rsidRDefault="00E46979" w:rsidP="00E46979">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For Vanquis Bank and Moneybarn, the unemployment data has been compiled from a consensus of sources including the Bank of England, HM Treasury, the Office for Budget Responsibility (OBR), Bloomberg and a number of prime banks. </w:t>
      </w:r>
    </w:p>
    <w:p w14:paraId="724B3800" w14:textId="4AB039DB" w:rsidR="00193A38" w:rsidRPr="00F01EC8" w:rsidRDefault="00193A38" w:rsidP="00E46979">
      <w:pPr>
        <w:jc w:val="both"/>
        <w:rPr>
          <w:rFonts w:asciiTheme="minorHAnsi" w:hAnsiTheme="minorHAnsi" w:cs="Arial"/>
          <w:color w:val="000000"/>
          <w:sz w:val="20"/>
          <w:szCs w:val="20"/>
        </w:rPr>
      </w:pPr>
    </w:p>
    <w:p w14:paraId="5CEF7202" w14:textId="77777777" w:rsidR="00193A38" w:rsidRPr="00F01EC8" w:rsidRDefault="00193A38" w:rsidP="00193A38">
      <w:pPr>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The table below shows the annual peak and average unemployment assumptions adopted by Vanquis Bank and Moneybarn and the weightings applied to each. The combined severe and downside scenarios have doubled from 20% at Dec-19 to 40% at Jun-20 to reflect the uncertain outlook: </w:t>
      </w:r>
      <w:bookmarkStart w:id="24" w:name="_Hlk47704991"/>
    </w:p>
    <w:bookmarkEnd w:id="24"/>
    <w:p w14:paraId="582235D5" w14:textId="77777777" w:rsidR="00FC53AA" w:rsidRPr="00F01EC8" w:rsidRDefault="00FC53AA" w:rsidP="00193A38">
      <w:pPr>
        <w:jc w:val="both"/>
        <w:rPr>
          <w:rFonts w:asciiTheme="minorHAnsi" w:hAnsiTheme="minorHAnsi" w:cs="Arial"/>
          <w:color w:val="000000"/>
          <w:sz w:val="20"/>
          <w:szCs w:val="20"/>
        </w:rPr>
      </w:pPr>
    </w:p>
    <w:tbl>
      <w:tblPr>
        <w:tblW w:w="9582" w:type="dxa"/>
        <w:tblLayout w:type="fixed"/>
        <w:tblLook w:val="0000" w:firstRow="0" w:lastRow="0" w:firstColumn="0" w:lastColumn="0" w:noHBand="0" w:noVBand="0"/>
      </w:tblPr>
      <w:tblGrid>
        <w:gridCol w:w="5507"/>
        <w:gridCol w:w="1079"/>
        <w:gridCol w:w="1048"/>
        <w:gridCol w:w="1082"/>
        <w:gridCol w:w="866"/>
      </w:tblGrid>
      <w:tr w:rsidR="00FC53AA" w:rsidRPr="00F01EC8" w14:paraId="31E4CBD5" w14:textId="77777777" w:rsidTr="009D39AC">
        <w:trPr>
          <w:trHeight w:val="236"/>
        </w:trPr>
        <w:tc>
          <w:tcPr>
            <w:tcW w:w="5507" w:type="dxa"/>
            <w:tcBorders>
              <w:bottom w:val="single" w:sz="4" w:space="0" w:color="auto"/>
            </w:tcBorders>
          </w:tcPr>
          <w:p w14:paraId="5439196D" w14:textId="77777777" w:rsidR="00FC53AA" w:rsidRPr="00F01EC8" w:rsidRDefault="00FC53AA" w:rsidP="00FC53AA">
            <w:pPr>
              <w:rPr>
                <w:rFonts w:asciiTheme="minorHAnsi" w:hAnsiTheme="minorHAnsi" w:cs="Arial"/>
                <w:sz w:val="20"/>
                <w:szCs w:val="20"/>
              </w:rPr>
            </w:pPr>
          </w:p>
        </w:tc>
        <w:tc>
          <w:tcPr>
            <w:tcW w:w="1079" w:type="dxa"/>
            <w:tcBorders>
              <w:top w:val="nil"/>
              <w:left w:val="nil"/>
              <w:bottom w:val="single" w:sz="4" w:space="0" w:color="auto"/>
              <w:right w:val="nil"/>
            </w:tcBorders>
          </w:tcPr>
          <w:p w14:paraId="6E6E3EE0" w14:textId="7176FCF4" w:rsidR="00FC53AA" w:rsidRPr="00F01EC8" w:rsidRDefault="00FC53AA" w:rsidP="00FC53AA">
            <w:pPr>
              <w:jc w:val="right"/>
              <w:rPr>
                <w:rFonts w:asciiTheme="minorHAnsi" w:hAnsiTheme="minorHAnsi" w:cs="Arial"/>
                <w:sz w:val="20"/>
                <w:szCs w:val="20"/>
              </w:rPr>
            </w:pPr>
            <w:r w:rsidRPr="00F01EC8">
              <w:rPr>
                <w:rFonts w:asciiTheme="minorHAnsi" w:hAnsiTheme="minorHAnsi" w:cs="Arial"/>
                <w:b/>
                <w:color w:val="000000"/>
                <w:sz w:val="20"/>
                <w:szCs w:val="20"/>
              </w:rPr>
              <w:t>Base</w:t>
            </w:r>
          </w:p>
        </w:tc>
        <w:tc>
          <w:tcPr>
            <w:tcW w:w="1048" w:type="dxa"/>
            <w:tcBorders>
              <w:top w:val="nil"/>
              <w:left w:val="nil"/>
              <w:bottom w:val="single" w:sz="4" w:space="0" w:color="auto"/>
              <w:right w:val="nil"/>
            </w:tcBorders>
          </w:tcPr>
          <w:p w14:paraId="2E23F9CA" w14:textId="7CD32169" w:rsidR="00FC53AA" w:rsidRPr="00F01EC8" w:rsidRDefault="00FC53AA" w:rsidP="00FC53AA">
            <w:pPr>
              <w:jc w:val="right"/>
              <w:rPr>
                <w:rFonts w:asciiTheme="minorHAnsi" w:hAnsiTheme="minorHAnsi" w:cs="Arial"/>
                <w:sz w:val="20"/>
                <w:szCs w:val="20"/>
              </w:rPr>
            </w:pPr>
            <w:r w:rsidRPr="00F01EC8">
              <w:rPr>
                <w:rFonts w:asciiTheme="minorHAnsi" w:hAnsiTheme="minorHAnsi" w:cs="Arial"/>
                <w:b/>
                <w:color w:val="000000"/>
                <w:sz w:val="20"/>
                <w:szCs w:val="20"/>
              </w:rPr>
              <w:t xml:space="preserve">Upside </w:t>
            </w:r>
          </w:p>
        </w:tc>
        <w:tc>
          <w:tcPr>
            <w:tcW w:w="1082" w:type="dxa"/>
            <w:tcBorders>
              <w:top w:val="nil"/>
              <w:left w:val="nil"/>
              <w:bottom w:val="single" w:sz="4" w:space="0" w:color="auto"/>
              <w:right w:val="nil"/>
            </w:tcBorders>
          </w:tcPr>
          <w:p w14:paraId="52D34AC7" w14:textId="4AB5B440" w:rsidR="00FC53AA" w:rsidRPr="00F01EC8" w:rsidRDefault="00FC53AA" w:rsidP="00FC53AA">
            <w:pPr>
              <w:jc w:val="right"/>
              <w:rPr>
                <w:rFonts w:asciiTheme="minorHAnsi" w:hAnsiTheme="minorHAnsi" w:cs="Arial"/>
                <w:sz w:val="20"/>
                <w:szCs w:val="20"/>
              </w:rPr>
            </w:pPr>
            <w:r w:rsidRPr="00F01EC8">
              <w:rPr>
                <w:rFonts w:asciiTheme="minorHAnsi" w:hAnsiTheme="minorHAnsi" w:cs="Arial"/>
                <w:b/>
                <w:color w:val="000000"/>
                <w:sz w:val="20"/>
                <w:szCs w:val="20"/>
              </w:rPr>
              <w:t>Downside</w:t>
            </w:r>
          </w:p>
        </w:tc>
        <w:tc>
          <w:tcPr>
            <w:tcW w:w="866" w:type="dxa"/>
            <w:tcBorders>
              <w:top w:val="nil"/>
              <w:left w:val="nil"/>
              <w:bottom w:val="single" w:sz="4" w:space="0" w:color="auto"/>
              <w:right w:val="nil"/>
            </w:tcBorders>
          </w:tcPr>
          <w:p w14:paraId="3F1C0B28" w14:textId="37D0E5E0" w:rsidR="00FC53AA" w:rsidRPr="00F01EC8" w:rsidRDefault="00FC53AA" w:rsidP="00FC53AA">
            <w:pPr>
              <w:jc w:val="right"/>
              <w:rPr>
                <w:rFonts w:asciiTheme="minorHAnsi" w:hAnsiTheme="minorHAnsi" w:cs="Arial"/>
                <w:sz w:val="20"/>
                <w:szCs w:val="20"/>
              </w:rPr>
            </w:pPr>
            <w:r w:rsidRPr="00F01EC8">
              <w:rPr>
                <w:rFonts w:asciiTheme="minorHAnsi" w:hAnsiTheme="minorHAnsi" w:cs="Arial"/>
                <w:b/>
                <w:color w:val="000000"/>
                <w:sz w:val="20"/>
                <w:szCs w:val="20"/>
              </w:rPr>
              <w:t>Severe</w:t>
            </w:r>
          </w:p>
        </w:tc>
      </w:tr>
      <w:tr w:rsidR="00FC53AA" w:rsidRPr="00F01EC8" w14:paraId="4F3E230A" w14:textId="77777777" w:rsidTr="006454D7">
        <w:trPr>
          <w:trHeight w:val="253"/>
        </w:trPr>
        <w:tc>
          <w:tcPr>
            <w:tcW w:w="5507" w:type="dxa"/>
            <w:tcBorders>
              <w:top w:val="single" w:sz="4" w:space="0" w:color="auto"/>
            </w:tcBorders>
          </w:tcPr>
          <w:p w14:paraId="316C7D1A" w14:textId="16D9D440" w:rsidR="00FC53AA" w:rsidRPr="00F01EC8" w:rsidRDefault="00FC53AA" w:rsidP="00FC53AA">
            <w:pPr>
              <w:rPr>
                <w:rFonts w:asciiTheme="minorHAnsi" w:hAnsiTheme="minorHAnsi" w:cs="Arial"/>
                <w:b/>
                <w:sz w:val="20"/>
                <w:szCs w:val="20"/>
              </w:rPr>
            </w:pPr>
            <w:r w:rsidRPr="00F01EC8">
              <w:rPr>
                <w:rFonts w:asciiTheme="minorHAnsi" w:hAnsiTheme="minorHAnsi" w:cs="Arial"/>
                <w:color w:val="000000"/>
                <w:sz w:val="20"/>
                <w:szCs w:val="20"/>
              </w:rPr>
              <w:t>Weighting</w:t>
            </w:r>
          </w:p>
        </w:tc>
        <w:tc>
          <w:tcPr>
            <w:tcW w:w="1079" w:type="dxa"/>
            <w:tcBorders>
              <w:top w:val="single" w:sz="4" w:space="0" w:color="auto"/>
              <w:left w:val="nil"/>
              <w:right w:val="nil"/>
            </w:tcBorders>
          </w:tcPr>
          <w:p w14:paraId="134C693C" w14:textId="3DB05AA4"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50%</w:t>
            </w:r>
          </w:p>
        </w:tc>
        <w:tc>
          <w:tcPr>
            <w:tcW w:w="1048" w:type="dxa"/>
            <w:tcBorders>
              <w:top w:val="single" w:sz="4" w:space="0" w:color="auto"/>
              <w:left w:val="nil"/>
              <w:right w:val="nil"/>
            </w:tcBorders>
          </w:tcPr>
          <w:p w14:paraId="756DCD6E" w14:textId="319212AE"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10%</w:t>
            </w:r>
          </w:p>
        </w:tc>
        <w:tc>
          <w:tcPr>
            <w:tcW w:w="1082" w:type="dxa"/>
            <w:tcBorders>
              <w:top w:val="single" w:sz="4" w:space="0" w:color="auto"/>
              <w:left w:val="nil"/>
              <w:right w:val="nil"/>
            </w:tcBorders>
          </w:tcPr>
          <w:p w14:paraId="106EDC5D" w14:textId="4BE37387" w:rsidR="00FC53AA" w:rsidRPr="00F01EC8" w:rsidRDefault="00FC53AA" w:rsidP="00FC53AA">
            <w:pPr>
              <w:jc w:val="center"/>
              <w:rPr>
                <w:rFonts w:asciiTheme="minorHAnsi" w:hAnsiTheme="minorHAnsi" w:cs="Arial"/>
                <w:sz w:val="20"/>
                <w:szCs w:val="20"/>
              </w:rPr>
            </w:pPr>
            <w:r w:rsidRPr="00F01EC8">
              <w:rPr>
                <w:rFonts w:asciiTheme="minorHAnsi" w:hAnsiTheme="minorHAnsi" w:cs="Arial"/>
                <w:color w:val="000000"/>
                <w:sz w:val="20"/>
                <w:szCs w:val="20"/>
              </w:rPr>
              <w:t>35%</w:t>
            </w:r>
          </w:p>
        </w:tc>
        <w:tc>
          <w:tcPr>
            <w:tcW w:w="866" w:type="dxa"/>
            <w:tcBorders>
              <w:top w:val="single" w:sz="4" w:space="0" w:color="auto"/>
              <w:left w:val="nil"/>
              <w:right w:val="nil"/>
            </w:tcBorders>
          </w:tcPr>
          <w:p w14:paraId="0808A8BE" w14:textId="6FD3E578"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5%</w:t>
            </w:r>
          </w:p>
        </w:tc>
      </w:tr>
      <w:tr w:rsidR="00FC53AA" w:rsidRPr="00F01EC8" w14:paraId="7AF998D2" w14:textId="77777777" w:rsidTr="00264A11">
        <w:trPr>
          <w:trHeight w:val="253"/>
        </w:trPr>
        <w:tc>
          <w:tcPr>
            <w:tcW w:w="5507" w:type="dxa"/>
          </w:tcPr>
          <w:p w14:paraId="1DD3224F" w14:textId="20881F00" w:rsidR="00FC53AA" w:rsidRPr="00F01EC8" w:rsidRDefault="00FC53AA" w:rsidP="00FC53AA">
            <w:pPr>
              <w:rPr>
                <w:rFonts w:asciiTheme="minorHAnsi" w:hAnsiTheme="minorHAnsi" w:cs="Arial"/>
                <w:b/>
                <w:sz w:val="20"/>
                <w:szCs w:val="20"/>
                <w:highlight w:val="yellow"/>
              </w:rPr>
            </w:pPr>
          </w:p>
        </w:tc>
        <w:tc>
          <w:tcPr>
            <w:tcW w:w="1079" w:type="dxa"/>
            <w:tcBorders>
              <w:left w:val="nil"/>
              <w:right w:val="nil"/>
            </w:tcBorders>
          </w:tcPr>
          <w:p w14:paraId="407342DB" w14:textId="063F66F5" w:rsidR="00FC53AA" w:rsidRPr="00F01EC8" w:rsidRDefault="00FC53AA" w:rsidP="00FC53AA">
            <w:pPr>
              <w:jc w:val="right"/>
              <w:rPr>
                <w:rFonts w:asciiTheme="minorHAnsi" w:hAnsiTheme="minorHAnsi" w:cs="Arial"/>
                <w:sz w:val="20"/>
                <w:szCs w:val="20"/>
              </w:rPr>
            </w:pPr>
          </w:p>
        </w:tc>
        <w:tc>
          <w:tcPr>
            <w:tcW w:w="1048" w:type="dxa"/>
            <w:tcBorders>
              <w:left w:val="nil"/>
              <w:right w:val="nil"/>
            </w:tcBorders>
          </w:tcPr>
          <w:p w14:paraId="20D8A639" w14:textId="02B8CA8E" w:rsidR="00FC53AA" w:rsidRPr="00F01EC8" w:rsidRDefault="00FC53AA" w:rsidP="00FC53AA">
            <w:pPr>
              <w:jc w:val="right"/>
              <w:rPr>
                <w:rFonts w:asciiTheme="minorHAnsi" w:hAnsiTheme="minorHAnsi" w:cs="Arial"/>
                <w:sz w:val="20"/>
                <w:szCs w:val="20"/>
              </w:rPr>
            </w:pPr>
          </w:p>
        </w:tc>
        <w:tc>
          <w:tcPr>
            <w:tcW w:w="1082" w:type="dxa"/>
            <w:tcBorders>
              <w:left w:val="nil"/>
              <w:right w:val="nil"/>
            </w:tcBorders>
          </w:tcPr>
          <w:p w14:paraId="326DAA4E" w14:textId="52CC4D28" w:rsidR="00FC53AA" w:rsidRPr="00F01EC8" w:rsidRDefault="00FC53AA" w:rsidP="00FC53AA">
            <w:pPr>
              <w:jc w:val="right"/>
              <w:rPr>
                <w:rFonts w:asciiTheme="minorHAnsi" w:hAnsiTheme="minorHAnsi" w:cs="Arial"/>
                <w:sz w:val="20"/>
                <w:szCs w:val="20"/>
              </w:rPr>
            </w:pPr>
          </w:p>
        </w:tc>
        <w:tc>
          <w:tcPr>
            <w:tcW w:w="866" w:type="dxa"/>
            <w:tcBorders>
              <w:left w:val="nil"/>
              <w:right w:val="nil"/>
            </w:tcBorders>
          </w:tcPr>
          <w:p w14:paraId="342B44C2" w14:textId="36EA3A53" w:rsidR="00FC53AA" w:rsidRPr="00F01EC8" w:rsidRDefault="00FC53AA" w:rsidP="00FC53AA">
            <w:pPr>
              <w:jc w:val="right"/>
              <w:rPr>
                <w:rFonts w:asciiTheme="minorHAnsi" w:hAnsiTheme="minorHAnsi" w:cs="Arial"/>
                <w:sz w:val="20"/>
                <w:szCs w:val="20"/>
              </w:rPr>
            </w:pPr>
          </w:p>
        </w:tc>
      </w:tr>
      <w:tr w:rsidR="00FC53AA" w:rsidRPr="00F01EC8" w14:paraId="59104C8D" w14:textId="77777777" w:rsidTr="00264A11">
        <w:trPr>
          <w:trHeight w:val="253"/>
        </w:trPr>
        <w:tc>
          <w:tcPr>
            <w:tcW w:w="5507" w:type="dxa"/>
          </w:tcPr>
          <w:p w14:paraId="5468A208" w14:textId="2F172E39" w:rsidR="00FC53AA" w:rsidRPr="00F01EC8" w:rsidRDefault="00FC53AA" w:rsidP="00FC53AA">
            <w:pPr>
              <w:rPr>
                <w:rFonts w:asciiTheme="minorHAnsi" w:hAnsiTheme="minorHAnsi" w:cs="Arial"/>
                <w:b/>
                <w:sz w:val="20"/>
                <w:szCs w:val="20"/>
                <w:highlight w:val="yellow"/>
              </w:rPr>
            </w:pPr>
            <w:r w:rsidRPr="00F01EC8">
              <w:rPr>
                <w:rFonts w:asciiTheme="minorHAnsi" w:hAnsiTheme="minorHAnsi" w:cs="Arial"/>
                <w:b/>
                <w:color w:val="000000"/>
                <w:sz w:val="20"/>
                <w:szCs w:val="20"/>
              </w:rPr>
              <w:t>2020</w:t>
            </w:r>
          </w:p>
        </w:tc>
        <w:tc>
          <w:tcPr>
            <w:tcW w:w="1079" w:type="dxa"/>
            <w:tcBorders>
              <w:left w:val="nil"/>
              <w:right w:val="nil"/>
            </w:tcBorders>
          </w:tcPr>
          <w:p w14:paraId="674610A5" w14:textId="7474C08E" w:rsidR="00FC53AA" w:rsidRPr="00F01EC8" w:rsidRDefault="00FC53AA" w:rsidP="00FC53AA">
            <w:pPr>
              <w:jc w:val="right"/>
              <w:rPr>
                <w:rFonts w:asciiTheme="minorHAnsi" w:hAnsiTheme="minorHAnsi" w:cs="Arial"/>
                <w:sz w:val="20"/>
                <w:szCs w:val="20"/>
              </w:rPr>
            </w:pPr>
          </w:p>
        </w:tc>
        <w:tc>
          <w:tcPr>
            <w:tcW w:w="1048" w:type="dxa"/>
            <w:tcBorders>
              <w:left w:val="nil"/>
              <w:right w:val="nil"/>
            </w:tcBorders>
          </w:tcPr>
          <w:p w14:paraId="05F97AB6" w14:textId="4EB798FB" w:rsidR="00FC53AA" w:rsidRPr="00F01EC8" w:rsidRDefault="00FC53AA" w:rsidP="00FC53AA">
            <w:pPr>
              <w:jc w:val="right"/>
              <w:rPr>
                <w:rFonts w:asciiTheme="minorHAnsi" w:hAnsiTheme="minorHAnsi" w:cs="Arial"/>
                <w:sz w:val="20"/>
                <w:szCs w:val="20"/>
              </w:rPr>
            </w:pPr>
          </w:p>
        </w:tc>
        <w:tc>
          <w:tcPr>
            <w:tcW w:w="1082" w:type="dxa"/>
            <w:tcBorders>
              <w:left w:val="nil"/>
              <w:right w:val="nil"/>
            </w:tcBorders>
          </w:tcPr>
          <w:p w14:paraId="4EE559C1" w14:textId="7E16E0B6" w:rsidR="00FC53AA" w:rsidRPr="00F01EC8" w:rsidRDefault="00FC53AA" w:rsidP="00FC53AA">
            <w:pPr>
              <w:jc w:val="right"/>
              <w:rPr>
                <w:rFonts w:asciiTheme="minorHAnsi" w:hAnsiTheme="minorHAnsi" w:cs="Arial"/>
                <w:sz w:val="20"/>
                <w:szCs w:val="20"/>
              </w:rPr>
            </w:pPr>
          </w:p>
        </w:tc>
        <w:tc>
          <w:tcPr>
            <w:tcW w:w="866" w:type="dxa"/>
            <w:tcBorders>
              <w:left w:val="nil"/>
              <w:right w:val="nil"/>
            </w:tcBorders>
          </w:tcPr>
          <w:p w14:paraId="4FB11F73" w14:textId="211A03F7" w:rsidR="00FC53AA" w:rsidRPr="00F01EC8" w:rsidRDefault="00FC53AA" w:rsidP="00FC53AA">
            <w:pPr>
              <w:jc w:val="right"/>
              <w:rPr>
                <w:rFonts w:asciiTheme="minorHAnsi" w:hAnsiTheme="minorHAnsi" w:cs="Arial"/>
                <w:sz w:val="20"/>
                <w:szCs w:val="20"/>
              </w:rPr>
            </w:pPr>
          </w:p>
        </w:tc>
      </w:tr>
      <w:tr w:rsidR="00FC53AA" w:rsidRPr="00F01EC8" w14:paraId="1BC7539F" w14:textId="77777777" w:rsidTr="00264A11">
        <w:trPr>
          <w:trHeight w:val="253"/>
        </w:trPr>
        <w:tc>
          <w:tcPr>
            <w:tcW w:w="5507" w:type="dxa"/>
          </w:tcPr>
          <w:p w14:paraId="6155ABE4" w14:textId="2754FD7A" w:rsidR="00FC53AA" w:rsidRPr="00F01EC8" w:rsidRDefault="00FC53AA" w:rsidP="00FC53AA">
            <w:pPr>
              <w:rPr>
                <w:rFonts w:asciiTheme="minorHAnsi" w:hAnsiTheme="minorHAnsi" w:cs="Arial"/>
                <w:sz w:val="20"/>
                <w:szCs w:val="20"/>
              </w:rPr>
            </w:pPr>
            <w:r w:rsidRPr="00F01EC8">
              <w:rPr>
                <w:rFonts w:asciiTheme="minorHAnsi" w:hAnsiTheme="minorHAnsi" w:cs="Arial"/>
                <w:color w:val="000000"/>
                <w:sz w:val="20"/>
                <w:szCs w:val="20"/>
              </w:rPr>
              <w:t>Peak</w:t>
            </w:r>
          </w:p>
        </w:tc>
        <w:tc>
          <w:tcPr>
            <w:tcW w:w="1079" w:type="dxa"/>
            <w:tcBorders>
              <w:left w:val="nil"/>
              <w:right w:val="nil"/>
            </w:tcBorders>
          </w:tcPr>
          <w:p w14:paraId="37F5F60B" w14:textId="028CF0B7"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8.0</w:t>
            </w:r>
          </w:p>
        </w:tc>
        <w:tc>
          <w:tcPr>
            <w:tcW w:w="1048" w:type="dxa"/>
            <w:tcBorders>
              <w:left w:val="nil"/>
              <w:right w:val="nil"/>
            </w:tcBorders>
          </w:tcPr>
          <w:p w14:paraId="71ECC747" w14:textId="73FB4337"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6.3</w:t>
            </w:r>
          </w:p>
        </w:tc>
        <w:tc>
          <w:tcPr>
            <w:tcW w:w="1082" w:type="dxa"/>
            <w:tcBorders>
              <w:left w:val="nil"/>
              <w:right w:val="nil"/>
            </w:tcBorders>
          </w:tcPr>
          <w:p w14:paraId="23A5F358" w14:textId="094E91AB"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10.0</w:t>
            </w:r>
          </w:p>
        </w:tc>
        <w:tc>
          <w:tcPr>
            <w:tcW w:w="866" w:type="dxa"/>
            <w:tcBorders>
              <w:left w:val="nil"/>
              <w:right w:val="nil"/>
            </w:tcBorders>
          </w:tcPr>
          <w:p w14:paraId="307536E2" w14:textId="2636FAE7"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13.5</w:t>
            </w:r>
          </w:p>
        </w:tc>
      </w:tr>
      <w:tr w:rsidR="00FC53AA" w:rsidRPr="00F01EC8" w14:paraId="1F69BF91" w14:textId="77777777" w:rsidTr="00264A11">
        <w:trPr>
          <w:trHeight w:val="253"/>
        </w:trPr>
        <w:tc>
          <w:tcPr>
            <w:tcW w:w="5507" w:type="dxa"/>
          </w:tcPr>
          <w:p w14:paraId="48DFB43B" w14:textId="26444916" w:rsidR="00FC53AA" w:rsidRPr="00F01EC8" w:rsidRDefault="00FC53AA" w:rsidP="00FC53AA">
            <w:pPr>
              <w:ind w:left="142" w:hanging="142"/>
              <w:rPr>
                <w:rFonts w:asciiTheme="minorHAnsi" w:hAnsiTheme="minorHAnsi" w:cs="Arial"/>
                <w:sz w:val="20"/>
                <w:szCs w:val="20"/>
              </w:rPr>
            </w:pPr>
            <w:r w:rsidRPr="00F01EC8">
              <w:rPr>
                <w:rFonts w:asciiTheme="minorHAnsi" w:hAnsiTheme="minorHAnsi" w:cs="Arial"/>
                <w:color w:val="000000"/>
                <w:sz w:val="20"/>
                <w:szCs w:val="20"/>
              </w:rPr>
              <w:t>Average</w:t>
            </w:r>
          </w:p>
        </w:tc>
        <w:tc>
          <w:tcPr>
            <w:tcW w:w="1079" w:type="dxa"/>
            <w:tcBorders>
              <w:left w:val="nil"/>
              <w:right w:val="nil"/>
            </w:tcBorders>
          </w:tcPr>
          <w:p w14:paraId="579B7B05" w14:textId="24B48A50"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6.1</w:t>
            </w:r>
          </w:p>
        </w:tc>
        <w:tc>
          <w:tcPr>
            <w:tcW w:w="1048" w:type="dxa"/>
            <w:tcBorders>
              <w:left w:val="nil"/>
              <w:right w:val="nil"/>
            </w:tcBorders>
          </w:tcPr>
          <w:p w14:paraId="02CB5B04" w14:textId="3D2AF72E"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5.3</w:t>
            </w:r>
          </w:p>
        </w:tc>
        <w:tc>
          <w:tcPr>
            <w:tcW w:w="1082" w:type="dxa"/>
            <w:tcBorders>
              <w:left w:val="nil"/>
              <w:right w:val="nil"/>
            </w:tcBorders>
          </w:tcPr>
          <w:p w14:paraId="4E6F6705" w14:textId="34596A91"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6.8</w:t>
            </w:r>
          </w:p>
        </w:tc>
        <w:tc>
          <w:tcPr>
            <w:tcW w:w="866" w:type="dxa"/>
            <w:tcBorders>
              <w:left w:val="nil"/>
              <w:right w:val="nil"/>
            </w:tcBorders>
          </w:tcPr>
          <w:p w14:paraId="22CFF7FF" w14:textId="655A01C2"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8.0</w:t>
            </w:r>
          </w:p>
        </w:tc>
      </w:tr>
      <w:tr w:rsidR="00FC53AA" w:rsidRPr="00F01EC8" w14:paraId="3BAC1DCA" w14:textId="77777777" w:rsidTr="00264A11">
        <w:trPr>
          <w:trHeight w:val="253"/>
        </w:trPr>
        <w:tc>
          <w:tcPr>
            <w:tcW w:w="5507" w:type="dxa"/>
          </w:tcPr>
          <w:p w14:paraId="36E6CD8E" w14:textId="47070AC6" w:rsidR="00FC53AA" w:rsidRPr="00F01EC8" w:rsidRDefault="00FC53AA" w:rsidP="00FC53AA">
            <w:pPr>
              <w:ind w:left="142" w:hanging="142"/>
              <w:rPr>
                <w:rFonts w:asciiTheme="minorHAnsi" w:hAnsiTheme="minorHAnsi" w:cs="Arial"/>
                <w:sz w:val="20"/>
                <w:szCs w:val="20"/>
              </w:rPr>
            </w:pPr>
          </w:p>
        </w:tc>
        <w:tc>
          <w:tcPr>
            <w:tcW w:w="1079" w:type="dxa"/>
            <w:tcBorders>
              <w:left w:val="nil"/>
              <w:right w:val="nil"/>
            </w:tcBorders>
          </w:tcPr>
          <w:p w14:paraId="7B5DB4BD" w14:textId="5090D489" w:rsidR="00FC53AA" w:rsidRPr="00F01EC8" w:rsidRDefault="00FC53AA" w:rsidP="00FC53AA">
            <w:pPr>
              <w:jc w:val="right"/>
              <w:rPr>
                <w:rFonts w:asciiTheme="minorHAnsi" w:hAnsiTheme="minorHAnsi" w:cs="Arial"/>
                <w:sz w:val="20"/>
                <w:szCs w:val="20"/>
              </w:rPr>
            </w:pPr>
          </w:p>
        </w:tc>
        <w:tc>
          <w:tcPr>
            <w:tcW w:w="1048" w:type="dxa"/>
            <w:tcBorders>
              <w:left w:val="nil"/>
              <w:right w:val="nil"/>
            </w:tcBorders>
          </w:tcPr>
          <w:p w14:paraId="54EBBFA1" w14:textId="4528FD79" w:rsidR="00FC53AA" w:rsidRPr="00F01EC8" w:rsidRDefault="00FC53AA" w:rsidP="00FC53AA">
            <w:pPr>
              <w:jc w:val="right"/>
              <w:rPr>
                <w:rFonts w:asciiTheme="minorHAnsi" w:hAnsiTheme="minorHAnsi" w:cs="Arial"/>
                <w:sz w:val="20"/>
                <w:szCs w:val="20"/>
              </w:rPr>
            </w:pPr>
          </w:p>
        </w:tc>
        <w:tc>
          <w:tcPr>
            <w:tcW w:w="1082" w:type="dxa"/>
            <w:tcBorders>
              <w:left w:val="nil"/>
              <w:right w:val="nil"/>
            </w:tcBorders>
          </w:tcPr>
          <w:p w14:paraId="73235ED3" w14:textId="19614F39" w:rsidR="00FC53AA" w:rsidRPr="00F01EC8" w:rsidRDefault="00FC53AA" w:rsidP="00FC53AA">
            <w:pPr>
              <w:jc w:val="right"/>
              <w:rPr>
                <w:rFonts w:asciiTheme="minorHAnsi" w:hAnsiTheme="minorHAnsi" w:cs="Arial"/>
                <w:sz w:val="20"/>
                <w:szCs w:val="20"/>
              </w:rPr>
            </w:pPr>
          </w:p>
        </w:tc>
        <w:tc>
          <w:tcPr>
            <w:tcW w:w="866" w:type="dxa"/>
            <w:tcBorders>
              <w:left w:val="nil"/>
              <w:right w:val="nil"/>
            </w:tcBorders>
          </w:tcPr>
          <w:p w14:paraId="2EF9AE9A" w14:textId="6D2401AE" w:rsidR="00FC53AA" w:rsidRPr="00F01EC8" w:rsidRDefault="00FC53AA" w:rsidP="00FC53AA">
            <w:pPr>
              <w:jc w:val="right"/>
              <w:rPr>
                <w:rFonts w:asciiTheme="minorHAnsi" w:hAnsiTheme="minorHAnsi" w:cs="Arial"/>
                <w:sz w:val="20"/>
                <w:szCs w:val="20"/>
              </w:rPr>
            </w:pPr>
          </w:p>
        </w:tc>
      </w:tr>
      <w:tr w:rsidR="00FC53AA" w:rsidRPr="00F01EC8" w14:paraId="7EB41A0B" w14:textId="77777777" w:rsidTr="00264A11">
        <w:trPr>
          <w:trHeight w:val="253"/>
        </w:trPr>
        <w:tc>
          <w:tcPr>
            <w:tcW w:w="5507" w:type="dxa"/>
          </w:tcPr>
          <w:p w14:paraId="54FFB209" w14:textId="49025B73" w:rsidR="00FC53AA" w:rsidRPr="00F01EC8" w:rsidRDefault="00FC53AA" w:rsidP="00FC53AA">
            <w:pPr>
              <w:ind w:left="170" w:hanging="170"/>
              <w:rPr>
                <w:rFonts w:asciiTheme="minorHAnsi" w:hAnsiTheme="minorHAnsi" w:cs="Arial"/>
                <w:sz w:val="20"/>
                <w:szCs w:val="20"/>
              </w:rPr>
            </w:pPr>
            <w:r w:rsidRPr="00F01EC8">
              <w:rPr>
                <w:rFonts w:asciiTheme="minorHAnsi" w:hAnsiTheme="minorHAnsi" w:cs="Arial"/>
                <w:b/>
                <w:color w:val="000000"/>
                <w:sz w:val="20"/>
                <w:szCs w:val="20"/>
              </w:rPr>
              <w:t>2021</w:t>
            </w:r>
          </w:p>
        </w:tc>
        <w:tc>
          <w:tcPr>
            <w:tcW w:w="1079" w:type="dxa"/>
            <w:tcBorders>
              <w:left w:val="nil"/>
              <w:right w:val="nil"/>
            </w:tcBorders>
          </w:tcPr>
          <w:p w14:paraId="5F50E64E" w14:textId="5D49FE64" w:rsidR="00FC53AA" w:rsidRPr="00F01EC8" w:rsidRDefault="00FC53AA" w:rsidP="00FC53AA">
            <w:pPr>
              <w:jc w:val="right"/>
              <w:rPr>
                <w:rFonts w:asciiTheme="minorHAnsi" w:hAnsiTheme="minorHAnsi" w:cs="Arial"/>
                <w:sz w:val="20"/>
                <w:szCs w:val="20"/>
              </w:rPr>
            </w:pPr>
          </w:p>
        </w:tc>
        <w:tc>
          <w:tcPr>
            <w:tcW w:w="1048" w:type="dxa"/>
            <w:tcBorders>
              <w:left w:val="nil"/>
              <w:right w:val="nil"/>
            </w:tcBorders>
          </w:tcPr>
          <w:p w14:paraId="3DA01747" w14:textId="4B7EDF51" w:rsidR="00FC53AA" w:rsidRPr="00F01EC8" w:rsidRDefault="00FC53AA" w:rsidP="00FC53AA">
            <w:pPr>
              <w:jc w:val="right"/>
              <w:rPr>
                <w:rFonts w:asciiTheme="minorHAnsi" w:hAnsiTheme="minorHAnsi" w:cs="Arial"/>
                <w:sz w:val="20"/>
                <w:szCs w:val="20"/>
              </w:rPr>
            </w:pPr>
          </w:p>
        </w:tc>
        <w:tc>
          <w:tcPr>
            <w:tcW w:w="1082" w:type="dxa"/>
            <w:tcBorders>
              <w:left w:val="nil"/>
              <w:right w:val="nil"/>
            </w:tcBorders>
          </w:tcPr>
          <w:p w14:paraId="41A9C992" w14:textId="33D69E2C" w:rsidR="00FC53AA" w:rsidRPr="00F01EC8" w:rsidRDefault="00FC53AA" w:rsidP="00FC53AA">
            <w:pPr>
              <w:jc w:val="right"/>
              <w:rPr>
                <w:rFonts w:asciiTheme="minorHAnsi" w:hAnsiTheme="minorHAnsi" w:cs="Arial"/>
                <w:sz w:val="20"/>
                <w:szCs w:val="20"/>
              </w:rPr>
            </w:pPr>
          </w:p>
        </w:tc>
        <w:tc>
          <w:tcPr>
            <w:tcW w:w="866" w:type="dxa"/>
            <w:tcBorders>
              <w:left w:val="nil"/>
              <w:right w:val="nil"/>
            </w:tcBorders>
          </w:tcPr>
          <w:p w14:paraId="29A6CA85" w14:textId="74351795" w:rsidR="00FC53AA" w:rsidRPr="00F01EC8" w:rsidRDefault="00FC53AA" w:rsidP="00FC53AA">
            <w:pPr>
              <w:jc w:val="right"/>
              <w:rPr>
                <w:rFonts w:asciiTheme="minorHAnsi" w:hAnsiTheme="minorHAnsi" w:cs="Arial"/>
                <w:sz w:val="20"/>
                <w:szCs w:val="20"/>
              </w:rPr>
            </w:pPr>
          </w:p>
        </w:tc>
      </w:tr>
      <w:tr w:rsidR="00FC53AA" w:rsidRPr="00F01EC8" w14:paraId="188EA39C" w14:textId="77777777" w:rsidTr="00264A11">
        <w:trPr>
          <w:trHeight w:val="253"/>
        </w:trPr>
        <w:tc>
          <w:tcPr>
            <w:tcW w:w="5507" w:type="dxa"/>
          </w:tcPr>
          <w:p w14:paraId="5E580E02" w14:textId="7A7B1ACC" w:rsidR="00FC53AA" w:rsidRPr="00F01EC8" w:rsidRDefault="00FC53AA" w:rsidP="00FC53AA">
            <w:pPr>
              <w:ind w:left="170" w:hanging="170"/>
              <w:rPr>
                <w:rFonts w:asciiTheme="minorHAnsi" w:hAnsiTheme="minorHAnsi" w:cs="Arial"/>
                <w:sz w:val="20"/>
                <w:szCs w:val="20"/>
              </w:rPr>
            </w:pPr>
            <w:r w:rsidRPr="00F01EC8">
              <w:rPr>
                <w:rFonts w:asciiTheme="minorHAnsi" w:hAnsiTheme="minorHAnsi" w:cs="Arial"/>
                <w:color w:val="000000"/>
                <w:sz w:val="20"/>
                <w:szCs w:val="20"/>
              </w:rPr>
              <w:t xml:space="preserve">Peak </w:t>
            </w:r>
          </w:p>
        </w:tc>
        <w:tc>
          <w:tcPr>
            <w:tcW w:w="1079" w:type="dxa"/>
            <w:tcBorders>
              <w:left w:val="nil"/>
              <w:right w:val="nil"/>
            </w:tcBorders>
          </w:tcPr>
          <w:p w14:paraId="6A84D2A8" w14:textId="5FC00403"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7.4</w:t>
            </w:r>
          </w:p>
        </w:tc>
        <w:tc>
          <w:tcPr>
            <w:tcW w:w="1048" w:type="dxa"/>
            <w:tcBorders>
              <w:left w:val="nil"/>
              <w:right w:val="nil"/>
            </w:tcBorders>
          </w:tcPr>
          <w:p w14:paraId="04925B11" w14:textId="6466C353"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5.7</w:t>
            </w:r>
          </w:p>
        </w:tc>
        <w:tc>
          <w:tcPr>
            <w:tcW w:w="1082" w:type="dxa"/>
            <w:tcBorders>
              <w:left w:val="nil"/>
              <w:right w:val="nil"/>
            </w:tcBorders>
          </w:tcPr>
          <w:p w14:paraId="7DBC3B18" w14:textId="556037FE"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10.2</w:t>
            </w:r>
          </w:p>
        </w:tc>
        <w:tc>
          <w:tcPr>
            <w:tcW w:w="866" w:type="dxa"/>
            <w:tcBorders>
              <w:left w:val="nil"/>
              <w:right w:val="nil"/>
            </w:tcBorders>
          </w:tcPr>
          <w:p w14:paraId="3933F018" w14:textId="6750FA3D"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14.1</w:t>
            </w:r>
          </w:p>
        </w:tc>
      </w:tr>
      <w:tr w:rsidR="00FC53AA" w:rsidRPr="00F01EC8" w14:paraId="2B291910" w14:textId="77777777" w:rsidTr="00264A11">
        <w:trPr>
          <w:trHeight w:val="253"/>
        </w:trPr>
        <w:tc>
          <w:tcPr>
            <w:tcW w:w="5507" w:type="dxa"/>
          </w:tcPr>
          <w:p w14:paraId="332757D0" w14:textId="289CF6BD" w:rsidR="00FC53AA" w:rsidRPr="00F01EC8" w:rsidRDefault="00FC53AA" w:rsidP="00FC53AA">
            <w:pPr>
              <w:ind w:left="142" w:hanging="142"/>
              <w:rPr>
                <w:rFonts w:asciiTheme="minorHAnsi" w:hAnsiTheme="minorHAnsi" w:cs="Arial"/>
                <w:sz w:val="20"/>
                <w:szCs w:val="20"/>
              </w:rPr>
            </w:pPr>
            <w:r w:rsidRPr="00F01EC8">
              <w:rPr>
                <w:rFonts w:asciiTheme="minorHAnsi" w:hAnsiTheme="minorHAnsi" w:cs="Arial"/>
                <w:color w:val="000000"/>
                <w:sz w:val="20"/>
                <w:szCs w:val="20"/>
              </w:rPr>
              <w:t>Average</w:t>
            </w:r>
          </w:p>
        </w:tc>
        <w:tc>
          <w:tcPr>
            <w:tcW w:w="1079" w:type="dxa"/>
            <w:tcBorders>
              <w:left w:val="nil"/>
              <w:right w:val="nil"/>
            </w:tcBorders>
          </w:tcPr>
          <w:p w14:paraId="1DFF833C" w14:textId="28B27ED0"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6.7</w:t>
            </w:r>
          </w:p>
        </w:tc>
        <w:tc>
          <w:tcPr>
            <w:tcW w:w="1048" w:type="dxa"/>
            <w:tcBorders>
              <w:left w:val="nil"/>
              <w:right w:val="nil"/>
            </w:tcBorders>
          </w:tcPr>
          <w:p w14:paraId="6E5A559B" w14:textId="62B7B658"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5.4</w:t>
            </w:r>
          </w:p>
        </w:tc>
        <w:tc>
          <w:tcPr>
            <w:tcW w:w="1082" w:type="dxa"/>
            <w:tcBorders>
              <w:left w:val="nil"/>
              <w:right w:val="nil"/>
            </w:tcBorders>
          </w:tcPr>
          <w:p w14:paraId="1A932016" w14:textId="3CDB446E"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9.4</w:t>
            </w:r>
          </w:p>
        </w:tc>
        <w:tc>
          <w:tcPr>
            <w:tcW w:w="866" w:type="dxa"/>
            <w:tcBorders>
              <w:left w:val="nil"/>
              <w:right w:val="nil"/>
            </w:tcBorders>
          </w:tcPr>
          <w:p w14:paraId="19429A60" w14:textId="42DD1078" w:rsidR="00FC53AA" w:rsidRPr="00F01EC8" w:rsidRDefault="00FC53AA" w:rsidP="00FC53AA">
            <w:pPr>
              <w:jc w:val="right"/>
              <w:rPr>
                <w:rFonts w:asciiTheme="minorHAnsi" w:hAnsiTheme="minorHAnsi" w:cs="Arial"/>
                <w:sz w:val="20"/>
                <w:szCs w:val="20"/>
              </w:rPr>
            </w:pPr>
            <w:r w:rsidRPr="00F01EC8">
              <w:rPr>
                <w:rFonts w:asciiTheme="minorHAnsi" w:hAnsiTheme="minorHAnsi" w:cs="Arial"/>
                <w:color w:val="000000"/>
                <w:sz w:val="20"/>
                <w:szCs w:val="20"/>
              </w:rPr>
              <w:t>13.4</w:t>
            </w:r>
          </w:p>
        </w:tc>
      </w:tr>
    </w:tbl>
    <w:p w14:paraId="2028B1C8" w14:textId="77777777" w:rsidR="00FC53AA" w:rsidRPr="00F01EC8" w:rsidRDefault="00FC53AA" w:rsidP="00193A38">
      <w:pPr>
        <w:jc w:val="both"/>
        <w:rPr>
          <w:rFonts w:asciiTheme="minorHAnsi" w:hAnsiTheme="minorHAnsi" w:cs="Arial"/>
          <w:color w:val="000000"/>
          <w:sz w:val="20"/>
          <w:szCs w:val="20"/>
        </w:rPr>
      </w:pPr>
    </w:p>
    <w:p w14:paraId="337810C9" w14:textId="77777777" w:rsidR="00FC53AA" w:rsidRPr="00F01EC8" w:rsidRDefault="00FC53AA" w:rsidP="00193A38">
      <w:pPr>
        <w:jc w:val="both"/>
        <w:rPr>
          <w:rFonts w:asciiTheme="minorHAnsi" w:hAnsiTheme="minorHAnsi" w:cs="Arial"/>
          <w:color w:val="000000"/>
          <w:sz w:val="20"/>
          <w:szCs w:val="20"/>
        </w:rPr>
      </w:pPr>
    </w:p>
    <w:p w14:paraId="65A86916" w14:textId="59D64D96" w:rsidR="00193A38" w:rsidRDefault="00193A38" w:rsidP="00193A38">
      <w:pPr>
        <w:jc w:val="both"/>
        <w:rPr>
          <w:rFonts w:asciiTheme="minorHAnsi" w:hAnsiTheme="minorHAnsi" w:cs="Arial"/>
          <w:color w:val="000000"/>
          <w:sz w:val="20"/>
          <w:szCs w:val="20"/>
        </w:rPr>
      </w:pPr>
      <w:r w:rsidRPr="00F01EC8">
        <w:rPr>
          <w:rFonts w:asciiTheme="minorHAnsi" w:hAnsiTheme="minorHAnsi" w:cs="Arial"/>
          <w:color w:val="000000"/>
          <w:sz w:val="20"/>
          <w:szCs w:val="20"/>
        </w:rPr>
        <w:t>Whilst the forward-looking nature of IFRS 9 requires provisions to be established for all losses arising out of the current Covid-19 crisis, the level of uncertainty may mean that additional impairment provision, or releases, may be required in future periods</w:t>
      </w:r>
      <w:r w:rsidR="009D39AC" w:rsidRPr="00F01EC8">
        <w:rPr>
          <w:rFonts w:asciiTheme="minorHAnsi" w:hAnsiTheme="minorHAnsi" w:cs="Arial"/>
          <w:color w:val="000000"/>
          <w:sz w:val="20"/>
          <w:szCs w:val="20"/>
        </w:rPr>
        <w:t>.</w:t>
      </w:r>
    </w:p>
    <w:p w14:paraId="0D6B6BAE" w14:textId="0AA61C48" w:rsidR="00C32E9C" w:rsidRDefault="00C32E9C" w:rsidP="00193A38">
      <w:pPr>
        <w:jc w:val="both"/>
        <w:rPr>
          <w:rFonts w:asciiTheme="minorHAnsi" w:hAnsiTheme="minorHAnsi" w:cs="Arial"/>
          <w:color w:val="000000"/>
          <w:sz w:val="20"/>
          <w:szCs w:val="20"/>
        </w:rPr>
      </w:pPr>
    </w:p>
    <w:p w14:paraId="2197A597" w14:textId="5BC9ED7E" w:rsidR="00C32E9C" w:rsidRDefault="00C32E9C" w:rsidP="00193A38">
      <w:pPr>
        <w:jc w:val="both"/>
        <w:rPr>
          <w:rFonts w:asciiTheme="minorHAnsi" w:hAnsiTheme="minorHAnsi" w:cs="Arial"/>
          <w:color w:val="000000"/>
          <w:sz w:val="20"/>
          <w:szCs w:val="20"/>
        </w:rPr>
      </w:pPr>
      <w:r>
        <w:rPr>
          <w:rFonts w:asciiTheme="minorHAnsi" w:hAnsiTheme="minorHAnsi" w:cs="Arial"/>
          <w:color w:val="000000"/>
          <w:sz w:val="20"/>
          <w:szCs w:val="20"/>
        </w:rPr>
        <w:t xml:space="preserve">Sensitivities on the key sources of estimation uncertainty are included within note 8. </w:t>
      </w:r>
    </w:p>
    <w:p w14:paraId="61B88C07" w14:textId="77777777" w:rsidR="00C32E9C" w:rsidRPr="00F01EC8" w:rsidRDefault="00C32E9C" w:rsidP="00193A38">
      <w:pPr>
        <w:jc w:val="both"/>
        <w:rPr>
          <w:rFonts w:asciiTheme="minorHAnsi" w:hAnsiTheme="minorHAnsi" w:cs="Arial"/>
          <w:color w:val="000000"/>
          <w:sz w:val="20"/>
          <w:szCs w:val="20"/>
        </w:rPr>
      </w:pPr>
    </w:p>
    <w:bookmarkEnd w:id="18"/>
    <w:p w14:paraId="535FDE0F" w14:textId="3F22BA2D" w:rsidR="00F85436" w:rsidRPr="00F01EC8" w:rsidRDefault="00F85436"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u w:val="single"/>
        </w:rPr>
      </w:pPr>
      <w:r w:rsidRPr="00F01EC8">
        <w:rPr>
          <w:rFonts w:asciiTheme="minorHAnsi" w:hAnsiTheme="minorHAnsi" w:cs="Arial"/>
          <w:sz w:val="20"/>
          <w:szCs w:val="20"/>
          <w:u w:val="single"/>
        </w:rPr>
        <w:t>Corporat</w:t>
      </w:r>
      <w:r w:rsidR="00D45128" w:rsidRPr="00F01EC8">
        <w:rPr>
          <w:rFonts w:asciiTheme="minorHAnsi" w:hAnsiTheme="minorHAnsi" w:cs="Arial"/>
          <w:sz w:val="20"/>
          <w:szCs w:val="20"/>
          <w:u w:val="single"/>
        </w:rPr>
        <w:t>ion tax</w:t>
      </w:r>
    </w:p>
    <w:p w14:paraId="0A9AC5B3" w14:textId="74BB600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Taxes on profits in interim periods are accrued using the tax rate that will be applicable to expected total annual profits.</w:t>
      </w:r>
    </w:p>
    <w:p w14:paraId="6D1886BB" w14:textId="77777777" w:rsidR="008202D8" w:rsidRPr="00F01EC8" w:rsidRDefault="008202D8"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highlight w:val="yellow"/>
        </w:rPr>
      </w:pPr>
    </w:p>
    <w:p w14:paraId="6969751E" w14:textId="5825C456"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F01EC8">
        <w:rPr>
          <w:rFonts w:asciiTheme="minorHAnsi" w:hAnsiTheme="minorHAnsi" w:cs="Arial"/>
          <w:b/>
          <w:sz w:val="20"/>
          <w:szCs w:val="20"/>
        </w:rPr>
        <w:t xml:space="preserve">The impact of new standards adopted by the </w:t>
      </w:r>
      <w:r w:rsidR="005714EF">
        <w:rPr>
          <w:rFonts w:asciiTheme="minorHAnsi" w:hAnsiTheme="minorHAnsi" w:cs="Arial"/>
          <w:b/>
          <w:sz w:val="20"/>
          <w:szCs w:val="20"/>
        </w:rPr>
        <w:t>G</w:t>
      </w:r>
      <w:r w:rsidRPr="00F01EC8">
        <w:rPr>
          <w:rFonts w:asciiTheme="minorHAnsi" w:hAnsiTheme="minorHAnsi" w:cs="Arial"/>
          <w:b/>
          <w:sz w:val="20"/>
          <w:szCs w:val="20"/>
        </w:rPr>
        <w:t>roup from 1 January 20</w:t>
      </w:r>
      <w:r w:rsidR="00B935BC" w:rsidRPr="00F01EC8">
        <w:rPr>
          <w:rFonts w:asciiTheme="minorHAnsi" w:hAnsiTheme="minorHAnsi" w:cs="Arial"/>
          <w:b/>
          <w:sz w:val="20"/>
          <w:szCs w:val="20"/>
        </w:rPr>
        <w:t>20</w:t>
      </w:r>
    </w:p>
    <w:p w14:paraId="3B190442" w14:textId="24813AA7" w:rsidR="00B935BC" w:rsidRPr="00F01EC8" w:rsidRDefault="00B935BC"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highlight w:val="yellow"/>
        </w:rPr>
      </w:pPr>
    </w:p>
    <w:p w14:paraId="0CB3DC8E" w14:textId="1E8FEE45" w:rsidR="008202D8" w:rsidRPr="00F01EC8" w:rsidRDefault="008E6BCE"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OpenSans-BoldItalic"/>
          <w:b/>
          <w:bCs/>
          <w:iCs/>
          <w:color w:val="E52313"/>
          <w:sz w:val="20"/>
          <w:szCs w:val="20"/>
        </w:rPr>
      </w:pPr>
      <w:r w:rsidRPr="00F01EC8">
        <w:rPr>
          <w:rFonts w:asciiTheme="minorHAnsi" w:hAnsiTheme="minorHAnsi" w:cs="Arial"/>
          <w:sz w:val="20"/>
          <w:szCs w:val="20"/>
        </w:rPr>
        <w:t>There are no new standards adopted by the Group from 1 January 2020.</w:t>
      </w:r>
    </w:p>
    <w:p w14:paraId="437FD393" w14:textId="77777777" w:rsidR="008202D8" w:rsidRPr="00F01EC8" w:rsidRDefault="008202D8"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09FC35C9" w14:textId="18A1A681" w:rsidR="00DA6694" w:rsidRPr="00F01EC8" w:rsidRDefault="00DA6694" w:rsidP="00FB2FF4">
      <w:pPr>
        <w:ind w:left="567" w:hanging="567"/>
        <w:jc w:val="both"/>
        <w:rPr>
          <w:rFonts w:asciiTheme="minorHAnsi" w:hAnsiTheme="minorHAnsi" w:cs="Arial"/>
          <w:b/>
          <w:sz w:val="20"/>
          <w:szCs w:val="20"/>
        </w:rPr>
      </w:pPr>
      <w:r w:rsidRPr="00F01EC8">
        <w:rPr>
          <w:rFonts w:asciiTheme="minorHAnsi" w:hAnsiTheme="minorHAnsi" w:cs="Arial"/>
          <w:b/>
          <w:sz w:val="20"/>
          <w:szCs w:val="20"/>
        </w:rPr>
        <w:t xml:space="preserve">The impact of new standards not yet effective and not adopted by the </w:t>
      </w:r>
      <w:r w:rsidR="005714EF">
        <w:rPr>
          <w:rFonts w:asciiTheme="minorHAnsi" w:hAnsiTheme="minorHAnsi" w:cs="Arial"/>
          <w:b/>
          <w:sz w:val="20"/>
          <w:szCs w:val="20"/>
        </w:rPr>
        <w:t>G</w:t>
      </w:r>
      <w:r w:rsidRPr="00F01EC8">
        <w:rPr>
          <w:rFonts w:asciiTheme="minorHAnsi" w:hAnsiTheme="minorHAnsi" w:cs="Arial"/>
          <w:b/>
          <w:sz w:val="20"/>
          <w:szCs w:val="20"/>
        </w:rPr>
        <w:t>roup from 1 January 20</w:t>
      </w:r>
      <w:r w:rsidR="00B935BC" w:rsidRPr="00F01EC8">
        <w:rPr>
          <w:rFonts w:asciiTheme="minorHAnsi" w:hAnsiTheme="minorHAnsi" w:cs="Arial"/>
          <w:b/>
          <w:sz w:val="20"/>
          <w:szCs w:val="20"/>
        </w:rPr>
        <w:t>20</w:t>
      </w:r>
    </w:p>
    <w:p w14:paraId="2BA80E8D"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125ED302" w14:textId="0477200A" w:rsidR="00B935BC" w:rsidRPr="00F01EC8" w:rsidRDefault="007E0C53" w:rsidP="009D39AC">
      <w:pPr>
        <w:rPr>
          <w:rFonts w:asciiTheme="minorHAnsi" w:hAnsiTheme="minorHAnsi" w:cs="Arial"/>
          <w:color w:val="000000"/>
          <w:sz w:val="20"/>
          <w:szCs w:val="20"/>
        </w:rPr>
      </w:pPr>
      <w:r w:rsidRPr="00F01EC8">
        <w:rPr>
          <w:rFonts w:asciiTheme="minorHAnsi" w:hAnsiTheme="minorHAnsi" w:cs="Arial"/>
          <w:color w:val="000000"/>
          <w:sz w:val="20"/>
          <w:szCs w:val="20"/>
        </w:rPr>
        <w:t xml:space="preserve">There are no new standards not yet effective and not adopted by the </w:t>
      </w:r>
      <w:r w:rsidR="005714EF">
        <w:rPr>
          <w:rFonts w:asciiTheme="minorHAnsi" w:hAnsiTheme="minorHAnsi" w:cs="Arial"/>
          <w:color w:val="000000"/>
          <w:sz w:val="20"/>
          <w:szCs w:val="20"/>
        </w:rPr>
        <w:t>G</w:t>
      </w:r>
      <w:r w:rsidRPr="00F01EC8">
        <w:rPr>
          <w:rFonts w:asciiTheme="minorHAnsi" w:hAnsiTheme="minorHAnsi" w:cs="Arial"/>
          <w:color w:val="000000"/>
          <w:sz w:val="20"/>
          <w:szCs w:val="20"/>
        </w:rPr>
        <w:t>roup from 1 January 20</w:t>
      </w:r>
      <w:r w:rsidR="00B935BC" w:rsidRPr="00F01EC8">
        <w:rPr>
          <w:rFonts w:asciiTheme="minorHAnsi" w:hAnsiTheme="minorHAnsi" w:cs="Arial"/>
          <w:color w:val="000000"/>
          <w:sz w:val="20"/>
          <w:szCs w:val="20"/>
        </w:rPr>
        <w:t>20</w:t>
      </w:r>
      <w:r w:rsidR="009D39AC" w:rsidRPr="00F01EC8">
        <w:rPr>
          <w:rFonts w:asciiTheme="minorHAnsi" w:hAnsiTheme="minorHAnsi" w:cs="Arial"/>
          <w:color w:val="000000"/>
          <w:sz w:val="20"/>
          <w:szCs w:val="20"/>
        </w:rPr>
        <w:t xml:space="preserve"> which are expected to </w:t>
      </w:r>
      <w:r w:rsidRPr="00F01EC8">
        <w:rPr>
          <w:rFonts w:asciiTheme="minorHAnsi" w:hAnsiTheme="minorHAnsi" w:cs="Arial"/>
          <w:color w:val="000000"/>
          <w:sz w:val="20"/>
          <w:szCs w:val="20"/>
        </w:rPr>
        <w:t xml:space="preserve">have a material impact on the </w:t>
      </w:r>
      <w:r w:rsidR="005714EF">
        <w:rPr>
          <w:rFonts w:asciiTheme="minorHAnsi" w:hAnsiTheme="minorHAnsi" w:cs="Arial"/>
          <w:color w:val="000000"/>
          <w:sz w:val="20"/>
          <w:szCs w:val="20"/>
        </w:rPr>
        <w:t>G</w:t>
      </w:r>
      <w:r w:rsidRPr="00F01EC8">
        <w:rPr>
          <w:rFonts w:asciiTheme="minorHAnsi" w:hAnsiTheme="minorHAnsi" w:cs="Arial"/>
          <w:color w:val="000000"/>
          <w:sz w:val="20"/>
          <w:szCs w:val="20"/>
        </w:rPr>
        <w:t>roup.</w:t>
      </w:r>
    </w:p>
    <w:p w14:paraId="6E9CEEA2" w14:textId="77777777" w:rsidR="000B1423" w:rsidRPr="00F01EC8" w:rsidRDefault="000B1423" w:rsidP="00DA6694">
      <w:pPr>
        <w:ind w:left="567" w:hanging="567"/>
        <w:rPr>
          <w:rFonts w:asciiTheme="minorHAnsi" w:hAnsiTheme="minorHAnsi" w:cs="Arial"/>
          <w:b/>
          <w:sz w:val="20"/>
          <w:szCs w:val="20"/>
        </w:rPr>
      </w:pPr>
    </w:p>
    <w:p w14:paraId="2755516D" w14:textId="77777777" w:rsidR="009D39AC" w:rsidRPr="00F01EC8" w:rsidRDefault="009D39AC">
      <w:pPr>
        <w:rPr>
          <w:rFonts w:asciiTheme="minorHAnsi" w:hAnsiTheme="minorHAnsi" w:cs="Arial"/>
          <w:b/>
          <w:sz w:val="20"/>
          <w:szCs w:val="20"/>
        </w:rPr>
      </w:pPr>
      <w:r w:rsidRPr="00F01EC8">
        <w:rPr>
          <w:rFonts w:asciiTheme="minorHAnsi" w:hAnsiTheme="minorHAnsi" w:cs="Arial"/>
          <w:b/>
          <w:sz w:val="20"/>
          <w:szCs w:val="20"/>
        </w:rPr>
        <w:br w:type="page"/>
      </w:r>
    </w:p>
    <w:p w14:paraId="103FE486" w14:textId="7CB42DFE" w:rsidR="00DA6694" w:rsidRPr="00F01EC8" w:rsidRDefault="00162A31" w:rsidP="00DA6694">
      <w:pPr>
        <w:ind w:left="567" w:hanging="567"/>
        <w:rPr>
          <w:rFonts w:asciiTheme="minorHAnsi" w:hAnsiTheme="minorHAnsi" w:cs="Arial"/>
          <w:b/>
          <w:sz w:val="20"/>
          <w:szCs w:val="20"/>
        </w:rPr>
      </w:pPr>
      <w:r w:rsidRPr="00F01EC8">
        <w:rPr>
          <w:rFonts w:asciiTheme="minorHAnsi" w:hAnsiTheme="minorHAnsi" w:cs="Arial"/>
          <w:b/>
          <w:sz w:val="20"/>
          <w:szCs w:val="20"/>
        </w:rPr>
        <w:lastRenderedPageBreak/>
        <w:t>4</w:t>
      </w:r>
      <w:r w:rsidR="00DA6694" w:rsidRPr="00F01EC8">
        <w:rPr>
          <w:rFonts w:asciiTheme="minorHAnsi" w:hAnsiTheme="minorHAnsi" w:cs="Arial"/>
          <w:b/>
          <w:sz w:val="20"/>
          <w:szCs w:val="20"/>
        </w:rPr>
        <w:t>.</w:t>
      </w:r>
      <w:r w:rsidR="00DA6694" w:rsidRPr="00F01EC8">
        <w:rPr>
          <w:rFonts w:asciiTheme="minorHAnsi" w:hAnsiTheme="minorHAnsi" w:cs="Arial"/>
          <w:b/>
          <w:sz w:val="20"/>
          <w:szCs w:val="20"/>
        </w:rPr>
        <w:tab/>
        <w:t>Segment reporting</w:t>
      </w:r>
    </w:p>
    <w:p w14:paraId="76358EB6" w14:textId="77777777" w:rsidR="00F85436" w:rsidRPr="00F01EC8" w:rsidRDefault="00F85436" w:rsidP="00DA6694">
      <w:pPr>
        <w:ind w:left="567" w:hanging="567"/>
        <w:rPr>
          <w:rFonts w:asciiTheme="minorHAnsi" w:hAnsiTheme="minorHAnsi" w:cs="Arial"/>
          <w:b/>
          <w:sz w:val="20"/>
          <w:szCs w:val="20"/>
        </w:rPr>
      </w:pPr>
    </w:p>
    <w:tbl>
      <w:tblPr>
        <w:tblW w:w="9923" w:type="dxa"/>
        <w:tblLook w:val="0000" w:firstRow="0" w:lastRow="0" w:firstColumn="0" w:lastColumn="0" w:noHBand="0" w:noVBand="0"/>
      </w:tblPr>
      <w:tblGrid>
        <w:gridCol w:w="4650"/>
        <w:gridCol w:w="1334"/>
        <w:gridCol w:w="1246"/>
        <w:gridCol w:w="1370"/>
        <w:gridCol w:w="1323"/>
      </w:tblGrid>
      <w:tr w:rsidR="00DA6694" w:rsidRPr="00F01EC8" w14:paraId="4F317FCA" w14:textId="77777777" w:rsidTr="00AC0A5D">
        <w:tc>
          <w:tcPr>
            <w:tcW w:w="4650" w:type="dxa"/>
          </w:tcPr>
          <w:p w14:paraId="7E2EAAC3" w14:textId="77777777" w:rsidR="00DA6694" w:rsidRPr="00F01EC8" w:rsidRDefault="00DA6694" w:rsidP="00AC0A5D">
            <w:pPr>
              <w:rPr>
                <w:rFonts w:asciiTheme="minorHAnsi" w:hAnsiTheme="minorHAnsi" w:cs="Arial"/>
                <w:sz w:val="20"/>
                <w:szCs w:val="20"/>
              </w:rPr>
            </w:pPr>
          </w:p>
        </w:tc>
        <w:tc>
          <w:tcPr>
            <w:tcW w:w="2580" w:type="dxa"/>
            <w:gridSpan w:val="2"/>
          </w:tcPr>
          <w:p w14:paraId="5F5A02FC"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 xml:space="preserve">     Revenue</w:t>
            </w:r>
          </w:p>
        </w:tc>
        <w:tc>
          <w:tcPr>
            <w:tcW w:w="2693" w:type="dxa"/>
            <w:gridSpan w:val="2"/>
          </w:tcPr>
          <w:p w14:paraId="1B315909"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 xml:space="preserve">        Profit/(loss) before tax</w:t>
            </w:r>
          </w:p>
        </w:tc>
      </w:tr>
      <w:tr w:rsidR="00DA6694" w:rsidRPr="00F01EC8" w14:paraId="074A4F9A" w14:textId="77777777" w:rsidTr="00AC0A5D">
        <w:tc>
          <w:tcPr>
            <w:tcW w:w="4650" w:type="dxa"/>
          </w:tcPr>
          <w:p w14:paraId="39005A33" w14:textId="77777777" w:rsidR="00DA6694" w:rsidRPr="00F01EC8" w:rsidRDefault="00DA6694" w:rsidP="00AC0A5D">
            <w:pPr>
              <w:rPr>
                <w:rFonts w:asciiTheme="minorHAnsi" w:hAnsiTheme="minorHAnsi" w:cs="Arial"/>
                <w:sz w:val="20"/>
                <w:szCs w:val="20"/>
              </w:rPr>
            </w:pPr>
          </w:p>
        </w:tc>
        <w:tc>
          <w:tcPr>
            <w:tcW w:w="2580" w:type="dxa"/>
            <w:gridSpan w:val="2"/>
          </w:tcPr>
          <w:p w14:paraId="5D912CF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c>
          <w:tcPr>
            <w:tcW w:w="2693" w:type="dxa"/>
            <w:gridSpan w:val="2"/>
          </w:tcPr>
          <w:p w14:paraId="2577FDA4"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31831AA4" w14:textId="77777777" w:rsidTr="00AC0A5D">
        <w:tc>
          <w:tcPr>
            <w:tcW w:w="4650" w:type="dxa"/>
          </w:tcPr>
          <w:p w14:paraId="48DC8450" w14:textId="77777777" w:rsidR="00DA6694" w:rsidRPr="00F01EC8" w:rsidRDefault="00DA6694" w:rsidP="00AC0A5D">
            <w:pPr>
              <w:rPr>
                <w:rFonts w:asciiTheme="minorHAnsi" w:hAnsiTheme="minorHAnsi" w:cs="Arial"/>
                <w:sz w:val="20"/>
                <w:szCs w:val="20"/>
              </w:rPr>
            </w:pPr>
          </w:p>
        </w:tc>
        <w:tc>
          <w:tcPr>
            <w:tcW w:w="1334" w:type="dxa"/>
          </w:tcPr>
          <w:p w14:paraId="4ECCC1D6" w14:textId="4EEC541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7A411D" w:rsidRPr="00F01EC8">
              <w:rPr>
                <w:rFonts w:asciiTheme="minorHAnsi" w:hAnsiTheme="minorHAnsi" w:cs="Arial"/>
                <w:sz w:val="20"/>
                <w:szCs w:val="20"/>
              </w:rPr>
              <w:t>20</w:t>
            </w:r>
            <w:r w:rsidRPr="00F01EC8">
              <w:rPr>
                <w:rFonts w:asciiTheme="minorHAnsi" w:hAnsiTheme="minorHAnsi" w:cs="Arial"/>
                <w:sz w:val="20"/>
                <w:szCs w:val="20"/>
              </w:rPr>
              <w:t> </w:t>
            </w:r>
          </w:p>
        </w:tc>
        <w:tc>
          <w:tcPr>
            <w:tcW w:w="1246" w:type="dxa"/>
          </w:tcPr>
          <w:p w14:paraId="2035013E" w14:textId="5C62B01B" w:rsidR="00DA6694" w:rsidRPr="00F01EC8" w:rsidRDefault="00DA6694" w:rsidP="002773B8">
            <w:pPr>
              <w:jc w:val="right"/>
              <w:rPr>
                <w:rFonts w:asciiTheme="minorHAnsi" w:hAnsiTheme="minorHAnsi" w:cs="Arial"/>
                <w:sz w:val="20"/>
                <w:szCs w:val="20"/>
              </w:rPr>
            </w:pPr>
            <w:r w:rsidRPr="00F01EC8">
              <w:rPr>
                <w:rFonts w:asciiTheme="minorHAnsi" w:hAnsiTheme="minorHAnsi" w:cs="Arial"/>
                <w:sz w:val="20"/>
                <w:szCs w:val="20"/>
              </w:rPr>
              <w:t>201</w:t>
            </w:r>
            <w:r w:rsidR="007A411D" w:rsidRPr="00F01EC8">
              <w:rPr>
                <w:rFonts w:asciiTheme="minorHAnsi" w:hAnsiTheme="minorHAnsi" w:cs="Arial"/>
                <w:sz w:val="20"/>
                <w:szCs w:val="20"/>
              </w:rPr>
              <w:t>9</w:t>
            </w:r>
            <w:r w:rsidR="005F7C97" w:rsidRPr="00F01EC8">
              <w:rPr>
                <w:rFonts w:asciiTheme="minorHAnsi" w:hAnsiTheme="minorHAnsi" w:cs="Arial"/>
                <w:sz w:val="20"/>
                <w:szCs w:val="20"/>
              </w:rPr>
              <w:t xml:space="preserve"> (restated)</w:t>
            </w:r>
          </w:p>
        </w:tc>
        <w:tc>
          <w:tcPr>
            <w:tcW w:w="1370" w:type="dxa"/>
          </w:tcPr>
          <w:p w14:paraId="2C7D5A7A" w14:textId="62AE6A8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F7C97" w:rsidRPr="00F01EC8">
              <w:rPr>
                <w:rFonts w:asciiTheme="minorHAnsi" w:hAnsiTheme="minorHAnsi" w:cs="Arial"/>
                <w:sz w:val="20"/>
                <w:szCs w:val="20"/>
              </w:rPr>
              <w:t>20</w:t>
            </w:r>
            <w:r w:rsidRPr="00F01EC8">
              <w:rPr>
                <w:rFonts w:asciiTheme="minorHAnsi" w:hAnsiTheme="minorHAnsi" w:cs="Arial"/>
                <w:sz w:val="20"/>
                <w:szCs w:val="20"/>
              </w:rPr>
              <w:t> </w:t>
            </w:r>
          </w:p>
        </w:tc>
        <w:tc>
          <w:tcPr>
            <w:tcW w:w="1323" w:type="dxa"/>
          </w:tcPr>
          <w:p w14:paraId="6004C193" w14:textId="510AD0D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F7C97" w:rsidRPr="00F01EC8">
              <w:rPr>
                <w:rFonts w:asciiTheme="minorHAnsi" w:hAnsiTheme="minorHAnsi" w:cs="Arial"/>
                <w:sz w:val="20"/>
                <w:szCs w:val="20"/>
              </w:rPr>
              <w:t>9 (restated)</w:t>
            </w:r>
          </w:p>
        </w:tc>
      </w:tr>
      <w:tr w:rsidR="00DA6694" w:rsidRPr="00F01EC8" w14:paraId="26247695" w14:textId="77777777" w:rsidTr="00AC0A5D">
        <w:tc>
          <w:tcPr>
            <w:tcW w:w="4650" w:type="dxa"/>
          </w:tcPr>
          <w:p w14:paraId="0DA1D12F" w14:textId="77777777" w:rsidR="00DA6694" w:rsidRPr="00F01EC8" w:rsidRDefault="00DA6694" w:rsidP="00AC0A5D">
            <w:pPr>
              <w:rPr>
                <w:rFonts w:asciiTheme="minorHAnsi" w:hAnsiTheme="minorHAnsi" w:cs="Arial"/>
                <w:sz w:val="20"/>
                <w:szCs w:val="20"/>
              </w:rPr>
            </w:pPr>
          </w:p>
        </w:tc>
        <w:tc>
          <w:tcPr>
            <w:tcW w:w="1334" w:type="dxa"/>
            <w:tcBorders>
              <w:top w:val="nil"/>
              <w:left w:val="nil"/>
              <w:bottom w:val="single" w:sz="4" w:space="0" w:color="auto"/>
              <w:right w:val="nil"/>
            </w:tcBorders>
          </w:tcPr>
          <w:p w14:paraId="13E2B61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246" w:type="dxa"/>
            <w:tcBorders>
              <w:top w:val="nil"/>
              <w:left w:val="nil"/>
              <w:bottom w:val="single" w:sz="4" w:space="0" w:color="auto"/>
              <w:right w:val="nil"/>
            </w:tcBorders>
          </w:tcPr>
          <w:p w14:paraId="7B715FA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370" w:type="dxa"/>
            <w:tcBorders>
              <w:top w:val="nil"/>
              <w:left w:val="nil"/>
              <w:bottom w:val="single" w:sz="4" w:space="0" w:color="auto"/>
              <w:right w:val="nil"/>
            </w:tcBorders>
          </w:tcPr>
          <w:p w14:paraId="476FAA2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323" w:type="dxa"/>
            <w:tcBorders>
              <w:top w:val="nil"/>
              <w:left w:val="nil"/>
              <w:bottom w:val="single" w:sz="4" w:space="0" w:color="auto"/>
              <w:right w:val="nil"/>
            </w:tcBorders>
          </w:tcPr>
          <w:p w14:paraId="21DFEA1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0191DE63" w14:textId="77777777" w:rsidTr="00AC0A5D">
        <w:tc>
          <w:tcPr>
            <w:tcW w:w="4650" w:type="dxa"/>
          </w:tcPr>
          <w:p w14:paraId="5FE60021" w14:textId="77777777" w:rsidR="00DA6694" w:rsidRPr="00F01EC8" w:rsidRDefault="00DA6694" w:rsidP="00AC0A5D">
            <w:pPr>
              <w:rPr>
                <w:rFonts w:asciiTheme="minorHAnsi" w:hAnsiTheme="minorHAnsi" w:cs="Arial"/>
                <w:b/>
                <w:sz w:val="20"/>
                <w:szCs w:val="20"/>
              </w:rPr>
            </w:pPr>
          </w:p>
        </w:tc>
        <w:tc>
          <w:tcPr>
            <w:tcW w:w="1334" w:type="dxa"/>
            <w:tcBorders>
              <w:top w:val="single" w:sz="4" w:space="0" w:color="auto"/>
              <w:left w:val="nil"/>
              <w:bottom w:val="nil"/>
              <w:right w:val="nil"/>
            </w:tcBorders>
          </w:tcPr>
          <w:p w14:paraId="159FCF34" w14:textId="77777777" w:rsidR="00DA6694" w:rsidRPr="00F01EC8" w:rsidRDefault="00DA6694" w:rsidP="00AC0A5D">
            <w:pPr>
              <w:jc w:val="right"/>
              <w:rPr>
                <w:rFonts w:asciiTheme="minorHAnsi" w:hAnsiTheme="minorHAnsi" w:cs="Arial"/>
                <w:sz w:val="20"/>
                <w:szCs w:val="20"/>
              </w:rPr>
            </w:pPr>
          </w:p>
        </w:tc>
        <w:tc>
          <w:tcPr>
            <w:tcW w:w="1246" w:type="dxa"/>
            <w:tcBorders>
              <w:top w:val="single" w:sz="4" w:space="0" w:color="auto"/>
              <w:left w:val="nil"/>
              <w:bottom w:val="nil"/>
              <w:right w:val="nil"/>
            </w:tcBorders>
          </w:tcPr>
          <w:p w14:paraId="2EDCAFDF" w14:textId="77777777" w:rsidR="00DA6694" w:rsidRPr="00F01EC8" w:rsidRDefault="00DA6694" w:rsidP="00AC0A5D">
            <w:pPr>
              <w:jc w:val="right"/>
              <w:rPr>
                <w:rFonts w:asciiTheme="minorHAnsi" w:hAnsiTheme="minorHAnsi" w:cs="Arial"/>
                <w:sz w:val="20"/>
                <w:szCs w:val="20"/>
              </w:rPr>
            </w:pPr>
          </w:p>
        </w:tc>
        <w:tc>
          <w:tcPr>
            <w:tcW w:w="1370" w:type="dxa"/>
            <w:tcBorders>
              <w:top w:val="single" w:sz="4" w:space="0" w:color="auto"/>
              <w:left w:val="nil"/>
              <w:bottom w:val="nil"/>
              <w:right w:val="nil"/>
            </w:tcBorders>
          </w:tcPr>
          <w:p w14:paraId="6353B768" w14:textId="77777777" w:rsidR="00DA6694" w:rsidRPr="00F01EC8" w:rsidRDefault="00DA6694" w:rsidP="00AC0A5D">
            <w:pPr>
              <w:jc w:val="right"/>
              <w:rPr>
                <w:rFonts w:asciiTheme="minorHAnsi" w:hAnsiTheme="minorHAnsi" w:cs="Arial"/>
                <w:sz w:val="20"/>
                <w:szCs w:val="20"/>
              </w:rPr>
            </w:pPr>
          </w:p>
        </w:tc>
        <w:tc>
          <w:tcPr>
            <w:tcW w:w="1323" w:type="dxa"/>
            <w:tcBorders>
              <w:top w:val="single" w:sz="4" w:space="0" w:color="auto"/>
              <w:left w:val="nil"/>
              <w:bottom w:val="nil"/>
              <w:right w:val="nil"/>
            </w:tcBorders>
          </w:tcPr>
          <w:p w14:paraId="1DAFEFDE" w14:textId="77777777" w:rsidR="00DA6694" w:rsidRPr="00F01EC8" w:rsidRDefault="00DA6694" w:rsidP="00AC0A5D">
            <w:pPr>
              <w:jc w:val="right"/>
              <w:rPr>
                <w:rFonts w:asciiTheme="minorHAnsi" w:hAnsiTheme="minorHAnsi" w:cs="Arial"/>
                <w:sz w:val="20"/>
                <w:szCs w:val="20"/>
              </w:rPr>
            </w:pPr>
          </w:p>
        </w:tc>
      </w:tr>
      <w:tr w:rsidR="00DA6694" w:rsidRPr="00F01EC8" w14:paraId="582D94F5" w14:textId="77777777" w:rsidTr="00AC0A5D">
        <w:tc>
          <w:tcPr>
            <w:tcW w:w="4650" w:type="dxa"/>
            <w:vAlign w:val="bottom"/>
          </w:tcPr>
          <w:p w14:paraId="540D1B0F"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334" w:type="dxa"/>
            <w:vAlign w:val="bottom"/>
          </w:tcPr>
          <w:p w14:paraId="15D3F6E7" w14:textId="080CCF59" w:rsidR="00DA6694" w:rsidRPr="00F01EC8" w:rsidRDefault="005A75D9" w:rsidP="00AC0A5D">
            <w:pPr>
              <w:jc w:val="right"/>
              <w:rPr>
                <w:rFonts w:asciiTheme="minorHAnsi" w:hAnsiTheme="minorHAnsi" w:cs="Arial"/>
                <w:sz w:val="20"/>
                <w:szCs w:val="20"/>
              </w:rPr>
            </w:pPr>
            <w:r w:rsidRPr="00F01EC8">
              <w:rPr>
                <w:rFonts w:asciiTheme="minorHAnsi" w:hAnsiTheme="minorHAnsi" w:cs="Arial"/>
                <w:sz w:val="20"/>
                <w:szCs w:val="20"/>
              </w:rPr>
              <w:t>261.1</w:t>
            </w:r>
          </w:p>
        </w:tc>
        <w:tc>
          <w:tcPr>
            <w:tcW w:w="1246" w:type="dxa"/>
            <w:vAlign w:val="bottom"/>
          </w:tcPr>
          <w:p w14:paraId="7FB3C2CC" w14:textId="6B4401B2"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291.1</w:t>
            </w:r>
            <w:r w:rsidR="00DA6694" w:rsidRPr="00F01EC8">
              <w:rPr>
                <w:rFonts w:asciiTheme="minorHAnsi" w:hAnsiTheme="minorHAnsi" w:cs="Arial"/>
                <w:sz w:val="20"/>
                <w:szCs w:val="20"/>
              </w:rPr>
              <w:t> </w:t>
            </w:r>
          </w:p>
        </w:tc>
        <w:tc>
          <w:tcPr>
            <w:tcW w:w="1370" w:type="dxa"/>
            <w:vAlign w:val="bottom"/>
          </w:tcPr>
          <w:p w14:paraId="2E4505DF" w14:textId="3694B242" w:rsidR="00DA6694" w:rsidRPr="00F01EC8" w:rsidRDefault="00C845C0" w:rsidP="00AC0A5D">
            <w:pPr>
              <w:jc w:val="right"/>
              <w:rPr>
                <w:rFonts w:asciiTheme="minorHAnsi" w:hAnsiTheme="minorHAnsi" w:cs="Arial"/>
                <w:sz w:val="20"/>
                <w:szCs w:val="20"/>
              </w:rPr>
            </w:pPr>
            <w:r w:rsidRPr="00F01EC8">
              <w:rPr>
                <w:rFonts w:asciiTheme="minorHAnsi" w:hAnsiTheme="minorHAnsi" w:cs="Arial"/>
                <w:sz w:val="20"/>
                <w:szCs w:val="20"/>
              </w:rPr>
              <w:t>11.8</w:t>
            </w:r>
          </w:p>
        </w:tc>
        <w:tc>
          <w:tcPr>
            <w:tcW w:w="1323" w:type="dxa"/>
            <w:vAlign w:val="bottom"/>
          </w:tcPr>
          <w:p w14:paraId="28FEF5EF" w14:textId="1BD8ACF2"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9</w:t>
            </w:r>
            <w:r w:rsidR="000A7ECC" w:rsidRPr="00F01EC8">
              <w:rPr>
                <w:rFonts w:asciiTheme="minorHAnsi" w:hAnsiTheme="minorHAnsi" w:cs="Arial"/>
                <w:sz w:val="20"/>
                <w:szCs w:val="20"/>
              </w:rPr>
              <w:t>0</w:t>
            </w:r>
            <w:r w:rsidRPr="00F01EC8">
              <w:rPr>
                <w:rFonts w:asciiTheme="minorHAnsi" w:hAnsiTheme="minorHAnsi" w:cs="Arial"/>
                <w:sz w:val="20"/>
                <w:szCs w:val="20"/>
              </w:rPr>
              <w:t>.</w:t>
            </w:r>
            <w:r w:rsidR="000A7ECC" w:rsidRPr="00F01EC8">
              <w:rPr>
                <w:rFonts w:asciiTheme="minorHAnsi" w:hAnsiTheme="minorHAnsi" w:cs="Arial"/>
                <w:sz w:val="20"/>
                <w:szCs w:val="20"/>
              </w:rPr>
              <w:t>5</w:t>
            </w:r>
            <w:r w:rsidRPr="00F01EC8">
              <w:rPr>
                <w:rFonts w:asciiTheme="minorHAnsi" w:hAnsiTheme="minorHAnsi" w:cs="Arial"/>
                <w:sz w:val="20"/>
                <w:szCs w:val="20"/>
              </w:rPr>
              <w:t> </w:t>
            </w:r>
          </w:p>
        </w:tc>
      </w:tr>
      <w:tr w:rsidR="00DA6694" w:rsidRPr="00F01EC8" w14:paraId="5D857D0C" w14:textId="77777777" w:rsidTr="00AC0A5D">
        <w:tc>
          <w:tcPr>
            <w:tcW w:w="4650" w:type="dxa"/>
            <w:vAlign w:val="bottom"/>
          </w:tcPr>
          <w:p w14:paraId="67B8719D"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Moneybarn</w:t>
            </w:r>
          </w:p>
        </w:tc>
        <w:tc>
          <w:tcPr>
            <w:tcW w:w="1334" w:type="dxa"/>
            <w:vAlign w:val="bottom"/>
          </w:tcPr>
          <w:p w14:paraId="29EB827B" w14:textId="6E7B414D" w:rsidR="00DA6694" w:rsidRPr="00F01EC8" w:rsidRDefault="005A75D9" w:rsidP="00AC0A5D">
            <w:pPr>
              <w:jc w:val="right"/>
              <w:rPr>
                <w:rFonts w:asciiTheme="minorHAnsi" w:hAnsiTheme="minorHAnsi" w:cs="Arial"/>
                <w:sz w:val="20"/>
                <w:szCs w:val="20"/>
              </w:rPr>
            </w:pPr>
            <w:r w:rsidRPr="00F01EC8">
              <w:rPr>
                <w:rFonts w:asciiTheme="minorHAnsi" w:hAnsiTheme="minorHAnsi" w:cs="Arial"/>
                <w:sz w:val="20"/>
                <w:szCs w:val="20"/>
              </w:rPr>
              <w:t>66.1</w:t>
            </w:r>
          </w:p>
        </w:tc>
        <w:tc>
          <w:tcPr>
            <w:tcW w:w="1246" w:type="dxa"/>
            <w:vAlign w:val="bottom"/>
          </w:tcPr>
          <w:p w14:paraId="4AF9787B" w14:textId="5C456EC5"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58.3</w:t>
            </w:r>
            <w:r w:rsidR="00DA6694" w:rsidRPr="00F01EC8">
              <w:rPr>
                <w:rFonts w:asciiTheme="minorHAnsi" w:hAnsiTheme="minorHAnsi" w:cs="Arial"/>
                <w:sz w:val="20"/>
                <w:szCs w:val="20"/>
              </w:rPr>
              <w:t> </w:t>
            </w:r>
          </w:p>
        </w:tc>
        <w:tc>
          <w:tcPr>
            <w:tcW w:w="1370" w:type="dxa"/>
            <w:vAlign w:val="bottom"/>
          </w:tcPr>
          <w:p w14:paraId="5F8FF1AE" w14:textId="3F59749F" w:rsidR="00DA6694" w:rsidRPr="00F01EC8" w:rsidRDefault="00C845C0" w:rsidP="00AC0A5D">
            <w:pPr>
              <w:jc w:val="right"/>
              <w:rPr>
                <w:rFonts w:asciiTheme="minorHAnsi" w:hAnsiTheme="minorHAnsi" w:cs="Arial"/>
                <w:sz w:val="20"/>
                <w:szCs w:val="20"/>
              </w:rPr>
            </w:pPr>
            <w:r w:rsidRPr="00F01EC8">
              <w:rPr>
                <w:rFonts w:asciiTheme="minorHAnsi" w:hAnsiTheme="minorHAnsi" w:cs="Arial"/>
                <w:sz w:val="20"/>
                <w:szCs w:val="20"/>
              </w:rPr>
              <w:t>2.4</w:t>
            </w:r>
          </w:p>
        </w:tc>
        <w:tc>
          <w:tcPr>
            <w:tcW w:w="1323" w:type="dxa"/>
            <w:vAlign w:val="bottom"/>
          </w:tcPr>
          <w:p w14:paraId="303788BD" w14:textId="5240179F"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0A7ECC" w:rsidRPr="00F01EC8">
              <w:rPr>
                <w:rFonts w:asciiTheme="minorHAnsi" w:hAnsiTheme="minorHAnsi" w:cs="Arial"/>
                <w:sz w:val="20"/>
                <w:szCs w:val="20"/>
              </w:rPr>
              <w:t>5.5</w:t>
            </w:r>
          </w:p>
        </w:tc>
      </w:tr>
      <w:tr w:rsidR="00DA6694" w:rsidRPr="00F01EC8" w14:paraId="00A7987B" w14:textId="77777777" w:rsidTr="00AC0A5D">
        <w:tc>
          <w:tcPr>
            <w:tcW w:w="4650" w:type="dxa"/>
            <w:vAlign w:val="bottom"/>
          </w:tcPr>
          <w:p w14:paraId="651B0CA6"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334" w:type="dxa"/>
            <w:vAlign w:val="bottom"/>
          </w:tcPr>
          <w:p w14:paraId="59C12D98" w14:textId="09851B1D" w:rsidR="00DA6694" w:rsidRPr="00F01EC8" w:rsidRDefault="005A75D9" w:rsidP="00AC0A5D">
            <w:pPr>
              <w:jc w:val="right"/>
              <w:rPr>
                <w:rFonts w:asciiTheme="minorHAnsi" w:hAnsiTheme="minorHAnsi" w:cs="Arial"/>
                <w:sz w:val="20"/>
                <w:szCs w:val="20"/>
              </w:rPr>
            </w:pPr>
            <w:r w:rsidRPr="00F01EC8">
              <w:rPr>
                <w:rFonts w:asciiTheme="minorHAnsi" w:hAnsiTheme="minorHAnsi" w:cs="Arial"/>
                <w:sz w:val="20"/>
                <w:szCs w:val="20"/>
              </w:rPr>
              <w:t>118.4</w:t>
            </w:r>
          </w:p>
        </w:tc>
        <w:tc>
          <w:tcPr>
            <w:tcW w:w="1246" w:type="dxa"/>
            <w:vAlign w:val="bottom"/>
          </w:tcPr>
          <w:p w14:paraId="62FF12A2" w14:textId="737DDA93"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152.1</w:t>
            </w:r>
            <w:r w:rsidR="00DA6694" w:rsidRPr="00F01EC8">
              <w:rPr>
                <w:rFonts w:asciiTheme="minorHAnsi" w:hAnsiTheme="minorHAnsi" w:cs="Arial"/>
                <w:sz w:val="20"/>
                <w:szCs w:val="20"/>
              </w:rPr>
              <w:t> </w:t>
            </w:r>
          </w:p>
        </w:tc>
        <w:tc>
          <w:tcPr>
            <w:tcW w:w="1370" w:type="dxa"/>
            <w:vAlign w:val="bottom"/>
          </w:tcPr>
          <w:p w14:paraId="6E7AB8B3" w14:textId="018751CA" w:rsidR="00DA6694" w:rsidRPr="00F01EC8" w:rsidRDefault="00C845C0" w:rsidP="00AC0A5D">
            <w:pPr>
              <w:jc w:val="right"/>
              <w:rPr>
                <w:rFonts w:asciiTheme="minorHAnsi" w:hAnsiTheme="minorHAnsi" w:cs="Arial"/>
                <w:sz w:val="20"/>
                <w:szCs w:val="20"/>
              </w:rPr>
            </w:pPr>
            <w:r w:rsidRPr="00F01EC8">
              <w:rPr>
                <w:rFonts w:asciiTheme="minorHAnsi" w:hAnsiTheme="minorHAnsi" w:cs="Arial"/>
                <w:sz w:val="20"/>
                <w:szCs w:val="20"/>
              </w:rPr>
              <w:t>(37.6)</w:t>
            </w:r>
          </w:p>
        </w:tc>
        <w:tc>
          <w:tcPr>
            <w:tcW w:w="1323" w:type="dxa"/>
            <w:vAlign w:val="bottom"/>
          </w:tcPr>
          <w:p w14:paraId="750CA1C9" w14:textId="1423BA7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0A7ECC" w:rsidRPr="00F01EC8">
              <w:rPr>
                <w:rFonts w:asciiTheme="minorHAnsi" w:hAnsiTheme="minorHAnsi" w:cs="Arial"/>
                <w:sz w:val="20"/>
                <w:szCs w:val="20"/>
              </w:rPr>
              <w:t>15.1)</w:t>
            </w:r>
          </w:p>
        </w:tc>
      </w:tr>
      <w:tr w:rsidR="00DA6694" w:rsidRPr="00F01EC8" w14:paraId="37B14405" w14:textId="77777777" w:rsidTr="00AC0A5D">
        <w:tc>
          <w:tcPr>
            <w:tcW w:w="4650" w:type="dxa"/>
            <w:vAlign w:val="bottom"/>
          </w:tcPr>
          <w:p w14:paraId="38914EEC" w14:textId="77777777" w:rsidR="00DA6694" w:rsidRPr="00F01EC8" w:rsidRDefault="00DA6694" w:rsidP="00AC0A5D">
            <w:pPr>
              <w:rPr>
                <w:rFonts w:asciiTheme="minorHAnsi" w:hAnsiTheme="minorHAnsi" w:cs="Arial"/>
                <w:bCs/>
                <w:sz w:val="20"/>
                <w:szCs w:val="20"/>
                <w:lang w:val="en-US"/>
              </w:rPr>
            </w:pPr>
            <w:r w:rsidRPr="00F01EC8">
              <w:rPr>
                <w:rFonts w:asciiTheme="minorHAnsi" w:hAnsiTheme="minorHAnsi" w:cs="Arial"/>
                <w:bCs/>
                <w:sz w:val="20"/>
                <w:szCs w:val="20"/>
                <w:lang w:val="en-US"/>
              </w:rPr>
              <w:t>Central costs</w:t>
            </w:r>
          </w:p>
        </w:tc>
        <w:tc>
          <w:tcPr>
            <w:tcW w:w="1334" w:type="dxa"/>
            <w:tcBorders>
              <w:left w:val="nil"/>
              <w:bottom w:val="single" w:sz="4" w:space="0" w:color="auto"/>
              <w:right w:val="nil"/>
            </w:tcBorders>
            <w:vAlign w:val="bottom"/>
          </w:tcPr>
          <w:p w14:paraId="398D7BF8" w14:textId="3C078A9E" w:rsidR="00DA6694" w:rsidRPr="00F01EC8" w:rsidRDefault="005A75D9" w:rsidP="00AC0A5D">
            <w:pPr>
              <w:jc w:val="right"/>
              <w:rPr>
                <w:rFonts w:asciiTheme="minorHAnsi" w:hAnsiTheme="minorHAnsi" w:cs="Arial"/>
                <w:sz w:val="20"/>
                <w:szCs w:val="20"/>
              </w:rPr>
            </w:pPr>
            <w:r w:rsidRPr="00F01EC8">
              <w:rPr>
                <w:rFonts w:asciiTheme="minorHAnsi" w:hAnsiTheme="minorHAnsi" w:cs="Arial"/>
                <w:sz w:val="20"/>
                <w:szCs w:val="20"/>
              </w:rPr>
              <w:t>-</w:t>
            </w:r>
          </w:p>
        </w:tc>
        <w:tc>
          <w:tcPr>
            <w:tcW w:w="1246" w:type="dxa"/>
            <w:tcBorders>
              <w:left w:val="nil"/>
              <w:bottom w:val="single" w:sz="4" w:space="0" w:color="auto"/>
              <w:right w:val="nil"/>
            </w:tcBorders>
            <w:vAlign w:val="bottom"/>
          </w:tcPr>
          <w:p w14:paraId="03D99BE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c>
          <w:tcPr>
            <w:tcW w:w="1370" w:type="dxa"/>
            <w:tcBorders>
              <w:left w:val="nil"/>
              <w:bottom w:val="single" w:sz="4" w:space="0" w:color="auto"/>
              <w:right w:val="nil"/>
            </w:tcBorders>
            <w:vAlign w:val="bottom"/>
          </w:tcPr>
          <w:p w14:paraId="4E3FD433" w14:textId="65DBC11E" w:rsidR="00DA6694" w:rsidRPr="00F01EC8" w:rsidRDefault="00C845C0"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(9.2)</w:t>
            </w:r>
          </w:p>
        </w:tc>
        <w:tc>
          <w:tcPr>
            <w:tcW w:w="1323" w:type="dxa"/>
            <w:tcBorders>
              <w:left w:val="nil"/>
              <w:bottom w:val="single" w:sz="4" w:space="0" w:color="auto"/>
              <w:right w:val="nil"/>
            </w:tcBorders>
            <w:vAlign w:val="bottom"/>
          </w:tcPr>
          <w:p w14:paraId="01BC8119" w14:textId="043351AC" w:rsidR="00DA6694" w:rsidRPr="00F01EC8" w:rsidRDefault="00DA6694"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w:t>
            </w:r>
            <w:r w:rsidR="000A7ECC" w:rsidRPr="00F01EC8">
              <w:rPr>
                <w:rFonts w:asciiTheme="minorHAnsi" w:hAnsiTheme="minorHAnsi" w:cs="Arial"/>
                <w:sz w:val="20"/>
                <w:szCs w:val="20"/>
                <w:lang w:val="en-US"/>
              </w:rPr>
              <w:t>10.5</w:t>
            </w:r>
            <w:r w:rsidRPr="00F01EC8">
              <w:rPr>
                <w:rFonts w:asciiTheme="minorHAnsi" w:hAnsiTheme="minorHAnsi" w:cs="Arial"/>
                <w:sz w:val="20"/>
                <w:szCs w:val="20"/>
                <w:lang w:val="en-US"/>
              </w:rPr>
              <w:t>)</w:t>
            </w:r>
          </w:p>
        </w:tc>
      </w:tr>
      <w:tr w:rsidR="00DA6694" w:rsidRPr="00F01EC8" w14:paraId="5E79ABB4" w14:textId="77777777" w:rsidTr="00AC0A5D">
        <w:tc>
          <w:tcPr>
            <w:tcW w:w="4650" w:type="dxa"/>
            <w:vAlign w:val="bottom"/>
          </w:tcPr>
          <w:p w14:paraId="268B468B" w14:textId="60FBF36F" w:rsidR="00DA6694" w:rsidRPr="00F01EC8" w:rsidRDefault="00DA6694" w:rsidP="00AC0A5D">
            <w:pPr>
              <w:rPr>
                <w:rFonts w:asciiTheme="minorHAnsi" w:hAnsiTheme="minorHAnsi" w:cs="Arial"/>
                <w:b/>
                <w:bCs/>
                <w:sz w:val="20"/>
                <w:szCs w:val="20"/>
                <w:lang w:val="en-US"/>
              </w:rPr>
            </w:pPr>
            <w:r w:rsidRPr="00F01EC8">
              <w:rPr>
                <w:rFonts w:asciiTheme="minorHAnsi" w:hAnsiTheme="minorHAnsi" w:cs="Arial"/>
                <w:b/>
                <w:bCs/>
                <w:sz w:val="20"/>
                <w:szCs w:val="20"/>
                <w:lang w:val="en-US"/>
              </w:rPr>
              <w:t xml:space="preserve">Total </w:t>
            </w:r>
            <w:r w:rsidR="005714EF">
              <w:rPr>
                <w:rFonts w:asciiTheme="minorHAnsi" w:hAnsiTheme="minorHAnsi" w:cs="Arial"/>
                <w:b/>
                <w:bCs/>
                <w:sz w:val="20"/>
                <w:szCs w:val="20"/>
                <w:lang w:val="en-US"/>
              </w:rPr>
              <w:t>G</w:t>
            </w:r>
            <w:r w:rsidRPr="00F01EC8">
              <w:rPr>
                <w:rFonts w:asciiTheme="minorHAnsi" w:hAnsiTheme="minorHAnsi" w:cs="Arial"/>
                <w:b/>
                <w:bCs/>
                <w:sz w:val="20"/>
                <w:szCs w:val="20"/>
                <w:lang w:val="en-US"/>
              </w:rPr>
              <w:t xml:space="preserve">roup before </w:t>
            </w:r>
            <w:proofErr w:type="spellStart"/>
            <w:r w:rsidRPr="00F01EC8">
              <w:rPr>
                <w:rFonts w:asciiTheme="minorHAnsi" w:hAnsiTheme="minorHAnsi" w:cs="Arial"/>
                <w:b/>
                <w:bCs/>
                <w:sz w:val="20"/>
                <w:szCs w:val="20"/>
                <w:lang w:val="en-US"/>
              </w:rPr>
              <w:t>amortisation</w:t>
            </w:r>
            <w:proofErr w:type="spellEnd"/>
            <w:r w:rsidRPr="00F01EC8">
              <w:rPr>
                <w:rFonts w:asciiTheme="minorHAnsi" w:hAnsiTheme="minorHAnsi" w:cs="Arial"/>
                <w:b/>
                <w:bCs/>
                <w:sz w:val="20"/>
                <w:szCs w:val="20"/>
                <w:lang w:val="en-US"/>
              </w:rPr>
              <w:t xml:space="preserve"> of acquisition intangibles and exceptional items</w:t>
            </w:r>
          </w:p>
        </w:tc>
        <w:tc>
          <w:tcPr>
            <w:tcW w:w="1334" w:type="dxa"/>
            <w:tcBorders>
              <w:top w:val="single" w:sz="4" w:space="0" w:color="auto"/>
              <w:left w:val="nil"/>
              <w:right w:val="nil"/>
            </w:tcBorders>
            <w:vAlign w:val="bottom"/>
          </w:tcPr>
          <w:p w14:paraId="481DFAFE" w14:textId="192E3420" w:rsidR="00DA6694" w:rsidRPr="00F01EC8" w:rsidRDefault="00C845C0" w:rsidP="00AC0A5D">
            <w:pPr>
              <w:jc w:val="right"/>
              <w:rPr>
                <w:rFonts w:asciiTheme="minorHAnsi" w:hAnsiTheme="minorHAnsi" w:cs="Arial"/>
                <w:sz w:val="20"/>
                <w:szCs w:val="20"/>
              </w:rPr>
            </w:pPr>
            <w:r w:rsidRPr="00F01EC8">
              <w:rPr>
                <w:rFonts w:asciiTheme="minorHAnsi" w:hAnsiTheme="minorHAnsi" w:cs="Arial"/>
                <w:sz w:val="20"/>
                <w:szCs w:val="20"/>
              </w:rPr>
              <w:t>445.6</w:t>
            </w:r>
          </w:p>
        </w:tc>
        <w:tc>
          <w:tcPr>
            <w:tcW w:w="1246" w:type="dxa"/>
            <w:tcBorders>
              <w:top w:val="single" w:sz="4" w:space="0" w:color="auto"/>
              <w:left w:val="nil"/>
              <w:right w:val="nil"/>
            </w:tcBorders>
            <w:vAlign w:val="bottom"/>
          </w:tcPr>
          <w:p w14:paraId="4132BA77" w14:textId="556369A6"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501.5</w:t>
            </w:r>
            <w:r w:rsidR="00DA6694" w:rsidRPr="00F01EC8">
              <w:rPr>
                <w:rFonts w:asciiTheme="minorHAnsi" w:hAnsiTheme="minorHAnsi" w:cs="Arial"/>
                <w:sz w:val="20"/>
                <w:szCs w:val="20"/>
              </w:rPr>
              <w:t> </w:t>
            </w:r>
          </w:p>
        </w:tc>
        <w:tc>
          <w:tcPr>
            <w:tcW w:w="1370" w:type="dxa"/>
            <w:tcBorders>
              <w:top w:val="single" w:sz="4" w:space="0" w:color="auto"/>
              <w:left w:val="nil"/>
              <w:right w:val="nil"/>
            </w:tcBorders>
            <w:vAlign w:val="bottom"/>
          </w:tcPr>
          <w:p w14:paraId="5228390D" w14:textId="3A459D0E" w:rsidR="00DA6694" w:rsidRPr="00F01EC8" w:rsidRDefault="00C845C0"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(32.6)</w:t>
            </w:r>
          </w:p>
        </w:tc>
        <w:tc>
          <w:tcPr>
            <w:tcW w:w="1323" w:type="dxa"/>
            <w:tcBorders>
              <w:top w:val="single" w:sz="4" w:space="0" w:color="auto"/>
              <w:left w:val="nil"/>
              <w:right w:val="nil"/>
            </w:tcBorders>
            <w:vAlign w:val="bottom"/>
          </w:tcPr>
          <w:p w14:paraId="6C218F0C" w14:textId="1676FA46" w:rsidR="00DA6694" w:rsidRPr="00F01EC8" w:rsidRDefault="000A7ECC"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80.4</w:t>
            </w:r>
            <w:r w:rsidR="00DA6694" w:rsidRPr="00F01EC8">
              <w:rPr>
                <w:rFonts w:asciiTheme="minorHAnsi" w:hAnsiTheme="minorHAnsi" w:cs="Arial"/>
                <w:sz w:val="20"/>
                <w:szCs w:val="20"/>
                <w:lang w:val="en-US"/>
              </w:rPr>
              <w:t> </w:t>
            </w:r>
          </w:p>
        </w:tc>
      </w:tr>
      <w:tr w:rsidR="00813115" w:rsidRPr="00F01EC8" w14:paraId="345C647D" w14:textId="77777777" w:rsidTr="00AC0A5D">
        <w:tc>
          <w:tcPr>
            <w:tcW w:w="4650" w:type="dxa"/>
            <w:vAlign w:val="bottom"/>
          </w:tcPr>
          <w:p w14:paraId="7CBD0B67" w14:textId="77777777" w:rsidR="00813115" w:rsidRPr="00F01EC8" w:rsidRDefault="00813115" w:rsidP="00813115">
            <w:pPr>
              <w:rPr>
                <w:rFonts w:asciiTheme="minorHAnsi" w:hAnsiTheme="minorHAnsi" w:cs="Arial"/>
                <w:bCs/>
                <w:sz w:val="20"/>
                <w:szCs w:val="20"/>
                <w:lang w:val="en-US"/>
              </w:rPr>
            </w:pPr>
            <w:proofErr w:type="spellStart"/>
            <w:r w:rsidRPr="00F01EC8">
              <w:rPr>
                <w:rFonts w:asciiTheme="minorHAnsi" w:hAnsiTheme="minorHAnsi" w:cs="Arial"/>
                <w:bCs/>
                <w:sz w:val="20"/>
                <w:szCs w:val="20"/>
                <w:lang w:val="en-US"/>
              </w:rPr>
              <w:t>Amortisation</w:t>
            </w:r>
            <w:proofErr w:type="spellEnd"/>
            <w:r w:rsidRPr="00F01EC8">
              <w:rPr>
                <w:rFonts w:asciiTheme="minorHAnsi" w:hAnsiTheme="minorHAnsi" w:cs="Arial"/>
                <w:bCs/>
                <w:sz w:val="20"/>
                <w:szCs w:val="20"/>
                <w:lang w:val="en-US"/>
              </w:rPr>
              <w:t xml:space="preserve"> of acquisition intangibles</w:t>
            </w:r>
          </w:p>
        </w:tc>
        <w:tc>
          <w:tcPr>
            <w:tcW w:w="1334" w:type="dxa"/>
            <w:tcBorders>
              <w:left w:val="nil"/>
              <w:right w:val="nil"/>
            </w:tcBorders>
            <w:vAlign w:val="bottom"/>
          </w:tcPr>
          <w:p w14:paraId="7B6B67A6" w14:textId="49DAD2C3"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 </w:t>
            </w:r>
          </w:p>
        </w:tc>
        <w:tc>
          <w:tcPr>
            <w:tcW w:w="1246" w:type="dxa"/>
            <w:tcBorders>
              <w:left w:val="nil"/>
              <w:right w:val="nil"/>
            </w:tcBorders>
            <w:vAlign w:val="bottom"/>
          </w:tcPr>
          <w:p w14:paraId="6274479C" w14:textId="77777777"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 </w:t>
            </w:r>
          </w:p>
        </w:tc>
        <w:tc>
          <w:tcPr>
            <w:tcW w:w="1370" w:type="dxa"/>
            <w:tcBorders>
              <w:left w:val="nil"/>
              <w:right w:val="nil"/>
            </w:tcBorders>
            <w:vAlign w:val="bottom"/>
          </w:tcPr>
          <w:p w14:paraId="21EC12B3" w14:textId="3A8C7A89" w:rsidR="00813115" w:rsidRPr="00F01EC8" w:rsidRDefault="00813115" w:rsidP="00813115">
            <w:pPr>
              <w:jc w:val="right"/>
              <w:rPr>
                <w:rFonts w:asciiTheme="minorHAnsi" w:hAnsiTheme="minorHAnsi" w:cs="Arial"/>
                <w:sz w:val="20"/>
                <w:szCs w:val="20"/>
                <w:lang w:val="en-US"/>
              </w:rPr>
            </w:pPr>
            <w:r w:rsidRPr="00F01EC8">
              <w:rPr>
                <w:rFonts w:asciiTheme="minorHAnsi" w:hAnsiTheme="minorHAnsi" w:cs="Arial"/>
                <w:sz w:val="20"/>
                <w:szCs w:val="20"/>
                <w:lang w:val="en-US"/>
              </w:rPr>
              <w:t>(3.7)</w:t>
            </w:r>
          </w:p>
        </w:tc>
        <w:tc>
          <w:tcPr>
            <w:tcW w:w="1323" w:type="dxa"/>
            <w:tcBorders>
              <w:left w:val="nil"/>
              <w:right w:val="nil"/>
            </w:tcBorders>
            <w:vAlign w:val="bottom"/>
          </w:tcPr>
          <w:p w14:paraId="78962D7F" w14:textId="77777777" w:rsidR="00813115" w:rsidRPr="00F01EC8" w:rsidRDefault="00813115" w:rsidP="00813115">
            <w:pPr>
              <w:jc w:val="right"/>
              <w:rPr>
                <w:rFonts w:asciiTheme="minorHAnsi" w:hAnsiTheme="minorHAnsi" w:cs="Arial"/>
                <w:sz w:val="20"/>
                <w:szCs w:val="20"/>
                <w:lang w:val="en-US"/>
              </w:rPr>
            </w:pPr>
            <w:r w:rsidRPr="00F01EC8">
              <w:rPr>
                <w:rFonts w:asciiTheme="minorHAnsi" w:hAnsiTheme="minorHAnsi" w:cs="Arial"/>
                <w:sz w:val="20"/>
                <w:szCs w:val="20"/>
                <w:lang w:val="en-US"/>
              </w:rPr>
              <w:t>(3.7)</w:t>
            </w:r>
          </w:p>
        </w:tc>
      </w:tr>
      <w:tr w:rsidR="00813115" w:rsidRPr="00F01EC8" w14:paraId="37F00323" w14:textId="77777777" w:rsidTr="00AC0A5D">
        <w:tc>
          <w:tcPr>
            <w:tcW w:w="4650" w:type="dxa"/>
            <w:vAlign w:val="bottom"/>
          </w:tcPr>
          <w:p w14:paraId="5787D2EB" w14:textId="77777777" w:rsidR="00813115" w:rsidRPr="00F01EC8" w:rsidRDefault="00813115" w:rsidP="00813115">
            <w:pPr>
              <w:rPr>
                <w:rFonts w:asciiTheme="minorHAnsi" w:hAnsiTheme="minorHAnsi" w:cs="Arial"/>
                <w:bCs/>
                <w:sz w:val="20"/>
                <w:szCs w:val="20"/>
                <w:lang w:val="en-US"/>
              </w:rPr>
            </w:pPr>
            <w:r w:rsidRPr="00F01EC8">
              <w:rPr>
                <w:rFonts w:asciiTheme="minorHAnsi" w:hAnsiTheme="minorHAnsi" w:cs="Arial"/>
                <w:bCs/>
                <w:sz w:val="20"/>
                <w:szCs w:val="20"/>
                <w:lang w:val="en-US"/>
              </w:rPr>
              <w:t>Exceptional items</w:t>
            </w:r>
          </w:p>
        </w:tc>
        <w:tc>
          <w:tcPr>
            <w:tcW w:w="1334" w:type="dxa"/>
            <w:tcBorders>
              <w:left w:val="nil"/>
              <w:bottom w:val="single" w:sz="4" w:space="0" w:color="auto"/>
              <w:right w:val="nil"/>
            </w:tcBorders>
            <w:vAlign w:val="bottom"/>
          </w:tcPr>
          <w:p w14:paraId="10B37477" w14:textId="6AD46538"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 </w:t>
            </w:r>
          </w:p>
        </w:tc>
        <w:tc>
          <w:tcPr>
            <w:tcW w:w="1246" w:type="dxa"/>
            <w:tcBorders>
              <w:left w:val="nil"/>
              <w:bottom w:val="single" w:sz="4" w:space="0" w:color="auto"/>
              <w:right w:val="nil"/>
            </w:tcBorders>
            <w:vAlign w:val="bottom"/>
          </w:tcPr>
          <w:p w14:paraId="4F87ACB5" w14:textId="77777777"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 </w:t>
            </w:r>
          </w:p>
        </w:tc>
        <w:tc>
          <w:tcPr>
            <w:tcW w:w="1370" w:type="dxa"/>
            <w:tcBorders>
              <w:left w:val="nil"/>
              <w:bottom w:val="single" w:sz="4" w:space="0" w:color="auto"/>
              <w:right w:val="nil"/>
            </w:tcBorders>
            <w:vAlign w:val="bottom"/>
          </w:tcPr>
          <w:p w14:paraId="22F96D6E" w14:textId="1BA70046" w:rsidR="00813115" w:rsidRPr="00F01EC8" w:rsidRDefault="00813115" w:rsidP="00813115">
            <w:pPr>
              <w:jc w:val="right"/>
              <w:rPr>
                <w:rFonts w:asciiTheme="minorHAnsi" w:hAnsiTheme="minorHAnsi" w:cs="Arial"/>
                <w:sz w:val="20"/>
                <w:szCs w:val="20"/>
                <w:lang w:val="en-US"/>
              </w:rPr>
            </w:pPr>
            <w:r w:rsidRPr="00F01EC8">
              <w:rPr>
                <w:rFonts w:asciiTheme="minorHAnsi" w:hAnsiTheme="minorHAnsi" w:cs="Arial"/>
                <w:sz w:val="20"/>
                <w:szCs w:val="20"/>
                <w:lang w:val="en-US"/>
              </w:rPr>
              <w:t>8.3</w:t>
            </w:r>
          </w:p>
        </w:tc>
        <w:tc>
          <w:tcPr>
            <w:tcW w:w="1323" w:type="dxa"/>
            <w:tcBorders>
              <w:left w:val="nil"/>
              <w:bottom w:val="single" w:sz="4" w:space="0" w:color="auto"/>
              <w:right w:val="nil"/>
            </w:tcBorders>
            <w:vAlign w:val="bottom"/>
          </w:tcPr>
          <w:p w14:paraId="55E7C7FC" w14:textId="62623F57" w:rsidR="00813115" w:rsidRPr="00F01EC8" w:rsidRDefault="00813115" w:rsidP="00813115">
            <w:pPr>
              <w:jc w:val="right"/>
              <w:rPr>
                <w:rFonts w:asciiTheme="minorHAnsi" w:hAnsiTheme="minorHAnsi" w:cs="Arial"/>
                <w:sz w:val="20"/>
                <w:szCs w:val="20"/>
                <w:lang w:val="en-US"/>
              </w:rPr>
            </w:pPr>
            <w:r w:rsidRPr="00F01EC8">
              <w:rPr>
                <w:rFonts w:asciiTheme="minorHAnsi" w:hAnsiTheme="minorHAnsi" w:cs="Arial"/>
                <w:sz w:val="20"/>
                <w:szCs w:val="20"/>
                <w:lang w:val="en-US"/>
              </w:rPr>
              <w:t>(33.6)</w:t>
            </w:r>
          </w:p>
        </w:tc>
      </w:tr>
      <w:tr w:rsidR="00DA6694" w:rsidRPr="00F01EC8" w14:paraId="40B68AF2" w14:textId="77777777" w:rsidTr="00AC0A5D">
        <w:tc>
          <w:tcPr>
            <w:tcW w:w="4650" w:type="dxa"/>
            <w:vAlign w:val="bottom"/>
          </w:tcPr>
          <w:p w14:paraId="0DB52179" w14:textId="4D8BEFD9" w:rsidR="00DA6694" w:rsidRPr="00F01EC8" w:rsidRDefault="00DA6694" w:rsidP="00AC0A5D">
            <w:pPr>
              <w:rPr>
                <w:rFonts w:asciiTheme="minorHAnsi" w:hAnsiTheme="minorHAnsi" w:cs="Arial"/>
                <w:b/>
                <w:bCs/>
                <w:sz w:val="20"/>
                <w:szCs w:val="20"/>
                <w:lang w:val="en-US"/>
              </w:rPr>
            </w:pPr>
            <w:r w:rsidRPr="00F01EC8">
              <w:rPr>
                <w:rFonts w:asciiTheme="minorHAnsi" w:hAnsiTheme="minorHAnsi" w:cs="Arial"/>
                <w:b/>
                <w:bCs/>
                <w:sz w:val="20"/>
                <w:szCs w:val="20"/>
                <w:lang w:val="en-US"/>
              </w:rPr>
              <w:t xml:space="preserve">Total </w:t>
            </w:r>
            <w:r w:rsidR="005714EF">
              <w:rPr>
                <w:rFonts w:asciiTheme="minorHAnsi" w:hAnsiTheme="minorHAnsi" w:cs="Arial"/>
                <w:b/>
                <w:bCs/>
                <w:sz w:val="20"/>
                <w:szCs w:val="20"/>
                <w:lang w:val="en-US"/>
              </w:rPr>
              <w:t>G</w:t>
            </w:r>
            <w:r w:rsidRPr="00F01EC8">
              <w:rPr>
                <w:rFonts w:asciiTheme="minorHAnsi" w:hAnsiTheme="minorHAnsi" w:cs="Arial"/>
                <w:b/>
                <w:bCs/>
                <w:sz w:val="20"/>
                <w:szCs w:val="20"/>
                <w:lang w:val="en-US"/>
              </w:rPr>
              <w:t>roup</w:t>
            </w:r>
          </w:p>
        </w:tc>
        <w:tc>
          <w:tcPr>
            <w:tcW w:w="1334" w:type="dxa"/>
            <w:tcBorders>
              <w:top w:val="single" w:sz="4" w:space="0" w:color="auto"/>
              <w:left w:val="nil"/>
              <w:bottom w:val="single" w:sz="12" w:space="0" w:color="auto"/>
              <w:right w:val="nil"/>
            </w:tcBorders>
            <w:vAlign w:val="bottom"/>
          </w:tcPr>
          <w:p w14:paraId="78D1C491" w14:textId="1C9260B5" w:rsidR="00DA6694" w:rsidRPr="00F01EC8" w:rsidRDefault="00C845C0" w:rsidP="00AC0A5D">
            <w:pPr>
              <w:jc w:val="right"/>
              <w:rPr>
                <w:rFonts w:asciiTheme="minorHAnsi" w:hAnsiTheme="minorHAnsi" w:cs="Arial"/>
                <w:sz w:val="20"/>
                <w:szCs w:val="20"/>
              </w:rPr>
            </w:pPr>
            <w:r w:rsidRPr="00F01EC8">
              <w:rPr>
                <w:rFonts w:asciiTheme="minorHAnsi" w:hAnsiTheme="minorHAnsi" w:cs="Arial"/>
                <w:sz w:val="20"/>
                <w:szCs w:val="20"/>
              </w:rPr>
              <w:t>445.6</w:t>
            </w:r>
          </w:p>
        </w:tc>
        <w:tc>
          <w:tcPr>
            <w:tcW w:w="1246" w:type="dxa"/>
            <w:tcBorders>
              <w:top w:val="single" w:sz="4" w:space="0" w:color="auto"/>
              <w:left w:val="nil"/>
              <w:bottom w:val="single" w:sz="12" w:space="0" w:color="auto"/>
              <w:right w:val="nil"/>
            </w:tcBorders>
            <w:vAlign w:val="bottom"/>
          </w:tcPr>
          <w:p w14:paraId="226EF5EC" w14:textId="6A3D2965" w:rsidR="00DA6694" w:rsidRPr="00F01EC8" w:rsidRDefault="005F7C97" w:rsidP="00AC0A5D">
            <w:pPr>
              <w:jc w:val="right"/>
              <w:rPr>
                <w:rFonts w:asciiTheme="minorHAnsi" w:hAnsiTheme="minorHAnsi" w:cs="Arial"/>
                <w:sz w:val="20"/>
                <w:szCs w:val="20"/>
              </w:rPr>
            </w:pPr>
            <w:r w:rsidRPr="00F01EC8">
              <w:rPr>
                <w:rFonts w:asciiTheme="minorHAnsi" w:hAnsiTheme="minorHAnsi" w:cs="Arial"/>
                <w:sz w:val="20"/>
                <w:szCs w:val="20"/>
              </w:rPr>
              <w:t>501.5</w:t>
            </w:r>
            <w:r w:rsidR="00DA6694" w:rsidRPr="00F01EC8">
              <w:rPr>
                <w:rFonts w:asciiTheme="minorHAnsi" w:hAnsiTheme="minorHAnsi" w:cs="Arial"/>
                <w:sz w:val="20"/>
                <w:szCs w:val="20"/>
              </w:rPr>
              <w:t> </w:t>
            </w:r>
          </w:p>
        </w:tc>
        <w:tc>
          <w:tcPr>
            <w:tcW w:w="1370" w:type="dxa"/>
            <w:tcBorders>
              <w:top w:val="single" w:sz="4" w:space="0" w:color="auto"/>
              <w:left w:val="nil"/>
              <w:bottom w:val="single" w:sz="12" w:space="0" w:color="auto"/>
              <w:right w:val="nil"/>
            </w:tcBorders>
            <w:vAlign w:val="bottom"/>
          </w:tcPr>
          <w:p w14:paraId="15DD3355" w14:textId="463E9989" w:rsidR="00DA6694" w:rsidRPr="00F01EC8" w:rsidRDefault="00C845C0"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(28.0</w:t>
            </w:r>
            <w:r w:rsidR="00F85436" w:rsidRPr="00F01EC8">
              <w:rPr>
                <w:rFonts w:asciiTheme="minorHAnsi" w:hAnsiTheme="minorHAnsi" w:cs="Arial"/>
                <w:sz w:val="20"/>
                <w:szCs w:val="20"/>
                <w:lang w:val="en-US"/>
              </w:rPr>
              <w:t>)</w:t>
            </w:r>
          </w:p>
        </w:tc>
        <w:tc>
          <w:tcPr>
            <w:tcW w:w="1323" w:type="dxa"/>
            <w:tcBorders>
              <w:top w:val="single" w:sz="4" w:space="0" w:color="auto"/>
              <w:left w:val="nil"/>
              <w:bottom w:val="single" w:sz="12" w:space="0" w:color="auto"/>
              <w:right w:val="nil"/>
            </w:tcBorders>
            <w:vAlign w:val="bottom"/>
          </w:tcPr>
          <w:p w14:paraId="6206FA20" w14:textId="643DA61E" w:rsidR="00DA6694" w:rsidRPr="00F01EC8" w:rsidRDefault="000A7ECC" w:rsidP="00AC0A5D">
            <w:pPr>
              <w:jc w:val="right"/>
              <w:rPr>
                <w:rFonts w:asciiTheme="minorHAnsi" w:hAnsiTheme="minorHAnsi" w:cs="Arial"/>
                <w:sz w:val="20"/>
                <w:szCs w:val="20"/>
                <w:lang w:val="en-US"/>
              </w:rPr>
            </w:pPr>
            <w:r w:rsidRPr="00F01EC8">
              <w:rPr>
                <w:rFonts w:asciiTheme="minorHAnsi" w:hAnsiTheme="minorHAnsi" w:cs="Arial"/>
                <w:sz w:val="20"/>
                <w:szCs w:val="20"/>
                <w:lang w:val="en-US"/>
              </w:rPr>
              <w:t>43.1</w:t>
            </w:r>
            <w:r w:rsidR="00DA6694" w:rsidRPr="00F01EC8">
              <w:rPr>
                <w:rFonts w:asciiTheme="minorHAnsi" w:hAnsiTheme="minorHAnsi" w:cs="Arial"/>
                <w:sz w:val="20"/>
                <w:szCs w:val="20"/>
                <w:lang w:val="en-US"/>
              </w:rPr>
              <w:t> </w:t>
            </w:r>
          </w:p>
        </w:tc>
      </w:tr>
    </w:tbl>
    <w:p w14:paraId="35FD4047"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F97BFE1"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All of the above activities relate to continuing operations.</w:t>
      </w:r>
    </w:p>
    <w:p w14:paraId="0BA8FDA6"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D1773C9"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Revenue between business segments is not significant. </w:t>
      </w:r>
    </w:p>
    <w:p w14:paraId="37C1E5D9" w14:textId="77777777" w:rsidR="00DA6694" w:rsidRPr="00F01EC8" w:rsidRDefault="00DA6694" w:rsidP="00DA6694">
      <w:pPr>
        <w:jc w:val="both"/>
        <w:rPr>
          <w:rFonts w:asciiTheme="minorHAnsi" w:hAnsiTheme="minorHAnsi" w:cs="Arial"/>
          <w:sz w:val="20"/>
          <w:szCs w:val="20"/>
        </w:rPr>
      </w:pPr>
    </w:p>
    <w:p w14:paraId="249B8B2D" w14:textId="157BA5D4" w:rsidR="00DA6694" w:rsidRPr="00F01EC8" w:rsidRDefault="00DA6694" w:rsidP="00DA6694">
      <w:pPr>
        <w:jc w:val="both"/>
        <w:rPr>
          <w:rFonts w:asciiTheme="minorHAnsi" w:hAnsiTheme="minorHAnsi" w:cstheme="minorHAnsi"/>
          <w:sz w:val="20"/>
          <w:szCs w:val="20"/>
        </w:rPr>
      </w:pPr>
      <w:r w:rsidRPr="00F01EC8">
        <w:rPr>
          <w:rFonts w:asciiTheme="minorHAnsi" w:hAnsiTheme="minorHAnsi" w:cs="Arial"/>
          <w:sz w:val="20"/>
          <w:szCs w:val="20"/>
        </w:rPr>
        <w:t>Acquisition intangibles represent</w:t>
      </w:r>
      <w:r w:rsidRPr="00F01EC8">
        <w:rPr>
          <w:rFonts w:asciiTheme="minorHAnsi" w:hAnsiTheme="minorHAnsi" w:cs="Arial"/>
          <w:b/>
          <w:sz w:val="20"/>
          <w:szCs w:val="20"/>
        </w:rPr>
        <w:t xml:space="preserve"> </w:t>
      </w:r>
      <w:r w:rsidRPr="00F01EC8">
        <w:rPr>
          <w:rFonts w:asciiTheme="minorHAnsi" w:hAnsiTheme="minorHAnsi" w:cs="Arial"/>
          <w:sz w:val="20"/>
          <w:szCs w:val="20"/>
        </w:rPr>
        <w:t>the fair value of the</w:t>
      </w:r>
      <w:r w:rsidRPr="00F01EC8">
        <w:rPr>
          <w:rFonts w:asciiTheme="minorHAnsi" w:hAnsiTheme="minorHAnsi" w:cs="Arial"/>
          <w:b/>
          <w:sz w:val="20"/>
          <w:szCs w:val="20"/>
        </w:rPr>
        <w:t xml:space="preserve"> </w:t>
      </w:r>
      <w:r w:rsidRPr="00F01EC8">
        <w:rPr>
          <w:rFonts w:asciiTheme="minorHAnsi" w:hAnsiTheme="minorHAnsi" w:cstheme="minorHAnsi"/>
          <w:sz w:val="20"/>
          <w:szCs w:val="20"/>
        </w:rPr>
        <w:t>broker relationships of £75.0m which arose on the acquisition of Moneybarn in August 2014. The intangible asset was calculated based on the discounted cash flows associated with Moneybarn’s core broker relationships and is being amortised over an estimated useful life of 10 years. The amortisation charge in the first half of 20</w:t>
      </w:r>
      <w:r w:rsidR="00B935BC" w:rsidRPr="00F01EC8">
        <w:rPr>
          <w:rFonts w:asciiTheme="minorHAnsi" w:hAnsiTheme="minorHAnsi" w:cstheme="minorHAnsi"/>
          <w:sz w:val="20"/>
          <w:szCs w:val="20"/>
        </w:rPr>
        <w:t>20</w:t>
      </w:r>
      <w:r w:rsidRPr="00F01EC8">
        <w:rPr>
          <w:rFonts w:asciiTheme="minorHAnsi" w:hAnsiTheme="minorHAnsi" w:cstheme="minorHAnsi"/>
          <w:sz w:val="20"/>
          <w:szCs w:val="20"/>
        </w:rPr>
        <w:t xml:space="preserve"> amounted to £3.7m (201</w:t>
      </w:r>
      <w:r w:rsidR="00B935BC" w:rsidRPr="00F01EC8">
        <w:rPr>
          <w:rFonts w:asciiTheme="minorHAnsi" w:hAnsiTheme="minorHAnsi" w:cstheme="minorHAnsi"/>
          <w:sz w:val="20"/>
          <w:szCs w:val="20"/>
        </w:rPr>
        <w:t>9</w:t>
      </w:r>
      <w:r w:rsidRPr="00F01EC8">
        <w:rPr>
          <w:rFonts w:asciiTheme="minorHAnsi" w:hAnsiTheme="minorHAnsi" w:cstheme="minorHAnsi"/>
          <w:sz w:val="20"/>
          <w:szCs w:val="20"/>
        </w:rPr>
        <w:t>: £3.7m).</w:t>
      </w:r>
    </w:p>
    <w:p w14:paraId="7E3712EA" w14:textId="77777777" w:rsidR="00DA6694" w:rsidRPr="00F01EC8" w:rsidRDefault="00DA6694" w:rsidP="00DA6694">
      <w:pPr>
        <w:jc w:val="both"/>
        <w:rPr>
          <w:rFonts w:asciiTheme="minorHAnsi" w:hAnsiTheme="minorHAnsi" w:cs="Arial"/>
          <w:sz w:val="20"/>
          <w:szCs w:val="20"/>
        </w:rPr>
      </w:pPr>
    </w:p>
    <w:p w14:paraId="21DD857C" w14:textId="3A0143FE" w:rsidR="00DA6694" w:rsidRPr="00F01EC8" w:rsidRDefault="00C845C0" w:rsidP="00DA6694">
      <w:pPr>
        <w:jc w:val="both"/>
        <w:rPr>
          <w:rFonts w:asciiTheme="minorHAnsi" w:eastAsia="Calibri" w:hAnsiTheme="minorHAnsi" w:cs="Calibri"/>
          <w:color w:val="000000"/>
          <w:sz w:val="20"/>
          <w:szCs w:val="20"/>
          <w:u w:color="000000"/>
          <w:lang w:val="en-US"/>
        </w:rPr>
      </w:pPr>
      <w:r w:rsidRPr="00F01EC8">
        <w:rPr>
          <w:rFonts w:asciiTheme="minorHAnsi" w:hAnsiTheme="minorHAnsi" w:cs="Arial"/>
          <w:sz w:val="20"/>
          <w:szCs w:val="20"/>
        </w:rPr>
        <w:t>The exceptional credit</w:t>
      </w:r>
      <w:r w:rsidR="00DA6694" w:rsidRPr="00F01EC8">
        <w:rPr>
          <w:rFonts w:asciiTheme="minorHAnsi" w:hAnsiTheme="minorHAnsi" w:cs="Arial"/>
          <w:sz w:val="20"/>
          <w:szCs w:val="20"/>
        </w:rPr>
        <w:t xml:space="preserve"> in the first half of 20</w:t>
      </w:r>
      <w:r w:rsidR="00B935BC" w:rsidRPr="00F01EC8">
        <w:rPr>
          <w:rFonts w:asciiTheme="minorHAnsi" w:hAnsiTheme="minorHAnsi" w:cs="Arial"/>
          <w:sz w:val="20"/>
          <w:szCs w:val="20"/>
        </w:rPr>
        <w:t>20</w:t>
      </w:r>
      <w:r w:rsidRPr="00F01EC8">
        <w:rPr>
          <w:rFonts w:asciiTheme="minorHAnsi" w:hAnsiTheme="minorHAnsi" w:cs="Arial"/>
          <w:sz w:val="20"/>
          <w:szCs w:val="20"/>
        </w:rPr>
        <w:t xml:space="preserve"> reflects the £8.3m exceptional release of provisions established in 2017 following the </w:t>
      </w:r>
      <w:r w:rsidR="00E07F9D" w:rsidRPr="00F01EC8">
        <w:rPr>
          <w:rFonts w:asciiTheme="minorHAnsi" w:hAnsiTheme="minorHAnsi" w:cs="Arial"/>
          <w:sz w:val="20"/>
          <w:szCs w:val="20"/>
        </w:rPr>
        <w:t xml:space="preserve">completion of the ROP refund programme in 2019 and the </w:t>
      </w:r>
      <w:r w:rsidRPr="00F01EC8">
        <w:rPr>
          <w:rFonts w:asciiTheme="minorHAnsi" w:hAnsiTheme="minorHAnsi" w:cs="Arial"/>
          <w:sz w:val="20"/>
          <w:szCs w:val="20"/>
        </w:rPr>
        <w:t xml:space="preserve">re-evaluation of the forward flow of claims </w:t>
      </w:r>
      <w:r w:rsidR="00D45128" w:rsidRPr="00F01EC8">
        <w:rPr>
          <w:rFonts w:asciiTheme="minorHAnsi" w:hAnsiTheme="minorHAnsi" w:cs="Arial"/>
          <w:sz w:val="20"/>
          <w:szCs w:val="20"/>
        </w:rPr>
        <w:t xml:space="preserve">which </w:t>
      </w:r>
      <w:r w:rsidRPr="00F01EC8">
        <w:rPr>
          <w:rFonts w:asciiTheme="minorHAnsi" w:hAnsiTheme="minorHAnsi" w:cs="Arial"/>
          <w:sz w:val="20"/>
          <w:szCs w:val="20"/>
        </w:rPr>
        <w:t>may arise in respect of ROP complaints</w:t>
      </w:r>
      <w:r w:rsidR="00E07F9D" w:rsidRPr="00F01EC8">
        <w:rPr>
          <w:rFonts w:asciiTheme="minorHAnsi" w:hAnsiTheme="minorHAnsi" w:cs="Arial"/>
          <w:sz w:val="20"/>
          <w:szCs w:val="20"/>
        </w:rPr>
        <w:t xml:space="preserve"> more generally</w:t>
      </w:r>
      <w:r w:rsidRPr="00F01EC8">
        <w:rPr>
          <w:rFonts w:asciiTheme="minorHAnsi" w:hAnsiTheme="minorHAnsi" w:cs="Arial"/>
          <w:sz w:val="20"/>
          <w:szCs w:val="20"/>
        </w:rPr>
        <w:t>. Exceptional costs in 2019 comprised</w:t>
      </w:r>
      <w:r w:rsidR="00DA6694" w:rsidRPr="00F01EC8">
        <w:rPr>
          <w:rFonts w:asciiTheme="minorHAnsi" w:hAnsiTheme="minorHAnsi" w:cs="Arial"/>
          <w:sz w:val="20"/>
          <w:szCs w:val="20"/>
        </w:rPr>
        <w:t xml:space="preserve"> (i) £23.6</w:t>
      </w:r>
      <w:r w:rsidR="00AC3CF7" w:rsidRPr="00F01EC8">
        <w:rPr>
          <w:rFonts w:asciiTheme="minorHAnsi" w:hAnsiTheme="minorHAnsi" w:cs="Arial"/>
          <w:sz w:val="20"/>
          <w:szCs w:val="20"/>
        </w:rPr>
        <w:t>m</w:t>
      </w:r>
      <w:r w:rsidR="00DA6694" w:rsidRPr="00F01EC8">
        <w:rPr>
          <w:rFonts w:asciiTheme="minorHAnsi" w:hAnsiTheme="minorHAnsi" w:cs="Arial"/>
          <w:sz w:val="20"/>
          <w:szCs w:val="20"/>
        </w:rPr>
        <w:t xml:space="preserve"> of defence costs </w:t>
      </w:r>
      <w:r w:rsidR="00DA6694" w:rsidRPr="00F01EC8">
        <w:rPr>
          <w:rFonts w:asciiTheme="minorHAnsi" w:eastAsia="Calibri" w:hAnsiTheme="minorHAnsi" w:cs="Calibri"/>
          <w:color w:val="000000"/>
          <w:sz w:val="20"/>
          <w:szCs w:val="20"/>
          <w:u w:color="000000"/>
          <w:lang w:val="en-US"/>
        </w:rPr>
        <w:t xml:space="preserve">associated with Non-Standard Finance plc’s (NSF’s) unsolicited offer for the </w:t>
      </w:r>
      <w:r w:rsidR="005714EF">
        <w:rPr>
          <w:rFonts w:asciiTheme="minorHAnsi" w:eastAsia="Calibri" w:hAnsiTheme="minorHAnsi" w:cs="Calibri"/>
          <w:color w:val="000000"/>
          <w:sz w:val="20"/>
          <w:szCs w:val="20"/>
          <w:u w:color="000000"/>
          <w:lang w:val="en-US"/>
        </w:rPr>
        <w:t>G</w:t>
      </w:r>
      <w:r w:rsidR="00DA6694" w:rsidRPr="00F01EC8">
        <w:rPr>
          <w:rFonts w:asciiTheme="minorHAnsi" w:eastAsia="Calibri" w:hAnsiTheme="minorHAnsi" w:cs="Calibri"/>
          <w:color w:val="000000"/>
          <w:sz w:val="20"/>
          <w:szCs w:val="20"/>
          <w:u w:color="000000"/>
          <w:lang w:val="en-US"/>
        </w:rPr>
        <w:t xml:space="preserve">roup; and (ii) £10.0m </w:t>
      </w:r>
      <w:r w:rsidR="00954DEF" w:rsidRPr="00F01EC8">
        <w:rPr>
          <w:rFonts w:asciiTheme="minorHAnsi" w:hAnsiTheme="minorHAnsi" w:cs="Arial"/>
          <w:sz w:val="20"/>
          <w:szCs w:val="20"/>
        </w:rPr>
        <w:t>in relation to</w:t>
      </w:r>
      <w:r w:rsidR="00F25541" w:rsidRPr="00F01EC8">
        <w:rPr>
          <w:rFonts w:asciiTheme="minorHAnsi" w:hAnsiTheme="minorHAnsi" w:cs="Arial"/>
          <w:sz w:val="20"/>
          <w:szCs w:val="20"/>
        </w:rPr>
        <w:t xml:space="preserve"> </w:t>
      </w:r>
      <w:r w:rsidR="00954DEF" w:rsidRPr="00F01EC8">
        <w:rPr>
          <w:rFonts w:asciiTheme="minorHAnsi" w:hAnsiTheme="minorHAnsi" w:cs="Arial"/>
          <w:sz w:val="20"/>
          <w:szCs w:val="20"/>
        </w:rPr>
        <w:t xml:space="preserve">the </w:t>
      </w:r>
      <w:r w:rsidR="00F25541" w:rsidRPr="00F01EC8">
        <w:rPr>
          <w:rFonts w:asciiTheme="minorHAnsi" w:hAnsiTheme="minorHAnsi" w:cs="Arial"/>
          <w:sz w:val="20"/>
          <w:szCs w:val="20"/>
        </w:rPr>
        <w:t xml:space="preserve">ongoing </w:t>
      </w:r>
      <w:r w:rsidR="00954DEF" w:rsidRPr="00F01EC8">
        <w:rPr>
          <w:rFonts w:asciiTheme="minorHAnsi" w:hAnsiTheme="minorHAnsi" w:cs="Arial"/>
          <w:sz w:val="20"/>
          <w:szCs w:val="20"/>
        </w:rPr>
        <w:t>turnaround of the home credit business following the poor execution of the migration to the n</w:t>
      </w:r>
      <w:r w:rsidRPr="00F01EC8">
        <w:rPr>
          <w:rFonts w:asciiTheme="minorHAnsi" w:hAnsiTheme="minorHAnsi" w:cs="Arial"/>
          <w:sz w:val="20"/>
          <w:szCs w:val="20"/>
        </w:rPr>
        <w:t xml:space="preserve">ew operating model in 2017, </w:t>
      </w:r>
      <w:r w:rsidR="00F25541" w:rsidRPr="00F01EC8">
        <w:rPr>
          <w:rFonts w:asciiTheme="minorHAnsi" w:hAnsiTheme="minorHAnsi" w:cs="Arial"/>
          <w:sz w:val="20"/>
          <w:szCs w:val="20"/>
        </w:rPr>
        <w:t>including</w:t>
      </w:r>
      <w:r w:rsidR="00F25541" w:rsidRPr="00F01EC8">
        <w:rPr>
          <w:rFonts w:asciiTheme="minorHAnsi" w:hAnsiTheme="minorHAnsi" w:cs="Arial"/>
          <w:i/>
          <w:sz w:val="20"/>
          <w:szCs w:val="20"/>
        </w:rPr>
        <w:t xml:space="preserve"> </w:t>
      </w:r>
      <w:r w:rsidR="00F25541" w:rsidRPr="00F01EC8">
        <w:rPr>
          <w:rFonts w:asciiTheme="minorHAnsi" w:eastAsia="Calibri" w:hAnsiTheme="minorHAnsi" w:cs="Calibri"/>
          <w:color w:val="000000"/>
          <w:sz w:val="20"/>
          <w:szCs w:val="20"/>
          <w:u w:color="000000"/>
          <w:lang w:val="en-US"/>
        </w:rPr>
        <w:t xml:space="preserve">a voluntary redundancy </w:t>
      </w:r>
      <w:proofErr w:type="spellStart"/>
      <w:r w:rsidR="00F25541" w:rsidRPr="00F01EC8">
        <w:rPr>
          <w:rFonts w:asciiTheme="minorHAnsi" w:eastAsia="Calibri" w:hAnsiTheme="minorHAnsi" w:cs="Calibri"/>
          <w:color w:val="000000"/>
          <w:sz w:val="20"/>
          <w:szCs w:val="20"/>
          <w:u w:color="000000"/>
          <w:lang w:val="en-US"/>
        </w:rPr>
        <w:t>programme</w:t>
      </w:r>
      <w:proofErr w:type="spellEnd"/>
      <w:r w:rsidR="00F25541" w:rsidRPr="00F01EC8">
        <w:rPr>
          <w:rFonts w:asciiTheme="minorHAnsi" w:eastAsia="Calibri" w:hAnsiTheme="minorHAnsi" w:cs="Calibri"/>
          <w:color w:val="000000"/>
          <w:sz w:val="20"/>
          <w:szCs w:val="20"/>
          <w:u w:color="000000"/>
          <w:lang w:val="en-US"/>
        </w:rPr>
        <w:t xml:space="preserve"> within</w:t>
      </w:r>
      <w:r w:rsidR="00F25541" w:rsidRPr="00F01EC8">
        <w:rPr>
          <w:rFonts w:asciiTheme="minorHAnsi" w:eastAsia="Calibri" w:hAnsiTheme="minorHAnsi" w:cs="Calibri"/>
          <w:sz w:val="20"/>
          <w:szCs w:val="20"/>
          <w:lang w:val="en-US"/>
        </w:rPr>
        <w:t xml:space="preserve"> central support functions which resulted in a reduction in headcount of approximately 200</w:t>
      </w:r>
      <w:r w:rsidR="00954DEF" w:rsidRPr="00F01EC8">
        <w:rPr>
          <w:rFonts w:asciiTheme="minorHAnsi" w:hAnsiTheme="minorHAnsi" w:cs="Arial"/>
          <w:sz w:val="20"/>
          <w:szCs w:val="20"/>
        </w:rPr>
        <w:t xml:space="preserve">. </w:t>
      </w:r>
      <w:r w:rsidR="00F25541" w:rsidRPr="00F01EC8">
        <w:rPr>
          <w:rFonts w:asciiTheme="minorHAnsi" w:hAnsiTheme="minorHAnsi" w:cs="Arial"/>
          <w:sz w:val="20"/>
          <w:szCs w:val="20"/>
        </w:rPr>
        <w:t>The redundancy costs are stated</w:t>
      </w:r>
      <w:r w:rsidR="00F25541" w:rsidRPr="00F01EC8">
        <w:rPr>
          <w:rFonts w:asciiTheme="minorHAnsi" w:eastAsia="Calibri" w:hAnsiTheme="minorHAnsi" w:cs="Calibri"/>
          <w:color w:val="000000"/>
          <w:sz w:val="20"/>
          <w:szCs w:val="20"/>
          <w:u w:color="000000"/>
          <w:lang w:val="en-US"/>
        </w:rPr>
        <w:t xml:space="preserve"> net of an exceptional pension credit of £0.5m (see note 9).</w:t>
      </w:r>
    </w:p>
    <w:p w14:paraId="5B7530E5" w14:textId="77777777" w:rsidR="00C04A53" w:rsidRPr="00F01EC8" w:rsidRDefault="00C04A53" w:rsidP="00DA6694">
      <w:pPr>
        <w:jc w:val="both"/>
        <w:rPr>
          <w:rFonts w:asciiTheme="minorHAnsi" w:hAnsiTheme="minorHAnsi" w:cs="Arial"/>
          <w:sz w:val="20"/>
          <w:szCs w:val="20"/>
        </w:rPr>
      </w:pPr>
    </w:p>
    <w:p w14:paraId="3BA2D67F" w14:textId="77777777" w:rsidR="00DA6694" w:rsidRPr="00F01EC8" w:rsidRDefault="00DA6694" w:rsidP="00DA6694">
      <w:pPr>
        <w:jc w:val="both"/>
        <w:rPr>
          <w:rFonts w:asciiTheme="minorHAnsi" w:hAnsiTheme="minorHAnsi" w:cs="Arial"/>
          <w:sz w:val="20"/>
          <w:szCs w:val="20"/>
        </w:rPr>
      </w:pPr>
    </w:p>
    <w:tbl>
      <w:tblPr>
        <w:tblW w:w="9939" w:type="dxa"/>
        <w:tblLook w:val="0000" w:firstRow="0" w:lastRow="0" w:firstColumn="0" w:lastColumn="0" w:noHBand="0" w:noVBand="0"/>
      </w:tblPr>
      <w:tblGrid>
        <w:gridCol w:w="2552"/>
        <w:gridCol w:w="1276"/>
        <w:gridCol w:w="1417"/>
        <w:gridCol w:w="1134"/>
        <w:gridCol w:w="1134"/>
        <w:gridCol w:w="1386"/>
        <w:gridCol w:w="1040"/>
      </w:tblGrid>
      <w:tr w:rsidR="00DA6694" w:rsidRPr="00F01EC8" w14:paraId="2258A24E" w14:textId="77777777" w:rsidTr="00AC0A5D">
        <w:tc>
          <w:tcPr>
            <w:tcW w:w="2552" w:type="dxa"/>
          </w:tcPr>
          <w:p w14:paraId="710B9CAD"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br w:type="page"/>
            </w:r>
          </w:p>
        </w:tc>
        <w:tc>
          <w:tcPr>
            <w:tcW w:w="3827" w:type="dxa"/>
            <w:gridSpan w:val="3"/>
          </w:tcPr>
          <w:p w14:paraId="6586912E"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Segment assets</w:t>
            </w:r>
          </w:p>
        </w:tc>
        <w:tc>
          <w:tcPr>
            <w:tcW w:w="3560" w:type="dxa"/>
            <w:gridSpan w:val="3"/>
          </w:tcPr>
          <w:p w14:paraId="767C871F" w14:textId="2340DD00"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Net assets</w:t>
            </w:r>
            <w:r w:rsidR="00F10689" w:rsidRPr="00F01EC8">
              <w:rPr>
                <w:rFonts w:asciiTheme="minorHAnsi" w:hAnsiTheme="minorHAnsi" w:cs="Arial"/>
                <w:sz w:val="20"/>
                <w:szCs w:val="20"/>
              </w:rPr>
              <w:t>/(liabilities)</w:t>
            </w:r>
          </w:p>
        </w:tc>
      </w:tr>
      <w:tr w:rsidR="00DA6694" w:rsidRPr="00F01EC8" w14:paraId="26E54337" w14:textId="77777777" w:rsidTr="00AC0A5D">
        <w:tc>
          <w:tcPr>
            <w:tcW w:w="2552" w:type="dxa"/>
          </w:tcPr>
          <w:p w14:paraId="3D574F7F" w14:textId="77777777" w:rsidR="00DA6694" w:rsidRPr="00F01EC8" w:rsidRDefault="00DA6694" w:rsidP="00AC0A5D">
            <w:pPr>
              <w:rPr>
                <w:rFonts w:asciiTheme="minorHAnsi" w:hAnsiTheme="minorHAnsi" w:cs="Arial"/>
                <w:sz w:val="20"/>
                <w:szCs w:val="20"/>
              </w:rPr>
            </w:pPr>
          </w:p>
        </w:tc>
        <w:tc>
          <w:tcPr>
            <w:tcW w:w="1276" w:type="dxa"/>
          </w:tcPr>
          <w:p w14:paraId="599187B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417" w:type="dxa"/>
          </w:tcPr>
          <w:p w14:paraId="3F10436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34" w:type="dxa"/>
          </w:tcPr>
          <w:p w14:paraId="6DF5E08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134" w:type="dxa"/>
          </w:tcPr>
          <w:p w14:paraId="0CB3009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386" w:type="dxa"/>
          </w:tcPr>
          <w:p w14:paraId="4A2A9C9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040" w:type="dxa"/>
          </w:tcPr>
          <w:p w14:paraId="5FC515E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68E29A7D" w14:textId="77777777" w:rsidTr="00AC0A5D">
        <w:tc>
          <w:tcPr>
            <w:tcW w:w="2552" w:type="dxa"/>
          </w:tcPr>
          <w:p w14:paraId="44504CBA" w14:textId="77777777" w:rsidR="00DA6694" w:rsidRPr="00F01EC8" w:rsidRDefault="00DA6694" w:rsidP="00AC0A5D">
            <w:pPr>
              <w:rPr>
                <w:rFonts w:asciiTheme="minorHAnsi" w:hAnsiTheme="minorHAnsi" w:cs="Arial"/>
                <w:sz w:val="20"/>
                <w:szCs w:val="20"/>
              </w:rPr>
            </w:pPr>
          </w:p>
        </w:tc>
        <w:tc>
          <w:tcPr>
            <w:tcW w:w="1276" w:type="dxa"/>
          </w:tcPr>
          <w:p w14:paraId="579C5ACE" w14:textId="62D7A4F8"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93CAF" w:rsidRPr="00F01EC8">
              <w:rPr>
                <w:rFonts w:asciiTheme="minorHAnsi" w:hAnsiTheme="minorHAnsi" w:cs="Arial"/>
                <w:sz w:val="20"/>
                <w:szCs w:val="20"/>
              </w:rPr>
              <w:t>20</w:t>
            </w:r>
            <w:r w:rsidRPr="00F01EC8">
              <w:rPr>
                <w:rFonts w:asciiTheme="minorHAnsi" w:hAnsiTheme="minorHAnsi" w:cs="Arial"/>
                <w:sz w:val="20"/>
                <w:szCs w:val="20"/>
              </w:rPr>
              <w:t> </w:t>
            </w:r>
          </w:p>
        </w:tc>
        <w:tc>
          <w:tcPr>
            <w:tcW w:w="1417" w:type="dxa"/>
          </w:tcPr>
          <w:p w14:paraId="5153A1E4" w14:textId="42BBCBD7" w:rsidR="00593CAF" w:rsidRPr="00F01EC8" w:rsidRDefault="00593CAF" w:rsidP="00593CAF">
            <w:pPr>
              <w:jc w:val="center"/>
              <w:rPr>
                <w:rFonts w:asciiTheme="minorHAnsi" w:hAnsiTheme="minorHAnsi" w:cs="Arial"/>
                <w:sz w:val="20"/>
                <w:szCs w:val="20"/>
              </w:rPr>
            </w:pPr>
            <w:r w:rsidRPr="00F01EC8">
              <w:rPr>
                <w:rFonts w:asciiTheme="minorHAnsi" w:hAnsiTheme="minorHAnsi" w:cs="Arial"/>
                <w:sz w:val="20"/>
                <w:szCs w:val="20"/>
              </w:rPr>
              <w:t xml:space="preserve">              </w:t>
            </w:r>
            <w:r w:rsidR="00DA6694" w:rsidRPr="00F01EC8">
              <w:rPr>
                <w:rFonts w:asciiTheme="minorHAnsi" w:hAnsiTheme="minorHAnsi" w:cs="Arial"/>
                <w:sz w:val="20"/>
                <w:szCs w:val="20"/>
              </w:rPr>
              <w:t>201</w:t>
            </w:r>
            <w:r w:rsidRPr="00F01EC8">
              <w:rPr>
                <w:rFonts w:asciiTheme="minorHAnsi" w:hAnsiTheme="minorHAnsi" w:cs="Arial"/>
                <w:sz w:val="20"/>
                <w:szCs w:val="20"/>
              </w:rPr>
              <w:t xml:space="preserve">9       </w:t>
            </w:r>
          </w:p>
          <w:p w14:paraId="24546582" w14:textId="5AB5EDCE" w:rsidR="00DA6694" w:rsidRPr="00F01EC8" w:rsidRDefault="00DA6694" w:rsidP="00577AB1">
            <w:pPr>
              <w:rPr>
                <w:rFonts w:asciiTheme="minorHAnsi" w:hAnsiTheme="minorHAnsi" w:cs="Arial"/>
                <w:sz w:val="20"/>
                <w:szCs w:val="20"/>
              </w:rPr>
            </w:pPr>
            <w:r w:rsidRPr="00F01EC8">
              <w:rPr>
                <w:rFonts w:asciiTheme="minorHAnsi" w:hAnsiTheme="minorHAnsi" w:cs="Arial"/>
                <w:sz w:val="20"/>
                <w:szCs w:val="20"/>
              </w:rPr>
              <w:t> </w:t>
            </w:r>
          </w:p>
        </w:tc>
        <w:tc>
          <w:tcPr>
            <w:tcW w:w="1134" w:type="dxa"/>
          </w:tcPr>
          <w:p w14:paraId="54C6E971" w14:textId="2D421D16"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93CAF" w:rsidRPr="00F01EC8">
              <w:rPr>
                <w:rFonts w:asciiTheme="minorHAnsi" w:hAnsiTheme="minorHAnsi" w:cs="Arial"/>
                <w:sz w:val="20"/>
                <w:szCs w:val="20"/>
              </w:rPr>
              <w:t>9</w:t>
            </w:r>
            <w:r w:rsidR="00577AB1" w:rsidRPr="00F01EC8">
              <w:rPr>
                <w:rFonts w:asciiTheme="minorHAnsi" w:hAnsiTheme="minorHAnsi" w:cs="Arial"/>
                <w:sz w:val="20"/>
                <w:szCs w:val="20"/>
              </w:rPr>
              <w:t xml:space="preserve"> (restated)</w:t>
            </w:r>
          </w:p>
        </w:tc>
        <w:tc>
          <w:tcPr>
            <w:tcW w:w="1134" w:type="dxa"/>
          </w:tcPr>
          <w:p w14:paraId="6DF67D3F" w14:textId="00A0A29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93CAF" w:rsidRPr="00F01EC8">
              <w:rPr>
                <w:rFonts w:asciiTheme="minorHAnsi" w:hAnsiTheme="minorHAnsi" w:cs="Arial"/>
                <w:sz w:val="20"/>
                <w:szCs w:val="20"/>
              </w:rPr>
              <w:t>20</w:t>
            </w:r>
            <w:r w:rsidRPr="00F01EC8">
              <w:rPr>
                <w:rFonts w:asciiTheme="minorHAnsi" w:hAnsiTheme="minorHAnsi" w:cs="Arial"/>
                <w:sz w:val="20"/>
                <w:szCs w:val="20"/>
              </w:rPr>
              <w:t> </w:t>
            </w:r>
          </w:p>
        </w:tc>
        <w:tc>
          <w:tcPr>
            <w:tcW w:w="1386" w:type="dxa"/>
          </w:tcPr>
          <w:p w14:paraId="242FDAFD" w14:textId="51EC5FA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77AB1" w:rsidRPr="00F01EC8">
              <w:rPr>
                <w:rFonts w:asciiTheme="minorHAnsi" w:hAnsiTheme="minorHAnsi" w:cs="Arial"/>
                <w:sz w:val="20"/>
                <w:szCs w:val="20"/>
              </w:rPr>
              <w:t>9</w:t>
            </w:r>
          </w:p>
        </w:tc>
        <w:tc>
          <w:tcPr>
            <w:tcW w:w="1040" w:type="dxa"/>
          </w:tcPr>
          <w:p w14:paraId="5AF0F48D" w14:textId="3E0A53E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93CAF" w:rsidRPr="00F01EC8">
              <w:rPr>
                <w:rFonts w:asciiTheme="minorHAnsi" w:hAnsiTheme="minorHAnsi" w:cs="Arial"/>
                <w:sz w:val="20"/>
                <w:szCs w:val="20"/>
              </w:rPr>
              <w:t>9</w:t>
            </w:r>
            <w:r w:rsidR="00577AB1" w:rsidRPr="00F01EC8">
              <w:rPr>
                <w:rFonts w:asciiTheme="minorHAnsi" w:hAnsiTheme="minorHAnsi" w:cs="Arial"/>
                <w:sz w:val="20"/>
                <w:szCs w:val="20"/>
              </w:rPr>
              <w:t xml:space="preserve"> (restated)</w:t>
            </w:r>
          </w:p>
        </w:tc>
      </w:tr>
      <w:tr w:rsidR="00DA6694" w:rsidRPr="00F01EC8" w14:paraId="0FCC2C3A" w14:textId="77777777" w:rsidTr="00AC0A5D">
        <w:tc>
          <w:tcPr>
            <w:tcW w:w="2552" w:type="dxa"/>
          </w:tcPr>
          <w:p w14:paraId="584DA25F" w14:textId="77777777" w:rsidR="00DA6694" w:rsidRPr="00F01EC8" w:rsidRDefault="00DA6694" w:rsidP="00AC0A5D">
            <w:pPr>
              <w:rPr>
                <w:rFonts w:asciiTheme="minorHAnsi" w:hAnsiTheme="minorHAnsi" w:cs="Arial"/>
                <w:sz w:val="20"/>
                <w:szCs w:val="20"/>
              </w:rPr>
            </w:pPr>
          </w:p>
        </w:tc>
        <w:tc>
          <w:tcPr>
            <w:tcW w:w="1276" w:type="dxa"/>
            <w:tcBorders>
              <w:bottom w:val="single" w:sz="4" w:space="0" w:color="auto"/>
            </w:tcBorders>
          </w:tcPr>
          <w:p w14:paraId="355B051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417" w:type="dxa"/>
            <w:tcBorders>
              <w:bottom w:val="single" w:sz="4" w:space="0" w:color="auto"/>
            </w:tcBorders>
          </w:tcPr>
          <w:p w14:paraId="7FDFBA8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34" w:type="dxa"/>
            <w:tcBorders>
              <w:bottom w:val="single" w:sz="4" w:space="0" w:color="auto"/>
            </w:tcBorders>
          </w:tcPr>
          <w:p w14:paraId="4504494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34" w:type="dxa"/>
            <w:tcBorders>
              <w:top w:val="nil"/>
              <w:left w:val="nil"/>
              <w:bottom w:val="single" w:sz="4" w:space="0" w:color="auto"/>
              <w:right w:val="nil"/>
            </w:tcBorders>
          </w:tcPr>
          <w:p w14:paraId="507B05AC"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386" w:type="dxa"/>
            <w:tcBorders>
              <w:top w:val="nil"/>
              <w:left w:val="nil"/>
              <w:bottom w:val="single" w:sz="4" w:space="0" w:color="auto"/>
              <w:right w:val="nil"/>
            </w:tcBorders>
          </w:tcPr>
          <w:p w14:paraId="1A95872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040" w:type="dxa"/>
            <w:tcBorders>
              <w:top w:val="nil"/>
              <w:left w:val="nil"/>
              <w:bottom w:val="single" w:sz="4" w:space="0" w:color="auto"/>
              <w:right w:val="nil"/>
            </w:tcBorders>
          </w:tcPr>
          <w:p w14:paraId="756DC93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4C2C7B68" w14:textId="77777777" w:rsidTr="00AC0A5D">
        <w:tc>
          <w:tcPr>
            <w:tcW w:w="2552" w:type="dxa"/>
          </w:tcPr>
          <w:p w14:paraId="26C9753A" w14:textId="77777777" w:rsidR="00DA6694" w:rsidRPr="00F01EC8" w:rsidRDefault="00DA6694" w:rsidP="00AC0A5D">
            <w:pPr>
              <w:rPr>
                <w:rFonts w:asciiTheme="minorHAnsi" w:hAnsiTheme="minorHAnsi" w:cs="Arial"/>
                <w:b/>
                <w:sz w:val="20"/>
                <w:szCs w:val="20"/>
              </w:rPr>
            </w:pPr>
          </w:p>
        </w:tc>
        <w:tc>
          <w:tcPr>
            <w:tcW w:w="1276" w:type="dxa"/>
            <w:tcBorders>
              <w:top w:val="single" w:sz="4" w:space="0" w:color="auto"/>
            </w:tcBorders>
          </w:tcPr>
          <w:p w14:paraId="19A308D7" w14:textId="77777777" w:rsidR="00DA6694" w:rsidRPr="00F01EC8" w:rsidRDefault="00DA6694" w:rsidP="00AC0A5D">
            <w:pPr>
              <w:jc w:val="right"/>
              <w:rPr>
                <w:rFonts w:asciiTheme="minorHAnsi" w:hAnsiTheme="minorHAnsi" w:cs="Arial"/>
                <w:sz w:val="20"/>
                <w:szCs w:val="20"/>
              </w:rPr>
            </w:pPr>
          </w:p>
        </w:tc>
        <w:tc>
          <w:tcPr>
            <w:tcW w:w="1417" w:type="dxa"/>
            <w:tcBorders>
              <w:top w:val="single" w:sz="4" w:space="0" w:color="auto"/>
            </w:tcBorders>
          </w:tcPr>
          <w:p w14:paraId="1E96E09F" w14:textId="77777777" w:rsidR="00DA6694" w:rsidRPr="00F01EC8" w:rsidRDefault="00DA6694" w:rsidP="00AC0A5D">
            <w:pPr>
              <w:jc w:val="right"/>
              <w:rPr>
                <w:rFonts w:asciiTheme="minorHAnsi" w:hAnsiTheme="minorHAnsi" w:cs="Arial"/>
                <w:sz w:val="20"/>
                <w:szCs w:val="20"/>
              </w:rPr>
            </w:pPr>
          </w:p>
        </w:tc>
        <w:tc>
          <w:tcPr>
            <w:tcW w:w="1134" w:type="dxa"/>
            <w:tcBorders>
              <w:top w:val="single" w:sz="4" w:space="0" w:color="auto"/>
            </w:tcBorders>
          </w:tcPr>
          <w:p w14:paraId="1D33F64D" w14:textId="77777777" w:rsidR="00DA6694" w:rsidRPr="00F01EC8" w:rsidRDefault="00DA6694" w:rsidP="00AC0A5D">
            <w:pPr>
              <w:jc w:val="right"/>
              <w:rPr>
                <w:rFonts w:asciiTheme="minorHAnsi" w:hAnsiTheme="minorHAnsi" w:cs="Arial"/>
                <w:sz w:val="20"/>
                <w:szCs w:val="20"/>
              </w:rPr>
            </w:pPr>
          </w:p>
        </w:tc>
        <w:tc>
          <w:tcPr>
            <w:tcW w:w="1134" w:type="dxa"/>
            <w:vAlign w:val="bottom"/>
          </w:tcPr>
          <w:p w14:paraId="6D7CA6D6" w14:textId="77777777" w:rsidR="00DA6694" w:rsidRPr="00F01EC8" w:rsidRDefault="00DA6694" w:rsidP="00AC0A5D">
            <w:pPr>
              <w:jc w:val="right"/>
              <w:rPr>
                <w:rFonts w:asciiTheme="minorHAnsi" w:hAnsiTheme="minorHAnsi" w:cs="Arial"/>
                <w:sz w:val="20"/>
                <w:szCs w:val="20"/>
              </w:rPr>
            </w:pPr>
          </w:p>
        </w:tc>
        <w:tc>
          <w:tcPr>
            <w:tcW w:w="1386" w:type="dxa"/>
            <w:vAlign w:val="bottom"/>
          </w:tcPr>
          <w:p w14:paraId="621948CA" w14:textId="77777777" w:rsidR="00DA6694" w:rsidRPr="00F01EC8" w:rsidRDefault="00DA6694" w:rsidP="00AC0A5D">
            <w:pPr>
              <w:jc w:val="right"/>
              <w:rPr>
                <w:rFonts w:asciiTheme="minorHAnsi" w:hAnsiTheme="minorHAnsi" w:cs="Arial"/>
                <w:sz w:val="20"/>
                <w:szCs w:val="20"/>
              </w:rPr>
            </w:pPr>
          </w:p>
        </w:tc>
        <w:tc>
          <w:tcPr>
            <w:tcW w:w="1040" w:type="dxa"/>
            <w:vAlign w:val="bottom"/>
          </w:tcPr>
          <w:p w14:paraId="7F0A60B2" w14:textId="77777777" w:rsidR="00DA6694" w:rsidRPr="00F01EC8" w:rsidRDefault="00DA6694" w:rsidP="00AC0A5D">
            <w:pPr>
              <w:jc w:val="right"/>
              <w:rPr>
                <w:rFonts w:asciiTheme="minorHAnsi" w:hAnsiTheme="minorHAnsi" w:cs="Arial"/>
                <w:sz w:val="20"/>
                <w:szCs w:val="20"/>
              </w:rPr>
            </w:pPr>
          </w:p>
        </w:tc>
      </w:tr>
      <w:tr w:rsidR="00577AB1" w:rsidRPr="00F01EC8" w14:paraId="4AE967A5" w14:textId="77777777" w:rsidTr="00AC0A5D">
        <w:tc>
          <w:tcPr>
            <w:tcW w:w="2552" w:type="dxa"/>
            <w:vAlign w:val="bottom"/>
          </w:tcPr>
          <w:p w14:paraId="6187309A" w14:textId="77777777" w:rsidR="00577AB1" w:rsidRPr="00F01EC8" w:rsidRDefault="00577AB1" w:rsidP="00577AB1">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1A606C66" w14:textId="3142A629"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2,332.1</w:t>
            </w:r>
          </w:p>
        </w:tc>
        <w:tc>
          <w:tcPr>
            <w:tcW w:w="1417" w:type="dxa"/>
            <w:vAlign w:val="bottom"/>
          </w:tcPr>
          <w:p w14:paraId="002B407A" w14:textId="0CCF5873"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1,889.5 </w:t>
            </w:r>
          </w:p>
        </w:tc>
        <w:tc>
          <w:tcPr>
            <w:tcW w:w="1134" w:type="dxa"/>
            <w:vAlign w:val="bottom"/>
          </w:tcPr>
          <w:p w14:paraId="16553D5F" w14:textId="2A91A71F"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2,030.3 </w:t>
            </w:r>
          </w:p>
        </w:tc>
        <w:tc>
          <w:tcPr>
            <w:tcW w:w="1134" w:type="dxa"/>
            <w:vAlign w:val="bottom"/>
          </w:tcPr>
          <w:p w14:paraId="5F203011" w14:textId="42027612"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333.7</w:t>
            </w:r>
          </w:p>
        </w:tc>
        <w:tc>
          <w:tcPr>
            <w:tcW w:w="1386" w:type="dxa"/>
            <w:vAlign w:val="bottom"/>
          </w:tcPr>
          <w:p w14:paraId="70E0DA1D" w14:textId="09B5DF72"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397.3 </w:t>
            </w:r>
          </w:p>
        </w:tc>
        <w:tc>
          <w:tcPr>
            <w:tcW w:w="1040" w:type="dxa"/>
            <w:vAlign w:val="bottom"/>
          </w:tcPr>
          <w:p w14:paraId="7D1C8A0F" w14:textId="5ADC5C25"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404.5 </w:t>
            </w:r>
          </w:p>
        </w:tc>
      </w:tr>
      <w:tr w:rsidR="00577AB1" w:rsidRPr="00F01EC8" w14:paraId="086F82E9" w14:textId="77777777" w:rsidTr="00AC0A5D">
        <w:tc>
          <w:tcPr>
            <w:tcW w:w="2552" w:type="dxa"/>
            <w:vAlign w:val="bottom"/>
          </w:tcPr>
          <w:p w14:paraId="773A0B11" w14:textId="77777777" w:rsidR="00577AB1" w:rsidRPr="00F01EC8" w:rsidRDefault="00577AB1" w:rsidP="00577AB1">
            <w:pPr>
              <w:rPr>
                <w:rFonts w:asciiTheme="minorHAnsi" w:hAnsiTheme="minorHAnsi" w:cs="Arial"/>
                <w:sz w:val="20"/>
                <w:szCs w:val="20"/>
              </w:rPr>
            </w:pPr>
            <w:r w:rsidRPr="00F01EC8">
              <w:rPr>
                <w:rFonts w:asciiTheme="minorHAnsi" w:hAnsiTheme="minorHAnsi" w:cs="Arial"/>
                <w:sz w:val="20"/>
                <w:szCs w:val="20"/>
              </w:rPr>
              <w:t xml:space="preserve">Moneybarn </w:t>
            </w:r>
          </w:p>
        </w:tc>
        <w:tc>
          <w:tcPr>
            <w:tcW w:w="1276" w:type="dxa"/>
            <w:vAlign w:val="bottom"/>
          </w:tcPr>
          <w:p w14:paraId="08C77B1F" w14:textId="64ED2FF6"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566.5</w:t>
            </w:r>
          </w:p>
        </w:tc>
        <w:tc>
          <w:tcPr>
            <w:tcW w:w="1417" w:type="dxa"/>
            <w:vAlign w:val="bottom"/>
          </w:tcPr>
          <w:p w14:paraId="67CB161F" w14:textId="110D0AF1"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541.0 </w:t>
            </w:r>
          </w:p>
        </w:tc>
        <w:tc>
          <w:tcPr>
            <w:tcW w:w="1134" w:type="dxa"/>
            <w:vAlign w:val="bottom"/>
          </w:tcPr>
          <w:p w14:paraId="751C9680" w14:textId="36752A45"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512.2 </w:t>
            </w:r>
          </w:p>
        </w:tc>
        <w:tc>
          <w:tcPr>
            <w:tcW w:w="1134" w:type="dxa"/>
            <w:vAlign w:val="bottom"/>
          </w:tcPr>
          <w:p w14:paraId="64C69446" w14:textId="73786282"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39.4</w:t>
            </w:r>
          </w:p>
        </w:tc>
        <w:tc>
          <w:tcPr>
            <w:tcW w:w="1386" w:type="dxa"/>
            <w:vAlign w:val="bottom"/>
          </w:tcPr>
          <w:p w14:paraId="3133314D" w14:textId="703F0E39"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39.6 </w:t>
            </w:r>
          </w:p>
        </w:tc>
        <w:tc>
          <w:tcPr>
            <w:tcW w:w="1040" w:type="dxa"/>
            <w:vAlign w:val="bottom"/>
          </w:tcPr>
          <w:p w14:paraId="13F711B8" w14:textId="50D2975E"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29.4 </w:t>
            </w:r>
          </w:p>
        </w:tc>
      </w:tr>
      <w:tr w:rsidR="00577AB1" w:rsidRPr="00F01EC8" w14:paraId="18256D0F" w14:textId="77777777" w:rsidTr="00AC0A5D">
        <w:tc>
          <w:tcPr>
            <w:tcW w:w="2552" w:type="dxa"/>
            <w:vAlign w:val="bottom"/>
          </w:tcPr>
          <w:p w14:paraId="38FDC790" w14:textId="77777777" w:rsidR="00577AB1" w:rsidRPr="00F01EC8" w:rsidRDefault="00577AB1" w:rsidP="00577AB1">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7ADDAB83" w14:textId="7A55CBA0"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183.6</w:t>
            </w:r>
          </w:p>
        </w:tc>
        <w:tc>
          <w:tcPr>
            <w:tcW w:w="1417" w:type="dxa"/>
            <w:vAlign w:val="bottom"/>
          </w:tcPr>
          <w:p w14:paraId="2509B661" w14:textId="3ED40DC3" w:rsidR="00577AB1" w:rsidRPr="00F01EC8" w:rsidRDefault="00577AB1" w:rsidP="00577AB1">
            <w:pPr>
              <w:jc w:val="right"/>
              <w:rPr>
                <w:rFonts w:asciiTheme="minorHAnsi" w:hAnsiTheme="minorHAnsi" w:cs="Arial"/>
                <w:sz w:val="20"/>
                <w:szCs w:val="20"/>
              </w:rPr>
            </w:pPr>
            <w:r w:rsidRPr="00F01EC8">
              <w:rPr>
                <w:rFonts w:asciiTheme="minorHAnsi" w:hAnsiTheme="minorHAnsi" w:cstheme="minorHAnsi"/>
                <w:sz w:val="20"/>
                <w:szCs w:val="20"/>
              </w:rPr>
              <w:t>284.9 </w:t>
            </w:r>
          </w:p>
        </w:tc>
        <w:tc>
          <w:tcPr>
            <w:tcW w:w="1134" w:type="dxa"/>
            <w:vAlign w:val="bottom"/>
          </w:tcPr>
          <w:p w14:paraId="00A66F66" w14:textId="7B884247"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294.4 </w:t>
            </w:r>
          </w:p>
        </w:tc>
        <w:tc>
          <w:tcPr>
            <w:tcW w:w="1134" w:type="dxa"/>
            <w:vAlign w:val="bottom"/>
          </w:tcPr>
          <w:p w14:paraId="0C0C4C76" w14:textId="6C680A7D"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(96.1)</w:t>
            </w:r>
          </w:p>
        </w:tc>
        <w:tc>
          <w:tcPr>
            <w:tcW w:w="1386" w:type="dxa"/>
            <w:vAlign w:val="bottom"/>
          </w:tcPr>
          <w:p w14:paraId="4EDE0B62" w14:textId="7CBAD409" w:rsidR="00577AB1" w:rsidRPr="00F01EC8" w:rsidRDefault="00577AB1" w:rsidP="00577AB1">
            <w:pPr>
              <w:jc w:val="right"/>
              <w:rPr>
                <w:rFonts w:asciiTheme="minorHAnsi" w:hAnsiTheme="minorHAnsi" w:cs="Arial"/>
                <w:sz w:val="20"/>
                <w:szCs w:val="20"/>
              </w:rPr>
            </w:pPr>
            <w:r w:rsidRPr="00F01EC8">
              <w:rPr>
                <w:rFonts w:asciiTheme="minorHAnsi" w:hAnsiTheme="minorHAnsi" w:cstheme="minorHAnsi"/>
                <w:sz w:val="20"/>
                <w:szCs w:val="20"/>
              </w:rPr>
              <w:t>(59.9)</w:t>
            </w:r>
          </w:p>
        </w:tc>
        <w:tc>
          <w:tcPr>
            <w:tcW w:w="1040" w:type="dxa"/>
            <w:vAlign w:val="bottom"/>
          </w:tcPr>
          <w:p w14:paraId="37677CA4" w14:textId="0994313E"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(28.7)</w:t>
            </w:r>
          </w:p>
        </w:tc>
      </w:tr>
      <w:tr w:rsidR="00577AB1" w:rsidRPr="00F01EC8" w14:paraId="33614C27" w14:textId="77777777" w:rsidTr="00AC0A5D">
        <w:tc>
          <w:tcPr>
            <w:tcW w:w="2552" w:type="dxa"/>
            <w:vAlign w:val="bottom"/>
          </w:tcPr>
          <w:p w14:paraId="6ED584E1" w14:textId="77777777" w:rsidR="00577AB1" w:rsidRPr="00F01EC8" w:rsidRDefault="00577AB1" w:rsidP="00577AB1">
            <w:pPr>
              <w:rPr>
                <w:rFonts w:asciiTheme="minorHAnsi" w:hAnsiTheme="minorHAnsi" w:cs="Arial"/>
                <w:bCs/>
                <w:sz w:val="20"/>
                <w:szCs w:val="20"/>
                <w:lang w:val="en-US"/>
              </w:rPr>
            </w:pPr>
            <w:r w:rsidRPr="00F01EC8">
              <w:rPr>
                <w:rFonts w:asciiTheme="minorHAnsi" w:hAnsiTheme="minorHAnsi" w:cs="Arial"/>
                <w:bCs/>
                <w:sz w:val="20"/>
                <w:szCs w:val="20"/>
                <w:lang w:val="en-US"/>
              </w:rPr>
              <w:t>Central</w:t>
            </w:r>
          </w:p>
        </w:tc>
        <w:tc>
          <w:tcPr>
            <w:tcW w:w="1276" w:type="dxa"/>
            <w:tcBorders>
              <w:bottom w:val="single" w:sz="4" w:space="0" w:color="auto"/>
            </w:tcBorders>
            <w:vAlign w:val="bottom"/>
          </w:tcPr>
          <w:p w14:paraId="1057A0EE" w14:textId="4871C278" w:rsidR="00577AB1" w:rsidRPr="00F01EC8" w:rsidRDefault="002773B8" w:rsidP="00577AB1">
            <w:pPr>
              <w:jc w:val="right"/>
              <w:rPr>
                <w:rFonts w:asciiTheme="minorHAnsi" w:hAnsiTheme="minorHAnsi"/>
                <w:sz w:val="20"/>
                <w:szCs w:val="20"/>
              </w:rPr>
            </w:pPr>
            <w:r w:rsidRPr="00F01EC8">
              <w:rPr>
                <w:rFonts w:asciiTheme="minorHAnsi" w:hAnsiTheme="minorHAnsi"/>
                <w:sz w:val="20"/>
                <w:szCs w:val="20"/>
              </w:rPr>
              <w:t>544.4</w:t>
            </w:r>
          </w:p>
        </w:tc>
        <w:tc>
          <w:tcPr>
            <w:tcW w:w="1417" w:type="dxa"/>
            <w:tcBorders>
              <w:bottom w:val="single" w:sz="4" w:space="0" w:color="auto"/>
            </w:tcBorders>
            <w:vAlign w:val="bottom"/>
          </w:tcPr>
          <w:p w14:paraId="0CC5813D" w14:textId="7C62F896"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443.3 </w:t>
            </w:r>
          </w:p>
        </w:tc>
        <w:tc>
          <w:tcPr>
            <w:tcW w:w="1134" w:type="dxa"/>
            <w:tcBorders>
              <w:bottom w:val="single" w:sz="4" w:space="0" w:color="auto"/>
            </w:tcBorders>
            <w:vAlign w:val="bottom"/>
          </w:tcPr>
          <w:p w14:paraId="0FFBAC2C" w14:textId="493E168E" w:rsidR="00577AB1" w:rsidRPr="00F01EC8" w:rsidRDefault="00577AB1" w:rsidP="00577AB1">
            <w:pPr>
              <w:jc w:val="right"/>
              <w:rPr>
                <w:rFonts w:asciiTheme="minorHAnsi" w:hAnsiTheme="minorHAnsi" w:cstheme="minorHAnsi"/>
                <w:sz w:val="20"/>
                <w:szCs w:val="20"/>
                <w:lang w:val="en-US"/>
              </w:rPr>
            </w:pPr>
            <w:r w:rsidRPr="00F01EC8">
              <w:rPr>
                <w:rFonts w:asciiTheme="minorHAnsi" w:hAnsiTheme="minorHAnsi"/>
                <w:sz w:val="20"/>
                <w:szCs w:val="20"/>
              </w:rPr>
              <w:t>377.2 </w:t>
            </w:r>
          </w:p>
        </w:tc>
        <w:tc>
          <w:tcPr>
            <w:tcW w:w="1134" w:type="dxa"/>
            <w:tcBorders>
              <w:top w:val="nil"/>
              <w:left w:val="nil"/>
              <w:bottom w:val="single" w:sz="4" w:space="0" w:color="auto"/>
              <w:right w:val="nil"/>
            </w:tcBorders>
            <w:vAlign w:val="bottom"/>
          </w:tcPr>
          <w:p w14:paraId="4508D180" w14:textId="6E674196" w:rsidR="00577AB1" w:rsidRPr="00F01EC8" w:rsidRDefault="002773B8" w:rsidP="00577AB1">
            <w:pPr>
              <w:jc w:val="right"/>
              <w:rPr>
                <w:rFonts w:asciiTheme="minorHAnsi" w:hAnsiTheme="minorHAnsi" w:cstheme="minorHAnsi"/>
                <w:sz w:val="20"/>
                <w:szCs w:val="20"/>
                <w:lang w:val="en-US"/>
              </w:rPr>
            </w:pPr>
            <w:r w:rsidRPr="00F01EC8">
              <w:rPr>
                <w:rFonts w:asciiTheme="minorHAnsi" w:hAnsiTheme="minorHAnsi" w:cstheme="minorHAnsi"/>
                <w:sz w:val="20"/>
                <w:szCs w:val="20"/>
                <w:lang w:val="en-US"/>
              </w:rPr>
              <w:t>470.9</w:t>
            </w:r>
          </w:p>
        </w:tc>
        <w:tc>
          <w:tcPr>
            <w:tcW w:w="1386" w:type="dxa"/>
            <w:tcBorders>
              <w:top w:val="nil"/>
              <w:left w:val="nil"/>
              <w:bottom w:val="single" w:sz="4" w:space="0" w:color="auto"/>
              <w:right w:val="nil"/>
            </w:tcBorders>
            <w:vAlign w:val="bottom"/>
          </w:tcPr>
          <w:p w14:paraId="7E59FA35" w14:textId="14C5F949"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lang w:val="en-US"/>
              </w:rPr>
              <w:t>363.5 </w:t>
            </w:r>
          </w:p>
        </w:tc>
        <w:tc>
          <w:tcPr>
            <w:tcW w:w="1040" w:type="dxa"/>
            <w:tcBorders>
              <w:top w:val="nil"/>
              <w:left w:val="nil"/>
              <w:bottom w:val="single" w:sz="4" w:space="0" w:color="auto"/>
              <w:right w:val="nil"/>
            </w:tcBorders>
            <w:vAlign w:val="bottom"/>
          </w:tcPr>
          <w:p w14:paraId="5CE0B3DF" w14:textId="34173BB9" w:rsidR="00577AB1" w:rsidRPr="00F01EC8" w:rsidRDefault="00577AB1" w:rsidP="00577AB1">
            <w:pPr>
              <w:jc w:val="right"/>
              <w:rPr>
                <w:rFonts w:asciiTheme="minorHAnsi" w:hAnsiTheme="minorHAnsi" w:cstheme="minorHAnsi"/>
                <w:sz w:val="20"/>
                <w:szCs w:val="20"/>
                <w:lang w:val="en-US"/>
              </w:rPr>
            </w:pPr>
            <w:r w:rsidRPr="00F01EC8">
              <w:rPr>
                <w:rFonts w:asciiTheme="minorHAnsi" w:hAnsiTheme="minorHAnsi" w:cstheme="minorHAnsi"/>
                <w:sz w:val="20"/>
                <w:szCs w:val="20"/>
                <w:lang w:val="en-US"/>
              </w:rPr>
              <w:t>292.9 </w:t>
            </w:r>
          </w:p>
        </w:tc>
      </w:tr>
      <w:tr w:rsidR="00577AB1" w:rsidRPr="00F01EC8" w14:paraId="7C7BDF96" w14:textId="77777777" w:rsidTr="00AC0A5D">
        <w:tc>
          <w:tcPr>
            <w:tcW w:w="2552" w:type="dxa"/>
            <w:vAlign w:val="bottom"/>
          </w:tcPr>
          <w:p w14:paraId="36B33B5A" w14:textId="01E065CA" w:rsidR="00577AB1" w:rsidRPr="00F01EC8" w:rsidRDefault="00577AB1" w:rsidP="00577AB1">
            <w:pPr>
              <w:rPr>
                <w:rFonts w:asciiTheme="minorHAnsi" w:hAnsiTheme="minorHAnsi" w:cs="Arial"/>
                <w:b/>
                <w:sz w:val="20"/>
                <w:szCs w:val="20"/>
              </w:rPr>
            </w:pPr>
            <w:r w:rsidRPr="00F01EC8">
              <w:rPr>
                <w:rFonts w:asciiTheme="minorHAnsi" w:hAnsiTheme="minorHAnsi" w:cs="Arial"/>
                <w:b/>
                <w:sz w:val="20"/>
                <w:szCs w:val="20"/>
              </w:rPr>
              <w:t>Total before intra-</w:t>
            </w:r>
            <w:r w:rsidR="005714EF">
              <w:rPr>
                <w:rFonts w:asciiTheme="minorHAnsi" w:hAnsiTheme="minorHAnsi" w:cs="Arial"/>
                <w:b/>
                <w:sz w:val="20"/>
                <w:szCs w:val="20"/>
              </w:rPr>
              <w:t>G</w:t>
            </w:r>
            <w:r w:rsidRPr="00F01EC8">
              <w:rPr>
                <w:rFonts w:asciiTheme="minorHAnsi" w:hAnsiTheme="minorHAnsi" w:cs="Arial"/>
                <w:b/>
                <w:sz w:val="20"/>
                <w:szCs w:val="20"/>
              </w:rPr>
              <w:t>roup elimination</w:t>
            </w:r>
          </w:p>
        </w:tc>
        <w:tc>
          <w:tcPr>
            <w:tcW w:w="1276" w:type="dxa"/>
            <w:tcBorders>
              <w:top w:val="single" w:sz="4" w:space="0" w:color="auto"/>
            </w:tcBorders>
            <w:vAlign w:val="bottom"/>
          </w:tcPr>
          <w:p w14:paraId="14F8B49A" w14:textId="4F3E4D7C"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3,626.6</w:t>
            </w:r>
          </w:p>
        </w:tc>
        <w:tc>
          <w:tcPr>
            <w:tcW w:w="1417" w:type="dxa"/>
            <w:tcBorders>
              <w:top w:val="single" w:sz="4" w:space="0" w:color="auto"/>
            </w:tcBorders>
            <w:vAlign w:val="bottom"/>
          </w:tcPr>
          <w:p w14:paraId="243547AC" w14:textId="2CB7B90C"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3,158.7 </w:t>
            </w:r>
          </w:p>
        </w:tc>
        <w:tc>
          <w:tcPr>
            <w:tcW w:w="1134" w:type="dxa"/>
            <w:tcBorders>
              <w:top w:val="single" w:sz="4" w:space="0" w:color="auto"/>
            </w:tcBorders>
            <w:vAlign w:val="bottom"/>
          </w:tcPr>
          <w:p w14:paraId="2B0B4F27" w14:textId="1238DBA9"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3,214.1 </w:t>
            </w:r>
          </w:p>
        </w:tc>
        <w:tc>
          <w:tcPr>
            <w:tcW w:w="1134" w:type="dxa"/>
            <w:tcBorders>
              <w:top w:val="single" w:sz="4" w:space="0" w:color="auto"/>
              <w:left w:val="nil"/>
              <w:right w:val="nil"/>
            </w:tcBorders>
            <w:vAlign w:val="bottom"/>
          </w:tcPr>
          <w:p w14:paraId="6BE85173" w14:textId="0A4C1227"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747.9</w:t>
            </w:r>
          </w:p>
        </w:tc>
        <w:tc>
          <w:tcPr>
            <w:tcW w:w="1386" w:type="dxa"/>
            <w:tcBorders>
              <w:top w:val="single" w:sz="4" w:space="0" w:color="auto"/>
              <w:left w:val="nil"/>
              <w:right w:val="nil"/>
            </w:tcBorders>
            <w:vAlign w:val="bottom"/>
          </w:tcPr>
          <w:p w14:paraId="4A899127" w14:textId="3F361C73"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740.5 </w:t>
            </w:r>
          </w:p>
        </w:tc>
        <w:tc>
          <w:tcPr>
            <w:tcW w:w="1040" w:type="dxa"/>
            <w:tcBorders>
              <w:top w:val="single" w:sz="4" w:space="0" w:color="auto"/>
              <w:left w:val="nil"/>
              <w:right w:val="nil"/>
            </w:tcBorders>
            <w:vAlign w:val="bottom"/>
          </w:tcPr>
          <w:p w14:paraId="1A92600F" w14:textId="55E59223"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698.1 </w:t>
            </w:r>
          </w:p>
        </w:tc>
      </w:tr>
      <w:tr w:rsidR="00577AB1" w:rsidRPr="00F01EC8" w14:paraId="49AFD776" w14:textId="77777777" w:rsidTr="00AC0A5D">
        <w:tc>
          <w:tcPr>
            <w:tcW w:w="2552" w:type="dxa"/>
            <w:vAlign w:val="bottom"/>
          </w:tcPr>
          <w:p w14:paraId="373D69EA" w14:textId="77777777" w:rsidR="00577AB1" w:rsidRPr="00F01EC8" w:rsidRDefault="00577AB1" w:rsidP="00577AB1">
            <w:pPr>
              <w:rPr>
                <w:rFonts w:asciiTheme="minorHAnsi" w:hAnsiTheme="minorHAnsi" w:cs="Arial"/>
                <w:sz w:val="20"/>
                <w:szCs w:val="20"/>
              </w:rPr>
            </w:pPr>
            <w:r w:rsidRPr="00F01EC8">
              <w:rPr>
                <w:rFonts w:asciiTheme="minorHAnsi" w:hAnsiTheme="minorHAnsi" w:cs="Arial"/>
                <w:sz w:val="20"/>
                <w:szCs w:val="20"/>
              </w:rPr>
              <w:t>Intra-group elimination</w:t>
            </w:r>
          </w:p>
        </w:tc>
        <w:tc>
          <w:tcPr>
            <w:tcW w:w="1276" w:type="dxa"/>
            <w:tcBorders>
              <w:bottom w:val="single" w:sz="4" w:space="0" w:color="auto"/>
            </w:tcBorders>
            <w:vAlign w:val="bottom"/>
          </w:tcPr>
          <w:p w14:paraId="4A15098D" w14:textId="242F6A5C"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(309.2)</w:t>
            </w:r>
          </w:p>
        </w:tc>
        <w:tc>
          <w:tcPr>
            <w:tcW w:w="1417" w:type="dxa"/>
            <w:tcBorders>
              <w:bottom w:val="single" w:sz="4" w:space="0" w:color="auto"/>
            </w:tcBorders>
            <w:vAlign w:val="bottom"/>
          </w:tcPr>
          <w:p w14:paraId="241C545F" w14:textId="1586F543"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(237.9)</w:t>
            </w:r>
          </w:p>
        </w:tc>
        <w:tc>
          <w:tcPr>
            <w:tcW w:w="1134" w:type="dxa"/>
            <w:tcBorders>
              <w:bottom w:val="single" w:sz="4" w:space="0" w:color="auto"/>
            </w:tcBorders>
            <w:vAlign w:val="bottom"/>
          </w:tcPr>
          <w:p w14:paraId="6DDD746F" w14:textId="4B97C10F"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(181.6)</w:t>
            </w:r>
          </w:p>
        </w:tc>
        <w:tc>
          <w:tcPr>
            <w:tcW w:w="1134" w:type="dxa"/>
            <w:tcBorders>
              <w:left w:val="nil"/>
              <w:bottom w:val="single" w:sz="4" w:space="0" w:color="auto"/>
              <w:right w:val="nil"/>
            </w:tcBorders>
            <w:vAlign w:val="bottom"/>
          </w:tcPr>
          <w:p w14:paraId="63C8C1CE" w14:textId="5619FCF6"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1386" w:type="dxa"/>
            <w:tcBorders>
              <w:left w:val="nil"/>
              <w:bottom w:val="single" w:sz="4" w:space="0" w:color="auto"/>
              <w:right w:val="nil"/>
            </w:tcBorders>
            <w:vAlign w:val="bottom"/>
          </w:tcPr>
          <w:p w14:paraId="27BFE2DD" w14:textId="77777777"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 </w:t>
            </w:r>
          </w:p>
        </w:tc>
        <w:tc>
          <w:tcPr>
            <w:tcW w:w="1040" w:type="dxa"/>
            <w:tcBorders>
              <w:left w:val="nil"/>
              <w:bottom w:val="single" w:sz="4" w:space="0" w:color="auto"/>
              <w:right w:val="nil"/>
            </w:tcBorders>
            <w:vAlign w:val="bottom"/>
          </w:tcPr>
          <w:p w14:paraId="076F08C3" w14:textId="5844FA97"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 </w:t>
            </w:r>
          </w:p>
        </w:tc>
      </w:tr>
      <w:tr w:rsidR="00577AB1" w:rsidRPr="00F01EC8" w14:paraId="0E293A31" w14:textId="77777777" w:rsidTr="00AC0A5D">
        <w:tc>
          <w:tcPr>
            <w:tcW w:w="2552" w:type="dxa"/>
            <w:vAlign w:val="bottom"/>
          </w:tcPr>
          <w:p w14:paraId="79E9B3AA" w14:textId="583D9B66" w:rsidR="00577AB1" w:rsidRPr="00F01EC8" w:rsidRDefault="00577AB1" w:rsidP="00577AB1">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bottom w:val="single" w:sz="12" w:space="0" w:color="auto"/>
            </w:tcBorders>
            <w:vAlign w:val="bottom"/>
          </w:tcPr>
          <w:p w14:paraId="159E6CE2" w14:textId="4A101CDE"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3,317.4</w:t>
            </w:r>
          </w:p>
        </w:tc>
        <w:tc>
          <w:tcPr>
            <w:tcW w:w="1417" w:type="dxa"/>
            <w:tcBorders>
              <w:top w:val="single" w:sz="4" w:space="0" w:color="auto"/>
              <w:bottom w:val="single" w:sz="12" w:space="0" w:color="auto"/>
            </w:tcBorders>
            <w:vAlign w:val="bottom"/>
          </w:tcPr>
          <w:p w14:paraId="79C3D1C5" w14:textId="5C0941C3"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2,920.8 </w:t>
            </w:r>
          </w:p>
        </w:tc>
        <w:tc>
          <w:tcPr>
            <w:tcW w:w="1134" w:type="dxa"/>
            <w:tcBorders>
              <w:top w:val="single" w:sz="4" w:space="0" w:color="auto"/>
              <w:bottom w:val="single" w:sz="12" w:space="0" w:color="auto"/>
            </w:tcBorders>
            <w:vAlign w:val="bottom"/>
          </w:tcPr>
          <w:p w14:paraId="68537131" w14:textId="4A213E97"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3,032.5 </w:t>
            </w:r>
          </w:p>
        </w:tc>
        <w:tc>
          <w:tcPr>
            <w:tcW w:w="1134" w:type="dxa"/>
            <w:tcBorders>
              <w:top w:val="single" w:sz="4" w:space="0" w:color="auto"/>
              <w:left w:val="nil"/>
              <w:bottom w:val="single" w:sz="12" w:space="0" w:color="auto"/>
              <w:right w:val="nil"/>
            </w:tcBorders>
            <w:vAlign w:val="bottom"/>
          </w:tcPr>
          <w:p w14:paraId="642A641A" w14:textId="236122FC" w:rsidR="00577AB1" w:rsidRPr="00F01EC8" w:rsidRDefault="002773B8" w:rsidP="00577AB1">
            <w:pPr>
              <w:jc w:val="right"/>
              <w:rPr>
                <w:rFonts w:asciiTheme="minorHAnsi" w:hAnsiTheme="minorHAnsi" w:cstheme="minorHAnsi"/>
                <w:sz w:val="20"/>
                <w:szCs w:val="20"/>
              </w:rPr>
            </w:pPr>
            <w:r w:rsidRPr="00F01EC8">
              <w:rPr>
                <w:rFonts w:asciiTheme="minorHAnsi" w:hAnsiTheme="minorHAnsi" w:cstheme="minorHAnsi"/>
                <w:sz w:val="20"/>
                <w:szCs w:val="20"/>
              </w:rPr>
              <w:t>747.9</w:t>
            </w:r>
          </w:p>
        </w:tc>
        <w:tc>
          <w:tcPr>
            <w:tcW w:w="1386" w:type="dxa"/>
            <w:tcBorders>
              <w:top w:val="single" w:sz="4" w:space="0" w:color="auto"/>
              <w:left w:val="nil"/>
              <w:bottom w:val="single" w:sz="12" w:space="0" w:color="auto"/>
              <w:right w:val="nil"/>
            </w:tcBorders>
            <w:vAlign w:val="bottom"/>
          </w:tcPr>
          <w:p w14:paraId="494F2A96" w14:textId="2C9F7434"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740.5 </w:t>
            </w:r>
          </w:p>
        </w:tc>
        <w:tc>
          <w:tcPr>
            <w:tcW w:w="1040" w:type="dxa"/>
            <w:tcBorders>
              <w:top w:val="single" w:sz="4" w:space="0" w:color="auto"/>
              <w:left w:val="nil"/>
              <w:bottom w:val="single" w:sz="12" w:space="0" w:color="auto"/>
              <w:right w:val="nil"/>
            </w:tcBorders>
            <w:vAlign w:val="bottom"/>
          </w:tcPr>
          <w:p w14:paraId="7D21A0F8" w14:textId="00760369" w:rsidR="00577AB1" w:rsidRPr="00F01EC8" w:rsidRDefault="00577AB1" w:rsidP="00577AB1">
            <w:pPr>
              <w:jc w:val="right"/>
              <w:rPr>
                <w:rFonts w:asciiTheme="minorHAnsi" w:hAnsiTheme="minorHAnsi" w:cstheme="minorHAnsi"/>
                <w:sz w:val="20"/>
                <w:szCs w:val="20"/>
              </w:rPr>
            </w:pPr>
            <w:r w:rsidRPr="00F01EC8">
              <w:rPr>
                <w:rFonts w:asciiTheme="minorHAnsi" w:hAnsiTheme="minorHAnsi" w:cstheme="minorHAnsi"/>
                <w:sz w:val="20"/>
                <w:szCs w:val="20"/>
              </w:rPr>
              <w:t>698.1 </w:t>
            </w:r>
          </w:p>
        </w:tc>
      </w:tr>
    </w:tbl>
    <w:p w14:paraId="5EAA1316"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366C46E8" w14:textId="03601431" w:rsidR="00F36267" w:rsidRPr="00F01EC8" w:rsidRDefault="00F36267" w:rsidP="00F3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bookmarkStart w:id="25" w:name="_Hlk519840"/>
      <w:r w:rsidRPr="00F01EC8">
        <w:rPr>
          <w:rFonts w:asciiTheme="minorHAnsi" w:hAnsiTheme="minorHAnsi" w:cs="Arial"/>
          <w:sz w:val="20"/>
          <w:szCs w:val="20"/>
        </w:rPr>
        <w:t xml:space="preserve">The presentation of segment net assets reflects the statutory assets, liabilities and net assets of each of the </w:t>
      </w:r>
      <w:r w:rsidR="005714EF">
        <w:rPr>
          <w:rFonts w:asciiTheme="minorHAnsi" w:hAnsiTheme="minorHAnsi" w:cs="Arial"/>
          <w:sz w:val="20"/>
          <w:szCs w:val="20"/>
        </w:rPr>
        <w:t>G</w:t>
      </w:r>
      <w:r w:rsidRPr="00F01EC8">
        <w:rPr>
          <w:rFonts w:asciiTheme="minorHAnsi" w:hAnsiTheme="minorHAnsi" w:cs="Arial"/>
          <w:sz w:val="20"/>
          <w:szCs w:val="20"/>
        </w:rPr>
        <w:t xml:space="preserve">roup’s divisions. This results in an intra </w:t>
      </w:r>
      <w:r w:rsidR="005714EF">
        <w:rPr>
          <w:rFonts w:asciiTheme="minorHAnsi" w:hAnsiTheme="minorHAnsi" w:cs="Arial"/>
          <w:sz w:val="20"/>
          <w:szCs w:val="20"/>
        </w:rPr>
        <w:t>G</w:t>
      </w:r>
      <w:r w:rsidRPr="00F01EC8">
        <w:rPr>
          <w:rFonts w:asciiTheme="minorHAnsi" w:hAnsiTheme="minorHAnsi" w:cs="Arial"/>
          <w:sz w:val="20"/>
          <w:szCs w:val="20"/>
        </w:rPr>
        <w:t xml:space="preserve">roup elimination reflecting the difference between the central intercompany funding provided to the divisions and the external funding raised centrally. </w:t>
      </w:r>
    </w:p>
    <w:bookmarkEnd w:id="25"/>
    <w:p w14:paraId="6693B37D" w14:textId="77777777" w:rsidR="00DA6694" w:rsidRPr="00F01EC8" w:rsidRDefault="00DA6694" w:rsidP="00DA6694">
      <w:pPr>
        <w:jc w:val="both"/>
        <w:rPr>
          <w:rFonts w:asciiTheme="minorHAnsi" w:hAnsiTheme="minorHAnsi" w:cs="Arial"/>
          <w:sz w:val="20"/>
          <w:szCs w:val="20"/>
        </w:rPr>
      </w:pPr>
    </w:p>
    <w:p w14:paraId="4B59AA69" w14:textId="5727A5AF" w:rsidR="00DA6694"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The </w:t>
      </w:r>
      <w:r w:rsidR="005714EF">
        <w:rPr>
          <w:rFonts w:asciiTheme="minorHAnsi" w:hAnsiTheme="minorHAnsi" w:cs="Arial"/>
          <w:sz w:val="20"/>
          <w:szCs w:val="20"/>
        </w:rPr>
        <w:t>G</w:t>
      </w:r>
      <w:r w:rsidRPr="00F01EC8">
        <w:rPr>
          <w:rFonts w:asciiTheme="minorHAnsi" w:hAnsiTheme="minorHAnsi" w:cs="Arial"/>
          <w:sz w:val="20"/>
          <w:szCs w:val="20"/>
        </w:rPr>
        <w:t xml:space="preserve">roup’s businesses operate in the UK and Republic of Ireland. </w:t>
      </w:r>
    </w:p>
    <w:p w14:paraId="270BFCB3" w14:textId="77777777" w:rsidR="002303EB" w:rsidRPr="00F01EC8" w:rsidRDefault="002303EB"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9167F2D" w14:textId="77777777" w:rsidR="00DA6694" w:rsidRPr="00F01EC8" w:rsidRDefault="00DA6694" w:rsidP="00DA6694">
      <w:pPr>
        <w:ind w:left="567" w:hanging="567"/>
        <w:rPr>
          <w:rStyle w:val="bodycopynumber"/>
          <w:rFonts w:asciiTheme="minorHAnsi" w:hAnsiTheme="minorHAnsi" w:cs="Arial"/>
          <w:b/>
          <w:bCs/>
          <w:sz w:val="20"/>
          <w:szCs w:val="20"/>
        </w:rPr>
      </w:pPr>
      <w:r w:rsidRPr="00F01EC8">
        <w:rPr>
          <w:rStyle w:val="bodycopynumber"/>
          <w:rFonts w:asciiTheme="minorHAnsi" w:hAnsiTheme="minorHAnsi" w:cs="Arial"/>
          <w:b/>
          <w:bCs/>
          <w:sz w:val="20"/>
          <w:szCs w:val="20"/>
          <w:lang w:val="en-US" w:eastAsia="en-US"/>
        </w:rPr>
        <w:lastRenderedPageBreak/>
        <w:t>5.</w:t>
      </w:r>
      <w:r w:rsidRPr="00F01EC8">
        <w:rPr>
          <w:rStyle w:val="bodycopynumber"/>
          <w:rFonts w:asciiTheme="minorHAnsi" w:hAnsiTheme="minorHAnsi" w:cs="Arial"/>
          <w:b/>
          <w:bCs/>
          <w:sz w:val="20"/>
          <w:szCs w:val="20"/>
          <w:lang w:val="en-US" w:eastAsia="en-US"/>
        </w:rPr>
        <w:tab/>
        <w:t>Tax</w:t>
      </w:r>
      <w:r w:rsidRPr="00F01EC8">
        <w:rPr>
          <w:rStyle w:val="bodycopynumber"/>
          <w:rFonts w:asciiTheme="minorHAnsi" w:hAnsiTheme="minorHAnsi" w:cs="Arial"/>
          <w:b/>
          <w:bCs/>
          <w:sz w:val="20"/>
          <w:szCs w:val="20"/>
        </w:rPr>
        <w:t xml:space="preserve"> charge</w:t>
      </w:r>
    </w:p>
    <w:p w14:paraId="3F199FB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copynumber"/>
          <w:rFonts w:asciiTheme="minorHAnsi" w:hAnsiTheme="minorHAnsi" w:cs="Arial"/>
          <w:b/>
          <w:bCs/>
          <w:sz w:val="20"/>
          <w:szCs w:val="20"/>
        </w:rPr>
      </w:pPr>
    </w:p>
    <w:p w14:paraId="10EA7498" w14:textId="2DD9D0E7" w:rsidR="00E07F9D" w:rsidRPr="00F01EC8" w:rsidRDefault="00DA6694" w:rsidP="00082465">
      <w:pPr>
        <w:jc w:val="both"/>
        <w:rPr>
          <w:rFonts w:asciiTheme="minorHAnsi" w:hAnsiTheme="minorHAnsi"/>
          <w:sz w:val="20"/>
          <w:szCs w:val="20"/>
        </w:rPr>
      </w:pPr>
      <w:r w:rsidRPr="00F01EC8">
        <w:rPr>
          <w:rFonts w:asciiTheme="minorHAnsi" w:hAnsiTheme="minorHAnsi" w:cs="Arial"/>
          <w:sz w:val="20"/>
          <w:szCs w:val="20"/>
        </w:rPr>
        <w:t xml:space="preserve">The tax </w:t>
      </w:r>
      <w:r w:rsidR="00BF6D6D" w:rsidRPr="00F01EC8">
        <w:rPr>
          <w:rFonts w:asciiTheme="minorHAnsi" w:hAnsiTheme="minorHAnsi" w:cs="Arial"/>
          <w:sz w:val="20"/>
          <w:szCs w:val="20"/>
        </w:rPr>
        <w:t>credit/</w:t>
      </w:r>
      <w:r w:rsidR="00D45128" w:rsidRPr="00F01EC8">
        <w:rPr>
          <w:rFonts w:asciiTheme="minorHAnsi" w:hAnsiTheme="minorHAnsi" w:cs="Arial"/>
          <w:sz w:val="20"/>
          <w:szCs w:val="20"/>
        </w:rPr>
        <w:t>(</w:t>
      </w:r>
      <w:r w:rsidRPr="00F01EC8">
        <w:rPr>
          <w:rFonts w:asciiTheme="minorHAnsi" w:hAnsiTheme="minorHAnsi" w:cs="Arial"/>
          <w:sz w:val="20"/>
          <w:szCs w:val="20"/>
        </w:rPr>
        <w:t>charge</w:t>
      </w:r>
      <w:r w:rsidR="00D45128" w:rsidRPr="00F01EC8">
        <w:rPr>
          <w:rFonts w:asciiTheme="minorHAnsi" w:hAnsiTheme="minorHAnsi" w:cs="Arial"/>
          <w:sz w:val="20"/>
          <w:szCs w:val="20"/>
        </w:rPr>
        <w:t>)</w:t>
      </w:r>
      <w:r w:rsidRPr="00F01EC8">
        <w:rPr>
          <w:rFonts w:asciiTheme="minorHAnsi" w:hAnsiTheme="minorHAnsi" w:cs="Arial"/>
          <w:sz w:val="20"/>
          <w:szCs w:val="20"/>
        </w:rPr>
        <w:t xml:space="preserve"> for the period has been calculated by applying the best estimate of the effective tax rate for the financial year of </w:t>
      </w:r>
      <w:r w:rsidR="00BF6D6D" w:rsidRPr="00F01EC8">
        <w:rPr>
          <w:rFonts w:asciiTheme="minorHAnsi" w:hAnsiTheme="minorHAnsi" w:cs="Arial"/>
          <w:sz w:val="20"/>
          <w:szCs w:val="20"/>
        </w:rPr>
        <w:t>21.4</w:t>
      </w:r>
      <w:r w:rsidRPr="00F01EC8">
        <w:rPr>
          <w:rFonts w:asciiTheme="minorHAnsi" w:hAnsiTheme="minorHAnsi" w:cs="Arial"/>
          <w:sz w:val="20"/>
          <w:szCs w:val="20"/>
        </w:rPr>
        <w:t>% (201</w:t>
      </w:r>
      <w:r w:rsidR="00B935BC" w:rsidRPr="00F01EC8">
        <w:rPr>
          <w:rFonts w:asciiTheme="minorHAnsi" w:hAnsiTheme="minorHAnsi" w:cs="Arial"/>
          <w:sz w:val="20"/>
          <w:szCs w:val="20"/>
        </w:rPr>
        <w:t>9</w:t>
      </w:r>
      <w:r w:rsidRPr="00F01EC8">
        <w:rPr>
          <w:rFonts w:asciiTheme="minorHAnsi" w:hAnsiTheme="minorHAnsi" w:cs="Arial"/>
          <w:sz w:val="20"/>
          <w:szCs w:val="20"/>
        </w:rPr>
        <w:t xml:space="preserve">: </w:t>
      </w:r>
      <w:r w:rsidR="00B935BC" w:rsidRPr="00F01EC8">
        <w:rPr>
          <w:rFonts w:asciiTheme="minorHAnsi" w:hAnsiTheme="minorHAnsi" w:cs="Arial"/>
          <w:sz w:val="20"/>
          <w:szCs w:val="20"/>
        </w:rPr>
        <w:t>26.3</w:t>
      </w:r>
      <w:r w:rsidRPr="00F01EC8">
        <w:rPr>
          <w:rFonts w:asciiTheme="minorHAnsi" w:hAnsiTheme="minorHAnsi" w:cs="Arial"/>
          <w:sz w:val="20"/>
          <w:szCs w:val="20"/>
        </w:rPr>
        <w:t xml:space="preserve">%), to the </w:t>
      </w:r>
      <w:r w:rsidR="00BF6D6D" w:rsidRPr="00F01EC8">
        <w:rPr>
          <w:rFonts w:asciiTheme="minorHAnsi" w:hAnsiTheme="minorHAnsi" w:cs="Arial"/>
          <w:sz w:val="20"/>
          <w:szCs w:val="20"/>
        </w:rPr>
        <w:t>(loss)/</w:t>
      </w:r>
      <w:r w:rsidRPr="00F01EC8">
        <w:rPr>
          <w:rFonts w:asciiTheme="minorHAnsi" w:hAnsiTheme="minorHAnsi" w:cs="Arial"/>
          <w:sz w:val="20"/>
          <w:szCs w:val="20"/>
        </w:rPr>
        <w:t xml:space="preserve">profit before tax, amortisation of acquisition intangibles and exceptional items for the period. </w:t>
      </w:r>
      <w:r w:rsidR="00D061DA" w:rsidRPr="00F01EC8">
        <w:rPr>
          <w:rFonts w:asciiTheme="minorHAnsi" w:hAnsiTheme="minorHAnsi" w:cs="Arial"/>
          <w:sz w:val="20"/>
          <w:szCs w:val="20"/>
        </w:rPr>
        <w:t>This</w:t>
      </w:r>
      <w:r w:rsidRPr="00F01EC8">
        <w:rPr>
          <w:rFonts w:asciiTheme="minorHAnsi" w:hAnsiTheme="minorHAnsi" w:cs="Arial"/>
          <w:sz w:val="20"/>
          <w:szCs w:val="20"/>
        </w:rPr>
        <w:t xml:space="preserve"> reflects the impact of the bank corporation tax surcharge of 8% which applies to Vanquis Bank profits in excess of £25m.</w:t>
      </w:r>
      <w:r w:rsidR="00FE3BBA" w:rsidRPr="00F01EC8">
        <w:rPr>
          <w:rFonts w:asciiTheme="minorHAnsi" w:hAnsiTheme="minorHAnsi" w:cs="Arial"/>
          <w:sz w:val="20"/>
          <w:szCs w:val="20"/>
        </w:rPr>
        <w:t xml:space="preserve"> </w:t>
      </w:r>
      <w:r w:rsidR="00D061DA" w:rsidRPr="00F01EC8">
        <w:rPr>
          <w:rFonts w:asciiTheme="minorHAnsi" w:hAnsiTheme="minorHAnsi" w:cs="Arial"/>
          <w:sz w:val="20"/>
          <w:szCs w:val="20"/>
        </w:rPr>
        <w:t>It also reflects (i) the beneficial impact of measuring deferred tax assets at 19% (2019: 17%), and in the case of Vanquis Bank at 27% (2019: 25%), following the announcement in the March 2020 Budget that the rate of mainstream UK corporation tax would remain at 19% from 1 April 2020 rather than the previously enacted rate of 17%; (ii) the benefit of the release of part of the provision for uncertain tax liabilities which is no longer required; and (i</w:t>
      </w:r>
      <w:r w:rsidR="00224E43">
        <w:rPr>
          <w:rFonts w:asciiTheme="minorHAnsi" w:hAnsiTheme="minorHAnsi" w:cs="Arial"/>
          <w:sz w:val="20"/>
          <w:szCs w:val="20"/>
        </w:rPr>
        <w:t>i</w:t>
      </w:r>
      <w:r w:rsidR="00D061DA" w:rsidRPr="00F01EC8">
        <w:rPr>
          <w:rFonts w:asciiTheme="minorHAnsi" w:hAnsiTheme="minorHAnsi" w:cs="Arial"/>
          <w:sz w:val="20"/>
          <w:szCs w:val="20"/>
        </w:rPr>
        <w:t>i) the adverse impact of the write off of deferred tax assets related to share awards reflecting the reduction in expected tax relief as a result of the lower share price and expected level of vesting.</w:t>
      </w:r>
      <w:r w:rsidR="00E07F9D" w:rsidRPr="00F01EC8">
        <w:rPr>
          <w:rFonts w:asciiTheme="minorHAnsi" w:hAnsiTheme="minorHAnsi" w:cs="Arial"/>
          <w:sz w:val="20"/>
          <w:szCs w:val="20"/>
        </w:rPr>
        <w:t xml:space="preserve"> The tax rate also reflects the recognition of deferred tax assets in respect of losses and other temporary differences on the basis that the </w:t>
      </w:r>
      <w:r w:rsidR="005714EF">
        <w:rPr>
          <w:rFonts w:asciiTheme="minorHAnsi" w:hAnsiTheme="minorHAnsi" w:cs="Arial"/>
          <w:sz w:val="20"/>
          <w:szCs w:val="20"/>
        </w:rPr>
        <w:t>G</w:t>
      </w:r>
      <w:r w:rsidR="00E07F9D" w:rsidRPr="00F01EC8">
        <w:rPr>
          <w:rFonts w:asciiTheme="minorHAnsi" w:hAnsiTheme="minorHAnsi" w:cs="Arial"/>
          <w:sz w:val="20"/>
          <w:szCs w:val="20"/>
        </w:rPr>
        <w:t>roup is expected to have sufficient taxable profits available in the future to enable such deferred tax assets to be recovered.</w:t>
      </w:r>
    </w:p>
    <w:p w14:paraId="41E5FBF4" w14:textId="534A8206" w:rsidR="00FE3BBA" w:rsidRPr="00F01EC8" w:rsidRDefault="00FE3BBA">
      <w:pPr>
        <w:pStyle w:val="bodycopy"/>
        <w:spacing w:after="0" w:line="240" w:lineRule="auto"/>
        <w:jc w:val="both"/>
        <w:rPr>
          <w:rFonts w:asciiTheme="minorHAnsi" w:hAnsiTheme="minorHAnsi"/>
          <w:color w:val="FF0000"/>
          <w:sz w:val="20"/>
        </w:rPr>
      </w:pPr>
    </w:p>
    <w:p w14:paraId="7A14691F" w14:textId="403C208F" w:rsidR="00DA6694" w:rsidRPr="00F01EC8" w:rsidRDefault="005A75D9" w:rsidP="00DA6694">
      <w:pPr>
        <w:jc w:val="both"/>
        <w:rPr>
          <w:rFonts w:asciiTheme="minorHAnsi" w:hAnsiTheme="minorHAnsi" w:cs="Arial"/>
          <w:sz w:val="20"/>
          <w:szCs w:val="20"/>
        </w:rPr>
      </w:pPr>
      <w:r w:rsidRPr="00F01EC8">
        <w:rPr>
          <w:rFonts w:asciiTheme="minorHAnsi" w:hAnsiTheme="minorHAnsi" w:cs="Arial"/>
          <w:sz w:val="20"/>
          <w:szCs w:val="20"/>
        </w:rPr>
        <w:t xml:space="preserve">The tax charge </w:t>
      </w:r>
      <w:r w:rsidR="00C845C0" w:rsidRPr="00F01EC8">
        <w:rPr>
          <w:rFonts w:asciiTheme="minorHAnsi" w:hAnsiTheme="minorHAnsi" w:cs="Arial"/>
          <w:sz w:val="20"/>
          <w:szCs w:val="20"/>
        </w:rPr>
        <w:t>in respect of the exceptional credit</w:t>
      </w:r>
      <w:r w:rsidRPr="00F01EC8">
        <w:rPr>
          <w:rFonts w:asciiTheme="minorHAnsi" w:hAnsiTheme="minorHAnsi" w:cs="Arial"/>
          <w:sz w:val="20"/>
          <w:szCs w:val="20"/>
        </w:rPr>
        <w:t xml:space="preserve"> in 2020 amounts to £2.</w:t>
      </w:r>
      <w:r w:rsidR="00C845C0" w:rsidRPr="00F01EC8">
        <w:rPr>
          <w:rFonts w:asciiTheme="minorHAnsi" w:hAnsiTheme="minorHAnsi" w:cs="Arial"/>
          <w:sz w:val="20"/>
          <w:szCs w:val="20"/>
        </w:rPr>
        <w:t>2</w:t>
      </w:r>
      <w:r w:rsidRPr="00F01EC8">
        <w:rPr>
          <w:rFonts w:asciiTheme="minorHAnsi" w:hAnsiTheme="minorHAnsi" w:cs="Arial"/>
          <w:sz w:val="20"/>
          <w:szCs w:val="20"/>
        </w:rPr>
        <w:t xml:space="preserve">m which represents tax at the combined mainstream corporation tax rate and bank corporation tax surcharge rate of 27% in respect of the £8.3m exceptional release of provisions established in 2017 following the </w:t>
      </w:r>
      <w:r w:rsidR="00E07F9D" w:rsidRPr="00F01EC8">
        <w:rPr>
          <w:rFonts w:asciiTheme="minorHAnsi" w:hAnsiTheme="minorHAnsi" w:cs="Arial"/>
          <w:sz w:val="20"/>
          <w:szCs w:val="20"/>
        </w:rPr>
        <w:t xml:space="preserve">completion of the ROP refund programme in 2019 and the </w:t>
      </w:r>
      <w:r w:rsidRPr="00F01EC8">
        <w:rPr>
          <w:rFonts w:asciiTheme="minorHAnsi" w:hAnsiTheme="minorHAnsi" w:cs="Arial"/>
          <w:sz w:val="20"/>
          <w:szCs w:val="20"/>
        </w:rPr>
        <w:t>re-evaluation of the forward flow of claims that may arise in respect of ROP complaints</w:t>
      </w:r>
      <w:r w:rsidR="00D061DA" w:rsidRPr="00F01EC8">
        <w:rPr>
          <w:rFonts w:asciiTheme="minorHAnsi" w:hAnsiTheme="minorHAnsi" w:cs="Arial"/>
          <w:sz w:val="20"/>
          <w:szCs w:val="20"/>
        </w:rPr>
        <w:t xml:space="preserve"> more generally</w:t>
      </w:r>
      <w:r w:rsidRPr="00F01EC8">
        <w:rPr>
          <w:rFonts w:asciiTheme="minorHAnsi" w:hAnsiTheme="minorHAnsi" w:cs="Arial"/>
          <w:sz w:val="20"/>
          <w:szCs w:val="20"/>
        </w:rPr>
        <w:t>. The tax c</w:t>
      </w:r>
      <w:r w:rsidR="00C845C0" w:rsidRPr="00F01EC8">
        <w:rPr>
          <w:rFonts w:asciiTheme="minorHAnsi" w:hAnsiTheme="minorHAnsi" w:cs="Arial"/>
          <w:sz w:val="20"/>
          <w:szCs w:val="20"/>
        </w:rPr>
        <w:t xml:space="preserve">redit </w:t>
      </w:r>
      <w:r w:rsidRPr="00F01EC8">
        <w:rPr>
          <w:rFonts w:asciiTheme="minorHAnsi" w:hAnsiTheme="minorHAnsi" w:cs="Arial"/>
          <w:sz w:val="20"/>
          <w:szCs w:val="20"/>
        </w:rPr>
        <w:t xml:space="preserve">in </w:t>
      </w:r>
      <w:r w:rsidR="00DA6694" w:rsidRPr="00F01EC8">
        <w:rPr>
          <w:rFonts w:asciiTheme="minorHAnsi" w:hAnsiTheme="minorHAnsi" w:cs="Arial"/>
          <w:sz w:val="20"/>
          <w:szCs w:val="20"/>
        </w:rPr>
        <w:t>201</w:t>
      </w:r>
      <w:r w:rsidR="00B935BC" w:rsidRPr="00F01EC8">
        <w:rPr>
          <w:rFonts w:asciiTheme="minorHAnsi" w:hAnsiTheme="minorHAnsi" w:cs="Arial"/>
          <w:sz w:val="20"/>
          <w:szCs w:val="20"/>
        </w:rPr>
        <w:t>9</w:t>
      </w:r>
      <w:r w:rsidR="00DA6694" w:rsidRPr="00F01EC8">
        <w:rPr>
          <w:rFonts w:asciiTheme="minorHAnsi" w:hAnsiTheme="minorHAnsi" w:cs="Arial"/>
          <w:sz w:val="20"/>
          <w:szCs w:val="20"/>
        </w:rPr>
        <w:t xml:space="preserve"> in respect of exceptional costs </w:t>
      </w:r>
      <w:r w:rsidRPr="00F01EC8">
        <w:rPr>
          <w:rFonts w:asciiTheme="minorHAnsi" w:hAnsiTheme="minorHAnsi" w:cs="Arial"/>
          <w:sz w:val="20"/>
          <w:szCs w:val="20"/>
        </w:rPr>
        <w:t xml:space="preserve">amounted to </w:t>
      </w:r>
      <w:r w:rsidR="00DA6694" w:rsidRPr="00F01EC8">
        <w:rPr>
          <w:rFonts w:asciiTheme="minorHAnsi" w:hAnsiTheme="minorHAnsi" w:cs="Arial"/>
          <w:sz w:val="20"/>
          <w:szCs w:val="20"/>
        </w:rPr>
        <w:t>£</w:t>
      </w:r>
      <w:r w:rsidR="00B935BC" w:rsidRPr="00F01EC8">
        <w:rPr>
          <w:rFonts w:asciiTheme="minorHAnsi" w:hAnsiTheme="minorHAnsi" w:cs="Arial"/>
          <w:sz w:val="20"/>
          <w:szCs w:val="20"/>
        </w:rPr>
        <w:t>2</w:t>
      </w:r>
      <w:r w:rsidR="00DA6694" w:rsidRPr="00F01EC8">
        <w:rPr>
          <w:rFonts w:asciiTheme="minorHAnsi" w:hAnsiTheme="minorHAnsi" w:cs="Arial"/>
          <w:sz w:val="20"/>
          <w:szCs w:val="20"/>
        </w:rPr>
        <w:t>.0m and represent</w:t>
      </w:r>
      <w:r w:rsidRPr="00F01EC8">
        <w:rPr>
          <w:rFonts w:asciiTheme="minorHAnsi" w:hAnsiTheme="minorHAnsi" w:cs="Arial"/>
          <w:sz w:val="20"/>
          <w:szCs w:val="20"/>
        </w:rPr>
        <w:t>ed</w:t>
      </w:r>
      <w:r w:rsidR="00DA6694" w:rsidRPr="00F01EC8">
        <w:rPr>
          <w:rFonts w:asciiTheme="minorHAnsi" w:hAnsiTheme="minorHAnsi" w:cs="Arial"/>
          <w:sz w:val="20"/>
          <w:szCs w:val="20"/>
        </w:rPr>
        <w:t>: (i) tax relief of £1.9m in respect of the exceptio</w:t>
      </w:r>
      <w:r w:rsidRPr="00F01EC8">
        <w:rPr>
          <w:rFonts w:asciiTheme="minorHAnsi" w:hAnsiTheme="minorHAnsi" w:cs="Arial"/>
          <w:sz w:val="20"/>
          <w:szCs w:val="20"/>
        </w:rPr>
        <w:t>nal restructuring costs in CCD</w:t>
      </w:r>
      <w:r w:rsidR="00DA6694" w:rsidRPr="00F01EC8">
        <w:rPr>
          <w:rFonts w:asciiTheme="minorHAnsi" w:hAnsiTheme="minorHAnsi" w:cs="Arial"/>
          <w:sz w:val="20"/>
          <w:szCs w:val="20"/>
        </w:rPr>
        <w:t xml:space="preserve">; and (ii) tax relief of £0.1m in respect of exceptional costs associated with the defence of </w:t>
      </w:r>
      <w:r w:rsidR="00A83759" w:rsidRPr="00F01EC8">
        <w:rPr>
          <w:rFonts w:asciiTheme="minorHAnsi" w:hAnsiTheme="minorHAnsi" w:cs="Arial"/>
          <w:sz w:val="20"/>
          <w:szCs w:val="20"/>
        </w:rPr>
        <w:t>the unsolicited offer from NSF.</w:t>
      </w:r>
      <w:r w:rsidR="00DA6694" w:rsidRPr="00F01EC8">
        <w:rPr>
          <w:rFonts w:asciiTheme="minorHAnsi" w:hAnsiTheme="minorHAnsi" w:cs="Arial"/>
          <w:sz w:val="20"/>
          <w:szCs w:val="20"/>
        </w:rPr>
        <w:t xml:space="preserve"> </w:t>
      </w:r>
    </w:p>
    <w:p w14:paraId="0D565BDD" w14:textId="77777777" w:rsidR="00D061DA" w:rsidRPr="00F01EC8" w:rsidRDefault="00D061DA" w:rsidP="00DA6694">
      <w:pPr>
        <w:jc w:val="both"/>
        <w:rPr>
          <w:rFonts w:asciiTheme="minorHAnsi" w:hAnsiTheme="minorHAnsi" w:cs="Arial"/>
          <w:sz w:val="20"/>
          <w:szCs w:val="20"/>
        </w:rPr>
      </w:pPr>
    </w:p>
    <w:p w14:paraId="6A2A03F8" w14:textId="47C51FA7" w:rsidR="00D061DA" w:rsidRPr="00F01EC8" w:rsidRDefault="00D061DA" w:rsidP="00054543">
      <w:pPr>
        <w:jc w:val="both"/>
        <w:rPr>
          <w:rFonts w:asciiTheme="minorHAnsi" w:hAnsiTheme="minorHAnsi" w:cs="Arial"/>
          <w:sz w:val="20"/>
          <w:szCs w:val="20"/>
        </w:rPr>
      </w:pPr>
      <w:r w:rsidRPr="00F01EC8">
        <w:rPr>
          <w:rFonts w:asciiTheme="minorHAnsi" w:hAnsiTheme="minorHAnsi" w:cs="Arial"/>
          <w:sz w:val="20"/>
          <w:szCs w:val="20"/>
        </w:rPr>
        <w:t>The tax credit in respect of the amortisation of acquisition intangibles amounts to £0.1m (2019: £0.7m) and represents a tax credit of £0.7m in respect of the amortisation net of the impact of measuring the related deferred tax liability at 19% (2019: 17%) following the announcement that the rate of mainstream UK corporation tax will remain at 19% from 1 April 2020 rather than the previously enacted rate of 17%, which amounts to £0.6m.</w:t>
      </w:r>
    </w:p>
    <w:p w14:paraId="36614BF7" w14:textId="77777777" w:rsidR="009D39AC" w:rsidRPr="00F01EC8" w:rsidRDefault="009D39AC" w:rsidP="00DA6694">
      <w:pPr>
        <w:rPr>
          <w:rStyle w:val="bodycopynumber"/>
          <w:rFonts w:asciiTheme="minorHAnsi" w:hAnsiTheme="minorHAnsi" w:cs="Arial"/>
          <w:b/>
          <w:bCs/>
          <w:sz w:val="20"/>
          <w:szCs w:val="20"/>
        </w:rPr>
      </w:pPr>
    </w:p>
    <w:p w14:paraId="245A5170" w14:textId="3EE30D16" w:rsidR="00DA6694" w:rsidRPr="00F01EC8" w:rsidRDefault="00DA6694" w:rsidP="00DA6694">
      <w:pPr>
        <w:pStyle w:val="sectionheaderwithintext"/>
        <w:spacing w:before="0"/>
        <w:ind w:left="567" w:hanging="567"/>
        <w:jc w:val="both"/>
        <w:rPr>
          <w:rStyle w:val="bodycopynumber"/>
          <w:rFonts w:asciiTheme="minorHAnsi" w:hAnsiTheme="minorHAnsi" w:cs="Arial"/>
          <w:b/>
          <w:bCs/>
          <w:color w:val="auto"/>
          <w:sz w:val="20"/>
        </w:rPr>
      </w:pPr>
      <w:r w:rsidRPr="00F01EC8">
        <w:rPr>
          <w:rStyle w:val="bodycopynumber"/>
          <w:rFonts w:asciiTheme="minorHAnsi" w:hAnsiTheme="minorHAnsi" w:cs="Arial"/>
          <w:b/>
          <w:bCs/>
          <w:color w:val="auto"/>
          <w:sz w:val="20"/>
        </w:rPr>
        <w:t>6.</w:t>
      </w:r>
      <w:r w:rsidRPr="00F01EC8">
        <w:rPr>
          <w:rStyle w:val="bodycopynumber"/>
          <w:rFonts w:asciiTheme="minorHAnsi" w:hAnsiTheme="minorHAnsi" w:cs="Arial"/>
          <w:b/>
          <w:bCs/>
          <w:color w:val="auto"/>
          <w:sz w:val="20"/>
        </w:rPr>
        <w:tab/>
      </w:r>
      <w:r w:rsidR="00AE5765" w:rsidRPr="00F01EC8">
        <w:rPr>
          <w:rStyle w:val="bodycopynumber"/>
          <w:rFonts w:asciiTheme="minorHAnsi" w:hAnsiTheme="minorHAnsi" w:cs="Arial"/>
          <w:b/>
          <w:bCs/>
          <w:color w:val="auto"/>
          <w:sz w:val="20"/>
        </w:rPr>
        <w:t>(Loss)/</w:t>
      </w:r>
      <w:r w:rsidR="00EC48CC">
        <w:rPr>
          <w:rStyle w:val="bodycopynumber"/>
          <w:rFonts w:asciiTheme="minorHAnsi" w:hAnsiTheme="minorHAnsi" w:cs="Arial"/>
          <w:b/>
          <w:bCs/>
          <w:color w:val="auto"/>
          <w:sz w:val="20"/>
        </w:rPr>
        <w:t>e</w:t>
      </w:r>
      <w:r w:rsidRPr="00F01EC8">
        <w:rPr>
          <w:rStyle w:val="bodycopynumber"/>
          <w:rFonts w:asciiTheme="minorHAnsi" w:hAnsiTheme="minorHAnsi" w:cs="Arial"/>
          <w:b/>
          <w:bCs/>
          <w:color w:val="auto"/>
          <w:sz w:val="20"/>
        </w:rPr>
        <w:t>arnings</w:t>
      </w:r>
      <w:r w:rsidR="00AC3CF7" w:rsidRPr="00F01EC8">
        <w:rPr>
          <w:rStyle w:val="bodycopynumber"/>
          <w:rFonts w:asciiTheme="minorHAnsi" w:hAnsiTheme="minorHAnsi" w:cs="Arial"/>
          <w:b/>
          <w:bCs/>
          <w:color w:val="auto"/>
          <w:sz w:val="20"/>
        </w:rPr>
        <w:t xml:space="preserve"> </w:t>
      </w:r>
      <w:r w:rsidRPr="00F01EC8">
        <w:rPr>
          <w:rStyle w:val="bodycopynumber"/>
          <w:rFonts w:asciiTheme="minorHAnsi" w:hAnsiTheme="minorHAnsi" w:cs="Arial"/>
          <w:b/>
          <w:bCs/>
          <w:color w:val="auto"/>
          <w:sz w:val="20"/>
        </w:rPr>
        <w:t>per share</w:t>
      </w:r>
    </w:p>
    <w:p w14:paraId="5CEEE6F2" w14:textId="77777777" w:rsidR="000E4DF9" w:rsidRPr="00F01EC8" w:rsidRDefault="000E4DF9" w:rsidP="00DA6694">
      <w:pPr>
        <w:pStyle w:val="sectionheaderwithintext"/>
        <w:spacing w:before="0"/>
        <w:ind w:left="567" w:hanging="567"/>
        <w:jc w:val="both"/>
        <w:rPr>
          <w:rFonts w:asciiTheme="minorHAnsi" w:hAnsiTheme="minorHAnsi" w:cs="Arial"/>
          <w:sz w:val="20"/>
        </w:rPr>
      </w:pPr>
    </w:p>
    <w:p w14:paraId="7F1568D6" w14:textId="1591BACA"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Basic </w:t>
      </w:r>
      <w:r w:rsidR="00AE5765" w:rsidRPr="00F01EC8">
        <w:rPr>
          <w:rFonts w:asciiTheme="minorHAnsi" w:hAnsiTheme="minorHAnsi" w:cs="Arial"/>
          <w:sz w:val="20"/>
          <w:szCs w:val="20"/>
        </w:rPr>
        <w:t>(loss)/</w:t>
      </w:r>
      <w:r w:rsidRPr="00F01EC8">
        <w:rPr>
          <w:rFonts w:asciiTheme="minorHAnsi" w:hAnsiTheme="minorHAnsi" w:cs="Arial"/>
          <w:sz w:val="20"/>
          <w:szCs w:val="20"/>
        </w:rPr>
        <w:t xml:space="preserve">earnings per share is calculated by dividing the profit for the year attributable to equity shareholders by the weighted average number of ordinary shares outstanding during the year. </w:t>
      </w:r>
    </w:p>
    <w:p w14:paraId="7363DFA3"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98760D5" w14:textId="557607FA" w:rsidR="00DA6694" w:rsidRPr="00F01EC8" w:rsidRDefault="00DA6694" w:rsidP="000B1423">
      <w:pPr>
        <w:jc w:val="both"/>
        <w:rPr>
          <w:rFonts w:asciiTheme="minorHAnsi" w:hAnsiTheme="minorHAnsi" w:cs="Arial"/>
          <w:sz w:val="20"/>
          <w:szCs w:val="20"/>
        </w:rPr>
      </w:pPr>
      <w:r w:rsidRPr="00F01EC8">
        <w:rPr>
          <w:rFonts w:asciiTheme="minorHAnsi" w:hAnsiTheme="minorHAnsi" w:cs="Arial"/>
          <w:sz w:val="20"/>
          <w:szCs w:val="20"/>
        </w:rPr>
        <w:t xml:space="preserve">Diluted </w:t>
      </w:r>
      <w:r w:rsidR="00AE5765" w:rsidRPr="00F01EC8">
        <w:rPr>
          <w:rFonts w:asciiTheme="minorHAnsi" w:hAnsiTheme="minorHAnsi" w:cs="Arial"/>
          <w:sz w:val="20"/>
          <w:szCs w:val="20"/>
        </w:rPr>
        <w:t>(loss)/</w:t>
      </w:r>
      <w:r w:rsidRPr="00F01EC8">
        <w:rPr>
          <w:rFonts w:asciiTheme="minorHAnsi" w:hAnsiTheme="minorHAnsi" w:cs="Arial"/>
          <w:sz w:val="20"/>
          <w:szCs w:val="20"/>
        </w:rPr>
        <w:t xml:space="preserve">earnings per share calculates the effect on earnings per share assuming conversion of all dilutive potential ordinary shares. </w:t>
      </w:r>
      <w:r w:rsidR="000B1423" w:rsidRPr="00F01EC8">
        <w:rPr>
          <w:rFonts w:asciiTheme="minorHAnsi" w:hAnsiTheme="minorHAnsi" w:cs="Arial"/>
          <w:sz w:val="20"/>
          <w:szCs w:val="20"/>
        </w:rPr>
        <w:t xml:space="preserve">Potential ordinary shares are treated as dilutive when, and only when, their conversion to ordinary shares would decrease earnings per share or increase loss per share. </w:t>
      </w:r>
      <w:r w:rsidRPr="00F01EC8">
        <w:rPr>
          <w:rFonts w:asciiTheme="minorHAnsi" w:hAnsiTheme="minorHAnsi" w:cs="Arial"/>
          <w:sz w:val="20"/>
          <w:szCs w:val="20"/>
        </w:rPr>
        <w:t>Dilutive potential ordinary shares are calculated as follows:</w:t>
      </w:r>
    </w:p>
    <w:p w14:paraId="399AA585"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CCCA67F" w14:textId="77777777" w:rsidR="00DA6694" w:rsidRPr="00F01EC8" w:rsidRDefault="00DA6694" w:rsidP="00DA669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heme="minorHAnsi" w:hAnsiTheme="minorHAnsi" w:cs="Arial"/>
          <w:sz w:val="20"/>
          <w:szCs w:val="20"/>
        </w:rPr>
      </w:pPr>
      <w:r w:rsidRPr="00F01EC8">
        <w:rPr>
          <w:rFonts w:asciiTheme="minorHAnsi" w:hAnsiTheme="minorHAnsi" w:cs="Arial"/>
          <w:sz w:val="20"/>
          <w:szCs w:val="20"/>
        </w:rPr>
        <w:t xml:space="preserve">For share awards outstanding under performance-related share incentive schemes such as the Performance Share Plan (PSP) and the Long Term Incentive Scheme (LTIS), the number of dilutive potential ordinary shares is calculated based on the number of shares which would be issuable if: (i) the end of the reporting period is assumed to be the end of the schemes’ performance period; and (ii) the performance targets have been met as at that date. </w:t>
      </w:r>
    </w:p>
    <w:p w14:paraId="521C4568" w14:textId="61B76194" w:rsidR="00DA6694" w:rsidRPr="00F01EC8" w:rsidRDefault="00DA6694" w:rsidP="00DA669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heme="minorHAnsi" w:hAnsiTheme="minorHAnsi" w:cs="Arial"/>
          <w:sz w:val="20"/>
          <w:szCs w:val="20"/>
        </w:rPr>
      </w:pPr>
      <w:r w:rsidRPr="00F01EC8">
        <w:rPr>
          <w:rFonts w:asciiTheme="minorHAnsi" w:hAnsiTheme="minorHAnsi" w:cs="Arial"/>
          <w:sz w:val="20"/>
          <w:szCs w:val="20"/>
        </w:rPr>
        <w:t xml:space="preserve">For share options outstanding under non-performance related schemes such as the Save As You Earn scheme (SAYE), a calculation is performed to determine the number of shares that could have been acquired at fair value (determined as the average annual market share price of the </w:t>
      </w:r>
      <w:r w:rsidR="005714EF">
        <w:rPr>
          <w:rFonts w:asciiTheme="minorHAnsi" w:hAnsiTheme="minorHAnsi" w:cs="Arial"/>
          <w:sz w:val="20"/>
          <w:szCs w:val="20"/>
        </w:rPr>
        <w:t>G</w:t>
      </w:r>
      <w:r w:rsidR="007E7BEB" w:rsidRPr="00F01EC8">
        <w:rPr>
          <w:rFonts w:asciiTheme="minorHAnsi" w:hAnsiTheme="minorHAnsi" w:cs="Arial"/>
          <w:sz w:val="20"/>
          <w:szCs w:val="20"/>
        </w:rPr>
        <w:t xml:space="preserve">roup’s </w:t>
      </w:r>
      <w:r w:rsidRPr="00F01EC8">
        <w:rPr>
          <w:rFonts w:asciiTheme="minorHAnsi" w:hAnsiTheme="minorHAnsi" w:cs="Arial"/>
          <w:sz w:val="20"/>
          <w:szCs w:val="20"/>
        </w:rPr>
        <w:t>shares) based on the monetary value of the subscription rights attached to outstanding share options. The number of shares calculated is compared with the number of share options outstanding, with the difference being the dilutive potential ordinary shares.</w:t>
      </w:r>
    </w:p>
    <w:p w14:paraId="56CB7F5D" w14:textId="5C47AB5C" w:rsidR="00DA6694" w:rsidRPr="002303EB" w:rsidRDefault="00DA6694" w:rsidP="002303EB">
      <w:pPr>
        <w:rPr>
          <w:rStyle w:val="bodycopynumber"/>
          <w:rFonts w:asciiTheme="minorHAnsi" w:hAnsiTheme="minorHAnsi" w:cs="Arial"/>
          <w:bCs/>
          <w:color w:val="000000"/>
          <w:sz w:val="20"/>
          <w:szCs w:val="20"/>
          <w:lang w:eastAsia="en-US"/>
        </w:rPr>
      </w:pPr>
    </w:p>
    <w:p w14:paraId="137E6DEF" w14:textId="44549EC2" w:rsidR="00DA6694" w:rsidRPr="00F01EC8" w:rsidRDefault="00DA6694" w:rsidP="00FB2FF4">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Arial"/>
          <w:sz w:val="20"/>
        </w:rPr>
      </w:pPr>
      <w:r w:rsidRPr="00F01EC8">
        <w:rPr>
          <w:rStyle w:val="bodycopynumber"/>
          <w:rFonts w:asciiTheme="minorHAnsi" w:hAnsiTheme="minorHAnsi" w:cs="Arial"/>
          <w:bCs/>
          <w:sz w:val="20"/>
        </w:rPr>
        <w:t xml:space="preserve">Reconciliations of basic and diluted </w:t>
      </w:r>
      <w:r w:rsidR="00AE5765" w:rsidRPr="00F01EC8">
        <w:rPr>
          <w:rStyle w:val="bodycopynumber"/>
          <w:rFonts w:asciiTheme="minorHAnsi" w:hAnsiTheme="minorHAnsi" w:cs="Arial"/>
          <w:bCs/>
          <w:sz w:val="20"/>
        </w:rPr>
        <w:t>(loss)/</w:t>
      </w:r>
      <w:r w:rsidRPr="00F01EC8">
        <w:rPr>
          <w:rStyle w:val="bodycopynumber"/>
          <w:rFonts w:asciiTheme="minorHAnsi" w:hAnsiTheme="minorHAnsi" w:cs="Arial"/>
          <w:bCs/>
          <w:sz w:val="20"/>
        </w:rPr>
        <w:t>earnings per share are set out below:</w:t>
      </w:r>
    </w:p>
    <w:tbl>
      <w:tblPr>
        <w:tblW w:w="9923" w:type="dxa"/>
        <w:tblLayout w:type="fixed"/>
        <w:tblLook w:val="0000" w:firstRow="0" w:lastRow="0" w:firstColumn="0" w:lastColumn="0" w:noHBand="0" w:noVBand="0"/>
      </w:tblPr>
      <w:tblGrid>
        <w:gridCol w:w="3544"/>
        <w:gridCol w:w="992"/>
        <w:gridCol w:w="993"/>
        <w:gridCol w:w="992"/>
        <w:gridCol w:w="1134"/>
        <w:gridCol w:w="1134"/>
        <w:gridCol w:w="1134"/>
      </w:tblGrid>
      <w:tr w:rsidR="00DA6694" w:rsidRPr="00F01EC8" w14:paraId="57A31F1F" w14:textId="77777777" w:rsidTr="00FB2FF4">
        <w:tc>
          <w:tcPr>
            <w:tcW w:w="3544" w:type="dxa"/>
          </w:tcPr>
          <w:p w14:paraId="744C30A1" w14:textId="77777777" w:rsidR="00DA6694" w:rsidRPr="00F01EC8" w:rsidRDefault="00DA6694" w:rsidP="00AC0A5D">
            <w:pPr>
              <w:jc w:val="right"/>
              <w:rPr>
                <w:rFonts w:asciiTheme="minorHAnsi" w:hAnsiTheme="minorHAnsi" w:cs="Arial"/>
                <w:sz w:val="20"/>
                <w:szCs w:val="20"/>
              </w:rPr>
            </w:pPr>
          </w:p>
        </w:tc>
        <w:tc>
          <w:tcPr>
            <w:tcW w:w="6379" w:type="dxa"/>
            <w:gridSpan w:val="6"/>
          </w:tcPr>
          <w:p w14:paraId="29F28348"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7EFB1C9D" w14:textId="77777777" w:rsidTr="00FB2FF4">
        <w:tc>
          <w:tcPr>
            <w:tcW w:w="3544" w:type="dxa"/>
          </w:tcPr>
          <w:p w14:paraId="27EDCA6B" w14:textId="77777777" w:rsidR="00DA6694" w:rsidRPr="00F01EC8" w:rsidRDefault="00DA6694" w:rsidP="00AC0A5D">
            <w:pPr>
              <w:jc w:val="right"/>
              <w:rPr>
                <w:rFonts w:asciiTheme="minorHAnsi" w:hAnsiTheme="minorHAnsi" w:cs="Arial"/>
                <w:sz w:val="20"/>
                <w:szCs w:val="20"/>
              </w:rPr>
            </w:pPr>
          </w:p>
        </w:tc>
        <w:tc>
          <w:tcPr>
            <w:tcW w:w="2977" w:type="dxa"/>
            <w:gridSpan w:val="3"/>
          </w:tcPr>
          <w:p w14:paraId="687B42C3" w14:textId="340D221D"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20</w:t>
            </w:r>
            <w:r w:rsidR="000A7ECC" w:rsidRPr="00F01EC8">
              <w:rPr>
                <w:rFonts w:asciiTheme="minorHAnsi" w:hAnsiTheme="minorHAnsi" w:cs="Arial"/>
                <w:sz w:val="20"/>
                <w:szCs w:val="20"/>
              </w:rPr>
              <w:t>20</w:t>
            </w:r>
          </w:p>
        </w:tc>
        <w:tc>
          <w:tcPr>
            <w:tcW w:w="3402" w:type="dxa"/>
            <w:gridSpan w:val="3"/>
          </w:tcPr>
          <w:p w14:paraId="5BBD0F26" w14:textId="56D2BA95"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201</w:t>
            </w:r>
            <w:r w:rsidR="000A7ECC" w:rsidRPr="00F01EC8">
              <w:rPr>
                <w:rFonts w:asciiTheme="minorHAnsi" w:hAnsiTheme="minorHAnsi" w:cs="Arial"/>
                <w:sz w:val="20"/>
                <w:szCs w:val="20"/>
              </w:rPr>
              <w:t>9</w:t>
            </w:r>
            <w:r w:rsidR="00E709C7" w:rsidRPr="00F01EC8">
              <w:rPr>
                <w:rFonts w:asciiTheme="minorHAnsi" w:hAnsiTheme="minorHAnsi" w:cs="Arial"/>
                <w:sz w:val="20"/>
                <w:szCs w:val="20"/>
              </w:rPr>
              <w:t xml:space="preserve"> (restated)</w:t>
            </w:r>
          </w:p>
        </w:tc>
      </w:tr>
      <w:tr w:rsidR="001440D0" w:rsidRPr="00F01EC8" w14:paraId="5A3C057B" w14:textId="77777777" w:rsidTr="00FB2FF4">
        <w:tc>
          <w:tcPr>
            <w:tcW w:w="3544" w:type="dxa"/>
          </w:tcPr>
          <w:p w14:paraId="02859DE3" w14:textId="77777777" w:rsidR="00DA6694" w:rsidRPr="00F01EC8" w:rsidRDefault="00DA6694" w:rsidP="00AC0A5D">
            <w:pPr>
              <w:jc w:val="right"/>
              <w:rPr>
                <w:rFonts w:asciiTheme="minorHAnsi" w:hAnsiTheme="minorHAnsi" w:cs="Arial"/>
                <w:sz w:val="20"/>
                <w:szCs w:val="20"/>
              </w:rPr>
            </w:pPr>
          </w:p>
        </w:tc>
        <w:tc>
          <w:tcPr>
            <w:tcW w:w="992" w:type="dxa"/>
          </w:tcPr>
          <w:p w14:paraId="5B06C1D7" w14:textId="77777777" w:rsidR="00DA6694" w:rsidRPr="00F01EC8" w:rsidRDefault="00DA6694" w:rsidP="00AC0A5D">
            <w:pPr>
              <w:jc w:val="right"/>
              <w:rPr>
                <w:rFonts w:asciiTheme="minorHAnsi" w:hAnsiTheme="minorHAnsi" w:cs="Arial"/>
                <w:sz w:val="20"/>
                <w:szCs w:val="20"/>
              </w:rPr>
            </w:pPr>
          </w:p>
          <w:p w14:paraId="2D472DAD" w14:textId="77777777" w:rsidR="00DA6694" w:rsidRPr="00F01EC8" w:rsidRDefault="00DA6694" w:rsidP="00AC0A5D">
            <w:pPr>
              <w:jc w:val="right"/>
              <w:rPr>
                <w:rFonts w:asciiTheme="minorHAnsi" w:hAnsiTheme="minorHAnsi" w:cs="Arial"/>
                <w:sz w:val="20"/>
                <w:szCs w:val="20"/>
              </w:rPr>
            </w:pPr>
          </w:p>
          <w:p w14:paraId="1EB004CA" w14:textId="77777777" w:rsidR="00DA6694" w:rsidRPr="00F01EC8" w:rsidRDefault="00DA6694" w:rsidP="00AC0A5D">
            <w:pPr>
              <w:jc w:val="right"/>
              <w:rPr>
                <w:rFonts w:asciiTheme="minorHAnsi" w:hAnsiTheme="minorHAnsi" w:cs="Arial"/>
                <w:sz w:val="20"/>
                <w:szCs w:val="20"/>
              </w:rPr>
            </w:pPr>
          </w:p>
          <w:p w14:paraId="61B4830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Earnings </w:t>
            </w:r>
          </w:p>
        </w:tc>
        <w:tc>
          <w:tcPr>
            <w:tcW w:w="993" w:type="dxa"/>
          </w:tcPr>
          <w:p w14:paraId="6513DF50" w14:textId="7833C7B9" w:rsidR="00DA6694" w:rsidRPr="00F01EC8" w:rsidRDefault="00204254" w:rsidP="00AC0A5D">
            <w:pPr>
              <w:ind w:left="-108"/>
              <w:jc w:val="right"/>
              <w:rPr>
                <w:rFonts w:asciiTheme="minorHAnsi" w:hAnsiTheme="minorHAnsi" w:cs="Arial"/>
                <w:sz w:val="20"/>
                <w:szCs w:val="20"/>
              </w:rPr>
            </w:pPr>
            <w:r w:rsidRPr="00F01EC8">
              <w:rPr>
                <w:rFonts w:asciiTheme="minorHAnsi" w:hAnsiTheme="minorHAnsi" w:cs="Arial"/>
                <w:sz w:val="20"/>
                <w:szCs w:val="20"/>
              </w:rPr>
              <w:t>Weighted average</w:t>
            </w:r>
            <w:r w:rsidR="00DA6694" w:rsidRPr="00F01EC8">
              <w:rPr>
                <w:rFonts w:asciiTheme="minorHAnsi" w:hAnsiTheme="minorHAnsi" w:cs="Arial"/>
                <w:sz w:val="20"/>
                <w:szCs w:val="20"/>
              </w:rPr>
              <w:t xml:space="preserve">  </w:t>
            </w:r>
          </w:p>
          <w:p w14:paraId="466AE13F"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 xml:space="preserve">number  </w:t>
            </w:r>
          </w:p>
          <w:p w14:paraId="0D4FF7EB" w14:textId="16D92E84" w:rsidR="00DA6694" w:rsidRPr="00F01EC8" w:rsidRDefault="00204254" w:rsidP="00AC0A5D">
            <w:pPr>
              <w:ind w:left="-108"/>
              <w:jc w:val="right"/>
              <w:rPr>
                <w:rFonts w:asciiTheme="minorHAnsi" w:hAnsiTheme="minorHAnsi" w:cs="Arial"/>
                <w:sz w:val="20"/>
                <w:szCs w:val="20"/>
              </w:rPr>
            </w:pPr>
            <w:r w:rsidRPr="00F01EC8">
              <w:rPr>
                <w:rFonts w:asciiTheme="minorHAnsi" w:hAnsiTheme="minorHAnsi" w:cs="Arial"/>
                <w:sz w:val="20"/>
                <w:szCs w:val="20"/>
              </w:rPr>
              <w:t>of shares</w:t>
            </w:r>
            <w:r w:rsidR="00DA6694" w:rsidRPr="00F01EC8">
              <w:rPr>
                <w:rFonts w:asciiTheme="minorHAnsi" w:hAnsiTheme="minorHAnsi" w:cs="Arial"/>
                <w:sz w:val="20"/>
                <w:szCs w:val="20"/>
              </w:rPr>
              <w:t> </w:t>
            </w:r>
          </w:p>
        </w:tc>
        <w:tc>
          <w:tcPr>
            <w:tcW w:w="992" w:type="dxa"/>
          </w:tcPr>
          <w:p w14:paraId="4FE6B787" w14:textId="77777777" w:rsidR="00DA6694" w:rsidRPr="00F01EC8" w:rsidRDefault="00DA6694" w:rsidP="00AC0A5D">
            <w:pPr>
              <w:jc w:val="right"/>
              <w:rPr>
                <w:rFonts w:asciiTheme="minorHAnsi" w:hAnsiTheme="minorHAnsi" w:cs="Arial"/>
                <w:sz w:val="20"/>
                <w:szCs w:val="20"/>
              </w:rPr>
            </w:pPr>
          </w:p>
          <w:p w14:paraId="611BA8F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Per  </w:t>
            </w:r>
          </w:p>
          <w:p w14:paraId="7D2E977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share  </w:t>
            </w:r>
          </w:p>
          <w:p w14:paraId="7F74F0B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amount </w:t>
            </w:r>
          </w:p>
        </w:tc>
        <w:tc>
          <w:tcPr>
            <w:tcW w:w="1134" w:type="dxa"/>
          </w:tcPr>
          <w:p w14:paraId="44428EF1" w14:textId="77777777" w:rsidR="00DA6694" w:rsidRPr="00F01EC8" w:rsidRDefault="00DA6694" w:rsidP="00AC0A5D">
            <w:pPr>
              <w:jc w:val="right"/>
              <w:rPr>
                <w:rFonts w:asciiTheme="minorHAnsi" w:hAnsiTheme="minorHAnsi" w:cs="Arial"/>
                <w:sz w:val="20"/>
                <w:szCs w:val="20"/>
              </w:rPr>
            </w:pPr>
          </w:p>
          <w:p w14:paraId="487288E5" w14:textId="77777777" w:rsidR="00DA6694" w:rsidRPr="00F01EC8" w:rsidRDefault="00DA6694" w:rsidP="00AC0A5D">
            <w:pPr>
              <w:jc w:val="right"/>
              <w:rPr>
                <w:rFonts w:asciiTheme="minorHAnsi" w:hAnsiTheme="minorHAnsi" w:cs="Arial"/>
                <w:sz w:val="20"/>
                <w:szCs w:val="20"/>
              </w:rPr>
            </w:pPr>
          </w:p>
          <w:p w14:paraId="6CFA8EC2" w14:textId="77777777" w:rsidR="00DA6694" w:rsidRPr="00F01EC8" w:rsidRDefault="00DA6694" w:rsidP="00AC0A5D">
            <w:pPr>
              <w:jc w:val="right"/>
              <w:rPr>
                <w:rFonts w:asciiTheme="minorHAnsi" w:hAnsiTheme="minorHAnsi" w:cs="Arial"/>
                <w:sz w:val="20"/>
                <w:szCs w:val="20"/>
              </w:rPr>
            </w:pPr>
          </w:p>
          <w:p w14:paraId="634392F3" w14:textId="1C8CEDC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Earnings</w:t>
            </w:r>
            <w:r w:rsidR="00B935BC" w:rsidRPr="00F01EC8">
              <w:rPr>
                <w:rFonts w:asciiTheme="minorHAnsi" w:hAnsiTheme="minorHAnsi" w:cs="Arial"/>
                <w:sz w:val="20"/>
                <w:szCs w:val="20"/>
              </w:rPr>
              <w:t xml:space="preserve"> (restated)</w:t>
            </w:r>
          </w:p>
        </w:tc>
        <w:tc>
          <w:tcPr>
            <w:tcW w:w="1134" w:type="dxa"/>
          </w:tcPr>
          <w:p w14:paraId="32695277" w14:textId="6059A9A2" w:rsidR="00DA6694" w:rsidRPr="00F01EC8" w:rsidRDefault="00204254" w:rsidP="00AC0A5D">
            <w:pPr>
              <w:jc w:val="right"/>
              <w:rPr>
                <w:rFonts w:asciiTheme="minorHAnsi" w:hAnsiTheme="minorHAnsi" w:cs="Arial"/>
                <w:sz w:val="20"/>
                <w:szCs w:val="20"/>
              </w:rPr>
            </w:pPr>
            <w:r w:rsidRPr="00F01EC8">
              <w:rPr>
                <w:rFonts w:asciiTheme="minorHAnsi" w:hAnsiTheme="minorHAnsi" w:cs="Arial"/>
                <w:sz w:val="20"/>
                <w:szCs w:val="20"/>
              </w:rPr>
              <w:t>Weighted average</w:t>
            </w:r>
            <w:r w:rsidR="00DA6694" w:rsidRPr="00F01EC8">
              <w:rPr>
                <w:rFonts w:asciiTheme="minorHAnsi" w:hAnsiTheme="minorHAnsi" w:cs="Arial"/>
                <w:sz w:val="20"/>
                <w:szCs w:val="20"/>
              </w:rPr>
              <w:t xml:space="preserve">  </w:t>
            </w:r>
          </w:p>
          <w:p w14:paraId="0D8D5F1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number  </w:t>
            </w:r>
          </w:p>
          <w:p w14:paraId="03850617" w14:textId="6C23CB3A" w:rsidR="00DA6694" w:rsidRPr="00F01EC8" w:rsidRDefault="00204254" w:rsidP="00AC0A5D">
            <w:pPr>
              <w:jc w:val="right"/>
              <w:rPr>
                <w:rFonts w:asciiTheme="minorHAnsi" w:hAnsiTheme="minorHAnsi" w:cs="Arial"/>
                <w:sz w:val="20"/>
                <w:szCs w:val="20"/>
              </w:rPr>
            </w:pPr>
            <w:r w:rsidRPr="00F01EC8">
              <w:rPr>
                <w:rFonts w:asciiTheme="minorHAnsi" w:hAnsiTheme="minorHAnsi" w:cs="Arial"/>
                <w:sz w:val="20"/>
                <w:szCs w:val="20"/>
              </w:rPr>
              <w:t>of shares</w:t>
            </w:r>
            <w:r w:rsidR="00DA6694" w:rsidRPr="00F01EC8">
              <w:rPr>
                <w:rFonts w:asciiTheme="minorHAnsi" w:hAnsiTheme="minorHAnsi" w:cs="Arial"/>
                <w:sz w:val="20"/>
                <w:szCs w:val="20"/>
              </w:rPr>
              <w:t> </w:t>
            </w:r>
          </w:p>
        </w:tc>
        <w:tc>
          <w:tcPr>
            <w:tcW w:w="1134" w:type="dxa"/>
          </w:tcPr>
          <w:p w14:paraId="21475DF3" w14:textId="77777777" w:rsidR="00DA6694" w:rsidRPr="00F01EC8" w:rsidRDefault="00DA6694" w:rsidP="00AC0A5D">
            <w:pPr>
              <w:jc w:val="right"/>
              <w:rPr>
                <w:rFonts w:asciiTheme="minorHAnsi" w:hAnsiTheme="minorHAnsi" w:cs="Arial"/>
                <w:sz w:val="20"/>
                <w:szCs w:val="20"/>
              </w:rPr>
            </w:pPr>
          </w:p>
          <w:p w14:paraId="49EBF29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Per  </w:t>
            </w:r>
          </w:p>
          <w:p w14:paraId="7BC6775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share  </w:t>
            </w:r>
          </w:p>
          <w:p w14:paraId="07DD9223" w14:textId="65899B71"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amount</w:t>
            </w:r>
            <w:r w:rsidR="001440D0" w:rsidRPr="00F01EC8">
              <w:rPr>
                <w:rFonts w:asciiTheme="minorHAnsi" w:hAnsiTheme="minorHAnsi" w:cs="Arial"/>
                <w:sz w:val="20"/>
                <w:szCs w:val="20"/>
              </w:rPr>
              <w:t xml:space="preserve"> (restated)</w:t>
            </w:r>
          </w:p>
        </w:tc>
      </w:tr>
      <w:tr w:rsidR="001440D0" w:rsidRPr="00F01EC8" w14:paraId="3396062C" w14:textId="77777777" w:rsidTr="00FB2FF4">
        <w:tc>
          <w:tcPr>
            <w:tcW w:w="3544" w:type="dxa"/>
          </w:tcPr>
          <w:p w14:paraId="4BAB2570" w14:textId="77777777" w:rsidR="00DA6694" w:rsidRPr="00F01EC8" w:rsidRDefault="00DA6694" w:rsidP="00AC0A5D">
            <w:pPr>
              <w:jc w:val="right"/>
              <w:rPr>
                <w:rFonts w:asciiTheme="minorHAnsi" w:hAnsiTheme="minorHAnsi" w:cs="Arial"/>
                <w:sz w:val="20"/>
                <w:szCs w:val="20"/>
              </w:rPr>
            </w:pPr>
          </w:p>
        </w:tc>
        <w:tc>
          <w:tcPr>
            <w:tcW w:w="992" w:type="dxa"/>
            <w:tcBorders>
              <w:top w:val="nil"/>
              <w:left w:val="nil"/>
              <w:bottom w:val="single" w:sz="4" w:space="0" w:color="auto"/>
              <w:right w:val="nil"/>
            </w:tcBorders>
          </w:tcPr>
          <w:p w14:paraId="7FC806C9"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993" w:type="dxa"/>
            <w:tcBorders>
              <w:top w:val="nil"/>
              <w:left w:val="nil"/>
              <w:bottom w:val="single" w:sz="4" w:space="0" w:color="auto"/>
              <w:right w:val="nil"/>
            </w:tcBorders>
          </w:tcPr>
          <w:p w14:paraId="37B949B3" w14:textId="77777777" w:rsidR="00DA6694" w:rsidRPr="00F01EC8" w:rsidRDefault="00DA6694" w:rsidP="00AC0A5D">
            <w:pPr>
              <w:ind w:left="-108"/>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992" w:type="dxa"/>
            <w:tcBorders>
              <w:top w:val="nil"/>
              <w:left w:val="nil"/>
              <w:bottom w:val="single" w:sz="4" w:space="0" w:color="auto"/>
              <w:right w:val="nil"/>
            </w:tcBorders>
          </w:tcPr>
          <w:p w14:paraId="5A4D3B75"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pence </w:t>
            </w:r>
          </w:p>
        </w:tc>
        <w:tc>
          <w:tcPr>
            <w:tcW w:w="1134" w:type="dxa"/>
            <w:tcBorders>
              <w:top w:val="nil"/>
              <w:left w:val="nil"/>
              <w:bottom w:val="single" w:sz="4" w:space="0" w:color="auto"/>
              <w:right w:val="nil"/>
            </w:tcBorders>
          </w:tcPr>
          <w:p w14:paraId="5FEED2C4"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1134" w:type="dxa"/>
            <w:tcBorders>
              <w:top w:val="nil"/>
              <w:left w:val="nil"/>
              <w:bottom w:val="single" w:sz="4" w:space="0" w:color="auto"/>
              <w:right w:val="nil"/>
            </w:tcBorders>
          </w:tcPr>
          <w:p w14:paraId="68188C2E"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1134" w:type="dxa"/>
            <w:tcBorders>
              <w:top w:val="nil"/>
              <w:left w:val="nil"/>
              <w:bottom w:val="single" w:sz="4" w:space="0" w:color="auto"/>
              <w:right w:val="nil"/>
            </w:tcBorders>
          </w:tcPr>
          <w:p w14:paraId="10C6BEE5"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pence </w:t>
            </w:r>
          </w:p>
        </w:tc>
      </w:tr>
      <w:tr w:rsidR="001440D0" w:rsidRPr="00F01EC8" w14:paraId="2D14FD1A" w14:textId="77777777" w:rsidTr="00FB2FF4">
        <w:tc>
          <w:tcPr>
            <w:tcW w:w="3544" w:type="dxa"/>
            <w:vAlign w:val="bottom"/>
          </w:tcPr>
          <w:p w14:paraId="1D779B8E" w14:textId="5D7427ED" w:rsidR="000A7ECC" w:rsidRPr="00F01EC8" w:rsidRDefault="000A7ECC" w:rsidP="000A7ECC">
            <w:pPr>
              <w:rPr>
                <w:rFonts w:asciiTheme="minorHAnsi" w:hAnsiTheme="minorHAnsi" w:cs="Arial"/>
                <w:b/>
                <w:sz w:val="20"/>
                <w:szCs w:val="20"/>
              </w:rPr>
            </w:pPr>
            <w:r w:rsidRPr="00F01EC8">
              <w:rPr>
                <w:rFonts w:asciiTheme="minorHAnsi" w:hAnsiTheme="minorHAnsi" w:cs="Arial"/>
                <w:b/>
                <w:sz w:val="20"/>
                <w:szCs w:val="20"/>
              </w:rPr>
              <w:t xml:space="preserve">Basic </w:t>
            </w:r>
            <w:r w:rsidR="00E709C7" w:rsidRPr="00F01EC8">
              <w:rPr>
                <w:rFonts w:asciiTheme="minorHAnsi" w:hAnsiTheme="minorHAnsi" w:cs="Arial"/>
                <w:b/>
                <w:sz w:val="20"/>
                <w:szCs w:val="20"/>
              </w:rPr>
              <w:t>(loss)/</w:t>
            </w:r>
            <w:r w:rsidRPr="00F01EC8">
              <w:rPr>
                <w:rFonts w:asciiTheme="minorHAnsi" w:hAnsiTheme="minorHAnsi" w:cs="Arial"/>
                <w:b/>
                <w:sz w:val="20"/>
                <w:szCs w:val="20"/>
              </w:rPr>
              <w:t xml:space="preserve">earnings per share </w:t>
            </w:r>
          </w:p>
        </w:tc>
        <w:tc>
          <w:tcPr>
            <w:tcW w:w="992" w:type="dxa"/>
            <w:tcBorders>
              <w:left w:val="nil"/>
              <w:bottom w:val="nil"/>
              <w:right w:val="nil"/>
            </w:tcBorders>
            <w:vAlign w:val="bottom"/>
          </w:tcPr>
          <w:p w14:paraId="10975AB3" w14:textId="4E943227" w:rsidR="000A7ECC" w:rsidRPr="00F01EC8" w:rsidRDefault="00813115" w:rsidP="000A7ECC">
            <w:pPr>
              <w:jc w:val="right"/>
              <w:rPr>
                <w:rFonts w:asciiTheme="minorHAnsi" w:hAnsiTheme="minorHAnsi" w:cstheme="minorHAnsi"/>
                <w:sz w:val="20"/>
                <w:szCs w:val="20"/>
              </w:rPr>
            </w:pPr>
            <w:r w:rsidRPr="00F01EC8">
              <w:rPr>
                <w:rFonts w:asciiTheme="minorHAnsi" w:hAnsiTheme="minorHAnsi" w:cstheme="minorHAnsi"/>
                <w:sz w:val="20"/>
                <w:szCs w:val="20"/>
              </w:rPr>
              <w:t>(23.1</w:t>
            </w:r>
            <w:r w:rsidR="00E709C7" w:rsidRPr="00F01EC8">
              <w:rPr>
                <w:rFonts w:asciiTheme="minorHAnsi" w:hAnsiTheme="minorHAnsi" w:cstheme="minorHAnsi"/>
                <w:sz w:val="20"/>
                <w:szCs w:val="20"/>
              </w:rPr>
              <w:t>)</w:t>
            </w:r>
          </w:p>
        </w:tc>
        <w:tc>
          <w:tcPr>
            <w:tcW w:w="993" w:type="dxa"/>
            <w:tcBorders>
              <w:left w:val="nil"/>
              <w:bottom w:val="nil"/>
              <w:right w:val="nil"/>
            </w:tcBorders>
            <w:vAlign w:val="bottom"/>
          </w:tcPr>
          <w:p w14:paraId="197F3CC7" w14:textId="51F5E729" w:rsidR="000A7ECC" w:rsidRPr="00F01EC8" w:rsidRDefault="00E709C7" w:rsidP="000A7ECC">
            <w:pPr>
              <w:ind w:left="-108"/>
              <w:jc w:val="right"/>
              <w:rPr>
                <w:rFonts w:asciiTheme="minorHAnsi" w:hAnsiTheme="minorHAnsi" w:cstheme="minorHAnsi"/>
                <w:sz w:val="20"/>
                <w:szCs w:val="20"/>
              </w:rPr>
            </w:pPr>
            <w:r w:rsidRPr="00F01EC8">
              <w:rPr>
                <w:rFonts w:asciiTheme="minorHAnsi" w:hAnsiTheme="minorHAnsi" w:cstheme="minorHAnsi"/>
                <w:sz w:val="20"/>
                <w:szCs w:val="20"/>
              </w:rPr>
              <w:t>253.5</w:t>
            </w:r>
          </w:p>
        </w:tc>
        <w:tc>
          <w:tcPr>
            <w:tcW w:w="992" w:type="dxa"/>
            <w:tcBorders>
              <w:left w:val="nil"/>
              <w:bottom w:val="nil"/>
              <w:right w:val="nil"/>
            </w:tcBorders>
            <w:vAlign w:val="bottom"/>
          </w:tcPr>
          <w:p w14:paraId="414B572A" w14:textId="21130431" w:rsidR="000A7ECC" w:rsidRPr="00F01EC8" w:rsidRDefault="00813115" w:rsidP="000A7ECC">
            <w:pPr>
              <w:jc w:val="right"/>
              <w:rPr>
                <w:rFonts w:asciiTheme="minorHAnsi" w:hAnsiTheme="minorHAnsi" w:cstheme="minorHAnsi"/>
                <w:sz w:val="20"/>
                <w:szCs w:val="20"/>
              </w:rPr>
            </w:pPr>
            <w:r w:rsidRPr="00F01EC8">
              <w:rPr>
                <w:rFonts w:asciiTheme="minorHAnsi" w:hAnsiTheme="minorHAnsi" w:cstheme="minorHAnsi"/>
                <w:sz w:val="20"/>
                <w:szCs w:val="20"/>
              </w:rPr>
              <w:t>(9</w:t>
            </w:r>
            <w:r w:rsidR="00E709C7" w:rsidRPr="00F01EC8">
              <w:rPr>
                <w:rFonts w:asciiTheme="minorHAnsi" w:hAnsiTheme="minorHAnsi" w:cstheme="minorHAnsi"/>
                <w:sz w:val="20"/>
                <w:szCs w:val="20"/>
              </w:rPr>
              <w:t>.1)</w:t>
            </w:r>
          </w:p>
        </w:tc>
        <w:tc>
          <w:tcPr>
            <w:tcW w:w="1134" w:type="dxa"/>
            <w:tcBorders>
              <w:left w:val="nil"/>
              <w:bottom w:val="nil"/>
              <w:right w:val="nil"/>
            </w:tcBorders>
            <w:vAlign w:val="bottom"/>
          </w:tcPr>
          <w:p w14:paraId="025BBAEE" w14:textId="3710305F" w:rsidR="000A7ECC" w:rsidRPr="00F01EC8" w:rsidRDefault="000A7ECC" w:rsidP="000A7ECC">
            <w:pPr>
              <w:jc w:val="right"/>
              <w:rPr>
                <w:rFonts w:asciiTheme="minorHAnsi" w:hAnsiTheme="minorHAnsi" w:cstheme="minorHAnsi"/>
                <w:sz w:val="20"/>
                <w:szCs w:val="20"/>
              </w:rPr>
            </w:pPr>
            <w:r w:rsidRPr="00F01EC8">
              <w:rPr>
                <w:rFonts w:asciiTheme="minorHAnsi" w:hAnsiTheme="minorHAnsi" w:cstheme="minorHAnsi"/>
                <w:sz w:val="20"/>
                <w:szCs w:val="20"/>
              </w:rPr>
              <w:t>2</w:t>
            </w:r>
            <w:r w:rsidR="00B935BC" w:rsidRPr="00F01EC8">
              <w:rPr>
                <w:rFonts w:asciiTheme="minorHAnsi" w:hAnsiTheme="minorHAnsi" w:cstheme="minorHAnsi"/>
                <w:sz w:val="20"/>
                <w:szCs w:val="20"/>
              </w:rPr>
              <w:t>4</w:t>
            </w:r>
            <w:r w:rsidRPr="00F01EC8">
              <w:rPr>
                <w:rFonts w:asciiTheme="minorHAnsi" w:hAnsiTheme="minorHAnsi" w:cstheme="minorHAnsi"/>
                <w:sz w:val="20"/>
                <w:szCs w:val="20"/>
              </w:rPr>
              <w:t>.6 </w:t>
            </w:r>
          </w:p>
        </w:tc>
        <w:tc>
          <w:tcPr>
            <w:tcW w:w="1134" w:type="dxa"/>
            <w:tcBorders>
              <w:left w:val="nil"/>
              <w:bottom w:val="nil"/>
              <w:right w:val="nil"/>
            </w:tcBorders>
            <w:vAlign w:val="bottom"/>
          </w:tcPr>
          <w:p w14:paraId="141EF9AE" w14:textId="05FB1463" w:rsidR="000A7ECC" w:rsidRPr="00F01EC8" w:rsidRDefault="000A7ECC" w:rsidP="000A7ECC">
            <w:pPr>
              <w:ind w:left="-108"/>
              <w:jc w:val="right"/>
              <w:rPr>
                <w:rFonts w:asciiTheme="minorHAnsi" w:hAnsiTheme="minorHAnsi" w:cstheme="minorHAnsi"/>
                <w:sz w:val="20"/>
                <w:szCs w:val="20"/>
              </w:rPr>
            </w:pPr>
            <w:r w:rsidRPr="00F01EC8">
              <w:rPr>
                <w:rFonts w:asciiTheme="minorHAnsi" w:hAnsiTheme="minorHAnsi" w:cstheme="minorHAnsi"/>
                <w:sz w:val="20"/>
                <w:szCs w:val="20"/>
              </w:rPr>
              <w:t>253.3 </w:t>
            </w:r>
          </w:p>
        </w:tc>
        <w:tc>
          <w:tcPr>
            <w:tcW w:w="1134" w:type="dxa"/>
            <w:tcBorders>
              <w:left w:val="nil"/>
              <w:bottom w:val="nil"/>
              <w:right w:val="nil"/>
            </w:tcBorders>
            <w:vAlign w:val="bottom"/>
          </w:tcPr>
          <w:p w14:paraId="035D4B0E" w14:textId="0E2B9E36" w:rsidR="000A7ECC" w:rsidRPr="00F01EC8" w:rsidRDefault="001440D0" w:rsidP="000A7ECC">
            <w:pPr>
              <w:jc w:val="right"/>
              <w:rPr>
                <w:rFonts w:asciiTheme="minorHAnsi" w:hAnsiTheme="minorHAnsi" w:cstheme="minorHAnsi"/>
                <w:sz w:val="20"/>
                <w:szCs w:val="20"/>
              </w:rPr>
            </w:pPr>
            <w:r w:rsidRPr="00F01EC8">
              <w:rPr>
                <w:rFonts w:asciiTheme="minorHAnsi" w:hAnsiTheme="minorHAnsi" w:cstheme="minorHAnsi"/>
                <w:sz w:val="20"/>
                <w:szCs w:val="20"/>
              </w:rPr>
              <w:t>9</w:t>
            </w:r>
            <w:r w:rsidR="000A7ECC" w:rsidRPr="00F01EC8">
              <w:rPr>
                <w:rFonts w:asciiTheme="minorHAnsi" w:hAnsiTheme="minorHAnsi" w:cstheme="minorHAnsi"/>
                <w:sz w:val="20"/>
                <w:szCs w:val="20"/>
              </w:rPr>
              <w:t>.</w:t>
            </w:r>
            <w:r w:rsidR="00E709C7" w:rsidRPr="00F01EC8">
              <w:rPr>
                <w:rFonts w:asciiTheme="minorHAnsi" w:hAnsiTheme="minorHAnsi" w:cstheme="minorHAnsi"/>
                <w:sz w:val="20"/>
                <w:szCs w:val="20"/>
              </w:rPr>
              <w:t>7</w:t>
            </w:r>
            <w:r w:rsidR="000A7ECC" w:rsidRPr="00F01EC8">
              <w:rPr>
                <w:rFonts w:asciiTheme="minorHAnsi" w:hAnsiTheme="minorHAnsi" w:cstheme="minorHAnsi"/>
                <w:sz w:val="20"/>
                <w:szCs w:val="20"/>
              </w:rPr>
              <w:t> </w:t>
            </w:r>
          </w:p>
        </w:tc>
      </w:tr>
      <w:tr w:rsidR="003355ED" w:rsidRPr="00F01EC8" w14:paraId="27A7EB6A" w14:textId="77777777" w:rsidTr="00EC48CC">
        <w:tc>
          <w:tcPr>
            <w:tcW w:w="3544" w:type="dxa"/>
            <w:vAlign w:val="bottom"/>
          </w:tcPr>
          <w:p w14:paraId="193E9DF2" w14:textId="77777777" w:rsidR="003355ED" w:rsidRPr="00F01EC8" w:rsidRDefault="003355ED" w:rsidP="003355ED">
            <w:pPr>
              <w:rPr>
                <w:rFonts w:asciiTheme="minorHAnsi" w:hAnsiTheme="minorHAnsi" w:cs="Arial"/>
                <w:sz w:val="20"/>
                <w:szCs w:val="20"/>
              </w:rPr>
            </w:pPr>
            <w:r w:rsidRPr="00F01EC8">
              <w:rPr>
                <w:rFonts w:asciiTheme="minorHAnsi" w:hAnsiTheme="minorHAnsi" w:cs="Arial"/>
                <w:sz w:val="20"/>
                <w:szCs w:val="20"/>
              </w:rPr>
              <w:t>Dilutive effect of share options and awards</w:t>
            </w:r>
          </w:p>
        </w:tc>
        <w:tc>
          <w:tcPr>
            <w:tcW w:w="992" w:type="dxa"/>
            <w:tcBorders>
              <w:top w:val="nil"/>
              <w:left w:val="nil"/>
              <w:bottom w:val="single" w:sz="4" w:space="0" w:color="auto"/>
              <w:right w:val="nil"/>
            </w:tcBorders>
            <w:vAlign w:val="bottom"/>
          </w:tcPr>
          <w:p w14:paraId="123E1C0B" w14:textId="5D172213" w:rsidR="003355ED" w:rsidRPr="00F01EC8" w:rsidRDefault="003355ED" w:rsidP="003355ED">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3" w:type="dxa"/>
            <w:tcBorders>
              <w:top w:val="nil"/>
              <w:left w:val="nil"/>
              <w:bottom w:val="single" w:sz="4" w:space="0" w:color="auto"/>
              <w:right w:val="nil"/>
            </w:tcBorders>
            <w:vAlign w:val="bottom"/>
          </w:tcPr>
          <w:p w14:paraId="73C67E47" w14:textId="5B83277D" w:rsidR="003355ED" w:rsidRPr="00F01EC8" w:rsidRDefault="003355ED" w:rsidP="003355ED">
            <w:pPr>
              <w:ind w:left="-108"/>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top w:val="nil"/>
              <w:left w:val="nil"/>
              <w:bottom w:val="single" w:sz="4" w:space="0" w:color="auto"/>
              <w:right w:val="nil"/>
            </w:tcBorders>
            <w:vAlign w:val="bottom"/>
          </w:tcPr>
          <w:p w14:paraId="20E7510C" w14:textId="518ED886" w:rsidR="003355ED" w:rsidRPr="00F01EC8" w:rsidRDefault="003355ED" w:rsidP="003355ED">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1134" w:type="dxa"/>
            <w:tcBorders>
              <w:top w:val="nil"/>
              <w:left w:val="nil"/>
              <w:bottom w:val="single" w:sz="4" w:space="0" w:color="auto"/>
              <w:right w:val="nil"/>
            </w:tcBorders>
            <w:vAlign w:val="bottom"/>
          </w:tcPr>
          <w:p w14:paraId="651CF886" w14:textId="36196CDB" w:rsidR="003355ED" w:rsidRPr="00F01EC8" w:rsidRDefault="003355ED" w:rsidP="003355ED">
            <w:pPr>
              <w:jc w:val="right"/>
              <w:rPr>
                <w:rFonts w:asciiTheme="minorHAnsi" w:hAnsiTheme="minorHAnsi" w:cstheme="minorHAnsi"/>
                <w:sz w:val="20"/>
                <w:szCs w:val="20"/>
              </w:rPr>
            </w:pPr>
            <w:r w:rsidRPr="00F01EC8">
              <w:rPr>
                <w:rFonts w:asciiTheme="minorHAnsi" w:hAnsiTheme="minorHAnsi" w:cstheme="minorHAnsi"/>
                <w:sz w:val="20"/>
                <w:szCs w:val="20"/>
              </w:rPr>
              <w:t>- </w:t>
            </w:r>
          </w:p>
        </w:tc>
        <w:tc>
          <w:tcPr>
            <w:tcW w:w="1134" w:type="dxa"/>
            <w:tcBorders>
              <w:top w:val="nil"/>
              <w:left w:val="nil"/>
              <w:bottom w:val="single" w:sz="4" w:space="0" w:color="auto"/>
              <w:right w:val="nil"/>
            </w:tcBorders>
            <w:vAlign w:val="bottom"/>
          </w:tcPr>
          <w:p w14:paraId="23770B3E" w14:textId="113AAE99" w:rsidR="003355ED" w:rsidRPr="00F01EC8" w:rsidRDefault="003355ED" w:rsidP="003355ED">
            <w:pPr>
              <w:ind w:left="-108"/>
              <w:jc w:val="right"/>
              <w:rPr>
                <w:rFonts w:asciiTheme="minorHAnsi" w:hAnsiTheme="minorHAnsi" w:cstheme="minorHAnsi"/>
                <w:sz w:val="20"/>
                <w:szCs w:val="20"/>
              </w:rPr>
            </w:pPr>
            <w:r w:rsidRPr="00F01EC8">
              <w:rPr>
                <w:rFonts w:asciiTheme="minorHAnsi" w:hAnsiTheme="minorHAnsi" w:cstheme="minorHAnsi"/>
                <w:sz w:val="20"/>
                <w:szCs w:val="20"/>
              </w:rPr>
              <w:t>1.2 </w:t>
            </w:r>
          </w:p>
        </w:tc>
        <w:tc>
          <w:tcPr>
            <w:tcW w:w="1134" w:type="dxa"/>
            <w:tcBorders>
              <w:top w:val="nil"/>
              <w:left w:val="nil"/>
              <w:bottom w:val="single" w:sz="4" w:space="0" w:color="auto"/>
              <w:right w:val="nil"/>
            </w:tcBorders>
            <w:vAlign w:val="bottom"/>
          </w:tcPr>
          <w:p w14:paraId="28F705D8" w14:textId="6C0D7084" w:rsidR="003355ED" w:rsidRPr="00F01EC8" w:rsidRDefault="003355ED" w:rsidP="003355ED">
            <w:pPr>
              <w:jc w:val="right"/>
              <w:rPr>
                <w:rFonts w:asciiTheme="minorHAnsi" w:hAnsiTheme="minorHAnsi" w:cstheme="minorHAnsi"/>
                <w:sz w:val="20"/>
                <w:szCs w:val="20"/>
              </w:rPr>
            </w:pPr>
            <w:r w:rsidRPr="00F01EC8">
              <w:rPr>
                <w:rFonts w:asciiTheme="minorHAnsi" w:hAnsiTheme="minorHAnsi" w:cstheme="minorHAnsi"/>
                <w:sz w:val="20"/>
                <w:szCs w:val="20"/>
              </w:rPr>
              <w:t>- </w:t>
            </w:r>
          </w:p>
        </w:tc>
      </w:tr>
      <w:tr w:rsidR="00E709C7" w:rsidRPr="00F01EC8" w14:paraId="0DC46FCE" w14:textId="77777777" w:rsidTr="00870749">
        <w:trPr>
          <w:trHeight w:val="223"/>
        </w:trPr>
        <w:tc>
          <w:tcPr>
            <w:tcW w:w="3544" w:type="dxa"/>
            <w:vAlign w:val="bottom"/>
          </w:tcPr>
          <w:p w14:paraId="6FFF00F8" w14:textId="4C2C856B" w:rsidR="00E709C7" w:rsidRPr="00F01EC8" w:rsidRDefault="00E709C7" w:rsidP="00E709C7">
            <w:pPr>
              <w:rPr>
                <w:rFonts w:asciiTheme="minorHAnsi" w:hAnsiTheme="minorHAnsi" w:cs="Arial"/>
                <w:b/>
                <w:sz w:val="20"/>
                <w:szCs w:val="20"/>
              </w:rPr>
            </w:pPr>
            <w:r w:rsidRPr="00F01EC8">
              <w:rPr>
                <w:rFonts w:asciiTheme="minorHAnsi" w:hAnsiTheme="minorHAnsi" w:cs="Arial"/>
                <w:b/>
                <w:sz w:val="20"/>
                <w:szCs w:val="20"/>
              </w:rPr>
              <w:lastRenderedPageBreak/>
              <w:t xml:space="preserve">Diluted (loss)/earnings per share </w:t>
            </w:r>
          </w:p>
        </w:tc>
        <w:tc>
          <w:tcPr>
            <w:tcW w:w="992" w:type="dxa"/>
            <w:tcBorders>
              <w:top w:val="single" w:sz="4" w:space="0" w:color="auto"/>
              <w:left w:val="nil"/>
              <w:bottom w:val="single" w:sz="12" w:space="0" w:color="auto"/>
              <w:right w:val="nil"/>
            </w:tcBorders>
            <w:vAlign w:val="bottom"/>
          </w:tcPr>
          <w:p w14:paraId="24D52487" w14:textId="6DAC215F" w:rsidR="00E709C7" w:rsidRPr="00F01EC8" w:rsidRDefault="00813115" w:rsidP="00E709C7">
            <w:pPr>
              <w:jc w:val="right"/>
              <w:rPr>
                <w:rFonts w:asciiTheme="minorHAnsi" w:hAnsiTheme="minorHAnsi" w:cstheme="minorHAnsi"/>
                <w:sz w:val="20"/>
                <w:szCs w:val="20"/>
              </w:rPr>
            </w:pPr>
            <w:r w:rsidRPr="00F01EC8">
              <w:rPr>
                <w:rFonts w:asciiTheme="minorHAnsi" w:hAnsiTheme="minorHAnsi" w:cstheme="minorHAnsi"/>
                <w:sz w:val="20"/>
                <w:szCs w:val="20"/>
              </w:rPr>
              <w:t>(23.1</w:t>
            </w:r>
            <w:r w:rsidR="00E709C7" w:rsidRPr="00F01EC8">
              <w:rPr>
                <w:rFonts w:asciiTheme="minorHAnsi" w:hAnsiTheme="minorHAnsi" w:cstheme="minorHAnsi"/>
                <w:sz w:val="20"/>
                <w:szCs w:val="20"/>
              </w:rPr>
              <w:t>)</w:t>
            </w:r>
          </w:p>
        </w:tc>
        <w:tc>
          <w:tcPr>
            <w:tcW w:w="993" w:type="dxa"/>
            <w:tcBorders>
              <w:top w:val="single" w:sz="4" w:space="0" w:color="auto"/>
              <w:left w:val="nil"/>
              <w:bottom w:val="single" w:sz="12" w:space="0" w:color="auto"/>
              <w:right w:val="nil"/>
            </w:tcBorders>
            <w:vAlign w:val="bottom"/>
          </w:tcPr>
          <w:p w14:paraId="1FE72164" w14:textId="544B7D16" w:rsidR="00E709C7" w:rsidRPr="00F01EC8" w:rsidRDefault="00E709C7" w:rsidP="00E709C7">
            <w:pPr>
              <w:ind w:left="-108"/>
              <w:jc w:val="right"/>
              <w:rPr>
                <w:rFonts w:asciiTheme="minorHAnsi" w:hAnsiTheme="minorHAnsi" w:cstheme="minorHAnsi"/>
                <w:sz w:val="20"/>
                <w:szCs w:val="20"/>
              </w:rPr>
            </w:pPr>
            <w:r w:rsidRPr="00F01EC8">
              <w:rPr>
                <w:rFonts w:asciiTheme="minorHAnsi" w:hAnsiTheme="minorHAnsi" w:cstheme="minorHAnsi"/>
                <w:sz w:val="20"/>
                <w:szCs w:val="20"/>
              </w:rPr>
              <w:t>253.5</w:t>
            </w:r>
          </w:p>
        </w:tc>
        <w:tc>
          <w:tcPr>
            <w:tcW w:w="992" w:type="dxa"/>
            <w:tcBorders>
              <w:top w:val="single" w:sz="4" w:space="0" w:color="auto"/>
              <w:left w:val="nil"/>
              <w:bottom w:val="single" w:sz="12" w:space="0" w:color="auto"/>
              <w:right w:val="nil"/>
            </w:tcBorders>
            <w:vAlign w:val="bottom"/>
          </w:tcPr>
          <w:p w14:paraId="00F8C4B6" w14:textId="4A05A671" w:rsidR="00E709C7" w:rsidRPr="00F01EC8" w:rsidRDefault="00813115" w:rsidP="00E709C7">
            <w:pPr>
              <w:jc w:val="right"/>
              <w:rPr>
                <w:rFonts w:asciiTheme="minorHAnsi" w:hAnsiTheme="minorHAnsi" w:cstheme="minorHAnsi"/>
                <w:sz w:val="20"/>
                <w:szCs w:val="20"/>
              </w:rPr>
            </w:pPr>
            <w:r w:rsidRPr="00F01EC8">
              <w:rPr>
                <w:rFonts w:asciiTheme="minorHAnsi" w:hAnsiTheme="minorHAnsi" w:cstheme="minorHAnsi"/>
                <w:sz w:val="20"/>
                <w:szCs w:val="20"/>
              </w:rPr>
              <w:t>(9</w:t>
            </w:r>
            <w:r w:rsidR="00E709C7" w:rsidRPr="00F01EC8">
              <w:rPr>
                <w:rFonts w:asciiTheme="minorHAnsi" w:hAnsiTheme="minorHAnsi" w:cstheme="minorHAnsi"/>
                <w:sz w:val="20"/>
                <w:szCs w:val="20"/>
              </w:rPr>
              <w:t>.1)</w:t>
            </w:r>
          </w:p>
        </w:tc>
        <w:tc>
          <w:tcPr>
            <w:tcW w:w="1134" w:type="dxa"/>
            <w:tcBorders>
              <w:top w:val="single" w:sz="4" w:space="0" w:color="auto"/>
              <w:left w:val="nil"/>
              <w:bottom w:val="single" w:sz="12" w:space="0" w:color="auto"/>
              <w:right w:val="nil"/>
            </w:tcBorders>
          </w:tcPr>
          <w:p w14:paraId="629F2340" w14:textId="0A47B84A"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24.6 </w:t>
            </w:r>
          </w:p>
        </w:tc>
        <w:tc>
          <w:tcPr>
            <w:tcW w:w="1134" w:type="dxa"/>
            <w:tcBorders>
              <w:top w:val="single" w:sz="4" w:space="0" w:color="auto"/>
              <w:left w:val="nil"/>
              <w:bottom w:val="single" w:sz="12" w:space="0" w:color="auto"/>
              <w:right w:val="nil"/>
            </w:tcBorders>
          </w:tcPr>
          <w:p w14:paraId="0E1843BE" w14:textId="019D98F8" w:rsidR="00E709C7" w:rsidRPr="00F01EC8" w:rsidRDefault="00E709C7" w:rsidP="00E709C7">
            <w:pPr>
              <w:ind w:left="-108"/>
              <w:jc w:val="right"/>
              <w:rPr>
                <w:rFonts w:asciiTheme="minorHAnsi" w:hAnsiTheme="minorHAnsi" w:cstheme="minorHAnsi"/>
                <w:sz w:val="20"/>
                <w:szCs w:val="20"/>
              </w:rPr>
            </w:pPr>
            <w:r w:rsidRPr="00F01EC8">
              <w:rPr>
                <w:rFonts w:asciiTheme="minorHAnsi" w:hAnsiTheme="minorHAnsi" w:cstheme="minorHAnsi"/>
                <w:sz w:val="20"/>
                <w:szCs w:val="20"/>
              </w:rPr>
              <w:t>254.5 </w:t>
            </w:r>
          </w:p>
        </w:tc>
        <w:tc>
          <w:tcPr>
            <w:tcW w:w="1134" w:type="dxa"/>
            <w:tcBorders>
              <w:top w:val="single" w:sz="4" w:space="0" w:color="auto"/>
              <w:left w:val="nil"/>
              <w:bottom w:val="single" w:sz="12" w:space="0" w:color="auto"/>
              <w:right w:val="nil"/>
            </w:tcBorders>
          </w:tcPr>
          <w:p w14:paraId="53EB87C5" w14:textId="3EE44909"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9.7 </w:t>
            </w:r>
          </w:p>
        </w:tc>
      </w:tr>
    </w:tbl>
    <w:p w14:paraId="1F8FA4F2" w14:textId="77777777" w:rsidR="009D39AC" w:rsidRPr="00F01EC8" w:rsidRDefault="009D39AC" w:rsidP="00DA6694">
      <w:pPr>
        <w:jc w:val="both"/>
        <w:rPr>
          <w:rFonts w:asciiTheme="minorHAnsi" w:hAnsiTheme="minorHAnsi" w:cs="Arial"/>
          <w:sz w:val="20"/>
          <w:szCs w:val="20"/>
        </w:rPr>
      </w:pPr>
    </w:p>
    <w:p w14:paraId="181A3155" w14:textId="26C19174" w:rsidR="00D305E9" w:rsidRPr="00F01EC8" w:rsidRDefault="00AE5765" w:rsidP="00DA6694">
      <w:pPr>
        <w:jc w:val="both"/>
        <w:rPr>
          <w:rFonts w:asciiTheme="minorHAnsi" w:hAnsiTheme="minorHAnsi" w:cs="Arial"/>
          <w:sz w:val="20"/>
          <w:szCs w:val="20"/>
        </w:rPr>
      </w:pPr>
      <w:r w:rsidRPr="00F01EC8">
        <w:rPr>
          <w:rFonts w:asciiTheme="minorHAnsi" w:hAnsiTheme="minorHAnsi" w:cs="Arial"/>
          <w:sz w:val="20"/>
          <w:szCs w:val="20"/>
        </w:rPr>
        <w:t>A</w:t>
      </w:r>
      <w:r w:rsidR="00DA6694" w:rsidRPr="00F01EC8">
        <w:rPr>
          <w:rFonts w:asciiTheme="minorHAnsi" w:hAnsiTheme="minorHAnsi" w:cs="Arial"/>
          <w:sz w:val="20"/>
          <w:szCs w:val="20"/>
        </w:rPr>
        <w:t xml:space="preserve">n adjusted </w:t>
      </w:r>
      <w:r w:rsidRPr="00F01EC8">
        <w:rPr>
          <w:rFonts w:asciiTheme="minorHAnsi" w:hAnsiTheme="minorHAnsi" w:cs="Arial"/>
          <w:sz w:val="20"/>
          <w:szCs w:val="20"/>
        </w:rPr>
        <w:t>(loss)/</w:t>
      </w:r>
      <w:r w:rsidR="00DA6694" w:rsidRPr="00F01EC8">
        <w:rPr>
          <w:rFonts w:asciiTheme="minorHAnsi" w:hAnsiTheme="minorHAnsi" w:cs="Arial"/>
          <w:sz w:val="20"/>
          <w:szCs w:val="20"/>
        </w:rPr>
        <w:t xml:space="preserve">earnings per share </w:t>
      </w:r>
      <w:r w:rsidRPr="00F01EC8">
        <w:rPr>
          <w:rFonts w:asciiTheme="minorHAnsi" w:hAnsiTheme="minorHAnsi" w:cs="Arial"/>
          <w:sz w:val="20"/>
          <w:szCs w:val="20"/>
        </w:rPr>
        <w:t xml:space="preserve">has been presented </w:t>
      </w:r>
      <w:r w:rsidR="00DA6694" w:rsidRPr="00F01EC8">
        <w:rPr>
          <w:rFonts w:asciiTheme="minorHAnsi" w:hAnsiTheme="minorHAnsi" w:cs="Arial"/>
          <w:sz w:val="20"/>
          <w:szCs w:val="20"/>
        </w:rPr>
        <w:t xml:space="preserve">prior to the amortisation of acquisition intangibles which arose on the acquisition of Moneybarn in August 2014 and prior to exceptional items (see note 4). This is presented to show the </w:t>
      </w:r>
      <w:r w:rsidRPr="00F01EC8">
        <w:rPr>
          <w:rFonts w:asciiTheme="minorHAnsi" w:hAnsiTheme="minorHAnsi" w:cs="Arial"/>
          <w:sz w:val="20"/>
          <w:szCs w:val="20"/>
        </w:rPr>
        <w:t>(loss)/</w:t>
      </w:r>
      <w:r w:rsidR="00DA6694" w:rsidRPr="00F01EC8">
        <w:rPr>
          <w:rFonts w:asciiTheme="minorHAnsi" w:hAnsiTheme="minorHAnsi" w:cs="Arial"/>
          <w:sz w:val="20"/>
          <w:szCs w:val="20"/>
        </w:rPr>
        <w:t xml:space="preserve">earnings per share generated by the </w:t>
      </w:r>
      <w:r w:rsidR="005714EF">
        <w:rPr>
          <w:rFonts w:asciiTheme="minorHAnsi" w:hAnsiTheme="minorHAnsi" w:cs="Arial"/>
          <w:sz w:val="20"/>
          <w:szCs w:val="20"/>
        </w:rPr>
        <w:t>G</w:t>
      </w:r>
      <w:r w:rsidR="00DA6694" w:rsidRPr="00F01EC8">
        <w:rPr>
          <w:rFonts w:asciiTheme="minorHAnsi" w:hAnsiTheme="minorHAnsi" w:cs="Arial"/>
          <w:sz w:val="20"/>
          <w:szCs w:val="20"/>
        </w:rPr>
        <w:t xml:space="preserve">roup’s underlying operations. A reconciliation of basic and diluted </w:t>
      </w:r>
      <w:r w:rsidRPr="00F01EC8">
        <w:rPr>
          <w:rFonts w:asciiTheme="minorHAnsi" w:hAnsiTheme="minorHAnsi" w:cs="Arial"/>
          <w:sz w:val="20"/>
          <w:szCs w:val="20"/>
        </w:rPr>
        <w:t>(loss)/</w:t>
      </w:r>
      <w:r w:rsidR="00DA6694" w:rsidRPr="00F01EC8">
        <w:rPr>
          <w:rFonts w:asciiTheme="minorHAnsi" w:hAnsiTheme="minorHAnsi" w:cs="Arial"/>
          <w:sz w:val="20"/>
          <w:szCs w:val="20"/>
        </w:rPr>
        <w:t xml:space="preserve">earnings per share to adjusted basic and diluted </w:t>
      </w:r>
      <w:r w:rsidRPr="00F01EC8">
        <w:rPr>
          <w:rFonts w:asciiTheme="minorHAnsi" w:hAnsiTheme="minorHAnsi" w:cs="Arial"/>
          <w:sz w:val="20"/>
          <w:szCs w:val="20"/>
        </w:rPr>
        <w:t>(loss)/</w:t>
      </w:r>
      <w:r w:rsidR="00DA6694" w:rsidRPr="00F01EC8">
        <w:rPr>
          <w:rFonts w:asciiTheme="minorHAnsi" w:hAnsiTheme="minorHAnsi" w:cs="Arial"/>
          <w:sz w:val="20"/>
          <w:szCs w:val="20"/>
        </w:rPr>
        <w:t>earnings per share is as follows:</w:t>
      </w:r>
    </w:p>
    <w:p w14:paraId="0F531E3C" w14:textId="77777777" w:rsidR="00DA6694" w:rsidRPr="00F01EC8" w:rsidRDefault="00DA6694" w:rsidP="00FB2FF4">
      <w:pPr>
        <w:jc w:val="both"/>
        <w:rPr>
          <w:rFonts w:asciiTheme="minorHAnsi" w:hAnsiTheme="minorHAnsi"/>
          <w:sz w:val="20"/>
          <w:szCs w:val="20"/>
        </w:rPr>
      </w:pPr>
    </w:p>
    <w:tbl>
      <w:tblPr>
        <w:tblW w:w="9923" w:type="dxa"/>
        <w:tblLayout w:type="fixed"/>
        <w:tblLook w:val="0000" w:firstRow="0" w:lastRow="0" w:firstColumn="0" w:lastColumn="0" w:noHBand="0" w:noVBand="0"/>
      </w:tblPr>
      <w:tblGrid>
        <w:gridCol w:w="3686"/>
        <w:gridCol w:w="992"/>
        <w:gridCol w:w="1134"/>
        <w:gridCol w:w="992"/>
        <w:gridCol w:w="993"/>
        <w:gridCol w:w="1134"/>
        <w:gridCol w:w="992"/>
      </w:tblGrid>
      <w:tr w:rsidR="00DA6694" w:rsidRPr="00F01EC8" w14:paraId="6053F786" w14:textId="77777777" w:rsidTr="00243E4F">
        <w:tc>
          <w:tcPr>
            <w:tcW w:w="3686" w:type="dxa"/>
          </w:tcPr>
          <w:p w14:paraId="02BB982D" w14:textId="77777777" w:rsidR="00DA6694" w:rsidRPr="00F01EC8" w:rsidRDefault="00DA6694" w:rsidP="00AC0A5D">
            <w:pPr>
              <w:jc w:val="right"/>
              <w:rPr>
                <w:rFonts w:asciiTheme="minorHAnsi" w:hAnsiTheme="minorHAnsi" w:cs="Arial"/>
                <w:sz w:val="20"/>
                <w:szCs w:val="20"/>
              </w:rPr>
            </w:pPr>
          </w:p>
        </w:tc>
        <w:tc>
          <w:tcPr>
            <w:tcW w:w="6237" w:type="dxa"/>
            <w:gridSpan w:val="6"/>
          </w:tcPr>
          <w:p w14:paraId="71C9A88C"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73E8DE2E" w14:textId="77777777" w:rsidTr="00243E4F">
        <w:tc>
          <w:tcPr>
            <w:tcW w:w="3686" w:type="dxa"/>
          </w:tcPr>
          <w:p w14:paraId="104BB968" w14:textId="77777777" w:rsidR="00DA6694" w:rsidRPr="00F01EC8" w:rsidRDefault="00DA6694" w:rsidP="00AC0A5D">
            <w:pPr>
              <w:jc w:val="right"/>
              <w:rPr>
                <w:rFonts w:asciiTheme="minorHAnsi" w:hAnsiTheme="minorHAnsi" w:cs="Arial"/>
                <w:sz w:val="20"/>
                <w:szCs w:val="20"/>
              </w:rPr>
            </w:pPr>
          </w:p>
        </w:tc>
        <w:tc>
          <w:tcPr>
            <w:tcW w:w="3118" w:type="dxa"/>
            <w:gridSpan w:val="3"/>
          </w:tcPr>
          <w:p w14:paraId="44148992" w14:textId="1AF81917" w:rsidR="00DA6694" w:rsidRPr="00F01EC8" w:rsidRDefault="00AC3CF7" w:rsidP="00AC0A5D">
            <w:pPr>
              <w:jc w:val="center"/>
              <w:rPr>
                <w:rFonts w:asciiTheme="minorHAnsi" w:hAnsiTheme="minorHAnsi" w:cs="Arial"/>
                <w:sz w:val="20"/>
                <w:szCs w:val="20"/>
              </w:rPr>
            </w:pPr>
            <w:r w:rsidRPr="00F01EC8">
              <w:rPr>
                <w:rFonts w:asciiTheme="minorHAnsi" w:hAnsiTheme="minorHAnsi" w:cs="Arial"/>
                <w:sz w:val="20"/>
                <w:szCs w:val="20"/>
              </w:rPr>
              <w:t xml:space="preserve">      </w:t>
            </w:r>
            <w:r w:rsidR="00DA6694" w:rsidRPr="00F01EC8">
              <w:rPr>
                <w:rFonts w:asciiTheme="minorHAnsi" w:hAnsiTheme="minorHAnsi" w:cs="Arial"/>
                <w:sz w:val="20"/>
                <w:szCs w:val="20"/>
              </w:rPr>
              <w:t>20</w:t>
            </w:r>
            <w:r w:rsidR="001440D0" w:rsidRPr="00F01EC8">
              <w:rPr>
                <w:rFonts w:asciiTheme="minorHAnsi" w:hAnsiTheme="minorHAnsi" w:cs="Arial"/>
                <w:sz w:val="20"/>
                <w:szCs w:val="20"/>
              </w:rPr>
              <w:t>20</w:t>
            </w:r>
          </w:p>
        </w:tc>
        <w:tc>
          <w:tcPr>
            <w:tcW w:w="3119" w:type="dxa"/>
            <w:gridSpan w:val="3"/>
          </w:tcPr>
          <w:p w14:paraId="62EE881E" w14:textId="6D4CB793"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201</w:t>
            </w:r>
            <w:r w:rsidR="001440D0" w:rsidRPr="00F01EC8">
              <w:rPr>
                <w:rFonts w:asciiTheme="minorHAnsi" w:hAnsiTheme="minorHAnsi" w:cs="Arial"/>
                <w:sz w:val="20"/>
                <w:szCs w:val="20"/>
              </w:rPr>
              <w:t>9</w:t>
            </w:r>
            <w:r w:rsidR="00E709C7" w:rsidRPr="00F01EC8">
              <w:rPr>
                <w:rFonts w:asciiTheme="minorHAnsi" w:hAnsiTheme="minorHAnsi" w:cs="Arial"/>
                <w:sz w:val="20"/>
                <w:szCs w:val="20"/>
              </w:rPr>
              <w:t xml:space="preserve"> (restated)</w:t>
            </w:r>
          </w:p>
        </w:tc>
      </w:tr>
      <w:tr w:rsidR="00DA6694" w:rsidRPr="00F01EC8" w14:paraId="63889A0B" w14:textId="77777777" w:rsidTr="00243E4F">
        <w:tc>
          <w:tcPr>
            <w:tcW w:w="3686" w:type="dxa"/>
          </w:tcPr>
          <w:p w14:paraId="47A09182" w14:textId="77777777" w:rsidR="00DA6694" w:rsidRPr="00F01EC8" w:rsidRDefault="00DA6694" w:rsidP="00AC0A5D">
            <w:pPr>
              <w:jc w:val="right"/>
              <w:rPr>
                <w:rFonts w:asciiTheme="minorHAnsi" w:hAnsiTheme="minorHAnsi" w:cs="Arial"/>
                <w:sz w:val="20"/>
                <w:szCs w:val="20"/>
              </w:rPr>
            </w:pPr>
          </w:p>
        </w:tc>
        <w:tc>
          <w:tcPr>
            <w:tcW w:w="992" w:type="dxa"/>
          </w:tcPr>
          <w:p w14:paraId="75FAF95F" w14:textId="77777777" w:rsidR="00DA6694" w:rsidRPr="00F01EC8" w:rsidRDefault="00DA6694" w:rsidP="00AC0A5D">
            <w:pPr>
              <w:jc w:val="right"/>
              <w:rPr>
                <w:rFonts w:asciiTheme="minorHAnsi" w:hAnsiTheme="minorHAnsi" w:cs="Arial"/>
                <w:sz w:val="20"/>
                <w:szCs w:val="20"/>
              </w:rPr>
            </w:pPr>
          </w:p>
          <w:p w14:paraId="383DA6DA" w14:textId="77777777" w:rsidR="00DA6694" w:rsidRPr="00F01EC8" w:rsidRDefault="00DA6694" w:rsidP="00AC0A5D">
            <w:pPr>
              <w:jc w:val="right"/>
              <w:rPr>
                <w:rFonts w:asciiTheme="minorHAnsi" w:hAnsiTheme="minorHAnsi" w:cs="Arial"/>
                <w:sz w:val="20"/>
                <w:szCs w:val="20"/>
              </w:rPr>
            </w:pPr>
          </w:p>
          <w:p w14:paraId="3036BE0E" w14:textId="77777777" w:rsidR="00DA6694" w:rsidRPr="00F01EC8" w:rsidRDefault="00DA6694" w:rsidP="00AC0A5D">
            <w:pPr>
              <w:jc w:val="right"/>
              <w:rPr>
                <w:rFonts w:asciiTheme="minorHAnsi" w:hAnsiTheme="minorHAnsi" w:cs="Arial"/>
                <w:sz w:val="20"/>
                <w:szCs w:val="20"/>
              </w:rPr>
            </w:pPr>
          </w:p>
          <w:p w14:paraId="3F25F62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Earnings </w:t>
            </w:r>
          </w:p>
        </w:tc>
        <w:tc>
          <w:tcPr>
            <w:tcW w:w="1134" w:type="dxa"/>
          </w:tcPr>
          <w:p w14:paraId="2E61128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Weighted  </w:t>
            </w:r>
          </w:p>
          <w:p w14:paraId="5D11AA0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average  </w:t>
            </w:r>
          </w:p>
          <w:p w14:paraId="09B3A8B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number  </w:t>
            </w:r>
          </w:p>
          <w:p w14:paraId="4C5CC288" w14:textId="70162EC4" w:rsidR="00DA6694" w:rsidRPr="00F01EC8" w:rsidRDefault="00204254" w:rsidP="00AC0A5D">
            <w:pPr>
              <w:jc w:val="right"/>
              <w:rPr>
                <w:rFonts w:asciiTheme="minorHAnsi" w:hAnsiTheme="minorHAnsi" w:cs="Arial"/>
                <w:sz w:val="20"/>
                <w:szCs w:val="20"/>
              </w:rPr>
            </w:pPr>
            <w:r w:rsidRPr="00F01EC8">
              <w:rPr>
                <w:rFonts w:asciiTheme="minorHAnsi" w:hAnsiTheme="minorHAnsi" w:cs="Arial"/>
                <w:sz w:val="20"/>
                <w:szCs w:val="20"/>
              </w:rPr>
              <w:t>of shares</w:t>
            </w:r>
            <w:r w:rsidR="00DA6694" w:rsidRPr="00F01EC8">
              <w:rPr>
                <w:rFonts w:asciiTheme="minorHAnsi" w:hAnsiTheme="minorHAnsi" w:cs="Arial"/>
                <w:sz w:val="20"/>
                <w:szCs w:val="20"/>
              </w:rPr>
              <w:t> </w:t>
            </w:r>
          </w:p>
        </w:tc>
        <w:tc>
          <w:tcPr>
            <w:tcW w:w="992" w:type="dxa"/>
          </w:tcPr>
          <w:p w14:paraId="15EA21AE" w14:textId="77777777" w:rsidR="00DA6694" w:rsidRPr="00F01EC8" w:rsidRDefault="00DA6694" w:rsidP="00AC0A5D">
            <w:pPr>
              <w:jc w:val="right"/>
              <w:rPr>
                <w:rFonts w:asciiTheme="minorHAnsi" w:hAnsiTheme="minorHAnsi" w:cs="Arial"/>
                <w:sz w:val="20"/>
                <w:szCs w:val="20"/>
              </w:rPr>
            </w:pPr>
          </w:p>
          <w:p w14:paraId="243C4962" w14:textId="77777777" w:rsidR="00AC3CF7"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Per  </w:t>
            </w:r>
          </w:p>
          <w:p w14:paraId="521ABDB1" w14:textId="253CB018"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share  </w:t>
            </w:r>
          </w:p>
          <w:p w14:paraId="66EC12F4"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amount </w:t>
            </w:r>
          </w:p>
        </w:tc>
        <w:tc>
          <w:tcPr>
            <w:tcW w:w="993" w:type="dxa"/>
          </w:tcPr>
          <w:p w14:paraId="09A00AD0" w14:textId="77777777" w:rsidR="00DA6694" w:rsidRPr="00F01EC8" w:rsidRDefault="00DA6694" w:rsidP="00AC0A5D">
            <w:pPr>
              <w:jc w:val="right"/>
              <w:rPr>
                <w:rFonts w:asciiTheme="minorHAnsi" w:hAnsiTheme="minorHAnsi" w:cs="Arial"/>
                <w:sz w:val="20"/>
                <w:szCs w:val="20"/>
              </w:rPr>
            </w:pPr>
          </w:p>
          <w:p w14:paraId="5BCB7DD1" w14:textId="77777777" w:rsidR="00DA6694" w:rsidRPr="00F01EC8" w:rsidRDefault="00DA6694" w:rsidP="00AC0A5D">
            <w:pPr>
              <w:jc w:val="right"/>
              <w:rPr>
                <w:rFonts w:asciiTheme="minorHAnsi" w:hAnsiTheme="minorHAnsi" w:cs="Arial"/>
                <w:sz w:val="20"/>
                <w:szCs w:val="20"/>
              </w:rPr>
            </w:pPr>
          </w:p>
          <w:p w14:paraId="28A693DE" w14:textId="77777777" w:rsidR="00DA6694" w:rsidRPr="00F01EC8" w:rsidRDefault="00DA6694" w:rsidP="00AC0A5D">
            <w:pPr>
              <w:jc w:val="right"/>
              <w:rPr>
                <w:rFonts w:asciiTheme="minorHAnsi" w:hAnsiTheme="minorHAnsi" w:cs="Arial"/>
                <w:sz w:val="20"/>
                <w:szCs w:val="20"/>
              </w:rPr>
            </w:pPr>
          </w:p>
          <w:p w14:paraId="1983766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Earnings </w:t>
            </w:r>
          </w:p>
        </w:tc>
        <w:tc>
          <w:tcPr>
            <w:tcW w:w="1134" w:type="dxa"/>
          </w:tcPr>
          <w:p w14:paraId="6363181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Weighted  </w:t>
            </w:r>
          </w:p>
          <w:p w14:paraId="6B9F80F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average  </w:t>
            </w:r>
          </w:p>
          <w:p w14:paraId="6124864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xml:space="preserve">number  </w:t>
            </w:r>
          </w:p>
          <w:p w14:paraId="51407BA8" w14:textId="75433C63" w:rsidR="00DA6694" w:rsidRPr="00F01EC8" w:rsidRDefault="00204254" w:rsidP="00AC0A5D">
            <w:pPr>
              <w:jc w:val="right"/>
              <w:rPr>
                <w:rFonts w:asciiTheme="minorHAnsi" w:hAnsiTheme="minorHAnsi" w:cs="Arial"/>
                <w:sz w:val="20"/>
                <w:szCs w:val="20"/>
              </w:rPr>
            </w:pPr>
            <w:r w:rsidRPr="00F01EC8">
              <w:rPr>
                <w:rFonts w:asciiTheme="minorHAnsi" w:hAnsiTheme="minorHAnsi" w:cs="Arial"/>
                <w:sz w:val="20"/>
                <w:szCs w:val="20"/>
              </w:rPr>
              <w:t>of shares</w:t>
            </w:r>
            <w:r w:rsidR="00DA6694" w:rsidRPr="00F01EC8">
              <w:rPr>
                <w:rFonts w:asciiTheme="minorHAnsi" w:hAnsiTheme="minorHAnsi" w:cs="Arial"/>
                <w:sz w:val="20"/>
                <w:szCs w:val="20"/>
              </w:rPr>
              <w:t> </w:t>
            </w:r>
          </w:p>
        </w:tc>
        <w:tc>
          <w:tcPr>
            <w:tcW w:w="992" w:type="dxa"/>
          </w:tcPr>
          <w:p w14:paraId="31D4AD68" w14:textId="77777777" w:rsidR="00DA6694" w:rsidRPr="00F01EC8" w:rsidRDefault="00DA6694" w:rsidP="00AC0A5D">
            <w:pPr>
              <w:jc w:val="right"/>
              <w:rPr>
                <w:rFonts w:asciiTheme="minorHAnsi" w:hAnsiTheme="minorHAnsi" w:cs="Arial"/>
                <w:sz w:val="20"/>
                <w:szCs w:val="20"/>
              </w:rPr>
            </w:pPr>
          </w:p>
          <w:p w14:paraId="1F3B6DFA" w14:textId="77777777" w:rsidR="00AC3CF7" w:rsidRPr="00F01EC8" w:rsidRDefault="00DA6694" w:rsidP="00AC3CF7">
            <w:pPr>
              <w:jc w:val="right"/>
              <w:rPr>
                <w:rFonts w:asciiTheme="minorHAnsi" w:hAnsiTheme="minorHAnsi" w:cs="Arial"/>
                <w:sz w:val="20"/>
                <w:szCs w:val="20"/>
              </w:rPr>
            </w:pPr>
            <w:r w:rsidRPr="00F01EC8">
              <w:rPr>
                <w:rFonts w:asciiTheme="minorHAnsi" w:hAnsiTheme="minorHAnsi" w:cs="Arial"/>
                <w:sz w:val="20"/>
                <w:szCs w:val="20"/>
              </w:rPr>
              <w:t>Per</w:t>
            </w:r>
          </w:p>
          <w:p w14:paraId="2807FCC4" w14:textId="77777777" w:rsidR="00AC3CF7" w:rsidRPr="00F01EC8" w:rsidRDefault="00DA6694" w:rsidP="00AC3CF7">
            <w:pPr>
              <w:jc w:val="right"/>
              <w:rPr>
                <w:rFonts w:asciiTheme="minorHAnsi" w:hAnsiTheme="minorHAnsi" w:cs="Arial"/>
                <w:sz w:val="20"/>
                <w:szCs w:val="20"/>
              </w:rPr>
            </w:pPr>
            <w:r w:rsidRPr="00F01EC8">
              <w:rPr>
                <w:rFonts w:asciiTheme="minorHAnsi" w:hAnsiTheme="minorHAnsi" w:cs="Arial"/>
                <w:sz w:val="20"/>
                <w:szCs w:val="20"/>
              </w:rPr>
              <w:t xml:space="preserve">  share  </w:t>
            </w:r>
          </w:p>
          <w:p w14:paraId="5F693E51" w14:textId="45F6CC4A" w:rsidR="00DA6694" w:rsidRPr="00F01EC8" w:rsidRDefault="00DA6694">
            <w:pPr>
              <w:jc w:val="right"/>
              <w:rPr>
                <w:rFonts w:asciiTheme="minorHAnsi" w:hAnsiTheme="minorHAnsi" w:cs="Arial"/>
                <w:sz w:val="20"/>
                <w:szCs w:val="20"/>
              </w:rPr>
            </w:pPr>
            <w:r w:rsidRPr="00F01EC8">
              <w:rPr>
                <w:rFonts w:asciiTheme="minorHAnsi" w:hAnsiTheme="minorHAnsi" w:cs="Arial"/>
                <w:sz w:val="20"/>
                <w:szCs w:val="20"/>
              </w:rPr>
              <w:t xml:space="preserve">amount  </w:t>
            </w:r>
          </w:p>
        </w:tc>
      </w:tr>
      <w:tr w:rsidR="00DA6694" w:rsidRPr="00F01EC8" w14:paraId="029B94BC" w14:textId="77777777" w:rsidTr="00243E4F">
        <w:tc>
          <w:tcPr>
            <w:tcW w:w="3686" w:type="dxa"/>
          </w:tcPr>
          <w:p w14:paraId="0A8A7210" w14:textId="77777777" w:rsidR="00DA6694" w:rsidRPr="00F01EC8" w:rsidRDefault="00DA6694" w:rsidP="00AC0A5D">
            <w:pPr>
              <w:jc w:val="right"/>
              <w:rPr>
                <w:rFonts w:asciiTheme="minorHAnsi" w:hAnsiTheme="minorHAnsi" w:cs="Arial"/>
                <w:sz w:val="20"/>
                <w:szCs w:val="20"/>
              </w:rPr>
            </w:pPr>
          </w:p>
        </w:tc>
        <w:tc>
          <w:tcPr>
            <w:tcW w:w="992" w:type="dxa"/>
            <w:tcBorders>
              <w:top w:val="nil"/>
              <w:left w:val="nil"/>
              <w:bottom w:val="single" w:sz="4" w:space="0" w:color="auto"/>
              <w:right w:val="nil"/>
            </w:tcBorders>
          </w:tcPr>
          <w:p w14:paraId="7C469006"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1134" w:type="dxa"/>
            <w:tcBorders>
              <w:top w:val="nil"/>
              <w:left w:val="nil"/>
              <w:bottom w:val="single" w:sz="4" w:space="0" w:color="auto"/>
              <w:right w:val="nil"/>
            </w:tcBorders>
          </w:tcPr>
          <w:p w14:paraId="3A102992"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992" w:type="dxa"/>
            <w:tcBorders>
              <w:top w:val="nil"/>
              <w:left w:val="nil"/>
              <w:bottom w:val="single" w:sz="4" w:space="0" w:color="auto"/>
              <w:right w:val="nil"/>
            </w:tcBorders>
          </w:tcPr>
          <w:p w14:paraId="19179564"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pence </w:t>
            </w:r>
          </w:p>
        </w:tc>
        <w:tc>
          <w:tcPr>
            <w:tcW w:w="993" w:type="dxa"/>
            <w:tcBorders>
              <w:top w:val="nil"/>
              <w:left w:val="nil"/>
              <w:bottom w:val="single" w:sz="4" w:space="0" w:color="auto"/>
              <w:right w:val="nil"/>
            </w:tcBorders>
          </w:tcPr>
          <w:p w14:paraId="38CADE84"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1134" w:type="dxa"/>
            <w:tcBorders>
              <w:top w:val="nil"/>
              <w:left w:val="nil"/>
              <w:bottom w:val="single" w:sz="4" w:space="0" w:color="auto"/>
              <w:right w:val="nil"/>
            </w:tcBorders>
          </w:tcPr>
          <w:p w14:paraId="59C748D7"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m </w:t>
            </w:r>
          </w:p>
        </w:tc>
        <w:tc>
          <w:tcPr>
            <w:tcW w:w="992" w:type="dxa"/>
            <w:tcBorders>
              <w:top w:val="nil"/>
              <w:left w:val="nil"/>
              <w:bottom w:val="single" w:sz="4" w:space="0" w:color="auto"/>
              <w:right w:val="nil"/>
            </w:tcBorders>
          </w:tcPr>
          <w:p w14:paraId="4D42469B" w14:textId="77777777" w:rsidR="00DA6694" w:rsidRPr="00F01EC8" w:rsidRDefault="00DA6694" w:rsidP="00AC0A5D">
            <w:pPr>
              <w:jc w:val="right"/>
              <w:rPr>
                <w:rFonts w:asciiTheme="minorHAnsi" w:hAnsiTheme="minorHAnsi" w:cs="Arial"/>
                <w:sz w:val="20"/>
                <w:szCs w:val="20"/>
                <w:lang w:val="fr-FR"/>
              </w:rPr>
            </w:pPr>
            <w:r w:rsidRPr="00F01EC8">
              <w:rPr>
                <w:rFonts w:asciiTheme="minorHAnsi" w:hAnsiTheme="minorHAnsi" w:cs="Arial"/>
                <w:sz w:val="20"/>
                <w:szCs w:val="20"/>
                <w:lang w:val="fr-FR"/>
              </w:rPr>
              <w:t>pence </w:t>
            </w:r>
          </w:p>
        </w:tc>
      </w:tr>
      <w:tr w:rsidR="00E709C7" w:rsidRPr="00F01EC8" w14:paraId="0D7E8877" w14:textId="77777777" w:rsidTr="00243E4F">
        <w:tc>
          <w:tcPr>
            <w:tcW w:w="3686" w:type="dxa"/>
            <w:vAlign w:val="bottom"/>
          </w:tcPr>
          <w:p w14:paraId="25A59D68" w14:textId="2847FE55" w:rsidR="00E709C7" w:rsidRPr="00F01EC8" w:rsidRDefault="00E709C7" w:rsidP="00E709C7">
            <w:pPr>
              <w:rPr>
                <w:rFonts w:asciiTheme="minorHAnsi" w:hAnsiTheme="minorHAnsi" w:cs="Arial"/>
                <w:b/>
                <w:sz w:val="20"/>
                <w:szCs w:val="20"/>
              </w:rPr>
            </w:pPr>
            <w:r w:rsidRPr="00F01EC8">
              <w:rPr>
                <w:rFonts w:asciiTheme="minorHAnsi" w:hAnsiTheme="minorHAnsi" w:cs="Arial"/>
                <w:b/>
                <w:sz w:val="20"/>
                <w:szCs w:val="20"/>
              </w:rPr>
              <w:t xml:space="preserve">Basic </w:t>
            </w:r>
            <w:r w:rsidR="00AE5765" w:rsidRPr="00F01EC8">
              <w:rPr>
                <w:rFonts w:asciiTheme="minorHAnsi" w:hAnsiTheme="minorHAnsi" w:cs="Arial"/>
                <w:b/>
                <w:sz w:val="20"/>
                <w:szCs w:val="20"/>
              </w:rPr>
              <w:t>(loss)/</w:t>
            </w:r>
            <w:r w:rsidRPr="00F01EC8">
              <w:rPr>
                <w:rFonts w:asciiTheme="minorHAnsi" w:hAnsiTheme="minorHAnsi" w:cs="Arial"/>
                <w:b/>
                <w:sz w:val="20"/>
                <w:szCs w:val="20"/>
              </w:rPr>
              <w:t xml:space="preserve">earnings per share </w:t>
            </w:r>
          </w:p>
        </w:tc>
        <w:tc>
          <w:tcPr>
            <w:tcW w:w="992" w:type="dxa"/>
            <w:tcBorders>
              <w:top w:val="single" w:sz="4" w:space="0" w:color="auto"/>
              <w:left w:val="nil"/>
              <w:right w:val="nil"/>
            </w:tcBorders>
            <w:vAlign w:val="bottom"/>
          </w:tcPr>
          <w:p w14:paraId="5D945F98" w14:textId="03048DA5" w:rsidR="00E709C7" w:rsidRPr="00F01EC8" w:rsidRDefault="00813115" w:rsidP="00E709C7">
            <w:pPr>
              <w:jc w:val="right"/>
              <w:rPr>
                <w:rFonts w:asciiTheme="minorHAnsi" w:hAnsiTheme="minorHAnsi" w:cstheme="minorHAnsi"/>
                <w:sz w:val="20"/>
                <w:szCs w:val="20"/>
                <w:highlight w:val="yellow"/>
              </w:rPr>
            </w:pPr>
            <w:r w:rsidRPr="00F01EC8">
              <w:rPr>
                <w:rFonts w:asciiTheme="minorHAnsi" w:hAnsiTheme="minorHAnsi" w:cstheme="minorHAnsi"/>
                <w:sz w:val="20"/>
                <w:szCs w:val="20"/>
              </w:rPr>
              <w:t>(23.1</w:t>
            </w:r>
            <w:r w:rsidR="00E709C7" w:rsidRPr="00F01EC8">
              <w:rPr>
                <w:rFonts w:asciiTheme="minorHAnsi" w:hAnsiTheme="minorHAnsi" w:cstheme="minorHAnsi"/>
                <w:sz w:val="20"/>
                <w:szCs w:val="20"/>
              </w:rPr>
              <w:t>)</w:t>
            </w:r>
          </w:p>
        </w:tc>
        <w:tc>
          <w:tcPr>
            <w:tcW w:w="1134" w:type="dxa"/>
            <w:tcBorders>
              <w:top w:val="single" w:sz="4" w:space="0" w:color="auto"/>
              <w:left w:val="nil"/>
              <w:right w:val="nil"/>
            </w:tcBorders>
            <w:vAlign w:val="bottom"/>
          </w:tcPr>
          <w:p w14:paraId="20243FA2" w14:textId="1150F771" w:rsidR="00E709C7" w:rsidRPr="00F01EC8" w:rsidRDefault="00E709C7" w:rsidP="00E709C7">
            <w:pPr>
              <w:ind w:left="-108"/>
              <w:jc w:val="right"/>
              <w:rPr>
                <w:rFonts w:asciiTheme="minorHAnsi" w:hAnsiTheme="minorHAnsi" w:cstheme="minorHAnsi"/>
                <w:sz w:val="20"/>
                <w:szCs w:val="20"/>
                <w:highlight w:val="yellow"/>
              </w:rPr>
            </w:pPr>
            <w:r w:rsidRPr="00F01EC8">
              <w:rPr>
                <w:rFonts w:asciiTheme="minorHAnsi" w:hAnsiTheme="minorHAnsi" w:cstheme="minorHAnsi"/>
                <w:sz w:val="20"/>
                <w:szCs w:val="20"/>
              </w:rPr>
              <w:t>253.5</w:t>
            </w:r>
          </w:p>
        </w:tc>
        <w:tc>
          <w:tcPr>
            <w:tcW w:w="992" w:type="dxa"/>
            <w:tcBorders>
              <w:top w:val="single" w:sz="4" w:space="0" w:color="auto"/>
              <w:left w:val="nil"/>
              <w:right w:val="nil"/>
            </w:tcBorders>
            <w:vAlign w:val="bottom"/>
          </w:tcPr>
          <w:p w14:paraId="29A9F588" w14:textId="72E8700B" w:rsidR="00E709C7" w:rsidRPr="00F01EC8" w:rsidRDefault="00813115" w:rsidP="00E709C7">
            <w:pPr>
              <w:jc w:val="right"/>
              <w:rPr>
                <w:rFonts w:asciiTheme="minorHAnsi" w:hAnsiTheme="minorHAnsi" w:cstheme="minorHAnsi"/>
                <w:sz w:val="20"/>
                <w:szCs w:val="20"/>
                <w:highlight w:val="yellow"/>
              </w:rPr>
            </w:pPr>
            <w:r w:rsidRPr="00F01EC8">
              <w:rPr>
                <w:rFonts w:asciiTheme="minorHAnsi" w:hAnsiTheme="minorHAnsi" w:cstheme="minorHAnsi"/>
                <w:sz w:val="20"/>
                <w:szCs w:val="20"/>
              </w:rPr>
              <w:t>(9</w:t>
            </w:r>
            <w:r w:rsidR="00E709C7" w:rsidRPr="00F01EC8">
              <w:rPr>
                <w:rFonts w:asciiTheme="minorHAnsi" w:hAnsiTheme="minorHAnsi" w:cstheme="minorHAnsi"/>
                <w:sz w:val="20"/>
                <w:szCs w:val="20"/>
              </w:rPr>
              <w:t>.1)</w:t>
            </w:r>
          </w:p>
        </w:tc>
        <w:tc>
          <w:tcPr>
            <w:tcW w:w="993" w:type="dxa"/>
            <w:tcBorders>
              <w:top w:val="single" w:sz="4" w:space="0" w:color="auto"/>
              <w:left w:val="nil"/>
              <w:right w:val="nil"/>
            </w:tcBorders>
            <w:vAlign w:val="bottom"/>
          </w:tcPr>
          <w:p w14:paraId="783D2769" w14:textId="7DB06C0E" w:rsidR="00E709C7" w:rsidRPr="00F01EC8" w:rsidRDefault="00E709C7" w:rsidP="00E709C7">
            <w:pPr>
              <w:jc w:val="right"/>
              <w:rPr>
                <w:rFonts w:asciiTheme="minorHAnsi" w:hAnsiTheme="minorHAnsi" w:cstheme="minorHAnsi"/>
                <w:sz w:val="20"/>
                <w:szCs w:val="20"/>
                <w:highlight w:val="yellow"/>
              </w:rPr>
            </w:pPr>
            <w:r w:rsidRPr="00F01EC8">
              <w:rPr>
                <w:rFonts w:asciiTheme="minorHAnsi" w:hAnsiTheme="minorHAnsi" w:cstheme="minorHAnsi"/>
                <w:sz w:val="20"/>
                <w:szCs w:val="20"/>
              </w:rPr>
              <w:t>24.6 </w:t>
            </w:r>
          </w:p>
        </w:tc>
        <w:tc>
          <w:tcPr>
            <w:tcW w:w="1134" w:type="dxa"/>
            <w:tcBorders>
              <w:top w:val="single" w:sz="4" w:space="0" w:color="auto"/>
              <w:left w:val="nil"/>
              <w:right w:val="nil"/>
            </w:tcBorders>
            <w:vAlign w:val="bottom"/>
          </w:tcPr>
          <w:p w14:paraId="5D1DF282" w14:textId="3145A126" w:rsidR="00E709C7" w:rsidRPr="00F01EC8" w:rsidRDefault="00E709C7" w:rsidP="00E709C7">
            <w:pPr>
              <w:ind w:left="-108"/>
              <w:jc w:val="right"/>
              <w:rPr>
                <w:rFonts w:asciiTheme="minorHAnsi" w:hAnsiTheme="minorHAnsi" w:cstheme="minorHAnsi"/>
                <w:sz w:val="20"/>
                <w:szCs w:val="20"/>
                <w:highlight w:val="yellow"/>
              </w:rPr>
            </w:pPr>
            <w:r w:rsidRPr="00F01EC8">
              <w:rPr>
                <w:rFonts w:asciiTheme="minorHAnsi" w:hAnsiTheme="minorHAnsi" w:cstheme="minorHAnsi"/>
                <w:sz w:val="20"/>
                <w:szCs w:val="20"/>
              </w:rPr>
              <w:t>253.3 </w:t>
            </w:r>
          </w:p>
        </w:tc>
        <w:tc>
          <w:tcPr>
            <w:tcW w:w="992" w:type="dxa"/>
            <w:tcBorders>
              <w:top w:val="single" w:sz="4" w:space="0" w:color="auto"/>
              <w:left w:val="nil"/>
              <w:right w:val="nil"/>
            </w:tcBorders>
            <w:vAlign w:val="bottom"/>
          </w:tcPr>
          <w:p w14:paraId="60ED5FBC" w14:textId="6817F318" w:rsidR="00E709C7" w:rsidRPr="00F01EC8" w:rsidRDefault="00E709C7" w:rsidP="00E709C7">
            <w:pPr>
              <w:jc w:val="right"/>
              <w:rPr>
                <w:rFonts w:asciiTheme="minorHAnsi" w:hAnsiTheme="minorHAnsi" w:cstheme="minorHAnsi"/>
                <w:sz w:val="20"/>
                <w:szCs w:val="20"/>
                <w:highlight w:val="yellow"/>
              </w:rPr>
            </w:pPr>
            <w:r w:rsidRPr="00F01EC8">
              <w:rPr>
                <w:rFonts w:asciiTheme="minorHAnsi" w:hAnsiTheme="minorHAnsi" w:cstheme="minorHAnsi"/>
                <w:sz w:val="20"/>
                <w:szCs w:val="20"/>
              </w:rPr>
              <w:t>9.7 </w:t>
            </w:r>
          </w:p>
        </w:tc>
      </w:tr>
      <w:tr w:rsidR="004268BC" w:rsidRPr="00F01EC8" w14:paraId="024D4B10" w14:textId="77777777" w:rsidTr="00243E4F">
        <w:trPr>
          <w:trHeight w:val="70"/>
        </w:trPr>
        <w:tc>
          <w:tcPr>
            <w:tcW w:w="3686" w:type="dxa"/>
            <w:vAlign w:val="bottom"/>
          </w:tcPr>
          <w:p w14:paraId="4A45F68D" w14:textId="77777777" w:rsidR="004268BC" w:rsidRPr="00F01EC8" w:rsidRDefault="004268BC" w:rsidP="004268BC">
            <w:pPr>
              <w:rPr>
                <w:rFonts w:asciiTheme="minorHAnsi" w:hAnsiTheme="minorHAnsi" w:cs="Arial"/>
                <w:sz w:val="20"/>
                <w:szCs w:val="20"/>
              </w:rPr>
            </w:pPr>
            <w:r w:rsidRPr="00F01EC8">
              <w:rPr>
                <w:rFonts w:asciiTheme="minorHAnsi" w:hAnsiTheme="minorHAnsi" w:cs="Arial"/>
                <w:sz w:val="20"/>
                <w:szCs w:val="20"/>
              </w:rPr>
              <w:t>Amortisation of acquisition intangibles, net of tax</w:t>
            </w:r>
          </w:p>
        </w:tc>
        <w:tc>
          <w:tcPr>
            <w:tcW w:w="992" w:type="dxa"/>
            <w:tcBorders>
              <w:top w:val="nil"/>
              <w:left w:val="nil"/>
              <w:right w:val="nil"/>
            </w:tcBorders>
            <w:vAlign w:val="bottom"/>
          </w:tcPr>
          <w:p w14:paraId="79105756" w14:textId="79D5CEFC"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3.6</w:t>
            </w:r>
          </w:p>
        </w:tc>
        <w:tc>
          <w:tcPr>
            <w:tcW w:w="1134" w:type="dxa"/>
            <w:tcBorders>
              <w:top w:val="nil"/>
              <w:left w:val="nil"/>
              <w:right w:val="nil"/>
            </w:tcBorders>
            <w:vAlign w:val="bottom"/>
          </w:tcPr>
          <w:p w14:paraId="02F36F77" w14:textId="5FE0EFD9"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top w:val="nil"/>
              <w:left w:val="nil"/>
              <w:right w:val="nil"/>
            </w:tcBorders>
            <w:vAlign w:val="bottom"/>
          </w:tcPr>
          <w:p w14:paraId="5007C706" w14:textId="5E89F0FA"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1.4</w:t>
            </w:r>
          </w:p>
        </w:tc>
        <w:tc>
          <w:tcPr>
            <w:tcW w:w="993" w:type="dxa"/>
            <w:tcBorders>
              <w:top w:val="nil"/>
              <w:left w:val="nil"/>
              <w:right w:val="nil"/>
            </w:tcBorders>
            <w:vAlign w:val="bottom"/>
          </w:tcPr>
          <w:p w14:paraId="556B241F" w14:textId="0544BAE0"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3.0</w:t>
            </w:r>
          </w:p>
        </w:tc>
        <w:tc>
          <w:tcPr>
            <w:tcW w:w="1134" w:type="dxa"/>
            <w:tcBorders>
              <w:top w:val="nil"/>
              <w:left w:val="nil"/>
              <w:right w:val="nil"/>
            </w:tcBorders>
            <w:vAlign w:val="bottom"/>
          </w:tcPr>
          <w:p w14:paraId="0A559C2C" w14:textId="3F445B16"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top w:val="nil"/>
              <w:left w:val="nil"/>
              <w:right w:val="nil"/>
            </w:tcBorders>
            <w:vAlign w:val="bottom"/>
          </w:tcPr>
          <w:p w14:paraId="1154EE79" w14:textId="7FACB73E"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1.2</w:t>
            </w:r>
          </w:p>
        </w:tc>
      </w:tr>
      <w:tr w:rsidR="004268BC" w:rsidRPr="00F01EC8" w14:paraId="55F7B39B" w14:textId="77777777" w:rsidTr="00243E4F">
        <w:tc>
          <w:tcPr>
            <w:tcW w:w="3686" w:type="dxa"/>
            <w:vAlign w:val="bottom"/>
          </w:tcPr>
          <w:p w14:paraId="6A4553A4" w14:textId="77777777" w:rsidR="004268BC" w:rsidRPr="00F01EC8" w:rsidRDefault="004268BC" w:rsidP="004268BC">
            <w:pPr>
              <w:rPr>
                <w:rFonts w:asciiTheme="minorHAnsi" w:hAnsiTheme="minorHAnsi" w:cs="Arial"/>
                <w:sz w:val="20"/>
                <w:szCs w:val="20"/>
              </w:rPr>
            </w:pPr>
            <w:r w:rsidRPr="00F01EC8">
              <w:rPr>
                <w:rFonts w:asciiTheme="minorHAnsi" w:hAnsiTheme="minorHAnsi" w:cs="Arial"/>
                <w:sz w:val="20"/>
                <w:szCs w:val="20"/>
              </w:rPr>
              <w:t>Exceptional items, net of tax</w:t>
            </w:r>
          </w:p>
        </w:tc>
        <w:tc>
          <w:tcPr>
            <w:tcW w:w="992" w:type="dxa"/>
            <w:tcBorders>
              <w:left w:val="nil"/>
              <w:bottom w:val="single" w:sz="4" w:space="0" w:color="auto"/>
              <w:right w:val="nil"/>
            </w:tcBorders>
            <w:vAlign w:val="bottom"/>
          </w:tcPr>
          <w:p w14:paraId="00A6A894" w14:textId="1A728FA3"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(6.1)</w:t>
            </w:r>
          </w:p>
        </w:tc>
        <w:tc>
          <w:tcPr>
            <w:tcW w:w="1134" w:type="dxa"/>
            <w:tcBorders>
              <w:left w:val="nil"/>
              <w:bottom w:val="single" w:sz="4" w:space="0" w:color="auto"/>
              <w:right w:val="nil"/>
            </w:tcBorders>
            <w:vAlign w:val="bottom"/>
          </w:tcPr>
          <w:p w14:paraId="149DF2C3" w14:textId="535E4C92"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left w:val="nil"/>
              <w:bottom w:val="single" w:sz="4" w:space="0" w:color="auto"/>
              <w:right w:val="nil"/>
            </w:tcBorders>
            <w:vAlign w:val="bottom"/>
          </w:tcPr>
          <w:p w14:paraId="0A76D0C7" w14:textId="6CEE81A2"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(2.4)</w:t>
            </w:r>
          </w:p>
        </w:tc>
        <w:tc>
          <w:tcPr>
            <w:tcW w:w="993" w:type="dxa"/>
            <w:tcBorders>
              <w:left w:val="nil"/>
              <w:bottom w:val="single" w:sz="4" w:space="0" w:color="auto"/>
              <w:right w:val="nil"/>
            </w:tcBorders>
            <w:vAlign w:val="bottom"/>
          </w:tcPr>
          <w:p w14:paraId="0B34082C" w14:textId="38C1D8F3"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31.6</w:t>
            </w:r>
          </w:p>
        </w:tc>
        <w:tc>
          <w:tcPr>
            <w:tcW w:w="1134" w:type="dxa"/>
            <w:tcBorders>
              <w:left w:val="nil"/>
              <w:bottom w:val="single" w:sz="4" w:space="0" w:color="auto"/>
              <w:right w:val="nil"/>
            </w:tcBorders>
            <w:vAlign w:val="bottom"/>
          </w:tcPr>
          <w:p w14:paraId="662A3FB5" w14:textId="3C673ECC"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left w:val="nil"/>
              <w:bottom w:val="single" w:sz="4" w:space="0" w:color="auto"/>
              <w:right w:val="nil"/>
            </w:tcBorders>
            <w:vAlign w:val="bottom"/>
          </w:tcPr>
          <w:p w14:paraId="7DDB0264" w14:textId="1FFEC4FB"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12.5</w:t>
            </w:r>
          </w:p>
        </w:tc>
      </w:tr>
      <w:tr w:rsidR="004268BC" w:rsidRPr="00F01EC8" w14:paraId="37FE0D95" w14:textId="77777777" w:rsidTr="00243E4F">
        <w:trPr>
          <w:trHeight w:val="223"/>
        </w:trPr>
        <w:tc>
          <w:tcPr>
            <w:tcW w:w="3686" w:type="dxa"/>
            <w:vAlign w:val="bottom"/>
          </w:tcPr>
          <w:p w14:paraId="1AB23620" w14:textId="26768A2C" w:rsidR="004268BC" w:rsidRPr="00F01EC8" w:rsidRDefault="004268BC" w:rsidP="004268BC">
            <w:pPr>
              <w:rPr>
                <w:rFonts w:asciiTheme="minorHAnsi" w:hAnsiTheme="minorHAnsi" w:cs="Arial"/>
                <w:b/>
                <w:sz w:val="20"/>
                <w:szCs w:val="20"/>
              </w:rPr>
            </w:pPr>
            <w:r w:rsidRPr="00F01EC8">
              <w:rPr>
                <w:rFonts w:asciiTheme="minorHAnsi" w:hAnsiTheme="minorHAnsi" w:cs="Arial"/>
                <w:b/>
                <w:sz w:val="20"/>
                <w:szCs w:val="20"/>
              </w:rPr>
              <w:t>Adjusted basic</w:t>
            </w:r>
            <w:r w:rsidR="00AE5765" w:rsidRPr="00F01EC8">
              <w:rPr>
                <w:rFonts w:asciiTheme="minorHAnsi" w:hAnsiTheme="minorHAnsi" w:cs="Arial"/>
                <w:b/>
                <w:sz w:val="20"/>
                <w:szCs w:val="20"/>
              </w:rPr>
              <w:t xml:space="preserve"> (loss)/</w:t>
            </w:r>
            <w:r w:rsidRPr="00F01EC8">
              <w:rPr>
                <w:rFonts w:asciiTheme="minorHAnsi" w:hAnsiTheme="minorHAnsi" w:cs="Arial"/>
                <w:b/>
                <w:sz w:val="20"/>
                <w:szCs w:val="20"/>
              </w:rPr>
              <w:t xml:space="preserve">earnings per share </w:t>
            </w:r>
          </w:p>
        </w:tc>
        <w:tc>
          <w:tcPr>
            <w:tcW w:w="992" w:type="dxa"/>
            <w:tcBorders>
              <w:top w:val="single" w:sz="4" w:space="0" w:color="auto"/>
              <w:left w:val="nil"/>
              <w:bottom w:val="single" w:sz="12" w:space="0" w:color="auto"/>
              <w:right w:val="nil"/>
            </w:tcBorders>
            <w:vAlign w:val="bottom"/>
          </w:tcPr>
          <w:p w14:paraId="41D323EB" w14:textId="2DFE73AC" w:rsidR="004268BC" w:rsidRPr="00F01EC8" w:rsidRDefault="00813115" w:rsidP="004268BC">
            <w:pPr>
              <w:jc w:val="right"/>
              <w:rPr>
                <w:rFonts w:asciiTheme="minorHAnsi" w:hAnsiTheme="minorHAnsi" w:cstheme="minorHAnsi"/>
                <w:sz w:val="20"/>
                <w:szCs w:val="20"/>
              </w:rPr>
            </w:pPr>
            <w:r w:rsidRPr="00F01EC8">
              <w:rPr>
                <w:rFonts w:asciiTheme="minorHAnsi" w:hAnsiTheme="minorHAnsi" w:cstheme="minorHAnsi"/>
                <w:sz w:val="20"/>
                <w:szCs w:val="20"/>
              </w:rPr>
              <w:t>(25.6</w:t>
            </w:r>
            <w:r w:rsidR="00E709C7" w:rsidRPr="00F01EC8">
              <w:rPr>
                <w:rFonts w:asciiTheme="minorHAnsi" w:hAnsiTheme="minorHAnsi" w:cstheme="minorHAnsi"/>
                <w:sz w:val="20"/>
                <w:szCs w:val="20"/>
              </w:rPr>
              <w:t>)</w:t>
            </w:r>
          </w:p>
        </w:tc>
        <w:tc>
          <w:tcPr>
            <w:tcW w:w="1134" w:type="dxa"/>
            <w:tcBorders>
              <w:top w:val="single" w:sz="4" w:space="0" w:color="auto"/>
              <w:left w:val="nil"/>
              <w:bottom w:val="single" w:sz="12" w:space="0" w:color="auto"/>
              <w:right w:val="nil"/>
            </w:tcBorders>
            <w:vAlign w:val="bottom"/>
          </w:tcPr>
          <w:p w14:paraId="5C15D459" w14:textId="04702D63"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253.5</w:t>
            </w:r>
          </w:p>
        </w:tc>
        <w:tc>
          <w:tcPr>
            <w:tcW w:w="992" w:type="dxa"/>
            <w:tcBorders>
              <w:top w:val="single" w:sz="4" w:space="0" w:color="auto"/>
              <w:left w:val="nil"/>
              <w:bottom w:val="single" w:sz="12" w:space="0" w:color="auto"/>
              <w:right w:val="nil"/>
            </w:tcBorders>
            <w:vAlign w:val="bottom"/>
          </w:tcPr>
          <w:p w14:paraId="4C803C56" w14:textId="76014A4F" w:rsidR="004268BC" w:rsidRPr="00F01EC8" w:rsidRDefault="00813115" w:rsidP="004268BC">
            <w:pPr>
              <w:jc w:val="right"/>
              <w:rPr>
                <w:rFonts w:asciiTheme="minorHAnsi" w:hAnsiTheme="minorHAnsi" w:cstheme="minorHAnsi"/>
                <w:sz w:val="20"/>
                <w:szCs w:val="20"/>
              </w:rPr>
            </w:pPr>
            <w:r w:rsidRPr="00F01EC8">
              <w:rPr>
                <w:rFonts w:asciiTheme="minorHAnsi" w:hAnsiTheme="minorHAnsi" w:cstheme="minorHAnsi"/>
                <w:sz w:val="20"/>
                <w:szCs w:val="20"/>
              </w:rPr>
              <w:t>(10</w:t>
            </w:r>
            <w:r w:rsidR="00E709C7" w:rsidRPr="00F01EC8">
              <w:rPr>
                <w:rFonts w:asciiTheme="minorHAnsi" w:hAnsiTheme="minorHAnsi" w:cstheme="minorHAnsi"/>
                <w:sz w:val="20"/>
                <w:szCs w:val="20"/>
              </w:rPr>
              <w:t>.1)</w:t>
            </w:r>
          </w:p>
        </w:tc>
        <w:tc>
          <w:tcPr>
            <w:tcW w:w="993" w:type="dxa"/>
            <w:tcBorders>
              <w:top w:val="single" w:sz="4" w:space="0" w:color="auto"/>
              <w:left w:val="nil"/>
              <w:bottom w:val="single" w:sz="12" w:space="0" w:color="auto"/>
              <w:right w:val="nil"/>
            </w:tcBorders>
            <w:vAlign w:val="bottom"/>
          </w:tcPr>
          <w:p w14:paraId="6E979F8F" w14:textId="0BD7839D"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59.2</w:t>
            </w:r>
          </w:p>
        </w:tc>
        <w:tc>
          <w:tcPr>
            <w:tcW w:w="1134" w:type="dxa"/>
            <w:tcBorders>
              <w:top w:val="single" w:sz="4" w:space="0" w:color="auto"/>
              <w:left w:val="nil"/>
              <w:bottom w:val="single" w:sz="12" w:space="0" w:color="auto"/>
              <w:right w:val="nil"/>
            </w:tcBorders>
            <w:vAlign w:val="bottom"/>
          </w:tcPr>
          <w:p w14:paraId="49D11581" w14:textId="65E0DAE0"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253.3</w:t>
            </w:r>
          </w:p>
        </w:tc>
        <w:tc>
          <w:tcPr>
            <w:tcW w:w="992" w:type="dxa"/>
            <w:tcBorders>
              <w:top w:val="single" w:sz="4" w:space="0" w:color="auto"/>
              <w:left w:val="nil"/>
              <w:bottom w:val="single" w:sz="12" w:space="0" w:color="auto"/>
              <w:right w:val="nil"/>
            </w:tcBorders>
            <w:vAlign w:val="bottom"/>
          </w:tcPr>
          <w:p w14:paraId="7532C6B5" w14:textId="7E39B018" w:rsidR="004268BC" w:rsidRPr="00F01EC8" w:rsidRDefault="00E709C7" w:rsidP="004268BC">
            <w:pPr>
              <w:jc w:val="right"/>
              <w:rPr>
                <w:rFonts w:asciiTheme="minorHAnsi" w:hAnsiTheme="minorHAnsi" w:cstheme="minorHAnsi"/>
                <w:sz w:val="20"/>
                <w:szCs w:val="20"/>
              </w:rPr>
            </w:pPr>
            <w:r w:rsidRPr="00F01EC8">
              <w:rPr>
                <w:rFonts w:asciiTheme="minorHAnsi" w:hAnsiTheme="minorHAnsi" w:cstheme="minorHAnsi"/>
                <w:sz w:val="20"/>
                <w:szCs w:val="20"/>
              </w:rPr>
              <w:t>23.4</w:t>
            </w:r>
          </w:p>
        </w:tc>
      </w:tr>
      <w:tr w:rsidR="00E709C7" w:rsidRPr="00F01EC8" w14:paraId="2214205E" w14:textId="77777777" w:rsidTr="00870749">
        <w:trPr>
          <w:trHeight w:val="223"/>
        </w:trPr>
        <w:tc>
          <w:tcPr>
            <w:tcW w:w="3686" w:type="dxa"/>
            <w:vAlign w:val="bottom"/>
          </w:tcPr>
          <w:p w14:paraId="285BE279" w14:textId="3EFCB653" w:rsidR="00E709C7" w:rsidRPr="00F01EC8" w:rsidRDefault="00E709C7" w:rsidP="00E709C7">
            <w:pPr>
              <w:rPr>
                <w:rFonts w:asciiTheme="minorHAnsi" w:hAnsiTheme="minorHAnsi" w:cs="Arial"/>
                <w:b/>
                <w:sz w:val="20"/>
                <w:szCs w:val="20"/>
              </w:rPr>
            </w:pPr>
            <w:r w:rsidRPr="00F01EC8">
              <w:rPr>
                <w:rFonts w:asciiTheme="minorHAnsi" w:hAnsiTheme="minorHAnsi" w:cs="Arial"/>
                <w:b/>
                <w:sz w:val="20"/>
                <w:szCs w:val="20"/>
              </w:rPr>
              <w:t xml:space="preserve">Diluted </w:t>
            </w:r>
            <w:r w:rsidR="00AE5765" w:rsidRPr="00F01EC8">
              <w:rPr>
                <w:rFonts w:asciiTheme="minorHAnsi" w:hAnsiTheme="minorHAnsi" w:cs="Arial"/>
                <w:b/>
                <w:sz w:val="20"/>
                <w:szCs w:val="20"/>
              </w:rPr>
              <w:t>(loss)/</w:t>
            </w:r>
            <w:r w:rsidRPr="00F01EC8">
              <w:rPr>
                <w:rFonts w:asciiTheme="minorHAnsi" w:hAnsiTheme="minorHAnsi" w:cs="Arial"/>
                <w:b/>
                <w:sz w:val="20"/>
                <w:szCs w:val="20"/>
              </w:rPr>
              <w:t xml:space="preserve">earnings per share </w:t>
            </w:r>
          </w:p>
        </w:tc>
        <w:tc>
          <w:tcPr>
            <w:tcW w:w="992" w:type="dxa"/>
            <w:tcBorders>
              <w:top w:val="single" w:sz="12" w:space="0" w:color="auto"/>
              <w:left w:val="nil"/>
              <w:right w:val="nil"/>
            </w:tcBorders>
            <w:vAlign w:val="bottom"/>
          </w:tcPr>
          <w:p w14:paraId="680C1186" w14:textId="79208AFF"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(2</w:t>
            </w:r>
            <w:r w:rsidR="00EC48CC">
              <w:rPr>
                <w:rFonts w:asciiTheme="minorHAnsi" w:hAnsiTheme="minorHAnsi" w:cstheme="minorHAnsi"/>
                <w:sz w:val="20"/>
                <w:szCs w:val="20"/>
              </w:rPr>
              <w:t>3.1</w:t>
            </w:r>
            <w:r w:rsidRPr="00F01EC8">
              <w:rPr>
                <w:rFonts w:asciiTheme="minorHAnsi" w:hAnsiTheme="minorHAnsi" w:cstheme="minorHAnsi"/>
                <w:sz w:val="20"/>
                <w:szCs w:val="20"/>
              </w:rPr>
              <w:t>)</w:t>
            </w:r>
          </w:p>
        </w:tc>
        <w:tc>
          <w:tcPr>
            <w:tcW w:w="1134" w:type="dxa"/>
            <w:tcBorders>
              <w:top w:val="single" w:sz="12" w:space="0" w:color="auto"/>
              <w:left w:val="nil"/>
              <w:right w:val="nil"/>
            </w:tcBorders>
            <w:vAlign w:val="bottom"/>
          </w:tcPr>
          <w:p w14:paraId="32092C27" w14:textId="0C1B33E2" w:rsidR="00E709C7" w:rsidRPr="00F01EC8" w:rsidRDefault="00E709C7" w:rsidP="00E709C7">
            <w:pPr>
              <w:ind w:left="-108"/>
              <w:jc w:val="right"/>
              <w:rPr>
                <w:rFonts w:asciiTheme="minorHAnsi" w:hAnsiTheme="minorHAnsi" w:cstheme="minorHAnsi"/>
                <w:sz w:val="20"/>
                <w:szCs w:val="20"/>
              </w:rPr>
            </w:pPr>
            <w:r w:rsidRPr="00F01EC8">
              <w:rPr>
                <w:rFonts w:asciiTheme="minorHAnsi" w:hAnsiTheme="minorHAnsi" w:cstheme="minorHAnsi"/>
                <w:sz w:val="20"/>
                <w:szCs w:val="20"/>
              </w:rPr>
              <w:t>253.5</w:t>
            </w:r>
          </w:p>
        </w:tc>
        <w:tc>
          <w:tcPr>
            <w:tcW w:w="992" w:type="dxa"/>
            <w:tcBorders>
              <w:top w:val="single" w:sz="12" w:space="0" w:color="auto"/>
              <w:left w:val="nil"/>
              <w:right w:val="nil"/>
            </w:tcBorders>
            <w:vAlign w:val="bottom"/>
          </w:tcPr>
          <w:p w14:paraId="24EFB248" w14:textId="70A1AA10" w:rsidR="00E709C7" w:rsidRPr="00F01EC8" w:rsidRDefault="00813115" w:rsidP="00E709C7">
            <w:pPr>
              <w:jc w:val="right"/>
              <w:rPr>
                <w:rFonts w:asciiTheme="minorHAnsi" w:hAnsiTheme="minorHAnsi" w:cstheme="minorHAnsi"/>
                <w:sz w:val="20"/>
                <w:szCs w:val="20"/>
              </w:rPr>
            </w:pPr>
            <w:r w:rsidRPr="00F01EC8">
              <w:rPr>
                <w:rFonts w:asciiTheme="minorHAnsi" w:hAnsiTheme="minorHAnsi" w:cstheme="minorHAnsi"/>
                <w:sz w:val="20"/>
                <w:szCs w:val="20"/>
              </w:rPr>
              <w:t>(9</w:t>
            </w:r>
            <w:r w:rsidR="00E709C7" w:rsidRPr="00F01EC8">
              <w:rPr>
                <w:rFonts w:asciiTheme="minorHAnsi" w:hAnsiTheme="minorHAnsi" w:cstheme="minorHAnsi"/>
                <w:sz w:val="20"/>
                <w:szCs w:val="20"/>
              </w:rPr>
              <w:t>.1)</w:t>
            </w:r>
          </w:p>
        </w:tc>
        <w:tc>
          <w:tcPr>
            <w:tcW w:w="993" w:type="dxa"/>
            <w:tcBorders>
              <w:top w:val="single" w:sz="12" w:space="0" w:color="auto"/>
              <w:left w:val="nil"/>
              <w:right w:val="nil"/>
            </w:tcBorders>
          </w:tcPr>
          <w:p w14:paraId="1A972D08" w14:textId="453FBAFA"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24.6 </w:t>
            </w:r>
          </w:p>
        </w:tc>
        <w:tc>
          <w:tcPr>
            <w:tcW w:w="1134" w:type="dxa"/>
            <w:tcBorders>
              <w:top w:val="single" w:sz="12" w:space="0" w:color="auto"/>
              <w:left w:val="nil"/>
              <w:right w:val="nil"/>
            </w:tcBorders>
          </w:tcPr>
          <w:p w14:paraId="34A73A37" w14:textId="248E8BBE" w:rsidR="00E709C7" w:rsidRPr="00F01EC8" w:rsidRDefault="00E709C7" w:rsidP="00E709C7">
            <w:pPr>
              <w:ind w:left="-108"/>
              <w:jc w:val="right"/>
              <w:rPr>
                <w:rFonts w:asciiTheme="minorHAnsi" w:hAnsiTheme="minorHAnsi" w:cstheme="minorHAnsi"/>
                <w:sz w:val="20"/>
                <w:szCs w:val="20"/>
              </w:rPr>
            </w:pPr>
            <w:r w:rsidRPr="00F01EC8">
              <w:rPr>
                <w:rFonts w:asciiTheme="minorHAnsi" w:hAnsiTheme="minorHAnsi" w:cstheme="minorHAnsi"/>
                <w:sz w:val="20"/>
                <w:szCs w:val="20"/>
              </w:rPr>
              <w:t>254.5 </w:t>
            </w:r>
          </w:p>
        </w:tc>
        <w:tc>
          <w:tcPr>
            <w:tcW w:w="992" w:type="dxa"/>
            <w:tcBorders>
              <w:top w:val="single" w:sz="12" w:space="0" w:color="auto"/>
              <w:left w:val="nil"/>
              <w:right w:val="nil"/>
            </w:tcBorders>
          </w:tcPr>
          <w:p w14:paraId="0E710D33" w14:textId="3E1DFD08" w:rsidR="00E709C7" w:rsidRPr="00F01EC8" w:rsidRDefault="00E709C7" w:rsidP="00E709C7">
            <w:pPr>
              <w:jc w:val="right"/>
              <w:rPr>
                <w:rFonts w:asciiTheme="minorHAnsi" w:hAnsiTheme="minorHAnsi" w:cstheme="minorHAnsi"/>
                <w:color w:val="FF0000"/>
                <w:sz w:val="20"/>
                <w:szCs w:val="20"/>
              </w:rPr>
            </w:pPr>
            <w:r w:rsidRPr="00F01EC8">
              <w:rPr>
                <w:rFonts w:asciiTheme="minorHAnsi" w:hAnsiTheme="minorHAnsi" w:cstheme="minorHAnsi"/>
                <w:sz w:val="20"/>
                <w:szCs w:val="20"/>
              </w:rPr>
              <w:t>9.7 </w:t>
            </w:r>
          </w:p>
        </w:tc>
      </w:tr>
      <w:tr w:rsidR="00E709C7" w:rsidRPr="00F01EC8" w14:paraId="6D2CAFCA" w14:textId="77777777" w:rsidTr="00243E4F">
        <w:trPr>
          <w:trHeight w:val="223"/>
        </w:trPr>
        <w:tc>
          <w:tcPr>
            <w:tcW w:w="3686" w:type="dxa"/>
            <w:vAlign w:val="bottom"/>
          </w:tcPr>
          <w:p w14:paraId="792A6A85" w14:textId="77777777" w:rsidR="00E709C7" w:rsidRPr="00F01EC8" w:rsidRDefault="00E709C7" w:rsidP="00E709C7">
            <w:pPr>
              <w:rPr>
                <w:rFonts w:asciiTheme="minorHAnsi" w:hAnsiTheme="minorHAnsi" w:cs="Arial"/>
                <w:sz w:val="20"/>
                <w:szCs w:val="20"/>
              </w:rPr>
            </w:pPr>
            <w:r w:rsidRPr="00F01EC8">
              <w:rPr>
                <w:rFonts w:asciiTheme="minorHAnsi" w:hAnsiTheme="minorHAnsi" w:cs="Arial"/>
                <w:sz w:val="20"/>
                <w:szCs w:val="20"/>
              </w:rPr>
              <w:t>Amortisation of acquisition intangibles, net of tax</w:t>
            </w:r>
          </w:p>
        </w:tc>
        <w:tc>
          <w:tcPr>
            <w:tcW w:w="992" w:type="dxa"/>
            <w:tcBorders>
              <w:left w:val="nil"/>
              <w:right w:val="nil"/>
            </w:tcBorders>
            <w:vAlign w:val="bottom"/>
          </w:tcPr>
          <w:p w14:paraId="6B456F3E" w14:textId="521869EC"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3.6</w:t>
            </w:r>
          </w:p>
        </w:tc>
        <w:tc>
          <w:tcPr>
            <w:tcW w:w="1134" w:type="dxa"/>
            <w:tcBorders>
              <w:left w:val="nil"/>
              <w:right w:val="nil"/>
            </w:tcBorders>
            <w:vAlign w:val="bottom"/>
          </w:tcPr>
          <w:p w14:paraId="61C99256" w14:textId="2FA7C161"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left w:val="nil"/>
              <w:right w:val="nil"/>
            </w:tcBorders>
            <w:vAlign w:val="bottom"/>
          </w:tcPr>
          <w:p w14:paraId="0CFFCDFA" w14:textId="0DA4674B"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1.4</w:t>
            </w:r>
          </w:p>
        </w:tc>
        <w:tc>
          <w:tcPr>
            <w:tcW w:w="993" w:type="dxa"/>
            <w:tcBorders>
              <w:left w:val="nil"/>
              <w:right w:val="nil"/>
            </w:tcBorders>
            <w:vAlign w:val="bottom"/>
          </w:tcPr>
          <w:p w14:paraId="4C8DB667" w14:textId="06257811"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3.0</w:t>
            </w:r>
          </w:p>
        </w:tc>
        <w:tc>
          <w:tcPr>
            <w:tcW w:w="1134" w:type="dxa"/>
            <w:tcBorders>
              <w:left w:val="nil"/>
              <w:right w:val="nil"/>
            </w:tcBorders>
            <w:vAlign w:val="bottom"/>
          </w:tcPr>
          <w:p w14:paraId="739B6B4D" w14:textId="436D648A"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left w:val="nil"/>
              <w:right w:val="nil"/>
            </w:tcBorders>
            <w:vAlign w:val="bottom"/>
          </w:tcPr>
          <w:p w14:paraId="2C7059AB" w14:textId="25CB61C1"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1.2</w:t>
            </w:r>
          </w:p>
        </w:tc>
      </w:tr>
      <w:tr w:rsidR="00E709C7" w:rsidRPr="00F01EC8" w14:paraId="0292918D" w14:textId="77777777" w:rsidTr="00243E4F">
        <w:trPr>
          <w:trHeight w:val="223"/>
        </w:trPr>
        <w:tc>
          <w:tcPr>
            <w:tcW w:w="3686" w:type="dxa"/>
            <w:vAlign w:val="bottom"/>
          </w:tcPr>
          <w:p w14:paraId="6660BAD6" w14:textId="77777777" w:rsidR="00E709C7" w:rsidRPr="00F01EC8" w:rsidRDefault="00E709C7" w:rsidP="00E709C7">
            <w:pPr>
              <w:rPr>
                <w:rFonts w:asciiTheme="minorHAnsi" w:hAnsiTheme="minorHAnsi" w:cs="Arial"/>
                <w:sz w:val="20"/>
                <w:szCs w:val="20"/>
              </w:rPr>
            </w:pPr>
            <w:r w:rsidRPr="00F01EC8">
              <w:rPr>
                <w:rFonts w:asciiTheme="minorHAnsi" w:hAnsiTheme="minorHAnsi" w:cs="Arial"/>
                <w:sz w:val="20"/>
                <w:szCs w:val="20"/>
              </w:rPr>
              <w:t>Exceptional items, net of tax</w:t>
            </w:r>
          </w:p>
        </w:tc>
        <w:tc>
          <w:tcPr>
            <w:tcW w:w="992" w:type="dxa"/>
            <w:tcBorders>
              <w:left w:val="nil"/>
              <w:bottom w:val="single" w:sz="4" w:space="0" w:color="auto"/>
              <w:right w:val="nil"/>
            </w:tcBorders>
            <w:vAlign w:val="bottom"/>
          </w:tcPr>
          <w:p w14:paraId="27EC97A8" w14:textId="771B5294"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(6.1)</w:t>
            </w:r>
          </w:p>
        </w:tc>
        <w:tc>
          <w:tcPr>
            <w:tcW w:w="1134" w:type="dxa"/>
            <w:tcBorders>
              <w:left w:val="nil"/>
              <w:bottom w:val="single" w:sz="4" w:space="0" w:color="auto"/>
              <w:right w:val="nil"/>
            </w:tcBorders>
            <w:vAlign w:val="bottom"/>
          </w:tcPr>
          <w:p w14:paraId="3A82E1CC" w14:textId="51B2622E"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left w:val="nil"/>
              <w:bottom w:val="single" w:sz="4" w:space="0" w:color="auto"/>
              <w:right w:val="nil"/>
            </w:tcBorders>
            <w:vAlign w:val="bottom"/>
          </w:tcPr>
          <w:p w14:paraId="4A1D19D0" w14:textId="6E3BE9A7"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(2.4)</w:t>
            </w:r>
          </w:p>
        </w:tc>
        <w:tc>
          <w:tcPr>
            <w:tcW w:w="993" w:type="dxa"/>
            <w:tcBorders>
              <w:left w:val="nil"/>
              <w:bottom w:val="single" w:sz="4" w:space="0" w:color="auto"/>
              <w:right w:val="nil"/>
            </w:tcBorders>
            <w:vAlign w:val="bottom"/>
          </w:tcPr>
          <w:p w14:paraId="59741E12" w14:textId="667BD4A7"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31.6</w:t>
            </w:r>
          </w:p>
        </w:tc>
        <w:tc>
          <w:tcPr>
            <w:tcW w:w="1134" w:type="dxa"/>
            <w:tcBorders>
              <w:left w:val="nil"/>
              <w:bottom w:val="single" w:sz="4" w:space="0" w:color="auto"/>
              <w:right w:val="nil"/>
            </w:tcBorders>
            <w:vAlign w:val="bottom"/>
          </w:tcPr>
          <w:p w14:paraId="56B28CC0" w14:textId="56B6D634"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w:t>
            </w:r>
          </w:p>
        </w:tc>
        <w:tc>
          <w:tcPr>
            <w:tcW w:w="992" w:type="dxa"/>
            <w:tcBorders>
              <w:left w:val="nil"/>
              <w:bottom w:val="single" w:sz="4" w:space="0" w:color="auto"/>
              <w:right w:val="nil"/>
            </w:tcBorders>
            <w:vAlign w:val="bottom"/>
          </w:tcPr>
          <w:p w14:paraId="1ACE9764" w14:textId="0671E848"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12.4</w:t>
            </w:r>
          </w:p>
        </w:tc>
      </w:tr>
      <w:tr w:rsidR="00E709C7" w:rsidRPr="00F01EC8" w14:paraId="483AE623" w14:textId="77777777" w:rsidTr="00243E4F">
        <w:trPr>
          <w:trHeight w:val="223"/>
        </w:trPr>
        <w:tc>
          <w:tcPr>
            <w:tcW w:w="3686" w:type="dxa"/>
            <w:vAlign w:val="bottom"/>
          </w:tcPr>
          <w:p w14:paraId="4BE686DE" w14:textId="2C9F8C68" w:rsidR="00E709C7" w:rsidRPr="00F01EC8" w:rsidRDefault="00E709C7" w:rsidP="00E709C7">
            <w:pPr>
              <w:rPr>
                <w:rFonts w:asciiTheme="minorHAnsi" w:hAnsiTheme="minorHAnsi" w:cs="Arial"/>
                <w:b/>
                <w:sz w:val="20"/>
                <w:szCs w:val="20"/>
              </w:rPr>
            </w:pPr>
            <w:r w:rsidRPr="00F01EC8">
              <w:rPr>
                <w:rFonts w:asciiTheme="minorHAnsi" w:hAnsiTheme="minorHAnsi" w:cs="Arial"/>
                <w:b/>
                <w:sz w:val="20"/>
                <w:szCs w:val="20"/>
              </w:rPr>
              <w:t>Adjusted diluted</w:t>
            </w:r>
            <w:r w:rsidR="00AE5765" w:rsidRPr="00F01EC8">
              <w:rPr>
                <w:rFonts w:asciiTheme="minorHAnsi" w:hAnsiTheme="minorHAnsi" w:cs="Arial"/>
                <w:b/>
                <w:sz w:val="20"/>
                <w:szCs w:val="20"/>
              </w:rPr>
              <w:t xml:space="preserve"> (loss)/</w:t>
            </w:r>
            <w:r w:rsidRPr="00F01EC8">
              <w:rPr>
                <w:rFonts w:asciiTheme="minorHAnsi" w:hAnsiTheme="minorHAnsi" w:cs="Arial"/>
                <w:b/>
                <w:sz w:val="20"/>
                <w:szCs w:val="20"/>
              </w:rPr>
              <w:t xml:space="preserve">earnings per share </w:t>
            </w:r>
          </w:p>
        </w:tc>
        <w:tc>
          <w:tcPr>
            <w:tcW w:w="992" w:type="dxa"/>
            <w:tcBorders>
              <w:top w:val="single" w:sz="4" w:space="0" w:color="auto"/>
              <w:left w:val="nil"/>
              <w:bottom w:val="single" w:sz="12" w:space="0" w:color="auto"/>
              <w:right w:val="nil"/>
            </w:tcBorders>
            <w:vAlign w:val="bottom"/>
          </w:tcPr>
          <w:p w14:paraId="65D0D8C7" w14:textId="56C16411" w:rsidR="00E709C7" w:rsidRPr="00F01EC8" w:rsidRDefault="00813115" w:rsidP="00E709C7">
            <w:pPr>
              <w:jc w:val="right"/>
              <w:rPr>
                <w:rFonts w:asciiTheme="minorHAnsi" w:hAnsiTheme="minorHAnsi" w:cstheme="minorHAnsi"/>
                <w:sz w:val="20"/>
                <w:szCs w:val="20"/>
              </w:rPr>
            </w:pPr>
            <w:r w:rsidRPr="00F01EC8">
              <w:rPr>
                <w:rFonts w:asciiTheme="minorHAnsi" w:hAnsiTheme="minorHAnsi" w:cstheme="minorHAnsi"/>
                <w:sz w:val="20"/>
                <w:szCs w:val="20"/>
              </w:rPr>
              <w:t>(25.6</w:t>
            </w:r>
            <w:r w:rsidR="00E709C7" w:rsidRPr="00F01EC8">
              <w:rPr>
                <w:rFonts w:asciiTheme="minorHAnsi" w:hAnsiTheme="minorHAnsi" w:cstheme="minorHAnsi"/>
                <w:sz w:val="20"/>
                <w:szCs w:val="20"/>
              </w:rPr>
              <w:t>)</w:t>
            </w:r>
          </w:p>
        </w:tc>
        <w:tc>
          <w:tcPr>
            <w:tcW w:w="1134" w:type="dxa"/>
            <w:tcBorders>
              <w:top w:val="single" w:sz="4" w:space="0" w:color="auto"/>
              <w:left w:val="nil"/>
              <w:bottom w:val="single" w:sz="12" w:space="0" w:color="auto"/>
              <w:right w:val="nil"/>
            </w:tcBorders>
            <w:vAlign w:val="bottom"/>
          </w:tcPr>
          <w:p w14:paraId="18192AE1" w14:textId="3DAACA71"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253.5</w:t>
            </w:r>
          </w:p>
        </w:tc>
        <w:tc>
          <w:tcPr>
            <w:tcW w:w="992" w:type="dxa"/>
            <w:tcBorders>
              <w:top w:val="single" w:sz="4" w:space="0" w:color="auto"/>
              <w:left w:val="nil"/>
              <w:bottom w:val="single" w:sz="12" w:space="0" w:color="auto"/>
              <w:right w:val="nil"/>
            </w:tcBorders>
            <w:vAlign w:val="bottom"/>
          </w:tcPr>
          <w:p w14:paraId="188EB263" w14:textId="39CE191E" w:rsidR="00E709C7" w:rsidRPr="00F01EC8" w:rsidRDefault="00813115" w:rsidP="00E709C7">
            <w:pPr>
              <w:jc w:val="right"/>
              <w:rPr>
                <w:rFonts w:asciiTheme="minorHAnsi" w:hAnsiTheme="minorHAnsi" w:cstheme="minorHAnsi"/>
                <w:sz w:val="20"/>
                <w:szCs w:val="20"/>
              </w:rPr>
            </w:pPr>
            <w:r w:rsidRPr="00F01EC8">
              <w:rPr>
                <w:rFonts w:asciiTheme="minorHAnsi" w:hAnsiTheme="minorHAnsi" w:cstheme="minorHAnsi"/>
                <w:sz w:val="20"/>
                <w:szCs w:val="20"/>
              </w:rPr>
              <w:t>(10</w:t>
            </w:r>
            <w:r w:rsidR="00E709C7" w:rsidRPr="00F01EC8">
              <w:rPr>
                <w:rFonts w:asciiTheme="minorHAnsi" w:hAnsiTheme="minorHAnsi" w:cstheme="minorHAnsi"/>
                <w:sz w:val="20"/>
                <w:szCs w:val="20"/>
              </w:rPr>
              <w:t>.1)</w:t>
            </w:r>
          </w:p>
        </w:tc>
        <w:tc>
          <w:tcPr>
            <w:tcW w:w="993" w:type="dxa"/>
            <w:tcBorders>
              <w:top w:val="single" w:sz="4" w:space="0" w:color="auto"/>
              <w:left w:val="nil"/>
              <w:bottom w:val="single" w:sz="12" w:space="0" w:color="auto"/>
              <w:right w:val="nil"/>
            </w:tcBorders>
            <w:vAlign w:val="bottom"/>
          </w:tcPr>
          <w:p w14:paraId="355E3FBB" w14:textId="3799F884"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59.2</w:t>
            </w:r>
          </w:p>
        </w:tc>
        <w:tc>
          <w:tcPr>
            <w:tcW w:w="1134" w:type="dxa"/>
            <w:tcBorders>
              <w:top w:val="single" w:sz="4" w:space="0" w:color="auto"/>
              <w:left w:val="nil"/>
              <w:bottom w:val="single" w:sz="12" w:space="0" w:color="auto"/>
              <w:right w:val="nil"/>
            </w:tcBorders>
            <w:vAlign w:val="bottom"/>
          </w:tcPr>
          <w:p w14:paraId="7BBFB283" w14:textId="28DF9E5F" w:rsidR="00E709C7" w:rsidRPr="00F01EC8" w:rsidRDefault="00E709C7" w:rsidP="00E709C7">
            <w:pPr>
              <w:jc w:val="right"/>
              <w:rPr>
                <w:rFonts w:asciiTheme="minorHAnsi" w:hAnsiTheme="minorHAnsi" w:cstheme="minorHAnsi"/>
                <w:sz w:val="20"/>
                <w:szCs w:val="20"/>
              </w:rPr>
            </w:pPr>
            <w:r w:rsidRPr="00F01EC8">
              <w:rPr>
                <w:rFonts w:asciiTheme="minorHAnsi" w:hAnsiTheme="minorHAnsi" w:cstheme="minorHAnsi"/>
                <w:sz w:val="20"/>
                <w:szCs w:val="20"/>
              </w:rPr>
              <w:t>254.5</w:t>
            </w:r>
          </w:p>
        </w:tc>
        <w:tc>
          <w:tcPr>
            <w:tcW w:w="992" w:type="dxa"/>
            <w:tcBorders>
              <w:top w:val="single" w:sz="4" w:space="0" w:color="auto"/>
              <w:left w:val="nil"/>
              <w:bottom w:val="single" w:sz="12" w:space="0" w:color="auto"/>
              <w:right w:val="nil"/>
            </w:tcBorders>
            <w:vAlign w:val="bottom"/>
          </w:tcPr>
          <w:p w14:paraId="043033AB" w14:textId="34CA3882" w:rsidR="00E709C7" w:rsidRPr="00F01EC8" w:rsidRDefault="00836A77" w:rsidP="00E709C7">
            <w:pPr>
              <w:jc w:val="right"/>
              <w:rPr>
                <w:rFonts w:asciiTheme="minorHAnsi" w:hAnsiTheme="minorHAnsi" w:cstheme="minorHAnsi"/>
                <w:sz w:val="20"/>
                <w:szCs w:val="20"/>
              </w:rPr>
            </w:pPr>
            <w:r w:rsidRPr="00F01EC8">
              <w:rPr>
                <w:rFonts w:asciiTheme="minorHAnsi" w:hAnsiTheme="minorHAnsi" w:cstheme="minorHAnsi"/>
                <w:sz w:val="20"/>
                <w:szCs w:val="20"/>
              </w:rPr>
              <w:t>23.3</w:t>
            </w:r>
          </w:p>
        </w:tc>
      </w:tr>
    </w:tbl>
    <w:p w14:paraId="28622C00" w14:textId="77777777" w:rsidR="009D39AC" w:rsidRPr="00F01EC8" w:rsidRDefault="009D39AC" w:rsidP="00DA6694">
      <w:pPr>
        <w:pStyle w:val="bodycopy"/>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bodycopynumber"/>
          <w:rFonts w:asciiTheme="minorHAnsi" w:hAnsiTheme="minorHAnsi" w:cs="Arial"/>
          <w:b/>
          <w:bCs/>
          <w:sz w:val="20"/>
        </w:rPr>
      </w:pPr>
    </w:p>
    <w:p w14:paraId="169B9D57" w14:textId="541EC2C1" w:rsidR="00DA6694" w:rsidRPr="00F01EC8" w:rsidRDefault="00DA6694" w:rsidP="00DA6694">
      <w:pPr>
        <w:pStyle w:val="bodycopy"/>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Arial"/>
          <w:b/>
          <w:sz w:val="20"/>
        </w:rPr>
      </w:pPr>
      <w:r w:rsidRPr="00F01EC8">
        <w:rPr>
          <w:rStyle w:val="bodycopynumber"/>
          <w:rFonts w:asciiTheme="minorHAnsi" w:hAnsiTheme="minorHAnsi" w:cs="Arial"/>
          <w:b/>
          <w:bCs/>
          <w:sz w:val="20"/>
        </w:rPr>
        <w:t>7.</w:t>
      </w:r>
      <w:r w:rsidRPr="00F01EC8">
        <w:rPr>
          <w:rStyle w:val="bodycopynumber"/>
          <w:rFonts w:asciiTheme="minorHAnsi" w:hAnsiTheme="minorHAnsi" w:cs="Arial"/>
          <w:b/>
          <w:bCs/>
          <w:sz w:val="20"/>
        </w:rPr>
        <w:tab/>
        <w:t xml:space="preserve">Dividends </w:t>
      </w:r>
    </w:p>
    <w:p w14:paraId="6AEFD72A"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ook w:val="0000" w:firstRow="0" w:lastRow="0" w:firstColumn="0" w:lastColumn="0" w:noHBand="0" w:noVBand="0"/>
      </w:tblPr>
      <w:tblGrid>
        <w:gridCol w:w="1157"/>
        <w:gridCol w:w="1875"/>
        <w:gridCol w:w="4459"/>
        <w:gridCol w:w="1216"/>
        <w:gridCol w:w="1216"/>
      </w:tblGrid>
      <w:tr w:rsidR="00DA6694" w:rsidRPr="00F01EC8" w14:paraId="6FB41CC1" w14:textId="77777777" w:rsidTr="00AC0A5D">
        <w:tc>
          <w:tcPr>
            <w:tcW w:w="3032" w:type="dxa"/>
            <w:gridSpan w:val="2"/>
            <w:vAlign w:val="bottom"/>
          </w:tcPr>
          <w:p w14:paraId="0E1E47D1" w14:textId="77777777" w:rsidR="00DA6694" w:rsidRPr="00F01EC8" w:rsidRDefault="00DA6694" w:rsidP="00AC0A5D">
            <w:pPr>
              <w:rPr>
                <w:rFonts w:asciiTheme="minorHAnsi" w:hAnsiTheme="minorHAnsi" w:cs="Arial"/>
                <w:sz w:val="20"/>
                <w:szCs w:val="20"/>
              </w:rPr>
            </w:pPr>
          </w:p>
        </w:tc>
        <w:tc>
          <w:tcPr>
            <w:tcW w:w="4459" w:type="dxa"/>
            <w:vAlign w:val="bottom"/>
          </w:tcPr>
          <w:p w14:paraId="3AB5E395" w14:textId="77777777" w:rsidR="00DA6694" w:rsidRPr="00F01EC8" w:rsidRDefault="00DA6694" w:rsidP="00AC0A5D">
            <w:pPr>
              <w:rPr>
                <w:rFonts w:asciiTheme="minorHAnsi" w:hAnsiTheme="minorHAnsi" w:cs="Arial"/>
                <w:sz w:val="20"/>
                <w:szCs w:val="20"/>
              </w:rPr>
            </w:pPr>
          </w:p>
        </w:tc>
        <w:tc>
          <w:tcPr>
            <w:tcW w:w="2432" w:type="dxa"/>
            <w:gridSpan w:val="2"/>
          </w:tcPr>
          <w:p w14:paraId="6EE8AFF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008A8CA3" w14:textId="77777777" w:rsidTr="00AC0A5D">
        <w:tc>
          <w:tcPr>
            <w:tcW w:w="3032" w:type="dxa"/>
            <w:gridSpan w:val="2"/>
            <w:vAlign w:val="bottom"/>
          </w:tcPr>
          <w:p w14:paraId="6BBFF998" w14:textId="77777777" w:rsidR="00DA6694" w:rsidRPr="00F01EC8" w:rsidRDefault="00DA6694" w:rsidP="00AC0A5D">
            <w:pPr>
              <w:rPr>
                <w:rFonts w:asciiTheme="minorHAnsi" w:hAnsiTheme="minorHAnsi" w:cs="Arial"/>
                <w:sz w:val="20"/>
                <w:szCs w:val="20"/>
              </w:rPr>
            </w:pPr>
          </w:p>
        </w:tc>
        <w:tc>
          <w:tcPr>
            <w:tcW w:w="4459" w:type="dxa"/>
            <w:vAlign w:val="bottom"/>
          </w:tcPr>
          <w:p w14:paraId="3ED72232" w14:textId="77777777" w:rsidR="00DA6694" w:rsidRPr="00F01EC8" w:rsidRDefault="00DA6694" w:rsidP="00AC0A5D">
            <w:pPr>
              <w:rPr>
                <w:rFonts w:asciiTheme="minorHAnsi" w:hAnsiTheme="minorHAnsi" w:cs="Arial"/>
                <w:sz w:val="20"/>
                <w:szCs w:val="20"/>
              </w:rPr>
            </w:pPr>
          </w:p>
        </w:tc>
        <w:tc>
          <w:tcPr>
            <w:tcW w:w="1216" w:type="dxa"/>
          </w:tcPr>
          <w:p w14:paraId="5E47BA3E" w14:textId="7999907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1440D0" w:rsidRPr="00F01EC8">
              <w:rPr>
                <w:rFonts w:asciiTheme="minorHAnsi" w:hAnsiTheme="minorHAnsi" w:cs="Arial"/>
                <w:sz w:val="20"/>
                <w:szCs w:val="20"/>
              </w:rPr>
              <w:t>20</w:t>
            </w:r>
            <w:r w:rsidRPr="00F01EC8">
              <w:rPr>
                <w:rFonts w:asciiTheme="minorHAnsi" w:hAnsiTheme="minorHAnsi" w:cs="Arial"/>
                <w:sz w:val="20"/>
                <w:szCs w:val="20"/>
              </w:rPr>
              <w:t> </w:t>
            </w:r>
          </w:p>
        </w:tc>
        <w:tc>
          <w:tcPr>
            <w:tcW w:w="1216" w:type="dxa"/>
          </w:tcPr>
          <w:p w14:paraId="00C0D3D0" w14:textId="1347D6E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1440D0"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52F0B3AA" w14:textId="77777777" w:rsidTr="00AC0A5D">
        <w:tc>
          <w:tcPr>
            <w:tcW w:w="3032" w:type="dxa"/>
            <w:gridSpan w:val="2"/>
            <w:vAlign w:val="bottom"/>
          </w:tcPr>
          <w:p w14:paraId="5E41F3EC" w14:textId="77777777" w:rsidR="00DA6694" w:rsidRPr="00F01EC8" w:rsidRDefault="00DA6694" w:rsidP="00AC0A5D">
            <w:pPr>
              <w:rPr>
                <w:rFonts w:asciiTheme="minorHAnsi" w:hAnsiTheme="minorHAnsi" w:cs="Arial"/>
                <w:bCs/>
                <w:sz w:val="20"/>
                <w:szCs w:val="20"/>
              </w:rPr>
            </w:pPr>
          </w:p>
        </w:tc>
        <w:tc>
          <w:tcPr>
            <w:tcW w:w="4459" w:type="dxa"/>
            <w:vAlign w:val="bottom"/>
          </w:tcPr>
          <w:p w14:paraId="23379E9B" w14:textId="77777777" w:rsidR="00DA6694" w:rsidRPr="00F01EC8" w:rsidRDefault="00DA6694" w:rsidP="00AC0A5D">
            <w:pPr>
              <w:rPr>
                <w:rFonts w:asciiTheme="minorHAnsi" w:hAnsiTheme="minorHAnsi" w:cs="Arial"/>
                <w:sz w:val="20"/>
                <w:szCs w:val="20"/>
              </w:rPr>
            </w:pPr>
          </w:p>
        </w:tc>
        <w:tc>
          <w:tcPr>
            <w:tcW w:w="1216" w:type="dxa"/>
            <w:tcBorders>
              <w:top w:val="nil"/>
              <w:left w:val="nil"/>
              <w:bottom w:val="single" w:sz="4" w:space="0" w:color="auto"/>
              <w:right w:val="nil"/>
            </w:tcBorders>
          </w:tcPr>
          <w:p w14:paraId="27CC60D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216" w:type="dxa"/>
            <w:tcBorders>
              <w:top w:val="nil"/>
              <w:left w:val="nil"/>
              <w:bottom w:val="single" w:sz="4" w:space="0" w:color="auto"/>
              <w:right w:val="nil"/>
            </w:tcBorders>
          </w:tcPr>
          <w:p w14:paraId="66AB413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1440D0" w:rsidRPr="00F01EC8" w14:paraId="33FC0668" w14:textId="77777777" w:rsidTr="00AC0A5D">
        <w:tc>
          <w:tcPr>
            <w:tcW w:w="1157" w:type="dxa"/>
            <w:vAlign w:val="bottom"/>
          </w:tcPr>
          <w:p w14:paraId="772969CE" w14:textId="77777777" w:rsidR="001440D0" w:rsidRPr="00F01EC8" w:rsidRDefault="001440D0" w:rsidP="001440D0">
            <w:pPr>
              <w:rPr>
                <w:rFonts w:asciiTheme="minorHAnsi" w:hAnsiTheme="minorHAnsi" w:cs="Arial"/>
                <w:sz w:val="20"/>
                <w:szCs w:val="20"/>
                <w:lang w:val="en-US"/>
              </w:rPr>
            </w:pPr>
            <w:r w:rsidRPr="00F01EC8">
              <w:rPr>
                <w:rFonts w:asciiTheme="minorHAnsi" w:hAnsiTheme="minorHAnsi" w:cs="Arial"/>
                <w:sz w:val="20"/>
                <w:szCs w:val="20"/>
                <w:lang w:val="en-US"/>
              </w:rPr>
              <w:t>2018 final</w:t>
            </w:r>
          </w:p>
        </w:tc>
        <w:tc>
          <w:tcPr>
            <w:tcW w:w="6334" w:type="dxa"/>
            <w:gridSpan w:val="2"/>
            <w:vAlign w:val="bottom"/>
          </w:tcPr>
          <w:p w14:paraId="0ACCF701" w14:textId="77777777" w:rsidR="001440D0" w:rsidRPr="00F01EC8" w:rsidRDefault="001440D0" w:rsidP="001440D0">
            <w:pPr>
              <w:ind w:left="-131" w:firstLine="131"/>
              <w:rPr>
                <w:rFonts w:asciiTheme="minorHAnsi" w:hAnsiTheme="minorHAnsi" w:cs="Arial"/>
                <w:sz w:val="20"/>
                <w:szCs w:val="20"/>
              </w:rPr>
            </w:pPr>
            <w:r w:rsidRPr="00F01EC8">
              <w:rPr>
                <w:rFonts w:asciiTheme="minorHAnsi" w:hAnsiTheme="minorHAnsi" w:cs="Arial"/>
                <w:sz w:val="20"/>
                <w:szCs w:val="20"/>
              </w:rPr>
              <w:t>- 10.0p per share</w:t>
            </w:r>
          </w:p>
        </w:tc>
        <w:tc>
          <w:tcPr>
            <w:tcW w:w="1216" w:type="dxa"/>
            <w:tcBorders>
              <w:top w:val="single" w:sz="4" w:space="0" w:color="auto"/>
              <w:left w:val="nil"/>
              <w:bottom w:val="nil"/>
              <w:right w:val="nil"/>
            </w:tcBorders>
            <w:vAlign w:val="bottom"/>
          </w:tcPr>
          <w:p w14:paraId="742C9BE1" w14:textId="460C6C9B" w:rsidR="001440D0" w:rsidRPr="00F01EC8" w:rsidRDefault="00CF5D81" w:rsidP="001440D0">
            <w:pPr>
              <w:jc w:val="right"/>
              <w:rPr>
                <w:rFonts w:asciiTheme="minorHAnsi" w:hAnsiTheme="minorHAnsi" w:cs="Arial"/>
                <w:sz w:val="20"/>
                <w:szCs w:val="20"/>
                <w:highlight w:val="yellow"/>
              </w:rPr>
            </w:pPr>
            <w:r w:rsidRPr="00F01EC8">
              <w:rPr>
                <w:rFonts w:asciiTheme="minorHAnsi" w:hAnsiTheme="minorHAnsi" w:cstheme="minorHAnsi"/>
                <w:sz w:val="20"/>
                <w:szCs w:val="20"/>
              </w:rPr>
              <w:t>-</w:t>
            </w:r>
          </w:p>
        </w:tc>
        <w:tc>
          <w:tcPr>
            <w:tcW w:w="1216" w:type="dxa"/>
            <w:tcBorders>
              <w:top w:val="single" w:sz="4" w:space="0" w:color="auto"/>
              <w:left w:val="nil"/>
              <w:bottom w:val="nil"/>
              <w:right w:val="nil"/>
            </w:tcBorders>
            <w:vAlign w:val="bottom"/>
          </w:tcPr>
          <w:p w14:paraId="6E65019E" w14:textId="65AF467B" w:rsidR="001440D0" w:rsidRPr="00F01EC8" w:rsidRDefault="001440D0" w:rsidP="001440D0">
            <w:pPr>
              <w:jc w:val="right"/>
              <w:rPr>
                <w:rFonts w:asciiTheme="minorHAnsi" w:hAnsiTheme="minorHAnsi" w:cs="Arial"/>
                <w:sz w:val="20"/>
                <w:szCs w:val="20"/>
              </w:rPr>
            </w:pPr>
            <w:r w:rsidRPr="00F01EC8">
              <w:rPr>
                <w:rFonts w:asciiTheme="minorHAnsi" w:hAnsiTheme="minorHAnsi" w:cs="Arial"/>
                <w:sz w:val="20"/>
                <w:szCs w:val="20"/>
              </w:rPr>
              <w:t>25.1 </w:t>
            </w:r>
          </w:p>
        </w:tc>
      </w:tr>
      <w:tr w:rsidR="001440D0" w:rsidRPr="00F01EC8" w14:paraId="14691230" w14:textId="77777777" w:rsidTr="00AC0A5D">
        <w:tc>
          <w:tcPr>
            <w:tcW w:w="3032" w:type="dxa"/>
            <w:gridSpan w:val="2"/>
            <w:vAlign w:val="bottom"/>
          </w:tcPr>
          <w:p w14:paraId="668E8EEF" w14:textId="77777777" w:rsidR="001440D0" w:rsidRPr="00F01EC8" w:rsidRDefault="001440D0" w:rsidP="001440D0">
            <w:pPr>
              <w:rPr>
                <w:rFonts w:asciiTheme="minorHAnsi" w:hAnsiTheme="minorHAnsi" w:cs="Arial"/>
                <w:b/>
                <w:sz w:val="20"/>
                <w:szCs w:val="20"/>
                <w:lang w:val="en-US"/>
              </w:rPr>
            </w:pPr>
            <w:r w:rsidRPr="00F01EC8">
              <w:rPr>
                <w:rFonts w:asciiTheme="minorHAnsi" w:hAnsiTheme="minorHAnsi" w:cs="Arial"/>
                <w:b/>
                <w:sz w:val="20"/>
                <w:szCs w:val="20"/>
                <w:lang w:val="en-US"/>
              </w:rPr>
              <w:t>Total dividends paid</w:t>
            </w:r>
          </w:p>
        </w:tc>
        <w:tc>
          <w:tcPr>
            <w:tcW w:w="4459" w:type="dxa"/>
            <w:vAlign w:val="bottom"/>
          </w:tcPr>
          <w:p w14:paraId="060E47C9" w14:textId="77777777" w:rsidR="001440D0" w:rsidRPr="00F01EC8" w:rsidRDefault="001440D0" w:rsidP="001440D0">
            <w:pPr>
              <w:rPr>
                <w:rFonts w:asciiTheme="minorHAnsi" w:hAnsiTheme="minorHAnsi" w:cs="Arial"/>
                <w:sz w:val="20"/>
                <w:szCs w:val="20"/>
                <w:lang w:val="en-US"/>
              </w:rPr>
            </w:pPr>
          </w:p>
        </w:tc>
        <w:tc>
          <w:tcPr>
            <w:tcW w:w="1216" w:type="dxa"/>
            <w:tcBorders>
              <w:top w:val="single" w:sz="4" w:space="0" w:color="auto"/>
              <w:left w:val="nil"/>
              <w:bottom w:val="single" w:sz="12" w:space="0" w:color="auto"/>
              <w:right w:val="nil"/>
            </w:tcBorders>
            <w:vAlign w:val="bottom"/>
          </w:tcPr>
          <w:p w14:paraId="6CE49F24" w14:textId="102FC42A" w:rsidR="001440D0" w:rsidRPr="00F01EC8" w:rsidRDefault="00CF5D81" w:rsidP="001440D0">
            <w:pPr>
              <w:jc w:val="right"/>
              <w:rPr>
                <w:rFonts w:asciiTheme="minorHAnsi" w:hAnsiTheme="minorHAnsi" w:cs="Arial"/>
                <w:sz w:val="20"/>
                <w:szCs w:val="20"/>
                <w:highlight w:val="yellow"/>
                <w:lang w:val="en-US"/>
              </w:rPr>
            </w:pPr>
            <w:r w:rsidRPr="00F01EC8">
              <w:rPr>
                <w:rFonts w:asciiTheme="minorHAnsi" w:hAnsiTheme="minorHAnsi" w:cstheme="minorHAnsi"/>
                <w:sz w:val="20"/>
                <w:szCs w:val="20"/>
              </w:rPr>
              <w:t>-</w:t>
            </w:r>
          </w:p>
        </w:tc>
        <w:tc>
          <w:tcPr>
            <w:tcW w:w="1216" w:type="dxa"/>
            <w:tcBorders>
              <w:top w:val="single" w:sz="4" w:space="0" w:color="auto"/>
              <w:left w:val="nil"/>
              <w:bottom w:val="single" w:sz="12" w:space="0" w:color="auto"/>
              <w:right w:val="nil"/>
            </w:tcBorders>
            <w:vAlign w:val="bottom"/>
          </w:tcPr>
          <w:p w14:paraId="19BA1FF7" w14:textId="13852CD1" w:rsidR="001440D0" w:rsidRPr="00F01EC8" w:rsidRDefault="001440D0" w:rsidP="001440D0">
            <w:pPr>
              <w:jc w:val="right"/>
              <w:rPr>
                <w:rFonts w:asciiTheme="minorHAnsi" w:hAnsiTheme="minorHAnsi" w:cs="Arial"/>
                <w:sz w:val="20"/>
                <w:szCs w:val="20"/>
                <w:lang w:val="en-US"/>
              </w:rPr>
            </w:pPr>
            <w:r w:rsidRPr="00F01EC8">
              <w:rPr>
                <w:rFonts w:asciiTheme="minorHAnsi" w:hAnsiTheme="minorHAnsi" w:cs="Arial"/>
                <w:sz w:val="20"/>
                <w:szCs w:val="20"/>
                <w:lang w:val="en-US"/>
              </w:rPr>
              <w:t>25.1 </w:t>
            </w:r>
          </w:p>
        </w:tc>
      </w:tr>
    </w:tbl>
    <w:p w14:paraId="1DEB6B8B" w14:textId="77777777" w:rsidR="00DA6694" w:rsidRPr="00F01EC8" w:rsidRDefault="00DA6694" w:rsidP="00DA6694">
      <w:pPr>
        <w:jc w:val="both"/>
        <w:rPr>
          <w:rFonts w:asciiTheme="minorHAnsi" w:hAnsiTheme="minorHAnsi" w:cs="Arial"/>
          <w:sz w:val="20"/>
          <w:szCs w:val="20"/>
        </w:rPr>
      </w:pPr>
    </w:p>
    <w:p w14:paraId="402AEB66" w14:textId="65BF36F6" w:rsidR="00CF5D81" w:rsidRPr="00F01EC8" w:rsidRDefault="00CF5D81" w:rsidP="00CF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 xml:space="preserve">The directors have not declared an interim dividend in respect of the six months ended 30 June 2020 (2019: 9.0p). </w:t>
      </w:r>
    </w:p>
    <w:p w14:paraId="5FBF1239" w14:textId="77777777" w:rsidR="00CF5D81" w:rsidRPr="00F01EC8" w:rsidRDefault="00CF5D81"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2E81CE87" w14:textId="564F5292" w:rsidR="009D39AC" w:rsidRDefault="00E54412" w:rsidP="002303EB">
      <w:pPr>
        <w:jc w:val="both"/>
        <w:rPr>
          <w:rFonts w:asciiTheme="minorHAnsi" w:hAnsiTheme="minorHAnsi" w:cs="Arial"/>
          <w:sz w:val="20"/>
          <w:szCs w:val="20"/>
        </w:rPr>
      </w:pPr>
      <w:r w:rsidRPr="00F01EC8">
        <w:rPr>
          <w:rStyle w:val="bodycopynumber"/>
          <w:rFonts w:asciiTheme="minorHAnsi" w:hAnsiTheme="minorHAnsi" w:cs="Arial"/>
          <w:bCs/>
          <w:sz w:val="20"/>
          <w:szCs w:val="20"/>
        </w:rPr>
        <w:t xml:space="preserve">On 27 March 2020, </w:t>
      </w:r>
      <w:r w:rsidRPr="00F01EC8">
        <w:rPr>
          <w:rFonts w:asciiTheme="minorHAnsi" w:hAnsiTheme="minorHAnsi" w:cs="Arial"/>
          <w:sz w:val="20"/>
          <w:szCs w:val="20"/>
        </w:rPr>
        <w:t>following the unprece</w:t>
      </w:r>
      <w:r w:rsidR="00822B12" w:rsidRPr="00F01EC8">
        <w:rPr>
          <w:rFonts w:asciiTheme="minorHAnsi" w:hAnsiTheme="minorHAnsi" w:cs="Arial"/>
          <w:sz w:val="20"/>
          <w:szCs w:val="20"/>
        </w:rPr>
        <w:t>de</w:t>
      </w:r>
      <w:r w:rsidRPr="00F01EC8">
        <w:rPr>
          <w:rFonts w:asciiTheme="minorHAnsi" w:hAnsiTheme="minorHAnsi" w:cs="Arial"/>
          <w:sz w:val="20"/>
          <w:szCs w:val="20"/>
        </w:rPr>
        <w:t>nted challenges of Covid</w:t>
      </w:r>
      <w:r w:rsidR="00F3686C" w:rsidRPr="00F01EC8">
        <w:rPr>
          <w:rFonts w:asciiTheme="minorHAnsi" w:hAnsiTheme="minorHAnsi" w:cs="Arial"/>
          <w:sz w:val="20"/>
          <w:szCs w:val="20"/>
        </w:rPr>
        <w:t>-</w:t>
      </w:r>
      <w:r w:rsidRPr="00F01EC8">
        <w:rPr>
          <w:rFonts w:asciiTheme="minorHAnsi" w:hAnsiTheme="minorHAnsi" w:cs="Arial"/>
          <w:sz w:val="20"/>
          <w:szCs w:val="20"/>
        </w:rPr>
        <w:t>19, the final dividend for 2019 of 16.0p was no longer proposed at the Annual General Meeting</w:t>
      </w:r>
      <w:r w:rsidR="00EC48CC">
        <w:rPr>
          <w:rFonts w:asciiTheme="minorHAnsi" w:hAnsiTheme="minorHAnsi" w:cs="Arial"/>
          <w:sz w:val="20"/>
          <w:szCs w:val="20"/>
        </w:rPr>
        <w:t xml:space="preserve">. </w:t>
      </w:r>
      <w:r w:rsidRPr="00F01EC8">
        <w:rPr>
          <w:rFonts w:asciiTheme="minorHAnsi" w:hAnsiTheme="minorHAnsi" w:cs="Arial"/>
          <w:sz w:val="20"/>
          <w:szCs w:val="20"/>
        </w:rPr>
        <w:t xml:space="preserve"> in order to retain liquidity and balance sheet stability </w:t>
      </w:r>
      <w:r w:rsidR="00AB6AAB" w:rsidRPr="00F01EC8">
        <w:rPr>
          <w:rFonts w:asciiTheme="minorHAnsi" w:hAnsiTheme="minorHAnsi" w:cs="Arial"/>
          <w:sz w:val="20"/>
          <w:szCs w:val="20"/>
        </w:rPr>
        <w:t>during</w:t>
      </w:r>
      <w:r w:rsidRPr="00F01EC8">
        <w:rPr>
          <w:rFonts w:asciiTheme="minorHAnsi" w:hAnsiTheme="minorHAnsi" w:cs="Arial"/>
          <w:sz w:val="20"/>
          <w:szCs w:val="20"/>
        </w:rPr>
        <w:t xml:space="preserve"> unprece</w:t>
      </w:r>
      <w:r w:rsidR="00822B12" w:rsidRPr="00F01EC8">
        <w:rPr>
          <w:rFonts w:asciiTheme="minorHAnsi" w:hAnsiTheme="minorHAnsi" w:cs="Arial"/>
          <w:sz w:val="20"/>
          <w:szCs w:val="20"/>
        </w:rPr>
        <w:t>de</w:t>
      </w:r>
      <w:r w:rsidRPr="00F01EC8">
        <w:rPr>
          <w:rFonts w:asciiTheme="minorHAnsi" w:hAnsiTheme="minorHAnsi" w:cs="Arial"/>
          <w:sz w:val="20"/>
          <w:szCs w:val="20"/>
        </w:rPr>
        <w:t>nted levels of uncertainty.</w:t>
      </w:r>
      <w:r w:rsidR="00EC48CC">
        <w:rPr>
          <w:rFonts w:asciiTheme="minorHAnsi" w:hAnsiTheme="minorHAnsi" w:cs="Arial"/>
          <w:sz w:val="20"/>
          <w:szCs w:val="20"/>
        </w:rPr>
        <w:t xml:space="preserve"> In 2019, the final 2018 dividend of </w:t>
      </w:r>
      <w:r w:rsidR="00EC48CC" w:rsidRPr="00F01EC8">
        <w:rPr>
          <w:rFonts w:asciiTheme="minorHAnsi" w:hAnsiTheme="minorHAnsi" w:cs="Arial"/>
          <w:sz w:val="20"/>
          <w:szCs w:val="20"/>
        </w:rPr>
        <w:t>10.0p</w:t>
      </w:r>
      <w:r w:rsidR="00EC48CC">
        <w:rPr>
          <w:rFonts w:asciiTheme="minorHAnsi" w:hAnsiTheme="minorHAnsi" w:cs="Arial"/>
          <w:sz w:val="20"/>
          <w:szCs w:val="20"/>
        </w:rPr>
        <w:t xml:space="preserve"> per share was paid</w:t>
      </w:r>
      <w:r w:rsidR="002303EB">
        <w:rPr>
          <w:rFonts w:asciiTheme="minorHAnsi" w:hAnsiTheme="minorHAnsi" w:cs="Arial"/>
          <w:sz w:val="20"/>
          <w:szCs w:val="20"/>
        </w:rPr>
        <w:t>.</w:t>
      </w:r>
    </w:p>
    <w:p w14:paraId="3C1F8D32" w14:textId="77777777" w:rsidR="002303EB" w:rsidRPr="00F01EC8" w:rsidRDefault="002303EB" w:rsidP="002303EB">
      <w:pPr>
        <w:jc w:val="both"/>
        <w:rPr>
          <w:rFonts w:asciiTheme="minorHAnsi" w:hAnsiTheme="minorHAnsi" w:cs="Arial"/>
          <w:b/>
          <w:sz w:val="20"/>
          <w:szCs w:val="20"/>
        </w:rPr>
      </w:pPr>
    </w:p>
    <w:p w14:paraId="5F242621" w14:textId="7F9C6955" w:rsidR="00DA6694" w:rsidRPr="00F01EC8" w:rsidRDefault="00DA6694" w:rsidP="00DA6694">
      <w:pPr>
        <w:ind w:left="567" w:hanging="567"/>
        <w:rPr>
          <w:rFonts w:asciiTheme="minorHAnsi" w:hAnsiTheme="minorHAnsi" w:cs="Arial"/>
          <w:b/>
          <w:sz w:val="20"/>
          <w:szCs w:val="20"/>
        </w:rPr>
      </w:pPr>
      <w:r w:rsidRPr="00F01EC8">
        <w:rPr>
          <w:rFonts w:asciiTheme="minorHAnsi" w:hAnsiTheme="minorHAnsi" w:cs="Arial"/>
          <w:b/>
          <w:sz w:val="20"/>
          <w:szCs w:val="20"/>
        </w:rPr>
        <w:t>8.</w:t>
      </w:r>
      <w:r w:rsidRPr="00F01EC8">
        <w:rPr>
          <w:rFonts w:asciiTheme="minorHAnsi" w:hAnsiTheme="minorHAnsi" w:cs="Arial"/>
          <w:b/>
          <w:sz w:val="20"/>
          <w:szCs w:val="20"/>
        </w:rPr>
        <w:tab/>
        <w:t>Amounts receivable from customers</w:t>
      </w:r>
    </w:p>
    <w:p w14:paraId="08D7B8DA"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0"/>
          <w:szCs w:val="20"/>
        </w:rPr>
      </w:pPr>
    </w:p>
    <w:tbl>
      <w:tblPr>
        <w:tblW w:w="9908" w:type="dxa"/>
        <w:tblLook w:val="0000" w:firstRow="0" w:lastRow="0" w:firstColumn="0" w:lastColumn="0" w:noHBand="0" w:noVBand="0"/>
      </w:tblPr>
      <w:tblGrid>
        <w:gridCol w:w="5495"/>
        <w:gridCol w:w="1417"/>
        <w:gridCol w:w="1567"/>
        <w:gridCol w:w="1429"/>
      </w:tblGrid>
      <w:tr w:rsidR="00DA6694" w:rsidRPr="00F01EC8" w14:paraId="5965418A" w14:textId="77777777" w:rsidTr="00AC0A5D">
        <w:tc>
          <w:tcPr>
            <w:tcW w:w="5495" w:type="dxa"/>
          </w:tcPr>
          <w:p w14:paraId="56DB3625" w14:textId="77777777" w:rsidR="00DA6694" w:rsidRPr="00F01EC8" w:rsidRDefault="00DA6694" w:rsidP="00AC0A5D">
            <w:pPr>
              <w:rPr>
                <w:rFonts w:asciiTheme="minorHAnsi" w:hAnsiTheme="minorHAnsi" w:cs="Arial"/>
                <w:sz w:val="20"/>
                <w:szCs w:val="20"/>
              </w:rPr>
            </w:pPr>
          </w:p>
        </w:tc>
        <w:tc>
          <w:tcPr>
            <w:tcW w:w="1417" w:type="dxa"/>
          </w:tcPr>
          <w:p w14:paraId="32B9171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567" w:type="dxa"/>
          </w:tcPr>
          <w:p w14:paraId="01B690B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429" w:type="dxa"/>
          </w:tcPr>
          <w:p w14:paraId="53D97B8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5DE1D59D" w14:textId="77777777" w:rsidTr="00AC0A5D">
        <w:tc>
          <w:tcPr>
            <w:tcW w:w="5495" w:type="dxa"/>
          </w:tcPr>
          <w:p w14:paraId="1C9024E6" w14:textId="77777777" w:rsidR="00DA6694" w:rsidRPr="00F01EC8" w:rsidRDefault="00DA6694" w:rsidP="00AC0A5D">
            <w:pPr>
              <w:rPr>
                <w:rFonts w:asciiTheme="minorHAnsi" w:hAnsiTheme="minorHAnsi" w:cs="Arial"/>
                <w:sz w:val="20"/>
                <w:szCs w:val="20"/>
              </w:rPr>
            </w:pPr>
          </w:p>
        </w:tc>
        <w:tc>
          <w:tcPr>
            <w:tcW w:w="1417" w:type="dxa"/>
          </w:tcPr>
          <w:p w14:paraId="60E45642" w14:textId="7479E66F"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0A7ECC" w:rsidRPr="00F01EC8">
              <w:rPr>
                <w:rFonts w:asciiTheme="minorHAnsi" w:hAnsiTheme="minorHAnsi" w:cs="Arial"/>
                <w:sz w:val="20"/>
                <w:szCs w:val="20"/>
              </w:rPr>
              <w:t>20</w:t>
            </w:r>
            <w:r w:rsidRPr="00F01EC8">
              <w:rPr>
                <w:rFonts w:asciiTheme="minorHAnsi" w:hAnsiTheme="minorHAnsi" w:cs="Arial"/>
                <w:sz w:val="20"/>
                <w:szCs w:val="20"/>
              </w:rPr>
              <w:t> </w:t>
            </w:r>
          </w:p>
        </w:tc>
        <w:tc>
          <w:tcPr>
            <w:tcW w:w="1567" w:type="dxa"/>
          </w:tcPr>
          <w:p w14:paraId="32CDFF7D" w14:textId="66A5861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0A7ECC" w:rsidRPr="00F01EC8">
              <w:rPr>
                <w:rFonts w:asciiTheme="minorHAnsi" w:hAnsiTheme="minorHAnsi" w:cs="Arial"/>
                <w:sz w:val="20"/>
                <w:szCs w:val="20"/>
              </w:rPr>
              <w:t>9</w:t>
            </w:r>
            <w:r w:rsidRPr="00F01EC8">
              <w:rPr>
                <w:rFonts w:asciiTheme="minorHAnsi" w:hAnsiTheme="minorHAnsi" w:cs="Arial"/>
                <w:sz w:val="20"/>
                <w:szCs w:val="20"/>
              </w:rPr>
              <w:t> </w:t>
            </w:r>
          </w:p>
        </w:tc>
        <w:tc>
          <w:tcPr>
            <w:tcW w:w="1429" w:type="dxa"/>
          </w:tcPr>
          <w:p w14:paraId="23CF2C43" w14:textId="6B1D1CD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0524B6" w:rsidRPr="00F01EC8">
              <w:rPr>
                <w:rFonts w:asciiTheme="minorHAnsi" w:hAnsiTheme="minorHAnsi" w:cs="Arial"/>
                <w:sz w:val="20"/>
                <w:szCs w:val="20"/>
              </w:rPr>
              <w:t>9</w:t>
            </w:r>
            <w:r w:rsidR="00F4329B" w:rsidRPr="00F01EC8">
              <w:rPr>
                <w:rFonts w:asciiTheme="minorHAnsi" w:hAnsiTheme="minorHAnsi" w:cs="Arial"/>
                <w:sz w:val="20"/>
                <w:szCs w:val="20"/>
              </w:rPr>
              <w:t xml:space="preserve"> (restated)</w:t>
            </w:r>
          </w:p>
        </w:tc>
      </w:tr>
      <w:tr w:rsidR="00DA6694" w:rsidRPr="00F01EC8" w14:paraId="550B6DC8" w14:textId="77777777" w:rsidTr="00AC0A5D">
        <w:tc>
          <w:tcPr>
            <w:tcW w:w="5495" w:type="dxa"/>
          </w:tcPr>
          <w:p w14:paraId="3BCCC89E" w14:textId="77777777" w:rsidR="00DA6694" w:rsidRPr="00F01EC8" w:rsidRDefault="00DA6694" w:rsidP="00AC0A5D">
            <w:pPr>
              <w:rPr>
                <w:rFonts w:asciiTheme="minorHAnsi" w:hAnsiTheme="minorHAnsi" w:cs="Arial"/>
                <w:sz w:val="20"/>
                <w:szCs w:val="20"/>
              </w:rPr>
            </w:pPr>
          </w:p>
        </w:tc>
        <w:tc>
          <w:tcPr>
            <w:tcW w:w="1417" w:type="dxa"/>
            <w:tcBorders>
              <w:top w:val="nil"/>
              <w:left w:val="nil"/>
              <w:bottom w:val="single" w:sz="4" w:space="0" w:color="auto"/>
              <w:right w:val="nil"/>
            </w:tcBorders>
          </w:tcPr>
          <w:p w14:paraId="3A39346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567" w:type="dxa"/>
            <w:tcBorders>
              <w:top w:val="nil"/>
              <w:left w:val="nil"/>
              <w:bottom w:val="single" w:sz="4" w:space="0" w:color="auto"/>
              <w:right w:val="nil"/>
            </w:tcBorders>
          </w:tcPr>
          <w:p w14:paraId="3F9C5FE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429" w:type="dxa"/>
            <w:tcBorders>
              <w:top w:val="nil"/>
              <w:left w:val="nil"/>
              <w:bottom w:val="single" w:sz="4" w:space="0" w:color="auto"/>
              <w:right w:val="nil"/>
            </w:tcBorders>
          </w:tcPr>
          <w:p w14:paraId="6D18373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32BCB935" w14:textId="77777777" w:rsidTr="00AC0A5D">
        <w:tc>
          <w:tcPr>
            <w:tcW w:w="5495" w:type="dxa"/>
          </w:tcPr>
          <w:p w14:paraId="327F7709" w14:textId="77777777" w:rsidR="00DA6694" w:rsidRPr="00F01EC8" w:rsidRDefault="00DA6694" w:rsidP="00AC0A5D">
            <w:pPr>
              <w:rPr>
                <w:rFonts w:asciiTheme="minorHAnsi" w:hAnsiTheme="minorHAnsi" w:cs="Arial"/>
                <w:b/>
                <w:sz w:val="20"/>
                <w:szCs w:val="20"/>
              </w:rPr>
            </w:pPr>
          </w:p>
        </w:tc>
        <w:tc>
          <w:tcPr>
            <w:tcW w:w="1417" w:type="dxa"/>
            <w:vAlign w:val="bottom"/>
          </w:tcPr>
          <w:p w14:paraId="5F0664E4" w14:textId="77777777" w:rsidR="00DA6694" w:rsidRPr="00F01EC8" w:rsidRDefault="00DA6694" w:rsidP="00AC0A5D">
            <w:pPr>
              <w:jc w:val="right"/>
              <w:rPr>
                <w:rFonts w:asciiTheme="minorHAnsi" w:hAnsiTheme="minorHAnsi" w:cs="Arial"/>
                <w:sz w:val="20"/>
                <w:szCs w:val="20"/>
              </w:rPr>
            </w:pPr>
          </w:p>
        </w:tc>
        <w:tc>
          <w:tcPr>
            <w:tcW w:w="1567" w:type="dxa"/>
            <w:vAlign w:val="bottom"/>
          </w:tcPr>
          <w:p w14:paraId="135969C1" w14:textId="77777777" w:rsidR="00DA6694" w:rsidRPr="00F01EC8" w:rsidRDefault="00DA6694" w:rsidP="00AC0A5D">
            <w:pPr>
              <w:jc w:val="right"/>
              <w:rPr>
                <w:rFonts w:asciiTheme="minorHAnsi" w:hAnsiTheme="minorHAnsi" w:cs="Arial"/>
                <w:sz w:val="20"/>
                <w:szCs w:val="20"/>
              </w:rPr>
            </w:pPr>
          </w:p>
        </w:tc>
        <w:tc>
          <w:tcPr>
            <w:tcW w:w="1429" w:type="dxa"/>
            <w:vAlign w:val="bottom"/>
          </w:tcPr>
          <w:p w14:paraId="683ACC4E" w14:textId="77777777" w:rsidR="00DA6694" w:rsidRPr="00F01EC8" w:rsidRDefault="00DA6694" w:rsidP="00AC0A5D">
            <w:pPr>
              <w:jc w:val="right"/>
              <w:rPr>
                <w:rFonts w:asciiTheme="minorHAnsi" w:hAnsiTheme="minorHAnsi" w:cs="Arial"/>
                <w:sz w:val="20"/>
                <w:szCs w:val="20"/>
              </w:rPr>
            </w:pPr>
          </w:p>
        </w:tc>
      </w:tr>
      <w:tr w:rsidR="006364C8" w:rsidRPr="00F01EC8" w14:paraId="15173AE7" w14:textId="77777777" w:rsidTr="00AC0A5D">
        <w:tc>
          <w:tcPr>
            <w:tcW w:w="5495" w:type="dxa"/>
            <w:vAlign w:val="bottom"/>
          </w:tcPr>
          <w:p w14:paraId="0D19FD2D" w14:textId="77777777" w:rsidR="006364C8" w:rsidRPr="00F01EC8" w:rsidRDefault="006364C8" w:rsidP="006364C8">
            <w:pPr>
              <w:rPr>
                <w:rFonts w:asciiTheme="minorHAnsi" w:hAnsiTheme="minorHAnsi" w:cs="Arial"/>
                <w:sz w:val="20"/>
                <w:szCs w:val="20"/>
              </w:rPr>
            </w:pPr>
            <w:r w:rsidRPr="00F01EC8">
              <w:rPr>
                <w:rFonts w:asciiTheme="minorHAnsi" w:hAnsiTheme="minorHAnsi" w:cs="Arial"/>
                <w:sz w:val="20"/>
                <w:szCs w:val="20"/>
              </w:rPr>
              <w:t>Vanquis Bank</w:t>
            </w:r>
          </w:p>
        </w:tc>
        <w:tc>
          <w:tcPr>
            <w:tcW w:w="1417" w:type="dxa"/>
            <w:vAlign w:val="bottom"/>
          </w:tcPr>
          <w:p w14:paraId="39124F6F" w14:textId="5DA94841" w:rsidR="006364C8" w:rsidRPr="00F01EC8" w:rsidRDefault="00E54412" w:rsidP="006364C8">
            <w:pPr>
              <w:jc w:val="right"/>
              <w:rPr>
                <w:rFonts w:asciiTheme="minorHAnsi" w:hAnsiTheme="minorHAnsi" w:cs="Arial"/>
                <w:sz w:val="20"/>
                <w:szCs w:val="20"/>
              </w:rPr>
            </w:pPr>
            <w:r w:rsidRPr="00F01EC8">
              <w:rPr>
                <w:rFonts w:asciiTheme="minorHAnsi" w:hAnsiTheme="minorHAnsi" w:cs="Arial"/>
                <w:sz w:val="20"/>
                <w:szCs w:val="20"/>
              </w:rPr>
              <w:t>1,202.1</w:t>
            </w:r>
          </w:p>
        </w:tc>
        <w:tc>
          <w:tcPr>
            <w:tcW w:w="1567" w:type="dxa"/>
            <w:vAlign w:val="bottom"/>
          </w:tcPr>
          <w:p w14:paraId="0E7E35FC" w14:textId="6948A426"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1,461.5 </w:t>
            </w:r>
          </w:p>
        </w:tc>
        <w:tc>
          <w:tcPr>
            <w:tcW w:w="1429" w:type="dxa"/>
            <w:vAlign w:val="bottom"/>
          </w:tcPr>
          <w:p w14:paraId="1AE9C42A" w14:textId="3129DFC0"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1,4</w:t>
            </w:r>
            <w:r w:rsidR="00F4329B" w:rsidRPr="00F01EC8">
              <w:rPr>
                <w:rFonts w:asciiTheme="minorHAnsi" w:hAnsiTheme="minorHAnsi" w:cs="Arial"/>
                <w:sz w:val="20"/>
                <w:szCs w:val="20"/>
              </w:rPr>
              <w:t>64</w:t>
            </w:r>
            <w:r w:rsidRPr="00F01EC8">
              <w:rPr>
                <w:rFonts w:asciiTheme="minorHAnsi" w:hAnsiTheme="minorHAnsi" w:cs="Arial"/>
                <w:sz w:val="20"/>
                <w:szCs w:val="20"/>
              </w:rPr>
              <w:t>.</w:t>
            </w:r>
            <w:r w:rsidR="00F4329B" w:rsidRPr="00F01EC8">
              <w:rPr>
                <w:rFonts w:asciiTheme="minorHAnsi" w:hAnsiTheme="minorHAnsi" w:cs="Arial"/>
                <w:sz w:val="20"/>
                <w:szCs w:val="20"/>
              </w:rPr>
              <w:t>8</w:t>
            </w:r>
            <w:r w:rsidRPr="00F01EC8">
              <w:rPr>
                <w:rFonts w:asciiTheme="minorHAnsi" w:hAnsiTheme="minorHAnsi" w:cs="Arial"/>
                <w:sz w:val="20"/>
                <w:szCs w:val="20"/>
              </w:rPr>
              <w:t> </w:t>
            </w:r>
          </w:p>
        </w:tc>
      </w:tr>
      <w:tr w:rsidR="006364C8" w:rsidRPr="00F01EC8" w14:paraId="786D59B9" w14:textId="77777777" w:rsidTr="00AC0A5D">
        <w:tc>
          <w:tcPr>
            <w:tcW w:w="5495" w:type="dxa"/>
            <w:vAlign w:val="bottom"/>
          </w:tcPr>
          <w:p w14:paraId="373B79E0" w14:textId="77777777" w:rsidR="006364C8" w:rsidRPr="00F01EC8" w:rsidRDefault="006364C8" w:rsidP="006364C8">
            <w:pPr>
              <w:rPr>
                <w:rFonts w:asciiTheme="minorHAnsi" w:hAnsiTheme="minorHAnsi" w:cs="Arial"/>
                <w:sz w:val="20"/>
                <w:szCs w:val="20"/>
              </w:rPr>
            </w:pPr>
            <w:r w:rsidRPr="00F01EC8">
              <w:rPr>
                <w:rFonts w:asciiTheme="minorHAnsi" w:hAnsiTheme="minorHAnsi" w:cs="Arial"/>
                <w:sz w:val="20"/>
                <w:szCs w:val="20"/>
              </w:rPr>
              <w:t>Moneybarn</w:t>
            </w:r>
          </w:p>
        </w:tc>
        <w:tc>
          <w:tcPr>
            <w:tcW w:w="1417" w:type="dxa"/>
            <w:vAlign w:val="bottom"/>
          </w:tcPr>
          <w:p w14:paraId="7FBF4490" w14:textId="4245C333" w:rsidR="006364C8" w:rsidRPr="00F01EC8" w:rsidRDefault="00E54412" w:rsidP="006364C8">
            <w:pPr>
              <w:jc w:val="right"/>
              <w:rPr>
                <w:rFonts w:asciiTheme="minorHAnsi" w:hAnsiTheme="minorHAnsi" w:cs="Arial"/>
                <w:sz w:val="20"/>
                <w:szCs w:val="20"/>
              </w:rPr>
            </w:pPr>
            <w:r w:rsidRPr="00F01EC8">
              <w:rPr>
                <w:rFonts w:asciiTheme="minorHAnsi" w:hAnsiTheme="minorHAnsi" w:cs="Arial"/>
                <w:sz w:val="20"/>
                <w:szCs w:val="20"/>
              </w:rPr>
              <w:t>529.4</w:t>
            </w:r>
          </w:p>
        </w:tc>
        <w:tc>
          <w:tcPr>
            <w:tcW w:w="1567" w:type="dxa"/>
            <w:vAlign w:val="bottom"/>
          </w:tcPr>
          <w:p w14:paraId="67B63F5F" w14:textId="39BA82F0"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502.1 </w:t>
            </w:r>
          </w:p>
        </w:tc>
        <w:tc>
          <w:tcPr>
            <w:tcW w:w="1429" w:type="dxa"/>
            <w:vAlign w:val="bottom"/>
          </w:tcPr>
          <w:p w14:paraId="55AA117A" w14:textId="0E2C38D8"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4</w:t>
            </w:r>
            <w:r w:rsidR="00F4329B" w:rsidRPr="00F01EC8">
              <w:rPr>
                <w:rFonts w:asciiTheme="minorHAnsi" w:hAnsiTheme="minorHAnsi" w:cs="Arial"/>
                <w:sz w:val="20"/>
                <w:szCs w:val="20"/>
              </w:rPr>
              <w:t>84</w:t>
            </w:r>
            <w:r w:rsidRPr="00F01EC8">
              <w:rPr>
                <w:rFonts w:asciiTheme="minorHAnsi" w:hAnsiTheme="minorHAnsi" w:cs="Arial"/>
                <w:sz w:val="20"/>
                <w:szCs w:val="20"/>
              </w:rPr>
              <w:t>.</w:t>
            </w:r>
            <w:r w:rsidR="00F4329B" w:rsidRPr="00F01EC8">
              <w:rPr>
                <w:rFonts w:asciiTheme="minorHAnsi" w:hAnsiTheme="minorHAnsi" w:cs="Arial"/>
                <w:sz w:val="20"/>
                <w:szCs w:val="20"/>
              </w:rPr>
              <w:t>7</w:t>
            </w:r>
            <w:r w:rsidRPr="00F01EC8">
              <w:rPr>
                <w:rFonts w:asciiTheme="minorHAnsi" w:hAnsiTheme="minorHAnsi" w:cs="Arial"/>
                <w:sz w:val="20"/>
                <w:szCs w:val="20"/>
              </w:rPr>
              <w:t> </w:t>
            </w:r>
          </w:p>
        </w:tc>
      </w:tr>
      <w:tr w:rsidR="006364C8" w:rsidRPr="00F01EC8" w14:paraId="3B2D83F9" w14:textId="77777777" w:rsidTr="00AC0A5D">
        <w:tc>
          <w:tcPr>
            <w:tcW w:w="5495" w:type="dxa"/>
            <w:vAlign w:val="bottom"/>
          </w:tcPr>
          <w:p w14:paraId="1617F756" w14:textId="77777777" w:rsidR="006364C8" w:rsidRPr="00F01EC8" w:rsidRDefault="006364C8" w:rsidP="006364C8">
            <w:pPr>
              <w:rPr>
                <w:rFonts w:asciiTheme="minorHAnsi" w:hAnsiTheme="minorHAnsi" w:cs="Arial"/>
                <w:sz w:val="20"/>
                <w:szCs w:val="20"/>
              </w:rPr>
            </w:pPr>
            <w:r w:rsidRPr="00F01EC8">
              <w:rPr>
                <w:rFonts w:asciiTheme="minorHAnsi" w:hAnsiTheme="minorHAnsi" w:cs="Arial"/>
                <w:sz w:val="20"/>
                <w:szCs w:val="20"/>
              </w:rPr>
              <w:t>CCD</w:t>
            </w:r>
          </w:p>
        </w:tc>
        <w:tc>
          <w:tcPr>
            <w:tcW w:w="1417" w:type="dxa"/>
            <w:vAlign w:val="bottom"/>
          </w:tcPr>
          <w:p w14:paraId="30784BBA" w14:textId="50DBDBDF" w:rsidR="006364C8" w:rsidRPr="00F01EC8" w:rsidRDefault="00817960" w:rsidP="006364C8">
            <w:pPr>
              <w:jc w:val="right"/>
              <w:rPr>
                <w:rFonts w:asciiTheme="minorHAnsi" w:hAnsiTheme="minorHAnsi" w:cs="Arial"/>
                <w:sz w:val="20"/>
                <w:szCs w:val="20"/>
              </w:rPr>
            </w:pPr>
            <w:r w:rsidRPr="00F01EC8">
              <w:rPr>
                <w:rFonts w:asciiTheme="minorHAnsi" w:hAnsiTheme="minorHAnsi" w:cs="Arial"/>
                <w:sz w:val="20"/>
                <w:szCs w:val="20"/>
              </w:rPr>
              <w:t>146.9</w:t>
            </w:r>
          </w:p>
        </w:tc>
        <w:tc>
          <w:tcPr>
            <w:tcW w:w="1567" w:type="dxa"/>
            <w:vAlign w:val="bottom"/>
          </w:tcPr>
          <w:p w14:paraId="11FDDBDD" w14:textId="7022CD23"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249.0 </w:t>
            </w:r>
          </w:p>
        </w:tc>
        <w:tc>
          <w:tcPr>
            <w:tcW w:w="1429" w:type="dxa"/>
            <w:vAlign w:val="bottom"/>
          </w:tcPr>
          <w:p w14:paraId="52E87717" w14:textId="74A94E95"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245.4 </w:t>
            </w:r>
          </w:p>
        </w:tc>
      </w:tr>
      <w:tr w:rsidR="006364C8" w:rsidRPr="00F01EC8" w14:paraId="02999952" w14:textId="77777777" w:rsidTr="00AC0A5D">
        <w:tc>
          <w:tcPr>
            <w:tcW w:w="5495" w:type="dxa"/>
            <w:vAlign w:val="bottom"/>
          </w:tcPr>
          <w:p w14:paraId="5C2CC065" w14:textId="724BECA7" w:rsidR="006364C8" w:rsidRPr="00F01EC8" w:rsidRDefault="006364C8" w:rsidP="006364C8">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417" w:type="dxa"/>
            <w:tcBorders>
              <w:top w:val="single" w:sz="4" w:space="0" w:color="auto"/>
              <w:left w:val="nil"/>
              <w:bottom w:val="nil"/>
              <w:right w:val="nil"/>
            </w:tcBorders>
            <w:vAlign w:val="bottom"/>
          </w:tcPr>
          <w:p w14:paraId="3BDDD3D5" w14:textId="1010F50F" w:rsidR="006364C8" w:rsidRPr="00F01EC8" w:rsidRDefault="008969BE" w:rsidP="006364C8">
            <w:pPr>
              <w:jc w:val="right"/>
              <w:rPr>
                <w:rFonts w:asciiTheme="minorHAnsi" w:hAnsiTheme="minorHAnsi" w:cs="Arial"/>
                <w:sz w:val="20"/>
                <w:szCs w:val="20"/>
              </w:rPr>
            </w:pPr>
            <w:r w:rsidRPr="00F01EC8">
              <w:rPr>
                <w:rFonts w:asciiTheme="minorHAnsi" w:hAnsiTheme="minorHAnsi" w:cs="Arial"/>
                <w:sz w:val="20"/>
                <w:szCs w:val="20"/>
              </w:rPr>
              <w:t>1,878.4</w:t>
            </w:r>
          </w:p>
        </w:tc>
        <w:tc>
          <w:tcPr>
            <w:tcW w:w="1567" w:type="dxa"/>
            <w:tcBorders>
              <w:top w:val="single" w:sz="4" w:space="0" w:color="auto"/>
              <w:left w:val="nil"/>
              <w:bottom w:val="nil"/>
              <w:right w:val="nil"/>
            </w:tcBorders>
            <w:vAlign w:val="bottom"/>
          </w:tcPr>
          <w:p w14:paraId="481476DC" w14:textId="63A2071D"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2,212.6 </w:t>
            </w:r>
          </w:p>
        </w:tc>
        <w:tc>
          <w:tcPr>
            <w:tcW w:w="1429" w:type="dxa"/>
            <w:tcBorders>
              <w:top w:val="single" w:sz="4" w:space="0" w:color="auto"/>
              <w:left w:val="nil"/>
              <w:bottom w:val="nil"/>
              <w:right w:val="nil"/>
            </w:tcBorders>
            <w:vAlign w:val="bottom"/>
          </w:tcPr>
          <w:p w14:paraId="54209FA7" w14:textId="114AB59B"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2,1</w:t>
            </w:r>
            <w:r w:rsidR="00F4329B" w:rsidRPr="00F01EC8">
              <w:rPr>
                <w:rFonts w:asciiTheme="minorHAnsi" w:hAnsiTheme="minorHAnsi" w:cs="Arial"/>
                <w:sz w:val="20"/>
                <w:szCs w:val="20"/>
              </w:rPr>
              <w:t>9</w:t>
            </w:r>
            <w:r w:rsidRPr="00F01EC8">
              <w:rPr>
                <w:rFonts w:asciiTheme="minorHAnsi" w:hAnsiTheme="minorHAnsi" w:cs="Arial"/>
                <w:sz w:val="20"/>
                <w:szCs w:val="20"/>
              </w:rPr>
              <w:t>4.</w:t>
            </w:r>
            <w:r w:rsidR="00F4329B" w:rsidRPr="00F01EC8">
              <w:rPr>
                <w:rFonts w:asciiTheme="minorHAnsi" w:hAnsiTheme="minorHAnsi" w:cs="Arial"/>
                <w:sz w:val="20"/>
                <w:szCs w:val="20"/>
              </w:rPr>
              <w:t>9</w:t>
            </w:r>
            <w:r w:rsidRPr="00F01EC8">
              <w:rPr>
                <w:rFonts w:asciiTheme="minorHAnsi" w:hAnsiTheme="minorHAnsi" w:cs="Arial"/>
                <w:sz w:val="20"/>
                <w:szCs w:val="20"/>
              </w:rPr>
              <w:t> </w:t>
            </w:r>
          </w:p>
        </w:tc>
      </w:tr>
      <w:tr w:rsidR="006364C8" w:rsidRPr="00F01EC8" w14:paraId="06253D85" w14:textId="77777777" w:rsidTr="00AC0A5D">
        <w:tc>
          <w:tcPr>
            <w:tcW w:w="5495" w:type="dxa"/>
            <w:vAlign w:val="bottom"/>
          </w:tcPr>
          <w:p w14:paraId="599B957C" w14:textId="77777777" w:rsidR="006364C8" w:rsidRPr="00F01EC8" w:rsidRDefault="006364C8" w:rsidP="006364C8">
            <w:pPr>
              <w:rPr>
                <w:rFonts w:asciiTheme="minorHAnsi" w:hAnsiTheme="minorHAnsi" w:cs="Arial"/>
                <w:sz w:val="20"/>
                <w:szCs w:val="20"/>
              </w:rPr>
            </w:pPr>
          </w:p>
        </w:tc>
        <w:tc>
          <w:tcPr>
            <w:tcW w:w="1417" w:type="dxa"/>
            <w:tcBorders>
              <w:top w:val="single" w:sz="12" w:space="0" w:color="auto"/>
              <w:left w:val="nil"/>
              <w:bottom w:val="nil"/>
              <w:right w:val="nil"/>
            </w:tcBorders>
            <w:vAlign w:val="bottom"/>
          </w:tcPr>
          <w:p w14:paraId="40C2A6D1" w14:textId="77777777" w:rsidR="006364C8" w:rsidRPr="00F01EC8" w:rsidRDefault="006364C8" w:rsidP="006364C8">
            <w:pPr>
              <w:jc w:val="right"/>
              <w:rPr>
                <w:rFonts w:asciiTheme="minorHAnsi" w:hAnsiTheme="minorHAnsi" w:cs="Arial"/>
                <w:sz w:val="20"/>
                <w:szCs w:val="20"/>
                <w:highlight w:val="yellow"/>
              </w:rPr>
            </w:pPr>
          </w:p>
        </w:tc>
        <w:tc>
          <w:tcPr>
            <w:tcW w:w="1567" w:type="dxa"/>
            <w:tcBorders>
              <w:top w:val="single" w:sz="12" w:space="0" w:color="auto"/>
              <w:left w:val="nil"/>
              <w:bottom w:val="nil"/>
              <w:right w:val="nil"/>
            </w:tcBorders>
            <w:vAlign w:val="bottom"/>
          </w:tcPr>
          <w:p w14:paraId="06867892" w14:textId="77777777" w:rsidR="006364C8" w:rsidRPr="00F01EC8" w:rsidRDefault="006364C8" w:rsidP="006364C8">
            <w:pPr>
              <w:jc w:val="right"/>
              <w:rPr>
                <w:rFonts w:asciiTheme="minorHAnsi" w:hAnsiTheme="minorHAnsi" w:cs="Arial"/>
                <w:sz w:val="20"/>
                <w:szCs w:val="20"/>
              </w:rPr>
            </w:pPr>
          </w:p>
        </w:tc>
        <w:tc>
          <w:tcPr>
            <w:tcW w:w="1429" w:type="dxa"/>
            <w:tcBorders>
              <w:top w:val="single" w:sz="12" w:space="0" w:color="auto"/>
              <w:left w:val="nil"/>
              <w:bottom w:val="nil"/>
              <w:right w:val="nil"/>
            </w:tcBorders>
            <w:vAlign w:val="bottom"/>
          </w:tcPr>
          <w:p w14:paraId="6FCC27F1" w14:textId="77777777" w:rsidR="006364C8" w:rsidRPr="00F01EC8" w:rsidRDefault="006364C8" w:rsidP="006364C8">
            <w:pPr>
              <w:jc w:val="right"/>
              <w:rPr>
                <w:rFonts w:asciiTheme="minorHAnsi" w:hAnsiTheme="minorHAnsi" w:cs="Arial"/>
                <w:sz w:val="20"/>
                <w:szCs w:val="20"/>
              </w:rPr>
            </w:pPr>
          </w:p>
        </w:tc>
      </w:tr>
      <w:tr w:rsidR="006364C8" w:rsidRPr="00F01EC8" w14:paraId="7E31AF14" w14:textId="77777777" w:rsidTr="00AC0A5D">
        <w:tc>
          <w:tcPr>
            <w:tcW w:w="5495" w:type="dxa"/>
            <w:vAlign w:val="bottom"/>
          </w:tcPr>
          <w:p w14:paraId="5DB5B942" w14:textId="77777777" w:rsidR="006364C8" w:rsidRPr="00F01EC8" w:rsidRDefault="006364C8" w:rsidP="006364C8">
            <w:pPr>
              <w:rPr>
                <w:rFonts w:asciiTheme="minorHAnsi" w:hAnsiTheme="minorHAnsi" w:cs="Arial"/>
                <w:sz w:val="20"/>
                <w:szCs w:val="20"/>
              </w:rPr>
            </w:pPr>
            <w:r w:rsidRPr="00F01EC8">
              <w:rPr>
                <w:rFonts w:asciiTheme="minorHAnsi" w:hAnsiTheme="minorHAnsi" w:cs="Arial"/>
                <w:sz w:val="20"/>
                <w:szCs w:val="20"/>
              </w:rPr>
              <w:t>Analysed as:</w:t>
            </w:r>
          </w:p>
        </w:tc>
        <w:tc>
          <w:tcPr>
            <w:tcW w:w="1417" w:type="dxa"/>
            <w:vAlign w:val="bottom"/>
          </w:tcPr>
          <w:p w14:paraId="1F90FDAF" w14:textId="77777777" w:rsidR="006364C8" w:rsidRPr="00F01EC8" w:rsidRDefault="006364C8" w:rsidP="006364C8">
            <w:pPr>
              <w:jc w:val="right"/>
              <w:rPr>
                <w:rFonts w:asciiTheme="minorHAnsi" w:hAnsiTheme="minorHAnsi" w:cs="Arial"/>
                <w:sz w:val="20"/>
                <w:szCs w:val="20"/>
                <w:highlight w:val="yellow"/>
              </w:rPr>
            </w:pPr>
          </w:p>
        </w:tc>
        <w:tc>
          <w:tcPr>
            <w:tcW w:w="1567" w:type="dxa"/>
            <w:vAlign w:val="bottom"/>
          </w:tcPr>
          <w:p w14:paraId="1860DAD9" w14:textId="77777777" w:rsidR="006364C8" w:rsidRPr="00F01EC8" w:rsidRDefault="006364C8" w:rsidP="006364C8">
            <w:pPr>
              <w:jc w:val="right"/>
              <w:rPr>
                <w:rFonts w:asciiTheme="minorHAnsi" w:hAnsiTheme="minorHAnsi" w:cs="Arial"/>
                <w:sz w:val="20"/>
                <w:szCs w:val="20"/>
              </w:rPr>
            </w:pPr>
          </w:p>
        </w:tc>
        <w:tc>
          <w:tcPr>
            <w:tcW w:w="1429" w:type="dxa"/>
            <w:vAlign w:val="bottom"/>
          </w:tcPr>
          <w:p w14:paraId="56B87A1E" w14:textId="77777777" w:rsidR="006364C8" w:rsidRPr="00F01EC8" w:rsidRDefault="006364C8" w:rsidP="006364C8">
            <w:pPr>
              <w:jc w:val="right"/>
              <w:rPr>
                <w:rFonts w:asciiTheme="minorHAnsi" w:hAnsiTheme="minorHAnsi" w:cs="Arial"/>
                <w:sz w:val="20"/>
                <w:szCs w:val="20"/>
              </w:rPr>
            </w:pPr>
          </w:p>
        </w:tc>
      </w:tr>
      <w:tr w:rsidR="006364C8" w:rsidRPr="00F01EC8" w14:paraId="1B5AFAA1" w14:textId="77777777" w:rsidTr="00AC0A5D">
        <w:tc>
          <w:tcPr>
            <w:tcW w:w="5495" w:type="dxa"/>
            <w:vAlign w:val="bottom"/>
          </w:tcPr>
          <w:p w14:paraId="53169ED5" w14:textId="77777777" w:rsidR="006364C8" w:rsidRPr="00F01EC8" w:rsidRDefault="006364C8" w:rsidP="006364C8">
            <w:pPr>
              <w:rPr>
                <w:rFonts w:asciiTheme="minorHAnsi" w:hAnsiTheme="minorHAnsi" w:cs="Arial"/>
                <w:sz w:val="20"/>
                <w:szCs w:val="20"/>
              </w:rPr>
            </w:pPr>
            <w:r w:rsidRPr="00F01EC8">
              <w:rPr>
                <w:rFonts w:asciiTheme="minorHAnsi" w:hAnsiTheme="minorHAnsi" w:cs="Arial"/>
                <w:sz w:val="20"/>
                <w:szCs w:val="20"/>
              </w:rPr>
              <w:t>– due in more than one year</w:t>
            </w:r>
          </w:p>
        </w:tc>
        <w:tc>
          <w:tcPr>
            <w:tcW w:w="1417" w:type="dxa"/>
            <w:vAlign w:val="bottom"/>
          </w:tcPr>
          <w:p w14:paraId="25D821EE" w14:textId="0BAFB0F5" w:rsidR="006364C8" w:rsidRPr="00F01EC8" w:rsidRDefault="00E54412" w:rsidP="006364C8">
            <w:pPr>
              <w:jc w:val="right"/>
              <w:rPr>
                <w:rFonts w:asciiTheme="minorHAnsi" w:hAnsiTheme="minorHAnsi" w:cs="Arial"/>
                <w:sz w:val="20"/>
                <w:szCs w:val="20"/>
              </w:rPr>
            </w:pPr>
            <w:r w:rsidRPr="00F01EC8">
              <w:rPr>
                <w:rFonts w:asciiTheme="minorHAnsi" w:hAnsiTheme="minorHAnsi" w:cs="Arial"/>
                <w:sz w:val="20"/>
                <w:szCs w:val="20"/>
              </w:rPr>
              <w:t>385.</w:t>
            </w:r>
            <w:r w:rsidR="006C396A" w:rsidRPr="00F01EC8">
              <w:rPr>
                <w:rFonts w:asciiTheme="minorHAnsi" w:hAnsiTheme="minorHAnsi" w:cs="Arial"/>
                <w:sz w:val="20"/>
                <w:szCs w:val="20"/>
              </w:rPr>
              <w:t>1</w:t>
            </w:r>
          </w:p>
        </w:tc>
        <w:tc>
          <w:tcPr>
            <w:tcW w:w="1567" w:type="dxa"/>
            <w:vAlign w:val="bottom"/>
          </w:tcPr>
          <w:p w14:paraId="6F9A650D" w14:textId="6ED3320A"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418.3 </w:t>
            </w:r>
          </w:p>
        </w:tc>
        <w:tc>
          <w:tcPr>
            <w:tcW w:w="1429" w:type="dxa"/>
            <w:vAlign w:val="bottom"/>
          </w:tcPr>
          <w:p w14:paraId="11238967" w14:textId="552DF2CC" w:rsidR="006364C8" w:rsidRPr="00F01EC8" w:rsidRDefault="002A14A8" w:rsidP="006364C8">
            <w:pPr>
              <w:jc w:val="right"/>
              <w:rPr>
                <w:rFonts w:asciiTheme="minorHAnsi" w:hAnsiTheme="minorHAnsi" w:cs="Arial"/>
                <w:sz w:val="20"/>
                <w:szCs w:val="20"/>
              </w:rPr>
            </w:pPr>
            <w:r w:rsidRPr="00F01EC8">
              <w:rPr>
                <w:rFonts w:asciiTheme="minorHAnsi" w:hAnsiTheme="minorHAnsi" w:cs="Arial"/>
                <w:sz w:val="20"/>
                <w:szCs w:val="20"/>
              </w:rPr>
              <w:t>401.4</w:t>
            </w:r>
            <w:r w:rsidR="006364C8" w:rsidRPr="00F01EC8">
              <w:rPr>
                <w:rFonts w:asciiTheme="minorHAnsi" w:hAnsiTheme="minorHAnsi" w:cs="Arial"/>
                <w:sz w:val="20"/>
                <w:szCs w:val="20"/>
              </w:rPr>
              <w:t> </w:t>
            </w:r>
          </w:p>
        </w:tc>
      </w:tr>
      <w:tr w:rsidR="006364C8" w:rsidRPr="00F01EC8" w14:paraId="695426B1" w14:textId="77777777" w:rsidTr="00AC0A5D">
        <w:tc>
          <w:tcPr>
            <w:tcW w:w="5495" w:type="dxa"/>
            <w:vAlign w:val="bottom"/>
          </w:tcPr>
          <w:p w14:paraId="0C4DAD89" w14:textId="77777777" w:rsidR="006364C8" w:rsidRPr="00F01EC8" w:rsidRDefault="006364C8" w:rsidP="006364C8">
            <w:pPr>
              <w:rPr>
                <w:rFonts w:asciiTheme="minorHAnsi" w:hAnsiTheme="minorHAnsi" w:cs="Arial"/>
                <w:sz w:val="20"/>
                <w:szCs w:val="20"/>
              </w:rPr>
            </w:pPr>
            <w:r w:rsidRPr="00F01EC8">
              <w:rPr>
                <w:rFonts w:asciiTheme="minorHAnsi" w:hAnsiTheme="minorHAnsi" w:cs="Arial"/>
                <w:sz w:val="20"/>
                <w:szCs w:val="20"/>
              </w:rPr>
              <w:t>– due within one year</w:t>
            </w:r>
          </w:p>
        </w:tc>
        <w:tc>
          <w:tcPr>
            <w:tcW w:w="1417" w:type="dxa"/>
            <w:vAlign w:val="bottom"/>
          </w:tcPr>
          <w:p w14:paraId="1B071958" w14:textId="5573A93F" w:rsidR="006364C8" w:rsidRPr="00F01EC8" w:rsidRDefault="008969BE" w:rsidP="006364C8">
            <w:pPr>
              <w:jc w:val="right"/>
              <w:rPr>
                <w:rFonts w:asciiTheme="minorHAnsi" w:hAnsiTheme="minorHAnsi" w:cs="Arial"/>
                <w:sz w:val="20"/>
                <w:szCs w:val="20"/>
              </w:rPr>
            </w:pPr>
            <w:r w:rsidRPr="00F01EC8">
              <w:rPr>
                <w:rFonts w:asciiTheme="minorHAnsi" w:hAnsiTheme="minorHAnsi" w:cs="Arial"/>
                <w:sz w:val="20"/>
                <w:szCs w:val="20"/>
              </w:rPr>
              <w:t>1,493.</w:t>
            </w:r>
            <w:r w:rsidR="006C396A" w:rsidRPr="00F01EC8">
              <w:rPr>
                <w:rFonts w:asciiTheme="minorHAnsi" w:hAnsiTheme="minorHAnsi" w:cs="Arial"/>
                <w:sz w:val="20"/>
                <w:szCs w:val="20"/>
              </w:rPr>
              <w:t>3</w:t>
            </w:r>
          </w:p>
        </w:tc>
        <w:tc>
          <w:tcPr>
            <w:tcW w:w="1567" w:type="dxa"/>
            <w:vAlign w:val="bottom"/>
          </w:tcPr>
          <w:p w14:paraId="7A63FDC3" w14:textId="36E9E234"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1,794.3 </w:t>
            </w:r>
          </w:p>
        </w:tc>
        <w:tc>
          <w:tcPr>
            <w:tcW w:w="1429" w:type="dxa"/>
            <w:vAlign w:val="bottom"/>
          </w:tcPr>
          <w:p w14:paraId="690B15E7" w14:textId="7BFBA2DA" w:rsidR="006364C8" w:rsidRPr="00F01EC8" w:rsidRDefault="006364C8" w:rsidP="006364C8">
            <w:pPr>
              <w:jc w:val="right"/>
              <w:rPr>
                <w:rFonts w:asciiTheme="minorHAnsi" w:hAnsiTheme="minorHAnsi" w:cs="Arial"/>
                <w:sz w:val="20"/>
                <w:szCs w:val="20"/>
              </w:rPr>
            </w:pPr>
            <w:r w:rsidRPr="00F01EC8">
              <w:rPr>
                <w:rFonts w:asciiTheme="minorHAnsi" w:hAnsiTheme="minorHAnsi" w:cs="Arial"/>
                <w:sz w:val="20"/>
                <w:szCs w:val="20"/>
              </w:rPr>
              <w:t>1,</w:t>
            </w:r>
            <w:r w:rsidR="002A14A8" w:rsidRPr="00F01EC8">
              <w:rPr>
                <w:rFonts w:asciiTheme="minorHAnsi" w:hAnsiTheme="minorHAnsi" w:cs="Arial"/>
                <w:sz w:val="20"/>
                <w:szCs w:val="20"/>
              </w:rPr>
              <w:t>793.5</w:t>
            </w:r>
            <w:r w:rsidRPr="00F01EC8">
              <w:rPr>
                <w:rFonts w:asciiTheme="minorHAnsi" w:hAnsiTheme="minorHAnsi" w:cs="Arial"/>
                <w:sz w:val="20"/>
                <w:szCs w:val="20"/>
              </w:rPr>
              <w:t> </w:t>
            </w:r>
          </w:p>
        </w:tc>
      </w:tr>
      <w:tr w:rsidR="006364C8" w:rsidRPr="00F01EC8" w14:paraId="528E00D1" w14:textId="77777777" w:rsidTr="00AC0A5D">
        <w:tc>
          <w:tcPr>
            <w:tcW w:w="5495" w:type="dxa"/>
            <w:vAlign w:val="bottom"/>
          </w:tcPr>
          <w:p w14:paraId="5C5D4418" w14:textId="79E34BF7" w:rsidR="006364C8" w:rsidRPr="00F01EC8" w:rsidRDefault="006364C8" w:rsidP="00EC48CC">
            <w:pPr>
              <w:jc w:val="both"/>
              <w:rPr>
                <w:rFonts w:asciiTheme="minorHAnsi" w:hAnsiTheme="minorHAnsi" w:cs="Arial"/>
                <w:b/>
                <w:sz w:val="20"/>
                <w:szCs w:val="20"/>
                <w:lang w:val="en-US"/>
              </w:rPr>
            </w:pPr>
            <w:r w:rsidRPr="00F01EC8">
              <w:rPr>
                <w:rFonts w:asciiTheme="minorHAnsi" w:hAnsiTheme="minorHAnsi" w:cs="Arial"/>
                <w:b/>
                <w:sz w:val="20"/>
                <w:szCs w:val="20"/>
                <w:lang w:val="en-US"/>
              </w:rPr>
              <w:t xml:space="preserve">Total </w:t>
            </w:r>
            <w:r w:rsidR="005714EF">
              <w:rPr>
                <w:rFonts w:asciiTheme="minorHAnsi" w:hAnsiTheme="minorHAnsi" w:cs="Arial"/>
                <w:b/>
                <w:sz w:val="20"/>
                <w:szCs w:val="20"/>
                <w:lang w:val="en-US"/>
              </w:rPr>
              <w:t>G</w:t>
            </w:r>
            <w:r w:rsidRPr="00F01EC8">
              <w:rPr>
                <w:rFonts w:asciiTheme="minorHAnsi" w:hAnsiTheme="minorHAnsi" w:cs="Arial"/>
                <w:b/>
                <w:sz w:val="20"/>
                <w:szCs w:val="20"/>
                <w:lang w:val="en-US"/>
              </w:rPr>
              <w:t>roup</w:t>
            </w:r>
          </w:p>
        </w:tc>
        <w:tc>
          <w:tcPr>
            <w:tcW w:w="1417" w:type="dxa"/>
            <w:tcBorders>
              <w:top w:val="single" w:sz="4" w:space="0" w:color="auto"/>
              <w:left w:val="nil"/>
              <w:bottom w:val="single" w:sz="12" w:space="0" w:color="auto"/>
              <w:right w:val="nil"/>
            </w:tcBorders>
            <w:vAlign w:val="bottom"/>
          </w:tcPr>
          <w:p w14:paraId="010A26DD" w14:textId="0AC28D4D" w:rsidR="006364C8" w:rsidRPr="00F01EC8" w:rsidRDefault="008969BE" w:rsidP="002303EB">
            <w:pPr>
              <w:jc w:val="right"/>
              <w:rPr>
                <w:rFonts w:asciiTheme="minorHAnsi" w:hAnsiTheme="minorHAnsi" w:cs="Arial"/>
                <w:sz w:val="20"/>
                <w:szCs w:val="20"/>
                <w:lang w:val="en-US"/>
              </w:rPr>
            </w:pPr>
            <w:r w:rsidRPr="00F01EC8">
              <w:rPr>
                <w:rFonts w:asciiTheme="minorHAnsi" w:hAnsiTheme="minorHAnsi" w:cs="Arial"/>
                <w:sz w:val="20"/>
                <w:szCs w:val="20"/>
                <w:lang w:val="en-US"/>
              </w:rPr>
              <w:t>1,878.4</w:t>
            </w:r>
          </w:p>
        </w:tc>
        <w:tc>
          <w:tcPr>
            <w:tcW w:w="1567" w:type="dxa"/>
            <w:tcBorders>
              <w:top w:val="single" w:sz="4" w:space="0" w:color="auto"/>
              <w:left w:val="nil"/>
              <w:bottom w:val="single" w:sz="12" w:space="0" w:color="auto"/>
              <w:right w:val="nil"/>
            </w:tcBorders>
            <w:vAlign w:val="bottom"/>
          </w:tcPr>
          <w:p w14:paraId="7D818D1A" w14:textId="67275837" w:rsidR="006364C8" w:rsidRPr="00F01EC8" w:rsidRDefault="006364C8" w:rsidP="002303EB">
            <w:pPr>
              <w:jc w:val="right"/>
              <w:rPr>
                <w:rFonts w:asciiTheme="minorHAnsi" w:hAnsiTheme="minorHAnsi" w:cs="Arial"/>
                <w:sz w:val="20"/>
                <w:szCs w:val="20"/>
                <w:lang w:val="en-US"/>
              </w:rPr>
            </w:pPr>
            <w:r w:rsidRPr="00F01EC8">
              <w:rPr>
                <w:rFonts w:asciiTheme="minorHAnsi" w:hAnsiTheme="minorHAnsi" w:cs="Arial"/>
                <w:sz w:val="20"/>
                <w:szCs w:val="20"/>
                <w:lang w:val="en-US"/>
              </w:rPr>
              <w:t>2,212.6 </w:t>
            </w:r>
          </w:p>
        </w:tc>
        <w:tc>
          <w:tcPr>
            <w:tcW w:w="1429" w:type="dxa"/>
            <w:tcBorders>
              <w:top w:val="single" w:sz="4" w:space="0" w:color="auto"/>
              <w:left w:val="nil"/>
              <w:bottom w:val="single" w:sz="12" w:space="0" w:color="auto"/>
              <w:right w:val="nil"/>
            </w:tcBorders>
            <w:vAlign w:val="bottom"/>
          </w:tcPr>
          <w:p w14:paraId="6E0F0DB6" w14:textId="731778AB" w:rsidR="006364C8" w:rsidRPr="00F01EC8" w:rsidRDefault="006364C8" w:rsidP="002303EB">
            <w:pPr>
              <w:jc w:val="right"/>
              <w:rPr>
                <w:rFonts w:asciiTheme="minorHAnsi" w:hAnsiTheme="minorHAnsi" w:cs="Arial"/>
                <w:sz w:val="20"/>
                <w:szCs w:val="20"/>
                <w:lang w:val="en-US"/>
              </w:rPr>
            </w:pPr>
            <w:r w:rsidRPr="00F01EC8">
              <w:rPr>
                <w:rFonts w:asciiTheme="minorHAnsi" w:hAnsiTheme="minorHAnsi" w:cs="Arial"/>
                <w:sz w:val="20"/>
                <w:szCs w:val="20"/>
                <w:lang w:val="en-US"/>
              </w:rPr>
              <w:t>2,1</w:t>
            </w:r>
            <w:r w:rsidR="00F4329B" w:rsidRPr="00F01EC8">
              <w:rPr>
                <w:rFonts w:asciiTheme="minorHAnsi" w:hAnsiTheme="minorHAnsi" w:cs="Arial"/>
                <w:sz w:val="20"/>
                <w:szCs w:val="20"/>
                <w:lang w:val="en-US"/>
              </w:rPr>
              <w:t>9</w:t>
            </w:r>
            <w:r w:rsidRPr="00F01EC8">
              <w:rPr>
                <w:rFonts w:asciiTheme="minorHAnsi" w:hAnsiTheme="minorHAnsi" w:cs="Arial"/>
                <w:sz w:val="20"/>
                <w:szCs w:val="20"/>
                <w:lang w:val="en-US"/>
              </w:rPr>
              <w:t>4.</w:t>
            </w:r>
            <w:r w:rsidR="00F4329B" w:rsidRPr="00F01EC8">
              <w:rPr>
                <w:rFonts w:asciiTheme="minorHAnsi" w:hAnsiTheme="minorHAnsi" w:cs="Arial"/>
                <w:sz w:val="20"/>
                <w:szCs w:val="20"/>
                <w:lang w:val="en-US"/>
              </w:rPr>
              <w:t>9</w:t>
            </w:r>
            <w:r w:rsidRPr="00F01EC8">
              <w:rPr>
                <w:rFonts w:asciiTheme="minorHAnsi" w:hAnsiTheme="minorHAnsi" w:cs="Arial"/>
                <w:sz w:val="20"/>
                <w:szCs w:val="20"/>
                <w:lang w:val="en-US"/>
              </w:rPr>
              <w:t> </w:t>
            </w:r>
          </w:p>
        </w:tc>
      </w:tr>
    </w:tbl>
    <w:p w14:paraId="2CC23BF3" w14:textId="77777777" w:rsidR="00DA6694" w:rsidRPr="00F01EC8" w:rsidRDefault="00DA6694" w:rsidP="00EC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3282B3F1" w14:textId="7FA38A44" w:rsidR="00DA6694" w:rsidRPr="00F01EC8" w:rsidRDefault="00DA6694" w:rsidP="00EC48CC">
      <w:pPr>
        <w:jc w:val="both"/>
        <w:rPr>
          <w:rFonts w:asciiTheme="minorHAnsi" w:hAnsiTheme="minorHAnsi" w:cs="Arial"/>
          <w:sz w:val="20"/>
          <w:szCs w:val="20"/>
        </w:rPr>
      </w:pPr>
      <w:r w:rsidRPr="00F01EC8">
        <w:rPr>
          <w:rFonts w:asciiTheme="minorHAnsi" w:hAnsiTheme="minorHAnsi" w:cs="Arial"/>
          <w:sz w:val="20"/>
          <w:szCs w:val="20"/>
        </w:rPr>
        <w:lastRenderedPageBreak/>
        <w:t>Vanquis Bank receivables comprise £1,</w:t>
      </w:r>
      <w:r w:rsidR="00A241E0" w:rsidRPr="00F01EC8">
        <w:rPr>
          <w:rFonts w:asciiTheme="minorHAnsi" w:hAnsiTheme="minorHAnsi" w:cs="Arial"/>
          <w:sz w:val="20"/>
          <w:szCs w:val="20"/>
        </w:rPr>
        <w:t>174.1</w:t>
      </w:r>
      <w:r w:rsidRPr="00F01EC8">
        <w:rPr>
          <w:rFonts w:asciiTheme="minorHAnsi" w:hAnsiTheme="minorHAnsi" w:cs="Arial"/>
          <w:sz w:val="20"/>
          <w:szCs w:val="20"/>
        </w:rPr>
        <w:t>m (31 December 201</w:t>
      </w:r>
      <w:r w:rsidR="00BA4542" w:rsidRPr="00F01EC8">
        <w:rPr>
          <w:rFonts w:asciiTheme="minorHAnsi" w:hAnsiTheme="minorHAnsi" w:cs="Arial"/>
          <w:sz w:val="20"/>
          <w:szCs w:val="20"/>
        </w:rPr>
        <w:t>9</w:t>
      </w:r>
      <w:r w:rsidRPr="00F01EC8">
        <w:rPr>
          <w:rFonts w:asciiTheme="minorHAnsi" w:hAnsiTheme="minorHAnsi" w:cs="Arial"/>
          <w:sz w:val="20"/>
          <w:szCs w:val="20"/>
        </w:rPr>
        <w:t>: £1,</w:t>
      </w:r>
      <w:r w:rsidR="00316D14" w:rsidRPr="00F01EC8">
        <w:rPr>
          <w:rFonts w:asciiTheme="minorHAnsi" w:hAnsiTheme="minorHAnsi" w:cs="Arial"/>
          <w:sz w:val="20"/>
          <w:szCs w:val="20"/>
        </w:rPr>
        <w:t>432.6</w:t>
      </w:r>
      <w:r w:rsidRPr="00F01EC8">
        <w:rPr>
          <w:rFonts w:asciiTheme="minorHAnsi" w:hAnsiTheme="minorHAnsi" w:cs="Arial"/>
          <w:sz w:val="20"/>
          <w:szCs w:val="20"/>
        </w:rPr>
        <w:t>m, 30 June 201</w:t>
      </w:r>
      <w:r w:rsidR="00355994" w:rsidRPr="00F01EC8">
        <w:rPr>
          <w:rFonts w:asciiTheme="minorHAnsi" w:hAnsiTheme="minorHAnsi" w:cs="Arial"/>
          <w:sz w:val="20"/>
          <w:szCs w:val="20"/>
        </w:rPr>
        <w:t>9</w:t>
      </w:r>
      <w:r w:rsidR="00316D14" w:rsidRPr="00F01EC8">
        <w:rPr>
          <w:rFonts w:asciiTheme="minorHAnsi" w:hAnsiTheme="minorHAnsi" w:cs="Arial"/>
          <w:sz w:val="20"/>
          <w:szCs w:val="20"/>
        </w:rPr>
        <w:t xml:space="preserve"> (restated)</w:t>
      </w:r>
      <w:r w:rsidRPr="00F01EC8">
        <w:rPr>
          <w:rFonts w:asciiTheme="minorHAnsi" w:hAnsiTheme="minorHAnsi" w:cs="Arial"/>
          <w:sz w:val="20"/>
          <w:szCs w:val="20"/>
        </w:rPr>
        <w:t>: £1,4</w:t>
      </w:r>
      <w:r w:rsidR="00316D14" w:rsidRPr="00F01EC8">
        <w:rPr>
          <w:rFonts w:asciiTheme="minorHAnsi" w:hAnsiTheme="minorHAnsi" w:cs="Arial"/>
          <w:sz w:val="20"/>
          <w:szCs w:val="20"/>
        </w:rPr>
        <w:t>40.6</w:t>
      </w:r>
      <w:r w:rsidRPr="00F01EC8">
        <w:rPr>
          <w:rFonts w:asciiTheme="minorHAnsi" w:hAnsiTheme="minorHAnsi" w:cs="Arial"/>
          <w:sz w:val="20"/>
          <w:szCs w:val="20"/>
        </w:rPr>
        <w:t>m) in respect of credit cards and £</w:t>
      </w:r>
      <w:r w:rsidR="00A241E0" w:rsidRPr="00F01EC8">
        <w:rPr>
          <w:rFonts w:asciiTheme="minorHAnsi" w:hAnsiTheme="minorHAnsi" w:cs="Arial"/>
          <w:sz w:val="20"/>
          <w:szCs w:val="20"/>
        </w:rPr>
        <w:t>28.0</w:t>
      </w:r>
      <w:r w:rsidRPr="00F01EC8">
        <w:rPr>
          <w:rFonts w:asciiTheme="minorHAnsi" w:hAnsiTheme="minorHAnsi" w:cs="Arial"/>
          <w:sz w:val="20"/>
          <w:szCs w:val="20"/>
        </w:rPr>
        <w:t>m (31 December 201</w:t>
      </w:r>
      <w:r w:rsidR="00316D14" w:rsidRPr="00F01EC8">
        <w:rPr>
          <w:rFonts w:asciiTheme="minorHAnsi" w:hAnsiTheme="minorHAnsi" w:cs="Arial"/>
          <w:sz w:val="20"/>
          <w:szCs w:val="20"/>
        </w:rPr>
        <w:t>9</w:t>
      </w:r>
      <w:r w:rsidRPr="00F01EC8">
        <w:rPr>
          <w:rFonts w:asciiTheme="minorHAnsi" w:hAnsiTheme="minorHAnsi" w:cs="Arial"/>
          <w:sz w:val="20"/>
          <w:szCs w:val="20"/>
        </w:rPr>
        <w:t>: £</w:t>
      </w:r>
      <w:r w:rsidR="00316D14" w:rsidRPr="00F01EC8">
        <w:rPr>
          <w:rFonts w:asciiTheme="minorHAnsi" w:hAnsiTheme="minorHAnsi" w:cs="Arial"/>
          <w:sz w:val="20"/>
          <w:szCs w:val="20"/>
        </w:rPr>
        <w:t>28.9</w:t>
      </w:r>
      <w:r w:rsidRPr="00F01EC8">
        <w:rPr>
          <w:rFonts w:asciiTheme="minorHAnsi" w:hAnsiTheme="minorHAnsi" w:cs="Arial"/>
          <w:sz w:val="20"/>
          <w:szCs w:val="20"/>
        </w:rPr>
        <w:t>m, 30 June 201</w:t>
      </w:r>
      <w:r w:rsidR="00316D14" w:rsidRPr="00F01EC8">
        <w:rPr>
          <w:rFonts w:asciiTheme="minorHAnsi" w:hAnsiTheme="minorHAnsi" w:cs="Arial"/>
          <w:sz w:val="20"/>
          <w:szCs w:val="20"/>
        </w:rPr>
        <w:t>9</w:t>
      </w:r>
      <w:r w:rsidRPr="00F01EC8">
        <w:rPr>
          <w:rFonts w:asciiTheme="minorHAnsi" w:hAnsiTheme="minorHAnsi" w:cs="Arial"/>
          <w:sz w:val="20"/>
          <w:szCs w:val="20"/>
        </w:rPr>
        <w:t>: £2</w:t>
      </w:r>
      <w:r w:rsidR="00316D14" w:rsidRPr="00F01EC8">
        <w:rPr>
          <w:rFonts w:asciiTheme="minorHAnsi" w:hAnsiTheme="minorHAnsi" w:cs="Arial"/>
          <w:sz w:val="20"/>
          <w:szCs w:val="20"/>
        </w:rPr>
        <w:t>4.2</w:t>
      </w:r>
      <w:r w:rsidRPr="00F01EC8">
        <w:rPr>
          <w:rFonts w:asciiTheme="minorHAnsi" w:hAnsiTheme="minorHAnsi" w:cs="Arial"/>
          <w:sz w:val="20"/>
          <w:szCs w:val="20"/>
        </w:rPr>
        <w:t>m) in respect of loans. The balance at 30 June 20</w:t>
      </w:r>
      <w:r w:rsidR="00E54412" w:rsidRPr="00F01EC8">
        <w:rPr>
          <w:rFonts w:asciiTheme="minorHAnsi" w:hAnsiTheme="minorHAnsi" w:cs="Arial"/>
          <w:sz w:val="20"/>
          <w:szCs w:val="20"/>
        </w:rPr>
        <w:t>19</w:t>
      </w:r>
      <w:r w:rsidRPr="00F01EC8">
        <w:rPr>
          <w:rFonts w:asciiTheme="minorHAnsi" w:hAnsiTheme="minorHAnsi" w:cs="Arial"/>
          <w:sz w:val="20"/>
          <w:szCs w:val="20"/>
        </w:rPr>
        <w:t xml:space="preserve"> is stated net of a</w:t>
      </w:r>
      <w:r w:rsidR="00F10689" w:rsidRPr="00F01EC8">
        <w:rPr>
          <w:rFonts w:asciiTheme="minorHAnsi" w:hAnsiTheme="minorHAnsi" w:cs="Arial"/>
          <w:sz w:val="20"/>
          <w:szCs w:val="20"/>
        </w:rPr>
        <w:t xml:space="preserve"> </w:t>
      </w:r>
      <w:r w:rsidRPr="00F01EC8">
        <w:rPr>
          <w:rFonts w:asciiTheme="minorHAnsi" w:hAnsiTheme="minorHAnsi" w:cs="Arial"/>
          <w:sz w:val="20"/>
          <w:szCs w:val="20"/>
        </w:rPr>
        <w:t xml:space="preserve">balance reduction </w:t>
      </w:r>
      <w:r w:rsidR="00F10689" w:rsidRPr="00F01EC8">
        <w:rPr>
          <w:rFonts w:asciiTheme="minorHAnsi" w:hAnsiTheme="minorHAnsi" w:cs="Arial"/>
          <w:sz w:val="20"/>
          <w:szCs w:val="20"/>
        </w:rPr>
        <w:t xml:space="preserve">provision </w:t>
      </w:r>
      <w:r w:rsidRPr="00F01EC8">
        <w:rPr>
          <w:rFonts w:asciiTheme="minorHAnsi" w:hAnsiTheme="minorHAnsi" w:cs="Arial"/>
          <w:sz w:val="20"/>
          <w:szCs w:val="20"/>
        </w:rPr>
        <w:t>of £1.2m (</w:t>
      </w:r>
      <w:r w:rsidR="00E54412" w:rsidRPr="00F01EC8">
        <w:rPr>
          <w:rFonts w:asciiTheme="minorHAnsi" w:hAnsiTheme="minorHAnsi" w:cs="Arial"/>
          <w:sz w:val="20"/>
          <w:szCs w:val="20"/>
        </w:rPr>
        <w:t xml:space="preserve">30 June 2020: £nil, </w:t>
      </w:r>
      <w:r w:rsidRPr="00F01EC8">
        <w:rPr>
          <w:rFonts w:asciiTheme="minorHAnsi" w:hAnsiTheme="minorHAnsi" w:cs="Arial"/>
          <w:sz w:val="20"/>
          <w:szCs w:val="20"/>
        </w:rPr>
        <w:t>31 December 201</w:t>
      </w:r>
      <w:r w:rsidR="00316D14" w:rsidRPr="00F01EC8">
        <w:rPr>
          <w:rFonts w:asciiTheme="minorHAnsi" w:hAnsiTheme="minorHAnsi" w:cs="Arial"/>
          <w:sz w:val="20"/>
          <w:szCs w:val="20"/>
        </w:rPr>
        <w:t>9</w:t>
      </w:r>
      <w:r w:rsidRPr="00F01EC8">
        <w:rPr>
          <w:rFonts w:asciiTheme="minorHAnsi" w:hAnsiTheme="minorHAnsi" w:cs="Arial"/>
          <w:sz w:val="20"/>
          <w:szCs w:val="20"/>
        </w:rPr>
        <w:t>: £</w:t>
      </w:r>
      <w:r w:rsidR="00316D14" w:rsidRPr="00F01EC8">
        <w:rPr>
          <w:rFonts w:asciiTheme="minorHAnsi" w:hAnsiTheme="minorHAnsi" w:cs="Arial"/>
          <w:sz w:val="20"/>
          <w:szCs w:val="20"/>
        </w:rPr>
        <w:t>nil</w:t>
      </w:r>
      <w:r w:rsidR="00E54412" w:rsidRPr="00F01EC8">
        <w:rPr>
          <w:rFonts w:asciiTheme="minorHAnsi" w:hAnsiTheme="minorHAnsi" w:cs="Arial"/>
          <w:sz w:val="20"/>
          <w:szCs w:val="20"/>
        </w:rPr>
        <w:t>)</w:t>
      </w:r>
      <w:r w:rsidRPr="00F01EC8">
        <w:rPr>
          <w:rFonts w:asciiTheme="minorHAnsi" w:hAnsiTheme="minorHAnsi" w:cs="Arial"/>
          <w:sz w:val="20"/>
          <w:szCs w:val="20"/>
        </w:rPr>
        <w:t xml:space="preserve"> following the resolution of the FCA investigation into ROP.</w:t>
      </w:r>
    </w:p>
    <w:p w14:paraId="5B3DF625" w14:textId="77777777" w:rsidR="00DA6694" w:rsidRPr="00F01EC8" w:rsidRDefault="00DA6694" w:rsidP="00EC48CC">
      <w:pPr>
        <w:jc w:val="both"/>
        <w:rPr>
          <w:rFonts w:asciiTheme="minorHAnsi" w:hAnsiTheme="minorHAnsi" w:cs="Arial"/>
          <w:color w:val="000000"/>
          <w:sz w:val="20"/>
          <w:szCs w:val="20"/>
          <w:lang w:val="en-US"/>
        </w:rPr>
      </w:pPr>
    </w:p>
    <w:p w14:paraId="7318E239" w14:textId="58D8925B" w:rsidR="00DA6694" w:rsidRPr="00F01EC8" w:rsidRDefault="00DA6694" w:rsidP="00EC48CC">
      <w:pPr>
        <w:jc w:val="both"/>
        <w:rPr>
          <w:rFonts w:asciiTheme="minorHAnsi" w:hAnsiTheme="minorHAnsi" w:cs="Arial"/>
          <w:sz w:val="20"/>
          <w:szCs w:val="20"/>
        </w:rPr>
      </w:pPr>
      <w:r w:rsidRPr="00F01EC8">
        <w:rPr>
          <w:rFonts w:asciiTheme="minorHAnsi" w:hAnsiTheme="minorHAnsi" w:cs="Arial"/>
          <w:sz w:val="20"/>
          <w:szCs w:val="20"/>
        </w:rPr>
        <w:t xml:space="preserve">Moneybarn receivables </w:t>
      </w:r>
      <w:r w:rsidR="00AB6AAB" w:rsidRPr="00F01EC8">
        <w:rPr>
          <w:rFonts w:asciiTheme="minorHAnsi" w:hAnsiTheme="minorHAnsi" w:cs="Arial"/>
          <w:sz w:val="20"/>
          <w:szCs w:val="20"/>
        </w:rPr>
        <w:t>at</w:t>
      </w:r>
      <w:r w:rsidR="00E54412" w:rsidRPr="00F01EC8">
        <w:rPr>
          <w:rFonts w:asciiTheme="minorHAnsi" w:hAnsiTheme="minorHAnsi" w:cs="Arial"/>
          <w:sz w:val="20"/>
          <w:szCs w:val="20"/>
        </w:rPr>
        <w:t xml:space="preserve"> </w:t>
      </w:r>
      <w:r w:rsidR="00AB6AAB" w:rsidRPr="00F01EC8">
        <w:rPr>
          <w:rFonts w:asciiTheme="minorHAnsi" w:hAnsiTheme="minorHAnsi" w:cs="Arial"/>
          <w:sz w:val="20"/>
          <w:szCs w:val="20"/>
        </w:rPr>
        <w:t xml:space="preserve">30 </w:t>
      </w:r>
      <w:r w:rsidR="00E54412" w:rsidRPr="00F01EC8">
        <w:rPr>
          <w:rFonts w:asciiTheme="minorHAnsi" w:hAnsiTheme="minorHAnsi" w:cs="Arial"/>
          <w:sz w:val="20"/>
          <w:szCs w:val="20"/>
        </w:rPr>
        <w:t xml:space="preserve">June 2019 were </w:t>
      </w:r>
      <w:r w:rsidRPr="00F01EC8">
        <w:rPr>
          <w:rFonts w:asciiTheme="minorHAnsi" w:hAnsiTheme="minorHAnsi" w:cs="Arial"/>
          <w:sz w:val="20"/>
          <w:szCs w:val="20"/>
        </w:rPr>
        <w:t xml:space="preserve">stated net of a balance reduction </w:t>
      </w:r>
      <w:r w:rsidR="00F10689" w:rsidRPr="00F01EC8">
        <w:rPr>
          <w:rFonts w:asciiTheme="minorHAnsi" w:hAnsiTheme="minorHAnsi" w:cs="Arial"/>
          <w:sz w:val="20"/>
          <w:szCs w:val="20"/>
        </w:rPr>
        <w:t xml:space="preserve">provision </w:t>
      </w:r>
      <w:r w:rsidRPr="00F01EC8">
        <w:rPr>
          <w:rFonts w:asciiTheme="minorHAnsi" w:hAnsiTheme="minorHAnsi" w:cs="Arial"/>
          <w:sz w:val="20"/>
          <w:szCs w:val="20"/>
        </w:rPr>
        <w:t>of £</w:t>
      </w:r>
      <w:r w:rsidR="00E54412" w:rsidRPr="00F01EC8">
        <w:rPr>
          <w:rFonts w:asciiTheme="minorHAnsi" w:hAnsiTheme="minorHAnsi" w:cs="Arial"/>
          <w:sz w:val="20"/>
          <w:szCs w:val="20"/>
        </w:rPr>
        <w:t>1.8m</w:t>
      </w:r>
      <w:r w:rsidRPr="00F01EC8">
        <w:rPr>
          <w:rFonts w:asciiTheme="minorHAnsi" w:hAnsiTheme="minorHAnsi" w:cs="Arial"/>
          <w:sz w:val="20"/>
          <w:szCs w:val="20"/>
        </w:rPr>
        <w:t xml:space="preserve"> </w:t>
      </w:r>
      <w:r w:rsidR="008E7793" w:rsidRPr="00F01EC8">
        <w:rPr>
          <w:rFonts w:asciiTheme="minorHAnsi" w:hAnsiTheme="minorHAnsi" w:cs="Arial"/>
          <w:sz w:val="20"/>
          <w:szCs w:val="20"/>
        </w:rPr>
        <w:t xml:space="preserve">(30 June 2020: £nil, 30 December: £nil) </w:t>
      </w:r>
      <w:r w:rsidRPr="00F01EC8">
        <w:rPr>
          <w:rFonts w:asciiTheme="minorHAnsi" w:hAnsiTheme="minorHAnsi" w:cs="Arial"/>
          <w:sz w:val="20"/>
          <w:szCs w:val="20"/>
        </w:rPr>
        <w:t>in respect of the FCA investigation into affordability, forbearance and termination options.</w:t>
      </w:r>
    </w:p>
    <w:p w14:paraId="1CAB9D6B" w14:textId="77777777" w:rsidR="00DA6694" w:rsidRPr="00F01EC8" w:rsidRDefault="00DA6694" w:rsidP="00EC48CC">
      <w:pPr>
        <w:jc w:val="both"/>
        <w:rPr>
          <w:rFonts w:asciiTheme="minorHAnsi" w:hAnsiTheme="minorHAnsi" w:cs="Arial"/>
          <w:sz w:val="20"/>
          <w:szCs w:val="20"/>
        </w:rPr>
      </w:pPr>
    </w:p>
    <w:p w14:paraId="7EC2DD52" w14:textId="6574A59F" w:rsidR="00DA6694" w:rsidRPr="00F01EC8" w:rsidRDefault="00DA6694" w:rsidP="00EC48CC">
      <w:pPr>
        <w:jc w:val="both"/>
        <w:rPr>
          <w:rFonts w:asciiTheme="minorHAnsi" w:hAnsiTheme="minorHAnsi" w:cs="Arial"/>
          <w:sz w:val="20"/>
          <w:szCs w:val="20"/>
        </w:rPr>
      </w:pPr>
      <w:r w:rsidRPr="00F01EC8">
        <w:rPr>
          <w:rFonts w:asciiTheme="minorHAnsi" w:hAnsiTheme="minorHAnsi" w:cs="Arial"/>
          <w:sz w:val="20"/>
          <w:szCs w:val="20"/>
        </w:rPr>
        <w:t>CCD receivables comprise £</w:t>
      </w:r>
      <w:r w:rsidR="00817960" w:rsidRPr="00F01EC8">
        <w:rPr>
          <w:rFonts w:asciiTheme="minorHAnsi" w:hAnsiTheme="minorHAnsi" w:cs="Arial"/>
          <w:sz w:val="20"/>
          <w:szCs w:val="20"/>
        </w:rPr>
        <w:t>130.5</w:t>
      </w:r>
      <w:r w:rsidRPr="00F01EC8">
        <w:rPr>
          <w:rFonts w:asciiTheme="minorHAnsi" w:hAnsiTheme="minorHAnsi" w:cs="Arial"/>
          <w:sz w:val="20"/>
          <w:szCs w:val="20"/>
        </w:rPr>
        <w:t>m in respect of the home credit business (31 December 201</w:t>
      </w:r>
      <w:r w:rsidR="00DC6640" w:rsidRPr="00F01EC8">
        <w:rPr>
          <w:rFonts w:asciiTheme="minorHAnsi" w:hAnsiTheme="minorHAnsi" w:cs="Arial"/>
          <w:sz w:val="20"/>
          <w:szCs w:val="20"/>
        </w:rPr>
        <w:t>9</w:t>
      </w:r>
      <w:r w:rsidRPr="00F01EC8">
        <w:rPr>
          <w:rFonts w:asciiTheme="minorHAnsi" w:hAnsiTheme="minorHAnsi" w:cs="Arial"/>
          <w:sz w:val="20"/>
          <w:szCs w:val="20"/>
        </w:rPr>
        <w:t>: £2</w:t>
      </w:r>
      <w:r w:rsidR="00DC6640" w:rsidRPr="00F01EC8">
        <w:rPr>
          <w:rFonts w:asciiTheme="minorHAnsi" w:hAnsiTheme="minorHAnsi" w:cs="Arial"/>
          <w:sz w:val="20"/>
          <w:szCs w:val="20"/>
        </w:rPr>
        <w:t>05.2</w:t>
      </w:r>
      <w:r w:rsidRPr="00F01EC8">
        <w:rPr>
          <w:rFonts w:asciiTheme="minorHAnsi" w:hAnsiTheme="minorHAnsi" w:cs="Arial"/>
          <w:sz w:val="20"/>
          <w:szCs w:val="20"/>
        </w:rPr>
        <w:t>m, 30 June 201</w:t>
      </w:r>
      <w:r w:rsidR="00DC6640" w:rsidRPr="00F01EC8">
        <w:rPr>
          <w:rFonts w:asciiTheme="minorHAnsi" w:hAnsiTheme="minorHAnsi" w:cs="Arial"/>
          <w:sz w:val="20"/>
          <w:szCs w:val="20"/>
        </w:rPr>
        <w:t>9</w:t>
      </w:r>
      <w:r w:rsidRPr="00F01EC8">
        <w:rPr>
          <w:rFonts w:asciiTheme="minorHAnsi" w:hAnsiTheme="minorHAnsi" w:cs="Arial"/>
          <w:sz w:val="20"/>
          <w:szCs w:val="20"/>
        </w:rPr>
        <w:t>: £2</w:t>
      </w:r>
      <w:r w:rsidR="00DC6640" w:rsidRPr="00F01EC8">
        <w:rPr>
          <w:rFonts w:asciiTheme="minorHAnsi" w:hAnsiTheme="minorHAnsi" w:cs="Arial"/>
          <w:sz w:val="20"/>
          <w:szCs w:val="20"/>
        </w:rPr>
        <w:t>01.8</w:t>
      </w:r>
      <w:r w:rsidRPr="00F01EC8">
        <w:rPr>
          <w:rFonts w:asciiTheme="minorHAnsi" w:hAnsiTheme="minorHAnsi" w:cs="Arial"/>
          <w:sz w:val="20"/>
          <w:szCs w:val="20"/>
        </w:rPr>
        <w:t>m), £</w:t>
      </w:r>
      <w:r w:rsidR="00A241E0" w:rsidRPr="00F01EC8">
        <w:rPr>
          <w:rFonts w:asciiTheme="minorHAnsi" w:hAnsiTheme="minorHAnsi" w:cs="Arial"/>
          <w:sz w:val="20"/>
          <w:szCs w:val="20"/>
        </w:rPr>
        <w:t>15.9</w:t>
      </w:r>
      <w:r w:rsidRPr="00F01EC8">
        <w:rPr>
          <w:rFonts w:asciiTheme="minorHAnsi" w:hAnsiTheme="minorHAnsi" w:cs="Arial"/>
          <w:sz w:val="20"/>
          <w:szCs w:val="20"/>
        </w:rPr>
        <w:t>m in respect of Satsuma (31 December 201</w:t>
      </w:r>
      <w:r w:rsidR="00DC6640" w:rsidRPr="00F01EC8">
        <w:rPr>
          <w:rFonts w:asciiTheme="minorHAnsi" w:hAnsiTheme="minorHAnsi" w:cs="Arial"/>
          <w:sz w:val="20"/>
          <w:szCs w:val="20"/>
        </w:rPr>
        <w:t>9</w:t>
      </w:r>
      <w:r w:rsidRPr="00F01EC8">
        <w:rPr>
          <w:rFonts w:asciiTheme="minorHAnsi" w:hAnsiTheme="minorHAnsi" w:cs="Arial"/>
          <w:sz w:val="20"/>
          <w:szCs w:val="20"/>
        </w:rPr>
        <w:t>: £</w:t>
      </w:r>
      <w:r w:rsidR="00DC6640" w:rsidRPr="00F01EC8">
        <w:rPr>
          <w:rFonts w:asciiTheme="minorHAnsi" w:hAnsiTheme="minorHAnsi" w:cs="Arial"/>
          <w:sz w:val="20"/>
          <w:szCs w:val="20"/>
        </w:rPr>
        <w:t>43.2</w:t>
      </w:r>
      <w:r w:rsidRPr="00F01EC8">
        <w:rPr>
          <w:rFonts w:asciiTheme="minorHAnsi" w:hAnsiTheme="minorHAnsi" w:cs="Arial"/>
          <w:sz w:val="20"/>
          <w:szCs w:val="20"/>
        </w:rPr>
        <w:t>m, 30 June 201</w:t>
      </w:r>
      <w:r w:rsidR="00DC6640" w:rsidRPr="00F01EC8">
        <w:rPr>
          <w:rFonts w:asciiTheme="minorHAnsi" w:hAnsiTheme="minorHAnsi" w:cs="Arial"/>
          <w:sz w:val="20"/>
          <w:szCs w:val="20"/>
        </w:rPr>
        <w:t>9</w:t>
      </w:r>
      <w:r w:rsidRPr="00F01EC8">
        <w:rPr>
          <w:rFonts w:asciiTheme="minorHAnsi" w:hAnsiTheme="minorHAnsi" w:cs="Arial"/>
          <w:sz w:val="20"/>
          <w:szCs w:val="20"/>
        </w:rPr>
        <w:t>: £</w:t>
      </w:r>
      <w:r w:rsidR="00DC6640" w:rsidRPr="00F01EC8">
        <w:rPr>
          <w:rFonts w:asciiTheme="minorHAnsi" w:hAnsiTheme="minorHAnsi" w:cs="Arial"/>
          <w:sz w:val="20"/>
          <w:szCs w:val="20"/>
        </w:rPr>
        <w:t>42.9</w:t>
      </w:r>
      <w:r w:rsidRPr="00F01EC8">
        <w:rPr>
          <w:rFonts w:asciiTheme="minorHAnsi" w:hAnsiTheme="minorHAnsi" w:cs="Arial"/>
          <w:sz w:val="20"/>
          <w:szCs w:val="20"/>
        </w:rPr>
        <w:t>m) and £0.</w:t>
      </w:r>
      <w:r w:rsidR="00A241E0" w:rsidRPr="00F01EC8">
        <w:rPr>
          <w:rFonts w:asciiTheme="minorHAnsi" w:hAnsiTheme="minorHAnsi" w:cs="Arial"/>
          <w:sz w:val="20"/>
          <w:szCs w:val="20"/>
        </w:rPr>
        <w:t>5</w:t>
      </w:r>
      <w:r w:rsidRPr="00F01EC8">
        <w:rPr>
          <w:rFonts w:asciiTheme="minorHAnsi" w:hAnsiTheme="minorHAnsi" w:cs="Arial"/>
          <w:sz w:val="20"/>
          <w:szCs w:val="20"/>
        </w:rPr>
        <w:t>m in respect of the collect-out of glo (31 December 201</w:t>
      </w:r>
      <w:r w:rsidR="00DC6640" w:rsidRPr="00F01EC8">
        <w:rPr>
          <w:rFonts w:asciiTheme="minorHAnsi" w:hAnsiTheme="minorHAnsi" w:cs="Arial"/>
          <w:sz w:val="20"/>
          <w:szCs w:val="20"/>
        </w:rPr>
        <w:t>9</w:t>
      </w:r>
      <w:r w:rsidRPr="00F01EC8">
        <w:rPr>
          <w:rFonts w:asciiTheme="minorHAnsi" w:hAnsiTheme="minorHAnsi" w:cs="Arial"/>
          <w:sz w:val="20"/>
          <w:szCs w:val="20"/>
        </w:rPr>
        <w:t>: £</w:t>
      </w:r>
      <w:r w:rsidR="00DC6640" w:rsidRPr="00F01EC8">
        <w:rPr>
          <w:rFonts w:asciiTheme="minorHAnsi" w:hAnsiTheme="minorHAnsi" w:cs="Arial"/>
          <w:sz w:val="20"/>
          <w:szCs w:val="20"/>
        </w:rPr>
        <w:t>0.6</w:t>
      </w:r>
      <w:r w:rsidRPr="00F01EC8">
        <w:rPr>
          <w:rFonts w:asciiTheme="minorHAnsi" w:hAnsiTheme="minorHAnsi" w:cs="Arial"/>
          <w:sz w:val="20"/>
          <w:szCs w:val="20"/>
        </w:rPr>
        <w:t>m, 30 June 201</w:t>
      </w:r>
      <w:r w:rsidR="00DC6640" w:rsidRPr="00F01EC8">
        <w:rPr>
          <w:rFonts w:asciiTheme="minorHAnsi" w:hAnsiTheme="minorHAnsi" w:cs="Arial"/>
          <w:sz w:val="20"/>
          <w:szCs w:val="20"/>
        </w:rPr>
        <w:t>9</w:t>
      </w:r>
      <w:r w:rsidRPr="00F01EC8">
        <w:rPr>
          <w:rFonts w:asciiTheme="minorHAnsi" w:hAnsiTheme="minorHAnsi" w:cs="Arial"/>
          <w:sz w:val="20"/>
          <w:szCs w:val="20"/>
        </w:rPr>
        <w:t>: £</w:t>
      </w:r>
      <w:r w:rsidR="00DC6640" w:rsidRPr="00F01EC8">
        <w:rPr>
          <w:rFonts w:asciiTheme="minorHAnsi" w:hAnsiTheme="minorHAnsi" w:cs="Arial"/>
          <w:sz w:val="20"/>
          <w:szCs w:val="20"/>
        </w:rPr>
        <w:t>0.7</w:t>
      </w:r>
      <w:r w:rsidRPr="00F01EC8">
        <w:rPr>
          <w:rFonts w:asciiTheme="minorHAnsi" w:hAnsiTheme="minorHAnsi" w:cs="Arial"/>
          <w:sz w:val="20"/>
          <w:szCs w:val="20"/>
        </w:rPr>
        <w:t>m).</w:t>
      </w:r>
    </w:p>
    <w:p w14:paraId="14B18F9F" w14:textId="77777777" w:rsidR="00DA6694" w:rsidRPr="00F01EC8" w:rsidRDefault="00DA6694" w:rsidP="00DA6694">
      <w:pPr>
        <w:jc w:val="both"/>
        <w:rPr>
          <w:rFonts w:asciiTheme="minorHAnsi" w:hAnsiTheme="minorHAnsi" w:cs="Arial"/>
          <w:sz w:val="20"/>
          <w:szCs w:val="20"/>
        </w:rPr>
      </w:pPr>
    </w:p>
    <w:p w14:paraId="028A06B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bookmarkStart w:id="26" w:name="OLE_LINK3"/>
      <w:bookmarkStart w:id="27" w:name="OLE_LINK10"/>
      <w:r w:rsidRPr="00F01EC8">
        <w:rPr>
          <w:rFonts w:asciiTheme="minorHAnsi" w:hAnsiTheme="minorHAnsi" w:cs="Arial"/>
          <w:sz w:val="20"/>
          <w:szCs w:val="20"/>
        </w:rPr>
        <w:t>An analysis of receivables by IFRS 9 stages is set out below:</w:t>
      </w:r>
    </w:p>
    <w:p w14:paraId="042F31C2"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tbl>
      <w:tblPr>
        <w:tblW w:w="9923" w:type="dxa"/>
        <w:tblLayout w:type="fixed"/>
        <w:tblLook w:val="0000" w:firstRow="0" w:lastRow="0" w:firstColumn="0" w:lastColumn="0" w:noHBand="0" w:noVBand="0"/>
      </w:tblPr>
      <w:tblGrid>
        <w:gridCol w:w="4536"/>
        <w:gridCol w:w="1123"/>
        <w:gridCol w:w="1371"/>
        <w:gridCol w:w="1371"/>
        <w:gridCol w:w="1522"/>
      </w:tblGrid>
      <w:tr w:rsidR="00DA6694" w:rsidRPr="00F01EC8" w14:paraId="0AB6F49E" w14:textId="77777777" w:rsidTr="00FB2FF4">
        <w:tc>
          <w:tcPr>
            <w:tcW w:w="4536" w:type="dxa"/>
          </w:tcPr>
          <w:p w14:paraId="21948C37" w14:textId="77777777" w:rsidR="00DA6694" w:rsidRPr="00F01EC8" w:rsidRDefault="00DA6694" w:rsidP="00AC0A5D">
            <w:pPr>
              <w:rPr>
                <w:rFonts w:asciiTheme="minorHAnsi" w:hAnsiTheme="minorHAnsi" w:cs="Arial"/>
                <w:sz w:val="20"/>
                <w:szCs w:val="20"/>
              </w:rPr>
            </w:pPr>
          </w:p>
        </w:tc>
        <w:tc>
          <w:tcPr>
            <w:tcW w:w="5387" w:type="dxa"/>
            <w:gridSpan w:val="4"/>
          </w:tcPr>
          <w:p w14:paraId="5AD3CEF2" w14:textId="3AA2774B"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30 June 20</w:t>
            </w:r>
            <w:r w:rsidR="00C703E2" w:rsidRPr="00F01EC8">
              <w:rPr>
                <w:rFonts w:asciiTheme="minorHAnsi" w:hAnsiTheme="minorHAnsi" w:cs="Arial"/>
                <w:sz w:val="20"/>
                <w:szCs w:val="20"/>
              </w:rPr>
              <w:t>20</w:t>
            </w:r>
          </w:p>
        </w:tc>
      </w:tr>
      <w:tr w:rsidR="00DA6694" w:rsidRPr="00F01EC8" w14:paraId="78A46952" w14:textId="77777777" w:rsidTr="00FB2FF4">
        <w:tc>
          <w:tcPr>
            <w:tcW w:w="4536" w:type="dxa"/>
          </w:tcPr>
          <w:p w14:paraId="27D31356" w14:textId="77777777" w:rsidR="00DA6694" w:rsidRPr="00F01EC8" w:rsidRDefault="00DA6694" w:rsidP="00AC0A5D">
            <w:pPr>
              <w:rPr>
                <w:rFonts w:asciiTheme="minorHAnsi" w:hAnsiTheme="minorHAnsi" w:cs="Arial"/>
                <w:sz w:val="20"/>
                <w:szCs w:val="20"/>
              </w:rPr>
            </w:pPr>
          </w:p>
        </w:tc>
        <w:tc>
          <w:tcPr>
            <w:tcW w:w="1123" w:type="dxa"/>
          </w:tcPr>
          <w:p w14:paraId="67999E1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Stage 1 </w:t>
            </w:r>
          </w:p>
        </w:tc>
        <w:tc>
          <w:tcPr>
            <w:tcW w:w="1371" w:type="dxa"/>
          </w:tcPr>
          <w:p w14:paraId="0B5295A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Stage 2  </w:t>
            </w:r>
          </w:p>
        </w:tc>
        <w:tc>
          <w:tcPr>
            <w:tcW w:w="1371" w:type="dxa"/>
          </w:tcPr>
          <w:p w14:paraId="7A43CB1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Stage 3 </w:t>
            </w:r>
          </w:p>
        </w:tc>
        <w:tc>
          <w:tcPr>
            <w:tcW w:w="1522" w:type="dxa"/>
          </w:tcPr>
          <w:p w14:paraId="15D3C7C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Total </w:t>
            </w:r>
          </w:p>
        </w:tc>
      </w:tr>
      <w:tr w:rsidR="00DA6694" w:rsidRPr="00F01EC8" w14:paraId="6E1564B2" w14:textId="77777777" w:rsidTr="00FB2FF4">
        <w:tc>
          <w:tcPr>
            <w:tcW w:w="4536" w:type="dxa"/>
          </w:tcPr>
          <w:p w14:paraId="56695FEE" w14:textId="77777777" w:rsidR="00DA6694" w:rsidRPr="00F01EC8" w:rsidRDefault="00DA6694" w:rsidP="00AC0A5D">
            <w:pPr>
              <w:rPr>
                <w:rFonts w:asciiTheme="minorHAnsi" w:hAnsiTheme="minorHAnsi" w:cs="Arial"/>
                <w:sz w:val="20"/>
                <w:szCs w:val="20"/>
              </w:rPr>
            </w:pPr>
          </w:p>
        </w:tc>
        <w:tc>
          <w:tcPr>
            <w:tcW w:w="1123" w:type="dxa"/>
            <w:tcBorders>
              <w:top w:val="nil"/>
              <w:left w:val="nil"/>
              <w:bottom w:val="single" w:sz="4" w:space="0" w:color="auto"/>
              <w:right w:val="nil"/>
            </w:tcBorders>
          </w:tcPr>
          <w:p w14:paraId="2392121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371" w:type="dxa"/>
            <w:tcBorders>
              <w:top w:val="nil"/>
              <w:left w:val="nil"/>
              <w:bottom w:val="single" w:sz="4" w:space="0" w:color="auto"/>
              <w:right w:val="nil"/>
            </w:tcBorders>
          </w:tcPr>
          <w:p w14:paraId="35CCD40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371" w:type="dxa"/>
            <w:tcBorders>
              <w:top w:val="nil"/>
              <w:left w:val="nil"/>
              <w:bottom w:val="single" w:sz="4" w:space="0" w:color="auto"/>
              <w:right w:val="nil"/>
            </w:tcBorders>
          </w:tcPr>
          <w:p w14:paraId="0DEEB19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522" w:type="dxa"/>
            <w:tcBorders>
              <w:top w:val="nil"/>
              <w:left w:val="nil"/>
              <w:bottom w:val="single" w:sz="4" w:space="0" w:color="auto"/>
              <w:right w:val="nil"/>
            </w:tcBorders>
          </w:tcPr>
          <w:p w14:paraId="191FA54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0B52200B" w14:textId="77777777" w:rsidTr="00FB2FF4">
        <w:tc>
          <w:tcPr>
            <w:tcW w:w="4536" w:type="dxa"/>
          </w:tcPr>
          <w:p w14:paraId="45C4E5D1"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Gross receivables</w:t>
            </w:r>
          </w:p>
        </w:tc>
        <w:tc>
          <w:tcPr>
            <w:tcW w:w="1123" w:type="dxa"/>
            <w:vAlign w:val="bottom"/>
          </w:tcPr>
          <w:p w14:paraId="2DB16529" w14:textId="77777777" w:rsidR="00DA6694" w:rsidRPr="00F01EC8" w:rsidRDefault="00DA6694" w:rsidP="00AC0A5D">
            <w:pPr>
              <w:jc w:val="right"/>
              <w:rPr>
                <w:rFonts w:asciiTheme="minorHAnsi" w:hAnsiTheme="minorHAnsi" w:cs="Arial"/>
                <w:sz w:val="20"/>
                <w:szCs w:val="20"/>
              </w:rPr>
            </w:pPr>
          </w:p>
        </w:tc>
        <w:tc>
          <w:tcPr>
            <w:tcW w:w="1371" w:type="dxa"/>
            <w:vAlign w:val="bottom"/>
          </w:tcPr>
          <w:p w14:paraId="09828E65" w14:textId="77777777" w:rsidR="00DA6694" w:rsidRPr="00F01EC8" w:rsidRDefault="00DA6694" w:rsidP="00AC0A5D">
            <w:pPr>
              <w:jc w:val="right"/>
              <w:rPr>
                <w:rFonts w:asciiTheme="minorHAnsi" w:hAnsiTheme="minorHAnsi" w:cs="Arial"/>
                <w:sz w:val="20"/>
                <w:szCs w:val="20"/>
              </w:rPr>
            </w:pPr>
          </w:p>
        </w:tc>
        <w:tc>
          <w:tcPr>
            <w:tcW w:w="1371" w:type="dxa"/>
          </w:tcPr>
          <w:p w14:paraId="709D6A84" w14:textId="77777777" w:rsidR="00DA6694" w:rsidRPr="00F01EC8" w:rsidRDefault="00DA6694" w:rsidP="00AC0A5D">
            <w:pPr>
              <w:jc w:val="right"/>
              <w:rPr>
                <w:rFonts w:asciiTheme="minorHAnsi" w:hAnsiTheme="minorHAnsi" w:cs="Arial"/>
                <w:sz w:val="20"/>
                <w:szCs w:val="20"/>
              </w:rPr>
            </w:pPr>
          </w:p>
        </w:tc>
        <w:tc>
          <w:tcPr>
            <w:tcW w:w="1522" w:type="dxa"/>
          </w:tcPr>
          <w:p w14:paraId="620C4223" w14:textId="77777777" w:rsidR="00DA6694" w:rsidRPr="00F01EC8" w:rsidRDefault="00DA6694" w:rsidP="00AC0A5D">
            <w:pPr>
              <w:jc w:val="right"/>
              <w:rPr>
                <w:rFonts w:asciiTheme="minorHAnsi" w:hAnsiTheme="minorHAnsi" w:cs="Arial"/>
                <w:sz w:val="20"/>
                <w:szCs w:val="20"/>
              </w:rPr>
            </w:pPr>
          </w:p>
        </w:tc>
      </w:tr>
      <w:tr w:rsidR="00CC4286" w:rsidRPr="00F01EC8" w14:paraId="4C4A33DC" w14:textId="77777777" w:rsidTr="00CC4286">
        <w:tc>
          <w:tcPr>
            <w:tcW w:w="4536" w:type="dxa"/>
            <w:vAlign w:val="bottom"/>
          </w:tcPr>
          <w:p w14:paraId="68A40BFA"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123" w:type="dxa"/>
            <w:vAlign w:val="bottom"/>
          </w:tcPr>
          <w:p w14:paraId="786C68AF" w14:textId="47591633"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1,139.0</w:t>
            </w:r>
          </w:p>
        </w:tc>
        <w:tc>
          <w:tcPr>
            <w:tcW w:w="1371" w:type="dxa"/>
            <w:vAlign w:val="bottom"/>
          </w:tcPr>
          <w:p w14:paraId="71F8ECDE" w14:textId="3FB57D44"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165.2</w:t>
            </w:r>
          </w:p>
        </w:tc>
        <w:tc>
          <w:tcPr>
            <w:tcW w:w="1371" w:type="dxa"/>
          </w:tcPr>
          <w:p w14:paraId="75A4050B" w14:textId="30937245"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350.6</w:t>
            </w:r>
          </w:p>
        </w:tc>
        <w:tc>
          <w:tcPr>
            <w:tcW w:w="1522" w:type="dxa"/>
          </w:tcPr>
          <w:p w14:paraId="306275B3" w14:textId="23938F5E"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1,654.8</w:t>
            </w:r>
          </w:p>
        </w:tc>
      </w:tr>
      <w:tr w:rsidR="00CC4286" w:rsidRPr="00F01EC8" w14:paraId="1727EF49" w14:textId="77777777" w:rsidTr="00CC4286">
        <w:tc>
          <w:tcPr>
            <w:tcW w:w="4536" w:type="dxa"/>
            <w:vAlign w:val="bottom"/>
          </w:tcPr>
          <w:p w14:paraId="55B464F9"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Moneybarn</w:t>
            </w:r>
          </w:p>
        </w:tc>
        <w:tc>
          <w:tcPr>
            <w:tcW w:w="1123" w:type="dxa"/>
            <w:vAlign w:val="bottom"/>
          </w:tcPr>
          <w:p w14:paraId="04928D6F" w14:textId="5730259E" w:rsidR="00DA6694" w:rsidRPr="00F01EC8" w:rsidRDefault="0027142E" w:rsidP="00AC0A5D">
            <w:pPr>
              <w:jc w:val="right"/>
              <w:rPr>
                <w:rFonts w:asciiTheme="minorHAnsi" w:hAnsiTheme="minorHAnsi" w:cs="Arial"/>
                <w:sz w:val="20"/>
                <w:szCs w:val="20"/>
              </w:rPr>
            </w:pPr>
            <w:r w:rsidRPr="00F01EC8">
              <w:rPr>
                <w:rFonts w:asciiTheme="minorHAnsi" w:hAnsiTheme="minorHAnsi" w:cs="Arial"/>
                <w:sz w:val="20"/>
                <w:szCs w:val="20"/>
              </w:rPr>
              <w:t>367.5</w:t>
            </w:r>
          </w:p>
        </w:tc>
        <w:tc>
          <w:tcPr>
            <w:tcW w:w="1371" w:type="dxa"/>
            <w:vAlign w:val="bottom"/>
          </w:tcPr>
          <w:p w14:paraId="0548A129" w14:textId="02340840" w:rsidR="00DA6694" w:rsidRPr="00F01EC8" w:rsidRDefault="0027142E" w:rsidP="00AC0A5D">
            <w:pPr>
              <w:jc w:val="right"/>
              <w:rPr>
                <w:rFonts w:asciiTheme="minorHAnsi" w:hAnsiTheme="minorHAnsi" w:cs="Arial"/>
                <w:sz w:val="20"/>
                <w:szCs w:val="20"/>
              </w:rPr>
            </w:pPr>
            <w:r w:rsidRPr="00F01EC8">
              <w:rPr>
                <w:rFonts w:asciiTheme="minorHAnsi" w:hAnsiTheme="minorHAnsi" w:cs="Arial"/>
                <w:sz w:val="20"/>
                <w:szCs w:val="20"/>
              </w:rPr>
              <w:t>155.6</w:t>
            </w:r>
          </w:p>
        </w:tc>
        <w:tc>
          <w:tcPr>
            <w:tcW w:w="1371" w:type="dxa"/>
          </w:tcPr>
          <w:p w14:paraId="4E5B6076" w14:textId="56E7B3EE" w:rsidR="00DA6694" w:rsidRPr="00F01EC8" w:rsidRDefault="0027142E" w:rsidP="00AC0A5D">
            <w:pPr>
              <w:jc w:val="right"/>
              <w:rPr>
                <w:rFonts w:asciiTheme="minorHAnsi" w:hAnsiTheme="minorHAnsi" w:cs="Arial"/>
                <w:sz w:val="20"/>
                <w:szCs w:val="20"/>
              </w:rPr>
            </w:pPr>
            <w:r w:rsidRPr="00F01EC8">
              <w:rPr>
                <w:rFonts w:asciiTheme="minorHAnsi" w:hAnsiTheme="minorHAnsi" w:cs="Arial"/>
                <w:sz w:val="20"/>
                <w:szCs w:val="20"/>
              </w:rPr>
              <w:t>128.6</w:t>
            </w:r>
          </w:p>
        </w:tc>
        <w:tc>
          <w:tcPr>
            <w:tcW w:w="1522" w:type="dxa"/>
          </w:tcPr>
          <w:p w14:paraId="22905C0C" w14:textId="3E9C704C" w:rsidR="00DA6694" w:rsidRPr="00F01EC8" w:rsidRDefault="0027142E" w:rsidP="00AC0A5D">
            <w:pPr>
              <w:jc w:val="right"/>
              <w:rPr>
                <w:rFonts w:asciiTheme="minorHAnsi" w:hAnsiTheme="minorHAnsi" w:cs="Arial"/>
                <w:sz w:val="20"/>
                <w:szCs w:val="20"/>
              </w:rPr>
            </w:pPr>
            <w:r w:rsidRPr="00F01EC8">
              <w:rPr>
                <w:rFonts w:asciiTheme="minorHAnsi" w:hAnsiTheme="minorHAnsi" w:cs="Arial"/>
                <w:sz w:val="20"/>
                <w:szCs w:val="20"/>
              </w:rPr>
              <w:t>651.7</w:t>
            </w:r>
          </w:p>
        </w:tc>
      </w:tr>
      <w:tr w:rsidR="00CC4286" w:rsidRPr="00F01EC8" w14:paraId="7BD51136" w14:textId="77777777" w:rsidTr="00CC4286">
        <w:tc>
          <w:tcPr>
            <w:tcW w:w="4536" w:type="dxa"/>
            <w:vAlign w:val="bottom"/>
          </w:tcPr>
          <w:p w14:paraId="72137C76"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123" w:type="dxa"/>
            <w:vAlign w:val="bottom"/>
          </w:tcPr>
          <w:p w14:paraId="709ABCDD" w14:textId="4536FF16"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68.2</w:t>
            </w:r>
          </w:p>
        </w:tc>
        <w:tc>
          <w:tcPr>
            <w:tcW w:w="1371" w:type="dxa"/>
            <w:vAlign w:val="bottom"/>
          </w:tcPr>
          <w:p w14:paraId="7B4C702E" w14:textId="69E4D99D"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22.9</w:t>
            </w:r>
          </w:p>
        </w:tc>
        <w:tc>
          <w:tcPr>
            <w:tcW w:w="1371" w:type="dxa"/>
          </w:tcPr>
          <w:p w14:paraId="3E788554" w14:textId="0B7D4816"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425.3</w:t>
            </w:r>
          </w:p>
        </w:tc>
        <w:tc>
          <w:tcPr>
            <w:tcW w:w="1522" w:type="dxa"/>
          </w:tcPr>
          <w:p w14:paraId="309FC1A8" w14:textId="424FD54C"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516.</w:t>
            </w:r>
            <w:r w:rsidR="006B7C21" w:rsidRPr="00F01EC8">
              <w:rPr>
                <w:rFonts w:asciiTheme="minorHAnsi" w:hAnsiTheme="minorHAnsi" w:cs="Arial"/>
                <w:sz w:val="20"/>
                <w:szCs w:val="20"/>
              </w:rPr>
              <w:t>4</w:t>
            </w:r>
          </w:p>
        </w:tc>
      </w:tr>
      <w:tr w:rsidR="00CC4286" w:rsidRPr="00F01EC8" w14:paraId="1715A9EF" w14:textId="77777777" w:rsidTr="00CC4286">
        <w:tc>
          <w:tcPr>
            <w:tcW w:w="4536" w:type="dxa"/>
            <w:vAlign w:val="bottom"/>
          </w:tcPr>
          <w:p w14:paraId="380233E3" w14:textId="5E694ABE"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123" w:type="dxa"/>
            <w:tcBorders>
              <w:top w:val="single" w:sz="4" w:space="0" w:color="auto"/>
              <w:left w:val="nil"/>
              <w:bottom w:val="nil"/>
              <w:right w:val="nil"/>
            </w:tcBorders>
            <w:vAlign w:val="bottom"/>
          </w:tcPr>
          <w:p w14:paraId="478D5B43" w14:textId="2B06D6E7"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1,57</w:t>
            </w:r>
            <w:r w:rsidR="003D64D3" w:rsidRPr="00F01EC8">
              <w:rPr>
                <w:rFonts w:asciiTheme="minorHAnsi" w:hAnsiTheme="minorHAnsi" w:cs="Arial"/>
                <w:sz w:val="20"/>
                <w:szCs w:val="20"/>
              </w:rPr>
              <w:t>4.7</w:t>
            </w:r>
          </w:p>
        </w:tc>
        <w:tc>
          <w:tcPr>
            <w:tcW w:w="1371" w:type="dxa"/>
            <w:tcBorders>
              <w:top w:val="single" w:sz="4" w:space="0" w:color="auto"/>
              <w:left w:val="nil"/>
              <w:bottom w:val="nil"/>
              <w:right w:val="nil"/>
            </w:tcBorders>
            <w:vAlign w:val="bottom"/>
          </w:tcPr>
          <w:p w14:paraId="14F30457" w14:textId="61AE2F62"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343.7</w:t>
            </w:r>
          </w:p>
        </w:tc>
        <w:tc>
          <w:tcPr>
            <w:tcW w:w="1371" w:type="dxa"/>
            <w:tcBorders>
              <w:top w:val="single" w:sz="4" w:space="0" w:color="auto"/>
              <w:left w:val="nil"/>
              <w:bottom w:val="nil"/>
              <w:right w:val="nil"/>
            </w:tcBorders>
          </w:tcPr>
          <w:p w14:paraId="49FA3FC4" w14:textId="019818AE"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904.5</w:t>
            </w:r>
          </w:p>
        </w:tc>
        <w:tc>
          <w:tcPr>
            <w:tcW w:w="1522" w:type="dxa"/>
            <w:tcBorders>
              <w:top w:val="single" w:sz="4" w:space="0" w:color="auto"/>
              <w:left w:val="nil"/>
              <w:bottom w:val="nil"/>
              <w:right w:val="nil"/>
            </w:tcBorders>
          </w:tcPr>
          <w:p w14:paraId="206D2AF5" w14:textId="66A54450" w:rsidR="00DA6694" w:rsidRPr="00F01EC8" w:rsidRDefault="006B7C21" w:rsidP="003D64D3">
            <w:pPr>
              <w:jc w:val="right"/>
              <w:rPr>
                <w:rFonts w:asciiTheme="minorHAnsi" w:hAnsiTheme="minorHAnsi" w:cs="Arial"/>
                <w:sz w:val="20"/>
                <w:szCs w:val="20"/>
              </w:rPr>
            </w:pPr>
            <w:r w:rsidRPr="00F01EC8">
              <w:rPr>
                <w:rFonts w:asciiTheme="minorHAnsi" w:hAnsiTheme="minorHAnsi" w:cs="Arial"/>
                <w:sz w:val="20"/>
                <w:szCs w:val="20"/>
              </w:rPr>
              <w:t>2,822.</w:t>
            </w:r>
            <w:r w:rsidR="003D64D3" w:rsidRPr="00F01EC8">
              <w:rPr>
                <w:rFonts w:asciiTheme="minorHAnsi" w:hAnsiTheme="minorHAnsi" w:cs="Arial"/>
                <w:sz w:val="20"/>
                <w:szCs w:val="20"/>
              </w:rPr>
              <w:t>9</w:t>
            </w:r>
          </w:p>
        </w:tc>
      </w:tr>
      <w:tr w:rsidR="00CC4286" w:rsidRPr="00F01EC8" w14:paraId="503A4B01" w14:textId="77777777" w:rsidTr="00CC4286">
        <w:tc>
          <w:tcPr>
            <w:tcW w:w="4536" w:type="dxa"/>
            <w:vAlign w:val="bottom"/>
          </w:tcPr>
          <w:p w14:paraId="352500C1" w14:textId="77777777" w:rsidR="00DA6694" w:rsidRPr="00F01EC8" w:rsidRDefault="00DA6694" w:rsidP="00AC0A5D">
            <w:pPr>
              <w:rPr>
                <w:rFonts w:asciiTheme="minorHAnsi" w:hAnsiTheme="minorHAnsi" w:cs="Arial"/>
                <w:sz w:val="20"/>
                <w:szCs w:val="20"/>
              </w:rPr>
            </w:pPr>
          </w:p>
        </w:tc>
        <w:tc>
          <w:tcPr>
            <w:tcW w:w="1123" w:type="dxa"/>
            <w:tcBorders>
              <w:top w:val="single" w:sz="12" w:space="0" w:color="auto"/>
              <w:left w:val="nil"/>
              <w:bottom w:val="nil"/>
              <w:right w:val="nil"/>
            </w:tcBorders>
            <w:vAlign w:val="bottom"/>
          </w:tcPr>
          <w:p w14:paraId="679AB82A" w14:textId="77777777" w:rsidR="00DA6694" w:rsidRPr="00F01EC8" w:rsidRDefault="00DA6694" w:rsidP="00AC0A5D">
            <w:pPr>
              <w:jc w:val="right"/>
              <w:rPr>
                <w:rFonts w:asciiTheme="minorHAnsi" w:hAnsiTheme="minorHAnsi" w:cs="Arial"/>
                <w:sz w:val="20"/>
                <w:szCs w:val="20"/>
              </w:rPr>
            </w:pPr>
          </w:p>
        </w:tc>
        <w:tc>
          <w:tcPr>
            <w:tcW w:w="1371" w:type="dxa"/>
            <w:tcBorders>
              <w:top w:val="single" w:sz="12" w:space="0" w:color="auto"/>
              <w:left w:val="nil"/>
              <w:bottom w:val="nil"/>
              <w:right w:val="nil"/>
            </w:tcBorders>
            <w:vAlign w:val="bottom"/>
          </w:tcPr>
          <w:p w14:paraId="35980B1C" w14:textId="77777777" w:rsidR="00DA6694" w:rsidRPr="00F01EC8" w:rsidRDefault="00DA6694" w:rsidP="00AC0A5D">
            <w:pPr>
              <w:jc w:val="right"/>
              <w:rPr>
                <w:rFonts w:asciiTheme="minorHAnsi" w:hAnsiTheme="minorHAnsi" w:cs="Arial"/>
                <w:sz w:val="20"/>
                <w:szCs w:val="20"/>
              </w:rPr>
            </w:pPr>
          </w:p>
        </w:tc>
        <w:tc>
          <w:tcPr>
            <w:tcW w:w="1371" w:type="dxa"/>
            <w:tcBorders>
              <w:top w:val="single" w:sz="12" w:space="0" w:color="auto"/>
              <w:left w:val="nil"/>
              <w:bottom w:val="nil"/>
              <w:right w:val="nil"/>
            </w:tcBorders>
          </w:tcPr>
          <w:p w14:paraId="24EF0192" w14:textId="77777777" w:rsidR="00DA6694" w:rsidRPr="00F01EC8" w:rsidRDefault="00DA6694" w:rsidP="00AC0A5D">
            <w:pPr>
              <w:jc w:val="right"/>
              <w:rPr>
                <w:rFonts w:asciiTheme="minorHAnsi" w:hAnsiTheme="minorHAnsi" w:cs="Arial"/>
                <w:sz w:val="20"/>
                <w:szCs w:val="20"/>
              </w:rPr>
            </w:pPr>
          </w:p>
        </w:tc>
        <w:tc>
          <w:tcPr>
            <w:tcW w:w="1522" w:type="dxa"/>
            <w:tcBorders>
              <w:top w:val="single" w:sz="12" w:space="0" w:color="auto"/>
              <w:left w:val="nil"/>
              <w:bottom w:val="nil"/>
              <w:right w:val="nil"/>
            </w:tcBorders>
          </w:tcPr>
          <w:p w14:paraId="001C1410" w14:textId="77777777" w:rsidR="00DA6694" w:rsidRPr="00F01EC8" w:rsidRDefault="00DA6694" w:rsidP="00AC0A5D">
            <w:pPr>
              <w:jc w:val="right"/>
              <w:rPr>
                <w:rFonts w:asciiTheme="minorHAnsi" w:hAnsiTheme="minorHAnsi" w:cs="Arial"/>
                <w:sz w:val="20"/>
                <w:szCs w:val="20"/>
              </w:rPr>
            </w:pPr>
          </w:p>
        </w:tc>
      </w:tr>
      <w:tr w:rsidR="00CC4286" w:rsidRPr="00F01EC8" w14:paraId="55467314" w14:textId="77777777" w:rsidTr="00CC4286">
        <w:tc>
          <w:tcPr>
            <w:tcW w:w="4536" w:type="dxa"/>
          </w:tcPr>
          <w:p w14:paraId="72CD0673"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Allowance account</w:t>
            </w:r>
          </w:p>
        </w:tc>
        <w:tc>
          <w:tcPr>
            <w:tcW w:w="1123" w:type="dxa"/>
            <w:vAlign w:val="bottom"/>
          </w:tcPr>
          <w:p w14:paraId="3E7D69D5" w14:textId="77777777" w:rsidR="00DA6694" w:rsidRPr="00F01EC8" w:rsidRDefault="00DA6694" w:rsidP="00AC0A5D">
            <w:pPr>
              <w:jc w:val="right"/>
              <w:rPr>
                <w:rFonts w:asciiTheme="minorHAnsi" w:hAnsiTheme="minorHAnsi" w:cs="Arial"/>
                <w:sz w:val="20"/>
                <w:szCs w:val="20"/>
              </w:rPr>
            </w:pPr>
          </w:p>
        </w:tc>
        <w:tc>
          <w:tcPr>
            <w:tcW w:w="1371" w:type="dxa"/>
            <w:vAlign w:val="bottom"/>
          </w:tcPr>
          <w:p w14:paraId="6C51D430" w14:textId="77777777" w:rsidR="00DA6694" w:rsidRPr="00F01EC8" w:rsidRDefault="00DA6694" w:rsidP="00AC0A5D">
            <w:pPr>
              <w:jc w:val="right"/>
              <w:rPr>
                <w:rFonts w:asciiTheme="minorHAnsi" w:hAnsiTheme="minorHAnsi" w:cs="Arial"/>
                <w:sz w:val="20"/>
                <w:szCs w:val="20"/>
              </w:rPr>
            </w:pPr>
          </w:p>
        </w:tc>
        <w:tc>
          <w:tcPr>
            <w:tcW w:w="1371" w:type="dxa"/>
          </w:tcPr>
          <w:p w14:paraId="1A461E0A" w14:textId="77777777" w:rsidR="00DA6694" w:rsidRPr="00F01EC8" w:rsidRDefault="00DA6694" w:rsidP="00AC0A5D">
            <w:pPr>
              <w:jc w:val="right"/>
              <w:rPr>
                <w:rFonts w:asciiTheme="minorHAnsi" w:hAnsiTheme="minorHAnsi" w:cs="Arial"/>
                <w:sz w:val="20"/>
                <w:szCs w:val="20"/>
              </w:rPr>
            </w:pPr>
          </w:p>
        </w:tc>
        <w:tc>
          <w:tcPr>
            <w:tcW w:w="1522" w:type="dxa"/>
          </w:tcPr>
          <w:p w14:paraId="0EFB2EFE" w14:textId="77777777" w:rsidR="00DA6694" w:rsidRPr="00F01EC8" w:rsidRDefault="00DA6694" w:rsidP="00AC0A5D">
            <w:pPr>
              <w:jc w:val="right"/>
              <w:rPr>
                <w:rFonts w:asciiTheme="minorHAnsi" w:hAnsiTheme="minorHAnsi" w:cs="Arial"/>
                <w:sz w:val="20"/>
                <w:szCs w:val="20"/>
              </w:rPr>
            </w:pPr>
          </w:p>
        </w:tc>
      </w:tr>
      <w:tr w:rsidR="00CC4286" w:rsidRPr="00F01EC8" w14:paraId="392A1E40" w14:textId="77777777" w:rsidTr="00CC4286">
        <w:tc>
          <w:tcPr>
            <w:tcW w:w="4536" w:type="dxa"/>
            <w:vAlign w:val="bottom"/>
          </w:tcPr>
          <w:p w14:paraId="0AB9B7EF"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123" w:type="dxa"/>
            <w:vAlign w:val="bottom"/>
          </w:tcPr>
          <w:p w14:paraId="11D2145C" w14:textId="58EB7065"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(153.8)</w:t>
            </w:r>
          </w:p>
        </w:tc>
        <w:tc>
          <w:tcPr>
            <w:tcW w:w="1371" w:type="dxa"/>
            <w:vAlign w:val="bottom"/>
          </w:tcPr>
          <w:p w14:paraId="4363BA4E" w14:textId="5B43B0E0"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(86.4)</w:t>
            </w:r>
          </w:p>
        </w:tc>
        <w:tc>
          <w:tcPr>
            <w:tcW w:w="1371" w:type="dxa"/>
          </w:tcPr>
          <w:p w14:paraId="63EF149B" w14:textId="4EE56794"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(212.5)</w:t>
            </w:r>
          </w:p>
        </w:tc>
        <w:tc>
          <w:tcPr>
            <w:tcW w:w="1522" w:type="dxa"/>
          </w:tcPr>
          <w:p w14:paraId="65F66914" w14:textId="51C36950" w:rsidR="00DA6694" w:rsidRPr="00F01EC8" w:rsidRDefault="00CC4286" w:rsidP="00AC0A5D">
            <w:pPr>
              <w:jc w:val="right"/>
              <w:rPr>
                <w:rFonts w:asciiTheme="minorHAnsi" w:hAnsiTheme="minorHAnsi" w:cs="Arial"/>
                <w:sz w:val="20"/>
                <w:szCs w:val="20"/>
              </w:rPr>
            </w:pPr>
            <w:r w:rsidRPr="00F01EC8">
              <w:rPr>
                <w:rFonts w:asciiTheme="minorHAnsi" w:hAnsiTheme="minorHAnsi" w:cs="Arial"/>
                <w:sz w:val="20"/>
                <w:szCs w:val="20"/>
              </w:rPr>
              <w:t>(452.7)</w:t>
            </w:r>
          </w:p>
        </w:tc>
      </w:tr>
      <w:tr w:rsidR="00CC4286" w:rsidRPr="00F01EC8" w14:paraId="292FCB25" w14:textId="77777777" w:rsidTr="00CC4286">
        <w:tc>
          <w:tcPr>
            <w:tcW w:w="4536" w:type="dxa"/>
            <w:vAlign w:val="bottom"/>
          </w:tcPr>
          <w:p w14:paraId="1FD74C00"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Moneybarn</w:t>
            </w:r>
          </w:p>
        </w:tc>
        <w:tc>
          <w:tcPr>
            <w:tcW w:w="1123" w:type="dxa"/>
            <w:vAlign w:val="bottom"/>
          </w:tcPr>
          <w:p w14:paraId="218B722B" w14:textId="0D20C750"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(9.9)</w:t>
            </w:r>
          </w:p>
        </w:tc>
        <w:tc>
          <w:tcPr>
            <w:tcW w:w="1371" w:type="dxa"/>
            <w:vAlign w:val="bottom"/>
          </w:tcPr>
          <w:p w14:paraId="7DA7B11C" w14:textId="7FBACEDB" w:rsidR="00DA6694" w:rsidRPr="00F01EC8" w:rsidRDefault="006B7C21" w:rsidP="003D64D3">
            <w:pPr>
              <w:jc w:val="right"/>
              <w:rPr>
                <w:rFonts w:asciiTheme="minorHAnsi" w:hAnsiTheme="minorHAnsi" w:cs="Arial"/>
                <w:sz w:val="20"/>
                <w:szCs w:val="20"/>
              </w:rPr>
            </w:pPr>
            <w:r w:rsidRPr="00F01EC8">
              <w:rPr>
                <w:rFonts w:asciiTheme="minorHAnsi" w:hAnsiTheme="minorHAnsi" w:cs="Arial"/>
                <w:sz w:val="20"/>
                <w:szCs w:val="20"/>
              </w:rPr>
              <w:t>(32.</w:t>
            </w:r>
            <w:r w:rsidR="003D64D3" w:rsidRPr="00F01EC8">
              <w:rPr>
                <w:rFonts w:asciiTheme="minorHAnsi" w:hAnsiTheme="minorHAnsi" w:cs="Arial"/>
                <w:sz w:val="20"/>
                <w:szCs w:val="20"/>
              </w:rPr>
              <w:t>1</w:t>
            </w:r>
            <w:r w:rsidRPr="00F01EC8">
              <w:rPr>
                <w:rFonts w:asciiTheme="minorHAnsi" w:hAnsiTheme="minorHAnsi" w:cs="Arial"/>
                <w:sz w:val="20"/>
                <w:szCs w:val="20"/>
              </w:rPr>
              <w:t>)</w:t>
            </w:r>
          </w:p>
        </w:tc>
        <w:tc>
          <w:tcPr>
            <w:tcW w:w="1371" w:type="dxa"/>
          </w:tcPr>
          <w:p w14:paraId="2542890B" w14:textId="15E6C592"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(80.3)</w:t>
            </w:r>
          </w:p>
        </w:tc>
        <w:tc>
          <w:tcPr>
            <w:tcW w:w="1522" w:type="dxa"/>
          </w:tcPr>
          <w:p w14:paraId="049026DE" w14:textId="2B12D28F" w:rsidR="00DA6694" w:rsidRPr="00F01EC8" w:rsidRDefault="006B7C21" w:rsidP="003D64D3">
            <w:pPr>
              <w:jc w:val="right"/>
              <w:rPr>
                <w:rFonts w:asciiTheme="minorHAnsi" w:hAnsiTheme="minorHAnsi" w:cs="Arial"/>
                <w:sz w:val="20"/>
                <w:szCs w:val="20"/>
              </w:rPr>
            </w:pPr>
            <w:r w:rsidRPr="00F01EC8">
              <w:rPr>
                <w:rFonts w:asciiTheme="minorHAnsi" w:hAnsiTheme="minorHAnsi" w:cs="Arial"/>
                <w:sz w:val="20"/>
                <w:szCs w:val="20"/>
              </w:rPr>
              <w:t>(122.</w:t>
            </w:r>
            <w:r w:rsidR="003D64D3" w:rsidRPr="00F01EC8">
              <w:rPr>
                <w:rFonts w:asciiTheme="minorHAnsi" w:hAnsiTheme="minorHAnsi" w:cs="Arial"/>
                <w:sz w:val="20"/>
                <w:szCs w:val="20"/>
              </w:rPr>
              <w:t>3</w:t>
            </w:r>
            <w:r w:rsidRPr="00F01EC8">
              <w:rPr>
                <w:rFonts w:asciiTheme="minorHAnsi" w:hAnsiTheme="minorHAnsi" w:cs="Arial"/>
                <w:sz w:val="20"/>
                <w:szCs w:val="20"/>
              </w:rPr>
              <w:t>)</w:t>
            </w:r>
          </w:p>
        </w:tc>
      </w:tr>
      <w:tr w:rsidR="00CC4286" w:rsidRPr="00F01EC8" w14:paraId="2785ABB9" w14:textId="77777777" w:rsidTr="00CC4286">
        <w:tc>
          <w:tcPr>
            <w:tcW w:w="4536" w:type="dxa"/>
            <w:vAlign w:val="bottom"/>
          </w:tcPr>
          <w:p w14:paraId="299122A2"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123" w:type="dxa"/>
            <w:vAlign w:val="bottom"/>
          </w:tcPr>
          <w:p w14:paraId="3FEA72AC" w14:textId="24AED19C"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(3.4)</w:t>
            </w:r>
          </w:p>
        </w:tc>
        <w:tc>
          <w:tcPr>
            <w:tcW w:w="1371" w:type="dxa"/>
            <w:vAlign w:val="bottom"/>
          </w:tcPr>
          <w:p w14:paraId="203E17D0" w14:textId="61AC1F6B"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(5.2)</w:t>
            </w:r>
          </w:p>
        </w:tc>
        <w:tc>
          <w:tcPr>
            <w:tcW w:w="1371" w:type="dxa"/>
          </w:tcPr>
          <w:p w14:paraId="09244C8D" w14:textId="233E2C3B"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(360.9)</w:t>
            </w:r>
          </w:p>
        </w:tc>
        <w:tc>
          <w:tcPr>
            <w:tcW w:w="1522" w:type="dxa"/>
          </w:tcPr>
          <w:p w14:paraId="5099635C" w14:textId="4357E227"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(369.5</w:t>
            </w:r>
            <w:r w:rsidR="00DC636F" w:rsidRPr="00F01EC8">
              <w:rPr>
                <w:rFonts w:asciiTheme="minorHAnsi" w:hAnsiTheme="minorHAnsi" w:cs="Arial"/>
                <w:sz w:val="20"/>
                <w:szCs w:val="20"/>
              </w:rPr>
              <w:t>)</w:t>
            </w:r>
          </w:p>
        </w:tc>
      </w:tr>
      <w:tr w:rsidR="00CC4286" w:rsidRPr="00F01EC8" w14:paraId="23E76CC7" w14:textId="77777777" w:rsidTr="00CC4286">
        <w:tc>
          <w:tcPr>
            <w:tcW w:w="4536" w:type="dxa"/>
            <w:vAlign w:val="bottom"/>
          </w:tcPr>
          <w:p w14:paraId="4E198FE1" w14:textId="2E02EFF3"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123" w:type="dxa"/>
            <w:tcBorders>
              <w:top w:val="single" w:sz="4" w:space="0" w:color="auto"/>
              <w:left w:val="nil"/>
              <w:bottom w:val="single" w:sz="12" w:space="0" w:color="auto"/>
              <w:right w:val="nil"/>
            </w:tcBorders>
            <w:vAlign w:val="bottom"/>
          </w:tcPr>
          <w:p w14:paraId="45B18301" w14:textId="6D9016E1"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(167.1</w:t>
            </w:r>
            <w:r w:rsidR="00CC4286" w:rsidRPr="00F01EC8">
              <w:rPr>
                <w:rFonts w:asciiTheme="minorHAnsi" w:hAnsiTheme="minorHAnsi" w:cs="Arial"/>
                <w:sz w:val="20"/>
                <w:szCs w:val="20"/>
              </w:rPr>
              <w:t>)</w:t>
            </w:r>
          </w:p>
        </w:tc>
        <w:tc>
          <w:tcPr>
            <w:tcW w:w="1371" w:type="dxa"/>
            <w:tcBorders>
              <w:top w:val="single" w:sz="4" w:space="0" w:color="auto"/>
              <w:left w:val="nil"/>
              <w:bottom w:val="single" w:sz="12" w:space="0" w:color="auto"/>
              <w:right w:val="nil"/>
            </w:tcBorders>
            <w:vAlign w:val="bottom"/>
          </w:tcPr>
          <w:p w14:paraId="45FB9627" w14:textId="3620C4DC"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(123.7</w:t>
            </w:r>
            <w:r w:rsidR="00CC4286" w:rsidRPr="00F01EC8">
              <w:rPr>
                <w:rFonts w:asciiTheme="minorHAnsi" w:hAnsiTheme="minorHAnsi" w:cs="Arial"/>
                <w:sz w:val="20"/>
                <w:szCs w:val="20"/>
              </w:rPr>
              <w:t>)</w:t>
            </w:r>
          </w:p>
        </w:tc>
        <w:tc>
          <w:tcPr>
            <w:tcW w:w="1371" w:type="dxa"/>
            <w:tcBorders>
              <w:top w:val="single" w:sz="4" w:space="0" w:color="auto"/>
              <w:left w:val="nil"/>
              <w:bottom w:val="single" w:sz="12" w:space="0" w:color="auto"/>
              <w:right w:val="nil"/>
            </w:tcBorders>
          </w:tcPr>
          <w:p w14:paraId="5FBC395F" w14:textId="32968EC8"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(653.7</w:t>
            </w:r>
            <w:r w:rsidR="00CC4286" w:rsidRPr="00F01EC8">
              <w:rPr>
                <w:rFonts w:asciiTheme="minorHAnsi" w:hAnsiTheme="minorHAnsi" w:cs="Arial"/>
                <w:sz w:val="20"/>
                <w:szCs w:val="20"/>
              </w:rPr>
              <w:t>)</w:t>
            </w:r>
          </w:p>
        </w:tc>
        <w:tc>
          <w:tcPr>
            <w:tcW w:w="1522" w:type="dxa"/>
            <w:tcBorders>
              <w:top w:val="single" w:sz="4" w:space="0" w:color="auto"/>
              <w:left w:val="nil"/>
              <w:bottom w:val="single" w:sz="12" w:space="0" w:color="auto"/>
              <w:right w:val="nil"/>
            </w:tcBorders>
          </w:tcPr>
          <w:p w14:paraId="52F1DE3B" w14:textId="25DD0233"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(944.5</w:t>
            </w:r>
            <w:r w:rsidR="00CC4286" w:rsidRPr="00F01EC8">
              <w:rPr>
                <w:rFonts w:asciiTheme="minorHAnsi" w:hAnsiTheme="minorHAnsi" w:cs="Arial"/>
                <w:sz w:val="20"/>
                <w:szCs w:val="20"/>
              </w:rPr>
              <w:t>)</w:t>
            </w:r>
          </w:p>
        </w:tc>
      </w:tr>
    </w:tbl>
    <w:p w14:paraId="0044E4FD"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ayout w:type="fixed"/>
        <w:tblLook w:val="0000" w:firstRow="0" w:lastRow="0" w:firstColumn="0" w:lastColumn="0" w:noHBand="0" w:noVBand="0"/>
      </w:tblPr>
      <w:tblGrid>
        <w:gridCol w:w="4536"/>
        <w:gridCol w:w="1193"/>
        <w:gridCol w:w="1359"/>
        <w:gridCol w:w="1359"/>
        <w:gridCol w:w="1476"/>
      </w:tblGrid>
      <w:tr w:rsidR="00CC4286" w:rsidRPr="00F01EC8" w14:paraId="6570AC39" w14:textId="77777777" w:rsidTr="00FB2FF4">
        <w:tc>
          <w:tcPr>
            <w:tcW w:w="4536" w:type="dxa"/>
          </w:tcPr>
          <w:p w14:paraId="6745BDE6"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Net receivables</w:t>
            </w:r>
          </w:p>
        </w:tc>
        <w:tc>
          <w:tcPr>
            <w:tcW w:w="1193" w:type="dxa"/>
            <w:vAlign w:val="bottom"/>
          </w:tcPr>
          <w:p w14:paraId="7992FEE3" w14:textId="6DA9600B" w:rsidR="00DA6694" w:rsidRPr="00F01EC8" w:rsidRDefault="00DA6694" w:rsidP="00AC0A5D">
            <w:pPr>
              <w:jc w:val="right"/>
              <w:rPr>
                <w:rFonts w:asciiTheme="minorHAnsi" w:hAnsiTheme="minorHAnsi" w:cs="Arial"/>
                <w:sz w:val="20"/>
                <w:szCs w:val="20"/>
              </w:rPr>
            </w:pPr>
          </w:p>
        </w:tc>
        <w:tc>
          <w:tcPr>
            <w:tcW w:w="1359" w:type="dxa"/>
            <w:vAlign w:val="bottom"/>
          </w:tcPr>
          <w:p w14:paraId="17493E9B" w14:textId="77777777" w:rsidR="00DA6694" w:rsidRPr="00F01EC8" w:rsidRDefault="00DA6694" w:rsidP="00AC0A5D">
            <w:pPr>
              <w:jc w:val="right"/>
              <w:rPr>
                <w:rFonts w:asciiTheme="minorHAnsi" w:hAnsiTheme="minorHAnsi" w:cs="Arial"/>
                <w:sz w:val="20"/>
                <w:szCs w:val="20"/>
              </w:rPr>
            </w:pPr>
          </w:p>
        </w:tc>
        <w:tc>
          <w:tcPr>
            <w:tcW w:w="1359" w:type="dxa"/>
          </w:tcPr>
          <w:p w14:paraId="6FF388C3" w14:textId="77777777" w:rsidR="00DA6694" w:rsidRPr="00F01EC8" w:rsidRDefault="00DA6694" w:rsidP="00AC0A5D">
            <w:pPr>
              <w:jc w:val="right"/>
              <w:rPr>
                <w:rFonts w:asciiTheme="minorHAnsi" w:hAnsiTheme="minorHAnsi" w:cs="Arial"/>
                <w:sz w:val="20"/>
                <w:szCs w:val="20"/>
              </w:rPr>
            </w:pPr>
          </w:p>
        </w:tc>
        <w:tc>
          <w:tcPr>
            <w:tcW w:w="1476" w:type="dxa"/>
          </w:tcPr>
          <w:p w14:paraId="6CD2937A" w14:textId="77777777" w:rsidR="00DA6694" w:rsidRPr="00F01EC8" w:rsidRDefault="00DA6694" w:rsidP="00AC0A5D">
            <w:pPr>
              <w:jc w:val="right"/>
              <w:rPr>
                <w:rFonts w:asciiTheme="minorHAnsi" w:hAnsiTheme="minorHAnsi" w:cs="Arial"/>
                <w:sz w:val="20"/>
                <w:szCs w:val="20"/>
              </w:rPr>
            </w:pPr>
          </w:p>
        </w:tc>
      </w:tr>
      <w:tr w:rsidR="00CC4286" w:rsidRPr="00F01EC8" w14:paraId="3BE44884" w14:textId="77777777" w:rsidTr="00FB2FF4">
        <w:tc>
          <w:tcPr>
            <w:tcW w:w="4536" w:type="dxa"/>
            <w:vAlign w:val="bottom"/>
          </w:tcPr>
          <w:p w14:paraId="2E8BFF1E" w14:textId="77777777" w:rsidR="00CC4286" w:rsidRPr="00F01EC8" w:rsidRDefault="00CC4286" w:rsidP="00CC4286">
            <w:pPr>
              <w:rPr>
                <w:rFonts w:asciiTheme="minorHAnsi" w:hAnsiTheme="minorHAnsi" w:cs="Arial"/>
                <w:sz w:val="20"/>
                <w:szCs w:val="20"/>
              </w:rPr>
            </w:pPr>
            <w:r w:rsidRPr="00F01EC8">
              <w:rPr>
                <w:rFonts w:asciiTheme="minorHAnsi" w:hAnsiTheme="minorHAnsi" w:cs="Arial"/>
                <w:sz w:val="20"/>
                <w:szCs w:val="20"/>
              </w:rPr>
              <w:t>Vanquis Bank</w:t>
            </w:r>
          </w:p>
        </w:tc>
        <w:tc>
          <w:tcPr>
            <w:tcW w:w="1193" w:type="dxa"/>
            <w:vAlign w:val="bottom"/>
          </w:tcPr>
          <w:p w14:paraId="4BC6F7C4" w14:textId="47860E2A" w:rsidR="00CC4286" w:rsidRPr="00F01EC8" w:rsidRDefault="00CC4286" w:rsidP="00CC4286">
            <w:pPr>
              <w:jc w:val="right"/>
              <w:rPr>
                <w:rFonts w:asciiTheme="minorHAnsi" w:hAnsiTheme="minorHAnsi" w:cs="Arial"/>
                <w:sz w:val="20"/>
                <w:szCs w:val="20"/>
              </w:rPr>
            </w:pPr>
            <w:r w:rsidRPr="00F01EC8">
              <w:rPr>
                <w:rFonts w:asciiTheme="minorHAnsi" w:hAnsiTheme="minorHAnsi" w:cs="Arial"/>
                <w:sz w:val="20"/>
                <w:szCs w:val="20"/>
              </w:rPr>
              <w:t>985.2</w:t>
            </w:r>
          </w:p>
        </w:tc>
        <w:tc>
          <w:tcPr>
            <w:tcW w:w="1359" w:type="dxa"/>
            <w:vAlign w:val="bottom"/>
          </w:tcPr>
          <w:p w14:paraId="2B1BFA30" w14:textId="7CDA4595" w:rsidR="00CC4286" w:rsidRPr="00F01EC8" w:rsidRDefault="00CC4286" w:rsidP="00CC4286">
            <w:pPr>
              <w:jc w:val="right"/>
              <w:rPr>
                <w:rFonts w:asciiTheme="minorHAnsi" w:hAnsiTheme="minorHAnsi" w:cs="Arial"/>
                <w:sz w:val="20"/>
                <w:szCs w:val="20"/>
              </w:rPr>
            </w:pPr>
            <w:r w:rsidRPr="00F01EC8">
              <w:rPr>
                <w:rFonts w:asciiTheme="minorHAnsi" w:hAnsiTheme="minorHAnsi" w:cs="Arial"/>
                <w:sz w:val="20"/>
                <w:szCs w:val="20"/>
              </w:rPr>
              <w:t>78.8</w:t>
            </w:r>
          </w:p>
        </w:tc>
        <w:tc>
          <w:tcPr>
            <w:tcW w:w="1359" w:type="dxa"/>
          </w:tcPr>
          <w:p w14:paraId="6B59D110" w14:textId="5CAC6DA6" w:rsidR="00CC4286" w:rsidRPr="00F01EC8" w:rsidRDefault="00CC4286" w:rsidP="00CC4286">
            <w:pPr>
              <w:jc w:val="right"/>
              <w:rPr>
                <w:rFonts w:asciiTheme="minorHAnsi" w:hAnsiTheme="minorHAnsi" w:cs="Arial"/>
                <w:sz w:val="20"/>
                <w:szCs w:val="20"/>
              </w:rPr>
            </w:pPr>
            <w:r w:rsidRPr="00F01EC8">
              <w:rPr>
                <w:rFonts w:asciiTheme="minorHAnsi" w:hAnsiTheme="minorHAnsi" w:cs="Arial"/>
                <w:sz w:val="20"/>
                <w:szCs w:val="20"/>
              </w:rPr>
              <w:t>138.1</w:t>
            </w:r>
          </w:p>
        </w:tc>
        <w:tc>
          <w:tcPr>
            <w:tcW w:w="1476" w:type="dxa"/>
          </w:tcPr>
          <w:p w14:paraId="6FB6338B" w14:textId="5DF75158" w:rsidR="00CC4286" w:rsidRPr="00F01EC8" w:rsidRDefault="00CC4286" w:rsidP="00CC4286">
            <w:pPr>
              <w:jc w:val="right"/>
              <w:rPr>
                <w:rFonts w:asciiTheme="minorHAnsi" w:hAnsiTheme="minorHAnsi" w:cs="Arial"/>
                <w:sz w:val="20"/>
                <w:szCs w:val="20"/>
              </w:rPr>
            </w:pPr>
            <w:r w:rsidRPr="00F01EC8">
              <w:rPr>
                <w:rFonts w:asciiTheme="minorHAnsi" w:hAnsiTheme="minorHAnsi" w:cs="Arial"/>
                <w:sz w:val="20"/>
                <w:szCs w:val="20"/>
              </w:rPr>
              <w:t>1,202.1</w:t>
            </w:r>
          </w:p>
        </w:tc>
      </w:tr>
      <w:tr w:rsidR="00CC4286" w:rsidRPr="00F01EC8" w14:paraId="0B468818" w14:textId="77777777" w:rsidTr="00FB2FF4">
        <w:tc>
          <w:tcPr>
            <w:tcW w:w="4536" w:type="dxa"/>
            <w:vAlign w:val="bottom"/>
          </w:tcPr>
          <w:p w14:paraId="3FBED4E2" w14:textId="77777777" w:rsidR="00CC4286" w:rsidRPr="00F01EC8" w:rsidRDefault="00CC4286" w:rsidP="00CC4286">
            <w:pPr>
              <w:rPr>
                <w:rFonts w:asciiTheme="minorHAnsi" w:hAnsiTheme="minorHAnsi" w:cs="Arial"/>
                <w:sz w:val="20"/>
                <w:szCs w:val="20"/>
              </w:rPr>
            </w:pPr>
            <w:r w:rsidRPr="00F01EC8">
              <w:rPr>
                <w:rFonts w:asciiTheme="minorHAnsi" w:hAnsiTheme="minorHAnsi" w:cs="Arial"/>
                <w:sz w:val="20"/>
                <w:szCs w:val="20"/>
              </w:rPr>
              <w:t>Moneybarn</w:t>
            </w:r>
          </w:p>
        </w:tc>
        <w:tc>
          <w:tcPr>
            <w:tcW w:w="1193" w:type="dxa"/>
            <w:vAlign w:val="bottom"/>
          </w:tcPr>
          <w:p w14:paraId="16F9AF48" w14:textId="56223146" w:rsidR="00CC4286" w:rsidRPr="00F01EC8" w:rsidRDefault="003D64D3" w:rsidP="00CC4286">
            <w:pPr>
              <w:jc w:val="right"/>
              <w:rPr>
                <w:rFonts w:asciiTheme="minorHAnsi" w:hAnsiTheme="minorHAnsi" w:cs="Arial"/>
                <w:sz w:val="20"/>
                <w:szCs w:val="20"/>
              </w:rPr>
            </w:pPr>
            <w:r w:rsidRPr="00F01EC8">
              <w:rPr>
                <w:rFonts w:asciiTheme="minorHAnsi" w:hAnsiTheme="minorHAnsi" w:cs="Arial"/>
                <w:sz w:val="20"/>
                <w:szCs w:val="20"/>
              </w:rPr>
              <w:t>357.6</w:t>
            </w:r>
          </w:p>
        </w:tc>
        <w:tc>
          <w:tcPr>
            <w:tcW w:w="1359" w:type="dxa"/>
            <w:vAlign w:val="bottom"/>
          </w:tcPr>
          <w:p w14:paraId="03C61415" w14:textId="4BD54950" w:rsidR="00CC4286" w:rsidRPr="00F01EC8" w:rsidRDefault="003D64D3" w:rsidP="00CC4286">
            <w:pPr>
              <w:jc w:val="right"/>
              <w:rPr>
                <w:rFonts w:asciiTheme="minorHAnsi" w:hAnsiTheme="minorHAnsi" w:cs="Arial"/>
                <w:sz w:val="20"/>
                <w:szCs w:val="20"/>
              </w:rPr>
            </w:pPr>
            <w:r w:rsidRPr="00F01EC8">
              <w:rPr>
                <w:rFonts w:asciiTheme="minorHAnsi" w:hAnsiTheme="minorHAnsi" w:cs="Arial"/>
                <w:sz w:val="20"/>
                <w:szCs w:val="20"/>
              </w:rPr>
              <w:t>123.5</w:t>
            </w:r>
          </w:p>
        </w:tc>
        <w:tc>
          <w:tcPr>
            <w:tcW w:w="1359" w:type="dxa"/>
          </w:tcPr>
          <w:p w14:paraId="60FD2293" w14:textId="66DF4C0D" w:rsidR="00CC4286" w:rsidRPr="00F01EC8" w:rsidRDefault="006B7C21" w:rsidP="00CC4286">
            <w:pPr>
              <w:jc w:val="right"/>
              <w:rPr>
                <w:rFonts w:asciiTheme="minorHAnsi" w:hAnsiTheme="minorHAnsi" w:cs="Arial"/>
                <w:sz w:val="20"/>
                <w:szCs w:val="20"/>
              </w:rPr>
            </w:pPr>
            <w:r w:rsidRPr="00F01EC8">
              <w:rPr>
                <w:rFonts w:asciiTheme="minorHAnsi" w:hAnsiTheme="minorHAnsi" w:cs="Arial"/>
                <w:sz w:val="20"/>
                <w:szCs w:val="20"/>
              </w:rPr>
              <w:t>48.3</w:t>
            </w:r>
          </w:p>
        </w:tc>
        <w:tc>
          <w:tcPr>
            <w:tcW w:w="1476" w:type="dxa"/>
          </w:tcPr>
          <w:p w14:paraId="6A243D0A" w14:textId="1F7583D6" w:rsidR="00CC4286" w:rsidRPr="00F01EC8" w:rsidRDefault="006B7C21" w:rsidP="00CC4286">
            <w:pPr>
              <w:jc w:val="right"/>
              <w:rPr>
                <w:rFonts w:asciiTheme="minorHAnsi" w:hAnsiTheme="minorHAnsi" w:cs="Arial"/>
                <w:sz w:val="20"/>
                <w:szCs w:val="20"/>
              </w:rPr>
            </w:pPr>
            <w:r w:rsidRPr="00F01EC8">
              <w:rPr>
                <w:rFonts w:asciiTheme="minorHAnsi" w:hAnsiTheme="minorHAnsi" w:cs="Arial"/>
                <w:sz w:val="20"/>
                <w:szCs w:val="20"/>
              </w:rPr>
              <w:t>529.4</w:t>
            </w:r>
          </w:p>
        </w:tc>
      </w:tr>
      <w:tr w:rsidR="00CC4286" w:rsidRPr="00F01EC8" w14:paraId="53A961A5" w14:textId="77777777" w:rsidTr="00FB2FF4">
        <w:tc>
          <w:tcPr>
            <w:tcW w:w="4536" w:type="dxa"/>
            <w:vAlign w:val="bottom"/>
          </w:tcPr>
          <w:p w14:paraId="2BDFC3EE"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193" w:type="dxa"/>
            <w:vAlign w:val="bottom"/>
          </w:tcPr>
          <w:p w14:paraId="426C58AD" w14:textId="56C48623"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64</w:t>
            </w:r>
            <w:r w:rsidR="00CC4286" w:rsidRPr="00F01EC8">
              <w:rPr>
                <w:rFonts w:asciiTheme="minorHAnsi" w:hAnsiTheme="minorHAnsi" w:cs="Arial"/>
                <w:sz w:val="20"/>
                <w:szCs w:val="20"/>
              </w:rPr>
              <w:t>.8</w:t>
            </w:r>
          </w:p>
        </w:tc>
        <w:tc>
          <w:tcPr>
            <w:tcW w:w="1359" w:type="dxa"/>
            <w:vAlign w:val="bottom"/>
          </w:tcPr>
          <w:p w14:paraId="5192CF2C" w14:textId="4C5AD04B"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17.7</w:t>
            </w:r>
          </w:p>
        </w:tc>
        <w:tc>
          <w:tcPr>
            <w:tcW w:w="1359" w:type="dxa"/>
          </w:tcPr>
          <w:p w14:paraId="08229B29" w14:textId="52F5B672"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64.4</w:t>
            </w:r>
          </w:p>
        </w:tc>
        <w:tc>
          <w:tcPr>
            <w:tcW w:w="1476" w:type="dxa"/>
          </w:tcPr>
          <w:p w14:paraId="32A73502" w14:textId="37650E27"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146.9</w:t>
            </w:r>
          </w:p>
        </w:tc>
      </w:tr>
      <w:tr w:rsidR="00CC4286" w:rsidRPr="00F01EC8" w14:paraId="5A71A934" w14:textId="77777777" w:rsidTr="00FB2FF4">
        <w:tc>
          <w:tcPr>
            <w:tcW w:w="4536" w:type="dxa"/>
            <w:tcBorders>
              <w:bottom w:val="nil"/>
            </w:tcBorders>
            <w:vAlign w:val="bottom"/>
          </w:tcPr>
          <w:p w14:paraId="2413E191" w14:textId="65D8A233"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193" w:type="dxa"/>
            <w:tcBorders>
              <w:top w:val="single" w:sz="4" w:space="0" w:color="auto"/>
              <w:left w:val="nil"/>
              <w:bottom w:val="single" w:sz="12" w:space="0" w:color="auto"/>
              <w:right w:val="nil"/>
            </w:tcBorders>
            <w:vAlign w:val="bottom"/>
          </w:tcPr>
          <w:p w14:paraId="29C13D5C" w14:textId="3738EA35"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1,407.6</w:t>
            </w:r>
          </w:p>
        </w:tc>
        <w:tc>
          <w:tcPr>
            <w:tcW w:w="1359" w:type="dxa"/>
            <w:tcBorders>
              <w:top w:val="single" w:sz="4" w:space="0" w:color="auto"/>
              <w:left w:val="nil"/>
              <w:bottom w:val="single" w:sz="12" w:space="0" w:color="auto"/>
              <w:right w:val="nil"/>
            </w:tcBorders>
            <w:vAlign w:val="bottom"/>
          </w:tcPr>
          <w:p w14:paraId="755BC969" w14:textId="36BE3240" w:rsidR="00DA6694" w:rsidRPr="00F01EC8" w:rsidRDefault="003D64D3" w:rsidP="00AC0A5D">
            <w:pPr>
              <w:jc w:val="right"/>
              <w:rPr>
                <w:rFonts w:asciiTheme="minorHAnsi" w:hAnsiTheme="minorHAnsi" w:cs="Arial"/>
                <w:sz w:val="20"/>
                <w:szCs w:val="20"/>
              </w:rPr>
            </w:pPr>
            <w:r w:rsidRPr="00F01EC8">
              <w:rPr>
                <w:rFonts w:asciiTheme="minorHAnsi" w:hAnsiTheme="minorHAnsi" w:cs="Arial"/>
                <w:sz w:val="20"/>
                <w:szCs w:val="20"/>
              </w:rPr>
              <w:t>220.0</w:t>
            </w:r>
          </w:p>
        </w:tc>
        <w:tc>
          <w:tcPr>
            <w:tcW w:w="1359" w:type="dxa"/>
            <w:tcBorders>
              <w:top w:val="single" w:sz="4" w:space="0" w:color="auto"/>
              <w:left w:val="nil"/>
              <w:bottom w:val="single" w:sz="12" w:space="0" w:color="auto"/>
              <w:right w:val="nil"/>
            </w:tcBorders>
          </w:tcPr>
          <w:p w14:paraId="5D4ABCED" w14:textId="10D3D7B5"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250.8</w:t>
            </w:r>
          </w:p>
        </w:tc>
        <w:tc>
          <w:tcPr>
            <w:tcW w:w="1476" w:type="dxa"/>
            <w:tcBorders>
              <w:top w:val="single" w:sz="4" w:space="0" w:color="auto"/>
              <w:left w:val="nil"/>
              <w:bottom w:val="single" w:sz="12" w:space="0" w:color="auto"/>
              <w:right w:val="nil"/>
            </w:tcBorders>
          </w:tcPr>
          <w:p w14:paraId="173EACA3" w14:textId="2A070815" w:rsidR="00DA6694" w:rsidRPr="00F01EC8" w:rsidRDefault="006B7C21" w:rsidP="00AC0A5D">
            <w:pPr>
              <w:jc w:val="right"/>
              <w:rPr>
                <w:rFonts w:asciiTheme="minorHAnsi" w:hAnsiTheme="minorHAnsi" w:cs="Arial"/>
                <w:sz w:val="20"/>
                <w:szCs w:val="20"/>
              </w:rPr>
            </w:pPr>
            <w:r w:rsidRPr="00F01EC8">
              <w:rPr>
                <w:rFonts w:asciiTheme="minorHAnsi" w:hAnsiTheme="minorHAnsi" w:cs="Arial"/>
                <w:sz w:val="20"/>
                <w:szCs w:val="20"/>
              </w:rPr>
              <w:t>1,878.4</w:t>
            </w:r>
          </w:p>
        </w:tc>
      </w:tr>
    </w:tbl>
    <w:p w14:paraId="55750E60" w14:textId="09E7269B" w:rsidR="009D39AC" w:rsidRPr="00F01EC8" w:rsidRDefault="009D39AC"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2427FA40" w14:textId="77777777" w:rsidR="00C32E9C" w:rsidRDefault="00677112">
      <w:pPr>
        <w:rPr>
          <w:rFonts w:asciiTheme="minorHAnsi" w:hAnsiTheme="minorHAnsi" w:cs="Arial"/>
          <w:sz w:val="20"/>
          <w:szCs w:val="20"/>
        </w:rPr>
      </w:pPr>
      <w:r w:rsidRPr="00F01EC8">
        <w:rPr>
          <w:rFonts w:asciiTheme="minorHAnsi" w:hAnsiTheme="minorHAnsi" w:cs="Arial"/>
          <w:bCs/>
          <w:sz w:val="20"/>
          <w:szCs w:val="20"/>
        </w:rPr>
        <w:t>An increase of 1% in the gross exposure into stage 2 from stage 1 would result in an increase in the allowance account of £</w:t>
      </w:r>
      <w:r w:rsidR="00711D87" w:rsidRPr="00F01EC8">
        <w:rPr>
          <w:rFonts w:asciiTheme="minorHAnsi" w:hAnsiTheme="minorHAnsi" w:cs="Arial"/>
          <w:bCs/>
          <w:sz w:val="20"/>
          <w:szCs w:val="20"/>
        </w:rPr>
        <w:t>5</w:t>
      </w:r>
      <w:r w:rsidRPr="00F01EC8">
        <w:rPr>
          <w:rFonts w:asciiTheme="minorHAnsi" w:hAnsiTheme="minorHAnsi" w:cs="Arial"/>
          <w:bCs/>
          <w:sz w:val="20"/>
          <w:szCs w:val="20"/>
        </w:rPr>
        <w:t>m (</w:t>
      </w:r>
      <w:r w:rsidRPr="00F01EC8">
        <w:rPr>
          <w:rFonts w:asciiTheme="minorHAnsi" w:hAnsiTheme="minorHAnsi" w:cs="Arial"/>
          <w:sz w:val="20"/>
          <w:szCs w:val="20"/>
        </w:rPr>
        <w:t>31 December 2019: £</w:t>
      </w:r>
      <w:r w:rsidR="00711D87" w:rsidRPr="00F01EC8">
        <w:rPr>
          <w:rFonts w:asciiTheme="minorHAnsi" w:hAnsiTheme="minorHAnsi" w:cs="Arial"/>
          <w:sz w:val="20"/>
          <w:szCs w:val="20"/>
        </w:rPr>
        <w:t>6</w:t>
      </w:r>
      <w:r w:rsidRPr="00F01EC8">
        <w:rPr>
          <w:rFonts w:asciiTheme="minorHAnsi" w:hAnsiTheme="minorHAnsi" w:cs="Arial"/>
          <w:sz w:val="20"/>
          <w:szCs w:val="20"/>
        </w:rPr>
        <w:t>m, 30 June 2019: £</w:t>
      </w:r>
      <w:r w:rsidR="00711D87" w:rsidRPr="00F01EC8">
        <w:rPr>
          <w:rFonts w:asciiTheme="minorHAnsi" w:hAnsiTheme="minorHAnsi" w:cs="Arial"/>
          <w:sz w:val="20"/>
          <w:szCs w:val="20"/>
        </w:rPr>
        <w:t>5</w:t>
      </w:r>
      <w:r w:rsidRPr="00F01EC8">
        <w:rPr>
          <w:rFonts w:asciiTheme="minorHAnsi" w:hAnsiTheme="minorHAnsi" w:cs="Arial"/>
          <w:sz w:val="20"/>
          <w:szCs w:val="20"/>
        </w:rPr>
        <w:t>m)</w:t>
      </w:r>
      <w:r w:rsidR="00711D87" w:rsidRPr="00F01EC8">
        <w:rPr>
          <w:rFonts w:asciiTheme="minorHAnsi" w:hAnsiTheme="minorHAnsi" w:cs="Arial"/>
          <w:sz w:val="20"/>
          <w:szCs w:val="20"/>
        </w:rPr>
        <w:t>.</w:t>
      </w:r>
    </w:p>
    <w:p w14:paraId="33A7DE64" w14:textId="77777777" w:rsidR="00C32E9C" w:rsidRDefault="00C32E9C">
      <w:pPr>
        <w:rPr>
          <w:rFonts w:asciiTheme="minorHAnsi" w:hAnsiTheme="minorHAnsi" w:cs="Arial"/>
          <w:bCs/>
          <w:sz w:val="20"/>
          <w:szCs w:val="20"/>
        </w:rPr>
      </w:pPr>
    </w:p>
    <w:p w14:paraId="160A6783" w14:textId="026437ED" w:rsidR="009D39AC" w:rsidRPr="002303EB" w:rsidRDefault="00C32E9C" w:rsidP="002303EB">
      <w:pPr>
        <w:rPr>
          <w:rFonts w:asciiTheme="minorHAnsi" w:hAnsiTheme="minorHAnsi" w:cs="Arial"/>
          <w:bCs/>
          <w:sz w:val="20"/>
          <w:szCs w:val="20"/>
        </w:rPr>
      </w:pPr>
      <w:r>
        <w:rPr>
          <w:rFonts w:asciiTheme="minorHAnsi" w:hAnsiTheme="minorHAnsi" w:cs="Arial"/>
          <w:bCs/>
          <w:sz w:val="20"/>
          <w:szCs w:val="20"/>
        </w:rPr>
        <w:t xml:space="preserve">A 50% reduction in the Group’s </w:t>
      </w:r>
      <w:r w:rsidR="00427957">
        <w:rPr>
          <w:rFonts w:asciiTheme="minorHAnsi" w:hAnsiTheme="minorHAnsi" w:cs="Arial"/>
          <w:bCs/>
          <w:sz w:val="20"/>
          <w:szCs w:val="20"/>
        </w:rPr>
        <w:t>forecast</w:t>
      </w:r>
      <w:r>
        <w:rPr>
          <w:rFonts w:asciiTheme="minorHAnsi" w:hAnsiTheme="minorHAnsi" w:cs="Arial"/>
          <w:bCs/>
          <w:sz w:val="20"/>
          <w:szCs w:val="20"/>
        </w:rPr>
        <w:t xml:space="preserve"> activation of payment holidays in the second half of the year would have reduced the Group’s</w:t>
      </w:r>
      <w:r w:rsidR="00427957">
        <w:rPr>
          <w:rFonts w:asciiTheme="minorHAnsi" w:hAnsiTheme="minorHAnsi" w:cs="Arial"/>
          <w:bCs/>
          <w:sz w:val="20"/>
          <w:szCs w:val="20"/>
        </w:rPr>
        <w:t xml:space="preserve"> interim</w:t>
      </w:r>
      <w:r>
        <w:rPr>
          <w:rFonts w:asciiTheme="minorHAnsi" w:hAnsiTheme="minorHAnsi" w:cs="Arial"/>
          <w:bCs/>
          <w:sz w:val="20"/>
          <w:szCs w:val="20"/>
        </w:rPr>
        <w:t xml:space="preserve"> impairment charge by c.£30m. </w:t>
      </w:r>
    </w:p>
    <w:p w14:paraId="641161F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ook w:val="0000" w:firstRow="0" w:lastRow="0" w:firstColumn="0" w:lastColumn="0" w:noHBand="0" w:noVBand="0"/>
      </w:tblPr>
      <w:tblGrid>
        <w:gridCol w:w="4536"/>
        <w:gridCol w:w="1276"/>
        <w:gridCol w:w="1276"/>
        <w:gridCol w:w="1276"/>
        <w:gridCol w:w="1559"/>
      </w:tblGrid>
      <w:tr w:rsidR="00DA6694" w:rsidRPr="00F01EC8" w14:paraId="06ACF0D4" w14:textId="77777777" w:rsidTr="00B2187F">
        <w:tc>
          <w:tcPr>
            <w:tcW w:w="4536" w:type="dxa"/>
          </w:tcPr>
          <w:p w14:paraId="06B55497" w14:textId="77777777" w:rsidR="00DA6694" w:rsidRPr="00F01EC8" w:rsidRDefault="00DA6694" w:rsidP="00AC0A5D">
            <w:pPr>
              <w:rPr>
                <w:rFonts w:asciiTheme="minorHAnsi" w:hAnsiTheme="minorHAnsi" w:cs="Arial"/>
                <w:sz w:val="20"/>
                <w:szCs w:val="20"/>
              </w:rPr>
            </w:pPr>
          </w:p>
        </w:tc>
        <w:tc>
          <w:tcPr>
            <w:tcW w:w="5387" w:type="dxa"/>
            <w:gridSpan w:val="4"/>
          </w:tcPr>
          <w:p w14:paraId="757AE4EB" w14:textId="6C4C2B43"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31 December 201</w:t>
            </w:r>
            <w:r w:rsidR="00C703E2" w:rsidRPr="00F01EC8">
              <w:rPr>
                <w:rFonts w:asciiTheme="minorHAnsi" w:hAnsiTheme="minorHAnsi" w:cs="Arial"/>
                <w:sz w:val="20"/>
                <w:szCs w:val="20"/>
              </w:rPr>
              <w:t>9</w:t>
            </w:r>
          </w:p>
        </w:tc>
      </w:tr>
      <w:tr w:rsidR="00DA6694" w:rsidRPr="00F01EC8" w14:paraId="005C285A" w14:textId="77777777" w:rsidTr="00B2187F">
        <w:tc>
          <w:tcPr>
            <w:tcW w:w="4536" w:type="dxa"/>
          </w:tcPr>
          <w:p w14:paraId="339FA665" w14:textId="77777777" w:rsidR="00DA6694" w:rsidRPr="00F01EC8" w:rsidRDefault="00DA6694" w:rsidP="00AC0A5D">
            <w:pPr>
              <w:rPr>
                <w:rFonts w:asciiTheme="minorHAnsi" w:hAnsiTheme="minorHAnsi" w:cs="Arial"/>
                <w:sz w:val="20"/>
                <w:szCs w:val="20"/>
              </w:rPr>
            </w:pPr>
          </w:p>
        </w:tc>
        <w:tc>
          <w:tcPr>
            <w:tcW w:w="1276" w:type="dxa"/>
          </w:tcPr>
          <w:p w14:paraId="0EBF3F1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Stage 1 </w:t>
            </w:r>
          </w:p>
        </w:tc>
        <w:tc>
          <w:tcPr>
            <w:tcW w:w="1276" w:type="dxa"/>
          </w:tcPr>
          <w:p w14:paraId="59E348DD"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Stage 2  </w:t>
            </w:r>
          </w:p>
        </w:tc>
        <w:tc>
          <w:tcPr>
            <w:tcW w:w="1276" w:type="dxa"/>
          </w:tcPr>
          <w:p w14:paraId="7F6F306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Stage 3 </w:t>
            </w:r>
          </w:p>
        </w:tc>
        <w:tc>
          <w:tcPr>
            <w:tcW w:w="1559" w:type="dxa"/>
          </w:tcPr>
          <w:p w14:paraId="67A0013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Total </w:t>
            </w:r>
          </w:p>
        </w:tc>
      </w:tr>
      <w:tr w:rsidR="00DA6694" w:rsidRPr="00F01EC8" w14:paraId="7DF0760C" w14:textId="77777777" w:rsidTr="00B2187F">
        <w:tc>
          <w:tcPr>
            <w:tcW w:w="4536" w:type="dxa"/>
          </w:tcPr>
          <w:p w14:paraId="6A84B818" w14:textId="77777777" w:rsidR="00DA6694" w:rsidRPr="00F01EC8" w:rsidRDefault="00DA6694" w:rsidP="00AC0A5D">
            <w:pPr>
              <w:rPr>
                <w:rFonts w:asciiTheme="minorHAnsi" w:hAnsiTheme="minorHAnsi" w:cs="Arial"/>
                <w:sz w:val="20"/>
                <w:szCs w:val="20"/>
              </w:rPr>
            </w:pPr>
          </w:p>
        </w:tc>
        <w:tc>
          <w:tcPr>
            <w:tcW w:w="1276" w:type="dxa"/>
            <w:tcBorders>
              <w:top w:val="nil"/>
              <w:left w:val="nil"/>
              <w:bottom w:val="single" w:sz="4" w:space="0" w:color="auto"/>
              <w:right w:val="nil"/>
            </w:tcBorders>
          </w:tcPr>
          <w:p w14:paraId="009761C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276" w:type="dxa"/>
            <w:tcBorders>
              <w:top w:val="nil"/>
              <w:left w:val="nil"/>
              <w:bottom w:val="single" w:sz="4" w:space="0" w:color="auto"/>
              <w:right w:val="nil"/>
            </w:tcBorders>
          </w:tcPr>
          <w:p w14:paraId="4A8F47E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276" w:type="dxa"/>
            <w:tcBorders>
              <w:top w:val="nil"/>
              <w:left w:val="nil"/>
              <w:bottom w:val="single" w:sz="4" w:space="0" w:color="auto"/>
              <w:right w:val="nil"/>
            </w:tcBorders>
          </w:tcPr>
          <w:p w14:paraId="75C6CB6D"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559" w:type="dxa"/>
            <w:tcBorders>
              <w:top w:val="nil"/>
              <w:left w:val="nil"/>
              <w:bottom w:val="single" w:sz="4" w:space="0" w:color="auto"/>
              <w:right w:val="nil"/>
            </w:tcBorders>
          </w:tcPr>
          <w:p w14:paraId="6676FDB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761D67AB" w14:textId="77777777" w:rsidTr="00B2187F">
        <w:tc>
          <w:tcPr>
            <w:tcW w:w="4536" w:type="dxa"/>
          </w:tcPr>
          <w:p w14:paraId="0CEDB461"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Gross receivables</w:t>
            </w:r>
          </w:p>
        </w:tc>
        <w:tc>
          <w:tcPr>
            <w:tcW w:w="1276" w:type="dxa"/>
            <w:vAlign w:val="bottom"/>
          </w:tcPr>
          <w:p w14:paraId="162DB732" w14:textId="77777777" w:rsidR="00DA6694" w:rsidRPr="00F01EC8" w:rsidRDefault="00DA6694" w:rsidP="00AC0A5D">
            <w:pPr>
              <w:jc w:val="right"/>
              <w:rPr>
                <w:rFonts w:asciiTheme="minorHAnsi" w:hAnsiTheme="minorHAnsi" w:cs="Arial"/>
                <w:sz w:val="20"/>
                <w:szCs w:val="20"/>
              </w:rPr>
            </w:pPr>
          </w:p>
        </w:tc>
        <w:tc>
          <w:tcPr>
            <w:tcW w:w="1276" w:type="dxa"/>
            <w:vAlign w:val="bottom"/>
          </w:tcPr>
          <w:p w14:paraId="72D9B75A" w14:textId="77777777" w:rsidR="00DA6694" w:rsidRPr="00F01EC8" w:rsidRDefault="00DA6694" w:rsidP="00AC0A5D">
            <w:pPr>
              <w:jc w:val="right"/>
              <w:rPr>
                <w:rFonts w:asciiTheme="minorHAnsi" w:hAnsiTheme="minorHAnsi" w:cs="Arial"/>
                <w:sz w:val="20"/>
                <w:szCs w:val="20"/>
              </w:rPr>
            </w:pPr>
          </w:p>
        </w:tc>
        <w:tc>
          <w:tcPr>
            <w:tcW w:w="1276" w:type="dxa"/>
          </w:tcPr>
          <w:p w14:paraId="255BEEC2" w14:textId="77777777" w:rsidR="00DA6694" w:rsidRPr="00F01EC8" w:rsidRDefault="00DA6694" w:rsidP="00AC0A5D">
            <w:pPr>
              <w:jc w:val="right"/>
              <w:rPr>
                <w:rFonts w:asciiTheme="minorHAnsi" w:hAnsiTheme="minorHAnsi" w:cs="Arial"/>
                <w:sz w:val="20"/>
                <w:szCs w:val="20"/>
              </w:rPr>
            </w:pPr>
          </w:p>
        </w:tc>
        <w:tc>
          <w:tcPr>
            <w:tcW w:w="1559" w:type="dxa"/>
          </w:tcPr>
          <w:p w14:paraId="52E35414" w14:textId="77777777" w:rsidR="00DA6694" w:rsidRPr="00F01EC8" w:rsidRDefault="00DA6694" w:rsidP="00AC0A5D">
            <w:pPr>
              <w:jc w:val="right"/>
              <w:rPr>
                <w:rFonts w:asciiTheme="minorHAnsi" w:hAnsiTheme="minorHAnsi" w:cs="Arial"/>
                <w:sz w:val="20"/>
                <w:szCs w:val="20"/>
              </w:rPr>
            </w:pPr>
          </w:p>
        </w:tc>
      </w:tr>
      <w:tr w:rsidR="00DA6694" w:rsidRPr="00F01EC8" w14:paraId="20F990D0" w14:textId="77777777" w:rsidTr="00B2187F">
        <w:tc>
          <w:tcPr>
            <w:tcW w:w="4536" w:type="dxa"/>
            <w:vAlign w:val="bottom"/>
          </w:tcPr>
          <w:p w14:paraId="611EF43E"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7B8CE8BA" w14:textId="09D81BC3"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367.9</w:t>
            </w:r>
            <w:r w:rsidRPr="00F01EC8">
              <w:rPr>
                <w:rFonts w:asciiTheme="minorHAnsi" w:hAnsiTheme="minorHAnsi" w:cs="Arial"/>
                <w:sz w:val="20"/>
                <w:szCs w:val="20"/>
              </w:rPr>
              <w:t> </w:t>
            </w:r>
          </w:p>
        </w:tc>
        <w:tc>
          <w:tcPr>
            <w:tcW w:w="1276" w:type="dxa"/>
            <w:vAlign w:val="bottom"/>
          </w:tcPr>
          <w:p w14:paraId="67C93196" w14:textId="1C70F5B0"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171.6</w:t>
            </w:r>
            <w:r w:rsidR="00DA6694" w:rsidRPr="00F01EC8">
              <w:rPr>
                <w:rFonts w:asciiTheme="minorHAnsi" w:hAnsiTheme="minorHAnsi" w:cs="Arial"/>
                <w:sz w:val="20"/>
                <w:szCs w:val="20"/>
              </w:rPr>
              <w:t> </w:t>
            </w:r>
          </w:p>
        </w:tc>
        <w:tc>
          <w:tcPr>
            <w:tcW w:w="1276" w:type="dxa"/>
          </w:tcPr>
          <w:p w14:paraId="2C8037D0" w14:textId="348E2B58"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363.6</w:t>
            </w:r>
            <w:r w:rsidR="00DA6694" w:rsidRPr="00F01EC8">
              <w:rPr>
                <w:rFonts w:asciiTheme="minorHAnsi" w:hAnsiTheme="minorHAnsi" w:cs="Arial"/>
                <w:sz w:val="20"/>
                <w:szCs w:val="20"/>
              </w:rPr>
              <w:t> </w:t>
            </w:r>
          </w:p>
        </w:tc>
        <w:tc>
          <w:tcPr>
            <w:tcW w:w="1559" w:type="dxa"/>
          </w:tcPr>
          <w:p w14:paraId="4DE9E4C1" w14:textId="4D21909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903.1</w:t>
            </w:r>
            <w:r w:rsidRPr="00F01EC8">
              <w:rPr>
                <w:rFonts w:asciiTheme="minorHAnsi" w:hAnsiTheme="minorHAnsi" w:cs="Arial"/>
                <w:sz w:val="20"/>
                <w:szCs w:val="20"/>
              </w:rPr>
              <w:t> </w:t>
            </w:r>
          </w:p>
        </w:tc>
      </w:tr>
      <w:tr w:rsidR="00DA6694" w:rsidRPr="00F01EC8" w14:paraId="7529BE3A" w14:textId="77777777" w:rsidTr="00B2187F">
        <w:tc>
          <w:tcPr>
            <w:tcW w:w="4536" w:type="dxa"/>
            <w:vAlign w:val="bottom"/>
          </w:tcPr>
          <w:p w14:paraId="21354718"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Moneybarn</w:t>
            </w:r>
          </w:p>
        </w:tc>
        <w:tc>
          <w:tcPr>
            <w:tcW w:w="1276" w:type="dxa"/>
            <w:vAlign w:val="bottom"/>
          </w:tcPr>
          <w:p w14:paraId="13F51ACB" w14:textId="1BB568A5"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335.4</w:t>
            </w:r>
            <w:r w:rsidR="00DA6694" w:rsidRPr="00F01EC8">
              <w:rPr>
                <w:rFonts w:asciiTheme="minorHAnsi" w:hAnsiTheme="minorHAnsi" w:cs="Arial"/>
                <w:sz w:val="20"/>
                <w:szCs w:val="20"/>
              </w:rPr>
              <w:t> </w:t>
            </w:r>
          </w:p>
        </w:tc>
        <w:tc>
          <w:tcPr>
            <w:tcW w:w="1276" w:type="dxa"/>
            <w:vAlign w:val="bottom"/>
          </w:tcPr>
          <w:p w14:paraId="3D11A4A1" w14:textId="197C4FB8"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188.4</w:t>
            </w:r>
          </w:p>
        </w:tc>
        <w:tc>
          <w:tcPr>
            <w:tcW w:w="1276" w:type="dxa"/>
          </w:tcPr>
          <w:p w14:paraId="68E587E2" w14:textId="510B0E26"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63.0</w:t>
            </w:r>
          </w:p>
        </w:tc>
        <w:tc>
          <w:tcPr>
            <w:tcW w:w="1559" w:type="dxa"/>
          </w:tcPr>
          <w:p w14:paraId="489AC94F" w14:textId="302AAC82"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586.8</w:t>
            </w:r>
          </w:p>
        </w:tc>
      </w:tr>
      <w:tr w:rsidR="00DA6694" w:rsidRPr="00F01EC8" w14:paraId="1BC0A361" w14:textId="77777777" w:rsidTr="00B2187F">
        <w:tc>
          <w:tcPr>
            <w:tcW w:w="4536" w:type="dxa"/>
            <w:vAlign w:val="bottom"/>
          </w:tcPr>
          <w:p w14:paraId="5D73B1CD"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3A78F3B1" w14:textId="7028D5DC"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155.9</w:t>
            </w:r>
            <w:r w:rsidR="00DA6694" w:rsidRPr="00F01EC8">
              <w:rPr>
                <w:rFonts w:asciiTheme="minorHAnsi" w:hAnsiTheme="minorHAnsi" w:cs="Arial"/>
                <w:sz w:val="20"/>
                <w:szCs w:val="20"/>
              </w:rPr>
              <w:t> </w:t>
            </w:r>
          </w:p>
        </w:tc>
        <w:tc>
          <w:tcPr>
            <w:tcW w:w="1276" w:type="dxa"/>
            <w:vAlign w:val="bottom"/>
          </w:tcPr>
          <w:p w14:paraId="4D29AE8F" w14:textId="69A14292"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36.0</w:t>
            </w:r>
          </w:p>
        </w:tc>
        <w:tc>
          <w:tcPr>
            <w:tcW w:w="1276" w:type="dxa"/>
          </w:tcPr>
          <w:p w14:paraId="531A74F2" w14:textId="6A83B95F"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402.0</w:t>
            </w:r>
          </w:p>
        </w:tc>
        <w:tc>
          <w:tcPr>
            <w:tcW w:w="1559" w:type="dxa"/>
          </w:tcPr>
          <w:p w14:paraId="39054F51" w14:textId="5A6B65A6"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593.9</w:t>
            </w:r>
          </w:p>
        </w:tc>
      </w:tr>
      <w:tr w:rsidR="00DA6694" w:rsidRPr="00F01EC8" w14:paraId="023E6453" w14:textId="77777777" w:rsidTr="00B2187F">
        <w:tc>
          <w:tcPr>
            <w:tcW w:w="4536" w:type="dxa"/>
            <w:vAlign w:val="bottom"/>
          </w:tcPr>
          <w:p w14:paraId="4848889E" w14:textId="45784BB4"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nil"/>
              <w:right w:val="nil"/>
            </w:tcBorders>
            <w:vAlign w:val="bottom"/>
          </w:tcPr>
          <w:p w14:paraId="21AE0113" w14:textId="65277FF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DD55B2" w:rsidRPr="00F01EC8">
              <w:rPr>
                <w:rFonts w:asciiTheme="minorHAnsi" w:hAnsiTheme="minorHAnsi" w:cs="Arial"/>
                <w:sz w:val="20"/>
                <w:szCs w:val="20"/>
              </w:rPr>
              <w:t>859.2</w:t>
            </w:r>
            <w:r w:rsidRPr="00F01EC8">
              <w:rPr>
                <w:rFonts w:asciiTheme="minorHAnsi" w:hAnsiTheme="minorHAnsi" w:cs="Arial"/>
                <w:sz w:val="20"/>
                <w:szCs w:val="20"/>
              </w:rPr>
              <w:t> </w:t>
            </w:r>
          </w:p>
        </w:tc>
        <w:tc>
          <w:tcPr>
            <w:tcW w:w="1276" w:type="dxa"/>
            <w:tcBorders>
              <w:top w:val="single" w:sz="4" w:space="0" w:color="auto"/>
              <w:left w:val="nil"/>
              <w:bottom w:val="nil"/>
              <w:right w:val="nil"/>
            </w:tcBorders>
            <w:vAlign w:val="bottom"/>
          </w:tcPr>
          <w:p w14:paraId="2B6BEA0E" w14:textId="3765582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w:t>
            </w:r>
            <w:r w:rsidR="00DD55B2" w:rsidRPr="00F01EC8">
              <w:rPr>
                <w:rFonts w:asciiTheme="minorHAnsi" w:hAnsiTheme="minorHAnsi" w:cs="Arial"/>
                <w:sz w:val="20"/>
                <w:szCs w:val="20"/>
              </w:rPr>
              <w:t>96.0</w:t>
            </w:r>
            <w:r w:rsidRPr="00F01EC8">
              <w:rPr>
                <w:rFonts w:asciiTheme="minorHAnsi" w:hAnsiTheme="minorHAnsi" w:cs="Arial"/>
                <w:sz w:val="20"/>
                <w:szCs w:val="20"/>
              </w:rPr>
              <w:t> </w:t>
            </w:r>
          </w:p>
        </w:tc>
        <w:tc>
          <w:tcPr>
            <w:tcW w:w="1276" w:type="dxa"/>
            <w:tcBorders>
              <w:top w:val="single" w:sz="4" w:space="0" w:color="auto"/>
              <w:left w:val="nil"/>
              <w:bottom w:val="nil"/>
              <w:right w:val="nil"/>
            </w:tcBorders>
          </w:tcPr>
          <w:p w14:paraId="65FEDEBF" w14:textId="45F3FB87" w:rsidR="00DA6694" w:rsidRPr="00F01EC8" w:rsidRDefault="00DD55B2" w:rsidP="00AC0A5D">
            <w:pPr>
              <w:jc w:val="right"/>
              <w:rPr>
                <w:rFonts w:asciiTheme="minorHAnsi" w:hAnsiTheme="minorHAnsi" w:cs="Arial"/>
                <w:sz w:val="20"/>
                <w:szCs w:val="20"/>
              </w:rPr>
            </w:pPr>
            <w:r w:rsidRPr="00F01EC8">
              <w:rPr>
                <w:rFonts w:asciiTheme="minorHAnsi" w:hAnsiTheme="minorHAnsi" w:cs="Arial"/>
                <w:sz w:val="20"/>
                <w:szCs w:val="20"/>
              </w:rPr>
              <w:t>828.6</w:t>
            </w:r>
            <w:r w:rsidR="00DA6694" w:rsidRPr="00F01EC8">
              <w:rPr>
                <w:rFonts w:asciiTheme="minorHAnsi" w:hAnsiTheme="minorHAnsi" w:cs="Arial"/>
                <w:sz w:val="20"/>
                <w:szCs w:val="20"/>
              </w:rPr>
              <w:t> </w:t>
            </w:r>
          </w:p>
        </w:tc>
        <w:tc>
          <w:tcPr>
            <w:tcW w:w="1559" w:type="dxa"/>
            <w:tcBorders>
              <w:top w:val="single" w:sz="4" w:space="0" w:color="auto"/>
              <w:left w:val="nil"/>
              <w:bottom w:val="nil"/>
              <w:right w:val="nil"/>
            </w:tcBorders>
          </w:tcPr>
          <w:p w14:paraId="7DB4200C" w14:textId="3C0553B1"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w:t>
            </w:r>
            <w:r w:rsidR="00DD55B2" w:rsidRPr="00F01EC8">
              <w:rPr>
                <w:rFonts w:asciiTheme="minorHAnsi" w:hAnsiTheme="minorHAnsi" w:cs="Arial"/>
                <w:sz w:val="20"/>
                <w:szCs w:val="20"/>
              </w:rPr>
              <w:t>083.8</w:t>
            </w:r>
            <w:r w:rsidRPr="00F01EC8">
              <w:rPr>
                <w:rFonts w:asciiTheme="minorHAnsi" w:hAnsiTheme="minorHAnsi" w:cs="Arial"/>
                <w:sz w:val="20"/>
                <w:szCs w:val="20"/>
              </w:rPr>
              <w:t> </w:t>
            </w:r>
          </w:p>
        </w:tc>
      </w:tr>
      <w:tr w:rsidR="00DA6694" w:rsidRPr="00F01EC8" w14:paraId="1CF0827A" w14:textId="77777777" w:rsidTr="00B2187F">
        <w:tc>
          <w:tcPr>
            <w:tcW w:w="4536" w:type="dxa"/>
            <w:vAlign w:val="bottom"/>
          </w:tcPr>
          <w:p w14:paraId="2E9B7049" w14:textId="77777777" w:rsidR="00DA6694" w:rsidRPr="00F01EC8" w:rsidRDefault="00DA6694" w:rsidP="00AC0A5D">
            <w:pPr>
              <w:rPr>
                <w:rFonts w:asciiTheme="minorHAnsi" w:hAnsiTheme="minorHAnsi" w:cs="Arial"/>
                <w:sz w:val="20"/>
                <w:szCs w:val="20"/>
              </w:rPr>
            </w:pPr>
          </w:p>
        </w:tc>
        <w:tc>
          <w:tcPr>
            <w:tcW w:w="1276" w:type="dxa"/>
            <w:tcBorders>
              <w:top w:val="single" w:sz="12" w:space="0" w:color="auto"/>
              <w:left w:val="nil"/>
              <w:bottom w:val="nil"/>
              <w:right w:val="nil"/>
            </w:tcBorders>
            <w:vAlign w:val="bottom"/>
          </w:tcPr>
          <w:p w14:paraId="1C2F79D7" w14:textId="77777777" w:rsidR="00DA6694" w:rsidRPr="00F01EC8" w:rsidRDefault="00DA6694" w:rsidP="00AC0A5D">
            <w:pPr>
              <w:jc w:val="right"/>
              <w:rPr>
                <w:rFonts w:asciiTheme="minorHAnsi" w:hAnsiTheme="minorHAnsi" w:cs="Arial"/>
                <w:sz w:val="20"/>
                <w:szCs w:val="20"/>
              </w:rPr>
            </w:pPr>
          </w:p>
        </w:tc>
        <w:tc>
          <w:tcPr>
            <w:tcW w:w="1276" w:type="dxa"/>
            <w:tcBorders>
              <w:top w:val="single" w:sz="12" w:space="0" w:color="auto"/>
              <w:left w:val="nil"/>
              <w:bottom w:val="nil"/>
              <w:right w:val="nil"/>
            </w:tcBorders>
            <w:vAlign w:val="bottom"/>
          </w:tcPr>
          <w:p w14:paraId="6461E500" w14:textId="77777777" w:rsidR="00DA6694" w:rsidRPr="00F01EC8" w:rsidRDefault="00DA6694" w:rsidP="00AC0A5D">
            <w:pPr>
              <w:jc w:val="right"/>
              <w:rPr>
                <w:rFonts w:asciiTheme="minorHAnsi" w:hAnsiTheme="minorHAnsi" w:cs="Arial"/>
                <w:sz w:val="20"/>
                <w:szCs w:val="20"/>
              </w:rPr>
            </w:pPr>
          </w:p>
        </w:tc>
        <w:tc>
          <w:tcPr>
            <w:tcW w:w="1276" w:type="dxa"/>
            <w:tcBorders>
              <w:top w:val="single" w:sz="12" w:space="0" w:color="auto"/>
              <w:left w:val="nil"/>
              <w:bottom w:val="nil"/>
              <w:right w:val="nil"/>
            </w:tcBorders>
          </w:tcPr>
          <w:p w14:paraId="1A9B1E2C" w14:textId="77777777" w:rsidR="00DA6694" w:rsidRPr="00F01EC8" w:rsidRDefault="00DA6694" w:rsidP="00AC0A5D">
            <w:pPr>
              <w:jc w:val="right"/>
              <w:rPr>
                <w:rFonts w:asciiTheme="minorHAnsi" w:hAnsiTheme="minorHAnsi" w:cs="Arial"/>
                <w:sz w:val="20"/>
                <w:szCs w:val="20"/>
              </w:rPr>
            </w:pPr>
          </w:p>
        </w:tc>
        <w:tc>
          <w:tcPr>
            <w:tcW w:w="1559" w:type="dxa"/>
            <w:tcBorders>
              <w:top w:val="single" w:sz="12" w:space="0" w:color="auto"/>
              <w:left w:val="nil"/>
              <w:bottom w:val="nil"/>
              <w:right w:val="nil"/>
            </w:tcBorders>
          </w:tcPr>
          <w:p w14:paraId="4BE14A69" w14:textId="77777777" w:rsidR="00DA6694" w:rsidRPr="00F01EC8" w:rsidRDefault="00DA6694" w:rsidP="00AC0A5D">
            <w:pPr>
              <w:jc w:val="right"/>
              <w:rPr>
                <w:rFonts w:asciiTheme="minorHAnsi" w:hAnsiTheme="minorHAnsi" w:cs="Arial"/>
                <w:sz w:val="20"/>
                <w:szCs w:val="20"/>
              </w:rPr>
            </w:pPr>
          </w:p>
        </w:tc>
      </w:tr>
      <w:tr w:rsidR="00DA6694" w:rsidRPr="00F01EC8" w14:paraId="11E709E6" w14:textId="77777777" w:rsidTr="00B2187F">
        <w:tc>
          <w:tcPr>
            <w:tcW w:w="4536" w:type="dxa"/>
          </w:tcPr>
          <w:p w14:paraId="330D8981"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Allowance account</w:t>
            </w:r>
          </w:p>
        </w:tc>
        <w:tc>
          <w:tcPr>
            <w:tcW w:w="1276" w:type="dxa"/>
            <w:vAlign w:val="bottom"/>
          </w:tcPr>
          <w:p w14:paraId="2960F0B5" w14:textId="77777777" w:rsidR="00DA6694" w:rsidRPr="00F01EC8" w:rsidRDefault="00DA6694" w:rsidP="00AC0A5D">
            <w:pPr>
              <w:jc w:val="right"/>
              <w:rPr>
                <w:rFonts w:asciiTheme="minorHAnsi" w:hAnsiTheme="minorHAnsi" w:cs="Arial"/>
                <w:sz w:val="20"/>
                <w:szCs w:val="20"/>
              </w:rPr>
            </w:pPr>
          </w:p>
        </w:tc>
        <w:tc>
          <w:tcPr>
            <w:tcW w:w="1276" w:type="dxa"/>
            <w:vAlign w:val="bottom"/>
          </w:tcPr>
          <w:p w14:paraId="06FF173D" w14:textId="77777777" w:rsidR="00DA6694" w:rsidRPr="00F01EC8" w:rsidRDefault="00DA6694" w:rsidP="00AC0A5D">
            <w:pPr>
              <w:jc w:val="right"/>
              <w:rPr>
                <w:rFonts w:asciiTheme="minorHAnsi" w:hAnsiTheme="minorHAnsi" w:cs="Arial"/>
                <w:sz w:val="20"/>
                <w:szCs w:val="20"/>
              </w:rPr>
            </w:pPr>
          </w:p>
        </w:tc>
        <w:tc>
          <w:tcPr>
            <w:tcW w:w="1276" w:type="dxa"/>
          </w:tcPr>
          <w:p w14:paraId="032B3D94" w14:textId="77777777" w:rsidR="00DA6694" w:rsidRPr="00F01EC8" w:rsidRDefault="00DA6694" w:rsidP="00AC0A5D">
            <w:pPr>
              <w:jc w:val="right"/>
              <w:rPr>
                <w:rFonts w:asciiTheme="minorHAnsi" w:hAnsiTheme="minorHAnsi" w:cs="Arial"/>
                <w:sz w:val="20"/>
                <w:szCs w:val="20"/>
              </w:rPr>
            </w:pPr>
          </w:p>
        </w:tc>
        <w:tc>
          <w:tcPr>
            <w:tcW w:w="1559" w:type="dxa"/>
          </w:tcPr>
          <w:p w14:paraId="2CE61602" w14:textId="77777777" w:rsidR="00DA6694" w:rsidRPr="00F01EC8" w:rsidRDefault="00DA6694" w:rsidP="00AC0A5D">
            <w:pPr>
              <w:jc w:val="right"/>
              <w:rPr>
                <w:rFonts w:asciiTheme="minorHAnsi" w:hAnsiTheme="minorHAnsi" w:cs="Arial"/>
                <w:sz w:val="20"/>
                <w:szCs w:val="20"/>
              </w:rPr>
            </w:pPr>
          </w:p>
        </w:tc>
      </w:tr>
      <w:tr w:rsidR="00DA6694" w:rsidRPr="00F01EC8" w14:paraId="6E376FC5" w14:textId="77777777" w:rsidTr="00B2187F">
        <w:tc>
          <w:tcPr>
            <w:tcW w:w="4536" w:type="dxa"/>
            <w:vAlign w:val="bottom"/>
          </w:tcPr>
          <w:p w14:paraId="67736563"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510586F1" w14:textId="4CBBFA4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46.6</w:t>
            </w:r>
            <w:r w:rsidRPr="00F01EC8">
              <w:rPr>
                <w:rFonts w:asciiTheme="minorHAnsi" w:hAnsiTheme="minorHAnsi" w:cs="Arial"/>
                <w:sz w:val="20"/>
                <w:szCs w:val="20"/>
              </w:rPr>
              <w:t>)</w:t>
            </w:r>
          </w:p>
        </w:tc>
        <w:tc>
          <w:tcPr>
            <w:tcW w:w="1276" w:type="dxa"/>
            <w:vAlign w:val="bottom"/>
          </w:tcPr>
          <w:p w14:paraId="5C16AEAE" w14:textId="627C39C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1321E7" w:rsidRPr="00F01EC8">
              <w:rPr>
                <w:rFonts w:asciiTheme="minorHAnsi" w:hAnsiTheme="minorHAnsi" w:cs="Arial"/>
                <w:sz w:val="20"/>
                <w:szCs w:val="20"/>
              </w:rPr>
              <w:t>85.2</w:t>
            </w:r>
            <w:r w:rsidRPr="00F01EC8">
              <w:rPr>
                <w:rFonts w:asciiTheme="minorHAnsi" w:hAnsiTheme="minorHAnsi" w:cs="Arial"/>
                <w:sz w:val="20"/>
                <w:szCs w:val="20"/>
              </w:rPr>
              <w:t>)</w:t>
            </w:r>
          </w:p>
        </w:tc>
        <w:tc>
          <w:tcPr>
            <w:tcW w:w="1276" w:type="dxa"/>
          </w:tcPr>
          <w:p w14:paraId="6D382EF6" w14:textId="52C22B1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1321E7" w:rsidRPr="00F01EC8">
              <w:rPr>
                <w:rFonts w:asciiTheme="minorHAnsi" w:hAnsiTheme="minorHAnsi" w:cs="Arial"/>
                <w:sz w:val="20"/>
                <w:szCs w:val="20"/>
              </w:rPr>
              <w:t>09.8</w:t>
            </w:r>
            <w:r w:rsidRPr="00F01EC8">
              <w:rPr>
                <w:rFonts w:asciiTheme="minorHAnsi" w:hAnsiTheme="minorHAnsi" w:cs="Arial"/>
                <w:sz w:val="20"/>
                <w:szCs w:val="20"/>
              </w:rPr>
              <w:t>)</w:t>
            </w:r>
          </w:p>
        </w:tc>
        <w:tc>
          <w:tcPr>
            <w:tcW w:w="1559" w:type="dxa"/>
          </w:tcPr>
          <w:p w14:paraId="1F6E86D6" w14:textId="7DFAEA7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1321E7" w:rsidRPr="00F01EC8">
              <w:rPr>
                <w:rFonts w:asciiTheme="minorHAnsi" w:hAnsiTheme="minorHAnsi" w:cs="Arial"/>
                <w:sz w:val="20"/>
                <w:szCs w:val="20"/>
              </w:rPr>
              <w:t>441.6</w:t>
            </w:r>
            <w:r w:rsidRPr="00F01EC8">
              <w:rPr>
                <w:rFonts w:asciiTheme="minorHAnsi" w:hAnsiTheme="minorHAnsi" w:cs="Arial"/>
                <w:sz w:val="20"/>
                <w:szCs w:val="20"/>
              </w:rPr>
              <w:t>)</w:t>
            </w:r>
          </w:p>
        </w:tc>
      </w:tr>
      <w:tr w:rsidR="00DA6694" w:rsidRPr="00F01EC8" w14:paraId="5B38419C" w14:textId="77777777" w:rsidTr="00B2187F">
        <w:tc>
          <w:tcPr>
            <w:tcW w:w="4536" w:type="dxa"/>
            <w:vAlign w:val="bottom"/>
          </w:tcPr>
          <w:p w14:paraId="5FC7C2F7"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Moneybarn</w:t>
            </w:r>
          </w:p>
        </w:tc>
        <w:tc>
          <w:tcPr>
            <w:tcW w:w="1276" w:type="dxa"/>
            <w:vAlign w:val="bottom"/>
          </w:tcPr>
          <w:p w14:paraId="0D8F54E0" w14:textId="1E02A9E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(9.</w:t>
            </w:r>
            <w:r w:rsidR="001321E7" w:rsidRPr="00F01EC8">
              <w:rPr>
                <w:rFonts w:asciiTheme="minorHAnsi" w:hAnsiTheme="minorHAnsi" w:cs="Arial"/>
                <w:sz w:val="20"/>
                <w:szCs w:val="20"/>
              </w:rPr>
              <w:t>5</w:t>
            </w:r>
            <w:r w:rsidRPr="00F01EC8">
              <w:rPr>
                <w:rFonts w:asciiTheme="minorHAnsi" w:hAnsiTheme="minorHAnsi" w:cs="Arial"/>
                <w:sz w:val="20"/>
                <w:szCs w:val="20"/>
              </w:rPr>
              <w:t>)</w:t>
            </w:r>
          </w:p>
        </w:tc>
        <w:tc>
          <w:tcPr>
            <w:tcW w:w="1276" w:type="dxa"/>
            <w:vAlign w:val="bottom"/>
          </w:tcPr>
          <w:p w14:paraId="4EB7D25E" w14:textId="673D03B8"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1321E7" w:rsidRPr="00F01EC8">
              <w:rPr>
                <w:rFonts w:asciiTheme="minorHAnsi" w:hAnsiTheme="minorHAnsi" w:cs="Arial"/>
                <w:sz w:val="20"/>
                <w:szCs w:val="20"/>
              </w:rPr>
              <w:t>35.8</w:t>
            </w:r>
            <w:r w:rsidRPr="00F01EC8">
              <w:rPr>
                <w:rFonts w:asciiTheme="minorHAnsi" w:hAnsiTheme="minorHAnsi" w:cs="Arial"/>
                <w:sz w:val="20"/>
                <w:szCs w:val="20"/>
              </w:rPr>
              <w:t>)</w:t>
            </w:r>
          </w:p>
        </w:tc>
        <w:tc>
          <w:tcPr>
            <w:tcW w:w="1276" w:type="dxa"/>
          </w:tcPr>
          <w:p w14:paraId="7D0E3470" w14:textId="2AC48CE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1321E7" w:rsidRPr="00F01EC8">
              <w:rPr>
                <w:rFonts w:asciiTheme="minorHAnsi" w:hAnsiTheme="minorHAnsi" w:cs="Arial"/>
                <w:sz w:val="20"/>
                <w:szCs w:val="20"/>
              </w:rPr>
              <w:t>39.4</w:t>
            </w:r>
            <w:r w:rsidRPr="00F01EC8">
              <w:rPr>
                <w:rFonts w:asciiTheme="minorHAnsi" w:hAnsiTheme="minorHAnsi" w:cs="Arial"/>
                <w:sz w:val="20"/>
                <w:szCs w:val="20"/>
              </w:rPr>
              <w:t>)</w:t>
            </w:r>
          </w:p>
        </w:tc>
        <w:tc>
          <w:tcPr>
            <w:tcW w:w="1559" w:type="dxa"/>
          </w:tcPr>
          <w:p w14:paraId="24FEBA27" w14:textId="515E325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1321E7" w:rsidRPr="00F01EC8">
              <w:rPr>
                <w:rFonts w:asciiTheme="minorHAnsi" w:hAnsiTheme="minorHAnsi" w:cs="Arial"/>
                <w:sz w:val="20"/>
                <w:szCs w:val="20"/>
              </w:rPr>
              <w:t>84.7</w:t>
            </w:r>
            <w:r w:rsidRPr="00F01EC8">
              <w:rPr>
                <w:rFonts w:asciiTheme="minorHAnsi" w:hAnsiTheme="minorHAnsi" w:cs="Arial"/>
                <w:sz w:val="20"/>
                <w:szCs w:val="20"/>
              </w:rPr>
              <w:t>)</w:t>
            </w:r>
          </w:p>
        </w:tc>
      </w:tr>
      <w:tr w:rsidR="00DA6694" w:rsidRPr="00F01EC8" w14:paraId="5605477F" w14:textId="77777777" w:rsidTr="00B2187F">
        <w:tc>
          <w:tcPr>
            <w:tcW w:w="4536" w:type="dxa"/>
            <w:vAlign w:val="bottom"/>
          </w:tcPr>
          <w:p w14:paraId="1839D68A"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7DE82FF1" w14:textId="25BE04D4"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0.4</w:t>
            </w:r>
            <w:r w:rsidRPr="00F01EC8">
              <w:rPr>
                <w:rFonts w:asciiTheme="minorHAnsi" w:hAnsiTheme="minorHAnsi" w:cs="Arial"/>
                <w:sz w:val="20"/>
                <w:szCs w:val="20"/>
              </w:rPr>
              <w:t>)</w:t>
            </w:r>
          </w:p>
        </w:tc>
        <w:tc>
          <w:tcPr>
            <w:tcW w:w="1276" w:type="dxa"/>
            <w:vAlign w:val="bottom"/>
          </w:tcPr>
          <w:p w14:paraId="4F841926" w14:textId="05CC0EF6"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0.1</w:t>
            </w:r>
            <w:r w:rsidRPr="00F01EC8">
              <w:rPr>
                <w:rFonts w:asciiTheme="minorHAnsi" w:hAnsiTheme="minorHAnsi" w:cs="Arial"/>
                <w:sz w:val="20"/>
                <w:szCs w:val="20"/>
              </w:rPr>
              <w:t>)</w:t>
            </w:r>
          </w:p>
        </w:tc>
        <w:tc>
          <w:tcPr>
            <w:tcW w:w="1276" w:type="dxa"/>
          </w:tcPr>
          <w:p w14:paraId="19C5B687" w14:textId="0066B3F6"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FC186A" w:rsidRPr="00F01EC8">
              <w:rPr>
                <w:rFonts w:asciiTheme="minorHAnsi" w:hAnsiTheme="minorHAnsi" w:cs="Arial"/>
                <w:sz w:val="20"/>
                <w:szCs w:val="20"/>
              </w:rPr>
              <w:t>324.4</w:t>
            </w:r>
            <w:r w:rsidRPr="00F01EC8">
              <w:rPr>
                <w:rFonts w:asciiTheme="minorHAnsi" w:hAnsiTheme="minorHAnsi" w:cs="Arial"/>
                <w:sz w:val="20"/>
                <w:szCs w:val="20"/>
              </w:rPr>
              <w:t>)</w:t>
            </w:r>
          </w:p>
        </w:tc>
        <w:tc>
          <w:tcPr>
            <w:tcW w:w="1559" w:type="dxa"/>
          </w:tcPr>
          <w:p w14:paraId="50F805D9" w14:textId="7F128781"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FC186A" w:rsidRPr="00F01EC8">
              <w:rPr>
                <w:rFonts w:asciiTheme="minorHAnsi" w:hAnsiTheme="minorHAnsi" w:cs="Arial"/>
                <w:sz w:val="20"/>
                <w:szCs w:val="20"/>
              </w:rPr>
              <w:t>344.9</w:t>
            </w:r>
            <w:r w:rsidRPr="00F01EC8">
              <w:rPr>
                <w:rFonts w:asciiTheme="minorHAnsi" w:hAnsiTheme="minorHAnsi" w:cs="Arial"/>
                <w:sz w:val="20"/>
                <w:szCs w:val="20"/>
              </w:rPr>
              <w:t>)</w:t>
            </w:r>
          </w:p>
        </w:tc>
      </w:tr>
      <w:tr w:rsidR="00DA6694" w:rsidRPr="00F01EC8" w14:paraId="0133212A" w14:textId="77777777" w:rsidTr="00B2187F">
        <w:tc>
          <w:tcPr>
            <w:tcW w:w="4536" w:type="dxa"/>
            <w:vAlign w:val="bottom"/>
          </w:tcPr>
          <w:p w14:paraId="2394C208" w14:textId="2FF3A72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single" w:sz="12" w:space="0" w:color="auto"/>
              <w:right w:val="nil"/>
            </w:tcBorders>
            <w:vAlign w:val="bottom"/>
          </w:tcPr>
          <w:p w14:paraId="1CE48027" w14:textId="04E5675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5A0955" w:rsidRPr="00F01EC8">
              <w:rPr>
                <w:rFonts w:asciiTheme="minorHAnsi" w:hAnsiTheme="minorHAnsi" w:cs="Arial"/>
                <w:sz w:val="20"/>
                <w:szCs w:val="20"/>
              </w:rPr>
              <w:t>166.5</w:t>
            </w:r>
            <w:r w:rsidRPr="00F01EC8">
              <w:rPr>
                <w:rFonts w:asciiTheme="minorHAnsi" w:hAnsiTheme="minorHAnsi" w:cs="Arial"/>
                <w:sz w:val="20"/>
                <w:szCs w:val="20"/>
              </w:rPr>
              <w:t>)</w:t>
            </w:r>
          </w:p>
        </w:tc>
        <w:tc>
          <w:tcPr>
            <w:tcW w:w="1276" w:type="dxa"/>
            <w:tcBorders>
              <w:top w:val="single" w:sz="4" w:space="0" w:color="auto"/>
              <w:left w:val="nil"/>
              <w:bottom w:val="single" w:sz="12" w:space="0" w:color="auto"/>
              <w:right w:val="nil"/>
            </w:tcBorders>
            <w:vAlign w:val="bottom"/>
          </w:tcPr>
          <w:p w14:paraId="05152A71" w14:textId="6FBA1FB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5A0955" w:rsidRPr="00F01EC8">
              <w:rPr>
                <w:rFonts w:asciiTheme="minorHAnsi" w:hAnsiTheme="minorHAnsi" w:cs="Arial"/>
                <w:sz w:val="20"/>
                <w:szCs w:val="20"/>
              </w:rPr>
              <w:t>131.1</w:t>
            </w:r>
            <w:r w:rsidRPr="00F01EC8">
              <w:rPr>
                <w:rFonts w:asciiTheme="minorHAnsi" w:hAnsiTheme="minorHAnsi" w:cs="Arial"/>
                <w:sz w:val="20"/>
                <w:szCs w:val="20"/>
              </w:rPr>
              <w:t>)</w:t>
            </w:r>
          </w:p>
        </w:tc>
        <w:tc>
          <w:tcPr>
            <w:tcW w:w="1276" w:type="dxa"/>
            <w:tcBorders>
              <w:top w:val="single" w:sz="4" w:space="0" w:color="auto"/>
              <w:left w:val="nil"/>
              <w:bottom w:val="single" w:sz="12" w:space="0" w:color="auto"/>
              <w:right w:val="nil"/>
            </w:tcBorders>
          </w:tcPr>
          <w:p w14:paraId="1809F577" w14:textId="525E8DC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5A0955" w:rsidRPr="00F01EC8">
              <w:rPr>
                <w:rFonts w:asciiTheme="minorHAnsi" w:hAnsiTheme="minorHAnsi" w:cs="Arial"/>
                <w:sz w:val="20"/>
                <w:szCs w:val="20"/>
              </w:rPr>
              <w:t>573.6</w:t>
            </w:r>
            <w:r w:rsidRPr="00F01EC8">
              <w:rPr>
                <w:rFonts w:asciiTheme="minorHAnsi" w:hAnsiTheme="minorHAnsi" w:cs="Arial"/>
                <w:sz w:val="20"/>
                <w:szCs w:val="20"/>
              </w:rPr>
              <w:t>)</w:t>
            </w:r>
          </w:p>
        </w:tc>
        <w:tc>
          <w:tcPr>
            <w:tcW w:w="1559" w:type="dxa"/>
            <w:tcBorders>
              <w:top w:val="single" w:sz="4" w:space="0" w:color="auto"/>
              <w:left w:val="nil"/>
              <w:bottom w:val="single" w:sz="12" w:space="0" w:color="auto"/>
              <w:right w:val="nil"/>
            </w:tcBorders>
          </w:tcPr>
          <w:p w14:paraId="511A837D" w14:textId="107232C3"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w:t>
            </w:r>
            <w:r w:rsidR="005A0955" w:rsidRPr="00F01EC8">
              <w:rPr>
                <w:rFonts w:asciiTheme="minorHAnsi" w:hAnsiTheme="minorHAnsi" w:cs="Arial"/>
                <w:sz w:val="20"/>
                <w:szCs w:val="20"/>
              </w:rPr>
              <w:t>871.2</w:t>
            </w:r>
            <w:r w:rsidRPr="00F01EC8">
              <w:rPr>
                <w:rFonts w:asciiTheme="minorHAnsi" w:hAnsiTheme="minorHAnsi" w:cs="Arial"/>
                <w:sz w:val="20"/>
                <w:szCs w:val="20"/>
              </w:rPr>
              <w:t>)</w:t>
            </w:r>
          </w:p>
        </w:tc>
      </w:tr>
    </w:tbl>
    <w:p w14:paraId="218BF81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ayout w:type="fixed"/>
        <w:tblLook w:val="0000" w:firstRow="0" w:lastRow="0" w:firstColumn="0" w:lastColumn="0" w:noHBand="0" w:noVBand="0"/>
      </w:tblPr>
      <w:tblGrid>
        <w:gridCol w:w="4536"/>
        <w:gridCol w:w="1276"/>
        <w:gridCol w:w="1276"/>
        <w:gridCol w:w="1276"/>
        <w:gridCol w:w="1559"/>
      </w:tblGrid>
      <w:tr w:rsidR="00DA6694" w:rsidRPr="00F01EC8" w14:paraId="0DE5AD4F" w14:textId="77777777" w:rsidTr="00B2187F">
        <w:tc>
          <w:tcPr>
            <w:tcW w:w="4536" w:type="dxa"/>
          </w:tcPr>
          <w:p w14:paraId="7C0DC728"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Net receivables</w:t>
            </w:r>
          </w:p>
        </w:tc>
        <w:tc>
          <w:tcPr>
            <w:tcW w:w="1276" w:type="dxa"/>
            <w:vAlign w:val="bottom"/>
          </w:tcPr>
          <w:p w14:paraId="379E35CE" w14:textId="77777777" w:rsidR="00DA6694" w:rsidRPr="00F01EC8" w:rsidRDefault="00DA6694" w:rsidP="00AC0A5D">
            <w:pPr>
              <w:jc w:val="right"/>
              <w:rPr>
                <w:rFonts w:asciiTheme="minorHAnsi" w:hAnsiTheme="minorHAnsi" w:cs="Arial"/>
                <w:sz w:val="20"/>
                <w:szCs w:val="20"/>
              </w:rPr>
            </w:pPr>
          </w:p>
        </w:tc>
        <w:tc>
          <w:tcPr>
            <w:tcW w:w="1276" w:type="dxa"/>
            <w:vAlign w:val="bottom"/>
          </w:tcPr>
          <w:p w14:paraId="4B82E572" w14:textId="77777777" w:rsidR="00DA6694" w:rsidRPr="00F01EC8" w:rsidRDefault="00DA6694" w:rsidP="00AC0A5D">
            <w:pPr>
              <w:jc w:val="right"/>
              <w:rPr>
                <w:rFonts w:asciiTheme="minorHAnsi" w:hAnsiTheme="minorHAnsi" w:cs="Arial"/>
                <w:sz w:val="20"/>
                <w:szCs w:val="20"/>
              </w:rPr>
            </w:pPr>
          </w:p>
        </w:tc>
        <w:tc>
          <w:tcPr>
            <w:tcW w:w="1276" w:type="dxa"/>
          </w:tcPr>
          <w:p w14:paraId="77A9166F" w14:textId="77777777" w:rsidR="00DA6694" w:rsidRPr="00F01EC8" w:rsidRDefault="00DA6694" w:rsidP="00AC0A5D">
            <w:pPr>
              <w:jc w:val="right"/>
              <w:rPr>
                <w:rFonts w:asciiTheme="minorHAnsi" w:hAnsiTheme="minorHAnsi" w:cs="Arial"/>
                <w:sz w:val="20"/>
                <w:szCs w:val="20"/>
              </w:rPr>
            </w:pPr>
          </w:p>
        </w:tc>
        <w:tc>
          <w:tcPr>
            <w:tcW w:w="1559" w:type="dxa"/>
          </w:tcPr>
          <w:p w14:paraId="2CCEA03A" w14:textId="77777777" w:rsidR="00DA6694" w:rsidRPr="00F01EC8" w:rsidRDefault="00DA6694" w:rsidP="00AC0A5D">
            <w:pPr>
              <w:jc w:val="right"/>
              <w:rPr>
                <w:rFonts w:asciiTheme="minorHAnsi" w:hAnsiTheme="minorHAnsi" w:cs="Arial"/>
                <w:sz w:val="20"/>
                <w:szCs w:val="20"/>
              </w:rPr>
            </w:pPr>
          </w:p>
        </w:tc>
      </w:tr>
      <w:tr w:rsidR="00DA6694" w:rsidRPr="00F01EC8" w14:paraId="7BC30DF0" w14:textId="77777777" w:rsidTr="00B2187F">
        <w:tc>
          <w:tcPr>
            <w:tcW w:w="4536" w:type="dxa"/>
            <w:vAlign w:val="bottom"/>
          </w:tcPr>
          <w:p w14:paraId="3F367A2E"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27F9FF51" w14:textId="38BE154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221.3</w:t>
            </w:r>
            <w:r w:rsidRPr="00F01EC8">
              <w:rPr>
                <w:rFonts w:asciiTheme="minorHAnsi" w:hAnsiTheme="minorHAnsi" w:cs="Arial"/>
                <w:sz w:val="20"/>
                <w:szCs w:val="20"/>
              </w:rPr>
              <w:t> </w:t>
            </w:r>
          </w:p>
        </w:tc>
        <w:tc>
          <w:tcPr>
            <w:tcW w:w="1276" w:type="dxa"/>
            <w:vAlign w:val="bottom"/>
          </w:tcPr>
          <w:p w14:paraId="3CC4A0A4" w14:textId="6F43D754"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86.4</w:t>
            </w:r>
            <w:r w:rsidR="00DA6694" w:rsidRPr="00F01EC8">
              <w:rPr>
                <w:rFonts w:asciiTheme="minorHAnsi" w:hAnsiTheme="minorHAnsi" w:cs="Arial"/>
                <w:sz w:val="20"/>
                <w:szCs w:val="20"/>
              </w:rPr>
              <w:t> </w:t>
            </w:r>
          </w:p>
        </w:tc>
        <w:tc>
          <w:tcPr>
            <w:tcW w:w="1276" w:type="dxa"/>
          </w:tcPr>
          <w:p w14:paraId="5E5381BA" w14:textId="18A89FBD"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153.8</w:t>
            </w:r>
            <w:r w:rsidR="00DA6694" w:rsidRPr="00F01EC8">
              <w:rPr>
                <w:rFonts w:asciiTheme="minorHAnsi" w:hAnsiTheme="minorHAnsi" w:cs="Arial"/>
                <w:sz w:val="20"/>
                <w:szCs w:val="20"/>
              </w:rPr>
              <w:t> </w:t>
            </w:r>
          </w:p>
        </w:tc>
        <w:tc>
          <w:tcPr>
            <w:tcW w:w="1559" w:type="dxa"/>
          </w:tcPr>
          <w:p w14:paraId="44A4A7B8" w14:textId="1804D0A2"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1321E7" w:rsidRPr="00F01EC8">
              <w:rPr>
                <w:rFonts w:asciiTheme="minorHAnsi" w:hAnsiTheme="minorHAnsi" w:cs="Arial"/>
                <w:sz w:val="20"/>
                <w:szCs w:val="20"/>
              </w:rPr>
              <w:t>461.5</w:t>
            </w:r>
            <w:r w:rsidRPr="00F01EC8">
              <w:rPr>
                <w:rFonts w:asciiTheme="minorHAnsi" w:hAnsiTheme="minorHAnsi" w:cs="Arial"/>
                <w:sz w:val="20"/>
                <w:szCs w:val="20"/>
              </w:rPr>
              <w:t> </w:t>
            </w:r>
          </w:p>
        </w:tc>
      </w:tr>
      <w:tr w:rsidR="00DA6694" w:rsidRPr="00F01EC8" w14:paraId="067FF443" w14:textId="77777777" w:rsidTr="00B2187F">
        <w:tc>
          <w:tcPr>
            <w:tcW w:w="4536" w:type="dxa"/>
            <w:vAlign w:val="bottom"/>
          </w:tcPr>
          <w:p w14:paraId="04FAB710"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lastRenderedPageBreak/>
              <w:t>Moneybarn</w:t>
            </w:r>
          </w:p>
        </w:tc>
        <w:tc>
          <w:tcPr>
            <w:tcW w:w="1276" w:type="dxa"/>
            <w:vAlign w:val="bottom"/>
          </w:tcPr>
          <w:p w14:paraId="214D927E" w14:textId="0BC48875"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325</w:t>
            </w:r>
            <w:r w:rsidR="00DA6694" w:rsidRPr="00F01EC8">
              <w:rPr>
                <w:rFonts w:asciiTheme="minorHAnsi" w:hAnsiTheme="minorHAnsi" w:cs="Arial"/>
                <w:sz w:val="20"/>
                <w:szCs w:val="20"/>
              </w:rPr>
              <w:t>.9 </w:t>
            </w:r>
          </w:p>
        </w:tc>
        <w:tc>
          <w:tcPr>
            <w:tcW w:w="1276" w:type="dxa"/>
            <w:vAlign w:val="bottom"/>
          </w:tcPr>
          <w:p w14:paraId="37F9AFA9" w14:textId="0DB3AD6D"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152.6</w:t>
            </w:r>
          </w:p>
        </w:tc>
        <w:tc>
          <w:tcPr>
            <w:tcW w:w="1276" w:type="dxa"/>
          </w:tcPr>
          <w:p w14:paraId="00D4AF9B" w14:textId="4110D590"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23.6</w:t>
            </w:r>
          </w:p>
        </w:tc>
        <w:tc>
          <w:tcPr>
            <w:tcW w:w="1559" w:type="dxa"/>
          </w:tcPr>
          <w:p w14:paraId="7A616C2D" w14:textId="3DDDBA2C" w:rsidR="00DA6694" w:rsidRPr="00F01EC8" w:rsidRDefault="001321E7" w:rsidP="00AC0A5D">
            <w:pPr>
              <w:jc w:val="right"/>
              <w:rPr>
                <w:rFonts w:asciiTheme="minorHAnsi" w:hAnsiTheme="minorHAnsi" w:cs="Arial"/>
                <w:sz w:val="20"/>
                <w:szCs w:val="20"/>
              </w:rPr>
            </w:pPr>
            <w:r w:rsidRPr="00F01EC8">
              <w:rPr>
                <w:rFonts w:asciiTheme="minorHAnsi" w:hAnsiTheme="minorHAnsi" w:cs="Arial"/>
                <w:sz w:val="20"/>
                <w:szCs w:val="20"/>
              </w:rPr>
              <w:t>502.1</w:t>
            </w:r>
          </w:p>
        </w:tc>
      </w:tr>
      <w:tr w:rsidR="00DA6694" w:rsidRPr="00F01EC8" w14:paraId="3287EF6E" w14:textId="77777777" w:rsidTr="00B2187F">
        <w:tc>
          <w:tcPr>
            <w:tcW w:w="4536" w:type="dxa"/>
            <w:vAlign w:val="bottom"/>
          </w:tcPr>
          <w:p w14:paraId="75CA5B5E"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6F202BB8" w14:textId="7E3C010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FC186A" w:rsidRPr="00F01EC8">
              <w:rPr>
                <w:rFonts w:asciiTheme="minorHAnsi" w:hAnsiTheme="minorHAnsi" w:cs="Arial"/>
                <w:sz w:val="20"/>
                <w:szCs w:val="20"/>
              </w:rPr>
              <w:t>45.5</w:t>
            </w:r>
            <w:r w:rsidRPr="00F01EC8">
              <w:rPr>
                <w:rFonts w:asciiTheme="minorHAnsi" w:hAnsiTheme="minorHAnsi" w:cs="Arial"/>
                <w:sz w:val="20"/>
                <w:szCs w:val="20"/>
              </w:rPr>
              <w:t> </w:t>
            </w:r>
          </w:p>
        </w:tc>
        <w:tc>
          <w:tcPr>
            <w:tcW w:w="1276" w:type="dxa"/>
            <w:vAlign w:val="bottom"/>
          </w:tcPr>
          <w:p w14:paraId="403A1460" w14:textId="5F012C1C" w:rsidR="00DA6694" w:rsidRPr="00F01EC8" w:rsidRDefault="00FC186A" w:rsidP="00AC0A5D">
            <w:pPr>
              <w:jc w:val="right"/>
              <w:rPr>
                <w:rFonts w:asciiTheme="minorHAnsi" w:hAnsiTheme="minorHAnsi" w:cs="Arial"/>
                <w:sz w:val="20"/>
                <w:szCs w:val="20"/>
              </w:rPr>
            </w:pPr>
            <w:r w:rsidRPr="00F01EC8">
              <w:rPr>
                <w:rFonts w:asciiTheme="minorHAnsi" w:hAnsiTheme="minorHAnsi" w:cs="Arial"/>
                <w:sz w:val="20"/>
                <w:szCs w:val="20"/>
              </w:rPr>
              <w:t>25.9</w:t>
            </w:r>
          </w:p>
        </w:tc>
        <w:tc>
          <w:tcPr>
            <w:tcW w:w="1276" w:type="dxa"/>
          </w:tcPr>
          <w:p w14:paraId="0F2C7B53" w14:textId="4B0606A9" w:rsidR="00DA6694" w:rsidRPr="00F01EC8" w:rsidRDefault="00FC186A" w:rsidP="00AC0A5D">
            <w:pPr>
              <w:jc w:val="right"/>
              <w:rPr>
                <w:rFonts w:asciiTheme="minorHAnsi" w:hAnsiTheme="minorHAnsi" w:cs="Arial"/>
                <w:sz w:val="20"/>
                <w:szCs w:val="20"/>
              </w:rPr>
            </w:pPr>
            <w:r w:rsidRPr="00F01EC8">
              <w:rPr>
                <w:rFonts w:asciiTheme="minorHAnsi" w:hAnsiTheme="minorHAnsi" w:cs="Arial"/>
                <w:sz w:val="20"/>
                <w:szCs w:val="20"/>
              </w:rPr>
              <w:t>77.6</w:t>
            </w:r>
          </w:p>
        </w:tc>
        <w:tc>
          <w:tcPr>
            <w:tcW w:w="1559" w:type="dxa"/>
          </w:tcPr>
          <w:p w14:paraId="3883C777" w14:textId="413A6F17" w:rsidR="00DA6694" w:rsidRPr="00F01EC8" w:rsidRDefault="00FC186A" w:rsidP="00AC0A5D">
            <w:pPr>
              <w:jc w:val="right"/>
              <w:rPr>
                <w:rFonts w:asciiTheme="minorHAnsi" w:hAnsiTheme="minorHAnsi" w:cs="Arial"/>
                <w:sz w:val="20"/>
                <w:szCs w:val="20"/>
              </w:rPr>
            </w:pPr>
            <w:r w:rsidRPr="00F01EC8">
              <w:rPr>
                <w:rFonts w:asciiTheme="minorHAnsi" w:hAnsiTheme="minorHAnsi" w:cs="Arial"/>
                <w:sz w:val="20"/>
                <w:szCs w:val="20"/>
              </w:rPr>
              <w:t>249.0</w:t>
            </w:r>
          </w:p>
        </w:tc>
      </w:tr>
      <w:tr w:rsidR="00DA6694" w:rsidRPr="00F01EC8" w14:paraId="14207E13" w14:textId="77777777" w:rsidTr="00B2187F">
        <w:tc>
          <w:tcPr>
            <w:tcW w:w="4536" w:type="dxa"/>
            <w:tcBorders>
              <w:bottom w:val="nil"/>
            </w:tcBorders>
            <w:vAlign w:val="bottom"/>
          </w:tcPr>
          <w:p w14:paraId="23F92894" w14:textId="56C91F53"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single" w:sz="12" w:space="0" w:color="auto"/>
              <w:right w:val="nil"/>
            </w:tcBorders>
            <w:vAlign w:val="bottom"/>
          </w:tcPr>
          <w:p w14:paraId="28967289" w14:textId="79C49C32"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1,</w:t>
            </w:r>
            <w:r w:rsidR="005A0955" w:rsidRPr="00F01EC8">
              <w:rPr>
                <w:rFonts w:asciiTheme="minorHAnsi" w:hAnsiTheme="minorHAnsi" w:cs="Arial"/>
                <w:sz w:val="20"/>
                <w:szCs w:val="20"/>
              </w:rPr>
              <w:t>692.7</w:t>
            </w:r>
            <w:r w:rsidRPr="00F01EC8">
              <w:rPr>
                <w:rFonts w:asciiTheme="minorHAnsi" w:hAnsiTheme="minorHAnsi" w:cs="Arial"/>
                <w:sz w:val="20"/>
                <w:szCs w:val="20"/>
              </w:rPr>
              <w:t> </w:t>
            </w:r>
          </w:p>
        </w:tc>
        <w:tc>
          <w:tcPr>
            <w:tcW w:w="1276" w:type="dxa"/>
            <w:tcBorders>
              <w:top w:val="single" w:sz="4" w:space="0" w:color="auto"/>
              <w:left w:val="nil"/>
              <w:bottom w:val="single" w:sz="12" w:space="0" w:color="auto"/>
              <w:right w:val="nil"/>
            </w:tcBorders>
            <w:vAlign w:val="bottom"/>
          </w:tcPr>
          <w:p w14:paraId="2EB4B129" w14:textId="06A91803" w:rsidR="00DA6694" w:rsidRPr="00F01EC8" w:rsidRDefault="005A0955" w:rsidP="00AC0A5D">
            <w:pPr>
              <w:jc w:val="right"/>
              <w:rPr>
                <w:rFonts w:asciiTheme="minorHAnsi" w:hAnsiTheme="minorHAnsi" w:cs="Arial"/>
                <w:sz w:val="20"/>
                <w:szCs w:val="20"/>
              </w:rPr>
            </w:pPr>
            <w:r w:rsidRPr="00F01EC8">
              <w:rPr>
                <w:rFonts w:asciiTheme="minorHAnsi" w:hAnsiTheme="minorHAnsi" w:cs="Arial"/>
                <w:sz w:val="20"/>
                <w:szCs w:val="20"/>
              </w:rPr>
              <w:t>264.9</w:t>
            </w:r>
          </w:p>
        </w:tc>
        <w:tc>
          <w:tcPr>
            <w:tcW w:w="1276" w:type="dxa"/>
            <w:tcBorders>
              <w:top w:val="single" w:sz="4" w:space="0" w:color="auto"/>
              <w:left w:val="nil"/>
              <w:bottom w:val="single" w:sz="12" w:space="0" w:color="auto"/>
              <w:right w:val="nil"/>
            </w:tcBorders>
          </w:tcPr>
          <w:p w14:paraId="64FD3EFE" w14:textId="200AE9A8" w:rsidR="00DA6694" w:rsidRPr="00F01EC8" w:rsidRDefault="005A0955" w:rsidP="00AC0A5D">
            <w:pPr>
              <w:jc w:val="right"/>
              <w:rPr>
                <w:rFonts w:asciiTheme="minorHAnsi" w:hAnsiTheme="minorHAnsi" w:cs="Arial"/>
                <w:sz w:val="20"/>
                <w:szCs w:val="20"/>
              </w:rPr>
            </w:pPr>
            <w:r w:rsidRPr="00F01EC8">
              <w:rPr>
                <w:rFonts w:asciiTheme="minorHAnsi" w:hAnsiTheme="minorHAnsi" w:cs="Arial"/>
                <w:sz w:val="20"/>
                <w:szCs w:val="20"/>
              </w:rPr>
              <w:t>255.0</w:t>
            </w:r>
          </w:p>
        </w:tc>
        <w:tc>
          <w:tcPr>
            <w:tcW w:w="1559" w:type="dxa"/>
            <w:tcBorders>
              <w:top w:val="single" w:sz="4" w:space="0" w:color="auto"/>
              <w:left w:val="nil"/>
              <w:bottom w:val="single" w:sz="12" w:space="0" w:color="auto"/>
              <w:right w:val="nil"/>
            </w:tcBorders>
          </w:tcPr>
          <w:p w14:paraId="626692F4" w14:textId="5DB29F3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5A0955" w:rsidRPr="00F01EC8">
              <w:rPr>
                <w:rFonts w:asciiTheme="minorHAnsi" w:hAnsiTheme="minorHAnsi" w:cs="Arial"/>
                <w:sz w:val="20"/>
                <w:szCs w:val="20"/>
              </w:rPr>
              <w:t>212.6</w:t>
            </w:r>
          </w:p>
        </w:tc>
      </w:tr>
    </w:tbl>
    <w:p w14:paraId="3D9153CD"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690AD46D" w14:textId="2831BC3F" w:rsidR="00D17FD3" w:rsidRPr="00F01EC8" w:rsidRDefault="00D17FD3">
      <w:pPr>
        <w:rPr>
          <w:rFonts w:asciiTheme="minorHAnsi" w:hAnsiTheme="minorHAnsi" w:cs="Arial"/>
          <w:b/>
          <w:sz w:val="20"/>
          <w:szCs w:val="20"/>
        </w:rPr>
      </w:pPr>
    </w:p>
    <w:tbl>
      <w:tblPr>
        <w:tblW w:w="9923" w:type="dxa"/>
        <w:tblLook w:val="0000" w:firstRow="0" w:lastRow="0" w:firstColumn="0" w:lastColumn="0" w:noHBand="0" w:noVBand="0"/>
      </w:tblPr>
      <w:tblGrid>
        <w:gridCol w:w="4536"/>
        <w:gridCol w:w="1276"/>
        <w:gridCol w:w="1276"/>
        <w:gridCol w:w="1276"/>
        <w:gridCol w:w="1559"/>
      </w:tblGrid>
      <w:tr w:rsidR="00D305E9" w:rsidRPr="00F01EC8" w14:paraId="10C0EA45" w14:textId="77777777" w:rsidTr="00F43660">
        <w:tc>
          <w:tcPr>
            <w:tcW w:w="4536" w:type="dxa"/>
          </w:tcPr>
          <w:p w14:paraId="7A236FAB" w14:textId="77777777" w:rsidR="00D305E9" w:rsidRPr="00F01EC8" w:rsidRDefault="00D305E9" w:rsidP="00041252">
            <w:pPr>
              <w:rPr>
                <w:rFonts w:asciiTheme="minorHAnsi" w:hAnsiTheme="minorHAnsi" w:cs="Arial"/>
                <w:sz w:val="20"/>
                <w:szCs w:val="20"/>
              </w:rPr>
            </w:pPr>
          </w:p>
        </w:tc>
        <w:tc>
          <w:tcPr>
            <w:tcW w:w="5387" w:type="dxa"/>
            <w:gridSpan w:val="4"/>
          </w:tcPr>
          <w:p w14:paraId="3C7FDFFE" w14:textId="1B894266" w:rsidR="00D305E9" w:rsidRPr="00F01EC8" w:rsidRDefault="00D305E9" w:rsidP="00041252">
            <w:pPr>
              <w:jc w:val="center"/>
              <w:rPr>
                <w:rFonts w:asciiTheme="minorHAnsi" w:hAnsiTheme="minorHAnsi" w:cs="Arial"/>
                <w:sz w:val="20"/>
                <w:szCs w:val="20"/>
              </w:rPr>
            </w:pPr>
            <w:r w:rsidRPr="00F01EC8">
              <w:rPr>
                <w:rFonts w:asciiTheme="minorHAnsi" w:hAnsiTheme="minorHAnsi" w:cs="Arial"/>
                <w:sz w:val="20"/>
                <w:szCs w:val="20"/>
              </w:rPr>
              <w:t>30 June 2019 (restated)</w:t>
            </w:r>
          </w:p>
        </w:tc>
      </w:tr>
      <w:tr w:rsidR="00D305E9" w:rsidRPr="00F01EC8" w14:paraId="164E3A36" w14:textId="77777777" w:rsidTr="00F43660">
        <w:tc>
          <w:tcPr>
            <w:tcW w:w="4536" w:type="dxa"/>
          </w:tcPr>
          <w:p w14:paraId="53E8081F" w14:textId="77777777" w:rsidR="00D305E9" w:rsidRPr="00F01EC8" w:rsidRDefault="00D305E9" w:rsidP="00041252">
            <w:pPr>
              <w:rPr>
                <w:rFonts w:asciiTheme="minorHAnsi" w:hAnsiTheme="minorHAnsi" w:cs="Arial"/>
                <w:sz w:val="20"/>
                <w:szCs w:val="20"/>
              </w:rPr>
            </w:pPr>
          </w:p>
        </w:tc>
        <w:tc>
          <w:tcPr>
            <w:tcW w:w="1276" w:type="dxa"/>
          </w:tcPr>
          <w:p w14:paraId="078C69CD"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Stage 1 </w:t>
            </w:r>
          </w:p>
        </w:tc>
        <w:tc>
          <w:tcPr>
            <w:tcW w:w="1276" w:type="dxa"/>
          </w:tcPr>
          <w:p w14:paraId="30C39D76"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Stage 2  </w:t>
            </w:r>
          </w:p>
        </w:tc>
        <w:tc>
          <w:tcPr>
            <w:tcW w:w="1276" w:type="dxa"/>
          </w:tcPr>
          <w:p w14:paraId="5B7C965A"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Stage 3 </w:t>
            </w:r>
          </w:p>
        </w:tc>
        <w:tc>
          <w:tcPr>
            <w:tcW w:w="1559" w:type="dxa"/>
          </w:tcPr>
          <w:p w14:paraId="55A0D668"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Total </w:t>
            </w:r>
          </w:p>
        </w:tc>
      </w:tr>
      <w:tr w:rsidR="00D305E9" w:rsidRPr="00F01EC8" w14:paraId="0BBFC6BA" w14:textId="77777777" w:rsidTr="00F43660">
        <w:tc>
          <w:tcPr>
            <w:tcW w:w="4536" w:type="dxa"/>
          </w:tcPr>
          <w:p w14:paraId="521BE8B5" w14:textId="77777777" w:rsidR="00D305E9" w:rsidRPr="00F01EC8" w:rsidRDefault="00D305E9" w:rsidP="00041252">
            <w:pPr>
              <w:rPr>
                <w:rFonts w:asciiTheme="minorHAnsi" w:hAnsiTheme="minorHAnsi" w:cs="Arial"/>
                <w:sz w:val="20"/>
                <w:szCs w:val="20"/>
              </w:rPr>
            </w:pPr>
          </w:p>
        </w:tc>
        <w:tc>
          <w:tcPr>
            <w:tcW w:w="1276" w:type="dxa"/>
            <w:tcBorders>
              <w:top w:val="nil"/>
              <w:left w:val="nil"/>
              <w:bottom w:val="single" w:sz="4" w:space="0" w:color="auto"/>
              <w:right w:val="nil"/>
            </w:tcBorders>
          </w:tcPr>
          <w:p w14:paraId="13BB3F59"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£m </w:t>
            </w:r>
          </w:p>
        </w:tc>
        <w:tc>
          <w:tcPr>
            <w:tcW w:w="1276" w:type="dxa"/>
            <w:tcBorders>
              <w:top w:val="nil"/>
              <w:left w:val="nil"/>
              <w:bottom w:val="single" w:sz="4" w:space="0" w:color="auto"/>
              <w:right w:val="nil"/>
            </w:tcBorders>
          </w:tcPr>
          <w:p w14:paraId="1179F9C6"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£m  </w:t>
            </w:r>
          </w:p>
        </w:tc>
        <w:tc>
          <w:tcPr>
            <w:tcW w:w="1276" w:type="dxa"/>
            <w:tcBorders>
              <w:top w:val="nil"/>
              <w:left w:val="nil"/>
              <w:bottom w:val="single" w:sz="4" w:space="0" w:color="auto"/>
              <w:right w:val="nil"/>
            </w:tcBorders>
          </w:tcPr>
          <w:p w14:paraId="0F6FDC80"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£m </w:t>
            </w:r>
          </w:p>
        </w:tc>
        <w:tc>
          <w:tcPr>
            <w:tcW w:w="1559" w:type="dxa"/>
            <w:tcBorders>
              <w:top w:val="nil"/>
              <w:left w:val="nil"/>
              <w:bottom w:val="single" w:sz="4" w:space="0" w:color="auto"/>
              <w:right w:val="nil"/>
            </w:tcBorders>
          </w:tcPr>
          <w:p w14:paraId="516ADD7C"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£m </w:t>
            </w:r>
          </w:p>
        </w:tc>
      </w:tr>
      <w:tr w:rsidR="00D305E9" w:rsidRPr="00F01EC8" w14:paraId="35F00BFF" w14:textId="77777777" w:rsidTr="00F43660">
        <w:tc>
          <w:tcPr>
            <w:tcW w:w="4536" w:type="dxa"/>
          </w:tcPr>
          <w:p w14:paraId="57377787" w14:textId="77777777" w:rsidR="00D305E9" w:rsidRPr="00F01EC8" w:rsidRDefault="00D305E9" w:rsidP="00041252">
            <w:pPr>
              <w:rPr>
                <w:rFonts w:asciiTheme="minorHAnsi" w:hAnsiTheme="minorHAnsi" w:cs="Arial"/>
                <w:b/>
                <w:sz w:val="20"/>
                <w:szCs w:val="20"/>
              </w:rPr>
            </w:pPr>
            <w:r w:rsidRPr="00F01EC8">
              <w:rPr>
                <w:rFonts w:asciiTheme="minorHAnsi" w:hAnsiTheme="minorHAnsi" w:cs="Arial"/>
                <w:b/>
                <w:sz w:val="20"/>
                <w:szCs w:val="20"/>
              </w:rPr>
              <w:t>Gross receivables</w:t>
            </w:r>
          </w:p>
        </w:tc>
        <w:tc>
          <w:tcPr>
            <w:tcW w:w="1276" w:type="dxa"/>
            <w:vAlign w:val="bottom"/>
          </w:tcPr>
          <w:p w14:paraId="05F16B76" w14:textId="77777777" w:rsidR="00D305E9" w:rsidRPr="00F01EC8" w:rsidRDefault="00D305E9" w:rsidP="00041252">
            <w:pPr>
              <w:jc w:val="right"/>
              <w:rPr>
                <w:rFonts w:asciiTheme="minorHAnsi" w:hAnsiTheme="minorHAnsi" w:cs="Arial"/>
                <w:sz w:val="20"/>
                <w:szCs w:val="20"/>
              </w:rPr>
            </w:pPr>
          </w:p>
        </w:tc>
        <w:tc>
          <w:tcPr>
            <w:tcW w:w="1276" w:type="dxa"/>
            <w:vAlign w:val="bottom"/>
          </w:tcPr>
          <w:p w14:paraId="19B4332F" w14:textId="77777777" w:rsidR="00D305E9" w:rsidRPr="00F01EC8" w:rsidRDefault="00D305E9" w:rsidP="00041252">
            <w:pPr>
              <w:jc w:val="right"/>
              <w:rPr>
                <w:rFonts w:asciiTheme="minorHAnsi" w:hAnsiTheme="minorHAnsi" w:cs="Arial"/>
                <w:sz w:val="20"/>
                <w:szCs w:val="20"/>
              </w:rPr>
            </w:pPr>
          </w:p>
        </w:tc>
        <w:tc>
          <w:tcPr>
            <w:tcW w:w="1276" w:type="dxa"/>
          </w:tcPr>
          <w:p w14:paraId="311C5716" w14:textId="77777777" w:rsidR="00D305E9" w:rsidRPr="00F01EC8" w:rsidRDefault="00D305E9" w:rsidP="00041252">
            <w:pPr>
              <w:jc w:val="right"/>
              <w:rPr>
                <w:rFonts w:asciiTheme="minorHAnsi" w:hAnsiTheme="minorHAnsi" w:cs="Arial"/>
                <w:sz w:val="20"/>
                <w:szCs w:val="20"/>
              </w:rPr>
            </w:pPr>
          </w:p>
        </w:tc>
        <w:tc>
          <w:tcPr>
            <w:tcW w:w="1559" w:type="dxa"/>
          </w:tcPr>
          <w:p w14:paraId="2745A5A2" w14:textId="77777777" w:rsidR="00D305E9" w:rsidRPr="00F01EC8" w:rsidRDefault="00D305E9" w:rsidP="00041252">
            <w:pPr>
              <w:jc w:val="right"/>
              <w:rPr>
                <w:rFonts w:asciiTheme="minorHAnsi" w:hAnsiTheme="minorHAnsi" w:cs="Arial"/>
                <w:sz w:val="20"/>
                <w:szCs w:val="20"/>
              </w:rPr>
            </w:pPr>
          </w:p>
        </w:tc>
      </w:tr>
      <w:tr w:rsidR="00D305E9" w:rsidRPr="00F01EC8" w14:paraId="317086F1" w14:textId="77777777" w:rsidTr="00F43660">
        <w:tc>
          <w:tcPr>
            <w:tcW w:w="4536" w:type="dxa"/>
            <w:vAlign w:val="bottom"/>
          </w:tcPr>
          <w:p w14:paraId="55090ECD"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5789AE28" w14:textId="048D3B98"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1,281.7</w:t>
            </w:r>
          </w:p>
        </w:tc>
        <w:tc>
          <w:tcPr>
            <w:tcW w:w="1276" w:type="dxa"/>
            <w:vAlign w:val="bottom"/>
          </w:tcPr>
          <w:p w14:paraId="57EB0CA5" w14:textId="3933F6A8"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218.6</w:t>
            </w:r>
          </w:p>
        </w:tc>
        <w:tc>
          <w:tcPr>
            <w:tcW w:w="1276" w:type="dxa"/>
          </w:tcPr>
          <w:p w14:paraId="6F510728" w14:textId="198A6CF7"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435.9</w:t>
            </w:r>
          </w:p>
        </w:tc>
        <w:tc>
          <w:tcPr>
            <w:tcW w:w="1559" w:type="dxa"/>
          </w:tcPr>
          <w:p w14:paraId="128C74FB" w14:textId="6E8302B7"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1,936.2</w:t>
            </w:r>
          </w:p>
        </w:tc>
      </w:tr>
      <w:tr w:rsidR="00D305E9" w:rsidRPr="00F01EC8" w14:paraId="762BE26F" w14:textId="77777777" w:rsidTr="00F43660">
        <w:tc>
          <w:tcPr>
            <w:tcW w:w="4536" w:type="dxa"/>
            <w:vAlign w:val="bottom"/>
          </w:tcPr>
          <w:p w14:paraId="44F5A983"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Moneybarn</w:t>
            </w:r>
          </w:p>
        </w:tc>
        <w:tc>
          <w:tcPr>
            <w:tcW w:w="1276" w:type="dxa"/>
            <w:vAlign w:val="bottom"/>
          </w:tcPr>
          <w:p w14:paraId="1F74D7E4" w14:textId="283472E9"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338.5</w:t>
            </w:r>
          </w:p>
        </w:tc>
        <w:tc>
          <w:tcPr>
            <w:tcW w:w="1276" w:type="dxa"/>
            <w:vAlign w:val="bottom"/>
          </w:tcPr>
          <w:p w14:paraId="608AFC60" w14:textId="7F290FC2"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151.0</w:t>
            </w:r>
          </w:p>
        </w:tc>
        <w:tc>
          <w:tcPr>
            <w:tcW w:w="1276" w:type="dxa"/>
          </w:tcPr>
          <w:p w14:paraId="4F00D1B4" w14:textId="654E91BE"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150.1</w:t>
            </w:r>
          </w:p>
        </w:tc>
        <w:tc>
          <w:tcPr>
            <w:tcW w:w="1559" w:type="dxa"/>
          </w:tcPr>
          <w:p w14:paraId="6D79D6A1" w14:textId="123A0110"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639.6</w:t>
            </w:r>
          </w:p>
        </w:tc>
      </w:tr>
      <w:tr w:rsidR="00D305E9" w:rsidRPr="00F01EC8" w14:paraId="72153987" w14:textId="77777777" w:rsidTr="00F43660">
        <w:tc>
          <w:tcPr>
            <w:tcW w:w="4536" w:type="dxa"/>
            <w:vAlign w:val="bottom"/>
          </w:tcPr>
          <w:p w14:paraId="0C9AB796"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2681A154"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137.1 </w:t>
            </w:r>
          </w:p>
        </w:tc>
        <w:tc>
          <w:tcPr>
            <w:tcW w:w="1276" w:type="dxa"/>
            <w:vAlign w:val="bottom"/>
          </w:tcPr>
          <w:p w14:paraId="5616D0F5"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43.7 </w:t>
            </w:r>
          </w:p>
        </w:tc>
        <w:tc>
          <w:tcPr>
            <w:tcW w:w="1276" w:type="dxa"/>
          </w:tcPr>
          <w:p w14:paraId="445B1EBF"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500.6 </w:t>
            </w:r>
          </w:p>
        </w:tc>
        <w:tc>
          <w:tcPr>
            <w:tcW w:w="1559" w:type="dxa"/>
          </w:tcPr>
          <w:p w14:paraId="76B753C2"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681.4 </w:t>
            </w:r>
          </w:p>
        </w:tc>
      </w:tr>
      <w:tr w:rsidR="00D305E9" w:rsidRPr="00F01EC8" w14:paraId="0706A435" w14:textId="77777777" w:rsidTr="00F43660">
        <w:tc>
          <w:tcPr>
            <w:tcW w:w="4536" w:type="dxa"/>
            <w:vAlign w:val="bottom"/>
          </w:tcPr>
          <w:p w14:paraId="334CDA38" w14:textId="7438A720" w:rsidR="00D305E9" w:rsidRPr="00F01EC8" w:rsidRDefault="00D305E9" w:rsidP="00041252">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nil"/>
              <w:right w:val="nil"/>
            </w:tcBorders>
            <w:vAlign w:val="bottom"/>
          </w:tcPr>
          <w:p w14:paraId="265C58A8" w14:textId="1456D362" w:rsidR="006B7C21" w:rsidRPr="00F01EC8" w:rsidRDefault="006B7C21" w:rsidP="006B7C21">
            <w:pPr>
              <w:jc w:val="right"/>
              <w:rPr>
                <w:rFonts w:asciiTheme="minorHAnsi" w:hAnsiTheme="minorHAnsi" w:cs="Arial"/>
                <w:sz w:val="20"/>
                <w:szCs w:val="20"/>
              </w:rPr>
            </w:pPr>
            <w:r w:rsidRPr="00F01EC8">
              <w:rPr>
                <w:rFonts w:asciiTheme="minorHAnsi" w:hAnsiTheme="minorHAnsi" w:cs="Arial"/>
                <w:sz w:val="20"/>
                <w:szCs w:val="20"/>
              </w:rPr>
              <w:t>1,757.3</w:t>
            </w:r>
          </w:p>
        </w:tc>
        <w:tc>
          <w:tcPr>
            <w:tcW w:w="1276" w:type="dxa"/>
            <w:tcBorders>
              <w:top w:val="single" w:sz="4" w:space="0" w:color="auto"/>
              <w:left w:val="nil"/>
              <w:bottom w:val="nil"/>
              <w:right w:val="nil"/>
            </w:tcBorders>
            <w:vAlign w:val="bottom"/>
          </w:tcPr>
          <w:p w14:paraId="3FC1F55B" w14:textId="61F81A8F"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413.3</w:t>
            </w:r>
          </w:p>
        </w:tc>
        <w:tc>
          <w:tcPr>
            <w:tcW w:w="1276" w:type="dxa"/>
            <w:tcBorders>
              <w:top w:val="single" w:sz="4" w:space="0" w:color="auto"/>
              <w:left w:val="nil"/>
              <w:bottom w:val="nil"/>
              <w:right w:val="nil"/>
            </w:tcBorders>
          </w:tcPr>
          <w:p w14:paraId="0EEE731C" w14:textId="061FD67D"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1,086.6</w:t>
            </w:r>
          </w:p>
        </w:tc>
        <w:tc>
          <w:tcPr>
            <w:tcW w:w="1559" w:type="dxa"/>
            <w:tcBorders>
              <w:top w:val="single" w:sz="4" w:space="0" w:color="auto"/>
              <w:left w:val="nil"/>
              <w:bottom w:val="nil"/>
              <w:right w:val="nil"/>
            </w:tcBorders>
          </w:tcPr>
          <w:p w14:paraId="6CC2C4D9" w14:textId="0E743A87"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3,257.2</w:t>
            </w:r>
          </w:p>
        </w:tc>
      </w:tr>
      <w:tr w:rsidR="00D305E9" w:rsidRPr="00F01EC8" w14:paraId="3F5D1918" w14:textId="77777777" w:rsidTr="00F43660">
        <w:tc>
          <w:tcPr>
            <w:tcW w:w="4536" w:type="dxa"/>
            <w:vAlign w:val="bottom"/>
          </w:tcPr>
          <w:p w14:paraId="24D643F9" w14:textId="4E80772B" w:rsidR="00D305E9" w:rsidRPr="00F01EC8" w:rsidRDefault="00D305E9" w:rsidP="00041252">
            <w:pPr>
              <w:rPr>
                <w:rFonts w:asciiTheme="minorHAnsi" w:hAnsiTheme="minorHAnsi" w:cs="Arial"/>
                <w:sz w:val="20"/>
                <w:szCs w:val="20"/>
              </w:rPr>
            </w:pPr>
          </w:p>
        </w:tc>
        <w:tc>
          <w:tcPr>
            <w:tcW w:w="1276" w:type="dxa"/>
            <w:tcBorders>
              <w:top w:val="single" w:sz="12" w:space="0" w:color="auto"/>
              <w:left w:val="nil"/>
              <w:bottom w:val="nil"/>
              <w:right w:val="nil"/>
            </w:tcBorders>
            <w:vAlign w:val="bottom"/>
          </w:tcPr>
          <w:p w14:paraId="4AFA5C35" w14:textId="77777777" w:rsidR="00D305E9" w:rsidRPr="00F01EC8" w:rsidRDefault="00D305E9" w:rsidP="00041252">
            <w:pPr>
              <w:jc w:val="right"/>
              <w:rPr>
                <w:rFonts w:asciiTheme="minorHAnsi" w:hAnsiTheme="minorHAnsi" w:cs="Arial"/>
                <w:sz w:val="20"/>
                <w:szCs w:val="20"/>
              </w:rPr>
            </w:pPr>
          </w:p>
        </w:tc>
        <w:tc>
          <w:tcPr>
            <w:tcW w:w="1276" w:type="dxa"/>
            <w:tcBorders>
              <w:top w:val="single" w:sz="12" w:space="0" w:color="auto"/>
              <w:left w:val="nil"/>
              <w:bottom w:val="nil"/>
              <w:right w:val="nil"/>
            </w:tcBorders>
            <w:vAlign w:val="bottom"/>
          </w:tcPr>
          <w:p w14:paraId="01B0324D" w14:textId="77777777" w:rsidR="00D305E9" w:rsidRPr="00F01EC8" w:rsidRDefault="00D305E9" w:rsidP="00041252">
            <w:pPr>
              <w:jc w:val="right"/>
              <w:rPr>
                <w:rFonts w:asciiTheme="minorHAnsi" w:hAnsiTheme="minorHAnsi" w:cs="Arial"/>
                <w:sz w:val="20"/>
                <w:szCs w:val="20"/>
              </w:rPr>
            </w:pPr>
          </w:p>
        </w:tc>
        <w:tc>
          <w:tcPr>
            <w:tcW w:w="1276" w:type="dxa"/>
            <w:tcBorders>
              <w:top w:val="single" w:sz="12" w:space="0" w:color="auto"/>
              <w:left w:val="nil"/>
              <w:bottom w:val="nil"/>
              <w:right w:val="nil"/>
            </w:tcBorders>
          </w:tcPr>
          <w:p w14:paraId="5F866DAA" w14:textId="77777777" w:rsidR="00D305E9" w:rsidRPr="00F01EC8" w:rsidRDefault="00D305E9" w:rsidP="00041252">
            <w:pPr>
              <w:jc w:val="right"/>
              <w:rPr>
                <w:rFonts w:asciiTheme="minorHAnsi" w:hAnsiTheme="minorHAnsi" w:cs="Arial"/>
                <w:sz w:val="20"/>
                <w:szCs w:val="20"/>
              </w:rPr>
            </w:pPr>
          </w:p>
        </w:tc>
        <w:tc>
          <w:tcPr>
            <w:tcW w:w="1559" w:type="dxa"/>
            <w:tcBorders>
              <w:top w:val="single" w:sz="12" w:space="0" w:color="auto"/>
              <w:left w:val="nil"/>
              <w:bottom w:val="nil"/>
              <w:right w:val="nil"/>
            </w:tcBorders>
          </w:tcPr>
          <w:p w14:paraId="432A0DB8" w14:textId="77777777" w:rsidR="00D305E9" w:rsidRPr="00F01EC8" w:rsidRDefault="00D305E9" w:rsidP="00041252">
            <w:pPr>
              <w:jc w:val="right"/>
              <w:rPr>
                <w:rFonts w:asciiTheme="minorHAnsi" w:hAnsiTheme="minorHAnsi" w:cs="Arial"/>
                <w:sz w:val="20"/>
                <w:szCs w:val="20"/>
              </w:rPr>
            </w:pPr>
          </w:p>
        </w:tc>
      </w:tr>
      <w:tr w:rsidR="00D305E9" w:rsidRPr="00F01EC8" w14:paraId="50231CAA" w14:textId="77777777" w:rsidTr="00F43660">
        <w:tc>
          <w:tcPr>
            <w:tcW w:w="4536" w:type="dxa"/>
          </w:tcPr>
          <w:p w14:paraId="719891F8" w14:textId="77777777" w:rsidR="00D305E9" w:rsidRPr="00F01EC8" w:rsidRDefault="00D305E9" w:rsidP="00041252">
            <w:pPr>
              <w:rPr>
                <w:rFonts w:asciiTheme="minorHAnsi" w:hAnsiTheme="minorHAnsi" w:cs="Arial"/>
                <w:b/>
                <w:sz w:val="20"/>
                <w:szCs w:val="20"/>
              </w:rPr>
            </w:pPr>
            <w:r w:rsidRPr="00F01EC8">
              <w:rPr>
                <w:rFonts w:asciiTheme="minorHAnsi" w:hAnsiTheme="minorHAnsi" w:cs="Arial"/>
                <w:b/>
                <w:sz w:val="20"/>
                <w:szCs w:val="20"/>
              </w:rPr>
              <w:t>Allowance account</w:t>
            </w:r>
          </w:p>
        </w:tc>
        <w:tc>
          <w:tcPr>
            <w:tcW w:w="1276" w:type="dxa"/>
            <w:vAlign w:val="bottom"/>
          </w:tcPr>
          <w:p w14:paraId="0524D8A6" w14:textId="77777777" w:rsidR="00D305E9" w:rsidRPr="00F01EC8" w:rsidRDefault="00D305E9" w:rsidP="00041252">
            <w:pPr>
              <w:jc w:val="right"/>
              <w:rPr>
                <w:rFonts w:asciiTheme="minorHAnsi" w:hAnsiTheme="minorHAnsi" w:cs="Arial"/>
                <w:sz w:val="20"/>
                <w:szCs w:val="20"/>
              </w:rPr>
            </w:pPr>
          </w:p>
        </w:tc>
        <w:tc>
          <w:tcPr>
            <w:tcW w:w="1276" w:type="dxa"/>
            <w:vAlign w:val="bottom"/>
          </w:tcPr>
          <w:p w14:paraId="71980E07" w14:textId="77777777" w:rsidR="00D305E9" w:rsidRPr="00F01EC8" w:rsidRDefault="00D305E9" w:rsidP="00041252">
            <w:pPr>
              <w:jc w:val="right"/>
              <w:rPr>
                <w:rFonts w:asciiTheme="minorHAnsi" w:hAnsiTheme="minorHAnsi" w:cs="Arial"/>
                <w:sz w:val="20"/>
                <w:szCs w:val="20"/>
              </w:rPr>
            </w:pPr>
          </w:p>
        </w:tc>
        <w:tc>
          <w:tcPr>
            <w:tcW w:w="1276" w:type="dxa"/>
          </w:tcPr>
          <w:p w14:paraId="715F0572" w14:textId="77777777" w:rsidR="00D305E9" w:rsidRPr="00F01EC8" w:rsidRDefault="00D305E9" w:rsidP="00041252">
            <w:pPr>
              <w:jc w:val="right"/>
              <w:rPr>
                <w:rFonts w:asciiTheme="minorHAnsi" w:hAnsiTheme="minorHAnsi" w:cs="Arial"/>
                <w:sz w:val="20"/>
                <w:szCs w:val="20"/>
              </w:rPr>
            </w:pPr>
          </w:p>
        </w:tc>
        <w:tc>
          <w:tcPr>
            <w:tcW w:w="1559" w:type="dxa"/>
          </w:tcPr>
          <w:p w14:paraId="6560DD9F" w14:textId="77777777" w:rsidR="00D305E9" w:rsidRPr="00F01EC8" w:rsidRDefault="00D305E9" w:rsidP="00041252">
            <w:pPr>
              <w:jc w:val="right"/>
              <w:rPr>
                <w:rFonts w:asciiTheme="minorHAnsi" w:hAnsiTheme="minorHAnsi" w:cs="Arial"/>
                <w:sz w:val="20"/>
                <w:szCs w:val="20"/>
              </w:rPr>
            </w:pPr>
          </w:p>
        </w:tc>
      </w:tr>
      <w:tr w:rsidR="00D305E9" w:rsidRPr="00F01EC8" w14:paraId="7E15DBF3" w14:textId="77777777" w:rsidTr="00F43660">
        <w:tc>
          <w:tcPr>
            <w:tcW w:w="4536" w:type="dxa"/>
            <w:vAlign w:val="bottom"/>
          </w:tcPr>
          <w:p w14:paraId="6E0F81EB"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63F7FE3E"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(122.5)</w:t>
            </w:r>
          </w:p>
        </w:tc>
        <w:tc>
          <w:tcPr>
            <w:tcW w:w="1276" w:type="dxa"/>
            <w:vAlign w:val="bottom"/>
          </w:tcPr>
          <w:p w14:paraId="3BE183B0"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(97.7)</w:t>
            </w:r>
          </w:p>
        </w:tc>
        <w:tc>
          <w:tcPr>
            <w:tcW w:w="1276" w:type="dxa"/>
          </w:tcPr>
          <w:p w14:paraId="5585D7BE"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(251.2)</w:t>
            </w:r>
          </w:p>
        </w:tc>
        <w:tc>
          <w:tcPr>
            <w:tcW w:w="1559" w:type="dxa"/>
          </w:tcPr>
          <w:p w14:paraId="0AB287F1"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(471.4)</w:t>
            </w:r>
          </w:p>
        </w:tc>
      </w:tr>
      <w:tr w:rsidR="00D305E9" w:rsidRPr="00F01EC8" w14:paraId="2DEA4C4C" w14:textId="77777777" w:rsidTr="00F43660">
        <w:tc>
          <w:tcPr>
            <w:tcW w:w="4536" w:type="dxa"/>
            <w:vAlign w:val="bottom"/>
          </w:tcPr>
          <w:p w14:paraId="27A3EA59"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Moneybarn</w:t>
            </w:r>
          </w:p>
        </w:tc>
        <w:tc>
          <w:tcPr>
            <w:tcW w:w="1276" w:type="dxa"/>
            <w:vAlign w:val="bottom"/>
          </w:tcPr>
          <w:p w14:paraId="56620F8E"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(10.4)</w:t>
            </w:r>
          </w:p>
        </w:tc>
        <w:tc>
          <w:tcPr>
            <w:tcW w:w="1276" w:type="dxa"/>
            <w:vAlign w:val="bottom"/>
          </w:tcPr>
          <w:p w14:paraId="0AFB8F69"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(29.9)</w:t>
            </w:r>
          </w:p>
        </w:tc>
        <w:tc>
          <w:tcPr>
            <w:tcW w:w="1276" w:type="dxa"/>
          </w:tcPr>
          <w:p w14:paraId="6FB953EF" w14:textId="5CDD78F0" w:rsidR="00D305E9" w:rsidRPr="00F01EC8" w:rsidRDefault="00D305E9" w:rsidP="006B7C21">
            <w:pPr>
              <w:jc w:val="right"/>
              <w:rPr>
                <w:rFonts w:asciiTheme="minorHAnsi" w:hAnsiTheme="minorHAnsi" w:cs="Arial"/>
                <w:sz w:val="20"/>
                <w:szCs w:val="20"/>
              </w:rPr>
            </w:pPr>
            <w:r w:rsidRPr="00F01EC8">
              <w:rPr>
                <w:rFonts w:asciiTheme="minorHAnsi" w:hAnsiTheme="minorHAnsi" w:cs="Arial"/>
                <w:sz w:val="20"/>
                <w:szCs w:val="20"/>
              </w:rPr>
              <w:t>(</w:t>
            </w:r>
            <w:r w:rsidR="006B7C21" w:rsidRPr="00F01EC8">
              <w:rPr>
                <w:rFonts w:asciiTheme="minorHAnsi" w:hAnsiTheme="minorHAnsi" w:cs="Arial"/>
                <w:sz w:val="20"/>
                <w:szCs w:val="20"/>
              </w:rPr>
              <w:t>114.6</w:t>
            </w:r>
            <w:r w:rsidRPr="00F01EC8">
              <w:rPr>
                <w:rFonts w:asciiTheme="minorHAnsi" w:hAnsiTheme="minorHAnsi" w:cs="Arial"/>
                <w:sz w:val="20"/>
                <w:szCs w:val="20"/>
              </w:rPr>
              <w:t>)</w:t>
            </w:r>
          </w:p>
        </w:tc>
        <w:tc>
          <w:tcPr>
            <w:tcW w:w="1559" w:type="dxa"/>
          </w:tcPr>
          <w:p w14:paraId="33D5D8C8" w14:textId="2DDDC821"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w:t>
            </w:r>
            <w:r w:rsidR="006B7C21" w:rsidRPr="00F01EC8">
              <w:rPr>
                <w:rFonts w:asciiTheme="minorHAnsi" w:hAnsiTheme="minorHAnsi" w:cs="Arial"/>
                <w:sz w:val="20"/>
                <w:szCs w:val="20"/>
              </w:rPr>
              <w:t>154.9</w:t>
            </w:r>
            <w:r w:rsidRPr="00F01EC8">
              <w:rPr>
                <w:rFonts w:asciiTheme="minorHAnsi" w:hAnsiTheme="minorHAnsi" w:cs="Arial"/>
                <w:sz w:val="20"/>
                <w:szCs w:val="20"/>
              </w:rPr>
              <w:t>)</w:t>
            </w:r>
          </w:p>
        </w:tc>
      </w:tr>
      <w:tr w:rsidR="00D305E9" w:rsidRPr="00F01EC8" w14:paraId="762B624C" w14:textId="77777777" w:rsidTr="00F43660">
        <w:tc>
          <w:tcPr>
            <w:tcW w:w="4536" w:type="dxa"/>
            <w:vAlign w:val="bottom"/>
          </w:tcPr>
          <w:p w14:paraId="107DB8B5"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4223BAF7"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(9.0)</w:t>
            </w:r>
          </w:p>
        </w:tc>
        <w:tc>
          <w:tcPr>
            <w:tcW w:w="1276" w:type="dxa"/>
            <w:vAlign w:val="bottom"/>
          </w:tcPr>
          <w:p w14:paraId="6FC86CF2"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(11.1)</w:t>
            </w:r>
          </w:p>
        </w:tc>
        <w:tc>
          <w:tcPr>
            <w:tcW w:w="1276" w:type="dxa"/>
          </w:tcPr>
          <w:p w14:paraId="77086A3C"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(415.9)</w:t>
            </w:r>
          </w:p>
        </w:tc>
        <w:tc>
          <w:tcPr>
            <w:tcW w:w="1559" w:type="dxa"/>
          </w:tcPr>
          <w:p w14:paraId="18E07669"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(436.0)</w:t>
            </w:r>
          </w:p>
        </w:tc>
      </w:tr>
      <w:tr w:rsidR="00D305E9" w:rsidRPr="00F01EC8" w14:paraId="1DF0402F" w14:textId="77777777" w:rsidTr="00F43660">
        <w:tc>
          <w:tcPr>
            <w:tcW w:w="4536" w:type="dxa"/>
            <w:vAlign w:val="bottom"/>
          </w:tcPr>
          <w:p w14:paraId="7966FABD" w14:textId="3F580E1C" w:rsidR="00D305E9" w:rsidRPr="00F01EC8" w:rsidRDefault="00D305E9" w:rsidP="00041252">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single" w:sz="12" w:space="0" w:color="auto"/>
              <w:right w:val="nil"/>
            </w:tcBorders>
            <w:vAlign w:val="bottom"/>
          </w:tcPr>
          <w:p w14:paraId="7EAE0BAF"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(141.9)</w:t>
            </w:r>
          </w:p>
        </w:tc>
        <w:tc>
          <w:tcPr>
            <w:tcW w:w="1276" w:type="dxa"/>
            <w:tcBorders>
              <w:top w:val="single" w:sz="4" w:space="0" w:color="auto"/>
              <w:left w:val="nil"/>
              <w:bottom w:val="single" w:sz="12" w:space="0" w:color="auto"/>
              <w:right w:val="nil"/>
            </w:tcBorders>
            <w:vAlign w:val="bottom"/>
          </w:tcPr>
          <w:p w14:paraId="76032F7C"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(138.7)</w:t>
            </w:r>
          </w:p>
        </w:tc>
        <w:tc>
          <w:tcPr>
            <w:tcW w:w="1276" w:type="dxa"/>
            <w:tcBorders>
              <w:top w:val="single" w:sz="4" w:space="0" w:color="auto"/>
              <w:left w:val="nil"/>
              <w:bottom w:val="single" w:sz="12" w:space="0" w:color="auto"/>
              <w:right w:val="nil"/>
            </w:tcBorders>
          </w:tcPr>
          <w:p w14:paraId="73418C13" w14:textId="0CF6D909"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(781.7</w:t>
            </w:r>
            <w:r w:rsidR="00D305E9" w:rsidRPr="00F01EC8">
              <w:rPr>
                <w:rFonts w:asciiTheme="minorHAnsi" w:hAnsiTheme="minorHAnsi" w:cs="Arial"/>
                <w:sz w:val="20"/>
                <w:szCs w:val="20"/>
              </w:rPr>
              <w:t>)</w:t>
            </w:r>
          </w:p>
        </w:tc>
        <w:tc>
          <w:tcPr>
            <w:tcW w:w="1559" w:type="dxa"/>
            <w:tcBorders>
              <w:top w:val="single" w:sz="4" w:space="0" w:color="auto"/>
              <w:left w:val="nil"/>
              <w:bottom w:val="single" w:sz="12" w:space="0" w:color="auto"/>
              <w:right w:val="nil"/>
            </w:tcBorders>
          </w:tcPr>
          <w:p w14:paraId="34A7A1A0" w14:textId="58C3660A"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(1,062.3</w:t>
            </w:r>
            <w:r w:rsidR="00D305E9" w:rsidRPr="00F01EC8">
              <w:rPr>
                <w:rFonts w:asciiTheme="minorHAnsi" w:hAnsiTheme="minorHAnsi" w:cs="Arial"/>
                <w:sz w:val="20"/>
                <w:szCs w:val="20"/>
              </w:rPr>
              <w:t>)</w:t>
            </w:r>
          </w:p>
        </w:tc>
      </w:tr>
    </w:tbl>
    <w:p w14:paraId="24DB0260" w14:textId="77777777" w:rsidR="00D305E9" w:rsidRPr="00F01EC8" w:rsidRDefault="00D305E9" w:rsidP="00D3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ook w:val="0000" w:firstRow="0" w:lastRow="0" w:firstColumn="0" w:lastColumn="0" w:noHBand="0" w:noVBand="0"/>
      </w:tblPr>
      <w:tblGrid>
        <w:gridCol w:w="4536"/>
        <w:gridCol w:w="1276"/>
        <w:gridCol w:w="1276"/>
        <w:gridCol w:w="1276"/>
        <w:gridCol w:w="1559"/>
      </w:tblGrid>
      <w:tr w:rsidR="00D305E9" w:rsidRPr="00F01EC8" w14:paraId="73A2CA2C" w14:textId="77777777" w:rsidTr="00F43660">
        <w:tc>
          <w:tcPr>
            <w:tcW w:w="4536" w:type="dxa"/>
          </w:tcPr>
          <w:p w14:paraId="00F6D24E" w14:textId="77777777" w:rsidR="00D305E9" w:rsidRPr="00F01EC8" w:rsidRDefault="00D305E9" w:rsidP="00041252">
            <w:pPr>
              <w:rPr>
                <w:rFonts w:asciiTheme="minorHAnsi" w:hAnsiTheme="minorHAnsi" w:cs="Arial"/>
                <w:b/>
                <w:sz w:val="20"/>
                <w:szCs w:val="20"/>
              </w:rPr>
            </w:pPr>
            <w:r w:rsidRPr="00F01EC8">
              <w:rPr>
                <w:rFonts w:asciiTheme="minorHAnsi" w:hAnsiTheme="minorHAnsi" w:cs="Arial"/>
                <w:b/>
                <w:sz w:val="20"/>
                <w:szCs w:val="20"/>
              </w:rPr>
              <w:t>Net receivables</w:t>
            </w:r>
          </w:p>
        </w:tc>
        <w:tc>
          <w:tcPr>
            <w:tcW w:w="1276" w:type="dxa"/>
            <w:vAlign w:val="bottom"/>
          </w:tcPr>
          <w:p w14:paraId="17EE9B02" w14:textId="77777777" w:rsidR="00D305E9" w:rsidRPr="00F01EC8" w:rsidRDefault="00D305E9" w:rsidP="00041252">
            <w:pPr>
              <w:jc w:val="right"/>
              <w:rPr>
                <w:rFonts w:asciiTheme="minorHAnsi" w:hAnsiTheme="minorHAnsi" w:cs="Arial"/>
                <w:sz w:val="20"/>
                <w:szCs w:val="20"/>
              </w:rPr>
            </w:pPr>
          </w:p>
        </w:tc>
        <w:tc>
          <w:tcPr>
            <w:tcW w:w="1276" w:type="dxa"/>
            <w:vAlign w:val="bottom"/>
          </w:tcPr>
          <w:p w14:paraId="37BD56B2" w14:textId="77777777" w:rsidR="00D305E9" w:rsidRPr="00F01EC8" w:rsidRDefault="00D305E9" w:rsidP="00041252">
            <w:pPr>
              <w:jc w:val="right"/>
              <w:rPr>
                <w:rFonts w:asciiTheme="minorHAnsi" w:hAnsiTheme="minorHAnsi" w:cs="Arial"/>
                <w:sz w:val="20"/>
                <w:szCs w:val="20"/>
              </w:rPr>
            </w:pPr>
          </w:p>
        </w:tc>
        <w:tc>
          <w:tcPr>
            <w:tcW w:w="1276" w:type="dxa"/>
          </w:tcPr>
          <w:p w14:paraId="75B3CE21" w14:textId="77777777" w:rsidR="00D305E9" w:rsidRPr="00F01EC8" w:rsidRDefault="00D305E9" w:rsidP="00041252">
            <w:pPr>
              <w:jc w:val="right"/>
              <w:rPr>
                <w:rFonts w:asciiTheme="minorHAnsi" w:hAnsiTheme="minorHAnsi" w:cs="Arial"/>
                <w:sz w:val="20"/>
                <w:szCs w:val="20"/>
              </w:rPr>
            </w:pPr>
          </w:p>
        </w:tc>
        <w:tc>
          <w:tcPr>
            <w:tcW w:w="1559" w:type="dxa"/>
          </w:tcPr>
          <w:p w14:paraId="0DF7B9E2" w14:textId="77777777" w:rsidR="00D305E9" w:rsidRPr="00F01EC8" w:rsidRDefault="00D305E9" w:rsidP="00041252">
            <w:pPr>
              <w:jc w:val="right"/>
              <w:rPr>
                <w:rFonts w:asciiTheme="minorHAnsi" w:hAnsiTheme="minorHAnsi" w:cs="Arial"/>
                <w:sz w:val="20"/>
                <w:szCs w:val="20"/>
              </w:rPr>
            </w:pPr>
          </w:p>
        </w:tc>
      </w:tr>
      <w:tr w:rsidR="00D305E9" w:rsidRPr="00F01EC8" w14:paraId="741D42B8" w14:textId="77777777" w:rsidTr="00F43660">
        <w:tc>
          <w:tcPr>
            <w:tcW w:w="4536" w:type="dxa"/>
            <w:vAlign w:val="bottom"/>
          </w:tcPr>
          <w:p w14:paraId="4732E73B"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vAlign w:val="bottom"/>
          </w:tcPr>
          <w:p w14:paraId="06DD95FC" w14:textId="195473B1"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1,159.2</w:t>
            </w:r>
          </w:p>
        </w:tc>
        <w:tc>
          <w:tcPr>
            <w:tcW w:w="1276" w:type="dxa"/>
            <w:vAlign w:val="bottom"/>
          </w:tcPr>
          <w:p w14:paraId="7DCF85F6" w14:textId="57E71D9F"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120.9</w:t>
            </w:r>
          </w:p>
        </w:tc>
        <w:tc>
          <w:tcPr>
            <w:tcW w:w="1276" w:type="dxa"/>
          </w:tcPr>
          <w:p w14:paraId="1D532F06" w14:textId="7BEB9F4D"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w:t>
            </w:r>
            <w:r w:rsidR="002A14A8" w:rsidRPr="00F01EC8">
              <w:rPr>
                <w:rFonts w:asciiTheme="minorHAnsi" w:hAnsiTheme="minorHAnsi" w:cs="Arial"/>
                <w:sz w:val="20"/>
                <w:szCs w:val="20"/>
              </w:rPr>
              <w:t>8</w:t>
            </w:r>
            <w:r w:rsidRPr="00F01EC8">
              <w:rPr>
                <w:rFonts w:asciiTheme="minorHAnsi" w:hAnsiTheme="minorHAnsi" w:cs="Arial"/>
                <w:sz w:val="20"/>
                <w:szCs w:val="20"/>
              </w:rPr>
              <w:t>4.7</w:t>
            </w:r>
          </w:p>
        </w:tc>
        <w:tc>
          <w:tcPr>
            <w:tcW w:w="1559" w:type="dxa"/>
          </w:tcPr>
          <w:p w14:paraId="1B3FA803" w14:textId="35255407"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1,464.8</w:t>
            </w:r>
          </w:p>
        </w:tc>
      </w:tr>
      <w:tr w:rsidR="00D305E9" w:rsidRPr="00F01EC8" w14:paraId="2DD2F91B" w14:textId="77777777" w:rsidTr="00F43660">
        <w:tc>
          <w:tcPr>
            <w:tcW w:w="4536" w:type="dxa"/>
            <w:vAlign w:val="bottom"/>
          </w:tcPr>
          <w:p w14:paraId="21957F90"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Moneybarn</w:t>
            </w:r>
          </w:p>
        </w:tc>
        <w:tc>
          <w:tcPr>
            <w:tcW w:w="1276" w:type="dxa"/>
            <w:vAlign w:val="bottom"/>
          </w:tcPr>
          <w:p w14:paraId="7F4B6E62" w14:textId="202748E8"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328.1</w:t>
            </w:r>
            <w:r w:rsidR="00D305E9" w:rsidRPr="00F01EC8">
              <w:rPr>
                <w:rFonts w:asciiTheme="minorHAnsi" w:hAnsiTheme="minorHAnsi" w:cs="Arial"/>
                <w:sz w:val="20"/>
                <w:szCs w:val="20"/>
              </w:rPr>
              <w:t> </w:t>
            </w:r>
          </w:p>
        </w:tc>
        <w:tc>
          <w:tcPr>
            <w:tcW w:w="1276" w:type="dxa"/>
            <w:vAlign w:val="bottom"/>
          </w:tcPr>
          <w:p w14:paraId="0BD692DA" w14:textId="1A05CD7A"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121.1</w:t>
            </w:r>
          </w:p>
        </w:tc>
        <w:tc>
          <w:tcPr>
            <w:tcW w:w="1276" w:type="dxa"/>
          </w:tcPr>
          <w:p w14:paraId="41CC6261" w14:textId="74BCE673"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35.5</w:t>
            </w:r>
          </w:p>
        </w:tc>
        <w:tc>
          <w:tcPr>
            <w:tcW w:w="1559" w:type="dxa"/>
          </w:tcPr>
          <w:p w14:paraId="58E6EB05" w14:textId="4672A28D" w:rsidR="00D305E9" w:rsidRPr="00F01EC8" w:rsidRDefault="006B7C21" w:rsidP="00041252">
            <w:pPr>
              <w:jc w:val="right"/>
              <w:rPr>
                <w:rFonts w:asciiTheme="minorHAnsi" w:hAnsiTheme="minorHAnsi" w:cs="Arial"/>
                <w:sz w:val="20"/>
                <w:szCs w:val="20"/>
              </w:rPr>
            </w:pPr>
            <w:r w:rsidRPr="00F01EC8">
              <w:rPr>
                <w:rFonts w:asciiTheme="minorHAnsi" w:hAnsiTheme="minorHAnsi" w:cs="Arial"/>
                <w:sz w:val="20"/>
                <w:szCs w:val="20"/>
              </w:rPr>
              <w:t>484.7</w:t>
            </w:r>
          </w:p>
        </w:tc>
      </w:tr>
      <w:tr w:rsidR="00D305E9" w:rsidRPr="00F01EC8" w14:paraId="5DCA053B" w14:textId="77777777" w:rsidTr="00F43660">
        <w:tc>
          <w:tcPr>
            <w:tcW w:w="4536" w:type="dxa"/>
            <w:vAlign w:val="bottom"/>
          </w:tcPr>
          <w:p w14:paraId="11AB55EE" w14:textId="77777777" w:rsidR="00D305E9" w:rsidRPr="00F01EC8" w:rsidRDefault="00D305E9" w:rsidP="00041252">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750C4C1F"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128.1 </w:t>
            </w:r>
          </w:p>
        </w:tc>
        <w:tc>
          <w:tcPr>
            <w:tcW w:w="1276" w:type="dxa"/>
            <w:vAlign w:val="bottom"/>
          </w:tcPr>
          <w:p w14:paraId="73D13818"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32.6 </w:t>
            </w:r>
          </w:p>
        </w:tc>
        <w:tc>
          <w:tcPr>
            <w:tcW w:w="1276" w:type="dxa"/>
          </w:tcPr>
          <w:p w14:paraId="3C61F438"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84.7 </w:t>
            </w:r>
          </w:p>
        </w:tc>
        <w:tc>
          <w:tcPr>
            <w:tcW w:w="1559" w:type="dxa"/>
          </w:tcPr>
          <w:p w14:paraId="14E2D9CB" w14:textId="77777777"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245.4 </w:t>
            </w:r>
          </w:p>
        </w:tc>
      </w:tr>
      <w:tr w:rsidR="00D305E9" w:rsidRPr="00F01EC8" w14:paraId="5BFD94DF" w14:textId="77777777" w:rsidTr="00F43660">
        <w:tc>
          <w:tcPr>
            <w:tcW w:w="4536" w:type="dxa"/>
            <w:tcBorders>
              <w:bottom w:val="nil"/>
            </w:tcBorders>
            <w:vAlign w:val="bottom"/>
          </w:tcPr>
          <w:p w14:paraId="2A378306" w14:textId="29CA2FE4" w:rsidR="00D305E9" w:rsidRPr="00F01EC8" w:rsidRDefault="00D305E9" w:rsidP="00041252">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single" w:sz="12" w:space="0" w:color="auto"/>
              <w:right w:val="nil"/>
            </w:tcBorders>
            <w:vAlign w:val="bottom"/>
          </w:tcPr>
          <w:p w14:paraId="2EAA47CF" w14:textId="194B52DF"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1,</w:t>
            </w:r>
            <w:r w:rsidR="002A14A8" w:rsidRPr="00F01EC8">
              <w:rPr>
                <w:rFonts w:asciiTheme="minorHAnsi" w:hAnsiTheme="minorHAnsi" w:cs="Arial"/>
                <w:sz w:val="20"/>
                <w:szCs w:val="20"/>
              </w:rPr>
              <w:t>615.4</w:t>
            </w:r>
            <w:r w:rsidRPr="00F01EC8">
              <w:rPr>
                <w:rFonts w:asciiTheme="minorHAnsi" w:hAnsiTheme="minorHAnsi" w:cs="Arial"/>
                <w:sz w:val="20"/>
                <w:szCs w:val="20"/>
              </w:rPr>
              <w:t> </w:t>
            </w:r>
          </w:p>
        </w:tc>
        <w:tc>
          <w:tcPr>
            <w:tcW w:w="1276" w:type="dxa"/>
            <w:tcBorders>
              <w:top w:val="single" w:sz="4" w:space="0" w:color="auto"/>
              <w:left w:val="nil"/>
              <w:bottom w:val="single" w:sz="12" w:space="0" w:color="auto"/>
              <w:right w:val="nil"/>
            </w:tcBorders>
            <w:vAlign w:val="bottom"/>
          </w:tcPr>
          <w:p w14:paraId="5591A6BE" w14:textId="79B6FF43"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2</w:t>
            </w:r>
            <w:r w:rsidR="002A14A8" w:rsidRPr="00F01EC8">
              <w:rPr>
                <w:rFonts w:asciiTheme="minorHAnsi" w:hAnsiTheme="minorHAnsi" w:cs="Arial"/>
                <w:sz w:val="20"/>
                <w:szCs w:val="20"/>
              </w:rPr>
              <w:t>74.6</w:t>
            </w:r>
            <w:r w:rsidRPr="00F01EC8">
              <w:rPr>
                <w:rFonts w:asciiTheme="minorHAnsi" w:hAnsiTheme="minorHAnsi" w:cs="Arial"/>
                <w:sz w:val="20"/>
                <w:szCs w:val="20"/>
              </w:rPr>
              <w:t> </w:t>
            </w:r>
          </w:p>
        </w:tc>
        <w:tc>
          <w:tcPr>
            <w:tcW w:w="1276" w:type="dxa"/>
            <w:tcBorders>
              <w:top w:val="single" w:sz="4" w:space="0" w:color="auto"/>
              <w:left w:val="nil"/>
              <w:bottom w:val="single" w:sz="12" w:space="0" w:color="auto"/>
              <w:right w:val="nil"/>
            </w:tcBorders>
          </w:tcPr>
          <w:p w14:paraId="4FB698FF" w14:textId="7C6BADC3" w:rsidR="00D305E9" w:rsidRPr="00F01EC8" w:rsidRDefault="002A14A8" w:rsidP="00041252">
            <w:pPr>
              <w:jc w:val="right"/>
              <w:rPr>
                <w:rFonts w:asciiTheme="minorHAnsi" w:hAnsiTheme="minorHAnsi" w:cs="Arial"/>
                <w:sz w:val="20"/>
                <w:szCs w:val="20"/>
              </w:rPr>
            </w:pPr>
            <w:r w:rsidRPr="00F01EC8">
              <w:rPr>
                <w:rFonts w:asciiTheme="minorHAnsi" w:hAnsiTheme="minorHAnsi" w:cs="Arial"/>
                <w:sz w:val="20"/>
                <w:szCs w:val="20"/>
              </w:rPr>
              <w:t>304.9</w:t>
            </w:r>
            <w:r w:rsidR="00D305E9" w:rsidRPr="00F01EC8">
              <w:rPr>
                <w:rFonts w:asciiTheme="minorHAnsi" w:hAnsiTheme="minorHAnsi" w:cs="Arial"/>
                <w:sz w:val="20"/>
                <w:szCs w:val="20"/>
              </w:rPr>
              <w:t> </w:t>
            </w:r>
          </w:p>
        </w:tc>
        <w:tc>
          <w:tcPr>
            <w:tcW w:w="1559" w:type="dxa"/>
            <w:tcBorders>
              <w:top w:val="single" w:sz="4" w:space="0" w:color="auto"/>
              <w:left w:val="nil"/>
              <w:bottom w:val="single" w:sz="12" w:space="0" w:color="auto"/>
              <w:right w:val="nil"/>
            </w:tcBorders>
          </w:tcPr>
          <w:p w14:paraId="2B183D8A" w14:textId="49F61EEE" w:rsidR="00D305E9" w:rsidRPr="00F01EC8" w:rsidRDefault="00D305E9" w:rsidP="00041252">
            <w:pPr>
              <w:jc w:val="right"/>
              <w:rPr>
                <w:rFonts w:asciiTheme="minorHAnsi" w:hAnsiTheme="minorHAnsi" w:cs="Arial"/>
                <w:sz w:val="20"/>
                <w:szCs w:val="20"/>
              </w:rPr>
            </w:pPr>
            <w:r w:rsidRPr="00F01EC8">
              <w:rPr>
                <w:rFonts w:asciiTheme="minorHAnsi" w:hAnsiTheme="minorHAnsi" w:cs="Arial"/>
                <w:sz w:val="20"/>
                <w:szCs w:val="20"/>
              </w:rPr>
              <w:t>2,1</w:t>
            </w:r>
            <w:r w:rsidR="002A14A8" w:rsidRPr="00F01EC8">
              <w:rPr>
                <w:rFonts w:asciiTheme="minorHAnsi" w:hAnsiTheme="minorHAnsi" w:cs="Arial"/>
                <w:sz w:val="20"/>
                <w:szCs w:val="20"/>
              </w:rPr>
              <w:t>94.9</w:t>
            </w:r>
            <w:r w:rsidRPr="00F01EC8">
              <w:rPr>
                <w:rFonts w:asciiTheme="minorHAnsi" w:hAnsiTheme="minorHAnsi" w:cs="Arial"/>
                <w:sz w:val="20"/>
                <w:szCs w:val="20"/>
              </w:rPr>
              <w:t> </w:t>
            </w:r>
          </w:p>
        </w:tc>
      </w:tr>
    </w:tbl>
    <w:p w14:paraId="24796FDD" w14:textId="77777777" w:rsidR="00DA6694" w:rsidRPr="00F01EC8" w:rsidRDefault="00DA6694" w:rsidP="00C52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514DF358" w14:textId="77777777" w:rsidR="00E46979" w:rsidRPr="00F01EC8" w:rsidRDefault="00E46979" w:rsidP="00AD1E75">
      <w:pPr>
        <w:jc w:val="both"/>
        <w:rPr>
          <w:rFonts w:asciiTheme="minorHAnsi" w:hAnsiTheme="minorHAnsi"/>
          <w:b/>
          <w:sz w:val="20"/>
          <w:szCs w:val="20"/>
        </w:rPr>
      </w:pPr>
      <w:r w:rsidRPr="00F01EC8">
        <w:rPr>
          <w:rFonts w:asciiTheme="minorHAnsi" w:hAnsiTheme="minorHAnsi"/>
          <w:b/>
          <w:sz w:val="20"/>
          <w:szCs w:val="20"/>
        </w:rPr>
        <w:t>Macro-economic provision</w:t>
      </w:r>
    </w:p>
    <w:p w14:paraId="367D6198" w14:textId="4CE6B4A2" w:rsidR="00E46979" w:rsidRPr="00F01EC8" w:rsidRDefault="00E46979" w:rsidP="00C52B5F">
      <w:pPr>
        <w:pStyle w:val="Pa20"/>
        <w:spacing w:after="100"/>
        <w:jc w:val="both"/>
        <w:rPr>
          <w:rFonts w:asciiTheme="minorHAnsi" w:hAnsiTheme="minorHAnsi" w:cs="Arial"/>
          <w:color w:val="000000"/>
          <w:sz w:val="20"/>
          <w:szCs w:val="20"/>
        </w:rPr>
      </w:pPr>
      <w:r w:rsidRPr="00F01EC8">
        <w:rPr>
          <w:rFonts w:asciiTheme="minorHAnsi" w:hAnsiTheme="minorHAnsi" w:cs="Arial"/>
          <w:color w:val="000000"/>
          <w:sz w:val="20"/>
          <w:szCs w:val="20"/>
        </w:rPr>
        <w:t>Macro</w:t>
      </w:r>
      <w:r w:rsidR="00836A77" w:rsidRPr="00F01EC8">
        <w:rPr>
          <w:rFonts w:asciiTheme="minorHAnsi" w:hAnsiTheme="minorHAnsi" w:cs="Arial"/>
          <w:color w:val="000000"/>
          <w:sz w:val="20"/>
          <w:szCs w:val="20"/>
        </w:rPr>
        <w:t>-</w:t>
      </w:r>
      <w:r w:rsidRPr="00F01EC8">
        <w:rPr>
          <w:rFonts w:asciiTheme="minorHAnsi" w:hAnsiTheme="minorHAnsi" w:cs="Arial"/>
          <w:color w:val="000000"/>
          <w:sz w:val="20"/>
          <w:szCs w:val="20"/>
        </w:rPr>
        <w:t>economic provisions are recognised</w:t>
      </w:r>
      <w:r w:rsidR="00C52B5F" w:rsidRPr="00F01EC8">
        <w:rPr>
          <w:rFonts w:asciiTheme="minorHAnsi" w:hAnsiTheme="minorHAnsi" w:cs="Arial"/>
          <w:color w:val="000000"/>
          <w:sz w:val="20"/>
          <w:szCs w:val="20"/>
        </w:rPr>
        <w:t xml:space="preserve"> </w:t>
      </w:r>
      <w:r w:rsidRPr="00F01EC8">
        <w:rPr>
          <w:rFonts w:asciiTheme="minorHAnsi" w:hAnsiTheme="minorHAnsi" w:cs="Arial"/>
          <w:color w:val="000000"/>
          <w:sz w:val="20"/>
          <w:szCs w:val="20"/>
        </w:rPr>
        <w:t xml:space="preserve">to reflect </w:t>
      </w:r>
      <w:r w:rsidR="00C52B5F" w:rsidRPr="00F01EC8">
        <w:rPr>
          <w:rFonts w:asciiTheme="minorHAnsi" w:hAnsiTheme="minorHAnsi" w:cs="Arial"/>
          <w:color w:val="000000"/>
          <w:sz w:val="20"/>
          <w:szCs w:val="20"/>
        </w:rPr>
        <w:t>an</w:t>
      </w:r>
      <w:r w:rsidRPr="00F01EC8">
        <w:rPr>
          <w:rFonts w:asciiTheme="minorHAnsi" w:hAnsiTheme="minorHAnsi" w:cs="Arial"/>
          <w:color w:val="000000"/>
          <w:sz w:val="20"/>
          <w:szCs w:val="20"/>
        </w:rPr>
        <w:t xml:space="preserve"> increased PD and loss LGD, in addition to the core impairment provisions recognised</w:t>
      </w:r>
      <w:r w:rsidR="00C52B5F" w:rsidRPr="00F01EC8">
        <w:rPr>
          <w:rFonts w:asciiTheme="minorHAnsi" w:hAnsiTheme="minorHAnsi" w:cs="Arial"/>
          <w:color w:val="000000"/>
          <w:sz w:val="20"/>
          <w:szCs w:val="20"/>
        </w:rPr>
        <w:t>,</w:t>
      </w:r>
      <w:r w:rsidRPr="00F01EC8">
        <w:rPr>
          <w:rFonts w:asciiTheme="minorHAnsi" w:hAnsiTheme="minorHAnsi" w:cs="Arial"/>
          <w:color w:val="000000"/>
          <w:sz w:val="20"/>
          <w:szCs w:val="20"/>
        </w:rPr>
        <w:t xml:space="preserve"> based on future macro-economic scenarios. </w:t>
      </w:r>
    </w:p>
    <w:p w14:paraId="5BB22856" w14:textId="2EB1DF22" w:rsidR="005E78EA" w:rsidRPr="00F01EC8" w:rsidRDefault="00E46979" w:rsidP="00082465">
      <w:pPr>
        <w:pStyle w:val="Pa20"/>
        <w:spacing w:after="100"/>
        <w:jc w:val="both"/>
        <w:rPr>
          <w:rFonts w:asciiTheme="minorHAnsi" w:hAnsiTheme="minorHAnsi" w:cs="Arial"/>
          <w:color w:val="000000"/>
          <w:sz w:val="20"/>
          <w:szCs w:val="20"/>
        </w:rPr>
      </w:pPr>
      <w:r w:rsidRPr="00F01EC8">
        <w:rPr>
          <w:rFonts w:asciiTheme="minorHAnsi" w:hAnsiTheme="minorHAnsi" w:cs="Arial"/>
          <w:color w:val="000000"/>
          <w:sz w:val="20"/>
          <w:szCs w:val="20"/>
        </w:rPr>
        <w:t xml:space="preserve">For Vanquis Bank, the provision reflects the potential for future changes in unemployment under a range of unemployment forecasts. For Moneybarn, both changes in unemployment and used car sales values are assumed. </w:t>
      </w:r>
    </w:p>
    <w:p w14:paraId="6F024997" w14:textId="07D37D55" w:rsidR="009D39AC" w:rsidRDefault="00C52B5F" w:rsidP="002303EB">
      <w:pPr>
        <w:pStyle w:val="Pa20"/>
        <w:spacing w:after="100"/>
        <w:jc w:val="both"/>
        <w:rPr>
          <w:rFonts w:asciiTheme="minorHAnsi" w:hAnsiTheme="minorHAnsi" w:cs="Arial"/>
          <w:color w:val="000000"/>
          <w:sz w:val="20"/>
          <w:szCs w:val="20"/>
        </w:rPr>
      </w:pPr>
      <w:r w:rsidRPr="00F01EC8">
        <w:rPr>
          <w:rFonts w:asciiTheme="minorHAnsi" w:hAnsiTheme="minorHAnsi" w:cs="Arial"/>
          <w:color w:val="000000"/>
          <w:sz w:val="20"/>
          <w:szCs w:val="20"/>
        </w:rPr>
        <w:t>CCD customers are not considered to be reflective of the wider economy as they are less indebted and are therefore not impacted by the same macro-economic factors</w:t>
      </w:r>
      <w:r w:rsidR="00C32E9C">
        <w:rPr>
          <w:rFonts w:asciiTheme="minorHAnsi" w:hAnsiTheme="minorHAnsi" w:cs="Arial"/>
          <w:color w:val="000000"/>
          <w:sz w:val="20"/>
          <w:szCs w:val="20"/>
        </w:rPr>
        <w:t>,</w:t>
      </w:r>
      <w:r w:rsidRPr="00F01EC8">
        <w:rPr>
          <w:rFonts w:asciiTheme="minorHAnsi" w:hAnsiTheme="minorHAnsi" w:cs="Arial"/>
          <w:color w:val="000000"/>
          <w:sz w:val="20"/>
          <w:szCs w:val="20"/>
        </w:rPr>
        <w:t xml:space="preserve"> or to the same degree. Consequently there is no evidence of any significant correlation between the impairment charge and macro</w:t>
      </w:r>
      <w:r w:rsidR="00C32E9C">
        <w:rPr>
          <w:rFonts w:asciiTheme="minorHAnsi" w:hAnsiTheme="minorHAnsi" w:cs="Arial"/>
          <w:color w:val="000000"/>
          <w:sz w:val="20"/>
          <w:szCs w:val="20"/>
        </w:rPr>
        <w:t>-economic</w:t>
      </w:r>
      <w:r w:rsidR="00C32E9C" w:rsidRPr="00F01EC8">
        <w:rPr>
          <w:rFonts w:asciiTheme="minorHAnsi" w:hAnsiTheme="minorHAnsi" w:cs="Arial"/>
          <w:color w:val="000000"/>
          <w:sz w:val="20"/>
          <w:szCs w:val="20"/>
        </w:rPr>
        <w:t xml:space="preserve"> </w:t>
      </w:r>
      <w:r w:rsidRPr="00F01EC8">
        <w:rPr>
          <w:rFonts w:asciiTheme="minorHAnsi" w:hAnsiTheme="minorHAnsi" w:cs="Arial"/>
          <w:color w:val="000000"/>
          <w:sz w:val="20"/>
          <w:szCs w:val="20"/>
        </w:rPr>
        <w:t>statistics. Consistent with the 2019 year end, a separate macro</w:t>
      </w:r>
      <w:r w:rsidR="00C32E9C">
        <w:rPr>
          <w:rFonts w:asciiTheme="minorHAnsi" w:hAnsiTheme="minorHAnsi" w:cs="Arial"/>
          <w:color w:val="000000"/>
          <w:sz w:val="20"/>
          <w:szCs w:val="20"/>
        </w:rPr>
        <w:t>-</w:t>
      </w:r>
      <w:r w:rsidRPr="00F01EC8">
        <w:rPr>
          <w:rFonts w:asciiTheme="minorHAnsi" w:hAnsiTheme="minorHAnsi" w:cs="Arial"/>
          <w:color w:val="000000"/>
          <w:sz w:val="20"/>
          <w:szCs w:val="20"/>
        </w:rPr>
        <w:t>economic provision is not held for CCD.</w:t>
      </w:r>
    </w:p>
    <w:p w14:paraId="577BE87D" w14:textId="77777777" w:rsidR="002303EB" w:rsidRPr="002303EB" w:rsidRDefault="002303EB" w:rsidP="002303EB">
      <w:pPr>
        <w:pStyle w:val="Default"/>
        <w:rPr>
          <w:lang w:eastAsia="en-GB"/>
        </w:rPr>
      </w:pPr>
    </w:p>
    <w:p w14:paraId="164F4918" w14:textId="77777777" w:rsidR="00DA6694" w:rsidRPr="00F01EC8" w:rsidRDefault="00DA6694" w:rsidP="00C52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F01EC8">
        <w:rPr>
          <w:rFonts w:asciiTheme="minorHAnsi" w:hAnsiTheme="minorHAnsi" w:cs="Arial"/>
          <w:bCs/>
          <w:sz w:val="20"/>
          <w:szCs w:val="20"/>
        </w:rPr>
        <w:t>The impairment charge in respect of amounts receivable from customers can be analysed as follows:</w:t>
      </w:r>
    </w:p>
    <w:p w14:paraId="7AB3EE43"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ook w:val="0000" w:firstRow="0" w:lastRow="0" w:firstColumn="0" w:lastColumn="0" w:noHBand="0" w:noVBand="0"/>
      </w:tblPr>
      <w:tblGrid>
        <w:gridCol w:w="7371"/>
        <w:gridCol w:w="1276"/>
        <w:gridCol w:w="1276"/>
      </w:tblGrid>
      <w:tr w:rsidR="00DA6694" w:rsidRPr="00F01EC8" w14:paraId="7B04AFFD" w14:textId="77777777" w:rsidTr="00AC0A5D">
        <w:tc>
          <w:tcPr>
            <w:tcW w:w="7371" w:type="dxa"/>
            <w:vAlign w:val="bottom"/>
          </w:tcPr>
          <w:p w14:paraId="63C88AA8" w14:textId="77777777" w:rsidR="00DA6694" w:rsidRPr="00F01EC8" w:rsidRDefault="00DA6694" w:rsidP="00AC0A5D">
            <w:pPr>
              <w:rPr>
                <w:rFonts w:asciiTheme="minorHAnsi" w:hAnsiTheme="minorHAnsi" w:cs="Arial"/>
                <w:sz w:val="20"/>
                <w:szCs w:val="20"/>
              </w:rPr>
            </w:pPr>
          </w:p>
        </w:tc>
        <w:tc>
          <w:tcPr>
            <w:tcW w:w="2552" w:type="dxa"/>
            <w:gridSpan w:val="2"/>
          </w:tcPr>
          <w:p w14:paraId="1F7C34DC"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4616AA3F" w14:textId="77777777" w:rsidTr="00AC0A5D">
        <w:tc>
          <w:tcPr>
            <w:tcW w:w="7371" w:type="dxa"/>
            <w:vAlign w:val="bottom"/>
          </w:tcPr>
          <w:p w14:paraId="7DE07577" w14:textId="77777777" w:rsidR="00DA6694" w:rsidRPr="00F01EC8" w:rsidRDefault="00DA6694" w:rsidP="00AC0A5D">
            <w:pPr>
              <w:rPr>
                <w:rFonts w:asciiTheme="minorHAnsi" w:hAnsiTheme="minorHAnsi" w:cs="Arial"/>
                <w:bCs/>
                <w:sz w:val="20"/>
                <w:szCs w:val="20"/>
              </w:rPr>
            </w:pPr>
          </w:p>
        </w:tc>
        <w:tc>
          <w:tcPr>
            <w:tcW w:w="1276" w:type="dxa"/>
            <w:tcBorders>
              <w:top w:val="nil"/>
              <w:left w:val="nil"/>
              <w:right w:val="nil"/>
            </w:tcBorders>
          </w:tcPr>
          <w:p w14:paraId="2707607A" w14:textId="75DD50CE"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C703E2" w:rsidRPr="00F01EC8">
              <w:rPr>
                <w:rFonts w:asciiTheme="minorHAnsi" w:hAnsiTheme="minorHAnsi" w:cs="Arial"/>
                <w:sz w:val="20"/>
                <w:szCs w:val="20"/>
              </w:rPr>
              <w:t>20</w:t>
            </w:r>
            <w:r w:rsidRPr="00F01EC8">
              <w:rPr>
                <w:rFonts w:asciiTheme="minorHAnsi" w:hAnsiTheme="minorHAnsi" w:cs="Arial"/>
                <w:sz w:val="20"/>
                <w:szCs w:val="20"/>
              </w:rPr>
              <w:t> </w:t>
            </w:r>
          </w:p>
        </w:tc>
        <w:tc>
          <w:tcPr>
            <w:tcW w:w="1276" w:type="dxa"/>
            <w:tcBorders>
              <w:top w:val="nil"/>
              <w:left w:val="nil"/>
              <w:right w:val="nil"/>
            </w:tcBorders>
          </w:tcPr>
          <w:p w14:paraId="610CE0BD" w14:textId="1F92EFA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C703E2" w:rsidRPr="00F01EC8">
              <w:rPr>
                <w:rFonts w:asciiTheme="minorHAnsi" w:hAnsiTheme="minorHAnsi" w:cs="Arial"/>
                <w:sz w:val="20"/>
                <w:szCs w:val="20"/>
              </w:rPr>
              <w:t>9</w:t>
            </w:r>
            <w:r w:rsidR="00AE626F" w:rsidRPr="00F01EC8">
              <w:rPr>
                <w:rFonts w:asciiTheme="minorHAnsi" w:hAnsiTheme="minorHAnsi" w:cs="Arial"/>
                <w:sz w:val="20"/>
                <w:szCs w:val="20"/>
              </w:rPr>
              <w:t xml:space="preserve"> (restated</w:t>
            </w:r>
            <w:r w:rsidR="002773B8" w:rsidRPr="00F01EC8">
              <w:rPr>
                <w:rFonts w:asciiTheme="minorHAnsi" w:hAnsiTheme="minorHAnsi" w:cs="Arial"/>
                <w:sz w:val="20"/>
                <w:szCs w:val="20"/>
              </w:rPr>
              <w:t>)</w:t>
            </w:r>
          </w:p>
        </w:tc>
      </w:tr>
      <w:tr w:rsidR="00DA6694" w:rsidRPr="00F01EC8" w14:paraId="02B8406F" w14:textId="77777777" w:rsidTr="00AC0A5D">
        <w:tc>
          <w:tcPr>
            <w:tcW w:w="7371" w:type="dxa"/>
            <w:vAlign w:val="bottom"/>
          </w:tcPr>
          <w:p w14:paraId="6E8E08D4" w14:textId="77777777" w:rsidR="00DA6694" w:rsidRPr="00F01EC8" w:rsidRDefault="00DA6694" w:rsidP="00AC0A5D">
            <w:pPr>
              <w:rPr>
                <w:rFonts w:asciiTheme="minorHAnsi" w:hAnsiTheme="minorHAnsi" w:cs="Arial"/>
                <w:sz w:val="20"/>
                <w:szCs w:val="20"/>
              </w:rPr>
            </w:pPr>
          </w:p>
        </w:tc>
        <w:tc>
          <w:tcPr>
            <w:tcW w:w="1276" w:type="dxa"/>
            <w:tcBorders>
              <w:bottom w:val="single" w:sz="4" w:space="0" w:color="auto"/>
            </w:tcBorders>
          </w:tcPr>
          <w:p w14:paraId="59F593F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276" w:type="dxa"/>
            <w:tcBorders>
              <w:bottom w:val="single" w:sz="4" w:space="0" w:color="auto"/>
            </w:tcBorders>
          </w:tcPr>
          <w:p w14:paraId="3D3A5AC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3D975CA5" w14:textId="77777777" w:rsidTr="00AC0A5D">
        <w:tc>
          <w:tcPr>
            <w:tcW w:w="7371" w:type="dxa"/>
            <w:vAlign w:val="bottom"/>
          </w:tcPr>
          <w:p w14:paraId="718C9D24"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Vanquis Bank</w:t>
            </w:r>
          </w:p>
        </w:tc>
        <w:tc>
          <w:tcPr>
            <w:tcW w:w="1276" w:type="dxa"/>
            <w:tcBorders>
              <w:top w:val="single" w:sz="4" w:space="0" w:color="auto"/>
            </w:tcBorders>
          </w:tcPr>
          <w:p w14:paraId="3A755E79" w14:textId="19E63A72" w:rsidR="00DA6694" w:rsidRPr="00F01EC8" w:rsidRDefault="00C95C31" w:rsidP="00AC0A5D">
            <w:pPr>
              <w:jc w:val="right"/>
              <w:rPr>
                <w:rFonts w:asciiTheme="minorHAnsi" w:hAnsiTheme="minorHAnsi" w:cs="Arial"/>
                <w:sz w:val="20"/>
                <w:szCs w:val="20"/>
              </w:rPr>
            </w:pPr>
            <w:r w:rsidRPr="00F01EC8">
              <w:rPr>
                <w:rFonts w:asciiTheme="minorHAnsi" w:hAnsiTheme="minorHAnsi" w:cs="Arial"/>
                <w:sz w:val="20"/>
                <w:szCs w:val="20"/>
              </w:rPr>
              <w:t>149.9</w:t>
            </w:r>
          </w:p>
        </w:tc>
        <w:tc>
          <w:tcPr>
            <w:tcW w:w="1276" w:type="dxa"/>
            <w:tcBorders>
              <w:top w:val="single" w:sz="4" w:space="0" w:color="auto"/>
            </w:tcBorders>
          </w:tcPr>
          <w:p w14:paraId="43B62432" w14:textId="305CDCB0" w:rsidR="00DA6694" w:rsidRPr="00F01EC8" w:rsidRDefault="00AE626F" w:rsidP="00AC0A5D">
            <w:pPr>
              <w:jc w:val="right"/>
              <w:rPr>
                <w:rFonts w:asciiTheme="minorHAnsi" w:hAnsiTheme="minorHAnsi" w:cs="Arial"/>
                <w:sz w:val="20"/>
                <w:szCs w:val="20"/>
              </w:rPr>
            </w:pPr>
            <w:r w:rsidRPr="00F01EC8">
              <w:rPr>
                <w:rFonts w:asciiTheme="minorHAnsi" w:hAnsiTheme="minorHAnsi" w:cs="Arial"/>
                <w:sz w:val="20"/>
                <w:szCs w:val="20"/>
              </w:rPr>
              <w:t>96.6</w:t>
            </w:r>
            <w:r w:rsidR="00DA6694" w:rsidRPr="00F01EC8">
              <w:rPr>
                <w:rFonts w:asciiTheme="minorHAnsi" w:hAnsiTheme="minorHAnsi" w:cs="Arial"/>
                <w:sz w:val="20"/>
                <w:szCs w:val="20"/>
              </w:rPr>
              <w:t> </w:t>
            </w:r>
          </w:p>
        </w:tc>
      </w:tr>
      <w:tr w:rsidR="00DA6694" w:rsidRPr="00F01EC8" w14:paraId="1F3B6BDF" w14:textId="77777777" w:rsidTr="00AC0A5D">
        <w:tc>
          <w:tcPr>
            <w:tcW w:w="7371" w:type="dxa"/>
            <w:vAlign w:val="bottom"/>
          </w:tcPr>
          <w:p w14:paraId="72C9EE8B"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Moneybarn</w:t>
            </w:r>
          </w:p>
        </w:tc>
        <w:tc>
          <w:tcPr>
            <w:tcW w:w="1276" w:type="dxa"/>
            <w:vAlign w:val="bottom"/>
          </w:tcPr>
          <w:p w14:paraId="47D14B13" w14:textId="758B2B65" w:rsidR="00DA6694" w:rsidRPr="00F01EC8" w:rsidRDefault="00C95C31" w:rsidP="00AC0A5D">
            <w:pPr>
              <w:jc w:val="right"/>
              <w:rPr>
                <w:rFonts w:asciiTheme="minorHAnsi" w:hAnsiTheme="minorHAnsi" w:cs="Arial"/>
                <w:sz w:val="20"/>
                <w:szCs w:val="20"/>
              </w:rPr>
            </w:pPr>
            <w:r w:rsidRPr="00F01EC8">
              <w:rPr>
                <w:rFonts w:asciiTheme="minorHAnsi" w:hAnsiTheme="minorHAnsi" w:cs="Arial"/>
                <w:sz w:val="20"/>
                <w:szCs w:val="20"/>
              </w:rPr>
              <w:t>37.5</w:t>
            </w:r>
          </w:p>
        </w:tc>
        <w:tc>
          <w:tcPr>
            <w:tcW w:w="1276" w:type="dxa"/>
          </w:tcPr>
          <w:p w14:paraId="4339E60D" w14:textId="770CAB43" w:rsidR="00DA6694" w:rsidRPr="00F01EC8" w:rsidRDefault="00AE626F" w:rsidP="00AC0A5D">
            <w:pPr>
              <w:jc w:val="right"/>
              <w:rPr>
                <w:rFonts w:asciiTheme="minorHAnsi" w:hAnsiTheme="minorHAnsi" w:cs="Arial"/>
                <w:sz w:val="20"/>
                <w:szCs w:val="20"/>
              </w:rPr>
            </w:pPr>
            <w:r w:rsidRPr="00F01EC8">
              <w:rPr>
                <w:rFonts w:asciiTheme="minorHAnsi" w:hAnsiTheme="minorHAnsi" w:cs="Arial"/>
                <w:sz w:val="20"/>
                <w:szCs w:val="20"/>
              </w:rPr>
              <w:t>17.5</w:t>
            </w:r>
            <w:r w:rsidR="00DA6694" w:rsidRPr="00F01EC8">
              <w:rPr>
                <w:rFonts w:asciiTheme="minorHAnsi" w:hAnsiTheme="minorHAnsi" w:cs="Arial"/>
                <w:sz w:val="20"/>
                <w:szCs w:val="20"/>
              </w:rPr>
              <w:t> </w:t>
            </w:r>
          </w:p>
        </w:tc>
      </w:tr>
      <w:tr w:rsidR="00DA6694" w:rsidRPr="00F01EC8" w14:paraId="165B8480" w14:textId="77777777" w:rsidTr="00AC0A5D">
        <w:tc>
          <w:tcPr>
            <w:tcW w:w="7371" w:type="dxa"/>
            <w:vAlign w:val="bottom"/>
          </w:tcPr>
          <w:p w14:paraId="45A61A1C"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CCD</w:t>
            </w:r>
          </w:p>
        </w:tc>
        <w:tc>
          <w:tcPr>
            <w:tcW w:w="1276" w:type="dxa"/>
            <w:vAlign w:val="bottom"/>
          </w:tcPr>
          <w:p w14:paraId="104484AF" w14:textId="3C1326FF" w:rsidR="00DA6694" w:rsidRPr="00F01EC8" w:rsidRDefault="00C95C31" w:rsidP="00AC0A5D">
            <w:pPr>
              <w:jc w:val="right"/>
              <w:rPr>
                <w:rFonts w:asciiTheme="minorHAnsi" w:hAnsiTheme="minorHAnsi" w:cs="Arial"/>
                <w:sz w:val="20"/>
                <w:szCs w:val="20"/>
              </w:rPr>
            </w:pPr>
            <w:r w:rsidRPr="00F01EC8">
              <w:rPr>
                <w:rFonts w:asciiTheme="minorHAnsi" w:hAnsiTheme="minorHAnsi" w:cs="Arial"/>
                <w:sz w:val="20"/>
                <w:szCs w:val="20"/>
              </w:rPr>
              <w:t>52.9</w:t>
            </w:r>
          </w:p>
        </w:tc>
        <w:tc>
          <w:tcPr>
            <w:tcW w:w="1276" w:type="dxa"/>
          </w:tcPr>
          <w:p w14:paraId="2FA2DF41" w14:textId="45CBCFA4" w:rsidR="00DA6694" w:rsidRPr="00F01EC8" w:rsidRDefault="00AE626F" w:rsidP="00AC0A5D">
            <w:pPr>
              <w:jc w:val="right"/>
              <w:rPr>
                <w:rFonts w:asciiTheme="minorHAnsi" w:hAnsiTheme="minorHAnsi" w:cs="Arial"/>
                <w:sz w:val="20"/>
                <w:szCs w:val="20"/>
              </w:rPr>
            </w:pPr>
            <w:r w:rsidRPr="00F01EC8">
              <w:rPr>
                <w:rFonts w:asciiTheme="minorHAnsi" w:hAnsiTheme="minorHAnsi" w:cs="Arial"/>
                <w:sz w:val="20"/>
                <w:szCs w:val="20"/>
              </w:rPr>
              <w:t>51.8</w:t>
            </w:r>
            <w:r w:rsidR="00DA6694" w:rsidRPr="00F01EC8">
              <w:rPr>
                <w:rFonts w:asciiTheme="minorHAnsi" w:hAnsiTheme="minorHAnsi" w:cs="Arial"/>
                <w:sz w:val="20"/>
                <w:szCs w:val="20"/>
              </w:rPr>
              <w:t> </w:t>
            </w:r>
          </w:p>
        </w:tc>
      </w:tr>
      <w:tr w:rsidR="00DA6694" w:rsidRPr="00F01EC8" w14:paraId="0EAB944A" w14:textId="77777777" w:rsidTr="00AC0A5D">
        <w:tc>
          <w:tcPr>
            <w:tcW w:w="7371" w:type="dxa"/>
            <w:vAlign w:val="bottom"/>
          </w:tcPr>
          <w:p w14:paraId="4FF6EBB4" w14:textId="192B44FB"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 xml:space="preserve">Total </w:t>
            </w:r>
            <w:r w:rsidR="005714EF">
              <w:rPr>
                <w:rFonts w:asciiTheme="minorHAnsi" w:hAnsiTheme="minorHAnsi" w:cs="Arial"/>
                <w:b/>
                <w:sz w:val="20"/>
                <w:szCs w:val="20"/>
              </w:rPr>
              <w:t>G</w:t>
            </w:r>
            <w:r w:rsidRPr="00F01EC8">
              <w:rPr>
                <w:rFonts w:asciiTheme="minorHAnsi" w:hAnsiTheme="minorHAnsi" w:cs="Arial"/>
                <w:b/>
                <w:sz w:val="20"/>
                <w:szCs w:val="20"/>
              </w:rPr>
              <w:t>roup</w:t>
            </w:r>
          </w:p>
        </w:tc>
        <w:tc>
          <w:tcPr>
            <w:tcW w:w="1276" w:type="dxa"/>
            <w:tcBorders>
              <w:top w:val="single" w:sz="4" w:space="0" w:color="auto"/>
              <w:left w:val="nil"/>
              <w:bottom w:val="single" w:sz="12" w:space="0" w:color="auto"/>
              <w:right w:val="nil"/>
            </w:tcBorders>
            <w:vAlign w:val="bottom"/>
          </w:tcPr>
          <w:p w14:paraId="4EBD43FD" w14:textId="36E99999" w:rsidR="00DA6694" w:rsidRPr="00F01EC8" w:rsidRDefault="00C95C31" w:rsidP="00AC0A5D">
            <w:pPr>
              <w:jc w:val="right"/>
              <w:rPr>
                <w:rFonts w:asciiTheme="minorHAnsi" w:hAnsiTheme="minorHAnsi" w:cs="Arial"/>
                <w:sz w:val="20"/>
                <w:szCs w:val="20"/>
              </w:rPr>
            </w:pPr>
            <w:r w:rsidRPr="00F01EC8">
              <w:rPr>
                <w:rFonts w:asciiTheme="minorHAnsi" w:hAnsiTheme="minorHAnsi" w:cs="Arial"/>
                <w:sz w:val="20"/>
                <w:szCs w:val="20"/>
              </w:rPr>
              <w:t>240.3</w:t>
            </w:r>
          </w:p>
        </w:tc>
        <w:tc>
          <w:tcPr>
            <w:tcW w:w="1276" w:type="dxa"/>
            <w:tcBorders>
              <w:top w:val="single" w:sz="4" w:space="0" w:color="auto"/>
              <w:left w:val="nil"/>
              <w:bottom w:val="single" w:sz="12" w:space="0" w:color="auto"/>
              <w:right w:val="nil"/>
            </w:tcBorders>
          </w:tcPr>
          <w:p w14:paraId="4DE61474" w14:textId="3AB66650" w:rsidR="00DA6694" w:rsidRPr="00F01EC8" w:rsidRDefault="00AE626F" w:rsidP="00AC0A5D">
            <w:pPr>
              <w:jc w:val="right"/>
              <w:rPr>
                <w:rFonts w:asciiTheme="minorHAnsi" w:hAnsiTheme="minorHAnsi" w:cs="Arial"/>
                <w:sz w:val="20"/>
                <w:szCs w:val="20"/>
              </w:rPr>
            </w:pPr>
            <w:r w:rsidRPr="00F01EC8">
              <w:rPr>
                <w:rFonts w:asciiTheme="minorHAnsi" w:hAnsiTheme="minorHAnsi" w:cs="Arial"/>
                <w:sz w:val="20"/>
                <w:szCs w:val="20"/>
              </w:rPr>
              <w:t>165.9</w:t>
            </w:r>
            <w:r w:rsidR="00DA6694" w:rsidRPr="00F01EC8">
              <w:rPr>
                <w:rFonts w:asciiTheme="minorHAnsi" w:hAnsiTheme="minorHAnsi" w:cs="Arial"/>
                <w:sz w:val="20"/>
                <w:szCs w:val="20"/>
              </w:rPr>
              <w:t> </w:t>
            </w:r>
          </w:p>
        </w:tc>
      </w:tr>
      <w:bookmarkEnd w:id="26"/>
      <w:bookmarkEnd w:id="27"/>
    </w:tbl>
    <w:p w14:paraId="592CBA73" w14:textId="0CA5EC85" w:rsidR="00DA6694" w:rsidRPr="00F01EC8" w:rsidRDefault="00DA6694" w:rsidP="00DA6694">
      <w:pPr>
        <w:rPr>
          <w:rFonts w:asciiTheme="minorHAnsi" w:hAnsiTheme="minorHAnsi" w:cs="Arial"/>
          <w:b/>
          <w:sz w:val="20"/>
          <w:szCs w:val="20"/>
        </w:rPr>
      </w:pPr>
    </w:p>
    <w:p w14:paraId="23F9C49E" w14:textId="77777777" w:rsidR="00DA6694" w:rsidRPr="00F01EC8" w:rsidRDefault="00DA6694" w:rsidP="00DA6694">
      <w:pPr>
        <w:ind w:left="567" w:hanging="567"/>
        <w:rPr>
          <w:rFonts w:asciiTheme="minorHAnsi" w:hAnsiTheme="minorHAnsi" w:cs="Arial"/>
          <w:b/>
          <w:sz w:val="20"/>
          <w:szCs w:val="20"/>
        </w:rPr>
      </w:pPr>
      <w:r w:rsidRPr="00F01EC8">
        <w:rPr>
          <w:rFonts w:asciiTheme="minorHAnsi" w:hAnsiTheme="minorHAnsi" w:cs="Arial"/>
          <w:b/>
          <w:sz w:val="20"/>
          <w:szCs w:val="20"/>
        </w:rPr>
        <w:t>9.</w:t>
      </w:r>
      <w:r w:rsidRPr="00F01EC8">
        <w:rPr>
          <w:rFonts w:asciiTheme="minorHAnsi" w:hAnsiTheme="minorHAnsi" w:cs="Arial"/>
          <w:b/>
          <w:sz w:val="20"/>
          <w:szCs w:val="20"/>
        </w:rPr>
        <w:tab/>
        <w:t>Retirement benefit asset</w:t>
      </w:r>
    </w:p>
    <w:p w14:paraId="3FF89806" w14:textId="77777777" w:rsidR="00DA6694" w:rsidRPr="00F01EC8" w:rsidRDefault="00DA6694" w:rsidP="00DA6694">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olor w:val="auto"/>
          <w:sz w:val="20"/>
          <w:lang w:eastAsia="en-GB"/>
        </w:rPr>
      </w:pPr>
    </w:p>
    <w:p w14:paraId="3EECE19E" w14:textId="64E9B405"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The </w:t>
      </w:r>
      <w:r w:rsidR="005714EF">
        <w:rPr>
          <w:rFonts w:asciiTheme="minorHAnsi" w:hAnsiTheme="minorHAnsi" w:cs="Arial"/>
          <w:sz w:val="20"/>
          <w:szCs w:val="20"/>
        </w:rPr>
        <w:t>G</w:t>
      </w:r>
      <w:r w:rsidRPr="00F01EC8">
        <w:rPr>
          <w:rFonts w:asciiTheme="minorHAnsi" w:hAnsiTheme="minorHAnsi" w:cs="Arial"/>
          <w:sz w:val="20"/>
          <w:szCs w:val="20"/>
        </w:rPr>
        <w:t xml:space="preserve">roup operates a defined benefit pension scheme: the Provident Financial Staff Pension Scheme. The scheme is of the funded, defined benefit type and has been substantially closed to new members since 1 January 2003. </w:t>
      </w:r>
    </w:p>
    <w:p w14:paraId="20983029"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97C4C7F" w14:textId="77777777" w:rsidR="00DA6694" w:rsidRPr="00F01EC8" w:rsidRDefault="00DA6694" w:rsidP="00DA6694">
      <w:pPr>
        <w:jc w:val="both"/>
        <w:rPr>
          <w:rFonts w:asciiTheme="minorHAnsi" w:hAnsiTheme="minorHAnsi" w:cs="Arial"/>
          <w:sz w:val="20"/>
          <w:szCs w:val="20"/>
        </w:rPr>
      </w:pPr>
      <w:r w:rsidRPr="00F01EC8">
        <w:rPr>
          <w:rFonts w:asciiTheme="minorHAnsi" w:hAnsiTheme="minorHAnsi" w:cs="Arial"/>
          <w:sz w:val="20"/>
          <w:szCs w:val="20"/>
        </w:rPr>
        <w:t xml:space="preserve">All future benefits in the scheme are now provided on a ‘cash balance’ basis, with a defined amount being made available at retirement, based on a percentage of salary that is revalued up to retirement with reference to increases in price inflation. This retirement account is then used to purchase an annuity on the open market. The scheme provides pension </w:t>
      </w:r>
      <w:r w:rsidRPr="00F01EC8">
        <w:rPr>
          <w:rFonts w:asciiTheme="minorHAnsi" w:hAnsiTheme="minorHAnsi" w:cs="Arial"/>
          <w:sz w:val="20"/>
          <w:szCs w:val="20"/>
        </w:rPr>
        <w:lastRenderedPageBreak/>
        <w:t>benefits which were accrued in the past on a final salary basis, but which are no longer linked to final salary. The scheme also provides death benefits.</w:t>
      </w:r>
    </w:p>
    <w:p w14:paraId="008F4F13" w14:textId="77777777" w:rsidR="00DA6694" w:rsidRPr="00F01EC8" w:rsidRDefault="00DA6694" w:rsidP="00DA6694">
      <w:pPr>
        <w:jc w:val="both"/>
        <w:rPr>
          <w:rFonts w:asciiTheme="minorHAnsi" w:hAnsiTheme="minorHAnsi" w:cs="Arial"/>
          <w:sz w:val="20"/>
          <w:szCs w:val="20"/>
        </w:rPr>
      </w:pPr>
    </w:p>
    <w:p w14:paraId="14D94274" w14:textId="30AEE5E5"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The scheme is a UK registered pension scheme under UK legislation. The scheme is governed by a Trust Deed and Rules, with trustees responsible for the operation and the governance of the scheme. The trustees work closely with the </w:t>
      </w:r>
      <w:r w:rsidR="005714EF">
        <w:rPr>
          <w:rFonts w:asciiTheme="minorHAnsi" w:hAnsiTheme="minorHAnsi" w:cs="Arial"/>
          <w:sz w:val="20"/>
          <w:szCs w:val="20"/>
        </w:rPr>
        <w:t>G</w:t>
      </w:r>
      <w:r w:rsidRPr="00F01EC8">
        <w:rPr>
          <w:rFonts w:asciiTheme="minorHAnsi" w:hAnsiTheme="minorHAnsi" w:cs="Arial"/>
          <w:sz w:val="20"/>
          <w:szCs w:val="20"/>
        </w:rPr>
        <w:t>roup on funding and investment strategy decisions. The most recent actuarial valuation of the scheme was carried out as at 1 June 2018. Scheme assets are stated at fair value as at the balance sheet date.</w:t>
      </w:r>
    </w:p>
    <w:p w14:paraId="6DD7189B"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FD7EE0D" w14:textId="09C692D0"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 xml:space="preserve">The </w:t>
      </w:r>
      <w:r w:rsidR="005714EF">
        <w:rPr>
          <w:rFonts w:asciiTheme="minorHAnsi" w:hAnsiTheme="minorHAnsi" w:cs="Arial"/>
          <w:sz w:val="20"/>
          <w:szCs w:val="20"/>
        </w:rPr>
        <w:t>G</w:t>
      </w:r>
      <w:r w:rsidRPr="00F01EC8">
        <w:rPr>
          <w:rFonts w:asciiTheme="minorHAnsi" w:hAnsiTheme="minorHAnsi" w:cs="Arial"/>
          <w:sz w:val="20"/>
          <w:szCs w:val="20"/>
        </w:rPr>
        <w:t>roup is entitled to a refund of any surplus, subject to tax, if the scheme winds up after all benefits have been paid.</w:t>
      </w:r>
    </w:p>
    <w:p w14:paraId="49D454FE"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1CD803E" w14:textId="6DBA5E78"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hanging="600"/>
        <w:jc w:val="both"/>
        <w:rPr>
          <w:rFonts w:asciiTheme="minorHAnsi" w:hAnsiTheme="minorHAnsi" w:cs="Arial"/>
          <w:sz w:val="20"/>
          <w:szCs w:val="20"/>
        </w:rPr>
      </w:pPr>
      <w:r w:rsidRPr="00F01EC8">
        <w:rPr>
          <w:rFonts w:asciiTheme="minorHAnsi" w:hAnsiTheme="minorHAnsi" w:cs="Arial"/>
          <w:sz w:val="20"/>
          <w:szCs w:val="20"/>
        </w:rPr>
        <w:t xml:space="preserve">The net retirement benefit asset recognised in the balance sheet of the </w:t>
      </w:r>
      <w:r w:rsidR="005714EF">
        <w:rPr>
          <w:rFonts w:asciiTheme="minorHAnsi" w:hAnsiTheme="minorHAnsi" w:cs="Arial"/>
          <w:sz w:val="20"/>
          <w:szCs w:val="20"/>
        </w:rPr>
        <w:t>G</w:t>
      </w:r>
      <w:r w:rsidRPr="00F01EC8">
        <w:rPr>
          <w:rFonts w:asciiTheme="minorHAnsi" w:hAnsiTheme="minorHAnsi" w:cs="Arial"/>
          <w:sz w:val="20"/>
          <w:szCs w:val="20"/>
        </w:rPr>
        <w:t>roup is as follows:</w:t>
      </w:r>
    </w:p>
    <w:p w14:paraId="73BDC0E8"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hanging="600"/>
        <w:jc w:val="both"/>
        <w:rPr>
          <w:rFonts w:asciiTheme="minorHAnsi" w:hAnsiTheme="minorHAnsi" w:cs="Arial"/>
          <w:sz w:val="20"/>
          <w:szCs w:val="20"/>
        </w:rPr>
      </w:pPr>
    </w:p>
    <w:tbl>
      <w:tblPr>
        <w:tblW w:w="9908" w:type="dxa"/>
        <w:tblLook w:val="0000" w:firstRow="0" w:lastRow="0" w:firstColumn="0" w:lastColumn="0" w:noHBand="0" w:noVBand="0"/>
      </w:tblPr>
      <w:tblGrid>
        <w:gridCol w:w="6128"/>
        <w:gridCol w:w="1210"/>
        <w:gridCol w:w="1401"/>
        <w:gridCol w:w="1169"/>
      </w:tblGrid>
      <w:tr w:rsidR="00DA6694" w:rsidRPr="00F01EC8" w14:paraId="60554EBB" w14:textId="77777777" w:rsidTr="00AC0A5D">
        <w:tc>
          <w:tcPr>
            <w:tcW w:w="6128" w:type="dxa"/>
          </w:tcPr>
          <w:p w14:paraId="519E842F" w14:textId="77777777" w:rsidR="00DA6694" w:rsidRPr="00F01EC8" w:rsidRDefault="00DA6694" w:rsidP="00AC0A5D">
            <w:pPr>
              <w:jc w:val="both"/>
              <w:rPr>
                <w:rFonts w:asciiTheme="minorHAnsi" w:hAnsiTheme="minorHAnsi" w:cs="Arial"/>
                <w:sz w:val="20"/>
                <w:szCs w:val="20"/>
              </w:rPr>
            </w:pPr>
          </w:p>
        </w:tc>
        <w:tc>
          <w:tcPr>
            <w:tcW w:w="1210" w:type="dxa"/>
          </w:tcPr>
          <w:p w14:paraId="4941DB5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401" w:type="dxa"/>
          </w:tcPr>
          <w:p w14:paraId="7E87568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9" w:type="dxa"/>
          </w:tcPr>
          <w:p w14:paraId="290FDB1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22D69C07" w14:textId="77777777" w:rsidTr="00AC0A5D">
        <w:tc>
          <w:tcPr>
            <w:tcW w:w="6128" w:type="dxa"/>
          </w:tcPr>
          <w:p w14:paraId="43BA576A" w14:textId="77777777" w:rsidR="00DA6694" w:rsidRPr="00F01EC8" w:rsidRDefault="00DA6694" w:rsidP="00AC0A5D">
            <w:pPr>
              <w:jc w:val="both"/>
              <w:rPr>
                <w:rFonts w:asciiTheme="minorHAnsi" w:hAnsiTheme="minorHAnsi" w:cs="Arial"/>
                <w:sz w:val="20"/>
                <w:szCs w:val="20"/>
              </w:rPr>
            </w:pPr>
          </w:p>
        </w:tc>
        <w:tc>
          <w:tcPr>
            <w:tcW w:w="1210" w:type="dxa"/>
          </w:tcPr>
          <w:p w14:paraId="5EB86488" w14:textId="0E989E0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046643" w:rsidRPr="00F01EC8">
              <w:rPr>
                <w:rFonts w:asciiTheme="minorHAnsi" w:hAnsiTheme="minorHAnsi" w:cs="Arial"/>
                <w:sz w:val="20"/>
                <w:szCs w:val="20"/>
              </w:rPr>
              <w:t>20</w:t>
            </w:r>
            <w:r w:rsidRPr="00F01EC8">
              <w:rPr>
                <w:rFonts w:asciiTheme="minorHAnsi" w:hAnsiTheme="minorHAnsi" w:cs="Arial"/>
                <w:sz w:val="20"/>
                <w:szCs w:val="20"/>
              </w:rPr>
              <w:t> </w:t>
            </w:r>
          </w:p>
        </w:tc>
        <w:tc>
          <w:tcPr>
            <w:tcW w:w="1401" w:type="dxa"/>
          </w:tcPr>
          <w:p w14:paraId="62F5AC3E" w14:textId="13562A08"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046643" w:rsidRPr="00F01EC8">
              <w:rPr>
                <w:rFonts w:asciiTheme="minorHAnsi" w:hAnsiTheme="minorHAnsi" w:cs="Arial"/>
                <w:sz w:val="20"/>
                <w:szCs w:val="20"/>
              </w:rPr>
              <w:t>9</w:t>
            </w:r>
            <w:r w:rsidRPr="00F01EC8">
              <w:rPr>
                <w:rFonts w:asciiTheme="minorHAnsi" w:hAnsiTheme="minorHAnsi" w:cs="Arial"/>
                <w:sz w:val="20"/>
                <w:szCs w:val="20"/>
              </w:rPr>
              <w:t> </w:t>
            </w:r>
          </w:p>
        </w:tc>
        <w:tc>
          <w:tcPr>
            <w:tcW w:w="1169" w:type="dxa"/>
          </w:tcPr>
          <w:p w14:paraId="05DDA383" w14:textId="218A828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046643"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6E7BC7D0" w14:textId="77777777" w:rsidTr="00AC0A5D">
        <w:tc>
          <w:tcPr>
            <w:tcW w:w="6128" w:type="dxa"/>
          </w:tcPr>
          <w:p w14:paraId="1E2C7E4E" w14:textId="77777777" w:rsidR="00DA6694" w:rsidRPr="00F01EC8" w:rsidRDefault="00DA6694" w:rsidP="00AC0A5D">
            <w:pPr>
              <w:pStyle w:val="Heading5"/>
              <w:overflowPunct/>
              <w:autoSpaceDE/>
              <w:adjustRightInd/>
              <w:rPr>
                <w:rFonts w:asciiTheme="minorHAnsi" w:hAnsiTheme="minorHAnsi" w:cs="Arial"/>
                <w:bCs/>
                <w:sz w:val="20"/>
              </w:rPr>
            </w:pPr>
          </w:p>
        </w:tc>
        <w:tc>
          <w:tcPr>
            <w:tcW w:w="1210" w:type="dxa"/>
            <w:tcBorders>
              <w:top w:val="nil"/>
              <w:left w:val="nil"/>
              <w:bottom w:val="single" w:sz="4" w:space="0" w:color="auto"/>
              <w:right w:val="nil"/>
            </w:tcBorders>
          </w:tcPr>
          <w:p w14:paraId="2BF62DE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401" w:type="dxa"/>
            <w:tcBorders>
              <w:top w:val="nil"/>
              <w:left w:val="nil"/>
              <w:bottom w:val="single" w:sz="4" w:space="0" w:color="auto"/>
              <w:right w:val="nil"/>
            </w:tcBorders>
          </w:tcPr>
          <w:p w14:paraId="1E4CFB2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69" w:type="dxa"/>
            <w:tcBorders>
              <w:top w:val="nil"/>
              <w:left w:val="nil"/>
              <w:bottom w:val="single" w:sz="4" w:space="0" w:color="auto"/>
              <w:right w:val="nil"/>
            </w:tcBorders>
          </w:tcPr>
          <w:p w14:paraId="0A4AB12D"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292163" w:rsidRPr="00F01EC8" w14:paraId="43008F86" w14:textId="77777777" w:rsidTr="00AC0A5D">
        <w:tc>
          <w:tcPr>
            <w:tcW w:w="6128" w:type="dxa"/>
          </w:tcPr>
          <w:p w14:paraId="1DAD66CF"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Fair value of scheme assets</w:t>
            </w:r>
          </w:p>
        </w:tc>
        <w:tc>
          <w:tcPr>
            <w:tcW w:w="1210" w:type="dxa"/>
            <w:tcBorders>
              <w:top w:val="single" w:sz="4" w:space="0" w:color="auto"/>
              <w:left w:val="nil"/>
              <w:bottom w:val="nil"/>
              <w:right w:val="nil"/>
            </w:tcBorders>
            <w:vAlign w:val="bottom"/>
          </w:tcPr>
          <w:p w14:paraId="204DCA93" w14:textId="644EC47A"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933.1</w:t>
            </w:r>
          </w:p>
        </w:tc>
        <w:tc>
          <w:tcPr>
            <w:tcW w:w="1401" w:type="dxa"/>
            <w:tcBorders>
              <w:top w:val="single" w:sz="4" w:space="0" w:color="auto"/>
              <w:left w:val="nil"/>
              <w:bottom w:val="nil"/>
              <w:right w:val="nil"/>
            </w:tcBorders>
            <w:vAlign w:val="bottom"/>
          </w:tcPr>
          <w:p w14:paraId="636125CB" w14:textId="33C01E37"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842.6 </w:t>
            </w:r>
          </w:p>
        </w:tc>
        <w:tc>
          <w:tcPr>
            <w:tcW w:w="1169" w:type="dxa"/>
            <w:tcBorders>
              <w:top w:val="single" w:sz="4" w:space="0" w:color="auto"/>
              <w:left w:val="nil"/>
              <w:bottom w:val="nil"/>
              <w:right w:val="nil"/>
            </w:tcBorders>
            <w:vAlign w:val="bottom"/>
          </w:tcPr>
          <w:p w14:paraId="20F3C606" w14:textId="5266B4EE"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844.1 </w:t>
            </w:r>
          </w:p>
        </w:tc>
      </w:tr>
      <w:tr w:rsidR="00292163" w:rsidRPr="00F01EC8" w14:paraId="569A5CB6" w14:textId="77777777" w:rsidTr="00AC0A5D">
        <w:trPr>
          <w:trHeight w:val="260"/>
        </w:trPr>
        <w:tc>
          <w:tcPr>
            <w:tcW w:w="6128" w:type="dxa"/>
          </w:tcPr>
          <w:p w14:paraId="078EDC21"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Present value of defined benefit obligation</w:t>
            </w:r>
          </w:p>
        </w:tc>
        <w:tc>
          <w:tcPr>
            <w:tcW w:w="1210" w:type="dxa"/>
            <w:tcBorders>
              <w:top w:val="nil"/>
              <w:left w:val="nil"/>
              <w:bottom w:val="single" w:sz="4" w:space="0" w:color="auto"/>
              <w:right w:val="nil"/>
            </w:tcBorders>
            <w:vAlign w:val="bottom"/>
          </w:tcPr>
          <w:p w14:paraId="0E9F864E" w14:textId="3CD45AA8"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(814.7)</w:t>
            </w:r>
          </w:p>
        </w:tc>
        <w:tc>
          <w:tcPr>
            <w:tcW w:w="1401" w:type="dxa"/>
            <w:tcBorders>
              <w:top w:val="nil"/>
              <w:left w:val="nil"/>
              <w:bottom w:val="single" w:sz="4" w:space="0" w:color="auto"/>
              <w:right w:val="nil"/>
            </w:tcBorders>
            <w:vAlign w:val="bottom"/>
          </w:tcPr>
          <w:p w14:paraId="18F0072D" w14:textId="0A5CFF46"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(764.6)</w:t>
            </w:r>
          </w:p>
        </w:tc>
        <w:tc>
          <w:tcPr>
            <w:tcW w:w="1169" w:type="dxa"/>
            <w:tcBorders>
              <w:top w:val="nil"/>
              <w:left w:val="nil"/>
              <w:bottom w:val="single" w:sz="4" w:space="0" w:color="auto"/>
              <w:right w:val="nil"/>
            </w:tcBorders>
            <w:vAlign w:val="bottom"/>
          </w:tcPr>
          <w:p w14:paraId="4B4FFC99" w14:textId="04165E46"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(773.8)</w:t>
            </w:r>
          </w:p>
        </w:tc>
      </w:tr>
      <w:tr w:rsidR="00292163" w:rsidRPr="00F01EC8" w14:paraId="7EB55246" w14:textId="77777777" w:rsidTr="00AC0A5D">
        <w:tc>
          <w:tcPr>
            <w:tcW w:w="6128" w:type="dxa"/>
          </w:tcPr>
          <w:p w14:paraId="7AE397DE" w14:textId="77777777" w:rsidR="00292163" w:rsidRPr="00F01EC8" w:rsidRDefault="00292163" w:rsidP="00292163">
            <w:pPr>
              <w:pStyle w:val="Heading5"/>
              <w:tabs>
                <w:tab w:val="clear" w:pos="720"/>
                <w:tab w:val="right" w:pos="4680"/>
              </w:tabs>
              <w:jc w:val="left"/>
              <w:rPr>
                <w:rFonts w:asciiTheme="minorHAnsi" w:hAnsiTheme="minorHAnsi" w:cs="Arial"/>
                <w:sz w:val="20"/>
              </w:rPr>
            </w:pPr>
            <w:r w:rsidRPr="00F01EC8">
              <w:rPr>
                <w:rFonts w:asciiTheme="minorHAnsi" w:hAnsiTheme="minorHAnsi" w:cs="Arial"/>
                <w:sz w:val="20"/>
              </w:rPr>
              <w:t>Net retirement benefit asset recognised in the balance sheet</w:t>
            </w:r>
          </w:p>
        </w:tc>
        <w:tc>
          <w:tcPr>
            <w:tcW w:w="1210" w:type="dxa"/>
            <w:tcBorders>
              <w:top w:val="single" w:sz="4" w:space="0" w:color="auto"/>
              <w:left w:val="nil"/>
              <w:bottom w:val="single" w:sz="12" w:space="0" w:color="auto"/>
              <w:right w:val="nil"/>
            </w:tcBorders>
            <w:vAlign w:val="bottom"/>
          </w:tcPr>
          <w:p w14:paraId="0846131E" w14:textId="39A6ACCF"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118.4</w:t>
            </w:r>
          </w:p>
        </w:tc>
        <w:tc>
          <w:tcPr>
            <w:tcW w:w="1401" w:type="dxa"/>
            <w:tcBorders>
              <w:top w:val="single" w:sz="4" w:space="0" w:color="auto"/>
              <w:left w:val="nil"/>
              <w:bottom w:val="single" w:sz="12" w:space="0" w:color="auto"/>
              <w:right w:val="nil"/>
            </w:tcBorders>
            <w:vAlign w:val="bottom"/>
          </w:tcPr>
          <w:p w14:paraId="035815EE" w14:textId="79C19145"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78.0 </w:t>
            </w:r>
          </w:p>
        </w:tc>
        <w:tc>
          <w:tcPr>
            <w:tcW w:w="1169" w:type="dxa"/>
            <w:tcBorders>
              <w:top w:val="single" w:sz="4" w:space="0" w:color="auto"/>
              <w:left w:val="nil"/>
              <w:bottom w:val="single" w:sz="12" w:space="0" w:color="auto"/>
              <w:right w:val="nil"/>
            </w:tcBorders>
            <w:vAlign w:val="bottom"/>
          </w:tcPr>
          <w:p w14:paraId="654E0F7E" w14:textId="3E5E77B4"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70.3 </w:t>
            </w:r>
          </w:p>
        </w:tc>
      </w:tr>
    </w:tbl>
    <w:p w14:paraId="0D225127"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hanging="600"/>
        <w:jc w:val="both"/>
        <w:rPr>
          <w:rFonts w:asciiTheme="minorHAnsi" w:hAnsiTheme="minorHAnsi" w:cs="Arial"/>
          <w:sz w:val="20"/>
          <w:szCs w:val="20"/>
        </w:rPr>
      </w:pPr>
    </w:p>
    <w:p w14:paraId="788FF33F" w14:textId="77777777" w:rsidR="00DA6694" w:rsidRPr="00F01EC8" w:rsidRDefault="00DA6694" w:rsidP="00DA6694">
      <w:pPr>
        <w:rPr>
          <w:rFonts w:asciiTheme="minorHAnsi" w:hAnsiTheme="minorHAnsi" w:cs="Arial"/>
          <w:sz w:val="20"/>
          <w:szCs w:val="20"/>
        </w:rPr>
      </w:pPr>
      <w:r w:rsidRPr="00F01EC8">
        <w:rPr>
          <w:rFonts w:asciiTheme="minorHAnsi" w:hAnsiTheme="minorHAnsi" w:cs="Arial"/>
          <w:sz w:val="20"/>
          <w:szCs w:val="20"/>
        </w:rPr>
        <w:t>The amounts recognised in the income statement were as follows:</w:t>
      </w:r>
    </w:p>
    <w:p w14:paraId="4573ACED" w14:textId="77777777" w:rsidR="00DA6694" w:rsidRPr="00F01EC8" w:rsidRDefault="00DA6694" w:rsidP="00DA6694">
      <w:pPr>
        <w:rPr>
          <w:rFonts w:asciiTheme="minorHAnsi" w:hAnsiTheme="minorHAnsi" w:cs="Arial"/>
          <w:sz w:val="20"/>
          <w:szCs w:val="20"/>
        </w:rPr>
      </w:pPr>
    </w:p>
    <w:tbl>
      <w:tblPr>
        <w:tblW w:w="9923" w:type="dxa"/>
        <w:tblLook w:val="0000" w:firstRow="0" w:lastRow="0" w:firstColumn="0" w:lastColumn="0" w:noHBand="0" w:noVBand="0"/>
      </w:tblPr>
      <w:tblGrid>
        <w:gridCol w:w="7545"/>
        <w:gridCol w:w="1189"/>
        <w:gridCol w:w="1189"/>
      </w:tblGrid>
      <w:tr w:rsidR="00DA6694" w:rsidRPr="00F01EC8" w14:paraId="5958F19F" w14:textId="77777777" w:rsidTr="00AC0A5D">
        <w:tc>
          <w:tcPr>
            <w:tcW w:w="7545" w:type="dxa"/>
          </w:tcPr>
          <w:p w14:paraId="01BDCF73" w14:textId="77777777" w:rsidR="00DA6694" w:rsidRPr="00F01EC8" w:rsidRDefault="00DA6694" w:rsidP="00AC0A5D">
            <w:pPr>
              <w:jc w:val="both"/>
              <w:rPr>
                <w:rFonts w:asciiTheme="minorHAnsi" w:hAnsiTheme="minorHAnsi" w:cs="Arial"/>
                <w:sz w:val="20"/>
                <w:szCs w:val="20"/>
              </w:rPr>
            </w:pPr>
          </w:p>
        </w:tc>
        <w:tc>
          <w:tcPr>
            <w:tcW w:w="2378" w:type="dxa"/>
            <w:gridSpan w:val="2"/>
          </w:tcPr>
          <w:p w14:paraId="69CC2FF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374B694F" w14:textId="77777777" w:rsidTr="00AC0A5D">
        <w:tc>
          <w:tcPr>
            <w:tcW w:w="7545" w:type="dxa"/>
          </w:tcPr>
          <w:p w14:paraId="443A37E7" w14:textId="77777777" w:rsidR="00DA6694" w:rsidRPr="00F01EC8" w:rsidRDefault="00DA6694" w:rsidP="00AC0A5D">
            <w:pPr>
              <w:jc w:val="both"/>
              <w:rPr>
                <w:rFonts w:asciiTheme="minorHAnsi" w:hAnsiTheme="minorHAnsi" w:cs="Arial"/>
                <w:sz w:val="20"/>
                <w:szCs w:val="20"/>
              </w:rPr>
            </w:pPr>
          </w:p>
        </w:tc>
        <w:tc>
          <w:tcPr>
            <w:tcW w:w="1189" w:type="dxa"/>
          </w:tcPr>
          <w:p w14:paraId="087F7C47" w14:textId="5F00AAAE"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F7025A" w:rsidRPr="00F01EC8">
              <w:rPr>
                <w:rFonts w:asciiTheme="minorHAnsi" w:hAnsiTheme="minorHAnsi" w:cs="Arial"/>
                <w:sz w:val="20"/>
                <w:szCs w:val="20"/>
              </w:rPr>
              <w:t>20</w:t>
            </w:r>
            <w:r w:rsidRPr="00F01EC8">
              <w:rPr>
                <w:rFonts w:asciiTheme="minorHAnsi" w:hAnsiTheme="minorHAnsi" w:cs="Arial"/>
                <w:sz w:val="20"/>
                <w:szCs w:val="20"/>
              </w:rPr>
              <w:t> </w:t>
            </w:r>
          </w:p>
        </w:tc>
        <w:tc>
          <w:tcPr>
            <w:tcW w:w="1189" w:type="dxa"/>
          </w:tcPr>
          <w:p w14:paraId="1DCF5DBA" w14:textId="2DDACFB1"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F7025A"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539830CE" w14:textId="77777777" w:rsidTr="00AC0A5D">
        <w:tc>
          <w:tcPr>
            <w:tcW w:w="7545" w:type="dxa"/>
          </w:tcPr>
          <w:p w14:paraId="6313D324" w14:textId="77777777" w:rsidR="00DA6694" w:rsidRPr="00F01EC8" w:rsidRDefault="00DA6694" w:rsidP="00AC0A5D">
            <w:pPr>
              <w:pStyle w:val="Heading5"/>
              <w:overflowPunct/>
              <w:autoSpaceDE/>
              <w:adjustRightInd/>
              <w:rPr>
                <w:rFonts w:asciiTheme="minorHAnsi" w:hAnsiTheme="minorHAnsi" w:cs="Arial"/>
                <w:bCs/>
                <w:sz w:val="20"/>
              </w:rPr>
            </w:pPr>
          </w:p>
        </w:tc>
        <w:tc>
          <w:tcPr>
            <w:tcW w:w="1189" w:type="dxa"/>
            <w:tcBorders>
              <w:top w:val="nil"/>
              <w:left w:val="nil"/>
              <w:bottom w:val="single" w:sz="4" w:space="0" w:color="auto"/>
              <w:right w:val="nil"/>
            </w:tcBorders>
          </w:tcPr>
          <w:p w14:paraId="0A97E4F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89" w:type="dxa"/>
            <w:tcBorders>
              <w:top w:val="nil"/>
              <w:left w:val="nil"/>
              <w:bottom w:val="single" w:sz="4" w:space="0" w:color="auto"/>
              <w:right w:val="nil"/>
            </w:tcBorders>
          </w:tcPr>
          <w:p w14:paraId="0036DBBA"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292163" w:rsidRPr="00F01EC8" w14:paraId="4B501532" w14:textId="77777777" w:rsidTr="00AC0A5D">
        <w:tc>
          <w:tcPr>
            <w:tcW w:w="7545" w:type="dxa"/>
            <w:vAlign w:val="bottom"/>
          </w:tcPr>
          <w:p w14:paraId="10953E8F"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Current service cost</w:t>
            </w:r>
          </w:p>
        </w:tc>
        <w:tc>
          <w:tcPr>
            <w:tcW w:w="1189" w:type="dxa"/>
            <w:tcBorders>
              <w:top w:val="single" w:sz="4" w:space="0" w:color="auto"/>
              <w:left w:val="nil"/>
              <w:bottom w:val="nil"/>
              <w:right w:val="nil"/>
            </w:tcBorders>
          </w:tcPr>
          <w:p w14:paraId="488DAF24" w14:textId="4A404981"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(0.8)</w:t>
            </w:r>
          </w:p>
        </w:tc>
        <w:tc>
          <w:tcPr>
            <w:tcW w:w="1189" w:type="dxa"/>
            <w:tcBorders>
              <w:top w:val="single" w:sz="4" w:space="0" w:color="auto"/>
              <w:left w:val="nil"/>
              <w:bottom w:val="nil"/>
              <w:right w:val="nil"/>
            </w:tcBorders>
          </w:tcPr>
          <w:p w14:paraId="7E84E4F2" w14:textId="341F1A93"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(1.1)</w:t>
            </w:r>
          </w:p>
        </w:tc>
      </w:tr>
      <w:tr w:rsidR="00292163" w:rsidRPr="00F01EC8" w14:paraId="36AB41CD" w14:textId="77777777" w:rsidTr="00AC0A5D">
        <w:tc>
          <w:tcPr>
            <w:tcW w:w="7545" w:type="dxa"/>
            <w:vAlign w:val="bottom"/>
          </w:tcPr>
          <w:p w14:paraId="5A49ED9D"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Interest on scheme liabilities</w:t>
            </w:r>
          </w:p>
        </w:tc>
        <w:tc>
          <w:tcPr>
            <w:tcW w:w="1189" w:type="dxa"/>
          </w:tcPr>
          <w:p w14:paraId="612D80B1" w14:textId="1F50BE92"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(7.6)</w:t>
            </w:r>
          </w:p>
        </w:tc>
        <w:tc>
          <w:tcPr>
            <w:tcW w:w="1189" w:type="dxa"/>
          </w:tcPr>
          <w:p w14:paraId="29AEEC48" w14:textId="68BD519F"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(9.8)</w:t>
            </w:r>
          </w:p>
        </w:tc>
      </w:tr>
      <w:tr w:rsidR="00292163" w:rsidRPr="00F01EC8" w14:paraId="2E0A3D2D" w14:textId="77777777" w:rsidTr="00AC0A5D">
        <w:tc>
          <w:tcPr>
            <w:tcW w:w="7545" w:type="dxa"/>
            <w:vAlign w:val="bottom"/>
          </w:tcPr>
          <w:p w14:paraId="63081F6D"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Interest on scheme assets</w:t>
            </w:r>
          </w:p>
        </w:tc>
        <w:tc>
          <w:tcPr>
            <w:tcW w:w="1189" w:type="dxa"/>
            <w:tcBorders>
              <w:top w:val="nil"/>
              <w:left w:val="nil"/>
              <w:bottom w:val="single" w:sz="4" w:space="0" w:color="auto"/>
              <w:right w:val="nil"/>
            </w:tcBorders>
          </w:tcPr>
          <w:p w14:paraId="49AA7D27" w14:textId="77AB9F4F"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8.4</w:t>
            </w:r>
          </w:p>
        </w:tc>
        <w:tc>
          <w:tcPr>
            <w:tcW w:w="1189" w:type="dxa"/>
            <w:tcBorders>
              <w:top w:val="nil"/>
              <w:left w:val="nil"/>
              <w:bottom w:val="single" w:sz="4" w:space="0" w:color="auto"/>
              <w:right w:val="nil"/>
            </w:tcBorders>
          </w:tcPr>
          <w:p w14:paraId="2C9011DE" w14:textId="5CC3D304"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11.0 </w:t>
            </w:r>
          </w:p>
        </w:tc>
      </w:tr>
      <w:tr w:rsidR="00292163" w:rsidRPr="00F01EC8" w14:paraId="4F3A8B45" w14:textId="77777777" w:rsidTr="00AC0A5D">
        <w:tc>
          <w:tcPr>
            <w:tcW w:w="7545" w:type="dxa"/>
            <w:vAlign w:val="bottom"/>
          </w:tcPr>
          <w:p w14:paraId="59D9C4C8" w14:textId="77777777" w:rsidR="00292163" w:rsidRPr="00F01EC8" w:rsidRDefault="00292163" w:rsidP="00292163">
            <w:pPr>
              <w:tabs>
                <w:tab w:val="right" w:pos="4680"/>
              </w:tabs>
              <w:rPr>
                <w:rFonts w:asciiTheme="minorHAnsi" w:hAnsiTheme="minorHAnsi" w:cs="Arial"/>
                <w:b/>
                <w:sz w:val="20"/>
                <w:szCs w:val="20"/>
              </w:rPr>
            </w:pPr>
            <w:r w:rsidRPr="00F01EC8">
              <w:rPr>
                <w:rFonts w:asciiTheme="minorHAnsi" w:hAnsiTheme="minorHAnsi" w:cs="Arial"/>
                <w:b/>
                <w:sz w:val="20"/>
                <w:szCs w:val="20"/>
              </w:rPr>
              <w:t>Net credit recognised in the income statement before exceptional curtailment credit</w:t>
            </w:r>
          </w:p>
        </w:tc>
        <w:tc>
          <w:tcPr>
            <w:tcW w:w="1189" w:type="dxa"/>
            <w:tcBorders>
              <w:top w:val="single" w:sz="4" w:space="0" w:color="auto"/>
              <w:left w:val="nil"/>
              <w:bottom w:val="single" w:sz="4" w:space="0" w:color="auto"/>
              <w:right w:val="nil"/>
            </w:tcBorders>
          </w:tcPr>
          <w:p w14:paraId="125F19E8" w14:textId="0E0B835A"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w:t>
            </w:r>
          </w:p>
        </w:tc>
        <w:tc>
          <w:tcPr>
            <w:tcW w:w="1189" w:type="dxa"/>
            <w:tcBorders>
              <w:top w:val="single" w:sz="4" w:space="0" w:color="auto"/>
              <w:left w:val="nil"/>
              <w:bottom w:val="single" w:sz="4" w:space="0" w:color="auto"/>
              <w:right w:val="nil"/>
            </w:tcBorders>
          </w:tcPr>
          <w:p w14:paraId="65718650" w14:textId="46F5B9FE"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0.1 </w:t>
            </w:r>
          </w:p>
        </w:tc>
      </w:tr>
      <w:tr w:rsidR="00292163" w:rsidRPr="00F01EC8" w14:paraId="465B42A7" w14:textId="77777777" w:rsidTr="00AC0A5D">
        <w:tc>
          <w:tcPr>
            <w:tcW w:w="7545" w:type="dxa"/>
            <w:vAlign w:val="bottom"/>
          </w:tcPr>
          <w:p w14:paraId="13FDB89A"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Exceptional curtailment credit (note 4)</w:t>
            </w:r>
          </w:p>
        </w:tc>
        <w:tc>
          <w:tcPr>
            <w:tcW w:w="1189" w:type="dxa"/>
            <w:tcBorders>
              <w:top w:val="single" w:sz="4" w:space="0" w:color="auto"/>
              <w:left w:val="nil"/>
              <w:bottom w:val="single" w:sz="4" w:space="0" w:color="auto"/>
              <w:right w:val="nil"/>
            </w:tcBorders>
          </w:tcPr>
          <w:p w14:paraId="079F99F4" w14:textId="6ABACBAA"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w:t>
            </w:r>
          </w:p>
        </w:tc>
        <w:tc>
          <w:tcPr>
            <w:tcW w:w="1189" w:type="dxa"/>
            <w:tcBorders>
              <w:top w:val="single" w:sz="4" w:space="0" w:color="auto"/>
              <w:left w:val="nil"/>
              <w:bottom w:val="single" w:sz="4" w:space="0" w:color="auto"/>
              <w:right w:val="nil"/>
            </w:tcBorders>
          </w:tcPr>
          <w:p w14:paraId="10E1ED5A" w14:textId="30D2A419"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0.5 </w:t>
            </w:r>
          </w:p>
        </w:tc>
      </w:tr>
      <w:tr w:rsidR="00292163" w:rsidRPr="00F01EC8" w14:paraId="66228E97" w14:textId="77777777" w:rsidTr="00AC0A5D">
        <w:tc>
          <w:tcPr>
            <w:tcW w:w="7545" w:type="dxa"/>
            <w:vAlign w:val="bottom"/>
          </w:tcPr>
          <w:p w14:paraId="3618D9E9" w14:textId="77777777" w:rsidR="00292163" w:rsidRPr="00F01EC8" w:rsidRDefault="00292163" w:rsidP="00292163">
            <w:pPr>
              <w:tabs>
                <w:tab w:val="right" w:pos="4680"/>
              </w:tabs>
              <w:rPr>
                <w:rFonts w:asciiTheme="minorHAnsi" w:hAnsiTheme="minorHAnsi" w:cs="Arial"/>
                <w:b/>
                <w:sz w:val="20"/>
                <w:szCs w:val="20"/>
              </w:rPr>
            </w:pPr>
            <w:r w:rsidRPr="00F01EC8">
              <w:rPr>
                <w:rFonts w:asciiTheme="minorHAnsi" w:hAnsiTheme="minorHAnsi" w:cs="Arial"/>
                <w:b/>
                <w:sz w:val="20"/>
                <w:szCs w:val="20"/>
              </w:rPr>
              <w:t>Net credit recognised in the income statement</w:t>
            </w:r>
          </w:p>
        </w:tc>
        <w:tc>
          <w:tcPr>
            <w:tcW w:w="1189" w:type="dxa"/>
            <w:tcBorders>
              <w:top w:val="single" w:sz="4" w:space="0" w:color="auto"/>
              <w:left w:val="nil"/>
              <w:bottom w:val="single" w:sz="12" w:space="0" w:color="auto"/>
              <w:right w:val="nil"/>
            </w:tcBorders>
          </w:tcPr>
          <w:p w14:paraId="726C7FEE" w14:textId="55DB3BDC" w:rsidR="00292163" w:rsidRPr="00F01EC8" w:rsidRDefault="00C95C31" w:rsidP="00292163">
            <w:pPr>
              <w:jc w:val="right"/>
              <w:rPr>
                <w:rFonts w:asciiTheme="minorHAnsi" w:hAnsiTheme="minorHAnsi" w:cs="Arial"/>
                <w:sz w:val="20"/>
                <w:szCs w:val="20"/>
              </w:rPr>
            </w:pPr>
            <w:r w:rsidRPr="00F01EC8">
              <w:rPr>
                <w:rFonts w:asciiTheme="minorHAnsi" w:hAnsiTheme="minorHAnsi" w:cs="Arial"/>
                <w:sz w:val="20"/>
                <w:szCs w:val="20"/>
              </w:rPr>
              <w:t>-</w:t>
            </w:r>
          </w:p>
        </w:tc>
        <w:tc>
          <w:tcPr>
            <w:tcW w:w="1189" w:type="dxa"/>
            <w:tcBorders>
              <w:top w:val="single" w:sz="4" w:space="0" w:color="auto"/>
              <w:left w:val="nil"/>
              <w:bottom w:val="single" w:sz="12" w:space="0" w:color="auto"/>
              <w:right w:val="nil"/>
            </w:tcBorders>
          </w:tcPr>
          <w:p w14:paraId="4774C7D2" w14:textId="1B410B48"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0.6 </w:t>
            </w:r>
          </w:p>
        </w:tc>
      </w:tr>
    </w:tbl>
    <w:p w14:paraId="644609FE" w14:textId="77777777" w:rsidR="00DA6694" w:rsidRPr="00F01EC8" w:rsidRDefault="00DA6694" w:rsidP="00DA6694">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Arial"/>
          <w:sz w:val="20"/>
        </w:rPr>
      </w:pPr>
    </w:p>
    <w:p w14:paraId="6DFA4DE8"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The net credit recognised in the income statement has been included within administrative and operating costs.</w:t>
      </w:r>
    </w:p>
    <w:p w14:paraId="4A2478BB" w14:textId="77777777" w:rsidR="009D39AC" w:rsidRPr="00F01EC8" w:rsidRDefault="009D39AC"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26BAF4C8"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Movements in the fair value of scheme assets were as follows:</w:t>
      </w:r>
    </w:p>
    <w:p w14:paraId="6D4D725F"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tbl>
      <w:tblPr>
        <w:tblW w:w="9923" w:type="dxa"/>
        <w:tblLook w:val="0000" w:firstRow="0" w:lastRow="0" w:firstColumn="0" w:lastColumn="0" w:noHBand="0" w:noVBand="0"/>
      </w:tblPr>
      <w:tblGrid>
        <w:gridCol w:w="7545"/>
        <w:gridCol w:w="1189"/>
        <w:gridCol w:w="1189"/>
      </w:tblGrid>
      <w:tr w:rsidR="00DA6694" w:rsidRPr="00F01EC8" w14:paraId="668E68CC" w14:textId="77777777" w:rsidTr="00AC0A5D">
        <w:tc>
          <w:tcPr>
            <w:tcW w:w="7545" w:type="dxa"/>
          </w:tcPr>
          <w:p w14:paraId="4F299EEC" w14:textId="77777777" w:rsidR="00DA6694" w:rsidRPr="00F01EC8" w:rsidRDefault="00DA6694" w:rsidP="00AC0A5D">
            <w:pPr>
              <w:rPr>
                <w:rFonts w:asciiTheme="minorHAnsi" w:hAnsiTheme="minorHAnsi" w:cs="Arial"/>
                <w:sz w:val="20"/>
                <w:szCs w:val="20"/>
              </w:rPr>
            </w:pPr>
          </w:p>
        </w:tc>
        <w:tc>
          <w:tcPr>
            <w:tcW w:w="2378" w:type="dxa"/>
            <w:gridSpan w:val="2"/>
          </w:tcPr>
          <w:p w14:paraId="0AC299A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77644158" w14:textId="77777777" w:rsidTr="00AC0A5D">
        <w:tc>
          <w:tcPr>
            <w:tcW w:w="7545" w:type="dxa"/>
          </w:tcPr>
          <w:p w14:paraId="005749FB" w14:textId="77777777" w:rsidR="00DA6694" w:rsidRPr="00F01EC8" w:rsidRDefault="00DA6694" w:rsidP="00AC0A5D">
            <w:pPr>
              <w:rPr>
                <w:rFonts w:asciiTheme="minorHAnsi" w:hAnsiTheme="minorHAnsi" w:cs="Arial"/>
                <w:sz w:val="20"/>
                <w:szCs w:val="20"/>
              </w:rPr>
            </w:pPr>
          </w:p>
        </w:tc>
        <w:tc>
          <w:tcPr>
            <w:tcW w:w="1189" w:type="dxa"/>
          </w:tcPr>
          <w:p w14:paraId="2FBDDCEE" w14:textId="311B44E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F7025A" w:rsidRPr="00F01EC8">
              <w:rPr>
                <w:rFonts w:asciiTheme="minorHAnsi" w:hAnsiTheme="minorHAnsi" w:cs="Arial"/>
                <w:sz w:val="20"/>
                <w:szCs w:val="20"/>
              </w:rPr>
              <w:t>20</w:t>
            </w:r>
            <w:r w:rsidRPr="00F01EC8">
              <w:rPr>
                <w:rFonts w:asciiTheme="minorHAnsi" w:hAnsiTheme="minorHAnsi" w:cs="Arial"/>
                <w:sz w:val="20"/>
                <w:szCs w:val="20"/>
              </w:rPr>
              <w:t> </w:t>
            </w:r>
          </w:p>
        </w:tc>
        <w:tc>
          <w:tcPr>
            <w:tcW w:w="1189" w:type="dxa"/>
          </w:tcPr>
          <w:p w14:paraId="21D15987" w14:textId="7AD8452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F7025A"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4987F578" w14:textId="77777777" w:rsidTr="00AC0A5D">
        <w:tc>
          <w:tcPr>
            <w:tcW w:w="7545" w:type="dxa"/>
          </w:tcPr>
          <w:p w14:paraId="5C2BBABD" w14:textId="77777777" w:rsidR="00DA6694" w:rsidRPr="00F01EC8" w:rsidRDefault="00DA6694" w:rsidP="00AC0A5D">
            <w:pPr>
              <w:rPr>
                <w:rFonts w:asciiTheme="minorHAnsi" w:hAnsiTheme="minorHAnsi" w:cs="Arial"/>
                <w:bCs/>
                <w:sz w:val="20"/>
                <w:szCs w:val="20"/>
              </w:rPr>
            </w:pPr>
          </w:p>
        </w:tc>
        <w:tc>
          <w:tcPr>
            <w:tcW w:w="1189" w:type="dxa"/>
            <w:tcBorders>
              <w:top w:val="nil"/>
              <w:left w:val="nil"/>
              <w:bottom w:val="single" w:sz="4" w:space="0" w:color="auto"/>
              <w:right w:val="nil"/>
            </w:tcBorders>
          </w:tcPr>
          <w:p w14:paraId="14A7C28C"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89" w:type="dxa"/>
            <w:tcBorders>
              <w:top w:val="nil"/>
              <w:left w:val="nil"/>
              <w:bottom w:val="single" w:sz="4" w:space="0" w:color="auto"/>
              <w:right w:val="nil"/>
            </w:tcBorders>
          </w:tcPr>
          <w:p w14:paraId="02DF3F31"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292163" w:rsidRPr="00F01EC8" w14:paraId="284E2799" w14:textId="77777777" w:rsidTr="00AC0A5D">
        <w:tc>
          <w:tcPr>
            <w:tcW w:w="7545" w:type="dxa"/>
            <w:vAlign w:val="bottom"/>
          </w:tcPr>
          <w:p w14:paraId="7FE0DF0C"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Fair value of scheme assets at 1 January</w:t>
            </w:r>
          </w:p>
        </w:tc>
        <w:tc>
          <w:tcPr>
            <w:tcW w:w="1189" w:type="dxa"/>
            <w:tcBorders>
              <w:top w:val="single" w:sz="4" w:space="0" w:color="auto"/>
              <w:left w:val="nil"/>
              <w:bottom w:val="nil"/>
              <w:right w:val="nil"/>
            </w:tcBorders>
            <w:vAlign w:val="bottom"/>
          </w:tcPr>
          <w:p w14:paraId="70D9DA20" w14:textId="56944BA0"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842.6</w:t>
            </w:r>
          </w:p>
        </w:tc>
        <w:tc>
          <w:tcPr>
            <w:tcW w:w="1189" w:type="dxa"/>
            <w:tcBorders>
              <w:top w:val="single" w:sz="4" w:space="0" w:color="auto"/>
              <w:left w:val="nil"/>
              <w:bottom w:val="nil"/>
              <w:right w:val="nil"/>
            </w:tcBorders>
            <w:vAlign w:val="bottom"/>
          </w:tcPr>
          <w:p w14:paraId="7091E6BF" w14:textId="33A33B97"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788.3 </w:t>
            </w:r>
          </w:p>
        </w:tc>
      </w:tr>
      <w:tr w:rsidR="00292163" w:rsidRPr="00F01EC8" w14:paraId="13E84AA9" w14:textId="77777777" w:rsidTr="00AC0A5D">
        <w:tc>
          <w:tcPr>
            <w:tcW w:w="7545" w:type="dxa"/>
            <w:vAlign w:val="bottom"/>
          </w:tcPr>
          <w:p w14:paraId="5951D5F2"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Interest on scheme assets</w:t>
            </w:r>
          </w:p>
        </w:tc>
        <w:tc>
          <w:tcPr>
            <w:tcW w:w="1189" w:type="dxa"/>
            <w:vAlign w:val="bottom"/>
          </w:tcPr>
          <w:p w14:paraId="33899C0D" w14:textId="122617C3"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8.4</w:t>
            </w:r>
          </w:p>
        </w:tc>
        <w:tc>
          <w:tcPr>
            <w:tcW w:w="1189" w:type="dxa"/>
            <w:vAlign w:val="bottom"/>
          </w:tcPr>
          <w:p w14:paraId="41347138" w14:textId="4B979D97"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11.0 </w:t>
            </w:r>
          </w:p>
        </w:tc>
      </w:tr>
      <w:tr w:rsidR="00292163" w:rsidRPr="00F01EC8" w14:paraId="0E33B590" w14:textId="77777777" w:rsidTr="00AC0A5D">
        <w:tc>
          <w:tcPr>
            <w:tcW w:w="7545" w:type="dxa"/>
            <w:vAlign w:val="bottom"/>
          </w:tcPr>
          <w:p w14:paraId="5184FCA7"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Actuarial movements on scheme assets</w:t>
            </w:r>
          </w:p>
        </w:tc>
        <w:tc>
          <w:tcPr>
            <w:tcW w:w="1189" w:type="dxa"/>
            <w:vAlign w:val="bottom"/>
          </w:tcPr>
          <w:p w14:paraId="75DD628A" w14:textId="5A6A5720"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95.9</w:t>
            </w:r>
          </w:p>
        </w:tc>
        <w:tc>
          <w:tcPr>
            <w:tcW w:w="1189" w:type="dxa"/>
            <w:vAlign w:val="bottom"/>
          </w:tcPr>
          <w:p w14:paraId="491A3A19" w14:textId="25EC42EB"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63.6 </w:t>
            </w:r>
          </w:p>
        </w:tc>
      </w:tr>
      <w:tr w:rsidR="00292163" w:rsidRPr="00F01EC8" w14:paraId="230223B7" w14:textId="77777777" w:rsidTr="00AC0A5D">
        <w:tc>
          <w:tcPr>
            <w:tcW w:w="7545" w:type="dxa"/>
            <w:vAlign w:val="bottom"/>
          </w:tcPr>
          <w:p w14:paraId="70C91F0A" w14:textId="6FC45CB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 xml:space="preserve">Contributions by the </w:t>
            </w:r>
            <w:r w:rsidR="005714EF">
              <w:rPr>
                <w:rFonts w:asciiTheme="minorHAnsi" w:hAnsiTheme="minorHAnsi" w:cs="Arial"/>
                <w:sz w:val="20"/>
                <w:szCs w:val="20"/>
              </w:rPr>
              <w:t>G</w:t>
            </w:r>
            <w:r w:rsidRPr="00F01EC8">
              <w:rPr>
                <w:rFonts w:asciiTheme="minorHAnsi" w:hAnsiTheme="minorHAnsi" w:cs="Arial"/>
                <w:sz w:val="20"/>
                <w:szCs w:val="20"/>
              </w:rPr>
              <w:t>roup</w:t>
            </w:r>
          </w:p>
        </w:tc>
        <w:tc>
          <w:tcPr>
            <w:tcW w:w="1189" w:type="dxa"/>
            <w:vAlign w:val="bottom"/>
          </w:tcPr>
          <w:p w14:paraId="6EB8B8A4" w14:textId="3C9D44CF"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2.1</w:t>
            </w:r>
          </w:p>
        </w:tc>
        <w:tc>
          <w:tcPr>
            <w:tcW w:w="1189" w:type="dxa"/>
            <w:vAlign w:val="bottom"/>
          </w:tcPr>
          <w:p w14:paraId="3F906F14" w14:textId="0B14F8CA"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1.5 </w:t>
            </w:r>
          </w:p>
        </w:tc>
      </w:tr>
      <w:tr w:rsidR="00292163" w:rsidRPr="00F01EC8" w14:paraId="475AF46A" w14:textId="77777777" w:rsidTr="00AC0A5D">
        <w:tc>
          <w:tcPr>
            <w:tcW w:w="7545" w:type="dxa"/>
            <w:vAlign w:val="bottom"/>
          </w:tcPr>
          <w:p w14:paraId="2420E7F8"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Net benefits paid out</w:t>
            </w:r>
          </w:p>
        </w:tc>
        <w:tc>
          <w:tcPr>
            <w:tcW w:w="1189" w:type="dxa"/>
            <w:tcBorders>
              <w:top w:val="nil"/>
              <w:left w:val="nil"/>
              <w:bottom w:val="single" w:sz="4" w:space="0" w:color="auto"/>
              <w:right w:val="nil"/>
            </w:tcBorders>
            <w:vAlign w:val="bottom"/>
          </w:tcPr>
          <w:p w14:paraId="1D6FC952" w14:textId="78659F66"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(15.9)</w:t>
            </w:r>
          </w:p>
        </w:tc>
        <w:tc>
          <w:tcPr>
            <w:tcW w:w="1189" w:type="dxa"/>
            <w:tcBorders>
              <w:top w:val="nil"/>
              <w:left w:val="nil"/>
              <w:bottom w:val="single" w:sz="4" w:space="0" w:color="auto"/>
              <w:right w:val="nil"/>
            </w:tcBorders>
            <w:vAlign w:val="bottom"/>
          </w:tcPr>
          <w:p w14:paraId="648B196A" w14:textId="12BB077E"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(20.3)</w:t>
            </w:r>
          </w:p>
        </w:tc>
      </w:tr>
      <w:tr w:rsidR="00292163" w:rsidRPr="00F01EC8" w14:paraId="395DC00C" w14:textId="77777777" w:rsidTr="00AC0A5D">
        <w:tc>
          <w:tcPr>
            <w:tcW w:w="7545" w:type="dxa"/>
            <w:vAlign w:val="bottom"/>
          </w:tcPr>
          <w:p w14:paraId="075F587C" w14:textId="77777777" w:rsidR="00292163" w:rsidRPr="00F01EC8" w:rsidRDefault="00292163" w:rsidP="00292163">
            <w:pPr>
              <w:rPr>
                <w:rFonts w:asciiTheme="minorHAnsi" w:hAnsiTheme="minorHAnsi" w:cs="Arial"/>
                <w:b/>
                <w:sz w:val="20"/>
                <w:szCs w:val="20"/>
              </w:rPr>
            </w:pPr>
            <w:r w:rsidRPr="00F01EC8">
              <w:rPr>
                <w:rFonts w:asciiTheme="minorHAnsi" w:hAnsiTheme="minorHAnsi" w:cs="Arial"/>
                <w:b/>
                <w:sz w:val="20"/>
                <w:szCs w:val="20"/>
              </w:rPr>
              <w:t>Fair value of scheme assets at 30 June</w:t>
            </w:r>
          </w:p>
        </w:tc>
        <w:tc>
          <w:tcPr>
            <w:tcW w:w="1189" w:type="dxa"/>
            <w:tcBorders>
              <w:top w:val="single" w:sz="4" w:space="0" w:color="auto"/>
              <w:left w:val="nil"/>
              <w:bottom w:val="single" w:sz="12" w:space="0" w:color="auto"/>
              <w:right w:val="nil"/>
            </w:tcBorders>
            <w:vAlign w:val="bottom"/>
          </w:tcPr>
          <w:p w14:paraId="6FD23595" w14:textId="6DA102F7"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933.1</w:t>
            </w:r>
          </w:p>
        </w:tc>
        <w:tc>
          <w:tcPr>
            <w:tcW w:w="1189" w:type="dxa"/>
            <w:tcBorders>
              <w:top w:val="single" w:sz="4" w:space="0" w:color="auto"/>
              <w:left w:val="nil"/>
              <w:bottom w:val="single" w:sz="12" w:space="0" w:color="auto"/>
              <w:right w:val="nil"/>
            </w:tcBorders>
            <w:vAlign w:val="bottom"/>
          </w:tcPr>
          <w:p w14:paraId="6E5E793B" w14:textId="27664C49"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844.1 </w:t>
            </w:r>
          </w:p>
        </w:tc>
      </w:tr>
    </w:tbl>
    <w:p w14:paraId="5C9D70B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8C90AFE"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hanging="600"/>
        <w:rPr>
          <w:rFonts w:asciiTheme="minorHAnsi" w:hAnsiTheme="minorHAnsi" w:cs="Arial"/>
          <w:sz w:val="20"/>
          <w:szCs w:val="20"/>
        </w:rPr>
      </w:pPr>
      <w:r w:rsidRPr="00F01EC8">
        <w:rPr>
          <w:rFonts w:asciiTheme="minorHAnsi" w:hAnsiTheme="minorHAnsi" w:cs="Arial"/>
          <w:sz w:val="20"/>
          <w:szCs w:val="20"/>
        </w:rPr>
        <w:t>Movements in the present value of the defined benefit obligation were as follows:</w:t>
      </w:r>
    </w:p>
    <w:p w14:paraId="33B79D1F"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923" w:type="dxa"/>
        <w:tblLook w:val="0000" w:firstRow="0" w:lastRow="0" w:firstColumn="0" w:lastColumn="0" w:noHBand="0" w:noVBand="0"/>
      </w:tblPr>
      <w:tblGrid>
        <w:gridCol w:w="7545"/>
        <w:gridCol w:w="1189"/>
        <w:gridCol w:w="1189"/>
      </w:tblGrid>
      <w:tr w:rsidR="00DA6694" w:rsidRPr="00F01EC8" w14:paraId="02CBBE33" w14:textId="77777777" w:rsidTr="00AC0A5D">
        <w:tc>
          <w:tcPr>
            <w:tcW w:w="7545" w:type="dxa"/>
          </w:tcPr>
          <w:p w14:paraId="261388DA" w14:textId="77777777" w:rsidR="00DA6694" w:rsidRPr="00F01EC8" w:rsidRDefault="00DA6694" w:rsidP="00AC0A5D">
            <w:pPr>
              <w:jc w:val="both"/>
              <w:rPr>
                <w:rFonts w:asciiTheme="minorHAnsi" w:hAnsiTheme="minorHAnsi" w:cs="Arial"/>
                <w:sz w:val="20"/>
                <w:szCs w:val="20"/>
              </w:rPr>
            </w:pPr>
          </w:p>
        </w:tc>
        <w:tc>
          <w:tcPr>
            <w:tcW w:w="2378" w:type="dxa"/>
            <w:gridSpan w:val="2"/>
          </w:tcPr>
          <w:p w14:paraId="5675DDD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02146CA1" w14:textId="77777777" w:rsidTr="00AC0A5D">
        <w:tc>
          <w:tcPr>
            <w:tcW w:w="7545" w:type="dxa"/>
          </w:tcPr>
          <w:p w14:paraId="5D4C5622" w14:textId="77777777" w:rsidR="00DA6694" w:rsidRPr="00F01EC8" w:rsidRDefault="00DA6694" w:rsidP="00AC0A5D">
            <w:pPr>
              <w:jc w:val="both"/>
              <w:rPr>
                <w:rFonts w:asciiTheme="minorHAnsi" w:hAnsiTheme="minorHAnsi" w:cs="Arial"/>
                <w:sz w:val="20"/>
                <w:szCs w:val="20"/>
              </w:rPr>
            </w:pPr>
          </w:p>
        </w:tc>
        <w:tc>
          <w:tcPr>
            <w:tcW w:w="1189" w:type="dxa"/>
          </w:tcPr>
          <w:p w14:paraId="54914B9E" w14:textId="527DA9F1"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20</w:t>
            </w:r>
            <w:r w:rsidRPr="00F01EC8">
              <w:rPr>
                <w:rFonts w:asciiTheme="minorHAnsi" w:hAnsiTheme="minorHAnsi" w:cs="Arial"/>
                <w:sz w:val="20"/>
                <w:szCs w:val="20"/>
              </w:rPr>
              <w:t> </w:t>
            </w:r>
          </w:p>
        </w:tc>
        <w:tc>
          <w:tcPr>
            <w:tcW w:w="1189" w:type="dxa"/>
          </w:tcPr>
          <w:p w14:paraId="650EC124" w14:textId="6500975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485CFA23" w14:textId="77777777" w:rsidTr="00AC0A5D">
        <w:tc>
          <w:tcPr>
            <w:tcW w:w="7545" w:type="dxa"/>
          </w:tcPr>
          <w:p w14:paraId="64981B34" w14:textId="77777777" w:rsidR="00DA6694" w:rsidRPr="00F01EC8" w:rsidRDefault="00DA6694" w:rsidP="00AC0A5D">
            <w:pPr>
              <w:pStyle w:val="Heading5"/>
              <w:overflowPunct/>
              <w:autoSpaceDE/>
              <w:adjustRightInd/>
              <w:rPr>
                <w:rFonts w:asciiTheme="minorHAnsi" w:hAnsiTheme="minorHAnsi" w:cs="Arial"/>
                <w:bCs/>
                <w:sz w:val="20"/>
              </w:rPr>
            </w:pPr>
          </w:p>
        </w:tc>
        <w:tc>
          <w:tcPr>
            <w:tcW w:w="1189" w:type="dxa"/>
            <w:tcBorders>
              <w:top w:val="nil"/>
              <w:left w:val="nil"/>
              <w:bottom w:val="single" w:sz="4" w:space="0" w:color="auto"/>
              <w:right w:val="nil"/>
            </w:tcBorders>
          </w:tcPr>
          <w:p w14:paraId="3A58750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89" w:type="dxa"/>
            <w:tcBorders>
              <w:top w:val="nil"/>
              <w:left w:val="nil"/>
              <w:bottom w:val="single" w:sz="4" w:space="0" w:color="auto"/>
              <w:right w:val="nil"/>
            </w:tcBorders>
          </w:tcPr>
          <w:p w14:paraId="6E8D936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292163" w:rsidRPr="00F01EC8" w14:paraId="62F4949C" w14:textId="77777777" w:rsidTr="00AC0A5D">
        <w:tc>
          <w:tcPr>
            <w:tcW w:w="7545" w:type="dxa"/>
            <w:vAlign w:val="bottom"/>
          </w:tcPr>
          <w:p w14:paraId="31F4E636"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Present value of defined benefit obligation at 1 January</w:t>
            </w:r>
          </w:p>
        </w:tc>
        <w:tc>
          <w:tcPr>
            <w:tcW w:w="1189" w:type="dxa"/>
            <w:tcBorders>
              <w:top w:val="single" w:sz="4" w:space="0" w:color="auto"/>
              <w:left w:val="nil"/>
              <w:bottom w:val="nil"/>
              <w:right w:val="nil"/>
            </w:tcBorders>
            <w:vAlign w:val="bottom"/>
          </w:tcPr>
          <w:p w14:paraId="1B3062C3" w14:textId="54FBA1C2"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(764.6)</w:t>
            </w:r>
          </w:p>
        </w:tc>
        <w:tc>
          <w:tcPr>
            <w:tcW w:w="1189" w:type="dxa"/>
            <w:tcBorders>
              <w:top w:val="single" w:sz="4" w:space="0" w:color="auto"/>
              <w:left w:val="nil"/>
              <w:bottom w:val="nil"/>
              <w:right w:val="nil"/>
            </w:tcBorders>
            <w:vAlign w:val="bottom"/>
          </w:tcPr>
          <w:p w14:paraId="2A498EB6" w14:textId="4A3CD147"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(704.4)</w:t>
            </w:r>
          </w:p>
        </w:tc>
      </w:tr>
      <w:tr w:rsidR="00292163" w:rsidRPr="00F01EC8" w14:paraId="0ADC0F85" w14:textId="77777777" w:rsidTr="00AC0A5D">
        <w:tc>
          <w:tcPr>
            <w:tcW w:w="7545" w:type="dxa"/>
            <w:vAlign w:val="bottom"/>
          </w:tcPr>
          <w:p w14:paraId="5BF62339"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Current service cost</w:t>
            </w:r>
          </w:p>
        </w:tc>
        <w:tc>
          <w:tcPr>
            <w:tcW w:w="1189" w:type="dxa"/>
            <w:vAlign w:val="bottom"/>
          </w:tcPr>
          <w:p w14:paraId="0CB239E5" w14:textId="54797C32"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(0.8)</w:t>
            </w:r>
          </w:p>
        </w:tc>
        <w:tc>
          <w:tcPr>
            <w:tcW w:w="1189" w:type="dxa"/>
            <w:vAlign w:val="bottom"/>
          </w:tcPr>
          <w:p w14:paraId="2C63C728" w14:textId="0F5C8E1D"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(1.1)</w:t>
            </w:r>
          </w:p>
        </w:tc>
      </w:tr>
      <w:tr w:rsidR="00292163" w:rsidRPr="00F01EC8" w14:paraId="3729778C" w14:textId="77777777" w:rsidTr="00AC0A5D">
        <w:tc>
          <w:tcPr>
            <w:tcW w:w="7545" w:type="dxa"/>
            <w:vAlign w:val="bottom"/>
          </w:tcPr>
          <w:p w14:paraId="374C0775"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Interest on scheme liabilities</w:t>
            </w:r>
          </w:p>
        </w:tc>
        <w:tc>
          <w:tcPr>
            <w:tcW w:w="1189" w:type="dxa"/>
            <w:vAlign w:val="bottom"/>
          </w:tcPr>
          <w:p w14:paraId="7AC6D86F" w14:textId="539E7982"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(7.6)</w:t>
            </w:r>
          </w:p>
        </w:tc>
        <w:tc>
          <w:tcPr>
            <w:tcW w:w="1189" w:type="dxa"/>
            <w:vAlign w:val="bottom"/>
          </w:tcPr>
          <w:p w14:paraId="396A1EB9" w14:textId="4CAAF43B"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(9.8)</w:t>
            </w:r>
          </w:p>
        </w:tc>
      </w:tr>
      <w:tr w:rsidR="00292163" w:rsidRPr="00F01EC8" w14:paraId="1BD3221E" w14:textId="77777777" w:rsidTr="00AC0A5D">
        <w:tc>
          <w:tcPr>
            <w:tcW w:w="7545" w:type="dxa"/>
            <w:vAlign w:val="bottom"/>
          </w:tcPr>
          <w:p w14:paraId="4CDC159E"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Exceptional curtailment credit (note 4)</w:t>
            </w:r>
          </w:p>
        </w:tc>
        <w:tc>
          <w:tcPr>
            <w:tcW w:w="1189" w:type="dxa"/>
            <w:vAlign w:val="bottom"/>
          </w:tcPr>
          <w:p w14:paraId="32362D7C" w14:textId="01A846EC"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w:t>
            </w:r>
          </w:p>
        </w:tc>
        <w:tc>
          <w:tcPr>
            <w:tcW w:w="1189" w:type="dxa"/>
            <w:vAlign w:val="bottom"/>
          </w:tcPr>
          <w:p w14:paraId="637BB4C7" w14:textId="1D93BC00"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0.5 </w:t>
            </w:r>
          </w:p>
        </w:tc>
      </w:tr>
      <w:tr w:rsidR="00292163" w:rsidRPr="00F01EC8" w14:paraId="3F2C1104" w14:textId="77777777" w:rsidTr="00AC0A5D">
        <w:tc>
          <w:tcPr>
            <w:tcW w:w="7545" w:type="dxa"/>
            <w:vAlign w:val="bottom"/>
          </w:tcPr>
          <w:p w14:paraId="0DD09AFD"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Actuarial movements on scheme liabilities</w:t>
            </w:r>
          </w:p>
        </w:tc>
        <w:tc>
          <w:tcPr>
            <w:tcW w:w="1189" w:type="dxa"/>
            <w:vAlign w:val="bottom"/>
          </w:tcPr>
          <w:p w14:paraId="16D69755" w14:textId="2FB58548"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(57.6)</w:t>
            </w:r>
          </w:p>
        </w:tc>
        <w:tc>
          <w:tcPr>
            <w:tcW w:w="1189" w:type="dxa"/>
            <w:vAlign w:val="bottom"/>
          </w:tcPr>
          <w:p w14:paraId="41784CEE" w14:textId="651AC350"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(79.3)</w:t>
            </w:r>
          </w:p>
        </w:tc>
      </w:tr>
      <w:tr w:rsidR="00292163" w:rsidRPr="00F01EC8" w14:paraId="144E094A" w14:textId="77777777" w:rsidTr="00AC0A5D">
        <w:tc>
          <w:tcPr>
            <w:tcW w:w="7545" w:type="dxa"/>
            <w:vAlign w:val="bottom"/>
          </w:tcPr>
          <w:p w14:paraId="18959608"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Net benefits paid out</w:t>
            </w:r>
          </w:p>
        </w:tc>
        <w:tc>
          <w:tcPr>
            <w:tcW w:w="1189" w:type="dxa"/>
            <w:tcBorders>
              <w:top w:val="nil"/>
              <w:left w:val="nil"/>
              <w:bottom w:val="single" w:sz="4" w:space="0" w:color="auto"/>
              <w:right w:val="nil"/>
            </w:tcBorders>
            <w:vAlign w:val="bottom"/>
          </w:tcPr>
          <w:p w14:paraId="3DA960A3" w14:textId="61C6E1D0"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15.9</w:t>
            </w:r>
          </w:p>
        </w:tc>
        <w:tc>
          <w:tcPr>
            <w:tcW w:w="1189" w:type="dxa"/>
            <w:tcBorders>
              <w:top w:val="nil"/>
              <w:left w:val="nil"/>
              <w:bottom w:val="single" w:sz="4" w:space="0" w:color="auto"/>
              <w:right w:val="nil"/>
            </w:tcBorders>
            <w:vAlign w:val="bottom"/>
          </w:tcPr>
          <w:p w14:paraId="25ED1BBE" w14:textId="4466436B"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20.3 </w:t>
            </w:r>
          </w:p>
        </w:tc>
      </w:tr>
      <w:tr w:rsidR="00292163" w:rsidRPr="00F01EC8" w14:paraId="07C9EE19" w14:textId="77777777" w:rsidTr="00AC0A5D">
        <w:tc>
          <w:tcPr>
            <w:tcW w:w="7545" w:type="dxa"/>
            <w:vAlign w:val="bottom"/>
          </w:tcPr>
          <w:p w14:paraId="10C71761" w14:textId="77777777" w:rsidR="00292163" w:rsidRPr="00F01EC8" w:rsidRDefault="00292163" w:rsidP="00292163">
            <w:pPr>
              <w:rPr>
                <w:rFonts w:asciiTheme="minorHAnsi" w:hAnsiTheme="minorHAnsi" w:cs="Arial"/>
                <w:b/>
                <w:sz w:val="20"/>
                <w:szCs w:val="20"/>
              </w:rPr>
            </w:pPr>
            <w:r w:rsidRPr="00F01EC8">
              <w:rPr>
                <w:rFonts w:asciiTheme="minorHAnsi" w:hAnsiTheme="minorHAnsi" w:cs="Arial"/>
                <w:b/>
                <w:sz w:val="20"/>
                <w:szCs w:val="20"/>
              </w:rPr>
              <w:t>Present value of defined benefit obligation at 30 June</w:t>
            </w:r>
          </w:p>
        </w:tc>
        <w:tc>
          <w:tcPr>
            <w:tcW w:w="1189" w:type="dxa"/>
            <w:tcBorders>
              <w:top w:val="single" w:sz="4" w:space="0" w:color="auto"/>
              <w:left w:val="nil"/>
              <w:bottom w:val="single" w:sz="12" w:space="0" w:color="auto"/>
              <w:right w:val="nil"/>
            </w:tcBorders>
            <w:vAlign w:val="bottom"/>
          </w:tcPr>
          <w:p w14:paraId="40D8A042" w14:textId="25D1D8EB"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(814.7)</w:t>
            </w:r>
          </w:p>
        </w:tc>
        <w:tc>
          <w:tcPr>
            <w:tcW w:w="1189" w:type="dxa"/>
            <w:tcBorders>
              <w:top w:val="single" w:sz="4" w:space="0" w:color="auto"/>
              <w:left w:val="nil"/>
              <w:bottom w:val="single" w:sz="12" w:space="0" w:color="auto"/>
              <w:right w:val="nil"/>
            </w:tcBorders>
            <w:vAlign w:val="bottom"/>
          </w:tcPr>
          <w:p w14:paraId="5188CA69" w14:textId="6D2DA138"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(773.8)</w:t>
            </w:r>
          </w:p>
        </w:tc>
      </w:tr>
    </w:tbl>
    <w:p w14:paraId="68BFE14A"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2432B42B"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lastRenderedPageBreak/>
        <w:t>The principal actuarial assumptions used at the balance sheet date were as follows:</w:t>
      </w:r>
    </w:p>
    <w:p w14:paraId="483698C2"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ectionheadernumber"/>
          <w:rFonts w:asciiTheme="minorHAnsi" w:hAnsiTheme="minorHAnsi" w:cs="Arial"/>
          <w:sz w:val="20"/>
          <w:szCs w:val="20"/>
        </w:rPr>
      </w:pPr>
    </w:p>
    <w:tbl>
      <w:tblPr>
        <w:tblW w:w="9908" w:type="dxa"/>
        <w:tblLook w:val="0000" w:firstRow="0" w:lastRow="0" w:firstColumn="0" w:lastColumn="0" w:noHBand="0" w:noVBand="0"/>
      </w:tblPr>
      <w:tblGrid>
        <w:gridCol w:w="6128"/>
        <w:gridCol w:w="1169"/>
        <w:gridCol w:w="1442"/>
        <w:gridCol w:w="1169"/>
      </w:tblGrid>
      <w:tr w:rsidR="00DA6694" w:rsidRPr="00F01EC8" w14:paraId="448EB060" w14:textId="77777777" w:rsidTr="00AC0A5D">
        <w:tc>
          <w:tcPr>
            <w:tcW w:w="6128" w:type="dxa"/>
          </w:tcPr>
          <w:p w14:paraId="718F1AB9" w14:textId="77777777" w:rsidR="00DA6694" w:rsidRPr="00F01EC8" w:rsidRDefault="00DA6694" w:rsidP="00AC0A5D">
            <w:pPr>
              <w:jc w:val="both"/>
              <w:rPr>
                <w:rFonts w:asciiTheme="minorHAnsi" w:hAnsiTheme="minorHAnsi" w:cs="Arial"/>
                <w:sz w:val="20"/>
                <w:szCs w:val="20"/>
              </w:rPr>
            </w:pPr>
          </w:p>
        </w:tc>
        <w:tc>
          <w:tcPr>
            <w:tcW w:w="1169" w:type="dxa"/>
          </w:tcPr>
          <w:p w14:paraId="1A0119A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442" w:type="dxa"/>
          </w:tcPr>
          <w:p w14:paraId="3741EB9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9" w:type="dxa"/>
          </w:tcPr>
          <w:p w14:paraId="76F8DEF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22AAFC89" w14:textId="77777777" w:rsidTr="00AC0A5D">
        <w:tc>
          <w:tcPr>
            <w:tcW w:w="6128" w:type="dxa"/>
          </w:tcPr>
          <w:p w14:paraId="31113C73" w14:textId="77777777" w:rsidR="00DA6694" w:rsidRPr="00F01EC8" w:rsidRDefault="00DA6694" w:rsidP="00AC0A5D">
            <w:pPr>
              <w:jc w:val="both"/>
              <w:rPr>
                <w:rFonts w:asciiTheme="minorHAnsi" w:hAnsiTheme="minorHAnsi" w:cs="Arial"/>
                <w:sz w:val="20"/>
                <w:szCs w:val="20"/>
              </w:rPr>
            </w:pPr>
          </w:p>
        </w:tc>
        <w:tc>
          <w:tcPr>
            <w:tcW w:w="1169" w:type="dxa"/>
          </w:tcPr>
          <w:p w14:paraId="7D48DEFE" w14:textId="48F9F882"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20</w:t>
            </w:r>
            <w:r w:rsidRPr="00F01EC8">
              <w:rPr>
                <w:rFonts w:asciiTheme="minorHAnsi" w:hAnsiTheme="minorHAnsi" w:cs="Arial"/>
                <w:sz w:val="20"/>
                <w:szCs w:val="20"/>
              </w:rPr>
              <w:t> </w:t>
            </w:r>
          </w:p>
        </w:tc>
        <w:tc>
          <w:tcPr>
            <w:tcW w:w="1442" w:type="dxa"/>
          </w:tcPr>
          <w:p w14:paraId="6F9FA098" w14:textId="245A64BE"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r w:rsidRPr="00F01EC8">
              <w:rPr>
                <w:rFonts w:asciiTheme="minorHAnsi" w:hAnsiTheme="minorHAnsi" w:cs="Arial"/>
                <w:sz w:val="20"/>
                <w:szCs w:val="20"/>
              </w:rPr>
              <w:t> </w:t>
            </w:r>
          </w:p>
        </w:tc>
        <w:tc>
          <w:tcPr>
            <w:tcW w:w="1169" w:type="dxa"/>
          </w:tcPr>
          <w:p w14:paraId="59E0DDD4" w14:textId="052700B9"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19</w:t>
            </w:r>
            <w:r w:rsidRPr="00F01EC8">
              <w:rPr>
                <w:rFonts w:asciiTheme="minorHAnsi" w:hAnsiTheme="minorHAnsi" w:cs="Arial"/>
                <w:sz w:val="20"/>
                <w:szCs w:val="20"/>
              </w:rPr>
              <w:t> </w:t>
            </w:r>
          </w:p>
        </w:tc>
      </w:tr>
      <w:tr w:rsidR="00DA6694" w:rsidRPr="00F01EC8" w14:paraId="37F39101" w14:textId="77777777" w:rsidTr="00AC0A5D">
        <w:tc>
          <w:tcPr>
            <w:tcW w:w="6128" w:type="dxa"/>
          </w:tcPr>
          <w:p w14:paraId="14A6EA8A" w14:textId="77777777" w:rsidR="00DA6694" w:rsidRPr="00F01EC8" w:rsidRDefault="00DA6694" w:rsidP="00AC0A5D">
            <w:pPr>
              <w:pStyle w:val="Heading5"/>
              <w:overflowPunct/>
              <w:autoSpaceDE/>
              <w:adjustRightInd/>
              <w:rPr>
                <w:rFonts w:asciiTheme="minorHAnsi" w:hAnsiTheme="minorHAnsi" w:cs="Arial"/>
                <w:bCs/>
                <w:sz w:val="20"/>
              </w:rPr>
            </w:pPr>
          </w:p>
        </w:tc>
        <w:tc>
          <w:tcPr>
            <w:tcW w:w="1169" w:type="dxa"/>
            <w:tcBorders>
              <w:top w:val="nil"/>
              <w:left w:val="nil"/>
              <w:bottom w:val="single" w:sz="4" w:space="0" w:color="auto"/>
              <w:right w:val="nil"/>
            </w:tcBorders>
          </w:tcPr>
          <w:p w14:paraId="628070A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c>
          <w:tcPr>
            <w:tcW w:w="1442" w:type="dxa"/>
            <w:tcBorders>
              <w:top w:val="nil"/>
              <w:left w:val="nil"/>
              <w:bottom w:val="single" w:sz="4" w:space="0" w:color="auto"/>
              <w:right w:val="nil"/>
            </w:tcBorders>
          </w:tcPr>
          <w:p w14:paraId="746E52D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c>
          <w:tcPr>
            <w:tcW w:w="1169" w:type="dxa"/>
            <w:tcBorders>
              <w:top w:val="nil"/>
              <w:left w:val="nil"/>
              <w:bottom w:val="single" w:sz="4" w:space="0" w:color="auto"/>
              <w:right w:val="nil"/>
            </w:tcBorders>
          </w:tcPr>
          <w:p w14:paraId="476CE75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 </w:t>
            </w:r>
          </w:p>
        </w:tc>
      </w:tr>
      <w:tr w:rsidR="00292163" w:rsidRPr="00F01EC8" w14:paraId="119B7D44" w14:textId="77777777" w:rsidTr="00AC0A5D">
        <w:tc>
          <w:tcPr>
            <w:tcW w:w="6128" w:type="dxa"/>
            <w:vAlign w:val="bottom"/>
          </w:tcPr>
          <w:p w14:paraId="160EA723"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 xml:space="preserve">Price inflation – RPI </w:t>
            </w:r>
          </w:p>
        </w:tc>
        <w:tc>
          <w:tcPr>
            <w:tcW w:w="1169" w:type="dxa"/>
            <w:tcBorders>
              <w:top w:val="single" w:sz="4" w:space="0" w:color="auto"/>
              <w:left w:val="nil"/>
              <w:bottom w:val="nil"/>
              <w:right w:val="nil"/>
            </w:tcBorders>
            <w:vAlign w:val="bottom"/>
          </w:tcPr>
          <w:p w14:paraId="4B2EA00A" w14:textId="7E7B8430"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2.80</w:t>
            </w:r>
          </w:p>
        </w:tc>
        <w:tc>
          <w:tcPr>
            <w:tcW w:w="1442" w:type="dxa"/>
            <w:tcBorders>
              <w:top w:val="single" w:sz="4" w:space="0" w:color="auto"/>
              <w:left w:val="nil"/>
              <w:bottom w:val="nil"/>
              <w:right w:val="nil"/>
            </w:tcBorders>
            <w:vAlign w:val="bottom"/>
          </w:tcPr>
          <w:p w14:paraId="56BE6D8F" w14:textId="36B645CE"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2.95 </w:t>
            </w:r>
          </w:p>
        </w:tc>
        <w:tc>
          <w:tcPr>
            <w:tcW w:w="1169" w:type="dxa"/>
            <w:tcBorders>
              <w:top w:val="single" w:sz="4" w:space="0" w:color="auto"/>
              <w:left w:val="nil"/>
              <w:bottom w:val="nil"/>
              <w:right w:val="nil"/>
            </w:tcBorders>
            <w:vAlign w:val="bottom"/>
          </w:tcPr>
          <w:p w14:paraId="627DDD31" w14:textId="538A7766"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3.30 </w:t>
            </w:r>
          </w:p>
        </w:tc>
      </w:tr>
      <w:tr w:rsidR="00292163" w:rsidRPr="00F01EC8" w14:paraId="3DD0148F" w14:textId="77777777" w:rsidTr="00AC0A5D">
        <w:tc>
          <w:tcPr>
            <w:tcW w:w="6128" w:type="dxa"/>
            <w:vAlign w:val="bottom"/>
          </w:tcPr>
          <w:p w14:paraId="152152BA"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 xml:space="preserve">Price inflation – CPI </w:t>
            </w:r>
          </w:p>
        </w:tc>
        <w:tc>
          <w:tcPr>
            <w:tcW w:w="1169" w:type="dxa"/>
            <w:vAlign w:val="bottom"/>
          </w:tcPr>
          <w:p w14:paraId="3A6F65D0" w14:textId="638B16F4"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1.90</w:t>
            </w:r>
          </w:p>
        </w:tc>
        <w:tc>
          <w:tcPr>
            <w:tcW w:w="1442" w:type="dxa"/>
            <w:vAlign w:val="bottom"/>
          </w:tcPr>
          <w:p w14:paraId="5EA1B7E6" w14:textId="17C65DCA"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2.05 </w:t>
            </w:r>
          </w:p>
        </w:tc>
        <w:tc>
          <w:tcPr>
            <w:tcW w:w="1169" w:type="dxa"/>
            <w:vAlign w:val="bottom"/>
          </w:tcPr>
          <w:p w14:paraId="7D18DC80" w14:textId="3E16D411"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2.20 </w:t>
            </w:r>
          </w:p>
        </w:tc>
      </w:tr>
      <w:tr w:rsidR="00292163" w:rsidRPr="00F01EC8" w14:paraId="1AD846D7" w14:textId="77777777" w:rsidTr="00AC0A5D">
        <w:tc>
          <w:tcPr>
            <w:tcW w:w="6128" w:type="dxa"/>
            <w:vAlign w:val="bottom"/>
          </w:tcPr>
          <w:p w14:paraId="72B187BD"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Rate of increase to pensions in payment</w:t>
            </w:r>
          </w:p>
        </w:tc>
        <w:tc>
          <w:tcPr>
            <w:tcW w:w="1169" w:type="dxa"/>
            <w:vAlign w:val="bottom"/>
          </w:tcPr>
          <w:p w14:paraId="1FB15D0A" w14:textId="69FC6FAC"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2.60</w:t>
            </w:r>
          </w:p>
        </w:tc>
        <w:tc>
          <w:tcPr>
            <w:tcW w:w="1442" w:type="dxa"/>
            <w:vAlign w:val="bottom"/>
          </w:tcPr>
          <w:p w14:paraId="724B1A60" w14:textId="739375A8"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2.70 </w:t>
            </w:r>
          </w:p>
        </w:tc>
        <w:tc>
          <w:tcPr>
            <w:tcW w:w="1169" w:type="dxa"/>
            <w:vAlign w:val="bottom"/>
          </w:tcPr>
          <w:p w14:paraId="463FDB99" w14:textId="0081B564"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3.00 </w:t>
            </w:r>
          </w:p>
        </w:tc>
      </w:tr>
      <w:tr w:rsidR="00292163" w:rsidRPr="00F01EC8" w14:paraId="5BB35457" w14:textId="77777777" w:rsidTr="00AC0A5D">
        <w:tc>
          <w:tcPr>
            <w:tcW w:w="6128" w:type="dxa"/>
            <w:vAlign w:val="bottom"/>
          </w:tcPr>
          <w:p w14:paraId="762259CE"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Inflationary increases to pensions in deferment</w:t>
            </w:r>
          </w:p>
        </w:tc>
        <w:tc>
          <w:tcPr>
            <w:tcW w:w="1169" w:type="dxa"/>
            <w:tcBorders>
              <w:top w:val="nil"/>
              <w:left w:val="nil"/>
              <w:right w:val="nil"/>
            </w:tcBorders>
            <w:vAlign w:val="bottom"/>
          </w:tcPr>
          <w:p w14:paraId="1EDC1A6A" w14:textId="1454FBF1"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2.00</w:t>
            </w:r>
          </w:p>
        </w:tc>
        <w:tc>
          <w:tcPr>
            <w:tcW w:w="1442" w:type="dxa"/>
            <w:tcBorders>
              <w:top w:val="nil"/>
              <w:left w:val="nil"/>
              <w:right w:val="nil"/>
            </w:tcBorders>
            <w:vAlign w:val="bottom"/>
          </w:tcPr>
          <w:p w14:paraId="7CEE219B" w14:textId="12262DB7"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2.10 </w:t>
            </w:r>
          </w:p>
        </w:tc>
        <w:tc>
          <w:tcPr>
            <w:tcW w:w="1169" w:type="dxa"/>
            <w:tcBorders>
              <w:top w:val="nil"/>
              <w:left w:val="nil"/>
              <w:right w:val="nil"/>
            </w:tcBorders>
            <w:vAlign w:val="bottom"/>
          </w:tcPr>
          <w:p w14:paraId="568C33FD" w14:textId="40D5213B"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2.20 </w:t>
            </w:r>
          </w:p>
        </w:tc>
      </w:tr>
      <w:tr w:rsidR="00292163" w:rsidRPr="00F01EC8" w14:paraId="2EDE9CDB" w14:textId="77777777" w:rsidTr="00AC0A5D">
        <w:tc>
          <w:tcPr>
            <w:tcW w:w="6128" w:type="dxa"/>
            <w:vAlign w:val="bottom"/>
          </w:tcPr>
          <w:p w14:paraId="09B768DF"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Discount rate</w:t>
            </w:r>
          </w:p>
        </w:tc>
        <w:tc>
          <w:tcPr>
            <w:tcW w:w="1169" w:type="dxa"/>
            <w:tcBorders>
              <w:left w:val="nil"/>
              <w:bottom w:val="single" w:sz="12" w:space="0" w:color="auto"/>
              <w:right w:val="nil"/>
            </w:tcBorders>
            <w:vAlign w:val="bottom"/>
          </w:tcPr>
          <w:p w14:paraId="5C3EEFA1" w14:textId="1B5219F4"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1.50</w:t>
            </w:r>
          </w:p>
        </w:tc>
        <w:tc>
          <w:tcPr>
            <w:tcW w:w="1442" w:type="dxa"/>
            <w:tcBorders>
              <w:left w:val="nil"/>
              <w:bottom w:val="single" w:sz="12" w:space="0" w:color="auto"/>
              <w:right w:val="nil"/>
            </w:tcBorders>
            <w:vAlign w:val="bottom"/>
          </w:tcPr>
          <w:p w14:paraId="757BCB4D" w14:textId="0FA85328"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2.00 </w:t>
            </w:r>
          </w:p>
        </w:tc>
        <w:tc>
          <w:tcPr>
            <w:tcW w:w="1169" w:type="dxa"/>
            <w:tcBorders>
              <w:left w:val="nil"/>
              <w:bottom w:val="single" w:sz="12" w:space="0" w:color="auto"/>
              <w:right w:val="nil"/>
            </w:tcBorders>
            <w:vAlign w:val="bottom"/>
          </w:tcPr>
          <w:p w14:paraId="293344AE" w14:textId="06E05870"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2.20 </w:t>
            </w:r>
          </w:p>
        </w:tc>
      </w:tr>
    </w:tbl>
    <w:p w14:paraId="2D3448A3"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9D36F34" w14:textId="15A046E1"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A 0.1% change in the discount and inflation rates would change the present value of the defined benefit obligation by approximately £1</w:t>
      </w:r>
      <w:r w:rsidR="007A5755" w:rsidRPr="00F01EC8">
        <w:rPr>
          <w:rFonts w:asciiTheme="minorHAnsi" w:hAnsiTheme="minorHAnsi" w:cs="Arial"/>
          <w:sz w:val="20"/>
          <w:szCs w:val="20"/>
        </w:rPr>
        <w:t>5</w:t>
      </w:r>
      <w:r w:rsidRPr="00F01EC8">
        <w:rPr>
          <w:rFonts w:asciiTheme="minorHAnsi" w:hAnsiTheme="minorHAnsi" w:cs="Arial"/>
          <w:sz w:val="20"/>
          <w:szCs w:val="20"/>
        </w:rPr>
        <w:t>m (31 December 201</w:t>
      </w:r>
      <w:r w:rsidR="009742D7" w:rsidRPr="00F01EC8">
        <w:rPr>
          <w:rFonts w:asciiTheme="minorHAnsi" w:hAnsiTheme="minorHAnsi" w:cs="Arial"/>
          <w:sz w:val="20"/>
          <w:szCs w:val="20"/>
        </w:rPr>
        <w:t>9</w:t>
      </w:r>
      <w:r w:rsidRPr="00F01EC8">
        <w:rPr>
          <w:rFonts w:asciiTheme="minorHAnsi" w:hAnsiTheme="minorHAnsi" w:cs="Arial"/>
          <w:sz w:val="20"/>
          <w:szCs w:val="20"/>
        </w:rPr>
        <w:t>: £1</w:t>
      </w:r>
      <w:r w:rsidR="009742D7" w:rsidRPr="00F01EC8">
        <w:rPr>
          <w:rFonts w:asciiTheme="minorHAnsi" w:hAnsiTheme="minorHAnsi" w:cs="Arial"/>
          <w:sz w:val="20"/>
          <w:szCs w:val="20"/>
        </w:rPr>
        <w:t>4</w:t>
      </w:r>
      <w:r w:rsidRPr="00F01EC8">
        <w:rPr>
          <w:rFonts w:asciiTheme="minorHAnsi" w:hAnsiTheme="minorHAnsi" w:cs="Arial"/>
          <w:sz w:val="20"/>
          <w:szCs w:val="20"/>
        </w:rPr>
        <w:t>m, 30 June 201</w:t>
      </w:r>
      <w:r w:rsidR="009742D7" w:rsidRPr="00F01EC8">
        <w:rPr>
          <w:rFonts w:asciiTheme="minorHAnsi" w:hAnsiTheme="minorHAnsi" w:cs="Arial"/>
          <w:sz w:val="20"/>
          <w:szCs w:val="20"/>
        </w:rPr>
        <w:t>9</w:t>
      </w:r>
      <w:r w:rsidRPr="00F01EC8">
        <w:rPr>
          <w:rFonts w:asciiTheme="minorHAnsi" w:hAnsiTheme="minorHAnsi" w:cs="Arial"/>
          <w:sz w:val="20"/>
          <w:szCs w:val="20"/>
        </w:rPr>
        <w:t>: £13m) and £</w:t>
      </w:r>
      <w:r w:rsidR="007A5755" w:rsidRPr="00F01EC8">
        <w:rPr>
          <w:rFonts w:asciiTheme="minorHAnsi" w:hAnsiTheme="minorHAnsi" w:cs="Arial"/>
          <w:sz w:val="20"/>
          <w:szCs w:val="20"/>
        </w:rPr>
        <w:t>7</w:t>
      </w:r>
      <w:r w:rsidRPr="00F01EC8">
        <w:rPr>
          <w:rFonts w:asciiTheme="minorHAnsi" w:hAnsiTheme="minorHAnsi" w:cs="Arial"/>
          <w:sz w:val="20"/>
          <w:szCs w:val="20"/>
        </w:rPr>
        <w:t>m (31 December 201</w:t>
      </w:r>
      <w:r w:rsidR="009742D7" w:rsidRPr="00F01EC8">
        <w:rPr>
          <w:rFonts w:asciiTheme="minorHAnsi" w:hAnsiTheme="minorHAnsi" w:cs="Arial"/>
          <w:sz w:val="20"/>
          <w:szCs w:val="20"/>
        </w:rPr>
        <w:t>9</w:t>
      </w:r>
      <w:r w:rsidRPr="00F01EC8">
        <w:rPr>
          <w:rFonts w:asciiTheme="minorHAnsi" w:hAnsiTheme="minorHAnsi" w:cs="Arial"/>
          <w:sz w:val="20"/>
          <w:szCs w:val="20"/>
        </w:rPr>
        <w:t>: £</w:t>
      </w:r>
      <w:r w:rsidR="009742D7" w:rsidRPr="00F01EC8">
        <w:rPr>
          <w:rFonts w:asciiTheme="minorHAnsi" w:hAnsiTheme="minorHAnsi" w:cs="Arial"/>
          <w:sz w:val="20"/>
          <w:szCs w:val="20"/>
        </w:rPr>
        <w:t>6</w:t>
      </w:r>
      <w:r w:rsidRPr="00F01EC8">
        <w:rPr>
          <w:rFonts w:asciiTheme="minorHAnsi" w:hAnsiTheme="minorHAnsi" w:cs="Arial"/>
          <w:sz w:val="20"/>
          <w:szCs w:val="20"/>
        </w:rPr>
        <w:t>m, 30 June 201</w:t>
      </w:r>
      <w:r w:rsidR="009742D7" w:rsidRPr="00F01EC8">
        <w:rPr>
          <w:rFonts w:asciiTheme="minorHAnsi" w:hAnsiTheme="minorHAnsi" w:cs="Arial"/>
          <w:sz w:val="20"/>
          <w:szCs w:val="20"/>
        </w:rPr>
        <w:t>9</w:t>
      </w:r>
      <w:r w:rsidRPr="00F01EC8">
        <w:rPr>
          <w:rFonts w:asciiTheme="minorHAnsi" w:hAnsiTheme="minorHAnsi" w:cs="Arial"/>
          <w:sz w:val="20"/>
          <w:szCs w:val="20"/>
        </w:rPr>
        <w:t>: £6m) respectively.</w:t>
      </w:r>
    </w:p>
    <w:p w14:paraId="4F5DFD8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4EA5701" w14:textId="77777777" w:rsidR="009D39AC"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bCs/>
          <w:sz w:val="20"/>
          <w:szCs w:val="20"/>
        </w:rPr>
      </w:pPr>
      <w:r w:rsidRPr="00F01EC8">
        <w:rPr>
          <w:rStyle w:val="bodycopynumber"/>
          <w:rFonts w:asciiTheme="minorHAnsi" w:hAnsiTheme="minorHAnsi"/>
          <w:bCs/>
          <w:sz w:val="20"/>
          <w:szCs w:val="20"/>
        </w:rPr>
        <w:t>The mortality assumptions are based on the self-administered pension scheme (SAPS) series 2 tables (31 December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series 2 tables, 30 June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xml:space="preserve">: series </w:t>
      </w:r>
      <w:r w:rsidR="009742D7" w:rsidRPr="00F01EC8">
        <w:rPr>
          <w:rStyle w:val="bodycopynumber"/>
          <w:rFonts w:asciiTheme="minorHAnsi" w:hAnsiTheme="minorHAnsi"/>
          <w:bCs/>
          <w:sz w:val="20"/>
          <w:szCs w:val="20"/>
        </w:rPr>
        <w:t>2</w:t>
      </w:r>
      <w:r w:rsidRPr="00F01EC8">
        <w:rPr>
          <w:rStyle w:val="bodycopynumber"/>
          <w:rFonts w:asciiTheme="minorHAnsi" w:hAnsiTheme="minorHAnsi"/>
          <w:bCs/>
          <w:sz w:val="20"/>
          <w:szCs w:val="20"/>
        </w:rPr>
        <w:t xml:space="preserve"> tables), with multipliers of 96% (31 December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96%, 30 June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xml:space="preserve">: </w:t>
      </w:r>
      <w:r w:rsidR="009742D7" w:rsidRPr="00F01EC8">
        <w:rPr>
          <w:rStyle w:val="bodycopynumber"/>
          <w:rFonts w:asciiTheme="minorHAnsi" w:hAnsiTheme="minorHAnsi"/>
          <w:bCs/>
          <w:sz w:val="20"/>
          <w:szCs w:val="20"/>
        </w:rPr>
        <w:t>96</w:t>
      </w:r>
      <w:r w:rsidRPr="00F01EC8">
        <w:rPr>
          <w:rStyle w:val="bodycopynumber"/>
          <w:rFonts w:asciiTheme="minorHAnsi" w:hAnsiTheme="minorHAnsi"/>
          <w:bCs/>
          <w:sz w:val="20"/>
          <w:szCs w:val="20"/>
        </w:rPr>
        <w:t>%) and 101% (31 December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101%, 30 June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1</w:t>
      </w:r>
      <w:r w:rsidR="009742D7" w:rsidRPr="00F01EC8">
        <w:rPr>
          <w:rStyle w:val="bodycopynumber"/>
          <w:rFonts w:asciiTheme="minorHAnsi" w:hAnsiTheme="minorHAnsi"/>
          <w:bCs/>
          <w:sz w:val="20"/>
          <w:szCs w:val="20"/>
        </w:rPr>
        <w:t>01</w:t>
      </w:r>
      <w:r w:rsidRPr="00F01EC8">
        <w:rPr>
          <w:rStyle w:val="bodycopynumber"/>
          <w:rFonts w:asciiTheme="minorHAnsi" w:hAnsiTheme="minorHAnsi"/>
          <w:bCs/>
          <w:sz w:val="20"/>
          <w:szCs w:val="20"/>
        </w:rPr>
        <w:t>%) respectively for males and females. The 4% downwards (31 December 201</w:t>
      </w:r>
      <w:r w:rsidR="00241694"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4% downwards, 30 June 201</w:t>
      </w:r>
      <w:r w:rsidR="009742D7"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xml:space="preserve">: </w:t>
      </w:r>
      <w:r w:rsidR="009742D7" w:rsidRPr="00F01EC8">
        <w:rPr>
          <w:rStyle w:val="bodycopynumber"/>
          <w:rFonts w:asciiTheme="minorHAnsi" w:hAnsiTheme="minorHAnsi"/>
          <w:bCs/>
          <w:sz w:val="20"/>
          <w:szCs w:val="20"/>
        </w:rPr>
        <w:t>4</w:t>
      </w:r>
      <w:r w:rsidRPr="00F01EC8">
        <w:rPr>
          <w:rStyle w:val="bodycopynumber"/>
          <w:rFonts w:asciiTheme="minorHAnsi" w:hAnsiTheme="minorHAnsi"/>
          <w:bCs/>
          <w:sz w:val="20"/>
          <w:szCs w:val="20"/>
        </w:rPr>
        <w:t xml:space="preserve">% </w:t>
      </w:r>
      <w:r w:rsidR="009742D7" w:rsidRPr="00F01EC8">
        <w:rPr>
          <w:rStyle w:val="bodycopynumber"/>
          <w:rFonts w:asciiTheme="minorHAnsi" w:hAnsiTheme="minorHAnsi"/>
          <w:bCs/>
          <w:sz w:val="20"/>
          <w:szCs w:val="20"/>
        </w:rPr>
        <w:t>do</w:t>
      </w:r>
      <w:r w:rsidR="00241694" w:rsidRPr="00F01EC8">
        <w:rPr>
          <w:rStyle w:val="bodycopynumber"/>
          <w:rFonts w:asciiTheme="minorHAnsi" w:hAnsiTheme="minorHAnsi"/>
          <w:bCs/>
          <w:sz w:val="20"/>
          <w:szCs w:val="20"/>
        </w:rPr>
        <w:t>wn</w:t>
      </w:r>
      <w:r w:rsidRPr="00F01EC8">
        <w:rPr>
          <w:rStyle w:val="bodycopynumber"/>
          <w:rFonts w:asciiTheme="minorHAnsi" w:hAnsiTheme="minorHAnsi"/>
          <w:bCs/>
          <w:sz w:val="20"/>
          <w:szCs w:val="20"/>
        </w:rPr>
        <w:t>wards) adjustment to mortality rates for males and a 1% upwards (31 December 201</w:t>
      </w:r>
      <w:r w:rsidR="00241694"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1% upwards, 30 June 201</w:t>
      </w:r>
      <w:r w:rsidR="00241694" w:rsidRPr="00F01EC8">
        <w:rPr>
          <w:rStyle w:val="bodycopynumber"/>
          <w:rFonts w:asciiTheme="minorHAnsi" w:hAnsiTheme="minorHAnsi"/>
          <w:bCs/>
          <w:sz w:val="20"/>
          <w:szCs w:val="20"/>
        </w:rPr>
        <w:t>9</w:t>
      </w:r>
      <w:r w:rsidRPr="00F01EC8">
        <w:rPr>
          <w:rStyle w:val="bodycopynumber"/>
          <w:rFonts w:asciiTheme="minorHAnsi" w:hAnsiTheme="minorHAnsi"/>
          <w:bCs/>
          <w:sz w:val="20"/>
          <w:szCs w:val="20"/>
        </w:rPr>
        <w:t xml:space="preserve">: 1% upwards) adjustment for females reflects higher life expectancies for males and lower life expectancies for females within the scheme compared to average pension schemes following an updated study of the scheme’s membership. Future improvements in mortality are based on the latest available Continuous Mortality Investigation (CMI) model with a long-term improvement trend of 1.25% per annum. </w:t>
      </w:r>
    </w:p>
    <w:p w14:paraId="6F56E6C9" w14:textId="77777777" w:rsidR="009D39AC" w:rsidRPr="00F01EC8" w:rsidRDefault="009D39AC"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bCs/>
          <w:sz w:val="20"/>
          <w:szCs w:val="20"/>
        </w:rPr>
      </w:pPr>
    </w:p>
    <w:p w14:paraId="63D2E8A5" w14:textId="2D1884BA"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bCs/>
          <w:sz w:val="20"/>
          <w:szCs w:val="20"/>
        </w:rPr>
      </w:pPr>
      <w:r w:rsidRPr="00F01EC8">
        <w:rPr>
          <w:rStyle w:val="bodycopynumber"/>
          <w:rFonts w:asciiTheme="minorHAnsi" w:hAnsiTheme="minorHAnsi"/>
          <w:bCs/>
          <w:sz w:val="20"/>
          <w:szCs w:val="20"/>
        </w:rPr>
        <w:t xml:space="preserve">Under these mortality assumptions, the life expectancies of members are as follows: </w:t>
      </w:r>
    </w:p>
    <w:p w14:paraId="2D33F748"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bCs/>
          <w:sz w:val="20"/>
          <w:szCs w:val="20"/>
        </w:rPr>
      </w:pPr>
    </w:p>
    <w:tbl>
      <w:tblPr>
        <w:tblW w:w="9915" w:type="dxa"/>
        <w:tblInd w:w="8" w:type="dxa"/>
        <w:tblLayout w:type="fixed"/>
        <w:tblLook w:val="0000" w:firstRow="0" w:lastRow="0" w:firstColumn="0" w:lastColumn="0" w:noHBand="0" w:noVBand="0"/>
      </w:tblPr>
      <w:tblGrid>
        <w:gridCol w:w="3536"/>
        <w:gridCol w:w="992"/>
        <w:gridCol w:w="1276"/>
        <w:gridCol w:w="992"/>
        <w:gridCol w:w="993"/>
        <w:gridCol w:w="1275"/>
        <w:gridCol w:w="851"/>
      </w:tblGrid>
      <w:tr w:rsidR="00DA6694" w:rsidRPr="00F01EC8" w14:paraId="02ACF568" w14:textId="77777777" w:rsidTr="00AC0A5D">
        <w:tc>
          <w:tcPr>
            <w:tcW w:w="3536" w:type="dxa"/>
            <w:tcBorders>
              <w:top w:val="nil"/>
              <w:left w:val="nil"/>
              <w:bottom w:val="nil"/>
              <w:right w:val="nil"/>
            </w:tcBorders>
            <w:vAlign w:val="bottom"/>
          </w:tcPr>
          <w:p w14:paraId="3DA249DE" w14:textId="77777777" w:rsidR="00DA6694" w:rsidRPr="00F01EC8" w:rsidRDefault="00DA6694" w:rsidP="00AC0A5D">
            <w:pPr>
              <w:rPr>
                <w:rFonts w:asciiTheme="minorHAnsi" w:hAnsiTheme="minorHAnsi" w:cs="Arial"/>
                <w:sz w:val="20"/>
                <w:szCs w:val="20"/>
              </w:rPr>
            </w:pPr>
            <w:r w:rsidRPr="00F01EC8">
              <w:rPr>
                <w:rStyle w:val="bodycopynumber"/>
                <w:rFonts w:asciiTheme="minorHAnsi" w:hAnsiTheme="minorHAnsi"/>
                <w:bCs/>
                <w:sz w:val="20"/>
                <w:szCs w:val="20"/>
              </w:rPr>
              <w:br w:type="page"/>
            </w:r>
          </w:p>
        </w:tc>
        <w:tc>
          <w:tcPr>
            <w:tcW w:w="3260" w:type="dxa"/>
            <w:gridSpan w:val="3"/>
            <w:tcBorders>
              <w:top w:val="nil"/>
              <w:left w:val="nil"/>
              <w:bottom w:val="nil"/>
              <w:right w:val="nil"/>
            </w:tcBorders>
            <w:vAlign w:val="bottom"/>
          </w:tcPr>
          <w:p w14:paraId="15F892C8"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Male</w:t>
            </w:r>
          </w:p>
        </w:tc>
        <w:tc>
          <w:tcPr>
            <w:tcW w:w="3119" w:type="dxa"/>
            <w:gridSpan w:val="3"/>
            <w:tcBorders>
              <w:top w:val="nil"/>
              <w:left w:val="nil"/>
              <w:bottom w:val="nil"/>
              <w:right w:val="nil"/>
            </w:tcBorders>
            <w:vAlign w:val="bottom"/>
          </w:tcPr>
          <w:p w14:paraId="7C23C0EB"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Female</w:t>
            </w:r>
          </w:p>
        </w:tc>
      </w:tr>
      <w:tr w:rsidR="00DA6694" w:rsidRPr="00F01EC8" w14:paraId="6F307617" w14:textId="77777777" w:rsidTr="00AC0A5D">
        <w:tc>
          <w:tcPr>
            <w:tcW w:w="3536" w:type="dxa"/>
            <w:tcBorders>
              <w:top w:val="nil"/>
              <w:left w:val="nil"/>
              <w:bottom w:val="nil"/>
              <w:right w:val="nil"/>
            </w:tcBorders>
            <w:vAlign w:val="bottom"/>
          </w:tcPr>
          <w:p w14:paraId="404F37FA" w14:textId="77777777" w:rsidR="00DA6694" w:rsidRPr="00F01EC8" w:rsidRDefault="00DA6694" w:rsidP="00AC0A5D">
            <w:pPr>
              <w:rPr>
                <w:rFonts w:asciiTheme="minorHAnsi" w:hAnsiTheme="minorHAnsi" w:cs="Arial"/>
                <w:sz w:val="20"/>
                <w:szCs w:val="20"/>
              </w:rPr>
            </w:pPr>
          </w:p>
        </w:tc>
        <w:tc>
          <w:tcPr>
            <w:tcW w:w="992" w:type="dxa"/>
            <w:tcBorders>
              <w:top w:val="nil"/>
              <w:left w:val="nil"/>
              <w:bottom w:val="nil"/>
              <w:right w:val="nil"/>
            </w:tcBorders>
            <w:vAlign w:val="bottom"/>
          </w:tcPr>
          <w:p w14:paraId="3A233735" w14:textId="0E104B51"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20</w:t>
            </w:r>
            <w:r w:rsidR="005531D7" w:rsidRPr="00F01EC8">
              <w:rPr>
                <w:rFonts w:asciiTheme="minorHAnsi" w:hAnsiTheme="minorHAnsi" w:cs="Arial"/>
                <w:sz w:val="20"/>
                <w:szCs w:val="20"/>
              </w:rPr>
              <w:t>20</w:t>
            </w:r>
          </w:p>
        </w:tc>
        <w:tc>
          <w:tcPr>
            <w:tcW w:w="1276" w:type="dxa"/>
            <w:tcBorders>
              <w:top w:val="nil"/>
              <w:left w:val="nil"/>
              <w:bottom w:val="nil"/>
              <w:right w:val="nil"/>
            </w:tcBorders>
          </w:tcPr>
          <w:p w14:paraId="7409BE5F"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31 December</w:t>
            </w:r>
          </w:p>
          <w:p w14:paraId="34D945B6" w14:textId="67294EBA"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p>
        </w:tc>
        <w:tc>
          <w:tcPr>
            <w:tcW w:w="992" w:type="dxa"/>
            <w:tcBorders>
              <w:top w:val="nil"/>
              <w:left w:val="nil"/>
              <w:bottom w:val="nil"/>
              <w:right w:val="nil"/>
            </w:tcBorders>
            <w:vAlign w:val="bottom"/>
          </w:tcPr>
          <w:p w14:paraId="0E54330F" w14:textId="38D72D7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201</w:t>
            </w:r>
            <w:r w:rsidR="005531D7" w:rsidRPr="00F01EC8">
              <w:rPr>
                <w:rFonts w:asciiTheme="minorHAnsi" w:hAnsiTheme="minorHAnsi" w:cs="Arial"/>
                <w:sz w:val="20"/>
                <w:szCs w:val="20"/>
              </w:rPr>
              <w:t>9</w:t>
            </w:r>
          </w:p>
        </w:tc>
        <w:tc>
          <w:tcPr>
            <w:tcW w:w="993" w:type="dxa"/>
            <w:tcBorders>
              <w:top w:val="nil"/>
              <w:left w:val="nil"/>
              <w:bottom w:val="nil"/>
              <w:right w:val="nil"/>
            </w:tcBorders>
            <w:vAlign w:val="bottom"/>
          </w:tcPr>
          <w:p w14:paraId="4F37750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w:t>
            </w:r>
          </w:p>
          <w:p w14:paraId="1D92732E" w14:textId="07951713"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20</w:t>
            </w:r>
          </w:p>
        </w:tc>
        <w:tc>
          <w:tcPr>
            <w:tcW w:w="1275" w:type="dxa"/>
            <w:tcBorders>
              <w:top w:val="nil"/>
              <w:left w:val="nil"/>
              <w:bottom w:val="nil"/>
              <w:right w:val="nil"/>
            </w:tcBorders>
          </w:tcPr>
          <w:p w14:paraId="16595E11"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31 December</w:t>
            </w:r>
          </w:p>
          <w:p w14:paraId="7D7A680C" w14:textId="6B18027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p>
        </w:tc>
        <w:tc>
          <w:tcPr>
            <w:tcW w:w="851" w:type="dxa"/>
            <w:tcBorders>
              <w:top w:val="nil"/>
              <w:left w:val="nil"/>
              <w:bottom w:val="nil"/>
              <w:right w:val="nil"/>
            </w:tcBorders>
            <w:vAlign w:val="bottom"/>
          </w:tcPr>
          <w:p w14:paraId="5BF6853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w:t>
            </w:r>
          </w:p>
          <w:p w14:paraId="1B60E4A6" w14:textId="77342BA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p>
        </w:tc>
      </w:tr>
      <w:tr w:rsidR="00DA6694" w:rsidRPr="00F01EC8" w14:paraId="27F8FCC0" w14:textId="77777777" w:rsidTr="00AC0A5D">
        <w:tc>
          <w:tcPr>
            <w:tcW w:w="3536" w:type="dxa"/>
            <w:tcBorders>
              <w:top w:val="nil"/>
              <w:left w:val="nil"/>
              <w:bottom w:val="nil"/>
              <w:right w:val="nil"/>
            </w:tcBorders>
            <w:vAlign w:val="bottom"/>
          </w:tcPr>
          <w:p w14:paraId="312F3CA1" w14:textId="77777777" w:rsidR="00DA6694" w:rsidRPr="00F01EC8" w:rsidRDefault="00DA6694" w:rsidP="00AC0A5D">
            <w:pPr>
              <w:pStyle w:val="Heading5"/>
              <w:jc w:val="left"/>
              <w:rPr>
                <w:rFonts w:asciiTheme="minorHAnsi" w:hAnsiTheme="minorHAnsi" w:cs="Arial"/>
                <w:b w:val="0"/>
                <w:bCs/>
                <w:sz w:val="20"/>
              </w:rPr>
            </w:pPr>
          </w:p>
        </w:tc>
        <w:tc>
          <w:tcPr>
            <w:tcW w:w="992" w:type="dxa"/>
            <w:tcBorders>
              <w:top w:val="nil"/>
              <w:left w:val="nil"/>
              <w:bottom w:val="single" w:sz="4" w:space="0" w:color="auto"/>
              <w:right w:val="nil"/>
            </w:tcBorders>
            <w:vAlign w:val="bottom"/>
          </w:tcPr>
          <w:p w14:paraId="7C35B21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Years</w:t>
            </w:r>
          </w:p>
        </w:tc>
        <w:tc>
          <w:tcPr>
            <w:tcW w:w="1276" w:type="dxa"/>
            <w:tcBorders>
              <w:top w:val="nil"/>
              <w:left w:val="nil"/>
              <w:bottom w:val="single" w:sz="4" w:space="0" w:color="auto"/>
              <w:right w:val="nil"/>
            </w:tcBorders>
          </w:tcPr>
          <w:p w14:paraId="32FE391B"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Years</w:t>
            </w:r>
          </w:p>
        </w:tc>
        <w:tc>
          <w:tcPr>
            <w:tcW w:w="992" w:type="dxa"/>
            <w:tcBorders>
              <w:top w:val="nil"/>
              <w:left w:val="nil"/>
              <w:bottom w:val="single" w:sz="4" w:space="0" w:color="auto"/>
              <w:right w:val="nil"/>
            </w:tcBorders>
            <w:vAlign w:val="bottom"/>
          </w:tcPr>
          <w:p w14:paraId="5DE19A5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Years</w:t>
            </w:r>
          </w:p>
        </w:tc>
        <w:tc>
          <w:tcPr>
            <w:tcW w:w="993" w:type="dxa"/>
            <w:tcBorders>
              <w:top w:val="nil"/>
              <w:left w:val="nil"/>
              <w:bottom w:val="single" w:sz="4" w:space="0" w:color="auto"/>
              <w:right w:val="nil"/>
            </w:tcBorders>
            <w:vAlign w:val="bottom"/>
          </w:tcPr>
          <w:p w14:paraId="32EB247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Years</w:t>
            </w:r>
          </w:p>
        </w:tc>
        <w:tc>
          <w:tcPr>
            <w:tcW w:w="1275" w:type="dxa"/>
            <w:tcBorders>
              <w:top w:val="nil"/>
              <w:left w:val="nil"/>
              <w:bottom w:val="single" w:sz="4" w:space="0" w:color="auto"/>
              <w:right w:val="nil"/>
            </w:tcBorders>
          </w:tcPr>
          <w:p w14:paraId="01E3DFA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Years</w:t>
            </w:r>
          </w:p>
        </w:tc>
        <w:tc>
          <w:tcPr>
            <w:tcW w:w="851" w:type="dxa"/>
            <w:tcBorders>
              <w:top w:val="nil"/>
              <w:left w:val="nil"/>
              <w:bottom w:val="single" w:sz="4" w:space="0" w:color="auto"/>
              <w:right w:val="nil"/>
            </w:tcBorders>
            <w:vAlign w:val="bottom"/>
          </w:tcPr>
          <w:p w14:paraId="1E07B00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years</w:t>
            </w:r>
          </w:p>
        </w:tc>
      </w:tr>
      <w:tr w:rsidR="00292163" w:rsidRPr="00F01EC8" w14:paraId="2A163FF1" w14:textId="77777777" w:rsidTr="00AC0A5D">
        <w:tc>
          <w:tcPr>
            <w:tcW w:w="3536" w:type="dxa"/>
            <w:tcBorders>
              <w:top w:val="nil"/>
              <w:left w:val="nil"/>
              <w:bottom w:val="nil"/>
              <w:right w:val="nil"/>
            </w:tcBorders>
            <w:vAlign w:val="bottom"/>
          </w:tcPr>
          <w:p w14:paraId="16051410"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 xml:space="preserve">Current pensioner aged 65 </w:t>
            </w:r>
          </w:p>
        </w:tc>
        <w:tc>
          <w:tcPr>
            <w:tcW w:w="992" w:type="dxa"/>
            <w:tcBorders>
              <w:top w:val="single" w:sz="4" w:space="0" w:color="auto"/>
              <w:left w:val="nil"/>
              <w:bottom w:val="nil"/>
              <w:right w:val="nil"/>
            </w:tcBorders>
          </w:tcPr>
          <w:p w14:paraId="5BDF7A22" w14:textId="7894ADB9"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21.9</w:t>
            </w:r>
          </w:p>
        </w:tc>
        <w:tc>
          <w:tcPr>
            <w:tcW w:w="1276" w:type="dxa"/>
            <w:tcBorders>
              <w:top w:val="single" w:sz="4" w:space="0" w:color="auto"/>
              <w:left w:val="nil"/>
              <w:bottom w:val="nil"/>
              <w:right w:val="nil"/>
            </w:tcBorders>
          </w:tcPr>
          <w:p w14:paraId="275D5FC4" w14:textId="245ACF0E" w:rsidR="00292163" w:rsidRPr="00F01EC8" w:rsidRDefault="00292163" w:rsidP="00292163">
            <w:pPr>
              <w:ind w:left="-108"/>
              <w:jc w:val="right"/>
              <w:rPr>
                <w:rFonts w:asciiTheme="minorHAnsi" w:hAnsiTheme="minorHAnsi" w:cs="Arial"/>
                <w:sz w:val="20"/>
                <w:szCs w:val="20"/>
              </w:rPr>
            </w:pPr>
            <w:r w:rsidRPr="00F01EC8">
              <w:rPr>
                <w:rFonts w:asciiTheme="minorHAnsi" w:hAnsiTheme="minorHAnsi" w:cs="Arial"/>
                <w:sz w:val="20"/>
                <w:szCs w:val="20"/>
              </w:rPr>
              <w:t>21.8</w:t>
            </w:r>
          </w:p>
        </w:tc>
        <w:tc>
          <w:tcPr>
            <w:tcW w:w="992" w:type="dxa"/>
            <w:tcBorders>
              <w:top w:val="single" w:sz="4" w:space="0" w:color="auto"/>
              <w:left w:val="nil"/>
              <w:bottom w:val="nil"/>
              <w:right w:val="nil"/>
            </w:tcBorders>
          </w:tcPr>
          <w:p w14:paraId="442FADE1" w14:textId="0F885C64"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22.3</w:t>
            </w:r>
          </w:p>
        </w:tc>
        <w:tc>
          <w:tcPr>
            <w:tcW w:w="993" w:type="dxa"/>
            <w:tcBorders>
              <w:top w:val="single" w:sz="4" w:space="0" w:color="auto"/>
              <w:left w:val="nil"/>
              <w:bottom w:val="nil"/>
              <w:right w:val="nil"/>
            </w:tcBorders>
          </w:tcPr>
          <w:p w14:paraId="742E7C1C" w14:textId="7AD98CB6"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23.5</w:t>
            </w:r>
          </w:p>
        </w:tc>
        <w:tc>
          <w:tcPr>
            <w:tcW w:w="1275" w:type="dxa"/>
            <w:tcBorders>
              <w:top w:val="single" w:sz="4" w:space="0" w:color="auto"/>
              <w:left w:val="nil"/>
              <w:bottom w:val="nil"/>
              <w:right w:val="nil"/>
            </w:tcBorders>
          </w:tcPr>
          <w:p w14:paraId="365C232D" w14:textId="2109D686"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23.3</w:t>
            </w:r>
          </w:p>
        </w:tc>
        <w:tc>
          <w:tcPr>
            <w:tcW w:w="851" w:type="dxa"/>
            <w:tcBorders>
              <w:top w:val="single" w:sz="4" w:space="0" w:color="auto"/>
              <w:left w:val="nil"/>
              <w:bottom w:val="nil"/>
              <w:right w:val="nil"/>
            </w:tcBorders>
          </w:tcPr>
          <w:p w14:paraId="07BE497F" w14:textId="62852BE7"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23.8</w:t>
            </w:r>
          </w:p>
        </w:tc>
      </w:tr>
      <w:tr w:rsidR="00292163" w:rsidRPr="00F01EC8" w14:paraId="4ADECAFB" w14:textId="77777777" w:rsidTr="00AC0A5D">
        <w:tc>
          <w:tcPr>
            <w:tcW w:w="3536" w:type="dxa"/>
            <w:tcBorders>
              <w:top w:val="nil"/>
              <w:left w:val="nil"/>
              <w:bottom w:val="nil"/>
              <w:right w:val="nil"/>
            </w:tcBorders>
            <w:vAlign w:val="bottom"/>
          </w:tcPr>
          <w:p w14:paraId="329FB9DF" w14:textId="77777777" w:rsidR="00292163" w:rsidRPr="00F01EC8" w:rsidRDefault="00292163" w:rsidP="00292163">
            <w:pPr>
              <w:rPr>
                <w:rFonts w:asciiTheme="minorHAnsi" w:hAnsiTheme="minorHAnsi" w:cs="Arial"/>
                <w:sz w:val="20"/>
                <w:szCs w:val="20"/>
              </w:rPr>
            </w:pPr>
            <w:r w:rsidRPr="00F01EC8">
              <w:rPr>
                <w:rFonts w:asciiTheme="minorHAnsi" w:hAnsiTheme="minorHAnsi" w:cs="Arial"/>
                <w:sz w:val="20"/>
                <w:szCs w:val="20"/>
              </w:rPr>
              <w:t>Current member aged 45 from age 65</w:t>
            </w:r>
          </w:p>
        </w:tc>
        <w:tc>
          <w:tcPr>
            <w:tcW w:w="992" w:type="dxa"/>
            <w:tcBorders>
              <w:top w:val="nil"/>
              <w:left w:val="nil"/>
              <w:bottom w:val="single" w:sz="4" w:space="0" w:color="auto"/>
              <w:right w:val="nil"/>
            </w:tcBorders>
          </w:tcPr>
          <w:p w14:paraId="34AA7821" w14:textId="06F821B9"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23.2</w:t>
            </w:r>
          </w:p>
        </w:tc>
        <w:tc>
          <w:tcPr>
            <w:tcW w:w="1276" w:type="dxa"/>
            <w:tcBorders>
              <w:top w:val="nil"/>
              <w:left w:val="nil"/>
              <w:bottom w:val="single" w:sz="4" w:space="0" w:color="auto"/>
              <w:right w:val="nil"/>
            </w:tcBorders>
          </w:tcPr>
          <w:p w14:paraId="0ACF54D8" w14:textId="003569C3" w:rsidR="00292163" w:rsidRPr="00F01EC8" w:rsidRDefault="00292163" w:rsidP="00292163">
            <w:pPr>
              <w:ind w:left="-108"/>
              <w:jc w:val="right"/>
              <w:rPr>
                <w:rFonts w:asciiTheme="minorHAnsi" w:hAnsiTheme="minorHAnsi" w:cs="Arial"/>
                <w:sz w:val="20"/>
                <w:szCs w:val="20"/>
              </w:rPr>
            </w:pPr>
            <w:r w:rsidRPr="00F01EC8">
              <w:rPr>
                <w:rFonts w:asciiTheme="minorHAnsi" w:hAnsiTheme="minorHAnsi" w:cs="Arial"/>
                <w:sz w:val="20"/>
                <w:szCs w:val="20"/>
              </w:rPr>
              <w:t>23.1</w:t>
            </w:r>
          </w:p>
        </w:tc>
        <w:tc>
          <w:tcPr>
            <w:tcW w:w="992" w:type="dxa"/>
            <w:tcBorders>
              <w:top w:val="nil"/>
              <w:left w:val="nil"/>
              <w:bottom w:val="single" w:sz="4" w:space="0" w:color="auto"/>
              <w:right w:val="nil"/>
            </w:tcBorders>
          </w:tcPr>
          <w:p w14:paraId="4EF6A78D" w14:textId="15F6540F"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23.7</w:t>
            </w:r>
          </w:p>
        </w:tc>
        <w:tc>
          <w:tcPr>
            <w:tcW w:w="993" w:type="dxa"/>
            <w:tcBorders>
              <w:top w:val="nil"/>
              <w:left w:val="nil"/>
              <w:bottom w:val="single" w:sz="4" w:space="0" w:color="auto"/>
              <w:right w:val="nil"/>
            </w:tcBorders>
          </w:tcPr>
          <w:p w14:paraId="6786B831" w14:textId="78327691" w:rsidR="00292163" w:rsidRPr="00F01EC8" w:rsidRDefault="007A5755" w:rsidP="00292163">
            <w:pPr>
              <w:jc w:val="right"/>
              <w:rPr>
                <w:rFonts w:asciiTheme="minorHAnsi" w:hAnsiTheme="minorHAnsi" w:cs="Arial"/>
                <w:sz w:val="20"/>
                <w:szCs w:val="20"/>
              </w:rPr>
            </w:pPr>
            <w:r w:rsidRPr="00F01EC8">
              <w:rPr>
                <w:rFonts w:asciiTheme="minorHAnsi" w:hAnsiTheme="minorHAnsi" w:cs="Arial"/>
                <w:sz w:val="20"/>
                <w:szCs w:val="20"/>
              </w:rPr>
              <w:t>25.0</w:t>
            </w:r>
          </w:p>
        </w:tc>
        <w:tc>
          <w:tcPr>
            <w:tcW w:w="1275" w:type="dxa"/>
            <w:tcBorders>
              <w:top w:val="nil"/>
              <w:left w:val="nil"/>
              <w:bottom w:val="single" w:sz="4" w:space="0" w:color="auto"/>
              <w:right w:val="nil"/>
            </w:tcBorders>
          </w:tcPr>
          <w:p w14:paraId="36552630" w14:textId="7B7307AF"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24.8</w:t>
            </w:r>
          </w:p>
        </w:tc>
        <w:tc>
          <w:tcPr>
            <w:tcW w:w="851" w:type="dxa"/>
            <w:tcBorders>
              <w:top w:val="nil"/>
              <w:left w:val="nil"/>
              <w:bottom w:val="single" w:sz="4" w:space="0" w:color="auto"/>
              <w:right w:val="nil"/>
            </w:tcBorders>
          </w:tcPr>
          <w:p w14:paraId="7BA6D8F9" w14:textId="4A7C1E53"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25.4</w:t>
            </w:r>
          </w:p>
        </w:tc>
      </w:tr>
    </w:tbl>
    <w:p w14:paraId="601DE935"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68870EA" w14:textId="18E3E455"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If assumed life expectancies were one year greater, the net retirement benefit asset would have been reduced by approximately £</w:t>
      </w:r>
      <w:r w:rsidR="009872E4" w:rsidRPr="00F01EC8">
        <w:rPr>
          <w:rFonts w:asciiTheme="minorHAnsi" w:hAnsiTheme="minorHAnsi" w:cs="Arial"/>
          <w:sz w:val="20"/>
          <w:szCs w:val="20"/>
        </w:rPr>
        <w:t>41</w:t>
      </w:r>
      <w:r w:rsidRPr="00F01EC8">
        <w:rPr>
          <w:rFonts w:asciiTheme="minorHAnsi" w:hAnsiTheme="minorHAnsi" w:cs="Arial"/>
          <w:sz w:val="20"/>
          <w:szCs w:val="20"/>
        </w:rPr>
        <w:t>m (31 December 201</w:t>
      </w:r>
      <w:r w:rsidR="00241694" w:rsidRPr="00F01EC8">
        <w:rPr>
          <w:rFonts w:asciiTheme="minorHAnsi" w:hAnsiTheme="minorHAnsi" w:cs="Arial"/>
          <w:sz w:val="20"/>
          <w:szCs w:val="20"/>
        </w:rPr>
        <w:t>9</w:t>
      </w:r>
      <w:r w:rsidRPr="00F01EC8">
        <w:rPr>
          <w:rFonts w:asciiTheme="minorHAnsi" w:hAnsiTheme="minorHAnsi" w:cs="Arial"/>
          <w:sz w:val="20"/>
          <w:szCs w:val="20"/>
        </w:rPr>
        <w:t>: £</w:t>
      </w:r>
      <w:r w:rsidRPr="00F01EC8">
        <w:rPr>
          <w:rFonts w:asciiTheme="minorHAnsi" w:hAnsiTheme="minorHAnsi" w:cstheme="minorHAnsi"/>
          <w:sz w:val="20"/>
          <w:szCs w:val="20"/>
        </w:rPr>
        <w:t>3</w:t>
      </w:r>
      <w:r w:rsidR="00241694" w:rsidRPr="00F01EC8">
        <w:rPr>
          <w:rFonts w:asciiTheme="minorHAnsi" w:hAnsiTheme="minorHAnsi" w:cstheme="minorHAnsi"/>
          <w:sz w:val="20"/>
          <w:szCs w:val="20"/>
        </w:rPr>
        <w:t>8</w:t>
      </w:r>
      <w:r w:rsidRPr="00F01EC8">
        <w:rPr>
          <w:rFonts w:asciiTheme="minorHAnsi" w:hAnsiTheme="minorHAnsi" w:cs="Arial"/>
          <w:sz w:val="20"/>
          <w:szCs w:val="20"/>
        </w:rPr>
        <w:t>m, 30 June 201</w:t>
      </w:r>
      <w:r w:rsidR="00241694" w:rsidRPr="00F01EC8">
        <w:rPr>
          <w:rFonts w:asciiTheme="minorHAnsi" w:hAnsiTheme="minorHAnsi" w:cs="Arial"/>
          <w:sz w:val="20"/>
          <w:szCs w:val="20"/>
        </w:rPr>
        <w:t>9</w:t>
      </w:r>
      <w:r w:rsidRPr="00F01EC8">
        <w:rPr>
          <w:rFonts w:asciiTheme="minorHAnsi" w:hAnsiTheme="minorHAnsi" w:cs="Arial"/>
          <w:sz w:val="20"/>
          <w:szCs w:val="20"/>
        </w:rPr>
        <w:t>: £</w:t>
      </w:r>
      <w:r w:rsidR="00241694" w:rsidRPr="00F01EC8">
        <w:rPr>
          <w:rFonts w:asciiTheme="minorHAnsi" w:hAnsiTheme="minorHAnsi" w:cs="Arial"/>
          <w:sz w:val="20"/>
          <w:szCs w:val="20"/>
        </w:rPr>
        <w:t>30</w:t>
      </w:r>
      <w:r w:rsidRPr="00F01EC8">
        <w:rPr>
          <w:rFonts w:asciiTheme="minorHAnsi" w:hAnsiTheme="minorHAnsi" w:cs="Arial"/>
          <w:sz w:val="20"/>
          <w:szCs w:val="20"/>
        </w:rPr>
        <w:t>m).</w:t>
      </w:r>
    </w:p>
    <w:p w14:paraId="6B60B8F7"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8A4D496"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F01EC8">
        <w:rPr>
          <w:rFonts w:asciiTheme="minorHAnsi" w:hAnsiTheme="minorHAnsi" w:cs="Arial"/>
          <w:bCs/>
          <w:sz w:val="20"/>
          <w:szCs w:val="20"/>
        </w:rPr>
        <w:t>An analysis of amounts recognised in the statement of comprehensive income is set out below:</w:t>
      </w:r>
    </w:p>
    <w:tbl>
      <w:tblPr>
        <w:tblW w:w="9923" w:type="dxa"/>
        <w:tblLook w:val="0000" w:firstRow="0" w:lastRow="0" w:firstColumn="0" w:lastColumn="0" w:noHBand="0" w:noVBand="0"/>
      </w:tblPr>
      <w:tblGrid>
        <w:gridCol w:w="7513"/>
        <w:gridCol w:w="1221"/>
        <w:gridCol w:w="1189"/>
      </w:tblGrid>
      <w:tr w:rsidR="00DA6694" w:rsidRPr="00F01EC8" w14:paraId="2247D529" w14:textId="77777777" w:rsidTr="00AC0A5D">
        <w:tc>
          <w:tcPr>
            <w:tcW w:w="7513" w:type="dxa"/>
          </w:tcPr>
          <w:p w14:paraId="667C7E3E" w14:textId="77777777" w:rsidR="00DA6694" w:rsidRPr="00F01EC8" w:rsidRDefault="00DA6694" w:rsidP="00AC0A5D">
            <w:pPr>
              <w:jc w:val="both"/>
              <w:rPr>
                <w:rFonts w:asciiTheme="minorHAnsi" w:hAnsiTheme="minorHAnsi" w:cs="Arial"/>
                <w:sz w:val="20"/>
                <w:szCs w:val="20"/>
              </w:rPr>
            </w:pPr>
          </w:p>
        </w:tc>
        <w:tc>
          <w:tcPr>
            <w:tcW w:w="2410" w:type="dxa"/>
            <w:gridSpan w:val="2"/>
          </w:tcPr>
          <w:p w14:paraId="51040530"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654FC99B" w14:textId="77777777" w:rsidTr="00AC0A5D">
        <w:tc>
          <w:tcPr>
            <w:tcW w:w="7513" w:type="dxa"/>
          </w:tcPr>
          <w:p w14:paraId="38C94DC0" w14:textId="77777777" w:rsidR="00DA6694" w:rsidRPr="00F01EC8" w:rsidRDefault="00DA6694" w:rsidP="00AC0A5D">
            <w:pPr>
              <w:jc w:val="both"/>
              <w:rPr>
                <w:rFonts w:asciiTheme="minorHAnsi" w:hAnsiTheme="minorHAnsi" w:cs="Arial"/>
                <w:sz w:val="20"/>
                <w:szCs w:val="20"/>
              </w:rPr>
            </w:pPr>
          </w:p>
        </w:tc>
        <w:tc>
          <w:tcPr>
            <w:tcW w:w="1221" w:type="dxa"/>
          </w:tcPr>
          <w:p w14:paraId="1DB8A002" w14:textId="5324998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20</w:t>
            </w:r>
            <w:r w:rsidRPr="00F01EC8">
              <w:rPr>
                <w:rFonts w:asciiTheme="minorHAnsi" w:hAnsiTheme="minorHAnsi" w:cs="Arial"/>
                <w:sz w:val="20"/>
                <w:szCs w:val="20"/>
              </w:rPr>
              <w:t> </w:t>
            </w:r>
          </w:p>
        </w:tc>
        <w:tc>
          <w:tcPr>
            <w:tcW w:w="1189" w:type="dxa"/>
          </w:tcPr>
          <w:p w14:paraId="4EDF3DB9" w14:textId="7361CFD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424DEE48" w14:textId="77777777" w:rsidTr="00AC0A5D">
        <w:tc>
          <w:tcPr>
            <w:tcW w:w="7513" w:type="dxa"/>
          </w:tcPr>
          <w:p w14:paraId="40F632A0" w14:textId="77777777" w:rsidR="00DA6694" w:rsidRPr="00F01EC8" w:rsidRDefault="00DA6694" w:rsidP="00AC0A5D">
            <w:pPr>
              <w:pStyle w:val="Heading5"/>
              <w:overflowPunct/>
              <w:autoSpaceDE/>
              <w:adjustRightInd/>
              <w:rPr>
                <w:rFonts w:asciiTheme="minorHAnsi" w:hAnsiTheme="minorHAnsi" w:cs="Arial"/>
                <w:bCs/>
                <w:sz w:val="20"/>
              </w:rPr>
            </w:pPr>
          </w:p>
        </w:tc>
        <w:tc>
          <w:tcPr>
            <w:tcW w:w="1221" w:type="dxa"/>
            <w:tcBorders>
              <w:top w:val="nil"/>
              <w:left w:val="nil"/>
              <w:bottom w:val="single" w:sz="4" w:space="0" w:color="auto"/>
              <w:right w:val="nil"/>
            </w:tcBorders>
          </w:tcPr>
          <w:p w14:paraId="4000EC8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89" w:type="dxa"/>
            <w:tcBorders>
              <w:top w:val="nil"/>
              <w:left w:val="nil"/>
              <w:bottom w:val="single" w:sz="4" w:space="0" w:color="auto"/>
              <w:right w:val="nil"/>
            </w:tcBorders>
          </w:tcPr>
          <w:p w14:paraId="7E7DFC8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292163" w:rsidRPr="00F01EC8" w14:paraId="79B4A160" w14:textId="77777777" w:rsidTr="00AC0A5D">
        <w:tc>
          <w:tcPr>
            <w:tcW w:w="7513" w:type="dxa"/>
            <w:vAlign w:val="bottom"/>
          </w:tcPr>
          <w:p w14:paraId="42BB2A2E"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Actuarial movements on scheme assets</w:t>
            </w:r>
          </w:p>
        </w:tc>
        <w:tc>
          <w:tcPr>
            <w:tcW w:w="1221" w:type="dxa"/>
            <w:tcBorders>
              <w:top w:val="single" w:sz="4" w:space="0" w:color="auto"/>
              <w:left w:val="nil"/>
              <w:bottom w:val="nil"/>
              <w:right w:val="nil"/>
            </w:tcBorders>
            <w:vAlign w:val="bottom"/>
          </w:tcPr>
          <w:p w14:paraId="214E0160" w14:textId="79BB53A3" w:rsidR="00292163" w:rsidRPr="00F01EC8" w:rsidRDefault="009872E4" w:rsidP="00292163">
            <w:pPr>
              <w:jc w:val="right"/>
              <w:rPr>
                <w:rFonts w:asciiTheme="minorHAnsi" w:hAnsiTheme="minorHAnsi" w:cs="Arial"/>
                <w:sz w:val="20"/>
                <w:szCs w:val="20"/>
              </w:rPr>
            </w:pPr>
            <w:r w:rsidRPr="00F01EC8">
              <w:rPr>
                <w:rFonts w:asciiTheme="minorHAnsi" w:hAnsiTheme="minorHAnsi" w:cs="Arial"/>
                <w:sz w:val="20"/>
                <w:szCs w:val="20"/>
              </w:rPr>
              <w:t>95.9</w:t>
            </w:r>
          </w:p>
        </w:tc>
        <w:tc>
          <w:tcPr>
            <w:tcW w:w="1189" w:type="dxa"/>
            <w:tcBorders>
              <w:top w:val="single" w:sz="4" w:space="0" w:color="auto"/>
              <w:left w:val="nil"/>
              <w:bottom w:val="nil"/>
              <w:right w:val="nil"/>
            </w:tcBorders>
            <w:vAlign w:val="bottom"/>
          </w:tcPr>
          <w:p w14:paraId="48979179" w14:textId="4F6EAEE0"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63.6 </w:t>
            </w:r>
          </w:p>
        </w:tc>
      </w:tr>
      <w:tr w:rsidR="00292163" w:rsidRPr="00F01EC8" w14:paraId="2A4F519B" w14:textId="77777777" w:rsidTr="00AC0A5D">
        <w:tc>
          <w:tcPr>
            <w:tcW w:w="7513" w:type="dxa"/>
            <w:vAlign w:val="bottom"/>
          </w:tcPr>
          <w:p w14:paraId="219FD896" w14:textId="77777777" w:rsidR="00292163" w:rsidRPr="00F01EC8" w:rsidRDefault="00292163" w:rsidP="00292163">
            <w:pPr>
              <w:tabs>
                <w:tab w:val="right" w:pos="4680"/>
              </w:tabs>
              <w:rPr>
                <w:rFonts w:asciiTheme="minorHAnsi" w:hAnsiTheme="minorHAnsi" w:cs="Arial"/>
                <w:sz w:val="20"/>
                <w:szCs w:val="20"/>
              </w:rPr>
            </w:pPr>
            <w:r w:rsidRPr="00F01EC8">
              <w:rPr>
                <w:rFonts w:asciiTheme="minorHAnsi" w:hAnsiTheme="minorHAnsi" w:cs="Arial"/>
                <w:sz w:val="20"/>
                <w:szCs w:val="20"/>
              </w:rPr>
              <w:t>Actuarial movements on scheme liabilities</w:t>
            </w:r>
          </w:p>
        </w:tc>
        <w:tc>
          <w:tcPr>
            <w:tcW w:w="1221" w:type="dxa"/>
            <w:tcBorders>
              <w:top w:val="nil"/>
              <w:left w:val="nil"/>
              <w:bottom w:val="single" w:sz="4" w:space="0" w:color="auto"/>
              <w:right w:val="nil"/>
            </w:tcBorders>
            <w:vAlign w:val="bottom"/>
          </w:tcPr>
          <w:p w14:paraId="0C44BDF3" w14:textId="22848E5A" w:rsidR="00292163" w:rsidRPr="00F01EC8" w:rsidRDefault="009872E4" w:rsidP="00292163">
            <w:pPr>
              <w:jc w:val="right"/>
              <w:rPr>
                <w:rFonts w:asciiTheme="minorHAnsi" w:hAnsiTheme="minorHAnsi" w:cs="Arial"/>
                <w:sz w:val="20"/>
                <w:szCs w:val="20"/>
              </w:rPr>
            </w:pPr>
            <w:r w:rsidRPr="00F01EC8">
              <w:rPr>
                <w:rFonts w:asciiTheme="minorHAnsi" w:hAnsiTheme="minorHAnsi" w:cs="Arial"/>
                <w:sz w:val="20"/>
                <w:szCs w:val="20"/>
              </w:rPr>
              <w:t>(57.6)</w:t>
            </w:r>
          </w:p>
        </w:tc>
        <w:tc>
          <w:tcPr>
            <w:tcW w:w="1189" w:type="dxa"/>
            <w:tcBorders>
              <w:top w:val="nil"/>
              <w:left w:val="nil"/>
              <w:bottom w:val="single" w:sz="4" w:space="0" w:color="auto"/>
              <w:right w:val="nil"/>
            </w:tcBorders>
            <w:vAlign w:val="bottom"/>
          </w:tcPr>
          <w:p w14:paraId="4437C362" w14:textId="47051792"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(79.3)</w:t>
            </w:r>
          </w:p>
        </w:tc>
      </w:tr>
      <w:tr w:rsidR="00292163" w:rsidRPr="00F01EC8" w14:paraId="5928EEE4" w14:textId="77777777" w:rsidTr="00AC0A5D">
        <w:tc>
          <w:tcPr>
            <w:tcW w:w="7513" w:type="dxa"/>
            <w:vAlign w:val="bottom"/>
          </w:tcPr>
          <w:p w14:paraId="3FFA7A54" w14:textId="77777777" w:rsidR="00292163" w:rsidRPr="00F01EC8" w:rsidRDefault="00292163" w:rsidP="00292163">
            <w:pPr>
              <w:tabs>
                <w:tab w:val="right" w:pos="4680"/>
              </w:tabs>
              <w:rPr>
                <w:rFonts w:asciiTheme="minorHAnsi" w:hAnsiTheme="minorHAnsi" w:cs="Arial"/>
                <w:b/>
                <w:sz w:val="20"/>
                <w:szCs w:val="20"/>
              </w:rPr>
            </w:pPr>
            <w:r w:rsidRPr="00F01EC8">
              <w:rPr>
                <w:rFonts w:asciiTheme="minorHAnsi" w:hAnsiTheme="minorHAnsi" w:cs="Arial"/>
                <w:b/>
                <w:sz w:val="20"/>
                <w:szCs w:val="20"/>
              </w:rPr>
              <w:t>Actuarial movements recognised in the statement of comprehensive income in the period</w:t>
            </w:r>
          </w:p>
        </w:tc>
        <w:tc>
          <w:tcPr>
            <w:tcW w:w="1221" w:type="dxa"/>
            <w:tcBorders>
              <w:top w:val="single" w:sz="4" w:space="0" w:color="auto"/>
              <w:left w:val="nil"/>
              <w:bottom w:val="single" w:sz="12" w:space="0" w:color="auto"/>
              <w:right w:val="nil"/>
            </w:tcBorders>
            <w:vAlign w:val="bottom"/>
          </w:tcPr>
          <w:p w14:paraId="0733CC40" w14:textId="5255C92B" w:rsidR="00292163" w:rsidRPr="00F01EC8" w:rsidRDefault="009872E4" w:rsidP="00292163">
            <w:pPr>
              <w:jc w:val="right"/>
              <w:rPr>
                <w:rFonts w:asciiTheme="minorHAnsi" w:hAnsiTheme="minorHAnsi" w:cs="Arial"/>
                <w:sz w:val="20"/>
                <w:szCs w:val="20"/>
              </w:rPr>
            </w:pPr>
            <w:r w:rsidRPr="00F01EC8">
              <w:rPr>
                <w:rFonts w:asciiTheme="minorHAnsi" w:hAnsiTheme="minorHAnsi" w:cs="Arial"/>
                <w:sz w:val="20"/>
                <w:szCs w:val="20"/>
              </w:rPr>
              <w:t>38.3</w:t>
            </w:r>
          </w:p>
        </w:tc>
        <w:tc>
          <w:tcPr>
            <w:tcW w:w="1189" w:type="dxa"/>
            <w:tcBorders>
              <w:top w:val="single" w:sz="4" w:space="0" w:color="auto"/>
              <w:left w:val="nil"/>
              <w:bottom w:val="single" w:sz="12" w:space="0" w:color="auto"/>
              <w:right w:val="nil"/>
            </w:tcBorders>
            <w:vAlign w:val="bottom"/>
          </w:tcPr>
          <w:p w14:paraId="692F5DA8" w14:textId="4F226ABA" w:rsidR="00292163" w:rsidRPr="00F01EC8" w:rsidRDefault="00292163" w:rsidP="00292163">
            <w:pPr>
              <w:jc w:val="right"/>
              <w:rPr>
                <w:rFonts w:asciiTheme="minorHAnsi" w:hAnsiTheme="minorHAnsi" w:cs="Arial"/>
                <w:sz w:val="20"/>
                <w:szCs w:val="20"/>
              </w:rPr>
            </w:pPr>
            <w:r w:rsidRPr="00F01EC8">
              <w:rPr>
                <w:rFonts w:asciiTheme="minorHAnsi" w:hAnsiTheme="minorHAnsi" w:cs="Arial"/>
                <w:sz w:val="20"/>
                <w:szCs w:val="20"/>
              </w:rPr>
              <w:t>(15.7)</w:t>
            </w:r>
          </w:p>
        </w:tc>
      </w:tr>
    </w:tbl>
    <w:p w14:paraId="670A21EE" w14:textId="77777777" w:rsidR="009D39AC" w:rsidRPr="00F01EC8" w:rsidRDefault="009D39AC" w:rsidP="00DA6694">
      <w:pPr>
        <w:rPr>
          <w:rFonts w:asciiTheme="minorHAnsi" w:hAnsiTheme="minorHAnsi" w:cs="Arial"/>
          <w:b/>
          <w:bCs/>
          <w:sz w:val="20"/>
          <w:szCs w:val="20"/>
        </w:rPr>
      </w:pPr>
    </w:p>
    <w:p w14:paraId="4097A4B3" w14:textId="77777777" w:rsidR="00DA6694" w:rsidRPr="00F01EC8" w:rsidRDefault="00DA6694" w:rsidP="00DA6694">
      <w:pPr>
        <w:rPr>
          <w:rFonts w:asciiTheme="minorHAnsi" w:hAnsiTheme="minorHAnsi" w:cs="Arial"/>
          <w:b/>
          <w:bCs/>
          <w:color w:val="000000" w:themeColor="text1"/>
          <w:sz w:val="20"/>
          <w:szCs w:val="20"/>
        </w:rPr>
      </w:pPr>
      <w:r w:rsidRPr="00F01EC8">
        <w:rPr>
          <w:rFonts w:asciiTheme="minorHAnsi" w:hAnsiTheme="minorHAnsi" w:cs="Arial"/>
          <w:b/>
          <w:bCs/>
          <w:sz w:val="20"/>
          <w:szCs w:val="20"/>
        </w:rPr>
        <w:t>10.</w:t>
      </w:r>
      <w:r w:rsidRPr="00F01EC8">
        <w:rPr>
          <w:rFonts w:asciiTheme="minorHAnsi" w:hAnsiTheme="minorHAnsi" w:cs="Arial"/>
          <w:b/>
          <w:bCs/>
          <w:sz w:val="20"/>
          <w:szCs w:val="20"/>
        </w:rPr>
        <w:tab/>
        <w:t>I</w:t>
      </w:r>
      <w:r w:rsidRPr="00F01EC8">
        <w:rPr>
          <w:rFonts w:asciiTheme="minorHAnsi" w:hAnsiTheme="minorHAnsi" w:cs="Arial"/>
          <w:b/>
          <w:bCs/>
          <w:color w:val="000000" w:themeColor="text1"/>
          <w:sz w:val="20"/>
          <w:szCs w:val="20"/>
        </w:rPr>
        <w:t>nvestments</w:t>
      </w:r>
    </w:p>
    <w:p w14:paraId="149636E7" w14:textId="77777777" w:rsidR="00DA6694" w:rsidRPr="00F01EC8" w:rsidRDefault="00DA6694" w:rsidP="00DA6694">
      <w:pPr>
        <w:rPr>
          <w:rFonts w:asciiTheme="minorHAnsi" w:hAnsiTheme="minorHAnsi" w:cs="Arial"/>
          <w:b/>
          <w:bCs/>
          <w:color w:val="000000" w:themeColor="text1"/>
          <w:sz w:val="20"/>
          <w:szCs w:val="20"/>
        </w:rPr>
      </w:pPr>
    </w:p>
    <w:tbl>
      <w:tblPr>
        <w:tblW w:w="9908" w:type="dxa"/>
        <w:tblLook w:val="0000" w:firstRow="0" w:lastRow="0" w:firstColumn="0" w:lastColumn="0" w:noHBand="0" w:noVBand="0"/>
      </w:tblPr>
      <w:tblGrid>
        <w:gridCol w:w="6128"/>
        <w:gridCol w:w="1210"/>
        <w:gridCol w:w="1401"/>
        <w:gridCol w:w="1169"/>
      </w:tblGrid>
      <w:tr w:rsidR="00DA6694" w:rsidRPr="00F01EC8" w14:paraId="1BDC47F9" w14:textId="77777777" w:rsidTr="00AC0A5D">
        <w:tc>
          <w:tcPr>
            <w:tcW w:w="6128" w:type="dxa"/>
          </w:tcPr>
          <w:p w14:paraId="61C50785" w14:textId="77777777" w:rsidR="00DA6694" w:rsidRPr="00F01EC8" w:rsidRDefault="00DA6694" w:rsidP="00AC0A5D">
            <w:pPr>
              <w:jc w:val="both"/>
              <w:rPr>
                <w:rFonts w:asciiTheme="minorHAnsi" w:hAnsiTheme="minorHAnsi" w:cs="Arial"/>
                <w:sz w:val="20"/>
                <w:szCs w:val="20"/>
              </w:rPr>
            </w:pPr>
          </w:p>
        </w:tc>
        <w:tc>
          <w:tcPr>
            <w:tcW w:w="1210" w:type="dxa"/>
          </w:tcPr>
          <w:p w14:paraId="5EBE5DB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401" w:type="dxa"/>
          </w:tcPr>
          <w:p w14:paraId="481E44F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9" w:type="dxa"/>
          </w:tcPr>
          <w:p w14:paraId="4C48B1DD"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343FCC1E" w14:textId="77777777" w:rsidTr="00AC0A5D">
        <w:tc>
          <w:tcPr>
            <w:tcW w:w="6128" w:type="dxa"/>
          </w:tcPr>
          <w:p w14:paraId="6CC1E961" w14:textId="77777777" w:rsidR="00DA6694" w:rsidRPr="00F01EC8" w:rsidRDefault="00DA6694" w:rsidP="00AC0A5D">
            <w:pPr>
              <w:jc w:val="both"/>
              <w:rPr>
                <w:rFonts w:asciiTheme="minorHAnsi" w:hAnsiTheme="minorHAnsi" w:cs="Arial"/>
                <w:sz w:val="20"/>
                <w:szCs w:val="20"/>
              </w:rPr>
            </w:pPr>
          </w:p>
        </w:tc>
        <w:tc>
          <w:tcPr>
            <w:tcW w:w="1210" w:type="dxa"/>
          </w:tcPr>
          <w:p w14:paraId="66232AD8" w14:textId="63B81FB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20</w:t>
            </w:r>
            <w:r w:rsidRPr="00F01EC8">
              <w:rPr>
                <w:rFonts w:asciiTheme="minorHAnsi" w:hAnsiTheme="minorHAnsi" w:cs="Arial"/>
                <w:sz w:val="20"/>
                <w:szCs w:val="20"/>
              </w:rPr>
              <w:t> </w:t>
            </w:r>
          </w:p>
        </w:tc>
        <w:tc>
          <w:tcPr>
            <w:tcW w:w="1401" w:type="dxa"/>
          </w:tcPr>
          <w:p w14:paraId="6E2F7D01" w14:textId="69342DB3"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531D7" w:rsidRPr="00F01EC8">
              <w:rPr>
                <w:rFonts w:asciiTheme="minorHAnsi" w:hAnsiTheme="minorHAnsi" w:cs="Arial"/>
                <w:sz w:val="20"/>
                <w:szCs w:val="20"/>
              </w:rPr>
              <w:t>9</w:t>
            </w:r>
            <w:r w:rsidRPr="00F01EC8">
              <w:rPr>
                <w:rFonts w:asciiTheme="minorHAnsi" w:hAnsiTheme="minorHAnsi" w:cs="Arial"/>
                <w:sz w:val="20"/>
                <w:szCs w:val="20"/>
              </w:rPr>
              <w:t> </w:t>
            </w:r>
          </w:p>
        </w:tc>
        <w:tc>
          <w:tcPr>
            <w:tcW w:w="1169" w:type="dxa"/>
          </w:tcPr>
          <w:p w14:paraId="2EDB75B7" w14:textId="77B43BFE"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531D7" w:rsidRPr="00F01EC8">
              <w:rPr>
                <w:rFonts w:asciiTheme="minorHAnsi" w:hAnsiTheme="minorHAnsi" w:cs="Arial"/>
                <w:sz w:val="20"/>
                <w:szCs w:val="20"/>
              </w:rPr>
              <w:t>19</w:t>
            </w:r>
            <w:r w:rsidRPr="00F01EC8">
              <w:rPr>
                <w:rFonts w:asciiTheme="minorHAnsi" w:hAnsiTheme="minorHAnsi" w:cs="Arial"/>
                <w:sz w:val="20"/>
                <w:szCs w:val="20"/>
              </w:rPr>
              <w:t> </w:t>
            </w:r>
          </w:p>
        </w:tc>
      </w:tr>
      <w:tr w:rsidR="00DA6694" w:rsidRPr="00F01EC8" w14:paraId="78146DEE" w14:textId="77777777" w:rsidTr="00AC0A5D">
        <w:tc>
          <w:tcPr>
            <w:tcW w:w="6128" w:type="dxa"/>
          </w:tcPr>
          <w:p w14:paraId="0E865E30" w14:textId="77777777" w:rsidR="00DA6694" w:rsidRPr="00F01EC8" w:rsidRDefault="00DA6694" w:rsidP="00AC0A5D">
            <w:pPr>
              <w:pStyle w:val="Heading5"/>
              <w:overflowPunct/>
              <w:autoSpaceDE/>
              <w:adjustRightInd/>
              <w:rPr>
                <w:rFonts w:asciiTheme="minorHAnsi" w:hAnsiTheme="minorHAnsi" w:cs="Arial"/>
                <w:bCs/>
                <w:sz w:val="20"/>
              </w:rPr>
            </w:pPr>
          </w:p>
        </w:tc>
        <w:tc>
          <w:tcPr>
            <w:tcW w:w="1210" w:type="dxa"/>
            <w:tcBorders>
              <w:top w:val="nil"/>
              <w:left w:val="nil"/>
              <w:bottom w:val="single" w:sz="8" w:space="0" w:color="auto"/>
              <w:right w:val="nil"/>
            </w:tcBorders>
          </w:tcPr>
          <w:p w14:paraId="53D80F4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401" w:type="dxa"/>
            <w:tcBorders>
              <w:top w:val="nil"/>
              <w:left w:val="nil"/>
              <w:bottom w:val="single" w:sz="8" w:space="0" w:color="auto"/>
              <w:right w:val="nil"/>
            </w:tcBorders>
          </w:tcPr>
          <w:p w14:paraId="22CE3D2E"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69" w:type="dxa"/>
            <w:tcBorders>
              <w:top w:val="nil"/>
              <w:left w:val="nil"/>
              <w:bottom w:val="single" w:sz="8" w:space="0" w:color="auto"/>
              <w:right w:val="nil"/>
            </w:tcBorders>
          </w:tcPr>
          <w:p w14:paraId="5D0DDE4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C92EA4" w:rsidRPr="00F01EC8" w14:paraId="1BD17225" w14:textId="77777777" w:rsidTr="00AC0A5D">
        <w:tc>
          <w:tcPr>
            <w:tcW w:w="6128" w:type="dxa"/>
          </w:tcPr>
          <w:p w14:paraId="42CA2924" w14:textId="77777777" w:rsidR="00C92EA4" w:rsidRPr="00F01EC8" w:rsidRDefault="00C92EA4" w:rsidP="00C92EA4">
            <w:pPr>
              <w:pStyle w:val="Heading5"/>
              <w:tabs>
                <w:tab w:val="clear" w:pos="720"/>
                <w:tab w:val="right" w:pos="4680"/>
              </w:tabs>
              <w:jc w:val="left"/>
              <w:rPr>
                <w:rFonts w:asciiTheme="minorHAnsi" w:hAnsiTheme="minorHAnsi" w:cs="Arial"/>
                <w:b w:val="0"/>
                <w:sz w:val="20"/>
              </w:rPr>
            </w:pPr>
            <w:r w:rsidRPr="00F01EC8">
              <w:rPr>
                <w:rFonts w:asciiTheme="minorHAnsi" w:hAnsiTheme="minorHAnsi" w:cs="Arial"/>
                <w:b w:val="0"/>
                <w:sz w:val="20"/>
              </w:rPr>
              <w:t>Government gilts</w:t>
            </w:r>
          </w:p>
        </w:tc>
        <w:tc>
          <w:tcPr>
            <w:tcW w:w="1210" w:type="dxa"/>
            <w:tcBorders>
              <w:top w:val="single" w:sz="8" w:space="0" w:color="auto"/>
              <w:left w:val="nil"/>
              <w:right w:val="nil"/>
            </w:tcBorders>
            <w:vAlign w:val="bottom"/>
          </w:tcPr>
          <w:p w14:paraId="60991049" w14:textId="4013527C" w:rsidR="00C92EA4" w:rsidRPr="00F01EC8" w:rsidRDefault="009872E4" w:rsidP="00C92EA4">
            <w:pPr>
              <w:jc w:val="right"/>
              <w:rPr>
                <w:rFonts w:asciiTheme="minorHAnsi" w:hAnsiTheme="minorHAnsi" w:cs="Arial"/>
                <w:sz w:val="20"/>
                <w:szCs w:val="20"/>
              </w:rPr>
            </w:pPr>
            <w:r w:rsidRPr="00F01EC8">
              <w:rPr>
                <w:rFonts w:asciiTheme="minorHAnsi" w:hAnsiTheme="minorHAnsi" w:cs="Arial"/>
                <w:sz w:val="20"/>
                <w:szCs w:val="20"/>
              </w:rPr>
              <w:t>-</w:t>
            </w:r>
          </w:p>
        </w:tc>
        <w:tc>
          <w:tcPr>
            <w:tcW w:w="1401" w:type="dxa"/>
            <w:tcBorders>
              <w:top w:val="single" w:sz="8" w:space="0" w:color="auto"/>
              <w:left w:val="nil"/>
              <w:right w:val="nil"/>
            </w:tcBorders>
            <w:vAlign w:val="bottom"/>
          </w:tcPr>
          <w:p w14:paraId="6B12A1ED" w14:textId="74A2763D"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 </w:t>
            </w:r>
          </w:p>
        </w:tc>
        <w:tc>
          <w:tcPr>
            <w:tcW w:w="1169" w:type="dxa"/>
            <w:tcBorders>
              <w:top w:val="single" w:sz="8" w:space="0" w:color="auto"/>
              <w:left w:val="nil"/>
              <w:right w:val="nil"/>
            </w:tcBorders>
            <w:vAlign w:val="bottom"/>
          </w:tcPr>
          <w:p w14:paraId="44DAE008" w14:textId="0EB34495"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5.1 </w:t>
            </w:r>
          </w:p>
        </w:tc>
      </w:tr>
      <w:tr w:rsidR="00C92EA4" w:rsidRPr="00F01EC8" w14:paraId="2FAEB718" w14:textId="77777777" w:rsidTr="00AC0A5D">
        <w:tc>
          <w:tcPr>
            <w:tcW w:w="6128" w:type="dxa"/>
          </w:tcPr>
          <w:p w14:paraId="4D14A3BF" w14:textId="77777777" w:rsidR="00C92EA4" w:rsidRPr="00F01EC8" w:rsidRDefault="00C92EA4" w:rsidP="00C92EA4">
            <w:pPr>
              <w:pStyle w:val="Heading5"/>
              <w:tabs>
                <w:tab w:val="clear" w:pos="720"/>
                <w:tab w:val="right" w:pos="4680"/>
              </w:tabs>
              <w:jc w:val="left"/>
              <w:rPr>
                <w:rFonts w:asciiTheme="minorHAnsi" w:hAnsiTheme="minorHAnsi" w:cs="Arial"/>
                <w:b w:val="0"/>
                <w:sz w:val="20"/>
              </w:rPr>
            </w:pPr>
            <w:r w:rsidRPr="00F01EC8">
              <w:rPr>
                <w:rFonts w:asciiTheme="minorHAnsi" w:hAnsiTheme="minorHAnsi" w:cs="Arial"/>
                <w:b w:val="0"/>
                <w:sz w:val="20"/>
              </w:rPr>
              <w:t>Visa Inc. shares</w:t>
            </w:r>
          </w:p>
        </w:tc>
        <w:tc>
          <w:tcPr>
            <w:tcW w:w="1210" w:type="dxa"/>
            <w:tcBorders>
              <w:left w:val="nil"/>
              <w:bottom w:val="single" w:sz="8" w:space="0" w:color="auto"/>
              <w:right w:val="nil"/>
            </w:tcBorders>
            <w:vAlign w:val="bottom"/>
          </w:tcPr>
          <w:p w14:paraId="2BDAB9F8" w14:textId="40502D0C" w:rsidR="00C92EA4" w:rsidRPr="00F01EC8" w:rsidRDefault="009872E4" w:rsidP="00C92EA4">
            <w:pPr>
              <w:jc w:val="right"/>
              <w:rPr>
                <w:rFonts w:asciiTheme="minorHAnsi" w:hAnsiTheme="minorHAnsi" w:cs="Arial"/>
                <w:sz w:val="20"/>
                <w:szCs w:val="20"/>
              </w:rPr>
            </w:pPr>
            <w:r w:rsidRPr="00F01EC8">
              <w:rPr>
                <w:rFonts w:asciiTheme="minorHAnsi" w:hAnsiTheme="minorHAnsi" w:cs="Arial"/>
                <w:sz w:val="20"/>
                <w:szCs w:val="20"/>
              </w:rPr>
              <w:t>18.0</w:t>
            </w:r>
          </w:p>
        </w:tc>
        <w:tc>
          <w:tcPr>
            <w:tcW w:w="1401" w:type="dxa"/>
            <w:tcBorders>
              <w:left w:val="nil"/>
              <w:bottom w:val="single" w:sz="8" w:space="0" w:color="auto"/>
              <w:right w:val="nil"/>
            </w:tcBorders>
            <w:vAlign w:val="bottom"/>
          </w:tcPr>
          <w:p w14:paraId="011D21EF" w14:textId="3FC270F4"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16.6 </w:t>
            </w:r>
          </w:p>
        </w:tc>
        <w:tc>
          <w:tcPr>
            <w:tcW w:w="1169" w:type="dxa"/>
            <w:tcBorders>
              <w:left w:val="nil"/>
              <w:bottom w:val="single" w:sz="8" w:space="0" w:color="auto"/>
              <w:right w:val="nil"/>
            </w:tcBorders>
            <w:vAlign w:val="bottom"/>
          </w:tcPr>
          <w:p w14:paraId="55AB8233" w14:textId="4C881C33"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16.0 </w:t>
            </w:r>
          </w:p>
        </w:tc>
      </w:tr>
      <w:tr w:rsidR="00C92EA4" w:rsidRPr="00F01EC8" w14:paraId="26BBF214" w14:textId="77777777" w:rsidTr="00AC0A5D">
        <w:tc>
          <w:tcPr>
            <w:tcW w:w="6128" w:type="dxa"/>
          </w:tcPr>
          <w:p w14:paraId="5CB2ED7B" w14:textId="77777777" w:rsidR="00C92EA4" w:rsidRPr="00F01EC8" w:rsidRDefault="00C92EA4" w:rsidP="00C92EA4">
            <w:pPr>
              <w:pStyle w:val="Heading5"/>
              <w:tabs>
                <w:tab w:val="clear" w:pos="720"/>
                <w:tab w:val="right" w:pos="4680"/>
              </w:tabs>
              <w:jc w:val="left"/>
              <w:rPr>
                <w:rFonts w:asciiTheme="minorHAnsi" w:hAnsiTheme="minorHAnsi" w:cs="Arial"/>
                <w:sz w:val="20"/>
              </w:rPr>
            </w:pPr>
          </w:p>
        </w:tc>
        <w:tc>
          <w:tcPr>
            <w:tcW w:w="1210" w:type="dxa"/>
            <w:tcBorders>
              <w:top w:val="single" w:sz="8" w:space="0" w:color="auto"/>
              <w:left w:val="nil"/>
              <w:bottom w:val="single" w:sz="12" w:space="0" w:color="auto"/>
              <w:right w:val="nil"/>
            </w:tcBorders>
            <w:vAlign w:val="bottom"/>
          </w:tcPr>
          <w:p w14:paraId="574D78C0" w14:textId="5EDD0292" w:rsidR="00C92EA4" w:rsidRPr="00F01EC8" w:rsidRDefault="009872E4" w:rsidP="00C92EA4">
            <w:pPr>
              <w:jc w:val="right"/>
              <w:rPr>
                <w:rFonts w:asciiTheme="minorHAnsi" w:hAnsiTheme="minorHAnsi" w:cs="Arial"/>
                <w:sz w:val="20"/>
                <w:szCs w:val="20"/>
              </w:rPr>
            </w:pPr>
            <w:r w:rsidRPr="00F01EC8">
              <w:rPr>
                <w:rFonts w:asciiTheme="minorHAnsi" w:hAnsiTheme="minorHAnsi" w:cs="Arial"/>
                <w:sz w:val="20"/>
                <w:szCs w:val="20"/>
              </w:rPr>
              <w:t>18.0</w:t>
            </w:r>
          </w:p>
        </w:tc>
        <w:tc>
          <w:tcPr>
            <w:tcW w:w="1401" w:type="dxa"/>
            <w:tcBorders>
              <w:top w:val="single" w:sz="8" w:space="0" w:color="auto"/>
              <w:left w:val="nil"/>
              <w:bottom w:val="single" w:sz="12" w:space="0" w:color="auto"/>
              <w:right w:val="nil"/>
            </w:tcBorders>
            <w:vAlign w:val="bottom"/>
          </w:tcPr>
          <w:p w14:paraId="521E3B42" w14:textId="05110853"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16.6 </w:t>
            </w:r>
          </w:p>
        </w:tc>
        <w:tc>
          <w:tcPr>
            <w:tcW w:w="1169" w:type="dxa"/>
            <w:tcBorders>
              <w:top w:val="single" w:sz="8" w:space="0" w:color="auto"/>
              <w:left w:val="nil"/>
              <w:bottom w:val="single" w:sz="12" w:space="0" w:color="auto"/>
              <w:right w:val="nil"/>
            </w:tcBorders>
            <w:vAlign w:val="bottom"/>
          </w:tcPr>
          <w:p w14:paraId="6CD44730" w14:textId="76378DE2"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21.1 </w:t>
            </w:r>
          </w:p>
        </w:tc>
      </w:tr>
    </w:tbl>
    <w:p w14:paraId="1342A3A3" w14:textId="77777777" w:rsidR="00DA6694" w:rsidRPr="00F01EC8" w:rsidRDefault="00DA6694" w:rsidP="00DA6694">
      <w:pPr>
        <w:jc w:val="both"/>
        <w:rPr>
          <w:rFonts w:asciiTheme="minorHAnsi" w:hAnsiTheme="minorHAnsi"/>
          <w:sz w:val="20"/>
          <w:szCs w:val="20"/>
        </w:rPr>
      </w:pPr>
    </w:p>
    <w:p w14:paraId="7E8C6ACB" w14:textId="77777777" w:rsidR="00DA6694" w:rsidRPr="00F01EC8" w:rsidRDefault="00DA6694" w:rsidP="00DA6694">
      <w:pPr>
        <w:jc w:val="both"/>
        <w:rPr>
          <w:rFonts w:asciiTheme="minorHAnsi" w:hAnsiTheme="minorHAnsi"/>
          <w:b/>
          <w:sz w:val="20"/>
          <w:szCs w:val="20"/>
        </w:rPr>
      </w:pPr>
      <w:r w:rsidRPr="00F01EC8">
        <w:rPr>
          <w:rFonts w:asciiTheme="minorHAnsi" w:hAnsiTheme="minorHAnsi"/>
          <w:b/>
          <w:sz w:val="20"/>
          <w:szCs w:val="20"/>
        </w:rPr>
        <w:t>Government gilts</w:t>
      </w:r>
    </w:p>
    <w:p w14:paraId="256F5351" w14:textId="6CAA1622" w:rsidR="00DE2D8B" w:rsidRPr="00F01EC8" w:rsidRDefault="00DE2D8B" w:rsidP="00DE2D8B">
      <w:pPr>
        <w:jc w:val="both"/>
        <w:rPr>
          <w:rFonts w:asciiTheme="minorHAnsi" w:hAnsiTheme="minorHAnsi"/>
          <w:sz w:val="20"/>
          <w:szCs w:val="20"/>
        </w:rPr>
      </w:pPr>
      <w:r w:rsidRPr="00F01EC8">
        <w:rPr>
          <w:rFonts w:asciiTheme="minorHAnsi" w:hAnsiTheme="minorHAnsi"/>
          <w:sz w:val="20"/>
          <w:szCs w:val="20"/>
        </w:rPr>
        <w:t xml:space="preserve">Government gilts </w:t>
      </w:r>
      <w:r w:rsidR="002A14A8" w:rsidRPr="00F01EC8">
        <w:rPr>
          <w:rFonts w:asciiTheme="minorHAnsi" w:hAnsiTheme="minorHAnsi"/>
          <w:sz w:val="20"/>
          <w:szCs w:val="20"/>
        </w:rPr>
        <w:t>at 30 June</w:t>
      </w:r>
      <w:r w:rsidRPr="00F01EC8">
        <w:rPr>
          <w:rFonts w:asciiTheme="minorHAnsi" w:hAnsiTheme="minorHAnsi"/>
          <w:sz w:val="20"/>
          <w:szCs w:val="20"/>
        </w:rPr>
        <w:t xml:space="preserve"> 2019 comprised UK government gilts which formed part of the liquid assets buffer and other liquid resources held by Vanquis Bank in accordance with the PRA’s liquidity regime. Vanquis Bank’s total liquid assets buffer and other liquid resources, held in accordance with the PRA’s liquidity regime together with an additional </w:t>
      </w:r>
      <w:r w:rsidRPr="00F01EC8">
        <w:rPr>
          <w:rFonts w:asciiTheme="minorHAnsi" w:hAnsiTheme="minorHAnsi"/>
          <w:sz w:val="20"/>
          <w:szCs w:val="20"/>
        </w:rPr>
        <w:lastRenderedPageBreak/>
        <w:t xml:space="preserve">operational buffer, amounted </w:t>
      </w:r>
      <w:r w:rsidR="00817960" w:rsidRPr="00F01EC8">
        <w:rPr>
          <w:rFonts w:asciiTheme="minorHAnsi" w:hAnsiTheme="minorHAnsi"/>
          <w:sz w:val="20"/>
          <w:szCs w:val="20"/>
        </w:rPr>
        <w:t>to £1,014.4</w:t>
      </w:r>
      <w:r w:rsidRPr="00F01EC8">
        <w:rPr>
          <w:rFonts w:asciiTheme="minorHAnsi" w:hAnsiTheme="minorHAnsi"/>
          <w:sz w:val="20"/>
          <w:szCs w:val="20"/>
        </w:rPr>
        <w:t xml:space="preserve">m (31 December </w:t>
      </w:r>
      <w:r w:rsidR="005E78EA" w:rsidRPr="00F01EC8">
        <w:rPr>
          <w:rFonts w:asciiTheme="minorHAnsi" w:hAnsiTheme="minorHAnsi"/>
          <w:sz w:val="20"/>
          <w:szCs w:val="20"/>
        </w:rPr>
        <w:t xml:space="preserve">2019: </w:t>
      </w:r>
      <w:r w:rsidRPr="00F01EC8">
        <w:rPr>
          <w:rFonts w:asciiTheme="minorHAnsi" w:hAnsiTheme="minorHAnsi"/>
          <w:sz w:val="20"/>
          <w:szCs w:val="20"/>
        </w:rPr>
        <w:t xml:space="preserve">£321.9m, </w:t>
      </w:r>
      <w:r w:rsidRPr="00F01EC8">
        <w:rPr>
          <w:rFonts w:asciiTheme="minorHAnsi" w:hAnsiTheme="minorHAnsi" w:cs="Arial"/>
          <w:sz w:val="20"/>
          <w:szCs w:val="20"/>
        </w:rPr>
        <w:t>30 June 2019: £428.4m)</w:t>
      </w:r>
      <w:r w:rsidRPr="00F01EC8">
        <w:rPr>
          <w:rFonts w:asciiTheme="minorHAnsi" w:hAnsiTheme="minorHAnsi"/>
          <w:sz w:val="20"/>
          <w:szCs w:val="20"/>
        </w:rPr>
        <w:t xml:space="preserve">. This </w:t>
      </w:r>
      <w:r w:rsidR="00817960" w:rsidRPr="00F01EC8">
        <w:rPr>
          <w:rFonts w:asciiTheme="minorHAnsi" w:hAnsiTheme="minorHAnsi"/>
          <w:sz w:val="20"/>
          <w:szCs w:val="20"/>
        </w:rPr>
        <w:t>includes £1,014.4</w:t>
      </w:r>
      <w:r w:rsidRPr="00F01EC8">
        <w:rPr>
          <w:rFonts w:asciiTheme="minorHAnsi" w:hAnsiTheme="minorHAnsi"/>
          <w:sz w:val="20"/>
          <w:szCs w:val="20"/>
        </w:rPr>
        <w:t xml:space="preserve">m </w:t>
      </w:r>
      <w:r w:rsidRPr="00F01EC8">
        <w:rPr>
          <w:rFonts w:asciiTheme="minorHAnsi" w:hAnsiTheme="minorHAnsi" w:cs="Arial"/>
          <w:sz w:val="20"/>
          <w:szCs w:val="20"/>
        </w:rPr>
        <w:t>(31 December 2019: £321.9m, 30 June 2019: £423.3m)</w:t>
      </w:r>
      <w:r w:rsidRPr="00F01EC8">
        <w:rPr>
          <w:rFonts w:asciiTheme="minorHAnsi" w:hAnsiTheme="minorHAnsi"/>
          <w:sz w:val="20"/>
          <w:szCs w:val="20"/>
        </w:rPr>
        <w:t xml:space="preserve"> held in cash and cash equivalents.</w:t>
      </w:r>
    </w:p>
    <w:p w14:paraId="08F58E0B" w14:textId="77777777" w:rsidR="00DA6694" w:rsidRPr="00F01EC8" w:rsidRDefault="00DA6694" w:rsidP="00DA6694">
      <w:pPr>
        <w:jc w:val="both"/>
        <w:rPr>
          <w:rFonts w:asciiTheme="minorHAnsi" w:hAnsiTheme="minorHAnsi"/>
          <w:sz w:val="20"/>
          <w:szCs w:val="20"/>
        </w:rPr>
      </w:pPr>
    </w:p>
    <w:p w14:paraId="4F56FDB5" w14:textId="77777777" w:rsidR="00DA6694" w:rsidRPr="00F01EC8" w:rsidRDefault="00DA6694" w:rsidP="00DA6694">
      <w:pPr>
        <w:jc w:val="both"/>
        <w:rPr>
          <w:rFonts w:asciiTheme="minorHAnsi" w:hAnsiTheme="minorHAnsi" w:cs="Arial"/>
          <w:b/>
          <w:sz w:val="20"/>
          <w:szCs w:val="20"/>
        </w:rPr>
      </w:pPr>
      <w:r w:rsidRPr="00F01EC8">
        <w:rPr>
          <w:rFonts w:asciiTheme="minorHAnsi" w:hAnsiTheme="minorHAnsi" w:cs="Arial"/>
          <w:b/>
          <w:sz w:val="20"/>
          <w:szCs w:val="20"/>
        </w:rPr>
        <w:t>Visa Inc. shares</w:t>
      </w:r>
    </w:p>
    <w:p w14:paraId="574FEE0E" w14:textId="55C3B932" w:rsidR="00DA6694" w:rsidRPr="00F01EC8" w:rsidRDefault="00DA6694" w:rsidP="00DA6694">
      <w:pPr>
        <w:jc w:val="both"/>
        <w:rPr>
          <w:rFonts w:asciiTheme="minorHAnsi" w:hAnsiTheme="minorHAnsi" w:cs="Arial"/>
          <w:sz w:val="20"/>
          <w:szCs w:val="20"/>
        </w:rPr>
      </w:pPr>
      <w:r w:rsidRPr="00F01EC8">
        <w:rPr>
          <w:rFonts w:asciiTheme="minorHAnsi" w:hAnsiTheme="minorHAnsi" w:cs="Arial"/>
          <w:sz w:val="20"/>
          <w:szCs w:val="20"/>
        </w:rPr>
        <w:t xml:space="preserve">The Visa shares represents preferred stock in Visa Inc. held by Vanquis Bank following completion of Visa Inc.’s acquisition of Visa Europe Limited on 21 June 2016. In consideration for Vanquis Bank’s interest in Visa Europe Limited, Vanquis Bank received cash consideration of €15.9m (£12.2m) on completion, preferred stock with an approximate value of €10.7m and deferred cash consideration of €1.4m </w:t>
      </w:r>
      <w:r w:rsidR="00DE2D8B" w:rsidRPr="00F01EC8">
        <w:rPr>
          <w:rFonts w:asciiTheme="minorHAnsi" w:hAnsiTheme="minorHAnsi" w:cs="Arial"/>
          <w:sz w:val="20"/>
          <w:szCs w:val="20"/>
        </w:rPr>
        <w:t xml:space="preserve">which was </w:t>
      </w:r>
      <w:r w:rsidRPr="00F01EC8">
        <w:rPr>
          <w:rFonts w:asciiTheme="minorHAnsi" w:hAnsiTheme="minorHAnsi" w:cs="Arial"/>
          <w:sz w:val="20"/>
          <w:szCs w:val="20"/>
        </w:rPr>
        <w:t xml:space="preserve">due </w:t>
      </w:r>
      <w:r w:rsidR="00DE2D8B" w:rsidRPr="00F01EC8">
        <w:rPr>
          <w:rFonts w:asciiTheme="minorHAnsi" w:hAnsiTheme="minorHAnsi" w:cs="Arial"/>
          <w:sz w:val="20"/>
          <w:szCs w:val="20"/>
        </w:rPr>
        <w:t xml:space="preserve">and received </w:t>
      </w:r>
      <w:r w:rsidRPr="00F01EC8">
        <w:rPr>
          <w:rFonts w:asciiTheme="minorHAnsi" w:hAnsiTheme="minorHAnsi" w:cs="Arial"/>
          <w:sz w:val="20"/>
          <w:szCs w:val="20"/>
        </w:rPr>
        <w:t>on the third anniversary of the completion date</w:t>
      </w:r>
      <w:r w:rsidR="00DE2D8B" w:rsidRPr="00F01EC8">
        <w:rPr>
          <w:rFonts w:asciiTheme="minorHAnsi" w:hAnsiTheme="minorHAnsi" w:cs="Arial"/>
          <w:sz w:val="20"/>
          <w:szCs w:val="20"/>
        </w:rPr>
        <w:t xml:space="preserve"> in June 2019</w:t>
      </w:r>
      <w:r w:rsidRPr="00F01EC8">
        <w:rPr>
          <w:rFonts w:asciiTheme="minorHAnsi" w:hAnsiTheme="minorHAnsi" w:cs="Arial"/>
          <w:sz w:val="20"/>
          <w:szCs w:val="20"/>
        </w:rPr>
        <w:t xml:space="preserve">. The preferred stock is convertible into Class A common stock of Visa Inc. at a future date, subject to certain conditions. </w:t>
      </w:r>
    </w:p>
    <w:p w14:paraId="306C7F1B" w14:textId="77777777" w:rsidR="00DA6694" w:rsidRPr="00F01EC8" w:rsidRDefault="00DA6694" w:rsidP="00DA6694">
      <w:pPr>
        <w:jc w:val="both"/>
        <w:rPr>
          <w:rFonts w:asciiTheme="minorHAnsi" w:hAnsiTheme="minorHAnsi" w:cs="Arial"/>
          <w:color w:val="FF0000"/>
          <w:sz w:val="20"/>
          <w:szCs w:val="20"/>
        </w:rPr>
      </w:pPr>
    </w:p>
    <w:p w14:paraId="4D54F77D" w14:textId="6D2EB104" w:rsidR="00DA6694" w:rsidRPr="00F01EC8" w:rsidRDefault="00DA6694" w:rsidP="00DA6694">
      <w:pPr>
        <w:jc w:val="both"/>
        <w:rPr>
          <w:rFonts w:asciiTheme="minorHAnsi" w:hAnsiTheme="minorHAnsi" w:cs="Arial"/>
          <w:sz w:val="20"/>
          <w:szCs w:val="20"/>
        </w:rPr>
      </w:pPr>
      <w:r w:rsidRPr="00F01EC8">
        <w:rPr>
          <w:rFonts w:asciiTheme="minorHAnsi" w:hAnsiTheme="minorHAnsi" w:cs="Arial"/>
          <w:sz w:val="20"/>
          <w:szCs w:val="20"/>
        </w:rPr>
        <w:t>The fair value of the preferred stock in Visa Inc. held by Vanquis Bank as at 30 June 20</w:t>
      </w:r>
      <w:r w:rsidR="005A3189" w:rsidRPr="00F01EC8">
        <w:rPr>
          <w:rFonts w:asciiTheme="minorHAnsi" w:hAnsiTheme="minorHAnsi" w:cs="Arial"/>
          <w:sz w:val="20"/>
          <w:szCs w:val="20"/>
        </w:rPr>
        <w:t>20</w:t>
      </w:r>
      <w:r w:rsidRPr="00F01EC8">
        <w:rPr>
          <w:rFonts w:asciiTheme="minorHAnsi" w:hAnsiTheme="minorHAnsi" w:cs="Arial"/>
          <w:sz w:val="20"/>
          <w:szCs w:val="20"/>
        </w:rPr>
        <w:t xml:space="preserve"> of £1</w:t>
      </w:r>
      <w:r w:rsidR="009872E4" w:rsidRPr="00F01EC8">
        <w:rPr>
          <w:rFonts w:asciiTheme="minorHAnsi" w:hAnsiTheme="minorHAnsi" w:cs="Arial"/>
          <w:sz w:val="20"/>
          <w:szCs w:val="20"/>
        </w:rPr>
        <w:t>8.0</w:t>
      </w:r>
      <w:r w:rsidRPr="00F01EC8">
        <w:rPr>
          <w:rFonts w:asciiTheme="minorHAnsi" w:hAnsiTheme="minorHAnsi" w:cs="Arial"/>
          <w:sz w:val="20"/>
          <w:szCs w:val="20"/>
        </w:rPr>
        <w:t>m (31 December 201</w:t>
      </w:r>
      <w:r w:rsidR="005A3189" w:rsidRPr="00F01EC8">
        <w:rPr>
          <w:rFonts w:asciiTheme="minorHAnsi" w:hAnsiTheme="minorHAnsi" w:cs="Arial"/>
          <w:sz w:val="20"/>
          <w:szCs w:val="20"/>
        </w:rPr>
        <w:t>9</w:t>
      </w:r>
      <w:r w:rsidRPr="00F01EC8">
        <w:rPr>
          <w:rFonts w:asciiTheme="minorHAnsi" w:hAnsiTheme="minorHAnsi" w:cs="Arial"/>
          <w:sz w:val="20"/>
          <w:szCs w:val="20"/>
        </w:rPr>
        <w:t>: £1</w:t>
      </w:r>
      <w:r w:rsidR="005A3189" w:rsidRPr="00F01EC8">
        <w:rPr>
          <w:rFonts w:asciiTheme="minorHAnsi" w:hAnsiTheme="minorHAnsi" w:cs="Arial"/>
          <w:sz w:val="20"/>
          <w:szCs w:val="20"/>
        </w:rPr>
        <w:t>6.6</w:t>
      </w:r>
      <w:r w:rsidRPr="00F01EC8">
        <w:rPr>
          <w:rFonts w:asciiTheme="minorHAnsi" w:hAnsiTheme="minorHAnsi" w:cs="Arial"/>
          <w:sz w:val="20"/>
          <w:szCs w:val="20"/>
        </w:rPr>
        <w:t>m, 30 June 201</w:t>
      </w:r>
      <w:r w:rsidR="005A3189" w:rsidRPr="00F01EC8">
        <w:rPr>
          <w:rFonts w:asciiTheme="minorHAnsi" w:hAnsiTheme="minorHAnsi" w:cs="Arial"/>
          <w:sz w:val="20"/>
          <w:szCs w:val="20"/>
        </w:rPr>
        <w:t>9</w:t>
      </w:r>
      <w:r w:rsidRPr="00F01EC8">
        <w:rPr>
          <w:rFonts w:asciiTheme="minorHAnsi" w:hAnsiTheme="minorHAnsi" w:cs="Arial"/>
          <w:sz w:val="20"/>
          <w:szCs w:val="20"/>
        </w:rPr>
        <w:t>: £</w:t>
      </w:r>
      <w:r w:rsidR="005A3189" w:rsidRPr="00F01EC8">
        <w:rPr>
          <w:rFonts w:asciiTheme="minorHAnsi" w:hAnsiTheme="minorHAnsi" w:cs="Arial"/>
          <w:sz w:val="20"/>
          <w:szCs w:val="20"/>
        </w:rPr>
        <w:t>16.0</w:t>
      </w:r>
      <w:r w:rsidRPr="00F01EC8">
        <w:rPr>
          <w:rFonts w:asciiTheme="minorHAnsi" w:hAnsiTheme="minorHAnsi" w:cs="Arial"/>
          <w:sz w:val="20"/>
          <w:szCs w:val="20"/>
        </w:rPr>
        <w:t xml:space="preserve">m) is held </w:t>
      </w:r>
      <w:r w:rsidRPr="00F01EC8">
        <w:rPr>
          <w:rFonts w:asciiTheme="minorHAnsi" w:hAnsiTheme="minorHAnsi"/>
          <w:sz w:val="20"/>
          <w:szCs w:val="20"/>
        </w:rPr>
        <w:t>at fair value through OCI</w:t>
      </w:r>
      <w:r w:rsidRPr="00F01EC8">
        <w:rPr>
          <w:rFonts w:asciiTheme="minorHAnsi" w:hAnsiTheme="minorHAnsi" w:cs="Arial"/>
          <w:sz w:val="20"/>
          <w:szCs w:val="20"/>
        </w:rPr>
        <w:t>. The increase in the fair value of the investment during the six month period of £</w:t>
      </w:r>
      <w:r w:rsidR="009872E4" w:rsidRPr="00F01EC8">
        <w:rPr>
          <w:rFonts w:asciiTheme="minorHAnsi" w:hAnsiTheme="minorHAnsi" w:cs="Arial"/>
          <w:sz w:val="20"/>
          <w:szCs w:val="20"/>
        </w:rPr>
        <w:t>1.4</w:t>
      </w:r>
      <w:r w:rsidRPr="00F01EC8">
        <w:rPr>
          <w:rFonts w:asciiTheme="minorHAnsi" w:hAnsiTheme="minorHAnsi" w:cs="Arial"/>
          <w:sz w:val="20"/>
          <w:szCs w:val="20"/>
        </w:rPr>
        <w:t>m (201</w:t>
      </w:r>
      <w:r w:rsidR="005A3189" w:rsidRPr="00F01EC8">
        <w:rPr>
          <w:rFonts w:asciiTheme="minorHAnsi" w:hAnsiTheme="minorHAnsi" w:cs="Arial"/>
          <w:sz w:val="20"/>
          <w:szCs w:val="20"/>
        </w:rPr>
        <w:t>9</w:t>
      </w:r>
      <w:r w:rsidRPr="00F01EC8">
        <w:rPr>
          <w:rFonts w:asciiTheme="minorHAnsi" w:hAnsiTheme="minorHAnsi" w:cs="Arial"/>
          <w:sz w:val="20"/>
          <w:szCs w:val="20"/>
        </w:rPr>
        <w:t>: £</w:t>
      </w:r>
      <w:r w:rsidR="005A3189" w:rsidRPr="00F01EC8">
        <w:rPr>
          <w:rFonts w:asciiTheme="minorHAnsi" w:hAnsiTheme="minorHAnsi" w:cs="Arial"/>
          <w:sz w:val="20"/>
          <w:szCs w:val="20"/>
        </w:rPr>
        <w:t>3.9</w:t>
      </w:r>
      <w:r w:rsidRPr="00F01EC8">
        <w:rPr>
          <w:rFonts w:asciiTheme="minorHAnsi" w:hAnsiTheme="minorHAnsi" w:cs="Arial"/>
          <w:sz w:val="20"/>
          <w:szCs w:val="20"/>
        </w:rPr>
        <w:t>m) in respect of the movement in the Visa Inc. share price and the movement in foreign exchange rates has been recognised in</w:t>
      </w:r>
      <w:r w:rsidR="000B1423" w:rsidRPr="00F01EC8">
        <w:rPr>
          <w:rFonts w:asciiTheme="minorHAnsi" w:hAnsiTheme="minorHAnsi" w:cs="Arial"/>
          <w:sz w:val="20"/>
          <w:szCs w:val="20"/>
        </w:rPr>
        <w:t xml:space="preserve"> other comprehensive income</w:t>
      </w:r>
      <w:r w:rsidRPr="00F01EC8">
        <w:rPr>
          <w:rFonts w:asciiTheme="minorHAnsi" w:hAnsiTheme="minorHAnsi" w:cs="Arial"/>
          <w:sz w:val="20"/>
          <w:szCs w:val="20"/>
        </w:rPr>
        <w:t xml:space="preserve">. </w:t>
      </w:r>
    </w:p>
    <w:p w14:paraId="4FA75797" w14:textId="77777777" w:rsidR="00DA6694" w:rsidRPr="00F01EC8" w:rsidRDefault="00DA6694" w:rsidP="00DA6694">
      <w:pPr>
        <w:jc w:val="both"/>
        <w:rPr>
          <w:rFonts w:asciiTheme="minorHAnsi" w:hAnsiTheme="minorHAnsi" w:cs="Arial"/>
          <w:color w:val="FF0000"/>
          <w:sz w:val="20"/>
          <w:szCs w:val="20"/>
        </w:rPr>
      </w:pPr>
    </w:p>
    <w:p w14:paraId="61D82C3F" w14:textId="12DAC7C3" w:rsidR="00DA6694" w:rsidRPr="00F01EC8" w:rsidRDefault="00DA6694" w:rsidP="00DA6694">
      <w:pPr>
        <w:tabs>
          <w:tab w:val="left" w:pos="499"/>
        </w:tabs>
        <w:rPr>
          <w:rFonts w:asciiTheme="minorHAnsi" w:hAnsiTheme="minorHAnsi" w:cs="Arial"/>
          <w:sz w:val="20"/>
          <w:szCs w:val="20"/>
        </w:rPr>
      </w:pPr>
      <w:r w:rsidRPr="00F01EC8">
        <w:rPr>
          <w:rFonts w:asciiTheme="minorHAnsi" w:hAnsiTheme="minorHAnsi" w:cs="Arial"/>
          <w:b/>
          <w:sz w:val="20"/>
          <w:szCs w:val="20"/>
        </w:rPr>
        <w:t>11.</w:t>
      </w:r>
      <w:r w:rsidRPr="00F01EC8">
        <w:rPr>
          <w:rFonts w:asciiTheme="minorHAnsi" w:hAnsiTheme="minorHAnsi" w:cs="Arial"/>
          <w:b/>
          <w:sz w:val="20"/>
          <w:szCs w:val="20"/>
        </w:rPr>
        <w:tab/>
        <w:t>Fair value disclosures</w:t>
      </w:r>
    </w:p>
    <w:p w14:paraId="3D265869" w14:textId="77777777" w:rsidR="00DA6694" w:rsidRPr="00F01EC8" w:rsidRDefault="00DA6694" w:rsidP="00DA6694">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31A80BA" w14:textId="546CB51D" w:rsidR="00DA6694" w:rsidRPr="00F01EC8" w:rsidRDefault="00DA6694" w:rsidP="00DA6694">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F01EC8">
        <w:rPr>
          <w:rFonts w:asciiTheme="minorHAnsi" w:hAnsiTheme="minorHAnsi" w:cs="Arial"/>
          <w:sz w:val="20"/>
          <w:szCs w:val="20"/>
        </w:rPr>
        <w:t xml:space="preserve">The </w:t>
      </w:r>
      <w:r w:rsidR="005714EF">
        <w:rPr>
          <w:rFonts w:asciiTheme="minorHAnsi" w:hAnsiTheme="minorHAnsi" w:cs="Arial"/>
          <w:sz w:val="20"/>
          <w:szCs w:val="20"/>
        </w:rPr>
        <w:t>G</w:t>
      </w:r>
      <w:r w:rsidRPr="00F01EC8">
        <w:rPr>
          <w:rFonts w:asciiTheme="minorHAnsi" w:hAnsiTheme="minorHAnsi" w:cs="Arial"/>
          <w:sz w:val="20"/>
          <w:szCs w:val="20"/>
        </w:rPr>
        <w:t xml:space="preserve">roup holds the following financial instruments at fair value: </w:t>
      </w:r>
    </w:p>
    <w:tbl>
      <w:tblPr>
        <w:tblW w:w="9889" w:type="dxa"/>
        <w:tblLook w:val="0000" w:firstRow="0" w:lastRow="0" w:firstColumn="0" w:lastColumn="0" w:noHBand="0" w:noVBand="0"/>
      </w:tblPr>
      <w:tblGrid>
        <w:gridCol w:w="6122"/>
        <w:gridCol w:w="1168"/>
        <w:gridCol w:w="1431"/>
        <w:gridCol w:w="1168"/>
      </w:tblGrid>
      <w:tr w:rsidR="00DA6694" w:rsidRPr="00F01EC8" w14:paraId="6A40F109" w14:textId="77777777" w:rsidTr="00AC0A5D">
        <w:tc>
          <w:tcPr>
            <w:tcW w:w="6122" w:type="dxa"/>
          </w:tcPr>
          <w:p w14:paraId="2AC9051C" w14:textId="77777777" w:rsidR="00DA6694" w:rsidRPr="00F01EC8" w:rsidRDefault="00DA6694" w:rsidP="00AC0A5D">
            <w:pPr>
              <w:rPr>
                <w:rFonts w:asciiTheme="minorHAnsi" w:hAnsiTheme="minorHAnsi" w:cs="Arial"/>
                <w:sz w:val="20"/>
                <w:szCs w:val="20"/>
              </w:rPr>
            </w:pPr>
          </w:p>
        </w:tc>
        <w:tc>
          <w:tcPr>
            <w:tcW w:w="1168" w:type="dxa"/>
          </w:tcPr>
          <w:p w14:paraId="7CD5DD16" w14:textId="77777777" w:rsidR="00DA6694" w:rsidRPr="00F01EC8" w:rsidRDefault="00DA6694" w:rsidP="00AC0A5D">
            <w:pPr>
              <w:ind w:hanging="250"/>
              <w:jc w:val="right"/>
              <w:rPr>
                <w:rFonts w:asciiTheme="minorHAnsi" w:hAnsiTheme="minorHAnsi" w:cs="Arial"/>
                <w:sz w:val="20"/>
                <w:szCs w:val="20"/>
              </w:rPr>
            </w:pPr>
            <w:r w:rsidRPr="00F01EC8">
              <w:rPr>
                <w:rFonts w:asciiTheme="minorHAnsi" w:hAnsiTheme="minorHAnsi" w:cs="Arial"/>
                <w:sz w:val="20"/>
                <w:szCs w:val="20"/>
              </w:rPr>
              <w:t>30 June </w:t>
            </w:r>
          </w:p>
        </w:tc>
        <w:tc>
          <w:tcPr>
            <w:tcW w:w="1431" w:type="dxa"/>
          </w:tcPr>
          <w:p w14:paraId="338F84A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8" w:type="dxa"/>
          </w:tcPr>
          <w:p w14:paraId="23E02D92" w14:textId="77777777" w:rsidR="00DA6694" w:rsidRPr="00F01EC8" w:rsidRDefault="00DA6694" w:rsidP="00AC0A5D">
            <w:pPr>
              <w:ind w:hanging="250"/>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286310D0" w14:textId="77777777" w:rsidTr="00AC0A5D">
        <w:tc>
          <w:tcPr>
            <w:tcW w:w="6122" w:type="dxa"/>
          </w:tcPr>
          <w:p w14:paraId="586BCC8C" w14:textId="77777777" w:rsidR="00DA6694" w:rsidRPr="00F01EC8" w:rsidRDefault="00DA6694" w:rsidP="00AC0A5D">
            <w:pPr>
              <w:rPr>
                <w:rFonts w:asciiTheme="minorHAnsi" w:hAnsiTheme="minorHAnsi" w:cs="Arial"/>
                <w:sz w:val="20"/>
                <w:szCs w:val="20"/>
              </w:rPr>
            </w:pPr>
          </w:p>
        </w:tc>
        <w:tc>
          <w:tcPr>
            <w:tcW w:w="1168" w:type="dxa"/>
          </w:tcPr>
          <w:p w14:paraId="3A92EE60" w14:textId="2EC1ADF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B35463" w:rsidRPr="00F01EC8">
              <w:rPr>
                <w:rFonts w:asciiTheme="minorHAnsi" w:hAnsiTheme="minorHAnsi" w:cs="Arial"/>
                <w:sz w:val="20"/>
                <w:szCs w:val="20"/>
              </w:rPr>
              <w:t>20</w:t>
            </w:r>
            <w:r w:rsidRPr="00F01EC8">
              <w:rPr>
                <w:rFonts w:asciiTheme="minorHAnsi" w:hAnsiTheme="minorHAnsi" w:cs="Arial"/>
                <w:sz w:val="20"/>
                <w:szCs w:val="20"/>
              </w:rPr>
              <w:t> </w:t>
            </w:r>
          </w:p>
        </w:tc>
        <w:tc>
          <w:tcPr>
            <w:tcW w:w="1431" w:type="dxa"/>
          </w:tcPr>
          <w:p w14:paraId="31CFB8B6" w14:textId="2EB83FE3"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B35463" w:rsidRPr="00F01EC8">
              <w:rPr>
                <w:rFonts w:asciiTheme="minorHAnsi" w:hAnsiTheme="minorHAnsi" w:cs="Arial"/>
                <w:sz w:val="20"/>
                <w:szCs w:val="20"/>
              </w:rPr>
              <w:t>9</w:t>
            </w:r>
            <w:r w:rsidRPr="00F01EC8">
              <w:rPr>
                <w:rFonts w:asciiTheme="minorHAnsi" w:hAnsiTheme="minorHAnsi" w:cs="Arial"/>
                <w:sz w:val="20"/>
                <w:szCs w:val="20"/>
              </w:rPr>
              <w:t> </w:t>
            </w:r>
          </w:p>
        </w:tc>
        <w:tc>
          <w:tcPr>
            <w:tcW w:w="1168" w:type="dxa"/>
          </w:tcPr>
          <w:p w14:paraId="08EDDDCF" w14:textId="252E8B4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B35463"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15CCC329" w14:textId="77777777" w:rsidTr="00AC0A5D">
        <w:tc>
          <w:tcPr>
            <w:tcW w:w="6122" w:type="dxa"/>
          </w:tcPr>
          <w:p w14:paraId="7B88C164" w14:textId="77777777" w:rsidR="00DA6694" w:rsidRPr="00F01EC8" w:rsidRDefault="00DA6694" w:rsidP="00AC0A5D">
            <w:pPr>
              <w:rPr>
                <w:rFonts w:asciiTheme="minorHAnsi" w:hAnsiTheme="minorHAnsi" w:cs="Arial"/>
                <w:sz w:val="20"/>
                <w:szCs w:val="20"/>
              </w:rPr>
            </w:pPr>
          </w:p>
        </w:tc>
        <w:tc>
          <w:tcPr>
            <w:tcW w:w="1168" w:type="dxa"/>
            <w:tcBorders>
              <w:top w:val="nil"/>
              <w:left w:val="nil"/>
              <w:bottom w:val="single" w:sz="4" w:space="0" w:color="auto"/>
              <w:right w:val="nil"/>
            </w:tcBorders>
          </w:tcPr>
          <w:p w14:paraId="4870249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431" w:type="dxa"/>
            <w:tcBorders>
              <w:top w:val="nil"/>
              <w:left w:val="nil"/>
              <w:bottom w:val="single" w:sz="4" w:space="0" w:color="auto"/>
              <w:right w:val="nil"/>
            </w:tcBorders>
          </w:tcPr>
          <w:p w14:paraId="1139B504"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68" w:type="dxa"/>
            <w:tcBorders>
              <w:top w:val="nil"/>
              <w:left w:val="nil"/>
              <w:bottom w:val="single" w:sz="4" w:space="0" w:color="auto"/>
              <w:right w:val="nil"/>
            </w:tcBorders>
          </w:tcPr>
          <w:p w14:paraId="6DE2185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51C2F153" w14:textId="77777777" w:rsidTr="00AC0A5D">
        <w:tc>
          <w:tcPr>
            <w:tcW w:w="6122" w:type="dxa"/>
            <w:vAlign w:val="bottom"/>
          </w:tcPr>
          <w:p w14:paraId="6B67B19E"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Financial assets</w:t>
            </w:r>
          </w:p>
        </w:tc>
        <w:tc>
          <w:tcPr>
            <w:tcW w:w="1168" w:type="dxa"/>
            <w:vAlign w:val="bottom"/>
          </w:tcPr>
          <w:p w14:paraId="0415DD4F" w14:textId="77777777" w:rsidR="00DA6694" w:rsidRPr="00F01EC8" w:rsidRDefault="00DA6694" w:rsidP="00AC0A5D">
            <w:pPr>
              <w:jc w:val="right"/>
              <w:rPr>
                <w:rFonts w:asciiTheme="minorHAnsi" w:hAnsiTheme="minorHAnsi" w:cs="Arial"/>
                <w:sz w:val="20"/>
                <w:szCs w:val="20"/>
              </w:rPr>
            </w:pPr>
          </w:p>
        </w:tc>
        <w:tc>
          <w:tcPr>
            <w:tcW w:w="1431" w:type="dxa"/>
            <w:vAlign w:val="bottom"/>
          </w:tcPr>
          <w:p w14:paraId="55D7CA2F" w14:textId="77777777" w:rsidR="00DA6694" w:rsidRPr="00F01EC8" w:rsidRDefault="00DA6694" w:rsidP="00AC0A5D">
            <w:pPr>
              <w:jc w:val="right"/>
              <w:rPr>
                <w:rFonts w:asciiTheme="minorHAnsi" w:hAnsiTheme="minorHAnsi" w:cs="Arial"/>
                <w:sz w:val="20"/>
                <w:szCs w:val="20"/>
              </w:rPr>
            </w:pPr>
          </w:p>
        </w:tc>
        <w:tc>
          <w:tcPr>
            <w:tcW w:w="1168" w:type="dxa"/>
            <w:vAlign w:val="bottom"/>
          </w:tcPr>
          <w:p w14:paraId="5274468A" w14:textId="77777777" w:rsidR="00DA6694" w:rsidRPr="00F01EC8" w:rsidRDefault="00DA6694" w:rsidP="00AC0A5D">
            <w:pPr>
              <w:jc w:val="right"/>
              <w:rPr>
                <w:rFonts w:asciiTheme="minorHAnsi" w:hAnsiTheme="minorHAnsi" w:cs="Arial"/>
                <w:sz w:val="20"/>
                <w:szCs w:val="20"/>
              </w:rPr>
            </w:pPr>
          </w:p>
        </w:tc>
      </w:tr>
      <w:tr w:rsidR="00C92EA4" w:rsidRPr="00F01EC8" w14:paraId="1AF65454" w14:textId="77777777" w:rsidTr="005A75D9">
        <w:tc>
          <w:tcPr>
            <w:tcW w:w="6122" w:type="dxa"/>
          </w:tcPr>
          <w:p w14:paraId="3EB0EB26" w14:textId="77777777" w:rsidR="00C92EA4" w:rsidRPr="00F01EC8" w:rsidRDefault="00C92EA4" w:rsidP="00C92EA4">
            <w:pPr>
              <w:pStyle w:val="Heading5"/>
              <w:tabs>
                <w:tab w:val="clear" w:pos="720"/>
                <w:tab w:val="right" w:pos="4680"/>
              </w:tabs>
              <w:jc w:val="left"/>
              <w:rPr>
                <w:rFonts w:asciiTheme="minorHAnsi" w:hAnsiTheme="minorHAnsi" w:cs="Arial"/>
                <w:b w:val="0"/>
                <w:sz w:val="20"/>
              </w:rPr>
            </w:pPr>
            <w:r w:rsidRPr="00F01EC8">
              <w:rPr>
                <w:rFonts w:asciiTheme="minorHAnsi" w:hAnsiTheme="minorHAnsi" w:cs="Arial"/>
                <w:b w:val="0"/>
                <w:sz w:val="20"/>
              </w:rPr>
              <w:t>Government gilts</w:t>
            </w:r>
          </w:p>
        </w:tc>
        <w:tc>
          <w:tcPr>
            <w:tcW w:w="1168" w:type="dxa"/>
            <w:vAlign w:val="bottom"/>
          </w:tcPr>
          <w:p w14:paraId="2439DD29" w14:textId="7DC93157" w:rsidR="00C92EA4" w:rsidRPr="00F01EC8" w:rsidRDefault="009872E4" w:rsidP="00C92EA4">
            <w:pPr>
              <w:jc w:val="right"/>
              <w:rPr>
                <w:rFonts w:asciiTheme="minorHAnsi" w:hAnsiTheme="minorHAnsi" w:cs="Arial"/>
                <w:sz w:val="20"/>
                <w:szCs w:val="20"/>
              </w:rPr>
            </w:pPr>
            <w:r w:rsidRPr="00F01EC8">
              <w:rPr>
                <w:rFonts w:asciiTheme="minorHAnsi" w:hAnsiTheme="minorHAnsi" w:cs="Arial"/>
                <w:sz w:val="20"/>
                <w:szCs w:val="20"/>
              </w:rPr>
              <w:t>-</w:t>
            </w:r>
          </w:p>
        </w:tc>
        <w:tc>
          <w:tcPr>
            <w:tcW w:w="1431" w:type="dxa"/>
            <w:vAlign w:val="bottom"/>
          </w:tcPr>
          <w:p w14:paraId="5AE624E4" w14:textId="5CDEFFA6"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 </w:t>
            </w:r>
          </w:p>
        </w:tc>
        <w:tc>
          <w:tcPr>
            <w:tcW w:w="1168" w:type="dxa"/>
            <w:vAlign w:val="bottom"/>
          </w:tcPr>
          <w:p w14:paraId="4A22251B" w14:textId="76F6CD72"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5.1 </w:t>
            </w:r>
          </w:p>
        </w:tc>
      </w:tr>
      <w:tr w:rsidR="00C92EA4" w:rsidRPr="00F01EC8" w14:paraId="5E0ACE5D" w14:textId="77777777" w:rsidTr="005A75D9">
        <w:tc>
          <w:tcPr>
            <w:tcW w:w="6122" w:type="dxa"/>
          </w:tcPr>
          <w:p w14:paraId="770DD3FC" w14:textId="77777777" w:rsidR="00C92EA4" w:rsidRPr="00F01EC8" w:rsidRDefault="00C92EA4" w:rsidP="00C92EA4">
            <w:pPr>
              <w:pStyle w:val="Heading5"/>
              <w:tabs>
                <w:tab w:val="clear" w:pos="720"/>
                <w:tab w:val="right" w:pos="4680"/>
              </w:tabs>
              <w:jc w:val="left"/>
              <w:rPr>
                <w:rFonts w:asciiTheme="minorHAnsi" w:hAnsiTheme="minorHAnsi" w:cs="Arial"/>
                <w:b w:val="0"/>
                <w:sz w:val="20"/>
              </w:rPr>
            </w:pPr>
            <w:r w:rsidRPr="00F01EC8">
              <w:rPr>
                <w:rFonts w:asciiTheme="minorHAnsi" w:hAnsiTheme="minorHAnsi" w:cs="Arial"/>
                <w:b w:val="0"/>
                <w:sz w:val="20"/>
              </w:rPr>
              <w:t>Visa Inc. shares</w:t>
            </w:r>
          </w:p>
        </w:tc>
        <w:tc>
          <w:tcPr>
            <w:tcW w:w="1168" w:type="dxa"/>
            <w:tcBorders>
              <w:bottom w:val="single" w:sz="4" w:space="0" w:color="auto"/>
            </w:tcBorders>
            <w:vAlign w:val="bottom"/>
          </w:tcPr>
          <w:p w14:paraId="688A5099" w14:textId="2A76E2F3" w:rsidR="00C92EA4" w:rsidRPr="00F01EC8" w:rsidRDefault="009872E4" w:rsidP="00C92EA4">
            <w:pPr>
              <w:jc w:val="right"/>
              <w:rPr>
                <w:rFonts w:asciiTheme="minorHAnsi" w:hAnsiTheme="minorHAnsi" w:cs="Arial"/>
                <w:sz w:val="20"/>
                <w:szCs w:val="20"/>
              </w:rPr>
            </w:pPr>
            <w:r w:rsidRPr="00F01EC8">
              <w:rPr>
                <w:rFonts w:asciiTheme="minorHAnsi" w:hAnsiTheme="minorHAnsi" w:cs="Arial"/>
                <w:sz w:val="20"/>
                <w:szCs w:val="20"/>
              </w:rPr>
              <w:t>18.0</w:t>
            </w:r>
          </w:p>
        </w:tc>
        <w:tc>
          <w:tcPr>
            <w:tcW w:w="1431" w:type="dxa"/>
            <w:tcBorders>
              <w:bottom w:val="single" w:sz="4" w:space="0" w:color="auto"/>
            </w:tcBorders>
            <w:vAlign w:val="bottom"/>
          </w:tcPr>
          <w:p w14:paraId="1D42E6B5" w14:textId="1C60B403"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16.1 </w:t>
            </w:r>
          </w:p>
        </w:tc>
        <w:tc>
          <w:tcPr>
            <w:tcW w:w="1168" w:type="dxa"/>
            <w:tcBorders>
              <w:bottom w:val="single" w:sz="4" w:space="0" w:color="auto"/>
            </w:tcBorders>
            <w:vAlign w:val="bottom"/>
          </w:tcPr>
          <w:p w14:paraId="2A998186" w14:textId="797BB5BB"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16.0 </w:t>
            </w:r>
          </w:p>
        </w:tc>
      </w:tr>
      <w:tr w:rsidR="00C92EA4" w:rsidRPr="00F01EC8" w14:paraId="6000B9EE" w14:textId="77777777" w:rsidTr="005A75D9">
        <w:tc>
          <w:tcPr>
            <w:tcW w:w="6122" w:type="dxa"/>
            <w:vAlign w:val="bottom"/>
          </w:tcPr>
          <w:p w14:paraId="79F751E2" w14:textId="1427C142" w:rsidR="00C92EA4" w:rsidRPr="00F01EC8" w:rsidRDefault="00C92EA4" w:rsidP="00C92EA4">
            <w:pPr>
              <w:rPr>
                <w:rFonts w:asciiTheme="minorHAnsi" w:hAnsiTheme="minorHAnsi" w:cs="Arial"/>
                <w:sz w:val="20"/>
                <w:szCs w:val="20"/>
                <w:lang w:val="en-US"/>
              </w:rPr>
            </w:pPr>
          </w:p>
        </w:tc>
        <w:tc>
          <w:tcPr>
            <w:tcW w:w="1168" w:type="dxa"/>
            <w:tcBorders>
              <w:top w:val="single" w:sz="4" w:space="0" w:color="auto"/>
              <w:bottom w:val="single" w:sz="12" w:space="0" w:color="auto"/>
            </w:tcBorders>
            <w:vAlign w:val="bottom"/>
          </w:tcPr>
          <w:p w14:paraId="200D35CD" w14:textId="48D43CBB" w:rsidR="00C92EA4" w:rsidRPr="00F01EC8" w:rsidRDefault="005A75D9" w:rsidP="00C92EA4">
            <w:pPr>
              <w:jc w:val="right"/>
              <w:rPr>
                <w:rFonts w:asciiTheme="minorHAnsi" w:hAnsiTheme="minorHAnsi" w:cs="Arial"/>
                <w:sz w:val="20"/>
                <w:szCs w:val="20"/>
                <w:highlight w:val="yellow"/>
              </w:rPr>
            </w:pPr>
            <w:r w:rsidRPr="00F01EC8">
              <w:rPr>
                <w:rFonts w:asciiTheme="minorHAnsi" w:hAnsiTheme="minorHAnsi" w:cs="Arial"/>
                <w:sz w:val="20"/>
                <w:szCs w:val="20"/>
              </w:rPr>
              <w:t>18.0</w:t>
            </w:r>
          </w:p>
        </w:tc>
        <w:tc>
          <w:tcPr>
            <w:tcW w:w="1431" w:type="dxa"/>
            <w:tcBorders>
              <w:top w:val="single" w:sz="4" w:space="0" w:color="auto"/>
              <w:bottom w:val="single" w:sz="12" w:space="0" w:color="auto"/>
            </w:tcBorders>
            <w:shd w:val="clear" w:color="auto" w:fill="auto"/>
            <w:vAlign w:val="bottom"/>
          </w:tcPr>
          <w:p w14:paraId="35D5C620" w14:textId="4E6624FC"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16.1 </w:t>
            </w:r>
          </w:p>
        </w:tc>
        <w:tc>
          <w:tcPr>
            <w:tcW w:w="1168" w:type="dxa"/>
            <w:tcBorders>
              <w:top w:val="single" w:sz="4" w:space="0" w:color="auto"/>
              <w:bottom w:val="single" w:sz="12" w:space="0" w:color="auto"/>
            </w:tcBorders>
            <w:shd w:val="clear" w:color="auto" w:fill="auto"/>
            <w:vAlign w:val="bottom"/>
          </w:tcPr>
          <w:p w14:paraId="651E8C7E" w14:textId="38ADBA51"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21.1 </w:t>
            </w:r>
          </w:p>
        </w:tc>
      </w:tr>
      <w:tr w:rsidR="00C92EA4" w:rsidRPr="00F01EC8" w14:paraId="1DE95081" w14:textId="77777777" w:rsidTr="005A75D9">
        <w:tc>
          <w:tcPr>
            <w:tcW w:w="6122" w:type="dxa"/>
            <w:vAlign w:val="bottom"/>
          </w:tcPr>
          <w:p w14:paraId="16E9B87B" w14:textId="72185867" w:rsidR="00C92EA4" w:rsidRPr="00F01EC8" w:rsidRDefault="005A75D9" w:rsidP="00C92EA4">
            <w:pPr>
              <w:rPr>
                <w:rFonts w:asciiTheme="minorHAnsi" w:hAnsiTheme="minorHAnsi" w:cs="Arial"/>
                <w:b/>
                <w:sz w:val="20"/>
                <w:szCs w:val="20"/>
              </w:rPr>
            </w:pPr>
            <w:r w:rsidRPr="00F01EC8">
              <w:rPr>
                <w:rFonts w:asciiTheme="minorHAnsi" w:hAnsiTheme="minorHAnsi" w:cs="Arial"/>
                <w:b/>
                <w:sz w:val="20"/>
                <w:szCs w:val="20"/>
              </w:rPr>
              <w:t>Financial liabilities</w:t>
            </w:r>
          </w:p>
        </w:tc>
        <w:tc>
          <w:tcPr>
            <w:tcW w:w="1168" w:type="dxa"/>
            <w:tcBorders>
              <w:top w:val="single" w:sz="12" w:space="0" w:color="auto"/>
            </w:tcBorders>
            <w:vAlign w:val="bottom"/>
          </w:tcPr>
          <w:p w14:paraId="1F56F212" w14:textId="77777777" w:rsidR="00C92EA4" w:rsidRPr="00F01EC8" w:rsidRDefault="00C92EA4" w:rsidP="00C92EA4">
            <w:pPr>
              <w:jc w:val="right"/>
              <w:rPr>
                <w:rFonts w:asciiTheme="minorHAnsi" w:hAnsiTheme="minorHAnsi" w:cs="Arial"/>
                <w:sz w:val="20"/>
                <w:szCs w:val="20"/>
              </w:rPr>
            </w:pPr>
          </w:p>
        </w:tc>
        <w:tc>
          <w:tcPr>
            <w:tcW w:w="1431" w:type="dxa"/>
            <w:tcBorders>
              <w:top w:val="single" w:sz="12" w:space="0" w:color="auto"/>
            </w:tcBorders>
            <w:vAlign w:val="bottom"/>
          </w:tcPr>
          <w:p w14:paraId="65915688" w14:textId="77777777" w:rsidR="00C92EA4" w:rsidRPr="00F01EC8" w:rsidRDefault="00C92EA4" w:rsidP="00C92EA4">
            <w:pPr>
              <w:jc w:val="right"/>
              <w:rPr>
                <w:rFonts w:asciiTheme="minorHAnsi" w:hAnsiTheme="minorHAnsi" w:cs="Arial"/>
                <w:sz w:val="20"/>
                <w:szCs w:val="20"/>
              </w:rPr>
            </w:pPr>
          </w:p>
        </w:tc>
        <w:tc>
          <w:tcPr>
            <w:tcW w:w="1168" w:type="dxa"/>
            <w:tcBorders>
              <w:top w:val="single" w:sz="12" w:space="0" w:color="auto"/>
            </w:tcBorders>
            <w:vAlign w:val="bottom"/>
          </w:tcPr>
          <w:p w14:paraId="13B18FE0" w14:textId="77777777" w:rsidR="00C92EA4" w:rsidRPr="00F01EC8" w:rsidRDefault="00C92EA4" w:rsidP="00C92EA4">
            <w:pPr>
              <w:jc w:val="right"/>
              <w:rPr>
                <w:rFonts w:asciiTheme="minorHAnsi" w:hAnsiTheme="minorHAnsi" w:cs="Arial"/>
                <w:sz w:val="20"/>
                <w:szCs w:val="20"/>
              </w:rPr>
            </w:pPr>
          </w:p>
        </w:tc>
      </w:tr>
      <w:tr w:rsidR="005A75D9" w:rsidRPr="00F01EC8" w14:paraId="25B34986" w14:textId="77777777" w:rsidTr="005A75D9">
        <w:tc>
          <w:tcPr>
            <w:tcW w:w="6122" w:type="dxa"/>
          </w:tcPr>
          <w:p w14:paraId="3D30FE11" w14:textId="559829A1" w:rsidR="005A75D9" w:rsidRPr="00F01EC8" w:rsidRDefault="005A75D9" w:rsidP="005A75D9">
            <w:pPr>
              <w:rPr>
                <w:rFonts w:asciiTheme="minorHAnsi" w:hAnsiTheme="minorHAnsi" w:cs="Arial"/>
                <w:sz w:val="20"/>
                <w:szCs w:val="20"/>
              </w:rPr>
            </w:pPr>
            <w:r w:rsidRPr="00F01EC8">
              <w:rPr>
                <w:rFonts w:asciiTheme="minorHAnsi" w:hAnsiTheme="minorHAnsi" w:cs="Arial"/>
                <w:sz w:val="20"/>
                <w:szCs w:val="20"/>
              </w:rPr>
              <w:t>Derivatives</w:t>
            </w:r>
          </w:p>
        </w:tc>
        <w:tc>
          <w:tcPr>
            <w:tcW w:w="1168" w:type="dxa"/>
            <w:tcBorders>
              <w:bottom w:val="single" w:sz="12" w:space="0" w:color="auto"/>
            </w:tcBorders>
            <w:vAlign w:val="bottom"/>
          </w:tcPr>
          <w:p w14:paraId="1B8F9AEF" w14:textId="06CEB8EE" w:rsidR="005A75D9" w:rsidRPr="00F01EC8" w:rsidRDefault="005A75D9" w:rsidP="005A75D9">
            <w:pPr>
              <w:jc w:val="right"/>
              <w:rPr>
                <w:rFonts w:asciiTheme="minorHAnsi" w:hAnsiTheme="minorHAnsi" w:cs="Arial"/>
                <w:sz w:val="20"/>
                <w:szCs w:val="20"/>
              </w:rPr>
            </w:pPr>
            <w:r w:rsidRPr="00F01EC8">
              <w:rPr>
                <w:rFonts w:asciiTheme="minorHAnsi" w:hAnsiTheme="minorHAnsi" w:cs="Arial"/>
                <w:sz w:val="20"/>
                <w:szCs w:val="20"/>
              </w:rPr>
              <w:t>(1.2)</w:t>
            </w:r>
          </w:p>
        </w:tc>
        <w:tc>
          <w:tcPr>
            <w:tcW w:w="1431" w:type="dxa"/>
            <w:tcBorders>
              <w:bottom w:val="single" w:sz="12" w:space="0" w:color="auto"/>
            </w:tcBorders>
            <w:vAlign w:val="bottom"/>
          </w:tcPr>
          <w:p w14:paraId="6F37849C" w14:textId="20087E08" w:rsidR="005A75D9" w:rsidRPr="00F01EC8" w:rsidRDefault="005A75D9" w:rsidP="005A75D9">
            <w:pPr>
              <w:jc w:val="right"/>
              <w:rPr>
                <w:rFonts w:asciiTheme="minorHAnsi" w:hAnsiTheme="minorHAnsi" w:cs="Arial"/>
                <w:sz w:val="20"/>
                <w:szCs w:val="20"/>
              </w:rPr>
            </w:pPr>
            <w:r w:rsidRPr="00F01EC8">
              <w:rPr>
                <w:rFonts w:asciiTheme="minorHAnsi" w:hAnsiTheme="minorHAnsi" w:cs="Arial"/>
                <w:sz w:val="20"/>
                <w:szCs w:val="20"/>
              </w:rPr>
              <w:t>- </w:t>
            </w:r>
          </w:p>
        </w:tc>
        <w:tc>
          <w:tcPr>
            <w:tcW w:w="1168" w:type="dxa"/>
            <w:tcBorders>
              <w:bottom w:val="single" w:sz="12" w:space="0" w:color="auto"/>
            </w:tcBorders>
            <w:vAlign w:val="bottom"/>
          </w:tcPr>
          <w:p w14:paraId="3FE740F2" w14:textId="00D7C530" w:rsidR="005A75D9" w:rsidRPr="00F01EC8" w:rsidRDefault="005A75D9" w:rsidP="005A75D9">
            <w:pPr>
              <w:jc w:val="right"/>
              <w:rPr>
                <w:rFonts w:asciiTheme="minorHAnsi" w:hAnsiTheme="minorHAnsi" w:cs="Arial"/>
                <w:sz w:val="20"/>
                <w:szCs w:val="20"/>
              </w:rPr>
            </w:pPr>
            <w:r w:rsidRPr="00F01EC8">
              <w:rPr>
                <w:rFonts w:asciiTheme="minorHAnsi" w:hAnsiTheme="minorHAnsi" w:cs="Arial"/>
                <w:sz w:val="20"/>
                <w:szCs w:val="20"/>
              </w:rPr>
              <w:t>- </w:t>
            </w:r>
          </w:p>
        </w:tc>
      </w:tr>
    </w:tbl>
    <w:p w14:paraId="6714A279" w14:textId="77777777" w:rsidR="005A75D9" w:rsidRPr="00F01EC8" w:rsidRDefault="005A75D9"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2B13EE9F" w14:textId="0D52AA8B" w:rsidR="001E0935" w:rsidRPr="00F01EC8" w:rsidRDefault="001E0935"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Derivatives of £1.2m (</w:t>
      </w:r>
      <w:r w:rsidRPr="00F01EC8">
        <w:rPr>
          <w:rFonts w:asciiTheme="minorHAnsi" w:hAnsiTheme="minorHAnsi"/>
          <w:sz w:val="20"/>
          <w:szCs w:val="20"/>
        </w:rPr>
        <w:t xml:space="preserve">31 December £nil, </w:t>
      </w:r>
      <w:r w:rsidRPr="00F01EC8">
        <w:rPr>
          <w:rFonts w:asciiTheme="minorHAnsi" w:hAnsiTheme="minorHAnsi" w:cs="Arial"/>
          <w:sz w:val="20"/>
          <w:szCs w:val="20"/>
        </w:rPr>
        <w:t xml:space="preserve">30 June 2019: £nil) relate to the balance guaranteed swap entered into as part of the Moneybarn securitisation in January 2020. </w:t>
      </w:r>
    </w:p>
    <w:p w14:paraId="36B61896" w14:textId="77777777" w:rsidR="001E0935" w:rsidRPr="00F01EC8" w:rsidRDefault="001E0935"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1AC22D52"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01EC8">
        <w:rPr>
          <w:rFonts w:asciiTheme="minorHAnsi" w:hAnsiTheme="minorHAnsi" w:cs="Arial"/>
          <w:sz w:val="20"/>
          <w:szCs w:val="20"/>
        </w:rPr>
        <w:t>Except as detailed in the following table, the directors consider that the carrying value of financial assets and financial liabilities recorded at amortised cost in the financial statements are approximately equal to their fair values:</w:t>
      </w:r>
    </w:p>
    <w:p w14:paraId="26516F11"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0"/>
          <w:szCs w:val="20"/>
        </w:rPr>
      </w:pPr>
    </w:p>
    <w:tbl>
      <w:tblPr>
        <w:tblW w:w="9869" w:type="dxa"/>
        <w:tblLayout w:type="fixed"/>
        <w:tblLook w:val="0000" w:firstRow="0" w:lastRow="0" w:firstColumn="0" w:lastColumn="0" w:noHBand="0" w:noVBand="0"/>
      </w:tblPr>
      <w:tblGrid>
        <w:gridCol w:w="2890"/>
        <w:gridCol w:w="1094"/>
        <w:gridCol w:w="1337"/>
        <w:gridCol w:w="1094"/>
        <w:gridCol w:w="1094"/>
        <w:gridCol w:w="1266"/>
        <w:gridCol w:w="1094"/>
      </w:tblGrid>
      <w:tr w:rsidR="00DA6694" w:rsidRPr="00F01EC8" w14:paraId="7EE78F59" w14:textId="77777777" w:rsidTr="00AC0A5D">
        <w:tc>
          <w:tcPr>
            <w:tcW w:w="2890" w:type="dxa"/>
          </w:tcPr>
          <w:p w14:paraId="1D1EB592" w14:textId="77777777" w:rsidR="00DA6694" w:rsidRPr="00F01EC8" w:rsidRDefault="00DA6694" w:rsidP="00AC0A5D">
            <w:pPr>
              <w:rPr>
                <w:rFonts w:asciiTheme="minorHAnsi" w:hAnsiTheme="minorHAnsi" w:cs="Arial"/>
                <w:bCs/>
                <w:sz w:val="20"/>
                <w:szCs w:val="20"/>
              </w:rPr>
            </w:pPr>
          </w:p>
        </w:tc>
        <w:tc>
          <w:tcPr>
            <w:tcW w:w="3525" w:type="dxa"/>
            <w:gridSpan w:val="3"/>
            <w:tcBorders>
              <w:bottom w:val="single" w:sz="4" w:space="0" w:color="auto"/>
            </w:tcBorders>
          </w:tcPr>
          <w:p w14:paraId="3E286613"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Carrying value</w:t>
            </w:r>
          </w:p>
        </w:tc>
        <w:tc>
          <w:tcPr>
            <w:tcW w:w="3454" w:type="dxa"/>
            <w:gridSpan w:val="3"/>
            <w:tcBorders>
              <w:top w:val="nil"/>
              <w:left w:val="nil"/>
              <w:bottom w:val="single" w:sz="4" w:space="0" w:color="auto"/>
              <w:right w:val="nil"/>
            </w:tcBorders>
          </w:tcPr>
          <w:p w14:paraId="2EE0BE0C" w14:textId="77777777" w:rsidR="00DA6694" w:rsidRPr="00F01EC8" w:rsidRDefault="00DA6694" w:rsidP="00AC0A5D">
            <w:pPr>
              <w:jc w:val="center"/>
              <w:rPr>
                <w:rFonts w:asciiTheme="minorHAnsi" w:hAnsiTheme="minorHAnsi" w:cs="Arial"/>
                <w:sz w:val="20"/>
                <w:szCs w:val="20"/>
              </w:rPr>
            </w:pPr>
            <w:r w:rsidRPr="00F01EC8">
              <w:rPr>
                <w:rFonts w:asciiTheme="minorHAnsi" w:hAnsiTheme="minorHAnsi" w:cs="Arial"/>
                <w:sz w:val="20"/>
                <w:szCs w:val="20"/>
              </w:rPr>
              <w:t>Fair value</w:t>
            </w:r>
          </w:p>
        </w:tc>
      </w:tr>
      <w:tr w:rsidR="00DA6694" w:rsidRPr="00F01EC8" w14:paraId="1923407E" w14:textId="77777777" w:rsidTr="00AC0A5D">
        <w:tc>
          <w:tcPr>
            <w:tcW w:w="2890" w:type="dxa"/>
          </w:tcPr>
          <w:p w14:paraId="147343FE" w14:textId="77777777" w:rsidR="00DA6694" w:rsidRPr="00F01EC8" w:rsidRDefault="00DA6694" w:rsidP="00AC0A5D">
            <w:pPr>
              <w:rPr>
                <w:rFonts w:asciiTheme="minorHAnsi" w:hAnsiTheme="minorHAnsi" w:cs="Arial"/>
                <w:bCs/>
                <w:sz w:val="20"/>
                <w:szCs w:val="20"/>
              </w:rPr>
            </w:pPr>
          </w:p>
        </w:tc>
        <w:tc>
          <w:tcPr>
            <w:tcW w:w="1094" w:type="dxa"/>
          </w:tcPr>
          <w:p w14:paraId="25042817"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337" w:type="dxa"/>
            <w:tcBorders>
              <w:left w:val="nil"/>
              <w:right w:val="nil"/>
            </w:tcBorders>
          </w:tcPr>
          <w:p w14:paraId="2B82B267"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31 December </w:t>
            </w:r>
          </w:p>
        </w:tc>
        <w:tc>
          <w:tcPr>
            <w:tcW w:w="1094" w:type="dxa"/>
            <w:tcBorders>
              <w:left w:val="nil"/>
              <w:right w:val="nil"/>
            </w:tcBorders>
          </w:tcPr>
          <w:p w14:paraId="5002EE29" w14:textId="7D5D0D9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w:t>
            </w:r>
          </w:p>
        </w:tc>
        <w:tc>
          <w:tcPr>
            <w:tcW w:w="1094" w:type="dxa"/>
            <w:tcBorders>
              <w:left w:val="nil"/>
              <w:right w:val="nil"/>
            </w:tcBorders>
          </w:tcPr>
          <w:p w14:paraId="1B77857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c>
          <w:tcPr>
            <w:tcW w:w="1266" w:type="dxa"/>
            <w:tcBorders>
              <w:left w:val="nil"/>
              <w:right w:val="nil"/>
            </w:tcBorders>
          </w:tcPr>
          <w:p w14:paraId="53472521"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31 December </w:t>
            </w:r>
          </w:p>
        </w:tc>
        <w:tc>
          <w:tcPr>
            <w:tcW w:w="1094" w:type="dxa"/>
            <w:tcBorders>
              <w:left w:val="nil"/>
              <w:right w:val="nil"/>
            </w:tcBorders>
          </w:tcPr>
          <w:p w14:paraId="6B683E1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496DB2FF" w14:textId="77777777" w:rsidTr="00AC0A5D">
        <w:tc>
          <w:tcPr>
            <w:tcW w:w="2890" w:type="dxa"/>
          </w:tcPr>
          <w:p w14:paraId="786DDB8A" w14:textId="77777777" w:rsidR="00DA6694" w:rsidRPr="00F01EC8" w:rsidRDefault="00DA6694" w:rsidP="00AC0A5D">
            <w:pPr>
              <w:rPr>
                <w:rFonts w:asciiTheme="minorHAnsi" w:hAnsiTheme="minorHAnsi" w:cs="Arial"/>
                <w:bCs/>
                <w:sz w:val="20"/>
                <w:szCs w:val="20"/>
              </w:rPr>
            </w:pPr>
          </w:p>
        </w:tc>
        <w:tc>
          <w:tcPr>
            <w:tcW w:w="1094" w:type="dxa"/>
            <w:tcBorders>
              <w:bottom w:val="single" w:sz="4" w:space="0" w:color="auto"/>
            </w:tcBorders>
          </w:tcPr>
          <w:p w14:paraId="298C3F0F" w14:textId="7D8CAE4E"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B35463" w:rsidRPr="00F01EC8">
              <w:rPr>
                <w:rFonts w:asciiTheme="minorHAnsi" w:hAnsiTheme="minorHAnsi" w:cs="Arial"/>
                <w:sz w:val="20"/>
                <w:szCs w:val="20"/>
              </w:rPr>
              <w:t>20</w:t>
            </w:r>
            <w:r w:rsidRPr="00F01EC8">
              <w:rPr>
                <w:rFonts w:asciiTheme="minorHAnsi" w:hAnsiTheme="minorHAnsi" w:cs="Arial"/>
                <w:sz w:val="20"/>
                <w:szCs w:val="20"/>
              </w:rPr>
              <w:t> </w:t>
            </w:r>
          </w:p>
          <w:p w14:paraId="220D8DFF" w14:textId="77777777" w:rsidR="001355CE" w:rsidRPr="00F01EC8" w:rsidRDefault="001355CE" w:rsidP="00AC0A5D">
            <w:pPr>
              <w:jc w:val="right"/>
              <w:rPr>
                <w:rFonts w:asciiTheme="minorHAnsi" w:hAnsiTheme="minorHAnsi" w:cs="Arial"/>
                <w:sz w:val="20"/>
                <w:szCs w:val="20"/>
              </w:rPr>
            </w:pPr>
          </w:p>
          <w:p w14:paraId="045BFB18"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337" w:type="dxa"/>
            <w:tcBorders>
              <w:left w:val="nil"/>
              <w:bottom w:val="single" w:sz="4" w:space="0" w:color="auto"/>
              <w:right w:val="nil"/>
            </w:tcBorders>
          </w:tcPr>
          <w:p w14:paraId="57BC769F" w14:textId="5BFF321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201</w:t>
            </w:r>
            <w:r w:rsidR="00B35463" w:rsidRPr="00F01EC8">
              <w:rPr>
                <w:rFonts w:asciiTheme="minorHAnsi" w:hAnsiTheme="minorHAnsi" w:cs="Arial"/>
                <w:sz w:val="20"/>
                <w:szCs w:val="20"/>
              </w:rPr>
              <w:t>9</w:t>
            </w:r>
            <w:r w:rsidRPr="00F01EC8">
              <w:rPr>
                <w:rFonts w:asciiTheme="minorHAnsi" w:hAnsiTheme="minorHAnsi" w:cs="Arial"/>
                <w:sz w:val="20"/>
                <w:szCs w:val="20"/>
              </w:rPr>
              <w:t> </w:t>
            </w:r>
          </w:p>
          <w:p w14:paraId="18EEF3D9" w14:textId="77777777" w:rsidR="001355CE" w:rsidRPr="00F01EC8" w:rsidRDefault="001355CE" w:rsidP="00AC0A5D">
            <w:pPr>
              <w:jc w:val="right"/>
              <w:rPr>
                <w:rFonts w:asciiTheme="minorHAnsi" w:hAnsiTheme="minorHAnsi" w:cs="Arial"/>
                <w:sz w:val="20"/>
                <w:szCs w:val="20"/>
              </w:rPr>
            </w:pPr>
          </w:p>
          <w:p w14:paraId="741FA6B9"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094" w:type="dxa"/>
            <w:tcBorders>
              <w:left w:val="nil"/>
              <w:bottom w:val="single" w:sz="4" w:space="0" w:color="auto"/>
              <w:right w:val="nil"/>
            </w:tcBorders>
          </w:tcPr>
          <w:p w14:paraId="3F43137B" w14:textId="77777777" w:rsidR="001355CE"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B35463" w:rsidRPr="00F01EC8">
              <w:rPr>
                <w:rFonts w:asciiTheme="minorHAnsi" w:hAnsiTheme="minorHAnsi" w:cs="Arial"/>
                <w:sz w:val="20"/>
                <w:szCs w:val="20"/>
              </w:rPr>
              <w:t>9</w:t>
            </w:r>
          </w:p>
          <w:p w14:paraId="7D4BF5CC" w14:textId="65AEC8DF" w:rsidR="00DA6694" w:rsidRPr="00F01EC8" w:rsidRDefault="001355CE" w:rsidP="00AC0A5D">
            <w:pPr>
              <w:jc w:val="right"/>
              <w:rPr>
                <w:rFonts w:asciiTheme="minorHAnsi" w:hAnsiTheme="minorHAnsi" w:cs="Arial"/>
                <w:sz w:val="20"/>
                <w:szCs w:val="20"/>
              </w:rPr>
            </w:pPr>
            <w:r w:rsidRPr="00F01EC8">
              <w:rPr>
                <w:rFonts w:asciiTheme="minorHAnsi" w:hAnsiTheme="minorHAnsi" w:cs="Arial"/>
                <w:sz w:val="20"/>
                <w:szCs w:val="20"/>
              </w:rPr>
              <w:t>(restated)</w:t>
            </w:r>
          </w:p>
          <w:p w14:paraId="6621973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094" w:type="dxa"/>
            <w:tcBorders>
              <w:left w:val="nil"/>
              <w:bottom w:val="single" w:sz="4" w:space="0" w:color="auto"/>
              <w:right w:val="nil"/>
            </w:tcBorders>
          </w:tcPr>
          <w:p w14:paraId="31B2AF16" w14:textId="18AA4A6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B35463" w:rsidRPr="00F01EC8">
              <w:rPr>
                <w:rFonts w:asciiTheme="minorHAnsi" w:hAnsiTheme="minorHAnsi" w:cs="Arial"/>
                <w:sz w:val="20"/>
                <w:szCs w:val="20"/>
              </w:rPr>
              <w:t>20</w:t>
            </w:r>
            <w:r w:rsidRPr="00F01EC8">
              <w:rPr>
                <w:rFonts w:asciiTheme="minorHAnsi" w:hAnsiTheme="minorHAnsi" w:cs="Arial"/>
                <w:sz w:val="20"/>
                <w:szCs w:val="20"/>
              </w:rPr>
              <w:t> </w:t>
            </w:r>
          </w:p>
          <w:p w14:paraId="7D0D3205" w14:textId="77777777" w:rsidR="001355CE" w:rsidRPr="00F01EC8" w:rsidRDefault="001355CE" w:rsidP="00AC0A5D">
            <w:pPr>
              <w:ind w:left="-108"/>
              <w:jc w:val="right"/>
              <w:rPr>
                <w:rFonts w:asciiTheme="minorHAnsi" w:hAnsiTheme="minorHAnsi" w:cs="Arial"/>
                <w:sz w:val="20"/>
                <w:szCs w:val="20"/>
              </w:rPr>
            </w:pPr>
          </w:p>
          <w:p w14:paraId="2EF3A8DF"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£m </w:t>
            </w:r>
          </w:p>
        </w:tc>
        <w:tc>
          <w:tcPr>
            <w:tcW w:w="1266" w:type="dxa"/>
            <w:tcBorders>
              <w:left w:val="nil"/>
              <w:bottom w:val="single" w:sz="4" w:space="0" w:color="auto"/>
              <w:right w:val="nil"/>
            </w:tcBorders>
          </w:tcPr>
          <w:p w14:paraId="54A25099" w14:textId="0141F69E"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201</w:t>
            </w:r>
            <w:r w:rsidR="00B35463" w:rsidRPr="00F01EC8">
              <w:rPr>
                <w:rFonts w:asciiTheme="minorHAnsi" w:hAnsiTheme="minorHAnsi" w:cs="Arial"/>
                <w:sz w:val="20"/>
                <w:szCs w:val="20"/>
              </w:rPr>
              <w:t>9</w:t>
            </w:r>
            <w:r w:rsidRPr="00F01EC8">
              <w:rPr>
                <w:rFonts w:asciiTheme="minorHAnsi" w:hAnsiTheme="minorHAnsi" w:cs="Arial"/>
                <w:sz w:val="20"/>
                <w:szCs w:val="20"/>
              </w:rPr>
              <w:t> </w:t>
            </w:r>
          </w:p>
          <w:p w14:paraId="7E44E778" w14:textId="77777777" w:rsidR="001355CE" w:rsidRPr="00F01EC8" w:rsidRDefault="001355CE" w:rsidP="00AC0A5D">
            <w:pPr>
              <w:jc w:val="right"/>
              <w:rPr>
                <w:rFonts w:asciiTheme="minorHAnsi" w:hAnsiTheme="minorHAnsi" w:cs="Arial"/>
                <w:sz w:val="20"/>
                <w:szCs w:val="20"/>
              </w:rPr>
            </w:pPr>
          </w:p>
          <w:p w14:paraId="71FAD266"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094" w:type="dxa"/>
            <w:tcBorders>
              <w:left w:val="nil"/>
              <w:bottom w:val="single" w:sz="4" w:space="0" w:color="auto"/>
              <w:right w:val="nil"/>
            </w:tcBorders>
          </w:tcPr>
          <w:p w14:paraId="3E668492" w14:textId="156F7BA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B35463" w:rsidRPr="00F01EC8">
              <w:rPr>
                <w:rFonts w:asciiTheme="minorHAnsi" w:hAnsiTheme="minorHAnsi" w:cs="Arial"/>
                <w:sz w:val="20"/>
                <w:szCs w:val="20"/>
              </w:rPr>
              <w:t>9</w:t>
            </w:r>
            <w:r w:rsidRPr="00F01EC8">
              <w:rPr>
                <w:rFonts w:asciiTheme="minorHAnsi" w:hAnsiTheme="minorHAnsi" w:cs="Arial"/>
                <w:sz w:val="20"/>
                <w:szCs w:val="20"/>
              </w:rPr>
              <w:t> </w:t>
            </w:r>
          </w:p>
          <w:p w14:paraId="3470D7F6" w14:textId="77777777" w:rsidR="001355CE" w:rsidRPr="00F01EC8" w:rsidRDefault="001355CE" w:rsidP="00AC0A5D">
            <w:pPr>
              <w:ind w:left="-108"/>
              <w:jc w:val="right"/>
              <w:rPr>
                <w:rFonts w:asciiTheme="minorHAnsi" w:hAnsiTheme="minorHAnsi" w:cs="Arial"/>
                <w:sz w:val="20"/>
                <w:szCs w:val="20"/>
              </w:rPr>
            </w:pPr>
          </w:p>
          <w:p w14:paraId="7DF8B611" w14:textId="77777777" w:rsidR="00DA6694" w:rsidRPr="00F01EC8" w:rsidRDefault="00DA6694" w:rsidP="00AC0A5D">
            <w:pPr>
              <w:ind w:left="-108"/>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1EF4470D" w14:textId="77777777" w:rsidTr="00AC0A5D">
        <w:tc>
          <w:tcPr>
            <w:tcW w:w="2890" w:type="dxa"/>
            <w:vAlign w:val="bottom"/>
          </w:tcPr>
          <w:p w14:paraId="1078AE31"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Financial assets</w:t>
            </w:r>
          </w:p>
        </w:tc>
        <w:tc>
          <w:tcPr>
            <w:tcW w:w="1094" w:type="dxa"/>
            <w:tcBorders>
              <w:top w:val="single" w:sz="4" w:space="0" w:color="auto"/>
            </w:tcBorders>
          </w:tcPr>
          <w:p w14:paraId="00BF4135" w14:textId="77777777" w:rsidR="00DA6694" w:rsidRPr="00F01EC8" w:rsidRDefault="00DA6694" w:rsidP="00AC0A5D">
            <w:pPr>
              <w:jc w:val="right"/>
              <w:rPr>
                <w:rFonts w:asciiTheme="minorHAnsi" w:hAnsiTheme="minorHAnsi" w:cs="Arial"/>
                <w:sz w:val="20"/>
                <w:szCs w:val="20"/>
              </w:rPr>
            </w:pPr>
          </w:p>
        </w:tc>
        <w:tc>
          <w:tcPr>
            <w:tcW w:w="1337" w:type="dxa"/>
            <w:tcBorders>
              <w:top w:val="single" w:sz="4" w:space="0" w:color="auto"/>
            </w:tcBorders>
          </w:tcPr>
          <w:p w14:paraId="44353298" w14:textId="77777777" w:rsidR="00DA6694" w:rsidRPr="00F01EC8" w:rsidRDefault="00DA6694" w:rsidP="00AC0A5D">
            <w:pPr>
              <w:jc w:val="right"/>
              <w:rPr>
                <w:rFonts w:asciiTheme="minorHAnsi" w:hAnsiTheme="minorHAnsi" w:cs="Arial"/>
                <w:sz w:val="20"/>
                <w:szCs w:val="20"/>
              </w:rPr>
            </w:pPr>
          </w:p>
        </w:tc>
        <w:tc>
          <w:tcPr>
            <w:tcW w:w="1094" w:type="dxa"/>
            <w:tcBorders>
              <w:top w:val="single" w:sz="4" w:space="0" w:color="auto"/>
            </w:tcBorders>
          </w:tcPr>
          <w:p w14:paraId="47E2CEBB" w14:textId="77777777" w:rsidR="00DA6694" w:rsidRPr="00F01EC8" w:rsidRDefault="00DA6694" w:rsidP="00AC0A5D">
            <w:pPr>
              <w:jc w:val="right"/>
              <w:rPr>
                <w:rFonts w:asciiTheme="minorHAnsi" w:hAnsiTheme="minorHAnsi" w:cs="Arial"/>
                <w:sz w:val="20"/>
                <w:szCs w:val="20"/>
              </w:rPr>
            </w:pPr>
          </w:p>
        </w:tc>
        <w:tc>
          <w:tcPr>
            <w:tcW w:w="1094" w:type="dxa"/>
            <w:tcBorders>
              <w:top w:val="single" w:sz="4" w:space="0" w:color="auto"/>
            </w:tcBorders>
          </w:tcPr>
          <w:p w14:paraId="6321B53F" w14:textId="77777777" w:rsidR="00DA6694" w:rsidRPr="00F01EC8" w:rsidRDefault="00DA6694" w:rsidP="00AC0A5D">
            <w:pPr>
              <w:jc w:val="right"/>
              <w:rPr>
                <w:rFonts w:asciiTheme="minorHAnsi" w:hAnsiTheme="minorHAnsi" w:cs="Arial"/>
                <w:sz w:val="20"/>
                <w:szCs w:val="20"/>
              </w:rPr>
            </w:pPr>
          </w:p>
        </w:tc>
        <w:tc>
          <w:tcPr>
            <w:tcW w:w="1266" w:type="dxa"/>
            <w:tcBorders>
              <w:top w:val="single" w:sz="4" w:space="0" w:color="auto"/>
            </w:tcBorders>
          </w:tcPr>
          <w:p w14:paraId="1F331F82" w14:textId="77777777" w:rsidR="00DA6694" w:rsidRPr="00F01EC8" w:rsidRDefault="00DA6694" w:rsidP="00AC0A5D">
            <w:pPr>
              <w:jc w:val="right"/>
              <w:rPr>
                <w:rFonts w:asciiTheme="minorHAnsi" w:hAnsiTheme="minorHAnsi" w:cs="Arial"/>
                <w:sz w:val="20"/>
                <w:szCs w:val="20"/>
              </w:rPr>
            </w:pPr>
          </w:p>
        </w:tc>
        <w:tc>
          <w:tcPr>
            <w:tcW w:w="1094" w:type="dxa"/>
            <w:tcBorders>
              <w:top w:val="single" w:sz="4" w:space="0" w:color="auto"/>
            </w:tcBorders>
          </w:tcPr>
          <w:p w14:paraId="074C8E1B" w14:textId="77777777" w:rsidR="00DA6694" w:rsidRPr="00F01EC8" w:rsidRDefault="00DA6694" w:rsidP="00AC0A5D">
            <w:pPr>
              <w:jc w:val="right"/>
              <w:rPr>
                <w:rFonts w:asciiTheme="minorHAnsi" w:hAnsiTheme="minorHAnsi" w:cs="Arial"/>
                <w:sz w:val="20"/>
                <w:szCs w:val="20"/>
              </w:rPr>
            </w:pPr>
          </w:p>
        </w:tc>
      </w:tr>
      <w:tr w:rsidR="00DA6694" w:rsidRPr="00F01EC8" w14:paraId="761871BE" w14:textId="77777777" w:rsidTr="00AC0A5D">
        <w:trPr>
          <w:trHeight w:val="122"/>
        </w:trPr>
        <w:tc>
          <w:tcPr>
            <w:tcW w:w="2890" w:type="dxa"/>
            <w:vAlign w:val="bottom"/>
          </w:tcPr>
          <w:p w14:paraId="1C567BC4"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Amounts receivable from customers</w:t>
            </w:r>
          </w:p>
        </w:tc>
        <w:tc>
          <w:tcPr>
            <w:tcW w:w="1094" w:type="dxa"/>
            <w:tcBorders>
              <w:bottom w:val="single" w:sz="12" w:space="0" w:color="auto"/>
            </w:tcBorders>
            <w:vAlign w:val="bottom"/>
          </w:tcPr>
          <w:p w14:paraId="3CD6D0F7" w14:textId="3B4545B1" w:rsidR="00DA6694" w:rsidRPr="00F01EC8" w:rsidRDefault="00817960" w:rsidP="00AC0A5D">
            <w:pPr>
              <w:jc w:val="right"/>
              <w:rPr>
                <w:rFonts w:asciiTheme="minorHAnsi" w:hAnsiTheme="minorHAnsi" w:cs="Arial"/>
                <w:sz w:val="20"/>
                <w:szCs w:val="20"/>
                <w:highlight w:val="yellow"/>
              </w:rPr>
            </w:pPr>
            <w:r w:rsidRPr="00F01EC8">
              <w:rPr>
                <w:rFonts w:asciiTheme="minorHAnsi" w:hAnsiTheme="minorHAnsi" w:cs="Arial"/>
                <w:sz w:val="20"/>
                <w:szCs w:val="20"/>
              </w:rPr>
              <w:t>1,878.4</w:t>
            </w:r>
          </w:p>
        </w:tc>
        <w:tc>
          <w:tcPr>
            <w:tcW w:w="1337" w:type="dxa"/>
            <w:tcBorders>
              <w:bottom w:val="single" w:sz="12" w:space="0" w:color="auto"/>
            </w:tcBorders>
            <w:vAlign w:val="bottom"/>
          </w:tcPr>
          <w:p w14:paraId="181B6781" w14:textId="746A61CA"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F7025A" w:rsidRPr="00F01EC8">
              <w:rPr>
                <w:rFonts w:asciiTheme="minorHAnsi" w:hAnsiTheme="minorHAnsi" w:cs="Arial"/>
                <w:sz w:val="20"/>
                <w:szCs w:val="20"/>
              </w:rPr>
              <w:t>212.6</w:t>
            </w:r>
            <w:r w:rsidRPr="00F01EC8">
              <w:rPr>
                <w:rFonts w:asciiTheme="minorHAnsi" w:hAnsiTheme="minorHAnsi" w:cs="Arial"/>
                <w:sz w:val="20"/>
                <w:szCs w:val="20"/>
              </w:rPr>
              <w:t> </w:t>
            </w:r>
          </w:p>
        </w:tc>
        <w:tc>
          <w:tcPr>
            <w:tcW w:w="1094" w:type="dxa"/>
            <w:tcBorders>
              <w:bottom w:val="single" w:sz="12" w:space="0" w:color="auto"/>
            </w:tcBorders>
            <w:vAlign w:val="bottom"/>
          </w:tcPr>
          <w:p w14:paraId="6E5E762F" w14:textId="3BAC36E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292163" w:rsidRPr="00F01EC8">
              <w:rPr>
                <w:rFonts w:asciiTheme="minorHAnsi" w:hAnsiTheme="minorHAnsi" w:cs="Arial"/>
                <w:sz w:val="20"/>
                <w:szCs w:val="20"/>
              </w:rPr>
              <w:t>194.9</w:t>
            </w:r>
            <w:r w:rsidRPr="00F01EC8">
              <w:rPr>
                <w:rFonts w:asciiTheme="minorHAnsi" w:hAnsiTheme="minorHAnsi" w:cs="Arial"/>
                <w:sz w:val="20"/>
                <w:szCs w:val="20"/>
              </w:rPr>
              <w:t> </w:t>
            </w:r>
          </w:p>
        </w:tc>
        <w:tc>
          <w:tcPr>
            <w:tcW w:w="1094" w:type="dxa"/>
            <w:tcBorders>
              <w:bottom w:val="single" w:sz="12" w:space="0" w:color="auto"/>
            </w:tcBorders>
            <w:vAlign w:val="bottom"/>
          </w:tcPr>
          <w:p w14:paraId="38E8DD5D" w14:textId="77F2995E" w:rsidR="00DA6694" w:rsidRPr="00F01EC8" w:rsidRDefault="001355CE" w:rsidP="00AC0A5D">
            <w:pPr>
              <w:jc w:val="right"/>
              <w:rPr>
                <w:rFonts w:asciiTheme="minorHAnsi" w:hAnsiTheme="minorHAnsi" w:cs="Arial"/>
                <w:sz w:val="20"/>
                <w:szCs w:val="20"/>
              </w:rPr>
            </w:pPr>
            <w:r w:rsidRPr="00F01EC8">
              <w:rPr>
                <w:rFonts w:asciiTheme="minorHAnsi" w:hAnsiTheme="minorHAnsi" w:cs="Arial"/>
                <w:sz w:val="20"/>
                <w:szCs w:val="20"/>
              </w:rPr>
              <w:t>2,336.4</w:t>
            </w:r>
          </w:p>
        </w:tc>
        <w:tc>
          <w:tcPr>
            <w:tcW w:w="1266" w:type="dxa"/>
            <w:tcBorders>
              <w:bottom w:val="single" w:sz="12" w:space="0" w:color="auto"/>
            </w:tcBorders>
            <w:vAlign w:val="bottom"/>
          </w:tcPr>
          <w:p w14:paraId="58810F07" w14:textId="0DAE75F0"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w:t>
            </w:r>
            <w:r w:rsidR="00F7025A" w:rsidRPr="00F01EC8">
              <w:rPr>
                <w:rFonts w:asciiTheme="minorHAnsi" w:hAnsiTheme="minorHAnsi" w:cs="Arial"/>
                <w:sz w:val="20"/>
                <w:szCs w:val="20"/>
              </w:rPr>
              <w:t>008.3</w:t>
            </w:r>
            <w:r w:rsidRPr="00F01EC8">
              <w:rPr>
                <w:rFonts w:asciiTheme="minorHAnsi" w:hAnsiTheme="minorHAnsi" w:cs="Arial"/>
                <w:sz w:val="20"/>
                <w:szCs w:val="20"/>
              </w:rPr>
              <w:t> </w:t>
            </w:r>
          </w:p>
        </w:tc>
        <w:tc>
          <w:tcPr>
            <w:tcW w:w="1094" w:type="dxa"/>
            <w:tcBorders>
              <w:bottom w:val="single" w:sz="12" w:space="0" w:color="auto"/>
            </w:tcBorders>
            <w:vAlign w:val="bottom"/>
          </w:tcPr>
          <w:p w14:paraId="6A2A5C01" w14:textId="30F2AB0D" w:rsidR="00DA6694" w:rsidRPr="00F01EC8" w:rsidRDefault="001355CE" w:rsidP="00AC0A5D">
            <w:pPr>
              <w:jc w:val="right"/>
              <w:rPr>
                <w:rFonts w:asciiTheme="minorHAnsi" w:hAnsiTheme="minorHAnsi" w:cs="Arial"/>
                <w:sz w:val="20"/>
                <w:szCs w:val="20"/>
              </w:rPr>
            </w:pPr>
            <w:r w:rsidRPr="00F01EC8">
              <w:rPr>
                <w:rFonts w:asciiTheme="minorHAnsi" w:hAnsiTheme="minorHAnsi" w:cs="Arial"/>
                <w:sz w:val="20"/>
                <w:szCs w:val="20"/>
              </w:rPr>
              <w:t>3,233.8</w:t>
            </w:r>
          </w:p>
        </w:tc>
      </w:tr>
      <w:tr w:rsidR="00DA6694" w:rsidRPr="00F01EC8" w14:paraId="43A11E2B" w14:textId="77777777" w:rsidTr="00AC0A5D">
        <w:tc>
          <w:tcPr>
            <w:tcW w:w="2890" w:type="dxa"/>
            <w:vAlign w:val="bottom"/>
          </w:tcPr>
          <w:p w14:paraId="22D08EFF" w14:textId="77777777" w:rsidR="00DA6694" w:rsidRPr="00F01EC8" w:rsidRDefault="00DA6694" w:rsidP="00AC0A5D">
            <w:pPr>
              <w:rPr>
                <w:rFonts w:asciiTheme="minorHAnsi" w:hAnsiTheme="minorHAnsi" w:cs="Arial"/>
                <w:b/>
                <w:sz w:val="20"/>
                <w:szCs w:val="20"/>
              </w:rPr>
            </w:pPr>
            <w:r w:rsidRPr="00F01EC8">
              <w:rPr>
                <w:rFonts w:asciiTheme="minorHAnsi" w:hAnsiTheme="minorHAnsi" w:cs="Arial"/>
                <w:b/>
                <w:sz w:val="20"/>
                <w:szCs w:val="20"/>
              </w:rPr>
              <w:t>Financial liabilities</w:t>
            </w:r>
          </w:p>
        </w:tc>
        <w:tc>
          <w:tcPr>
            <w:tcW w:w="1094" w:type="dxa"/>
            <w:tcBorders>
              <w:top w:val="single" w:sz="12" w:space="0" w:color="auto"/>
            </w:tcBorders>
            <w:vAlign w:val="bottom"/>
          </w:tcPr>
          <w:p w14:paraId="360A819D" w14:textId="77777777" w:rsidR="00DA6694" w:rsidRPr="00F01EC8" w:rsidRDefault="00DA6694" w:rsidP="00AC0A5D">
            <w:pPr>
              <w:jc w:val="right"/>
              <w:rPr>
                <w:rFonts w:asciiTheme="minorHAnsi" w:hAnsiTheme="minorHAnsi" w:cs="Arial"/>
                <w:sz w:val="20"/>
                <w:szCs w:val="20"/>
                <w:highlight w:val="yellow"/>
              </w:rPr>
            </w:pPr>
          </w:p>
        </w:tc>
        <w:tc>
          <w:tcPr>
            <w:tcW w:w="1337" w:type="dxa"/>
            <w:tcBorders>
              <w:top w:val="single" w:sz="12" w:space="0" w:color="auto"/>
            </w:tcBorders>
            <w:vAlign w:val="bottom"/>
          </w:tcPr>
          <w:p w14:paraId="4C1B279F" w14:textId="77777777" w:rsidR="00DA6694" w:rsidRPr="00F01EC8" w:rsidRDefault="00DA6694" w:rsidP="00AC0A5D">
            <w:pPr>
              <w:jc w:val="right"/>
              <w:rPr>
                <w:rFonts w:asciiTheme="minorHAnsi" w:hAnsiTheme="minorHAnsi" w:cs="Arial"/>
                <w:sz w:val="20"/>
                <w:szCs w:val="20"/>
              </w:rPr>
            </w:pPr>
          </w:p>
        </w:tc>
        <w:tc>
          <w:tcPr>
            <w:tcW w:w="1094" w:type="dxa"/>
            <w:tcBorders>
              <w:top w:val="single" w:sz="12" w:space="0" w:color="auto"/>
            </w:tcBorders>
            <w:vAlign w:val="bottom"/>
          </w:tcPr>
          <w:p w14:paraId="48CBD275" w14:textId="77777777" w:rsidR="00DA6694" w:rsidRPr="00F01EC8" w:rsidRDefault="00DA6694" w:rsidP="00AC0A5D">
            <w:pPr>
              <w:jc w:val="right"/>
              <w:rPr>
                <w:rFonts w:asciiTheme="minorHAnsi" w:hAnsiTheme="minorHAnsi" w:cs="Arial"/>
                <w:sz w:val="20"/>
                <w:szCs w:val="20"/>
              </w:rPr>
            </w:pPr>
          </w:p>
        </w:tc>
        <w:tc>
          <w:tcPr>
            <w:tcW w:w="1094" w:type="dxa"/>
            <w:tcBorders>
              <w:top w:val="single" w:sz="12" w:space="0" w:color="auto"/>
            </w:tcBorders>
            <w:vAlign w:val="bottom"/>
          </w:tcPr>
          <w:p w14:paraId="4E55A839" w14:textId="77777777" w:rsidR="00DA6694" w:rsidRPr="00F01EC8" w:rsidRDefault="00DA6694" w:rsidP="00AC0A5D">
            <w:pPr>
              <w:jc w:val="right"/>
              <w:rPr>
                <w:rFonts w:asciiTheme="minorHAnsi" w:hAnsiTheme="minorHAnsi" w:cs="Arial"/>
                <w:sz w:val="20"/>
                <w:szCs w:val="20"/>
                <w:highlight w:val="yellow"/>
              </w:rPr>
            </w:pPr>
          </w:p>
        </w:tc>
        <w:tc>
          <w:tcPr>
            <w:tcW w:w="1266" w:type="dxa"/>
            <w:tcBorders>
              <w:top w:val="single" w:sz="12" w:space="0" w:color="auto"/>
            </w:tcBorders>
            <w:vAlign w:val="bottom"/>
          </w:tcPr>
          <w:p w14:paraId="472364C1" w14:textId="77777777" w:rsidR="00DA6694" w:rsidRPr="00F01EC8" w:rsidRDefault="00DA6694" w:rsidP="00AC0A5D">
            <w:pPr>
              <w:jc w:val="right"/>
              <w:rPr>
                <w:rFonts w:asciiTheme="minorHAnsi" w:hAnsiTheme="minorHAnsi" w:cs="Arial"/>
                <w:sz w:val="20"/>
                <w:szCs w:val="20"/>
              </w:rPr>
            </w:pPr>
          </w:p>
        </w:tc>
        <w:tc>
          <w:tcPr>
            <w:tcW w:w="1094" w:type="dxa"/>
            <w:tcBorders>
              <w:top w:val="single" w:sz="12" w:space="0" w:color="auto"/>
            </w:tcBorders>
            <w:vAlign w:val="bottom"/>
          </w:tcPr>
          <w:p w14:paraId="33DD15FB" w14:textId="77777777" w:rsidR="00DA6694" w:rsidRPr="00F01EC8" w:rsidRDefault="00DA6694" w:rsidP="00AC0A5D">
            <w:pPr>
              <w:jc w:val="right"/>
              <w:rPr>
                <w:rFonts w:asciiTheme="minorHAnsi" w:hAnsiTheme="minorHAnsi" w:cs="Arial"/>
                <w:sz w:val="20"/>
                <w:szCs w:val="20"/>
              </w:rPr>
            </w:pPr>
          </w:p>
        </w:tc>
      </w:tr>
      <w:tr w:rsidR="00C92EA4" w:rsidRPr="00F01EC8" w14:paraId="44778B9F" w14:textId="77777777" w:rsidTr="00AC0A5D">
        <w:tc>
          <w:tcPr>
            <w:tcW w:w="2890" w:type="dxa"/>
            <w:vAlign w:val="bottom"/>
          </w:tcPr>
          <w:p w14:paraId="170F2540" w14:textId="77777777" w:rsidR="00C92EA4" w:rsidRPr="00F01EC8" w:rsidRDefault="00C92EA4" w:rsidP="00C92EA4">
            <w:pPr>
              <w:rPr>
                <w:rFonts w:asciiTheme="minorHAnsi" w:hAnsiTheme="minorHAnsi" w:cs="Arial"/>
                <w:b/>
                <w:sz w:val="20"/>
                <w:szCs w:val="20"/>
              </w:rPr>
            </w:pPr>
            <w:r w:rsidRPr="00F01EC8">
              <w:rPr>
                <w:rFonts w:asciiTheme="minorHAnsi" w:hAnsiTheme="minorHAnsi" w:cs="Arial"/>
                <w:sz w:val="20"/>
                <w:szCs w:val="20"/>
              </w:rPr>
              <w:t>Retail deposits</w:t>
            </w:r>
          </w:p>
        </w:tc>
        <w:tc>
          <w:tcPr>
            <w:tcW w:w="1094" w:type="dxa"/>
            <w:vAlign w:val="bottom"/>
          </w:tcPr>
          <w:p w14:paraId="3B14C29F" w14:textId="37FA4B3E" w:rsidR="00C92EA4" w:rsidRPr="00F01EC8" w:rsidRDefault="00C42582" w:rsidP="00C92EA4">
            <w:pPr>
              <w:jc w:val="right"/>
              <w:rPr>
                <w:rFonts w:asciiTheme="minorHAnsi" w:hAnsiTheme="minorHAnsi" w:cs="Arial"/>
                <w:sz w:val="20"/>
                <w:szCs w:val="20"/>
              </w:rPr>
            </w:pPr>
            <w:r w:rsidRPr="00F01EC8">
              <w:rPr>
                <w:rFonts w:asciiTheme="minorHAnsi" w:hAnsiTheme="minorHAnsi" w:cs="Arial"/>
                <w:sz w:val="20"/>
                <w:szCs w:val="20"/>
              </w:rPr>
              <w:t>(1,917.3)</w:t>
            </w:r>
          </w:p>
        </w:tc>
        <w:tc>
          <w:tcPr>
            <w:tcW w:w="1337" w:type="dxa"/>
            <w:vAlign w:val="bottom"/>
          </w:tcPr>
          <w:p w14:paraId="267B1459" w14:textId="460D5689"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(1,345.1)</w:t>
            </w:r>
          </w:p>
        </w:tc>
        <w:tc>
          <w:tcPr>
            <w:tcW w:w="1094" w:type="dxa"/>
            <w:vAlign w:val="bottom"/>
          </w:tcPr>
          <w:p w14:paraId="5AC851DA" w14:textId="770943FC"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(1,472.3)</w:t>
            </w:r>
          </w:p>
        </w:tc>
        <w:tc>
          <w:tcPr>
            <w:tcW w:w="1094" w:type="dxa"/>
            <w:vAlign w:val="bottom"/>
          </w:tcPr>
          <w:p w14:paraId="51F908E3" w14:textId="6898EDF5" w:rsidR="00C92EA4" w:rsidRPr="00F01EC8" w:rsidRDefault="008E6BCE" w:rsidP="00C92EA4">
            <w:pPr>
              <w:jc w:val="right"/>
              <w:rPr>
                <w:rFonts w:asciiTheme="minorHAnsi" w:hAnsiTheme="minorHAnsi" w:cs="Arial"/>
                <w:sz w:val="20"/>
                <w:szCs w:val="20"/>
              </w:rPr>
            </w:pPr>
            <w:r w:rsidRPr="00F01EC8">
              <w:rPr>
                <w:rFonts w:asciiTheme="minorHAnsi" w:hAnsiTheme="minorHAnsi" w:cs="Arial"/>
                <w:sz w:val="20"/>
                <w:szCs w:val="20"/>
              </w:rPr>
              <w:t>(1,92</w:t>
            </w:r>
            <w:r w:rsidR="00920C09" w:rsidRPr="00F01EC8">
              <w:rPr>
                <w:rFonts w:asciiTheme="minorHAnsi" w:hAnsiTheme="minorHAnsi" w:cs="Arial"/>
                <w:sz w:val="20"/>
                <w:szCs w:val="20"/>
              </w:rPr>
              <w:t>1</w:t>
            </w:r>
            <w:r w:rsidRPr="00F01EC8">
              <w:rPr>
                <w:rFonts w:asciiTheme="minorHAnsi" w:hAnsiTheme="minorHAnsi" w:cs="Arial"/>
                <w:sz w:val="20"/>
                <w:szCs w:val="20"/>
              </w:rPr>
              <w:t>.9)</w:t>
            </w:r>
          </w:p>
        </w:tc>
        <w:tc>
          <w:tcPr>
            <w:tcW w:w="1266" w:type="dxa"/>
            <w:vAlign w:val="bottom"/>
          </w:tcPr>
          <w:p w14:paraId="59D6CD7F" w14:textId="7221590A"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(1,351.6)</w:t>
            </w:r>
          </w:p>
        </w:tc>
        <w:tc>
          <w:tcPr>
            <w:tcW w:w="1094" w:type="dxa"/>
            <w:vAlign w:val="bottom"/>
          </w:tcPr>
          <w:p w14:paraId="20966398" w14:textId="076353DF" w:rsidR="00C92EA4" w:rsidRPr="00F01EC8" w:rsidRDefault="00C92EA4" w:rsidP="00C92EA4">
            <w:pPr>
              <w:jc w:val="right"/>
              <w:rPr>
                <w:rFonts w:asciiTheme="minorHAnsi" w:hAnsiTheme="minorHAnsi" w:cs="Arial"/>
                <w:sz w:val="20"/>
                <w:szCs w:val="20"/>
              </w:rPr>
            </w:pPr>
            <w:r w:rsidRPr="00F01EC8">
              <w:rPr>
                <w:rFonts w:asciiTheme="minorHAnsi" w:hAnsiTheme="minorHAnsi" w:cs="Arial"/>
                <w:sz w:val="20"/>
                <w:szCs w:val="20"/>
              </w:rPr>
              <w:t>(1,468.3)</w:t>
            </w:r>
          </w:p>
        </w:tc>
      </w:tr>
      <w:tr w:rsidR="008E6BCE" w:rsidRPr="00F01EC8" w14:paraId="7C57766C" w14:textId="77777777" w:rsidTr="00813115">
        <w:tc>
          <w:tcPr>
            <w:tcW w:w="2890" w:type="dxa"/>
            <w:vAlign w:val="bottom"/>
          </w:tcPr>
          <w:p w14:paraId="39341E97" w14:textId="77777777" w:rsidR="008E6BCE" w:rsidRPr="00F01EC8" w:rsidRDefault="008E6BCE" w:rsidP="008E6BCE">
            <w:pPr>
              <w:rPr>
                <w:rFonts w:asciiTheme="minorHAnsi" w:hAnsiTheme="minorHAnsi" w:cs="Arial"/>
                <w:sz w:val="20"/>
                <w:szCs w:val="20"/>
              </w:rPr>
            </w:pPr>
            <w:r w:rsidRPr="00F01EC8">
              <w:rPr>
                <w:rFonts w:asciiTheme="minorHAnsi" w:hAnsiTheme="minorHAnsi" w:cs="Arial"/>
                <w:sz w:val="20"/>
                <w:szCs w:val="20"/>
              </w:rPr>
              <w:t>Bank and other borrowings</w:t>
            </w:r>
          </w:p>
        </w:tc>
        <w:tc>
          <w:tcPr>
            <w:tcW w:w="1094" w:type="dxa"/>
            <w:tcBorders>
              <w:bottom w:val="single" w:sz="4" w:space="0" w:color="auto"/>
            </w:tcBorders>
            <w:vAlign w:val="bottom"/>
          </w:tcPr>
          <w:p w14:paraId="1F8659CE" w14:textId="18255F3F"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(476.3)</w:t>
            </w:r>
          </w:p>
        </w:tc>
        <w:tc>
          <w:tcPr>
            <w:tcW w:w="1337" w:type="dxa"/>
            <w:tcBorders>
              <w:bottom w:val="single" w:sz="4" w:space="0" w:color="auto"/>
            </w:tcBorders>
            <w:vAlign w:val="bottom"/>
          </w:tcPr>
          <w:p w14:paraId="002FEA3D" w14:textId="0B5F57EE"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(618.4)</w:t>
            </w:r>
          </w:p>
        </w:tc>
        <w:tc>
          <w:tcPr>
            <w:tcW w:w="1094" w:type="dxa"/>
            <w:tcBorders>
              <w:bottom w:val="single" w:sz="4" w:space="0" w:color="auto"/>
            </w:tcBorders>
            <w:vAlign w:val="bottom"/>
          </w:tcPr>
          <w:p w14:paraId="4939D4B1" w14:textId="4E82B27F"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(617.3)</w:t>
            </w:r>
          </w:p>
        </w:tc>
        <w:tc>
          <w:tcPr>
            <w:tcW w:w="1094" w:type="dxa"/>
            <w:tcBorders>
              <w:bottom w:val="single" w:sz="4" w:space="0" w:color="auto"/>
            </w:tcBorders>
          </w:tcPr>
          <w:p w14:paraId="4AA15C6C" w14:textId="4DEDC0D8" w:rsidR="008E6BCE" w:rsidRPr="00F01EC8" w:rsidRDefault="00920C09">
            <w:pPr>
              <w:jc w:val="right"/>
              <w:rPr>
                <w:rFonts w:asciiTheme="minorHAnsi" w:hAnsiTheme="minorHAnsi" w:cs="Arial"/>
                <w:sz w:val="20"/>
                <w:szCs w:val="20"/>
              </w:rPr>
            </w:pPr>
            <w:r w:rsidRPr="00F01EC8">
              <w:rPr>
                <w:rFonts w:asciiTheme="minorHAnsi" w:hAnsiTheme="minorHAnsi" w:cs="Arial"/>
                <w:sz w:val="20"/>
                <w:szCs w:val="20"/>
              </w:rPr>
              <w:t>(463.4)</w:t>
            </w:r>
          </w:p>
        </w:tc>
        <w:tc>
          <w:tcPr>
            <w:tcW w:w="1266" w:type="dxa"/>
            <w:tcBorders>
              <w:bottom w:val="single" w:sz="4" w:space="0" w:color="auto"/>
            </w:tcBorders>
            <w:vAlign w:val="bottom"/>
          </w:tcPr>
          <w:p w14:paraId="2B638675" w14:textId="73CC1ABC"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(631.3)</w:t>
            </w:r>
          </w:p>
        </w:tc>
        <w:tc>
          <w:tcPr>
            <w:tcW w:w="1094" w:type="dxa"/>
            <w:tcBorders>
              <w:bottom w:val="single" w:sz="4" w:space="0" w:color="auto"/>
            </w:tcBorders>
            <w:vAlign w:val="bottom"/>
          </w:tcPr>
          <w:p w14:paraId="242A0D93" w14:textId="6283537A"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 (619.6)</w:t>
            </w:r>
          </w:p>
        </w:tc>
      </w:tr>
      <w:tr w:rsidR="008E6BCE" w:rsidRPr="00F01EC8" w14:paraId="2F60020E" w14:textId="77777777" w:rsidTr="00813115">
        <w:tc>
          <w:tcPr>
            <w:tcW w:w="2890" w:type="dxa"/>
            <w:vAlign w:val="bottom"/>
          </w:tcPr>
          <w:p w14:paraId="42670C03" w14:textId="77777777" w:rsidR="008E6BCE" w:rsidRPr="00F01EC8" w:rsidRDefault="008E6BCE" w:rsidP="008E6BCE">
            <w:pPr>
              <w:rPr>
                <w:rFonts w:asciiTheme="minorHAnsi" w:hAnsiTheme="minorHAnsi" w:cs="Arial"/>
                <w:sz w:val="20"/>
                <w:szCs w:val="20"/>
              </w:rPr>
            </w:pPr>
            <w:r w:rsidRPr="00F01EC8">
              <w:rPr>
                <w:rFonts w:asciiTheme="minorHAnsi" w:hAnsiTheme="minorHAnsi" w:cs="Arial"/>
                <w:sz w:val="20"/>
                <w:szCs w:val="20"/>
              </w:rPr>
              <w:t>Total</w:t>
            </w:r>
          </w:p>
        </w:tc>
        <w:tc>
          <w:tcPr>
            <w:tcW w:w="1094" w:type="dxa"/>
            <w:tcBorders>
              <w:top w:val="single" w:sz="4" w:space="0" w:color="auto"/>
              <w:bottom w:val="single" w:sz="12" w:space="0" w:color="auto"/>
            </w:tcBorders>
            <w:vAlign w:val="bottom"/>
          </w:tcPr>
          <w:p w14:paraId="0644B5D2" w14:textId="10CA996B"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(2,393.6)</w:t>
            </w:r>
          </w:p>
        </w:tc>
        <w:tc>
          <w:tcPr>
            <w:tcW w:w="1337" w:type="dxa"/>
            <w:tcBorders>
              <w:top w:val="single" w:sz="4" w:space="0" w:color="auto"/>
              <w:bottom w:val="single" w:sz="12" w:space="0" w:color="auto"/>
            </w:tcBorders>
            <w:vAlign w:val="bottom"/>
          </w:tcPr>
          <w:p w14:paraId="14FFEDE4" w14:textId="5A539937"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(1,963.5)</w:t>
            </w:r>
          </w:p>
        </w:tc>
        <w:tc>
          <w:tcPr>
            <w:tcW w:w="1094" w:type="dxa"/>
            <w:tcBorders>
              <w:top w:val="single" w:sz="4" w:space="0" w:color="auto"/>
              <w:bottom w:val="single" w:sz="12" w:space="0" w:color="auto"/>
            </w:tcBorders>
            <w:vAlign w:val="bottom"/>
          </w:tcPr>
          <w:p w14:paraId="39560AF0" w14:textId="1FD8F725"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(2,089.6)</w:t>
            </w:r>
          </w:p>
        </w:tc>
        <w:tc>
          <w:tcPr>
            <w:tcW w:w="1094" w:type="dxa"/>
            <w:tcBorders>
              <w:top w:val="single" w:sz="4" w:space="0" w:color="auto"/>
              <w:bottom w:val="single" w:sz="12" w:space="0" w:color="auto"/>
            </w:tcBorders>
          </w:tcPr>
          <w:p w14:paraId="34EE5B20" w14:textId="350C0D70" w:rsidR="008E6BCE" w:rsidRPr="00F01EC8" w:rsidRDefault="00920C09" w:rsidP="008E6BCE">
            <w:pPr>
              <w:jc w:val="right"/>
              <w:rPr>
                <w:rFonts w:asciiTheme="minorHAnsi" w:hAnsiTheme="minorHAnsi" w:cs="Arial"/>
                <w:sz w:val="20"/>
                <w:szCs w:val="20"/>
              </w:rPr>
            </w:pPr>
            <w:r w:rsidRPr="00F01EC8">
              <w:rPr>
                <w:rFonts w:asciiTheme="minorHAnsi" w:hAnsiTheme="minorHAnsi" w:cs="Arial"/>
                <w:sz w:val="20"/>
                <w:szCs w:val="20"/>
              </w:rPr>
              <w:t>(2,385.3)</w:t>
            </w:r>
          </w:p>
        </w:tc>
        <w:tc>
          <w:tcPr>
            <w:tcW w:w="1266" w:type="dxa"/>
            <w:tcBorders>
              <w:top w:val="single" w:sz="4" w:space="0" w:color="auto"/>
              <w:bottom w:val="single" w:sz="12" w:space="0" w:color="auto"/>
            </w:tcBorders>
            <w:vAlign w:val="bottom"/>
          </w:tcPr>
          <w:p w14:paraId="372AAE78" w14:textId="699A9E77"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(1,982.9)</w:t>
            </w:r>
          </w:p>
        </w:tc>
        <w:tc>
          <w:tcPr>
            <w:tcW w:w="1094" w:type="dxa"/>
            <w:tcBorders>
              <w:top w:val="single" w:sz="4" w:space="0" w:color="auto"/>
              <w:bottom w:val="single" w:sz="12" w:space="0" w:color="auto"/>
            </w:tcBorders>
            <w:vAlign w:val="bottom"/>
          </w:tcPr>
          <w:p w14:paraId="7B74153F" w14:textId="4FD9EFAB" w:rsidR="008E6BCE" w:rsidRPr="00F01EC8" w:rsidRDefault="008E6BCE" w:rsidP="008E6BCE">
            <w:pPr>
              <w:jc w:val="right"/>
              <w:rPr>
                <w:rFonts w:asciiTheme="minorHAnsi" w:hAnsiTheme="minorHAnsi" w:cs="Arial"/>
                <w:sz w:val="20"/>
                <w:szCs w:val="20"/>
              </w:rPr>
            </w:pPr>
            <w:r w:rsidRPr="00F01EC8">
              <w:rPr>
                <w:rFonts w:asciiTheme="minorHAnsi" w:hAnsiTheme="minorHAnsi" w:cs="Arial"/>
                <w:sz w:val="20"/>
                <w:szCs w:val="20"/>
              </w:rPr>
              <w:t>(2,087.9)</w:t>
            </w:r>
          </w:p>
        </w:tc>
      </w:tr>
    </w:tbl>
    <w:p w14:paraId="17F75F39" w14:textId="77777777" w:rsidR="005A75D9" w:rsidRPr="00F01EC8" w:rsidRDefault="005A75D9" w:rsidP="00DA6694">
      <w:pPr>
        <w:ind w:left="567" w:hanging="567"/>
        <w:jc w:val="both"/>
        <w:rPr>
          <w:rFonts w:asciiTheme="minorHAnsi" w:hAnsiTheme="minorHAnsi" w:cs="Arial"/>
          <w:b/>
          <w:sz w:val="20"/>
          <w:szCs w:val="20"/>
        </w:rPr>
      </w:pPr>
    </w:p>
    <w:p w14:paraId="38ED1734" w14:textId="153DF5E9" w:rsidR="00DA6694" w:rsidRPr="00F01EC8" w:rsidRDefault="00DA6694" w:rsidP="00DA6694">
      <w:pPr>
        <w:ind w:left="567" w:hanging="567"/>
        <w:jc w:val="both"/>
        <w:rPr>
          <w:rFonts w:asciiTheme="minorHAnsi" w:hAnsiTheme="minorHAnsi" w:cs="Arial"/>
          <w:b/>
          <w:sz w:val="20"/>
          <w:szCs w:val="20"/>
        </w:rPr>
      </w:pPr>
      <w:r w:rsidRPr="00F01EC8">
        <w:rPr>
          <w:rFonts w:asciiTheme="minorHAnsi" w:hAnsiTheme="minorHAnsi" w:cs="Arial"/>
          <w:b/>
          <w:sz w:val="20"/>
          <w:szCs w:val="20"/>
        </w:rPr>
        <w:t xml:space="preserve">12.     </w:t>
      </w:r>
      <w:r w:rsidRPr="00F01EC8">
        <w:rPr>
          <w:rFonts w:asciiTheme="minorHAnsi" w:hAnsiTheme="minorHAnsi" w:cs="Arial"/>
          <w:b/>
          <w:sz w:val="20"/>
          <w:szCs w:val="20"/>
        </w:rPr>
        <w:tab/>
        <w:t>Provisions</w:t>
      </w:r>
    </w:p>
    <w:p w14:paraId="7A9FEC8B" w14:textId="77777777" w:rsidR="00DA6694" w:rsidRPr="00F01EC8" w:rsidRDefault="00DA6694" w:rsidP="00DA6694">
      <w:pPr>
        <w:ind w:left="567" w:hanging="567"/>
        <w:jc w:val="both"/>
        <w:rPr>
          <w:rFonts w:asciiTheme="minorHAnsi" w:hAnsiTheme="minorHAnsi" w:cs="Arial"/>
          <w:b/>
          <w:sz w:val="20"/>
          <w:szCs w:val="20"/>
        </w:rPr>
      </w:pPr>
    </w:p>
    <w:tbl>
      <w:tblPr>
        <w:tblW w:w="9889" w:type="dxa"/>
        <w:tblLook w:val="0000" w:firstRow="0" w:lastRow="0" w:firstColumn="0" w:lastColumn="0" w:noHBand="0" w:noVBand="0"/>
      </w:tblPr>
      <w:tblGrid>
        <w:gridCol w:w="6122"/>
        <w:gridCol w:w="1168"/>
        <w:gridCol w:w="1431"/>
        <w:gridCol w:w="1168"/>
      </w:tblGrid>
      <w:tr w:rsidR="00DA6694" w:rsidRPr="00F01EC8" w14:paraId="4FB8C18F" w14:textId="77777777" w:rsidTr="00AC0A5D">
        <w:tc>
          <w:tcPr>
            <w:tcW w:w="6122" w:type="dxa"/>
          </w:tcPr>
          <w:p w14:paraId="64429BB6" w14:textId="77777777" w:rsidR="00DA6694" w:rsidRPr="00F01EC8" w:rsidRDefault="00DA6694" w:rsidP="00AC0A5D">
            <w:pPr>
              <w:rPr>
                <w:rFonts w:asciiTheme="minorHAnsi" w:hAnsiTheme="minorHAnsi" w:cs="Arial"/>
                <w:sz w:val="20"/>
                <w:szCs w:val="20"/>
              </w:rPr>
            </w:pPr>
          </w:p>
        </w:tc>
        <w:tc>
          <w:tcPr>
            <w:tcW w:w="1168" w:type="dxa"/>
          </w:tcPr>
          <w:p w14:paraId="6A5C81D6" w14:textId="77777777" w:rsidR="00DA6694" w:rsidRPr="00F01EC8" w:rsidRDefault="00DA6694" w:rsidP="00AC0A5D">
            <w:pPr>
              <w:ind w:hanging="250"/>
              <w:jc w:val="right"/>
              <w:rPr>
                <w:rFonts w:asciiTheme="minorHAnsi" w:hAnsiTheme="minorHAnsi" w:cs="Arial"/>
                <w:sz w:val="20"/>
                <w:szCs w:val="20"/>
              </w:rPr>
            </w:pPr>
            <w:r w:rsidRPr="00F01EC8">
              <w:rPr>
                <w:rFonts w:asciiTheme="minorHAnsi" w:hAnsiTheme="minorHAnsi" w:cs="Arial"/>
                <w:sz w:val="20"/>
                <w:szCs w:val="20"/>
              </w:rPr>
              <w:t>30 June </w:t>
            </w:r>
          </w:p>
        </w:tc>
        <w:tc>
          <w:tcPr>
            <w:tcW w:w="1431" w:type="dxa"/>
          </w:tcPr>
          <w:p w14:paraId="79EDDE15"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8" w:type="dxa"/>
          </w:tcPr>
          <w:p w14:paraId="356DC8AF" w14:textId="77777777" w:rsidR="00DA6694" w:rsidRPr="00F01EC8" w:rsidRDefault="00DA6694" w:rsidP="00AC0A5D">
            <w:pPr>
              <w:ind w:hanging="250"/>
              <w:jc w:val="right"/>
              <w:rPr>
                <w:rFonts w:asciiTheme="minorHAnsi" w:hAnsiTheme="minorHAnsi" w:cs="Arial"/>
                <w:sz w:val="20"/>
                <w:szCs w:val="20"/>
              </w:rPr>
            </w:pPr>
            <w:r w:rsidRPr="00F01EC8">
              <w:rPr>
                <w:rFonts w:asciiTheme="minorHAnsi" w:hAnsiTheme="minorHAnsi" w:cs="Arial"/>
                <w:sz w:val="20"/>
                <w:szCs w:val="20"/>
              </w:rPr>
              <w:t>30 June </w:t>
            </w:r>
          </w:p>
        </w:tc>
      </w:tr>
      <w:tr w:rsidR="00DA6694" w:rsidRPr="00F01EC8" w14:paraId="4017265B" w14:textId="77777777" w:rsidTr="00AC0A5D">
        <w:tc>
          <w:tcPr>
            <w:tcW w:w="6122" w:type="dxa"/>
          </w:tcPr>
          <w:p w14:paraId="7DE65892" w14:textId="77777777" w:rsidR="00DA6694" w:rsidRPr="00F01EC8" w:rsidRDefault="00DA6694" w:rsidP="00AC0A5D">
            <w:pPr>
              <w:rPr>
                <w:rFonts w:asciiTheme="minorHAnsi" w:hAnsiTheme="minorHAnsi" w:cs="Arial"/>
                <w:sz w:val="20"/>
                <w:szCs w:val="20"/>
              </w:rPr>
            </w:pPr>
          </w:p>
        </w:tc>
        <w:tc>
          <w:tcPr>
            <w:tcW w:w="1168" w:type="dxa"/>
          </w:tcPr>
          <w:p w14:paraId="08E0E023" w14:textId="776B1A7C"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240CB" w:rsidRPr="00F01EC8">
              <w:rPr>
                <w:rFonts w:asciiTheme="minorHAnsi" w:hAnsiTheme="minorHAnsi" w:cs="Arial"/>
                <w:sz w:val="20"/>
                <w:szCs w:val="20"/>
              </w:rPr>
              <w:t>20</w:t>
            </w:r>
            <w:r w:rsidRPr="00F01EC8">
              <w:rPr>
                <w:rFonts w:asciiTheme="minorHAnsi" w:hAnsiTheme="minorHAnsi" w:cs="Arial"/>
                <w:sz w:val="20"/>
                <w:szCs w:val="20"/>
              </w:rPr>
              <w:t> </w:t>
            </w:r>
          </w:p>
        </w:tc>
        <w:tc>
          <w:tcPr>
            <w:tcW w:w="1431" w:type="dxa"/>
          </w:tcPr>
          <w:p w14:paraId="36036560" w14:textId="5D6A9CDD"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240CB" w:rsidRPr="00F01EC8">
              <w:rPr>
                <w:rFonts w:asciiTheme="minorHAnsi" w:hAnsiTheme="minorHAnsi" w:cs="Arial"/>
                <w:sz w:val="20"/>
                <w:szCs w:val="20"/>
              </w:rPr>
              <w:t>9</w:t>
            </w:r>
            <w:r w:rsidRPr="00F01EC8">
              <w:rPr>
                <w:rFonts w:asciiTheme="minorHAnsi" w:hAnsiTheme="minorHAnsi" w:cs="Arial"/>
                <w:sz w:val="20"/>
                <w:szCs w:val="20"/>
              </w:rPr>
              <w:t> </w:t>
            </w:r>
          </w:p>
        </w:tc>
        <w:tc>
          <w:tcPr>
            <w:tcW w:w="1168" w:type="dxa"/>
          </w:tcPr>
          <w:p w14:paraId="3B54D25E" w14:textId="401EC9AB"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201</w:t>
            </w:r>
            <w:r w:rsidR="005240CB" w:rsidRPr="00F01EC8">
              <w:rPr>
                <w:rFonts w:asciiTheme="minorHAnsi" w:hAnsiTheme="minorHAnsi" w:cs="Arial"/>
                <w:sz w:val="20"/>
                <w:szCs w:val="20"/>
              </w:rPr>
              <w:t>9</w:t>
            </w:r>
            <w:r w:rsidRPr="00F01EC8">
              <w:rPr>
                <w:rFonts w:asciiTheme="minorHAnsi" w:hAnsiTheme="minorHAnsi" w:cs="Arial"/>
                <w:sz w:val="20"/>
                <w:szCs w:val="20"/>
              </w:rPr>
              <w:t> </w:t>
            </w:r>
          </w:p>
        </w:tc>
      </w:tr>
      <w:tr w:rsidR="00DA6694" w:rsidRPr="00F01EC8" w14:paraId="4FBFF6BD" w14:textId="77777777" w:rsidTr="00AC0A5D">
        <w:tc>
          <w:tcPr>
            <w:tcW w:w="6122" w:type="dxa"/>
          </w:tcPr>
          <w:p w14:paraId="53275277" w14:textId="77777777" w:rsidR="00DA6694" w:rsidRPr="00F01EC8" w:rsidRDefault="00DA6694" w:rsidP="00AC0A5D">
            <w:pPr>
              <w:rPr>
                <w:rFonts w:asciiTheme="minorHAnsi" w:hAnsiTheme="minorHAnsi" w:cs="Arial"/>
                <w:sz w:val="20"/>
                <w:szCs w:val="20"/>
              </w:rPr>
            </w:pPr>
          </w:p>
        </w:tc>
        <w:tc>
          <w:tcPr>
            <w:tcW w:w="1168" w:type="dxa"/>
            <w:tcBorders>
              <w:top w:val="nil"/>
              <w:left w:val="nil"/>
              <w:bottom w:val="single" w:sz="4" w:space="0" w:color="auto"/>
              <w:right w:val="nil"/>
            </w:tcBorders>
          </w:tcPr>
          <w:p w14:paraId="26937E2B"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431" w:type="dxa"/>
            <w:tcBorders>
              <w:top w:val="nil"/>
              <w:left w:val="nil"/>
              <w:bottom w:val="single" w:sz="4" w:space="0" w:color="auto"/>
              <w:right w:val="nil"/>
            </w:tcBorders>
          </w:tcPr>
          <w:p w14:paraId="035BF06C"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68" w:type="dxa"/>
            <w:tcBorders>
              <w:top w:val="nil"/>
              <w:left w:val="nil"/>
              <w:bottom w:val="single" w:sz="4" w:space="0" w:color="auto"/>
              <w:right w:val="nil"/>
            </w:tcBorders>
          </w:tcPr>
          <w:p w14:paraId="7923069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C92EA4" w:rsidRPr="00F01EC8" w14:paraId="5CE302DE" w14:textId="77777777" w:rsidTr="00AC0A5D">
        <w:tc>
          <w:tcPr>
            <w:tcW w:w="6122" w:type="dxa"/>
            <w:vAlign w:val="bottom"/>
          </w:tcPr>
          <w:p w14:paraId="1269997D" w14:textId="77777777" w:rsidR="00C92EA4" w:rsidRPr="00F01EC8" w:rsidRDefault="00C92EA4" w:rsidP="00C92EA4">
            <w:pPr>
              <w:rPr>
                <w:rFonts w:asciiTheme="minorHAnsi" w:hAnsiTheme="minorHAnsi" w:cs="Arial"/>
                <w:sz w:val="20"/>
                <w:szCs w:val="20"/>
              </w:rPr>
            </w:pPr>
            <w:r w:rsidRPr="00F01EC8">
              <w:rPr>
                <w:rFonts w:asciiTheme="minorHAnsi" w:hAnsiTheme="minorHAnsi" w:cs="Arial"/>
                <w:sz w:val="20"/>
                <w:szCs w:val="20"/>
              </w:rPr>
              <w:t>At 1 January</w:t>
            </w:r>
          </w:p>
        </w:tc>
        <w:tc>
          <w:tcPr>
            <w:tcW w:w="1168" w:type="dxa"/>
            <w:vAlign w:val="bottom"/>
          </w:tcPr>
          <w:p w14:paraId="7832084E" w14:textId="69E17929" w:rsidR="00C92EA4" w:rsidRPr="00F01EC8" w:rsidRDefault="009872E4" w:rsidP="00C92EA4">
            <w:pPr>
              <w:jc w:val="right"/>
              <w:rPr>
                <w:rFonts w:asciiTheme="minorHAnsi" w:hAnsiTheme="minorHAnsi" w:cs="Arial"/>
                <w:sz w:val="20"/>
                <w:szCs w:val="20"/>
              </w:rPr>
            </w:pPr>
            <w:r w:rsidRPr="00F01EC8">
              <w:rPr>
                <w:rFonts w:asciiTheme="minorHAnsi" w:hAnsiTheme="minorHAnsi" w:cs="Arial"/>
                <w:sz w:val="20"/>
                <w:szCs w:val="20"/>
              </w:rPr>
              <w:t>14.5</w:t>
            </w:r>
          </w:p>
        </w:tc>
        <w:tc>
          <w:tcPr>
            <w:tcW w:w="1431" w:type="dxa"/>
            <w:vAlign w:val="bottom"/>
          </w:tcPr>
          <w:p w14:paraId="32758582" w14:textId="142B3F7B" w:rsidR="00C92EA4" w:rsidRPr="00F01EC8" w:rsidRDefault="00C92EA4" w:rsidP="00C92EA4">
            <w:pPr>
              <w:jc w:val="right"/>
              <w:rPr>
                <w:rFonts w:asciiTheme="minorHAnsi" w:hAnsiTheme="minorHAnsi" w:cs="Arial"/>
                <w:color w:val="FF0000"/>
                <w:sz w:val="20"/>
                <w:szCs w:val="20"/>
              </w:rPr>
            </w:pPr>
            <w:r w:rsidRPr="00F01EC8">
              <w:rPr>
                <w:rFonts w:asciiTheme="minorHAnsi" w:hAnsiTheme="minorHAnsi" w:cs="Arial"/>
                <w:sz w:val="20"/>
                <w:szCs w:val="20"/>
              </w:rPr>
              <w:t>53.2 </w:t>
            </w:r>
          </w:p>
        </w:tc>
        <w:tc>
          <w:tcPr>
            <w:tcW w:w="1168" w:type="dxa"/>
            <w:vAlign w:val="bottom"/>
          </w:tcPr>
          <w:p w14:paraId="618F98BA" w14:textId="59EA7D14" w:rsidR="00C92EA4" w:rsidRPr="00F01EC8" w:rsidRDefault="00C92EA4" w:rsidP="00C92EA4">
            <w:pPr>
              <w:jc w:val="right"/>
              <w:rPr>
                <w:rFonts w:asciiTheme="minorHAnsi" w:hAnsiTheme="minorHAnsi" w:cs="Arial"/>
                <w:color w:val="FF0000"/>
                <w:sz w:val="20"/>
                <w:szCs w:val="20"/>
              </w:rPr>
            </w:pPr>
            <w:r w:rsidRPr="00F01EC8">
              <w:rPr>
                <w:rFonts w:asciiTheme="minorHAnsi" w:hAnsiTheme="minorHAnsi" w:cs="Arial"/>
                <w:sz w:val="20"/>
                <w:szCs w:val="20"/>
              </w:rPr>
              <w:t>53.2 </w:t>
            </w:r>
          </w:p>
        </w:tc>
      </w:tr>
      <w:tr w:rsidR="00C92EA4" w:rsidRPr="00F01EC8" w14:paraId="73F2FC55" w14:textId="77777777" w:rsidTr="00AC0A5D">
        <w:tc>
          <w:tcPr>
            <w:tcW w:w="6122" w:type="dxa"/>
            <w:vAlign w:val="bottom"/>
          </w:tcPr>
          <w:p w14:paraId="3F91CF7D" w14:textId="0BFF32DD" w:rsidR="00C92EA4" w:rsidRPr="00F01EC8" w:rsidRDefault="00813115" w:rsidP="0020443A">
            <w:pPr>
              <w:tabs>
                <w:tab w:val="right" w:pos="4680"/>
              </w:tabs>
              <w:rPr>
                <w:rFonts w:asciiTheme="minorHAnsi" w:hAnsiTheme="minorHAnsi" w:cs="Arial"/>
                <w:sz w:val="20"/>
                <w:szCs w:val="20"/>
              </w:rPr>
            </w:pPr>
            <w:r w:rsidRPr="00F01EC8">
              <w:rPr>
                <w:rFonts w:asciiTheme="minorHAnsi" w:hAnsiTheme="minorHAnsi" w:cs="Arial"/>
                <w:sz w:val="20"/>
                <w:szCs w:val="20"/>
              </w:rPr>
              <w:t>Created</w:t>
            </w:r>
            <w:r w:rsidR="0020443A" w:rsidRPr="00F01EC8">
              <w:rPr>
                <w:rFonts w:asciiTheme="minorHAnsi" w:hAnsiTheme="minorHAnsi" w:cs="Arial"/>
                <w:sz w:val="20"/>
                <w:szCs w:val="20"/>
              </w:rPr>
              <w:t xml:space="preserve"> in the period</w:t>
            </w:r>
          </w:p>
        </w:tc>
        <w:tc>
          <w:tcPr>
            <w:tcW w:w="1168" w:type="dxa"/>
            <w:vAlign w:val="bottom"/>
          </w:tcPr>
          <w:p w14:paraId="57D1C51A" w14:textId="2B778A8F" w:rsidR="00C92EA4" w:rsidRPr="00F01EC8" w:rsidRDefault="00813115" w:rsidP="00C92EA4">
            <w:pPr>
              <w:jc w:val="right"/>
              <w:rPr>
                <w:rFonts w:asciiTheme="minorHAnsi" w:hAnsiTheme="minorHAnsi" w:cs="Arial"/>
                <w:sz w:val="20"/>
                <w:szCs w:val="20"/>
              </w:rPr>
            </w:pPr>
            <w:r w:rsidRPr="00F01EC8">
              <w:rPr>
                <w:rFonts w:asciiTheme="minorHAnsi" w:hAnsiTheme="minorHAnsi" w:cs="Arial"/>
                <w:sz w:val="20"/>
                <w:szCs w:val="20"/>
              </w:rPr>
              <w:t>8.9</w:t>
            </w:r>
          </w:p>
        </w:tc>
        <w:tc>
          <w:tcPr>
            <w:tcW w:w="1431" w:type="dxa"/>
            <w:vAlign w:val="bottom"/>
          </w:tcPr>
          <w:p w14:paraId="2583565B" w14:textId="2B34030F" w:rsidR="00C92EA4" w:rsidRPr="00F01EC8" w:rsidRDefault="0020443A" w:rsidP="00C92EA4">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vAlign w:val="bottom"/>
          </w:tcPr>
          <w:p w14:paraId="3A94A7B7" w14:textId="05661731" w:rsidR="00C92EA4" w:rsidRPr="00F01EC8" w:rsidRDefault="0020443A" w:rsidP="00C92EA4">
            <w:pPr>
              <w:jc w:val="right"/>
              <w:rPr>
                <w:rFonts w:asciiTheme="minorHAnsi" w:hAnsiTheme="minorHAnsi" w:cs="Arial"/>
                <w:sz w:val="20"/>
                <w:szCs w:val="20"/>
              </w:rPr>
            </w:pPr>
            <w:r w:rsidRPr="00F01EC8">
              <w:rPr>
                <w:rFonts w:asciiTheme="minorHAnsi" w:hAnsiTheme="minorHAnsi" w:cs="Arial"/>
                <w:sz w:val="20"/>
                <w:szCs w:val="20"/>
              </w:rPr>
              <w:t>-</w:t>
            </w:r>
          </w:p>
        </w:tc>
      </w:tr>
      <w:tr w:rsidR="00813115" w:rsidRPr="00F01EC8" w14:paraId="641A3795" w14:textId="77777777" w:rsidTr="00AC0A5D">
        <w:tc>
          <w:tcPr>
            <w:tcW w:w="6122" w:type="dxa"/>
            <w:vAlign w:val="bottom"/>
          </w:tcPr>
          <w:p w14:paraId="5AF822D5" w14:textId="6A772D6A" w:rsidR="00813115" w:rsidRPr="00F01EC8" w:rsidRDefault="00813115" w:rsidP="00813115">
            <w:pPr>
              <w:tabs>
                <w:tab w:val="right" w:pos="4680"/>
              </w:tabs>
              <w:rPr>
                <w:rFonts w:asciiTheme="minorHAnsi" w:hAnsiTheme="minorHAnsi" w:cs="Arial"/>
                <w:sz w:val="20"/>
                <w:szCs w:val="20"/>
              </w:rPr>
            </w:pPr>
            <w:r w:rsidRPr="00F01EC8">
              <w:rPr>
                <w:rFonts w:asciiTheme="minorHAnsi" w:hAnsiTheme="minorHAnsi" w:cs="Arial"/>
                <w:sz w:val="20"/>
                <w:szCs w:val="20"/>
              </w:rPr>
              <w:t>Reclassified in the period</w:t>
            </w:r>
          </w:p>
        </w:tc>
        <w:tc>
          <w:tcPr>
            <w:tcW w:w="1168" w:type="dxa"/>
            <w:vAlign w:val="bottom"/>
          </w:tcPr>
          <w:p w14:paraId="7C5D2522" w14:textId="7423353E"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8.6</w:t>
            </w:r>
          </w:p>
        </w:tc>
        <w:tc>
          <w:tcPr>
            <w:tcW w:w="1431" w:type="dxa"/>
            <w:vAlign w:val="bottom"/>
          </w:tcPr>
          <w:p w14:paraId="1C668ECD" w14:textId="60C79749"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vAlign w:val="bottom"/>
          </w:tcPr>
          <w:p w14:paraId="25811548" w14:textId="6403AFD9" w:rsidR="00813115" w:rsidRPr="00F01EC8" w:rsidRDefault="00813115" w:rsidP="00813115">
            <w:pPr>
              <w:jc w:val="right"/>
              <w:rPr>
                <w:rFonts w:asciiTheme="minorHAnsi" w:hAnsiTheme="minorHAnsi" w:cs="Arial"/>
                <w:sz w:val="20"/>
                <w:szCs w:val="20"/>
              </w:rPr>
            </w:pPr>
            <w:r w:rsidRPr="00F01EC8">
              <w:rPr>
                <w:rFonts w:asciiTheme="minorHAnsi" w:hAnsiTheme="minorHAnsi" w:cs="Arial"/>
                <w:sz w:val="20"/>
                <w:szCs w:val="20"/>
              </w:rPr>
              <w:t>-</w:t>
            </w:r>
          </w:p>
        </w:tc>
      </w:tr>
      <w:tr w:rsidR="0020443A" w:rsidRPr="00F01EC8" w14:paraId="3ED37055" w14:textId="77777777" w:rsidTr="00AC0A5D">
        <w:tc>
          <w:tcPr>
            <w:tcW w:w="6122" w:type="dxa"/>
            <w:vAlign w:val="bottom"/>
          </w:tcPr>
          <w:p w14:paraId="032229EA" w14:textId="0A5A7153" w:rsidR="0020443A" w:rsidRPr="00F01EC8" w:rsidRDefault="0020443A" w:rsidP="0020443A">
            <w:pPr>
              <w:tabs>
                <w:tab w:val="right" w:pos="4680"/>
              </w:tabs>
              <w:rPr>
                <w:rFonts w:asciiTheme="minorHAnsi" w:hAnsiTheme="minorHAnsi" w:cs="Arial"/>
                <w:sz w:val="20"/>
                <w:szCs w:val="20"/>
              </w:rPr>
            </w:pPr>
            <w:r w:rsidRPr="00F01EC8">
              <w:rPr>
                <w:rFonts w:asciiTheme="minorHAnsi" w:hAnsiTheme="minorHAnsi" w:cs="Arial"/>
                <w:sz w:val="20"/>
                <w:szCs w:val="20"/>
              </w:rPr>
              <w:t>Used during the period</w:t>
            </w:r>
          </w:p>
        </w:tc>
        <w:tc>
          <w:tcPr>
            <w:tcW w:w="1168" w:type="dxa"/>
            <w:vAlign w:val="bottom"/>
          </w:tcPr>
          <w:p w14:paraId="50AEBA1E" w14:textId="77AA6B6B" w:rsidR="0020443A" w:rsidRPr="00F01EC8" w:rsidRDefault="0020443A" w:rsidP="0020443A">
            <w:pPr>
              <w:jc w:val="right"/>
              <w:rPr>
                <w:rFonts w:asciiTheme="minorHAnsi" w:hAnsiTheme="minorHAnsi" w:cs="Arial"/>
                <w:sz w:val="20"/>
                <w:szCs w:val="20"/>
              </w:rPr>
            </w:pPr>
            <w:r w:rsidRPr="00F01EC8">
              <w:rPr>
                <w:rFonts w:asciiTheme="minorHAnsi" w:hAnsiTheme="minorHAnsi" w:cs="Arial"/>
                <w:sz w:val="20"/>
                <w:szCs w:val="20"/>
              </w:rPr>
              <w:t>(</w:t>
            </w:r>
            <w:r w:rsidR="00813115" w:rsidRPr="00F01EC8">
              <w:rPr>
                <w:rFonts w:asciiTheme="minorHAnsi" w:hAnsiTheme="minorHAnsi" w:cs="Arial"/>
                <w:sz w:val="20"/>
                <w:szCs w:val="20"/>
              </w:rPr>
              <w:t>14.7</w:t>
            </w:r>
            <w:r w:rsidRPr="00F01EC8">
              <w:rPr>
                <w:rFonts w:asciiTheme="minorHAnsi" w:hAnsiTheme="minorHAnsi" w:cs="Arial"/>
                <w:sz w:val="20"/>
                <w:szCs w:val="20"/>
              </w:rPr>
              <w:t>)</w:t>
            </w:r>
          </w:p>
        </w:tc>
        <w:tc>
          <w:tcPr>
            <w:tcW w:w="1431" w:type="dxa"/>
            <w:vAlign w:val="bottom"/>
          </w:tcPr>
          <w:p w14:paraId="5A26EF02" w14:textId="65D6CBEA" w:rsidR="0020443A" w:rsidRPr="00F01EC8" w:rsidRDefault="0020443A" w:rsidP="0020443A">
            <w:pPr>
              <w:jc w:val="right"/>
              <w:rPr>
                <w:rFonts w:asciiTheme="minorHAnsi" w:hAnsiTheme="minorHAnsi" w:cs="Arial"/>
                <w:sz w:val="20"/>
                <w:szCs w:val="20"/>
              </w:rPr>
            </w:pPr>
            <w:r w:rsidRPr="00F01EC8">
              <w:rPr>
                <w:rFonts w:asciiTheme="minorHAnsi" w:hAnsiTheme="minorHAnsi" w:cs="Arial"/>
                <w:sz w:val="20"/>
                <w:szCs w:val="20"/>
              </w:rPr>
              <w:t>(21.9)</w:t>
            </w:r>
          </w:p>
        </w:tc>
        <w:tc>
          <w:tcPr>
            <w:tcW w:w="1168" w:type="dxa"/>
            <w:vAlign w:val="bottom"/>
          </w:tcPr>
          <w:p w14:paraId="22AC15F7" w14:textId="7C59BD7A" w:rsidR="0020443A" w:rsidRPr="00F01EC8" w:rsidRDefault="0020443A" w:rsidP="0020443A">
            <w:pPr>
              <w:jc w:val="right"/>
              <w:rPr>
                <w:rFonts w:asciiTheme="minorHAnsi" w:hAnsiTheme="minorHAnsi" w:cs="Arial"/>
                <w:sz w:val="20"/>
                <w:szCs w:val="20"/>
              </w:rPr>
            </w:pPr>
            <w:r w:rsidRPr="00F01EC8">
              <w:rPr>
                <w:rFonts w:asciiTheme="minorHAnsi" w:hAnsiTheme="minorHAnsi" w:cs="Arial"/>
                <w:sz w:val="20"/>
                <w:szCs w:val="20"/>
              </w:rPr>
              <w:t>(17.6)</w:t>
            </w:r>
          </w:p>
        </w:tc>
      </w:tr>
      <w:tr w:rsidR="0020443A" w:rsidRPr="00F01EC8" w14:paraId="67DD07FE" w14:textId="77777777" w:rsidTr="00AC0A5D">
        <w:tc>
          <w:tcPr>
            <w:tcW w:w="6122" w:type="dxa"/>
            <w:vAlign w:val="bottom"/>
          </w:tcPr>
          <w:p w14:paraId="05596646" w14:textId="53F44DA3" w:rsidR="0020443A" w:rsidRPr="00F01EC8" w:rsidRDefault="0020443A" w:rsidP="0020443A">
            <w:pPr>
              <w:tabs>
                <w:tab w:val="right" w:pos="4680"/>
              </w:tabs>
              <w:rPr>
                <w:rFonts w:asciiTheme="minorHAnsi" w:hAnsiTheme="minorHAnsi" w:cs="Arial"/>
                <w:sz w:val="20"/>
                <w:szCs w:val="20"/>
              </w:rPr>
            </w:pPr>
            <w:r w:rsidRPr="00F01EC8">
              <w:rPr>
                <w:rFonts w:asciiTheme="minorHAnsi" w:hAnsiTheme="minorHAnsi" w:cs="Arial"/>
                <w:sz w:val="20"/>
                <w:szCs w:val="20"/>
              </w:rPr>
              <w:t>Released in the period</w:t>
            </w:r>
          </w:p>
        </w:tc>
        <w:tc>
          <w:tcPr>
            <w:tcW w:w="1168" w:type="dxa"/>
            <w:vAlign w:val="bottom"/>
          </w:tcPr>
          <w:p w14:paraId="51B54B6B" w14:textId="38744F2B" w:rsidR="0020443A" w:rsidRPr="00F01EC8" w:rsidRDefault="0020443A" w:rsidP="0020443A">
            <w:pPr>
              <w:jc w:val="right"/>
              <w:rPr>
                <w:rFonts w:asciiTheme="minorHAnsi" w:hAnsiTheme="minorHAnsi" w:cs="Arial"/>
                <w:sz w:val="20"/>
                <w:szCs w:val="20"/>
              </w:rPr>
            </w:pPr>
            <w:r w:rsidRPr="00F01EC8">
              <w:rPr>
                <w:rFonts w:asciiTheme="minorHAnsi" w:hAnsiTheme="minorHAnsi" w:cs="Arial"/>
                <w:sz w:val="20"/>
                <w:szCs w:val="20"/>
              </w:rPr>
              <w:t>(8.3)</w:t>
            </w:r>
          </w:p>
        </w:tc>
        <w:tc>
          <w:tcPr>
            <w:tcW w:w="1431" w:type="dxa"/>
            <w:vAlign w:val="bottom"/>
          </w:tcPr>
          <w:p w14:paraId="331B265B" w14:textId="5A03A636" w:rsidR="0020443A" w:rsidRPr="00F01EC8" w:rsidRDefault="0020443A" w:rsidP="0020443A">
            <w:pPr>
              <w:jc w:val="right"/>
              <w:rPr>
                <w:rFonts w:asciiTheme="minorHAnsi" w:hAnsiTheme="minorHAnsi" w:cs="Arial"/>
                <w:sz w:val="20"/>
                <w:szCs w:val="20"/>
              </w:rPr>
            </w:pPr>
            <w:r w:rsidRPr="00F01EC8">
              <w:rPr>
                <w:rFonts w:asciiTheme="minorHAnsi" w:hAnsiTheme="minorHAnsi" w:cs="Arial"/>
                <w:sz w:val="20"/>
                <w:szCs w:val="20"/>
              </w:rPr>
              <w:t>(16.8)</w:t>
            </w:r>
          </w:p>
        </w:tc>
        <w:tc>
          <w:tcPr>
            <w:tcW w:w="1168" w:type="dxa"/>
            <w:vAlign w:val="bottom"/>
          </w:tcPr>
          <w:p w14:paraId="339B4CC6" w14:textId="6906A7AB" w:rsidR="0020443A" w:rsidRPr="00F01EC8" w:rsidRDefault="0020443A" w:rsidP="0020443A">
            <w:pPr>
              <w:jc w:val="right"/>
              <w:rPr>
                <w:rFonts w:asciiTheme="minorHAnsi" w:hAnsiTheme="minorHAnsi" w:cs="Arial"/>
                <w:sz w:val="20"/>
                <w:szCs w:val="20"/>
              </w:rPr>
            </w:pPr>
            <w:r w:rsidRPr="00F01EC8">
              <w:rPr>
                <w:rFonts w:asciiTheme="minorHAnsi" w:hAnsiTheme="minorHAnsi" w:cs="Arial"/>
                <w:sz w:val="20"/>
                <w:szCs w:val="20"/>
              </w:rPr>
              <w:t>-</w:t>
            </w:r>
          </w:p>
        </w:tc>
      </w:tr>
      <w:tr w:rsidR="0020443A" w:rsidRPr="00F01EC8" w14:paraId="07E2342D" w14:textId="77777777" w:rsidTr="00AC0A5D">
        <w:tc>
          <w:tcPr>
            <w:tcW w:w="6122" w:type="dxa"/>
            <w:vAlign w:val="bottom"/>
          </w:tcPr>
          <w:p w14:paraId="4DC46754" w14:textId="77777777" w:rsidR="0020443A" w:rsidRPr="00F01EC8" w:rsidRDefault="0020443A" w:rsidP="0020443A">
            <w:pPr>
              <w:rPr>
                <w:rFonts w:asciiTheme="minorHAnsi" w:hAnsiTheme="minorHAnsi" w:cs="Arial"/>
                <w:sz w:val="20"/>
                <w:szCs w:val="20"/>
                <w:lang w:val="en-US"/>
              </w:rPr>
            </w:pPr>
            <w:r w:rsidRPr="00F01EC8">
              <w:rPr>
                <w:rFonts w:asciiTheme="minorHAnsi" w:hAnsiTheme="minorHAnsi" w:cs="Arial"/>
                <w:sz w:val="20"/>
                <w:szCs w:val="20"/>
                <w:lang w:val="en-US"/>
              </w:rPr>
              <w:lastRenderedPageBreak/>
              <w:t>At the period end</w:t>
            </w:r>
          </w:p>
        </w:tc>
        <w:tc>
          <w:tcPr>
            <w:tcW w:w="1168" w:type="dxa"/>
            <w:tcBorders>
              <w:top w:val="single" w:sz="4" w:space="0" w:color="auto"/>
              <w:left w:val="nil"/>
              <w:bottom w:val="single" w:sz="12" w:space="0" w:color="auto"/>
              <w:right w:val="nil"/>
            </w:tcBorders>
            <w:vAlign w:val="bottom"/>
          </w:tcPr>
          <w:p w14:paraId="02BCD5BD" w14:textId="56FB5BF3" w:rsidR="0020443A" w:rsidRPr="00F01EC8" w:rsidRDefault="00DC660D" w:rsidP="0020443A">
            <w:pPr>
              <w:jc w:val="right"/>
              <w:rPr>
                <w:rFonts w:asciiTheme="minorHAnsi" w:hAnsiTheme="minorHAnsi" w:cs="Arial"/>
                <w:sz w:val="20"/>
                <w:szCs w:val="20"/>
                <w:lang w:val="en-US"/>
              </w:rPr>
            </w:pPr>
            <w:r w:rsidRPr="00F01EC8">
              <w:rPr>
                <w:rFonts w:asciiTheme="minorHAnsi" w:hAnsiTheme="minorHAnsi" w:cs="Arial"/>
                <w:sz w:val="20"/>
                <w:szCs w:val="20"/>
                <w:lang w:val="en-US"/>
              </w:rPr>
              <w:t>9.0</w:t>
            </w:r>
          </w:p>
        </w:tc>
        <w:tc>
          <w:tcPr>
            <w:tcW w:w="1431" w:type="dxa"/>
            <w:tcBorders>
              <w:top w:val="single" w:sz="4" w:space="0" w:color="auto"/>
              <w:left w:val="nil"/>
              <w:bottom w:val="single" w:sz="12" w:space="0" w:color="auto"/>
              <w:right w:val="nil"/>
            </w:tcBorders>
            <w:vAlign w:val="bottom"/>
          </w:tcPr>
          <w:p w14:paraId="21606D6F" w14:textId="2FAD666C" w:rsidR="0020443A" w:rsidRPr="00F01EC8" w:rsidRDefault="0020443A" w:rsidP="0020443A">
            <w:pPr>
              <w:jc w:val="right"/>
              <w:rPr>
                <w:rFonts w:asciiTheme="minorHAnsi" w:hAnsiTheme="minorHAnsi" w:cs="Arial"/>
                <w:sz w:val="20"/>
                <w:szCs w:val="20"/>
                <w:lang w:val="en-US"/>
              </w:rPr>
            </w:pPr>
            <w:r w:rsidRPr="00F01EC8">
              <w:rPr>
                <w:rFonts w:asciiTheme="minorHAnsi" w:hAnsiTheme="minorHAnsi" w:cs="Arial"/>
                <w:sz w:val="20"/>
                <w:szCs w:val="20"/>
              </w:rPr>
              <w:t>14.5 </w:t>
            </w:r>
          </w:p>
        </w:tc>
        <w:tc>
          <w:tcPr>
            <w:tcW w:w="1168" w:type="dxa"/>
            <w:tcBorders>
              <w:top w:val="single" w:sz="4" w:space="0" w:color="auto"/>
              <w:left w:val="nil"/>
              <w:bottom w:val="single" w:sz="12" w:space="0" w:color="auto"/>
              <w:right w:val="nil"/>
            </w:tcBorders>
            <w:vAlign w:val="bottom"/>
          </w:tcPr>
          <w:p w14:paraId="0B52F087" w14:textId="62A53BD3" w:rsidR="0020443A" w:rsidRPr="00F01EC8" w:rsidRDefault="0020443A" w:rsidP="0020443A">
            <w:pPr>
              <w:jc w:val="right"/>
              <w:rPr>
                <w:rFonts w:asciiTheme="minorHAnsi" w:hAnsiTheme="minorHAnsi" w:cs="Arial"/>
                <w:sz w:val="20"/>
                <w:szCs w:val="20"/>
                <w:lang w:val="en-US"/>
              </w:rPr>
            </w:pPr>
            <w:r w:rsidRPr="00F01EC8">
              <w:rPr>
                <w:rFonts w:asciiTheme="minorHAnsi" w:hAnsiTheme="minorHAnsi" w:cs="Arial"/>
                <w:sz w:val="20"/>
                <w:szCs w:val="20"/>
                <w:lang w:val="en-US"/>
              </w:rPr>
              <w:t>35.6 </w:t>
            </w:r>
          </w:p>
        </w:tc>
      </w:tr>
    </w:tbl>
    <w:p w14:paraId="0BF8609E" w14:textId="77777777" w:rsidR="00DA6694" w:rsidRPr="00F01EC8" w:rsidRDefault="00DA6694" w:rsidP="00DA6694">
      <w:pPr>
        <w:ind w:left="567" w:hanging="567"/>
        <w:jc w:val="both"/>
        <w:rPr>
          <w:rFonts w:asciiTheme="minorHAnsi" w:hAnsiTheme="minorHAnsi" w:cs="Arial"/>
          <w:b/>
          <w:sz w:val="20"/>
          <w:szCs w:val="20"/>
        </w:rPr>
      </w:pPr>
    </w:p>
    <w:p w14:paraId="23361DE1" w14:textId="49A84A9C" w:rsidR="0020443A" w:rsidRPr="00F01EC8" w:rsidRDefault="0020443A" w:rsidP="00EC48CC">
      <w:pPr>
        <w:tabs>
          <w:tab w:val="left" w:pos="500"/>
        </w:tabs>
        <w:jc w:val="both"/>
        <w:rPr>
          <w:rFonts w:asciiTheme="minorHAnsi" w:hAnsiTheme="minorHAnsi" w:cs="Arial"/>
          <w:sz w:val="20"/>
          <w:szCs w:val="20"/>
        </w:rPr>
      </w:pPr>
      <w:bookmarkStart w:id="28" w:name="_Hlk1726659"/>
      <w:r w:rsidRPr="00F01EC8">
        <w:rPr>
          <w:rFonts w:asciiTheme="minorHAnsi" w:hAnsiTheme="minorHAnsi" w:cs="Arial"/>
          <w:sz w:val="20"/>
          <w:szCs w:val="20"/>
        </w:rPr>
        <w:t>In preparing the 2020 interim financial statements, the Group has reassessed both the probability and the reliability of the estimates in settling a number of liabilities previously included within accruals. The level of certainty required to include these amounts as accruals is not evident. Therefore the existing accrual has been reclassified to provisions.</w:t>
      </w:r>
    </w:p>
    <w:p w14:paraId="6E24F7CF" w14:textId="77777777" w:rsidR="0020443A" w:rsidRPr="00F01EC8" w:rsidRDefault="0020443A" w:rsidP="00EC48CC">
      <w:pPr>
        <w:tabs>
          <w:tab w:val="left" w:pos="500"/>
        </w:tabs>
        <w:jc w:val="both"/>
        <w:rPr>
          <w:rFonts w:asciiTheme="minorHAnsi" w:hAnsiTheme="minorHAnsi" w:cs="Arial"/>
          <w:sz w:val="20"/>
          <w:szCs w:val="20"/>
        </w:rPr>
      </w:pPr>
    </w:p>
    <w:p w14:paraId="1B43AD72" w14:textId="77777777" w:rsidR="0020443A" w:rsidRPr="00F01EC8" w:rsidRDefault="0020443A" w:rsidP="00EC48CC">
      <w:pPr>
        <w:tabs>
          <w:tab w:val="left" w:pos="500"/>
        </w:tabs>
        <w:jc w:val="both"/>
        <w:rPr>
          <w:rFonts w:asciiTheme="minorHAnsi" w:hAnsiTheme="minorHAnsi" w:cs="Arial"/>
          <w:b/>
          <w:sz w:val="20"/>
          <w:szCs w:val="20"/>
        </w:rPr>
      </w:pPr>
      <w:r w:rsidRPr="00F01EC8">
        <w:rPr>
          <w:rFonts w:asciiTheme="minorHAnsi" w:hAnsiTheme="minorHAnsi" w:cs="Arial"/>
          <w:b/>
          <w:sz w:val="20"/>
          <w:szCs w:val="20"/>
        </w:rPr>
        <w:t>Vanquis Bank</w:t>
      </w:r>
    </w:p>
    <w:p w14:paraId="0E61C1F6" w14:textId="77777777" w:rsidR="0020443A" w:rsidRPr="00F01EC8" w:rsidRDefault="0020443A" w:rsidP="00EC48CC">
      <w:pPr>
        <w:tabs>
          <w:tab w:val="left" w:pos="500"/>
        </w:tabs>
        <w:jc w:val="both"/>
        <w:rPr>
          <w:rFonts w:asciiTheme="minorHAnsi" w:hAnsiTheme="minorHAnsi" w:cs="Arial"/>
          <w:sz w:val="20"/>
          <w:szCs w:val="20"/>
        </w:rPr>
      </w:pPr>
      <w:r w:rsidRPr="00F01EC8">
        <w:rPr>
          <w:rFonts w:asciiTheme="minorHAnsi" w:hAnsiTheme="minorHAnsi" w:cs="Arial"/>
          <w:sz w:val="20"/>
          <w:szCs w:val="20"/>
        </w:rPr>
        <w:t>As previously reported, Vanquis Bank agreed a settlement with the FCA into their investigation into ROP. The total estimated cost of redress settlement amounted to £172.1m and was reflected in the 2017 financial statements.</w:t>
      </w:r>
    </w:p>
    <w:p w14:paraId="575AC226" w14:textId="77777777" w:rsidR="0020443A" w:rsidRPr="00F01EC8" w:rsidRDefault="0020443A" w:rsidP="00EC48CC">
      <w:pPr>
        <w:tabs>
          <w:tab w:val="left" w:pos="500"/>
        </w:tabs>
        <w:jc w:val="both"/>
        <w:rPr>
          <w:rFonts w:asciiTheme="minorHAnsi" w:hAnsiTheme="minorHAnsi" w:cs="Arial"/>
          <w:sz w:val="20"/>
          <w:szCs w:val="20"/>
        </w:rPr>
      </w:pPr>
    </w:p>
    <w:p w14:paraId="4FD70618" w14:textId="77777777" w:rsidR="0020443A" w:rsidRPr="00F01EC8" w:rsidRDefault="0020443A" w:rsidP="00EC48CC">
      <w:pPr>
        <w:tabs>
          <w:tab w:val="left" w:pos="500"/>
        </w:tabs>
        <w:jc w:val="both"/>
        <w:rPr>
          <w:rFonts w:asciiTheme="minorHAnsi" w:hAnsiTheme="minorHAnsi" w:cs="Arial"/>
          <w:sz w:val="20"/>
          <w:szCs w:val="20"/>
        </w:rPr>
      </w:pPr>
      <w:r w:rsidRPr="00F01EC8">
        <w:rPr>
          <w:rFonts w:asciiTheme="minorHAnsi" w:hAnsiTheme="minorHAnsi" w:cs="Arial"/>
          <w:sz w:val="20"/>
          <w:szCs w:val="20"/>
        </w:rPr>
        <w:t>The ROP refund programme was completed in 2019. As a result, the provision reduced to £11.7m at 31 December 2019. A further review has been performed at 30 June 2020 to determine the level of provision required. This assessment has concluded that £2.9m provision continues to be required, as a result £8.3m has been released as an exceptional gain in the period.</w:t>
      </w:r>
    </w:p>
    <w:p w14:paraId="30EF3BB9" w14:textId="77777777" w:rsidR="009D39AC" w:rsidRPr="00F01EC8" w:rsidRDefault="009D39AC" w:rsidP="0020443A">
      <w:pPr>
        <w:tabs>
          <w:tab w:val="left" w:pos="500"/>
        </w:tabs>
        <w:jc w:val="both"/>
        <w:rPr>
          <w:rFonts w:asciiTheme="minorHAnsi" w:hAnsiTheme="minorHAnsi" w:cs="Arial"/>
          <w:sz w:val="20"/>
          <w:szCs w:val="20"/>
          <w:lang w:bidi="en-GB"/>
        </w:rPr>
      </w:pPr>
    </w:p>
    <w:p w14:paraId="499447C5" w14:textId="009692E0" w:rsidR="0020443A" w:rsidRPr="00F01EC8" w:rsidRDefault="0020443A" w:rsidP="0020443A">
      <w:pPr>
        <w:tabs>
          <w:tab w:val="left" w:pos="500"/>
        </w:tabs>
        <w:jc w:val="both"/>
        <w:rPr>
          <w:rFonts w:asciiTheme="minorHAnsi" w:hAnsiTheme="minorHAnsi" w:cs="Arial"/>
          <w:sz w:val="20"/>
          <w:szCs w:val="20"/>
          <w:lang w:bidi="en-GB"/>
        </w:rPr>
      </w:pPr>
      <w:r w:rsidRPr="00F01EC8">
        <w:rPr>
          <w:rFonts w:asciiTheme="minorHAnsi" w:hAnsiTheme="minorHAnsi" w:cs="Arial"/>
          <w:sz w:val="20"/>
          <w:szCs w:val="20"/>
          <w:lang w:bidi="en-GB"/>
        </w:rPr>
        <w:t>The remaining ROP provision principally reflects the estimated cost of the forward flow of ROP complaints more generally in respect of which compensation may need to be paid. The provision is calculated using a number of key assumptions:</w:t>
      </w:r>
    </w:p>
    <w:p w14:paraId="5892210A" w14:textId="77777777" w:rsidR="0020443A" w:rsidRPr="00F01EC8" w:rsidRDefault="0020443A" w:rsidP="00C42582">
      <w:pPr>
        <w:pStyle w:val="ListParagraph"/>
        <w:numPr>
          <w:ilvl w:val="0"/>
          <w:numId w:val="12"/>
        </w:numPr>
        <w:tabs>
          <w:tab w:val="left" w:pos="500"/>
        </w:tabs>
        <w:jc w:val="both"/>
        <w:rPr>
          <w:rFonts w:asciiTheme="minorHAnsi" w:hAnsiTheme="minorHAnsi" w:cs="Arial"/>
          <w:sz w:val="20"/>
          <w:szCs w:val="20"/>
          <w:lang w:bidi="en-GB"/>
        </w:rPr>
      </w:pPr>
      <w:r w:rsidRPr="00F01EC8">
        <w:rPr>
          <w:rFonts w:asciiTheme="minorHAnsi" w:hAnsiTheme="minorHAnsi" w:cs="Arial"/>
          <w:sz w:val="20"/>
          <w:szCs w:val="20"/>
          <w:lang w:bidi="en-GB"/>
        </w:rPr>
        <w:t>customer complaints volumes – an estimate of future claims which may be initiated by customers where the volume is anticipated to cease after 31 December 2021;</w:t>
      </w:r>
    </w:p>
    <w:p w14:paraId="790A599E" w14:textId="77777777" w:rsidR="0020443A" w:rsidRPr="00F01EC8" w:rsidRDefault="0020443A" w:rsidP="00C42582">
      <w:pPr>
        <w:pStyle w:val="ListParagraph"/>
        <w:numPr>
          <w:ilvl w:val="0"/>
          <w:numId w:val="12"/>
        </w:numPr>
        <w:tabs>
          <w:tab w:val="left" w:pos="500"/>
        </w:tabs>
        <w:jc w:val="both"/>
        <w:rPr>
          <w:rFonts w:asciiTheme="minorHAnsi" w:hAnsiTheme="minorHAnsi" w:cs="Arial"/>
          <w:sz w:val="20"/>
          <w:szCs w:val="20"/>
          <w:lang w:bidi="en-GB"/>
        </w:rPr>
      </w:pPr>
      <w:r w:rsidRPr="00F01EC8">
        <w:rPr>
          <w:rFonts w:asciiTheme="minorHAnsi" w:hAnsiTheme="minorHAnsi" w:cs="Arial"/>
          <w:sz w:val="20"/>
          <w:szCs w:val="20"/>
          <w:lang w:bidi="en-GB"/>
        </w:rPr>
        <w:t>average claim redress – the expected average payment to customers for upheld claims; and</w:t>
      </w:r>
    </w:p>
    <w:p w14:paraId="1D1CEC33" w14:textId="77777777" w:rsidR="0020443A" w:rsidRPr="00F01EC8" w:rsidRDefault="0020443A" w:rsidP="00C42582">
      <w:pPr>
        <w:pStyle w:val="ListParagraph"/>
        <w:numPr>
          <w:ilvl w:val="0"/>
          <w:numId w:val="12"/>
        </w:numPr>
        <w:tabs>
          <w:tab w:val="left" w:pos="500"/>
        </w:tabs>
        <w:jc w:val="both"/>
        <w:rPr>
          <w:rFonts w:asciiTheme="minorHAnsi" w:hAnsiTheme="minorHAnsi" w:cs="Arial"/>
          <w:sz w:val="20"/>
          <w:szCs w:val="20"/>
          <w:lang w:bidi="en-GB"/>
        </w:rPr>
      </w:pPr>
      <w:r w:rsidRPr="00F01EC8">
        <w:rPr>
          <w:rFonts w:asciiTheme="minorHAnsi" w:hAnsiTheme="minorHAnsi" w:cs="Arial"/>
          <w:sz w:val="20"/>
          <w:szCs w:val="20"/>
          <w:lang w:bidi="en-GB"/>
        </w:rPr>
        <w:t>customer and FOS complaints upheld rates – the number of claims redressed as a percentage of total claims received.</w:t>
      </w:r>
    </w:p>
    <w:p w14:paraId="799E2648" w14:textId="77777777" w:rsidR="0020443A" w:rsidRPr="00F01EC8" w:rsidRDefault="0020443A" w:rsidP="0020443A">
      <w:pPr>
        <w:tabs>
          <w:tab w:val="left" w:pos="500"/>
        </w:tabs>
        <w:jc w:val="both"/>
        <w:rPr>
          <w:rFonts w:asciiTheme="minorHAnsi" w:hAnsiTheme="minorHAnsi" w:cs="Arial"/>
          <w:sz w:val="20"/>
          <w:szCs w:val="20"/>
          <w:lang w:bidi="en-GB"/>
        </w:rPr>
      </w:pPr>
    </w:p>
    <w:p w14:paraId="432F9C7B" w14:textId="77777777" w:rsidR="0020443A" w:rsidRPr="00F01EC8" w:rsidRDefault="0020443A" w:rsidP="0020443A">
      <w:pPr>
        <w:tabs>
          <w:tab w:val="left" w:pos="500"/>
        </w:tabs>
        <w:jc w:val="both"/>
        <w:rPr>
          <w:rFonts w:asciiTheme="minorHAnsi" w:hAnsiTheme="minorHAnsi" w:cs="Arial"/>
          <w:b/>
          <w:sz w:val="20"/>
          <w:szCs w:val="20"/>
        </w:rPr>
      </w:pPr>
      <w:r w:rsidRPr="00F01EC8">
        <w:rPr>
          <w:rFonts w:asciiTheme="minorHAnsi" w:hAnsiTheme="minorHAnsi" w:cs="Arial"/>
          <w:b/>
          <w:sz w:val="20"/>
          <w:szCs w:val="20"/>
        </w:rPr>
        <w:t>Moneybarn</w:t>
      </w:r>
    </w:p>
    <w:p w14:paraId="1492EC22" w14:textId="77777777" w:rsidR="0020443A" w:rsidRPr="00F01EC8" w:rsidRDefault="0020443A" w:rsidP="0020443A">
      <w:pPr>
        <w:tabs>
          <w:tab w:val="left" w:pos="500"/>
        </w:tabs>
        <w:jc w:val="both"/>
        <w:rPr>
          <w:rFonts w:asciiTheme="minorHAnsi" w:hAnsiTheme="minorHAnsi" w:cs="Arial"/>
          <w:sz w:val="20"/>
          <w:szCs w:val="20"/>
        </w:rPr>
      </w:pPr>
      <w:r w:rsidRPr="00F01EC8">
        <w:rPr>
          <w:rFonts w:asciiTheme="minorHAnsi" w:hAnsiTheme="minorHAnsi" w:cs="Arial"/>
          <w:sz w:val="20"/>
          <w:szCs w:val="20"/>
        </w:rPr>
        <w:t>As previously reported, a provision of £20.0m was reflected in respect of the FCA’s investigation into affordability, forbearance and termination options at Moneybarn. The provision comprised a £12.1m balance adjustment to receivables with the remaining £7.9m reflected as a provision in respect of potential cash restitution, administration costs and an FCA fine.</w:t>
      </w:r>
    </w:p>
    <w:p w14:paraId="637998D6" w14:textId="77777777" w:rsidR="0020443A" w:rsidRPr="00F01EC8" w:rsidRDefault="0020443A" w:rsidP="0020443A">
      <w:pPr>
        <w:tabs>
          <w:tab w:val="left" w:pos="500"/>
        </w:tabs>
        <w:jc w:val="both"/>
        <w:rPr>
          <w:rFonts w:asciiTheme="minorHAnsi" w:hAnsiTheme="minorHAnsi" w:cs="Arial"/>
          <w:sz w:val="20"/>
          <w:szCs w:val="20"/>
        </w:rPr>
      </w:pPr>
    </w:p>
    <w:p w14:paraId="4AE92455" w14:textId="77777777" w:rsidR="0020443A" w:rsidRPr="00F01EC8" w:rsidRDefault="0020443A" w:rsidP="0020443A">
      <w:pPr>
        <w:tabs>
          <w:tab w:val="left" w:pos="500"/>
        </w:tabs>
        <w:jc w:val="both"/>
        <w:rPr>
          <w:rFonts w:asciiTheme="minorHAnsi" w:hAnsiTheme="minorHAnsi" w:cs="Arial"/>
          <w:sz w:val="20"/>
          <w:szCs w:val="20"/>
        </w:rPr>
      </w:pPr>
      <w:r w:rsidRPr="00F01EC8">
        <w:rPr>
          <w:rFonts w:asciiTheme="minorHAnsi" w:hAnsiTheme="minorHAnsi" w:cs="Arial"/>
          <w:sz w:val="20"/>
          <w:szCs w:val="20"/>
        </w:rPr>
        <w:t xml:space="preserve">At 31 December 2019, a provision of £2.8m remained, reflecting the estimated fine payable on completion of the investigation. The amount was paid to the FCA on 18 February 2020. </w:t>
      </w:r>
    </w:p>
    <w:p w14:paraId="6D239B81" w14:textId="77777777" w:rsidR="0020443A" w:rsidRPr="00F01EC8" w:rsidRDefault="0020443A" w:rsidP="0020443A">
      <w:pPr>
        <w:tabs>
          <w:tab w:val="left" w:pos="500"/>
        </w:tabs>
        <w:jc w:val="both"/>
        <w:rPr>
          <w:rFonts w:asciiTheme="minorHAnsi" w:hAnsiTheme="minorHAnsi" w:cs="Arial"/>
          <w:sz w:val="20"/>
          <w:szCs w:val="20"/>
          <w:lang w:bidi="en-GB"/>
        </w:rPr>
      </w:pPr>
    </w:p>
    <w:p w14:paraId="0A11A0C6" w14:textId="77777777" w:rsidR="0020443A" w:rsidRPr="00F01EC8" w:rsidRDefault="0020443A" w:rsidP="0020443A">
      <w:pPr>
        <w:tabs>
          <w:tab w:val="left" w:pos="500"/>
        </w:tabs>
        <w:jc w:val="both"/>
        <w:rPr>
          <w:rFonts w:asciiTheme="minorHAnsi" w:hAnsiTheme="minorHAnsi" w:cs="Arial"/>
          <w:b/>
          <w:sz w:val="20"/>
          <w:szCs w:val="20"/>
        </w:rPr>
      </w:pPr>
      <w:r w:rsidRPr="00F01EC8">
        <w:rPr>
          <w:rFonts w:asciiTheme="minorHAnsi" w:hAnsiTheme="minorHAnsi" w:cs="Arial"/>
          <w:b/>
          <w:sz w:val="20"/>
          <w:szCs w:val="20"/>
        </w:rPr>
        <w:t>Complaints</w:t>
      </w:r>
    </w:p>
    <w:p w14:paraId="6151779C" w14:textId="35F5567A" w:rsidR="0020443A" w:rsidRPr="00F01EC8" w:rsidRDefault="0020443A" w:rsidP="0020443A">
      <w:pPr>
        <w:tabs>
          <w:tab w:val="left" w:pos="500"/>
        </w:tabs>
        <w:jc w:val="both"/>
        <w:rPr>
          <w:rFonts w:asciiTheme="minorHAnsi" w:hAnsiTheme="minorHAnsi" w:cs="Arial"/>
          <w:sz w:val="20"/>
          <w:szCs w:val="20"/>
          <w:lang w:bidi="en-GB"/>
        </w:rPr>
      </w:pPr>
      <w:r w:rsidRPr="00F01EC8">
        <w:rPr>
          <w:rFonts w:asciiTheme="minorHAnsi" w:hAnsiTheme="minorHAnsi" w:cs="Arial"/>
          <w:sz w:val="20"/>
          <w:szCs w:val="20"/>
        </w:rPr>
        <w:t xml:space="preserve">Claims raised </w:t>
      </w:r>
      <w:r w:rsidR="003A6130" w:rsidRPr="00F01EC8">
        <w:rPr>
          <w:rFonts w:asciiTheme="minorHAnsi" w:hAnsiTheme="minorHAnsi" w:cs="Arial"/>
          <w:sz w:val="20"/>
          <w:szCs w:val="20"/>
        </w:rPr>
        <w:t>which could subsequently be referred to</w:t>
      </w:r>
      <w:r w:rsidRPr="00F01EC8">
        <w:rPr>
          <w:rFonts w:asciiTheme="minorHAnsi" w:hAnsiTheme="minorHAnsi" w:cs="Arial"/>
          <w:sz w:val="20"/>
          <w:szCs w:val="20"/>
        </w:rPr>
        <w:t xml:space="preserve"> the Financial Ombudsman Servic</w:t>
      </w:r>
      <w:r w:rsidR="000B1423" w:rsidRPr="00F01EC8">
        <w:rPr>
          <w:rFonts w:asciiTheme="minorHAnsi" w:hAnsiTheme="minorHAnsi" w:cs="Arial"/>
          <w:sz w:val="20"/>
          <w:szCs w:val="20"/>
        </w:rPr>
        <w:t>e (FOS) against CCD. See note 13</w:t>
      </w:r>
      <w:r w:rsidRPr="00F01EC8">
        <w:rPr>
          <w:rFonts w:asciiTheme="minorHAnsi" w:hAnsiTheme="minorHAnsi" w:cs="Arial"/>
          <w:sz w:val="20"/>
          <w:szCs w:val="20"/>
        </w:rPr>
        <w:t xml:space="preserve"> below.</w:t>
      </w:r>
      <w:r w:rsidRPr="00F01EC8">
        <w:rPr>
          <w:rFonts w:asciiTheme="minorHAnsi" w:hAnsiTheme="minorHAnsi" w:cs="Arial"/>
          <w:sz w:val="20"/>
          <w:szCs w:val="20"/>
          <w:lang w:bidi="en-GB"/>
        </w:rPr>
        <w:t xml:space="preserve"> </w:t>
      </w:r>
    </w:p>
    <w:p w14:paraId="19D32A75" w14:textId="77777777" w:rsidR="000B1423" w:rsidRPr="00F01EC8" w:rsidRDefault="000B1423" w:rsidP="0020443A">
      <w:pPr>
        <w:tabs>
          <w:tab w:val="left" w:pos="500"/>
        </w:tabs>
        <w:jc w:val="both"/>
        <w:rPr>
          <w:rFonts w:asciiTheme="minorHAnsi" w:hAnsiTheme="minorHAnsi" w:cs="Arial"/>
          <w:sz w:val="20"/>
          <w:szCs w:val="20"/>
          <w:lang w:bidi="en-GB"/>
        </w:rPr>
      </w:pPr>
    </w:p>
    <w:p w14:paraId="7ADE7E71" w14:textId="7D88AABD" w:rsidR="000B1423" w:rsidRPr="00F01EC8" w:rsidRDefault="000B1423">
      <w:pPr>
        <w:rPr>
          <w:rFonts w:asciiTheme="minorHAnsi" w:hAnsiTheme="minorHAnsi" w:cs="Arial"/>
          <w:b/>
          <w:sz w:val="20"/>
          <w:szCs w:val="20"/>
        </w:rPr>
      </w:pPr>
    </w:p>
    <w:p w14:paraId="5F9EA067" w14:textId="70EE4652" w:rsidR="000B1423" w:rsidRPr="00F01EC8" w:rsidRDefault="000B1423" w:rsidP="000B1423">
      <w:pPr>
        <w:ind w:left="567" w:hanging="567"/>
        <w:jc w:val="both"/>
        <w:rPr>
          <w:rFonts w:asciiTheme="minorHAnsi" w:hAnsiTheme="minorHAnsi" w:cs="Arial"/>
          <w:b/>
          <w:sz w:val="20"/>
          <w:szCs w:val="20"/>
        </w:rPr>
      </w:pPr>
      <w:r w:rsidRPr="00F01EC8">
        <w:rPr>
          <w:rFonts w:asciiTheme="minorHAnsi" w:hAnsiTheme="minorHAnsi" w:cs="Arial"/>
          <w:b/>
          <w:sz w:val="20"/>
          <w:szCs w:val="20"/>
        </w:rPr>
        <w:t xml:space="preserve">13.    </w:t>
      </w:r>
      <w:r w:rsidRPr="00F01EC8">
        <w:rPr>
          <w:rFonts w:asciiTheme="minorHAnsi" w:hAnsiTheme="minorHAnsi" w:cs="Arial"/>
          <w:b/>
          <w:sz w:val="20"/>
          <w:szCs w:val="20"/>
        </w:rPr>
        <w:tab/>
        <w:t>Contingent liabilities</w:t>
      </w:r>
    </w:p>
    <w:p w14:paraId="637C7F49" w14:textId="77777777" w:rsidR="000B1423" w:rsidRPr="00F01EC8" w:rsidRDefault="000B1423" w:rsidP="000B1423">
      <w:pPr>
        <w:tabs>
          <w:tab w:val="left" w:pos="500"/>
        </w:tabs>
        <w:jc w:val="both"/>
        <w:rPr>
          <w:rFonts w:asciiTheme="minorHAnsi" w:hAnsiTheme="minorHAnsi" w:cs="Arial"/>
          <w:sz w:val="20"/>
          <w:szCs w:val="20"/>
        </w:rPr>
      </w:pPr>
    </w:p>
    <w:p w14:paraId="3A2BF4A1" w14:textId="77777777" w:rsidR="000B1423" w:rsidRPr="00F01EC8" w:rsidRDefault="000B1423" w:rsidP="000B1423">
      <w:pPr>
        <w:tabs>
          <w:tab w:val="left" w:pos="500"/>
        </w:tabs>
        <w:jc w:val="both"/>
        <w:rPr>
          <w:rFonts w:asciiTheme="minorHAnsi" w:hAnsiTheme="minorHAnsi" w:cs="Arial"/>
          <w:b/>
          <w:sz w:val="20"/>
          <w:szCs w:val="20"/>
        </w:rPr>
      </w:pPr>
      <w:r w:rsidRPr="00F01EC8">
        <w:rPr>
          <w:rFonts w:asciiTheme="minorHAnsi" w:hAnsiTheme="minorHAnsi" w:cs="Arial"/>
          <w:b/>
          <w:sz w:val="20"/>
          <w:szCs w:val="20"/>
        </w:rPr>
        <w:t>Challenge to self-employed status of UK home credit agents</w:t>
      </w:r>
    </w:p>
    <w:p w14:paraId="1CE0F581" w14:textId="77777777" w:rsidR="000B1423" w:rsidRPr="00F01EC8" w:rsidRDefault="000B1423" w:rsidP="00EC48CC">
      <w:pPr>
        <w:tabs>
          <w:tab w:val="left" w:pos="500"/>
        </w:tabs>
        <w:jc w:val="both"/>
        <w:rPr>
          <w:rFonts w:asciiTheme="minorHAnsi" w:hAnsiTheme="minorHAnsi" w:cs="Arial"/>
          <w:sz w:val="20"/>
          <w:szCs w:val="20"/>
        </w:rPr>
      </w:pPr>
      <w:r w:rsidRPr="00F01EC8">
        <w:rPr>
          <w:rFonts w:asciiTheme="minorHAnsi" w:hAnsiTheme="minorHAnsi" w:cs="Arial"/>
          <w:sz w:val="20"/>
          <w:szCs w:val="20"/>
        </w:rPr>
        <w:t xml:space="preserve">It is understood from discussions with HMRC that they have commenced an industry wide review of the self-employed status of agents. </w:t>
      </w:r>
    </w:p>
    <w:p w14:paraId="7D372210" w14:textId="77777777" w:rsidR="000B1423" w:rsidRPr="00F01EC8" w:rsidRDefault="000B1423" w:rsidP="00EC48CC">
      <w:pPr>
        <w:tabs>
          <w:tab w:val="left" w:pos="500"/>
        </w:tabs>
        <w:jc w:val="both"/>
        <w:rPr>
          <w:rFonts w:asciiTheme="minorHAnsi" w:hAnsiTheme="minorHAnsi" w:cs="Arial"/>
          <w:sz w:val="20"/>
          <w:szCs w:val="20"/>
        </w:rPr>
      </w:pPr>
    </w:p>
    <w:p w14:paraId="4722B59A" w14:textId="1A0E7B12" w:rsidR="000B1423" w:rsidRPr="00F01EC8" w:rsidRDefault="000B1423" w:rsidP="00EC48CC">
      <w:pPr>
        <w:tabs>
          <w:tab w:val="left" w:pos="500"/>
        </w:tabs>
        <w:jc w:val="both"/>
        <w:rPr>
          <w:rFonts w:asciiTheme="minorHAnsi" w:hAnsiTheme="minorHAnsi" w:cs="Arial"/>
          <w:sz w:val="20"/>
          <w:szCs w:val="20"/>
        </w:rPr>
      </w:pPr>
      <w:r w:rsidRPr="00F01EC8">
        <w:rPr>
          <w:rFonts w:asciiTheme="minorHAnsi" w:hAnsiTheme="minorHAnsi" w:cs="Arial"/>
          <w:sz w:val="20"/>
          <w:szCs w:val="20"/>
        </w:rPr>
        <w:t>In July 2017, the Group changed its home credit operating model in the UK from a self-employed agent model to an employed workforce</w:t>
      </w:r>
      <w:r w:rsidR="005830CF" w:rsidRPr="00F01EC8">
        <w:rPr>
          <w:rFonts w:asciiTheme="minorHAnsi" w:hAnsiTheme="minorHAnsi" w:cs="Arial"/>
          <w:sz w:val="20"/>
          <w:szCs w:val="20"/>
        </w:rPr>
        <w:t xml:space="preserve"> to take control of all aspects of the customer relationship.</w:t>
      </w:r>
    </w:p>
    <w:p w14:paraId="412AE514" w14:textId="44A5BA33" w:rsidR="000B1423" w:rsidRPr="00F01EC8" w:rsidRDefault="000B1423" w:rsidP="00EC48CC">
      <w:pPr>
        <w:jc w:val="both"/>
        <w:rPr>
          <w:rFonts w:asciiTheme="minorHAnsi" w:hAnsiTheme="minorHAnsi" w:cs="Arial"/>
          <w:b/>
          <w:sz w:val="20"/>
          <w:szCs w:val="20"/>
        </w:rPr>
      </w:pPr>
    </w:p>
    <w:p w14:paraId="4EA0C536" w14:textId="3D1A9204" w:rsidR="000B1423" w:rsidRPr="00EC48CC" w:rsidRDefault="000B1423" w:rsidP="00EC48CC">
      <w:pPr>
        <w:tabs>
          <w:tab w:val="left" w:pos="500"/>
        </w:tabs>
        <w:jc w:val="both"/>
        <w:rPr>
          <w:rFonts w:asciiTheme="minorHAnsi" w:hAnsiTheme="minorHAnsi" w:cs="Arial"/>
          <w:b/>
          <w:sz w:val="20"/>
          <w:szCs w:val="20"/>
        </w:rPr>
      </w:pPr>
      <w:r w:rsidRPr="00F01EC8">
        <w:rPr>
          <w:rFonts w:asciiTheme="minorHAnsi" w:hAnsiTheme="minorHAnsi" w:cs="Arial"/>
          <w:sz w:val="20"/>
          <w:szCs w:val="20"/>
        </w:rPr>
        <w:t>The Group’s discussions with HMRC, which are focusing on the period from when the FCA took over responsibility for the regulation of consumer credit in April 2014 to the change of operating model in July 2017, remain in the initial fact</w:t>
      </w:r>
      <w:r w:rsidR="00EC48CC">
        <w:rPr>
          <w:rFonts w:asciiTheme="minorHAnsi" w:hAnsiTheme="minorHAnsi" w:cs="Arial"/>
          <w:sz w:val="20"/>
          <w:szCs w:val="20"/>
        </w:rPr>
        <w:t>-</w:t>
      </w:r>
      <w:r w:rsidRPr="00F01EC8">
        <w:rPr>
          <w:rFonts w:asciiTheme="minorHAnsi" w:hAnsiTheme="minorHAnsi" w:cs="Arial"/>
          <w:sz w:val="20"/>
          <w:szCs w:val="20"/>
        </w:rPr>
        <w:t xml:space="preserve">finding stages.  The Group is working positively and collaboratively with HMRC and it is expected that the review could continue for at least another year.  </w:t>
      </w:r>
    </w:p>
    <w:p w14:paraId="08BA8F7F" w14:textId="77777777" w:rsidR="000B1423" w:rsidRPr="00F01EC8" w:rsidRDefault="000B1423" w:rsidP="00EC48CC">
      <w:pPr>
        <w:tabs>
          <w:tab w:val="left" w:pos="500"/>
        </w:tabs>
        <w:jc w:val="both"/>
        <w:rPr>
          <w:rFonts w:asciiTheme="minorHAnsi" w:hAnsiTheme="minorHAnsi" w:cs="Arial"/>
          <w:sz w:val="20"/>
          <w:szCs w:val="20"/>
        </w:rPr>
      </w:pPr>
    </w:p>
    <w:p w14:paraId="781FBDAC" w14:textId="77777777" w:rsidR="000B1423" w:rsidRPr="00F01EC8" w:rsidRDefault="000B1423" w:rsidP="00EC48CC">
      <w:pPr>
        <w:tabs>
          <w:tab w:val="left" w:pos="500"/>
        </w:tabs>
        <w:jc w:val="both"/>
        <w:rPr>
          <w:rFonts w:asciiTheme="minorHAnsi" w:hAnsiTheme="minorHAnsi" w:cs="Arial"/>
          <w:sz w:val="20"/>
          <w:szCs w:val="20"/>
        </w:rPr>
      </w:pPr>
      <w:r w:rsidRPr="00F01EC8">
        <w:rPr>
          <w:rFonts w:asciiTheme="minorHAnsi" w:hAnsiTheme="minorHAnsi" w:cs="Arial"/>
          <w:sz w:val="20"/>
          <w:szCs w:val="20"/>
        </w:rPr>
        <w:t xml:space="preserve">Were the Group to be unsuccessful in defending the historic self-employed position of agents, it may be required to pay additional taxes, in particular national insurance contributions, on the commission it paid to agents in the UK for the years concerned. As discussions with HMRC remain in the preliminary stages and the Group does not know the amounts of tax and national insurance contributions paid by agents through self-assessment which are available for offset, it is difficult to calculate an accurate liability should the Group be unsuccessful in defending the position. HMRC has raised protective assessments which have all been appealed but these are purely a procedural matter to ensure that, in the </w:t>
      </w:r>
      <w:r w:rsidRPr="00F01EC8">
        <w:rPr>
          <w:rFonts w:asciiTheme="minorHAnsi" w:hAnsiTheme="minorHAnsi" w:cs="Arial"/>
          <w:sz w:val="20"/>
          <w:szCs w:val="20"/>
        </w:rPr>
        <w:lastRenderedPageBreak/>
        <w:t>event the review concludes that taxes are payable, HMRC can recover such amounts in respect of the oldest year that would otherwise drop out due to the lapse of statutory time limits.</w:t>
      </w:r>
    </w:p>
    <w:p w14:paraId="74BC54B6" w14:textId="77777777" w:rsidR="000B1423" w:rsidRPr="00F01EC8" w:rsidRDefault="000B1423" w:rsidP="000B1423">
      <w:pPr>
        <w:tabs>
          <w:tab w:val="left" w:pos="500"/>
        </w:tabs>
        <w:jc w:val="both"/>
        <w:rPr>
          <w:rFonts w:asciiTheme="minorHAnsi" w:hAnsiTheme="minorHAnsi" w:cs="Arial"/>
          <w:sz w:val="20"/>
          <w:szCs w:val="20"/>
        </w:rPr>
      </w:pPr>
      <w:r w:rsidRPr="00F01EC8">
        <w:rPr>
          <w:rFonts w:asciiTheme="minorHAnsi" w:hAnsiTheme="minorHAnsi" w:cs="Arial"/>
          <w:sz w:val="20"/>
          <w:szCs w:val="20"/>
        </w:rPr>
        <w:t xml:space="preserve"> </w:t>
      </w:r>
    </w:p>
    <w:p w14:paraId="780AB33D" w14:textId="77777777" w:rsidR="000B1423" w:rsidRPr="00F01EC8" w:rsidRDefault="000B1423" w:rsidP="000B1423">
      <w:pPr>
        <w:tabs>
          <w:tab w:val="left" w:pos="500"/>
        </w:tabs>
        <w:jc w:val="both"/>
        <w:rPr>
          <w:rFonts w:asciiTheme="minorHAnsi" w:hAnsiTheme="minorHAnsi" w:cs="Arial"/>
          <w:sz w:val="20"/>
          <w:szCs w:val="20"/>
        </w:rPr>
      </w:pPr>
      <w:r w:rsidRPr="00F01EC8">
        <w:rPr>
          <w:rFonts w:asciiTheme="minorHAnsi" w:hAnsiTheme="minorHAnsi" w:cs="Arial"/>
          <w:sz w:val="20"/>
          <w:szCs w:val="20"/>
        </w:rPr>
        <w:t>The Group has worked with HMRC over many years to manage employment status risk and it remains confident based on the advice received that agents were self-employed as a matter of law throughout their engagement by the home credit business.</w:t>
      </w:r>
    </w:p>
    <w:p w14:paraId="1C74E84C" w14:textId="77777777" w:rsidR="009D39AC" w:rsidRPr="00F01EC8" w:rsidRDefault="009D39AC" w:rsidP="000B1423">
      <w:pPr>
        <w:tabs>
          <w:tab w:val="left" w:pos="500"/>
        </w:tabs>
        <w:jc w:val="both"/>
        <w:rPr>
          <w:rFonts w:asciiTheme="minorHAnsi" w:hAnsiTheme="minorHAnsi" w:cs="Arial"/>
          <w:b/>
          <w:sz w:val="20"/>
          <w:szCs w:val="20"/>
        </w:rPr>
      </w:pPr>
    </w:p>
    <w:p w14:paraId="3093E30D" w14:textId="666E7C91" w:rsidR="000B1423" w:rsidRPr="00F01EC8" w:rsidRDefault="000B1423" w:rsidP="000B1423">
      <w:pPr>
        <w:tabs>
          <w:tab w:val="left" w:pos="500"/>
        </w:tabs>
        <w:jc w:val="both"/>
        <w:rPr>
          <w:rFonts w:asciiTheme="minorHAnsi" w:hAnsiTheme="minorHAnsi" w:cs="Arial"/>
          <w:b/>
          <w:sz w:val="20"/>
          <w:szCs w:val="20"/>
        </w:rPr>
      </w:pPr>
      <w:r w:rsidRPr="00F01EC8">
        <w:rPr>
          <w:rFonts w:asciiTheme="minorHAnsi" w:hAnsiTheme="minorHAnsi" w:cs="Arial"/>
          <w:b/>
          <w:sz w:val="20"/>
          <w:szCs w:val="20"/>
        </w:rPr>
        <w:t>Irresponsible lending complaints and the Financial Ombudsman Service (FOS)</w:t>
      </w:r>
    </w:p>
    <w:p w14:paraId="4D79AB48" w14:textId="77777777" w:rsidR="000B1423" w:rsidRPr="00F01EC8" w:rsidRDefault="000B1423" w:rsidP="000B1423">
      <w:pPr>
        <w:jc w:val="both"/>
        <w:rPr>
          <w:rFonts w:asciiTheme="minorHAnsi" w:hAnsiTheme="minorHAnsi"/>
          <w:iCs/>
          <w:sz w:val="20"/>
          <w:szCs w:val="20"/>
          <w:lang w:val="en-US"/>
        </w:rPr>
      </w:pPr>
      <w:r w:rsidRPr="00F01EC8">
        <w:rPr>
          <w:rFonts w:asciiTheme="minorHAnsi" w:hAnsiTheme="minorHAnsi"/>
          <w:iCs/>
          <w:sz w:val="20"/>
          <w:szCs w:val="20"/>
          <w:lang w:val="en-US"/>
        </w:rPr>
        <w:t>There continues to be heightened Claims Management Company (CMC) activity in relation to non-standard lending, particularly in respect of irresponsible lending in high-cost credit and more recently in-home credit. As a result, CCD has seen an increase in the number of such complaints during 2020. An increasing proportion of complaints are being managed internally, reducing referrals to the FOS. CCD continues to robustly defend inappropriate or unsubstantiated claims.</w:t>
      </w:r>
    </w:p>
    <w:p w14:paraId="4FACD414" w14:textId="77777777" w:rsidR="000B1423" w:rsidRPr="00F01EC8" w:rsidRDefault="000B1423" w:rsidP="000B1423">
      <w:pPr>
        <w:jc w:val="both"/>
        <w:rPr>
          <w:rFonts w:asciiTheme="minorHAnsi" w:hAnsiTheme="minorHAnsi"/>
          <w:iCs/>
          <w:sz w:val="20"/>
          <w:szCs w:val="20"/>
          <w:lang w:val="en-US"/>
        </w:rPr>
      </w:pPr>
    </w:p>
    <w:p w14:paraId="3450E4D3" w14:textId="77777777" w:rsidR="000B1423" w:rsidRPr="00F01EC8" w:rsidRDefault="000B1423" w:rsidP="000B1423">
      <w:pPr>
        <w:jc w:val="both"/>
        <w:rPr>
          <w:rFonts w:asciiTheme="minorHAnsi" w:hAnsiTheme="minorHAnsi"/>
          <w:iCs/>
          <w:sz w:val="20"/>
          <w:szCs w:val="20"/>
          <w:lang w:val="en-US"/>
        </w:rPr>
      </w:pPr>
      <w:r w:rsidRPr="00F01EC8">
        <w:rPr>
          <w:rFonts w:asciiTheme="minorHAnsi" w:hAnsiTheme="minorHAnsi"/>
          <w:iCs/>
          <w:sz w:val="20"/>
          <w:szCs w:val="20"/>
          <w:lang w:val="en-US"/>
        </w:rPr>
        <w:t>CCD incurs the cost of settling complaints as part of its normal business as usual activity. However, were the Group to be unsuccessful in defending certain irresponsible lending complaints referred to above, it may lead to a material increase in the cost of settling such complaints. It is not possible to calculate the aggregated increased cost of such a scenario.</w:t>
      </w:r>
    </w:p>
    <w:p w14:paraId="1E67392A" w14:textId="77777777" w:rsidR="000B1423" w:rsidRPr="00F01EC8" w:rsidRDefault="000B1423" w:rsidP="000B1423">
      <w:pPr>
        <w:tabs>
          <w:tab w:val="left" w:pos="500"/>
        </w:tabs>
        <w:jc w:val="both"/>
        <w:rPr>
          <w:rFonts w:asciiTheme="minorHAnsi" w:hAnsiTheme="minorHAnsi" w:cs="Arial"/>
          <w:sz w:val="20"/>
          <w:szCs w:val="20"/>
        </w:rPr>
      </w:pPr>
    </w:p>
    <w:p w14:paraId="7908B0CF" w14:textId="77777777" w:rsidR="000B1423" w:rsidRPr="00F01EC8" w:rsidRDefault="000B1423" w:rsidP="000B1423">
      <w:pPr>
        <w:tabs>
          <w:tab w:val="left" w:pos="500"/>
        </w:tabs>
        <w:jc w:val="both"/>
        <w:rPr>
          <w:rFonts w:asciiTheme="minorHAnsi" w:hAnsiTheme="minorHAnsi" w:cs="Arial"/>
          <w:b/>
          <w:sz w:val="20"/>
          <w:szCs w:val="20"/>
        </w:rPr>
      </w:pPr>
      <w:r w:rsidRPr="00F01EC8">
        <w:rPr>
          <w:rFonts w:asciiTheme="minorHAnsi" w:hAnsiTheme="minorHAnsi" w:cs="Arial"/>
          <w:b/>
          <w:sz w:val="20"/>
          <w:szCs w:val="20"/>
        </w:rPr>
        <w:t>Other legal actions and regulatory matters</w:t>
      </w:r>
    </w:p>
    <w:p w14:paraId="5D73EA03" w14:textId="721F6896" w:rsidR="000B1423" w:rsidRPr="00F01EC8" w:rsidRDefault="000B1423" w:rsidP="000B1423">
      <w:pPr>
        <w:tabs>
          <w:tab w:val="left" w:pos="500"/>
        </w:tabs>
        <w:jc w:val="both"/>
        <w:rPr>
          <w:rFonts w:asciiTheme="minorHAnsi" w:hAnsiTheme="minorHAnsi" w:cs="Arial"/>
          <w:sz w:val="20"/>
          <w:szCs w:val="20"/>
        </w:rPr>
      </w:pPr>
      <w:r w:rsidRPr="00F01EC8">
        <w:rPr>
          <w:rFonts w:asciiTheme="minorHAnsi" w:hAnsiTheme="minorHAnsi" w:cs="Arial"/>
          <w:sz w:val="20"/>
          <w:szCs w:val="20"/>
        </w:rPr>
        <w:t xml:space="preserve">In addition, during the ordinary course of business the </w:t>
      </w:r>
      <w:r w:rsidR="005714EF">
        <w:rPr>
          <w:rFonts w:asciiTheme="minorHAnsi" w:hAnsiTheme="minorHAnsi" w:cs="Arial"/>
          <w:sz w:val="20"/>
          <w:szCs w:val="20"/>
        </w:rPr>
        <w:t>G</w:t>
      </w:r>
      <w:r w:rsidRPr="00F01EC8">
        <w:rPr>
          <w:rFonts w:asciiTheme="minorHAnsi" w:hAnsiTheme="minorHAnsi" w:cs="Arial"/>
          <w:sz w:val="20"/>
          <w:szCs w:val="20"/>
        </w:rPr>
        <w:t xml:space="preserve">roup is subject to other complaints and threatened or actual legal proceedings (including class or </w:t>
      </w:r>
      <w:r w:rsidR="005714EF">
        <w:rPr>
          <w:rFonts w:asciiTheme="minorHAnsi" w:hAnsiTheme="minorHAnsi" w:cs="Arial"/>
          <w:sz w:val="20"/>
          <w:szCs w:val="20"/>
        </w:rPr>
        <w:t>G</w:t>
      </w:r>
      <w:r w:rsidRPr="00F01EC8">
        <w:rPr>
          <w:rFonts w:asciiTheme="minorHAnsi" w:hAnsiTheme="minorHAnsi" w:cs="Arial"/>
          <w:sz w:val="20"/>
          <w:szCs w:val="20"/>
        </w:rPr>
        <w:t xml:space="preserve">roup action claims) brought by or on behalf of current or former employees, agents, customers, investors or other third parties, as well as legal and regulatory reviews, challenges, investigations and enforcement actions, both in the UK and overseas. All such material matters are periodically reassessed, with the assistance of external professional advisers where appropriate, to determine the likelihood of the </w:t>
      </w:r>
      <w:r w:rsidR="005714EF">
        <w:rPr>
          <w:rFonts w:asciiTheme="minorHAnsi" w:hAnsiTheme="minorHAnsi" w:cs="Arial"/>
          <w:sz w:val="20"/>
          <w:szCs w:val="20"/>
        </w:rPr>
        <w:t>G</w:t>
      </w:r>
      <w:r w:rsidRPr="00F01EC8">
        <w:rPr>
          <w:rFonts w:asciiTheme="minorHAnsi" w:hAnsiTheme="minorHAnsi" w:cs="Arial"/>
          <w:sz w:val="20"/>
          <w:szCs w:val="20"/>
        </w:rPr>
        <w:t xml:space="preserve">roup incurring a liability. In those instances where it is concluded that it is more likely than not that a payment will be made, a provision is established to management’s best estimate of the amount required at the relevant balance sheet date. In some cases it will not be possible to form a view, for example because the facts are unclear or because further time is needed properly to assess the merits of the case, and no provisions are held in relation to such matters. However, the </w:t>
      </w:r>
      <w:r w:rsidR="005714EF">
        <w:rPr>
          <w:rFonts w:asciiTheme="minorHAnsi" w:hAnsiTheme="minorHAnsi" w:cs="Arial"/>
          <w:sz w:val="20"/>
          <w:szCs w:val="20"/>
        </w:rPr>
        <w:t>G</w:t>
      </w:r>
      <w:r w:rsidRPr="00F01EC8">
        <w:rPr>
          <w:rFonts w:asciiTheme="minorHAnsi" w:hAnsiTheme="minorHAnsi" w:cs="Arial"/>
          <w:sz w:val="20"/>
          <w:szCs w:val="20"/>
        </w:rPr>
        <w:t>roup does not currently expect the final outcome of any such case to have a material adverse effect on its financial position, operations or cash flows.</w:t>
      </w:r>
    </w:p>
    <w:bookmarkEnd w:id="28"/>
    <w:p w14:paraId="12BC3EDF" w14:textId="1B5A31E9" w:rsidR="000B1423" w:rsidRPr="00F01EC8" w:rsidRDefault="000B1423">
      <w:pPr>
        <w:rPr>
          <w:rFonts w:asciiTheme="minorHAnsi" w:hAnsiTheme="minorHAnsi" w:cs="Arial"/>
          <w:b/>
          <w:bCs/>
          <w:sz w:val="20"/>
          <w:szCs w:val="20"/>
          <w:highlight w:val="yellow"/>
        </w:rPr>
      </w:pPr>
    </w:p>
    <w:p w14:paraId="09F4773E" w14:textId="79A00290" w:rsidR="0020443A" w:rsidRPr="00F01EC8" w:rsidRDefault="000B1423">
      <w:pPr>
        <w:rPr>
          <w:rFonts w:asciiTheme="minorHAnsi" w:hAnsiTheme="minorHAnsi" w:cs="Arial"/>
          <w:b/>
          <w:bCs/>
          <w:sz w:val="20"/>
          <w:szCs w:val="20"/>
        </w:rPr>
      </w:pPr>
      <w:r w:rsidRPr="00F01EC8">
        <w:rPr>
          <w:rFonts w:asciiTheme="minorHAnsi" w:hAnsiTheme="minorHAnsi" w:cs="Arial"/>
          <w:b/>
          <w:bCs/>
          <w:sz w:val="20"/>
          <w:szCs w:val="20"/>
        </w:rPr>
        <w:t>14.</w:t>
      </w:r>
      <w:r w:rsidR="00623601">
        <w:rPr>
          <w:rFonts w:asciiTheme="minorHAnsi" w:hAnsiTheme="minorHAnsi" w:cs="Arial"/>
          <w:b/>
          <w:bCs/>
          <w:sz w:val="20"/>
          <w:szCs w:val="20"/>
        </w:rPr>
        <w:tab/>
      </w:r>
      <w:r w:rsidRPr="00F01EC8">
        <w:rPr>
          <w:rFonts w:asciiTheme="minorHAnsi" w:hAnsiTheme="minorHAnsi" w:cs="Arial"/>
          <w:b/>
          <w:bCs/>
          <w:sz w:val="20"/>
          <w:szCs w:val="20"/>
        </w:rPr>
        <w:t>Capital</w:t>
      </w:r>
    </w:p>
    <w:p w14:paraId="3E8BC9B1" w14:textId="77777777" w:rsidR="000B1423" w:rsidRPr="00F01EC8" w:rsidRDefault="000B1423">
      <w:pPr>
        <w:rPr>
          <w:rFonts w:asciiTheme="minorHAnsi" w:hAnsiTheme="minorHAnsi" w:cs="Arial"/>
          <w:b/>
          <w:bCs/>
          <w:sz w:val="20"/>
          <w:szCs w:val="20"/>
        </w:rPr>
      </w:pPr>
    </w:p>
    <w:p w14:paraId="5F3EFE27" w14:textId="77777777" w:rsidR="000B1423" w:rsidRPr="00F01EC8" w:rsidRDefault="000B1423" w:rsidP="00022145">
      <w:pPr>
        <w:jc w:val="both"/>
        <w:rPr>
          <w:rFonts w:asciiTheme="minorHAnsi" w:hAnsiTheme="minorHAnsi" w:cs="Arial"/>
          <w:sz w:val="20"/>
          <w:szCs w:val="20"/>
        </w:rPr>
      </w:pPr>
      <w:r w:rsidRPr="00F01EC8">
        <w:rPr>
          <w:rFonts w:asciiTheme="minorHAnsi" w:hAnsiTheme="minorHAnsi" w:cs="Arial"/>
          <w:sz w:val="20"/>
          <w:szCs w:val="20"/>
        </w:rPr>
        <w:t>The Group’s capital management policy is focused on optimising shareholder value, in a safe and sustainable manner. There is a clear focus on delivering organic growth and ensuring capital resources are sufficient to support planned levels of growth. The Board regularly reviews the capital position. The following table shows the regulatory capital resources as managed by the Group:</w:t>
      </w:r>
    </w:p>
    <w:p w14:paraId="0EA9044C" w14:textId="77777777" w:rsidR="000B1423" w:rsidRPr="00F01EC8" w:rsidRDefault="000B1423" w:rsidP="000B1423">
      <w:pPr>
        <w:rPr>
          <w:rFonts w:asciiTheme="minorHAnsi" w:hAnsiTheme="minorHAnsi" w:cs="Arial"/>
          <w:sz w:val="20"/>
          <w:szCs w:val="20"/>
        </w:rPr>
      </w:pPr>
    </w:p>
    <w:tbl>
      <w:tblPr>
        <w:tblW w:w="9889" w:type="dxa"/>
        <w:tblLook w:val="0000" w:firstRow="0" w:lastRow="0" w:firstColumn="0" w:lastColumn="0" w:noHBand="0" w:noVBand="0"/>
      </w:tblPr>
      <w:tblGrid>
        <w:gridCol w:w="6122"/>
        <w:gridCol w:w="1168"/>
        <w:gridCol w:w="1431"/>
        <w:gridCol w:w="1168"/>
      </w:tblGrid>
      <w:tr w:rsidR="004673AE" w:rsidRPr="00F01EC8" w14:paraId="23992F56" w14:textId="77777777" w:rsidTr="00054543">
        <w:tc>
          <w:tcPr>
            <w:tcW w:w="6122" w:type="dxa"/>
          </w:tcPr>
          <w:p w14:paraId="43365A18" w14:textId="77777777" w:rsidR="004673AE" w:rsidRPr="00F01EC8" w:rsidRDefault="004673AE" w:rsidP="00264A11">
            <w:pPr>
              <w:rPr>
                <w:rFonts w:asciiTheme="minorHAnsi" w:hAnsiTheme="minorHAnsi" w:cs="Arial"/>
                <w:sz w:val="20"/>
                <w:szCs w:val="20"/>
              </w:rPr>
            </w:pPr>
          </w:p>
        </w:tc>
        <w:tc>
          <w:tcPr>
            <w:tcW w:w="1168" w:type="dxa"/>
            <w:shd w:val="clear" w:color="auto" w:fill="auto"/>
          </w:tcPr>
          <w:p w14:paraId="172B265C" w14:textId="77777777" w:rsidR="004673AE" w:rsidRPr="00F01EC8" w:rsidRDefault="004673AE" w:rsidP="00264A11">
            <w:pPr>
              <w:ind w:hanging="250"/>
              <w:jc w:val="right"/>
              <w:rPr>
                <w:rFonts w:asciiTheme="minorHAnsi" w:hAnsiTheme="minorHAnsi" w:cs="Arial"/>
                <w:sz w:val="20"/>
                <w:szCs w:val="20"/>
              </w:rPr>
            </w:pPr>
            <w:r w:rsidRPr="00F01EC8">
              <w:rPr>
                <w:rFonts w:asciiTheme="minorHAnsi" w:hAnsiTheme="minorHAnsi" w:cs="Arial"/>
                <w:sz w:val="20"/>
                <w:szCs w:val="20"/>
              </w:rPr>
              <w:t>30 June </w:t>
            </w:r>
          </w:p>
        </w:tc>
        <w:tc>
          <w:tcPr>
            <w:tcW w:w="1431" w:type="dxa"/>
            <w:shd w:val="clear" w:color="auto" w:fill="auto"/>
          </w:tcPr>
          <w:p w14:paraId="6D6B5084"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8" w:type="dxa"/>
            <w:shd w:val="clear" w:color="auto" w:fill="auto"/>
          </w:tcPr>
          <w:p w14:paraId="48FCC187" w14:textId="77777777" w:rsidR="004673AE" w:rsidRPr="00F01EC8" w:rsidRDefault="004673AE" w:rsidP="00264A11">
            <w:pPr>
              <w:ind w:hanging="250"/>
              <w:jc w:val="right"/>
              <w:rPr>
                <w:rFonts w:asciiTheme="minorHAnsi" w:hAnsiTheme="minorHAnsi" w:cs="Arial"/>
                <w:sz w:val="20"/>
                <w:szCs w:val="20"/>
              </w:rPr>
            </w:pPr>
            <w:r w:rsidRPr="00F01EC8">
              <w:rPr>
                <w:rFonts w:asciiTheme="minorHAnsi" w:hAnsiTheme="minorHAnsi" w:cs="Arial"/>
                <w:sz w:val="20"/>
                <w:szCs w:val="20"/>
              </w:rPr>
              <w:t>30 June </w:t>
            </w:r>
          </w:p>
        </w:tc>
      </w:tr>
      <w:tr w:rsidR="004673AE" w:rsidRPr="00F01EC8" w14:paraId="7ED8387C" w14:textId="77777777" w:rsidTr="00054543">
        <w:tc>
          <w:tcPr>
            <w:tcW w:w="6122" w:type="dxa"/>
          </w:tcPr>
          <w:p w14:paraId="46B9C12C" w14:textId="77777777" w:rsidR="004673AE" w:rsidRPr="00F01EC8" w:rsidRDefault="004673AE" w:rsidP="00264A11">
            <w:pPr>
              <w:rPr>
                <w:rFonts w:asciiTheme="minorHAnsi" w:hAnsiTheme="minorHAnsi" w:cs="Arial"/>
                <w:sz w:val="20"/>
                <w:szCs w:val="20"/>
              </w:rPr>
            </w:pPr>
          </w:p>
        </w:tc>
        <w:tc>
          <w:tcPr>
            <w:tcW w:w="1168" w:type="dxa"/>
            <w:shd w:val="clear" w:color="auto" w:fill="auto"/>
          </w:tcPr>
          <w:p w14:paraId="5F348109"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2020 </w:t>
            </w:r>
          </w:p>
        </w:tc>
        <w:tc>
          <w:tcPr>
            <w:tcW w:w="1431" w:type="dxa"/>
            <w:shd w:val="clear" w:color="auto" w:fill="auto"/>
          </w:tcPr>
          <w:p w14:paraId="7C471E1E"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2019 </w:t>
            </w:r>
          </w:p>
        </w:tc>
        <w:tc>
          <w:tcPr>
            <w:tcW w:w="1168" w:type="dxa"/>
            <w:shd w:val="clear" w:color="auto" w:fill="auto"/>
          </w:tcPr>
          <w:p w14:paraId="4F5B5BA9"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2019 </w:t>
            </w:r>
          </w:p>
        </w:tc>
      </w:tr>
      <w:tr w:rsidR="004673AE" w:rsidRPr="00F01EC8" w14:paraId="2096B73B" w14:textId="77777777" w:rsidTr="00054543">
        <w:tc>
          <w:tcPr>
            <w:tcW w:w="6122" w:type="dxa"/>
          </w:tcPr>
          <w:p w14:paraId="47FBE1EF" w14:textId="77777777" w:rsidR="004673AE" w:rsidRPr="00F01EC8" w:rsidRDefault="004673AE" w:rsidP="00264A11">
            <w:pPr>
              <w:rPr>
                <w:rFonts w:asciiTheme="minorHAnsi" w:hAnsiTheme="minorHAnsi" w:cs="Arial"/>
                <w:sz w:val="20"/>
                <w:szCs w:val="20"/>
              </w:rPr>
            </w:pPr>
          </w:p>
        </w:tc>
        <w:tc>
          <w:tcPr>
            <w:tcW w:w="1168" w:type="dxa"/>
            <w:tcBorders>
              <w:top w:val="nil"/>
              <w:left w:val="nil"/>
              <w:bottom w:val="single" w:sz="4" w:space="0" w:color="auto"/>
              <w:right w:val="nil"/>
            </w:tcBorders>
            <w:shd w:val="clear" w:color="auto" w:fill="auto"/>
          </w:tcPr>
          <w:p w14:paraId="25177574"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£m </w:t>
            </w:r>
          </w:p>
        </w:tc>
        <w:tc>
          <w:tcPr>
            <w:tcW w:w="1431" w:type="dxa"/>
            <w:tcBorders>
              <w:top w:val="nil"/>
              <w:left w:val="nil"/>
              <w:bottom w:val="single" w:sz="4" w:space="0" w:color="auto"/>
              <w:right w:val="nil"/>
            </w:tcBorders>
            <w:shd w:val="clear" w:color="auto" w:fill="auto"/>
          </w:tcPr>
          <w:p w14:paraId="10019EA3"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£m </w:t>
            </w:r>
          </w:p>
        </w:tc>
        <w:tc>
          <w:tcPr>
            <w:tcW w:w="1168" w:type="dxa"/>
            <w:tcBorders>
              <w:top w:val="nil"/>
              <w:left w:val="nil"/>
              <w:bottom w:val="single" w:sz="4" w:space="0" w:color="auto"/>
              <w:right w:val="nil"/>
            </w:tcBorders>
            <w:shd w:val="clear" w:color="auto" w:fill="auto"/>
          </w:tcPr>
          <w:p w14:paraId="292F8F3C" w14:textId="77777777" w:rsidR="004673AE" w:rsidRPr="00F01EC8" w:rsidRDefault="004673AE" w:rsidP="00264A11">
            <w:pPr>
              <w:jc w:val="right"/>
              <w:rPr>
                <w:rFonts w:asciiTheme="minorHAnsi" w:hAnsiTheme="minorHAnsi" w:cs="Arial"/>
                <w:sz w:val="20"/>
                <w:szCs w:val="20"/>
              </w:rPr>
            </w:pPr>
            <w:r w:rsidRPr="00F01EC8">
              <w:rPr>
                <w:rFonts w:asciiTheme="minorHAnsi" w:hAnsiTheme="minorHAnsi" w:cs="Arial"/>
                <w:sz w:val="20"/>
                <w:szCs w:val="20"/>
              </w:rPr>
              <w:t>£m </w:t>
            </w:r>
          </w:p>
        </w:tc>
      </w:tr>
      <w:tr w:rsidR="00986EA4" w:rsidRPr="00F01EC8" w14:paraId="24199124" w14:textId="77777777" w:rsidTr="00054543">
        <w:tc>
          <w:tcPr>
            <w:tcW w:w="6122" w:type="dxa"/>
            <w:vAlign w:val="bottom"/>
          </w:tcPr>
          <w:p w14:paraId="51002262" w14:textId="71610EE4" w:rsidR="00986EA4" w:rsidRPr="00F01EC8" w:rsidRDefault="00986EA4" w:rsidP="00986EA4">
            <w:pPr>
              <w:rPr>
                <w:rFonts w:asciiTheme="minorHAnsi" w:hAnsiTheme="minorHAnsi" w:cs="Arial"/>
                <w:sz w:val="20"/>
                <w:szCs w:val="20"/>
              </w:rPr>
            </w:pPr>
            <w:r w:rsidRPr="00F01EC8">
              <w:rPr>
                <w:rFonts w:asciiTheme="minorHAnsi" w:hAnsiTheme="minorHAnsi" w:cs="Arial"/>
                <w:sz w:val="20"/>
                <w:szCs w:val="20"/>
              </w:rPr>
              <w:t>Share capital</w:t>
            </w:r>
          </w:p>
        </w:tc>
        <w:tc>
          <w:tcPr>
            <w:tcW w:w="1168" w:type="dxa"/>
            <w:shd w:val="clear" w:color="auto" w:fill="auto"/>
            <w:vAlign w:val="bottom"/>
          </w:tcPr>
          <w:p w14:paraId="0D33DC2D" w14:textId="3E96DA71"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52.6</w:t>
            </w:r>
          </w:p>
        </w:tc>
        <w:tc>
          <w:tcPr>
            <w:tcW w:w="1431" w:type="dxa"/>
            <w:shd w:val="clear" w:color="auto" w:fill="auto"/>
            <w:vAlign w:val="bottom"/>
          </w:tcPr>
          <w:p w14:paraId="19926445" w14:textId="6C6AFF09"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52.5</w:t>
            </w:r>
          </w:p>
        </w:tc>
        <w:tc>
          <w:tcPr>
            <w:tcW w:w="1168" w:type="dxa"/>
            <w:shd w:val="clear" w:color="auto" w:fill="auto"/>
            <w:vAlign w:val="bottom"/>
          </w:tcPr>
          <w:p w14:paraId="201D6E34" w14:textId="5FC6FAD2"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52.5</w:t>
            </w:r>
          </w:p>
        </w:tc>
      </w:tr>
      <w:tr w:rsidR="00986EA4" w:rsidRPr="00F01EC8" w14:paraId="09AA141B" w14:textId="77777777" w:rsidTr="00054543">
        <w:tc>
          <w:tcPr>
            <w:tcW w:w="6122" w:type="dxa"/>
            <w:vAlign w:val="bottom"/>
          </w:tcPr>
          <w:p w14:paraId="03E1DA2A" w14:textId="33853DBC"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Share premium</w:t>
            </w:r>
          </w:p>
        </w:tc>
        <w:tc>
          <w:tcPr>
            <w:tcW w:w="1168" w:type="dxa"/>
            <w:shd w:val="clear" w:color="auto" w:fill="auto"/>
            <w:vAlign w:val="bottom"/>
          </w:tcPr>
          <w:p w14:paraId="0A7B26B2" w14:textId="3C46FDF6"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273.2</w:t>
            </w:r>
          </w:p>
        </w:tc>
        <w:tc>
          <w:tcPr>
            <w:tcW w:w="1431" w:type="dxa"/>
            <w:shd w:val="clear" w:color="auto" w:fill="auto"/>
            <w:vAlign w:val="bottom"/>
          </w:tcPr>
          <w:p w14:paraId="31883F4D" w14:textId="6F91428C"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273.2</w:t>
            </w:r>
          </w:p>
        </w:tc>
        <w:tc>
          <w:tcPr>
            <w:tcW w:w="1168" w:type="dxa"/>
            <w:shd w:val="clear" w:color="auto" w:fill="auto"/>
            <w:vAlign w:val="bottom"/>
          </w:tcPr>
          <w:p w14:paraId="52F12F22" w14:textId="32B2E328"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273.2</w:t>
            </w:r>
          </w:p>
        </w:tc>
      </w:tr>
      <w:tr w:rsidR="00986EA4" w:rsidRPr="00F01EC8" w14:paraId="6B61A1B1" w14:textId="77777777" w:rsidTr="00054543">
        <w:tc>
          <w:tcPr>
            <w:tcW w:w="6122" w:type="dxa"/>
            <w:vAlign w:val="bottom"/>
          </w:tcPr>
          <w:p w14:paraId="5CD200BC" w14:textId="199E2759"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Retained earnings and other reserves</w:t>
            </w:r>
          </w:p>
        </w:tc>
        <w:tc>
          <w:tcPr>
            <w:tcW w:w="1168" w:type="dxa"/>
            <w:tcBorders>
              <w:bottom w:val="single" w:sz="4" w:space="0" w:color="auto"/>
            </w:tcBorders>
            <w:shd w:val="clear" w:color="auto" w:fill="auto"/>
            <w:vAlign w:val="bottom"/>
          </w:tcPr>
          <w:p w14:paraId="7F731D96" w14:textId="0A89A934"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422.1</w:t>
            </w:r>
          </w:p>
        </w:tc>
        <w:tc>
          <w:tcPr>
            <w:tcW w:w="1431" w:type="dxa"/>
            <w:tcBorders>
              <w:bottom w:val="single" w:sz="4" w:space="0" w:color="auto"/>
            </w:tcBorders>
            <w:shd w:val="clear" w:color="auto" w:fill="auto"/>
            <w:vAlign w:val="bottom"/>
          </w:tcPr>
          <w:p w14:paraId="7E42F5E7" w14:textId="13C13765"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414.8</w:t>
            </w:r>
          </w:p>
        </w:tc>
        <w:tc>
          <w:tcPr>
            <w:tcW w:w="1168" w:type="dxa"/>
            <w:tcBorders>
              <w:bottom w:val="single" w:sz="4" w:space="0" w:color="auto"/>
            </w:tcBorders>
            <w:shd w:val="clear" w:color="auto" w:fill="auto"/>
            <w:vAlign w:val="bottom"/>
          </w:tcPr>
          <w:p w14:paraId="69E0AD34" w14:textId="7676EA91"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352.4</w:t>
            </w:r>
          </w:p>
        </w:tc>
      </w:tr>
      <w:tr w:rsidR="00986EA4" w:rsidRPr="00F01EC8" w14:paraId="1562C2A0" w14:textId="77777777" w:rsidTr="00054543">
        <w:tc>
          <w:tcPr>
            <w:tcW w:w="6122" w:type="dxa"/>
            <w:vAlign w:val="bottom"/>
          </w:tcPr>
          <w:p w14:paraId="1B850288" w14:textId="635830D6" w:rsidR="00986EA4" w:rsidRPr="00F01EC8" w:rsidRDefault="00986EA4" w:rsidP="00986EA4">
            <w:pPr>
              <w:tabs>
                <w:tab w:val="right" w:pos="4680"/>
              </w:tabs>
              <w:rPr>
                <w:rFonts w:asciiTheme="minorHAnsi" w:hAnsiTheme="minorHAnsi" w:cs="Arial"/>
                <w:b/>
                <w:sz w:val="20"/>
                <w:szCs w:val="20"/>
              </w:rPr>
            </w:pPr>
            <w:r w:rsidRPr="00F01EC8">
              <w:rPr>
                <w:rFonts w:asciiTheme="minorHAnsi" w:hAnsiTheme="minorHAnsi" w:cs="Arial"/>
                <w:b/>
                <w:sz w:val="20"/>
                <w:szCs w:val="20"/>
              </w:rPr>
              <w:t>Total equity</w:t>
            </w:r>
          </w:p>
        </w:tc>
        <w:tc>
          <w:tcPr>
            <w:tcW w:w="1168" w:type="dxa"/>
            <w:tcBorders>
              <w:top w:val="single" w:sz="4" w:space="0" w:color="auto"/>
              <w:bottom w:val="single" w:sz="4" w:space="0" w:color="auto"/>
            </w:tcBorders>
            <w:shd w:val="clear" w:color="auto" w:fill="auto"/>
            <w:vAlign w:val="bottom"/>
          </w:tcPr>
          <w:p w14:paraId="58BEDF5D" w14:textId="5E2CD368"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747.9</w:t>
            </w:r>
          </w:p>
        </w:tc>
        <w:tc>
          <w:tcPr>
            <w:tcW w:w="1431" w:type="dxa"/>
            <w:tcBorders>
              <w:top w:val="single" w:sz="4" w:space="0" w:color="auto"/>
              <w:bottom w:val="single" w:sz="4" w:space="0" w:color="auto"/>
            </w:tcBorders>
            <w:shd w:val="clear" w:color="auto" w:fill="auto"/>
            <w:vAlign w:val="bottom"/>
          </w:tcPr>
          <w:p w14:paraId="2D8BE953" w14:textId="4B11A473"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740.5</w:t>
            </w:r>
          </w:p>
        </w:tc>
        <w:tc>
          <w:tcPr>
            <w:tcW w:w="1168" w:type="dxa"/>
            <w:tcBorders>
              <w:top w:val="single" w:sz="4" w:space="0" w:color="auto"/>
              <w:bottom w:val="single" w:sz="4" w:space="0" w:color="auto"/>
            </w:tcBorders>
            <w:shd w:val="clear" w:color="auto" w:fill="auto"/>
            <w:vAlign w:val="bottom"/>
          </w:tcPr>
          <w:p w14:paraId="6B82D643" w14:textId="7EDEBFA4"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678.1</w:t>
            </w:r>
          </w:p>
        </w:tc>
      </w:tr>
      <w:tr w:rsidR="00986EA4" w:rsidRPr="00F01EC8" w14:paraId="77010C14" w14:textId="77777777" w:rsidTr="00054543">
        <w:tc>
          <w:tcPr>
            <w:tcW w:w="6122" w:type="dxa"/>
            <w:vAlign w:val="bottom"/>
          </w:tcPr>
          <w:p w14:paraId="08D13863" w14:textId="4241C6DF" w:rsidR="00986EA4" w:rsidRPr="00F01EC8" w:rsidRDefault="00986EA4" w:rsidP="00986EA4">
            <w:pPr>
              <w:tabs>
                <w:tab w:val="right" w:pos="4680"/>
              </w:tabs>
              <w:rPr>
                <w:rFonts w:asciiTheme="minorHAnsi" w:hAnsiTheme="minorHAnsi" w:cs="Arial"/>
                <w:sz w:val="20"/>
                <w:szCs w:val="20"/>
              </w:rPr>
            </w:pPr>
          </w:p>
        </w:tc>
        <w:tc>
          <w:tcPr>
            <w:tcW w:w="1168" w:type="dxa"/>
            <w:tcBorders>
              <w:top w:val="single" w:sz="4" w:space="0" w:color="auto"/>
            </w:tcBorders>
            <w:shd w:val="clear" w:color="auto" w:fill="auto"/>
            <w:vAlign w:val="bottom"/>
          </w:tcPr>
          <w:p w14:paraId="5D6CF3A6" w14:textId="023B60A4" w:rsidR="00986EA4" w:rsidRPr="00F01EC8" w:rsidRDefault="00986EA4" w:rsidP="00986EA4">
            <w:pPr>
              <w:jc w:val="right"/>
              <w:rPr>
                <w:rFonts w:asciiTheme="minorHAnsi" w:hAnsiTheme="minorHAnsi" w:cs="Arial"/>
                <w:sz w:val="20"/>
                <w:szCs w:val="20"/>
              </w:rPr>
            </w:pPr>
          </w:p>
        </w:tc>
        <w:tc>
          <w:tcPr>
            <w:tcW w:w="1431" w:type="dxa"/>
            <w:tcBorders>
              <w:top w:val="single" w:sz="4" w:space="0" w:color="auto"/>
            </w:tcBorders>
            <w:shd w:val="clear" w:color="auto" w:fill="auto"/>
            <w:vAlign w:val="bottom"/>
          </w:tcPr>
          <w:p w14:paraId="37CBFE4C" w14:textId="1237D036" w:rsidR="00986EA4" w:rsidRPr="00F01EC8" w:rsidRDefault="00986EA4" w:rsidP="00986EA4">
            <w:pPr>
              <w:jc w:val="right"/>
              <w:rPr>
                <w:rFonts w:asciiTheme="minorHAnsi" w:hAnsiTheme="minorHAnsi" w:cs="Arial"/>
                <w:sz w:val="20"/>
                <w:szCs w:val="20"/>
              </w:rPr>
            </w:pPr>
          </w:p>
        </w:tc>
        <w:tc>
          <w:tcPr>
            <w:tcW w:w="1168" w:type="dxa"/>
            <w:tcBorders>
              <w:top w:val="single" w:sz="4" w:space="0" w:color="auto"/>
            </w:tcBorders>
            <w:shd w:val="clear" w:color="auto" w:fill="auto"/>
            <w:vAlign w:val="bottom"/>
          </w:tcPr>
          <w:p w14:paraId="27E77F08" w14:textId="486628CB" w:rsidR="00986EA4" w:rsidRPr="00F01EC8" w:rsidRDefault="00986EA4" w:rsidP="00986EA4">
            <w:pPr>
              <w:jc w:val="right"/>
              <w:rPr>
                <w:rFonts w:asciiTheme="minorHAnsi" w:hAnsiTheme="minorHAnsi" w:cs="Arial"/>
                <w:sz w:val="20"/>
                <w:szCs w:val="20"/>
              </w:rPr>
            </w:pPr>
          </w:p>
        </w:tc>
      </w:tr>
      <w:tr w:rsidR="00986EA4" w:rsidRPr="00F01EC8" w14:paraId="167FDD87" w14:textId="77777777" w:rsidTr="00054543">
        <w:tc>
          <w:tcPr>
            <w:tcW w:w="6122" w:type="dxa"/>
            <w:vAlign w:val="bottom"/>
          </w:tcPr>
          <w:p w14:paraId="68D4D1FC" w14:textId="0C7032B5"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Retirement benefit asset (net of tax)</w:t>
            </w:r>
          </w:p>
        </w:tc>
        <w:tc>
          <w:tcPr>
            <w:tcW w:w="1168" w:type="dxa"/>
            <w:shd w:val="clear" w:color="auto" w:fill="auto"/>
            <w:vAlign w:val="bottom"/>
          </w:tcPr>
          <w:p w14:paraId="4788B013" w14:textId="78B71A5D"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(95.9)</w:t>
            </w:r>
          </w:p>
        </w:tc>
        <w:tc>
          <w:tcPr>
            <w:tcW w:w="1431" w:type="dxa"/>
            <w:shd w:val="clear" w:color="auto" w:fill="auto"/>
            <w:vAlign w:val="bottom"/>
          </w:tcPr>
          <w:p w14:paraId="61D7A896" w14:textId="43E8174D" w:rsidR="00986EA4" w:rsidRPr="00F01EC8" w:rsidRDefault="00A32A97" w:rsidP="00986EA4">
            <w:pPr>
              <w:jc w:val="right"/>
              <w:rPr>
                <w:rFonts w:asciiTheme="minorHAnsi" w:hAnsiTheme="minorHAnsi" w:cs="Arial"/>
                <w:sz w:val="20"/>
                <w:szCs w:val="20"/>
              </w:rPr>
            </w:pPr>
            <w:r w:rsidRPr="00F01EC8">
              <w:rPr>
                <w:rFonts w:asciiTheme="minorHAnsi" w:hAnsiTheme="minorHAnsi" w:cs="Arial"/>
                <w:sz w:val="20"/>
                <w:szCs w:val="20"/>
              </w:rPr>
              <w:t>(64.7</w:t>
            </w:r>
            <w:r w:rsidR="00986EA4" w:rsidRPr="00F01EC8">
              <w:rPr>
                <w:rFonts w:asciiTheme="minorHAnsi" w:hAnsiTheme="minorHAnsi" w:cs="Arial"/>
                <w:sz w:val="20"/>
                <w:szCs w:val="20"/>
              </w:rPr>
              <w:t>)</w:t>
            </w:r>
          </w:p>
        </w:tc>
        <w:tc>
          <w:tcPr>
            <w:tcW w:w="1168" w:type="dxa"/>
            <w:shd w:val="clear" w:color="auto" w:fill="auto"/>
            <w:vAlign w:val="bottom"/>
          </w:tcPr>
          <w:p w14:paraId="296B5A9C" w14:textId="39D2B12D"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(58.3)</w:t>
            </w:r>
          </w:p>
        </w:tc>
      </w:tr>
      <w:tr w:rsidR="00986EA4" w:rsidRPr="00F01EC8" w14:paraId="522BD98F" w14:textId="77777777" w:rsidTr="00054543">
        <w:tc>
          <w:tcPr>
            <w:tcW w:w="6122" w:type="dxa"/>
            <w:vAlign w:val="bottom"/>
          </w:tcPr>
          <w:p w14:paraId="179FD8FF" w14:textId="4755FD61"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Goodwill</w:t>
            </w:r>
          </w:p>
        </w:tc>
        <w:tc>
          <w:tcPr>
            <w:tcW w:w="1168" w:type="dxa"/>
            <w:shd w:val="clear" w:color="auto" w:fill="auto"/>
            <w:vAlign w:val="bottom"/>
          </w:tcPr>
          <w:p w14:paraId="6A547225" w14:textId="237B5CF8"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(71.2)</w:t>
            </w:r>
          </w:p>
        </w:tc>
        <w:tc>
          <w:tcPr>
            <w:tcW w:w="1431" w:type="dxa"/>
            <w:shd w:val="clear" w:color="auto" w:fill="auto"/>
            <w:vAlign w:val="bottom"/>
          </w:tcPr>
          <w:p w14:paraId="44ABE888" w14:textId="62E3DAC5"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(71.2)</w:t>
            </w:r>
          </w:p>
        </w:tc>
        <w:tc>
          <w:tcPr>
            <w:tcW w:w="1168" w:type="dxa"/>
            <w:shd w:val="clear" w:color="auto" w:fill="auto"/>
            <w:vAlign w:val="bottom"/>
          </w:tcPr>
          <w:p w14:paraId="12048340" w14:textId="5A4CA616"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(71.2)</w:t>
            </w:r>
          </w:p>
        </w:tc>
      </w:tr>
      <w:tr w:rsidR="00986EA4" w:rsidRPr="00F01EC8" w14:paraId="7F7CCC8B" w14:textId="77777777" w:rsidTr="00054543">
        <w:tc>
          <w:tcPr>
            <w:tcW w:w="6122" w:type="dxa"/>
            <w:vAlign w:val="bottom"/>
          </w:tcPr>
          <w:p w14:paraId="7CA20965" w14:textId="48E651D9"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Intangible assets (net of tax)</w:t>
            </w:r>
          </w:p>
        </w:tc>
        <w:tc>
          <w:tcPr>
            <w:tcW w:w="1168" w:type="dxa"/>
            <w:shd w:val="clear" w:color="auto" w:fill="auto"/>
            <w:vAlign w:val="bottom"/>
          </w:tcPr>
          <w:p w14:paraId="6F4F6292" w14:textId="4EAA613F"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(35.1)</w:t>
            </w:r>
          </w:p>
        </w:tc>
        <w:tc>
          <w:tcPr>
            <w:tcW w:w="1431" w:type="dxa"/>
            <w:shd w:val="clear" w:color="auto" w:fill="auto"/>
            <w:vAlign w:val="bottom"/>
          </w:tcPr>
          <w:p w14:paraId="5385770B" w14:textId="498C70C2" w:rsidR="00986EA4" w:rsidRPr="00F01EC8" w:rsidRDefault="00A32A97" w:rsidP="00986EA4">
            <w:pPr>
              <w:jc w:val="right"/>
              <w:rPr>
                <w:rFonts w:asciiTheme="minorHAnsi" w:hAnsiTheme="minorHAnsi" w:cs="Arial"/>
                <w:sz w:val="20"/>
                <w:szCs w:val="20"/>
              </w:rPr>
            </w:pPr>
            <w:r w:rsidRPr="00F01EC8">
              <w:rPr>
                <w:rFonts w:asciiTheme="minorHAnsi" w:hAnsiTheme="minorHAnsi" w:cs="Arial"/>
                <w:sz w:val="20"/>
                <w:szCs w:val="20"/>
              </w:rPr>
              <w:t>(38.1</w:t>
            </w:r>
            <w:r w:rsidR="00986EA4" w:rsidRPr="00F01EC8">
              <w:rPr>
                <w:rFonts w:asciiTheme="minorHAnsi" w:hAnsiTheme="minorHAnsi" w:cs="Arial"/>
                <w:sz w:val="20"/>
                <w:szCs w:val="20"/>
              </w:rPr>
              <w:t>)</w:t>
            </w:r>
          </w:p>
        </w:tc>
        <w:tc>
          <w:tcPr>
            <w:tcW w:w="1168" w:type="dxa"/>
            <w:shd w:val="clear" w:color="auto" w:fill="auto"/>
            <w:vAlign w:val="bottom"/>
          </w:tcPr>
          <w:p w14:paraId="4234D283" w14:textId="2BCEA95B"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(44.5)</w:t>
            </w:r>
          </w:p>
        </w:tc>
      </w:tr>
      <w:tr w:rsidR="00986EA4" w:rsidRPr="00F01EC8" w14:paraId="313BB997" w14:textId="77777777" w:rsidTr="00054543">
        <w:tc>
          <w:tcPr>
            <w:tcW w:w="6122" w:type="dxa"/>
            <w:vAlign w:val="bottom"/>
          </w:tcPr>
          <w:p w14:paraId="7327F1EA" w14:textId="46DEC2FB"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IFRS 9 transition adjustment</w:t>
            </w:r>
          </w:p>
        </w:tc>
        <w:tc>
          <w:tcPr>
            <w:tcW w:w="1168" w:type="dxa"/>
            <w:tcBorders>
              <w:bottom w:val="single" w:sz="4" w:space="0" w:color="auto"/>
            </w:tcBorders>
            <w:shd w:val="clear" w:color="auto" w:fill="auto"/>
            <w:vAlign w:val="bottom"/>
          </w:tcPr>
          <w:p w14:paraId="5E789020" w14:textId="3243CA99"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159.2</w:t>
            </w:r>
          </w:p>
        </w:tc>
        <w:tc>
          <w:tcPr>
            <w:tcW w:w="1431" w:type="dxa"/>
            <w:tcBorders>
              <w:bottom w:val="single" w:sz="4" w:space="0" w:color="auto"/>
            </w:tcBorders>
            <w:shd w:val="clear" w:color="auto" w:fill="auto"/>
            <w:vAlign w:val="bottom"/>
          </w:tcPr>
          <w:p w14:paraId="523DF337" w14:textId="6DC00E72"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1</w:t>
            </w:r>
            <w:r w:rsidR="00A32A97" w:rsidRPr="00F01EC8">
              <w:rPr>
                <w:rFonts w:asciiTheme="minorHAnsi" w:hAnsiTheme="minorHAnsi" w:cs="Arial"/>
                <w:sz w:val="20"/>
                <w:szCs w:val="20"/>
              </w:rPr>
              <w:t>83.6</w:t>
            </w:r>
          </w:p>
        </w:tc>
        <w:tc>
          <w:tcPr>
            <w:tcW w:w="1168" w:type="dxa"/>
            <w:tcBorders>
              <w:bottom w:val="single" w:sz="4" w:space="0" w:color="auto"/>
            </w:tcBorders>
            <w:shd w:val="clear" w:color="auto" w:fill="auto"/>
            <w:vAlign w:val="bottom"/>
          </w:tcPr>
          <w:p w14:paraId="2DA86BC9" w14:textId="7BF71476"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156.4</w:t>
            </w:r>
          </w:p>
        </w:tc>
      </w:tr>
      <w:tr w:rsidR="00986EA4" w:rsidRPr="00F01EC8" w14:paraId="57AF4B70" w14:textId="77777777" w:rsidTr="00054543">
        <w:tc>
          <w:tcPr>
            <w:tcW w:w="6122" w:type="dxa"/>
            <w:vAlign w:val="bottom"/>
          </w:tcPr>
          <w:p w14:paraId="366EC57A" w14:textId="0ACC1331" w:rsidR="00986EA4" w:rsidRPr="00F01EC8" w:rsidRDefault="00986EA4" w:rsidP="00986EA4">
            <w:pPr>
              <w:tabs>
                <w:tab w:val="right" w:pos="4680"/>
              </w:tabs>
              <w:rPr>
                <w:rFonts w:asciiTheme="minorHAnsi" w:hAnsiTheme="minorHAnsi" w:cs="Arial"/>
                <w:b/>
                <w:sz w:val="20"/>
                <w:szCs w:val="20"/>
              </w:rPr>
            </w:pPr>
            <w:r w:rsidRPr="00F01EC8">
              <w:rPr>
                <w:rFonts w:asciiTheme="minorHAnsi" w:hAnsiTheme="minorHAnsi" w:cs="Arial"/>
                <w:b/>
                <w:sz w:val="20"/>
                <w:szCs w:val="20"/>
              </w:rPr>
              <w:t>CET 1 capital before foreseeable dividend</w:t>
            </w:r>
          </w:p>
        </w:tc>
        <w:tc>
          <w:tcPr>
            <w:tcW w:w="1168" w:type="dxa"/>
            <w:tcBorders>
              <w:top w:val="single" w:sz="4" w:space="0" w:color="auto"/>
              <w:bottom w:val="single" w:sz="4" w:space="0" w:color="auto"/>
            </w:tcBorders>
            <w:shd w:val="clear" w:color="auto" w:fill="auto"/>
            <w:vAlign w:val="bottom"/>
          </w:tcPr>
          <w:p w14:paraId="529A9E7A" w14:textId="50D8E62E"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704.9</w:t>
            </w:r>
          </w:p>
        </w:tc>
        <w:tc>
          <w:tcPr>
            <w:tcW w:w="1431" w:type="dxa"/>
            <w:tcBorders>
              <w:top w:val="single" w:sz="4" w:space="0" w:color="auto"/>
              <w:bottom w:val="single" w:sz="4" w:space="0" w:color="auto"/>
            </w:tcBorders>
            <w:shd w:val="clear" w:color="auto" w:fill="auto"/>
            <w:vAlign w:val="bottom"/>
          </w:tcPr>
          <w:p w14:paraId="10BEA143" w14:textId="2C036188" w:rsidR="00986EA4" w:rsidRPr="00F01EC8" w:rsidRDefault="00A32A97" w:rsidP="00986EA4">
            <w:pPr>
              <w:jc w:val="right"/>
              <w:rPr>
                <w:rFonts w:asciiTheme="minorHAnsi" w:hAnsiTheme="minorHAnsi" w:cs="Arial"/>
                <w:sz w:val="20"/>
                <w:szCs w:val="20"/>
              </w:rPr>
            </w:pPr>
            <w:r w:rsidRPr="00F01EC8">
              <w:rPr>
                <w:rFonts w:asciiTheme="minorHAnsi" w:hAnsiTheme="minorHAnsi" w:cs="Arial"/>
                <w:sz w:val="20"/>
                <w:szCs w:val="20"/>
              </w:rPr>
              <w:t>750.1</w:t>
            </w:r>
          </w:p>
        </w:tc>
        <w:tc>
          <w:tcPr>
            <w:tcW w:w="1168" w:type="dxa"/>
            <w:tcBorders>
              <w:top w:val="single" w:sz="4" w:space="0" w:color="auto"/>
              <w:bottom w:val="single" w:sz="4" w:space="0" w:color="auto"/>
            </w:tcBorders>
            <w:shd w:val="clear" w:color="auto" w:fill="auto"/>
            <w:vAlign w:val="bottom"/>
          </w:tcPr>
          <w:p w14:paraId="7C3D533D" w14:textId="18C16AB0"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660.5</w:t>
            </w:r>
          </w:p>
        </w:tc>
      </w:tr>
      <w:tr w:rsidR="00986EA4" w:rsidRPr="00F01EC8" w14:paraId="404619AF" w14:textId="77777777" w:rsidTr="00054543">
        <w:tc>
          <w:tcPr>
            <w:tcW w:w="6122" w:type="dxa"/>
            <w:vAlign w:val="bottom"/>
          </w:tcPr>
          <w:p w14:paraId="1E909335" w14:textId="38CB38B1" w:rsidR="00986EA4" w:rsidRPr="00F01EC8" w:rsidRDefault="00986EA4" w:rsidP="00986EA4">
            <w:pPr>
              <w:tabs>
                <w:tab w:val="right" w:pos="4680"/>
              </w:tabs>
              <w:rPr>
                <w:rFonts w:asciiTheme="minorHAnsi" w:hAnsiTheme="minorHAnsi" w:cs="Arial"/>
                <w:sz w:val="20"/>
                <w:szCs w:val="20"/>
              </w:rPr>
            </w:pPr>
            <w:r w:rsidRPr="00F01EC8">
              <w:rPr>
                <w:rFonts w:asciiTheme="minorHAnsi" w:hAnsiTheme="minorHAnsi" w:cs="Arial"/>
                <w:sz w:val="20"/>
                <w:szCs w:val="20"/>
              </w:rPr>
              <w:t>Deduction of foreseeable dividend</w:t>
            </w:r>
          </w:p>
        </w:tc>
        <w:tc>
          <w:tcPr>
            <w:tcW w:w="1168" w:type="dxa"/>
            <w:shd w:val="clear" w:color="auto" w:fill="auto"/>
            <w:vAlign w:val="bottom"/>
          </w:tcPr>
          <w:p w14:paraId="2B6C0FED" w14:textId="51005192"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w:t>
            </w:r>
          </w:p>
        </w:tc>
        <w:tc>
          <w:tcPr>
            <w:tcW w:w="1431" w:type="dxa"/>
            <w:shd w:val="clear" w:color="auto" w:fill="auto"/>
            <w:vAlign w:val="bottom"/>
          </w:tcPr>
          <w:p w14:paraId="6BABCF5C" w14:textId="4F2691F7" w:rsidR="00986EA4" w:rsidRPr="00F01EC8" w:rsidRDefault="00A32A97" w:rsidP="00986EA4">
            <w:pPr>
              <w:jc w:val="right"/>
              <w:rPr>
                <w:rFonts w:asciiTheme="minorHAnsi" w:hAnsiTheme="minorHAnsi" w:cs="Arial"/>
                <w:sz w:val="20"/>
                <w:szCs w:val="20"/>
              </w:rPr>
            </w:pPr>
            <w:r w:rsidRPr="00F01EC8">
              <w:rPr>
                <w:rFonts w:asciiTheme="minorHAnsi" w:hAnsiTheme="minorHAnsi" w:cs="Arial"/>
                <w:sz w:val="20"/>
                <w:szCs w:val="20"/>
              </w:rPr>
              <w:t>(40.4</w:t>
            </w:r>
            <w:r w:rsidR="00986EA4" w:rsidRPr="00F01EC8">
              <w:rPr>
                <w:rFonts w:asciiTheme="minorHAnsi" w:hAnsiTheme="minorHAnsi" w:cs="Arial"/>
                <w:sz w:val="20"/>
                <w:szCs w:val="20"/>
              </w:rPr>
              <w:t>)</w:t>
            </w:r>
          </w:p>
        </w:tc>
        <w:tc>
          <w:tcPr>
            <w:tcW w:w="1168" w:type="dxa"/>
            <w:shd w:val="clear" w:color="auto" w:fill="auto"/>
            <w:vAlign w:val="bottom"/>
          </w:tcPr>
          <w:p w14:paraId="393EFB93" w14:textId="15BA9B22" w:rsidR="00986EA4" w:rsidRPr="00F01EC8" w:rsidRDefault="00986EA4" w:rsidP="00986EA4">
            <w:pPr>
              <w:jc w:val="right"/>
              <w:rPr>
                <w:rFonts w:asciiTheme="minorHAnsi" w:hAnsiTheme="minorHAnsi" w:cs="Arial"/>
                <w:sz w:val="20"/>
                <w:szCs w:val="20"/>
              </w:rPr>
            </w:pPr>
            <w:r w:rsidRPr="00F01EC8">
              <w:rPr>
                <w:rFonts w:asciiTheme="minorHAnsi" w:hAnsiTheme="minorHAnsi" w:cs="Arial"/>
                <w:sz w:val="20"/>
                <w:szCs w:val="20"/>
              </w:rPr>
              <w:t>(22.8)</w:t>
            </w:r>
          </w:p>
        </w:tc>
      </w:tr>
      <w:tr w:rsidR="00986EA4" w:rsidRPr="00F01EC8" w14:paraId="3214EF88" w14:textId="77777777" w:rsidTr="00054543">
        <w:tc>
          <w:tcPr>
            <w:tcW w:w="6122" w:type="dxa"/>
            <w:vAlign w:val="bottom"/>
          </w:tcPr>
          <w:p w14:paraId="7E39419D" w14:textId="701C5D49" w:rsidR="00986EA4" w:rsidRPr="00F01EC8" w:rsidRDefault="00986EA4" w:rsidP="00986EA4">
            <w:pPr>
              <w:rPr>
                <w:rFonts w:asciiTheme="minorHAnsi" w:hAnsiTheme="minorHAnsi" w:cs="Arial"/>
                <w:b/>
                <w:sz w:val="20"/>
                <w:szCs w:val="20"/>
                <w:lang w:val="en-US"/>
              </w:rPr>
            </w:pPr>
            <w:r w:rsidRPr="00F01EC8">
              <w:rPr>
                <w:rFonts w:asciiTheme="minorHAnsi" w:hAnsiTheme="minorHAnsi" w:cs="Arial"/>
                <w:b/>
                <w:sz w:val="20"/>
                <w:szCs w:val="20"/>
              </w:rPr>
              <w:t>Own funds</w:t>
            </w:r>
          </w:p>
        </w:tc>
        <w:tc>
          <w:tcPr>
            <w:tcW w:w="1168" w:type="dxa"/>
            <w:tcBorders>
              <w:top w:val="single" w:sz="4" w:space="0" w:color="auto"/>
              <w:left w:val="nil"/>
              <w:bottom w:val="single" w:sz="12" w:space="0" w:color="auto"/>
              <w:right w:val="nil"/>
            </w:tcBorders>
            <w:shd w:val="clear" w:color="auto" w:fill="auto"/>
            <w:vAlign w:val="bottom"/>
          </w:tcPr>
          <w:p w14:paraId="75972908" w14:textId="32DE1822" w:rsidR="00986EA4" w:rsidRPr="00F01EC8" w:rsidRDefault="00986EA4">
            <w:pPr>
              <w:jc w:val="right"/>
              <w:rPr>
                <w:rFonts w:asciiTheme="minorHAnsi" w:hAnsiTheme="minorHAnsi" w:cs="Arial"/>
                <w:sz w:val="20"/>
                <w:szCs w:val="20"/>
                <w:lang w:val="en-US"/>
              </w:rPr>
            </w:pPr>
            <w:r w:rsidRPr="00F01EC8">
              <w:rPr>
                <w:rFonts w:asciiTheme="minorHAnsi" w:hAnsiTheme="minorHAnsi" w:cs="Arial"/>
                <w:sz w:val="20"/>
                <w:szCs w:val="20"/>
                <w:lang w:val="en-US"/>
              </w:rPr>
              <w:t>704.9</w:t>
            </w:r>
          </w:p>
        </w:tc>
        <w:tc>
          <w:tcPr>
            <w:tcW w:w="1431" w:type="dxa"/>
            <w:tcBorders>
              <w:top w:val="single" w:sz="4" w:space="0" w:color="auto"/>
              <w:left w:val="nil"/>
              <w:bottom w:val="single" w:sz="12" w:space="0" w:color="auto"/>
              <w:right w:val="nil"/>
            </w:tcBorders>
            <w:shd w:val="clear" w:color="auto" w:fill="auto"/>
            <w:vAlign w:val="bottom"/>
          </w:tcPr>
          <w:p w14:paraId="430E01A1" w14:textId="0D508D59" w:rsidR="00986EA4" w:rsidRPr="00F01EC8" w:rsidRDefault="00A32A97" w:rsidP="00986EA4">
            <w:pPr>
              <w:jc w:val="right"/>
              <w:rPr>
                <w:rFonts w:asciiTheme="minorHAnsi" w:hAnsiTheme="minorHAnsi" w:cs="Arial"/>
                <w:sz w:val="20"/>
                <w:szCs w:val="20"/>
                <w:lang w:val="en-US"/>
              </w:rPr>
            </w:pPr>
            <w:r w:rsidRPr="00F01EC8">
              <w:rPr>
                <w:rFonts w:asciiTheme="minorHAnsi" w:hAnsiTheme="minorHAnsi" w:cs="Arial"/>
                <w:sz w:val="20"/>
                <w:szCs w:val="20"/>
                <w:lang w:val="en-US"/>
              </w:rPr>
              <w:t>709.7</w:t>
            </w:r>
          </w:p>
        </w:tc>
        <w:tc>
          <w:tcPr>
            <w:tcW w:w="1168" w:type="dxa"/>
            <w:tcBorders>
              <w:top w:val="single" w:sz="4" w:space="0" w:color="auto"/>
              <w:left w:val="nil"/>
              <w:bottom w:val="single" w:sz="12" w:space="0" w:color="auto"/>
              <w:right w:val="nil"/>
            </w:tcBorders>
            <w:shd w:val="clear" w:color="auto" w:fill="auto"/>
            <w:vAlign w:val="bottom"/>
          </w:tcPr>
          <w:p w14:paraId="0B6162B8" w14:textId="664B3D43" w:rsidR="00986EA4" w:rsidRPr="00F01EC8" w:rsidRDefault="00986EA4" w:rsidP="00986EA4">
            <w:pPr>
              <w:jc w:val="right"/>
              <w:rPr>
                <w:rFonts w:asciiTheme="minorHAnsi" w:hAnsiTheme="minorHAnsi" w:cs="Arial"/>
                <w:sz w:val="20"/>
                <w:szCs w:val="20"/>
                <w:lang w:val="en-US"/>
              </w:rPr>
            </w:pPr>
            <w:r w:rsidRPr="00F01EC8">
              <w:rPr>
                <w:rFonts w:asciiTheme="minorHAnsi" w:hAnsiTheme="minorHAnsi" w:cs="Arial"/>
                <w:sz w:val="20"/>
                <w:szCs w:val="20"/>
                <w:lang w:val="en-US"/>
              </w:rPr>
              <w:t>637.7</w:t>
            </w:r>
          </w:p>
        </w:tc>
      </w:tr>
    </w:tbl>
    <w:p w14:paraId="34C45414" w14:textId="46338D18" w:rsidR="009D39AC" w:rsidRPr="00F01EC8" w:rsidRDefault="009D39AC" w:rsidP="000B1423">
      <w:pPr>
        <w:rPr>
          <w:rFonts w:asciiTheme="minorHAnsi" w:hAnsiTheme="minorHAnsi" w:cs="Arial"/>
          <w:sz w:val="20"/>
          <w:szCs w:val="20"/>
        </w:rPr>
      </w:pPr>
    </w:p>
    <w:p w14:paraId="3FC504E5" w14:textId="7C334037" w:rsidR="000B1423" w:rsidRPr="00F01EC8" w:rsidRDefault="000B1423" w:rsidP="00022145">
      <w:pPr>
        <w:jc w:val="both"/>
        <w:rPr>
          <w:rFonts w:asciiTheme="minorHAnsi" w:hAnsiTheme="minorHAnsi" w:cs="Arial"/>
          <w:sz w:val="20"/>
          <w:szCs w:val="20"/>
        </w:rPr>
      </w:pPr>
      <w:r w:rsidRPr="00F01EC8">
        <w:rPr>
          <w:rFonts w:asciiTheme="minorHAnsi" w:hAnsiTheme="minorHAnsi" w:cs="Arial"/>
          <w:sz w:val="20"/>
          <w:szCs w:val="20"/>
        </w:rPr>
        <w:t>The capital resources shown in the table above include accrued profits for the periods to June 2019 and December 2019, which were automatically eligible for inclusion following the audit of the 2019 financial statements. The losses incurred in the period to June 2020 are automatically deducted from own funds.</w:t>
      </w:r>
    </w:p>
    <w:p w14:paraId="04598EDA" w14:textId="77777777" w:rsidR="000B1423" w:rsidRPr="00F01EC8" w:rsidRDefault="000B1423" w:rsidP="00022145">
      <w:pPr>
        <w:jc w:val="both"/>
        <w:rPr>
          <w:rFonts w:asciiTheme="minorHAnsi" w:hAnsiTheme="minorHAnsi" w:cs="Arial"/>
          <w:sz w:val="20"/>
          <w:szCs w:val="20"/>
        </w:rPr>
      </w:pPr>
    </w:p>
    <w:p w14:paraId="7AC9E382" w14:textId="59228DC2" w:rsidR="000B1423" w:rsidRPr="00F01EC8" w:rsidRDefault="000B1423" w:rsidP="00022145">
      <w:pPr>
        <w:jc w:val="both"/>
        <w:rPr>
          <w:rFonts w:asciiTheme="minorHAnsi" w:hAnsiTheme="minorHAnsi" w:cs="Arial"/>
          <w:sz w:val="20"/>
          <w:szCs w:val="20"/>
        </w:rPr>
      </w:pPr>
      <w:r w:rsidRPr="00F01EC8">
        <w:rPr>
          <w:rFonts w:asciiTheme="minorHAnsi" w:hAnsiTheme="minorHAnsi" w:cs="Arial"/>
          <w:sz w:val="20"/>
          <w:szCs w:val="20"/>
        </w:rPr>
        <w:lastRenderedPageBreak/>
        <w:t xml:space="preserve">The transitional adjustment to capital arises from the Group making an election to phase in the impact of transitioning to IFRS 9 over a five-year period, by applying add back factors of 95%, 85%, 70%, 50% and 25% for years one to five respectively to the initial IFRS 9 transition adjustment plus any subsequent increase in expected credit losses (ECL) in the non-credit-impaired book from transition to the end of the reporting period. The PRA ratified additional capital mitigation proposed by the Basel Committee, in response to </w:t>
      </w:r>
      <w:r w:rsidR="005D5CE1" w:rsidRPr="00F01EC8">
        <w:rPr>
          <w:rFonts w:asciiTheme="minorHAnsi" w:hAnsiTheme="minorHAnsi" w:cs="Arial"/>
          <w:sz w:val="20"/>
          <w:szCs w:val="20"/>
        </w:rPr>
        <w:t>Covid</w:t>
      </w:r>
      <w:r w:rsidRPr="00F01EC8">
        <w:rPr>
          <w:rFonts w:asciiTheme="minorHAnsi" w:hAnsiTheme="minorHAnsi" w:cs="Arial"/>
          <w:sz w:val="20"/>
          <w:szCs w:val="20"/>
        </w:rPr>
        <w:t>-19, with these measures coming into force from 27 June 2020. The new measures allow for the increase in ECL in the non-credit impaired book arising in 2020 and 2021 to be fully added back in those years. This relief is then phased out over the following three years on a straight line basis (2022: 75%, 2023: 50%, 2024: 25%, 2025: 0%). At June 2020, the impacts of these adjustments amounted to the following:</w:t>
      </w:r>
    </w:p>
    <w:p w14:paraId="49C88465" w14:textId="77777777" w:rsidR="000B1423" w:rsidRPr="00F01EC8" w:rsidRDefault="000B1423" w:rsidP="000B1423">
      <w:pPr>
        <w:rPr>
          <w:rFonts w:asciiTheme="minorHAnsi" w:hAnsiTheme="minorHAnsi" w:cs="Arial"/>
          <w:sz w:val="20"/>
          <w:szCs w:val="20"/>
        </w:rPr>
      </w:pPr>
    </w:p>
    <w:p w14:paraId="13C5642B" w14:textId="77777777" w:rsidR="000B1423" w:rsidRPr="00F01EC8" w:rsidRDefault="000B1423" w:rsidP="00DA6694">
      <w:pPr>
        <w:ind w:left="567" w:hanging="567"/>
        <w:jc w:val="both"/>
        <w:rPr>
          <w:rFonts w:asciiTheme="minorHAnsi" w:hAnsiTheme="minorHAnsi" w:cs="Arial"/>
          <w:b/>
          <w:bCs/>
          <w:sz w:val="20"/>
          <w:szCs w:val="20"/>
        </w:rPr>
      </w:pPr>
    </w:p>
    <w:tbl>
      <w:tblPr>
        <w:tblW w:w="9889" w:type="dxa"/>
        <w:tblLook w:val="0000" w:firstRow="0" w:lastRow="0" w:firstColumn="0" w:lastColumn="0" w:noHBand="0" w:noVBand="0"/>
      </w:tblPr>
      <w:tblGrid>
        <w:gridCol w:w="6122"/>
        <w:gridCol w:w="1168"/>
        <w:gridCol w:w="1431"/>
        <w:gridCol w:w="1168"/>
      </w:tblGrid>
      <w:tr w:rsidR="009E2CB0" w:rsidRPr="00F01EC8" w14:paraId="551CE7F0" w14:textId="77777777" w:rsidTr="00264A11">
        <w:tc>
          <w:tcPr>
            <w:tcW w:w="6122" w:type="dxa"/>
          </w:tcPr>
          <w:p w14:paraId="4F05049C" w14:textId="77777777" w:rsidR="009E2CB0" w:rsidRPr="00F01EC8" w:rsidRDefault="009E2CB0" w:rsidP="00264A11">
            <w:pPr>
              <w:rPr>
                <w:rFonts w:asciiTheme="minorHAnsi" w:hAnsiTheme="minorHAnsi" w:cs="Arial"/>
                <w:sz w:val="20"/>
                <w:szCs w:val="20"/>
              </w:rPr>
            </w:pPr>
          </w:p>
        </w:tc>
        <w:tc>
          <w:tcPr>
            <w:tcW w:w="1168" w:type="dxa"/>
          </w:tcPr>
          <w:p w14:paraId="0E8EB8C8" w14:textId="77777777" w:rsidR="009E2CB0" w:rsidRPr="00F01EC8" w:rsidRDefault="009E2CB0" w:rsidP="00264A11">
            <w:pPr>
              <w:ind w:hanging="250"/>
              <w:jc w:val="right"/>
              <w:rPr>
                <w:rFonts w:asciiTheme="minorHAnsi" w:hAnsiTheme="minorHAnsi" w:cs="Arial"/>
                <w:sz w:val="20"/>
                <w:szCs w:val="20"/>
              </w:rPr>
            </w:pPr>
            <w:r w:rsidRPr="00F01EC8">
              <w:rPr>
                <w:rFonts w:asciiTheme="minorHAnsi" w:hAnsiTheme="minorHAnsi" w:cs="Arial"/>
                <w:sz w:val="20"/>
                <w:szCs w:val="20"/>
              </w:rPr>
              <w:t>30 June </w:t>
            </w:r>
          </w:p>
        </w:tc>
        <w:tc>
          <w:tcPr>
            <w:tcW w:w="1431" w:type="dxa"/>
          </w:tcPr>
          <w:p w14:paraId="1453778C"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31 December </w:t>
            </w:r>
          </w:p>
        </w:tc>
        <w:tc>
          <w:tcPr>
            <w:tcW w:w="1168" w:type="dxa"/>
          </w:tcPr>
          <w:p w14:paraId="611DF3C0" w14:textId="77777777" w:rsidR="009E2CB0" w:rsidRPr="00F01EC8" w:rsidRDefault="009E2CB0" w:rsidP="00264A11">
            <w:pPr>
              <w:ind w:hanging="250"/>
              <w:jc w:val="right"/>
              <w:rPr>
                <w:rFonts w:asciiTheme="minorHAnsi" w:hAnsiTheme="minorHAnsi" w:cs="Arial"/>
                <w:sz w:val="20"/>
                <w:szCs w:val="20"/>
              </w:rPr>
            </w:pPr>
            <w:r w:rsidRPr="00F01EC8">
              <w:rPr>
                <w:rFonts w:asciiTheme="minorHAnsi" w:hAnsiTheme="minorHAnsi" w:cs="Arial"/>
                <w:sz w:val="20"/>
                <w:szCs w:val="20"/>
              </w:rPr>
              <w:t>30 June </w:t>
            </w:r>
          </w:p>
        </w:tc>
      </w:tr>
      <w:tr w:rsidR="009E2CB0" w:rsidRPr="00F01EC8" w14:paraId="0B470731" w14:textId="77777777" w:rsidTr="00264A11">
        <w:tc>
          <w:tcPr>
            <w:tcW w:w="6122" w:type="dxa"/>
          </w:tcPr>
          <w:p w14:paraId="50FABE33" w14:textId="77777777" w:rsidR="009E2CB0" w:rsidRPr="00F01EC8" w:rsidRDefault="009E2CB0" w:rsidP="00264A11">
            <w:pPr>
              <w:rPr>
                <w:rFonts w:asciiTheme="minorHAnsi" w:hAnsiTheme="minorHAnsi" w:cs="Arial"/>
                <w:sz w:val="20"/>
                <w:szCs w:val="20"/>
              </w:rPr>
            </w:pPr>
          </w:p>
        </w:tc>
        <w:tc>
          <w:tcPr>
            <w:tcW w:w="1168" w:type="dxa"/>
          </w:tcPr>
          <w:p w14:paraId="3E5F8677"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2020 </w:t>
            </w:r>
          </w:p>
        </w:tc>
        <w:tc>
          <w:tcPr>
            <w:tcW w:w="1431" w:type="dxa"/>
          </w:tcPr>
          <w:p w14:paraId="71B65832"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2019 </w:t>
            </w:r>
          </w:p>
        </w:tc>
        <w:tc>
          <w:tcPr>
            <w:tcW w:w="1168" w:type="dxa"/>
          </w:tcPr>
          <w:p w14:paraId="7B62759D"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2019 </w:t>
            </w:r>
          </w:p>
        </w:tc>
      </w:tr>
      <w:tr w:rsidR="009E2CB0" w:rsidRPr="00F01EC8" w14:paraId="1FAD701B" w14:textId="77777777" w:rsidTr="00264A11">
        <w:tc>
          <w:tcPr>
            <w:tcW w:w="6122" w:type="dxa"/>
          </w:tcPr>
          <w:p w14:paraId="3EEB9FB8" w14:textId="77777777" w:rsidR="009E2CB0" w:rsidRPr="00F01EC8" w:rsidRDefault="009E2CB0" w:rsidP="00264A11">
            <w:pPr>
              <w:rPr>
                <w:rFonts w:asciiTheme="minorHAnsi" w:hAnsiTheme="minorHAnsi" w:cs="Arial"/>
                <w:sz w:val="20"/>
                <w:szCs w:val="20"/>
              </w:rPr>
            </w:pPr>
          </w:p>
        </w:tc>
        <w:tc>
          <w:tcPr>
            <w:tcW w:w="1168" w:type="dxa"/>
            <w:tcBorders>
              <w:top w:val="nil"/>
              <w:left w:val="nil"/>
              <w:bottom w:val="single" w:sz="4" w:space="0" w:color="auto"/>
              <w:right w:val="nil"/>
            </w:tcBorders>
          </w:tcPr>
          <w:p w14:paraId="705B232B"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£m </w:t>
            </w:r>
          </w:p>
        </w:tc>
        <w:tc>
          <w:tcPr>
            <w:tcW w:w="1431" w:type="dxa"/>
            <w:tcBorders>
              <w:top w:val="nil"/>
              <w:left w:val="nil"/>
              <w:bottom w:val="single" w:sz="4" w:space="0" w:color="auto"/>
              <w:right w:val="nil"/>
            </w:tcBorders>
          </w:tcPr>
          <w:p w14:paraId="736113D7"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£m </w:t>
            </w:r>
          </w:p>
        </w:tc>
        <w:tc>
          <w:tcPr>
            <w:tcW w:w="1168" w:type="dxa"/>
            <w:tcBorders>
              <w:top w:val="nil"/>
              <w:left w:val="nil"/>
              <w:bottom w:val="single" w:sz="4" w:space="0" w:color="auto"/>
              <w:right w:val="nil"/>
            </w:tcBorders>
          </w:tcPr>
          <w:p w14:paraId="6E431C9C" w14:textId="77777777" w:rsidR="009E2CB0" w:rsidRPr="00F01EC8" w:rsidRDefault="009E2CB0" w:rsidP="00264A11">
            <w:pPr>
              <w:jc w:val="right"/>
              <w:rPr>
                <w:rFonts w:asciiTheme="minorHAnsi" w:hAnsiTheme="minorHAnsi" w:cs="Arial"/>
                <w:sz w:val="20"/>
                <w:szCs w:val="20"/>
              </w:rPr>
            </w:pPr>
            <w:r w:rsidRPr="00F01EC8">
              <w:rPr>
                <w:rFonts w:asciiTheme="minorHAnsi" w:hAnsiTheme="minorHAnsi" w:cs="Arial"/>
                <w:sz w:val="20"/>
                <w:szCs w:val="20"/>
              </w:rPr>
              <w:t>£m </w:t>
            </w:r>
          </w:p>
        </w:tc>
      </w:tr>
      <w:tr w:rsidR="00A32A97" w:rsidRPr="00F01EC8" w14:paraId="31F85BAD" w14:textId="77777777" w:rsidTr="00264A11">
        <w:tc>
          <w:tcPr>
            <w:tcW w:w="6122" w:type="dxa"/>
            <w:vAlign w:val="bottom"/>
          </w:tcPr>
          <w:p w14:paraId="5BB270C8" w14:textId="6FC34A87" w:rsidR="00A32A97" w:rsidRPr="00F01EC8" w:rsidRDefault="00A32A97" w:rsidP="00A32A97">
            <w:pPr>
              <w:rPr>
                <w:rFonts w:asciiTheme="minorHAnsi" w:hAnsiTheme="minorHAnsi" w:cs="Arial"/>
                <w:sz w:val="20"/>
                <w:szCs w:val="20"/>
              </w:rPr>
            </w:pPr>
            <w:r w:rsidRPr="00F01EC8">
              <w:rPr>
                <w:rFonts w:asciiTheme="minorHAnsi" w:hAnsiTheme="minorHAnsi" w:cs="Arial"/>
                <w:sz w:val="20"/>
                <w:szCs w:val="20"/>
              </w:rPr>
              <w:t>Initial IFRS 9 transition adjustment</w:t>
            </w:r>
          </w:p>
        </w:tc>
        <w:tc>
          <w:tcPr>
            <w:tcW w:w="1168" w:type="dxa"/>
            <w:vAlign w:val="bottom"/>
          </w:tcPr>
          <w:p w14:paraId="679D929A" w14:textId="64B1CC72"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184.0</w:t>
            </w:r>
          </w:p>
        </w:tc>
        <w:tc>
          <w:tcPr>
            <w:tcW w:w="1431" w:type="dxa"/>
            <w:vAlign w:val="bottom"/>
          </w:tcPr>
          <w:p w14:paraId="230E1801" w14:textId="13FD13F3"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184.0</w:t>
            </w:r>
          </w:p>
        </w:tc>
        <w:tc>
          <w:tcPr>
            <w:tcW w:w="1168" w:type="dxa"/>
            <w:vAlign w:val="bottom"/>
          </w:tcPr>
          <w:p w14:paraId="6EBBB414" w14:textId="6F7A1A70"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184.0</w:t>
            </w:r>
          </w:p>
        </w:tc>
      </w:tr>
      <w:tr w:rsidR="00A32A97" w:rsidRPr="00F01EC8" w14:paraId="3A01D433" w14:textId="77777777" w:rsidTr="00264A11">
        <w:tc>
          <w:tcPr>
            <w:tcW w:w="6122" w:type="dxa"/>
            <w:vAlign w:val="bottom"/>
          </w:tcPr>
          <w:p w14:paraId="1FE1D1CB" w14:textId="01BCEA03" w:rsidR="00A32A97" w:rsidRPr="00F01EC8" w:rsidRDefault="00A32A97" w:rsidP="00A32A97">
            <w:pPr>
              <w:tabs>
                <w:tab w:val="right" w:pos="4680"/>
              </w:tabs>
              <w:rPr>
                <w:rFonts w:asciiTheme="minorHAnsi" w:hAnsiTheme="minorHAnsi" w:cs="Arial"/>
                <w:sz w:val="20"/>
                <w:szCs w:val="20"/>
              </w:rPr>
            </w:pPr>
            <w:r w:rsidRPr="00F01EC8">
              <w:rPr>
                <w:rFonts w:asciiTheme="minorHAnsi" w:hAnsiTheme="minorHAnsi" w:cs="Arial"/>
                <w:sz w:val="20"/>
                <w:szCs w:val="20"/>
              </w:rPr>
              <w:t>Increase in ECL in the non-credit impaired book from transition to 31 December 2019</w:t>
            </w:r>
          </w:p>
        </w:tc>
        <w:tc>
          <w:tcPr>
            <w:tcW w:w="1168" w:type="dxa"/>
            <w:vAlign w:val="bottom"/>
          </w:tcPr>
          <w:p w14:paraId="353A1956" w14:textId="3A55387E"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22.7</w:t>
            </w:r>
          </w:p>
        </w:tc>
        <w:tc>
          <w:tcPr>
            <w:tcW w:w="1431" w:type="dxa"/>
            <w:vAlign w:val="bottom"/>
          </w:tcPr>
          <w:p w14:paraId="10EAC1C0" w14:textId="726512B6"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32.0</w:t>
            </w:r>
          </w:p>
        </w:tc>
        <w:tc>
          <w:tcPr>
            <w:tcW w:w="1168" w:type="dxa"/>
            <w:vAlign w:val="bottom"/>
          </w:tcPr>
          <w:p w14:paraId="19179D7F" w14:textId="2A8BC143"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r>
      <w:tr w:rsidR="00A32A97" w:rsidRPr="00F01EC8" w14:paraId="71FDF46E" w14:textId="77777777" w:rsidTr="00264A11">
        <w:tc>
          <w:tcPr>
            <w:tcW w:w="6122" w:type="dxa"/>
            <w:vAlign w:val="bottom"/>
          </w:tcPr>
          <w:p w14:paraId="0B783BE9" w14:textId="6696591B" w:rsidR="00A32A97" w:rsidRPr="00F01EC8" w:rsidRDefault="00A32A97" w:rsidP="00A32A97">
            <w:pPr>
              <w:tabs>
                <w:tab w:val="right" w:pos="4680"/>
              </w:tabs>
              <w:rPr>
                <w:rFonts w:asciiTheme="minorHAnsi" w:hAnsiTheme="minorHAnsi" w:cs="Arial"/>
                <w:b/>
                <w:sz w:val="20"/>
                <w:szCs w:val="20"/>
              </w:rPr>
            </w:pPr>
          </w:p>
        </w:tc>
        <w:tc>
          <w:tcPr>
            <w:tcW w:w="1168" w:type="dxa"/>
            <w:tcBorders>
              <w:top w:val="single" w:sz="4" w:space="0" w:color="auto"/>
              <w:bottom w:val="single" w:sz="4" w:space="0" w:color="auto"/>
            </w:tcBorders>
            <w:vAlign w:val="bottom"/>
          </w:tcPr>
          <w:p w14:paraId="1E9F18A9" w14:textId="4E81E59B"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206.7</w:t>
            </w:r>
          </w:p>
        </w:tc>
        <w:tc>
          <w:tcPr>
            <w:tcW w:w="1431" w:type="dxa"/>
            <w:tcBorders>
              <w:top w:val="single" w:sz="4" w:space="0" w:color="auto"/>
              <w:bottom w:val="single" w:sz="4" w:space="0" w:color="auto"/>
            </w:tcBorders>
            <w:vAlign w:val="bottom"/>
          </w:tcPr>
          <w:p w14:paraId="5881DC04" w14:textId="685242F9"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216.0</w:t>
            </w:r>
          </w:p>
        </w:tc>
        <w:tc>
          <w:tcPr>
            <w:tcW w:w="1168" w:type="dxa"/>
            <w:tcBorders>
              <w:top w:val="single" w:sz="4" w:space="0" w:color="auto"/>
              <w:bottom w:val="single" w:sz="4" w:space="0" w:color="auto"/>
            </w:tcBorders>
            <w:vAlign w:val="bottom"/>
          </w:tcPr>
          <w:p w14:paraId="08E27061" w14:textId="36E0383A"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184.0</w:t>
            </w:r>
          </w:p>
        </w:tc>
      </w:tr>
      <w:tr w:rsidR="00A32A97" w:rsidRPr="00F01EC8" w14:paraId="5F19BA10" w14:textId="77777777" w:rsidTr="00C875B7">
        <w:tc>
          <w:tcPr>
            <w:tcW w:w="6122" w:type="dxa"/>
            <w:vAlign w:val="bottom"/>
          </w:tcPr>
          <w:p w14:paraId="36970CD5" w14:textId="2AB2AB64" w:rsidR="00A32A97" w:rsidRPr="00F01EC8" w:rsidRDefault="00A32A97" w:rsidP="00A32A97">
            <w:pPr>
              <w:tabs>
                <w:tab w:val="right" w:pos="4680"/>
              </w:tabs>
              <w:rPr>
                <w:rFonts w:asciiTheme="minorHAnsi" w:hAnsiTheme="minorHAnsi" w:cs="Arial"/>
                <w:sz w:val="20"/>
                <w:szCs w:val="20"/>
              </w:rPr>
            </w:pPr>
            <w:r w:rsidRPr="00F01EC8">
              <w:rPr>
                <w:rFonts w:asciiTheme="minorHAnsi" w:hAnsiTheme="minorHAnsi" w:cs="Arial"/>
                <w:sz w:val="20"/>
                <w:szCs w:val="20"/>
              </w:rPr>
              <w:t xml:space="preserve">Percentage add back </w:t>
            </w:r>
          </w:p>
        </w:tc>
        <w:tc>
          <w:tcPr>
            <w:tcW w:w="1168" w:type="dxa"/>
            <w:tcBorders>
              <w:top w:val="single" w:sz="4" w:space="0" w:color="auto"/>
              <w:bottom w:val="single" w:sz="4" w:space="0" w:color="auto"/>
            </w:tcBorders>
            <w:vAlign w:val="bottom"/>
          </w:tcPr>
          <w:p w14:paraId="5BD41E5F" w14:textId="0B33A246"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70%</w:t>
            </w:r>
          </w:p>
        </w:tc>
        <w:tc>
          <w:tcPr>
            <w:tcW w:w="1431" w:type="dxa"/>
            <w:tcBorders>
              <w:top w:val="single" w:sz="4" w:space="0" w:color="auto"/>
              <w:bottom w:val="single" w:sz="4" w:space="0" w:color="auto"/>
            </w:tcBorders>
            <w:vAlign w:val="bottom"/>
          </w:tcPr>
          <w:p w14:paraId="739DF7ED" w14:textId="56E50882"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85%</w:t>
            </w:r>
          </w:p>
        </w:tc>
        <w:tc>
          <w:tcPr>
            <w:tcW w:w="1168" w:type="dxa"/>
            <w:tcBorders>
              <w:top w:val="single" w:sz="4" w:space="0" w:color="auto"/>
              <w:bottom w:val="single" w:sz="4" w:space="0" w:color="auto"/>
            </w:tcBorders>
            <w:vAlign w:val="bottom"/>
          </w:tcPr>
          <w:p w14:paraId="0E3D4200" w14:textId="52D9E6E1"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85%</w:t>
            </w:r>
          </w:p>
        </w:tc>
      </w:tr>
      <w:tr w:rsidR="00A32A97" w:rsidRPr="00F01EC8" w14:paraId="17D57920" w14:textId="77777777" w:rsidTr="00C875B7">
        <w:tc>
          <w:tcPr>
            <w:tcW w:w="6122" w:type="dxa"/>
            <w:vAlign w:val="bottom"/>
          </w:tcPr>
          <w:p w14:paraId="7903DD43" w14:textId="65D28DB5" w:rsidR="00A32A97" w:rsidRPr="00F01EC8" w:rsidRDefault="00A32A97" w:rsidP="00A32A97">
            <w:pPr>
              <w:tabs>
                <w:tab w:val="right" w:pos="4680"/>
              </w:tabs>
              <w:rPr>
                <w:rFonts w:asciiTheme="minorHAnsi" w:hAnsiTheme="minorHAnsi" w:cs="Arial"/>
                <w:sz w:val="20"/>
                <w:szCs w:val="20"/>
              </w:rPr>
            </w:pPr>
          </w:p>
        </w:tc>
        <w:tc>
          <w:tcPr>
            <w:tcW w:w="1168" w:type="dxa"/>
            <w:tcBorders>
              <w:top w:val="single" w:sz="4" w:space="0" w:color="auto"/>
            </w:tcBorders>
            <w:vAlign w:val="bottom"/>
          </w:tcPr>
          <w:p w14:paraId="244C514C" w14:textId="0C7B2F77"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144.7</w:t>
            </w:r>
          </w:p>
        </w:tc>
        <w:tc>
          <w:tcPr>
            <w:tcW w:w="1431" w:type="dxa"/>
            <w:tcBorders>
              <w:top w:val="single" w:sz="4" w:space="0" w:color="auto"/>
            </w:tcBorders>
            <w:vAlign w:val="bottom"/>
          </w:tcPr>
          <w:p w14:paraId="1ED79120" w14:textId="6CD8A705"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183.6</w:t>
            </w:r>
          </w:p>
        </w:tc>
        <w:tc>
          <w:tcPr>
            <w:tcW w:w="1168" w:type="dxa"/>
            <w:tcBorders>
              <w:top w:val="single" w:sz="4" w:space="0" w:color="auto"/>
            </w:tcBorders>
            <w:vAlign w:val="bottom"/>
          </w:tcPr>
          <w:p w14:paraId="4EE73B29" w14:textId="4E8C4CE6"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156.4</w:t>
            </w:r>
          </w:p>
        </w:tc>
      </w:tr>
      <w:tr w:rsidR="00A32A97" w:rsidRPr="00F01EC8" w14:paraId="674EBFB8" w14:textId="77777777" w:rsidTr="00264A11">
        <w:tc>
          <w:tcPr>
            <w:tcW w:w="6122" w:type="dxa"/>
            <w:vAlign w:val="bottom"/>
          </w:tcPr>
          <w:p w14:paraId="7394834F" w14:textId="70AFBE56" w:rsidR="00A32A97" w:rsidRPr="00F01EC8" w:rsidRDefault="00A32A97" w:rsidP="00A32A97">
            <w:pPr>
              <w:tabs>
                <w:tab w:val="right" w:pos="4680"/>
              </w:tabs>
              <w:rPr>
                <w:rFonts w:asciiTheme="minorHAnsi" w:hAnsiTheme="minorHAnsi" w:cs="Arial"/>
                <w:sz w:val="20"/>
                <w:szCs w:val="20"/>
              </w:rPr>
            </w:pPr>
            <w:r w:rsidRPr="00F01EC8">
              <w:rPr>
                <w:rFonts w:asciiTheme="minorHAnsi" w:hAnsiTheme="minorHAnsi" w:cs="Arial"/>
                <w:sz w:val="20"/>
                <w:szCs w:val="20"/>
              </w:rPr>
              <w:t>Increase in ECL on the non performing book during the 6 months ended 30 June 2020</w:t>
            </w:r>
          </w:p>
        </w:tc>
        <w:tc>
          <w:tcPr>
            <w:tcW w:w="1168" w:type="dxa"/>
            <w:vAlign w:val="bottom"/>
          </w:tcPr>
          <w:p w14:paraId="237E60DE" w14:textId="776EE48D"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14.5</w:t>
            </w:r>
          </w:p>
        </w:tc>
        <w:tc>
          <w:tcPr>
            <w:tcW w:w="1431" w:type="dxa"/>
            <w:vAlign w:val="bottom"/>
          </w:tcPr>
          <w:p w14:paraId="4256DF2B" w14:textId="676D8B37"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vAlign w:val="bottom"/>
          </w:tcPr>
          <w:p w14:paraId="19BC4925" w14:textId="7442DC9F"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r>
      <w:tr w:rsidR="00A32A97" w:rsidRPr="00F01EC8" w14:paraId="578346CD" w14:textId="77777777" w:rsidTr="00C875B7">
        <w:tc>
          <w:tcPr>
            <w:tcW w:w="6122" w:type="dxa"/>
            <w:vAlign w:val="bottom"/>
          </w:tcPr>
          <w:p w14:paraId="531DE749" w14:textId="4C391028" w:rsidR="00A32A97" w:rsidRPr="00F01EC8" w:rsidRDefault="00A32A97" w:rsidP="00A32A97">
            <w:pPr>
              <w:tabs>
                <w:tab w:val="right" w:pos="4680"/>
              </w:tabs>
              <w:rPr>
                <w:rFonts w:asciiTheme="minorHAnsi" w:hAnsiTheme="minorHAnsi" w:cs="Arial"/>
                <w:sz w:val="20"/>
                <w:szCs w:val="20"/>
              </w:rPr>
            </w:pPr>
            <w:r w:rsidRPr="00F01EC8">
              <w:rPr>
                <w:rFonts w:asciiTheme="minorHAnsi" w:hAnsiTheme="minorHAnsi" w:cs="Arial"/>
                <w:sz w:val="20"/>
                <w:szCs w:val="20"/>
              </w:rPr>
              <w:t>Percentage add back</w:t>
            </w:r>
          </w:p>
        </w:tc>
        <w:tc>
          <w:tcPr>
            <w:tcW w:w="1168" w:type="dxa"/>
            <w:tcBorders>
              <w:bottom w:val="single" w:sz="4" w:space="0" w:color="auto"/>
            </w:tcBorders>
            <w:vAlign w:val="bottom"/>
          </w:tcPr>
          <w:p w14:paraId="3D3EB582" w14:textId="442D9C3B"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100%</w:t>
            </w:r>
          </w:p>
        </w:tc>
        <w:tc>
          <w:tcPr>
            <w:tcW w:w="1431" w:type="dxa"/>
            <w:tcBorders>
              <w:bottom w:val="single" w:sz="4" w:space="0" w:color="auto"/>
            </w:tcBorders>
            <w:vAlign w:val="bottom"/>
          </w:tcPr>
          <w:p w14:paraId="29C61BD6" w14:textId="3751F05F"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tcBorders>
              <w:bottom w:val="single" w:sz="4" w:space="0" w:color="auto"/>
            </w:tcBorders>
            <w:vAlign w:val="bottom"/>
          </w:tcPr>
          <w:p w14:paraId="3026B1E4" w14:textId="4416B314"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r>
      <w:tr w:rsidR="00A32A97" w:rsidRPr="00F01EC8" w14:paraId="298AED65" w14:textId="77777777" w:rsidTr="00C875B7">
        <w:tc>
          <w:tcPr>
            <w:tcW w:w="6122" w:type="dxa"/>
            <w:vAlign w:val="bottom"/>
          </w:tcPr>
          <w:p w14:paraId="03BA9E2C" w14:textId="77777777" w:rsidR="00A32A97" w:rsidRPr="00F01EC8" w:rsidRDefault="00A32A97" w:rsidP="00A32A97">
            <w:pPr>
              <w:tabs>
                <w:tab w:val="right" w:pos="4680"/>
              </w:tabs>
              <w:rPr>
                <w:rFonts w:asciiTheme="minorHAnsi" w:hAnsiTheme="minorHAnsi" w:cs="Arial"/>
                <w:sz w:val="20"/>
                <w:szCs w:val="20"/>
              </w:rPr>
            </w:pPr>
          </w:p>
        </w:tc>
        <w:tc>
          <w:tcPr>
            <w:tcW w:w="1168" w:type="dxa"/>
            <w:tcBorders>
              <w:top w:val="single" w:sz="4" w:space="0" w:color="auto"/>
            </w:tcBorders>
            <w:vAlign w:val="bottom"/>
          </w:tcPr>
          <w:p w14:paraId="2952A39A" w14:textId="75EAB968"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14.5</w:t>
            </w:r>
          </w:p>
        </w:tc>
        <w:tc>
          <w:tcPr>
            <w:tcW w:w="1431" w:type="dxa"/>
            <w:tcBorders>
              <w:top w:val="single" w:sz="4" w:space="0" w:color="auto"/>
            </w:tcBorders>
            <w:vAlign w:val="bottom"/>
          </w:tcPr>
          <w:p w14:paraId="625B0576" w14:textId="48D7B481"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c>
          <w:tcPr>
            <w:tcW w:w="1168" w:type="dxa"/>
            <w:tcBorders>
              <w:top w:val="single" w:sz="4" w:space="0" w:color="auto"/>
            </w:tcBorders>
            <w:vAlign w:val="bottom"/>
          </w:tcPr>
          <w:p w14:paraId="58ED7AC0" w14:textId="714EBA1B" w:rsidR="00A32A97" w:rsidRPr="00F01EC8" w:rsidRDefault="00A32A97" w:rsidP="00A32A97">
            <w:pPr>
              <w:jc w:val="right"/>
              <w:rPr>
                <w:rFonts w:asciiTheme="minorHAnsi" w:hAnsiTheme="minorHAnsi" w:cs="Arial"/>
                <w:sz w:val="20"/>
                <w:szCs w:val="20"/>
              </w:rPr>
            </w:pPr>
            <w:r w:rsidRPr="00F01EC8">
              <w:rPr>
                <w:rFonts w:asciiTheme="minorHAnsi" w:hAnsiTheme="minorHAnsi" w:cs="Arial"/>
                <w:sz w:val="20"/>
                <w:szCs w:val="20"/>
              </w:rPr>
              <w:t>-</w:t>
            </w:r>
          </w:p>
        </w:tc>
      </w:tr>
      <w:tr w:rsidR="00A32A97" w:rsidRPr="00F01EC8" w14:paraId="69CBA7A8" w14:textId="77777777" w:rsidTr="00264A11">
        <w:tc>
          <w:tcPr>
            <w:tcW w:w="6122" w:type="dxa"/>
            <w:vAlign w:val="bottom"/>
          </w:tcPr>
          <w:p w14:paraId="5241FB3A" w14:textId="50314972" w:rsidR="00A32A97" w:rsidRPr="00F01EC8" w:rsidRDefault="00BA2D35" w:rsidP="00A32A97">
            <w:pPr>
              <w:rPr>
                <w:rFonts w:asciiTheme="minorHAnsi" w:hAnsiTheme="minorHAnsi" w:cs="Arial"/>
                <w:b/>
                <w:sz w:val="20"/>
                <w:szCs w:val="20"/>
                <w:lang w:val="en-US"/>
              </w:rPr>
            </w:pPr>
            <w:r w:rsidRPr="00F01EC8">
              <w:rPr>
                <w:rFonts w:asciiTheme="minorHAnsi" w:hAnsiTheme="minorHAnsi" w:cs="Arial"/>
                <w:sz w:val="20"/>
                <w:szCs w:val="20"/>
              </w:rPr>
              <w:t>IFRS 9 transition adjustment</w:t>
            </w:r>
          </w:p>
        </w:tc>
        <w:tc>
          <w:tcPr>
            <w:tcW w:w="1168" w:type="dxa"/>
            <w:tcBorders>
              <w:top w:val="single" w:sz="4" w:space="0" w:color="auto"/>
              <w:left w:val="nil"/>
              <w:bottom w:val="single" w:sz="12" w:space="0" w:color="auto"/>
              <w:right w:val="nil"/>
            </w:tcBorders>
            <w:vAlign w:val="bottom"/>
          </w:tcPr>
          <w:p w14:paraId="484FD27C" w14:textId="35E0CEB9" w:rsidR="00A32A97" w:rsidRPr="00F01EC8" w:rsidRDefault="00A32A97" w:rsidP="00A32A97">
            <w:pPr>
              <w:jc w:val="right"/>
              <w:rPr>
                <w:rFonts w:asciiTheme="minorHAnsi" w:hAnsiTheme="minorHAnsi" w:cs="Arial"/>
                <w:sz w:val="20"/>
                <w:szCs w:val="20"/>
                <w:lang w:val="en-US"/>
              </w:rPr>
            </w:pPr>
            <w:r w:rsidRPr="00F01EC8">
              <w:rPr>
                <w:rFonts w:asciiTheme="minorHAnsi" w:hAnsiTheme="minorHAnsi" w:cs="Arial"/>
                <w:sz w:val="20"/>
                <w:szCs w:val="20"/>
                <w:lang w:val="en-US"/>
              </w:rPr>
              <w:t>159.2</w:t>
            </w:r>
          </w:p>
        </w:tc>
        <w:tc>
          <w:tcPr>
            <w:tcW w:w="1431" w:type="dxa"/>
            <w:tcBorders>
              <w:top w:val="single" w:sz="4" w:space="0" w:color="auto"/>
              <w:left w:val="nil"/>
              <w:bottom w:val="single" w:sz="12" w:space="0" w:color="auto"/>
              <w:right w:val="nil"/>
            </w:tcBorders>
            <w:vAlign w:val="bottom"/>
          </w:tcPr>
          <w:p w14:paraId="394AC6E6" w14:textId="0C675B7D" w:rsidR="00A32A97" w:rsidRPr="00F01EC8" w:rsidRDefault="00A32A97" w:rsidP="00A32A97">
            <w:pPr>
              <w:jc w:val="right"/>
              <w:rPr>
                <w:rFonts w:asciiTheme="minorHAnsi" w:hAnsiTheme="minorHAnsi" w:cs="Arial"/>
                <w:sz w:val="20"/>
                <w:szCs w:val="20"/>
                <w:lang w:val="en-US"/>
              </w:rPr>
            </w:pPr>
            <w:r w:rsidRPr="00F01EC8">
              <w:rPr>
                <w:rFonts w:asciiTheme="minorHAnsi" w:hAnsiTheme="minorHAnsi" w:cs="Arial"/>
                <w:sz w:val="20"/>
                <w:szCs w:val="20"/>
                <w:lang w:val="en-US"/>
              </w:rPr>
              <w:t>183.6</w:t>
            </w:r>
          </w:p>
        </w:tc>
        <w:tc>
          <w:tcPr>
            <w:tcW w:w="1168" w:type="dxa"/>
            <w:tcBorders>
              <w:top w:val="single" w:sz="4" w:space="0" w:color="auto"/>
              <w:left w:val="nil"/>
              <w:bottom w:val="single" w:sz="12" w:space="0" w:color="auto"/>
              <w:right w:val="nil"/>
            </w:tcBorders>
            <w:vAlign w:val="bottom"/>
          </w:tcPr>
          <w:p w14:paraId="04BD35F5" w14:textId="742D7A70" w:rsidR="00A32A97" w:rsidRPr="00F01EC8" w:rsidRDefault="00A32A97" w:rsidP="00A32A97">
            <w:pPr>
              <w:jc w:val="right"/>
              <w:rPr>
                <w:rFonts w:asciiTheme="minorHAnsi" w:hAnsiTheme="minorHAnsi" w:cs="Arial"/>
                <w:sz w:val="20"/>
                <w:szCs w:val="20"/>
                <w:lang w:val="en-US"/>
              </w:rPr>
            </w:pPr>
            <w:r w:rsidRPr="00F01EC8">
              <w:rPr>
                <w:rFonts w:asciiTheme="minorHAnsi" w:hAnsiTheme="minorHAnsi" w:cs="Arial"/>
                <w:sz w:val="20"/>
                <w:szCs w:val="20"/>
                <w:lang w:val="en-US"/>
              </w:rPr>
              <w:t>156.4</w:t>
            </w:r>
          </w:p>
        </w:tc>
      </w:tr>
    </w:tbl>
    <w:p w14:paraId="304AA13B" w14:textId="77777777" w:rsidR="009D39AC" w:rsidRPr="00F01EC8" w:rsidRDefault="009D39AC" w:rsidP="002303EB">
      <w:pPr>
        <w:jc w:val="both"/>
        <w:rPr>
          <w:rFonts w:asciiTheme="minorHAnsi" w:hAnsiTheme="minorHAnsi" w:cs="Arial"/>
          <w:b/>
          <w:bCs/>
          <w:sz w:val="20"/>
          <w:szCs w:val="20"/>
        </w:rPr>
      </w:pPr>
    </w:p>
    <w:p w14:paraId="4814922D" w14:textId="6BD7C8AB" w:rsidR="00DA6694" w:rsidRPr="00F01EC8" w:rsidRDefault="00DA6694" w:rsidP="00DA6694">
      <w:pPr>
        <w:ind w:left="567" w:hanging="567"/>
        <w:jc w:val="both"/>
        <w:rPr>
          <w:rFonts w:asciiTheme="minorHAnsi" w:hAnsiTheme="minorHAnsi" w:cs="Arial"/>
          <w:b/>
          <w:sz w:val="20"/>
          <w:szCs w:val="20"/>
        </w:rPr>
      </w:pPr>
      <w:r w:rsidRPr="00F01EC8">
        <w:rPr>
          <w:rFonts w:asciiTheme="minorHAnsi" w:hAnsiTheme="minorHAnsi" w:cs="Arial"/>
          <w:b/>
          <w:bCs/>
          <w:sz w:val="20"/>
          <w:szCs w:val="20"/>
        </w:rPr>
        <w:t>1</w:t>
      </w:r>
      <w:r w:rsidR="000B1423" w:rsidRPr="00F01EC8">
        <w:rPr>
          <w:rFonts w:asciiTheme="minorHAnsi" w:hAnsiTheme="minorHAnsi" w:cs="Arial"/>
          <w:b/>
          <w:bCs/>
          <w:sz w:val="20"/>
          <w:szCs w:val="20"/>
        </w:rPr>
        <w:t>5</w:t>
      </w:r>
      <w:r w:rsidRPr="00F01EC8">
        <w:rPr>
          <w:rFonts w:asciiTheme="minorHAnsi" w:hAnsiTheme="minorHAnsi" w:cs="Arial"/>
          <w:b/>
          <w:bCs/>
          <w:sz w:val="20"/>
          <w:szCs w:val="20"/>
        </w:rPr>
        <w:t>.</w:t>
      </w:r>
      <w:r w:rsidRPr="00F01EC8">
        <w:rPr>
          <w:rFonts w:asciiTheme="minorHAnsi" w:hAnsiTheme="minorHAnsi" w:cs="Arial"/>
          <w:b/>
          <w:bCs/>
          <w:sz w:val="20"/>
          <w:szCs w:val="20"/>
        </w:rPr>
        <w:tab/>
      </w:r>
      <w:r w:rsidRPr="00F01EC8">
        <w:rPr>
          <w:rFonts w:asciiTheme="minorHAnsi" w:hAnsiTheme="minorHAnsi" w:cs="Arial"/>
          <w:b/>
          <w:sz w:val="20"/>
          <w:szCs w:val="20"/>
        </w:rPr>
        <w:t xml:space="preserve">Reconciliation of </w:t>
      </w:r>
      <w:r w:rsidR="005429AF">
        <w:rPr>
          <w:rFonts w:asciiTheme="minorHAnsi" w:hAnsiTheme="minorHAnsi" w:cs="Arial"/>
          <w:b/>
          <w:sz w:val="20"/>
          <w:szCs w:val="20"/>
        </w:rPr>
        <w:t>(Loss)/</w:t>
      </w:r>
      <w:r w:rsidRPr="00F01EC8">
        <w:rPr>
          <w:rFonts w:asciiTheme="minorHAnsi" w:hAnsiTheme="minorHAnsi" w:cs="Arial"/>
          <w:b/>
          <w:sz w:val="20"/>
          <w:szCs w:val="20"/>
        </w:rPr>
        <w:t>profit after tax to cash generated from operations</w:t>
      </w:r>
    </w:p>
    <w:p w14:paraId="58389812" w14:textId="77777777" w:rsidR="00DA6694" w:rsidRPr="00F01EC8" w:rsidRDefault="00DA6694" w:rsidP="00DA6694">
      <w:pPr>
        <w:tabs>
          <w:tab w:val="left" w:pos="500"/>
        </w:tabs>
        <w:jc w:val="both"/>
        <w:rPr>
          <w:rFonts w:asciiTheme="minorHAnsi" w:hAnsiTheme="minorHAnsi" w:cs="Arial"/>
          <w:b/>
          <w:sz w:val="20"/>
          <w:szCs w:val="20"/>
        </w:rPr>
      </w:pPr>
    </w:p>
    <w:tbl>
      <w:tblPr>
        <w:tblW w:w="9923" w:type="dxa"/>
        <w:tblLook w:val="0000" w:firstRow="0" w:lastRow="0" w:firstColumn="0" w:lastColumn="0" w:noHBand="0" w:noVBand="0"/>
      </w:tblPr>
      <w:tblGrid>
        <w:gridCol w:w="7545"/>
        <w:gridCol w:w="1189"/>
        <w:gridCol w:w="1189"/>
      </w:tblGrid>
      <w:tr w:rsidR="00DA6694" w:rsidRPr="00F01EC8" w14:paraId="7E4F9B29" w14:textId="77777777" w:rsidTr="00AC0A5D">
        <w:tc>
          <w:tcPr>
            <w:tcW w:w="7545" w:type="dxa"/>
          </w:tcPr>
          <w:p w14:paraId="0E2ECE92" w14:textId="77777777" w:rsidR="00DA6694" w:rsidRPr="00F01EC8" w:rsidRDefault="00DA6694" w:rsidP="00AC0A5D">
            <w:pPr>
              <w:rPr>
                <w:rFonts w:asciiTheme="minorHAnsi" w:hAnsiTheme="minorHAnsi" w:cs="Arial"/>
                <w:sz w:val="20"/>
                <w:szCs w:val="20"/>
              </w:rPr>
            </w:pPr>
          </w:p>
        </w:tc>
        <w:tc>
          <w:tcPr>
            <w:tcW w:w="2378" w:type="dxa"/>
            <w:gridSpan w:val="2"/>
          </w:tcPr>
          <w:p w14:paraId="34B77D53"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Six months ended 30 June</w:t>
            </w:r>
          </w:p>
        </w:tc>
      </w:tr>
      <w:tr w:rsidR="00DA6694" w:rsidRPr="00F01EC8" w14:paraId="435E1AB9" w14:textId="77777777" w:rsidTr="00AC0A5D">
        <w:tc>
          <w:tcPr>
            <w:tcW w:w="7545" w:type="dxa"/>
          </w:tcPr>
          <w:p w14:paraId="4F007512" w14:textId="77777777" w:rsidR="00DA6694" w:rsidRPr="00F01EC8" w:rsidRDefault="00DA6694" w:rsidP="00AC0A5D">
            <w:pPr>
              <w:rPr>
                <w:rFonts w:asciiTheme="minorHAnsi" w:hAnsiTheme="minorHAnsi" w:cs="Arial"/>
                <w:sz w:val="20"/>
                <w:szCs w:val="20"/>
              </w:rPr>
            </w:pPr>
          </w:p>
        </w:tc>
        <w:tc>
          <w:tcPr>
            <w:tcW w:w="1189" w:type="dxa"/>
          </w:tcPr>
          <w:p w14:paraId="5F981312" w14:textId="6C895605"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20</w:t>
            </w:r>
            <w:r w:rsidR="005240CB" w:rsidRPr="00F01EC8">
              <w:rPr>
                <w:rFonts w:asciiTheme="minorHAnsi" w:hAnsiTheme="minorHAnsi" w:cs="Arial"/>
                <w:sz w:val="20"/>
                <w:szCs w:val="20"/>
              </w:rPr>
              <w:t>20</w:t>
            </w:r>
            <w:r w:rsidRPr="00F01EC8">
              <w:rPr>
                <w:rFonts w:asciiTheme="minorHAnsi" w:hAnsiTheme="minorHAnsi" w:cs="Arial"/>
                <w:sz w:val="20"/>
                <w:szCs w:val="20"/>
              </w:rPr>
              <w:t> </w:t>
            </w:r>
          </w:p>
        </w:tc>
        <w:tc>
          <w:tcPr>
            <w:tcW w:w="1189" w:type="dxa"/>
          </w:tcPr>
          <w:p w14:paraId="68208A14" w14:textId="6301806F" w:rsidR="00DA6694" w:rsidRPr="00F01EC8" w:rsidRDefault="00DA6694" w:rsidP="002773B8">
            <w:pPr>
              <w:jc w:val="right"/>
              <w:rPr>
                <w:rFonts w:asciiTheme="minorHAnsi" w:hAnsiTheme="minorHAnsi" w:cs="Arial"/>
                <w:sz w:val="20"/>
                <w:szCs w:val="20"/>
              </w:rPr>
            </w:pPr>
            <w:r w:rsidRPr="00F01EC8">
              <w:rPr>
                <w:rFonts w:asciiTheme="minorHAnsi" w:hAnsiTheme="minorHAnsi" w:cs="Arial"/>
                <w:sz w:val="20"/>
                <w:szCs w:val="20"/>
              </w:rPr>
              <w:t>201</w:t>
            </w:r>
            <w:r w:rsidR="009A7966" w:rsidRPr="00F01EC8">
              <w:rPr>
                <w:rFonts w:asciiTheme="minorHAnsi" w:hAnsiTheme="minorHAnsi" w:cs="Arial"/>
                <w:sz w:val="20"/>
                <w:szCs w:val="20"/>
              </w:rPr>
              <w:t>9</w:t>
            </w:r>
            <w:r w:rsidR="00914907" w:rsidRPr="00F01EC8">
              <w:rPr>
                <w:rFonts w:asciiTheme="minorHAnsi" w:hAnsiTheme="minorHAnsi" w:cs="Arial"/>
                <w:sz w:val="20"/>
                <w:szCs w:val="20"/>
              </w:rPr>
              <w:t xml:space="preserve"> (restated)</w:t>
            </w:r>
          </w:p>
        </w:tc>
      </w:tr>
      <w:tr w:rsidR="00DA6694" w:rsidRPr="00F01EC8" w14:paraId="56193275" w14:textId="77777777" w:rsidTr="00AC0A5D">
        <w:tc>
          <w:tcPr>
            <w:tcW w:w="7545" w:type="dxa"/>
          </w:tcPr>
          <w:p w14:paraId="0C3415E9" w14:textId="77777777" w:rsidR="00DA6694" w:rsidRPr="00F01EC8" w:rsidRDefault="00DA6694" w:rsidP="00AC0A5D">
            <w:pPr>
              <w:rPr>
                <w:rFonts w:asciiTheme="minorHAnsi" w:hAnsiTheme="minorHAnsi" w:cs="Arial"/>
                <w:sz w:val="20"/>
                <w:szCs w:val="20"/>
              </w:rPr>
            </w:pPr>
          </w:p>
        </w:tc>
        <w:tc>
          <w:tcPr>
            <w:tcW w:w="1189" w:type="dxa"/>
            <w:tcBorders>
              <w:top w:val="nil"/>
              <w:left w:val="nil"/>
              <w:bottom w:val="single" w:sz="4" w:space="0" w:color="auto"/>
              <w:right w:val="nil"/>
            </w:tcBorders>
          </w:tcPr>
          <w:p w14:paraId="453931EF"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c>
          <w:tcPr>
            <w:tcW w:w="1189" w:type="dxa"/>
            <w:tcBorders>
              <w:top w:val="nil"/>
              <w:left w:val="nil"/>
              <w:bottom w:val="single" w:sz="4" w:space="0" w:color="auto"/>
              <w:right w:val="nil"/>
            </w:tcBorders>
          </w:tcPr>
          <w:p w14:paraId="3E3D70B2" w14:textId="77777777"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£m </w:t>
            </w:r>
          </w:p>
        </w:tc>
      </w:tr>
      <w:tr w:rsidR="00DA6694" w:rsidRPr="00F01EC8" w14:paraId="528A473D" w14:textId="77777777" w:rsidTr="00AC0A5D">
        <w:tc>
          <w:tcPr>
            <w:tcW w:w="7545" w:type="dxa"/>
            <w:vAlign w:val="bottom"/>
          </w:tcPr>
          <w:p w14:paraId="1FB18B85" w14:textId="1DA52385" w:rsidR="00DA6694" w:rsidRPr="00F01EC8" w:rsidRDefault="005D5CE1" w:rsidP="005D5CE1">
            <w:pPr>
              <w:rPr>
                <w:rFonts w:asciiTheme="minorHAnsi" w:hAnsiTheme="minorHAnsi" w:cs="Arial"/>
                <w:b/>
                <w:sz w:val="20"/>
                <w:szCs w:val="20"/>
              </w:rPr>
            </w:pPr>
            <w:r w:rsidRPr="00F01EC8">
              <w:rPr>
                <w:rFonts w:asciiTheme="minorHAnsi" w:hAnsiTheme="minorHAnsi" w:cs="Arial"/>
                <w:b/>
                <w:sz w:val="20"/>
                <w:szCs w:val="20"/>
              </w:rPr>
              <w:t>(Loss)/p</w:t>
            </w:r>
            <w:r w:rsidR="00DA6694" w:rsidRPr="00F01EC8">
              <w:rPr>
                <w:rFonts w:asciiTheme="minorHAnsi" w:hAnsiTheme="minorHAnsi" w:cs="Arial"/>
                <w:b/>
                <w:sz w:val="20"/>
                <w:szCs w:val="20"/>
              </w:rPr>
              <w:t xml:space="preserve">rofit after tax </w:t>
            </w:r>
          </w:p>
        </w:tc>
        <w:tc>
          <w:tcPr>
            <w:tcW w:w="1189" w:type="dxa"/>
            <w:vAlign w:val="bottom"/>
          </w:tcPr>
          <w:p w14:paraId="79423F0F" w14:textId="30AC99F9" w:rsidR="00DA6694" w:rsidRPr="00F01EC8" w:rsidRDefault="002F1961" w:rsidP="00AC0A5D">
            <w:pPr>
              <w:jc w:val="right"/>
              <w:rPr>
                <w:rFonts w:asciiTheme="minorHAnsi" w:hAnsiTheme="minorHAnsi" w:cs="Arial"/>
                <w:sz w:val="20"/>
                <w:szCs w:val="20"/>
              </w:rPr>
            </w:pPr>
            <w:r w:rsidRPr="00F01EC8">
              <w:rPr>
                <w:rFonts w:asciiTheme="minorHAnsi" w:hAnsiTheme="minorHAnsi" w:cs="Arial"/>
                <w:sz w:val="20"/>
                <w:szCs w:val="20"/>
              </w:rPr>
              <w:t>(23.1)</w:t>
            </w:r>
          </w:p>
        </w:tc>
        <w:tc>
          <w:tcPr>
            <w:tcW w:w="1189" w:type="dxa"/>
            <w:vAlign w:val="bottom"/>
          </w:tcPr>
          <w:p w14:paraId="7D7A292B" w14:textId="4ADB85F2" w:rsidR="00DA6694" w:rsidRPr="00F01EC8" w:rsidRDefault="00DA6694" w:rsidP="00AC0A5D">
            <w:pPr>
              <w:jc w:val="right"/>
              <w:rPr>
                <w:rFonts w:asciiTheme="minorHAnsi" w:hAnsiTheme="minorHAnsi" w:cs="Arial"/>
                <w:sz w:val="20"/>
                <w:szCs w:val="20"/>
              </w:rPr>
            </w:pPr>
            <w:r w:rsidRPr="00F01EC8">
              <w:rPr>
                <w:rFonts w:asciiTheme="minorHAnsi" w:hAnsiTheme="minorHAnsi" w:cs="Arial"/>
                <w:sz w:val="20"/>
                <w:szCs w:val="20"/>
              </w:rPr>
              <w:t>2</w:t>
            </w:r>
            <w:r w:rsidR="00A436F8" w:rsidRPr="00F01EC8">
              <w:rPr>
                <w:rFonts w:asciiTheme="minorHAnsi" w:hAnsiTheme="minorHAnsi" w:cs="Arial"/>
                <w:sz w:val="20"/>
                <w:szCs w:val="20"/>
              </w:rPr>
              <w:t>4</w:t>
            </w:r>
            <w:r w:rsidRPr="00F01EC8">
              <w:rPr>
                <w:rFonts w:asciiTheme="minorHAnsi" w:hAnsiTheme="minorHAnsi" w:cs="Arial"/>
                <w:sz w:val="20"/>
                <w:szCs w:val="20"/>
              </w:rPr>
              <w:t>.</w:t>
            </w:r>
            <w:r w:rsidR="00A436F8" w:rsidRPr="00F01EC8">
              <w:rPr>
                <w:rFonts w:asciiTheme="minorHAnsi" w:hAnsiTheme="minorHAnsi" w:cs="Arial"/>
                <w:sz w:val="20"/>
                <w:szCs w:val="20"/>
              </w:rPr>
              <w:t>6</w:t>
            </w:r>
            <w:r w:rsidRPr="00F01EC8">
              <w:rPr>
                <w:rFonts w:asciiTheme="minorHAnsi" w:hAnsiTheme="minorHAnsi" w:cs="Arial"/>
                <w:sz w:val="20"/>
                <w:szCs w:val="20"/>
              </w:rPr>
              <w:t> </w:t>
            </w:r>
          </w:p>
        </w:tc>
      </w:tr>
      <w:tr w:rsidR="00DA6694" w:rsidRPr="00F01EC8" w14:paraId="58B16969" w14:textId="77777777" w:rsidTr="00AC0A5D">
        <w:tc>
          <w:tcPr>
            <w:tcW w:w="7545" w:type="dxa"/>
            <w:vAlign w:val="bottom"/>
          </w:tcPr>
          <w:p w14:paraId="1DDBC94D" w14:textId="77777777" w:rsidR="00DA6694" w:rsidRPr="00F01EC8" w:rsidRDefault="00DA6694" w:rsidP="00AC0A5D">
            <w:pPr>
              <w:rPr>
                <w:rFonts w:asciiTheme="minorHAnsi" w:hAnsiTheme="minorHAnsi" w:cs="Arial"/>
                <w:sz w:val="20"/>
                <w:szCs w:val="20"/>
              </w:rPr>
            </w:pPr>
            <w:r w:rsidRPr="00F01EC8">
              <w:rPr>
                <w:rFonts w:asciiTheme="minorHAnsi" w:hAnsiTheme="minorHAnsi" w:cs="Arial"/>
                <w:sz w:val="20"/>
                <w:szCs w:val="20"/>
              </w:rPr>
              <w:t>Adjusted for:</w:t>
            </w:r>
          </w:p>
        </w:tc>
        <w:tc>
          <w:tcPr>
            <w:tcW w:w="1189" w:type="dxa"/>
            <w:vAlign w:val="bottom"/>
          </w:tcPr>
          <w:p w14:paraId="13C65628" w14:textId="77777777" w:rsidR="00DA6694" w:rsidRPr="00F01EC8" w:rsidRDefault="00DA6694" w:rsidP="00AC0A5D">
            <w:pPr>
              <w:jc w:val="right"/>
              <w:rPr>
                <w:rFonts w:asciiTheme="minorHAnsi" w:hAnsiTheme="minorHAnsi" w:cs="Arial"/>
                <w:sz w:val="20"/>
                <w:szCs w:val="20"/>
              </w:rPr>
            </w:pPr>
          </w:p>
        </w:tc>
        <w:tc>
          <w:tcPr>
            <w:tcW w:w="1189" w:type="dxa"/>
            <w:vAlign w:val="bottom"/>
          </w:tcPr>
          <w:p w14:paraId="3AE40570" w14:textId="77777777" w:rsidR="00DA6694" w:rsidRPr="00F01EC8" w:rsidRDefault="00DA6694" w:rsidP="00AC0A5D">
            <w:pPr>
              <w:jc w:val="right"/>
              <w:rPr>
                <w:rFonts w:asciiTheme="minorHAnsi" w:hAnsiTheme="minorHAnsi" w:cs="Arial"/>
                <w:sz w:val="20"/>
                <w:szCs w:val="20"/>
              </w:rPr>
            </w:pPr>
          </w:p>
        </w:tc>
      </w:tr>
      <w:tr w:rsidR="00A436F8" w:rsidRPr="00F01EC8" w14:paraId="4C3D5E19" w14:textId="77777777" w:rsidTr="00AC0A5D">
        <w:tc>
          <w:tcPr>
            <w:tcW w:w="7545" w:type="dxa"/>
            <w:vAlign w:val="bottom"/>
          </w:tcPr>
          <w:p w14:paraId="2925C52D"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tax charge</w:t>
            </w:r>
          </w:p>
        </w:tc>
        <w:tc>
          <w:tcPr>
            <w:tcW w:w="1189" w:type="dxa"/>
            <w:vAlign w:val="bottom"/>
          </w:tcPr>
          <w:p w14:paraId="290A15A2" w14:textId="689BAC1D" w:rsidR="00A436F8" w:rsidRPr="00F01EC8" w:rsidRDefault="002F1961" w:rsidP="00A436F8">
            <w:pPr>
              <w:jc w:val="right"/>
              <w:rPr>
                <w:rFonts w:asciiTheme="minorHAnsi" w:hAnsiTheme="minorHAnsi" w:cs="Arial"/>
                <w:sz w:val="20"/>
                <w:szCs w:val="20"/>
              </w:rPr>
            </w:pPr>
            <w:r w:rsidRPr="00F01EC8">
              <w:rPr>
                <w:rFonts w:asciiTheme="minorHAnsi" w:hAnsiTheme="minorHAnsi" w:cs="Arial"/>
                <w:sz w:val="20"/>
                <w:szCs w:val="20"/>
              </w:rPr>
              <w:t>(4.9)</w:t>
            </w:r>
          </w:p>
        </w:tc>
        <w:tc>
          <w:tcPr>
            <w:tcW w:w="1189" w:type="dxa"/>
            <w:vAlign w:val="bottom"/>
          </w:tcPr>
          <w:p w14:paraId="02ECA9DE" w14:textId="60CA48A1" w:rsidR="00A436F8" w:rsidRPr="00F01EC8" w:rsidRDefault="00813115" w:rsidP="00A436F8">
            <w:pPr>
              <w:jc w:val="right"/>
              <w:rPr>
                <w:rFonts w:asciiTheme="minorHAnsi" w:hAnsiTheme="minorHAnsi" w:cs="Arial"/>
                <w:sz w:val="20"/>
                <w:szCs w:val="20"/>
              </w:rPr>
            </w:pPr>
            <w:r w:rsidRPr="00F01EC8">
              <w:rPr>
                <w:rFonts w:asciiTheme="minorHAnsi" w:hAnsiTheme="minorHAnsi" w:cs="Arial"/>
                <w:sz w:val="20"/>
                <w:szCs w:val="20"/>
              </w:rPr>
              <w:t>18.</w:t>
            </w:r>
            <w:r w:rsidR="00EC48CC">
              <w:rPr>
                <w:rFonts w:asciiTheme="minorHAnsi" w:hAnsiTheme="minorHAnsi" w:cs="Arial"/>
                <w:sz w:val="20"/>
                <w:szCs w:val="20"/>
              </w:rPr>
              <w:t>5</w:t>
            </w:r>
            <w:r w:rsidR="00A436F8" w:rsidRPr="00F01EC8">
              <w:rPr>
                <w:rFonts w:asciiTheme="minorHAnsi" w:hAnsiTheme="minorHAnsi" w:cs="Arial"/>
                <w:sz w:val="20"/>
                <w:szCs w:val="20"/>
              </w:rPr>
              <w:t> </w:t>
            </w:r>
          </w:p>
        </w:tc>
      </w:tr>
      <w:tr w:rsidR="00A436F8" w:rsidRPr="00F01EC8" w14:paraId="5781220D" w14:textId="77777777" w:rsidTr="00AC0A5D">
        <w:tc>
          <w:tcPr>
            <w:tcW w:w="7545" w:type="dxa"/>
            <w:vAlign w:val="bottom"/>
          </w:tcPr>
          <w:p w14:paraId="694FC49E"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finance costs</w:t>
            </w:r>
          </w:p>
        </w:tc>
        <w:tc>
          <w:tcPr>
            <w:tcW w:w="1189" w:type="dxa"/>
            <w:vAlign w:val="bottom"/>
          </w:tcPr>
          <w:p w14:paraId="3436C295" w14:textId="3726B964" w:rsidR="00A436F8" w:rsidRPr="00F01EC8" w:rsidRDefault="002F1961" w:rsidP="00A436F8">
            <w:pPr>
              <w:jc w:val="right"/>
              <w:rPr>
                <w:rFonts w:asciiTheme="minorHAnsi" w:hAnsiTheme="minorHAnsi" w:cs="Arial"/>
                <w:sz w:val="20"/>
                <w:szCs w:val="20"/>
              </w:rPr>
            </w:pPr>
            <w:r w:rsidRPr="00F01EC8">
              <w:rPr>
                <w:rFonts w:asciiTheme="minorHAnsi" w:hAnsiTheme="minorHAnsi" w:cs="Arial"/>
                <w:sz w:val="20"/>
                <w:szCs w:val="20"/>
              </w:rPr>
              <w:t>36.0</w:t>
            </w:r>
          </w:p>
        </w:tc>
        <w:tc>
          <w:tcPr>
            <w:tcW w:w="1189" w:type="dxa"/>
            <w:vAlign w:val="bottom"/>
          </w:tcPr>
          <w:p w14:paraId="33D39829" w14:textId="4FBDBEC5"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36.5 </w:t>
            </w:r>
          </w:p>
        </w:tc>
      </w:tr>
      <w:tr w:rsidR="00A436F8" w:rsidRPr="00F01EC8" w14:paraId="03B11076" w14:textId="77777777" w:rsidTr="00AC0A5D">
        <w:tc>
          <w:tcPr>
            <w:tcW w:w="7545" w:type="dxa"/>
            <w:vAlign w:val="bottom"/>
          </w:tcPr>
          <w:p w14:paraId="25B58EE0"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share-based payment charge</w:t>
            </w:r>
          </w:p>
        </w:tc>
        <w:tc>
          <w:tcPr>
            <w:tcW w:w="1189" w:type="dxa"/>
            <w:vAlign w:val="bottom"/>
          </w:tcPr>
          <w:p w14:paraId="4136F5FA" w14:textId="63A2F789" w:rsidR="00A436F8" w:rsidRPr="00F01EC8" w:rsidRDefault="002F1961" w:rsidP="00A436F8">
            <w:pPr>
              <w:jc w:val="right"/>
              <w:rPr>
                <w:rFonts w:asciiTheme="minorHAnsi" w:hAnsiTheme="minorHAnsi" w:cs="Arial"/>
                <w:sz w:val="20"/>
                <w:szCs w:val="20"/>
              </w:rPr>
            </w:pPr>
            <w:r w:rsidRPr="00F01EC8">
              <w:rPr>
                <w:rFonts w:asciiTheme="minorHAnsi" w:hAnsiTheme="minorHAnsi" w:cs="Arial"/>
                <w:sz w:val="20"/>
                <w:szCs w:val="20"/>
              </w:rPr>
              <w:t>0.3</w:t>
            </w:r>
          </w:p>
        </w:tc>
        <w:tc>
          <w:tcPr>
            <w:tcW w:w="1189" w:type="dxa"/>
            <w:vAlign w:val="bottom"/>
          </w:tcPr>
          <w:p w14:paraId="7487400C" w14:textId="039D0BB9"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2.1 </w:t>
            </w:r>
          </w:p>
        </w:tc>
      </w:tr>
      <w:tr w:rsidR="00126ABF" w:rsidRPr="00F01EC8" w14:paraId="15E58FA7" w14:textId="77777777" w:rsidTr="00C800EB">
        <w:tc>
          <w:tcPr>
            <w:tcW w:w="7545" w:type="dxa"/>
            <w:vAlign w:val="bottom"/>
          </w:tcPr>
          <w:p w14:paraId="3AD13B56" w14:textId="2D204BED" w:rsidR="00126ABF" w:rsidRPr="00F01EC8" w:rsidRDefault="00126ABF" w:rsidP="00126ABF">
            <w:pPr>
              <w:rPr>
                <w:rFonts w:asciiTheme="minorHAnsi" w:hAnsiTheme="minorHAnsi" w:cs="Arial"/>
                <w:sz w:val="20"/>
                <w:szCs w:val="20"/>
              </w:rPr>
            </w:pPr>
            <w:r w:rsidRPr="00F01EC8">
              <w:rPr>
                <w:rFonts w:asciiTheme="minorHAnsi" w:hAnsiTheme="minorHAnsi" w:cs="Arial"/>
                <w:sz w:val="20"/>
                <w:szCs w:val="20"/>
              </w:rPr>
              <w:t>– retirement benefit credit before exceptional curtailment credit (note 9)</w:t>
            </w:r>
          </w:p>
        </w:tc>
        <w:tc>
          <w:tcPr>
            <w:tcW w:w="1189" w:type="dxa"/>
          </w:tcPr>
          <w:p w14:paraId="07DE1C20" w14:textId="02171A7E" w:rsidR="00126ABF" w:rsidRPr="00F01EC8" w:rsidRDefault="00126ABF" w:rsidP="00126ABF">
            <w:pPr>
              <w:jc w:val="right"/>
              <w:rPr>
                <w:rFonts w:asciiTheme="minorHAnsi" w:hAnsiTheme="minorHAnsi" w:cs="Arial"/>
                <w:sz w:val="20"/>
                <w:szCs w:val="20"/>
              </w:rPr>
            </w:pPr>
            <w:r w:rsidRPr="00F01EC8">
              <w:rPr>
                <w:rFonts w:asciiTheme="minorHAnsi" w:hAnsiTheme="minorHAnsi" w:cs="Arial"/>
                <w:sz w:val="20"/>
                <w:szCs w:val="20"/>
              </w:rPr>
              <w:t>-</w:t>
            </w:r>
          </w:p>
        </w:tc>
        <w:tc>
          <w:tcPr>
            <w:tcW w:w="1189" w:type="dxa"/>
            <w:vAlign w:val="bottom"/>
          </w:tcPr>
          <w:p w14:paraId="6EE9AED8" w14:textId="75C9648E" w:rsidR="00126ABF" w:rsidRPr="00F01EC8" w:rsidRDefault="00126ABF" w:rsidP="00126ABF">
            <w:pPr>
              <w:jc w:val="right"/>
              <w:rPr>
                <w:rFonts w:asciiTheme="minorHAnsi" w:hAnsiTheme="minorHAnsi" w:cs="Arial"/>
                <w:sz w:val="20"/>
                <w:szCs w:val="20"/>
              </w:rPr>
            </w:pPr>
            <w:r w:rsidRPr="00F01EC8">
              <w:rPr>
                <w:rFonts w:asciiTheme="minorHAnsi" w:hAnsiTheme="minorHAnsi" w:cs="Arial"/>
                <w:sz w:val="20"/>
                <w:szCs w:val="20"/>
              </w:rPr>
              <w:t>(0.1)</w:t>
            </w:r>
          </w:p>
        </w:tc>
      </w:tr>
      <w:tr w:rsidR="00126ABF" w:rsidRPr="00F01EC8" w14:paraId="2EFB8579" w14:textId="77777777" w:rsidTr="00C800EB">
        <w:tc>
          <w:tcPr>
            <w:tcW w:w="7545" w:type="dxa"/>
            <w:vAlign w:val="bottom"/>
          </w:tcPr>
          <w:p w14:paraId="22C4C4D3" w14:textId="77777777" w:rsidR="00126ABF" w:rsidRPr="00F01EC8" w:rsidRDefault="00126ABF" w:rsidP="00126ABF">
            <w:pPr>
              <w:rPr>
                <w:rFonts w:asciiTheme="minorHAnsi" w:hAnsiTheme="minorHAnsi" w:cs="Arial"/>
                <w:sz w:val="20"/>
                <w:szCs w:val="20"/>
              </w:rPr>
            </w:pPr>
            <w:r w:rsidRPr="00F01EC8">
              <w:rPr>
                <w:rFonts w:asciiTheme="minorHAnsi" w:hAnsiTheme="minorHAnsi" w:cs="Arial"/>
                <w:sz w:val="20"/>
                <w:szCs w:val="20"/>
              </w:rPr>
              <w:t>– exceptional pension curtailment credit (note 9)</w:t>
            </w:r>
          </w:p>
        </w:tc>
        <w:tc>
          <w:tcPr>
            <w:tcW w:w="1189" w:type="dxa"/>
          </w:tcPr>
          <w:p w14:paraId="71BF8D3E" w14:textId="4B60175C" w:rsidR="00126ABF" w:rsidRPr="00F01EC8" w:rsidRDefault="00126ABF" w:rsidP="00126ABF">
            <w:pPr>
              <w:jc w:val="right"/>
              <w:rPr>
                <w:rFonts w:asciiTheme="minorHAnsi" w:hAnsiTheme="minorHAnsi" w:cs="Arial"/>
                <w:sz w:val="20"/>
                <w:szCs w:val="20"/>
              </w:rPr>
            </w:pPr>
            <w:r w:rsidRPr="00F01EC8">
              <w:rPr>
                <w:rFonts w:asciiTheme="minorHAnsi" w:hAnsiTheme="minorHAnsi" w:cs="Arial"/>
                <w:sz w:val="20"/>
                <w:szCs w:val="20"/>
              </w:rPr>
              <w:t>-</w:t>
            </w:r>
          </w:p>
        </w:tc>
        <w:tc>
          <w:tcPr>
            <w:tcW w:w="1189" w:type="dxa"/>
            <w:vAlign w:val="bottom"/>
          </w:tcPr>
          <w:p w14:paraId="5C9A855F" w14:textId="4EDDD704" w:rsidR="00126ABF" w:rsidRPr="00F01EC8" w:rsidRDefault="00126ABF" w:rsidP="00126ABF">
            <w:pPr>
              <w:jc w:val="right"/>
              <w:rPr>
                <w:rFonts w:asciiTheme="minorHAnsi" w:hAnsiTheme="minorHAnsi" w:cs="Arial"/>
                <w:sz w:val="20"/>
                <w:szCs w:val="20"/>
              </w:rPr>
            </w:pPr>
            <w:r w:rsidRPr="00F01EC8">
              <w:rPr>
                <w:rFonts w:asciiTheme="minorHAnsi" w:hAnsiTheme="minorHAnsi" w:cs="Arial"/>
                <w:sz w:val="20"/>
                <w:szCs w:val="20"/>
              </w:rPr>
              <w:t> (0.5)</w:t>
            </w:r>
          </w:p>
        </w:tc>
      </w:tr>
      <w:tr w:rsidR="00A436F8" w:rsidRPr="00F01EC8" w14:paraId="12FB2E84" w14:textId="77777777" w:rsidTr="00AC0A5D">
        <w:tc>
          <w:tcPr>
            <w:tcW w:w="7545" w:type="dxa"/>
            <w:vAlign w:val="bottom"/>
          </w:tcPr>
          <w:p w14:paraId="023C4562"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amortisation of intangible assets</w:t>
            </w:r>
          </w:p>
        </w:tc>
        <w:tc>
          <w:tcPr>
            <w:tcW w:w="1189" w:type="dxa"/>
            <w:vAlign w:val="bottom"/>
          </w:tcPr>
          <w:p w14:paraId="5D3E6C95" w14:textId="6069C239"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7.3</w:t>
            </w:r>
          </w:p>
        </w:tc>
        <w:tc>
          <w:tcPr>
            <w:tcW w:w="1189" w:type="dxa"/>
            <w:vAlign w:val="bottom"/>
          </w:tcPr>
          <w:p w14:paraId="3ED881DF" w14:textId="09AB13CB"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7.6 </w:t>
            </w:r>
          </w:p>
        </w:tc>
      </w:tr>
      <w:tr w:rsidR="00A436F8" w:rsidRPr="00F01EC8" w14:paraId="2267D51D" w14:textId="77777777" w:rsidTr="00AC0A5D">
        <w:tc>
          <w:tcPr>
            <w:tcW w:w="7545" w:type="dxa"/>
            <w:vAlign w:val="bottom"/>
          </w:tcPr>
          <w:p w14:paraId="49344403" w14:textId="1B1069F4"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depreciation of property, plant and equipment and right of use assets</w:t>
            </w:r>
          </w:p>
        </w:tc>
        <w:tc>
          <w:tcPr>
            <w:tcW w:w="1189" w:type="dxa"/>
            <w:vAlign w:val="bottom"/>
          </w:tcPr>
          <w:p w14:paraId="7521FA8F" w14:textId="544CDCD2"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8.0</w:t>
            </w:r>
          </w:p>
        </w:tc>
        <w:tc>
          <w:tcPr>
            <w:tcW w:w="1189" w:type="dxa"/>
            <w:vAlign w:val="bottom"/>
          </w:tcPr>
          <w:p w14:paraId="33962720" w14:textId="0376587E"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8.</w:t>
            </w:r>
            <w:r w:rsidR="00EC48CC">
              <w:rPr>
                <w:rFonts w:asciiTheme="minorHAnsi" w:hAnsiTheme="minorHAnsi" w:cs="Arial"/>
                <w:sz w:val="20"/>
                <w:szCs w:val="20"/>
              </w:rPr>
              <w:t>7</w:t>
            </w:r>
            <w:r w:rsidRPr="00F01EC8">
              <w:rPr>
                <w:rFonts w:asciiTheme="minorHAnsi" w:hAnsiTheme="minorHAnsi" w:cs="Arial"/>
                <w:sz w:val="20"/>
                <w:szCs w:val="20"/>
              </w:rPr>
              <w:t> </w:t>
            </w:r>
          </w:p>
        </w:tc>
      </w:tr>
      <w:tr w:rsidR="00A436F8" w:rsidRPr="00F01EC8" w14:paraId="686DCEB7" w14:textId="77777777" w:rsidTr="00AC0A5D">
        <w:tc>
          <w:tcPr>
            <w:tcW w:w="7545" w:type="dxa"/>
            <w:vAlign w:val="bottom"/>
          </w:tcPr>
          <w:p w14:paraId="1B2E4C42"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Changes in operating assets and liabilities:</w:t>
            </w:r>
          </w:p>
        </w:tc>
        <w:tc>
          <w:tcPr>
            <w:tcW w:w="1189" w:type="dxa"/>
            <w:vAlign w:val="bottom"/>
          </w:tcPr>
          <w:p w14:paraId="5A304F06" w14:textId="77777777" w:rsidR="00A436F8" w:rsidRPr="00F01EC8" w:rsidRDefault="00A436F8" w:rsidP="00A436F8">
            <w:pPr>
              <w:jc w:val="right"/>
              <w:rPr>
                <w:rFonts w:asciiTheme="minorHAnsi" w:hAnsiTheme="minorHAnsi" w:cs="Arial"/>
                <w:sz w:val="20"/>
                <w:szCs w:val="20"/>
              </w:rPr>
            </w:pPr>
          </w:p>
        </w:tc>
        <w:tc>
          <w:tcPr>
            <w:tcW w:w="1189" w:type="dxa"/>
            <w:vAlign w:val="bottom"/>
          </w:tcPr>
          <w:p w14:paraId="0A548B39" w14:textId="77777777" w:rsidR="00A436F8" w:rsidRPr="00F01EC8" w:rsidRDefault="00A436F8" w:rsidP="00A436F8">
            <w:pPr>
              <w:jc w:val="right"/>
              <w:rPr>
                <w:rFonts w:asciiTheme="minorHAnsi" w:hAnsiTheme="minorHAnsi" w:cs="Arial"/>
                <w:sz w:val="20"/>
                <w:szCs w:val="20"/>
              </w:rPr>
            </w:pPr>
          </w:p>
        </w:tc>
      </w:tr>
      <w:tr w:rsidR="00A436F8" w:rsidRPr="00F01EC8" w14:paraId="3D6E876A" w14:textId="77777777" w:rsidTr="00AC0A5D">
        <w:tc>
          <w:tcPr>
            <w:tcW w:w="7545" w:type="dxa"/>
            <w:vAlign w:val="bottom"/>
          </w:tcPr>
          <w:p w14:paraId="57A0277C"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amounts receivable from customers</w:t>
            </w:r>
          </w:p>
        </w:tc>
        <w:tc>
          <w:tcPr>
            <w:tcW w:w="1189" w:type="dxa"/>
            <w:vAlign w:val="bottom"/>
          </w:tcPr>
          <w:p w14:paraId="36179431" w14:textId="23C05582"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334.2</w:t>
            </w:r>
          </w:p>
        </w:tc>
        <w:tc>
          <w:tcPr>
            <w:tcW w:w="1189" w:type="dxa"/>
            <w:vAlign w:val="bottom"/>
          </w:tcPr>
          <w:p w14:paraId="419CF4F7" w14:textId="66C534CE" w:rsidR="00A436F8" w:rsidRPr="00F01EC8" w:rsidRDefault="00813115" w:rsidP="00A436F8">
            <w:pPr>
              <w:jc w:val="right"/>
              <w:rPr>
                <w:rFonts w:asciiTheme="minorHAnsi" w:hAnsiTheme="minorHAnsi" w:cs="Arial"/>
                <w:sz w:val="20"/>
                <w:szCs w:val="20"/>
              </w:rPr>
            </w:pPr>
            <w:r w:rsidRPr="00F01EC8">
              <w:rPr>
                <w:rFonts w:asciiTheme="minorHAnsi" w:hAnsiTheme="minorHAnsi" w:cs="Arial"/>
                <w:sz w:val="20"/>
                <w:szCs w:val="20"/>
              </w:rPr>
              <w:t>9.1</w:t>
            </w:r>
            <w:r w:rsidR="00A436F8" w:rsidRPr="00F01EC8">
              <w:rPr>
                <w:rFonts w:asciiTheme="minorHAnsi" w:hAnsiTheme="minorHAnsi" w:cs="Arial"/>
                <w:sz w:val="20"/>
                <w:szCs w:val="20"/>
              </w:rPr>
              <w:t> </w:t>
            </w:r>
          </w:p>
        </w:tc>
      </w:tr>
      <w:tr w:rsidR="00A436F8" w:rsidRPr="00F01EC8" w14:paraId="6DEF73AC" w14:textId="77777777" w:rsidTr="00AC0A5D">
        <w:tc>
          <w:tcPr>
            <w:tcW w:w="7545" w:type="dxa"/>
            <w:vAlign w:val="bottom"/>
          </w:tcPr>
          <w:p w14:paraId="544DC59F"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trade and other receivables</w:t>
            </w:r>
          </w:p>
        </w:tc>
        <w:tc>
          <w:tcPr>
            <w:tcW w:w="1189" w:type="dxa"/>
            <w:vAlign w:val="bottom"/>
          </w:tcPr>
          <w:p w14:paraId="46A355FA" w14:textId="249D2150"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(11.3)</w:t>
            </w:r>
          </w:p>
        </w:tc>
        <w:tc>
          <w:tcPr>
            <w:tcW w:w="1189" w:type="dxa"/>
            <w:vAlign w:val="bottom"/>
          </w:tcPr>
          <w:p w14:paraId="03264346" w14:textId="0F949C5A" w:rsidR="00A436F8" w:rsidRPr="00F01EC8" w:rsidRDefault="00813115" w:rsidP="00A436F8">
            <w:pPr>
              <w:jc w:val="right"/>
              <w:rPr>
                <w:rFonts w:asciiTheme="minorHAnsi" w:hAnsiTheme="minorHAnsi" w:cs="Arial"/>
                <w:sz w:val="20"/>
                <w:szCs w:val="20"/>
              </w:rPr>
            </w:pPr>
            <w:r w:rsidRPr="00F01EC8">
              <w:rPr>
                <w:rFonts w:asciiTheme="minorHAnsi" w:hAnsiTheme="minorHAnsi" w:cs="Arial"/>
                <w:sz w:val="20"/>
                <w:szCs w:val="20"/>
              </w:rPr>
              <w:t>(20.0</w:t>
            </w:r>
            <w:r w:rsidR="00A436F8" w:rsidRPr="00F01EC8">
              <w:rPr>
                <w:rFonts w:asciiTheme="minorHAnsi" w:hAnsiTheme="minorHAnsi" w:cs="Arial"/>
                <w:sz w:val="20"/>
                <w:szCs w:val="20"/>
              </w:rPr>
              <w:t>)</w:t>
            </w:r>
          </w:p>
        </w:tc>
      </w:tr>
      <w:tr w:rsidR="00A436F8" w:rsidRPr="00F01EC8" w14:paraId="20A4DBCD" w14:textId="77777777" w:rsidTr="00AC0A5D">
        <w:tc>
          <w:tcPr>
            <w:tcW w:w="7545" w:type="dxa"/>
            <w:vAlign w:val="bottom"/>
          </w:tcPr>
          <w:p w14:paraId="163583E0"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trade and other payables</w:t>
            </w:r>
          </w:p>
        </w:tc>
        <w:tc>
          <w:tcPr>
            <w:tcW w:w="1189" w:type="dxa"/>
            <w:vAlign w:val="bottom"/>
          </w:tcPr>
          <w:p w14:paraId="1E10F2A2" w14:textId="3B13BFAC"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(9.2)</w:t>
            </w:r>
          </w:p>
        </w:tc>
        <w:tc>
          <w:tcPr>
            <w:tcW w:w="1189" w:type="dxa"/>
            <w:vAlign w:val="bottom"/>
          </w:tcPr>
          <w:p w14:paraId="0B38E48E" w14:textId="3A552D6E"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 </w:t>
            </w:r>
          </w:p>
        </w:tc>
      </w:tr>
      <w:tr w:rsidR="00A436F8" w:rsidRPr="00F01EC8" w14:paraId="6702AF5C" w14:textId="77777777" w:rsidTr="00AC0A5D">
        <w:tc>
          <w:tcPr>
            <w:tcW w:w="7545" w:type="dxa"/>
            <w:vAlign w:val="bottom"/>
          </w:tcPr>
          <w:p w14:paraId="6F91147F"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contributions into the retirement benefit scheme (note 9)</w:t>
            </w:r>
          </w:p>
        </w:tc>
        <w:tc>
          <w:tcPr>
            <w:tcW w:w="1189" w:type="dxa"/>
            <w:vAlign w:val="bottom"/>
          </w:tcPr>
          <w:p w14:paraId="2BCC41DA" w14:textId="7FACF981"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(2.1)</w:t>
            </w:r>
          </w:p>
        </w:tc>
        <w:tc>
          <w:tcPr>
            <w:tcW w:w="1189" w:type="dxa"/>
            <w:vAlign w:val="bottom"/>
          </w:tcPr>
          <w:p w14:paraId="56070975" w14:textId="0E0708A0"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(1.5)</w:t>
            </w:r>
          </w:p>
        </w:tc>
      </w:tr>
      <w:tr w:rsidR="00126ABF" w:rsidRPr="00F01EC8" w14:paraId="7FE7E0A3" w14:textId="77777777" w:rsidTr="00AC0A5D">
        <w:tc>
          <w:tcPr>
            <w:tcW w:w="7545" w:type="dxa"/>
            <w:vAlign w:val="bottom"/>
          </w:tcPr>
          <w:p w14:paraId="5EC29F29" w14:textId="45E63F5F" w:rsidR="00126ABF" w:rsidRPr="00F01EC8" w:rsidRDefault="00126ABF" w:rsidP="00126ABF">
            <w:pPr>
              <w:rPr>
                <w:rFonts w:asciiTheme="minorHAnsi" w:hAnsiTheme="minorHAnsi" w:cs="Arial"/>
                <w:sz w:val="20"/>
                <w:szCs w:val="20"/>
              </w:rPr>
            </w:pPr>
            <w:r w:rsidRPr="00F01EC8">
              <w:rPr>
                <w:rFonts w:asciiTheme="minorHAnsi" w:hAnsiTheme="minorHAnsi" w:cs="Arial"/>
                <w:sz w:val="20"/>
                <w:szCs w:val="20"/>
              </w:rPr>
              <w:t>– derivative financial instruments</w:t>
            </w:r>
          </w:p>
        </w:tc>
        <w:tc>
          <w:tcPr>
            <w:tcW w:w="1189" w:type="dxa"/>
            <w:vAlign w:val="bottom"/>
          </w:tcPr>
          <w:p w14:paraId="6B60D01E" w14:textId="2D19F0CF" w:rsidR="00126ABF"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0.3</w:t>
            </w:r>
          </w:p>
        </w:tc>
        <w:tc>
          <w:tcPr>
            <w:tcW w:w="1189" w:type="dxa"/>
            <w:vAlign w:val="bottom"/>
          </w:tcPr>
          <w:p w14:paraId="7C1D0223" w14:textId="3CD89750" w:rsidR="00126ABF" w:rsidRPr="00F01EC8" w:rsidRDefault="00BF6D6D" w:rsidP="00A436F8">
            <w:pPr>
              <w:jc w:val="right"/>
              <w:rPr>
                <w:rFonts w:asciiTheme="minorHAnsi" w:hAnsiTheme="minorHAnsi" w:cs="Arial"/>
                <w:sz w:val="20"/>
                <w:szCs w:val="20"/>
              </w:rPr>
            </w:pPr>
            <w:r w:rsidRPr="00F01EC8">
              <w:rPr>
                <w:rFonts w:asciiTheme="minorHAnsi" w:hAnsiTheme="minorHAnsi" w:cs="Arial"/>
                <w:sz w:val="20"/>
                <w:szCs w:val="20"/>
              </w:rPr>
              <w:t>-</w:t>
            </w:r>
          </w:p>
        </w:tc>
      </w:tr>
      <w:tr w:rsidR="00A436F8" w:rsidRPr="00F01EC8" w14:paraId="670D5A06" w14:textId="77777777" w:rsidTr="00AC0A5D">
        <w:tc>
          <w:tcPr>
            <w:tcW w:w="7545" w:type="dxa"/>
            <w:vAlign w:val="bottom"/>
          </w:tcPr>
          <w:p w14:paraId="6D0E3ECD" w14:textId="77777777" w:rsidR="00A436F8" w:rsidRPr="00F01EC8" w:rsidRDefault="00A436F8" w:rsidP="00A436F8">
            <w:pPr>
              <w:rPr>
                <w:rFonts w:asciiTheme="minorHAnsi" w:hAnsiTheme="minorHAnsi" w:cs="Arial"/>
                <w:sz w:val="20"/>
                <w:szCs w:val="20"/>
              </w:rPr>
            </w:pPr>
            <w:r w:rsidRPr="00F01EC8">
              <w:rPr>
                <w:rFonts w:asciiTheme="minorHAnsi" w:hAnsiTheme="minorHAnsi" w:cs="Arial"/>
                <w:sz w:val="20"/>
                <w:szCs w:val="20"/>
              </w:rPr>
              <w:t>– provisions (note 12)</w:t>
            </w:r>
          </w:p>
        </w:tc>
        <w:tc>
          <w:tcPr>
            <w:tcW w:w="1189" w:type="dxa"/>
            <w:vAlign w:val="bottom"/>
          </w:tcPr>
          <w:p w14:paraId="568C2B44" w14:textId="7DA1CB04"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(5.5)</w:t>
            </w:r>
          </w:p>
        </w:tc>
        <w:tc>
          <w:tcPr>
            <w:tcW w:w="1189" w:type="dxa"/>
            <w:vAlign w:val="bottom"/>
          </w:tcPr>
          <w:p w14:paraId="5A64C603" w14:textId="19189E03" w:rsidR="00A436F8" w:rsidRPr="00F01EC8" w:rsidRDefault="00A436F8" w:rsidP="00A436F8">
            <w:pPr>
              <w:jc w:val="right"/>
              <w:rPr>
                <w:rFonts w:asciiTheme="minorHAnsi" w:hAnsiTheme="minorHAnsi" w:cs="Arial"/>
                <w:sz w:val="20"/>
                <w:szCs w:val="20"/>
              </w:rPr>
            </w:pPr>
            <w:r w:rsidRPr="00F01EC8">
              <w:rPr>
                <w:rFonts w:asciiTheme="minorHAnsi" w:hAnsiTheme="minorHAnsi" w:cs="Arial"/>
                <w:sz w:val="20"/>
                <w:szCs w:val="20"/>
              </w:rPr>
              <w:t>(17.6)</w:t>
            </w:r>
          </w:p>
        </w:tc>
      </w:tr>
      <w:tr w:rsidR="00A436F8" w:rsidRPr="00F01EC8" w14:paraId="78544F22" w14:textId="77777777" w:rsidTr="00AC0A5D">
        <w:tc>
          <w:tcPr>
            <w:tcW w:w="7545" w:type="dxa"/>
            <w:vAlign w:val="bottom"/>
          </w:tcPr>
          <w:p w14:paraId="06437877" w14:textId="77777777" w:rsidR="00A436F8" w:rsidRPr="00F01EC8" w:rsidRDefault="00A436F8" w:rsidP="00A436F8">
            <w:pPr>
              <w:rPr>
                <w:rFonts w:asciiTheme="minorHAnsi" w:hAnsiTheme="minorHAnsi" w:cs="Arial"/>
                <w:b/>
                <w:sz w:val="20"/>
                <w:szCs w:val="20"/>
              </w:rPr>
            </w:pPr>
            <w:r w:rsidRPr="00F01EC8">
              <w:rPr>
                <w:rFonts w:asciiTheme="minorHAnsi" w:hAnsiTheme="minorHAnsi" w:cs="Arial"/>
                <w:b/>
                <w:sz w:val="20"/>
                <w:szCs w:val="20"/>
              </w:rPr>
              <w:t>Cash generated from operations</w:t>
            </w:r>
          </w:p>
        </w:tc>
        <w:tc>
          <w:tcPr>
            <w:tcW w:w="1189" w:type="dxa"/>
            <w:tcBorders>
              <w:top w:val="single" w:sz="4" w:space="0" w:color="auto"/>
              <w:left w:val="nil"/>
              <w:bottom w:val="single" w:sz="12" w:space="0" w:color="auto"/>
              <w:right w:val="nil"/>
            </w:tcBorders>
            <w:vAlign w:val="bottom"/>
          </w:tcPr>
          <w:p w14:paraId="6571305D" w14:textId="5738121C" w:rsidR="00A436F8" w:rsidRPr="00F01EC8" w:rsidRDefault="00126ABF" w:rsidP="00A436F8">
            <w:pPr>
              <w:jc w:val="right"/>
              <w:rPr>
                <w:rFonts w:asciiTheme="minorHAnsi" w:hAnsiTheme="minorHAnsi" w:cs="Arial"/>
                <w:sz w:val="20"/>
                <w:szCs w:val="20"/>
              </w:rPr>
            </w:pPr>
            <w:r w:rsidRPr="00F01EC8">
              <w:rPr>
                <w:rFonts w:asciiTheme="minorHAnsi" w:hAnsiTheme="minorHAnsi" w:cs="Arial"/>
                <w:sz w:val="20"/>
                <w:szCs w:val="20"/>
              </w:rPr>
              <w:t>330.0</w:t>
            </w:r>
          </w:p>
        </w:tc>
        <w:tc>
          <w:tcPr>
            <w:tcW w:w="1189" w:type="dxa"/>
            <w:tcBorders>
              <w:top w:val="single" w:sz="4" w:space="0" w:color="auto"/>
              <w:left w:val="nil"/>
              <w:bottom w:val="single" w:sz="12" w:space="0" w:color="auto"/>
              <w:right w:val="nil"/>
            </w:tcBorders>
            <w:vAlign w:val="bottom"/>
          </w:tcPr>
          <w:p w14:paraId="42595666" w14:textId="178129AC" w:rsidR="00A436F8" w:rsidRPr="00F01EC8" w:rsidRDefault="00813115" w:rsidP="00A436F8">
            <w:pPr>
              <w:jc w:val="right"/>
              <w:rPr>
                <w:rFonts w:asciiTheme="minorHAnsi" w:hAnsiTheme="minorHAnsi" w:cs="Arial"/>
                <w:sz w:val="20"/>
                <w:szCs w:val="20"/>
              </w:rPr>
            </w:pPr>
            <w:r w:rsidRPr="00F01EC8">
              <w:rPr>
                <w:rFonts w:asciiTheme="minorHAnsi" w:hAnsiTheme="minorHAnsi" w:cs="Arial"/>
                <w:sz w:val="20"/>
                <w:szCs w:val="20"/>
              </w:rPr>
              <w:t>67.4</w:t>
            </w:r>
            <w:r w:rsidR="00A436F8" w:rsidRPr="00F01EC8">
              <w:rPr>
                <w:rFonts w:asciiTheme="minorHAnsi" w:hAnsiTheme="minorHAnsi" w:cs="Arial"/>
                <w:sz w:val="20"/>
                <w:szCs w:val="20"/>
              </w:rPr>
              <w:t> </w:t>
            </w:r>
          </w:p>
        </w:tc>
      </w:tr>
    </w:tbl>
    <w:p w14:paraId="396A641A" w14:textId="77777777" w:rsidR="00583E1F" w:rsidRPr="00F01EC8" w:rsidRDefault="00583E1F" w:rsidP="002303EB">
      <w:pPr>
        <w:jc w:val="both"/>
        <w:rPr>
          <w:rFonts w:asciiTheme="minorHAnsi" w:hAnsiTheme="minorHAnsi" w:cs="Arial"/>
          <w:b/>
          <w:bCs/>
          <w:sz w:val="20"/>
          <w:szCs w:val="20"/>
        </w:rPr>
      </w:pPr>
    </w:p>
    <w:p w14:paraId="418F0413" w14:textId="4105F2D0" w:rsidR="00583E1F" w:rsidRPr="00F01EC8" w:rsidRDefault="00583E1F" w:rsidP="00583E1F">
      <w:pPr>
        <w:ind w:left="567" w:hanging="567"/>
        <w:jc w:val="both"/>
        <w:rPr>
          <w:rFonts w:asciiTheme="minorHAnsi" w:hAnsiTheme="minorHAnsi" w:cs="Arial"/>
          <w:b/>
          <w:sz w:val="20"/>
          <w:szCs w:val="20"/>
        </w:rPr>
      </w:pPr>
      <w:r w:rsidRPr="00F01EC8">
        <w:rPr>
          <w:rFonts w:asciiTheme="minorHAnsi" w:hAnsiTheme="minorHAnsi" w:cs="Arial"/>
          <w:b/>
          <w:bCs/>
          <w:sz w:val="20"/>
          <w:szCs w:val="20"/>
        </w:rPr>
        <w:t>16.</w:t>
      </w:r>
      <w:r w:rsidRPr="00F01EC8">
        <w:rPr>
          <w:rFonts w:asciiTheme="minorHAnsi" w:hAnsiTheme="minorHAnsi" w:cs="Arial"/>
          <w:b/>
          <w:bCs/>
          <w:sz w:val="20"/>
          <w:szCs w:val="20"/>
        </w:rPr>
        <w:tab/>
      </w:r>
      <w:r w:rsidRPr="00F01EC8">
        <w:rPr>
          <w:rFonts w:asciiTheme="minorHAnsi" w:hAnsiTheme="minorHAnsi" w:cs="Arial"/>
          <w:b/>
          <w:sz w:val="20"/>
          <w:szCs w:val="20"/>
        </w:rPr>
        <w:t>Post balance sheet events</w:t>
      </w:r>
    </w:p>
    <w:p w14:paraId="615326C0" w14:textId="617334E5" w:rsidR="00264A11" w:rsidRPr="00F01EC8" w:rsidRDefault="00986EA4" w:rsidP="00054543">
      <w:pPr>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In August</w:t>
      </w:r>
      <w:r w:rsidR="00264A11" w:rsidRPr="00F01EC8">
        <w:rPr>
          <w:rStyle w:val="bodycopynumber"/>
          <w:rFonts w:asciiTheme="minorHAnsi" w:hAnsiTheme="minorHAnsi" w:cs="Arial"/>
          <w:bCs/>
          <w:sz w:val="20"/>
          <w:szCs w:val="20"/>
        </w:rPr>
        <w:t xml:space="preserve"> 2020, the Group tendered the £250m 5-year fixed rate bonds carrying a semi-annual coupon of </w:t>
      </w:r>
      <w:r w:rsidR="008A6AC1">
        <w:rPr>
          <w:rStyle w:val="bodycopynumber"/>
          <w:rFonts w:asciiTheme="minorHAnsi" w:hAnsiTheme="minorHAnsi" w:cs="Arial"/>
          <w:bCs/>
          <w:sz w:val="20"/>
          <w:szCs w:val="20"/>
        </w:rPr>
        <w:t>8¼</w:t>
      </w:r>
      <w:r w:rsidR="00264A11" w:rsidRPr="00F01EC8">
        <w:rPr>
          <w:rStyle w:val="bodycopynumber"/>
          <w:rFonts w:asciiTheme="minorHAnsi" w:hAnsiTheme="minorHAnsi" w:cs="Arial"/>
          <w:bCs/>
          <w:sz w:val="20"/>
          <w:szCs w:val="20"/>
        </w:rPr>
        <w:t xml:space="preserve">% and mature in June 2023. £75m of the £250m bonds were tendered and redeemed at a 3.1% </w:t>
      </w:r>
      <w:r w:rsidR="00B13BA4" w:rsidRPr="00F01EC8">
        <w:rPr>
          <w:rStyle w:val="bodycopynumber"/>
          <w:rFonts w:asciiTheme="minorHAnsi" w:hAnsiTheme="minorHAnsi" w:cs="Arial"/>
          <w:bCs/>
          <w:sz w:val="20"/>
          <w:szCs w:val="20"/>
        </w:rPr>
        <w:t>discount</w:t>
      </w:r>
      <w:r w:rsidR="00264A11" w:rsidRPr="00F01EC8">
        <w:rPr>
          <w:rStyle w:val="bodycopynumber"/>
          <w:rFonts w:asciiTheme="minorHAnsi" w:hAnsiTheme="minorHAnsi" w:cs="Arial"/>
          <w:bCs/>
          <w:sz w:val="20"/>
          <w:szCs w:val="20"/>
        </w:rPr>
        <w:t xml:space="preserve"> resulting in an exceptional credit of </w:t>
      </w:r>
      <w:r w:rsidR="00C47404" w:rsidRPr="00F01EC8">
        <w:rPr>
          <w:rStyle w:val="bodycopynumber"/>
          <w:rFonts w:asciiTheme="minorHAnsi" w:hAnsiTheme="minorHAnsi" w:cs="Arial"/>
          <w:bCs/>
          <w:sz w:val="20"/>
          <w:szCs w:val="20"/>
        </w:rPr>
        <w:t>c.</w:t>
      </w:r>
      <w:r w:rsidR="00264A11" w:rsidRPr="00F01EC8">
        <w:rPr>
          <w:rStyle w:val="bodycopynumber"/>
          <w:rFonts w:asciiTheme="minorHAnsi" w:hAnsiTheme="minorHAnsi" w:cs="Arial"/>
          <w:bCs/>
          <w:sz w:val="20"/>
          <w:szCs w:val="20"/>
        </w:rPr>
        <w:t>£</w:t>
      </w:r>
      <w:r w:rsidR="00B13BA4" w:rsidRPr="00F01EC8">
        <w:rPr>
          <w:rStyle w:val="bodycopynumber"/>
          <w:rFonts w:asciiTheme="minorHAnsi" w:hAnsiTheme="minorHAnsi" w:cs="Arial"/>
          <w:bCs/>
          <w:sz w:val="20"/>
          <w:szCs w:val="20"/>
        </w:rPr>
        <w:t>2</w:t>
      </w:r>
      <w:r w:rsidR="00264A11" w:rsidRPr="00F01EC8">
        <w:rPr>
          <w:rStyle w:val="bodycopynumber"/>
          <w:rFonts w:asciiTheme="minorHAnsi" w:hAnsiTheme="minorHAnsi" w:cs="Arial"/>
          <w:bCs/>
          <w:sz w:val="20"/>
          <w:szCs w:val="20"/>
        </w:rPr>
        <w:t xml:space="preserve">m which will be reflected in the full year results. The remaining bonds of £175m will mature on their original maturity date in June 2023. </w:t>
      </w:r>
    </w:p>
    <w:p w14:paraId="4EA0469D" w14:textId="77777777" w:rsidR="00264A11" w:rsidRPr="00F01EC8" w:rsidRDefault="00264A11" w:rsidP="00054543">
      <w:pPr>
        <w:jc w:val="both"/>
        <w:rPr>
          <w:rStyle w:val="bodycopynumber"/>
          <w:rFonts w:asciiTheme="minorHAnsi" w:hAnsiTheme="minorHAnsi" w:cs="Arial"/>
          <w:bCs/>
          <w:sz w:val="20"/>
          <w:szCs w:val="20"/>
        </w:rPr>
      </w:pPr>
    </w:p>
    <w:p w14:paraId="6C331A9C" w14:textId="77777777" w:rsidR="000252F2" w:rsidRDefault="00986EA4">
      <w:pPr>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In August 2020</w:t>
      </w:r>
      <w:r w:rsidR="009E3F9A" w:rsidRPr="00F01EC8">
        <w:rPr>
          <w:rStyle w:val="bodycopynumber"/>
          <w:rFonts w:asciiTheme="minorHAnsi" w:hAnsiTheme="minorHAnsi" w:cs="Arial"/>
          <w:bCs/>
          <w:sz w:val="20"/>
          <w:szCs w:val="20"/>
        </w:rPr>
        <w:t xml:space="preserve"> P</w:t>
      </w:r>
      <w:r w:rsidRPr="00F01EC8">
        <w:rPr>
          <w:rStyle w:val="bodycopynumber"/>
          <w:rFonts w:asciiTheme="minorHAnsi" w:hAnsiTheme="minorHAnsi" w:cs="Arial"/>
          <w:bCs/>
          <w:sz w:val="20"/>
          <w:szCs w:val="20"/>
        </w:rPr>
        <w:t xml:space="preserve">rovident Financial plc also agreed a </w:t>
      </w:r>
      <w:r w:rsidR="009E3F9A" w:rsidRPr="00F01EC8">
        <w:rPr>
          <w:rStyle w:val="bodycopynumber"/>
          <w:rFonts w:asciiTheme="minorHAnsi" w:hAnsiTheme="minorHAnsi" w:cs="Arial"/>
          <w:bCs/>
          <w:sz w:val="20"/>
          <w:szCs w:val="20"/>
        </w:rPr>
        <w:t xml:space="preserve">£70m </w:t>
      </w:r>
      <w:r w:rsidRPr="00F01EC8">
        <w:rPr>
          <w:rStyle w:val="bodycopynumber"/>
          <w:rFonts w:asciiTheme="minorHAnsi" w:hAnsiTheme="minorHAnsi" w:cs="Arial"/>
          <w:bCs/>
          <w:sz w:val="20"/>
          <w:szCs w:val="20"/>
        </w:rPr>
        <w:t xml:space="preserve">intercompany </w:t>
      </w:r>
      <w:r w:rsidR="009E3F9A" w:rsidRPr="00F01EC8">
        <w:rPr>
          <w:rStyle w:val="bodycopynumber"/>
          <w:rFonts w:asciiTheme="minorHAnsi" w:hAnsiTheme="minorHAnsi" w:cs="Arial"/>
          <w:bCs/>
          <w:sz w:val="20"/>
          <w:szCs w:val="20"/>
        </w:rPr>
        <w:t xml:space="preserve">facility with Vanquis Bank </w:t>
      </w:r>
      <w:r w:rsidR="004628CF" w:rsidRPr="00F01EC8">
        <w:rPr>
          <w:rStyle w:val="bodycopynumber"/>
          <w:rFonts w:asciiTheme="minorHAnsi" w:hAnsiTheme="minorHAnsi" w:cs="Arial"/>
          <w:bCs/>
          <w:sz w:val="20"/>
          <w:szCs w:val="20"/>
        </w:rPr>
        <w:t xml:space="preserve">to allow upstream funding </w:t>
      </w:r>
      <w:r w:rsidRPr="00F01EC8">
        <w:rPr>
          <w:rStyle w:val="bodycopynumber"/>
          <w:rFonts w:asciiTheme="minorHAnsi" w:hAnsiTheme="minorHAnsi" w:cs="Arial"/>
          <w:bCs/>
          <w:sz w:val="20"/>
          <w:szCs w:val="20"/>
        </w:rPr>
        <w:t>which facilitated the tender</w:t>
      </w:r>
      <w:r w:rsidR="004628CF" w:rsidRPr="00F01EC8">
        <w:rPr>
          <w:rStyle w:val="bodycopynumber"/>
          <w:rFonts w:asciiTheme="minorHAnsi" w:hAnsiTheme="minorHAnsi" w:cs="Arial"/>
          <w:bCs/>
          <w:sz w:val="20"/>
          <w:szCs w:val="20"/>
        </w:rPr>
        <w:t xml:space="preserve"> of the bonds.</w:t>
      </w:r>
    </w:p>
    <w:p w14:paraId="6FE8A4B6" w14:textId="77777777" w:rsidR="000252F2" w:rsidRDefault="000252F2">
      <w:pPr>
        <w:rPr>
          <w:rStyle w:val="bodycopynumber"/>
          <w:rFonts w:asciiTheme="minorHAnsi" w:hAnsiTheme="minorHAnsi" w:cs="Arial"/>
          <w:bCs/>
          <w:sz w:val="20"/>
          <w:szCs w:val="20"/>
        </w:rPr>
      </w:pPr>
    </w:p>
    <w:p w14:paraId="4B03CCD5" w14:textId="77777777" w:rsidR="000252F2" w:rsidRPr="00BF62D4" w:rsidRDefault="000252F2" w:rsidP="0002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copynumber"/>
          <w:rFonts w:asciiTheme="minorHAnsi" w:hAnsiTheme="minorHAnsi" w:cs="Arial"/>
          <w:b/>
          <w:bCs/>
          <w:sz w:val="20"/>
        </w:rPr>
      </w:pPr>
      <w:r w:rsidRPr="00BF62D4">
        <w:rPr>
          <w:rStyle w:val="bodycopynumber"/>
          <w:rFonts w:asciiTheme="minorHAnsi" w:hAnsiTheme="minorHAnsi" w:cs="Arial"/>
          <w:b/>
          <w:bCs/>
          <w:sz w:val="20"/>
        </w:rPr>
        <w:lastRenderedPageBreak/>
        <w:t>Alternative Performance Measures (APMs)</w:t>
      </w:r>
    </w:p>
    <w:p w14:paraId="6BD5E4D0" w14:textId="77777777" w:rsidR="000252F2" w:rsidRPr="00F01EC8" w:rsidRDefault="000252F2" w:rsidP="000252F2">
      <w:pPr>
        <w:ind w:left="284" w:hanging="284"/>
        <w:jc w:val="both"/>
        <w:rPr>
          <w:rFonts w:asciiTheme="minorHAnsi" w:hAnsiTheme="minorHAnsi" w:cs="Arial"/>
          <w:sz w:val="20"/>
          <w:szCs w:val="20"/>
        </w:rPr>
      </w:pPr>
    </w:p>
    <w:tbl>
      <w:tblPr>
        <w:tblStyle w:val="TableGrid"/>
        <w:tblW w:w="0" w:type="auto"/>
        <w:tblLook w:val="04A0" w:firstRow="1" w:lastRow="0" w:firstColumn="1" w:lastColumn="0" w:noHBand="0" w:noVBand="1"/>
      </w:tblPr>
      <w:tblGrid>
        <w:gridCol w:w="3237"/>
        <w:gridCol w:w="3238"/>
        <w:gridCol w:w="3238"/>
      </w:tblGrid>
      <w:tr w:rsidR="000252F2" w14:paraId="5543EAE9" w14:textId="77777777" w:rsidTr="005714EF">
        <w:tc>
          <w:tcPr>
            <w:tcW w:w="3237" w:type="dxa"/>
          </w:tcPr>
          <w:p w14:paraId="07B7ECD0" w14:textId="77777777" w:rsidR="000252F2" w:rsidRPr="00343AB9" w:rsidRDefault="000252F2" w:rsidP="005714EF">
            <w:pPr>
              <w:tabs>
                <w:tab w:val="left" w:pos="5736"/>
              </w:tabs>
              <w:jc w:val="both"/>
              <w:rPr>
                <w:rFonts w:asciiTheme="minorHAnsi" w:hAnsiTheme="minorHAnsi"/>
                <w:b/>
                <w:sz w:val="20"/>
                <w:szCs w:val="20"/>
              </w:rPr>
            </w:pPr>
            <w:r w:rsidRPr="00343AB9">
              <w:rPr>
                <w:rFonts w:asciiTheme="minorHAnsi" w:hAnsiTheme="minorHAnsi"/>
                <w:b/>
                <w:sz w:val="20"/>
                <w:szCs w:val="20"/>
              </w:rPr>
              <w:t>APM</w:t>
            </w:r>
          </w:p>
        </w:tc>
        <w:tc>
          <w:tcPr>
            <w:tcW w:w="3238" w:type="dxa"/>
          </w:tcPr>
          <w:p w14:paraId="360494BF" w14:textId="77777777" w:rsidR="000252F2" w:rsidRPr="00343AB9" w:rsidRDefault="000252F2" w:rsidP="005714EF">
            <w:pPr>
              <w:tabs>
                <w:tab w:val="left" w:pos="5736"/>
              </w:tabs>
              <w:jc w:val="both"/>
              <w:rPr>
                <w:rFonts w:asciiTheme="minorHAnsi" w:hAnsiTheme="minorHAnsi"/>
                <w:b/>
                <w:sz w:val="20"/>
                <w:szCs w:val="20"/>
              </w:rPr>
            </w:pPr>
            <w:r w:rsidRPr="00343AB9">
              <w:rPr>
                <w:rFonts w:asciiTheme="minorHAnsi" w:hAnsiTheme="minorHAnsi"/>
                <w:b/>
                <w:sz w:val="20"/>
                <w:szCs w:val="20"/>
              </w:rPr>
              <w:t>Method of calculation</w:t>
            </w:r>
          </w:p>
        </w:tc>
        <w:tc>
          <w:tcPr>
            <w:tcW w:w="3238" w:type="dxa"/>
          </w:tcPr>
          <w:p w14:paraId="68CB2B2A" w14:textId="77777777" w:rsidR="000252F2" w:rsidRPr="00343AB9" w:rsidRDefault="000252F2" w:rsidP="005714EF">
            <w:pPr>
              <w:tabs>
                <w:tab w:val="left" w:pos="5736"/>
              </w:tabs>
              <w:jc w:val="both"/>
              <w:rPr>
                <w:rFonts w:asciiTheme="minorHAnsi" w:hAnsiTheme="minorHAnsi"/>
                <w:b/>
                <w:sz w:val="20"/>
                <w:szCs w:val="20"/>
              </w:rPr>
            </w:pPr>
            <w:r w:rsidRPr="00343AB9">
              <w:rPr>
                <w:rFonts w:asciiTheme="minorHAnsi" w:hAnsiTheme="minorHAnsi"/>
                <w:b/>
                <w:sz w:val="20"/>
                <w:szCs w:val="20"/>
              </w:rPr>
              <w:t>Relevance</w:t>
            </w:r>
          </w:p>
        </w:tc>
      </w:tr>
      <w:tr w:rsidR="000252F2" w14:paraId="32043DB0" w14:textId="77777777" w:rsidTr="005714EF">
        <w:tc>
          <w:tcPr>
            <w:tcW w:w="3237" w:type="dxa"/>
          </w:tcPr>
          <w:p w14:paraId="2997C1C4"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Adjusted basic earnings per share (EPS)</w:t>
            </w:r>
          </w:p>
        </w:tc>
        <w:tc>
          <w:tcPr>
            <w:tcW w:w="3238" w:type="dxa"/>
          </w:tcPr>
          <w:p w14:paraId="3DF13CDE"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Profit after tax, excluding the amortisation of acquisition intangibles and exceptional items, divided by the weighted average number of shares in issue.</w:t>
            </w:r>
          </w:p>
        </w:tc>
        <w:tc>
          <w:tcPr>
            <w:tcW w:w="3238" w:type="dxa"/>
          </w:tcPr>
          <w:p w14:paraId="6AB8E11F" w14:textId="77777777" w:rsidR="000252F2" w:rsidRPr="00343AB9" w:rsidRDefault="000252F2" w:rsidP="005714EF">
            <w:pPr>
              <w:tabs>
                <w:tab w:val="left" w:pos="5736"/>
              </w:tabs>
              <w:jc w:val="both"/>
              <w:rPr>
                <w:rFonts w:asciiTheme="minorHAnsi" w:hAnsiTheme="minorHAnsi"/>
                <w:color w:val="231F20"/>
                <w:spacing w:val="-2"/>
                <w:sz w:val="20"/>
                <w:szCs w:val="20"/>
              </w:rPr>
            </w:pPr>
            <w:r w:rsidRPr="00343AB9">
              <w:rPr>
                <w:rFonts w:asciiTheme="minorHAnsi" w:hAnsiTheme="minorHAnsi"/>
                <w:color w:val="231F20"/>
                <w:spacing w:val="-2"/>
                <w:sz w:val="20"/>
                <w:szCs w:val="20"/>
              </w:rPr>
              <w:t>Assesses the Group’s operational performance from continuing operations per ordinary share. It removes the effect of amortisation of acquisition intangibles and exceptional items.</w:t>
            </w:r>
          </w:p>
          <w:p w14:paraId="51A13F3F" w14:textId="77777777" w:rsidR="000252F2" w:rsidRPr="00343AB9" w:rsidRDefault="000252F2" w:rsidP="005714EF">
            <w:pPr>
              <w:tabs>
                <w:tab w:val="left" w:pos="5736"/>
              </w:tabs>
              <w:jc w:val="both"/>
              <w:rPr>
                <w:rFonts w:asciiTheme="minorHAnsi" w:hAnsiTheme="minorHAnsi"/>
                <w:sz w:val="20"/>
                <w:szCs w:val="20"/>
              </w:rPr>
            </w:pPr>
          </w:p>
        </w:tc>
      </w:tr>
      <w:tr w:rsidR="000252F2" w14:paraId="48508D46" w14:textId="77777777" w:rsidTr="005714EF">
        <w:tc>
          <w:tcPr>
            <w:tcW w:w="3237" w:type="dxa"/>
          </w:tcPr>
          <w:p w14:paraId="67BF4EB2"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Average receivables</w:t>
            </w:r>
          </w:p>
        </w:tc>
        <w:tc>
          <w:tcPr>
            <w:tcW w:w="3238" w:type="dxa"/>
          </w:tcPr>
          <w:p w14:paraId="313AE0A0"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Average of month-end receivables for the 6 months ended 30 June.</w:t>
            </w:r>
          </w:p>
        </w:tc>
        <w:tc>
          <w:tcPr>
            <w:tcW w:w="3238" w:type="dxa"/>
          </w:tcPr>
          <w:p w14:paraId="3AC82B6C"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Average receivables smooths the seasonality of receivables.</w:t>
            </w:r>
          </w:p>
          <w:p w14:paraId="2C36AB26" w14:textId="77777777" w:rsidR="000252F2" w:rsidRPr="00343AB9" w:rsidRDefault="000252F2" w:rsidP="005714EF">
            <w:pPr>
              <w:tabs>
                <w:tab w:val="left" w:pos="5736"/>
              </w:tabs>
              <w:jc w:val="both"/>
              <w:rPr>
                <w:rFonts w:asciiTheme="minorHAnsi" w:hAnsiTheme="minorHAnsi"/>
                <w:sz w:val="20"/>
                <w:szCs w:val="20"/>
              </w:rPr>
            </w:pPr>
          </w:p>
        </w:tc>
      </w:tr>
      <w:tr w:rsidR="000252F2" w14:paraId="7CB64E15" w14:textId="77777777" w:rsidTr="005714EF">
        <w:tc>
          <w:tcPr>
            <w:tcW w:w="3237" w:type="dxa"/>
          </w:tcPr>
          <w:p w14:paraId="5548804F"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Net interest margin</w:t>
            </w:r>
          </w:p>
          <w:p w14:paraId="596F3449" w14:textId="77777777" w:rsidR="000252F2" w:rsidRPr="00343AB9" w:rsidRDefault="000252F2" w:rsidP="005714EF">
            <w:pPr>
              <w:tabs>
                <w:tab w:val="left" w:pos="5736"/>
              </w:tabs>
              <w:jc w:val="both"/>
              <w:rPr>
                <w:rFonts w:asciiTheme="minorHAnsi" w:hAnsiTheme="minorHAnsi"/>
                <w:color w:val="231F20"/>
                <w:sz w:val="20"/>
                <w:szCs w:val="20"/>
              </w:rPr>
            </w:pPr>
          </w:p>
          <w:p w14:paraId="1A35A957" w14:textId="77777777" w:rsidR="000252F2" w:rsidRPr="00343AB9" w:rsidRDefault="000252F2" w:rsidP="005714EF">
            <w:pPr>
              <w:tabs>
                <w:tab w:val="left" w:pos="5736"/>
              </w:tabs>
              <w:jc w:val="both"/>
              <w:rPr>
                <w:rFonts w:asciiTheme="minorHAnsi" w:hAnsiTheme="minorHAnsi"/>
                <w:color w:val="231F20"/>
                <w:sz w:val="20"/>
                <w:szCs w:val="20"/>
              </w:rPr>
            </w:pPr>
          </w:p>
        </w:tc>
        <w:tc>
          <w:tcPr>
            <w:tcW w:w="3238" w:type="dxa"/>
          </w:tcPr>
          <w:p w14:paraId="17AE39C3" w14:textId="354E4083"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Revenue less funding costs for the period  divided by average receivables</w:t>
            </w:r>
            <w:r w:rsidR="00623601" w:rsidRPr="00343AB9">
              <w:rPr>
                <w:rFonts w:asciiTheme="minorHAnsi" w:hAnsiTheme="minorHAnsi"/>
                <w:color w:val="231F20"/>
                <w:sz w:val="20"/>
                <w:szCs w:val="20"/>
              </w:rPr>
              <w:t>.</w:t>
            </w:r>
          </w:p>
        </w:tc>
        <w:tc>
          <w:tcPr>
            <w:tcW w:w="3238" w:type="dxa"/>
          </w:tcPr>
          <w:p w14:paraId="11EAA870"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Demonstrates the return generated from the average receivables over the period after adjusting for the cost of funding the receivables book.</w:t>
            </w:r>
          </w:p>
          <w:p w14:paraId="724C85CF" w14:textId="77777777" w:rsidR="000252F2" w:rsidRPr="00343AB9" w:rsidRDefault="000252F2" w:rsidP="005714EF">
            <w:pPr>
              <w:tabs>
                <w:tab w:val="left" w:pos="5736"/>
              </w:tabs>
              <w:jc w:val="both"/>
              <w:rPr>
                <w:rFonts w:asciiTheme="minorHAnsi" w:hAnsiTheme="minorHAnsi"/>
                <w:color w:val="231F20"/>
                <w:sz w:val="20"/>
                <w:szCs w:val="20"/>
              </w:rPr>
            </w:pPr>
          </w:p>
        </w:tc>
      </w:tr>
      <w:tr w:rsidR="000252F2" w14:paraId="2345FEBC" w14:textId="77777777" w:rsidTr="005714EF">
        <w:tc>
          <w:tcPr>
            <w:tcW w:w="3237" w:type="dxa"/>
          </w:tcPr>
          <w:p w14:paraId="78DE6D71"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Return on assets (ROA)</w:t>
            </w:r>
          </w:p>
        </w:tc>
        <w:tc>
          <w:tcPr>
            <w:tcW w:w="3238" w:type="dxa"/>
          </w:tcPr>
          <w:p w14:paraId="081984F6"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Adjusted profit before interest after tax as a percentage of average receivables.</w:t>
            </w:r>
          </w:p>
          <w:p w14:paraId="560E7D0D" w14:textId="77777777" w:rsidR="000252F2" w:rsidRPr="00343AB9" w:rsidRDefault="000252F2" w:rsidP="005714EF">
            <w:pPr>
              <w:tabs>
                <w:tab w:val="left" w:pos="5736"/>
              </w:tabs>
              <w:jc w:val="both"/>
              <w:rPr>
                <w:rFonts w:asciiTheme="minorHAnsi" w:hAnsiTheme="minorHAnsi"/>
                <w:sz w:val="20"/>
                <w:szCs w:val="20"/>
              </w:rPr>
            </w:pPr>
          </w:p>
        </w:tc>
        <w:tc>
          <w:tcPr>
            <w:tcW w:w="3238" w:type="dxa"/>
          </w:tcPr>
          <w:p w14:paraId="04E03198"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 xml:space="preserve">Measures the return a company generates from its assets prior to the impact of funding strategy for each division. </w:t>
            </w:r>
          </w:p>
          <w:p w14:paraId="27DB4DD7" w14:textId="77777777" w:rsidR="000252F2" w:rsidRPr="00343AB9" w:rsidRDefault="000252F2" w:rsidP="005714EF">
            <w:pPr>
              <w:tabs>
                <w:tab w:val="left" w:pos="5736"/>
              </w:tabs>
              <w:jc w:val="both"/>
              <w:rPr>
                <w:rFonts w:asciiTheme="minorHAnsi" w:hAnsiTheme="minorHAnsi"/>
                <w:sz w:val="20"/>
                <w:szCs w:val="20"/>
              </w:rPr>
            </w:pPr>
          </w:p>
        </w:tc>
      </w:tr>
      <w:tr w:rsidR="000252F2" w14:paraId="3EA0152B" w14:textId="77777777" w:rsidTr="005714EF">
        <w:tc>
          <w:tcPr>
            <w:tcW w:w="3237" w:type="dxa"/>
          </w:tcPr>
          <w:p w14:paraId="4F4A2CAA"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Return on equity (ROE)</w:t>
            </w:r>
          </w:p>
        </w:tc>
        <w:tc>
          <w:tcPr>
            <w:tcW w:w="3238" w:type="dxa"/>
          </w:tcPr>
          <w:p w14:paraId="6BA062B4"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Adjusted profit after tax as a percentage of average equity. Equity is stated after deducting the Group’s pension asset, net of deferred tax, and the fair value of derivative financial instruments.</w:t>
            </w:r>
          </w:p>
          <w:p w14:paraId="02F77148" w14:textId="77777777" w:rsidR="000252F2" w:rsidRPr="00343AB9" w:rsidRDefault="000252F2" w:rsidP="005714EF">
            <w:pPr>
              <w:tabs>
                <w:tab w:val="left" w:pos="5736"/>
              </w:tabs>
              <w:jc w:val="both"/>
              <w:rPr>
                <w:rFonts w:asciiTheme="minorHAnsi" w:hAnsiTheme="minorHAnsi"/>
                <w:sz w:val="20"/>
                <w:szCs w:val="20"/>
              </w:rPr>
            </w:pPr>
          </w:p>
        </w:tc>
        <w:tc>
          <w:tcPr>
            <w:tcW w:w="3238" w:type="dxa"/>
          </w:tcPr>
          <w:p w14:paraId="69C17B32"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pacing w:val="-2"/>
                <w:sz w:val="20"/>
                <w:szCs w:val="20"/>
              </w:rPr>
              <w:t xml:space="preserve">ROE </w:t>
            </w:r>
            <w:r w:rsidRPr="00343AB9">
              <w:rPr>
                <w:rFonts w:asciiTheme="minorHAnsi" w:hAnsiTheme="minorHAnsi"/>
                <w:color w:val="231F20"/>
                <w:spacing w:val="-3"/>
                <w:sz w:val="20"/>
                <w:szCs w:val="20"/>
              </w:rPr>
              <w:t xml:space="preserve">shows </w:t>
            </w:r>
            <w:r w:rsidRPr="00343AB9">
              <w:rPr>
                <w:rFonts w:asciiTheme="minorHAnsi" w:hAnsiTheme="minorHAnsi"/>
                <w:color w:val="231F20"/>
                <w:spacing w:val="-2"/>
                <w:sz w:val="20"/>
                <w:szCs w:val="20"/>
              </w:rPr>
              <w:t xml:space="preserve">the </w:t>
            </w:r>
            <w:r w:rsidRPr="00343AB9">
              <w:rPr>
                <w:rFonts w:asciiTheme="minorHAnsi" w:hAnsiTheme="minorHAnsi"/>
                <w:color w:val="231F20"/>
                <w:spacing w:val="-4"/>
                <w:sz w:val="20"/>
                <w:szCs w:val="20"/>
              </w:rPr>
              <w:t xml:space="preserve">return </w:t>
            </w:r>
            <w:r w:rsidRPr="00343AB9">
              <w:rPr>
                <w:rFonts w:asciiTheme="minorHAnsi" w:hAnsiTheme="minorHAnsi"/>
                <w:color w:val="231F20"/>
                <w:spacing w:val="-3"/>
                <w:sz w:val="20"/>
                <w:szCs w:val="20"/>
              </w:rPr>
              <w:t xml:space="preserve">being </w:t>
            </w:r>
            <w:r w:rsidRPr="00343AB9">
              <w:rPr>
                <w:rFonts w:asciiTheme="minorHAnsi" w:hAnsiTheme="minorHAnsi"/>
                <w:color w:val="231F20"/>
                <w:spacing w:val="-4"/>
                <w:sz w:val="20"/>
                <w:szCs w:val="20"/>
              </w:rPr>
              <w:t xml:space="preserve">generated from </w:t>
            </w:r>
            <w:r w:rsidRPr="00343AB9">
              <w:rPr>
                <w:rFonts w:asciiTheme="minorHAnsi" w:hAnsiTheme="minorHAnsi"/>
                <w:color w:val="231F20"/>
                <w:spacing w:val="-2"/>
                <w:sz w:val="20"/>
                <w:szCs w:val="20"/>
              </w:rPr>
              <w:t xml:space="preserve">the </w:t>
            </w:r>
            <w:r w:rsidRPr="00343AB9">
              <w:rPr>
                <w:rFonts w:asciiTheme="minorHAnsi" w:hAnsiTheme="minorHAnsi"/>
                <w:color w:val="231F20"/>
                <w:sz w:val="20"/>
                <w:szCs w:val="20"/>
              </w:rPr>
              <w:t>shareholders’ equity retained in the business.</w:t>
            </w:r>
          </w:p>
        </w:tc>
      </w:tr>
      <w:tr w:rsidR="000252F2" w14:paraId="6F9DA0F6" w14:textId="77777777" w:rsidTr="005714EF">
        <w:tc>
          <w:tcPr>
            <w:tcW w:w="3237" w:type="dxa"/>
          </w:tcPr>
          <w:p w14:paraId="1E58E199"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Return on required equity</w:t>
            </w:r>
          </w:p>
          <w:p w14:paraId="52D36F4A" w14:textId="77777777" w:rsidR="000252F2" w:rsidRPr="00343AB9" w:rsidRDefault="000252F2" w:rsidP="005714EF">
            <w:pPr>
              <w:tabs>
                <w:tab w:val="left" w:pos="5736"/>
              </w:tabs>
              <w:jc w:val="both"/>
              <w:rPr>
                <w:rFonts w:asciiTheme="minorHAnsi" w:hAnsiTheme="minorHAnsi"/>
                <w:color w:val="231F20"/>
                <w:sz w:val="20"/>
                <w:szCs w:val="20"/>
              </w:rPr>
            </w:pPr>
          </w:p>
        </w:tc>
        <w:tc>
          <w:tcPr>
            <w:tcW w:w="3238" w:type="dxa"/>
          </w:tcPr>
          <w:p w14:paraId="14615961"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Adjusted profit after tax as a percentage of average required regulatory capital equity for the 12 months ended 30 June.</w:t>
            </w:r>
          </w:p>
          <w:p w14:paraId="75AE9C80" w14:textId="77777777" w:rsidR="000252F2" w:rsidRPr="00343AB9" w:rsidRDefault="000252F2" w:rsidP="005714EF">
            <w:pPr>
              <w:tabs>
                <w:tab w:val="left" w:pos="5736"/>
              </w:tabs>
              <w:jc w:val="both"/>
              <w:rPr>
                <w:rFonts w:asciiTheme="minorHAnsi" w:hAnsiTheme="minorHAnsi"/>
                <w:color w:val="231F20"/>
                <w:sz w:val="20"/>
                <w:szCs w:val="20"/>
              </w:rPr>
            </w:pPr>
          </w:p>
        </w:tc>
        <w:tc>
          <w:tcPr>
            <w:tcW w:w="3238" w:type="dxa"/>
          </w:tcPr>
          <w:p w14:paraId="46B6D888"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sz w:val="20"/>
                <w:szCs w:val="20"/>
              </w:rPr>
              <w:t xml:space="preserve">RORE shows the return being generated from the required regulatory capital held. </w:t>
            </w:r>
          </w:p>
        </w:tc>
      </w:tr>
      <w:tr w:rsidR="000252F2" w14:paraId="5EFB20AF" w14:textId="77777777" w:rsidTr="005714EF">
        <w:tc>
          <w:tcPr>
            <w:tcW w:w="3237" w:type="dxa"/>
          </w:tcPr>
          <w:p w14:paraId="0D34E91E"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Risk-adjusted net interest margin</w:t>
            </w:r>
          </w:p>
          <w:p w14:paraId="41DFDF2B" w14:textId="77777777" w:rsidR="000252F2" w:rsidRPr="00343AB9" w:rsidRDefault="000252F2" w:rsidP="005714EF">
            <w:pPr>
              <w:tabs>
                <w:tab w:val="left" w:pos="5736"/>
              </w:tabs>
              <w:jc w:val="both"/>
              <w:rPr>
                <w:rFonts w:asciiTheme="minorHAnsi" w:hAnsiTheme="minorHAnsi"/>
                <w:color w:val="231F20"/>
                <w:sz w:val="20"/>
                <w:szCs w:val="20"/>
              </w:rPr>
            </w:pPr>
          </w:p>
          <w:p w14:paraId="44814219" w14:textId="77777777" w:rsidR="000252F2" w:rsidRPr="00343AB9" w:rsidRDefault="000252F2" w:rsidP="005714EF">
            <w:pPr>
              <w:tabs>
                <w:tab w:val="left" w:pos="5736"/>
              </w:tabs>
              <w:jc w:val="both"/>
              <w:rPr>
                <w:rFonts w:asciiTheme="minorHAnsi" w:hAnsiTheme="minorHAnsi"/>
                <w:color w:val="231F20"/>
                <w:sz w:val="20"/>
                <w:szCs w:val="20"/>
              </w:rPr>
            </w:pPr>
          </w:p>
        </w:tc>
        <w:tc>
          <w:tcPr>
            <w:tcW w:w="3238" w:type="dxa"/>
          </w:tcPr>
          <w:p w14:paraId="2DD18BE1" w14:textId="28A293B6"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Revenue less funding costs and impairment charge for the period  divided by average receivables</w:t>
            </w:r>
            <w:r w:rsidR="00623601" w:rsidRPr="00343AB9">
              <w:rPr>
                <w:rFonts w:asciiTheme="minorHAnsi" w:hAnsiTheme="minorHAnsi"/>
                <w:color w:val="231F20"/>
                <w:sz w:val="20"/>
                <w:szCs w:val="20"/>
              </w:rPr>
              <w:t>.</w:t>
            </w:r>
          </w:p>
          <w:p w14:paraId="5AF00590" w14:textId="77777777" w:rsidR="000252F2" w:rsidRPr="00343AB9" w:rsidRDefault="000252F2" w:rsidP="005714EF">
            <w:pPr>
              <w:tabs>
                <w:tab w:val="left" w:pos="5736"/>
              </w:tabs>
              <w:jc w:val="both"/>
              <w:rPr>
                <w:rFonts w:asciiTheme="minorHAnsi" w:hAnsiTheme="minorHAnsi"/>
                <w:color w:val="231F20"/>
                <w:sz w:val="20"/>
                <w:szCs w:val="20"/>
              </w:rPr>
            </w:pPr>
          </w:p>
        </w:tc>
        <w:tc>
          <w:tcPr>
            <w:tcW w:w="3238" w:type="dxa"/>
          </w:tcPr>
          <w:p w14:paraId="45124273"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Demonstrates the return generated from the average receivables over the period after adjusting for impairment provisioning and the cost of funding the receivables book.</w:t>
            </w:r>
          </w:p>
          <w:p w14:paraId="688C0726" w14:textId="77777777" w:rsidR="000252F2" w:rsidRPr="00343AB9" w:rsidRDefault="000252F2" w:rsidP="005714EF">
            <w:pPr>
              <w:tabs>
                <w:tab w:val="left" w:pos="5736"/>
              </w:tabs>
              <w:jc w:val="both"/>
              <w:rPr>
                <w:rFonts w:asciiTheme="minorHAnsi" w:hAnsiTheme="minorHAnsi"/>
                <w:sz w:val="20"/>
                <w:szCs w:val="20"/>
              </w:rPr>
            </w:pPr>
          </w:p>
        </w:tc>
      </w:tr>
      <w:tr w:rsidR="000252F2" w14:paraId="5F1E1D4C" w14:textId="77777777" w:rsidTr="005714EF">
        <w:tc>
          <w:tcPr>
            <w:tcW w:w="3237" w:type="dxa"/>
          </w:tcPr>
          <w:p w14:paraId="6321B848"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Common equity tier 1 (CET1) ratio</w:t>
            </w:r>
          </w:p>
        </w:tc>
        <w:tc>
          <w:tcPr>
            <w:tcW w:w="3238" w:type="dxa"/>
          </w:tcPr>
          <w:p w14:paraId="1FA792C7"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The ratio of the Group’s regulatory capital to the Group’s risk-weighted assets measured in accordance with CRD IV.</w:t>
            </w:r>
          </w:p>
          <w:p w14:paraId="7AB68FFE" w14:textId="77777777" w:rsidR="000252F2" w:rsidRPr="00343AB9" w:rsidRDefault="000252F2" w:rsidP="005714EF">
            <w:pPr>
              <w:tabs>
                <w:tab w:val="left" w:pos="5736"/>
              </w:tabs>
              <w:jc w:val="both"/>
              <w:rPr>
                <w:rFonts w:asciiTheme="minorHAnsi" w:hAnsiTheme="minorHAnsi"/>
                <w:sz w:val="20"/>
                <w:szCs w:val="20"/>
              </w:rPr>
            </w:pPr>
          </w:p>
        </w:tc>
        <w:tc>
          <w:tcPr>
            <w:tcW w:w="3238" w:type="dxa"/>
          </w:tcPr>
          <w:p w14:paraId="48BEE9DA" w14:textId="77777777" w:rsidR="000252F2" w:rsidRPr="00343AB9" w:rsidRDefault="000252F2" w:rsidP="005714EF">
            <w:pPr>
              <w:tabs>
                <w:tab w:val="left" w:pos="5736"/>
              </w:tabs>
              <w:jc w:val="both"/>
              <w:rPr>
                <w:rFonts w:asciiTheme="minorHAnsi" w:hAnsiTheme="minorHAnsi"/>
                <w:sz w:val="20"/>
                <w:szCs w:val="20"/>
              </w:rPr>
            </w:pPr>
          </w:p>
        </w:tc>
      </w:tr>
      <w:tr w:rsidR="000252F2" w14:paraId="5A5D0D3E" w14:textId="77777777" w:rsidTr="005714EF">
        <w:tc>
          <w:tcPr>
            <w:tcW w:w="3237" w:type="dxa"/>
          </w:tcPr>
          <w:p w14:paraId="2156C2EE" w14:textId="77777777" w:rsidR="000252F2" w:rsidRPr="00343AB9" w:rsidRDefault="000252F2" w:rsidP="005714EF">
            <w:pPr>
              <w:tabs>
                <w:tab w:val="left" w:pos="5736"/>
              </w:tabs>
              <w:jc w:val="both"/>
              <w:rPr>
                <w:rFonts w:asciiTheme="minorHAnsi" w:hAnsiTheme="minorHAnsi"/>
                <w:sz w:val="20"/>
                <w:szCs w:val="20"/>
              </w:rPr>
            </w:pPr>
            <w:r w:rsidRPr="00343AB9">
              <w:rPr>
                <w:rFonts w:asciiTheme="minorHAnsi" w:hAnsiTheme="minorHAnsi"/>
                <w:color w:val="231F20"/>
                <w:sz w:val="20"/>
                <w:szCs w:val="20"/>
              </w:rPr>
              <w:t>Funding headroom</w:t>
            </w:r>
          </w:p>
        </w:tc>
        <w:tc>
          <w:tcPr>
            <w:tcW w:w="3238" w:type="dxa"/>
          </w:tcPr>
          <w:p w14:paraId="1880E188" w14:textId="77777777" w:rsidR="000252F2" w:rsidRPr="00343AB9" w:rsidRDefault="000252F2" w:rsidP="005714EF">
            <w:pPr>
              <w:tabs>
                <w:tab w:val="left" w:pos="954"/>
              </w:tabs>
              <w:jc w:val="both"/>
              <w:rPr>
                <w:rFonts w:asciiTheme="minorHAnsi" w:hAnsiTheme="minorHAnsi"/>
                <w:sz w:val="20"/>
                <w:szCs w:val="20"/>
              </w:rPr>
            </w:pPr>
            <w:r w:rsidRPr="00343AB9">
              <w:rPr>
                <w:rFonts w:asciiTheme="minorHAnsi" w:hAnsiTheme="minorHAnsi"/>
                <w:color w:val="231F20"/>
                <w:sz w:val="20"/>
                <w:szCs w:val="20"/>
              </w:rPr>
              <w:t>Committed bank and debt facilities less borrowings on those facilities.</w:t>
            </w:r>
          </w:p>
        </w:tc>
        <w:tc>
          <w:tcPr>
            <w:tcW w:w="3238" w:type="dxa"/>
          </w:tcPr>
          <w:p w14:paraId="2358D34F" w14:textId="77777777" w:rsidR="000252F2" w:rsidRPr="00343AB9" w:rsidRDefault="000252F2" w:rsidP="005714EF">
            <w:pPr>
              <w:tabs>
                <w:tab w:val="left" w:pos="5736"/>
              </w:tabs>
              <w:jc w:val="both"/>
              <w:rPr>
                <w:rFonts w:asciiTheme="minorHAnsi" w:hAnsiTheme="minorHAnsi"/>
                <w:color w:val="231F20"/>
                <w:sz w:val="20"/>
                <w:szCs w:val="20"/>
              </w:rPr>
            </w:pPr>
            <w:r w:rsidRPr="00343AB9">
              <w:rPr>
                <w:rFonts w:asciiTheme="minorHAnsi" w:hAnsiTheme="minorHAnsi"/>
                <w:color w:val="231F20"/>
                <w:sz w:val="20"/>
                <w:szCs w:val="20"/>
              </w:rPr>
              <w:t>This represents the difference between the total amount of committed contractual debt facilities provided by banks, bond holders and other lenders and the amount of funds drawn on those facilities.</w:t>
            </w:r>
          </w:p>
          <w:p w14:paraId="21AF3A52" w14:textId="77777777" w:rsidR="000252F2" w:rsidRPr="00343AB9" w:rsidRDefault="000252F2" w:rsidP="005714EF">
            <w:pPr>
              <w:tabs>
                <w:tab w:val="left" w:pos="5736"/>
              </w:tabs>
              <w:jc w:val="both"/>
              <w:rPr>
                <w:rFonts w:asciiTheme="minorHAnsi" w:hAnsiTheme="minorHAnsi"/>
                <w:sz w:val="20"/>
                <w:szCs w:val="20"/>
              </w:rPr>
            </w:pPr>
          </w:p>
        </w:tc>
      </w:tr>
    </w:tbl>
    <w:p w14:paraId="3ED1D8DE" w14:textId="77777777" w:rsidR="000252F2" w:rsidRPr="00F01EC8" w:rsidRDefault="000252F2" w:rsidP="000252F2">
      <w:pPr>
        <w:tabs>
          <w:tab w:val="left" w:pos="5736"/>
        </w:tabs>
        <w:jc w:val="both"/>
        <w:rPr>
          <w:rFonts w:asciiTheme="minorHAnsi" w:hAnsiTheme="minorHAnsi"/>
          <w:sz w:val="20"/>
          <w:szCs w:val="20"/>
        </w:rPr>
      </w:pPr>
      <w:r w:rsidRPr="00F01EC8">
        <w:rPr>
          <w:rFonts w:asciiTheme="minorHAnsi" w:hAnsiTheme="minorHAnsi"/>
          <w:sz w:val="20"/>
          <w:szCs w:val="20"/>
        </w:rPr>
        <w:tab/>
      </w:r>
    </w:p>
    <w:p w14:paraId="796EEF76" w14:textId="72FDF469" w:rsidR="00DA6694" w:rsidRPr="00F01EC8" w:rsidRDefault="00DA6694" w:rsidP="00DA6694">
      <w:pPr>
        <w:rPr>
          <w:rStyle w:val="bodycopynumber"/>
          <w:rFonts w:asciiTheme="minorHAnsi" w:hAnsiTheme="minorHAnsi" w:cs="Arial"/>
          <w:b/>
          <w:bCs/>
          <w:sz w:val="20"/>
          <w:szCs w:val="20"/>
        </w:rPr>
      </w:pPr>
      <w:r w:rsidRPr="00F01EC8">
        <w:rPr>
          <w:rStyle w:val="bodycopynumber"/>
          <w:rFonts w:asciiTheme="minorHAnsi" w:hAnsiTheme="minorHAnsi" w:cs="Arial"/>
          <w:b/>
          <w:bCs/>
          <w:sz w:val="20"/>
          <w:szCs w:val="20"/>
        </w:rPr>
        <w:t>Statement of directors’ responsibilities</w:t>
      </w:r>
    </w:p>
    <w:p w14:paraId="2FE58A03"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
          <w:bCs/>
          <w:sz w:val="20"/>
          <w:szCs w:val="20"/>
        </w:rPr>
      </w:pPr>
    </w:p>
    <w:p w14:paraId="13EC7095"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lastRenderedPageBreak/>
        <w:t>The directors confirm that, to the best of their knowledge, the unaudited condensed interim financial statements have been prepared in accordance with IAS 34 as adopted by the European Union, and that the interim report includes a fair review of the information required by DTR 4.2.7R and DTR 4.2.8R, namely:</w:t>
      </w:r>
    </w:p>
    <w:p w14:paraId="70A7AF49"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6BFC7555" w14:textId="77777777" w:rsidR="00DA6694" w:rsidRPr="00F01EC8" w:rsidRDefault="00DA6694" w:rsidP="00DA6694">
      <w:pPr>
        <w:numPr>
          <w:ilvl w:val="0"/>
          <w:numId w:val="1"/>
        </w:numPr>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An indication of important events that have occurred during the first six months of the financial year and their impact on the unaudited condensed interim financial statements, and a description of the principal risks and uncertainties for the remaining six months of the financial year; and</w:t>
      </w:r>
    </w:p>
    <w:p w14:paraId="4F2E3AC9" w14:textId="77777777" w:rsidR="00DA6694" w:rsidRPr="00F01EC8" w:rsidRDefault="00DA6694" w:rsidP="00DA6694">
      <w:pPr>
        <w:numPr>
          <w:ilvl w:val="0"/>
          <w:numId w:val="1"/>
        </w:numPr>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Material related party transactions that have occurred in the first six months of the financial year and any material changes in the related party transactions described in the last annual report and financial statements.</w:t>
      </w:r>
    </w:p>
    <w:p w14:paraId="3B920311"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6B8C790B" w14:textId="0F3F5D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 xml:space="preserve">A list of current directors is maintained on the Provident Financial website: </w:t>
      </w:r>
      <w:hyperlink r:id="rId11" w:history="1">
        <w:r w:rsidRPr="00F01EC8">
          <w:rPr>
            <w:rStyle w:val="Hyperlink"/>
            <w:rFonts w:asciiTheme="minorHAnsi" w:hAnsiTheme="minorHAnsi" w:cs="Arial"/>
            <w:bCs/>
            <w:sz w:val="20"/>
            <w:szCs w:val="20"/>
          </w:rPr>
          <w:t>www.providentfinancial.com</w:t>
        </w:r>
      </w:hyperlink>
      <w:r w:rsidRPr="00F01EC8">
        <w:rPr>
          <w:rStyle w:val="bodycopynumber"/>
          <w:rFonts w:asciiTheme="minorHAnsi" w:hAnsiTheme="minorHAnsi" w:cs="Arial"/>
          <w:bCs/>
          <w:sz w:val="20"/>
          <w:szCs w:val="20"/>
        </w:rPr>
        <w:t xml:space="preserve">. </w:t>
      </w:r>
      <w:r w:rsidR="00430659" w:rsidRPr="00F01EC8">
        <w:rPr>
          <w:rStyle w:val="bodycopynumber"/>
          <w:rFonts w:asciiTheme="minorHAnsi" w:hAnsiTheme="minorHAnsi" w:cs="Arial"/>
          <w:bCs/>
          <w:sz w:val="20"/>
          <w:szCs w:val="20"/>
        </w:rPr>
        <w:t>Simon Thomas resigned on 31 March 2020 and Neeraj Kapur was</w:t>
      </w:r>
      <w:r w:rsidRPr="00F01EC8">
        <w:rPr>
          <w:rStyle w:val="bodycopynumber"/>
          <w:rFonts w:asciiTheme="minorHAnsi" w:hAnsiTheme="minorHAnsi" w:cs="Arial"/>
          <w:bCs/>
          <w:sz w:val="20"/>
          <w:szCs w:val="20"/>
        </w:rPr>
        <w:t xml:space="preserve"> appoin</w:t>
      </w:r>
      <w:r w:rsidR="00430659" w:rsidRPr="00F01EC8">
        <w:rPr>
          <w:rStyle w:val="bodycopynumber"/>
          <w:rFonts w:asciiTheme="minorHAnsi" w:hAnsiTheme="minorHAnsi" w:cs="Arial"/>
          <w:bCs/>
          <w:sz w:val="20"/>
          <w:szCs w:val="20"/>
        </w:rPr>
        <w:t xml:space="preserve">ted to the Board on 1 April 2020. </w:t>
      </w:r>
      <w:r w:rsidRPr="00F01EC8">
        <w:rPr>
          <w:rStyle w:val="bodycopynumber"/>
          <w:rFonts w:asciiTheme="minorHAnsi" w:hAnsiTheme="minorHAnsi" w:cs="Arial"/>
          <w:bCs/>
          <w:sz w:val="20"/>
          <w:szCs w:val="20"/>
        </w:rPr>
        <w:t xml:space="preserve"> </w:t>
      </w:r>
      <w:r w:rsidR="00430659" w:rsidRPr="00F01EC8">
        <w:rPr>
          <w:rStyle w:val="bodycopynumber"/>
          <w:rFonts w:asciiTheme="minorHAnsi" w:hAnsiTheme="minorHAnsi" w:cs="Arial"/>
          <w:bCs/>
          <w:sz w:val="20"/>
          <w:szCs w:val="20"/>
        </w:rPr>
        <w:t xml:space="preserve">In addition, Margot James was appointed to the Board on 27 July 2020. </w:t>
      </w:r>
      <w:r w:rsidRPr="00F01EC8">
        <w:rPr>
          <w:rStyle w:val="bodycopynumber"/>
          <w:rFonts w:asciiTheme="minorHAnsi" w:hAnsiTheme="minorHAnsi" w:cs="Arial"/>
          <w:bCs/>
          <w:sz w:val="20"/>
          <w:szCs w:val="20"/>
        </w:rPr>
        <w:t>There have been no other changes in directors during the six months ended 30</w:t>
      </w:r>
      <w:r w:rsidR="00430659" w:rsidRPr="00F01EC8">
        <w:rPr>
          <w:rStyle w:val="bodycopynumber"/>
          <w:rFonts w:asciiTheme="minorHAnsi" w:hAnsiTheme="minorHAnsi" w:cs="Arial"/>
          <w:bCs/>
          <w:sz w:val="20"/>
          <w:szCs w:val="20"/>
        </w:rPr>
        <w:t xml:space="preserve"> June 2020</w:t>
      </w:r>
      <w:r w:rsidRPr="00F01EC8">
        <w:rPr>
          <w:rStyle w:val="bodycopynumber"/>
          <w:rFonts w:asciiTheme="minorHAnsi" w:hAnsiTheme="minorHAnsi" w:cs="Arial"/>
          <w:bCs/>
          <w:sz w:val="20"/>
          <w:szCs w:val="20"/>
        </w:rPr>
        <w:t xml:space="preserve">. </w:t>
      </w:r>
    </w:p>
    <w:p w14:paraId="070C7AFC"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04D6BCE3" w14:textId="77777777" w:rsidR="00DA6694" w:rsidRPr="00F01EC8" w:rsidRDefault="00DA6694" w:rsidP="00DA6694">
      <w:pPr>
        <w:tabs>
          <w:tab w:val="left" w:pos="0"/>
          <w:tab w:val="left" w:pos="207"/>
        </w:tabs>
        <w:autoSpaceDE w:val="0"/>
        <w:autoSpaceDN w:val="0"/>
        <w:adjustRightInd w:val="0"/>
        <w:spacing w:line="240" w:lineRule="atLeast"/>
        <w:jc w:val="both"/>
        <w:rPr>
          <w:rStyle w:val="bodycopynumber"/>
          <w:rFonts w:asciiTheme="minorHAnsi" w:hAnsiTheme="minorHAnsi"/>
          <w:bCs/>
          <w:sz w:val="20"/>
          <w:szCs w:val="20"/>
        </w:rPr>
      </w:pPr>
      <w:r w:rsidRPr="00F01EC8">
        <w:rPr>
          <w:rStyle w:val="bodycopynumber"/>
          <w:rFonts w:asciiTheme="minorHAnsi" w:hAnsiTheme="minorHAnsi"/>
          <w:bCs/>
          <w:sz w:val="20"/>
          <w:szCs w:val="20"/>
        </w:rPr>
        <w:t xml:space="preserve">The maintenance and integrity of the Provident Financial website is the responsibility of the directors. The work carried out by the auditor does not involve consideration of these matters and, accordingly, the auditor accept no responsibility for any changes that may have occurred to the </w:t>
      </w:r>
      <w:r w:rsidRPr="00F01EC8">
        <w:rPr>
          <w:rFonts w:asciiTheme="minorHAnsi" w:hAnsiTheme="minorHAnsi" w:cs="Arial"/>
          <w:sz w:val="20"/>
          <w:szCs w:val="20"/>
        </w:rPr>
        <w:t xml:space="preserve">unaudited condensed interim financial statements </w:t>
      </w:r>
      <w:r w:rsidRPr="00F01EC8">
        <w:rPr>
          <w:rStyle w:val="bodycopynumber"/>
          <w:rFonts w:asciiTheme="minorHAnsi" w:hAnsiTheme="minorHAnsi"/>
          <w:bCs/>
          <w:sz w:val="20"/>
          <w:szCs w:val="20"/>
        </w:rPr>
        <w:t>since they were initially presented on the website.</w:t>
      </w:r>
    </w:p>
    <w:p w14:paraId="3D1911CE" w14:textId="77777777" w:rsidR="00DA6694" w:rsidRPr="00F01EC8" w:rsidRDefault="00DA6694" w:rsidP="00DA6694">
      <w:pPr>
        <w:tabs>
          <w:tab w:val="left" w:pos="0"/>
          <w:tab w:val="left" w:pos="207"/>
          <w:tab w:val="num" w:pos="567"/>
        </w:tabs>
        <w:autoSpaceDE w:val="0"/>
        <w:autoSpaceDN w:val="0"/>
        <w:adjustRightInd w:val="0"/>
        <w:ind w:left="567" w:hanging="283"/>
        <w:jc w:val="both"/>
        <w:rPr>
          <w:rStyle w:val="bodycopynumber"/>
          <w:rFonts w:asciiTheme="minorHAnsi" w:hAnsiTheme="minorHAnsi"/>
          <w:bCs/>
          <w:sz w:val="20"/>
          <w:szCs w:val="20"/>
        </w:rPr>
      </w:pPr>
    </w:p>
    <w:p w14:paraId="05CCCE4D" w14:textId="77777777" w:rsidR="00DA6694" w:rsidRPr="00F01EC8" w:rsidRDefault="00DA6694" w:rsidP="00DA6694">
      <w:pPr>
        <w:tabs>
          <w:tab w:val="left" w:pos="0"/>
          <w:tab w:val="left" w:pos="207"/>
        </w:tabs>
        <w:autoSpaceDE w:val="0"/>
        <w:autoSpaceDN w:val="0"/>
        <w:adjustRightInd w:val="0"/>
        <w:spacing w:line="240" w:lineRule="atLeast"/>
        <w:jc w:val="both"/>
        <w:rPr>
          <w:rStyle w:val="bodycopynumber"/>
          <w:rFonts w:asciiTheme="minorHAnsi" w:hAnsiTheme="minorHAnsi"/>
          <w:bCs/>
          <w:sz w:val="20"/>
          <w:szCs w:val="20"/>
        </w:rPr>
      </w:pPr>
      <w:r w:rsidRPr="00F01EC8">
        <w:rPr>
          <w:rStyle w:val="bodycopynumber"/>
          <w:rFonts w:asciiTheme="minorHAnsi" w:hAnsiTheme="minorHAnsi"/>
          <w:bCs/>
          <w:sz w:val="20"/>
          <w:szCs w:val="20"/>
        </w:rPr>
        <w:t xml:space="preserve">Legislation in the United Kingdom governing the preparation and dissemination of </w:t>
      </w:r>
      <w:r w:rsidRPr="00F01EC8">
        <w:rPr>
          <w:rFonts w:asciiTheme="minorHAnsi" w:hAnsiTheme="minorHAnsi" w:cs="Arial"/>
          <w:sz w:val="20"/>
          <w:szCs w:val="20"/>
        </w:rPr>
        <w:t xml:space="preserve">unaudited condensed interim financial statements </w:t>
      </w:r>
      <w:r w:rsidRPr="00F01EC8">
        <w:rPr>
          <w:rStyle w:val="bodycopynumber"/>
          <w:rFonts w:asciiTheme="minorHAnsi" w:hAnsiTheme="minorHAnsi"/>
          <w:bCs/>
          <w:sz w:val="20"/>
          <w:szCs w:val="20"/>
        </w:rPr>
        <w:t>may differ from legislation in other jurisdictions.</w:t>
      </w:r>
    </w:p>
    <w:p w14:paraId="1D1317DF"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00878CD3"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By order of the board</w:t>
      </w:r>
    </w:p>
    <w:p w14:paraId="6B3220B7"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7D1DF0CF"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00AC22F9"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66C661FA"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p>
    <w:p w14:paraId="63A9A483" w14:textId="11179D33"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Malcolm Le May – Chief Executive</w:t>
      </w:r>
      <w:r w:rsidR="00D17FD3" w:rsidRPr="00F01EC8">
        <w:rPr>
          <w:rStyle w:val="bodycopynumber"/>
          <w:rFonts w:asciiTheme="minorHAnsi" w:hAnsiTheme="minorHAnsi" w:cs="Arial"/>
          <w:bCs/>
          <w:sz w:val="20"/>
          <w:szCs w:val="20"/>
        </w:rPr>
        <w:t xml:space="preserve"> Officer</w:t>
      </w:r>
      <w:r w:rsidRPr="00F01EC8">
        <w:rPr>
          <w:rStyle w:val="bodycopynumber"/>
          <w:rFonts w:asciiTheme="minorHAnsi" w:hAnsiTheme="minorHAnsi" w:cs="Arial"/>
          <w:bCs/>
          <w:sz w:val="20"/>
          <w:szCs w:val="20"/>
        </w:rPr>
        <w:tab/>
      </w:r>
      <w:r w:rsidRPr="00F01EC8">
        <w:rPr>
          <w:rStyle w:val="bodycopynumber"/>
          <w:rFonts w:asciiTheme="minorHAnsi" w:hAnsiTheme="minorHAnsi" w:cs="Arial"/>
          <w:bCs/>
          <w:sz w:val="20"/>
          <w:szCs w:val="20"/>
        </w:rPr>
        <w:tab/>
      </w:r>
      <w:r w:rsidRPr="00F01EC8">
        <w:rPr>
          <w:rStyle w:val="bodycopynumber"/>
          <w:rFonts w:asciiTheme="minorHAnsi" w:hAnsiTheme="minorHAnsi" w:cs="Arial"/>
          <w:bCs/>
          <w:sz w:val="20"/>
          <w:szCs w:val="20"/>
        </w:rPr>
        <w:tab/>
      </w:r>
      <w:r w:rsidRPr="00F01EC8">
        <w:rPr>
          <w:rStyle w:val="bodycopynumber"/>
          <w:rFonts w:asciiTheme="minorHAnsi" w:hAnsiTheme="minorHAnsi" w:cs="Arial"/>
          <w:bCs/>
          <w:sz w:val="20"/>
          <w:szCs w:val="20"/>
        </w:rPr>
        <w:tab/>
      </w:r>
      <w:r w:rsidR="00355994" w:rsidRPr="00F01EC8">
        <w:rPr>
          <w:rStyle w:val="bodycopynumber"/>
          <w:rFonts w:asciiTheme="minorHAnsi" w:hAnsiTheme="minorHAnsi" w:cs="Arial"/>
          <w:bCs/>
          <w:sz w:val="20"/>
          <w:szCs w:val="20"/>
        </w:rPr>
        <w:t>Neeraj Kapur</w:t>
      </w:r>
      <w:r w:rsidRPr="00F01EC8">
        <w:rPr>
          <w:rStyle w:val="bodycopynumber"/>
          <w:rFonts w:asciiTheme="minorHAnsi" w:hAnsiTheme="minorHAnsi" w:cs="Arial"/>
          <w:bCs/>
          <w:sz w:val="20"/>
          <w:szCs w:val="20"/>
        </w:rPr>
        <w:t xml:space="preserve"> – </w:t>
      </w:r>
      <w:r w:rsidR="00D17FD3" w:rsidRPr="00F01EC8">
        <w:rPr>
          <w:rStyle w:val="bodycopynumber"/>
          <w:rFonts w:asciiTheme="minorHAnsi" w:hAnsiTheme="minorHAnsi" w:cs="Arial"/>
          <w:bCs/>
          <w:sz w:val="20"/>
          <w:szCs w:val="20"/>
        </w:rPr>
        <w:t>Chief Financial Officer</w:t>
      </w:r>
    </w:p>
    <w:p w14:paraId="7E192215" w14:textId="0F6BD614" w:rsidR="00DA6694" w:rsidRPr="00F01EC8" w:rsidRDefault="00B2187F"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bCs/>
          <w:sz w:val="20"/>
          <w:szCs w:val="20"/>
        </w:rPr>
      </w:pPr>
      <w:r w:rsidRPr="00F01EC8">
        <w:rPr>
          <w:rStyle w:val="bodycopynumber"/>
          <w:rFonts w:asciiTheme="minorHAnsi" w:hAnsiTheme="minorHAnsi" w:cs="Arial"/>
          <w:bCs/>
          <w:sz w:val="20"/>
          <w:szCs w:val="20"/>
        </w:rPr>
        <w:t>26 August 2020</w:t>
      </w:r>
    </w:p>
    <w:p w14:paraId="6FA2FC5C" w14:textId="77777777" w:rsidR="002303EB" w:rsidRPr="00F01EC8" w:rsidRDefault="002303EB" w:rsidP="00DA6694">
      <w:pPr>
        <w:rPr>
          <w:rFonts w:asciiTheme="minorHAnsi" w:hAnsiTheme="minorHAnsi" w:cs="Arial"/>
          <w:b/>
          <w:sz w:val="20"/>
          <w:szCs w:val="20"/>
          <w:lang w:val="en-US"/>
        </w:rPr>
      </w:pPr>
    </w:p>
    <w:p w14:paraId="0D95BBD6" w14:textId="77777777" w:rsidR="00831A11" w:rsidRDefault="00831A11" w:rsidP="00DA6694">
      <w:pPr>
        <w:rPr>
          <w:rFonts w:asciiTheme="minorHAnsi" w:hAnsiTheme="minorHAnsi" w:cstheme="minorHAnsi"/>
          <w:b/>
          <w:sz w:val="20"/>
          <w:szCs w:val="20"/>
        </w:rPr>
      </w:pPr>
    </w:p>
    <w:p w14:paraId="42C787C3" w14:textId="2EA1BB28" w:rsidR="00DA6694" w:rsidRPr="00F01EC8" w:rsidRDefault="00DA6694" w:rsidP="00DA6694">
      <w:pPr>
        <w:rPr>
          <w:rFonts w:asciiTheme="minorHAnsi" w:hAnsiTheme="minorHAnsi" w:cstheme="minorHAnsi"/>
          <w:b/>
          <w:color w:val="FF0000"/>
          <w:sz w:val="20"/>
          <w:szCs w:val="20"/>
        </w:rPr>
      </w:pPr>
      <w:r w:rsidRPr="00F01EC8">
        <w:rPr>
          <w:rFonts w:asciiTheme="minorHAnsi" w:hAnsiTheme="minorHAnsi" w:cstheme="minorHAnsi"/>
          <w:b/>
          <w:sz w:val="20"/>
          <w:szCs w:val="20"/>
        </w:rPr>
        <w:t xml:space="preserve">INDEPENDENT REVIEW REPORT TO PROVIDENT FINANCIAL PLC </w:t>
      </w:r>
    </w:p>
    <w:p w14:paraId="7BB021F2" w14:textId="77777777" w:rsidR="00DA6694" w:rsidRPr="00F01EC8" w:rsidRDefault="00DA6694" w:rsidP="00DA6694">
      <w:pPr>
        <w:rPr>
          <w:rFonts w:asciiTheme="minorHAnsi" w:hAnsiTheme="minorHAnsi" w:cstheme="minorHAnsi"/>
          <w:b/>
          <w:color w:val="FF0000"/>
          <w:sz w:val="20"/>
          <w:szCs w:val="20"/>
        </w:rPr>
      </w:pPr>
      <w:r w:rsidRPr="00F01EC8">
        <w:rPr>
          <w:rFonts w:asciiTheme="minorHAnsi" w:hAnsiTheme="minorHAnsi" w:cstheme="minorHAnsi"/>
          <w:b/>
          <w:color w:val="FF0000"/>
          <w:sz w:val="20"/>
          <w:szCs w:val="20"/>
        </w:rPr>
        <w:t xml:space="preserve"> </w:t>
      </w:r>
    </w:p>
    <w:p w14:paraId="2F134683" w14:textId="0FBF0517"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We have been engaged by the company to review the condensed interim financial statements in the interim report for the six months ended 30 June 20</w:t>
      </w:r>
      <w:r w:rsidR="00355994" w:rsidRPr="00F01EC8">
        <w:rPr>
          <w:rFonts w:asciiTheme="minorHAnsi" w:hAnsiTheme="minorHAnsi" w:cstheme="minorHAnsi"/>
          <w:sz w:val="20"/>
          <w:szCs w:val="20"/>
        </w:rPr>
        <w:t>20</w:t>
      </w:r>
      <w:r w:rsidRPr="00F01EC8">
        <w:rPr>
          <w:rFonts w:asciiTheme="minorHAnsi" w:hAnsiTheme="minorHAnsi" w:cstheme="minorHAnsi"/>
          <w:sz w:val="20"/>
          <w:szCs w:val="20"/>
        </w:rPr>
        <w:t xml:space="preserve"> which comprise the consolidated income statement, the consolidated statement of comprehensive income, the consolidated balance sheet, the consolidated statement of changes in shareholders’ equity, the consolidated statement of cash flows and related notes 1 to 1</w:t>
      </w:r>
      <w:r w:rsidR="00583E1F" w:rsidRPr="00F01EC8">
        <w:rPr>
          <w:rFonts w:asciiTheme="minorHAnsi" w:hAnsiTheme="minorHAnsi" w:cstheme="minorHAnsi"/>
          <w:sz w:val="20"/>
          <w:szCs w:val="20"/>
        </w:rPr>
        <w:t>6</w:t>
      </w:r>
      <w:r w:rsidR="000B1423" w:rsidRPr="00F01EC8">
        <w:rPr>
          <w:rFonts w:asciiTheme="minorHAnsi" w:hAnsiTheme="minorHAnsi" w:cstheme="minorHAnsi"/>
          <w:sz w:val="20"/>
          <w:szCs w:val="20"/>
        </w:rPr>
        <w:t>.</w:t>
      </w:r>
      <w:r w:rsidRPr="00F01EC8">
        <w:rPr>
          <w:rFonts w:asciiTheme="minorHAnsi" w:hAnsiTheme="minorHAnsi" w:cstheme="minorHAnsi"/>
          <w:sz w:val="20"/>
          <w:szCs w:val="20"/>
        </w:rPr>
        <w:t xml:space="preserve"> We have read the other information contained in the interim report and considered whether it contains any apparent misstatements or material inconsistencies with the information in the condensed interim financial statements.</w:t>
      </w:r>
    </w:p>
    <w:p w14:paraId="1184E456" w14:textId="77777777" w:rsidR="00DA6694" w:rsidRPr="00F01EC8" w:rsidRDefault="00DA6694" w:rsidP="00DA6694">
      <w:pPr>
        <w:jc w:val="both"/>
        <w:rPr>
          <w:rFonts w:asciiTheme="minorHAnsi" w:hAnsiTheme="minorHAnsi" w:cstheme="minorHAnsi"/>
          <w:sz w:val="20"/>
          <w:szCs w:val="20"/>
        </w:rPr>
      </w:pPr>
    </w:p>
    <w:p w14:paraId="31886CF6" w14:textId="77777777" w:rsidR="00DA6694" w:rsidRPr="00F01EC8" w:rsidRDefault="00DA6694" w:rsidP="00DA6694">
      <w:pPr>
        <w:jc w:val="both"/>
        <w:rPr>
          <w:rFonts w:asciiTheme="minorHAnsi" w:hAnsiTheme="minorHAnsi" w:cstheme="minorHAnsi"/>
          <w:b/>
          <w:sz w:val="20"/>
          <w:szCs w:val="20"/>
        </w:rPr>
      </w:pPr>
      <w:r w:rsidRPr="00F01EC8">
        <w:rPr>
          <w:rFonts w:asciiTheme="minorHAnsi" w:hAnsiTheme="minorHAnsi" w:cstheme="minorHAnsi"/>
          <w:b/>
          <w:sz w:val="20"/>
          <w:szCs w:val="20"/>
        </w:rPr>
        <w:t>Directors’ responsibilities</w:t>
      </w:r>
    </w:p>
    <w:p w14:paraId="59C8EE69" w14:textId="77777777" w:rsidR="00DA6694" w:rsidRPr="00F01EC8" w:rsidRDefault="00DA6694" w:rsidP="00DA6694">
      <w:pPr>
        <w:jc w:val="both"/>
        <w:rPr>
          <w:rFonts w:asciiTheme="minorHAnsi" w:hAnsiTheme="minorHAnsi" w:cstheme="minorHAnsi"/>
          <w:b/>
          <w:sz w:val="20"/>
          <w:szCs w:val="20"/>
        </w:rPr>
      </w:pPr>
    </w:p>
    <w:p w14:paraId="0C6F1235" w14:textId="493B77DB"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 xml:space="preserve">The interim report is the responsibility of, and has been approved by, the directors. The directors are responsible for preparing the interim report in accordance with the Disclosure </w:t>
      </w:r>
      <w:r w:rsidR="00317F84" w:rsidRPr="00F01EC8">
        <w:rPr>
          <w:rFonts w:asciiTheme="minorHAnsi" w:hAnsiTheme="minorHAnsi" w:cstheme="minorHAnsi"/>
          <w:sz w:val="20"/>
          <w:szCs w:val="20"/>
        </w:rPr>
        <w:t xml:space="preserve">Guidance </w:t>
      </w:r>
      <w:r w:rsidRPr="00F01EC8">
        <w:rPr>
          <w:rFonts w:asciiTheme="minorHAnsi" w:hAnsiTheme="minorHAnsi" w:cstheme="minorHAnsi"/>
          <w:sz w:val="20"/>
          <w:szCs w:val="20"/>
        </w:rPr>
        <w:t>and Transparency Rules of the United Kingdom’s Financial Conduct Authority.</w:t>
      </w:r>
    </w:p>
    <w:p w14:paraId="1C1A297D" w14:textId="77777777" w:rsidR="00DA6694" w:rsidRPr="00F01EC8" w:rsidRDefault="00DA6694" w:rsidP="00DA6694">
      <w:pPr>
        <w:jc w:val="both"/>
        <w:rPr>
          <w:rFonts w:asciiTheme="minorHAnsi" w:hAnsiTheme="minorHAnsi" w:cstheme="minorHAnsi"/>
          <w:sz w:val="20"/>
          <w:szCs w:val="20"/>
        </w:rPr>
      </w:pPr>
    </w:p>
    <w:p w14:paraId="32B656A9" w14:textId="1CFF1F58"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 xml:space="preserve">As disclosed in note 2, the annual financial statements of the </w:t>
      </w:r>
      <w:r w:rsidR="005714EF">
        <w:rPr>
          <w:rFonts w:asciiTheme="minorHAnsi" w:hAnsiTheme="minorHAnsi" w:cstheme="minorHAnsi"/>
          <w:sz w:val="20"/>
          <w:szCs w:val="20"/>
        </w:rPr>
        <w:t>G</w:t>
      </w:r>
      <w:r w:rsidRPr="00F01EC8">
        <w:rPr>
          <w:rFonts w:asciiTheme="minorHAnsi" w:hAnsiTheme="minorHAnsi" w:cstheme="minorHAnsi"/>
          <w:sz w:val="20"/>
          <w:szCs w:val="20"/>
        </w:rPr>
        <w:t>roup are prepared in accordance with IFRSs as adopted by the European Union. The condensed interim financial statements included in this interim report have been prepared in accordance with International Accounting Standard 34 “Interim Financial Reporting” as adopted by the European Union.</w:t>
      </w:r>
    </w:p>
    <w:p w14:paraId="1827585B" w14:textId="77777777" w:rsidR="00DA6694" w:rsidRPr="00F01EC8" w:rsidRDefault="00DA6694" w:rsidP="00DA6694">
      <w:pPr>
        <w:jc w:val="both"/>
        <w:rPr>
          <w:rFonts w:asciiTheme="minorHAnsi" w:hAnsiTheme="minorHAnsi" w:cstheme="minorHAnsi"/>
          <w:sz w:val="20"/>
          <w:szCs w:val="20"/>
        </w:rPr>
      </w:pPr>
    </w:p>
    <w:p w14:paraId="38754F0F" w14:textId="77777777" w:rsidR="00DA6694" w:rsidRPr="00F01EC8" w:rsidRDefault="00DA6694" w:rsidP="00DA6694">
      <w:pPr>
        <w:jc w:val="both"/>
        <w:rPr>
          <w:rFonts w:asciiTheme="minorHAnsi" w:hAnsiTheme="minorHAnsi" w:cstheme="minorHAnsi"/>
          <w:b/>
          <w:sz w:val="20"/>
          <w:szCs w:val="20"/>
        </w:rPr>
      </w:pPr>
      <w:r w:rsidRPr="00F01EC8">
        <w:rPr>
          <w:rFonts w:asciiTheme="minorHAnsi" w:hAnsiTheme="minorHAnsi" w:cstheme="minorHAnsi"/>
          <w:b/>
          <w:sz w:val="20"/>
          <w:szCs w:val="20"/>
        </w:rPr>
        <w:t>Our responsibility</w:t>
      </w:r>
    </w:p>
    <w:p w14:paraId="0766CE8A" w14:textId="77777777" w:rsidR="00DA6694" w:rsidRPr="00F01EC8" w:rsidRDefault="00DA6694" w:rsidP="00DA6694">
      <w:pPr>
        <w:jc w:val="both"/>
        <w:rPr>
          <w:rFonts w:asciiTheme="minorHAnsi" w:hAnsiTheme="minorHAnsi" w:cstheme="minorHAnsi"/>
          <w:sz w:val="20"/>
          <w:szCs w:val="20"/>
        </w:rPr>
      </w:pPr>
    </w:p>
    <w:p w14:paraId="0E0E40AE" w14:textId="796E120C"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Our responsibility is to express to the company a conclusion on the condensed interim financial statements in the interim report based on our review.</w:t>
      </w:r>
    </w:p>
    <w:p w14:paraId="53D3FDB2" w14:textId="77777777" w:rsidR="00DA6694" w:rsidRPr="00F01EC8" w:rsidRDefault="00DA6694" w:rsidP="00DA6694">
      <w:pPr>
        <w:jc w:val="both"/>
        <w:rPr>
          <w:rFonts w:asciiTheme="minorHAnsi" w:hAnsiTheme="minorHAnsi" w:cstheme="minorHAnsi"/>
          <w:sz w:val="20"/>
          <w:szCs w:val="20"/>
        </w:rPr>
      </w:pPr>
    </w:p>
    <w:p w14:paraId="06B86F22" w14:textId="77777777" w:rsidR="00DA6694" w:rsidRPr="00F01EC8" w:rsidRDefault="00DA6694" w:rsidP="00DA6694">
      <w:pPr>
        <w:jc w:val="both"/>
        <w:rPr>
          <w:rFonts w:asciiTheme="minorHAnsi" w:hAnsiTheme="minorHAnsi" w:cstheme="minorHAnsi"/>
          <w:b/>
          <w:sz w:val="20"/>
          <w:szCs w:val="20"/>
        </w:rPr>
      </w:pPr>
      <w:r w:rsidRPr="00F01EC8">
        <w:rPr>
          <w:rFonts w:asciiTheme="minorHAnsi" w:hAnsiTheme="minorHAnsi" w:cstheme="minorHAnsi"/>
          <w:b/>
          <w:sz w:val="20"/>
          <w:szCs w:val="20"/>
        </w:rPr>
        <w:t xml:space="preserve">Scope of review </w:t>
      </w:r>
    </w:p>
    <w:p w14:paraId="6C8C1A2E" w14:textId="77777777" w:rsidR="00DA6694" w:rsidRPr="00F01EC8" w:rsidRDefault="00DA6694" w:rsidP="00DA6694">
      <w:pPr>
        <w:jc w:val="both"/>
        <w:rPr>
          <w:rFonts w:asciiTheme="minorHAnsi" w:hAnsiTheme="minorHAnsi" w:cstheme="minorHAnsi"/>
          <w:sz w:val="20"/>
          <w:szCs w:val="20"/>
        </w:rPr>
      </w:pPr>
    </w:p>
    <w:p w14:paraId="55D544B4" w14:textId="77777777"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lastRenderedPageBreak/>
        <w:t xml:space="preserve">We conducted our review in accordance with International Standard on Review Engagements (UK and Ireland) 2410 “Review of Interim Financial Information Performed by the Independent Auditor of the Entity” issued by the </w:t>
      </w:r>
      <w:r w:rsidRPr="00F01EC8">
        <w:rPr>
          <w:rFonts w:asciiTheme="minorHAnsi" w:hAnsiTheme="minorHAnsi" w:cstheme="minorHAnsi"/>
          <w:snapToGrid w:val="0"/>
          <w:sz w:val="20"/>
          <w:szCs w:val="20"/>
        </w:rPr>
        <w:t>Financial Reporting Council</w:t>
      </w:r>
      <w:r w:rsidRPr="00F01EC8">
        <w:rPr>
          <w:rFonts w:asciiTheme="minorHAnsi" w:hAnsiTheme="minorHAnsi" w:cstheme="minorHAnsi"/>
          <w:sz w:val="20"/>
          <w:szCs w:val="20"/>
        </w:rPr>
        <w:t xml:space="preserve"> for use in the United Kingdom. A review of interim financial information consists of making inquiries, primarily of persons responsible for financial and accounting matters, and applying analytical and other review procedures. 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p>
    <w:p w14:paraId="71B9A01A" w14:textId="77777777" w:rsidR="00DA6694" w:rsidRPr="00F01EC8" w:rsidRDefault="00DA6694" w:rsidP="00DA6694">
      <w:pPr>
        <w:jc w:val="both"/>
        <w:rPr>
          <w:rFonts w:asciiTheme="minorHAnsi" w:hAnsiTheme="minorHAnsi" w:cstheme="minorHAnsi"/>
          <w:b/>
          <w:sz w:val="20"/>
          <w:szCs w:val="20"/>
        </w:rPr>
      </w:pPr>
    </w:p>
    <w:p w14:paraId="7940092B" w14:textId="77777777" w:rsidR="00DA6694" w:rsidRPr="00F01EC8" w:rsidRDefault="00DA6694" w:rsidP="00DA6694">
      <w:pPr>
        <w:jc w:val="both"/>
        <w:rPr>
          <w:rFonts w:asciiTheme="minorHAnsi" w:hAnsiTheme="minorHAnsi" w:cstheme="minorHAnsi"/>
          <w:b/>
          <w:sz w:val="20"/>
          <w:szCs w:val="20"/>
        </w:rPr>
      </w:pPr>
      <w:r w:rsidRPr="00F01EC8">
        <w:rPr>
          <w:rFonts w:asciiTheme="minorHAnsi" w:hAnsiTheme="minorHAnsi" w:cstheme="minorHAnsi"/>
          <w:b/>
          <w:sz w:val="20"/>
          <w:szCs w:val="20"/>
        </w:rPr>
        <w:t>Conclusion</w:t>
      </w:r>
    </w:p>
    <w:p w14:paraId="28AC9D0D" w14:textId="77777777" w:rsidR="00DA6694" w:rsidRPr="00F01EC8" w:rsidRDefault="00DA6694" w:rsidP="00DA6694">
      <w:pPr>
        <w:jc w:val="both"/>
        <w:rPr>
          <w:rFonts w:asciiTheme="minorHAnsi" w:hAnsiTheme="minorHAnsi" w:cstheme="minorHAnsi"/>
          <w:sz w:val="20"/>
          <w:szCs w:val="20"/>
        </w:rPr>
      </w:pPr>
    </w:p>
    <w:p w14:paraId="0111BAE4" w14:textId="524B9E39"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Based on our review, nothing has come to our attention that causes us to believe that the condensed interim financial statements in the interim report for the six months ended 30 June 20</w:t>
      </w:r>
      <w:r w:rsidR="00355994" w:rsidRPr="00F01EC8">
        <w:rPr>
          <w:rFonts w:asciiTheme="minorHAnsi" w:hAnsiTheme="minorHAnsi" w:cstheme="minorHAnsi"/>
          <w:sz w:val="20"/>
          <w:szCs w:val="20"/>
        </w:rPr>
        <w:t>20</w:t>
      </w:r>
      <w:r w:rsidRPr="00F01EC8">
        <w:rPr>
          <w:rFonts w:asciiTheme="minorHAnsi" w:hAnsiTheme="minorHAnsi" w:cstheme="minorHAnsi"/>
          <w:sz w:val="20"/>
          <w:szCs w:val="20"/>
        </w:rPr>
        <w:t xml:space="preserve"> are not prepared, in all material respects, in accordance with International Accounting Standard 34 as adopted by the European Union and the Disclosure </w:t>
      </w:r>
      <w:r w:rsidR="00317F84" w:rsidRPr="00F01EC8">
        <w:rPr>
          <w:rFonts w:asciiTheme="minorHAnsi" w:hAnsiTheme="minorHAnsi" w:cstheme="minorHAnsi"/>
          <w:sz w:val="20"/>
          <w:szCs w:val="20"/>
        </w:rPr>
        <w:t xml:space="preserve">Guidance </w:t>
      </w:r>
      <w:r w:rsidRPr="00F01EC8">
        <w:rPr>
          <w:rFonts w:asciiTheme="minorHAnsi" w:hAnsiTheme="minorHAnsi" w:cstheme="minorHAnsi"/>
          <w:sz w:val="20"/>
          <w:szCs w:val="20"/>
        </w:rPr>
        <w:t>and Transparency Rules of the United Kingdom’s Financial Conduct Authority.</w:t>
      </w:r>
    </w:p>
    <w:p w14:paraId="64A1EC25" w14:textId="77777777" w:rsidR="00043A12" w:rsidRPr="00F01EC8" w:rsidRDefault="00043A12" w:rsidP="00DA6694">
      <w:pPr>
        <w:jc w:val="both"/>
        <w:rPr>
          <w:rFonts w:asciiTheme="minorHAnsi" w:hAnsiTheme="minorHAnsi" w:cstheme="minorHAnsi"/>
          <w:sz w:val="20"/>
          <w:szCs w:val="20"/>
        </w:rPr>
      </w:pPr>
    </w:p>
    <w:p w14:paraId="37A50F1B" w14:textId="52415C3E" w:rsidR="00043A12" w:rsidRPr="00F01EC8" w:rsidRDefault="00043A12" w:rsidP="00DA6694">
      <w:pPr>
        <w:jc w:val="both"/>
        <w:rPr>
          <w:rFonts w:asciiTheme="minorHAnsi" w:hAnsiTheme="minorHAnsi" w:cstheme="minorHAnsi"/>
          <w:b/>
          <w:sz w:val="20"/>
          <w:szCs w:val="20"/>
        </w:rPr>
      </w:pPr>
      <w:r w:rsidRPr="00F01EC8">
        <w:rPr>
          <w:rFonts w:asciiTheme="minorHAnsi" w:hAnsiTheme="minorHAnsi" w:cstheme="minorHAnsi"/>
          <w:b/>
          <w:sz w:val="20"/>
          <w:szCs w:val="20"/>
        </w:rPr>
        <w:t>Use of our report</w:t>
      </w:r>
    </w:p>
    <w:p w14:paraId="32ED3729" w14:textId="6ACF8EC5" w:rsidR="00043A12" w:rsidRPr="00F01EC8" w:rsidRDefault="00043A12" w:rsidP="00DA6694">
      <w:pPr>
        <w:jc w:val="both"/>
        <w:rPr>
          <w:rFonts w:asciiTheme="minorHAnsi" w:hAnsiTheme="minorHAnsi" w:cstheme="minorHAnsi"/>
          <w:sz w:val="20"/>
          <w:szCs w:val="20"/>
        </w:rPr>
      </w:pPr>
      <w:r w:rsidRPr="00F01EC8">
        <w:rPr>
          <w:rFonts w:asciiTheme="minorHAnsi" w:hAnsiTheme="minorHAnsi" w:cstheme="minorHAnsi"/>
          <w:sz w:val="20"/>
          <w:szCs w:val="20"/>
        </w:rPr>
        <w:t>This report is made solely to the company in accordance with International Standard on Review Engagements (UK and Ireland) 2410 “Review of Interim Financial Information Performed by the Independent Auditor of the Entity” issued by the Financial Reporting Council. Our work has been undertaken so that we might state to the company those matters we are required to state to it in an independent review report and for no other purpose. To the fullest extent permitted by law, we do not accept or assume responsibility to anyone other than the company, for our review work, for this report, or for the conclusions we have formed.</w:t>
      </w:r>
    </w:p>
    <w:p w14:paraId="203B7507" w14:textId="77777777" w:rsidR="00DA6694" w:rsidRPr="00F01EC8" w:rsidRDefault="00DA6694" w:rsidP="00DA6694">
      <w:pPr>
        <w:jc w:val="both"/>
        <w:rPr>
          <w:rFonts w:asciiTheme="minorHAnsi" w:hAnsiTheme="minorHAnsi" w:cstheme="minorHAnsi"/>
          <w:sz w:val="20"/>
          <w:szCs w:val="20"/>
        </w:rPr>
      </w:pPr>
    </w:p>
    <w:p w14:paraId="79EF6ABA" w14:textId="77777777" w:rsidR="00DA6694" w:rsidRPr="00F01EC8" w:rsidRDefault="00DA6694" w:rsidP="00DA6694">
      <w:pPr>
        <w:jc w:val="both"/>
        <w:rPr>
          <w:rFonts w:asciiTheme="minorHAnsi" w:hAnsiTheme="minorHAnsi" w:cstheme="minorHAnsi"/>
          <w:sz w:val="20"/>
          <w:szCs w:val="20"/>
        </w:rPr>
      </w:pPr>
    </w:p>
    <w:p w14:paraId="70DE560B" w14:textId="77777777" w:rsidR="00DA6694" w:rsidRPr="00F01EC8" w:rsidRDefault="00DA6694" w:rsidP="00DA6694">
      <w:pPr>
        <w:jc w:val="both"/>
        <w:rPr>
          <w:rFonts w:asciiTheme="minorHAnsi" w:hAnsiTheme="minorHAnsi" w:cstheme="minorHAnsi"/>
          <w:sz w:val="20"/>
          <w:szCs w:val="20"/>
        </w:rPr>
      </w:pPr>
    </w:p>
    <w:p w14:paraId="1C97DEF5" w14:textId="77777777" w:rsidR="00DA6694" w:rsidRPr="00F01EC8" w:rsidRDefault="00DA6694" w:rsidP="00DA6694">
      <w:pPr>
        <w:jc w:val="both"/>
        <w:rPr>
          <w:rFonts w:asciiTheme="minorHAnsi" w:hAnsiTheme="minorHAnsi" w:cstheme="minorHAnsi"/>
          <w:b/>
          <w:sz w:val="20"/>
          <w:szCs w:val="20"/>
        </w:rPr>
      </w:pPr>
      <w:r w:rsidRPr="00F01EC8">
        <w:rPr>
          <w:rFonts w:asciiTheme="minorHAnsi" w:hAnsiTheme="minorHAnsi" w:cstheme="minorHAnsi"/>
          <w:b/>
          <w:sz w:val="20"/>
          <w:szCs w:val="20"/>
        </w:rPr>
        <w:t>Deloitte LLP</w:t>
      </w:r>
    </w:p>
    <w:p w14:paraId="09511355" w14:textId="77777777"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Statutory Auditor</w:t>
      </w:r>
    </w:p>
    <w:p w14:paraId="065F4B72" w14:textId="77777777" w:rsidR="00DA6694" w:rsidRPr="00F01EC8" w:rsidRDefault="00DA6694" w:rsidP="00DA6694">
      <w:pPr>
        <w:jc w:val="both"/>
        <w:rPr>
          <w:rFonts w:asciiTheme="minorHAnsi" w:hAnsiTheme="minorHAnsi" w:cstheme="minorHAnsi"/>
          <w:sz w:val="20"/>
          <w:szCs w:val="20"/>
        </w:rPr>
      </w:pPr>
      <w:r w:rsidRPr="00F01EC8">
        <w:rPr>
          <w:rFonts w:asciiTheme="minorHAnsi" w:hAnsiTheme="minorHAnsi" w:cstheme="minorHAnsi"/>
          <w:sz w:val="20"/>
          <w:szCs w:val="20"/>
        </w:rPr>
        <w:t>Birmingham, United Kingdom</w:t>
      </w:r>
    </w:p>
    <w:p w14:paraId="10DE044C" w14:textId="04EA63B6" w:rsidR="00DA6694" w:rsidRPr="00F01EC8" w:rsidRDefault="00B2187F" w:rsidP="00DA6694">
      <w:pPr>
        <w:jc w:val="both"/>
        <w:rPr>
          <w:rFonts w:asciiTheme="minorHAnsi" w:hAnsiTheme="minorHAnsi" w:cstheme="minorHAnsi"/>
          <w:sz w:val="20"/>
          <w:szCs w:val="20"/>
        </w:rPr>
      </w:pPr>
      <w:r w:rsidRPr="00F01EC8">
        <w:rPr>
          <w:rFonts w:asciiTheme="minorHAnsi" w:hAnsiTheme="minorHAnsi" w:cstheme="minorHAnsi"/>
          <w:sz w:val="20"/>
          <w:szCs w:val="20"/>
        </w:rPr>
        <w:t>26 August 2020</w:t>
      </w:r>
    </w:p>
    <w:p w14:paraId="60D03583" w14:textId="77777777" w:rsidR="00831A11" w:rsidRPr="00F01EC8" w:rsidRDefault="00831A11">
      <w:pPr>
        <w:rPr>
          <w:rStyle w:val="bodycopynumber"/>
          <w:rFonts w:asciiTheme="minorHAnsi" w:hAnsiTheme="minorHAnsi" w:cs="Arial"/>
          <w:b/>
          <w:bCs/>
          <w:sz w:val="20"/>
          <w:szCs w:val="20"/>
        </w:rPr>
      </w:pPr>
    </w:p>
    <w:p w14:paraId="5924864D" w14:textId="77777777" w:rsidR="00831A11" w:rsidRDefault="00831A11"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copynumber"/>
          <w:rFonts w:asciiTheme="minorHAnsi" w:hAnsiTheme="minorHAnsi" w:cs="Arial"/>
          <w:b/>
          <w:bCs/>
          <w:sz w:val="20"/>
          <w:szCs w:val="20"/>
        </w:rPr>
      </w:pPr>
    </w:p>
    <w:p w14:paraId="334A7952" w14:textId="4453AD1A"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copynumber"/>
          <w:rFonts w:asciiTheme="minorHAnsi" w:hAnsiTheme="minorHAnsi" w:cs="Arial"/>
          <w:b/>
          <w:bCs/>
          <w:sz w:val="20"/>
          <w:szCs w:val="20"/>
        </w:rPr>
      </w:pPr>
      <w:r w:rsidRPr="00F01EC8">
        <w:rPr>
          <w:rStyle w:val="bodycopynumber"/>
          <w:rFonts w:asciiTheme="minorHAnsi" w:hAnsiTheme="minorHAnsi" w:cs="Arial"/>
          <w:b/>
          <w:bCs/>
          <w:sz w:val="20"/>
          <w:szCs w:val="20"/>
        </w:rPr>
        <w:t>Information for shareholders</w:t>
      </w:r>
    </w:p>
    <w:p w14:paraId="4B1D1A20"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lang w:val="en-US"/>
        </w:rPr>
      </w:pPr>
    </w:p>
    <w:p w14:paraId="36802793" w14:textId="3B1EB73D" w:rsidR="00DA6694" w:rsidRPr="00F01EC8" w:rsidRDefault="00DA6694" w:rsidP="00243E4F">
      <w:pPr>
        <w:ind w:left="284" w:hanging="284"/>
        <w:rPr>
          <w:rFonts w:asciiTheme="minorHAnsi" w:hAnsiTheme="minorHAnsi" w:cstheme="minorHAnsi"/>
          <w:sz w:val="20"/>
          <w:szCs w:val="20"/>
        </w:rPr>
      </w:pPr>
      <w:r w:rsidRPr="00F01EC8">
        <w:rPr>
          <w:rFonts w:asciiTheme="minorHAnsi" w:hAnsiTheme="minorHAnsi" w:cstheme="minorHAnsi"/>
          <w:sz w:val="20"/>
          <w:szCs w:val="20"/>
        </w:rPr>
        <w:t xml:space="preserve">The interim report will be posted to shareholders on </w:t>
      </w:r>
      <w:r w:rsidR="00430659" w:rsidRPr="00F01EC8">
        <w:rPr>
          <w:rFonts w:asciiTheme="minorHAnsi" w:hAnsiTheme="minorHAnsi" w:cstheme="minorHAnsi"/>
          <w:sz w:val="20"/>
          <w:szCs w:val="20"/>
        </w:rPr>
        <w:t>2 September 2020.</w:t>
      </w:r>
    </w:p>
    <w:p w14:paraId="6D7B0618" w14:textId="1A34102D" w:rsidR="00DA6694"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20"/>
          <w:szCs w:val="20"/>
        </w:rPr>
      </w:pPr>
      <w:r w:rsidRPr="00F01EC8">
        <w:rPr>
          <w:rFonts w:asciiTheme="minorHAnsi" w:hAnsiTheme="minorHAnsi"/>
          <w:sz w:val="20"/>
          <w:szCs w:val="20"/>
        </w:rPr>
        <w:t xml:space="preserve"> </w:t>
      </w:r>
    </w:p>
    <w:p w14:paraId="4FC9ECDF"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10910BDE" w14:textId="77777777" w:rsidR="00DA6694" w:rsidRPr="00F01EC8" w:rsidRDefault="00DA6694" w:rsidP="00DA6694">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Arial"/>
          <w:sz w:val="20"/>
        </w:rPr>
      </w:pPr>
    </w:p>
    <w:p w14:paraId="278109DC" w14:textId="77777777" w:rsidR="00DA6694" w:rsidRPr="00F01EC8" w:rsidRDefault="00DA6694" w:rsidP="00DA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Arial"/>
          <w:color w:val="00ACD6"/>
          <w:sz w:val="20"/>
          <w:szCs w:val="20"/>
        </w:rPr>
      </w:pPr>
    </w:p>
    <w:p w14:paraId="1C63F7F8" w14:textId="77777777" w:rsidR="00DA6694" w:rsidRPr="00F01EC8" w:rsidRDefault="00DA6694" w:rsidP="00DA6694">
      <w:pPr>
        <w:pStyle w:val="Body"/>
        <w:jc w:val="both"/>
        <w:rPr>
          <w:rFonts w:asciiTheme="minorHAnsi" w:hAnsiTheme="minorHAnsi" w:cs="Arial"/>
          <w:sz w:val="20"/>
          <w:szCs w:val="20"/>
        </w:rPr>
      </w:pPr>
    </w:p>
    <w:p w14:paraId="422C9DAA" w14:textId="77777777" w:rsidR="00DA6694" w:rsidRPr="00F01EC8" w:rsidRDefault="00DA6694" w:rsidP="00DA6694">
      <w:pPr>
        <w:pStyle w:val="Body"/>
        <w:jc w:val="both"/>
        <w:rPr>
          <w:rFonts w:asciiTheme="minorHAnsi" w:hAnsiTheme="minorHAnsi" w:cs="Arial"/>
          <w:sz w:val="20"/>
          <w:szCs w:val="20"/>
        </w:rPr>
      </w:pPr>
    </w:p>
    <w:p w14:paraId="44A961EB" w14:textId="77777777" w:rsidR="00DA6694" w:rsidRPr="00F01EC8" w:rsidRDefault="00DA6694" w:rsidP="00DA6694">
      <w:pPr>
        <w:jc w:val="both"/>
        <w:rPr>
          <w:rFonts w:asciiTheme="minorHAnsi" w:hAnsiTheme="minorHAnsi" w:cs="Arial"/>
          <w:sz w:val="20"/>
          <w:szCs w:val="20"/>
        </w:rPr>
      </w:pPr>
    </w:p>
    <w:p w14:paraId="311E4213" w14:textId="77777777" w:rsidR="00DA6694" w:rsidRPr="00F01EC8" w:rsidRDefault="00DA6694" w:rsidP="00DA6694">
      <w:pPr>
        <w:jc w:val="both"/>
        <w:rPr>
          <w:rFonts w:asciiTheme="minorHAnsi" w:hAnsiTheme="minorHAnsi" w:cs="Arial"/>
          <w:sz w:val="20"/>
          <w:szCs w:val="20"/>
        </w:rPr>
      </w:pPr>
    </w:p>
    <w:p w14:paraId="56273367" w14:textId="77777777" w:rsidR="007B4855" w:rsidRPr="00F01EC8" w:rsidRDefault="007B4855" w:rsidP="005714EF">
      <w:pPr>
        <w:jc w:val="both"/>
        <w:rPr>
          <w:rFonts w:asciiTheme="minorHAnsi" w:hAnsiTheme="minorHAnsi" w:cs="Times"/>
          <w:sz w:val="20"/>
          <w:szCs w:val="20"/>
          <w:lang w:eastAsia="en-US"/>
        </w:rPr>
      </w:pPr>
    </w:p>
    <w:sectPr w:rsidR="007B4855" w:rsidRPr="00F01EC8" w:rsidSect="0085107A">
      <w:headerReference w:type="even" r:id="rId12"/>
      <w:headerReference w:type="default" r:id="rId13"/>
      <w:footerReference w:type="even" r:id="rId14"/>
      <w:footerReference w:type="default" r:id="rId15"/>
      <w:headerReference w:type="first" r:id="rId16"/>
      <w:footerReference w:type="first" r:id="rId17"/>
      <w:pgSz w:w="11906" w:h="16838"/>
      <w:pgMar w:top="1134" w:right="1106" w:bottom="1134" w:left="107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55590" w14:textId="77777777" w:rsidR="007C2FEF" w:rsidRDefault="007C2FEF">
      <w:r>
        <w:separator/>
      </w:r>
    </w:p>
  </w:endnote>
  <w:endnote w:type="continuationSeparator" w:id="0">
    <w:p w14:paraId="0D4C72A0" w14:textId="77777777" w:rsidR="007C2FEF" w:rsidRDefault="007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raphik Light">
    <w:altName w:val="Graphik Light"/>
    <w:panose1 w:val="020B0403030202060203"/>
    <w:charset w:val="00"/>
    <w:family w:val="swiss"/>
    <w:notTrueType/>
    <w:pitch w:val="variable"/>
    <w:sig w:usb0="A000002F" w:usb1="4000045A" w:usb2="00000000" w:usb3="00000000" w:csb0="00000093" w:csb1="00000000"/>
  </w:font>
  <w:font w:name="Helvetica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rmes-Thin">
    <w:altName w:val="Times New Roman"/>
    <w:panose1 w:val="00000000000000000000"/>
    <w:charset w:val="00"/>
    <w:family w:val="auto"/>
    <w:notTrueType/>
    <w:pitch w:val="variable"/>
    <w:sig w:usb0="00000083" w:usb1="00000000" w:usb2="00000000" w:usb3="00000000" w:csb0="00000009" w:csb1="00000000"/>
  </w:font>
  <w:font w:name="Clarendon">
    <w:charset w:val="00"/>
    <w:family w:val="roman"/>
    <w:pitch w:val="default"/>
  </w:font>
  <w:font w:name="Hermes-Regular">
    <w:altName w:val="Times New Roman"/>
    <w:panose1 w:val="00000000000000000000"/>
    <w:charset w:val="00"/>
    <w:family w:val="auto"/>
    <w:notTrueType/>
    <w:pitch w:val="variable"/>
    <w:sig w:usb0="00000083" w:usb1="00000000" w:usb2="00000000" w:usb3="00000000" w:csb0="00000009" w:csb1="00000000"/>
  </w:font>
  <w:font w:name="Clarendon Light">
    <w:panose1 w:val="00000000000000000000"/>
    <w:charset w:val="00"/>
    <w:family w:val="roman"/>
    <w:notTrueType/>
    <w:pitch w:val="variable"/>
    <w:sig w:usb0="00000003" w:usb1="00000000" w:usb2="00000000" w:usb3="00000000" w:csb0="00000001" w:csb1="00000000"/>
  </w:font>
  <w:font w:name="Pluto Sans Light">
    <w:altName w:val="Arial"/>
    <w:panose1 w:val="00000000000000000000"/>
    <w:charset w:val="00"/>
    <w:family w:val="modern"/>
    <w:notTrueType/>
    <w:pitch w:val="variable"/>
    <w:sig w:usb0="00000001" w:usb1="5000207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Pluto Sans Medium">
    <w:altName w:val="Times New Roman"/>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Effra Medium">
    <w:altName w:val="Effra Medium"/>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Light">
    <w:charset w:val="00"/>
    <w:family w:val="swiss"/>
    <w:pitch w:val="variable"/>
    <w:sig w:usb0="E00002EF" w:usb1="4000205B" w:usb2="00000028" w:usb3="00000000" w:csb0="0000019F" w:csb1="00000000"/>
  </w:font>
  <w:font w:name="Graphik Medium">
    <w:panose1 w:val="020B0603030202060203"/>
    <w:charset w:val="00"/>
    <w:family w:val="swiss"/>
    <w:notTrueType/>
    <w:pitch w:val="variable"/>
    <w:sig w:usb0="A000002F" w:usb1="4000045A" w:usb2="00000000" w:usb3="00000000" w:csb0="00000093" w:csb1="00000000"/>
  </w:font>
  <w:font w:name="Avenir-Light">
    <w:panose1 w:val="00000000000000000000"/>
    <w:charset w:val="00"/>
    <w:family w:val="swiss"/>
    <w:notTrueType/>
    <w:pitch w:val="default"/>
    <w:sig w:usb0="00000003" w:usb1="00000000" w:usb2="00000000" w:usb3="00000000" w:csb0="00000001" w:csb1="00000000"/>
  </w:font>
  <w:font w:name="OpenSansLight-Italic">
    <w:altName w:val="Calibri"/>
    <w:panose1 w:val="00000000000000000000"/>
    <w:charset w:val="00"/>
    <w:family w:val="auto"/>
    <w:notTrueType/>
    <w:pitch w:val="default"/>
    <w:sig w:usb0="00000003" w:usb1="00000000" w:usb2="00000000" w:usb3="00000000" w:csb0="00000001" w:csb1="00000000"/>
  </w:font>
  <w:font w:name="OpenSans-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138B" w14:textId="77777777" w:rsidR="007C2FEF" w:rsidRDefault="007C2F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89A0E" w14:textId="77777777" w:rsidR="007C2FEF" w:rsidRDefault="007C2F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182199"/>
      <w:docPartObj>
        <w:docPartGallery w:val="Page Numbers (Bottom of Page)"/>
        <w:docPartUnique/>
      </w:docPartObj>
    </w:sdtPr>
    <w:sdtEndPr>
      <w:rPr>
        <w:rFonts w:asciiTheme="minorHAnsi" w:hAnsiTheme="minorHAnsi"/>
        <w:noProof/>
        <w:sz w:val="20"/>
      </w:rPr>
    </w:sdtEndPr>
    <w:sdtContent>
      <w:p w14:paraId="7C151006" w14:textId="6815E5D0" w:rsidR="007C2FEF" w:rsidRPr="004F75DB" w:rsidRDefault="007C2FEF">
        <w:pPr>
          <w:pStyle w:val="Footer"/>
          <w:jc w:val="center"/>
          <w:rPr>
            <w:rFonts w:asciiTheme="minorHAnsi" w:hAnsiTheme="minorHAnsi"/>
            <w:sz w:val="20"/>
          </w:rPr>
        </w:pPr>
        <w:r w:rsidRPr="004F75DB">
          <w:rPr>
            <w:rFonts w:asciiTheme="minorHAnsi" w:hAnsiTheme="minorHAnsi"/>
            <w:sz w:val="20"/>
          </w:rPr>
          <w:fldChar w:fldCharType="begin"/>
        </w:r>
        <w:r w:rsidRPr="004F75DB">
          <w:rPr>
            <w:rFonts w:asciiTheme="minorHAnsi" w:hAnsiTheme="minorHAnsi"/>
            <w:sz w:val="20"/>
          </w:rPr>
          <w:instrText xml:space="preserve"> PAGE   \* MERGEFORMAT </w:instrText>
        </w:r>
        <w:r w:rsidRPr="004F75DB">
          <w:rPr>
            <w:rFonts w:asciiTheme="minorHAnsi" w:hAnsiTheme="minorHAnsi"/>
            <w:sz w:val="20"/>
          </w:rPr>
          <w:fldChar w:fldCharType="separate"/>
        </w:r>
        <w:r>
          <w:rPr>
            <w:rFonts w:asciiTheme="minorHAnsi" w:hAnsiTheme="minorHAnsi"/>
            <w:noProof/>
            <w:sz w:val="20"/>
          </w:rPr>
          <w:t>21</w:t>
        </w:r>
        <w:r w:rsidRPr="004F75DB">
          <w:rPr>
            <w:rFonts w:asciiTheme="minorHAnsi" w:hAnsiTheme="minorHAnsi"/>
            <w:noProof/>
            <w:sz w:val="20"/>
          </w:rPr>
          <w:fldChar w:fldCharType="end"/>
        </w:r>
      </w:p>
    </w:sdtContent>
  </w:sdt>
  <w:p w14:paraId="0E4D130F" w14:textId="77777777" w:rsidR="007C2FEF" w:rsidRPr="00702F82" w:rsidRDefault="007C2FEF" w:rsidP="00B32ABF">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533A" w14:textId="77777777" w:rsidR="007C2FEF" w:rsidRDefault="007C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AF32A" w14:textId="77777777" w:rsidR="007C2FEF" w:rsidRDefault="007C2FEF">
      <w:r>
        <w:separator/>
      </w:r>
    </w:p>
  </w:footnote>
  <w:footnote w:type="continuationSeparator" w:id="0">
    <w:p w14:paraId="0C806944" w14:textId="77777777" w:rsidR="007C2FEF" w:rsidRDefault="007C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FBE3" w14:textId="182F0FC9" w:rsidR="007C2FEF" w:rsidRDefault="007C2F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D90163" w14:textId="77777777" w:rsidR="007C2FEF" w:rsidRDefault="007C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D092" w14:textId="607D61BE" w:rsidR="007C2FEF" w:rsidRDefault="007C2FEF">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D4BA" w14:textId="17BF1255" w:rsidR="007C2FEF" w:rsidRDefault="007C2FEF">
    <w:pPr>
      <w:pStyle w:val="Header"/>
      <w:tabs>
        <w:tab w:val="clear" w:pos="8306"/>
        <w:tab w:val="right" w:pos="9360"/>
      </w:tabs>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CFE15B"/>
    <w:multiLevelType w:val="hybridMultilevel"/>
    <w:tmpl w:val="730BAA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01552"/>
    <w:multiLevelType w:val="hybridMultilevel"/>
    <w:tmpl w:val="0D9C6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AF64B6"/>
    <w:multiLevelType w:val="hybridMultilevel"/>
    <w:tmpl w:val="301CFC86"/>
    <w:lvl w:ilvl="0" w:tplc="61127E42">
      <w:start w:val="30"/>
      <w:numFmt w:val="bullet"/>
      <w:lvlText w:val="-"/>
      <w:lvlJc w:val="left"/>
      <w:pPr>
        <w:ind w:left="720" w:hanging="360"/>
      </w:pPr>
      <w:rPr>
        <w:rFonts w:ascii="Arial" w:eastAsia="Graphik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138EF"/>
    <w:multiLevelType w:val="hybridMultilevel"/>
    <w:tmpl w:val="C8B2ECD8"/>
    <w:lvl w:ilvl="0" w:tplc="C33C622C">
      <w:numFmt w:val="bullet"/>
      <w:lvlText w:val="•"/>
      <w:lvlJc w:val="left"/>
      <w:pPr>
        <w:ind w:left="360" w:hanging="360"/>
      </w:pPr>
      <w:rPr>
        <w:rFonts w:ascii="HelveticaNeue" w:eastAsia="Times New Roman" w:hAnsi="HelveticaNeue" w:cs="Calibri" w:hint="default"/>
      </w:rPr>
    </w:lvl>
    <w:lvl w:ilvl="1" w:tplc="7ABE68BE">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557ED"/>
    <w:multiLevelType w:val="hybridMultilevel"/>
    <w:tmpl w:val="94BC7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81E2C"/>
    <w:multiLevelType w:val="hybridMultilevel"/>
    <w:tmpl w:val="57A03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E3E63"/>
    <w:multiLevelType w:val="hybridMultilevel"/>
    <w:tmpl w:val="51688E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A0B86"/>
    <w:multiLevelType w:val="hybridMultilevel"/>
    <w:tmpl w:val="7CDC8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5C206C"/>
    <w:multiLevelType w:val="hybridMultilevel"/>
    <w:tmpl w:val="12966A78"/>
    <w:lvl w:ilvl="0" w:tplc="EA28BBFC">
      <w:start w:val="1"/>
      <w:numFmt w:val="bullet"/>
      <w:lvlText w:val="•"/>
      <w:lvlJc w:val="left"/>
      <w:pPr>
        <w:tabs>
          <w:tab w:val="num" w:pos="720"/>
        </w:tabs>
        <w:ind w:left="720" w:hanging="360"/>
      </w:pPr>
      <w:rPr>
        <w:rFonts w:ascii="Arial" w:hAnsi="Arial" w:hint="default"/>
      </w:rPr>
    </w:lvl>
    <w:lvl w:ilvl="1" w:tplc="6172CC26">
      <w:start w:val="1"/>
      <w:numFmt w:val="bullet"/>
      <w:lvlText w:val="•"/>
      <w:lvlJc w:val="left"/>
      <w:pPr>
        <w:tabs>
          <w:tab w:val="num" w:pos="1440"/>
        </w:tabs>
        <w:ind w:left="1440" w:hanging="360"/>
      </w:pPr>
      <w:rPr>
        <w:rFonts w:ascii="Arial" w:hAnsi="Arial" w:hint="default"/>
      </w:rPr>
    </w:lvl>
    <w:lvl w:ilvl="2" w:tplc="63F05516" w:tentative="1">
      <w:start w:val="1"/>
      <w:numFmt w:val="bullet"/>
      <w:lvlText w:val="•"/>
      <w:lvlJc w:val="left"/>
      <w:pPr>
        <w:tabs>
          <w:tab w:val="num" w:pos="2160"/>
        </w:tabs>
        <w:ind w:left="2160" w:hanging="360"/>
      </w:pPr>
      <w:rPr>
        <w:rFonts w:ascii="Arial" w:hAnsi="Arial" w:hint="default"/>
      </w:rPr>
    </w:lvl>
    <w:lvl w:ilvl="3" w:tplc="A2D0ADCA" w:tentative="1">
      <w:start w:val="1"/>
      <w:numFmt w:val="bullet"/>
      <w:lvlText w:val="•"/>
      <w:lvlJc w:val="left"/>
      <w:pPr>
        <w:tabs>
          <w:tab w:val="num" w:pos="2880"/>
        </w:tabs>
        <w:ind w:left="2880" w:hanging="360"/>
      </w:pPr>
      <w:rPr>
        <w:rFonts w:ascii="Arial" w:hAnsi="Arial" w:hint="default"/>
      </w:rPr>
    </w:lvl>
    <w:lvl w:ilvl="4" w:tplc="93FA84B0" w:tentative="1">
      <w:start w:val="1"/>
      <w:numFmt w:val="bullet"/>
      <w:lvlText w:val="•"/>
      <w:lvlJc w:val="left"/>
      <w:pPr>
        <w:tabs>
          <w:tab w:val="num" w:pos="3600"/>
        </w:tabs>
        <w:ind w:left="3600" w:hanging="360"/>
      </w:pPr>
      <w:rPr>
        <w:rFonts w:ascii="Arial" w:hAnsi="Arial" w:hint="default"/>
      </w:rPr>
    </w:lvl>
    <w:lvl w:ilvl="5" w:tplc="BCD6D36A" w:tentative="1">
      <w:start w:val="1"/>
      <w:numFmt w:val="bullet"/>
      <w:lvlText w:val="•"/>
      <w:lvlJc w:val="left"/>
      <w:pPr>
        <w:tabs>
          <w:tab w:val="num" w:pos="4320"/>
        </w:tabs>
        <w:ind w:left="4320" w:hanging="360"/>
      </w:pPr>
      <w:rPr>
        <w:rFonts w:ascii="Arial" w:hAnsi="Arial" w:hint="default"/>
      </w:rPr>
    </w:lvl>
    <w:lvl w:ilvl="6" w:tplc="205EF6C8" w:tentative="1">
      <w:start w:val="1"/>
      <w:numFmt w:val="bullet"/>
      <w:lvlText w:val="•"/>
      <w:lvlJc w:val="left"/>
      <w:pPr>
        <w:tabs>
          <w:tab w:val="num" w:pos="5040"/>
        </w:tabs>
        <w:ind w:left="5040" w:hanging="360"/>
      </w:pPr>
      <w:rPr>
        <w:rFonts w:ascii="Arial" w:hAnsi="Arial" w:hint="default"/>
      </w:rPr>
    </w:lvl>
    <w:lvl w:ilvl="7" w:tplc="E6CE2E98" w:tentative="1">
      <w:start w:val="1"/>
      <w:numFmt w:val="bullet"/>
      <w:lvlText w:val="•"/>
      <w:lvlJc w:val="left"/>
      <w:pPr>
        <w:tabs>
          <w:tab w:val="num" w:pos="5760"/>
        </w:tabs>
        <w:ind w:left="5760" w:hanging="360"/>
      </w:pPr>
      <w:rPr>
        <w:rFonts w:ascii="Arial" w:hAnsi="Arial" w:hint="default"/>
      </w:rPr>
    </w:lvl>
    <w:lvl w:ilvl="8" w:tplc="E52420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C15583"/>
    <w:multiLevelType w:val="hybridMultilevel"/>
    <w:tmpl w:val="82520772"/>
    <w:lvl w:ilvl="0" w:tplc="E68882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31135"/>
    <w:multiLevelType w:val="hybridMultilevel"/>
    <w:tmpl w:val="027E1DEA"/>
    <w:lvl w:ilvl="0" w:tplc="FE0832C0">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194F1F"/>
    <w:multiLevelType w:val="hybridMultilevel"/>
    <w:tmpl w:val="35FC5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5A68A8"/>
    <w:multiLevelType w:val="hybridMultilevel"/>
    <w:tmpl w:val="83A260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44621DAD"/>
    <w:multiLevelType w:val="hybridMultilevel"/>
    <w:tmpl w:val="7730E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06D0D"/>
    <w:multiLevelType w:val="hybridMultilevel"/>
    <w:tmpl w:val="783C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51FE1"/>
    <w:multiLevelType w:val="hybridMultilevel"/>
    <w:tmpl w:val="53984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F5562E"/>
    <w:multiLevelType w:val="multilevel"/>
    <w:tmpl w:val="A23096EE"/>
    <w:name w:val="oc_Num_4th"/>
    <w:lvl w:ilvl="0">
      <w:start w:val="1"/>
      <w:numFmt w:val="none"/>
      <w:pStyle w:val="ocNum4th1"/>
      <w:suff w:val="nothing"/>
      <w:lvlText w:val=""/>
      <w:lvlJc w:val="left"/>
      <w:pPr>
        <w:ind w:left="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1">
      <w:start w:val="1"/>
      <w:numFmt w:val="decimal"/>
      <w:pStyle w:val="ocNum4th2"/>
      <w:lvlText w:val="%2."/>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3">
      <w:start w:val="1"/>
      <w:numFmt w:val="none"/>
      <w:pStyle w:val="ocNum4th4"/>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4">
      <w:start w:val="1"/>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vanish w:val="0"/>
        <w:color w:val="auto"/>
        <w:sz w:val="20"/>
        <w:u w:val="none"/>
        <w:effect w:val="none"/>
        <w:vertAlign w:val="baseline"/>
      </w:rPr>
    </w:lvl>
    <w:lvl w:ilvl="8">
      <w:start w:val="1"/>
      <w:numFmt w:val="none"/>
      <w:pStyle w:val="ocNum4th9"/>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abstractNum>
  <w:abstractNum w:abstractNumId="17" w15:restartNumberingAfterBreak="0">
    <w:nsid w:val="5B5E617A"/>
    <w:multiLevelType w:val="hybridMultilevel"/>
    <w:tmpl w:val="1C266738"/>
    <w:lvl w:ilvl="0" w:tplc="1FF20960">
      <w:start w:val="1"/>
      <w:numFmt w:val="lowerRoman"/>
      <w:lvlText w:val="(%1)"/>
      <w:lvlJc w:val="left"/>
      <w:pPr>
        <w:ind w:left="1080" w:hanging="72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36613CE"/>
    <w:multiLevelType w:val="hybridMultilevel"/>
    <w:tmpl w:val="CF626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A36AA"/>
    <w:multiLevelType w:val="hybridMultilevel"/>
    <w:tmpl w:val="53A68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C3645"/>
    <w:multiLevelType w:val="hybridMultilevel"/>
    <w:tmpl w:val="693CBC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DD0A20"/>
    <w:multiLevelType w:val="hybridMultilevel"/>
    <w:tmpl w:val="20F2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6"/>
  </w:num>
  <w:num w:numId="5">
    <w:abstractNumId w:val="9"/>
  </w:num>
  <w:num w:numId="6">
    <w:abstractNumId w:val="16"/>
  </w:num>
  <w:num w:numId="7">
    <w:abstractNumId w:val="18"/>
  </w:num>
  <w:num w:numId="8">
    <w:abstractNumId w:val="3"/>
  </w:num>
  <w:num w:numId="9">
    <w:abstractNumId w:val="21"/>
  </w:num>
  <w:num w:numId="10">
    <w:abstractNumId w:val="13"/>
  </w:num>
  <w:num w:numId="11">
    <w:abstractNumId w:val="2"/>
  </w:num>
  <w:num w:numId="12">
    <w:abstractNumId w:val="14"/>
  </w:num>
  <w:num w:numId="13">
    <w:abstractNumId w:val="0"/>
  </w:num>
  <w:num w:numId="14">
    <w:abstractNumId w:val="5"/>
  </w:num>
  <w:num w:numId="15">
    <w:abstractNumId w:val="1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5"/>
  </w:num>
  <w:num w:numId="20">
    <w:abstractNumId w:val="15"/>
  </w:num>
  <w:num w:numId="21">
    <w:abstractNumId w:val="11"/>
  </w:num>
  <w:num w:numId="22">
    <w:abstractNumId w:val="11"/>
  </w:num>
  <w:num w:numId="23">
    <w:abstractNumId w:val="7"/>
  </w:num>
  <w:num w:numId="24">
    <w:abstractNumId w:val="7"/>
  </w:num>
  <w:num w:numId="25">
    <w:abstractNumId w:val="1"/>
  </w:num>
  <w:num w:numId="26">
    <w:abstractNumId w:val="1"/>
  </w:num>
  <w:num w:numId="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73"/>
    <w:rsid w:val="000003D5"/>
    <w:rsid w:val="00000DA1"/>
    <w:rsid w:val="00001067"/>
    <w:rsid w:val="00001099"/>
    <w:rsid w:val="00002307"/>
    <w:rsid w:val="000025D1"/>
    <w:rsid w:val="000040C4"/>
    <w:rsid w:val="0000450F"/>
    <w:rsid w:val="00004785"/>
    <w:rsid w:val="00004898"/>
    <w:rsid w:val="00004C4C"/>
    <w:rsid w:val="00005FB0"/>
    <w:rsid w:val="00006234"/>
    <w:rsid w:val="00006AB4"/>
    <w:rsid w:val="00007119"/>
    <w:rsid w:val="00007276"/>
    <w:rsid w:val="00011810"/>
    <w:rsid w:val="00011A4D"/>
    <w:rsid w:val="000120DD"/>
    <w:rsid w:val="00012AC8"/>
    <w:rsid w:val="00012C83"/>
    <w:rsid w:val="00012F25"/>
    <w:rsid w:val="00013C41"/>
    <w:rsid w:val="0001424D"/>
    <w:rsid w:val="00014E05"/>
    <w:rsid w:val="00015A80"/>
    <w:rsid w:val="00015E22"/>
    <w:rsid w:val="00015E6F"/>
    <w:rsid w:val="00016E45"/>
    <w:rsid w:val="000179C3"/>
    <w:rsid w:val="00017AE7"/>
    <w:rsid w:val="00017D12"/>
    <w:rsid w:val="000203FA"/>
    <w:rsid w:val="000212F0"/>
    <w:rsid w:val="00021F8D"/>
    <w:rsid w:val="00022145"/>
    <w:rsid w:val="00022705"/>
    <w:rsid w:val="00022A0D"/>
    <w:rsid w:val="000239E5"/>
    <w:rsid w:val="000252F2"/>
    <w:rsid w:val="0002559A"/>
    <w:rsid w:val="000268A5"/>
    <w:rsid w:val="00027A6B"/>
    <w:rsid w:val="000300F8"/>
    <w:rsid w:val="00030F3D"/>
    <w:rsid w:val="00030F75"/>
    <w:rsid w:val="00031A77"/>
    <w:rsid w:val="00032102"/>
    <w:rsid w:val="00032239"/>
    <w:rsid w:val="0003225B"/>
    <w:rsid w:val="00032D9E"/>
    <w:rsid w:val="00032DDD"/>
    <w:rsid w:val="0003426B"/>
    <w:rsid w:val="00035081"/>
    <w:rsid w:val="00036369"/>
    <w:rsid w:val="000367AA"/>
    <w:rsid w:val="00036D70"/>
    <w:rsid w:val="000379BB"/>
    <w:rsid w:val="00037BB9"/>
    <w:rsid w:val="00040D41"/>
    <w:rsid w:val="00041252"/>
    <w:rsid w:val="000415F3"/>
    <w:rsid w:val="00041954"/>
    <w:rsid w:val="00041F9A"/>
    <w:rsid w:val="00043A12"/>
    <w:rsid w:val="00044EC3"/>
    <w:rsid w:val="00044F8B"/>
    <w:rsid w:val="0004607F"/>
    <w:rsid w:val="00046643"/>
    <w:rsid w:val="000468A4"/>
    <w:rsid w:val="00046974"/>
    <w:rsid w:val="0004775A"/>
    <w:rsid w:val="000477FD"/>
    <w:rsid w:val="00047A88"/>
    <w:rsid w:val="00047A99"/>
    <w:rsid w:val="00050C74"/>
    <w:rsid w:val="00051CF6"/>
    <w:rsid w:val="00051EC9"/>
    <w:rsid w:val="000524B6"/>
    <w:rsid w:val="00053742"/>
    <w:rsid w:val="00054021"/>
    <w:rsid w:val="0005417A"/>
    <w:rsid w:val="00054543"/>
    <w:rsid w:val="00054C37"/>
    <w:rsid w:val="00055061"/>
    <w:rsid w:val="00055888"/>
    <w:rsid w:val="00055BBF"/>
    <w:rsid w:val="00056432"/>
    <w:rsid w:val="000567F1"/>
    <w:rsid w:val="0006038B"/>
    <w:rsid w:val="00061712"/>
    <w:rsid w:val="00061909"/>
    <w:rsid w:val="00061C57"/>
    <w:rsid w:val="00062C75"/>
    <w:rsid w:val="00062D7A"/>
    <w:rsid w:val="00062F71"/>
    <w:rsid w:val="00063292"/>
    <w:rsid w:val="00063686"/>
    <w:rsid w:val="00064947"/>
    <w:rsid w:val="00064999"/>
    <w:rsid w:val="00065029"/>
    <w:rsid w:val="00065211"/>
    <w:rsid w:val="00066469"/>
    <w:rsid w:val="0006714E"/>
    <w:rsid w:val="00067438"/>
    <w:rsid w:val="00067466"/>
    <w:rsid w:val="00067883"/>
    <w:rsid w:val="00070E2E"/>
    <w:rsid w:val="00070EE4"/>
    <w:rsid w:val="000713A7"/>
    <w:rsid w:val="0007299E"/>
    <w:rsid w:val="00073B36"/>
    <w:rsid w:val="00073DEA"/>
    <w:rsid w:val="00073FCB"/>
    <w:rsid w:val="000754E3"/>
    <w:rsid w:val="00075C06"/>
    <w:rsid w:val="00076221"/>
    <w:rsid w:val="00077D15"/>
    <w:rsid w:val="00080107"/>
    <w:rsid w:val="00081617"/>
    <w:rsid w:val="00081DE3"/>
    <w:rsid w:val="00082465"/>
    <w:rsid w:val="0008259E"/>
    <w:rsid w:val="00084645"/>
    <w:rsid w:val="0008493D"/>
    <w:rsid w:val="000852F8"/>
    <w:rsid w:val="00086318"/>
    <w:rsid w:val="00086BCB"/>
    <w:rsid w:val="00090EED"/>
    <w:rsid w:val="00090FBA"/>
    <w:rsid w:val="0009157E"/>
    <w:rsid w:val="00091E0B"/>
    <w:rsid w:val="00092197"/>
    <w:rsid w:val="00092E5E"/>
    <w:rsid w:val="00094FCF"/>
    <w:rsid w:val="000950DA"/>
    <w:rsid w:val="00095975"/>
    <w:rsid w:val="000959A3"/>
    <w:rsid w:val="00097084"/>
    <w:rsid w:val="000972AA"/>
    <w:rsid w:val="000A0278"/>
    <w:rsid w:val="000A0A8D"/>
    <w:rsid w:val="000A1A4C"/>
    <w:rsid w:val="000A1ACB"/>
    <w:rsid w:val="000A1EF2"/>
    <w:rsid w:val="000A22FD"/>
    <w:rsid w:val="000A3645"/>
    <w:rsid w:val="000A379E"/>
    <w:rsid w:val="000A426A"/>
    <w:rsid w:val="000A4C78"/>
    <w:rsid w:val="000A56E0"/>
    <w:rsid w:val="000A7ECC"/>
    <w:rsid w:val="000B0F99"/>
    <w:rsid w:val="000B1059"/>
    <w:rsid w:val="000B1423"/>
    <w:rsid w:val="000B17AB"/>
    <w:rsid w:val="000B20C2"/>
    <w:rsid w:val="000B2279"/>
    <w:rsid w:val="000B2A1A"/>
    <w:rsid w:val="000B3016"/>
    <w:rsid w:val="000B33EB"/>
    <w:rsid w:val="000B4626"/>
    <w:rsid w:val="000B46DA"/>
    <w:rsid w:val="000B5482"/>
    <w:rsid w:val="000B6393"/>
    <w:rsid w:val="000B68E2"/>
    <w:rsid w:val="000B6A9A"/>
    <w:rsid w:val="000B7122"/>
    <w:rsid w:val="000B7230"/>
    <w:rsid w:val="000C139E"/>
    <w:rsid w:val="000C1452"/>
    <w:rsid w:val="000C2033"/>
    <w:rsid w:val="000C340A"/>
    <w:rsid w:val="000C531C"/>
    <w:rsid w:val="000C661A"/>
    <w:rsid w:val="000C7F58"/>
    <w:rsid w:val="000D0510"/>
    <w:rsid w:val="000D20DA"/>
    <w:rsid w:val="000D34A0"/>
    <w:rsid w:val="000D354C"/>
    <w:rsid w:val="000D35FD"/>
    <w:rsid w:val="000D423E"/>
    <w:rsid w:val="000D4AAF"/>
    <w:rsid w:val="000D56D1"/>
    <w:rsid w:val="000D61DE"/>
    <w:rsid w:val="000D697D"/>
    <w:rsid w:val="000D6E40"/>
    <w:rsid w:val="000D7023"/>
    <w:rsid w:val="000D73B2"/>
    <w:rsid w:val="000D7660"/>
    <w:rsid w:val="000D78BF"/>
    <w:rsid w:val="000D7FDE"/>
    <w:rsid w:val="000E01AF"/>
    <w:rsid w:val="000E0EB5"/>
    <w:rsid w:val="000E1196"/>
    <w:rsid w:val="000E123D"/>
    <w:rsid w:val="000E18E6"/>
    <w:rsid w:val="000E1D3D"/>
    <w:rsid w:val="000E1EF3"/>
    <w:rsid w:val="000E399F"/>
    <w:rsid w:val="000E3BD0"/>
    <w:rsid w:val="000E3CE7"/>
    <w:rsid w:val="000E43CC"/>
    <w:rsid w:val="000E4D31"/>
    <w:rsid w:val="000E4DF9"/>
    <w:rsid w:val="000E528D"/>
    <w:rsid w:val="000E5E60"/>
    <w:rsid w:val="000E5F89"/>
    <w:rsid w:val="000E635A"/>
    <w:rsid w:val="000E78AD"/>
    <w:rsid w:val="000E7A31"/>
    <w:rsid w:val="000E7C7C"/>
    <w:rsid w:val="000E7EC5"/>
    <w:rsid w:val="000F0405"/>
    <w:rsid w:val="000F0617"/>
    <w:rsid w:val="000F06E6"/>
    <w:rsid w:val="000F06FB"/>
    <w:rsid w:val="000F11F3"/>
    <w:rsid w:val="000F14BF"/>
    <w:rsid w:val="000F1645"/>
    <w:rsid w:val="000F21A4"/>
    <w:rsid w:val="000F4B70"/>
    <w:rsid w:val="000F6745"/>
    <w:rsid w:val="000F6D05"/>
    <w:rsid w:val="001003BA"/>
    <w:rsid w:val="00100FA0"/>
    <w:rsid w:val="001017B9"/>
    <w:rsid w:val="00101C73"/>
    <w:rsid w:val="00102766"/>
    <w:rsid w:val="00102DA9"/>
    <w:rsid w:val="001042F9"/>
    <w:rsid w:val="00104ECB"/>
    <w:rsid w:val="001050E4"/>
    <w:rsid w:val="001056B6"/>
    <w:rsid w:val="001065D1"/>
    <w:rsid w:val="00107D3C"/>
    <w:rsid w:val="001109B0"/>
    <w:rsid w:val="001109D5"/>
    <w:rsid w:val="00111A87"/>
    <w:rsid w:val="00111DD5"/>
    <w:rsid w:val="00112A4C"/>
    <w:rsid w:val="00113269"/>
    <w:rsid w:val="00115BBB"/>
    <w:rsid w:val="00116914"/>
    <w:rsid w:val="00117139"/>
    <w:rsid w:val="001201A2"/>
    <w:rsid w:val="001204F9"/>
    <w:rsid w:val="00120F22"/>
    <w:rsid w:val="00121DF1"/>
    <w:rsid w:val="001225C4"/>
    <w:rsid w:val="001226F4"/>
    <w:rsid w:val="0012384D"/>
    <w:rsid w:val="00123C5A"/>
    <w:rsid w:val="001243A9"/>
    <w:rsid w:val="0012445B"/>
    <w:rsid w:val="00124A91"/>
    <w:rsid w:val="00124D28"/>
    <w:rsid w:val="00124F87"/>
    <w:rsid w:val="001254F6"/>
    <w:rsid w:val="00125E2F"/>
    <w:rsid w:val="00126ABF"/>
    <w:rsid w:val="00126AC5"/>
    <w:rsid w:val="00126BCD"/>
    <w:rsid w:val="001273C0"/>
    <w:rsid w:val="00127C4F"/>
    <w:rsid w:val="00127C71"/>
    <w:rsid w:val="00130403"/>
    <w:rsid w:val="00130999"/>
    <w:rsid w:val="001318F6"/>
    <w:rsid w:val="00131A82"/>
    <w:rsid w:val="001321E7"/>
    <w:rsid w:val="00133562"/>
    <w:rsid w:val="001335E8"/>
    <w:rsid w:val="00133893"/>
    <w:rsid w:val="00133F66"/>
    <w:rsid w:val="001342A8"/>
    <w:rsid w:val="00134633"/>
    <w:rsid w:val="00135199"/>
    <w:rsid w:val="00135452"/>
    <w:rsid w:val="001355CE"/>
    <w:rsid w:val="001365CF"/>
    <w:rsid w:val="00136631"/>
    <w:rsid w:val="0013692F"/>
    <w:rsid w:val="001403D2"/>
    <w:rsid w:val="00141232"/>
    <w:rsid w:val="00141ACC"/>
    <w:rsid w:val="00142A76"/>
    <w:rsid w:val="00142DD9"/>
    <w:rsid w:val="00143325"/>
    <w:rsid w:val="00143507"/>
    <w:rsid w:val="001440D0"/>
    <w:rsid w:val="00144EBB"/>
    <w:rsid w:val="00144F4D"/>
    <w:rsid w:val="001460FF"/>
    <w:rsid w:val="001467CE"/>
    <w:rsid w:val="00146A02"/>
    <w:rsid w:val="00146DCC"/>
    <w:rsid w:val="0014717F"/>
    <w:rsid w:val="0014772D"/>
    <w:rsid w:val="001516B7"/>
    <w:rsid w:val="00151FC2"/>
    <w:rsid w:val="001523AB"/>
    <w:rsid w:val="001523D5"/>
    <w:rsid w:val="00153B43"/>
    <w:rsid w:val="001544F6"/>
    <w:rsid w:val="00154E41"/>
    <w:rsid w:val="00154F82"/>
    <w:rsid w:val="00155195"/>
    <w:rsid w:val="001553A0"/>
    <w:rsid w:val="00155795"/>
    <w:rsid w:val="00156321"/>
    <w:rsid w:val="00156C7A"/>
    <w:rsid w:val="00157482"/>
    <w:rsid w:val="0016011B"/>
    <w:rsid w:val="00160232"/>
    <w:rsid w:val="001604DB"/>
    <w:rsid w:val="00160E2A"/>
    <w:rsid w:val="00161736"/>
    <w:rsid w:val="0016186A"/>
    <w:rsid w:val="0016241F"/>
    <w:rsid w:val="00162959"/>
    <w:rsid w:val="00162A31"/>
    <w:rsid w:val="00163A47"/>
    <w:rsid w:val="001643DF"/>
    <w:rsid w:val="00164909"/>
    <w:rsid w:val="00164C60"/>
    <w:rsid w:val="00164E14"/>
    <w:rsid w:val="00166667"/>
    <w:rsid w:val="00166C5A"/>
    <w:rsid w:val="0017070C"/>
    <w:rsid w:val="00170FA7"/>
    <w:rsid w:val="001710E1"/>
    <w:rsid w:val="0017135D"/>
    <w:rsid w:val="0017168B"/>
    <w:rsid w:val="00172226"/>
    <w:rsid w:val="00172C52"/>
    <w:rsid w:val="00172D20"/>
    <w:rsid w:val="00172ECD"/>
    <w:rsid w:val="001746F0"/>
    <w:rsid w:val="00175CEB"/>
    <w:rsid w:val="00176903"/>
    <w:rsid w:val="00176DCB"/>
    <w:rsid w:val="00177E2C"/>
    <w:rsid w:val="001802AA"/>
    <w:rsid w:val="00180C8D"/>
    <w:rsid w:val="00180D51"/>
    <w:rsid w:val="0018119D"/>
    <w:rsid w:val="00181D69"/>
    <w:rsid w:val="00181E84"/>
    <w:rsid w:val="001837B5"/>
    <w:rsid w:val="001839BD"/>
    <w:rsid w:val="0018424E"/>
    <w:rsid w:val="0018452A"/>
    <w:rsid w:val="001850B2"/>
    <w:rsid w:val="0018542C"/>
    <w:rsid w:val="0018564B"/>
    <w:rsid w:val="00185F2B"/>
    <w:rsid w:val="00186AC7"/>
    <w:rsid w:val="00187BFD"/>
    <w:rsid w:val="001904A3"/>
    <w:rsid w:val="00191BED"/>
    <w:rsid w:val="001924F1"/>
    <w:rsid w:val="00193960"/>
    <w:rsid w:val="00193A38"/>
    <w:rsid w:val="001943B8"/>
    <w:rsid w:val="0019448A"/>
    <w:rsid w:val="00194D97"/>
    <w:rsid w:val="00194E5F"/>
    <w:rsid w:val="00194EF0"/>
    <w:rsid w:val="001965F4"/>
    <w:rsid w:val="001973DC"/>
    <w:rsid w:val="00197817"/>
    <w:rsid w:val="00197C00"/>
    <w:rsid w:val="00197C6A"/>
    <w:rsid w:val="00197C7A"/>
    <w:rsid w:val="001A0FAB"/>
    <w:rsid w:val="001A18E8"/>
    <w:rsid w:val="001A1C00"/>
    <w:rsid w:val="001A271A"/>
    <w:rsid w:val="001A2BEF"/>
    <w:rsid w:val="001A38A4"/>
    <w:rsid w:val="001A3F38"/>
    <w:rsid w:val="001A4C34"/>
    <w:rsid w:val="001A4E4C"/>
    <w:rsid w:val="001A51B8"/>
    <w:rsid w:val="001A5BEF"/>
    <w:rsid w:val="001A61C5"/>
    <w:rsid w:val="001A69C7"/>
    <w:rsid w:val="001A69F6"/>
    <w:rsid w:val="001A6C48"/>
    <w:rsid w:val="001A759C"/>
    <w:rsid w:val="001B0B85"/>
    <w:rsid w:val="001B1427"/>
    <w:rsid w:val="001B19B8"/>
    <w:rsid w:val="001B2B1C"/>
    <w:rsid w:val="001B346F"/>
    <w:rsid w:val="001B37E8"/>
    <w:rsid w:val="001B37F4"/>
    <w:rsid w:val="001B4647"/>
    <w:rsid w:val="001B493B"/>
    <w:rsid w:val="001B60DF"/>
    <w:rsid w:val="001B6C52"/>
    <w:rsid w:val="001B6D23"/>
    <w:rsid w:val="001B6EE8"/>
    <w:rsid w:val="001B6F84"/>
    <w:rsid w:val="001B7153"/>
    <w:rsid w:val="001C066C"/>
    <w:rsid w:val="001C0A16"/>
    <w:rsid w:val="001C1755"/>
    <w:rsid w:val="001C17BE"/>
    <w:rsid w:val="001C18C3"/>
    <w:rsid w:val="001C2276"/>
    <w:rsid w:val="001C2FF8"/>
    <w:rsid w:val="001C3220"/>
    <w:rsid w:val="001C3669"/>
    <w:rsid w:val="001C4C3A"/>
    <w:rsid w:val="001C5689"/>
    <w:rsid w:val="001C6717"/>
    <w:rsid w:val="001C6A70"/>
    <w:rsid w:val="001C6A8F"/>
    <w:rsid w:val="001C6F9F"/>
    <w:rsid w:val="001C6FBC"/>
    <w:rsid w:val="001C75D8"/>
    <w:rsid w:val="001C7906"/>
    <w:rsid w:val="001C7F79"/>
    <w:rsid w:val="001D127F"/>
    <w:rsid w:val="001D1400"/>
    <w:rsid w:val="001D2FA5"/>
    <w:rsid w:val="001D3118"/>
    <w:rsid w:val="001D317F"/>
    <w:rsid w:val="001D3253"/>
    <w:rsid w:val="001D3748"/>
    <w:rsid w:val="001D3DF6"/>
    <w:rsid w:val="001D41E2"/>
    <w:rsid w:val="001D4CA9"/>
    <w:rsid w:val="001D55D7"/>
    <w:rsid w:val="001D58C3"/>
    <w:rsid w:val="001D5EB9"/>
    <w:rsid w:val="001D66F8"/>
    <w:rsid w:val="001D708E"/>
    <w:rsid w:val="001E020A"/>
    <w:rsid w:val="001E089E"/>
    <w:rsid w:val="001E0935"/>
    <w:rsid w:val="001E0A1D"/>
    <w:rsid w:val="001E142F"/>
    <w:rsid w:val="001E1C51"/>
    <w:rsid w:val="001E25CD"/>
    <w:rsid w:val="001E26EC"/>
    <w:rsid w:val="001E45E8"/>
    <w:rsid w:val="001E4EB9"/>
    <w:rsid w:val="001E5128"/>
    <w:rsid w:val="001E558E"/>
    <w:rsid w:val="001E6CCE"/>
    <w:rsid w:val="001E71B0"/>
    <w:rsid w:val="001E7A41"/>
    <w:rsid w:val="001F0860"/>
    <w:rsid w:val="001F2827"/>
    <w:rsid w:val="001F2892"/>
    <w:rsid w:val="001F2BC8"/>
    <w:rsid w:val="001F353F"/>
    <w:rsid w:val="001F4AFC"/>
    <w:rsid w:val="001F5409"/>
    <w:rsid w:val="001F59B8"/>
    <w:rsid w:val="001F70C5"/>
    <w:rsid w:val="001F7483"/>
    <w:rsid w:val="001F76BC"/>
    <w:rsid w:val="0020046A"/>
    <w:rsid w:val="00200477"/>
    <w:rsid w:val="00200E41"/>
    <w:rsid w:val="00200F33"/>
    <w:rsid w:val="00201480"/>
    <w:rsid w:val="002019EE"/>
    <w:rsid w:val="0020246D"/>
    <w:rsid w:val="00202F91"/>
    <w:rsid w:val="0020334B"/>
    <w:rsid w:val="00204254"/>
    <w:rsid w:val="002042BE"/>
    <w:rsid w:val="0020443A"/>
    <w:rsid w:val="0020562E"/>
    <w:rsid w:val="00205936"/>
    <w:rsid w:val="00206B1E"/>
    <w:rsid w:val="002079FA"/>
    <w:rsid w:val="00207C74"/>
    <w:rsid w:val="00210008"/>
    <w:rsid w:val="00210901"/>
    <w:rsid w:val="00210A35"/>
    <w:rsid w:val="00210EB3"/>
    <w:rsid w:val="002110A8"/>
    <w:rsid w:val="002112FE"/>
    <w:rsid w:val="0021149C"/>
    <w:rsid w:val="002115C6"/>
    <w:rsid w:val="002130DD"/>
    <w:rsid w:val="00213A82"/>
    <w:rsid w:val="00213D22"/>
    <w:rsid w:val="0021416A"/>
    <w:rsid w:val="0021489F"/>
    <w:rsid w:val="00214DE7"/>
    <w:rsid w:val="002168A5"/>
    <w:rsid w:val="002176AF"/>
    <w:rsid w:val="00220183"/>
    <w:rsid w:val="00220951"/>
    <w:rsid w:val="00220A64"/>
    <w:rsid w:val="00220DF4"/>
    <w:rsid w:val="00221316"/>
    <w:rsid w:val="00221AD2"/>
    <w:rsid w:val="002220E4"/>
    <w:rsid w:val="00223233"/>
    <w:rsid w:val="0022339A"/>
    <w:rsid w:val="0022357F"/>
    <w:rsid w:val="002244DB"/>
    <w:rsid w:val="00224E43"/>
    <w:rsid w:val="002253C5"/>
    <w:rsid w:val="00225AD1"/>
    <w:rsid w:val="002275AE"/>
    <w:rsid w:val="002303EB"/>
    <w:rsid w:val="00230548"/>
    <w:rsid w:val="0023072E"/>
    <w:rsid w:val="002321B2"/>
    <w:rsid w:val="00232609"/>
    <w:rsid w:val="00232901"/>
    <w:rsid w:val="00233C6A"/>
    <w:rsid w:val="0023498D"/>
    <w:rsid w:val="002356AB"/>
    <w:rsid w:val="002361B8"/>
    <w:rsid w:val="00236700"/>
    <w:rsid w:val="002367AE"/>
    <w:rsid w:val="002407B3"/>
    <w:rsid w:val="00241694"/>
    <w:rsid w:val="00241A31"/>
    <w:rsid w:val="00241ACC"/>
    <w:rsid w:val="00242066"/>
    <w:rsid w:val="0024214D"/>
    <w:rsid w:val="00243E4F"/>
    <w:rsid w:val="00243FF1"/>
    <w:rsid w:val="0024455D"/>
    <w:rsid w:val="00244CC4"/>
    <w:rsid w:val="00244FE1"/>
    <w:rsid w:val="002451DA"/>
    <w:rsid w:val="00245BDD"/>
    <w:rsid w:val="002472C1"/>
    <w:rsid w:val="0024796F"/>
    <w:rsid w:val="002516D2"/>
    <w:rsid w:val="002519AA"/>
    <w:rsid w:val="002528F8"/>
    <w:rsid w:val="00252B86"/>
    <w:rsid w:val="00254320"/>
    <w:rsid w:val="00256473"/>
    <w:rsid w:val="00256580"/>
    <w:rsid w:val="00256F73"/>
    <w:rsid w:val="0025706B"/>
    <w:rsid w:val="0025741B"/>
    <w:rsid w:val="00257B86"/>
    <w:rsid w:val="00257C4A"/>
    <w:rsid w:val="0026006C"/>
    <w:rsid w:val="0026175B"/>
    <w:rsid w:val="00263331"/>
    <w:rsid w:val="00263ECC"/>
    <w:rsid w:val="00264A11"/>
    <w:rsid w:val="00265B63"/>
    <w:rsid w:val="00265D53"/>
    <w:rsid w:val="00265F49"/>
    <w:rsid w:val="00266349"/>
    <w:rsid w:val="00266C43"/>
    <w:rsid w:val="002671D1"/>
    <w:rsid w:val="0026746A"/>
    <w:rsid w:val="0026758C"/>
    <w:rsid w:val="0026773A"/>
    <w:rsid w:val="0027142E"/>
    <w:rsid w:val="00272D6F"/>
    <w:rsid w:val="0027312F"/>
    <w:rsid w:val="00275CC0"/>
    <w:rsid w:val="00275CE9"/>
    <w:rsid w:val="002773B8"/>
    <w:rsid w:val="00277516"/>
    <w:rsid w:val="0027756F"/>
    <w:rsid w:val="00277A7A"/>
    <w:rsid w:val="002801A2"/>
    <w:rsid w:val="00281D79"/>
    <w:rsid w:val="0028301C"/>
    <w:rsid w:val="00285461"/>
    <w:rsid w:val="002854A0"/>
    <w:rsid w:val="0028652C"/>
    <w:rsid w:val="0028664C"/>
    <w:rsid w:val="00286F1C"/>
    <w:rsid w:val="00287050"/>
    <w:rsid w:val="002870B7"/>
    <w:rsid w:val="002873B9"/>
    <w:rsid w:val="00287ECA"/>
    <w:rsid w:val="00290A7E"/>
    <w:rsid w:val="00290D1A"/>
    <w:rsid w:val="00292118"/>
    <w:rsid w:val="00292163"/>
    <w:rsid w:val="00292676"/>
    <w:rsid w:val="00292C8B"/>
    <w:rsid w:val="00293693"/>
    <w:rsid w:val="002937A4"/>
    <w:rsid w:val="0029444E"/>
    <w:rsid w:val="00295F88"/>
    <w:rsid w:val="00296A52"/>
    <w:rsid w:val="00296B9D"/>
    <w:rsid w:val="00297A0E"/>
    <w:rsid w:val="00297FAD"/>
    <w:rsid w:val="002A14A8"/>
    <w:rsid w:val="002A36AE"/>
    <w:rsid w:val="002A4690"/>
    <w:rsid w:val="002A5702"/>
    <w:rsid w:val="002A57E4"/>
    <w:rsid w:val="002A5A6C"/>
    <w:rsid w:val="002A5F34"/>
    <w:rsid w:val="002A629F"/>
    <w:rsid w:val="002A62A4"/>
    <w:rsid w:val="002A694B"/>
    <w:rsid w:val="002A780E"/>
    <w:rsid w:val="002B07D2"/>
    <w:rsid w:val="002B0997"/>
    <w:rsid w:val="002B0F52"/>
    <w:rsid w:val="002B0FDA"/>
    <w:rsid w:val="002B18B1"/>
    <w:rsid w:val="002B1CDD"/>
    <w:rsid w:val="002B1EE6"/>
    <w:rsid w:val="002B2195"/>
    <w:rsid w:val="002B2D32"/>
    <w:rsid w:val="002B468A"/>
    <w:rsid w:val="002B4DB8"/>
    <w:rsid w:val="002B615B"/>
    <w:rsid w:val="002B61A6"/>
    <w:rsid w:val="002B6A5D"/>
    <w:rsid w:val="002B74CA"/>
    <w:rsid w:val="002B74DB"/>
    <w:rsid w:val="002B77F2"/>
    <w:rsid w:val="002B7AB1"/>
    <w:rsid w:val="002C05F9"/>
    <w:rsid w:val="002C0AA5"/>
    <w:rsid w:val="002C1124"/>
    <w:rsid w:val="002C2BBC"/>
    <w:rsid w:val="002C3125"/>
    <w:rsid w:val="002C3129"/>
    <w:rsid w:val="002C3AF1"/>
    <w:rsid w:val="002C5682"/>
    <w:rsid w:val="002C56C7"/>
    <w:rsid w:val="002C5F97"/>
    <w:rsid w:val="002C6194"/>
    <w:rsid w:val="002C648C"/>
    <w:rsid w:val="002C6F71"/>
    <w:rsid w:val="002C71E6"/>
    <w:rsid w:val="002C7C02"/>
    <w:rsid w:val="002C7D52"/>
    <w:rsid w:val="002C7F7D"/>
    <w:rsid w:val="002D008D"/>
    <w:rsid w:val="002D05DE"/>
    <w:rsid w:val="002D076E"/>
    <w:rsid w:val="002D0C03"/>
    <w:rsid w:val="002D0C2F"/>
    <w:rsid w:val="002D1EC5"/>
    <w:rsid w:val="002D1F32"/>
    <w:rsid w:val="002D21C0"/>
    <w:rsid w:val="002D22A2"/>
    <w:rsid w:val="002D3630"/>
    <w:rsid w:val="002D3CFC"/>
    <w:rsid w:val="002D4AC5"/>
    <w:rsid w:val="002D5536"/>
    <w:rsid w:val="002D61ED"/>
    <w:rsid w:val="002D69B9"/>
    <w:rsid w:val="002D7465"/>
    <w:rsid w:val="002D7507"/>
    <w:rsid w:val="002D7745"/>
    <w:rsid w:val="002E0773"/>
    <w:rsid w:val="002E1C5F"/>
    <w:rsid w:val="002E26A1"/>
    <w:rsid w:val="002E27C2"/>
    <w:rsid w:val="002E27EF"/>
    <w:rsid w:val="002E2AD8"/>
    <w:rsid w:val="002E2AE4"/>
    <w:rsid w:val="002E3374"/>
    <w:rsid w:val="002E3666"/>
    <w:rsid w:val="002E3BD2"/>
    <w:rsid w:val="002E40BC"/>
    <w:rsid w:val="002E5260"/>
    <w:rsid w:val="002E61D7"/>
    <w:rsid w:val="002E640B"/>
    <w:rsid w:val="002E6CFF"/>
    <w:rsid w:val="002E7BE9"/>
    <w:rsid w:val="002F03CB"/>
    <w:rsid w:val="002F1961"/>
    <w:rsid w:val="002F19E5"/>
    <w:rsid w:val="002F1BBD"/>
    <w:rsid w:val="002F1DB5"/>
    <w:rsid w:val="002F21C0"/>
    <w:rsid w:val="002F40C7"/>
    <w:rsid w:val="002F50C3"/>
    <w:rsid w:val="002F50E3"/>
    <w:rsid w:val="002F5D9C"/>
    <w:rsid w:val="002F601E"/>
    <w:rsid w:val="00300B09"/>
    <w:rsid w:val="00302272"/>
    <w:rsid w:val="003025A9"/>
    <w:rsid w:val="00304953"/>
    <w:rsid w:val="00304FA2"/>
    <w:rsid w:val="0030545F"/>
    <w:rsid w:val="00305B65"/>
    <w:rsid w:val="003067A5"/>
    <w:rsid w:val="00306BA4"/>
    <w:rsid w:val="00307358"/>
    <w:rsid w:val="003073C7"/>
    <w:rsid w:val="00307553"/>
    <w:rsid w:val="0030759C"/>
    <w:rsid w:val="00310AA3"/>
    <w:rsid w:val="00310E9B"/>
    <w:rsid w:val="0031102A"/>
    <w:rsid w:val="003110A0"/>
    <w:rsid w:val="00312076"/>
    <w:rsid w:val="0031226E"/>
    <w:rsid w:val="00313BAB"/>
    <w:rsid w:val="00316D14"/>
    <w:rsid w:val="003171F0"/>
    <w:rsid w:val="0031725C"/>
    <w:rsid w:val="00317F84"/>
    <w:rsid w:val="00320114"/>
    <w:rsid w:val="00320468"/>
    <w:rsid w:val="00320B60"/>
    <w:rsid w:val="00320E32"/>
    <w:rsid w:val="003210A1"/>
    <w:rsid w:val="00321712"/>
    <w:rsid w:val="00321C78"/>
    <w:rsid w:val="00321ECC"/>
    <w:rsid w:val="0032252C"/>
    <w:rsid w:val="00322BCC"/>
    <w:rsid w:val="0032312C"/>
    <w:rsid w:val="003231F6"/>
    <w:rsid w:val="00323390"/>
    <w:rsid w:val="00324422"/>
    <w:rsid w:val="00324520"/>
    <w:rsid w:val="00324D34"/>
    <w:rsid w:val="00325E6A"/>
    <w:rsid w:val="00326553"/>
    <w:rsid w:val="00326D83"/>
    <w:rsid w:val="00326D88"/>
    <w:rsid w:val="0032729C"/>
    <w:rsid w:val="003275EA"/>
    <w:rsid w:val="00327954"/>
    <w:rsid w:val="00327AC5"/>
    <w:rsid w:val="0033034C"/>
    <w:rsid w:val="00330509"/>
    <w:rsid w:val="00330B30"/>
    <w:rsid w:val="0033166E"/>
    <w:rsid w:val="00331982"/>
    <w:rsid w:val="0033220B"/>
    <w:rsid w:val="00332353"/>
    <w:rsid w:val="00332FB8"/>
    <w:rsid w:val="00333A81"/>
    <w:rsid w:val="00333ED6"/>
    <w:rsid w:val="00334828"/>
    <w:rsid w:val="003355ED"/>
    <w:rsid w:val="0033617F"/>
    <w:rsid w:val="00336778"/>
    <w:rsid w:val="0033718F"/>
    <w:rsid w:val="0033768D"/>
    <w:rsid w:val="003378FD"/>
    <w:rsid w:val="00337D98"/>
    <w:rsid w:val="00341E56"/>
    <w:rsid w:val="003421F6"/>
    <w:rsid w:val="00342A2D"/>
    <w:rsid w:val="00343AB9"/>
    <w:rsid w:val="00343C39"/>
    <w:rsid w:val="003442CC"/>
    <w:rsid w:val="003447D8"/>
    <w:rsid w:val="00344910"/>
    <w:rsid w:val="003456F9"/>
    <w:rsid w:val="00346040"/>
    <w:rsid w:val="00346E99"/>
    <w:rsid w:val="003479E0"/>
    <w:rsid w:val="003503DD"/>
    <w:rsid w:val="00350F0C"/>
    <w:rsid w:val="00350F4C"/>
    <w:rsid w:val="00351593"/>
    <w:rsid w:val="00351B36"/>
    <w:rsid w:val="00351E98"/>
    <w:rsid w:val="00353493"/>
    <w:rsid w:val="00353B7F"/>
    <w:rsid w:val="00354B5E"/>
    <w:rsid w:val="00355049"/>
    <w:rsid w:val="00355169"/>
    <w:rsid w:val="00355994"/>
    <w:rsid w:val="00355A38"/>
    <w:rsid w:val="00355AB2"/>
    <w:rsid w:val="00356164"/>
    <w:rsid w:val="003568D3"/>
    <w:rsid w:val="00357157"/>
    <w:rsid w:val="00357381"/>
    <w:rsid w:val="0035786B"/>
    <w:rsid w:val="00357DC4"/>
    <w:rsid w:val="00360F97"/>
    <w:rsid w:val="0036154D"/>
    <w:rsid w:val="00362222"/>
    <w:rsid w:val="0036265F"/>
    <w:rsid w:val="0036309B"/>
    <w:rsid w:val="0036317F"/>
    <w:rsid w:val="003631B4"/>
    <w:rsid w:val="00364286"/>
    <w:rsid w:val="00364901"/>
    <w:rsid w:val="003652D2"/>
    <w:rsid w:val="003661CE"/>
    <w:rsid w:val="00366430"/>
    <w:rsid w:val="003672ED"/>
    <w:rsid w:val="0036761A"/>
    <w:rsid w:val="003701A9"/>
    <w:rsid w:val="003709FB"/>
    <w:rsid w:val="00370D77"/>
    <w:rsid w:val="00370DDE"/>
    <w:rsid w:val="00371107"/>
    <w:rsid w:val="00371618"/>
    <w:rsid w:val="00373884"/>
    <w:rsid w:val="00374BF6"/>
    <w:rsid w:val="00374F50"/>
    <w:rsid w:val="00376856"/>
    <w:rsid w:val="003774E0"/>
    <w:rsid w:val="003802D6"/>
    <w:rsid w:val="003803BC"/>
    <w:rsid w:val="003813BD"/>
    <w:rsid w:val="00381B17"/>
    <w:rsid w:val="00382755"/>
    <w:rsid w:val="0038279B"/>
    <w:rsid w:val="0038291B"/>
    <w:rsid w:val="003830FF"/>
    <w:rsid w:val="003841E0"/>
    <w:rsid w:val="00384A32"/>
    <w:rsid w:val="00384C98"/>
    <w:rsid w:val="003854C4"/>
    <w:rsid w:val="0038594C"/>
    <w:rsid w:val="003862C5"/>
    <w:rsid w:val="00387C4C"/>
    <w:rsid w:val="003916E3"/>
    <w:rsid w:val="0039176B"/>
    <w:rsid w:val="00392112"/>
    <w:rsid w:val="003932CE"/>
    <w:rsid w:val="0039332E"/>
    <w:rsid w:val="003939F5"/>
    <w:rsid w:val="003955D4"/>
    <w:rsid w:val="00396220"/>
    <w:rsid w:val="003966F8"/>
    <w:rsid w:val="00396D4A"/>
    <w:rsid w:val="00397195"/>
    <w:rsid w:val="00397250"/>
    <w:rsid w:val="003A0056"/>
    <w:rsid w:val="003A12A8"/>
    <w:rsid w:val="003A1606"/>
    <w:rsid w:val="003A1714"/>
    <w:rsid w:val="003A1CF9"/>
    <w:rsid w:val="003A2029"/>
    <w:rsid w:val="003A28EF"/>
    <w:rsid w:val="003A40A6"/>
    <w:rsid w:val="003A490D"/>
    <w:rsid w:val="003A5ED2"/>
    <w:rsid w:val="003A6130"/>
    <w:rsid w:val="003A6F31"/>
    <w:rsid w:val="003A7BBF"/>
    <w:rsid w:val="003A7FA6"/>
    <w:rsid w:val="003B01A3"/>
    <w:rsid w:val="003B05EA"/>
    <w:rsid w:val="003B13D2"/>
    <w:rsid w:val="003B16C8"/>
    <w:rsid w:val="003B2423"/>
    <w:rsid w:val="003B370B"/>
    <w:rsid w:val="003B45F8"/>
    <w:rsid w:val="003B50DA"/>
    <w:rsid w:val="003B510E"/>
    <w:rsid w:val="003B5903"/>
    <w:rsid w:val="003B7952"/>
    <w:rsid w:val="003B7A7C"/>
    <w:rsid w:val="003B7F39"/>
    <w:rsid w:val="003C040B"/>
    <w:rsid w:val="003C044A"/>
    <w:rsid w:val="003C0480"/>
    <w:rsid w:val="003C1643"/>
    <w:rsid w:val="003C237E"/>
    <w:rsid w:val="003C3552"/>
    <w:rsid w:val="003C35AF"/>
    <w:rsid w:val="003C39CD"/>
    <w:rsid w:val="003C3AEF"/>
    <w:rsid w:val="003C3E9B"/>
    <w:rsid w:val="003C6EA0"/>
    <w:rsid w:val="003C7081"/>
    <w:rsid w:val="003D0933"/>
    <w:rsid w:val="003D2A5A"/>
    <w:rsid w:val="003D2ED6"/>
    <w:rsid w:val="003D3D00"/>
    <w:rsid w:val="003D42B3"/>
    <w:rsid w:val="003D4C7E"/>
    <w:rsid w:val="003D4D19"/>
    <w:rsid w:val="003D5939"/>
    <w:rsid w:val="003D64D3"/>
    <w:rsid w:val="003D7754"/>
    <w:rsid w:val="003E0DF0"/>
    <w:rsid w:val="003E0FF3"/>
    <w:rsid w:val="003E1275"/>
    <w:rsid w:val="003E182B"/>
    <w:rsid w:val="003E21C5"/>
    <w:rsid w:val="003E26B9"/>
    <w:rsid w:val="003E27B6"/>
    <w:rsid w:val="003E3638"/>
    <w:rsid w:val="003E4729"/>
    <w:rsid w:val="003E4B17"/>
    <w:rsid w:val="003E5997"/>
    <w:rsid w:val="003E625E"/>
    <w:rsid w:val="003E6387"/>
    <w:rsid w:val="003E65B0"/>
    <w:rsid w:val="003E67FE"/>
    <w:rsid w:val="003E7680"/>
    <w:rsid w:val="003E7C5A"/>
    <w:rsid w:val="003E7EEE"/>
    <w:rsid w:val="003F1333"/>
    <w:rsid w:val="003F1857"/>
    <w:rsid w:val="003F1D3D"/>
    <w:rsid w:val="003F2843"/>
    <w:rsid w:val="003F2EFA"/>
    <w:rsid w:val="003F3FB8"/>
    <w:rsid w:val="003F3FEB"/>
    <w:rsid w:val="003F4301"/>
    <w:rsid w:val="003F4988"/>
    <w:rsid w:val="003F6B75"/>
    <w:rsid w:val="003F6C85"/>
    <w:rsid w:val="003F72EB"/>
    <w:rsid w:val="003F7A66"/>
    <w:rsid w:val="003F7B72"/>
    <w:rsid w:val="003F7BDB"/>
    <w:rsid w:val="00400218"/>
    <w:rsid w:val="0040067A"/>
    <w:rsid w:val="00400704"/>
    <w:rsid w:val="00400E96"/>
    <w:rsid w:val="004013AB"/>
    <w:rsid w:val="0040194B"/>
    <w:rsid w:val="00401BFA"/>
    <w:rsid w:val="004021F8"/>
    <w:rsid w:val="00402C32"/>
    <w:rsid w:val="004046E5"/>
    <w:rsid w:val="00404E0F"/>
    <w:rsid w:val="00405A5F"/>
    <w:rsid w:val="004071FD"/>
    <w:rsid w:val="00407C3A"/>
    <w:rsid w:val="004109DB"/>
    <w:rsid w:val="00410B29"/>
    <w:rsid w:val="004114F0"/>
    <w:rsid w:val="00411C03"/>
    <w:rsid w:val="0041229D"/>
    <w:rsid w:val="00412794"/>
    <w:rsid w:val="00412BFD"/>
    <w:rsid w:val="00412DC8"/>
    <w:rsid w:val="004133C4"/>
    <w:rsid w:val="00415A5F"/>
    <w:rsid w:val="004161FD"/>
    <w:rsid w:val="004167A1"/>
    <w:rsid w:val="00417270"/>
    <w:rsid w:val="004178D1"/>
    <w:rsid w:val="00420B99"/>
    <w:rsid w:val="00420E3E"/>
    <w:rsid w:val="00422125"/>
    <w:rsid w:val="00422274"/>
    <w:rsid w:val="004227A3"/>
    <w:rsid w:val="004239A7"/>
    <w:rsid w:val="00423D32"/>
    <w:rsid w:val="00424480"/>
    <w:rsid w:val="0042499B"/>
    <w:rsid w:val="004268BC"/>
    <w:rsid w:val="00427634"/>
    <w:rsid w:val="00427957"/>
    <w:rsid w:val="00430659"/>
    <w:rsid w:val="004306E3"/>
    <w:rsid w:val="004310C7"/>
    <w:rsid w:val="004313EF"/>
    <w:rsid w:val="004314BF"/>
    <w:rsid w:val="004317FE"/>
    <w:rsid w:val="0043192E"/>
    <w:rsid w:val="00431C55"/>
    <w:rsid w:val="00431D2B"/>
    <w:rsid w:val="004320ED"/>
    <w:rsid w:val="00432982"/>
    <w:rsid w:val="00433905"/>
    <w:rsid w:val="00433995"/>
    <w:rsid w:val="0043463D"/>
    <w:rsid w:val="00435685"/>
    <w:rsid w:val="00436A19"/>
    <w:rsid w:val="00436B40"/>
    <w:rsid w:val="004370A6"/>
    <w:rsid w:val="004371C9"/>
    <w:rsid w:val="004411C0"/>
    <w:rsid w:val="004419D1"/>
    <w:rsid w:val="00442061"/>
    <w:rsid w:val="00442FCF"/>
    <w:rsid w:val="00443257"/>
    <w:rsid w:val="00443269"/>
    <w:rsid w:val="00443271"/>
    <w:rsid w:val="0044359E"/>
    <w:rsid w:val="004435A8"/>
    <w:rsid w:val="00444742"/>
    <w:rsid w:val="0044492E"/>
    <w:rsid w:val="00444A6E"/>
    <w:rsid w:val="00445886"/>
    <w:rsid w:val="004475F5"/>
    <w:rsid w:val="00447BD2"/>
    <w:rsid w:val="00450C20"/>
    <w:rsid w:val="004515E3"/>
    <w:rsid w:val="00451AEE"/>
    <w:rsid w:val="00452034"/>
    <w:rsid w:val="004528A1"/>
    <w:rsid w:val="004529C1"/>
    <w:rsid w:val="00452DD3"/>
    <w:rsid w:val="004532AC"/>
    <w:rsid w:val="004534A5"/>
    <w:rsid w:val="004536B2"/>
    <w:rsid w:val="004537AF"/>
    <w:rsid w:val="00453D8B"/>
    <w:rsid w:val="00454CF6"/>
    <w:rsid w:val="0045563C"/>
    <w:rsid w:val="00455682"/>
    <w:rsid w:val="00456983"/>
    <w:rsid w:val="004571F8"/>
    <w:rsid w:val="00461638"/>
    <w:rsid w:val="004620AE"/>
    <w:rsid w:val="004628CF"/>
    <w:rsid w:val="00463062"/>
    <w:rsid w:val="004631CE"/>
    <w:rsid w:val="004641B1"/>
    <w:rsid w:val="00464996"/>
    <w:rsid w:val="00464A2D"/>
    <w:rsid w:val="00465185"/>
    <w:rsid w:val="004655C9"/>
    <w:rsid w:val="004666BD"/>
    <w:rsid w:val="00466DDE"/>
    <w:rsid w:val="004673A6"/>
    <w:rsid w:val="004673AE"/>
    <w:rsid w:val="0047003B"/>
    <w:rsid w:val="00470AED"/>
    <w:rsid w:val="0047175D"/>
    <w:rsid w:val="00471BFE"/>
    <w:rsid w:val="00471CCF"/>
    <w:rsid w:val="0047278C"/>
    <w:rsid w:val="004737D6"/>
    <w:rsid w:val="00473836"/>
    <w:rsid w:val="004747E1"/>
    <w:rsid w:val="00474F71"/>
    <w:rsid w:val="004751CA"/>
    <w:rsid w:val="004753C8"/>
    <w:rsid w:val="0047651F"/>
    <w:rsid w:val="004769B3"/>
    <w:rsid w:val="00476F2E"/>
    <w:rsid w:val="00477B00"/>
    <w:rsid w:val="00477E38"/>
    <w:rsid w:val="00480DA1"/>
    <w:rsid w:val="0048103B"/>
    <w:rsid w:val="00482086"/>
    <w:rsid w:val="00482CF4"/>
    <w:rsid w:val="00482FDB"/>
    <w:rsid w:val="00483128"/>
    <w:rsid w:val="004834A3"/>
    <w:rsid w:val="00483CE5"/>
    <w:rsid w:val="00483D2B"/>
    <w:rsid w:val="0048589F"/>
    <w:rsid w:val="00485ED8"/>
    <w:rsid w:val="0048658E"/>
    <w:rsid w:val="0048661B"/>
    <w:rsid w:val="00486818"/>
    <w:rsid w:val="0048703C"/>
    <w:rsid w:val="004871BE"/>
    <w:rsid w:val="004917CE"/>
    <w:rsid w:val="00491A80"/>
    <w:rsid w:val="00491D84"/>
    <w:rsid w:val="0049219C"/>
    <w:rsid w:val="0049365B"/>
    <w:rsid w:val="0049671E"/>
    <w:rsid w:val="0049687F"/>
    <w:rsid w:val="00496B9A"/>
    <w:rsid w:val="00496EE9"/>
    <w:rsid w:val="00496FD6"/>
    <w:rsid w:val="004973FA"/>
    <w:rsid w:val="00497493"/>
    <w:rsid w:val="00497711"/>
    <w:rsid w:val="0049779A"/>
    <w:rsid w:val="00497ED8"/>
    <w:rsid w:val="004A145B"/>
    <w:rsid w:val="004A16B2"/>
    <w:rsid w:val="004A1D0A"/>
    <w:rsid w:val="004A2190"/>
    <w:rsid w:val="004A219A"/>
    <w:rsid w:val="004A2403"/>
    <w:rsid w:val="004A27C0"/>
    <w:rsid w:val="004A2C30"/>
    <w:rsid w:val="004A47C7"/>
    <w:rsid w:val="004A51BD"/>
    <w:rsid w:val="004A51F6"/>
    <w:rsid w:val="004A6270"/>
    <w:rsid w:val="004A632E"/>
    <w:rsid w:val="004A6465"/>
    <w:rsid w:val="004A7A30"/>
    <w:rsid w:val="004A7B91"/>
    <w:rsid w:val="004A7F35"/>
    <w:rsid w:val="004B002C"/>
    <w:rsid w:val="004B19C4"/>
    <w:rsid w:val="004B1B47"/>
    <w:rsid w:val="004B2171"/>
    <w:rsid w:val="004B246A"/>
    <w:rsid w:val="004B2587"/>
    <w:rsid w:val="004B29BD"/>
    <w:rsid w:val="004B33A6"/>
    <w:rsid w:val="004B3E87"/>
    <w:rsid w:val="004B573B"/>
    <w:rsid w:val="004B7AFA"/>
    <w:rsid w:val="004C09C4"/>
    <w:rsid w:val="004C164A"/>
    <w:rsid w:val="004C2934"/>
    <w:rsid w:val="004C2C41"/>
    <w:rsid w:val="004C3C99"/>
    <w:rsid w:val="004C3F0E"/>
    <w:rsid w:val="004C474D"/>
    <w:rsid w:val="004C50C0"/>
    <w:rsid w:val="004C55D5"/>
    <w:rsid w:val="004C6968"/>
    <w:rsid w:val="004C6AAE"/>
    <w:rsid w:val="004C7187"/>
    <w:rsid w:val="004D2708"/>
    <w:rsid w:val="004D3508"/>
    <w:rsid w:val="004D3852"/>
    <w:rsid w:val="004D4153"/>
    <w:rsid w:val="004D4705"/>
    <w:rsid w:val="004D481D"/>
    <w:rsid w:val="004D55D9"/>
    <w:rsid w:val="004D7B22"/>
    <w:rsid w:val="004E039C"/>
    <w:rsid w:val="004E083B"/>
    <w:rsid w:val="004E1039"/>
    <w:rsid w:val="004E241A"/>
    <w:rsid w:val="004E265C"/>
    <w:rsid w:val="004E32EC"/>
    <w:rsid w:val="004E3DDB"/>
    <w:rsid w:val="004E4867"/>
    <w:rsid w:val="004E4B2B"/>
    <w:rsid w:val="004E4C34"/>
    <w:rsid w:val="004E4EA6"/>
    <w:rsid w:val="004E65C9"/>
    <w:rsid w:val="004E6625"/>
    <w:rsid w:val="004E6723"/>
    <w:rsid w:val="004E7C97"/>
    <w:rsid w:val="004F19CC"/>
    <w:rsid w:val="004F3BF2"/>
    <w:rsid w:val="004F42DC"/>
    <w:rsid w:val="004F4373"/>
    <w:rsid w:val="004F4AE4"/>
    <w:rsid w:val="004F4C26"/>
    <w:rsid w:val="004F4FB2"/>
    <w:rsid w:val="004F4FB9"/>
    <w:rsid w:val="004F50A9"/>
    <w:rsid w:val="004F5301"/>
    <w:rsid w:val="004F5973"/>
    <w:rsid w:val="004F5974"/>
    <w:rsid w:val="004F5D24"/>
    <w:rsid w:val="004F6B91"/>
    <w:rsid w:val="004F6E36"/>
    <w:rsid w:val="004F75DB"/>
    <w:rsid w:val="00500114"/>
    <w:rsid w:val="0050022F"/>
    <w:rsid w:val="00500A43"/>
    <w:rsid w:val="00500ACE"/>
    <w:rsid w:val="00503197"/>
    <w:rsid w:val="005046DE"/>
    <w:rsid w:val="00504CEC"/>
    <w:rsid w:val="005060FA"/>
    <w:rsid w:val="00507188"/>
    <w:rsid w:val="00507B17"/>
    <w:rsid w:val="00511381"/>
    <w:rsid w:val="00511D26"/>
    <w:rsid w:val="00512C7E"/>
    <w:rsid w:val="00513977"/>
    <w:rsid w:val="00513A13"/>
    <w:rsid w:val="00513B47"/>
    <w:rsid w:val="00513DED"/>
    <w:rsid w:val="00514552"/>
    <w:rsid w:val="00514603"/>
    <w:rsid w:val="0051531C"/>
    <w:rsid w:val="0051548A"/>
    <w:rsid w:val="00515AE4"/>
    <w:rsid w:val="00516225"/>
    <w:rsid w:val="005165B7"/>
    <w:rsid w:val="00516DA1"/>
    <w:rsid w:val="0051737D"/>
    <w:rsid w:val="00520F61"/>
    <w:rsid w:val="00521B32"/>
    <w:rsid w:val="0052250F"/>
    <w:rsid w:val="00522889"/>
    <w:rsid w:val="00522B98"/>
    <w:rsid w:val="005238AA"/>
    <w:rsid w:val="00523B91"/>
    <w:rsid w:val="005240CB"/>
    <w:rsid w:val="005256B7"/>
    <w:rsid w:val="005258BE"/>
    <w:rsid w:val="00525AE9"/>
    <w:rsid w:val="00525EFD"/>
    <w:rsid w:val="00526034"/>
    <w:rsid w:val="005265D2"/>
    <w:rsid w:val="0052672D"/>
    <w:rsid w:val="00526825"/>
    <w:rsid w:val="00526ADC"/>
    <w:rsid w:val="00526DC1"/>
    <w:rsid w:val="005271A5"/>
    <w:rsid w:val="00527721"/>
    <w:rsid w:val="0053051D"/>
    <w:rsid w:val="00530A94"/>
    <w:rsid w:val="00530A96"/>
    <w:rsid w:val="00531869"/>
    <w:rsid w:val="00532108"/>
    <w:rsid w:val="0053390B"/>
    <w:rsid w:val="005339DC"/>
    <w:rsid w:val="00533D80"/>
    <w:rsid w:val="00534590"/>
    <w:rsid w:val="00535628"/>
    <w:rsid w:val="0053621D"/>
    <w:rsid w:val="00536FFA"/>
    <w:rsid w:val="005378ED"/>
    <w:rsid w:val="00540B28"/>
    <w:rsid w:val="0054138C"/>
    <w:rsid w:val="005415D9"/>
    <w:rsid w:val="00541655"/>
    <w:rsid w:val="00542876"/>
    <w:rsid w:val="005429AF"/>
    <w:rsid w:val="005432B2"/>
    <w:rsid w:val="005446B8"/>
    <w:rsid w:val="00545219"/>
    <w:rsid w:val="00545FAC"/>
    <w:rsid w:val="00546171"/>
    <w:rsid w:val="00546F82"/>
    <w:rsid w:val="005475A1"/>
    <w:rsid w:val="005475D7"/>
    <w:rsid w:val="00547635"/>
    <w:rsid w:val="0054797B"/>
    <w:rsid w:val="00547EB5"/>
    <w:rsid w:val="0055037B"/>
    <w:rsid w:val="00551D84"/>
    <w:rsid w:val="005523B6"/>
    <w:rsid w:val="00552550"/>
    <w:rsid w:val="0055278D"/>
    <w:rsid w:val="005531D7"/>
    <w:rsid w:val="0055333C"/>
    <w:rsid w:val="00553D50"/>
    <w:rsid w:val="00555494"/>
    <w:rsid w:val="005558BA"/>
    <w:rsid w:val="005558E9"/>
    <w:rsid w:val="00556D58"/>
    <w:rsid w:val="0055722C"/>
    <w:rsid w:val="00560136"/>
    <w:rsid w:val="005606B1"/>
    <w:rsid w:val="00561C0D"/>
    <w:rsid w:val="005623A6"/>
    <w:rsid w:val="00562EE0"/>
    <w:rsid w:val="0056469B"/>
    <w:rsid w:val="00564C12"/>
    <w:rsid w:val="005651A5"/>
    <w:rsid w:val="0056554A"/>
    <w:rsid w:val="00565CD3"/>
    <w:rsid w:val="0056625D"/>
    <w:rsid w:val="00566675"/>
    <w:rsid w:val="00567923"/>
    <w:rsid w:val="00567B3F"/>
    <w:rsid w:val="00567F14"/>
    <w:rsid w:val="00570F4A"/>
    <w:rsid w:val="0057105E"/>
    <w:rsid w:val="005714EF"/>
    <w:rsid w:val="005724CD"/>
    <w:rsid w:val="005728D0"/>
    <w:rsid w:val="00572EF4"/>
    <w:rsid w:val="00575191"/>
    <w:rsid w:val="005769A4"/>
    <w:rsid w:val="00577AB1"/>
    <w:rsid w:val="00577BE6"/>
    <w:rsid w:val="00577D25"/>
    <w:rsid w:val="005804C9"/>
    <w:rsid w:val="00580B39"/>
    <w:rsid w:val="00580E5B"/>
    <w:rsid w:val="00580EE9"/>
    <w:rsid w:val="005816DB"/>
    <w:rsid w:val="005828C0"/>
    <w:rsid w:val="00582D37"/>
    <w:rsid w:val="005830CF"/>
    <w:rsid w:val="005830FC"/>
    <w:rsid w:val="0058387B"/>
    <w:rsid w:val="00583E1F"/>
    <w:rsid w:val="0058475D"/>
    <w:rsid w:val="00585C79"/>
    <w:rsid w:val="00585CA8"/>
    <w:rsid w:val="00585F0D"/>
    <w:rsid w:val="00586D6E"/>
    <w:rsid w:val="00587BF0"/>
    <w:rsid w:val="00590132"/>
    <w:rsid w:val="00590F0D"/>
    <w:rsid w:val="005911D2"/>
    <w:rsid w:val="00592435"/>
    <w:rsid w:val="0059327C"/>
    <w:rsid w:val="005933F0"/>
    <w:rsid w:val="00593A61"/>
    <w:rsid w:val="00593A89"/>
    <w:rsid w:val="00593CAF"/>
    <w:rsid w:val="00593FBA"/>
    <w:rsid w:val="005944DA"/>
    <w:rsid w:val="005945CC"/>
    <w:rsid w:val="00594900"/>
    <w:rsid w:val="00594904"/>
    <w:rsid w:val="005949B7"/>
    <w:rsid w:val="00595404"/>
    <w:rsid w:val="00595CDB"/>
    <w:rsid w:val="005969A8"/>
    <w:rsid w:val="00596CF6"/>
    <w:rsid w:val="005A0955"/>
    <w:rsid w:val="005A100A"/>
    <w:rsid w:val="005A1193"/>
    <w:rsid w:val="005A154E"/>
    <w:rsid w:val="005A1FA7"/>
    <w:rsid w:val="005A22B3"/>
    <w:rsid w:val="005A2B6E"/>
    <w:rsid w:val="005A2F51"/>
    <w:rsid w:val="005A3189"/>
    <w:rsid w:val="005A362D"/>
    <w:rsid w:val="005A3CD2"/>
    <w:rsid w:val="005A53D4"/>
    <w:rsid w:val="005A5BD1"/>
    <w:rsid w:val="005A74DE"/>
    <w:rsid w:val="005A75D9"/>
    <w:rsid w:val="005B070B"/>
    <w:rsid w:val="005B08D9"/>
    <w:rsid w:val="005B2F1F"/>
    <w:rsid w:val="005B42C6"/>
    <w:rsid w:val="005B4C26"/>
    <w:rsid w:val="005B52A9"/>
    <w:rsid w:val="005B6391"/>
    <w:rsid w:val="005B6606"/>
    <w:rsid w:val="005B6E4B"/>
    <w:rsid w:val="005B76EE"/>
    <w:rsid w:val="005B7C5D"/>
    <w:rsid w:val="005C1461"/>
    <w:rsid w:val="005C1BD2"/>
    <w:rsid w:val="005C1BE1"/>
    <w:rsid w:val="005C2A2C"/>
    <w:rsid w:val="005C2C2F"/>
    <w:rsid w:val="005C3804"/>
    <w:rsid w:val="005C414D"/>
    <w:rsid w:val="005C4636"/>
    <w:rsid w:val="005C50E0"/>
    <w:rsid w:val="005C5DE4"/>
    <w:rsid w:val="005C6B35"/>
    <w:rsid w:val="005C6EE5"/>
    <w:rsid w:val="005D09CB"/>
    <w:rsid w:val="005D190A"/>
    <w:rsid w:val="005D19EB"/>
    <w:rsid w:val="005D1D82"/>
    <w:rsid w:val="005D1E25"/>
    <w:rsid w:val="005D3413"/>
    <w:rsid w:val="005D4031"/>
    <w:rsid w:val="005D4F60"/>
    <w:rsid w:val="005D5CE1"/>
    <w:rsid w:val="005D6233"/>
    <w:rsid w:val="005D701C"/>
    <w:rsid w:val="005D799D"/>
    <w:rsid w:val="005E15F1"/>
    <w:rsid w:val="005E1884"/>
    <w:rsid w:val="005E22B2"/>
    <w:rsid w:val="005E2BF2"/>
    <w:rsid w:val="005E2D9E"/>
    <w:rsid w:val="005E3543"/>
    <w:rsid w:val="005E3D20"/>
    <w:rsid w:val="005E45C2"/>
    <w:rsid w:val="005E4E7C"/>
    <w:rsid w:val="005E5959"/>
    <w:rsid w:val="005E5A48"/>
    <w:rsid w:val="005E6385"/>
    <w:rsid w:val="005E69B7"/>
    <w:rsid w:val="005E78EA"/>
    <w:rsid w:val="005F037E"/>
    <w:rsid w:val="005F0C11"/>
    <w:rsid w:val="005F116C"/>
    <w:rsid w:val="005F1489"/>
    <w:rsid w:val="005F28D5"/>
    <w:rsid w:val="005F2A6D"/>
    <w:rsid w:val="005F2DB6"/>
    <w:rsid w:val="005F3833"/>
    <w:rsid w:val="005F40AA"/>
    <w:rsid w:val="005F4AC9"/>
    <w:rsid w:val="005F57B5"/>
    <w:rsid w:val="005F7940"/>
    <w:rsid w:val="005F7C97"/>
    <w:rsid w:val="005F7F85"/>
    <w:rsid w:val="00600019"/>
    <w:rsid w:val="00600682"/>
    <w:rsid w:val="00601455"/>
    <w:rsid w:val="00601B73"/>
    <w:rsid w:val="00602E43"/>
    <w:rsid w:val="00602F8E"/>
    <w:rsid w:val="006042B0"/>
    <w:rsid w:val="00604B76"/>
    <w:rsid w:val="00605417"/>
    <w:rsid w:val="006055EA"/>
    <w:rsid w:val="00606718"/>
    <w:rsid w:val="006067FE"/>
    <w:rsid w:val="006072E4"/>
    <w:rsid w:val="006117BD"/>
    <w:rsid w:val="006117D9"/>
    <w:rsid w:val="0061193B"/>
    <w:rsid w:val="006122EB"/>
    <w:rsid w:val="00612401"/>
    <w:rsid w:val="00613349"/>
    <w:rsid w:val="006133C3"/>
    <w:rsid w:val="00613593"/>
    <w:rsid w:val="006135C7"/>
    <w:rsid w:val="006140BA"/>
    <w:rsid w:val="006143AB"/>
    <w:rsid w:val="00615F99"/>
    <w:rsid w:val="00616A76"/>
    <w:rsid w:val="00616CCA"/>
    <w:rsid w:val="00616CFA"/>
    <w:rsid w:val="00617AED"/>
    <w:rsid w:val="00620A3F"/>
    <w:rsid w:val="00620B6E"/>
    <w:rsid w:val="00620E11"/>
    <w:rsid w:val="006214CA"/>
    <w:rsid w:val="00621AD0"/>
    <w:rsid w:val="00621CE4"/>
    <w:rsid w:val="00621D49"/>
    <w:rsid w:val="00621FF6"/>
    <w:rsid w:val="00623061"/>
    <w:rsid w:val="006230DB"/>
    <w:rsid w:val="00623601"/>
    <w:rsid w:val="0062379E"/>
    <w:rsid w:val="00623B5E"/>
    <w:rsid w:val="00624EAD"/>
    <w:rsid w:val="00625BC1"/>
    <w:rsid w:val="00626234"/>
    <w:rsid w:val="0062739D"/>
    <w:rsid w:val="0062752D"/>
    <w:rsid w:val="006277C9"/>
    <w:rsid w:val="00627F8B"/>
    <w:rsid w:val="00630115"/>
    <w:rsid w:val="00630A24"/>
    <w:rsid w:val="00631773"/>
    <w:rsid w:val="00632397"/>
    <w:rsid w:val="00632D3C"/>
    <w:rsid w:val="006331F4"/>
    <w:rsid w:val="00633463"/>
    <w:rsid w:val="006344FB"/>
    <w:rsid w:val="00634963"/>
    <w:rsid w:val="006364C8"/>
    <w:rsid w:val="00636D1E"/>
    <w:rsid w:val="00636FD8"/>
    <w:rsid w:val="0063747C"/>
    <w:rsid w:val="00637F29"/>
    <w:rsid w:val="00641E8B"/>
    <w:rsid w:val="006420B2"/>
    <w:rsid w:val="006425B0"/>
    <w:rsid w:val="00642763"/>
    <w:rsid w:val="00643010"/>
    <w:rsid w:val="0064360C"/>
    <w:rsid w:val="006451B4"/>
    <w:rsid w:val="0064536A"/>
    <w:rsid w:val="006454D7"/>
    <w:rsid w:val="006458FE"/>
    <w:rsid w:val="00646132"/>
    <w:rsid w:val="00646577"/>
    <w:rsid w:val="006465CD"/>
    <w:rsid w:val="00646607"/>
    <w:rsid w:val="00646736"/>
    <w:rsid w:val="00646DB6"/>
    <w:rsid w:val="00647468"/>
    <w:rsid w:val="0064757C"/>
    <w:rsid w:val="00650568"/>
    <w:rsid w:val="00650E5A"/>
    <w:rsid w:val="00651F2B"/>
    <w:rsid w:val="00652B29"/>
    <w:rsid w:val="00652B42"/>
    <w:rsid w:val="006541D3"/>
    <w:rsid w:val="00654972"/>
    <w:rsid w:val="00655426"/>
    <w:rsid w:val="0065699F"/>
    <w:rsid w:val="00657C75"/>
    <w:rsid w:val="006601AC"/>
    <w:rsid w:val="00660BBE"/>
    <w:rsid w:val="00661B5B"/>
    <w:rsid w:val="00662510"/>
    <w:rsid w:val="00662D8D"/>
    <w:rsid w:val="00662EB8"/>
    <w:rsid w:val="00663A27"/>
    <w:rsid w:val="00663C7C"/>
    <w:rsid w:val="00664BB5"/>
    <w:rsid w:val="00665B3F"/>
    <w:rsid w:val="00665D11"/>
    <w:rsid w:val="00665DBF"/>
    <w:rsid w:val="00666661"/>
    <w:rsid w:val="006666EB"/>
    <w:rsid w:val="006676AA"/>
    <w:rsid w:val="00670B80"/>
    <w:rsid w:val="00672D60"/>
    <w:rsid w:val="0067333E"/>
    <w:rsid w:val="00673A3B"/>
    <w:rsid w:val="00674FC2"/>
    <w:rsid w:val="006753A4"/>
    <w:rsid w:val="0067570D"/>
    <w:rsid w:val="006762F7"/>
    <w:rsid w:val="00676AC6"/>
    <w:rsid w:val="00677112"/>
    <w:rsid w:val="00677704"/>
    <w:rsid w:val="00680998"/>
    <w:rsid w:val="006809F6"/>
    <w:rsid w:val="00680F6F"/>
    <w:rsid w:val="00681296"/>
    <w:rsid w:val="0068145C"/>
    <w:rsid w:val="0068215E"/>
    <w:rsid w:val="00682654"/>
    <w:rsid w:val="00682A41"/>
    <w:rsid w:val="00683F1D"/>
    <w:rsid w:val="00684C4F"/>
    <w:rsid w:val="00684E6B"/>
    <w:rsid w:val="0068563C"/>
    <w:rsid w:val="006860D0"/>
    <w:rsid w:val="00686418"/>
    <w:rsid w:val="00686CBC"/>
    <w:rsid w:val="00686D4E"/>
    <w:rsid w:val="00686D9D"/>
    <w:rsid w:val="006876FD"/>
    <w:rsid w:val="00687D3B"/>
    <w:rsid w:val="00687DCC"/>
    <w:rsid w:val="00692E14"/>
    <w:rsid w:val="00694994"/>
    <w:rsid w:val="00695E66"/>
    <w:rsid w:val="0069625D"/>
    <w:rsid w:val="006962F7"/>
    <w:rsid w:val="00696430"/>
    <w:rsid w:val="006966BE"/>
    <w:rsid w:val="0069689E"/>
    <w:rsid w:val="006A0BB2"/>
    <w:rsid w:val="006A1575"/>
    <w:rsid w:val="006A214C"/>
    <w:rsid w:val="006A2F59"/>
    <w:rsid w:val="006A3D80"/>
    <w:rsid w:val="006A45DC"/>
    <w:rsid w:val="006A569F"/>
    <w:rsid w:val="006A5873"/>
    <w:rsid w:val="006A5B4B"/>
    <w:rsid w:val="006A60A4"/>
    <w:rsid w:val="006A7707"/>
    <w:rsid w:val="006B0CC4"/>
    <w:rsid w:val="006B0F89"/>
    <w:rsid w:val="006B198E"/>
    <w:rsid w:val="006B1E9F"/>
    <w:rsid w:val="006B2785"/>
    <w:rsid w:val="006B3482"/>
    <w:rsid w:val="006B42EA"/>
    <w:rsid w:val="006B493A"/>
    <w:rsid w:val="006B52C3"/>
    <w:rsid w:val="006B5D43"/>
    <w:rsid w:val="006B6CE5"/>
    <w:rsid w:val="006B7C21"/>
    <w:rsid w:val="006C038C"/>
    <w:rsid w:val="006C225F"/>
    <w:rsid w:val="006C2380"/>
    <w:rsid w:val="006C2AF1"/>
    <w:rsid w:val="006C396A"/>
    <w:rsid w:val="006C4A8B"/>
    <w:rsid w:val="006C60AB"/>
    <w:rsid w:val="006C731D"/>
    <w:rsid w:val="006C7A3D"/>
    <w:rsid w:val="006D06F3"/>
    <w:rsid w:val="006D0F5F"/>
    <w:rsid w:val="006D17E5"/>
    <w:rsid w:val="006D2406"/>
    <w:rsid w:val="006D2F5C"/>
    <w:rsid w:val="006D3256"/>
    <w:rsid w:val="006D427E"/>
    <w:rsid w:val="006D4FA1"/>
    <w:rsid w:val="006D5C75"/>
    <w:rsid w:val="006D67BA"/>
    <w:rsid w:val="006D745C"/>
    <w:rsid w:val="006E03C8"/>
    <w:rsid w:val="006E30C1"/>
    <w:rsid w:val="006E34CC"/>
    <w:rsid w:val="006E4694"/>
    <w:rsid w:val="006E4F3E"/>
    <w:rsid w:val="006E5BF5"/>
    <w:rsid w:val="006E62A4"/>
    <w:rsid w:val="006E649C"/>
    <w:rsid w:val="006E6614"/>
    <w:rsid w:val="006E6E4C"/>
    <w:rsid w:val="006E70C7"/>
    <w:rsid w:val="006E71C4"/>
    <w:rsid w:val="006E79BD"/>
    <w:rsid w:val="006F0561"/>
    <w:rsid w:val="006F22CF"/>
    <w:rsid w:val="006F2362"/>
    <w:rsid w:val="006F2E87"/>
    <w:rsid w:val="006F3343"/>
    <w:rsid w:val="006F45D4"/>
    <w:rsid w:val="006F4F93"/>
    <w:rsid w:val="006F5774"/>
    <w:rsid w:val="006F5CA8"/>
    <w:rsid w:val="006F5EBB"/>
    <w:rsid w:val="006F70A2"/>
    <w:rsid w:val="006F724E"/>
    <w:rsid w:val="006F794C"/>
    <w:rsid w:val="00702F0B"/>
    <w:rsid w:val="00702F82"/>
    <w:rsid w:val="007044D9"/>
    <w:rsid w:val="0070473A"/>
    <w:rsid w:val="00704FB8"/>
    <w:rsid w:val="00705388"/>
    <w:rsid w:val="0070551E"/>
    <w:rsid w:val="00705BBF"/>
    <w:rsid w:val="00705EAC"/>
    <w:rsid w:val="007060EB"/>
    <w:rsid w:val="00707C0B"/>
    <w:rsid w:val="00710DDC"/>
    <w:rsid w:val="007114B5"/>
    <w:rsid w:val="00711CB5"/>
    <w:rsid w:val="00711D87"/>
    <w:rsid w:val="00712218"/>
    <w:rsid w:val="00713094"/>
    <w:rsid w:val="00713C43"/>
    <w:rsid w:val="007140D3"/>
    <w:rsid w:val="00714A8A"/>
    <w:rsid w:val="00715E63"/>
    <w:rsid w:val="007161D9"/>
    <w:rsid w:val="00716450"/>
    <w:rsid w:val="007167B0"/>
    <w:rsid w:val="00717468"/>
    <w:rsid w:val="00720124"/>
    <w:rsid w:val="0072178B"/>
    <w:rsid w:val="007227AF"/>
    <w:rsid w:val="0072432F"/>
    <w:rsid w:val="007248A2"/>
    <w:rsid w:val="00724E15"/>
    <w:rsid w:val="00727128"/>
    <w:rsid w:val="00727677"/>
    <w:rsid w:val="00730535"/>
    <w:rsid w:val="007307F8"/>
    <w:rsid w:val="00730D44"/>
    <w:rsid w:val="007312BA"/>
    <w:rsid w:val="007328BF"/>
    <w:rsid w:val="00733323"/>
    <w:rsid w:val="007334C5"/>
    <w:rsid w:val="007334CF"/>
    <w:rsid w:val="00734E44"/>
    <w:rsid w:val="00736FDE"/>
    <w:rsid w:val="00737937"/>
    <w:rsid w:val="00740511"/>
    <w:rsid w:val="007408F8"/>
    <w:rsid w:val="0074115D"/>
    <w:rsid w:val="007419D1"/>
    <w:rsid w:val="007424C8"/>
    <w:rsid w:val="0074300F"/>
    <w:rsid w:val="00743425"/>
    <w:rsid w:val="00743B5B"/>
    <w:rsid w:val="00743F17"/>
    <w:rsid w:val="007447AC"/>
    <w:rsid w:val="0074690A"/>
    <w:rsid w:val="0074799C"/>
    <w:rsid w:val="00750A3C"/>
    <w:rsid w:val="00750B57"/>
    <w:rsid w:val="00752F66"/>
    <w:rsid w:val="00753494"/>
    <w:rsid w:val="00755455"/>
    <w:rsid w:val="00755A55"/>
    <w:rsid w:val="00756EE0"/>
    <w:rsid w:val="007574A9"/>
    <w:rsid w:val="0075797A"/>
    <w:rsid w:val="00760C71"/>
    <w:rsid w:val="00761161"/>
    <w:rsid w:val="007620BF"/>
    <w:rsid w:val="007625FA"/>
    <w:rsid w:val="00762D7D"/>
    <w:rsid w:val="00762ECE"/>
    <w:rsid w:val="007631AE"/>
    <w:rsid w:val="0076346F"/>
    <w:rsid w:val="00766513"/>
    <w:rsid w:val="00766D34"/>
    <w:rsid w:val="0076760A"/>
    <w:rsid w:val="00767A58"/>
    <w:rsid w:val="007700FB"/>
    <w:rsid w:val="007702C1"/>
    <w:rsid w:val="00771BE6"/>
    <w:rsid w:val="00771CE9"/>
    <w:rsid w:val="007756BA"/>
    <w:rsid w:val="007757EE"/>
    <w:rsid w:val="007764E3"/>
    <w:rsid w:val="00777386"/>
    <w:rsid w:val="00777B03"/>
    <w:rsid w:val="00777B24"/>
    <w:rsid w:val="00780060"/>
    <w:rsid w:val="007802B1"/>
    <w:rsid w:val="007802D8"/>
    <w:rsid w:val="007804CD"/>
    <w:rsid w:val="007814BA"/>
    <w:rsid w:val="00781A4B"/>
    <w:rsid w:val="00781F10"/>
    <w:rsid w:val="00782FE6"/>
    <w:rsid w:val="007830B7"/>
    <w:rsid w:val="0078446D"/>
    <w:rsid w:val="007850D3"/>
    <w:rsid w:val="00786B1E"/>
    <w:rsid w:val="00787A3E"/>
    <w:rsid w:val="007900F9"/>
    <w:rsid w:val="007905BA"/>
    <w:rsid w:val="007908EB"/>
    <w:rsid w:val="00790E0C"/>
    <w:rsid w:val="00791B0C"/>
    <w:rsid w:val="00791BFE"/>
    <w:rsid w:val="00792CED"/>
    <w:rsid w:val="00793217"/>
    <w:rsid w:val="0079458A"/>
    <w:rsid w:val="00794D39"/>
    <w:rsid w:val="00794E58"/>
    <w:rsid w:val="007955B3"/>
    <w:rsid w:val="0079593E"/>
    <w:rsid w:val="00796052"/>
    <w:rsid w:val="00796737"/>
    <w:rsid w:val="007A0DF6"/>
    <w:rsid w:val="007A26DA"/>
    <w:rsid w:val="007A279D"/>
    <w:rsid w:val="007A2E53"/>
    <w:rsid w:val="007A34E0"/>
    <w:rsid w:val="007A396C"/>
    <w:rsid w:val="007A411D"/>
    <w:rsid w:val="007A4850"/>
    <w:rsid w:val="007A5755"/>
    <w:rsid w:val="007A6B17"/>
    <w:rsid w:val="007A7DBD"/>
    <w:rsid w:val="007A7F64"/>
    <w:rsid w:val="007A7FAB"/>
    <w:rsid w:val="007B1592"/>
    <w:rsid w:val="007B22D7"/>
    <w:rsid w:val="007B2C32"/>
    <w:rsid w:val="007B35BB"/>
    <w:rsid w:val="007B4855"/>
    <w:rsid w:val="007B4DAE"/>
    <w:rsid w:val="007B514F"/>
    <w:rsid w:val="007B5787"/>
    <w:rsid w:val="007B611D"/>
    <w:rsid w:val="007B6132"/>
    <w:rsid w:val="007B646F"/>
    <w:rsid w:val="007B658F"/>
    <w:rsid w:val="007B6B6E"/>
    <w:rsid w:val="007B7698"/>
    <w:rsid w:val="007B7B37"/>
    <w:rsid w:val="007B7F72"/>
    <w:rsid w:val="007C037D"/>
    <w:rsid w:val="007C0EB9"/>
    <w:rsid w:val="007C1133"/>
    <w:rsid w:val="007C2583"/>
    <w:rsid w:val="007C27F4"/>
    <w:rsid w:val="007C2A86"/>
    <w:rsid w:val="007C2FEF"/>
    <w:rsid w:val="007C4D8E"/>
    <w:rsid w:val="007C53C6"/>
    <w:rsid w:val="007C5B71"/>
    <w:rsid w:val="007C5EF7"/>
    <w:rsid w:val="007C614E"/>
    <w:rsid w:val="007C673C"/>
    <w:rsid w:val="007C78EE"/>
    <w:rsid w:val="007C7B08"/>
    <w:rsid w:val="007C7CE1"/>
    <w:rsid w:val="007D0542"/>
    <w:rsid w:val="007D07B3"/>
    <w:rsid w:val="007D0A8C"/>
    <w:rsid w:val="007D1F3E"/>
    <w:rsid w:val="007D2039"/>
    <w:rsid w:val="007D2791"/>
    <w:rsid w:val="007D34A4"/>
    <w:rsid w:val="007D504F"/>
    <w:rsid w:val="007D59EC"/>
    <w:rsid w:val="007D5D1A"/>
    <w:rsid w:val="007D6BAF"/>
    <w:rsid w:val="007D6E14"/>
    <w:rsid w:val="007D6E9E"/>
    <w:rsid w:val="007D75D2"/>
    <w:rsid w:val="007D768F"/>
    <w:rsid w:val="007E0C53"/>
    <w:rsid w:val="007E1326"/>
    <w:rsid w:val="007E15F9"/>
    <w:rsid w:val="007E193D"/>
    <w:rsid w:val="007E3DE1"/>
    <w:rsid w:val="007E42CE"/>
    <w:rsid w:val="007E441E"/>
    <w:rsid w:val="007E594A"/>
    <w:rsid w:val="007E67D9"/>
    <w:rsid w:val="007E6E11"/>
    <w:rsid w:val="007E7805"/>
    <w:rsid w:val="007E7908"/>
    <w:rsid w:val="007E7BEB"/>
    <w:rsid w:val="007F1A5C"/>
    <w:rsid w:val="007F1DDC"/>
    <w:rsid w:val="007F3415"/>
    <w:rsid w:val="007F3496"/>
    <w:rsid w:val="007F65A2"/>
    <w:rsid w:val="007F7068"/>
    <w:rsid w:val="007F746D"/>
    <w:rsid w:val="007F7DE1"/>
    <w:rsid w:val="007F7E70"/>
    <w:rsid w:val="00800257"/>
    <w:rsid w:val="00802418"/>
    <w:rsid w:val="008024A0"/>
    <w:rsid w:val="00802542"/>
    <w:rsid w:val="00802AF5"/>
    <w:rsid w:val="00802FF4"/>
    <w:rsid w:val="00803680"/>
    <w:rsid w:val="00804B35"/>
    <w:rsid w:val="00804CD1"/>
    <w:rsid w:val="00804F71"/>
    <w:rsid w:val="00805330"/>
    <w:rsid w:val="00806162"/>
    <w:rsid w:val="00806235"/>
    <w:rsid w:val="00807120"/>
    <w:rsid w:val="008072AC"/>
    <w:rsid w:val="00807BEB"/>
    <w:rsid w:val="00807C34"/>
    <w:rsid w:val="008105E9"/>
    <w:rsid w:val="008106A9"/>
    <w:rsid w:val="0081088C"/>
    <w:rsid w:val="008108AC"/>
    <w:rsid w:val="00810964"/>
    <w:rsid w:val="00810F03"/>
    <w:rsid w:val="00811477"/>
    <w:rsid w:val="00811878"/>
    <w:rsid w:val="00811D12"/>
    <w:rsid w:val="00812183"/>
    <w:rsid w:val="008126B9"/>
    <w:rsid w:val="00812990"/>
    <w:rsid w:val="00813115"/>
    <w:rsid w:val="0081377E"/>
    <w:rsid w:val="00814277"/>
    <w:rsid w:val="0081503E"/>
    <w:rsid w:val="00815D26"/>
    <w:rsid w:val="0081631B"/>
    <w:rsid w:val="00816810"/>
    <w:rsid w:val="008168D3"/>
    <w:rsid w:val="00816ACE"/>
    <w:rsid w:val="00816C79"/>
    <w:rsid w:val="00817960"/>
    <w:rsid w:val="008202D8"/>
    <w:rsid w:val="00821DE4"/>
    <w:rsid w:val="00822A32"/>
    <w:rsid w:val="00822ABC"/>
    <w:rsid w:val="00822B12"/>
    <w:rsid w:val="0082334B"/>
    <w:rsid w:val="00824017"/>
    <w:rsid w:val="008245A1"/>
    <w:rsid w:val="00824AC8"/>
    <w:rsid w:val="00825330"/>
    <w:rsid w:val="00826081"/>
    <w:rsid w:val="008266D2"/>
    <w:rsid w:val="00826E55"/>
    <w:rsid w:val="00827655"/>
    <w:rsid w:val="0083005B"/>
    <w:rsid w:val="00830D09"/>
    <w:rsid w:val="00830F8E"/>
    <w:rsid w:val="008311F8"/>
    <w:rsid w:val="0083137F"/>
    <w:rsid w:val="00831A11"/>
    <w:rsid w:val="0083205D"/>
    <w:rsid w:val="00833852"/>
    <w:rsid w:val="008340F9"/>
    <w:rsid w:val="008351CA"/>
    <w:rsid w:val="00836185"/>
    <w:rsid w:val="00836A77"/>
    <w:rsid w:val="00837981"/>
    <w:rsid w:val="00840435"/>
    <w:rsid w:val="00840DAB"/>
    <w:rsid w:val="008410A8"/>
    <w:rsid w:val="0084142D"/>
    <w:rsid w:val="00841D69"/>
    <w:rsid w:val="008422F7"/>
    <w:rsid w:val="008431A7"/>
    <w:rsid w:val="00844272"/>
    <w:rsid w:val="00845022"/>
    <w:rsid w:val="0084512B"/>
    <w:rsid w:val="00845E67"/>
    <w:rsid w:val="00846014"/>
    <w:rsid w:val="00846C11"/>
    <w:rsid w:val="0085071E"/>
    <w:rsid w:val="00850B1D"/>
    <w:rsid w:val="00850FC5"/>
    <w:rsid w:val="0085107A"/>
    <w:rsid w:val="00852A00"/>
    <w:rsid w:val="00852AC2"/>
    <w:rsid w:val="008539DA"/>
    <w:rsid w:val="008542D8"/>
    <w:rsid w:val="008545EE"/>
    <w:rsid w:val="0085490F"/>
    <w:rsid w:val="0085545A"/>
    <w:rsid w:val="008554EE"/>
    <w:rsid w:val="00855763"/>
    <w:rsid w:val="00856481"/>
    <w:rsid w:val="0085677D"/>
    <w:rsid w:val="008569DC"/>
    <w:rsid w:val="00856A31"/>
    <w:rsid w:val="00856D75"/>
    <w:rsid w:val="008575B8"/>
    <w:rsid w:val="008575D5"/>
    <w:rsid w:val="00857BD2"/>
    <w:rsid w:val="00861092"/>
    <w:rsid w:val="008614C9"/>
    <w:rsid w:val="008620DA"/>
    <w:rsid w:val="0086253D"/>
    <w:rsid w:val="0086460F"/>
    <w:rsid w:val="0086515C"/>
    <w:rsid w:val="008656CE"/>
    <w:rsid w:val="00865DAA"/>
    <w:rsid w:val="00866956"/>
    <w:rsid w:val="00867628"/>
    <w:rsid w:val="00867B6C"/>
    <w:rsid w:val="0087013B"/>
    <w:rsid w:val="008702E4"/>
    <w:rsid w:val="00870480"/>
    <w:rsid w:val="00870749"/>
    <w:rsid w:val="008713CB"/>
    <w:rsid w:val="008718A7"/>
    <w:rsid w:val="008726D3"/>
    <w:rsid w:val="00872D4C"/>
    <w:rsid w:val="0087341D"/>
    <w:rsid w:val="00874086"/>
    <w:rsid w:val="0087597D"/>
    <w:rsid w:val="008762C6"/>
    <w:rsid w:val="00876428"/>
    <w:rsid w:val="008769E6"/>
    <w:rsid w:val="00876A14"/>
    <w:rsid w:val="00877435"/>
    <w:rsid w:val="008777BC"/>
    <w:rsid w:val="00877CE2"/>
    <w:rsid w:val="00877EBE"/>
    <w:rsid w:val="0088000E"/>
    <w:rsid w:val="00881E05"/>
    <w:rsid w:val="0088247A"/>
    <w:rsid w:val="008836FE"/>
    <w:rsid w:val="0088373D"/>
    <w:rsid w:val="00883CC9"/>
    <w:rsid w:val="00883F7D"/>
    <w:rsid w:val="008846EF"/>
    <w:rsid w:val="00885755"/>
    <w:rsid w:val="00885ED7"/>
    <w:rsid w:val="00886601"/>
    <w:rsid w:val="00886C45"/>
    <w:rsid w:val="008876B8"/>
    <w:rsid w:val="0089074B"/>
    <w:rsid w:val="00891EF8"/>
    <w:rsid w:val="008922FB"/>
    <w:rsid w:val="00893C3F"/>
    <w:rsid w:val="00893FCF"/>
    <w:rsid w:val="0089493E"/>
    <w:rsid w:val="00894E9A"/>
    <w:rsid w:val="00894F44"/>
    <w:rsid w:val="008954F7"/>
    <w:rsid w:val="008957F8"/>
    <w:rsid w:val="008969BE"/>
    <w:rsid w:val="00896C28"/>
    <w:rsid w:val="008A0102"/>
    <w:rsid w:val="008A08D8"/>
    <w:rsid w:val="008A22CD"/>
    <w:rsid w:val="008A2E83"/>
    <w:rsid w:val="008A2FC2"/>
    <w:rsid w:val="008A3105"/>
    <w:rsid w:val="008A3E10"/>
    <w:rsid w:val="008A455F"/>
    <w:rsid w:val="008A50BF"/>
    <w:rsid w:val="008A6063"/>
    <w:rsid w:val="008A652C"/>
    <w:rsid w:val="008A6AC1"/>
    <w:rsid w:val="008A751A"/>
    <w:rsid w:val="008B013F"/>
    <w:rsid w:val="008B0E9A"/>
    <w:rsid w:val="008B15BF"/>
    <w:rsid w:val="008B172A"/>
    <w:rsid w:val="008B20FC"/>
    <w:rsid w:val="008B3542"/>
    <w:rsid w:val="008B42BD"/>
    <w:rsid w:val="008B45AE"/>
    <w:rsid w:val="008B4B7F"/>
    <w:rsid w:val="008B4FE6"/>
    <w:rsid w:val="008B6731"/>
    <w:rsid w:val="008B67D2"/>
    <w:rsid w:val="008B6A4B"/>
    <w:rsid w:val="008B6C06"/>
    <w:rsid w:val="008B75AB"/>
    <w:rsid w:val="008B798A"/>
    <w:rsid w:val="008B7CA3"/>
    <w:rsid w:val="008C079C"/>
    <w:rsid w:val="008C09F1"/>
    <w:rsid w:val="008C1171"/>
    <w:rsid w:val="008C1593"/>
    <w:rsid w:val="008C2C50"/>
    <w:rsid w:val="008C328D"/>
    <w:rsid w:val="008C35BB"/>
    <w:rsid w:val="008C3C75"/>
    <w:rsid w:val="008C4845"/>
    <w:rsid w:val="008C5031"/>
    <w:rsid w:val="008C6146"/>
    <w:rsid w:val="008C6646"/>
    <w:rsid w:val="008C67BC"/>
    <w:rsid w:val="008C6A2F"/>
    <w:rsid w:val="008D04A5"/>
    <w:rsid w:val="008D072F"/>
    <w:rsid w:val="008D0C13"/>
    <w:rsid w:val="008D20D8"/>
    <w:rsid w:val="008D2848"/>
    <w:rsid w:val="008D323B"/>
    <w:rsid w:val="008D3992"/>
    <w:rsid w:val="008D3E47"/>
    <w:rsid w:val="008D4AB7"/>
    <w:rsid w:val="008D4B50"/>
    <w:rsid w:val="008D5AFD"/>
    <w:rsid w:val="008D5C28"/>
    <w:rsid w:val="008D5DA8"/>
    <w:rsid w:val="008D5E8B"/>
    <w:rsid w:val="008D5F22"/>
    <w:rsid w:val="008D72BD"/>
    <w:rsid w:val="008D7D4E"/>
    <w:rsid w:val="008E10CC"/>
    <w:rsid w:val="008E2248"/>
    <w:rsid w:val="008E2A92"/>
    <w:rsid w:val="008E3964"/>
    <w:rsid w:val="008E3FCF"/>
    <w:rsid w:val="008E41CD"/>
    <w:rsid w:val="008E46A0"/>
    <w:rsid w:val="008E5B3E"/>
    <w:rsid w:val="008E6BCE"/>
    <w:rsid w:val="008E7793"/>
    <w:rsid w:val="008E7C81"/>
    <w:rsid w:val="008E7EE9"/>
    <w:rsid w:val="008F005B"/>
    <w:rsid w:val="008F054A"/>
    <w:rsid w:val="008F0D4C"/>
    <w:rsid w:val="008F0FFC"/>
    <w:rsid w:val="008F222F"/>
    <w:rsid w:val="008F27EF"/>
    <w:rsid w:val="008F48D2"/>
    <w:rsid w:val="008F52A7"/>
    <w:rsid w:val="008F556E"/>
    <w:rsid w:val="008F6551"/>
    <w:rsid w:val="008F6CC1"/>
    <w:rsid w:val="009016D1"/>
    <w:rsid w:val="00902595"/>
    <w:rsid w:val="00903674"/>
    <w:rsid w:val="00903843"/>
    <w:rsid w:val="0090473E"/>
    <w:rsid w:val="0090513E"/>
    <w:rsid w:val="00905202"/>
    <w:rsid w:val="009074C4"/>
    <w:rsid w:val="00907B15"/>
    <w:rsid w:val="00910A57"/>
    <w:rsid w:val="00910C55"/>
    <w:rsid w:val="00910CC7"/>
    <w:rsid w:val="009118ED"/>
    <w:rsid w:val="00912E64"/>
    <w:rsid w:val="00913453"/>
    <w:rsid w:val="00914907"/>
    <w:rsid w:val="0091502B"/>
    <w:rsid w:val="009153EE"/>
    <w:rsid w:val="00916AFD"/>
    <w:rsid w:val="00916F2E"/>
    <w:rsid w:val="00917BC0"/>
    <w:rsid w:val="00920003"/>
    <w:rsid w:val="009203DF"/>
    <w:rsid w:val="0092086F"/>
    <w:rsid w:val="00920C09"/>
    <w:rsid w:val="00921478"/>
    <w:rsid w:val="0092186F"/>
    <w:rsid w:val="00922303"/>
    <w:rsid w:val="009226C3"/>
    <w:rsid w:val="00923B3A"/>
    <w:rsid w:val="009244FE"/>
    <w:rsid w:val="0092643B"/>
    <w:rsid w:val="0092647D"/>
    <w:rsid w:val="00926886"/>
    <w:rsid w:val="00926DDE"/>
    <w:rsid w:val="009302AF"/>
    <w:rsid w:val="009309C5"/>
    <w:rsid w:val="009309CC"/>
    <w:rsid w:val="00931A2B"/>
    <w:rsid w:val="00931C32"/>
    <w:rsid w:val="00931E57"/>
    <w:rsid w:val="00932591"/>
    <w:rsid w:val="009329D7"/>
    <w:rsid w:val="00932B6B"/>
    <w:rsid w:val="009331DB"/>
    <w:rsid w:val="0093410E"/>
    <w:rsid w:val="0093517F"/>
    <w:rsid w:val="0093538E"/>
    <w:rsid w:val="009353ED"/>
    <w:rsid w:val="009354DB"/>
    <w:rsid w:val="00935D3B"/>
    <w:rsid w:val="00936743"/>
    <w:rsid w:val="0093681F"/>
    <w:rsid w:val="0093690E"/>
    <w:rsid w:val="0093706B"/>
    <w:rsid w:val="009402CE"/>
    <w:rsid w:val="00940B99"/>
    <w:rsid w:val="00940FAF"/>
    <w:rsid w:val="00942854"/>
    <w:rsid w:val="00942AF3"/>
    <w:rsid w:val="00943D78"/>
    <w:rsid w:val="009441FB"/>
    <w:rsid w:val="00944998"/>
    <w:rsid w:val="009452A2"/>
    <w:rsid w:val="00945334"/>
    <w:rsid w:val="009468A5"/>
    <w:rsid w:val="009470CB"/>
    <w:rsid w:val="00950BC7"/>
    <w:rsid w:val="00951F13"/>
    <w:rsid w:val="00952232"/>
    <w:rsid w:val="00952A0D"/>
    <w:rsid w:val="00952FCE"/>
    <w:rsid w:val="009548BB"/>
    <w:rsid w:val="00954DEF"/>
    <w:rsid w:val="00954FE9"/>
    <w:rsid w:val="00955304"/>
    <w:rsid w:val="009565DA"/>
    <w:rsid w:val="00957D67"/>
    <w:rsid w:val="009613E7"/>
    <w:rsid w:val="0096150B"/>
    <w:rsid w:val="00961D5D"/>
    <w:rsid w:val="009623EE"/>
    <w:rsid w:val="0096329F"/>
    <w:rsid w:val="0096367C"/>
    <w:rsid w:val="009638AE"/>
    <w:rsid w:val="009639BF"/>
    <w:rsid w:val="00963BF3"/>
    <w:rsid w:val="009652C6"/>
    <w:rsid w:val="00965590"/>
    <w:rsid w:val="0096568F"/>
    <w:rsid w:val="00965A49"/>
    <w:rsid w:val="00966756"/>
    <w:rsid w:val="0097026D"/>
    <w:rsid w:val="00970A8E"/>
    <w:rsid w:val="00970DCF"/>
    <w:rsid w:val="00970EC3"/>
    <w:rsid w:val="009713EA"/>
    <w:rsid w:val="009714B6"/>
    <w:rsid w:val="00971826"/>
    <w:rsid w:val="00972617"/>
    <w:rsid w:val="00972FDF"/>
    <w:rsid w:val="009734BF"/>
    <w:rsid w:val="00973B7A"/>
    <w:rsid w:val="009742D7"/>
    <w:rsid w:val="0097500E"/>
    <w:rsid w:val="0098109E"/>
    <w:rsid w:val="00981624"/>
    <w:rsid w:val="0098183C"/>
    <w:rsid w:val="00982BBC"/>
    <w:rsid w:val="00983858"/>
    <w:rsid w:val="00984800"/>
    <w:rsid w:val="00984879"/>
    <w:rsid w:val="00986EA4"/>
    <w:rsid w:val="009872E4"/>
    <w:rsid w:val="00987931"/>
    <w:rsid w:val="00990175"/>
    <w:rsid w:val="009908CD"/>
    <w:rsid w:val="00990FB1"/>
    <w:rsid w:val="009919A1"/>
    <w:rsid w:val="00991B92"/>
    <w:rsid w:val="00991C11"/>
    <w:rsid w:val="00993FA6"/>
    <w:rsid w:val="009945DB"/>
    <w:rsid w:val="009954B5"/>
    <w:rsid w:val="0099564B"/>
    <w:rsid w:val="00995792"/>
    <w:rsid w:val="009968E6"/>
    <w:rsid w:val="00996E48"/>
    <w:rsid w:val="00997C13"/>
    <w:rsid w:val="009A0176"/>
    <w:rsid w:val="009A0453"/>
    <w:rsid w:val="009A1669"/>
    <w:rsid w:val="009A1A5D"/>
    <w:rsid w:val="009A1BEB"/>
    <w:rsid w:val="009A2855"/>
    <w:rsid w:val="009A3A5C"/>
    <w:rsid w:val="009A444F"/>
    <w:rsid w:val="009A476A"/>
    <w:rsid w:val="009A485F"/>
    <w:rsid w:val="009A48C9"/>
    <w:rsid w:val="009A491F"/>
    <w:rsid w:val="009A4ABC"/>
    <w:rsid w:val="009A4FB7"/>
    <w:rsid w:val="009A588A"/>
    <w:rsid w:val="009A6B70"/>
    <w:rsid w:val="009A7966"/>
    <w:rsid w:val="009A7C5B"/>
    <w:rsid w:val="009B03D0"/>
    <w:rsid w:val="009B055B"/>
    <w:rsid w:val="009B0680"/>
    <w:rsid w:val="009B0942"/>
    <w:rsid w:val="009B0A07"/>
    <w:rsid w:val="009B119E"/>
    <w:rsid w:val="009B26BD"/>
    <w:rsid w:val="009B52D0"/>
    <w:rsid w:val="009B59D7"/>
    <w:rsid w:val="009C02BD"/>
    <w:rsid w:val="009C0527"/>
    <w:rsid w:val="009C2CA0"/>
    <w:rsid w:val="009C2F6A"/>
    <w:rsid w:val="009C305B"/>
    <w:rsid w:val="009C34FD"/>
    <w:rsid w:val="009C430A"/>
    <w:rsid w:val="009C492E"/>
    <w:rsid w:val="009C697A"/>
    <w:rsid w:val="009C775D"/>
    <w:rsid w:val="009C77EB"/>
    <w:rsid w:val="009D0D35"/>
    <w:rsid w:val="009D10F9"/>
    <w:rsid w:val="009D1871"/>
    <w:rsid w:val="009D39AC"/>
    <w:rsid w:val="009D3BD0"/>
    <w:rsid w:val="009D441F"/>
    <w:rsid w:val="009D545E"/>
    <w:rsid w:val="009D5473"/>
    <w:rsid w:val="009D5611"/>
    <w:rsid w:val="009D6785"/>
    <w:rsid w:val="009E25C6"/>
    <w:rsid w:val="009E2CB0"/>
    <w:rsid w:val="009E3190"/>
    <w:rsid w:val="009E334C"/>
    <w:rsid w:val="009E3DBD"/>
    <w:rsid w:val="009E3F9A"/>
    <w:rsid w:val="009E4AB3"/>
    <w:rsid w:val="009E5386"/>
    <w:rsid w:val="009E64AC"/>
    <w:rsid w:val="009E6A87"/>
    <w:rsid w:val="009F032D"/>
    <w:rsid w:val="009F1308"/>
    <w:rsid w:val="009F1B6D"/>
    <w:rsid w:val="009F2C4D"/>
    <w:rsid w:val="009F2EAA"/>
    <w:rsid w:val="009F30B4"/>
    <w:rsid w:val="009F310A"/>
    <w:rsid w:val="009F37BF"/>
    <w:rsid w:val="009F3AC2"/>
    <w:rsid w:val="009F4130"/>
    <w:rsid w:val="009F433B"/>
    <w:rsid w:val="009F443E"/>
    <w:rsid w:val="009F62B2"/>
    <w:rsid w:val="009F6699"/>
    <w:rsid w:val="009F68A8"/>
    <w:rsid w:val="009F7324"/>
    <w:rsid w:val="00A0057C"/>
    <w:rsid w:val="00A00721"/>
    <w:rsid w:val="00A007FF"/>
    <w:rsid w:val="00A01C7B"/>
    <w:rsid w:val="00A02888"/>
    <w:rsid w:val="00A0527D"/>
    <w:rsid w:val="00A0570B"/>
    <w:rsid w:val="00A071D0"/>
    <w:rsid w:val="00A07726"/>
    <w:rsid w:val="00A0773E"/>
    <w:rsid w:val="00A07A99"/>
    <w:rsid w:val="00A10691"/>
    <w:rsid w:val="00A10EF4"/>
    <w:rsid w:val="00A111D9"/>
    <w:rsid w:val="00A1271F"/>
    <w:rsid w:val="00A12766"/>
    <w:rsid w:val="00A15148"/>
    <w:rsid w:val="00A16464"/>
    <w:rsid w:val="00A16972"/>
    <w:rsid w:val="00A176AC"/>
    <w:rsid w:val="00A201D8"/>
    <w:rsid w:val="00A2168D"/>
    <w:rsid w:val="00A21976"/>
    <w:rsid w:val="00A21BE8"/>
    <w:rsid w:val="00A2239E"/>
    <w:rsid w:val="00A22CF2"/>
    <w:rsid w:val="00A236DB"/>
    <w:rsid w:val="00A24132"/>
    <w:rsid w:val="00A2416F"/>
    <w:rsid w:val="00A241E0"/>
    <w:rsid w:val="00A244D1"/>
    <w:rsid w:val="00A24D02"/>
    <w:rsid w:val="00A24DBE"/>
    <w:rsid w:val="00A24FD8"/>
    <w:rsid w:val="00A273C3"/>
    <w:rsid w:val="00A301A1"/>
    <w:rsid w:val="00A30402"/>
    <w:rsid w:val="00A30634"/>
    <w:rsid w:val="00A31159"/>
    <w:rsid w:val="00A31681"/>
    <w:rsid w:val="00A31854"/>
    <w:rsid w:val="00A32A97"/>
    <w:rsid w:val="00A32E66"/>
    <w:rsid w:val="00A33233"/>
    <w:rsid w:val="00A337AA"/>
    <w:rsid w:val="00A34762"/>
    <w:rsid w:val="00A348E2"/>
    <w:rsid w:val="00A34A35"/>
    <w:rsid w:val="00A3540C"/>
    <w:rsid w:val="00A35B82"/>
    <w:rsid w:val="00A3678A"/>
    <w:rsid w:val="00A416BA"/>
    <w:rsid w:val="00A436F8"/>
    <w:rsid w:val="00A43719"/>
    <w:rsid w:val="00A437A8"/>
    <w:rsid w:val="00A45968"/>
    <w:rsid w:val="00A46246"/>
    <w:rsid w:val="00A479A1"/>
    <w:rsid w:val="00A47DC5"/>
    <w:rsid w:val="00A47FF0"/>
    <w:rsid w:val="00A505D5"/>
    <w:rsid w:val="00A50E20"/>
    <w:rsid w:val="00A52CB4"/>
    <w:rsid w:val="00A52CEB"/>
    <w:rsid w:val="00A53044"/>
    <w:rsid w:val="00A5306E"/>
    <w:rsid w:val="00A53192"/>
    <w:rsid w:val="00A53854"/>
    <w:rsid w:val="00A53B85"/>
    <w:rsid w:val="00A54928"/>
    <w:rsid w:val="00A55174"/>
    <w:rsid w:val="00A56D0A"/>
    <w:rsid w:val="00A56F02"/>
    <w:rsid w:val="00A60658"/>
    <w:rsid w:val="00A61354"/>
    <w:rsid w:val="00A61360"/>
    <w:rsid w:val="00A61B66"/>
    <w:rsid w:val="00A61E40"/>
    <w:rsid w:val="00A622D4"/>
    <w:rsid w:val="00A629B0"/>
    <w:rsid w:val="00A632D6"/>
    <w:rsid w:val="00A655AA"/>
    <w:rsid w:val="00A66579"/>
    <w:rsid w:val="00A6661D"/>
    <w:rsid w:val="00A67074"/>
    <w:rsid w:val="00A67775"/>
    <w:rsid w:val="00A6783A"/>
    <w:rsid w:val="00A67AA8"/>
    <w:rsid w:val="00A70240"/>
    <w:rsid w:val="00A709F0"/>
    <w:rsid w:val="00A7164E"/>
    <w:rsid w:val="00A7184F"/>
    <w:rsid w:val="00A71CB4"/>
    <w:rsid w:val="00A7345E"/>
    <w:rsid w:val="00A737F3"/>
    <w:rsid w:val="00A73B1E"/>
    <w:rsid w:val="00A74843"/>
    <w:rsid w:val="00A75A72"/>
    <w:rsid w:val="00A7612A"/>
    <w:rsid w:val="00A768DE"/>
    <w:rsid w:val="00A770BA"/>
    <w:rsid w:val="00A776B5"/>
    <w:rsid w:val="00A7793C"/>
    <w:rsid w:val="00A779A1"/>
    <w:rsid w:val="00A77B55"/>
    <w:rsid w:val="00A80311"/>
    <w:rsid w:val="00A80B93"/>
    <w:rsid w:val="00A81539"/>
    <w:rsid w:val="00A81911"/>
    <w:rsid w:val="00A823CD"/>
    <w:rsid w:val="00A83759"/>
    <w:rsid w:val="00A837DF"/>
    <w:rsid w:val="00A83DD7"/>
    <w:rsid w:val="00A84FFB"/>
    <w:rsid w:val="00A852D3"/>
    <w:rsid w:val="00A85916"/>
    <w:rsid w:val="00A904B2"/>
    <w:rsid w:val="00A90571"/>
    <w:rsid w:val="00A9072D"/>
    <w:rsid w:val="00A91853"/>
    <w:rsid w:val="00A92CAC"/>
    <w:rsid w:val="00A93DFD"/>
    <w:rsid w:val="00A93F25"/>
    <w:rsid w:val="00A941CA"/>
    <w:rsid w:val="00A94290"/>
    <w:rsid w:val="00A947E0"/>
    <w:rsid w:val="00A94F3A"/>
    <w:rsid w:val="00A9532A"/>
    <w:rsid w:val="00A9561C"/>
    <w:rsid w:val="00A960B6"/>
    <w:rsid w:val="00A966E7"/>
    <w:rsid w:val="00A974A3"/>
    <w:rsid w:val="00A974C9"/>
    <w:rsid w:val="00A978BD"/>
    <w:rsid w:val="00A97AFE"/>
    <w:rsid w:val="00AA03BA"/>
    <w:rsid w:val="00AA0DAD"/>
    <w:rsid w:val="00AA0E80"/>
    <w:rsid w:val="00AA3808"/>
    <w:rsid w:val="00AA3AF5"/>
    <w:rsid w:val="00AA3B35"/>
    <w:rsid w:val="00AA4ED4"/>
    <w:rsid w:val="00AA50EA"/>
    <w:rsid w:val="00AA52BF"/>
    <w:rsid w:val="00AA55B7"/>
    <w:rsid w:val="00AA65ED"/>
    <w:rsid w:val="00AA6CE6"/>
    <w:rsid w:val="00AA764E"/>
    <w:rsid w:val="00AA7EE2"/>
    <w:rsid w:val="00AB076F"/>
    <w:rsid w:val="00AB1461"/>
    <w:rsid w:val="00AB1850"/>
    <w:rsid w:val="00AB1FC7"/>
    <w:rsid w:val="00AB224D"/>
    <w:rsid w:val="00AB2A08"/>
    <w:rsid w:val="00AB2F55"/>
    <w:rsid w:val="00AB30B0"/>
    <w:rsid w:val="00AB3299"/>
    <w:rsid w:val="00AB3FC4"/>
    <w:rsid w:val="00AB444B"/>
    <w:rsid w:val="00AB48EA"/>
    <w:rsid w:val="00AB4FD2"/>
    <w:rsid w:val="00AB5635"/>
    <w:rsid w:val="00AB5C9F"/>
    <w:rsid w:val="00AB6AAB"/>
    <w:rsid w:val="00AB72D8"/>
    <w:rsid w:val="00AB77A8"/>
    <w:rsid w:val="00AB77F6"/>
    <w:rsid w:val="00AB7BB1"/>
    <w:rsid w:val="00AC01BB"/>
    <w:rsid w:val="00AC07BF"/>
    <w:rsid w:val="00AC0A5D"/>
    <w:rsid w:val="00AC382D"/>
    <w:rsid w:val="00AC3CF7"/>
    <w:rsid w:val="00AC4A2C"/>
    <w:rsid w:val="00AC4CAC"/>
    <w:rsid w:val="00AC4DE0"/>
    <w:rsid w:val="00AC50A8"/>
    <w:rsid w:val="00AC558B"/>
    <w:rsid w:val="00AC5AB4"/>
    <w:rsid w:val="00AC65C4"/>
    <w:rsid w:val="00AC6ECB"/>
    <w:rsid w:val="00AC7E13"/>
    <w:rsid w:val="00AD044A"/>
    <w:rsid w:val="00AD0567"/>
    <w:rsid w:val="00AD0C4A"/>
    <w:rsid w:val="00AD1070"/>
    <w:rsid w:val="00AD1372"/>
    <w:rsid w:val="00AD1E75"/>
    <w:rsid w:val="00AD2027"/>
    <w:rsid w:val="00AD214A"/>
    <w:rsid w:val="00AD2259"/>
    <w:rsid w:val="00AD3D64"/>
    <w:rsid w:val="00AD46E1"/>
    <w:rsid w:val="00AD485E"/>
    <w:rsid w:val="00AD496F"/>
    <w:rsid w:val="00AD55BA"/>
    <w:rsid w:val="00AD6306"/>
    <w:rsid w:val="00AD6C34"/>
    <w:rsid w:val="00AD730D"/>
    <w:rsid w:val="00AD7524"/>
    <w:rsid w:val="00AD7921"/>
    <w:rsid w:val="00AE0507"/>
    <w:rsid w:val="00AE2990"/>
    <w:rsid w:val="00AE477F"/>
    <w:rsid w:val="00AE573B"/>
    <w:rsid w:val="00AE5765"/>
    <w:rsid w:val="00AE60A8"/>
    <w:rsid w:val="00AE626F"/>
    <w:rsid w:val="00AE6532"/>
    <w:rsid w:val="00AE6612"/>
    <w:rsid w:val="00AE685A"/>
    <w:rsid w:val="00AE695D"/>
    <w:rsid w:val="00AE78D2"/>
    <w:rsid w:val="00AE7D53"/>
    <w:rsid w:val="00AF1A95"/>
    <w:rsid w:val="00AF1F11"/>
    <w:rsid w:val="00AF23F0"/>
    <w:rsid w:val="00AF280E"/>
    <w:rsid w:val="00AF2D86"/>
    <w:rsid w:val="00AF34EB"/>
    <w:rsid w:val="00AF3ACA"/>
    <w:rsid w:val="00AF4D80"/>
    <w:rsid w:val="00AF6ABC"/>
    <w:rsid w:val="00AF6C28"/>
    <w:rsid w:val="00AF6FD1"/>
    <w:rsid w:val="00B00560"/>
    <w:rsid w:val="00B01EEE"/>
    <w:rsid w:val="00B023C7"/>
    <w:rsid w:val="00B03BF6"/>
    <w:rsid w:val="00B03C89"/>
    <w:rsid w:val="00B04502"/>
    <w:rsid w:val="00B04574"/>
    <w:rsid w:val="00B04A70"/>
    <w:rsid w:val="00B04F23"/>
    <w:rsid w:val="00B055FA"/>
    <w:rsid w:val="00B05C7F"/>
    <w:rsid w:val="00B0694F"/>
    <w:rsid w:val="00B06A08"/>
    <w:rsid w:val="00B06A12"/>
    <w:rsid w:val="00B06CDA"/>
    <w:rsid w:val="00B0732E"/>
    <w:rsid w:val="00B075EE"/>
    <w:rsid w:val="00B07D95"/>
    <w:rsid w:val="00B1128F"/>
    <w:rsid w:val="00B133E8"/>
    <w:rsid w:val="00B13BA4"/>
    <w:rsid w:val="00B13F3F"/>
    <w:rsid w:val="00B14E7F"/>
    <w:rsid w:val="00B151D8"/>
    <w:rsid w:val="00B15288"/>
    <w:rsid w:val="00B154BB"/>
    <w:rsid w:val="00B15692"/>
    <w:rsid w:val="00B15DAD"/>
    <w:rsid w:val="00B20517"/>
    <w:rsid w:val="00B2097F"/>
    <w:rsid w:val="00B20FAD"/>
    <w:rsid w:val="00B2187F"/>
    <w:rsid w:val="00B21D46"/>
    <w:rsid w:val="00B24413"/>
    <w:rsid w:val="00B2535C"/>
    <w:rsid w:val="00B25C1F"/>
    <w:rsid w:val="00B25F73"/>
    <w:rsid w:val="00B264F0"/>
    <w:rsid w:val="00B275C3"/>
    <w:rsid w:val="00B27FA2"/>
    <w:rsid w:val="00B3088E"/>
    <w:rsid w:val="00B316B1"/>
    <w:rsid w:val="00B323FE"/>
    <w:rsid w:val="00B32714"/>
    <w:rsid w:val="00B32721"/>
    <w:rsid w:val="00B32ABF"/>
    <w:rsid w:val="00B32CA8"/>
    <w:rsid w:val="00B33E1C"/>
    <w:rsid w:val="00B353B4"/>
    <w:rsid w:val="00B35463"/>
    <w:rsid w:val="00B3592F"/>
    <w:rsid w:val="00B35B8B"/>
    <w:rsid w:val="00B36D34"/>
    <w:rsid w:val="00B36FBC"/>
    <w:rsid w:val="00B37818"/>
    <w:rsid w:val="00B37EEB"/>
    <w:rsid w:val="00B407BB"/>
    <w:rsid w:val="00B40D0A"/>
    <w:rsid w:val="00B40E16"/>
    <w:rsid w:val="00B4119A"/>
    <w:rsid w:val="00B41387"/>
    <w:rsid w:val="00B423CE"/>
    <w:rsid w:val="00B447E2"/>
    <w:rsid w:val="00B45EA9"/>
    <w:rsid w:val="00B467E8"/>
    <w:rsid w:val="00B46FD7"/>
    <w:rsid w:val="00B46FE1"/>
    <w:rsid w:val="00B47D1B"/>
    <w:rsid w:val="00B50E2A"/>
    <w:rsid w:val="00B51288"/>
    <w:rsid w:val="00B520CB"/>
    <w:rsid w:val="00B52DD9"/>
    <w:rsid w:val="00B5348F"/>
    <w:rsid w:val="00B53BAF"/>
    <w:rsid w:val="00B5479A"/>
    <w:rsid w:val="00B54A3B"/>
    <w:rsid w:val="00B54DE0"/>
    <w:rsid w:val="00B550C2"/>
    <w:rsid w:val="00B55293"/>
    <w:rsid w:val="00B55B3F"/>
    <w:rsid w:val="00B560F5"/>
    <w:rsid w:val="00B564B0"/>
    <w:rsid w:val="00B56584"/>
    <w:rsid w:val="00B5788E"/>
    <w:rsid w:val="00B57BE9"/>
    <w:rsid w:val="00B60342"/>
    <w:rsid w:val="00B60C3C"/>
    <w:rsid w:val="00B616EB"/>
    <w:rsid w:val="00B61EC9"/>
    <w:rsid w:val="00B62193"/>
    <w:rsid w:val="00B62E25"/>
    <w:rsid w:val="00B62F8E"/>
    <w:rsid w:val="00B64125"/>
    <w:rsid w:val="00B65274"/>
    <w:rsid w:val="00B65AB7"/>
    <w:rsid w:val="00B66881"/>
    <w:rsid w:val="00B66970"/>
    <w:rsid w:val="00B66E69"/>
    <w:rsid w:val="00B6774A"/>
    <w:rsid w:val="00B67B72"/>
    <w:rsid w:val="00B67D0E"/>
    <w:rsid w:val="00B70E1D"/>
    <w:rsid w:val="00B714C3"/>
    <w:rsid w:val="00B717CE"/>
    <w:rsid w:val="00B71DF9"/>
    <w:rsid w:val="00B72161"/>
    <w:rsid w:val="00B72AA5"/>
    <w:rsid w:val="00B74866"/>
    <w:rsid w:val="00B74E4C"/>
    <w:rsid w:val="00B755DE"/>
    <w:rsid w:val="00B7628F"/>
    <w:rsid w:val="00B76596"/>
    <w:rsid w:val="00B76D06"/>
    <w:rsid w:val="00B76E31"/>
    <w:rsid w:val="00B774EC"/>
    <w:rsid w:val="00B811E3"/>
    <w:rsid w:val="00B81DE1"/>
    <w:rsid w:val="00B838CE"/>
    <w:rsid w:val="00B84F6A"/>
    <w:rsid w:val="00B858A3"/>
    <w:rsid w:val="00B865DD"/>
    <w:rsid w:val="00B86A56"/>
    <w:rsid w:val="00B86C26"/>
    <w:rsid w:val="00B86C84"/>
    <w:rsid w:val="00B8780C"/>
    <w:rsid w:val="00B9026B"/>
    <w:rsid w:val="00B90526"/>
    <w:rsid w:val="00B909CA"/>
    <w:rsid w:val="00B90E72"/>
    <w:rsid w:val="00B91809"/>
    <w:rsid w:val="00B922A7"/>
    <w:rsid w:val="00B922CA"/>
    <w:rsid w:val="00B92766"/>
    <w:rsid w:val="00B92F64"/>
    <w:rsid w:val="00B935BC"/>
    <w:rsid w:val="00B94BC4"/>
    <w:rsid w:val="00B94D6B"/>
    <w:rsid w:val="00B95109"/>
    <w:rsid w:val="00B965FC"/>
    <w:rsid w:val="00B96917"/>
    <w:rsid w:val="00B96C84"/>
    <w:rsid w:val="00B96CC9"/>
    <w:rsid w:val="00B97427"/>
    <w:rsid w:val="00B97A6A"/>
    <w:rsid w:val="00BA05DC"/>
    <w:rsid w:val="00BA0A73"/>
    <w:rsid w:val="00BA18BE"/>
    <w:rsid w:val="00BA1AD9"/>
    <w:rsid w:val="00BA1BAE"/>
    <w:rsid w:val="00BA200B"/>
    <w:rsid w:val="00BA2928"/>
    <w:rsid w:val="00BA29A7"/>
    <w:rsid w:val="00BA2D35"/>
    <w:rsid w:val="00BA31D0"/>
    <w:rsid w:val="00BA3360"/>
    <w:rsid w:val="00BA4542"/>
    <w:rsid w:val="00BA5339"/>
    <w:rsid w:val="00BA55C3"/>
    <w:rsid w:val="00BA7290"/>
    <w:rsid w:val="00BA760F"/>
    <w:rsid w:val="00BA7B12"/>
    <w:rsid w:val="00BB226C"/>
    <w:rsid w:val="00BB2D6F"/>
    <w:rsid w:val="00BB38FE"/>
    <w:rsid w:val="00BB415D"/>
    <w:rsid w:val="00BB4C80"/>
    <w:rsid w:val="00BB5DDF"/>
    <w:rsid w:val="00BB6BC2"/>
    <w:rsid w:val="00BB7337"/>
    <w:rsid w:val="00BB7B18"/>
    <w:rsid w:val="00BC041D"/>
    <w:rsid w:val="00BC07D2"/>
    <w:rsid w:val="00BC3292"/>
    <w:rsid w:val="00BC3839"/>
    <w:rsid w:val="00BC3D6E"/>
    <w:rsid w:val="00BC3FE3"/>
    <w:rsid w:val="00BC46DD"/>
    <w:rsid w:val="00BC4B86"/>
    <w:rsid w:val="00BC4EC4"/>
    <w:rsid w:val="00BC5225"/>
    <w:rsid w:val="00BC5616"/>
    <w:rsid w:val="00BC6F5B"/>
    <w:rsid w:val="00BC7160"/>
    <w:rsid w:val="00BC742C"/>
    <w:rsid w:val="00BD06E2"/>
    <w:rsid w:val="00BD0849"/>
    <w:rsid w:val="00BD08A8"/>
    <w:rsid w:val="00BD18A3"/>
    <w:rsid w:val="00BD1EE5"/>
    <w:rsid w:val="00BD22DB"/>
    <w:rsid w:val="00BD26A1"/>
    <w:rsid w:val="00BD2836"/>
    <w:rsid w:val="00BD3AA5"/>
    <w:rsid w:val="00BD6573"/>
    <w:rsid w:val="00BD6D0D"/>
    <w:rsid w:val="00BD6E10"/>
    <w:rsid w:val="00BD7D91"/>
    <w:rsid w:val="00BD7E99"/>
    <w:rsid w:val="00BE11B1"/>
    <w:rsid w:val="00BE15B5"/>
    <w:rsid w:val="00BE3AFC"/>
    <w:rsid w:val="00BE405E"/>
    <w:rsid w:val="00BE453E"/>
    <w:rsid w:val="00BE49B5"/>
    <w:rsid w:val="00BE508E"/>
    <w:rsid w:val="00BE53A1"/>
    <w:rsid w:val="00BE6790"/>
    <w:rsid w:val="00BE74A8"/>
    <w:rsid w:val="00BE79C5"/>
    <w:rsid w:val="00BE7BE9"/>
    <w:rsid w:val="00BF1394"/>
    <w:rsid w:val="00BF25D3"/>
    <w:rsid w:val="00BF2D30"/>
    <w:rsid w:val="00BF3CB3"/>
    <w:rsid w:val="00BF3FC5"/>
    <w:rsid w:val="00BF487B"/>
    <w:rsid w:val="00BF4C36"/>
    <w:rsid w:val="00BF52EA"/>
    <w:rsid w:val="00BF532A"/>
    <w:rsid w:val="00BF56BF"/>
    <w:rsid w:val="00BF6A8D"/>
    <w:rsid w:val="00BF6D6D"/>
    <w:rsid w:val="00BF7526"/>
    <w:rsid w:val="00C0125E"/>
    <w:rsid w:val="00C02512"/>
    <w:rsid w:val="00C04451"/>
    <w:rsid w:val="00C04A53"/>
    <w:rsid w:val="00C04BC8"/>
    <w:rsid w:val="00C04C38"/>
    <w:rsid w:val="00C04DDC"/>
    <w:rsid w:val="00C050B0"/>
    <w:rsid w:val="00C058DD"/>
    <w:rsid w:val="00C0597E"/>
    <w:rsid w:val="00C05CBE"/>
    <w:rsid w:val="00C061AB"/>
    <w:rsid w:val="00C06E4C"/>
    <w:rsid w:val="00C073E7"/>
    <w:rsid w:val="00C077BE"/>
    <w:rsid w:val="00C079C4"/>
    <w:rsid w:val="00C07F05"/>
    <w:rsid w:val="00C110D2"/>
    <w:rsid w:val="00C110EA"/>
    <w:rsid w:val="00C11C88"/>
    <w:rsid w:val="00C12814"/>
    <w:rsid w:val="00C13445"/>
    <w:rsid w:val="00C138EB"/>
    <w:rsid w:val="00C14158"/>
    <w:rsid w:val="00C1459E"/>
    <w:rsid w:val="00C14B04"/>
    <w:rsid w:val="00C14D1A"/>
    <w:rsid w:val="00C14D63"/>
    <w:rsid w:val="00C15858"/>
    <w:rsid w:val="00C173CF"/>
    <w:rsid w:val="00C17561"/>
    <w:rsid w:val="00C17671"/>
    <w:rsid w:val="00C17FA4"/>
    <w:rsid w:val="00C2001E"/>
    <w:rsid w:val="00C216F1"/>
    <w:rsid w:val="00C2178B"/>
    <w:rsid w:val="00C22459"/>
    <w:rsid w:val="00C228B9"/>
    <w:rsid w:val="00C22F8C"/>
    <w:rsid w:val="00C23B7E"/>
    <w:rsid w:val="00C23EB4"/>
    <w:rsid w:val="00C240C6"/>
    <w:rsid w:val="00C26309"/>
    <w:rsid w:val="00C27119"/>
    <w:rsid w:val="00C27708"/>
    <w:rsid w:val="00C27F8A"/>
    <w:rsid w:val="00C3001E"/>
    <w:rsid w:val="00C30578"/>
    <w:rsid w:val="00C319D2"/>
    <w:rsid w:val="00C3204B"/>
    <w:rsid w:val="00C32598"/>
    <w:rsid w:val="00C32E9C"/>
    <w:rsid w:val="00C346CB"/>
    <w:rsid w:val="00C34724"/>
    <w:rsid w:val="00C34AA3"/>
    <w:rsid w:val="00C35717"/>
    <w:rsid w:val="00C36509"/>
    <w:rsid w:val="00C36AB1"/>
    <w:rsid w:val="00C36E82"/>
    <w:rsid w:val="00C3740C"/>
    <w:rsid w:val="00C37571"/>
    <w:rsid w:val="00C405C1"/>
    <w:rsid w:val="00C4098C"/>
    <w:rsid w:val="00C40B5B"/>
    <w:rsid w:val="00C4158F"/>
    <w:rsid w:val="00C41A90"/>
    <w:rsid w:val="00C42582"/>
    <w:rsid w:val="00C42721"/>
    <w:rsid w:val="00C42CA9"/>
    <w:rsid w:val="00C42E53"/>
    <w:rsid w:val="00C43C58"/>
    <w:rsid w:val="00C43FA8"/>
    <w:rsid w:val="00C44B0C"/>
    <w:rsid w:val="00C45058"/>
    <w:rsid w:val="00C4591E"/>
    <w:rsid w:val="00C469D8"/>
    <w:rsid w:val="00C46D0D"/>
    <w:rsid w:val="00C46E1A"/>
    <w:rsid w:val="00C47404"/>
    <w:rsid w:val="00C4758E"/>
    <w:rsid w:val="00C47C5A"/>
    <w:rsid w:val="00C47DBB"/>
    <w:rsid w:val="00C503F8"/>
    <w:rsid w:val="00C51767"/>
    <w:rsid w:val="00C5217A"/>
    <w:rsid w:val="00C52284"/>
    <w:rsid w:val="00C52B5F"/>
    <w:rsid w:val="00C52C15"/>
    <w:rsid w:val="00C545E4"/>
    <w:rsid w:val="00C55B52"/>
    <w:rsid w:val="00C55F6F"/>
    <w:rsid w:val="00C56CA5"/>
    <w:rsid w:val="00C56F17"/>
    <w:rsid w:val="00C56F38"/>
    <w:rsid w:val="00C57055"/>
    <w:rsid w:val="00C570EA"/>
    <w:rsid w:val="00C57467"/>
    <w:rsid w:val="00C577CD"/>
    <w:rsid w:val="00C57BE3"/>
    <w:rsid w:val="00C601F5"/>
    <w:rsid w:val="00C60649"/>
    <w:rsid w:val="00C60803"/>
    <w:rsid w:val="00C60D59"/>
    <w:rsid w:val="00C60DB5"/>
    <w:rsid w:val="00C61D95"/>
    <w:rsid w:val="00C622CC"/>
    <w:rsid w:val="00C6425E"/>
    <w:rsid w:val="00C6426B"/>
    <w:rsid w:val="00C64D3D"/>
    <w:rsid w:val="00C65D43"/>
    <w:rsid w:val="00C660DA"/>
    <w:rsid w:val="00C66C59"/>
    <w:rsid w:val="00C67A53"/>
    <w:rsid w:val="00C703E2"/>
    <w:rsid w:val="00C70BD8"/>
    <w:rsid w:val="00C7343A"/>
    <w:rsid w:val="00C7699A"/>
    <w:rsid w:val="00C77C15"/>
    <w:rsid w:val="00C800EB"/>
    <w:rsid w:val="00C80862"/>
    <w:rsid w:val="00C80BB0"/>
    <w:rsid w:val="00C80C45"/>
    <w:rsid w:val="00C80DB0"/>
    <w:rsid w:val="00C8158F"/>
    <w:rsid w:val="00C819D7"/>
    <w:rsid w:val="00C820D1"/>
    <w:rsid w:val="00C83F3C"/>
    <w:rsid w:val="00C842CC"/>
    <w:rsid w:val="00C845C0"/>
    <w:rsid w:val="00C84FFB"/>
    <w:rsid w:val="00C85EAC"/>
    <w:rsid w:val="00C87041"/>
    <w:rsid w:val="00C870CA"/>
    <w:rsid w:val="00C875B7"/>
    <w:rsid w:val="00C8793E"/>
    <w:rsid w:val="00C87B29"/>
    <w:rsid w:val="00C90F1F"/>
    <w:rsid w:val="00C91034"/>
    <w:rsid w:val="00C910E1"/>
    <w:rsid w:val="00C92EA4"/>
    <w:rsid w:val="00C92FD2"/>
    <w:rsid w:val="00C94905"/>
    <w:rsid w:val="00C95C31"/>
    <w:rsid w:val="00C95FC0"/>
    <w:rsid w:val="00C9623B"/>
    <w:rsid w:val="00C967A0"/>
    <w:rsid w:val="00C96EAE"/>
    <w:rsid w:val="00C9705F"/>
    <w:rsid w:val="00CA005C"/>
    <w:rsid w:val="00CA2784"/>
    <w:rsid w:val="00CA2A1E"/>
    <w:rsid w:val="00CA2B2E"/>
    <w:rsid w:val="00CA2D62"/>
    <w:rsid w:val="00CA35BA"/>
    <w:rsid w:val="00CA55C3"/>
    <w:rsid w:val="00CA662D"/>
    <w:rsid w:val="00CA6C35"/>
    <w:rsid w:val="00CA6DDC"/>
    <w:rsid w:val="00CB0C95"/>
    <w:rsid w:val="00CB1BA3"/>
    <w:rsid w:val="00CB2761"/>
    <w:rsid w:val="00CB481B"/>
    <w:rsid w:val="00CB51A5"/>
    <w:rsid w:val="00CB5F57"/>
    <w:rsid w:val="00CB67B6"/>
    <w:rsid w:val="00CB68DF"/>
    <w:rsid w:val="00CB718D"/>
    <w:rsid w:val="00CB7871"/>
    <w:rsid w:val="00CC09DD"/>
    <w:rsid w:val="00CC0AEC"/>
    <w:rsid w:val="00CC14D0"/>
    <w:rsid w:val="00CC151A"/>
    <w:rsid w:val="00CC173F"/>
    <w:rsid w:val="00CC250C"/>
    <w:rsid w:val="00CC2825"/>
    <w:rsid w:val="00CC2C76"/>
    <w:rsid w:val="00CC3E88"/>
    <w:rsid w:val="00CC3ECC"/>
    <w:rsid w:val="00CC4286"/>
    <w:rsid w:val="00CC5750"/>
    <w:rsid w:val="00CC597C"/>
    <w:rsid w:val="00CC5E41"/>
    <w:rsid w:val="00CC6409"/>
    <w:rsid w:val="00CC69AE"/>
    <w:rsid w:val="00CC6C7C"/>
    <w:rsid w:val="00CD01BF"/>
    <w:rsid w:val="00CD095A"/>
    <w:rsid w:val="00CD0BA2"/>
    <w:rsid w:val="00CD0CCF"/>
    <w:rsid w:val="00CD3303"/>
    <w:rsid w:val="00CD3592"/>
    <w:rsid w:val="00CD41E4"/>
    <w:rsid w:val="00CD5786"/>
    <w:rsid w:val="00CD5AB3"/>
    <w:rsid w:val="00CD70A9"/>
    <w:rsid w:val="00CD7CC5"/>
    <w:rsid w:val="00CE001B"/>
    <w:rsid w:val="00CE0AC3"/>
    <w:rsid w:val="00CE1883"/>
    <w:rsid w:val="00CE207E"/>
    <w:rsid w:val="00CE20D3"/>
    <w:rsid w:val="00CE2663"/>
    <w:rsid w:val="00CE4696"/>
    <w:rsid w:val="00CE4AC0"/>
    <w:rsid w:val="00CE5D56"/>
    <w:rsid w:val="00CE7E76"/>
    <w:rsid w:val="00CF0132"/>
    <w:rsid w:val="00CF0A55"/>
    <w:rsid w:val="00CF0EDD"/>
    <w:rsid w:val="00CF20A5"/>
    <w:rsid w:val="00CF2485"/>
    <w:rsid w:val="00CF270E"/>
    <w:rsid w:val="00CF3335"/>
    <w:rsid w:val="00CF5B27"/>
    <w:rsid w:val="00CF5D81"/>
    <w:rsid w:val="00CF6F07"/>
    <w:rsid w:val="00CF76A7"/>
    <w:rsid w:val="00CF7A8A"/>
    <w:rsid w:val="00CF7FDB"/>
    <w:rsid w:val="00D001B5"/>
    <w:rsid w:val="00D00C50"/>
    <w:rsid w:val="00D00D21"/>
    <w:rsid w:val="00D02107"/>
    <w:rsid w:val="00D025CD"/>
    <w:rsid w:val="00D0310C"/>
    <w:rsid w:val="00D03448"/>
    <w:rsid w:val="00D0429C"/>
    <w:rsid w:val="00D04689"/>
    <w:rsid w:val="00D049AD"/>
    <w:rsid w:val="00D04BB7"/>
    <w:rsid w:val="00D06008"/>
    <w:rsid w:val="00D061DA"/>
    <w:rsid w:val="00D069E6"/>
    <w:rsid w:val="00D07037"/>
    <w:rsid w:val="00D076D0"/>
    <w:rsid w:val="00D07EE5"/>
    <w:rsid w:val="00D10F55"/>
    <w:rsid w:val="00D12D5E"/>
    <w:rsid w:val="00D13A2D"/>
    <w:rsid w:val="00D13F07"/>
    <w:rsid w:val="00D13F5B"/>
    <w:rsid w:val="00D156AF"/>
    <w:rsid w:val="00D15F2C"/>
    <w:rsid w:val="00D1691D"/>
    <w:rsid w:val="00D169D7"/>
    <w:rsid w:val="00D17026"/>
    <w:rsid w:val="00D17580"/>
    <w:rsid w:val="00D17FD3"/>
    <w:rsid w:val="00D203E4"/>
    <w:rsid w:val="00D2127A"/>
    <w:rsid w:val="00D2247B"/>
    <w:rsid w:val="00D23F7A"/>
    <w:rsid w:val="00D2506E"/>
    <w:rsid w:val="00D251B1"/>
    <w:rsid w:val="00D26A53"/>
    <w:rsid w:val="00D26B21"/>
    <w:rsid w:val="00D27830"/>
    <w:rsid w:val="00D305E9"/>
    <w:rsid w:val="00D31B90"/>
    <w:rsid w:val="00D31F66"/>
    <w:rsid w:val="00D324C8"/>
    <w:rsid w:val="00D32928"/>
    <w:rsid w:val="00D330D1"/>
    <w:rsid w:val="00D337AC"/>
    <w:rsid w:val="00D33C9C"/>
    <w:rsid w:val="00D33E64"/>
    <w:rsid w:val="00D33EFC"/>
    <w:rsid w:val="00D34016"/>
    <w:rsid w:val="00D35898"/>
    <w:rsid w:val="00D35C7D"/>
    <w:rsid w:val="00D362A4"/>
    <w:rsid w:val="00D36EA1"/>
    <w:rsid w:val="00D3731A"/>
    <w:rsid w:val="00D37B89"/>
    <w:rsid w:val="00D4149F"/>
    <w:rsid w:val="00D41B47"/>
    <w:rsid w:val="00D41BBE"/>
    <w:rsid w:val="00D421B5"/>
    <w:rsid w:val="00D44B46"/>
    <w:rsid w:val="00D44B52"/>
    <w:rsid w:val="00D44FA5"/>
    <w:rsid w:val="00D45128"/>
    <w:rsid w:val="00D45224"/>
    <w:rsid w:val="00D4547A"/>
    <w:rsid w:val="00D47DE8"/>
    <w:rsid w:val="00D506CD"/>
    <w:rsid w:val="00D50796"/>
    <w:rsid w:val="00D50E8F"/>
    <w:rsid w:val="00D510C4"/>
    <w:rsid w:val="00D51F64"/>
    <w:rsid w:val="00D522EB"/>
    <w:rsid w:val="00D537FF"/>
    <w:rsid w:val="00D541F7"/>
    <w:rsid w:val="00D544A4"/>
    <w:rsid w:val="00D54972"/>
    <w:rsid w:val="00D54C48"/>
    <w:rsid w:val="00D550A9"/>
    <w:rsid w:val="00D5597D"/>
    <w:rsid w:val="00D55D52"/>
    <w:rsid w:val="00D5664C"/>
    <w:rsid w:val="00D56BCC"/>
    <w:rsid w:val="00D56D9B"/>
    <w:rsid w:val="00D5711C"/>
    <w:rsid w:val="00D5767B"/>
    <w:rsid w:val="00D57D41"/>
    <w:rsid w:val="00D6088D"/>
    <w:rsid w:val="00D608A1"/>
    <w:rsid w:val="00D60FBC"/>
    <w:rsid w:val="00D6162A"/>
    <w:rsid w:val="00D61E1F"/>
    <w:rsid w:val="00D61F14"/>
    <w:rsid w:val="00D62030"/>
    <w:rsid w:val="00D624D6"/>
    <w:rsid w:val="00D6282F"/>
    <w:rsid w:val="00D62979"/>
    <w:rsid w:val="00D629CA"/>
    <w:rsid w:val="00D63065"/>
    <w:rsid w:val="00D631EB"/>
    <w:rsid w:val="00D63822"/>
    <w:rsid w:val="00D63C4F"/>
    <w:rsid w:val="00D63D99"/>
    <w:rsid w:val="00D64A23"/>
    <w:rsid w:val="00D650EA"/>
    <w:rsid w:val="00D65A65"/>
    <w:rsid w:val="00D65D1C"/>
    <w:rsid w:val="00D661E4"/>
    <w:rsid w:val="00D66B33"/>
    <w:rsid w:val="00D6713C"/>
    <w:rsid w:val="00D6743B"/>
    <w:rsid w:val="00D679D9"/>
    <w:rsid w:val="00D70445"/>
    <w:rsid w:val="00D71EC7"/>
    <w:rsid w:val="00D723FF"/>
    <w:rsid w:val="00D72CAA"/>
    <w:rsid w:val="00D72DC4"/>
    <w:rsid w:val="00D73EAC"/>
    <w:rsid w:val="00D76D14"/>
    <w:rsid w:val="00D76E0E"/>
    <w:rsid w:val="00D77761"/>
    <w:rsid w:val="00D80776"/>
    <w:rsid w:val="00D8081E"/>
    <w:rsid w:val="00D81811"/>
    <w:rsid w:val="00D821A9"/>
    <w:rsid w:val="00D829D6"/>
    <w:rsid w:val="00D851AC"/>
    <w:rsid w:val="00D8585E"/>
    <w:rsid w:val="00D85C05"/>
    <w:rsid w:val="00D86BB2"/>
    <w:rsid w:val="00D870C3"/>
    <w:rsid w:val="00D87517"/>
    <w:rsid w:val="00D87705"/>
    <w:rsid w:val="00D907E0"/>
    <w:rsid w:val="00D92104"/>
    <w:rsid w:val="00D92254"/>
    <w:rsid w:val="00D92286"/>
    <w:rsid w:val="00D92815"/>
    <w:rsid w:val="00D92F5D"/>
    <w:rsid w:val="00D94159"/>
    <w:rsid w:val="00D95693"/>
    <w:rsid w:val="00D961E0"/>
    <w:rsid w:val="00D9761C"/>
    <w:rsid w:val="00DA0142"/>
    <w:rsid w:val="00DA0201"/>
    <w:rsid w:val="00DA0BCA"/>
    <w:rsid w:val="00DA2329"/>
    <w:rsid w:val="00DA371D"/>
    <w:rsid w:val="00DA38F6"/>
    <w:rsid w:val="00DA4187"/>
    <w:rsid w:val="00DA4B09"/>
    <w:rsid w:val="00DA58CB"/>
    <w:rsid w:val="00DA6143"/>
    <w:rsid w:val="00DA6694"/>
    <w:rsid w:val="00DA68D1"/>
    <w:rsid w:val="00DA6CD6"/>
    <w:rsid w:val="00DA6D75"/>
    <w:rsid w:val="00DA708A"/>
    <w:rsid w:val="00DA75EB"/>
    <w:rsid w:val="00DB09E2"/>
    <w:rsid w:val="00DB1CBE"/>
    <w:rsid w:val="00DB2AAD"/>
    <w:rsid w:val="00DB2B00"/>
    <w:rsid w:val="00DB2DB2"/>
    <w:rsid w:val="00DB2DF1"/>
    <w:rsid w:val="00DB2E80"/>
    <w:rsid w:val="00DB2F6E"/>
    <w:rsid w:val="00DB39F3"/>
    <w:rsid w:val="00DB4D34"/>
    <w:rsid w:val="00DB5C93"/>
    <w:rsid w:val="00DB61C1"/>
    <w:rsid w:val="00DB78ED"/>
    <w:rsid w:val="00DC032A"/>
    <w:rsid w:val="00DC067C"/>
    <w:rsid w:val="00DC39C9"/>
    <w:rsid w:val="00DC3E05"/>
    <w:rsid w:val="00DC3E6E"/>
    <w:rsid w:val="00DC3FCF"/>
    <w:rsid w:val="00DC4AD1"/>
    <w:rsid w:val="00DC4E12"/>
    <w:rsid w:val="00DC54EA"/>
    <w:rsid w:val="00DC6113"/>
    <w:rsid w:val="00DC636F"/>
    <w:rsid w:val="00DC660D"/>
    <w:rsid w:val="00DC6640"/>
    <w:rsid w:val="00DC7927"/>
    <w:rsid w:val="00DC7D60"/>
    <w:rsid w:val="00DD05C7"/>
    <w:rsid w:val="00DD1959"/>
    <w:rsid w:val="00DD1BA3"/>
    <w:rsid w:val="00DD1F64"/>
    <w:rsid w:val="00DD205B"/>
    <w:rsid w:val="00DD415B"/>
    <w:rsid w:val="00DD55B2"/>
    <w:rsid w:val="00DD6168"/>
    <w:rsid w:val="00DD6D48"/>
    <w:rsid w:val="00DD7228"/>
    <w:rsid w:val="00DE0DBD"/>
    <w:rsid w:val="00DE13CF"/>
    <w:rsid w:val="00DE1458"/>
    <w:rsid w:val="00DE1699"/>
    <w:rsid w:val="00DE2D8B"/>
    <w:rsid w:val="00DE31C2"/>
    <w:rsid w:val="00DE5BD8"/>
    <w:rsid w:val="00DE6BAC"/>
    <w:rsid w:val="00DE7FAC"/>
    <w:rsid w:val="00DF0817"/>
    <w:rsid w:val="00DF11B0"/>
    <w:rsid w:val="00DF1218"/>
    <w:rsid w:val="00DF126C"/>
    <w:rsid w:val="00DF12C7"/>
    <w:rsid w:val="00DF16A4"/>
    <w:rsid w:val="00DF170D"/>
    <w:rsid w:val="00DF2886"/>
    <w:rsid w:val="00DF2A90"/>
    <w:rsid w:val="00DF30AE"/>
    <w:rsid w:val="00DF4850"/>
    <w:rsid w:val="00DF5EEB"/>
    <w:rsid w:val="00DF61DE"/>
    <w:rsid w:val="00DF61F1"/>
    <w:rsid w:val="00DF6DE8"/>
    <w:rsid w:val="00DF7034"/>
    <w:rsid w:val="00DF7354"/>
    <w:rsid w:val="00DF73F5"/>
    <w:rsid w:val="00E0075C"/>
    <w:rsid w:val="00E00D05"/>
    <w:rsid w:val="00E026F9"/>
    <w:rsid w:val="00E02FE9"/>
    <w:rsid w:val="00E03241"/>
    <w:rsid w:val="00E03789"/>
    <w:rsid w:val="00E0457F"/>
    <w:rsid w:val="00E061CF"/>
    <w:rsid w:val="00E06486"/>
    <w:rsid w:val="00E06DBC"/>
    <w:rsid w:val="00E07C7D"/>
    <w:rsid w:val="00E07F9D"/>
    <w:rsid w:val="00E102FA"/>
    <w:rsid w:val="00E106BB"/>
    <w:rsid w:val="00E11705"/>
    <w:rsid w:val="00E11B35"/>
    <w:rsid w:val="00E128F6"/>
    <w:rsid w:val="00E144A2"/>
    <w:rsid w:val="00E14642"/>
    <w:rsid w:val="00E14794"/>
    <w:rsid w:val="00E147A5"/>
    <w:rsid w:val="00E14926"/>
    <w:rsid w:val="00E14E87"/>
    <w:rsid w:val="00E15565"/>
    <w:rsid w:val="00E15BB5"/>
    <w:rsid w:val="00E15C91"/>
    <w:rsid w:val="00E167B2"/>
    <w:rsid w:val="00E1709F"/>
    <w:rsid w:val="00E1710E"/>
    <w:rsid w:val="00E17D08"/>
    <w:rsid w:val="00E203D0"/>
    <w:rsid w:val="00E20DC2"/>
    <w:rsid w:val="00E20F3E"/>
    <w:rsid w:val="00E2120B"/>
    <w:rsid w:val="00E22EC4"/>
    <w:rsid w:val="00E23184"/>
    <w:rsid w:val="00E23548"/>
    <w:rsid w:val="00E24ED2"/>
    <w:rsid w:val="00E2509A"/>
    <w:rsid w:val="00E26670"/>
    <w:rsid w:val="00E301F7"/>
    <w:rsid w:val="00E3034A"/>
    <w:rsid w:val="00E31232"/>
    <w:rsid w:val="00E320E3"/>
    <w:rsid w:val="00E322B7"/>
    <w:rsid w:val="00E325BA"/>
    <w:rsid w:val="00E32DDC"/>
    <w:rsid w:val="00E32FB3"/>
    <w:rsid w:val="00E339C1"/>
    <w:rsid w:val="00E345C4"/>
    <w:rsid w:val="00E3485D"/>
    <w:rsid w:val="00E34894"/>
    <w:rsid w:val="00E34950"/>
    <w:rsid w:val="00E35B0C"/>
    <w:rsid w:val="00E35F01"/>
    <w:rsid w:val="00E360CD"/>
    <w:rsid w:val="00E36155"/>
    <w:rsid w:val="00E361D4"/>
    <w:rsid w:val="00E3697F"/>
    <w:rsid w:val="00E37806"/>
    <w:rsid w:val="00E404CB"/>
    <w:rsid w:val="00E40AF0"/>
    <w:rsid w:val="00E411EE"/>
    <w:rsid w:val="00E412D7"/>
    <w:rsid w:val="00E421F9"/>
    <w:rsid w:val="00E4508F"/>
    <w:rsid w:val="00E4645F"/>
    <w:rsid w:val="00E46979"/>
    <w:rsid w:val="00E4767D"/>
    <w:rsid w:val="00E477AA"/>
    <w:rsid w:val="00E47D82"/>
    <w:rsid w:val="00E507D9"/>
    <w:rsid w:val="00E512FD"/>
    <w:rsid w:val="00E514E9"/>
    <w:rsid w:val="00E51DC9"/>
    <w:rsid w:val="00E52C30"/>
    <w:rsid w:val="00E54412"/>
    <w:rsid w:val="00E54865"/>
    <w:rsid w:val="00E557E5"/>
    <w:rsid w:val="00E55A01"/>
    <w:rsid w:val="00E5682E"/>
    <w:rsid w:val="00E56997"/>
    <w:rsid w:val="00E56CF9"/>
    <w:rsid w:val="00E56E93"/>
    <w:rsid w:val="00E5734A"/>
    <w:rsid w:val="00E576A4"/>
    <w:rsid w:val="00E606C9"/>
    <w:rsid w:val="00E61498"/>
    <w:rsid w:val="00E616FA"/>
    <w:rsid w:val="00E62205"/>
    <w:rsid w:val="00E63D07"/>
    <w:rsid w:val="00E641E6"/>
    <w:rsid w:val="00E650B1"/>
    <w:rsid w:val="00E674B2"/>
    <w:rsid w:val="00E67C50"/>
    <w:rsid w:val="00E67F5E"/>
    <w:rsid w:val="00E709C7"/>
    <w:rsid w:val="00E7112B"/>
    <w:rsid w:val="00E7160A"/>
    <w:rsid w:val="00E72488"/>
    <w:rsid w:val="00E72C50"/>
    <w:rsid w:val="00E73A61"/>
    <w:rsid w:val="00E75549"/>
    <w:rsid w:val="00E75BA3"/>
    <w:rsid w:val="00E75D05"/>
    <w:rsid w:val="00E75EB4"/>
    <w:rsid w:val="00E7633F"/>
    <w:rsid w:val="00E76CCD"/>
    <w:rsid w:val="00E77DBA"/>
    <w:rsid w:val="00E80291"/>
    <w:rsid w:val="00E80713"/>
    <w:rsid w:val="00E80FDC"/>
    <w:rsid w:val="00E812AD"/>
    <w:rsid w:val="00E827C3"/>
    <w:rsid w:val="00E829FC"/>
    <w:rsid w:val="00E836BD"/>
    <w:rsid w:val="00E838F4"/>
    <w:rsid w:val="00E846D7"/>
    <w:rsid w:val="00E8481A"/>
    <w:rsid w:val="00E8540A"/>
    <w:rsid w:val="00E85DA5"/>
    <w:rsid w:val="00E864AF"/>
    <w:rsid w:val="00E86AD1"/>
    <w:rsid w:val="00E872D8"/>
    <w:rsid w:val="00E87B83"/>
    <w:rsid w:val="00E87BFD"/>
    <w:rsid w:val="00E87DDD"/>
    <w:rsid w:val="00E907D0"/>
    <w:rsid w:val="00E90AA5"/>
    <w:rsid w:val="00E92353"/>
    <w:rsid w:val="00E930E8"/>
    <w:rsid w:val="00E93A06"/>
    <w:rsid w:val="00E93C62"/>
    <w:rsid w:val="00E93C6F"/>
    <w:rsid w:val="00E93FC9"/>
    <w:rsid w:val="00E9443F"/>
    <w:rsid w:val="00E947B8"/>
    <w:rsid w:val="00E94D8D"/>
    <w:rsid w:val="00E95BAC"/>
    <w:rsid w:val="00E9644B"/>
    <w:rsid w:val="00E9689A"/>
    <w:rsid w:val="00EA15ED"/>
    <w:rsid w:val="00EA1F2F"/>
    <w:rsid w:val="00EA2351"/>
    <w:rsid w:val="00EA29BB"/>
    <w:rsid w:val="00EA2B7F"/>
    <w:rsid w:val="00EA3E53"/>
    <w:rsid w:val="00EA479A"/>
    <w:rsid w:val="00EA4A21"/>
    <w:rsid w:val="00EA50FF"/>
    <w:rsid w:val="00EA5288"/>
    <w:rsid w:val="00EA5C57"/>
    <w:rsid w:val="00EA5E6A"/>
    <w:rsid w:val="00EA6446"/>
    <w:rsid w:val="00EA6C2B"/>
    <w:rsid w:val="00EA6EAA"/>
    <w:rsid w:val="00EA73AA"/>
    <w:rsid w:val="00EB0FCB"/>
    <w:rsid w:val="00EB1288"/>
    <w:rsid w:val="00EB1B85"/>
    <w:rsid w:val="00EB1D25"/>
    <w:rsid w:val="00EB2C5A"/>
    <w:rsid w:val="00EB338D"/>
    <w:rsid w:val="00EB3507"/>
    <w:rsid w:val="00EB62E0"/>
    <w:rsid w:val="00EB7582"/>
    <w:rsid w:val="00EC07A3"/>
    <w:rsid w:val="00EC11B0"/>
    <w:rsid w:val="00EC30EC"/>
    <w:rsid w:val="00EC3299"/>
    <w:rsid w:val="00EC3452"/>
    <w:rsid w:val="00EC441A"/>
    <w:rsid w:val="00EC48CC"/>
    <w:rsid w:val="00EC596D"/>
    <w:rsid w:val="00EC7298"/>
    <w:rsid w:val="00EC7763"/>
    <w:rsid w:val="00EC777F"/>
    <w:rsid w:val="00EC7BAA"/>
    <w:rsid w:val="00ED05E7"/>
    <w:rsid w:val="00ED09F8"/>
    <w:rsid w:val="00ED114D"/>
    <w:rsid w:val="00ED2370"/>
    <w:rsid w:val="00ED31DC"/>
    <w:rsid w:val="00ED3314"/>
    <w:rsid w:val="00ED3BF8"/>
    <w:rsid w:val="00ED4515"/>
    <w:rsid w:val="00ED492A"/>
    <w:rsid w:val="00ED4AEC"/>
    <w:rsid w:val="00ED6172"/>
    <w:rsid w:val="00ED64BC"/>
    <w:rsid w:val="00ED6F90"/>
    <w:rsid w:val="00ED7760"/>
    <w:rsid w:val="00EE0CDD"/>
    <w:rsid w:val="00EE1873"/>
    <w:rsid w:val="00EE1D09"/>
    <w:rsid w:val="00EE25AE"/>
    <w:rsid w:val="00EE275A"/>
    <w:rsid w:val="00EE3A13"/>
    <w:rsid w:val="00EE3CF0"/>
    <w:rsid w:val="00EE42CD"/>
    <w:rsid w:val="00EE44DA"/>
    <w:rsid w:val="00EE4A01"/>
    <w:rsid w:val="00EE60AF"/>
    <w:rsid w:val="00EE6520"/>
    <w:rsid w:val="00EE6836"/>
    <w:rsid w:val="00EE7130"/>
    <w:rsid w:val="00EE723D"/>
    <w:rsid w:val="00EF139F"/>
    <w:rsid w:val="00EF19F5"/>
    <w:rsid w:val="00EF1E10"/>
    <w:rsid w:val="00EF25BE"/>
    <w:rsid w:val="00EF2852"/>
    <w:rsid w:val="00EF285D"/>
    <w:rsid w:val="00EF2D7B"/>
    <w:rsid w:val="00EF30DC"/>
    <w:rsid w:val="00EF3266"/>
    <w:rsid w:val="00EF35D7"/>
    <w:rsid w:val="00EF368A"/>
    <w:rsid w:val="00EF36B7"/>
    <w:rsid w:val="00EF4827"/>
    <w:rsid w:val="00EF4C2D"/>
    <w:rsid w:val="00EF6241"/>
    <w:rsid w:val="00EF68CF"/>
    <w:rsid w:val="00EF6B14"/>
    <w:rsid w:val="00EF6F4D"/>
    <w:rsid w:val="00EF7654"/>
    <w:rsid w:val="00F000E5"/>
    <w:rsid w:val="00F00854"/>
    <w:rsid w:val="00F00F91"/>
    <w:rsid w:val="00F01EC8"/>
    <w:rsid w:val="00F03F29"/>
    <w:rsid w:val="00F041B9"/>
    <w:rsid w:val="00F047B1"/>
    <w:rsid w:val="00F04850"/>
    <w:rsid w:val="00F055E3"/>
    <w:rsid w:val="00F05961"/>
    <w:rsid w:val="00F06542"/>
    <w:rsid w:val="00F069F0"/>
    <w:rsid w:val="00F06D8C"/>
    <w:rsid w:val="00F0725E"/>
    <w:rsid w:val="00F072F6"/>
    <w:rsid w:val="00F07488"/>
    <w:rsid w:val="00F07976"/>
    <w:rsid w:val="00F104DD"/>
    <w:rsid w:val="00F10689"/>
    <w:rsid w:val="00F107DF"/>
    <w:rsid w:val="00F121EC"/>
    <w:rsid w:val="00F13152"/>
    <w:rsid w:val="00F13604"/>
    <w:rsid w:val="00F13BD5"/>
    <w:rsid w:val="00F146BD"/>
    <w:rsid w:val="00F152E6"/>
    <w:rsid w:val="00F15777"/>
    <w:rsid w:val="00F15FDA"/>
    <w:rsid w:val="00F164B9"/>
    <w:rsid w:val="00F16935"/>
    <w:rsid w:val="00F170A3"/>
    <w:rsid w:val="00F1714B"/>
    <w:rsid w:val="00F17BD7"/>
    <w:rsid w:val="00F20E59"/>
    <w:rsid w:val="00F2190D"/>
    <w:rsid w:val="00F22502"/>
    <w:rsid w:val="00F2299E"/>
    <w:rsid w:val="00F22CC3"/>
    <w:rsid w:val="00F22F20"/>
    <w:rsid w:val="00F238F8"/>
    <w:rsid w:val="00F23D4A"/>
    <w:rsid w:val="00F24BFC"/>
    <w:rsid w:val="00F25541"/>
    <w:rsid w:val="00F25AB6"/>
    <w:rsid w:val="00F26A9B"/>
    <w:rsid w:val="00F27F79"/>
    <w:rsid w:val="00F305C0"/>
    <w:rsid w:val="00F30C5A"/>
    <w:rsid w:val="00F32E8A"/>
    <w:rsid w:val="00F33004"/>
    <w:rsid w:val="00F33082"/>
    <w:rsid w:val="00F33155"/>
    <w:rsid w:val="00F339F7"/>
    <w:rsid w:val="00F34B5F"/>
    <w:rsid w:val="00F35201"/>
    <w:rsid w:val="00F36267"/>
    <w:rsid w:val="00F3686C"/>
    <w:rsid w:val="00F37F04"/>
    <w:rsid w:val="00F4025F"/>
    <w:rsid w:val="00F4054B"/>
    <w:rsid w:val="00F4067D"/>
    <w:rsid w:val="00F4131C"/>
    <w:rsid w:val="00F41ACA"/>
    <w:rsid w:val="00F42B23"/>
    <w:rsid w:val="00F4329B"/>
    <w:rsid w:val="00F43660"/>
    <w:rsid w:val="00F43BC2"/>
    <w:rsid w:val="00F43D71"/>
    <w:rsid w:val="00F440A9"/>
    <w:rsid w:val="00F4450E"/>
    <w:rsid w:val="00F457CA"/>
    <w:rsid w:val="00F47FE6"/>
    <w:rsid w:val="00F51004"/>
    <w:rsid w:val="00F54DCD"/>
    <w:rsid w:val="00F55A99"/>
    <w:rsid w:val="00F56CD4"/>
    <w:rsid w:val="00F56FC9"/>
    <w:rsid w:val="00F577FF"/>
    <w:rsid w:val="00F606E7"/>
    <w:rsid w:val="00F60818"/>
    <w:rsid w:val="00F6098D"/>
    <w:rsid w:val="00F6258E"/>
    <w:rsid w:val="00F6298E"/>
    <w:rsid w:val="00F62A27"/>
    <w:rsid w:val="00F63192"/>
    <w:rsid w:val="00F63E6A"/>
    <w:rsid w:val="00F6555D"/>
    <w:rsid w:val="00F65AAF"/>
    <w:rsid w:val="00F67E40"/>
    <w:rsid w:val="00F7025A"/>
    <w:rsid w:val="00F70DFA"/>
    <w:rsid w:val="00F70E58"/>
    <w:rsid w:val="00F71244"/>
    <w:rsid w:val="00F74A9C"/>
    <w:rsid w:val="00F74B85"/>
    <w:rsid w:val="00F76761"/>
    <w:rsid w:val="00F808D1"/>
    <w:rsid w:val="00F81FE8"/>
    <w:rsid w:val="00F829EB"/>
    <w:rsid w:val="00F83447"/>
    <w:rsid w:val="00F8400D"/>
    <w:rsid w:val="00F846FC"/>
    <w:rsid w:val="00F84CC2"/>
    <w:rsid w:val="00F85436"/>
    <w:rsid w:val="00F85C4B"/>
    <w:rsid w:val="00F873FB"/>
    <w:rsid w:val="00F90A17"/>
    <w:rsid w:val="00F90EF3"/>
    <w:rsid w:val="00F918FA"/>
    <w:rsid w:val="00F925A8"/>
    <w:rsid w:val="00F927DC"/>
    <w:rsid w:val="00F93786"/>
    <w:rsid w:val="00F93A17"/>
    <w:rsid w:val="00F94833"/>
    <w:rsid w:val="00F9528F"/>
    <w:rsid w:val="00F959ED"/>
    <w:rsid w:val="00F97257"/>
    <w:rsid w:val="00FA0CD3"/>
    <w:rsid w:val="00FA1D7A"/>
    <w:rsid w:val="00FA266D"/>
    <w:rsid w:val="00FA2CF7"/>
    <w:rsid w:val="00FA3108"/>
    <w:rsid w:val="00FA3155"/>
    <w:rsid w:val="00FA32B7"/>
    <w:rsid w:val="00FA387C"/>
    <w:rsid w:val="00FA3B68"/>
    <w:rsid w:val="00FA4346"/>
    <w:rsid w:val="00FA46AE"/>
    <w:rsid w:val="00FA73E7"/>
    <w:rsid w:val="00FB0522"/>
    <w:rsid w:val="00FB13A1"/>
    <w:rsid w:val="00FB15DA"/>
    <w:rsid w:val="00FB1F53"/>
    <w:rsid w:val="00FB24A5"/>
    <w:rsid w:val="00FB2DEE"/>
    <w:rsid w:val="00FB2FF4"/>
    <w:rsid w:val="00FB36C3"/>
    <w:rsid w:val="00FB3CD4"/>
    <w:rsid w:val="00FB50A2"/>
    <w:rsid w:val="00FB5D0F"/>
    <w:rsid w:val="00FB7271"/>
    <w:rsid w:val="00FB7653"/>
    <w:rsid w:val="00FB7F9C"/>
    <w:rsid w:val="00FC09FC"/>
    <w:rsid w:val="00FC0B73"/>
    <w:rsid w:val="00FC186A"/>
    <w:rsid w:val="00FC2DFC"/>
    <w:rsid w:val="00FC4358"/>
    <w:rsid w:val="00FC4676"/>
    <w:rsid w:val="00FC4BC4"/>
    <w:rsid w:val="00FC4BCB"/>
    <w:rsid w:val="00FC4FD6"/>
    <w:rsid w:val="00FC5033"/>
    <w:rsid w:val="00FC53AA"/>
    <w:rsid w:val="00FD0F1D"/>
    <w:rsid w:val="00FD122C"/>
    <w:rsid w:val="00FD1361"/>
    <w:rsid w:val="00FD1BB6"/>
    <w:rsid w:val="00FD2135"/>
    <w:rsid w:val="00FD35C6"/>
    <w:rsid w:val="00FD40B5"/>
    <w:rsid w:val="00FD42FB"/>
    <w:rsid w:val="00FD4BE7"/>
    <w:rsid w:val="00FD519C"/>
    <w:rsid w:val="00FD672C"/>
    <w:rsid w:val="00FD7A15"/>
    <w:rsid w:val="00FE138B"/>
    <w:rsid w:val="00FE1C14"/>
    <w:rsid w:val="00FE2446"/>
    <w:rsid w:val="00FE2940"/>
    <w:rsid w:val="00FE2AD8"/>
    <w:rsid w:val="00FE35C3"/>
    <w:rsid w:val="00FE3829"/>
    <w:rsid w:val="00FE3BBA"/>
    <w:rsid w:val="00FE4AE6"/>
    <w:rsid w:val="00FE68D2"/>
    <w:rsid w:val="00FE6C1A"/>
    <w:rsid w:val="00FE75ED"/>
    <w:rsid w:val="00FE7F16"/>
    <w:rsid w:val="00FF0667"/>
    <w:rsid w:val="00FF0B42"/>
    <w:rsid w:val="00FF1714"/>
    <w:rsid w:val="00FF1AB1"/>
    <w:rsid w:val="00FF2057"/>
    <w:rsid w:val="00FF20E7"/>
    <w:rsid w:val="00FF2275"/>
    <w:rsid w:val="00FF2EC9"/>
    <w:rsid w:val="00FF301B"/>
    <w:rsid w:val="00FF3CFE"/>
    <w:rsid w:val="00FF4186"/>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579E1A1"/>
  <w15:docId w15:val="{4CBA34D8-7E1C-4EC8-A3A7-BD2C1380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3A6"/>
    <w:rPr>
      <w:sz w:val="24"/>
      <w:szCs w:val="24"/>
    </w:rPr>
  </w:style>
  <w:style w:type="paragraph" w:styleId="Heading1">
    <w:name w:val="heading 1"/>
    <w:basedOn w:val="Normal"/>
    <w:next w:val="Normal"/>
    <w:link w:val="Heading1Char"/>
    <w:uiPriority w:val="9"/>
    <w:qFormat/>
    <w:rsid w:val="0005417A"/>
    <w:pPr>
      <w:keepNext/>
      <w:overflowPunct w:val="0"/>
      <w:autoSpaceDE w:val="0"/>
      <w:autoSpaceDN w:val="0"/>
      <w:adjustRightInd w:val="0"/>
      <w:outlineLvl w:val="0"/>
    </w:pPr>
    <w:rPr>
      <w:b/>
      <w:szCs w:val="20"/>
      <w:lang w:eastAsia="en-US"/>
    </w:rPr>
  </w:style>
  <w:style w:type="paragraph" w:styleId="Heading2">
    <w:name w:val="heading 2"/>
    <w:basedOn w:val="Normal"/>
    <w:next w:val="Normal"/>
    <w:qFormat/>
    <w:rsid w:val="0005417A"/>
    <w:pPr>
      <w:keepNext/>
      <w:tabs>
        <w:tab w:val="right" w:pos="4500"/>
      </w:tabs>
      <w:spacing w:before="60" w:after="60"/>
      <w:ind w:right="72"/>
      <w:jc w:val="both"/>
      <w:outlineLvl w:val="1"/>
    </w:pPr>
    <w:rPr>
      <w:b/>
      <w:bCs/>
      <w:lang w:eastAsia="en-US"/>
    </w:rPr>
  </w:style>
  <w:style w:type="paragraph" w:styleId="Heading3">
    <w:name w:val="heading 3"/>
    <w:basedOn w:val="Normal"/>
    <w:next w:val="Normal"/>
    <w:qFormat/>
    <w:rsid w:val="0005417A"/>
    <w:pPr>
      <w:keepNext/>
      <w:spacing w:before="60" w:after="60"/>
      <w:jc w:val="both"/>
      <w:outlineLvl w:val="2"/>
    </w:pPr>
    <w:rPr>
      <w:b/>
      <w:bCs/>
      <w:sz w:val="20"/>
      <w:lang w:eastAsia="en-US"/>
    </w:rPr>
  </w:style>
  <w:style w:type="paragraph" w:styleId="Heading4">
    <w:name w:val="heading 4"/>
    <w:basedOn w:val="Normal"/>
    <w:next w:val="Normal"/>
    <w:qFormat/>
    <w:rsid w:val="0005417A"/>
    <w:pPr>
      <w:keepNext/>
      <w:spacing w:before="60" w:after="60"/>
      <w:outlineLvl w:val="3"/>
    </w:pPr>
    <w:rPr>
      <w:b/>
      <w:bCs/>
      <w:sz w:val="20"/>
      <w:lang w:eastAsia="en-US"/>
    </w:rPr>
  </w:style>
  <w:style w:type="paragraph" w:styleId="Heading5">
    <w:name w:val="heading 5"/>
    <w:basedOn w:val="Normal"/>
    <w:next w:val="Normal"/>
    <w:qFormat/>
    <w:rsid w:val="0005417A"/>
    <w:pPr>
      <w:keepNext/>
      <w:tabs>
        <w:tab w:val="left" w:pos="720"/>
      </w:tabs>
      <w:overflowPunct w:val="0"/>
      <w:autoSpaceDE w:val="0"/>
      <w:autoSpaceDN w:val="0"/>
      <w:adjustRightInd w:val="0"/>
      <w:jc w:val="both"/>
      <w:outlineLvl w:val="4"/>
    </w:pPr>
    <w:rPr>
      <w:b/>
      <w:szCs w:val="20"/>
      <w:lang w:eastAsia="en-US"/>
    </w:rPr>
  </w:style>
  <w:style w:type="paragraph" w:styleId="Heading6">
    <w:name w:val="heading 6"/>
    <w:basedOn w:val="Normal"/>
    <w:next w:val="Normal"/>
    <w:qFormat/>
    <w:rsid w:val="0005417A"/>
    <w:pPr>
      <w:keepNext/>
      <w:outlineLvl w:val="5"/>
    </w:pPr>
    <w:rPr>
      <w:b/>
      <w:sz w:val="16"/>
      <w:lang w:eastAsia="en-US"/>
    </w:rPr>
  </w:style>
  <w:style w:type="paragraph" w:styleId="Heading7">
    <w:name w:val="heading 7"/>
    <w:basedOn w:val="Normal"/>
    <w:next w:val="Normal"/>
    <w:qFormat/>
    <w:rsid w:val="0005417A"/>
    <w:pPr>
      <w:keepNext/>
      <w:tabs>
        <w:tab w:val="left" w:pos="567"/>
      </w:tabs>
      <w:overflowPunct w:val="0"/>
      <w:autoSpaceDE w:val="0"/>
      <w:autoSpaceDN w:val="0"/>
      <w:adjustRightInd w:val="0"/>
      <w:jc w:val="both"/>
      <w:outlineLvl w:val="6"/>
    </w:pPr>
    <w:rPr>
      <w:b/>
      <w:bCs/>
      <w:i/>
      <w:szCs w:val="20"/>
      <w:lang w:eastAsia="en-US"/>
    </w:rPr>
  </w:style>
  <w:style w:type="paragraph" w:styleId="Heading8">
    <w:name w:val="heading 8"/>
    <w:basedOn w:val="Normal"/>
    <w:next w:val="Normal"/>
    <w:qFormat/>
    <w:rsid w:val="0005417A"/>
    <w:pPr>
      <w:keepNext/>
      <w:tabs>
        <w:tab w:val="left" w:pos="5040"/>
        <w:tab w:val="left" w:pos="7380"/>
      </w:tabs>
      <w:ind w:left="360" w:hanging="360"/>
      <w:outlineLvl w:val="7"/>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417A"/>
    <w:rPr>
      <w:color w:val="0000FF"/>
      <w:u w:val="single"/>
    </w:rPr>
  </w:style>
  <w:style w:type="character" w:styleId="FollowedHyperlink">
    <w:name w:val="FollowedHyperlink"/>
    <w:basedOn w:val="DefaultParagraphFont"/>
    <w:uiPriority w:val="99"/>
    <w:rsid w:val="0005417A"/>
    <w:rPr>
      <w:color w:val="800080"/>
      <w:u w:val="single"/>
    </w:rPr>
  </w:style>
  <w:style w:type="paragraph" w:styleId="HTMLPreformatted">
    <w:name w:val="HTML Preformatted"/>
    <w:basedOn w:val="Normal"/>
    <w:rsid w:val="0005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5417A"/>
    <w:pPr>
      <w:spacing w:before="100" w:beforeAutospacing="1" w:after="100" w:afterAutospacing="1"/>
    </w:pPr>
    <w:rPr>
      <w:rFonts w:ascii="Arial" w:hAnsi="Arial" w:cs="Arial"/>
      <w:sz w:val="20"/>
      <w:szCs w:val="20"/>
    </w:rPr>
  </w:style>
  <w:style w:type="paragraph" w:styleId="CommentText">
    <w:name w:val="annotation text"/>
    <w:basedOn w:val="Normal"/>
    <w:link w:val="CommentTextChar"/>
    <w:uiPriority w:val="99"/>
    <w:semiHidden/>
    <w:rsid w:val="0005417A"/>
    <w:rPr>
      <w:sz w:val="20"/>
      <w:szCs w:val="20"/>
    </w:rPr>
  </w:style>
  <w:style w:type="paragraph" w:styleId="Header">
    <w:name w:val="header"/>
    <w:basedOn w:val="Normal"/>
    <w:link w:val="HeaderChar"/>
    <w:uiPriority w:val="99"/>
    <w:rsid w:val="0005417A"/>
    <w:pPr>
      <w:tabs>
        <w:tab w:val="center" w:pos="4153"/>
        <w:tab w:val="right" w:pos="8306"/>
      </w:tabs>
      <w:overflowPunct w:val="0"/>
      <w:autoSpaceDE w:val="0"/>
      <w:autoSpaceDN w:val="0"/>
      <w:adjustRightInd w:val="0"/>
    </w:pPr>
    <w:rPr>
      <w:szCs w:val="20"/>
      <w:lang w:eastAsia="en-US"/>
    </w:rPr>
  </w:style>
  <w:style w:type="paragraph" w:styleId="Footer">
    <w:name w:val="footer"/>
    <w:basedOn w:val="Normal"/>
    <w:link w:val="FooterChar"/>
    <w:uiPriority w:val="99"/>
    <w:rsid w:val="0005417A"/>
    <w:pPr>
      <w:tabs>
        <w:tab w:val="center" w:pos="4153"/>
        <w:tab w:val="right" w:pos="8306"/>
      </w:tabs>
      <w:overflowPunct w:val="0"/>
      <w:autoSpaceDE w:val="0"/>
      <w:autoSpaceDN w:val="0"/>
      <w:adjustRightInd w:val="0"/>
    </w:pPr>
    <w:rPr>
      <w:szCs w:val="20"/>
      <w:lang w:eastAsia="en-US"/>
    </w:rPr>
  </w:style>
  <w:style w:type="paragraph" w:styleId="Title">
    <w:name w:val="Title"/>
    <w:basedOn w:val="Normal"/>
    <w:qFormat/>
    <w:rsid w:val="0005417A"/>
    <w:pPr>
      <w:overflowPunct w:val="0"/>
      <w:autoSpaceDE w:val="0"/>
      <w:autoSpaceDN w:val="0"/>
      <w:adjustRightInd w:val="0"/>
      <w:jc w:val="center"/>
    </w:pPr>
    <w:rPr>
      <w:b/>
      <w:szCs w:val="20"/>
      <w:lang w:eastAsia="en-US"/>
    </w:rPr>
  </w:style>
  <w:style w:type="paragraph" w:styleId="BodyText">
    <w:name w:val="Body Text"/>
    <w:basedOn w:val="Normal"/>
    <w:rsid w:val="0005417A"/>
    <w:pPr>
      <w:overflowPunct w:val="0"/>
      <w:autoSpaceDE w:val="0"/>
      <w:autoSpaceDN w:val="0"/>
      <w:adjustRightInd w:val="0"/>
      <w:spacing w:after="240" w:line="360" w:lineRule="auto"/>
      <w:jc w:val="both"/>
    </w:pPr>
    <w:rPr>
      <w:szCs w:val="20"/>
      <w:lang w:eastAsia="en-US"/>
    </w:rPr>
  </w:style>
  <w:style w:type="paragraph" w:styleId="BodyTextIndent">
    <w:name w:val="Body Text Indent"/>
    <w:basedOn w:val="Normal"/>
    <w:rsid w:val="0005417A"/>
    <w:pPr>
      <w:tabs>
        <w:tab w:val="left" w:pos="426"/>
      </w:tabs>
      <w:overflowPunct w:val="0"/>
      <w:autoSpaceDE w:val="0"/>
      <w:autoSpaceDN w:val="0"/>
      <w:adjustRightInd w:val="0"/>
      <w:ind w:left="426" w:hanging="426"/>
      <w:jc w:val="both"/>
    </w:pPr>
    <w:rPr>
      <w:szCs w:val="20"/>
      <w:lang w:eastAsia="en-US"/>
    </w:rPr>
  </w:style>
  <w:style w:type="paragraph" w:styleId="BodyTextIndent2">
    <w:name w:val="Body Text Indent 2"/>
    <w:basedOn w:val="Normal"/>
    <w:rsid w:val="0005417A"/>
    <w:pPr>
      <w:tabs>
        <w:tab w:val="left" w:pos="567"/>
      </w:tabs>
      <w:overflowPunct w:val="0"/>
      <w:autoSpaceDE w:val="0"/>
      <w:autoSpaceDN w:val="0"/>
      <w:adjustRightInd w:val="0"/>
      <w:ind w:left="567" w:hanging="567"/>
      <w:jc w:val="both"/>
    </w:pPr>
    <w:rPr>
      <w:szCs w:val="20"/>
      <w:lang w:eastAsia="en-US"/>
    </w:rPr>
  </w:style>
  <w:style w:type="paragraph" w:styleId="CommentSubject">
    <w:name w:val="annotation subject"/>
    <w:basedOn w:val="CommentText"/>
    <w:next w:val="CommentText"/>
    <w:link w:val="CommentSubjectChar"/>
    <w:uiPriority w:val="99"/>
    <w:semiHidden/>
    <w:rsid w:val="0005417A"/>
    <w:rPr>
      <w:b/>
      <w:bCs/>
    </w:rPr>
  </w:style>
  <w:style w:type="paragraph" w:styleId="BalloonText">
    <w:name w:val="Balloon Text"/>
    <w:basedOn w:val="Normal"/>
    <w:link w:val="BalloonTextChar"/>
    <w:uiPriority w:val="99"/>
    <w:semiHidden/>
    <w:rsid w:val="0005417A"/>
    <w:rPr>
      <w:rFonts w:ascii="Tahoma" w:hAnsi="Tahoma" w:cs="Tahoma"/>
      <w:sz w:val="16"/>
      <w:szCs w:val="16"/>
    </w:rPr>
  </w:style>
  <w:style w:type="paragraph" w:customStyle="1" w:styleId="bodycopy">
    <w:name w:val="body copy"/>
    <w:rsid w:val="0005417A"/>
    <w:pPr>
      <w:spacing w:after="120" w:line="230" w:lineRule="exact"/>
    </w:pPr>
    <w:rPr>
      <w:rFonts w:ascii="Hermes-Thin" w:hAnsi="Hermes-Thin"/>
      <w:color w:val="000000"/>
      <w:sz w:val="18"/>
      <w:lang w:eastAsia="en-US"/>
    </w:rPr>
  </w:style>
  <w:style w:type="paragraph" w:customStyle="1" w:styleId="pageheader">
    <w:name w:val="page header"/>
    <w:autoRedefine/>
    <w:rsid w:val="0005417A"/>
    <w:rPr>
      <w:rFonts w:ascii="Clarendon" w:hAnsi="Clarendon"/>
      <w:b/>
      <w:color w:val="80CCFF"/>
      <w:spacing w:val="-16"/>
      <w:sz w:val="36"/>
      <w:lang w:eastAsia="en-US"/>
    </w:rPr>
  </w:style>
  <w:style w:type="character" w:customStyle="1" w:styleId="sectionheaderChar1">
    <w:name w:val="section header Char1"/>
    <w:basedOn w:val="DefaultParagraphFont"/>
    <w:link w:val="sectionheader"/>
    <w:locked/>
    <w:rsid w:val="0005417A"/>
    <w:rPr>
      <w:b/>
      <w:bCs/>
      <w:sz w:val="24"/>
      <w:szCs w:val="22"/>
      <w:lang w:val="en-GB" w:eastAsia="en-US" w:bidi="ar-SA"/>
    </w:rPr>
  </w:style>
  <w:style w:type="paragraph" w:customStyle="1" w:styleId="sectionheader">
    <w:name w:val="section header"/>
    <w:link w:val="sectionheaderChar1"/>
    <w:autoRedefine/>
    <w:rsid w:val="0005417A"/>
    <w:rPr>
      <w:b/>
      <w:bCs/>
      <w:sz w:val="24"/>
      <w:szCs w:val="22"/>
      <w:lang w:eastAsia="en-US"/>
    </w:rPr>
  </w:style>
  <w:style w:type="paragraph" w:customStyle="1" w:styleId="subheading">
    <w:name w:val="sub heading"/>
    <w:rsid w:val="0005417A"/>
    <w:pPr>
      <w:spacing w:before="120"/>
    </w:pPr>
    <w:rPr>
      <w:rFonts w:ascii="Hermes-Regular" w:hAnsi="Hermes-Regular"/>
      <w:color w:val="000000"/>
      <w:sz w:val="18"/>
      <w:lang w:eastAsia="en-US"/>
    </w:rPr>
  </w:style>
  <w:style w:type="paragraph" w:customStyle="1" w:styleId="xl33">
    <w:name w:val="xl33"/>
    <w:basedOn w:val="Normal"/>
    <w:rsid w:val="0005417A"/>
    <w:pPr>
      <w:spacing w:before="100" w:beforeAutospacing="1" w:after="100" w:afterAutospacing="1"/>
      <w:jc w:val="right"/>
    </w:pPr>
    <w:rPr>
      <w:rFonts w:ascii="Hermes-Thin" w:hAnsi="Hermes-Thin"/>
      <w:sz w:val="18"/>
      <w:szCs w:val="18"/>
      <w:lang w:eastAsia="en-US"/>
    </w:rPr>
  </w:style>
  <w:style w:type="paragraph" w:customStyle="1" w:styleId="xl40">
    <w:name w:val="xl40"/>
    <w:basedOn w:val="Normal"/>
    <w:rsid w:val="0005417A"/>
    <w:pPr>
      <w:spacing w:before="100" w:beforeAutospacing="1" w:after="100" w:afterAutospacing="1"/>
      <w:jc w:val="center"/>
    </w:pPr>
    <w:rPr>
      <w:rFonts w:ascii="Hermes-Thin" w:hAnsi="Hermes-Thin"/>
      <w:sz w:val="14"/>
      <w:szCs w:val="14"/>
      <w:lang w:eastAsia="en-US"/>
    </w:rPr>
  </w:style>
  <w:style w:type="paragraph" w:customStyle="1" w:styleId="HTMLPreformatted1">
    <w:name w:val="HTML Preformatted1"/>
    <w:basedOn w:val="Normal"/>
    <w:rsid w:val="0005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rPr>
  </w:style>
  <w:style w:type="paragraph" w:customStyle="1" w:styleId="sectionheaderwithintext">
    <w:name w:val="section header within text"/>
    <w:basedOn w:val="sectionheader"/>
    <w:rsid w:val="0005417A"/>
    <w:pPr>
      <w:spacing w:before="120"/>
    </w:pPr>
    <w:rPr>
      <w:rFonts w:ascii="Clarendon" w:hAnsi="Clarendon"/>
      <w:b w:val="0"/>
      <w:bCs w:val="0"/>
      <w:color w:val="6E0A78"/>
      <w:szCs w:val="20"/>
      <w:lang w:val="en-US"/>
    </w:rPr>
  </w:style>
  <w:style w:type="paragraph" w:customStyle="1" w:styleId="bodycopy0">
    <w:name w:val="bodycopy"/>
    <w:basedOn w:val="Normal"/>
    <w:rsid w:val="0005417A"/>
    <w:pPr>
      <w:spacing w:before="100" w:beforeAutospacing="1" w:after="100" w:afterAutospacing="1"/>
    </w:pPr>
  </w:style>
  <w:style w:type="character" w:styleId="CommentReference">
    <w:name w:val="annotation reference"/>
    <w:basedOn w:val="DefaultParagraphFont"/>
    <w:uiPriority w:val="99"/>
    <w:semiHidden/>
    <w:rsid w:val="0005417A"/>
    <w:rPr>
      <w:sz w:val="16"/>
      <w:szCs w:val="16"/>
    </w:rPr>
  </w:style>
  <w:style w:type="character" w:customStyle="1" w:styleId="bodycopynumber">
    <w:name w:val="body copy number"/>
    <w:rsid w:val="0005417A"/>
    <w:rPr>
      <w:rFonts w:ascii="Hermes-Regular" w:hAnsi="Hermes-Regular" w:hint="default"/>
      <w:sz w:val="18"/>
    </w:rPr>
  </w:style>
  <w:style w:type="character" w:customStyle="1" w:styleId="sectionheadernumber">
    <w:name w:val="section header number"/>
    <w:rsid w:val="0005417A"/>
    <w:rPr>
      <w:rFonts w:ascii="Clarendon Light" w:hAnsi="Clarendon Light" w:hint="default"/>
      <w:sz w:val="34"/>
    </w:rPr>
  </w:style>
  <w:style w:type="character" w:customStyle="1" w:styleId="pageheadercontinued">
    <w:name w:val="page header continued"/>
    <w:rsid w:val="0005417A"/>
    <w:rPr>
      <w:rFonts w:ascii="Clarendon Light" w:hAnsi="Clarendon Light" w:hint="default"/>
    </w:rPr>
  </w:style>
  <w:style w:type="character" w:customStyle="1" w:styleId="bodycopyChar">
    <w:name w:val="body copy Char"/>
    <w:basedOn w:val="DefaultParagraphFont"/>
    <w:rsid w:val="0005417A"/>
    <w:rPr>
      <w:rFonts w:ascii="Hermes-Thin" w:hAnsi="Hermes-Thin" w:hint="default"/>
      <w:color w:val="000000"/>
      <w:sz w:val="18"/>
      <w:lang w:val="en-GB" w:eastAsia="en-US" w:bidi="ar-SA"/>
    </w:rPr>
  </w:style>
  <w:style w:type="character" w:styleId="PageNumber">
    <w:name w:val="page number"/>
    <w:basedOn w:val="DefaultParagraphFont"/>
    <w:rsid w:val="0005417A"/>
  </w:style>
  <w:style w:type="table" w:styleId="TableGrid">
    <w:name w:val="Table Grid"/>
    <w:basedOn w:val="TableNormal"/>
    <w:uiPriority w:val="39"/>
    <w:rsid w:val="000A0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923"/>
    <w:pPr>
      <w:ind w:left="720"/>
      <w:contextualSpacing/>
    </w:pPr>
  </w:style>
  <w:style w:type="paragraph" w:customStyle="1" w:styleId="Pa194">
    <w:name w:val="Pa19+4"/>
    <w:basedOn w:val="Normal"/>
    <w:next w:val="Normal"/>
    <w:uiPriority w:val="99"/>
    <w:rsid w:val="000D4AAF"/>
    <w:pPr>
      <w:autoSpaceDE w:val="0"/>
      <w:autoSpaceDN w:val="0"/>
      <w:adjustRightInd w:val="0"/>
      <w:spacing w:after="100" w:line="161" w:lineRule="atLeast"/>
    </w:pPr>
    <w:rPr>
      <w:rFonts w:ascii="Pluto Sans Light" w:hAnsi="Pluto Sans Light"/>
    </w:rPr>
  </w:style>
  <w:style w:type="paragraph" w:customStyle="1" w:styleId="Body">
    <w:name w:val="Body"/>
    <w:rsid w:val="008777BC"/>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customStyle="1" w:styleId="Pa91">
    <w:name w:val="Pa9+1"/>
    <w:basedOn w:val="Normal"/>
    <w:next w:val="Normal"/>
    <w:uiPriority w:val="99"/>
    <w:rsid w:val="008777BC"/>
    <w:pPr>
      <w:autoSpaceDE w:val="0"/>
      <w:autoSpaceDN w:val="0"/>
      <w:adjustRightInd w:val="0"/>
      <w:spacing w:line="161" w:lineRule="atLeast"/>
    </w:pPr>
    <w:rPr>
      <w:rFonts w:ascii="Pluto Sans Light" w:eastAsiaTheme="minorHAnsi" w:hAnsi="Pluto Sans Light" w:cstheme="minorBidi"/>
      <w:lang w:eastAsia="en-US"/>
    </w:rPr>
  </w:style>
  <w:style w:type="paragraph" w:customStyle="1" w:styleId="Default">
    <w:name w:val="Default"/>
    <w:rsid w:val="001B2B1C"/>
    <w:pPr>
      <w:autoSpaceDE w:val="0"/>
      <w:autoSpaceDN w:val="0"/>
      <w:adjustRightInd w:val="0"/>
    </w:pPr>
    <w:rPr>
      <w:rFonts w:ascii="Pluto Sans Medium" w:eastAsiaTheme="minorHAnsi" w:hAnsi="Pluto Sans Medium" w:cs="Pluto Sans Medium"/>
      <w:color w:val="000000"/>
      <w:sz w:val="24"/>
      <w:szCs w:val="24"/>
      <w:lang w:eastAsia="en-US"/>
    </w:rPr>
  </w:style>
  <w:style w:type="character" w:customStyle="1" w:styleId="v">
    <w:name w:val="v"/>
    <w:basedOn w:val="DefaultParagraphFont"/>
    <w:rsid w:val="001B2B1C"/>
  </w:style>
  <w:style w:type="paragraph" w:customStyle="1" w:styleId="BodyText1">
    <w:name w:val="Body Text 1"/>
    <w:basedOn w:val="Normal"/>
    <w:link w:val="BodyText1Char"/>
    <w:qFormat/>
    <w:rsid w:val="004F5D24"/>
    <w:pPr>
      <w:spacing w:after="200"/>
      <w:ind w:left="680"/>
      <w:jc w:val="both"/>
    </w:pPr>
    <w:rPr>
      <w:rFonts w:cs="Times"/>
      <w:sz w:val="20"/>
      <w:lang w:eastAsia="en-US"/>
    </w:rPr>
  </w:style>
  <w:style w:type="character" w:customStyle="1" w:styleId="BodyText1Char">
    <w:name w:val="Body Text 1 Char"/>
    <w:basedOn w:val="DefaultParagraphFont"/>
    <w:link w:val="BodyText1"/>
    <w:rsid w:val="004F5D24"/>
    <w:rPr>
      <w:rFonts w:cs="Times"/>
      <w:szCs w:val="24"/>
      <w:lang w:eastAsia="en-US"/>
    </w:rPr>
  </w:style>
  <w:style w:type="paragraph" w:customStyle="1" w:styleId="BodyA">
    <w:name w:val="Body A"/>
    <w:uiPriority w:val="99"/>
    <w:rsid w:val="00E93C6F"/>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styleId="PlainText">
    <w:name w:val="Plain Text"/>
    <w:basedOn w:val="Normal"/>
    <w:link w:val="PlainTextChar"/>
    <w:uiPriority w:val="99"/>
    <w:unhideWhenUsed/>
    <w:rsid w:val="008B354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B3542"/>
    <w:rPr>
      <w:rFonts w:ascii="Calibri" w:eastAsiaTheme="minorHAnsi" w:hAnsi="Calibri" w:cstheme="minorBidi"/>
      <w:sz w:val="22"/>
      <w:szCs w:val="21"/>
      <w:lang w:eastAsia="en-US"/>
    </w:rPr>
  </w:style>
  <w:style w:type="character" w:customStyle="1" w:styleId="A5">
    <w:name w:val="A5"/>
    <w:uiPriority w:val="99"/>
    <w:rsid w:val="005949B7"/>
    <w:rPr>
      <w:rFonts w:ascii="Effra Medium" w:hAnsi="Effra Medium" w:cs="Effra Medium"/>
      <w:color w:val="000000"/>
      <w:sz w:val="22"/>
      <w:szCs w:val="22"/>
    </w:rPr>
  </w:style>
  <w:style w:type="paragraph" w:customStyle="1" w:styleId="ocNum4th1">
    <w:name w:val="oc_Num_4th 1"/>
    <w:basedOn w:val="Normal"/>
    <w:next w:val="BodyText"/>
    <w:rsid w:val="0018542C"/>
    <w:pPr>
      <w:numPr>
        <w:numId w:val="6"/>
      </w:numPr>
      <w:spacing w:after="200"/>
      <w:jc w:val="both"/>
      <w:outlineLvl w:val="0"/>
    </w:pPr>
    <w:rPr>
      <w:rFonts w:eastAsia="SimSun"/>
      <w:sz w:val="20"/>
      <w:lang w:eastAsia="zh-CN" w:bidi="he-IL"/>
    </w:rPr>
  </w:style>
  <w:style w:type="paragraph" w:customStyle="1" w:styleId="ocNum4th2">
    <w:name w:val="oc_Num_4th 2"/>
    <w:basedOn w:val="Normal"/>
    <w:next w:val="BodyText1"/>
    <w:rsid w:val="0018542C"/>
    <w:pPr>
      <w:numPr>
        <w:ilvl w:val="1"/>
        <w:numId w:val="6"/>
      </w:numPr>
      <w:spacing w:after="200"/>
      <w:jc w:val="both"/>
      <w:outlineLvl w:val="1"/>
    </w:pPr>
    <w:rPr>
      <w:rFonts w:eastAsia="SimSun"/>
      <w:sz w:val="20"/>
      <w:lang w:eastAsia="zh-CN" w:bidi="he-IL"/>
    </w:rPr>
  </w:style>
  <w:style w:type="paragraph" w:customStyle="1" w:styleId="ocNum4th3">
    <w:name w:val="oc_Num_4th 3"/>
    <w:basedOn w:val="Normal"/>
    <w:next w:val="BodyText1"/>
    <w:rsid w:val="0018542C"/>
    <w:pPr>
      <w:numPr>
        <w:ilvl w:val="2"/>
        <w:numId w:val="6"/>
      </w:numPr>
      <w:spacing w:after="200"/>
      <w:jc w:val="both"/>
      <w:outlineLvl w:val="2"/>
    </w:pPr>
    <w:rPr>
      <w:rFonts w:eastAsia="SimSun"/>
      <w:sz w:val="20"/>
      <w:lang w:eastAsia="zh-CN" w:bidi="he-IL"/>
    </w:rPr>
  </w:style>
  <w:style w:type="paragraph" w:customStyle="1" w:styleId="ocNum4th4">
    <w:name w:val="oc_Num_4th 4"/>
    <w:basedOn w:val="Normal"/>
    <w:next w:val="BodyText1"/>
    <w:rsid w:val="0018542C"/>
    <w:pPr>
      <w:numPr>
        <w:ilvl w:val="3"/>
        <w:numId w:val="6"/>
      </w:numPr>
      <w:spacing w:after="200"/>
      <w:jc w:val="both"/>
      <w:outlineLvl w:val="3"/>
    </w:pPr>
    <w:rPr>
      <w:rFonts w:eastAsia="SimSun"/>
      <w:sz w:val="20"/>
      <w:lang w:eastAsia="zh-CN" w:bidi="he-IL"/>
    </w:rPr>
  </w:style>
  <w:style w:type="paragraph" w:customStyle="1" w:styleId="ocNum4th5">
    <w:name w:val="oc_Num_4th 5"/>
    <w:basedOn w:val="Normal"/>
    <w:next w:val="BodyText2"/>
    <w:rsid w:val="0018542C"/>
    <w:pPr>
      <w:numPr>
        <w:ilvl w:val="4"/>
        <w:numId w:val="6"/>
      </w:numPr>
      <w:spacing w:after="200"/>
      <w:jc w:val="both"/>
      <w:outlineLvl w:val="4"/>
    </w:pPr>
    <w:rPr>
      <w:rFonts w:eastAsia="SimSun"/>
      <w:sz w:val="20"/>
      <w:lang w:eastAsia="zh-CN" w:bidi="he-IL"/>
    </w:rPr>
  </w:style>
  <w:style w:type="paragraph" w:customStyle="1" w:styleId="ocNum4th6">
    <w:name w:val="oc_Num_4th 6"/>
    <w:basedOn w:val="Normal"/>
    <w:next w:val="BodyText3"/>
    <w:rsid w:val="0018542C"/>
    <w:pPr>
      <w:numPr>
        <w:ilvl w:val="5"/>
        <w:numId w:val="6"/>
      </w:numPr>
      <w:spacing w:after="200"/>
      <w:jc w:val="both"/>
      <w:outlineLvl w:val="5"/>
    </w:pPr>
    <w:rPr>
      <w:rFonts w:eastAsia="SimSun"/>
      <w:sz w:val="20"/>
      <w:lang w:eastAsia="zh-CN" w:bidi="he-IL"/>
    </w:rPr>
  </w:style>
  <w:style w:type="paragraph" w:customStyle="1" w:styleId="ocNum4th7">
    <w:name w:val="oc_Num_4th 7"/>
    <w:basedOn w:val="Normal"/>
    <w:next w:val="Normal"/>
    <w:rsid w:val="0018542C"/>
    <w:pPr>
      <w:numPr>
        <w:ilvl w:val="6"/>
        <w:numId w:val="6"/>
      </w:numPr>
      <w:spacing w:after="200"/>
      <w:jc w:val="both"/>
      <w:outlineLvl w:val="6"/>
    </w:pPr>
    <w:rPr>
      <w:rFonts w:eastAsia="SimSun"/>
      <w:sz w:val="20"/>
      <w:lang w:eastAsia="zh-CN" w:bidi="he-IL"/>
    </w:rPr>
  </w:style>
  <w:style w:type="paragraph" w:customStyle="1" w:styleId="ocNum4th8">
    <w:name w:val="oc_Num_4th 8"/>
    <w:basedOn w:val="Normal"/>
    <w:next w:val="Normal"/>
    <w:rsid w:val="0018542C"/>
    <w:pPr>
      <w:numPr>
        <w:ilvl w:val="7"/>
        <w:numId w:val="6"/>
      </w:numPr>
      <w:spacing w:after="200"/>
      <w:jc w:val="both"/>
      <w:outlineLvl w:val="7"/>
    </w:pPr>
    <w:rPr>
      <w:rFonts w:eastAsia="SimSun"/>
      <w:sz w:val="20"/>
      <w:lang w:eastAsia="zh-CN" w:bidi="he-IL"/>
    </w:rPr>
  </w:style>
  <w:style w:type="paragraph" w:customStyle="1" w:styleId="ocNum4th9">
    <w:name w:val="oc_Num_4th 9"/>
    <w:basedOn w:val="Normal"/>
    <w:next w:val="BodyText"/>
    <w:rsid w:val="0018542C"/>
    <w:pPr>
      <w:numPr>
        <w:ilvl w:val="8"/>
        <w:numId w:val="6"/>
      </w:numPr>
      <w:spacing w:after="200"/>
      <w:jc w:val="both"/>
      <w:outlineLvl w:val="8"/>
    </w:pPr>
    <w:rPr>
      <w:rFonts w:eastAsia="SimSun"/>
      <w:sz w:val="20"/>
      <w:lang w:eastAsia="zh-CN" w:bidi="he-IL"/>
    </w:rPr>
  </w:style>
  <w:style w:type="paragraph" w:styleId="BodyText2">
    <w:name w:val="Body Text 2"/>
    <w:basedOn w:val="Normal"/>
    <w:link w:val="BodyText2Char"/>
    <w:semiHidden/>
    <w:unhideWhenUsed/>
    <w:rsid w:val="0018542C"/>
    <w:pPr>
      <w:spacing w:after="120" w:line="480" w:lineRule="auto"/>
    </w:pPr>
  </w:style>
  <w:style w:type="character" w:customStyle="1" w:styleId="BodyText2Char">
    <w:name w:val="Body Text 2 Char"/>
    <w:basedOn w:val="DefaultParagraphFont"/>
    <w:link w:val="BodyText2"/>
    <w:semiHidden/>
    <w:rsid w:val="0018542C"/>
    <w:rPr>
      <w:sz w:val="24"/>
      <w:szCs w:val="24"/>
    </w:rPr>
  </w:style>
  <w:style w:type="paragraph" w:styleId="BodyText3">
    <w:name w:val="Body Text 3"/>
    <w:basedOn w:val="Normal"/>
    <w:link w:val="BodyText3Char"/>
    <w:semiHidden/>
    <w:unhideWhenUsed/>
    <w:rsid w:val="0018542C"/>
    <w:pPr>
      <w:spacing w:after="120"/>
    </w:pPr>
    <w:rPr>
      <w:sz w:val="16"/>
      <w:szCs w:val="16"/>
    </w:rPr>
  </w:style>
  <w:style w:type="character" w:customStyle="1" w:styleId="BodyText3Char">
    <w:name w:val="Body Text 3 Char"/>
    <w:basedOn w:val="DefaultParagraphFont"/>
    <w:link w:val="BodyText3"/>
    <w:semiHidden/>
    <w:rsid w:val="0018542C"/>
    <w:rPr>
      <w:sz w:val="16"/>
      <w:szCs w:val="16"/>
    </w:rPr>
  </w:style>
  <w:style w:type="paragraph" w:styleId="NoSpacing">
    <w:name w:val="No Spacing"/>
    <w:uiPriority w:val="1"/>
    <w:qFormat/>
    <w:rsid w:val="00B858A3"/>
    <w:rPr>
      <w:rFonts w:asciiTheme="minorHAnsi" w:eastAsiaTheme="minorHAnsi" w:hAnsiTheme="minorHAnsi" w:cstheme="minorBidi"/>
      <w:sz w:val="22"/>
      <w:szCs w:val="22"/>
      <w:lang w:eastAsia="en-US"/>
    </w:rPr>
  </w:style>
  <w:style w:type="paragraph" w:customStyle="1" w:styleId="body0">
    <w:name w:val="body"/>
    <w:basedOn w:val="Normal"/>
    <w:rsid w:val="000F11F3"/>
    <w:pPr>
      <w:spacing w:before="100" w:beforeAutospacing="1" w:after="100" w:afterAutospacing="1"/>
    </w:pPr>
    <w:rPr>
      <w:rFonts w:ascii="Calibri" w:eastAsiaTheme="minorHAnsi" w:hAnsi="Calibri" w:cs="Calibri"/>
      <w:sz w:val="22"/>
      <w:szCs w:val="22"/>
    </w:rPr>
  </w:style>
  <w:style w:type="paragraph" w:customStyle="1" w:styleId="Bodycopy1">
    <w:name w:val="Body copy"/>
    <w:basedOn w:val="Normal"/>
    <w:qFormat/>
    <w:rsid w:val="00D87517"/>
    <w:pPr>
      <w:spacing w:after="100" w:line="240" w:lineRule="exact"/>
    </w:pPr>
    <w:rPr>
      <w:rFonts w:ascii="Arial" w:eastAsia="Calibri" w:hAnsi="Arial"/>
      <w:sz w:val="20"/>
      <w:szCs w:val="22"/>
      <w:lang w:val="en-AU" w:eastAsia="en-US"/>
    </w:rPr>
  </w:style>
  <w:style w:type="paragraph" w:customStyle="1" w:styleId="BodytextBodyText">
    <w:name w:val="Bodytext (Body Text)"/>
    <w:basedOn w:val="Normal"/>
    <w:uiPriority w:val="99"/>
    <w:rsid w:val="00876A14"/>
    <w:pPr>
      <w:autoSpaceDE w:val="0"/>
      <w:autoSpaceDN w:val="0"/>
      <w:spacing w:after="57" w:line="220" w:lineRule="atLeast"/>
    </w:pPr>
    <w:rPr>
      <w:rFonts w:ascii="Open Sans Light" w:eastAsiaTheme="minorHAnsi" w:hAnsi="Open Sans Light" w:cs="Calibri"/>
      <w:color w:val="55565A"/>
      <w:spacing w:val="-3"/>
      <w:sz w:val="17"/>
      <w:szCs w:val="17"/>
    </w:rPr>
  </w:style>
  <w:style w:type="character" w:customStyle="1" w:styleId="aq">
    <w:name w:val="aq"/>
    <w:basedOn w:val="DefaultParagraphFont"/>
    <w:rsid w:val="00127C71"/>
  </w:style>
  <w:style w:type="character" w:customStyle="1" w:styleId="aw">
    <w:name w:val="aw"/>
    <w:basedOn w:val="DefaultParagraphFont"/>
    <w:rsid w:val="00650E5A"/>
  </w:style>
  <w:style w:type="character" w:customStyle="1" w:styleId="dk">
    <w:name w:val="dk"/>
    <w:basedOn w:val="DefaultParagraphFont"/>
    <w:rsid w:val="00310E9B"/>
  </w:style>
  <w:style w:type="paragraph" w:customStyle="1" w:styleId="dr">
    <w:name w:val="dr"/>
    <w:basedOn w:val="Normal"/>
    <w:rsid w:val="00310E9B"/>
    <w:pPr>
      <w:spacing w:before="100" w:beforeAutospacing="1" w:after="100" w:afterAutospacing="1"/>
    </w:pPr>
    <w:rPr>
      <w:lang w:val="en-US" w:eastAsia="en-US"/>
    </w:rPr>
  </w:style>
  <w:style w:type="character" w:customStyle="1" w:styleId="bv">
    <w:name w:val="bv"/>
    <w:basedOn w:val="DefaultParagraphFont"/>
    <w:rsid w:val="00310E9B"/>
  </w:style>
  <w:style w:type="character" w:customStyle="1" w:styleId="bu">
    <w:name w:val="bu"/>
    <w:basedOn w:val="DefaultParagraphFont"/>
    <w:rsid w:val="00310E9B"/>
  </w:style>
  <w:style w:type="character" w:customStyle="1" w:styleId="dg">
    <w:name w:val="dg"/>
    <w:basedOn w:val="DefaultParagraphFont"/>
    <w:rsid w:val="00310E9B"/>
  </w:style>
  <w:style w:type="character" w:customStyle="1" w:styleId="bt">
    <w:name w:val="bt"/>
    <w:basedOn w:val="DefaultParagraphFont"/>
    <w:rsid w:val="00310E9B"/>
  </w:style>
  <w:style w:type="character" w:customStyle="1" w:styleId="FooterChar">
    <w:name w:val="Footer Char"/>
    <w:basedOn w:val="DefaultParagraphFont"/>
    <w:link w:val="Footer"/>
    <w:uiPriority w:val="99"/>
    <w:rsid w:val="00420B99"/>
    <w:rPr>
      <w:sz w:val="24"/>
      <w:lang w:eastAsia="en-US"/>
    </w:rPr>
  </w:style>
  <w:style w:type="paragraph" w:customStyle="1" w:styleId="d">
    <w:name w:val="d"/>
    <w:basedOn w:val="Normal"/>
    <w:rsid w:val="004C6968"/>
    <w:pPr>
      <w:spacing w:before="100" w:beforeAutospacing="1" w:after="100" w:afterAutospacing="1"/>
    </w:pPr>
    <w:rPr>
      <w:rFonts w:eastAsiaTheme="minorHAnsi"/>
    </w:rPr>
  </w:style>
  <w:style w:type="character" w:customStyle="1" w:styleId="ab">
    <w:name w:val="ab"/>
    <w:basedOn w:val="DefaultParagraphFont"/>
    <w:rsid w:val="004C6968"/>
  </w:style>
  <w:style w:type="paragraph" w:styleId="Revision">
    <w:name w:val="Revision"/>
    <w:hidden/>
    <w:uiPriority w:val="99"/>
    <w:semiHidden/>
    <w:rsid w:val="00DA6694"/>
    <w:rPr>
      <w:sz w:val="24"/>
      <w:szCs w:val="24"/>
    </w:rPr>
  </w:style>
  <w:style w:type="character" w:styleId="Emphasis">
    <w:name w:val="Emphasis"/>
    <w:basedOn w:val="DefaultParagraphFont"/>
    <w:qFormat/>
    <w:rsid w:val="00A67775"/>
    <w:rPr>
      <w:i/>
      <w:iCs/>
    </w:rPr>
  </w:style>
  <w:style w:type="paragraph" w:customStyle="1" w:styleId="Pa20">
    <w:name w:val="Pa20"/>
    <w:basedOn w:val="Default"/>
    <w:next w:val="Default"/>
    <w:uiPriority w:val="99"/>
    <w:rsid w:val="00752F66"/>
    <w:pPr>
      <w:spacing w:line="161" w:lineRule="atLeast"/>
    </w:pPr>
    <w:rPr>
      <w:rFonts w:ascii="Graphik Light" w:eastAsia="Times New Roman" w:hAnsi="Graphik Light" w:cs="Times New Roman"/>
      <w:color w:val="auto"/>
      <w:lang w:eastAsia="en-GB"/>
    </w:rPr>
  </w:style>
  <w:style w:type="character" w:customStyle="1" w:styleId="Heading1Char">
    <w:name w:val="Heading 1 Char"/>
    <w:basedOn w:val="DefaultParagraphFont"/>
    <w:link w:val="Heading1"/>
    <w:uiPriority w:val="9"/>
    <w:rsid w:val="00F01EC8"/>
    <w:rPr>
      <w:b/>
      <w:sz w:val="24"/>
      <w:lang w:eastAsia="en-US"/>
    </w:rPr>
  </w:style>
  <w:style w:type="paragraph" w:customStyle="1" w:styleId="msonormal0">
    <w:name w:val="msonormal"/>
    <w:basedOn w:val="Normal"/>
    <w:rsid w:val="00F01EC8"/>
    <w:pPr>
      <w:spacing w:before="100" w:beforeAutospacing="1" w:after="100" w:afterAutospacing="1"/>
    </w:pPr>
  </w:style>
  <w:style w:type="character" w:customStyle="1" w:styleId="CommentTextChar">
    <w:name w:val="Comment Text Char"/>
    <w:basedOn w:val="DefaultParagraphFont"/>
    <w:link w:val="CommentText"/>
    <w:uiPriority w:val="99"/>
    <w:semiHidden/>
    <w:rsid w:val="00F01EC8"/>
  </w:style>
  <w:style w:type="character" w:customStyle="1" w:styleId="HeaderChar">
    <w:name w:val="Header Char"/>
    <w:basedOn w:val="DefaultParagraphFont"/>
    <w:link w:val="Header"/>
    <w:uiPriority w:val="99"/>
    <w:rsid w:val="00F01EC8"/>
    <w:rPr>
      <w:sz w:val="24"/>
      <w:lang w:eastAsia="en-US"/>
    </w:rPr>
  </w:style>
  <w:style w:type="character" w:customStyle="1" w:styleId="CommentSubjectChar">
    <w:name w:val="Comment Subject Char"/>
    <w:basedOn w:val="CommentTextChar"/>
    <w:link w:val="CommentSubject"/>
    <w:uiPriority w:val="99"/>
    <w:semiHidden/>
    <w:rsid w:val="00F01EC8"/>
    <w:rPr>
      <w:b/>
      <w:bCs/>
    </w:rPr>
  </w:style>
  <w:style w:type="character" w:customStyle="1" w:styleId="BalloonTextChar">
    <w:name w:val="Balloon Text Char"/>
    <w:basedOn w:val="DefaultParagraphFont"/>
    <w:link w:val="BalloonText"/>
    <w:uiPriority w:val="99"/>
    <w:semiHidden/>
    <w:rsid w:val="00F01EC8"/>
    <w:rPr>
      <w:rFonts w:ascii="Tahoma" w:hAnsi="Tahoma" w:cs="Tahoma"/>
      <w:sz w:val="16"/>
      <w:szCs w:val="16"/>
    </w:rPr>
  </w:style>
  <w:style w:type="paragraph" w:customStyle="1" w:styleId="Pa22">
    <w:name w:val="Pa22"/>
    <w:basedOn w:val="Normal"/>
    <w:next w:val="Normal"/>
    <w:uiPriority w:val="99"/>
    <w:rsid w:val="00F01EC8"/>
    <w:pPr>
      <w:autoSpaceDE w:val="0"/>
      <w:autoSpaceDN w:val="0"/>
      <w:adjustRightInd w:val="0"/>
      <w:spacing w:line="171" w:lineRule="atLeast"/>
    </w:pPr>
    <w:rPr>
      <w:rFonts w:ascii="Graphik Medium" w:eastAsiaTheme="minorHAnsi" w:hAnsi="Graphik Medium" w:cstheme="minorBidi"/>
      <w:lang w:eastAsia="en-US"/>
    </w:rPr>
  </w:style>
  <w:style w:type="character" w:styleId="Strong">
    <w:name w:val="Strong"/>
    <w:basedOn w:val="DefaultParagraphFont"/>
    <w:uiPriority w:val="22"/>
    <w:qFormat/>
    <w:rsid w:val="00F01EC8"/>
    <w:rPr>
      <w:b/>
      <w:bCs/>
    </w:rPr>
  </w:style>
  <w:style w:type="paragraph" w:customStyle="1" w:styleId="TableParagraph">
    <w:name w:val="Table Paragraph"/>
    <w:basedOn w:val="Normal"/>
    <w:uiPriority w:val="1"/>
    <w:qFormat/>
    <w:rsid w:val="006A5B4B"/>
    <w:pPr>
      <w:widowControl w:val="0"/>
      <w:autoSpaceDE w:val="0"/>
      <w:autoSpaceDN w:val="0"/>
    </w:pPr>
    <w:rPr>
      <w:rFonts w:ascii="Graphik Light" w:eastAsia="Graphik Light" w:hAnsi="Graphik Light" w:cs="Graphik Light"/>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9054">
      <w:bodyDiv w:val="1"/>
      <w:marLeft w:val="0"/>
      <w:marRight w:val="0"/>
      <w:marTop w:val="0"/>
      <w:marBottom w:val="0"/>
      <w:divBdr>
        <w:top w:val="none" w:sz="0" w:space="0" w:color="auto"/>
        <w:left w:val="none" w:sz="0" w:space="0" w:color="auto"/>
        <w:bottom w:val="none" w:sz="0" w:space="0" w:color="auto"/>
        <w:right w:val="none" w:sz="0" w:space="0" w:color="auto"/>
      </w:divBdr>
    </w:div>
    <w:div w:id="104231445">
      <w:bodyDiv w:val="1"/>
      <w:marLeft w:val="0"/>
      <w:marRight w:val="0"/>
      <w:marTop w:val="0"/>
      <w:marBottom w:val="0"/>
      <w:divBdr>
        <w:top w:val="none" w:sz="0" w:space="0" w:color="auto"/>
        <w:left w:val="none" w:sz="0" w:space="0" w:color="auto"/>
        <w:bottom w:val="none" w:sz="0" w:space="0" w:color="auto"/>
        <w:right w:val="none" w:sz="0" w:space="0" w:color="auto"/>
      </w:divBdr>
      <w:divsChild>
        <w:div w:id="357632394">
          <w:marLeft w:val="288"/>
          <w:marRight w:val="0"/>
          <w:marTop w:val="0"/>
          <w:marBottom w:val="170"/>
          <w:divBdr>
            <w:top w:val="none" w:sz="0" w:space="0" w:color="auto"/>
            <w:left w:val="none" w:sz="0" w:space="0" w:color="auto"/>
            <w:bottom w:val="none" w:sz="0" w:space="0" w:color="auto"/>
            <w:right w:val="none" w:sz="0" w:space="0" w:color="auto"/>
          </w:divBdr>
        </w:div>
      </w:divsChild>
    </w:div>
    <w:div w:id="262038372">
      <w:bodyDiv w:val="1"/>
      <w:marLeft w:val="0"/>
      <w:marRight w:val="0"/>
      <w:marTop w:val="0"/>
      <w:marBottom w:val="0"/>
      <w:divBdr>
        <w:top w:val="none" w:sz="0" w:space="0" w:color="auto"/>
        <w:left w:val="none" w:sz="0" w:space="0" w:color="auto"/>
        <w:bottom w:val="none" w:sz="0" w:space="0" w:color="auto"/>
        <w:right w:val="none" w:sz="0" w:space="0" w:color="auto"/>
      </w:divBdr>
    </w:div>
    <w:div w:id="303312814">
      <w:bodyDiv w:val="1"/>
      <w:marLeft w:val="0"/>
      <w:marRight w:val="0"/>
      <w:marTop w:val="0"/>
      <w:marBottom w:val="0"/>
      <w:divBdr>
        <w:top w:val="none" w:sz="0" w:space="0" w:color="auto"/>
        <w:left w:val="none" w:sz="0" w:space="0" w:color="auto"/>
        <w:bottom w:val="none" w:sz="0" w:space="0" w:color="auto"/>
        <w:right w:val="none" w:sz="0" w:space="0" w:color="auto"/>
      </w:divBdr>
    </w:div>
    <w:div w:id="309989575">
      <w:bodyDiv w:val="1"/>
      <w:marLeft w:val="0"/>
      <w:marRight w:val="0"/>
      <w:marTop w:val="0"/>
      <w:marBottom w:val="0"/>
      <w:divBdr>
        <w:top w:val="none" w:sz="0" w:space="0" w:color="auto"/>
        <w:left w:val="none" w:sz="0" w:space="0" w:color="auto"/>
        <w:bottom w:val="none" w:sz="0" w:space="0" w:color="auto"/>
        <w:right w:val="none" w:sz="0" w:space="0" w:color="auto"/>
      </w:divBdr>
    </w:div>
    <w:div w:id="352995639">
      <w:bodyDiv w:val="1"/>
      <w:marLeft w:val="0"/>
      <w:marRight w:val="0"/>
      <w:marTop w:val="0"/>
      <w:marBottom w:val="0"/>
      <w:divBdr>
        <w:top w:val="none" w:sz="0" w:space="0" w:color="auto"/>
        <w:left w:val="none" w:sz="0" w:space="0" w:color="auto"/>
        <w:bottom w:val="none" w:sz="0" w:space="0" w:color="auto"/>
        <w:right w:val="none" w:sz="0" w:space="0" w:color="auto"/>
      </w:divBdr>
    </w:div>
    <w:div w:id="394857943">
      <w:bodyDiv w:val="1"/>
      <w:marLeft w:val="0"/>
      <w:marRight w:val="0"/>
      <w:marTop w:val="0"/>
      <w:marBottom w:val="0"/>
      <w:divBdr>
        <w:top w:val="none" w:sz="0" w:space="0" w:color="auto"/>
        <w:left w:val="none" w:sz="0" w:space="0" w:color="auto"/>
        <w:bottom w:val="none" w:sz="0" w:space="0" w:color="auto"/>
        <w:right w:val="none" w:sz="0" w:space="0" w:color="auto"/>
      </w:divBdr>
    </w:div>
    <w:div w:id="401802284">
      <w:bodyDiv w:val="1"/>
      <w:marLeft w:val="0"/>
      <w:marRight w:val="0"/>
      <w:marTop w:val="0"/>
      <w:marBottom w:val="0"/>
      <w:divBdr>
        <w:top w:val="none" w:sz="0" w:space="0" w:color="auto"/>
        <w:left w:val="none" w:sz="0" w:space="0" w:color="auto"/>
        <w:bottom w:val="none" w:sz="0" w:space="0" w:color="auto"/>
        <w:right w:val="none" w:sz="0" w:space="0" w:color="auto"/>
      </w:divBdr>
    </w:div>
    <w:div w:id="456989605">
      <w:bodyDiv w:val="1"/>
      <w:marLeft w:val="0"/>
      <w:marRight w:val="0"/>
      <w:marTop w:val="0"/>
      <w:marBottom w:val="0"/>
      <w:divBdr>
        <w:top w:val="none" w:sz="0" w:space="0" w:color="auto"/>
        <w:left w:val="none" w:sz="0" w:space="0" w:color="auto"/>
        <w:bottom w:val="none" w:sz="0" w:space="0" w:color="auto"/>
        <w:right w:val="none" w:sz="0" w:space="0" w:color="auto"/>
      </w:divBdr>
    </w:div>
    <w:div w:id="478032295">
      <w:bodyDiv w:val="1"/>
      <w:marLeft w:val="0"/>
      <w:marRight w:val="0"/>
      <w:marTop w:val="0"/>
      <w:marBottom w:val="0"/>
      <w:divBdr>
        <w:top w:val="none" w:sz="0" w:space="0" w:color="auto"/>
        <w:left w:val="none" w:sz="0" w:space="0" w:color="auto"/>
        <w:bottom w:val="none" w:sz="0" w:space="0" w:color="auto"/>
        <w:right w:val="none" w:sz="0" w:space="0" w:color="auto"/>
      </w:divBdr>
    </w:div>
    <w:div w:id="575627158">
      <w:bodyDiv w:val="1"/>
      <w:marLeft w:val="0"/>
      <w:marRight w:val="0"/>
      <w:marTop w:val="0"/>
      <w:marBottom w:val="0"/>
      <w:divBdr>
        <w:top w:val="none" w:sz="0" w:space="0" w:color="auto"/>
        <w:left w:val="none" w:sz="0" w:space="0" w:color="auto"/>
        <w:bottom w:val="none" w:sz="0" w:space="0" w:color="auto"/>
        <w:right w:val="none" w:sz="0" w:space="0" w:color="auto"/>
      </w:divBdr>
    </w:div>
    <w:div w:id="726875094">
      <w:bodyDiv w:val="1"/>
      <w:marLeft w:val="0"/>
      <w:marRight w:val="0"/>
      <w:marTop w:val="0"/>
      <w:marBottom w:val="0"/>
      <w:divBdr>
        <w:top w:val="none" w:sz="0" w:space="0" w:color="auto"/>
        <w:left w:val="none" w:sz="0" w:space="0" w:color="auto"/>
        <w:bottom w:val="none" w:sz="0" w:space="0" w:color="auto"/>
        <w:right w:val="none" w:sz="0" w:space="0" w:color="auto"/>
      </w:divBdr>
    </w:div>
    <w:div w:id="781152717">
      <w:bodyDiv w:val="1"/>
      <w:marLeft w:val="0"/>
      <w:marRight w:val="0"/>
      <w:marTop w:val="0"/>
      <w:marBottom w:val="0"/>
      <w:divBdr>
        <w:top w:val="none" w:sz="0" w:space="0" w:color="auto"/>
        <w:left w:val="none" w:sz="0" w:space="0" w:color="auto"/>
        <w:bottom w:val="none" w:sz="0" w:space="0" w:color="auto"/>
        <w:right w:val="none" w:sz="0" w:space="0" w:color="auto"/>
      </w:divBdr>
    </w:div>
    <w:div w:id="781153056">
      <w:bodyDiv w:val="1"/>
      <w:marLeft w:val="0"/>
      <w:marRight w:val="0"/>
      <w:marTop w:val="0"/>
      <w:marBottom w:val="0"/>
      <w:divBdr>
        <w:top w:val="none" w:sz="0" w:space="0" w:color="auto"/>
        <w:left w:val="none" w:sz="0" w:space="0" w:color="auto"/>
        <w:bottom w:val="none" w:sz="0" w:space="0" w:color="auto"/>
        <w:right w:val="none" w:sz="0" w:space="0" w:color="auto"/>
      </w:divBdr>
    </w:div>
    <w:div w:id="886338483">
      <w:bodyDiv w:val="1"/>
      <w:marLeft w:val="0"/>
      <w:marRight w:val="0"/>
      <w:marTop w:val="0"/>
      <w:marBottom w:val="0"/>
      <w:divBdr>
        <w:top w:val="none" w:sz="0" w:space="0" w:color="auto"/>
        <w:left w:val="none" w:sz="0" w:space="0" w:color="auto"/>
        <w:bottom w:val="none" w:sz="0" w:space="0" w:color="auto"/>
        <w:right w:val="none" w:sz="0" w:space="0" w:color="auto"/>
      </w:divBdr>
    </w:div>
    <w:div w:id="897739915">
      <w:bodyDiv w:val="1"/>
      <w:marLeft w:val="0"/>
      <w:marRight w:val="0"/>
      <w:marTop w:val="0"/>
      <w:marBottom w:val="0"/>
      <w:divBdr>
        <w:top w:val="none" w:sz="0" w:space="0" w:color="auto"/>
        <w:left w:val="none" w:sz="0" w:space="0" w:color="auto"/>
        <w:bottom w:val="none" w:sz="0" w:space="0" w:color="auto"/>
        <w:right w:val="none" w:sz="0" w:space="0" w:color="auto"/>
      </w:divBdr>
    </w:div>
    <w:div w:id="928851259">
      <w:bodyDiv w:val="1"/>
      <w:marLeft w:val="0"/>
      <w:marRight w:val="0"/>
      <w:marTop w:val="0"/>
      <w:marBottom w:val="0"/>
      <w:divBdr>
        <w:top w:val="none" w:sz="0" w:space="0" w:color="auto"/>
        <w:left w:val="none" w:sz="0" w:space="0" w:color="auto"/>
        <w:bottom w:val="none" w:sz="0" w:space="0" w:color="auto"/>
        <w:right w:val="none" w:sz="0" w:space="0" w:color="auto"/>
      </w:divBdr>
    </w:div>
    <w:div w:id="959068013">
      <w:bodyDiv w:val="1"/>
      <w:marLeft w:val="0"/>
      <w:marRight w:val="0"/>
      <w:marTop w:val="0"/>
      <w:marBottom w:val="0"/>
      <w:divBdr>
        <w:top w:val="none" w:sz="0" w:space="0" w:color="auto"/>
        <w:left w:val="none" w:sz="0" w:space="0" w:color="auto"/>
        <w:bottom w:val="none" w:sz="0" w:space="0" w:color="auto"/>
        <w:right w:val="none" w:sz="0" w:space="0" w:color="auto"/>
      </w:divBdr>
    </w:div>
    <w:div w:id="970817480">
      <w:bodyDiv w:val="1"/>
      <w:marLeft w:val="0"/>
      <w:marRight w:val="0"/>
      <w:marTop w:val="0"/>
      <w:marBottom w:val="0"/>
      <w:divBdr>
        <w:top w:val="none" w:sz="0" w:space="0" w:color="auto"/>
        <w:left w:val="none" w:sz="0" w:space="0" w:color="auto"/>
        <w:bottom w:val="none" w:sz="0" w:space="0" w:color="auto"/>
        <w:right w:val="none" w:sz="0" w:space="0" w:color="auto"/>
      </w:divBdr>
    </w:div>
    <w:div w:id="1014187145">
      <w:bodyDiv w:val="1"/>
      <w:marLeft w:val="0"/>
      <w:marRight w:val="0"/>
      <w:marTop w:val="0"/>
      <w:marBottom w:val="0"/>
      <w:divBdr>
        <w:top w:val="none" w:sz="0" w:space="0" w:color="auto"/>
        <w:left w:val="none" w:sz="0" w:space="0" w:color="auto"/>
        <w:bottom w:val="none" w:sz="0" w:space="0" w:color="auto"/>
        <w:right w:val="none" w:sz="0" w:space="0" w:color="auto"/>
      </w:divBdr>
    </w:div>
    <w:div w:id="1045563266">
      <w:bodyDiv w:val="1"/>
      <w:marLeft w:val="0"/>
      <w:marRight w:val="0"/>
      <w:marTop w:val="0"/>
      <w:marBottom w:val="0"/>
      <w:divBdr>
        <w:top w:val="none" w:sz="0" w:space="0" w:color="auto"/>
        <w:left w:val="none" w:sz="0" w:space="0" w:color="auto"/>
        <w:bottom w:val="none" w:sz="0" w:space="0" w:color="auto"/>
        <w:right w:val="none" w:sz="0" w:space="0" w:color="auto"/>
      </w:divBdr>
    </w:div>
    <w:div w:id="1060909231">
      <w:bodyDiv w:val="1"/>
      <w:marLeft w:val="0"/>
      <w:marRight w:val="0"/>
      <w:marTop w:val="0"/>
      <w:marBottom w:val="0"/>
      <w:divBdr>
        <w:top w:val="none" w:sz="0" w:space="0" w:color="auto"/>
        <w:left w:val="none" w:sz="0" w:space="0" w:color="auto"/>
        <w:bottom w:val="none" w:sz="0" w:space="0" w:color="auto"/>
        <w:right w:val="none" w:sz="0" w:space="0" w:color="auto"/>
      </w:divBdr>
    </w:div>
    <w:div w:id="1077289113">
      <w:bodyDiv w:val="1"/>
      <w:marLeft w:val="0"/>
      <w:marRight w:val="0"/>
      <w:marTop w:val="0"/>
      <w:marBottom w:val="0"/>
      <w:divBdr>
        <w:top w:val="none" w:sz="0" w:space="0" w:color="auto"/>
        <w:left w:val="none" w:sz="0" w:space="0" w:color="auto"/>
        <w:bottom w:val="none" w:sz="0" w:space="0" w:color="auto"/>
        <w:right w:val="none" w:sz="0" w:space="0" w:color="auto"/>
      </w:divBdr>
    </w:div>
    <w:div w:id="1098871218">
      <w:bodyDiv w:val="1"/>
      <w:marLeft w:val="0"/>
      <w:marRight w:val="0"/>
      <w:marTop w:val="0"/>
      <w:marBottom w:val="0"/>
      <w:divBdr>
        <w:top w:val="none" w:sz="0" w:space="0" w:color="auto"/>
        <w:left w:val="none" w:sz="0" w:space="0" w:color="auto"/>
        <w:bottom w:val="none" w:sz="0" w:space="0" w:color="auto"/>
        <w:right w:val="none" w:sz="0" w:space="0" w:color="auto"/>
      </w:divBdr>
    </w:div>
    <w:div w:id="1114594628">
      <w:bodyDiv w:val="1"/>
      <w:marLeft w:val="0"/>
      <w:marRight w:val="0"/>
      <w:marTop w:val="0"/>
      <w:marBottom w:val="0"/>
      <w:divBdr>
        <w:top w:val="none" w:sz="0" w:space="0" w:color="auto"/>
        <w:left w:val="none" w:sz="0" w:space="0" w:color="auto"/>
        <w:bottom w:val="none" w:sz="0" w:space="0" w:color="auto"/>
        <w:right w:val="none" w:sz="0" w:space="0" w:color="auto"/>
      </w:divBdr>
    </w:div>
    <w:div w:id="1144011578">
      <w:bodyDiv w:val="1"/>
      <w:marLeft w:val="0"/>
      <w:marRight w:val="0"/>
      <w:marTop w:val="0"/>
      <w:marBottom w:val="0"/>
      <w:divBdr>
        <w:top w:val="none" w:sz="0" w:space="0" w:color="auto"/>
        <w:left w:val="none" w:sz="0" w:space="0" w:color="auto"/>
        <w:bottom w:val="none" w:sz="0" w:space="0" w:color="auto"/>
        <w:right w:val="none" w:sz="0" w:space="0" w:color="auto"/>
      </w:divBdr>
    </w:div>
    <w:div w:id="1158110920">
      <w:bodyDiv w:val="1"/>
      <w:marLeft w:val="0"/>
      <w:marRight w:val="0"/>
      <w:marTop w:val="0"/>
      <w:marBottom w:val="0"/>
      <w:divBdr>
        <w:top w:val="none" w:sz="0" w:space="0" w:color="auto"/>
        <w:left w:val="none" w:sz="0" w:space="0" w:color="auto"/>
        <w:bottom w:val="none" w:sz="0" w:space="0" w:color="auto"/>
        <w:right w:val="none" w:sz="0" w:space="0" w:color="auto"/>
      </w:divBdr>
    </w:div>
    <w:div w:id="1259830632">
      <w:bodyDiv w:val="1"/>
      <w:marLeft w:val="0"/>
      <w:marRight w:val="0"/>
      <w:marTop w:val="0"/>
      <w:marBottom w:val="0"/>
      <w:divBdr>
        <w:top w:val="none" w:sz="0" w:space="0" w:color="auto"/>
        <w:left w:val="none" w:sz="0" w:space="0" w:color="auto"/>
        <w:bottom w:val="none" w:sz="0" w:space="0" w:color="auto"/>
        <w:right w:val="none" w:sz="0" w:space="0" w:color="auto"/>
      </w:divBdr>
    </w:div>
    <w:div w:id="1313023386">
      <w:bodyDiv w:val="1"/>
      <w:marLeft w:val="0"/>
      <w:marRight w:val="0"/>
      <w:marTop w:val="0"/>
      <w:marBottom w:val="0"/>
      <w:divBdr>
        <w:top w:val="none" w:sz="0" w:space="0" w:color="auto"/>
        <w:left w:val="none" w:sz="0" w:space="0" w:color="auto"/>
        <w:bottom w:val="none" w:sz="0" w:space="0" w:color="auto"/>
        <w:right w:val="none" w:sz="0" w:space="0" w:color="auto"/>
      </w:divBdr>
    </w:div>
    <w:div w:id="1346252633">
      <w:bodyDiv w:val="1"/>
      <w:marLeft w:val="0"/>
      <w:marRight w:val="0"/>
      <w:marTop w:val="0"/>
      <w:marBottom w:val="0"/>
      <w:divBdr>
        <w:top w:val="none" w:sz="0" w:space="0" w:color="auto"/>
        <w:left w:val="none" w:sz="0" w:space="0" w:color="auto"/>
        <w:bottom w:val="none" w:sz="0" w:space="0" w:color="auto"/>
        <w:right w:val="none" w:sz="0" w:space="0" w:color="auto"/>
      </w:divBdr>
    </w:div>
    <w:div w:id="1361861941">
      <w:bodyDiv w:val="1"/>
      <w:marLeft w:val="0"/>
      <w:marRight w:val="0"/>
      <w:marTop w:val="0"/>
      <w:marBottom w:val="0"/>
      <w:divBdr>
        <w:top w:val="none" w:sz="0" w:space="0" w:color="auto"/>
        <w:left w:val="none" w:sz="0" w:space="0" w:color="auto"/>
        <w:bottom w:val="none" w:sz="0" w:space="0" w:color="auto"/>
        <w:right w:val="none" w:sz="0" w:space="0" w:color="auto"/>
      </w:divBdr>
    </w:div>
    <w:div w:id="1373073538">
      <w:bodyDiv w:val="1"/>
      <w:marLeft w:val="0"/>
      <w:marRight w:val="0"/>
      <w:marTop w:val="0"/>
      <w:marBottom w:val="0"/>
      <w:divBdr>
        <w:top w:val="none" w:sz="0" w:space="0" w:color="auto"/>
        <w:left w:val="none" w:sz="0" w:space="0" w:color="auto"/>
        <w:bottom w:val="none" w:sz="0" w:space="0" w:color="auto"/>
        <w:right w:val="none" w:sz="0" w:space="0" w:color="auto"/>
      </w:divBdr>
    </w:div>
    <w:div w:id="1463425222">
      <w:bodyDiv w:val="1"/>
      <w:marLeft w:val="0"/>
      <w:marRight w:val="0"/>
      <w:marTop w:val="0"/>
      <w:marBottom w:val="0"/>
      <w:divBdr>
        <w:top w:val="none" w:sz="0" w:space="0" w:color="auto"/>
        <w:left w:val="none" w:sz="0" w:space="0" w:color="auto"/>
        <w:bottom w:val="none" w:sz="0" w:space="0" w:color="auto"/>
        <w:right w:val="none" w:sz="0" w:space="0" w:color="auto"/>
      </w:divBdr>
    </w:div>
    <w:div w:id="1540702288">
      <w:bodyDiv w:val="1"/>
      <w:marLeft w:val="0"/>
      <w:marRight w:val="0"/>
      <w:marTop w:val="0"/>
      <w:marBottom w:val="0"/>
      <w:divBdr>
        <w:top w:val="none" w:sz="0" w:space="0" w:color="auto"/>
        <w:left w:val="none" w:sz="0" w:space="0" w:color="auto"/>
        <w:bottom w:val="none" w:sz="0" w:space="0" w:color="auto"/>
        <w:right w:val="none" w:sz="0" w:space="0" w:color="auto"/>
      </w:divBdr>
    </w:div>
    <w:div w:id="1602029373">
      <w:bodyDiv w:val="1"/>
      <w:marLeft w:val="0"/>
      <w:marRight w:val="0"/>
      <w:marTop w:val="0"/>
      <w:marBottom w:val="0"/>
      <w:divBdr>
        <w:top w:val="none" w:sz="0" w:space="0" w:color="auto"/>
        <w:left w:val="none" w:sz="0" w:space="0" w:color="auto"/>
        <w:bottom w:val="none" w:sz="0" w:space="0" w:color="auto"/>
        <w:right w:val="none" w:sz="0" w:space="0" w:color="auto"/>
      </w:divBdr>
    </w:div>
    <w:div w:id="1645236154">
      <w:bodyDiv w:val="1"/>
      <w:marLeft w:val="0"/>
      <w:marRight w:val="0"/>
      <w:marTop w:val="0"/>
      <w:marBottom w:val="0"/>
      <w:divBdr>
        <w:top w:val="none" w:sz="0" w:space="0" w:color="auto"/>
        <w:left w:val="none" w:sz="0" w:space="0" w:color="auto"/>
        <w:bottom w:val="none" w:sz="0" w:space="0" w:color="auto"/>
        <w:right w:val="none" w:sz="0" w:space="0" w:color="auto"/>
      </w:divBdr>
    </w:div>
    <w:div w:id="1694064281">
      <w:bodyDiv w:val="1"/>
      <w:marLeft w:val="0"/>
      <w:marRight w:val="0"/>
      <w:marTop w:val="0"/>
      <w:marBottom w:val="0"/>
      <w:divBdr>
        <w:top w:val="none" w:sz="0" w:space="0" w:color="auto"/>
        <w:left w:val="none" w:sz="0" w:space="0" w:color="auto"/>
        <w:bottom w:val="none" w:sz="0" w:space="0" w:color="auto"/>
        <w:right w:val="none" w:sz="0" w:space="0" w:color="auto"/>
      </w:divBdr>
    </w:div>
    <w:div w:id="1697345678">
      <w:bodyDiv w:val="1"/>
      <w:marLeft w:val="0"/>
      <w:marRight w:val="0"/>
      <w:marTop w:val="0"/>
      <w:marBottom w:val="0"/>
      <w:divBdr>
        <w:top w:val="none" w:sz="0" w:space="0" w:color="auto"/>
        <w:left w:val="none" w:sz="0" w:space="0" w:color="auto"/>
        <w:bottom w:val="none" w:sz="0" w:space="0" w:color="auto"/>
        <w:right w:val="none" w:sz="0" w:space="0" w:color="auto"/>
      </w:divBdr>
    </w:div>
    <w:div w:id="1713577176">
      <w:bodyDiv w:val="1"/>
      <w:marLeft w:val="0"/>
      <w:marRight w:val="0"/>
      <w:marTop w:val="0"/>
      <w:marBottom w:val="0"/>
      <w:divBdr>
        <w:top w:val="none" w:sz="0" w:space="0" w:color="auto"/>
        <w:left w:val="none" w:sz="0" w:space="0" w:color="auto"/>
        <w:bottom w:val="none" w:sz="0" w:space="0" w:color="auto"/>
        <w:right w:val="none" w:sz="0" w:space="0" w:color="auto"/>
      </w:divBdr>
    </w:div>
    <w:div w:id="1722747559">
      <w:bodyDiv w:val="1"/>
      <w:marLeft w:val="0"/>
      <w:marRight w:val="0"/>
      <w:marTop w:val="0"/>
      <w:marBottom w:val="0"/>
      <w:divBdr>
        <w:top w:val="none" w:sz="0" w:space="0" w:color="auto"/>
        <w:left w:val="none" w:sz="0" w:space="0" w:color="auto"/>
        <w:bottom w:val="none" w:sz="0" w:space="0" w:color="auto"/>
        <w:right w:val="none" w:sz="0" w:space="0" w:color="auto"/>
      </w:divBdr>
    </w:div>
    <w:div w:id="1761484000">
      <w:bodyDiv w:val="1"/>
      <w:marLeft w:val="0"/>
      <w:marRight w:val="0"/>
      <w:marTop w:val="0"/>
      <w:marBottom w:val="0"/>
      <w:divBdr>
        <w:top w:val="none" w:sz="0" w:space="0" w:color="auto"/>
        <w:left w:val="none" w:sz="0" w:space="0" w:color="auto"/>
        <w:bottom w:val="none" w:sz="0" w:space="0" w:color="auto"/>
        <w:right w:val="none" w:sz="0" w:space="0" w:color="auto"/>
      </w:divBdr>
    </w:div>
    <w:div w:id="1762989019">
      <w:bodyDiv w:val="1"/>
      <w:marLeft w:val="0"/>
      <w:marRight w:val="0"/>
      <w:marTop w:val="0"/>
      <w:marBottom w:val="0"/>
      <w:divBdr>
        <w:top w:val="none" w:sz="0" w:space="0" w:color="auto"/>
        <w:left w:val="none" w:sz="0" w:space="0" w:color="auto"/>
        <w:bottom w:val="none" w:sz="0" w:space="0" w:color="auto"/>
        <w:right w:val="none" w:sz="0" w:space="0" w:color="auto"/>
      </w:divBdr>
    </w:div>
    <w:div w:id="1828204421">
      <w:bodyDiv w:val="1"/>
      <w:marLeft w:val="0"/>
      <w:marRight w:val="0"/>
      <w:marTop w:val="0"/>
      <w:marBottom w:val="0"/>
      <w:divBdr>
        <w:top w:val="none" w:sz="0" w:space="0" w:color="auto"/>
        <w:left w:val="none" w:sz="0" w:space="0" w:color="auto"/>
        <w:bottom w:val="none" w:sz="0" w:space="0" w:color="auto"/>
        <w:right w:val="none" w:sz="0" w:space="0" w:color="auto"/>
      </w:divBdr>
    </w:div>
    <w:div w:id="1941331333">
      <w:bodyDiv w:val="1"/>
      <w:marLeft w:val="0"/>
      <w:marRight w:val="0"/>
      <w:marTop w:val="0"/>
      <w:marBottom w:val="0"/>
      <w:divBdr>
        <w:top w:val="none" w:sz="0" w:space="0" w:color="auto"/>
        <w:left w:val="none" w:sz="0" w:space="0" w:color="auto"/>
        <w:bottom w:val="none" w:sz="0" w:space="0" w:color="auto"/>
        <w:right w:val="none" w:sz="0" w:space="0" w:color="auto"/>
      </w:divBdr>
    </w:div>
    <w:div w:id="2020035167">
      <w:bodyDiv w:val="1"/>
      <w:marLeft w:val="0"/>
      <w:marRight w:val="0"/>
      <w:marTop w:val="0"/>
      <w:marBottom w:val="0"/>
      <w:divBdr>
        <w:top w:val="none" w:sz="0" w:space="0" w:color="auto"/>
        <w:left w:val="none" w:sz="0" w:space="0" w:color="auto"/>
        <w:bottom w:val="none" w:sz="0" w:space="0" w:color="auto"/>
        <w:right w:val="none" w:sz="0" w:space="0" w:color="auto"/>
      </w:divBdr>
    </w:div>
    <w:div w:id="2022976242">
      <w:bodyDiv w:val="1"/>
      <w:marLeft w:val="0"/>
      <w:marRight w:val="0"/>
      <w:marTop w:val="0"/>
      <w:marBottom w:val="0"/>
      <w:divBdr>
        <w:top w:val="none" w:sz="0" w:space="0" w:color="auto"/>
        <w:left w:val="none" w:sz="0" w:space="0" w:color="auto"/>
        <w:bottom w:val="none" w:sz="0" w:space="0" w:color="auto"/>
        <w:right w:val="none" w:sz="0" w:space="0" w:color="auto"/>
      </w:divBdr>
    </w:div>
    <w:div w:id="2051298376">
      <w:bodyDiv w:val="1"/>
      <w:marLeft w:val="0"/>
      <w:marRight w:val="0"/>
      <w:marTop w:val="0"/>
      <w:marBottom w:val="0"/>
      <w:divBdr>
        <w:top w:val="none" w:sz="0" w:space="0" w:color="auto"/>
        <w:left w:val="none" w:sz="0" w:space="0" w:color="auto"/>
        <w:bottom w:val="none" w:sz="0" w:space="0" w:color="auto"/>
        <w:right w:val="none" w:sz="0" w:space="0" w:color="auto"/>
      </w:divBdr>
    </w:div>
    <w:div w:id="2085176531">
      <w:bodyDiv w:val="1"/>
      <w:marLeft w:val="0"/>
      <w:marRight w:val="0"/>
      <w:marTop w:val="0"/>
      <w:marBottom w:val="0"/>
      <w:divBdr>
        <w:top w:val="none" w:sz="0" w:space="0" w:color="auto"/>
        <w:left w:val="none" w:sz="0" w:space="0" w:color="auto"/>
        <w:bottom w:val="none" w:sz="0" w:space="0" w:color="auto"/>
        <w:right w:val="none" w:sz="0" w:space="0" w:color="auto"/>
      </w:divBdr>
    </w:div>
    <w:div w:id="21022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en.jones@providentfinanci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dentfinanci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ovidentfinanci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videntfinancial@brunswick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393-7439-4924-9E40-ACD476FD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20104</Words>
  <Characters>112030</Characters>
  <Application>Microsoft Office Word</Application>
  <DocSecurity>4</DocSecurity>
  <Lines>933</Lines>
  <Paragraphs>263</Paragraphs>
  <ScaleCrop>false</ScaleCrop>
  <HeadingPairs>
    <vt:vector size="2" baseType="variant">
      <vt:variant>
        <vt:lpstr>Title</vt:lpstr>
      </vt:variant>
      <vt:variant>
        <vt:i4>1</vt:i4>
      </vt:variant>
    </vt:vector>
  </HeadingPairs>
  <TitlesOfParts>
    <vt:vector size="1" baseType="lpstr">
      <vt:lpstr>Provident Financial plc</vt:lpstr>
    </vt:vector>
  </TitlesOfParts>
  <Company>PFMS</Company>
  <LinksUpToDate>false</LinksUpToDate>
  <CharactersWithSpaces>131871</CharactersWithSpaces>
  <SharedDoc>false</SharedDoc>
  <HLinks>
    <vt:vector size="6" baseType="variant">
      <vt:variant>
        <vt:i4>2621491</vt:i4>
      </vt:variant>
      <vt:variant>
        <vt:i4>0</vt:i4>
      </vt:variant>
      <vt:variant>
        <vt:i4>0</vt:i4>
      </vt:variant>
      <vt:variant>
        <vt:i4>5</vt:i4>
      </vt:variant>
      <vt:variant>
        <vt:lpwstr>http://www.providentfinancial.com/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Provident Financial plc</dc:title>
  <dc:creator>caldwels</dc:creator>
  <cp:lastModifiedBy>Turner, Vicki (PF)</cp:lastModifiedBy>
  <cp:revision>2</cp:revision>
  <cp:lastPrinted>2020-08-24T14:29:00Z</cp:lastPrinted>
  <dcterms:created xsi:type="dcterms:W3CDTF">2020-08-25T15:33:00Z</dcterms:created>
  <dcterms:modified xsi:type="dcterms:W3CDTF">2020-08-25T15:33:00Z</dcterms:modified>
</cp:coreProperties>
</file>