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1C3CD" w14:textId="56CB0C46" w:rsidR="00BD1043" w:rsidRDefault="00B778EC" w:rsidP="00E534C5">
      <w:pPr>
        <w:pStyle w:val="NoSpacing"/>
        <w:jc w:val="both"/>
        <w:rPr>
          <w:rStyle w:val="Strong"/>
          <w:sz w:val="20"/>
          <w:szCs w:val="20"/>
        </w:rPr>
      </w:pPr>
      <w:bookmarkStart w:id="0" w:name="_Hlk69131166"/>
      <w:r w:rsidRPr="00701439">
        <w:rPr>
          <w:noProof/>
          <w:sz w:val="20"/>
          <w:szCs w:val="20"/>
        </w:rPr>
        <w:drawing>
          <wp:anchor distT="0" distB="0" distL="114300" distR="114300" simplePos="0" relativeHeight="251658240" behindDoc="1" locked="0" layoutInCell="1" allowOverlap="1" wp14:anchorId="0EEAAB5F" wp14:editId="38E970F6">
            <wp:simplePos x="0" y="0"/>
            <wp:positionH relativeFrom="margin">
              <wp:align>center</wp:align>
            </wp:positionH>
            <wp:positionV relativeFrom="paragraph">
              <wp:posOffset>3810</wp:posOffset>
            </wp:positionV>
            <wp:extent cx="4367530" cy="882650"/>
            <wp:effectExtent l="0" t="0" r="0" b="0"/>
            <wp:wrapTight wrapText="bothSides">
              <wp:wrapPolygon edited="0">
                <wp:start x="0" y="0"/>
                <wp:lineTo x="0" y="20978"/>
                <wp:lineTo x="21481" y="20978"/>
                <wp:lineTo x="21481"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1" cstate="print">
                      <a:extLst>
                        <a:ext uri="{28A0092B-C50C-407E-A947-70E740481C1C}">
                          <a14:useLocalDpi xmlns:a14="http://schemas.microsoft.com/office/drawing/2010/main" val="0"/>
                        </a:ext>
                      </a:extLst>
                    </a:blip>
                    <a:srcRect l="6790" t="22279" r="6256" b="21047"/>
                    <a:stretch/>
                  </pic:blipFill>
                  <pic:spPr bwMode="auto">
                    <a:xfrm>
                      <a:off x="0" y="0"/>
                      <a:ext cx="4367530" cy="88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AEEDD9" w14:textId="38F2D58F" w:rsidR="06643ECB" w:rsidRDefault="06643ECB" w:rsidP="06643ECB">
      <w:pPr>
        <w:pStyle w:val="NoSpacing"/>
        <w:jc w:val="center"/>
        <w:rPr>
          <w:rStyle w:val="Strong"/>
          <w:sz w:val="20"/>
          <w:szCs w:val="20"/>
        </w:rPr>
      </w:pPr>
    </w:p>
    <w:p w14:paraId="7EC4654D" w14:textId="77777777" w:rsidR="0040155F" w:rsidRDefault="0040155F" w:rsidP="00E534C5">
      <w:pPr>
        <w:pStyle w:val="NoSpacing"/>
        <w:jc w:val="center"/>
        <w:rPr>
          <w:rStyle w:val="Strong"/>
          <w:sz w:val="20"/>
          <w:szCs w:val="20"/>
        </w:rPr>
      </w:pPr>
    </w:p>
    <w:p w14:paraId="76302245" w14:textId="77777777" w:rsidR="0040155F" w:rsidRDefault="0040155F" w:rsidP="00E534C5">
      <w:pPr>
        <w:pStyle w:val="NoSpacing"/>
        <w:jc w:val="center"/>
        <w:rPr>
          <w:rStyle w:val="Strong"/>
          <w:sz w:val="20"/>
          <w:szCs w:val="20"/>
        </w:rPr>
      </w:pPr>
    </w:p>
    <w:p w14:paraId="18DCBE5F" w14:textId="77777777" w:rsidR="0040155F" w:rsidRDefault="0040155F" w:rsidP="00E534C5">
      <w:pPr>
        <w:pStyle w:val="NoSpacing"/>
        <w:jc w:val="center"/>
        <w:rPr>
          <w:rStyle w:val="Strong"/>
          <w:sz w:val="20"/>
          <w:szCs w:val="20"/>
        </w:rPr>
      </w:pPr>
    </w:p>
    <w:p w14:paraId="32E75E44" w14:textId="77777777" w:rsidR="0040155F" w:rsidRDefault="0040155F" w:rsidP="00E534C5">
      <w:pPr>
        <w:pStyle w:val="NoSpacing"/>
        <w:jc w:val="center"/>
        <w:rPr>
          <w:rStyle w:val="Strong"/>
          <w:sz w:val="20"/>
          <w:szCs w:val="20"/>
        </w:rPr>
      </w:pPr>
    </w:p>
    <w:p w14:paraId="24FCF764" w14:textId="77777777" w:rsidR="000652AC" w:rsidRDefault="000652AC" w:rsidP="00E534C5">
      <w:pPr>
        <w:pStyle w:val="NoSpacing"/>
        <w:jc w:val="center"/>
        <w:rPr>
          <w:rStyle w:val="Strong"/>
          <w:sz w:val="20"/>
          <w:szCs w:val="20"/>
        </w:rPr>
      </w:pPr>
    </w:p>
    <w:p w14:paraId="27FEDD8F" w14:textId="77777777" w:rsidR="000652AC" w:rsidRDefault="000652AC" w:rsidP="00E534C5">
      <w:pPr>
        <w:pStyle w:val="NoSpacing"/>
        <w:jc w:val="center"/>
        <w:rPr>
          <w:rStyle w:val="Strong"/>
          <w:sz w:val="20"/>
          <w:szCs w:val="20"/>
        </w:rPr>
      </w:pPr>
    </w:p>
    <w:p w14:paraId="08CEEB48" w14:textId="17AB76F2" w:rsidR="00F01EC8" w:rsidRPr="00D67126" w:rsidRDefault="00763DB4" w:rsidP="00E534C5">
      <w:pPr>
        <w:pStyle w:val="NoSpacing"/>
        <w:jc w:val="center"/>
        <w:rPr>
          <w:rStyle w:val="Strong"/>
          <w:rFonts w:cstheme="minorHAnsi"/>
          <w:sz w:val="20"/>
          <w:szCs w:val="20"/>
        </w:rPr>
      </w:pPr>
      <w:r w:rsidRPr="2A194912">
        <w:rPr>
          <w:rStyle w:val="Strong"/>
          <w:sz w:val="20"/>
          <w:szCs w:val="20"/>
        </w:rPr>
        <w:t xml:space="preserve">Interim </w:t>
      </w:r>
      <w:r w:rsidR="00931BA5" w:rsidRPr="2A194912">
        <w:rPr>
          <w:rStyle w:val="Strong"/>
          <w:sz w:val="20"/>
          <w:szCs w:val="20"/>
        </w:rPr>
        <w:t xml:space="preserve">results for the </w:t>
      </w:r>
      <w:r w:rsidRPr="2A194912">
        <w:rPr>
          <w:rStyle w:val="Strong"/>
          <w:sz w:val="20"/>
          <w:szCs w:val="20"/>
        </w:rPr>
        <w:t xml:space="preserve">six months </w:t>
      </w:r>
      <w:r w:rsidR="00931BA5" w:rsidRPr="2A194912">
        <w:rPr>
          <w:rStyle w:val="Strong"/>
          <w:sz w:val="20"/>
          <w:szCs w:val="20"/>
        </w:rPr>
        <w:t xml:space="preserve">ended </w:t>
      </w:r>
      <w:r w:rsidRPr="2A194912">
        <w:rPr>
          <w:rStyle w:val="Strong"/>
          <w:sz w:val="20"/>
          <w:szCs w:val="20"/>
        </w:rPr>
        <w:t>30 June</w:t>
      </w:r>
      <w:r w:rsidR="00931BA5" w:rsidRPr="2A194912">
        <w:rPr>
          <w:rStyle w:val="Strong"/>
          <w:sz w:val="20"/>
          <w:szCs w:val="20"/>
        </w:rPr>
        <w:t xml:space="preserve"> 202</w:t>
      </w:r>
      <w:r w:rsidR="00CD7991" w:rsidRPr="2A194912">
        <w:rPr>
          <w:rStyle w:val="Strong"/>
          <w:sz w:val="20"/>
          <w:szCs w:val="20"/>
        </w:rPr>
        <w:t>4</w:t>
      </w:r>
    </w:p>
    <w:bookmarkEnd w:id="0"/>
    <w:p w14:paraId="30020D2D" w14:textId="2CD956F0" w:rsidR="23B6C36A" w:rsidRDefault="00BA18A6" w:rsidP="2A194912">
      <w:pPr>
        <w:pStyle w:val="NoSpacing"/>
        <w:jc w:val="center"/>
        <w:rPr>
          <w:rStyle w:val="Strong"/>
          <w:sz w:val="20"/>
          <w:szCs w:val="20"/>
        </w:rPr>
      </w:pPr>
      <w:r w:rsidRPr="00B63C3C">
        <w:rPr>
          <w:rStyle w:val="Strong"/>
          <w:sz w:val="20"/>
          <w:szCs w:val="20"/>
        </w:rPr>
        <w:t>S</w:t>
      </w:r>
      <w:r w:rsidR="009C4C13" w:rsidRPr="00B63C3C">
        <w:rPr>
          <w:rStyle w:val="Strong"/>
          <w:sz w:val="20"/>
          <w:szCs w:val="20"/>
        </w:rPr>
        <w:t>trategic</w:t>
      </w:r>
      <w:r w:rsidR="003E68C2" w:rsidRPr="00B63C3C">
        <w:rPr>
          <w:rStyle w:val="Strong"/>
          <w:sz w:val="20"/>
          <w:szCs w:val="20"/>
        </w:rPr>
        <w:t xml:space="preserve"> plan </w:t>
      </w:r>
      <w:r w:rsidRPr="00B63C3C">
        <w:rPr>
          <w:rStyle w:val="Strong"/>
          <w:sz w:val="20"/>
          <w:szCs w:val="20"/>
        </w:rPr>
        <w:t xml:space="preserve">updated </w:t>
      </w:r>
      <w:r w:rsidR="00DA6C52" w:rsidRPr="00B63C3C">
        <w:rPr>
          <w:rStyle w:val="Strong"/>
          <w:sz w:val="20"/>
          <w:szCs w:val="20"/>
        </w:rPr>
        <w:t>after</w:t>
      </w:r>
      <w:r w:rsidR="007D23BE" w:rsidRPr="00B63C3C">
        <w:rPr>
          <w:rStyle w:val="Strong"/>
          <w:sz w:val="20"/>
          <w:szCs w:val="20"/>
        </w:rPr>
        <w:t xml:space="preserve"> one-off write downs</w:t>
      </w:r>
      <w:r w:rsidR="000B7FEA" w:rsidRPr="00B63C3C">
        <w:rPr>
          <w:rStyle w:val="Strong"/>
          <w:sz w:val="20"/>
          <w:szCs w:val="20"/>
        </w:rPr>
        <w:t xml:space="preserve">: </w:t>
      </w:r>
      <w:r w:rsidR="00355392" w:rsidRPr="00B63C3C">
        <w:rPr>
          <w:rStyle w:val="Strong"/>
          <w:sz w:val="20"/>
          <w:szCs w:val="20"/>
        </w:rPr>
        <w:t>mid</w:t>
      </w:r>
      <w:r w:rsidR="008A6DDD">
        <w:rPr>
          <w:rStyle w:val="Strong"/>
          <w:sz w:val="20"/>
          <w:szCs w:val="20"/>
        </w:rPr>
        <w:t>-</w:t>
      </w:r>
      <w:r w:rsidR="00355392" w:rsidRPr="00B63C3C">
        <w:rPr>
          <w:rStyle w:val="Strong"/>
          <w:sz w:val="20"/>
          <w:szCs w:val="20"/>
        </w:rPr>
        <w:t xml:space="preserve">teens ROTE target </w:t>
      </w:r>
      <w:r w:rsidR="00B63C3C" w:rsidRPr="00B63C3C">
        <w:rPr>
          <w:rStyle w:val="Strong"/>
          <w:sz w:val="20"/>
          <w:szCs w:val="20"/>
        </w:rPr>
        <w:t>in 2026 maintained</w:t>
      </w:r>
    </w:p>
    <w:p w14:paraId="0524D6F1" w14:textId="1343372E" w:rsidR="00F01EC8" w:rsidRPr="00D67126" w:rsidRDefault="00F01EC8" w:rsidP="001800C1">
      <w:pPr>
        <w:pStyle w:val="NoSpacing"/>
        <w:rPr>
          <w:rStyle w:val="Strong"/>
          <w:sz w:val="20"/>
          <w:szCs w:val="20"/>
          <w:highlight w:val="yellow"/>
        </w:rPr>
      </w:pPr>
    </w:p>
    <w:p w14:paraId="06E29D45" w14:textId="0AD2E5E6" w:rsidR="00BE0C3F" w:rsidRPr="00D67126" w:rsidRDefault="00C959FE" w:rsidP="00E534C5">
      <w:pPr>
        <w:pStyle w:val="NoSpacing"/>
        <w:jc w:val="both"/>
        <w:rPr>
          <w:sz w:val="20"/>
          <w:szCs w:val="20"/>
        </w:rPr>
      </w:pPr>
      <w:r w:rsidRPr="2A194912">
        <w:rPr>
          <w:sz w:val="20"/>
          <w:szCs w:val="20"/>
        </w:rPr>
        <w:t xml:space="preserve">London – 1 August 2024 - </w:t>
      </w:r>
      <w:r w:rsidR="00ED735A" w:rsidRPr="2A194912">
        <w:rPr>
          <w:sz w:val="20"/>
          <w:szCs w:val="20"/>
        </w:rPr>
        <w:t xml:space="preserve">Vanquis Banking Group </w:t>
      </w:r>
      <w:r w:rsidR="00F01EC8" w:rsidRPr="2A194912">
        <w:rPr>
          <w:sz w:val="20"/>
          <w:szCs w:val="20"/>
        </w:rPr>
        <w:t>plc (‘the Group’)</w:t>
      </w:r>
      <w:r w:rsidR="009B42C7" w:rsidRPr="2A194912">
        <w:rPr>
          <w:sz w:val="20"/>
          <w:szCs w:val="20"/>
        </w:rPr>
        <w:t xml:space="preserve">, </w:t>
      </w:r>
      <w:r w:rsidRPr="2A194912">
        <w:rPr>
          <w:sz w:val="20"/>
          <w:szCs w:val="20"/>
        </w:rPr>
        <w:t>the specialist bank</w:t>
      </w:r>
      <w:r w:rsidR="009B42C7" w:rsidRPr="2A194912">
        <w:rPr>
          <w:sz w:val="20"/>
          <w:szCs w:val="20"/>
        </w:rPr>
        <w:t>,</w:t>
      </w:r>
      <w:r w:rsidR="00931BA5" w:rsidRPr="2A194912">
        <w:rPr>
          <w:sz w:val="20"/>
          <w:szCs w:val="20"/>
        </w:rPr>
        <w:t xml:space="preserve"> today publishe</w:t>
      </w:r>
      <w:r w:rsidRPr="2A194912">
        <w:rPr>
          <w:sz w:val="20"/>
          <w:szCs w:val="20"/>
        </w:rPr>
        <w:t>d</w:t>
      </w:r>
      <w:r w:rsidR="00931BA5" w:rsidRPr="2A194912">
        <w:rPr>
          <w:sz w:val="20"/>
          <w:szCs w:val="20"/>
        </w:rPr>
        <w:t xml:space="preserve"> its results for the </w:t>
      </w:r>
      <w:r w:rsidR="00763DB4" w:rsidRPr="2A194912">
        <w:rPr>
          <w:sz w:val="20"/>
          <w:szCs w:val="20"/>
        </w:rPr>
        <w:t>six months ended</w:t>
      </w:r>
      <w:r w:rsidR="000A113C" w:rsidRPr="2A194912">
        <w:rPr>
          <w:sz w:val="20"/>
          <w:szCs w:val="20"/>
        </w:rPr>
        <w:t xml:space="preserve"> 30</w:t>
      </w:r>
      <w:r w:rsidR="00763DB4" w:rsidRPr="2A194912">
        <w:rPr>
          <w:sz w:val="20"/>
          <w:szCs w:val="20"/>
        </w:rPr>
        <w:t xml:space="preserve"> June</w:t>
      </w:r>
      <w:r w:rsidR="00931BA5" w:rsidRPr="2A194912">
        <w:rPr>
          <w:sz w:val="20"/>
          <w:szCs w:val="20"/>
        </w:rPr>
        <w:t xml:space="preserve"> 202</w:t>
      </w:r>
      <w:r w:rsidR="00CD7991" w:rsidRPr="2A194912">
        <w:rPr>
          <w:sz w:val="20"/>
          <w:szCs w:val="20"/>
        </w:rPr>
        <w:t>4</w:t>
      </w:r>
      <w:r w:rsidR="007659F0" w:rsidRPr="2A194912">
        <w:rPr>
          <w:sz w:val="20"/>
          <w:szCs w:val="20"/>
        </w:rPr>
        <w:t>.</w:t>
      </w:r>
      <w:r w:rsidR="00837171" w:rsidRPr="2A194912">
        <w:rPr>
          <w:sz w:val="20"/>
          <w:szCs w:val="20"/>
        </w:rPr>
        <w:t xml:space="preserve">   </w:t>
      </w:r>
    </w:p>
    <w:p w14:paraId="34266BF3" w14:textId="77777777" w:rsidR="00BE0C3F" w:rsidRDefault="00BE0C3F" w:rsidP="00E534C5">
      <w:pPr>
        <w:pStyle w:val="NoSpacing"/>
        <w:jc w:val="both"/>
        <w:rPr>
          <w:rFonts w:cstheme="minorHAnsi"/>
          <w:sz w:val="20"/>
          <w:szCs w:val="20"/>
        </w:rPr>
      </w:pPr>
    </w:p>
    <w:p w14:paraId="7AA6DC05" w14:textId="3D359C79" w:rsidR="00E157AF" w:rsidRDefault="00E157AF" w:rsidP="28C805EF">
      <w:pPr>
        <w:spacing w:line="259" w:lineRule="auto"/>
        <w:jc w:val="both"/>
        <w:rPr>
          <w:rStyle w:val="Strong"/>
          <w:rFonts w:asciiTheme="minorHAnsi" w:eastAsia="Aptos" w:hAnsiTheme="minorHAnsi" w:cstheme="minorBidi"/>
          <w:b w:val="0"/>
          <w:sz w:val="20"/>
          <w:szCs w:val="20"/>
        </w:rPr>
      </w:pPr>
      <w:r w:rsidRPr="00840E6A">
        <w:rPr>
          <w:rStyle w:val="Strong"/>
          <w:rFonts w:asciiTheme="minorHAnsi" w:hAnsiTheme="minorHAnsi" w:cstheme="minorBidi"/>
          <w:color w:val="4747FF"/>
          <w:sz w:val="20"/>
          <w:szCs w:val="20"/>
        </w:rPr>
        <w:t>Ian McLaughlin, Chief Executive Officer, commented:</w:t>
      </w:r>
      <w:r>
        <w:rPr>
          <w:rStyle w:val="Strong"/>
          <w:rFonts w:asciiTheme="minorHAnsi" w:hAnsiTheme="minorHAnsi" w:cstheme="minorBidi"/>
          <w:b w:val="0"/>
          <w:bCs w:val="0"/>
          <w:color w:val="4747FF"/>
          <w:sz w:val="20"/>
          <w:szCs w:val="20"/>
        </w:rPr>
        <w:t xml:space="preserve"> </w:t>
      </w:r>
      <w:r>
        <w:rPr>
          <w:rStyle w:val="Strong"/>
          <w:rFonts w:asciiTheme="minorHAnsi" w:hAnsiTheme="minorHAnsi" w:cstheme="minorBidi"/>
          <w:b w:val="0"/>
          <w:sz w:val="20"/>
          <w:szCs w:val="20"/>
        </w:rPr>
        <w:t>“</w:t>
      </w:r>
      <w:r w:rsidRPr="5C5B905D">
        <w:rPr>
          <w:rStyle w:val="Strong"/>
          <w:rFonts w:asciiTheme="minorHAnsi" w:hAnsiTheme="minorHAnsi" w:cstheme="minorBidi"/>
          <w:b w:val="0"/>
          <w:sz w:val="20"/>
          <w:szCs w:val="20"/>
        </w:rPr>
        <w:t xml:space="preserve">We are making good progress on </w:t>
      </w:r>
      <w:r w:rsidR="30105CFF" w:rsidRPr="5DC7B4D7">
        <w:rPr>
          <w:rStyle w:val="Strong"/>
          <w:rFonts w:asciiTheme="minorHAnsi" w:eastAsia="Aptos" w:hAnsiTheme="minorHAnsi" w:cstheme="minorBidi"/>
          <w:b w:val="0"/>
          <w:sz w:val="20"/>
          <w:szCs w:val="20"/>
        </w:rPr>
        <w:t>our business transformation and refreshed customer proposition presented in March. New customer volumes grew in the first half at better margins, leading to overall receivables growth in June. We continued driving operational efficiency and are on track to achieve £60m in cost savings by year-end.</w:t>
      </w:r>
      <w:r w:rsidR="002E3849">
        <w:rPr>
          <w:rStyle w:val="Strong"/>
          <w:rFonts w:asciiTheme="minorHAnsi" w:eastAsia="Aptos" w:hAnsiTheme="minorHAnsi" w:cstheme="minorBidi"/>
          <w:b w:val="0"/>
          <w:sz w:val="20"/>
          <w:szCs w:val="20"/>
        </w:rPr>
        <w:t xml:space="preserve"> </w:t>
      </w:r>
      <w:r w:rsidR="00886150">
        <w:rPr>
          <w:rStyle w:val="Strong"/>
          <w:rFonts w:asciiTheme="minorHAnsi" w:eastAsia="Aptos" w:hAnsiTheme="minorHAnsi" w:cstheme="minorBidi"/>
          <w:b w:val="0"/>
          <w:sz w:val="20"/>
          <w:szCs w:val="20"/>
        </w:rPr>
        <w:t xml:space="preserve"> </w:t>
      </w:r>
    </w:p>
    <w:p w14:paraId="3A6B465C" w14:textId="77777777" w:rsidR="00886150" w:rsidRPr="00886150" w:rsidRDefault="00886150" w:rsidP="28C805EF">
      <w:pPr>
        <w:spacing w:line="259" w:lineRule="auto"/>
        <w:jc w:val="both"/>
        <w:rPr>
          <w:rStyle w:val="Strong"/>
          <w:rFonts w:asciiTheme="minorHAnsi" w:eastAsia="Aptos" w:hAnsiTheme="minorHAnsi" w:cstheme="minorBidi"/>
          <w:b w:val="0"/>
          <w:sz w:val="20"/>
          <w:szCs w:val="20"/>
        </w:rPr>
      </w:pPr>
    </w:p>
    <w:p w14:paraId="16D0F4B0" w14:textId="5E9B1EF9" w:rsidR="00886150" w:rsidRPr="00CF66BE" w:rsidRDefault="00886150" w:rsidP="28C805EF">
      <w:pPr>
        <w:spacing w:line="259" w:lineRule="auto"/>
        <w:jc w:val="both"/>
        <w:rPr>
          <w:rStyle w:val="Strong"/>
          <w:rFonts w:asciiTheme="minorHAnsi" w:eastAsia="Aptos" w:hAnsiTheme="minorHAnsi" w:cstheme="minorBidi"/>
          <w:b w:val="0"/>
          <w:sz w:val="20"/>
          <w:szCs w:val="20"/>
        </w:rPr>
      </w:pPr>
      <w:r w:rsidRPr="00CF66BE">
        <w:rPr>
          <w:rStyle w:val="Strong"/>
          <w:rFonts w:asciiTheme="minorHAnsi" w:eastAsia="Aptos" w:hAnsiTheme="minorHAnsi" w:cstheme="minorBidi"/>
          <w:b w:val="0"/>
          <w:sz w:val="20"/>
          <w:szCs w:val="20"/>
        </w:rPr>
        <w:t xml:space="preserve">“As announced on 16 July, we recognised one-off items amounting to £40m in the first half, which relate to our review of Vehicle Finance Stage 3 receivables (£29m, of which £16m relates to prior periods) and management actions taken in the period (£11m). </w:t>
      </w:r>
      <w:r w:rsidR="00FE3707">
        <w:rPr>
          <w:rStyle w:val="Strong"/>
          <w:rFonts w:asciiTheme="minorHAnsi" w:eastAsia="Aptos" w:hAnsiTheme="minorHAnsi" w:cstheme="minorBidi"/>
          <w:b w:val="0"/>
          <w:sz w:val="20"/>
          <w:szCs w:val="20"/>
        </w:rPr>
        <w:t>As a result o</w:t>
      </w:r>
      <w:r w:rsidRPr="00CF66BE">
        <w:rPr>
          <w:rStyle w:val="Strong"/>
          <w:rFonts w:asciiTheme="minorHAnsi" w:eastAsia="Aptos" w:hAnsiTheme="minorHAnsi" w:cstheme="minorBidi"/>
          <w:b w:val="0"/>
          <w:sz w:val="20"/>
          <w:szCs w:val="20"/>
        </w:rPr>
        <w:t>ur financial position is now clearer and more stable.</w:t>
      </w:r>
    </w:p>
    <w:p w14:paraId="25C9E3EC" w14:textId="315717D1" w:rsidR="00E157AF" w:rsidRPr="00B56DC9" w:rsidRDefault="30105CFF" w:rsidP="5C5B905D">
      <w:pPr>
        <w:spacing w:line="259" w:lineRule="auto"/>
        <w:jc w:val="both"/>
        <w:rPr>
          <w:rFonts w:eastAsia="Aptos"/>
        </w:rPr>
      </w:pPr>
      <w:r w:rsidRPr="5DC7B4D7">
        <w:rPr>
          <w:rStyle w:val="Strong"/>
          <w:rFonts w:asciiTheme="minorHAnsi" w:eastAsia="Aptos" w:hAnsiTheme="minorHAnsi" w:cstheme="minorBidi"/>
          <w:b w:val="0"/>
          <w:sz w:val="20"/>
          <w:szCs w:val="20"/>
        </w:rPr>
        <w:t xml:space="preserve"> </w:t>
      </w:r>
    </w:p>
    <w:p w14:paraId="2308C374" w14:textId="693C1D27" w:rsidR="00E157AF" w:rsidRPr="00B56DC9" w:rsidRDefault="30105CFF" w:rsidP="315C1ABC">
      <w:pPr>
        <w:spacing w:line="259" w:lineRule="auto"/>
        <w:jc w:val="both"/>
        <w:rPr>
          <w:rStyle w:val="Strong"/>
          <w:rFonts w:asciiTheme="minorHAnsi" w:eastAsia="Aptos" w:hAnsiTheme="minorHAnsi" w:cstheme="minorBidi"/>
          <w:b w:val="0"/>
          <w:bCs w:val="0"/>
          <w:sz w:val="20"/>
          <w:szCs w:val="20"/>
        </w:rPr>
      </w:pPr>
      <w:r w:rsidRPr="315C1ABC">
        <w:rPr>
          <w:rStyle w:val="Strong"/>
          <w:rFonts w:asciiTheme="minorHAnsi" w:eastAsia="Aptos" w:hAnsiTheme="minorHAnsi" w:cstheme="minorBidi"/>
          <w:b w:val="0"/>
          <w:bCs w:val="0"/>
          <w:sz w:val="20"/>
          <w:szCs w:val="20"/>
        </w:rPr>
        <w:t>“We have re</w:t>
      </w:r>
      <w:r w:rsidR="001E566F" w:rsidRPr="315C1ABC">
        <w:rPr>
          <w:rStyle w:val="Strong"/>
          <w:rFonts w:asciiTheme="minorHAnsi" w:eastAsia="Aptos" w:hAnsiTheme="minorHAnsi" w:cstheme="minorBidi"/>
          <w:b w:val="0"/>
          <w:bCs w:val="0"/>
          <w:sz w:val="20"/>
          <w:szCs w:val="20"/>
        </w:rPr>
        <w:t>visited</w:t>
      </w:r>
      <w:r w:rsidRPr="315C1ABC">
        <w:rPr>
          <w:rStyle w:val="Strong"/>
          <w:rFonts w:asciiTheme="minorHAnsi" w:eastAsia="Aptos" w:hAnsiTheme="minorHAnsi" w:cstheme="minorBidi"/>
          <w:b w:val="0"/>
          <w:bCs w:val="0"/>
          <w:sz w:val="20"/>
          <w:szCs w:val="20"/>
        </w:rPr>
        <w:t xml:space="preserve"> our strategic plan and are making further changes to deliver an additional </w:t>
      </w:r>
      <w:r w:rsidR="52381BB0" w:rsidRPr="315C1ABC">
        <w:rPr>
          <w:rStyle w:val="Strong"/>
          <w:rFonts w:asciiTheme="minorHAnsi" w:hAnsiTheme="minorHAnsi" w:cstheme="minorBidi"/>
          <w:b w:val="0"/>
          <w:bCs w:val="0"/>
          <w:sz w:val="20"/>
          <w:szCs w:val="20"/>
        </w:rPr>
        <w:t>£15m</w:t>
      </w:r>
      <w:r w:rsidRPr="315C1ABC">
        <w:rPr>
          <w:rStyle w:val="Strong"/>
          <w:rFonts w:asciiTheme="minorHAnsi" w:eastAsia="Aptos" w:hAnsiTheme="minorHAnsi" w:cstheme="minorBidi"/>
          <w:b w:val="0"/>
          <w:bCs w:val="0"/>
          <w:sz w:val="20"/>
          <w:szCs w:val="20"/>
        </w:rPr>
        <w:t xml:space="preserve"> in cost savings by the end of 2025, along with new revenue initiatives. </w:t>
      </w:r>
      <w:r w:rsidR="004A433A">
        <w:rPr>
          <w:rStyle w:val="Strong"/>
          <w:rFonts w:asciiTheme="minorHAnsi" w:eastAsia="Aptos" w:hAnsiTheme="minorHAnsi" w:cstheme="minorBidi"/>
          <w:b w:val="0"/>
          <w:bCs w:val="0"/>
          <w:sz w:val="20"/>
          <w:szCs w:val="20"/>
        </w:rPr>
        <w:t>We expect</w:t>
      </w:r>
      <w:r w:rsidRPr="315C1ABC">
        <w:rPr>
          <w:rStyle w:val="Strong"/>
          <w:rFonts w:asciiTheme="minorHAnsi" w:eastAsia="Aptos" w:hAnsiTheme="minorHAnsi" w:cstheme="minorBidi"/>
          <w:b w:val="0"/>
          <w:bCs w:val="0"/>
          <w:sz w:val="20"/>
          <w:szCs w:val="20"/>
        </w:rPr>
        <w:t xml:space="preserve"> </w:t>
      </w:r>
      <w:r w:rsidR="000E7C0C" w:rsidRPr="315C1ABC">
        <w:rPr>
          <w:rStyle w:val="Strong"/>
          <w:rFonts w:asciiTheme="minorHAnsi" w:eastAsia="Aptos" w:hAnsiTheme="minorHAnsi" w:cstheme="minorBidi"/>
          <w:b w:val="0"/>
          <w:bCs w:val="0"/>
          <w:sz w:val="20"/>
          <w:szCs w:val="20"/>
        </w:rPr>
        <w:t xml:space="preserve">modest receivables </w:t>
      </w:r>
      <w:r w:rsidR="00B0789C" w:rsidRPr="315C1ABC">
        <w:rPr>
          <w:rStyle w:val="Strong"/>
          <w:rFonts w:asciiTheme="minorHAnsi" w:eastAsia="Aptos" w:hAnsiTheme="minorHAnsi" w:cstheme="minorBidi"/>
          <w:b w:val="0"/>
          <w:bCs w:val="0"/>
          <w:sz w:val="20"/>
          <w:szCs w:val="20"/>
        </w:rPr>
        <w:t>growth in 2H24</w:t>
      </w:r>
      <w:r w:rsidR="005F0215">
        <w:rPr>
          <w:rStyle w:val="Strong"/>
          <w:rFonts w:asciiTheme="minorHAnsi" w:eastAsia="Aptos" w:hAnsiTheme="minorHAnsi" w:cstheme="minorBidi"/>
          <w:b w:val="0"/>
          <w:bCs w:val="0"/>
          <w:sz w:val="20"/>
          <w:szCs w:val="20"/>
        </w:rPr>
        <w:t>.</w:t>
      </w:r>
      <w:r w:rsidR="6EB53941" w:rsidRPr="315C1ABC">
        <w:rPr>
          <w:rStyle w:val="Strong"/>
          <w:rFonts w:asciiTheme="minorHAnsi" w:eastAsia="Aptos" w:hAnsiTheme="minorHAnsi" w:cstheme="minorBidi"/>
          <w:b w:val="0"/>
          <w:bCs w:val="0"/>
          <w:sz w:val="20"/>
          <w:szCs w:val="20"/>
        </w:rPr>
        <w:t xml:space="preserve"> </w:t>
      </w:r>
      <w:r w:rsidR="005F0215">
        <w:rPr>
          <w:rStyle w:val="Strong"/>
          <w:rFonts w:asciiTheme="minorHAnsi" w:eastAsia="Aptos" w:hAnsiTheme="minorHAnsi" w:cstheme="minorBidi"/>
          <w:b w:val="0"/>
          <w:bCs w:val="0"/>
          <w:sz w:val="20"/>
          <w:szCs w:val="20"/>
        </w:rPr>
        <w:t>W</w:t>
      </w:r>
      <w:r w:rsidR="6EB53941" w:rsidRPr="315C1ABC">
        <w:rPr>
          <w:rStyle w:val="Strong"/>
          <w:rFonts w:asciiTheme="minorHAnsi" w:eastAsia="Aptos" w:hAnsiTheme="minorHAnsi" w:cstheme="minorBidi"/>
          <w:b w:val="0"/>
          <w:bCs w:val="0"/>
          <w:sz w:val="20"/>
          <w:szCs w:val="20"/>
        </w:rPr>
        <w:t xml:space="preserve">e </w:t>
      </w:r>
      <w:r w:rsidRPr="315C1ABC">
        <w:rPr>
          <w:rStyle w:val="Strong"/>
          <w:rFonts w:asciiTheme="minorHAnsi" w:eastAsia="Aptos" w:hAnsiTheme="minorHAnsi" w:cstheme="minorBidi"/>
          <w:b w:val="0"/>
          <w:bCs w:val="0"/>
          <w:sz w:val="20"/>
          <w:szCs w:val="20"/>
        </w:rPr>
        <w:t xml:space="preserve">remain on track to deliver </w:t>
      </w:r>
      <w:r w:rsidR="000B2A23">
        <w:rPr>
          <w:rStyle w:val="Strong"/>
          <w:rFonts w:asciiTheme="minorHAnsi" w:eastAsia="Aptos" w:hAnsiTheme="minorHAnsi" w:cstheme="minorBidi"/>
          <w:b w:val="0"/>
          <w:bCs w:val="0"/>
          <w:sz w:val="20"/>
          <w:szCs w:val="20"/>
        </w:rPr>
        <w:t xml:space="preserve">low </w:t>
      </w:r>
      <w:r w:rsidR="0038545B" w:rsidRPr="315C1ABC">
        <w:rPr>
          <w:rStyle w:val="Strong"/>
          <w:rFonts w:asciiTheme="minorHAnsi" w:eastAsia="Aptos" w:hAnsiTheme="minorHAnsi" w:cstheme="minorBidi"/>
          <w:b w:val="0"/>
          <w:bCs w:val="0"/>
          <w:sz w:val="20"/>
          <w:szCs w:val="20"/>
        </w:rPr>
        <w:t xml:space="preserve">single digit ROTE in </w:t>
      </w:r>
      <w:r w:rsidR="006D5F00" w:rsidRPr="315C1ABC">
        <w:rPr>
          <w:rStyle w:val="Strong"/>
          <w:rFonts w:asciiTheme="minorHAnsi" w:eastAsia="Aptos" w:hAnsiTheme="minorHAnsi" w:cstheme="minorBidi"/>
          <w:b w:val="0"/>
          <w:bCs w:val="0"/>
          <w:sz w:val="20"/>
          <w:szCs w:val="20"/>
        </w:rPr>
        <w:t xml:space="preserve">2025 and </w:t>
      </w:r>
      <w:r w:rsidRPr="315C1ABC">
        <w:rPr>
          <w:rStyle w:val="Strong"/>
          <w:rFonts w:asciiTheme="minorHAnsi" w:eastAsia="Aptos" w:hAnsiTheme="minorHAnsi" w:cstheme="minorBidi"/>
          <w:b w:val="0"/>
          <w:bCs w:val="0"/>
          <w:sz w:val="20"/>
          <w:szCs w:val="20"/>
        </w:rPr>
        <w:t>mid-teens ROTE in 2026</w:t>
      </w:r>
      <w:r w:rsidR="054A3CEA" w:rsidRPr="315C1ABC">
        <w:rPr>
          <w:rStyle w:val="Strong"/>
          <w:rFonts w:asciiTheme="minorHAnsi" w:eastAsia="Aptos" w:hAnsiTheme="minorHAnsi" w:cstheme="minorBidi"/>
          <w:b w:val="0"/>
          <w:bCs w:val="0"/>
          <w:sz w:val="20"/>
          <w:szCs w:val="20"/>
        </w:rPr>
        <w:t>, in line with previous guidance</w:t>
      </w:r>
      <w:r w:rsidRPr="315C1ABC">
        <w:rPr>
          <w:rStyle w:val="Strong"/>
          <w:rFonts w:asciiTheme="minorHAnsi" w:eastAsia="Aptos" w:hAnsiTheme="minorHAnsi" w:cstheme="minorBidi"/>
          <w:b w:val="0"/>
          <w:bCs w:val="0"/>
          <w:sz w:val="20"/>
          <w:szCs w:val="20"/>
        </w:rPr>
        <w:t>.</w:t>
      </w:r>
    </w:p>
    <w:p w14:paraId="4504D7EB" w14:textId="390F36F8" w:rsidR="00E157AF" w:rsidRPr="00B56DC9" w:rsidRDefault="30105CFF" w:rsidP="5C5B905D">
      <w:pPr>
        <w:spacing w:line="259" w:lineRule="auto"/>
        <w:jc w:val="both"/>
        <w:rPr>
          <w:rFonts w:eastAsia="Aptos"/>
        </w:rPr>
      </w:pPr>
      <w:r w:rsidRPr="5DC7B4D7">
        <w:rPr>
          <w:rStyle w:val="Strong"/>
          <w:rFonts w:asciiTheme="minorHAnsi" w:eastAsia="Aptos" w:hAnsiTheme="minorHAnsi" w:cstheme="minorBidi"/>
          <w:b w:val="0"/>
          <w:sz w:val="20"/>
          <w:szCs w:val="20"/>
        </w:rPr>
        <w:t xml:space="preserve"> </w:t>
      </w:r>
    </w:p>
    <w:p w14:paraId="08A332F4" w14:textId="1C20AD25" w:rsidR="00E157AF" w:rsidRPr="00B56DC9" w:rsidRDefault="30105CFF" w:rsidP="5C5B905D">
      <w:pPr>
        <w:spacing w:line="259" w:lineRule="auto"/>
        <w:jc w:val="both"/>
      </w:pPr>
      <w:r w:rsidRPr="5DC7B4D7">
        <w:rPr>
          <w:rStyle w:val="Strong"/>
          <w:rFonts w:asciiTheme="minorHAnsi" w:eastAsia="Aptos" w:hAnsiTheme="minorHAnsi" w:cstheme="minorBidi"/>
          <w:b w:val="0"/>
          <w:sz w:val="20"/>
          <w:szCs w:val="20"/>
        </w:rPr>
        <w:t xml:space="preserve">“As the largest specialist finance provider for financially underserved customers, Vanquis occupies a unique role in the UK banking system. </w:t>
      </w:r>
      <w:r w:rsidR="004D736C">
        <w:rPr>
          <w:rStyle w:val="Strong"/>
          <w:rFonts w:asciiTheme="minorHAnsi" w:eastAsia="Aptos" w:hAnsiTheme="minorHAnsi" w:cstheme="minorBidi"/>
          <w:b w:val="0"/>
          <w:sz w:val="20"/>
          <w:szCs w:val="20"/>
        </w:rPr>
        <w:t>W</w:t>
      </w:r>
      <w:r w:rsidRPr="5DC7B4D7">
        <w:rPr>
          <w:rStyle w:val="Strong"/>
          <w:rFonts w:asciiTheme="minorHAnsi" w:eastAsia="Aptos" w:hAnsiTheme="minorHAnsi" w:cstheme="minorBidi"/>
          <w:b w:val="0"/>
          <w:sz w:val="20"/>
          <w:szCs w:val="20"/>
        </w:rPr>
        <w:t xml:space="preserve">e look forward to </w:t>
      </w:r>
      <w:r w:rsidR="00FC0F55">
        <w:rPr>
          <w:rStyle w:val="Strong"/>
          <w:rFonts w:asciiTheme="minorHAnsi" w:eastAsia="Aptos" w:hAnsiTheme="minorHAnsi" w:cstheme="minorBidi"/>
          <w:b w:val="0"/>
          <w:sz w:val="20"/>
          <w:szCs w:val="20"/>
        </w:rPr>
        <w:t xml:space="preserve">continuing to </w:t>
      </w:r>
      <w:r w:rsidRPr="5DC7B4D7">
        <w:rPr>
          <w:rStyle w:val="Strong"/>
          <w:rFonts w:asciiTheme="minorHAnsi" w:eastAsia="Aptos" w:hAnsiTheme="minorHAnsi" w:cstheme="minorBidi"/>
          <w:b w:val="0"/>
          <w:sz w:val="20"/>
          <w:szCs w:val="20"/>
        </w:rPr>
        <w:t>support our customers to make the most of life’s opportunities.”</w:t>
      </w:r>
      <w:r w:rsidRPr="28C805EF">
        <w:rPr>
          <w:rStyle w:val="Strong"/>
          <w:rFonts w:asciiTheme="minorHAnsi" w:hAnsiTheme="minorHAnsi" w:cstheme="minorBidi"/>
          <w:b w:val="0"/>
          <w:bCs w:val="0"/>
          <w:sz w:val="20"/>
          <w:szCs w:val="20"/>
        </w:rPr>
        <w:t xml:space="preserve"> </w:t>
      </w:r>
    </w:p>
    <w:p w14:paraId="0724ED9C" w14:textId="75569610" w:rsidR="00E534C5" w:rsidRPr="00834F50" w:rsidRDefault="00E534C5" w:rsidP="00834F50">
      <w:pPr>
        <w:spacing w:line="256" w:lineRule="auto"/>
        <w:jc w:val="both"/>
        <w:rPr>
          <w:rStyle w:val="Strong"/>
          <w:rFonts w:asciiTheme="minorHAnsi" w:eastAsiaTheme="minorHAnsi" w:hAnsiTheme="minorHAnsi" w:cstheme="minorBidi"/>
          <w:b w:val="0"/>
          <w:color w:val="000000" w:themeColor="text1"/>
          <w:sz w:val="20"/>
          <w:szCs w:val="20"/>
          <w:lang w:eastAsia="en-US"/>
        </w:rPr>
      </w:pPr>
    </w:p>
    <w:p w14:paraId="6BC28D08" w14:textId="653C4754" w:rsidR="008C2B46" w:rsidRPr="00D67126" w:rsidRDefault="00F01EC8" w:rsidP="00E534C5">
      <w:pPr>
        <w:jc w:val="both"/>
        <w:rPr>
          <w:rStyle w:val="Strong"/>
          <w:rFonts w:asciiTheme="minorHAnsi" w:hAnsiTheme="minorHAnsi" w:cstheme="minorBidi"/>
          <w:color w:val="4747FF"/>
          <w:sz w:val="20"/>
          <w:szCs w:val="20"/>
        </w:rPr>
      </w:pPr>
      <w:r w:rsidRPr="04F67BCB">
        <w:rPr>
          <w:rStyle w:val="Strong"/>
          <w:rFonts w:asciiTheme="minorHAnsi" w:hAnsiTheme="minorHAnsi" w:cstheme="minorBidi"/>
          <w:color w:val="4747FF"/>
          <w:sz w:val="20"/>
          <w:szCs w:val="20"/>
        </w:rPr>
        <w:t>Key financial results</w:t>
      </w:r>
      <w:r w:rsidR="00B974AD" w:rsidRPr="04F67BCB">
        <w:rPr>
          <w:rStyle w:val="Strong"/>
          <w:rFonts w:asciiTheme="minorHAnsi" w:hAnsiTheme="minorHAnsi" w:cstheme="minorBidi"/>
          <w:color w:val="4747FF"/>
          <w:sz w:val="20"/>
          <w:szCs w:val="20"/>
        </w:rPr>
        <w:t xml:space="preserve"> for the six months ended 30 June</w:t>
      </w:r>
    </w:p>
    <w:tbl>
      <w:tblPr>
        <w:tblW w:w="5000" w:type="pct"/>
        <w:tblCellMar>
          <w:left w:w="0" w:type="dxa"/>
          <w:right w:w="0" w:type="dxa"/>
        </w:tblCellMar>
        <w:tblLook w:val="01E0" w:firstRow="1" w:lastRow="1" w:firstColumn="1" w:lastColumn="1" w:noHBand="0" w:noVBand="0"/>
      </w:tblPr>
      <w:tblGrid>
        <w:gridCol w:w="5060"/>
        <w:gridCol w:w="138"/>
        <w:gridCol w:w="1243"/>
        <w:gridCol w:w="1779"/>
        <w:gridCol w:w="1503"/>
      </w:tblGrid>
      <w:tr w:rsidR="008B532C" w:rsidRPr="00D67126" w14:paraId="791DE2E7" w14:textId="77777777" w:rsidTr="002D58E3">
        <w:trPr>
          <w:trHeight w:val="376"/>
        </w:trPr>
        <w:tc>
          <w:tcPr>
            <w:tcW w:w="2602" w:type="pct"/>
            <w:tcBorders>
              <w:left w:val="nil"/>
              <w:bottom w:val="single" w:sz="2" w:space="0" w:color="auto"/>
              <w:right w:val="nil"/>
            </w:tcBorders>
            <w:shd w:val="clear" w:color="auto" w:fill="auto"/>
            <w:tcMar>
              <w:top w:w="74" w:type="dxa"/>
              <w:left w:w="15" w:type="dxa"/>
              <w:bottom w:w="74" w:type="dxa"/>
              <w:right w:w="15" w:type="dxa"/>
            </w:tcMar>
            <w:vAlign w:val="bottom"/>
            <w:hideMark/>
          </w:tcPr>
          <w:p w14:paraId="78F19489" w14:textId="77777777" w:rsidR="008B532C" w:rsidRPr="00D67126" w:rsidRDefault="008B532C" w:rsidP="00AF5A74">
            <w:pPr>
              <w:rPr>
                <w:rFonts w:asciiTheme="minorHAnsi" w:hAnsiTheme="minorHAnsi" w:cstheme="minorHAnsi"/>
                <w:sz w:val="20"/>
                <w:szCs w:val="20"/>
              </w:rPr>
            </w:pPr>
            <w:bookmarkStart w:id="1" w:name="_Hlk158129280"/>
          </w:p>
        </w:tc>
        <w:tc>
          <w:tcPr>
            <w:tcW w:w="71" w:type="pct"/>
            <w:tcBorders>
              <w:left w:val="nil"/>
              <w:bottom w:val="single" w:sz="2" w:space="0" w:color="auto"/>
              <w:right w:val="nil"/>
            </w:tcBorders>
            <w:shd w:val="clear" w:color="auto" w:fill="auto"/>
            <w:tcMar>
              <w:top w:w="15" w:type="dxa"/>
              <w:left w:w="15" w:type="dxa"/>
              <w:bottom w:w="0" w:type="dxa"/>
              <w:right w:w="15" w:type="dxa"/>
            </w:tcMar>
            <w:vAlign w:val="center"/>
            <w:hideMark/>
          </w:tcPr>
          <w:p w14:paraId="66DC460D" w14:textId="77777777" w:rsidR="008B532C" w:rsidRPr="00D67126" w:rsidRDefault="008B532C" w:rsidP="00AF5A74">
            <w:pPr>
              <w:rPr>
                <w:rFonts w:asciiTheme="minorHAnsi" w:hAnsiTheme="minorHAnsi" w:cstheme="minorHAnsi"/>
                <w:sz w:val="20"/>
                <w:szCs w:val="20"/>
              </w:rPr>
            </w:pPr>
          </w:p>
        </w:tc>
        <w:tc>
          <w:tcPr>
            <w:tcW w:w="639" w:type="pct"/>
            <w:tcBorders>
              <w:left w:val="nil"/>
              <w:bottom w:val="single" w:sz="2" w:space="0" w:color="auto"/>
              <w:right w:val="nil"/>
            </w:tcBorders>
            <w:shd w:val="clear" w:color="auto" w:fill="F2F2F2" w:themeFill="background1" w:themeFillShade="F2"/>
            <w:tcMar>
              <w:top w:w="15" w:type="dxa"/>
              <w:left w:w="15" w:type="dxa"/>
              <w:bottom w:w="0" w:type="dxa"/>
              <w:right w:w="15" w:type="dxa"/>
            </w:tcMar>
            <w:vAlign w:val="center"/>
            <w:hideMark/>
          </w:tcPr>
          <w:p w14:paraId="2B784B59" w14:textId="24D36354" w:rsidR="008B532C" w:rsidRPr="00D67126" w:rsidRDefault="004539E7" w:rsidP="00AF5A74">
            <w:pPr>
              <w:ind w:right="115"/>
              <w:jc w:val="right"/>
              <w:rPr>
                <w:rFonts w:asciiTheme="minorHAnsi" w:hAnsiTheme="minorHAnsi" w:cstheme="minorHAnsi"/>
                <w:sz w:val="20"/>
                <w:szCs w:val="20"/>
              </w:rPr>
            </w:pPr>
            <w:r w:rsidRPr="00D67126">
              <w:rPr>
                <w:rFonts w:asciiTheme="minorHAnsi" w:eastAsia="Inter Medium" w:hAnsiTheme="minorHAnsi" w:cstheme="minorHAnsi"/>
                <w:b/>
                <w:kern w:val="24"/>
                <w:sz w:val="20"/>
                <w:szCs w:val="20"/>
              </w:rPr>
              <w:t xml:space="preserve">1H </w:t>
            </w:r>
            <w:r w:rsidR="008B532C" w:rsidRPr="00D67126">
              <w:rPr>
                <w:rFonts w:asciiTheme="minorHAnsi" w:eastAsia="Inter Medium" w:hAnsiTheme="minorHAnsi" w:cstheme="minorHAnsi"/>
                <w:b/>
                <w:kern w:val="24"/>
                <w:sz w:val="20"/>
                <w:szCs w:val="20"/>
              </w:rPr>
              <w:t>2</w:t>
            </w:r>
            <w:r w:rsidR="00AA79E9" w:rsidRPr="00D67126">
              <w:rPr>
                <w:rFonts w:asciiTheme="minorHAnsi" w:eastAsia="Inter Medium" w:hAnsiTheme="minorHAnsi" w:cstheme="minorHAnsi"/>
                <w:b/>
                <w:kern w:val="24"/>
                <w:sz w:val="20"/>
                <w:szCs w:val="20"/>
              </w:rPr>
              <w:t>4</w:t>
            </w:r>
          </w:p>
          <w:p w14:paraId="6695ED17" w14:textId="77777777" w:rsidR="00A9687E" w:rsidRDefault="00A9687E" w:rsidP="00AF5A74">
            <w:pPr>
              <w:ind w:right="115"/>
              <w:jc w:val="right"/>
              <w:rPr>
                <w:rFonts w:asciiTheme="minorHAnsi" w:eastAsia="Inter Medium" w:hAnsiTheme="minorHAnsi" w:cstheme="minorHAnsi"/>
                <w:b/>
                <w:kern w:val="24"/>
                <w:sz w:val="20"/>
                <w:szCs w:val="20"/>
              </w:rPr>
            </w:pPr>
          </w:p>
          <w:p w14:paraId="40EF5B04" w14:textId="5B51A78F" w:rsidR="008B532C" w:rsidRPr="00D67126" w:rsidRDefault="008B532C" w:rsidP="00AF5A74">
            <w:pPr>
              <w:ind w:right="115"/>
              <w:jc w:val="right"/>
              <w:rPr>
                <w:rFonts w:asciiTheme="minorHAnsi" w:hAnsiTheme="minorHAnsi" w:cstheme="minorHAnsi"/>
                <w:sz w:val="20"/>
                <w:szCs w:val="20"/>
              </w:rPr>
            </w:pPr>
            <w:r w:rsidRPr="00D67126">
              <w:rPr>
                <w:rFonts w:asciiTheme="minorHAnsi" w:eastAsia="Inter Medium" w:hAnsiTheme="minorHAnsi" w:cstheme="minorHAnsi"/>
                <w:b/>
                <w:kern w:val="24"/>
                <w:sz w:val="20"/>
                <w:szCs w:val="20"/>
              </w:rPr>
              <w:t>£m</w:t>
            </w:r>
          </w:p>
        </w:tc>
        <w:tc>
          <w:tcPr>
            <w:tcW w:w="915" w:type="pct"/>
            <w:tcBorders>
              <w:left w:val="nil"/>
              <w:bottom w:val="single" w:sz="2" w:space="0" w:color="auto"/>
              <w:right w:val="nil"/>
            </w:tcBorders>
            <w:shd w:val="clear" w:color="auto" w:fill="auto"/>
            <w:tcMar>
              <w:top w:w="15" w:type="dxa"/>
              <w:left w:w="15" w:type="dxa"/>
              <w:bottom w:w="0" w:type="dxa"/>
              <w:right w:w="15" w:type="dxa"/>
            </w:tcMar>
            <w:vAlign w:val="center"/>
            <w:hideMark/>
          </w:tcPr>
          <w:p w14:paraId="39837F72" w14:textId="6C04F281" w:rsidR="008B532C" w:rsidRDefault="004539E7" w:rsidP="00AF5A74">
            <w:pPr>
              <w:jc w:val="right"/>
              <w:textAlignment w:val="bottom"/>
              <w:rPr>
                <w:rFonts w:asciiTheme="minorHAnsi" w:hAnsiTheme="minorHAnsi" w:cstheme="minorHAnsi"/>
                <w:kern w:val="24"/>
                <w:sz w:val="20"/>
                <w:szCs w:val="20"/>
              </w:rPr>
            </w:pPr>
            <w:r w:rsidRPr="00D67126">
              <w:rPr>
                <w:rFonts w:asciiTheme="minorHAnsi" w:hAnsiTheme="minorHAnsi" w:cstheme="minorHAnsi"/>
                <w:kern w:val="24"/>
                <w:sz w:val="20"/>
                <w:szCs w:val="20"/>
              </w:rPr>
              <w:t xml:space="preserve">1H </w:t>
            </w:r>
            <w:r w:rsidR="008B532C" w:rsidRPr="00D67126">
              <w:rPr>
                <w:rFonts w:asciiTheme="minorHAnsi" w:hAnsiTheme="minorHAnsi" w:cstheme="minorHAnsi"/>
                <w:kern w:val="24"/>
                <w:sz w:val="20"/>
                <w:szCs w:val="20"/>
              </w:rPr>
              <w:t>2</w:t>
            </w:r>
            <w:r w:rsidR="00AA79E9" w:rsidRPr="00D67126">
              <w:rPr>
                <w:rFonts w:asciiTheme="minorHAnsi" w:hAnsiTheme="minorHAnsi" w:cstheme="minorHAnsi"/>
                <w:kern w:val="24"/>
                <w:sz w:val="20"/>
                <w:szCs w:val="20"/>
              </w:rPr>
              <w:t>3</w:t>
            </w:r>
          </w:p>
          <w:p w14:paraId="3AE500C8" w14:textId="7E3A56B5" w:rsidR="006D6E21" w:rsidRPr="00D67126" w:rsidRDefault="006D6E21" w:rsidP="00AF5A74">
            <w:pPr>
              <w:jc w:val="right"/>
              <w:textAlignment w:val="bottom"/>
              <w:rPr>
                <w:rFonts w:asciiTheme="minorHAnsi" w:hAnsiTheme="minorHAnsi" w:cstheme="minorBidi"/>
                <w:kern w:val="24"/>
                <w:sz w:val="20"/>
                <w:szCs w:val="20"/>
              </w:rPr>
            </w:pPr>
            <w:r w:rsidRPr="3AC2A0EB">
              <w:rPr>
                <w:rFonts w:asciiTheme="minorHAnsi" w:hAnsiTheme="minorHAnsi" w:cstheme="minorBidi"/>
                <w:kern w:val="24"/>
                <w:sz w:val="20"/>
                <w:szCs w:val="20"/>
              </w:rPr>
              <w:t>(restated)</w:t>
            </w:r>
            <w:r w:rsidR="699A7A08" w:rsidRPr="3AC2A0EB">
              <w:rPr>
                <w:rFonts w:asciiTheme="minorHAnsi" w:hAnsiTheme="minorHAnsi" w:cstheme="minorBidi"/>
                <w:kern w:val="24"/>
                <w:sz w:val="20"/>
                <w:szCs w:val="20"/>
                <w:vertAlign w:val="superscript"/>
              </w:rPr>
              <w:t>1</w:t>
            </w:r>
          </w:p>
          <w:p w14:paraId="04BD0DD6" w14:textId="77777777" w:rsidR="008B532C" w:rsidRPr="00D67126" w:rsidRDefault="008B532C" w:rsidP="00AF5A74">
            <w:pPr>
              <w:jc w:val="right"/>
              <w:textAlignment w:val="bottom"/>
              <w:rPr>
                <w:rFonts w:asciiTheme="minorHAnsi" w:hAnsiTheme="minorHAnsi" w:cstheme="minorHAnsi"/>
                <w:sz w:val="20"/>
                <w:szCs w:val="20"/>
              </w:rPr>
            </w:pPr>
            <w:r w:rsidRPr="00D67126">
              <w:rPr>
                <w:rFonts w:asciiTheme="minorHAnsi" w:hAnsiTheme="minorHAnsi" w:cstheme="minorHAnsi"/>
                <w:kern w:val="24"/>
                <w:sz w:val="20"/>
                <w:szCs w:val="20"/>
              </w:rPr>
              <w:t>£m</w:t>
            </w:r>
          </w:p>
        </w:tc>
        <w:tc>
          <w:tcPr>
            <w:tcW w:w="773" w:type="pct"/>
            <w:tcBorders>
              <w:left w:val="nil"/>
              <w:bottom w:val="single" w:sz="2" w:space="0" w:color="auto"/>
              <w:right w:val="nil"/>
            </w:tcBorders>
            <w:shd w:val="clear" w:color="auto" w:fill="auto"/>
            <w:tcMar>
              <w:top w:w="15" w:type="dxa"/>
              <w:left w:w="15" w:type="dxa"/>
              <w:bottom w:w="0" w:type="dxa"/>
              <w:right w:w="15" w:type="dxa"/>
            </w:tcMar>
            <w:vAlign w:val="center"/>
            <w:hideMark/>
          </w:tcPr>
          <w:p w14:paraId="63C880EA" w14:textId="77777777" w:rsidR="008B532C" w:rsidRPr="00D67126" w:rsidRDefault="008B532C" w:rsidP="00AF5A74">
            <w:pPr>
              <w:ind w:right="115"/>
              <w:jc w:val="right"/>
              <w:rPr>
                <w:rFonts w:asciiTheme="minorHAnsi" w:hAnsiTheme="minorHAnsi" w:cstheme="minorHAnsi"/>
                <w:sz w:val="20"/>
                <w:szCs w:val="20"/>
              </w:rPr>
            </w:pPr>
            <w:r w:rsidRPr="00D67126">
              <w:rPr>
                <w:rFonts w:asciiTheme="minorHAnsi" w:hAnsiTheme="minorHAnsi" w:cstheme="minorHAnsi"/>
                <w:kern w:val="24"/>
                <w:sz w:val="20"/>
                <w:szCs w:val="20"/>
              </w:rPr>
              <w:t>Change</w:t>
            </w:r>
          </w:p>
          <w:p w14:paraId="1E06775D" w14:textId="77777777" w:rsidR="008B532C" w:rsidRPr="00D67126" w:rsidRDefault="008B532C" w:rsidP="00AF5A74">
            <w:pPr>
              <w:ind w:right="115"/>
              <w:jc w:val="right"/>
              <w:rPr>
                <w:rFonts w:asciiTheme="minorHAnsi" w:hAnsiTheme="minorHAnsi" w:cstheme="minorHAnsi"/>
                <w:sz w:val="20"/>
                <w:szCs w:val="20"/>
              </w:rPr>
            </w:pPr>
            <w:r w:rsidRPr="00D67126">
              <w:rPr>
                <w:rFonts w:asciiTheme="minorHAnsi" w:eastAsia="Inter Light BETA" w:hAnsiTheme="minorHAnsi" w:cstheme="minorHAnsi"/>
                <w:kern w:val="24"/>
                <w:sz w:val="20"/>
                <w:szCs w:val="20"/>
              </w:rPr>
              <w:t>%</w:t>
            </w:r>
          </w:p>
        </w:tc>
      </w:tr>
      <w:tr w:rsidR="008B532C" w:rsidRPr="00D67126" w14:paraId="7029B65D" w14:textId="77777777" w:rsidTr="002D58E3">
        <w:trPr>
          <w:trHeight w:val="227"/>
        </w:trPr>
        <w:tc>
          <w:tcPr>
            <w:tcW w:w="2602" w:type="pct"/>
            <w:tcBorders>
              <w:top w:val="single" w:sz="2" w:space="0" w:color="auto"/>
              <w:left w:val="nil"/>
              <w:right w:val="nil"/>
            </w:tcBorders>
            <w:shd w:val="clear" w:color="auto" w:fill="auto"/>
            <w:tcMar>
              <w:top w:w="15" w:type="dxa"/>
              <w:left w:w="15" w:type="dxa"/>
              <w:bottom w:w="0" w:type="dxa"/>
              <w:right w:w="15" w:type="dxa"/>
            </w:tcMar>
            <w:vAlign w:val="center"/>
            <w:hideMark/>
          </w:tcPr>
          <w:p w14:paraId="0A96B9FF" w14:textId="77777777" w:rsidR="008B532C" w:rsidRPr="00D67126" w:rsidRDefault="008B532C" w:rsidP="00AF5A74">
            <w:pPr>
              <w:ind w:right="115"/>
              <w:rPr>
                <w:rFonts w:asciiTheme="minorHAnsi" w:hAnsiTheme="minorHAnsi" w:cstheme="minorHAnsi"/>
                <w:sz w:val="20"/>
                <w:szCs w:val="20"/>
              </w:rPr>
            </w:pPr>
            <w:r w:rsidRPr="00D67126">
              <w:rPr>
                <w:rFonts w:asciiTheme="minorHAnsi" w:hAnsiTheme="minorHAnsi" w:cstheme="minorHAnsi"/>
                <w:kern w:val="24"/>
                <w:sz w:val="20"/>
                <w:szCs w:val="20"/>
              </w:rPr>
              <w:t>Net interest income</w:t>
            </w:r>
          </w:p>
        </w:tc>
        <w:tc>
          <w:tcPr>
            <w:tcW w:w="71" w:type="pct"/>
            <w:tcBorders>
              <w:top w:val="single" w:sz="2" w:space="0" w:color="auto"/>
              <w:left w:val="nil"/>
              <w:right w:val="nil"/>
            </w:tcBorders>
            <w:shd w:val="clear" w:color="auto" w:fill="auto"/>
            <w:tcMar>
              <w:top w:w="15" w:type="dxa"/>
              <w:left w:w="15" w:type="dxa"/>
              <w:bottom w:w="0" w:type="dxa"/>
              <w:right w:w="15" w:type="dxa"/>
            </w:tcMar>
            <w:vAlign w:val="center"/>
            <w:hideMark/>
          </w:tcPr>
          <w:p w14:paraId="536A2BB3" w14:textId="77777777" w:rsidR="008B532C" w:rsidRPr="00D67126" w:rsidRDefault="008B532C" w:rsidP="00AF5A74">
            <w:pPr>
              <w:rPr>
                <w:rFonts w:asciiTheme="minorHAnsi" w:hAnsiTheme="minorHAnsi" w:cstheme="minorHAnsi"/>
                <w:sz w:val="20"/>
                <w:szCs w:val="20"/>
              </w:rPr>
            </w:pPr>
          </w:p>
        </w:tc>
        <w:tc>
          <w:tcPr>
            <w:tcW w:w="639" w:type="pct"/>
            <w:tcBorders>
              <w:top w:val="single" w:sz="2" w:space="0" w:color="auto"/>
              <w:left w:val="nil"/>
              <w:right w:val="nil"/>
            </w:tcBorders>
            <w:shd w:val="clear" w:color="auto" w:fill="F2F2F2" w:themeFill="background1" w:themeFillShade="F2"/>
            <w:tcMar>
              <w:top w:w="15" w:type="dxa"/>
              <w:left w:w="15" w:type="dxa"/>
              <w:bottom w:w="0" w:type="dxa"/>
              <w:right w:w="15" w:type="dxa"/>
            </w:tcMar>
            <w:vAlign w:val="center"/>
            <w:hideMark/>
          </w:tcPr>
          <w:p w14:paraId="2B1B577B" w14:textId="60815F1E" w:rsidR="008B532C" w:rsidRPr="006C1098" w:rsidRDefault="00F71F15" w:rsidP="00AF5A74">
            <w:pPr>
              <w:jc w:val="right"/>
              <w:textAlignment w:val="bottom"/>
              <w:rPr>
                <w:rFonts w:asciiTheme="minorHAnsi" w:hAnsiTheme="minorHAnsi" w:cstheme="minorHAnsi"/>
                <w:b/>
                <w:sz w:val="20"/>
                <w:szCs w:val="20"/>
              </w:rPr>
            </w:pPr>
            <w:r w:rsidRPr="006C1098">
              <w:rPr>
                <w:rFonts w:asciiTheme="minorHAnsi" w:hAnsiTheme="minorHAnsi" w:cstheme="minorHAnsi"/>
                <w:b/>
                <w:kern w:val="24"/>
                <w:sz w:val="20"/>
                <w:szCs w:val="20"/>
              </w:rPr>
              <w:t>214.</w:t>
            </w:r>
            <w:r w:rsidR="001C65F2" w:rsidRPr="006C1098">
              <w:rPr>
                <w:rFonts w:asciiTheme="minorHAnsi" w:hAnsiTheme="minorHAnsi" w:cstheme="minorHAnsi"/>
                <w:b/>
                <w:kern w:val="24"/>
                <w:sz w:val="20"/>
                <w:szCs w:val="20"/>
              </w:rPr>
              <w:t>5</w:t>
            </w:r>
            <w:r w:rsidR="008B532C" w:rsidRPr="006C1098">
              <w:rPr>
                <w:rFonts w:asciiTheme="minorHAnsi" w:hAnsiTheme="minorHAnsi" w:cstheme="minorHAnsi"/>
                <w:b/>
                <w:kern w:val="24"/>
                <w:sz w:val="20"/>
                <w:szCs w:val="20"/>
              </w:rPr>
              <w:t xml:space="preserve"> </w:t>
            </w:r>
          </w:p>
        </w:tc>
        <w:tc>
          <w:tcPr>
            <w:tcW w:w="915" w:type="pct"/>
            <w:tcBorders>
              <w:top w:val="single" w:sz="2" w:space="0" w:color="auto"/>
              <w:left w:val="nil"/>
              <w:right w:val="nil"/>
            </w:tcBorders>
            <w:shd w:val="clear" w:color="auto" w:fill="auto"/>
            <w:tcMar>
              <w:top w:w="15" w:type="dxa"/>
              <w:left w:w="15" w:type="dxa"/>
              <w:bottom w:w="0" w:type="dxa"/>
              <w:right w:w="15" w:type="dxa"/>
            </w:tcMar>
            <w:vAlign w:val="center"/>
            <w:hideMark/>
          </w:tcPr>
          <w:p w14:paraId="52F7E146" w14:textId="06BEBA6D" w:rsidR="008B532C" w:rsidRPr="006C1098" w:rsidRDefault="00E116F0" w:rsidP="00AF5A74">
            <w:pPr>
              <w:jc w:val="right"/>
              <w:textAlignment w:val="bottom"/>
              <w:rPr>
                <w:rFonts w:asciiTheme="minorHAnsi" w:hAnsiTheme="minorHAnsi" w:cstheme="minorHAnsi"/>
                <w:sz w:val="20"/>
                <w:szCs w:val="20"/>
              </w:rPr>
            </w:pPr>
            <w:r w:rsidRPr="006C1098">
              <w:rPr>
                <w:rFonts w:asciiTheme="minorHAnsi" w:hAnsiTheme="minorHAnsi" w:cstheme="minorHAnsi"/>
                <w:kern w:val="24"/>
                <w:sz w:val="20"/>
                <w:szCs w:val="20"/>
              </w:rPr>
              <w:t>2</w:t>
            </w:r>
            <w:r w:rsidR="00BA64E0" w:rsidRPr="006C1098">
              <w:rPr>
                <w:rFonts w:asciiTheme="minorHAnsi" w:hAnsiTheme="minorHAnsi" w:cstheme="minorHAnsi"/>
                <w:kern w:val="24"/>
                <w:sz w:val="20"/>
                <w:szCs w:val="20"/>
              </w:rPr>
              <w:t>14.5</w:t>
            </w:r>
            <w:r w:rsidR="008B532C" w:rsidRPr="006C1098">
              <w:rPr>
                <w:rFonts w:asciiTheme="minorHAnsi" w:hAnsiTheme="minorHAnsi" w:cstheme="minorHAnsi"/>
                <w:kern w:val="24"/>
                <w:sz w:val="20"/>
                <w:szCs w:val="20"/>
              </w:rPr>
              <w:t xml:space="preserve"> </w:t>
            </w:r>
          </w:p>
        </w:tc>
        <w:tc>
          <w:tcPr>
            <w:tcW w:w="773" w:type="pct"/>
            <w:tcBorders>
              <w:top w:val="single" w:sz="2" w:space="0" w:color="auto"/>
              <w:left w:val="nil"/>
              <w:right w:val="nil"/>
            </w:tcBorders>
            <w:shd w:val="clear" w:color="auto" w:fill="auto"/>
            <w:tcMar>
              <w:top w:w="15" w:type="dxa"/>
              <w:left w:w="15" w:type="dxa"/>
              <w:bottom w:w="0" w:type="dxa"/>
              <w:right w:w="15" w:type="dxa"/>
            </w:tcMar>
            <w:vAlign w:val="center"/>
            <w:hideMark/>
          </w:tcPr>
          <w:p w14:paraId="0A8A213C" w14:textId="259CB787" w:rsidR="008B532C" w:rsidRPr="006C1098" w:rsidRDefault="00935968" w:rsidP="00AF5A74">
            <w:pPr>
              <w:jc w:val="right"/>
              <w:textAlignment w:val="bottom"/>
              <w:rPr>
                <w:rFonts w:asciiTheme="minorHAnsi" w:hAnsiTheme="minorHAnsi" w:cstheme="minorHAnsi"/>
                <w:sz w:val="20"/>
                <w:szCs w:val="20"/>
              </w:rPr>
            </w:pPr>
            <w:r w:rsidRPr="006C1098">
              <w:rPr>
                <w:rFonts w:asciiTheme="minorHAnsi" w:hAnsiTheme="minorHAnsi" w:cstheme="minorHAnsi"/>
                <w:sz w:val="20"/>
                <w:szCs w:val="20"/>
              </w:rPr>
              <w:t>-</w:t>
            </w:r>
          </w:p>
        </w:tc>
      </w:tr>
      <w:tr w:rsidR="008B532C" w:rsidRPr="006F451D" w14:paraId="49DEAC80" w14:textId="77777777" w:rsidTr="002D58E3">
        <w:trPr>
          <w:trHeight w:val="227"/>
        </w:trPr>
        <w:tc>
          <w:tcPr>
            <w:tcW w:w="2602" w:type="pct"/>
            <w:tcBorders>
              <w:left w:val="nil"/>
              <w:bottom w:val="single" w:sz="2" w:space="0" w:color="auto"/>
              <w:right w:val="nil"/>
            </w:tcBorders>
            <w:shd w:val="clear" w:color="auto" w:fill="auto"/>
            <w:tcMar>
              <w:top w:w="15" w:type="dxa"/>
              <w:left w:w="15" w:type="dxa"/>
              <w:bottom w:w="0" w:type="dxa"/>
              <w:right w:w="15" w:type="dxa"/>
            </w:tcMar>
            <w:vAlign w:val="center"/>
            <w:hideMark/>
          </w:tcPr>
          <w:p w14:paraId="0B45F723" w14:textId="77777777" w:rsidR="008B532C" w:rsidRPr="00D67126" w:rsidRDefault="008B532C" w:rsidP="00AF5A74">
            <w:pPr>
              <w:ind w:right="115"/>
              <w:rPr>
                <w:rFonts w:asciiTheme="minorHAnsi" w:hAnsiTheme="minorHAnsi" w:cstheme="minorHAnsi"/>
                <w:sz w:val="20"/>
                <w:szCs w:val="20"/>
              </w:rPr>
            </w:pPr>
            <w:r w:rsidRPr="00D67126">
              <w:rPr>
                <w:rFonts w:asciiTheme="minorHAnsi" w:hAnsiTheme="minorHAnsi" w:cstheme="minorHAnsi"/>
                <w:kern w:val="24"/>
                <w:sz w:val="20"/>
                <w:szCs w:val="20"/>
              </w:rPr>
              <w:t>Non-interest income</w:t>
            </w:r>
          </w:p>
        </w:tc>
        <w:tc>
          <w:tcPr>
            <w:tcW w:w="71" w:type="pct"/>
            <w:tcBorders>
              <w:left w:val="nil"/>
              <w:bottom w:val="single" w:sz="2" w:space="0" w:color="auto"/>
              <w:right w:val="nil"/>
            </w:tcBorders>
            <w:shd w:val="clear" w:color="auto" w:fill="auto"/>
            <w:tcMar>
              <w:top w:w="15" w:type="dxa"/>
              <w:left w:w="15" w:type="dxa"/>
              <w:bottom w:w="0" w:type="dxa"/>
              <w:right w:w="15" w:type="dxa"/>
            </w:tcMar>
            <w:vAlign w:val="center"/>
            <w:hideMark/>
          </w:tcPr>
          <w:p w14:paraId="1626BC2E" w14:textId="77777777" w:rsidR="008B532C" w:rsidRPr="00D67126" w:rsidRDefault="008B532C" w:rsidP="00AF5A74">
            <w:pPr>
              <w:rPr>
                <w:rFonts w:asciiTheme="minorHAnsi" w:hAnsiTheme="minorHAnsi" w:cstheme="minorHAnsi"/>
                <w:sz w:val="20"/>
                <w:szCs w:val="20"/>
              </w:rPr>
            </w:pPr>
          </w:p>
        </w:tc>
        <w:tc>
          <w:tcPr>
            <w:tcW w:w="639" w:type="pct"/>
            <w:tcBorders>
              <w:left w:val="nil"/>
              <w:bottom w:val="single" w:sz="2" w:space="0" w:color="auto"/>
              <w:right w:val="nil"/>
            </w:tcBorders>
            <w:shd w:val="clear" w:color="auto" w:fill="F2F2F2" w:themeFill="background1" w:themeFillShade="F2"/>
            <w:tcMar>
              <w:top w:w="15" w:type="dxa"/>
              <w:left w:w="15" w:type="dxa"/>
              <w:bottom w:w="0" w:type="dxa"/>
              <w:right w:w="15" w:type="dxa"/>
            </w:tcMar>
            <w:vAlign w:val="center"/>
            <w:hideMark/>
          </w:tcPr>
          <w:p w14:paraId="670DE89B" w14:textId="0FE81773" w:rsidR="008B532C" w:rsidRPr="006C1098" w:rsidRDefault="0071571A" w:rsidP="00AF5A74">
            <w:pPr>
              <w:jc w:val="right"/>
              <w:textAlignment w:val="bottom"/>
              <w:rPr>
                <w:rFonts w:asciiTheme="minorHAnsi" w:hAnsiTheme="minorHAnsi" w:cstheme="minorHAnsi"/>
                <w:b/>
                <w:sz w:val="20"/>
                <w:szCs w:val="20"/>
              </w:rPr>
            </w:pPr>
            <w:r w:rsidRPr="006C1098">
              <w:rPr>
                <w:rFonts w:asciiTheme="minorHAnsi" w:hAnsiTheme="minorHAnsi" w:cstheme="minorHAnsi"/>
                <w:b/>
                <w:kern w:val="24"/>
                <w:sz w:val="20"/>
                <w:szCs w:val="20"/>
              </w:rPr>
              <w:t>19.</w:t>
            </w:r>
            <w:r w:rsidR="00756D31" w:rsidRPr="006C1098">
              <w:rPr>
                <w:rFonts w:asciiTheme="minorHAnsi" w:hAnsiTheme="minorHAnsi" w:cstheme="minorHAnsi"/>
                <w:b/>
                <w:kern w:val="24"/>
                <w:sz w:val="20"/>
                <w:szCs w:val="20"/>
              </w:rPr>
              <w:t>5</w:t>
            </w:r>
            <w:r w:rsidR="008B532C" w:rsidRPr="006C1098">
              <w:rPr>
                <w:rFonts w:asciiTheme="minorHAnsi" w:hAnsiTheme="minorHAnsi" w:cstheme="minorHAnsi"/>
                <w:b/>
                <w:kern w:val="24"/>
                <w:sz w:val="20"/>
                <w:szCs w:val="20"/>
              </w:rPr>
              <w:t xml:space="preserve"> </w:t>
            </w:r>
          </w:p>
        </w:tc>
        <w:tc>
          <w:tcPr>
            <w:tcW w:w="915" w:type="pct"/>
            <w:tcBorders>
              <w:left w:val="nil"/>
              <w:bottom w:val="single" w:sz="2" w:space="0" w:color="auto"/>
              <w:right w:val="nil"/>
            </w:tcBorders>
            <w:shd w:val="clear" w:color="auto" w:fill="auto"/>
            <w:tcMar>
              <w:top w:w="15" w:type="dxa"/>
              <w:left w:w="15" w:type="dxa"/>
              <w:bottom w:w="0" w:type="dxa"/>
              <w:right w:w="15" w:type="dxa"/>
            </w:tcMar>
            <w:vAlign w:val="center"/>
            <w:hideMark/>
          </w:tcPr>
          <w:p w14:paraId="1BA16F7B" w14:textId="5A27ED26" w:rsidR="008B532C" w:rsidRPr="006C1098" w:rsidRDefault="000F77D0" w:rsidP="00AF5A74">
            <w:pPr>
              <w:jc w:val="right"/>
              <w:textAlignment w:val="bottom"/>
              <w:rPr>
                <w:rFonts w:asciiTheme="minorHAnsi" w:hAnsiTheme="minorHAnsi" w:cstheme="minorHAnsi"/>
                <w:sz w:val="20"/>
                <w:szCs w:val="20"/>
              </w:rPr>
            </w:pPr>
            <w:r w:rsidRPr="006C1098">
              <w:rPr>
                <w:rFonts w:asciiTheme="minorHAnsi" w:hAnsiTheme="minorHAnsi" w:cstheme="minorHAnsi"/>
                <w:kern w:val="24"/>
                <w:sz w:val="20"/>
                <w:szCs w:val="20"/>
              </w:rPr>
              <w:t>2</w:t>
            </w:r>
            <w:r w:rsidR="009B3929" w:rsidRPr="006C1098">
              <w:rPr>
                <w:rFonts w:asciiTheme="minorHAnsi" w:hAnsiTheme="minorHAnsi" w:cstheme="minorHAnsi"/>
                <w:kern w:val="24"/>
                <w:sz w:val="20"/>
                <w:szCs w:val="20"/>
              </w:rPr>
              <w:t>2.6</w:t>
            </w:r>
            <w:r w:rsidR="008B532C" w:rsidRPr="006C1098">
              <w:rPr>
                <w:rFonts w:asciiTheme="minorHAnsi" w:hAnsiTheme="minorHAnsi" w:cstheme="minorHAnsi"/>
                <w:kern w:val="24"/>
                <w:sz w:val="20"/>
                <w:szCs w:val="20"/>
              </w:rPr>
              <w:t xml:space="preserve"> </w:t>
            </w:r>
          </w:p>
        </w:tc>
        <w:tc>
          <w:tcPr>
            <w:tcW w:w="773" w:type="pct"/>
            <w:tcBorders>
              <w:left w:val="nil"/>
              <w:bottom w:val="single" w:sz="2" w:space="0" w:color="auto"/>
              <w:right w:val="nil"/>
            </w:tcBorders>
            <w:shd w:val="clear" w:color="auto" w:fill="auto"/>
            <w:tcMar>
              <w:top w:w="15" w:type="dxa"/>
              <w:left w:w="15" w:type="dxa"/>
              <w:bottom w:w="0" w:type="dxa"/>
              <w:right w:w="15" w:type="dxa"/>
            </w:tcMar>
            <w:vAlign w:val="center"/>
            <w:hideMark/>
          </w:tcPr>
          <w:p w14:paraId="1B3E8E1D" w14:textId="3A64681D" w:rsidR="008B532C" w:rsidRPr="006C1098" w:rsidRDefault="00976EFA" w:rsidP="00AF5A74">
            <w:pPr>
              <w:jc w:val="right"/>
              <w:textAlignment w:val="bottom"/>
              <w:rPr>
                <w:rFonts w:asciiTheme="minorHAnsi" w:hAnsiTheme="minorHAnsi" w:cstheme="minorHAnsi"/>
                <w:sz w:val="20"/>
                <w:szCs w:val="20"/>
              </w:rPr>
            </w:pPr>
            <w:r w:rsidRPr="006C1098">
              <w:rPr>
                <w:rFonts w:asciiTheme="minorHAnsi" w:hAnsiTheme="minorHAnsi" w:cstheme="minorHAnsi"/>
                <w:kern w:val="24"/>
                <w:sz w:val="20"/>
                <w:szCs w:val="20"/>
              </w:rPr>
              <w:t>(1</w:t>
            </w:r>
            <w:r w:rsidR="00202FD3">
              <w:rPr>
                <w:rFonts w:asciiTheme="minorHAnsi" w:hAnsiTheme="minorHAnsi" w:cstheme="minorHAnsi"/>
                <w:kern w:val="24"/>
                <w:sz w:val="20"/>
                <w:szCs w:val="20"/>
              </w:rPr>
              <w:t>3.7</w:t>
            </w:r>
            <w:r w:rsidR="008B532C" w:rsidRPr="006C1098">
              <w:rPr>
                <w:rFonts w:asciiTheme="minorHAnsi" w:hAnsiTheme="minorHAnsi" w:cstheme="minorHAnsi"/>
                <w:kern w:val="24"/>
                <w:sz w:val="20"/>
                <w:szCs w:val="20"/>
              </w:rPr>
              <w:t>)</w:t>
            </w:r>
          </w:p>
        </w:tc>
      </w:tr>
      <w:tr w:rsidR="008B532C" w:rsidRPr="006F451D" w14:paraId="16AE1A42" w14:textId="77777777" w:rsidTr="002D58E3">
        <w:trPr>
          <w:trHeight w:val="227"/>
        </w:trPr>
        <w:tc>
          <w:tcPr>
            <w:tcW w:w="2602" w:type="pct"/>
            <w:tcBorders>
              <w:top w:val="single" w:sz="2" w:space="0" w:color="auto"/>
              <w:left w:val="nil"/>
              <w:bottom w:val="single" w:sz="2" w:space="0" w:color="auto"/>
              <w:right w:val="nil"/>
            </w:tcBorders>
            <w:shd w:val="clear" w:color="auto" w:fill="auto"/>
            <w:tcMar>
              <w:top w:w="15" w:type="dxa"/>
              <w:left w:w="15" w:type="dxa"/>
              <w:bottom w:w="0" w:type="dxa"/>
              <w:right w:w="15" w:type="dxa"/>
            </w:tcMar>
            <w:vAlign w:val="center"/>
            <w:hideMark/>
          </w:tcPr>
          <w:p w14:paraId="7E8C8CA7" w14:textId="77777777" w:rsidR="008B532C" w:rsidRPr="00D67126" w:rsidRDefault="008B532C" w:rsidP="00AF5A74">
            <w:pPr>
              <w:ind w:right="115"/>
              <w:rPr>
                <w:rFonts w:asciiTheme="minorHAnsi" w:hAnsiTheme="minorHAnsi" w:cstheme="minorHAnsi"/>
                <w:sz w:val="20"/>
                <w:szCs w:val="20"/>
              </w:rPr>
            </w:pPr>
            <w:r w:rsidRPr="00D67126">
              <w:rPr>
                <w:rFonts w:asciiTheme="minorHAnsi" w:hAnsiTheme="minorHAnsi" w:cstheme="minorHAnsi"/>
                <w:b/>
                <w:kern w:val="24"/>
                <w:sz w:val="20"/>
                <w:szCs w:val="20"/>
              </w:rPr>
              <w:t>Total income</w:t>
            </w:r>
          </w:p>
        </w:tc>
        <w:tc>
          <w:tcPr>
            <w:tcW w:w="71" w:type="pct"/>
            <w:tcBorders>
              <w:top w:val="single" w:sz="2" w:space="0" w:color="auto"/>
              <w:left w:val="nil"/>
              <w:bottom w:val="single" w:sz="2" w:space="0" w:color="auto"/>
              <w:right w:val="nil"/>
            </w:tcBorders>
            <w:shd w:val="clear" w:color="auto" w:fill="auto"/>
            <w:tcMar>
              <w:top w:w="15" w:type="dxa"/>
              <w:left w:w="15" w:type="dxa"/>
              <w:bottom w:w="0" w:type="dxa"/>
              <w:right w:w="15" w:type="dxa"/>
            </w:tcMar>
            <w:vAlign w:val="center"/>
            <w:hideMark/>
          </w:tcPr>
          <w:p w14:paraId="70FCE0EB" w14:textId="77777777" w:rsidR="008B532C" w:rsidRPr="00D67126" w:rsidRDefault="008B532C" w:rsidP="00AF5A74">
            <w:pPr>
              <w:rPr>
                <w:rFonts w:asciiTheme="minorHAnsi" w:hAnsiTheme="minorHAnsi" w:cstheme="minorHAnsi"/>
                <w:sz w:val="20"/>
                <w:szCs w:val="20"/>
              </w:rPr>
            </w:pPr>
          </w:p>
        </w:tc>
        <w:tc>
          <w:tcPr>
            <w:tcW w:w="639" w:type="pct"/>
            <w:tcBorders>
              <w:top w:val="single" w:sz="2" w:space="0" w:color="auto"/>
              <w:left w:val="nil"/>
              <w:bottom w:val="single" w:sz="2" w:space="0" w:color="auto"/>
              <w:right w:val="nil"/>
            </w:tcBorders>
            <w:shd w:val="clear" w:color="auto" w:fill="F2F2F2" w:themeFill="background1" w:themeFillShade="F2"/>
            <w:tcMar>
              <w:top w:w="15" w:type="dxa"/>
              <w:left w:w="15" w:type="dxa"/>
              <w:bottom w:w="0" w:type="dxa"/>
              <w:right w:w="15" w:type="dxa"/>
            </w:tcMar>
            <w:vAlign w:val="center"/>
            <w:hideMark/>
          </w:tcPr>
          <w:p w14:paraId="304D9A1F" w14:textId="480E557F" w:rsidR="008B532C" w:rsidRPr="006C1098" w:rsidRDefault="0071571A" w:rsidP="00AF5A74">
            <w:pPr>
              <w:jc w:val="right"/>
              <w:textAlignment w:val="bottom"/>
              <w:rPr>
                <w:rFonts w:asciiTheme="minorHAnsi" w:hAnsiTheme="minorHAnsi" w:cstheme="minorHAnsi"/>
                <w:b/>
                <w:sz w:val="20"/>
                <w:szCs w:val="20"/>
              </w:rPr>
            </w:pPr>
            <w:r w:rsidRPr="006C1098">
              <w:rPr>
                <w:rFonts w:asciiTheme="minorHAnsi" w:hAnsiTheme="minorHAnsi" w:cstheme="minorHAnsi"/>
                <w:b/>
                <w:kern w:val="24"/>
                <w:sz w:val="20"/>
                <w:szCs w:val="20"/>
              </w:rPr>
              <w:t>23</w:t>
            </w:r>
            <w:r w:rsidR="00BF68E5" w:rsidRPr="006C1098">
              <w:rPr>
                <w:rFonts w:asciiTheme="minorHAnsi" w:hAnsiTheme="minorHAnsi" w:cstheme="minorHAnsi"/>
                <w:b/>
                <w:kern w:val="24"/>
                <w:sz w:val="20"/>
                <w:szCs w:val="20"/>
              </w:rPr>
              <w:t>4.0</w:t>
            </w:r>
            <w:r w:rsidR="008B532C" w:rsidRPr="006C1098">
              <w:rPr>
                <w:rFonts w:asciiTheme="minorHAnsi" w:hAnsiTheme="minorHAnsi" w:cstheme="minorHAnsi"/>
                <w:b/>
                <w:kern w:val="24"/>
                <w:sz w:val="20"/>
                <w:szCs w:val="20"/>
              </w:rPr>
              <w:t xml:space="preserve"> </w:t>
            </w:r>
          </w:p>
        </w:tc>
        <w:tc>
          <w:tcPr>
            <w:tcW w:w="915" w:type="pct"/>
            <w:tcBorders>
              <w:top w:val="single" w:sz="2" w:space="0" w:color="auto"/>
              <w:left w:val="nil"/>
              <w:bottom w:val="single" w:sz="2" w:space="0" w:color="auto"/>
              <w:right w:val="nil"/>
            </w:tcBorders>
            <w:shd w:val="clear" w:color="auto" w:fill="auto"/>
            <w:tcMar>
              <w:top w:w="15" w:type="dxa"/>
              <w:left w:w="15" w:type="dxa"/>
              <w:bottom w:w="0" w:type="dxa"/>
              <w:right w:w="15" w:type="dxa"/>
            </w:tcMar>
            <w:vAlign w:val="center"/>
            <w:hideMark/>
          </w:tcPr>
          <w:p w14:paraId="2C1E6FC1" w14:textId="55C27A6B" w:rsidR="008B532C" w:rsidRPr="006C1098" w:rsidRDefault="005759E4" w:rsidP="00AF5A74">
            <w:pPr>
              <w:jc w:val="right"/>
              <w:textAlignment w:val="bottom"/>
              <w:rPr>
                <w:rFonts w:asciiTheme="minorHAnsi" w:hAnsiTheme="minorHAnsi" w:cstheme="minorHAnsi"/>
                <w:sz w:val="20"/>
                <w:szCs w:val="20"/>
              </w:rPr>
            </w:pPr>
            <w:r w:rsidRPr="006C1098">
              <w:rPr>
                <w:rFonts w:asciiTheme="minorHAnsi" w:hAnsiTheme="minorHAnsi" w:cstheme="minorHAnsi"/>
                <w:kern w:val="24"/>
                <w:sz w:val="20"/>
                <w:szCs w:val="20"/>
              </w:rPr>
              <w:t>237.1</w:t>
            </w:r>
            <w:r w:rsidR="008B532C" w:rsidRPr="006C1098">
              <w:rPr>
                <w:rFonts w:asciiTheme="minorHAnsi" w:hAnsiTheme="minorHAnsi" w:cstheme="minorHAnsi"/>
                <w:kern w:val="24"/>
                <w:sz w:val="20"/>
                <w:szCs w:val="20"/>
              </w:rPr>
              <w:t xml:space="preserve"> </w:t>
            </w:r>
          </w:p>
        </w:tc>
        <w:tc>
          <w:tcPr>
            <w:tcW w:w="773" w:type="pct"/>
            <w:tcBorders>
              <w:top w:val="single" w:sz="2" w:space="0" w:color="auto"/>
              <w:left w:val="nil"/>
              <w:bottom w:val="single" w:sz="2" w:space="0" w:color="auto"/>
              <w:right w:val="nil"/>
            </w:tcBorders>
            <w:shd w:val="clear" w:color="auto" w:fill="auto"/>
            <w:tcMar>
              <w:top w:w="15" w:type="dxa"/>
              <w:left w:w="15" w:type="dxa"/>
              <w:bottom w:w="0" w:type="dxa"/>
              <w:right w:w="15" w:type="dxa"/>
            </w:tcMar>
            <w:vAlign w:val="center"/>
            <w:hideMark/>
          </w:tcPr>
          <w:p w14:paraId="26B20672" w14:textId="39BAF099" w:rsidR="008B532C" w:rsidRPr="006C1098" w:rsidRDefault="00E55CFD" w:rsidP="00AF5A74">
            <w:pPr>
              <w:jc w:val="right"/>
              <w:textAlignment w:val="bottom"/>
              <w:rPr>
                <w:rFonts w:asciiTheme="minorHAnsi" w:hAnsiTheme="minorHAnsi" w:cstheme="minorHAnsi"/>
                <w:sz w:val="20"/>
                <w:szCs w:val="20"/>
              </w:rPr>
            </w:pPr>
            <w:r w:rsidRPr="006C1098">
              <w:rPr>
                <w:rFonts w:asciiTheme="minorHAnsi" w:hAnsiTheme="minorHAnsi" w:cstheme="minorHAnsi"/>
                <w:sz w:val="20"/>
                <w:szCs w:val="20"/>
              </w:rPr>
              <w:t>(1.</w:t>
            </w:r>
            <w:r w:rsidR="006F451D" w:rsidRPr="006C1098">
              <w:rPr>
                <w:rFonts w:asciiTheme="minorHAnsi" w:hAnsiTheme="minorHAnsi" w:cstheme="minorHAnsi"/>
                <w:sz w:val="20"/>
                <w:szCs w:val="20"/>
              </w:rPr>
              <w:t>3</w:t>
            </w:r>
            <w:r w:rsidRPr="006C1098">
              <w:rPr>
                <w:rFonts w:asciiTheme="minorHAnsi" w:hAnsiTheme="minorHAnsi" w:cstheme="minorHAnsi"/>
                <w:sz w:val="20"/>
                <w:szCs w:val="20"/>
              </w:rPr>
              <w:t>)</w:t>
            </w:r>
          </w:p>
        </w:tc>
      </w:tr>
      <w:tr w:rsidR="008B532C" w:rsidRPr="00D67126" w14:paraId="1E228D4A" w14:textId="77777777" w:rsidTr="002D58E3">
        <w:trPr>
          <w:trHeight w:val="227"/>
        </w:trPr>
        <w:tc>
          <w:tcPr>
            <w:tcW w:w="2602" w:type="pct"/>
            <w:tcBorders>
              <w:top w:val="single" w:sz="2" w:space="0" w:color="auto"/>
              <w:left w:val="nil"/>
              <w:bottom w:val="single" w:sz="2" w:space="0" w:color="auto"/>
              <w:right w:val="nil"/>
            </w:tcBorders>
            <w:shd w:val="clear" w:color="auto" w:fill="auto"/>
            <w:tcMar>
              <w:top w:w="15" w:type="dxa"/>
              <w:left w:w="15" w:type="dxa"/>
              <w:bottom w:w="0" w:type="dxa"/>
              <w:right w:w="15" w:type="dxa"/>
            </w:tcMar>
            <w:vAlign w:val="center"/>
            <w:hideMark/>
          </w:tcPr>
          <w:p w14:paraId="30321D76" w14:textId="77777777" w:rsidR="008B532C" w:rsidRPr="00D67126" w:rsidRDefault="008B532C" w:rsidP="00AF5A74">
            <w:pPr>
              <w:ind w:right="115"/>
              <w:rPr>
                <w:rFonts w:asciiTheme="minorHAnsi" w:hAnsiTheme="minorHAnsi" w:cstheme="minorHAnsi"/>
                <w:sz w:val="20"/>
                <w:szCs w:val="20"/>
              </w:rPr>
            </w:pPr>
            <w:r w:rsidRPr="00D67126">
              <w:rPr>
                <w:rFonts w:asciiTheme="minorHAnsi" w:eastAsia="Inter Medium" w:hAnsiTheme="minorHAnsi" w:cstheme="minorHAnsi"/>
                <w:kern w:val="24"/>
                <w:sz w:val="20"/>
                <w:szCs w:val="20"/>
                <w:lang w:val="en-US"/>
              </w:rPr>
              <w:t>Impairment charges</w:t>
            </w:r>
          </w:p>
        </w:tc>
        <w:tc>
          <w:tcPr>
            <w:tcW w:w="71" w:type="pct"/>
            <w:tcBorders>
              <w:top w:val="single" w:sz="2" w:space="0" w:color="auto"/>
              <w:left w:val="nil"/>
              <w:bottom w:val="single" w:sz="2" w:space="0" w:color="auto"/>
              <w:right w:val="nil"/>
            </w:tcBorders>
            <w:shd w:val="clear" w:color="auto" w:fill="auto"/>
            <w:tcMar>
              <w:top w:w="15" w:type="dxa"/>
              <w:left w:w="15" w:type="dxa"/>
              <w:bottom w:w="0" w:type="dxa"/>
              <w:right w:w="15" w:type="dxa"/>
            </w:tcMar>
            <w:vAlign w:val="center"/>
            <w:hideMark/>
          </w:tcPr>
          <w:p w14:paraId="0DA0F649" w14:textId="77777777" w:rsidR="008B532C" w:rsidRPr="00D67126" w:rsidRDefault="008B532C" w:rsidP="00AF5A74">
            <w:pPr>
              <w:rPr>
                <w:rFonts w:asciiTheme="minorHAnsi" w:hAnsiTheme="minorHAnsi" w:cstheme="minorHAnsi"/>
                <w:sz w:val="20"/>
                <w:szCs w:val="20"/>
              </w:rPr>
            </w:pPr>
          </w:p>
        </w:tc>
        <w:tc>
          <w:tcPr>
            <w:tcW w:w="639" w:type="pct"/>
            <w:tcBorders>
              <w:top w:val="single" w:sz="2" w:space="0" w:color="auto"/>
              <w:left w:val="nil"/>
              <w:bottom w:val="single" w:sz="2" w:space="0" w:color="auto"/>
              <w:right w:val="nil"/>
            </w:tcBorders>
            <w:shd w:val="clear" w:color="auto" w:fill="F2F2F2" w:themeFill="background1" w:themeFillShade="F2"/>
            <w:tcMar>
              <w:top w:w="15" w:type="dxa"/>
              <w:left w:w="15" w:type="dxa"/>
              <w:bottom w:w="0" w:type="dxa"/>
              <w:right w:w="15" w:type="dxa"/>
            </w:tcMar>
            <w:vAlign w:val="center"/>
            <w:hideMark/>
          </w:tcPr>
          <w:p w14:paraId="73150DC2" w14:textId="1E12D5BC" w:rsidR="008B532C" w:rsidRPr="006C1098" w:rsidRDefault="008B532C" w:rsidP="00AF5A74">
            <w:pPr>
              <w:jc w:val="right"/>
              <w:textAlignment w:val="center"/>
              <w:rPr>
                <w:rFonts w:asciiTheme="minorHAnsi" w:hAnsiTheme="minorHAnsi" w:cstheme="minorHAnsi"/>
                <w:b/>
                <w:sz w:val="20"/>
                <w:szCs w:val="20"/>
              </w:rPr>
            </w:pPr>
            <w:r w:rsidRPr="006C1098">
              <w:rPr>
                <w:rFonts w:asciiTheme="minorHAnsi" w:hAnsiTheme="minorHAnsi" w:cstheme="minorHAnsi"/>
                <w:b/>
                <w:kern w:val="24"/>
                <w:sz w:val="20"/>
                <w:szCs w:val="20"/>
              </w:rPr>
              <w:t>(</w:t>
            </w:r>
            <w:r w:rsidR="0071571A" w:rsidRPr="006C1098">
              <w:rPr>
                <w:rFonts w:asciiTheme="minorHAnsi" w:hAnsiTheme="minorHAnsi" w:cstheme="minorHAnsi"/>
                <w:b/>
                <w:kern w:val="24"/>
                <w:sz w:val="20"/>
                <w:szCs w:val="20"/>
              </w:rPr>
              <w:t>1</w:t>
            </w:r>
            <w:r w:rsidR="00557EEE" w:rsidRPr="006C1098">
              <w:rPr>
                <w:rFonts w:asciiTheme="minorHAnsi" w:hAnsiTheme="minorHAnsi" w:cstheme="minorHAnsi"/>
                <w:b/>
                <w:kern w:val="24"/>
                <w:sz w:val="20"/>
                <w:szCs w:val="20"/>
              </w:rPr>
              <w:t>01.3</w:t>
            </w:r>
            <w:r w:rsidRPr="006C1098">
              <w:rPr>
                <w:rFonts w:asciiTheme="minorHAnsi" w:hAnsiTheme="minorHAnsi" w:cstheme="minorHAnsi"/>
                <w:b/>
                <w:kern w:val="24"/>
                <w:sz w:val="20"/>
                <w:szCs w:val="20"/>
              </w:rPr>
              <w:t>)</w:t>
            </w:r>
          </w:p>
        </w:tc>
        <w:tc>
          <w:tcPr>
            <w:tcW w:w="915" w:type="pct"/>
            <w:tcBorders>
              <w:top w:val="single" w:sz="2" w:space="0" w:color="auto"/>
              <w:left w:val="nil"/>
              <w:bottom w:val="single" w:sz="2" w:space="0" w:color="auto"/>
              <w:right w:val="nil"/>
            </w:tcBorders>
            <w:shd w:val="clear" w:color="auto" w:fill="auto"/>
            <w:tcMar>
              <w:top w:w="15" w:type="dxa"/>
              <w:left w:w="15" w:type="dxa"/>
              <w:bottom w:w="0" w:type="dxa"/>
              <w:right w:w="15" w:type="dxa"/>
            </w:tcMar>
            <w:vAlign w:val="center"/>
            <w:hideMark/>
          </w:tcPr>
          <w:p w14:paraId="09BDB102" w14:textId="2DF20C43" w:rsidR="008B532C" w:rsidRPr="006C1098" w:rsidRDefault="008B532C" w:rsidP="00AF5A74">
            <w:pPr>
              <w:jc w:val="right"/>
              <w:textAlignment w:val="bottom"/>
              <w:rPr>
                <w:rFonts w:asciiTheme="minorHAnsi" w:hAnsiTheme="minorHAnsi" w:cstheme="minorHAnsi"/>
                <w:sz w:val="20"/>
                <w:szCs w:val="20"/>
              </w:rPr>
            </w:pPr>
            <w:r w:rsidRPr="006C1098">
              <w:rPr>
                <w:rFonts w:asciiTheme="minorHAnsi" w:hAnsiTheme="minorHAnsi" w:cstheme="minorHAnsi"/>
                <w:kern w:val="24"/>
                <w:sz w:val="20"/>
                <w:szCs w:val="20"/>
              </w:rPr>
              <w:t>(</w:t>
            </w:r>
            <w:r w:rsidR="00041DE4">
              <w:rPr>
                <w:rFonts w:asciiTheme="minorHAnsi" w:hAnsiTheme="minorHAnsi" w:cstheme="minorHAnsi"/>
                <w:kern w:val="24"/>
                <w:sz w:val="20"/>
                <w:szCs w:val="20"/>
              </w:rPr>
              <w:t>93.0</w:t>
            </w:r>
            <w:r w:rsidRPr="006C1098">
              <w:rPr>
                <w:rFonts w:asciiTheme="minorHAnsi" w:hAnsiTheme="minorHAnsi" w:cstheme="minorHAnsi"/>
                <w:kern w:val="24"/>
                <w:sz w:val="20"/>
                <w:szCs w:val="20"/>
              </w:rPr>
              <w:t>)</w:t>
            </w:r>
          </w:p>
        </w:tc>
        <w:tc>
          <w:tcPr>
            <w:tcW w:w="773" w:type="pct"/>
            <w:tcBorders>
              <w:top w:val="single" w:sz="2" w:space="0" w:color="auto"/>
              <w:left w:val="nil"/>
              <w:bottom w:val="single" w:sz="2" w:space="0" w:color="auto"/>
              <w:right w:val="nil"/>
            </w:tcBorders>
            <w:shd w:val="clear" w:color="auto" w:fill="auto"/>
            <w:tcMar>
              <w:top w:w="15" w:type="dxa"/>
              <w:left w:w="15" w:type="dxa"/>
              <w:bottom w:w="0" w:type="dxa"/>
              <w:right w:w="15" w:type="dxa"/>
            </w:tcMar>
            <w:vAlign w:val="center"/>
            <w:hideMark/>
          </w:tcPr>
          <w:p w14:paraId="4D3C51FF" w14:textId="006AF917" w:rsidR="008B532C" w:rsidRPr="006C1098" w:rsidRDefault="00C24649" w:rsidP="00AF5A74">
            <w:pPr>
              <w:jc w:val="right"/>
              <w:textAlignment w:val="bottom"/>
              <w:rPr>
                <w:rFonts w:asciiTheme="minorHAnsi" w:hAnsiTheme="minorHAnsi" w:cstheme="minorHAnsi"/>
                <w:sz w:val="20"/>
                <w:szCs w:val="20"/>
              </w:rPr>
            </w:pPr>
            <w:r>
              <w:rPr>
                <w:rFonts w:asciiTheme="minorHAnsi" w:hAnsiTheme="minorHAnsi" w:cstheme="minorHAnsi"/>
                <w:sz w:val="20"/>
                <w:szCs w:val="20"/>
              </w:rPr>
              <w:t>(</w:t>
            </w:r>
            <w:r w:rsidR="0092257B">
              <w:rPr>
                <w:rFonts w:asciiTheme="minorHAnsi" w:hAnsiTheme="minorHAnsi" w:cstheme="minorHAnsi"/>
                <w:sz w:val="20"/>
                <w:szCs w:val="20"/>
              </w:rPr>
              <w:t>8.9</w:t>
            </w:r>
            <w:r>
              <w:rPr>
                <w:rFonts w:asciiTheme="minorHAnsi" w:hAnsiTheme="minorHAnsi" w:cstheme="minorHAnsi"/>
                <w:sz w:val="20"/>
                <w:szCs w:val="20"/>
              </w:rPr>
              <w:t>)</w:t>
            </w:r>
          </w:p>
        </w:tc>
      </w:tr>
      <w:tr w:rsidR="008B532C" w:rsidRPr="00D67126" w14:paraId="7DA0C9D2" w14:textId="77777777" w:rsidTr="002D58E3">
        <w:trPr>
          <w:trHeight w:val="227"/>
        </w:trPr>
        <w:tc>
          <w:tcPr>
            <w:tcW w:w="2602" w:type="pct"/>
            <w:tcBorders>
              <w:top w:val="single" w:sz="2" w:space="0" w:color="auto"/>
              <w:left w:val="nil"/>
              <w:bottom w:val="single" w:sz="2" w:space="0" w:color="auto"/>
              <w:right w:val="nil"/>
            </w:tcBorders>
            <w:shd w:val="clear" w:color="auto" w:fill="auto"/>
            <w:tcMar>
              <w:top w:w="15" w:type="dxa"/>
              <w:left w:w="15" w:type="dxa"/>
              <w:bottom w:w="0" w:type="dxa"/>
              <w:right w:w="15" w:type="dxa"/>
            </w:tcMar>
            <w:vAlign w:val="center"/>
            <w:hideMark/>
          </w:tcPr>
          <w:p w14:paraId="2E9307B5" w14:textId="77777777" w:rsidR="008B532C" w:rsidRPr="00D67126" w:rsidRDefault="008B532C" w:rsidP="00AF5A74">
            <w:pPr>
              <w:ind w:right="115"/>
              <w:rPr>
                <w:rFonts w:asciiTheme="minorHAnsi" w:hAnsiTheme="minorHAnsi" w:cstheme="minorHAnsi"/>
                <w:sz w:val="20"/>
                <w:szCs w:val="20"/>
              </w:rPr>
            </w:pPr>
            <w:r w:rsidRPr="00D67126">
              <w:rPr>
                <w:rFonts w:asciiTheme="minorHAnsi" w:eastAsia="Inter Medium" w:hAnsiTheme="minorHAnsi" w:cstheme="minorHAnsi"/>
                <w:b/>
                <w:kern w:val="24"/>
                <w:sz w:val="20"/>
                <w:szCs w:val="20"/>
                <w:lang w:val="en-US"/>
              </w:rPr>
              <w:t>Risk-adjusted income</w:t>
            </w:r>
          </w:p>
        </w:tc>
        <w:tc>
          <w:tcPr>
            <w:tcW w:w="71" w:type="pct"/>
            <w:tcBorders>
              <w:top w:val="single" w:sz="2" w:space="0" w:color="auto"/>
              <w:left w:val="nil"/>
              <w:bottom w:val="single" w:sz="2" w:space="0" w:color="auto"/>
              <w:right w:val="nil"/>
            </w:tcBorders>
            <w:shd w:val="clear" w:color="auto" w:fill="auto"/>
            <w:tcMar>
              <w:top w:w="15" w:type="dxa"/>
              <w:left w:w="15" w:type="dxa"/>
              <w:bottom w:w="0" w:type="dxa"/>
              <w:right w:w="15" w:type="dxa"/>
            </w:tcMar>
            <w:vAlign w:val="center"/>
            <w:hideMark/>
          </w:tcPr>
          <w:p w14:paraId="599B6A97" w14:textId="77777777" w:rsidR="008B532C" w:rsidRPr="00D67126" w:rsidRDefault="008B532C" w:rsidP="00AF5A74">
            <w:pPr>
              <w:rPr>
                <w:rFonts w:asciiTheme="minorHAnsi" w:hAnsiTheme="minorHAnsi" w:cstheme="minorHAnsi"/>
                <w:sz w:val="20"/>
                <w:szCs w:val="20"/>
              </w:rPr>
            </w:pPr>
          </w:p>
        </w:tc>
        <w:tc>
          <w:tcPr>
            <w:tcW w:w="639" w:type="pct"/>
            <w:tcBorders>
              <w:top w:val="single" w:sz="2" w:space="0" w:color="auto"/>
              <w:left w:val="nil"/>
              <w:bottom w:val="single" w:sz="2" w:space="0" w:color="auto"/>
              <w:right w:val="nil"/>
            </w:tcBorders>
            <w:shd w:val="clear" w:color="auto" w:fill="F2F2F2" w:themeFill="background1" w:themeFillShade="F2"/>
            <w:tcMar>
              <w:top w:w="15" w:type="dxa"/>
              <w:left w:w="15" w:type="dxa"/>
              <w:bottom w:w="0" w:type="dxa"/>
              <w:right w:w="15" w:type="dxa"/>
            </w:tcMar>
            <w:vAlign w:val="center"/>
            <w:hideMark/>
          </w:tcPr>
          <w:p w14:paraId="3A5519C4" w14:textId="5D8DD0DA" w:rsidR="008B532C" w:rsidRPr="006C1098" w:rsidRDefault="0034643A" w:rsidP="00AF5A74">
            <w:pPr>
              <w:jc w:val="right"/>
              <w:textAlignment w:val="bottom"/>
              <w:rPr>
                <w:rFonts w:asciiTheme="minorHAnsi" w:hAnsiTheme="minorHAnsi" w:cstheme="minorHAnsi"/>
                <w:b/>
                <w:sz w:val="20"/>
                <w:szCs w:val="20"/>
              </w:rPr>
            </w:pPr>
            <w:r w:rsidRPr="006C1098">
              <w:rPr>
                <w:rFonts w:asciiTheme="minorHAnsi" w:hAnsiTheme="minorHAnsi" w:cstheme="minorHAnsi"/>
                <w:b/>
                <w:kern w:val="24"/>
                <w:sz w:val="20"/>
                <w:szCs w:val="20"/>
              </w:rPr>
              <w:t>1</w:t>
            </w:r>
            <w:r w:rsidR="00557EEE" w:rsidRPr="006C1098">
              <w:rPr>
                <w:rFonts w:asciiTheme="minorHAnsi" w:hAnsiTheme="minorHAnsi" w:cstheme="minorHAnsi"/>
                <w:b/>
                <w:kern w:val="24"/>
                <w:sz w:val="20"/>
                <w:szCs w:val="20"/>
              </w:rPr>
              <w:t>32.7</w:t>
            </w:r>
            <w:r w:rsidR="008B532C" w:rsidRPr="006C1098">
              <w:rPr>
                <w:rFonts w:asciiTheme="minorHAnsi" w:hAnsiTheme="minorHAnsi" w:cstheme="minorHAnsi"/>
                <w:b/>
                <w:kern w:val="24"/>
                <w:sz w:val="20"/>
                <w:szCs w:val="20"/>
              </w:rPr>
              <w:t xml:space="preserve"> </w:t>
            </w:r>
          </w:p>
        </w:tc>
        <w:tc>
          <w:tcPr>
            <w:tcW w:w="915" w:type="pct"/>
            <w:tcBorders>
              <w:top w:val="single" w:sz="2" w:space="0" w:color="auto"/>
              <w:left w:val="nil"/>
              <w:bottom w:val="single" w:sz="2" w:space="0" w:color="auto"/>
              <w:right w:val="nil"/>
            </w:tcBorders>
            <w:shd w:val="clear" w:color="auto" w:fill="auto"/>
            <w:tcMar>
              <w:top w:w="15" w:type="dxa"/>
              <w:left w:w="15" w:type="dxa"/>
              <w:bottom w:w="0" w:type="dxa"/>
              <w:right w:w="15" w:type="dxa"/>
            </w:tcMar>
            <w:vAlign w:val="center"/>
            <w:hideMark/>
          </w:tcPr>
          <w:p w14:paraId="6DCA5828" w14:textId="34AE707F" w:rsidR="008B532C" w:rsidRPr="006C1098" w:rsidRDefault="00472EFD" w:rsidP="00AF5A74">
            <w:pPr>
              <w:jc w:val="right"/>
              <w:textAlignment w:val="bottom"/>
              <w:rPr>
                <w:rFonts w:asciiTheme="minorHAnsi" w:hAnsiTheme="minorHAnsi" w:cstheme="minorHAnsi"/>
                <w:sz w:val="20"/>
                <w:szCs w:val="20"/>
              </w:rPr>
            </w:pPr>
            <w:r w:rsidRPr="006C1098">
              <w:rPr>
                <w:rFonts w:asciiTheme="minorHAnsi" w:hAnsiTheme="minorHAnsi" w:cstheme="minorHAnsi"/>
                <w:kern w:val="24"/>
                <w:sz w:val="20"/>
                <w:szCs w:val="20"/>
              </w:rPr>
              <w:t>1</w:t>
            </w:r>
            <w:r w:rsidR="00BD2588" w:rsidRPr="006C1098">
              <w:rPr>
                <w:rFonts w:asciiTheme="minorHAnsi" w:hAnsiTheme="minorHAnsi" w:cstheme="minorHAnsi"/>
                <w:kern w:val="24"/>
                <w:sz w:val="20"/>
                <w:szCs w:val="20"/>
              </w:rPr>
              <w:t>4</w:t>
            </w:r>
            <w:r w:rsidR="00041DE4">
              <w:rPr>
                <w:rFonts w:asciiTheme="minorHAnsi" w:hAnsiTheme="minorHAnsi" w:cstheme="minorHAnsi"/>
                <w:kern w:val="24"/>
                <w:sz w:val="20"/>
                <w:szCs w:val="20"/>
              </w:rPr>
              <w:t>4</w:t>
            </w:r>
            <w:r w:rsidR="00BD2588" w:rsidRPr="006C1098">
              <w:rPr>
                <w:rFonts w:asciiTheme="minorHAnsi" w:hAnsiTheme="minorHAnsi" w:cstheme="minorHAnsi"/>
                <w:kern w:val="24"/>
                <w:sz w:val="20"/>
                <w:szCs w:val="20"/>
              </w:rPr>
              <w:t>.</w:t>
            </w:r>
            <w:r w:rsidR="006D58A2">
              <w:rPr>
                <w:rFonts w:asciiTheme="minorHAnsi" w:hAnsiTheme="minorHAnsi" w:cstheme="minorHAnsi"/>
                <w:kern w:val="24"/>
                <w:sz w:val="20"/>
                <w:szCs w:val="20"/>
              </w:rPr>
              <w:t>1</w:t>
            </w:r>
            <w:r w:rsidR="008B532C" w:rsidRPr="006C1098">
              <w:rPr>
                <w:rFonts w:asciiTheme="minorHAnsi" w:hAnsiTheme="minorHAnsi" w:cstheme="minorHAnsi"/>
                <w:kern w:val="24"/>
                <w:sz w:val="20"/>
                <w:szCs w:val="20"/>
              </w:rPr>
              <w:t xml:space="preserve"> </w:t>
            </w:r>
          </w:p>
        </w:tc>
        <w:tc>
          <w:tcPr>
            <w:tcW w:w="773" w:type="pct"/>
            <w:tcBorders>
              <w:top w:val="single" w:sz="2" w:space="0" w:color="auto"/>
              <w:left w:val="nil"/>
              <w:bottom w:val="single" w:sz="2" w:space="0" w:color="auto"/>
              <w:right w:val="nil"/>
            </w:tcBorders>
            <w:shd w:val="clear" w:color="auto" w:fill="auto"/>
            <w:tcMar>
              <w:top w:w="15" w:type="dxa"/>
              <w:left w:w="15" w:type="dxa"/>
              <w:bottom w:w="0" w:type="dxa"/>
              <w:right w:w="15" w:type="dxa"/>
            </w:tcMar>
            <w:vAlign w:val="center"/>
            <w:hideMark/>
          </w:tcPr>
          <w:p w14:paraId="06A4DC36" w14:textId="5000A286" w:rsidR="008B532C" w:rsidRPr="006C1098" w:rsidRDefault="008B532C" w:rsidP="00AF5A74">
            <w:pPr>
              <w:jc w:val="right"/>
              <w:textAlignment w:val="bottom"/>
              <w:rPr>
                <w:rFonts w:asciiTheme="minorHAnsi" w:hAnsiTheme="minorHAnsi" w:cstheme="minorHAnsi"/>
                <w:sz w:val="20"/>
                <w:szCs w:val="20"/>
              </w:rPr>
            </w:pPr>
            <w:r w:rsidRPr="006C1098">
              <w:rPr>
                <w:rFonts w:asciiTheme="minorHAnsi" w:hAnsiTheme="minorHAnsi" w:cstheme="minorHAnsi"/>
                <w:kern w:val="24"/>
                <w:sz w:val="20"/>
                <w:szCs w:val="20"/>
              </w:rPr>
              <w:t>(</w:t>
            </w:r>
            <w:r w:rsidR="007337C8">
              <w:rPr>
                <w:rFonts w:asciiTheme="minorHAnsi" w:hAnsiTheme="minorHAnsi" w:cstheme="minorHAnsi"/>
                <w:kern w:val="24"/>
                <w:sz w:val="20"/>
                <w:szCs w:val="20"/>
              </w:rPr>
              <w:t>7.9</w:t>
            </w:r>
            <w:r w:rsidRPr="006C1098">
              <w:rPr>
                <w:rFonts w:asciiTheme="minorHAnsi" w:hAnsiTheme="minorHAnsi" w:cstheme="minorHAnsi"/>
                <w:kern w:val="24"/>
                <w:sz w:val="20"/>
                <w:szCs w:val="20"/>
              </w:rPr>
              <w:t>)</w:t>
            </w:r>
          </w:p>
        </w:tc>
      </w:tr>
      <w:tr w:rsidR="008B532C" w:rsidRPr="00D67126" w14:paraId="77041034" w14:textId="77777777" w:rsidTr="002D58E3">
        <w:trPr>
          <w:trHeight w:val="227"/>
        </w:trPr>
        <w:tc>
          <w:tcPr>
            <w:tcW w:w="2602" w:type="pct"/>
            <w:tcBorders>
              <w:top w:val="single" w:sz="2" w:space="0" w:color="auto"/>
              <w:left w:val="nil"/>
              <w:bottom w:val="single" w:sz="2" w:space="0" w:color="auto"/>
              <w:right w:val="nil"/>
            </w:tcBorders>
            <w:shd w:val="clear" w:color="auto" w:fill="auto"/>
            <w:tcMar>
              <w:top w:w="15" w:type="dxa"/>
              <w:left w:w="15" w:type="dxa"/>
              <w:bottom w:w="0" w:type="dxa"/>
              <w:right w:w="15" w:type="dxa"/>
            </w:tcMar>
            <w:vAlign w:val="center"/>
            <w:hideMark/>
          </w:tcPr>
          <w:p w14:paraId="1C6B8510" w14:textId="77777777" w:rsidR="008B532C" w:rsidRPr="00D67126" w:rsidRDefault="008B532C" w:rsidP="00AF5A74">
            <w:pPr>
              <w:ind w:right="115"/>
              <w:rPr>
                <w:rFonts w:asciiTheme="minorHAnsi" w:hAnsiTheme="minorHAnsi" w:cstheme="minorHAnsi"/>
                <w:sz w:val="20"/>
                <w:szCs w:val="20"/>
              </w:rPr>
            </w:pPr>
            <w:r w:rsidRPr="00D67126">
              <w:rPr>
                <w:rFonts w:asciiTheme="minorHAnsi" w:eastAsia="Inter Medium" w:hAnsiTheme="minorHAnsi" w:cstheme="minorHAnsi"/>
                <w:kern w:val="24"/>
                <w:sz w:val="20"/>
                <w:szCs w:val="20"/>
              </w:rPr>
              <w:t>Operating costs</w:t>
            </w:r>
          </w:p>
        </w:tc>
        <w:tc>
          <w:tcPr>
            <w:tcW w:w="71" w:type="pct"/>
            <w:tcBorders>
              <w:top w:val="single" w:sz="2" w:space="0" w:color="auto"/>
              <w:left w:val="nil"/>
              <w:bottom w:val="single" w:sz="2" w:space="0" w:color="auto"/>
              <w:right w:val="nil"/>
            </w:tcBorders>
            <w:shd w:val="clear" w:color="auto" w:fill="auto"/>
            <w:tcMar>
              <w:top w:w="15" w:type="dxa"/>
              <w:left w:w="15" w:type="dxa"/>
              <w:bottom w:w="0" w:type="dxa"/>
              <w:right w:w="15" w:type="dxa"/>
            </w:tcMar>
            <w:vAlign w:val="center"/>
            <w:hideMark/>
          </w:tcPr>
          <w:p w14:paraId="63DC6F62" w14:textId="77777777" w:rsidR="008B532C" w:rsidRPr="00D67126" w:rsidRDefault="008B532C" w:rsidP="00AF5A74">
            <w:pPr>
              <w:rPr>
                <w:rFonts w:asciiTheme="minorHAnsi" w:hAnsiTheme="minorHAnsi" w:cstheme="minorHAnsi"/>
                <w:sz w:val="20"/>
                <w:szCs w:val="20"/>
              </w:rPr>
            </w:pPr>
          </w:p>
        </w:tc>
        <w:tc>
          <w:tcPr>
            <w:tcW w:w="639" w:type="pct"/>
            <w:tcBorders>
              <w:top w:val="single" w:sz="2" w:space="0" w:color="auto"/>
              <w:left w:val="nil"/>
              <w:bottom w:val="single" w:sz="2" w:space="0" w:color="auto"/>
              <w:right w:val="nil"/>
            </w:tcBorders>
            <w:shd w:val="clear" w:color="auto" w:fill="F2F2F2" w:themeFill="background1" w:themeFillShade="F2"/>
            <w:tcMar>
              <w:top w:w="15" w:type="dxa"/>
              <w:left w:w="15" w:type="dxa"/>
              <w:bottom w:w="0" w:type="dxa"/>
              <w:right w:w="15" w:type="dxa"/>
            </w:tcMar>
            <w:vAlign w:val="center"/>
            <w:hideMark/>
          </w:tcPr>
          <w:p w14:paraId="1AA9E1C3" w14:textId="5CF7316C" w:rsidR="008B532C" w:rsidRPr="006C1098" w:rsidRDefault="008B532C" w:rsidP="00AF5A74">
            <w:pPr>
              <w:jc w:val="right"/>
              <w:textAlignment w:val="bottom"/>
              <w:rPr>
                <w:rFonts w:asciiTheme="minorHAnsi" w:hAnsiTheme="minorHAnsi" w:cstheme="minorHAnsi"/>
                <w:b/>
                <w:sz w:val="20"/>
                <w:szCs w:val="20"/>
              </w:rPr>
            </w:pPr>
            <w:r w:rsidRPr="006C1098">
              <w:rPr>
                <w:rFonts w:asciiTheme="minorHAnsi" w:hAnsiTheme="minorHAnsi" w:cstheme="minorHAnsi"/>
                <w:b/>
                <w:kern w:val="24"/>
                <w:sz w:val="20"/>
                <w:szCs w:val="20"/>
              </w:rPr>
              <w:t>(</w:t>
            </w:r>
            <w:r w:rsidR="0034643A" w:rsidRPr="006C1098">
              <w:rPr>
                <w:rFonts w:asciiTheme="minorHAnsi" w:hAnsiTheme="minorHAnsi" w:cstheme="minorHAnsi"/>
                <w:b/>
                <w:kern w:val="24"/>
                <w:sz w:val="20"/>
                <w:szCs w:val="20"/>
              </w:rPr>
              <w:t>1</w:t>
            </w:r>
            <w:r w:rsidR="00557EEE" w:rsidRPr="006C1098">
              <w:rPr>
                <w:rFonts w:asciiTheme="minorHAnsi" w:hAnsiTheme="minorHAnsi" w:cstheme="minorHAnsi"/>
                <w:b/>
                <w:kern w:val="24"/>
                <w:sz w:val="20"/>
                <w:szCs w:val="20"/>
              </w:rPr>
              <w:t>79.2</w:t>
            </w:r>
            <w:r w:rsidRPr="006C1098">
              <w:rPr>
                <w:rFonts w:asciiTheme="minorHAnsi" w:hAnsiTheme="minorHAnsi" w:cstheme="minorHAnsi"/>
                <w:b/>
                <w:kern w:val="24"/>
                <w:sz w:val="20"/>
                <w:szCs w:val="20"/>
              </w:rPr>
              <w:t>)</w:t>
            </w:r>
          </w:p>
        </w:tc>
        <w:tc>
          <w:tcPr>
            <w:tcW w:w="915" w:type="pct"/>
            <w:tcBorders>
              <w:top w:val="single" w:sz="2" w:space="0" w:color="auto"/>
              <w:left w:val="nil"/>
              <w:bottom w:val="single" w:sz="2" w:space="0" w:color="auto"/>
              <w:right w:val="nil"/>
            </w:tcBorders>
            <w:shd w:val="clear" w:color="auto" w:fill="auto"/>
            <w:tcMar>
              <w:top w:w="15" w:type="dxa"/>
              <w:left w:w="15" w:type="dxa"/>
              <w:bottom w:w="0" w:type="dxa"/>
              <w:right w:w="15" w:type="dxa"/>
            </w:tcMar>
            <w:vAlign w:val="center"/>
            <w:hideMark/>
          </w:tcPr>
          <w:p w14:paraId="0246C38B" w14:textId="207BB975" w:rsidR="008B532C" w:rsidRPr="006C1098" w:rsidRDefault="008B532C" w:rsidP="00AF5A74">
            <w:pPr>
              <w:jc w:val="right"/>
              <w:textAlignment w:val="bottom"/>
              <w:rPr>
                <w:rFonts w:asciiTheme="minorHAnsi" w:hAnsiTheme="minorHAnsi" w:cstheme="minorHAnsi"/>
                <w:sz w:val="20"/>
                <w:szCs w:val="20"/>
              </w:rPr>
            </w:pPr>
            <w:r w:rsidRPr="006C1098">
              <w:rPr>
                <w:rFonts w:asciiTheme="minorHAnsi" w:hAnsiTheme="minorHAnsi" w:cstheme="minorHAnsi"/>
                <w:kern w:val="24"/>
                <w:sz w:val="20"/>
                <w:szCs w:val="20"/>
              </w:rPr>
              <w:t>(</w:t>
            </w:r>
            <w:r w:rsidR="00B43D8B" w:rsidRPr="006C1098">
              <w:rPr>
                <w:rFonts w:asciiTheme="minorHAnsi" w:hAnsiTheme="minorHAnsi" w:cstheme="minorHAnsi"/>
                <w:kern w:val="24"/>
                <w:sz w:val="20"/>
                <w:szCs w:val="20"/>
              </w:rPr>
              <w:t>1</w:t>
            </w:r>
            <w:r w:rsidR="00E26DAC" w:rsidRPr="006C1098">
              <w:rPr>
                <w:rFonts w:asciiTheme="minorHAnsi" w:hAnsiTheme="minorHAnsi" w:cstheme="minorHAnsi"/>
                <w:kern w:val="24"/>
                <w:sz w:val="20"/>
                <w:szCs w:val="20"/>
              </w:rPr>
              <w:t>66</w:t>
            </w:r>
            <w:r w:rsidR="00B43D8B" w:rsidRPr="006C1098">
              <w:rPr>
                <w:rFonts w:asciiTheme="minorHAnsi" w:hAnsiTheme="minorHAnsi" w:cstheme="minorHAnsi"/>
                <w:kern w:val="24"/>
                <w:sz w:val="20"/>
                <w:szCs w:val="20"/>
              </w:rPr>
              <w:t>.0</w:t>
            </w:r>
            <w:r w:rsidRPr="006C1098">
              <w:rPr>
                <w:rFonts w:asciiTheme="minorHAnsi" w:hAnsiTheme="minorHAnsi" w:cstheme="minorHAnsi"/>
                <w:kern w:val="24"/>
                <w:sz w:val="20"/>
                <w:szCs w:val="20"/>
              </w:rPr>
              <w:t>)</w:t>
            </w:r>
          </w:p>
        </w:tc>
        <w:tc>
          <w:tcPr>
            <w:tcW w:w="773" w:type="pct"/>
            <w:tcBorders>
              <w:top w:val="single" w:sz="2" w:space="0" w:color="auto"/>
              <w:left w:val="nil"/>
              <w:bottom w:val="single" w:sz="2" w:space="0" w:color="auto"/>
              <w:right w:val="nil"/>
            </w:tcBorders>
            <w:shd w:val="clear" w:color="auto" w:fill="auto"/>
            <w:tcMar>
              <w:top w:w="15" w:type="dxa"/>
              <w:left w:w="15" w:type="dxa"/>
              <w:bottom w:w="0" w:type="dxa"/>
              <w:right w:w="15" w:type="dxa"/>
            </w:tcMar>
            <w:vAlign w:val="center"/>
            <w:hideMark/>
          </w:tcPr>
          <w:p w14:paraId="6FC86CD5" w14:textId="128CBAAA" w:rsidR="008B532C" w:rsidRPr="006C1098" w:rsidRDefault="008B532C" w:rsidP="00AF5A74">
            <w:pPr>
              <w:jc w:val="right"/>
              <w:textAlignment w:val="bottom"/>
              <w:rPr>
                <w:rFonts w:asciiTheme="minorHAnsi" w:hAnsiTheme="minorHAnsi" w:cstheme="minorHAnsi"/>
                <w:sz w:val="20"/>
                <w:szCs w:val="20"/>
              </w:rPr>
            </w:pPr>
            <w:r w:rsidRPr="006C1098">
              <w:rPr>
                <w:rFonts w:asciiTheme="minorHAnsi" w:hAnsiTheme="minorHAnsi" w:cstheme="minorHAnsi"/>
                <w:kern w:val="24"/>
                <w:sz w:val="20"/>
                <w:szCs w:val="20"/>
              </w:rPr>
              <w:t>(</w:t>
            </w:r>
            <w:r w:rsidR="009C4AAC" w:rsidRPr="006C1098">
              <w:rPr>
                <w:rFonts w:asciiTheme="minorHAnsi" w:hAnsiTheme="minorHAnsi" w:cstheme="minorHAnsi"/>
                <w:kern w:val="24"/>
                <w:sz w:val="20"/>
                <w:szCs w:val="20"/>
              </w:rPr>
              <w:t>7.9</w:t>
            </w:r>
            <w:r w:rsidRPr="006C1098">
              <w:rPr>
                <w:rFonts w:asciiTheme="minorHAnsi" w:hAnsiTheme="minorHAnsi" w:cstheme="minorHAnsi"/>
                <w:kern w:val="24"/>
                <w:sz w:val="20"/>
                <w:szCs w:val="20"/>
              </w:rPr>
              <w:t>)</w:t>
            </w:r>
          </w:p>
        </w:tc>
      </w:tr>
      <w:tr w:rsidR="008B532C" w:rsidRPr="00D67126" w14:paraId="53122987" w14:textId="77777777" w:rsidTr="002D58E3">
        <w:trPr>
          <w:trHeight w:val="227"/>
        </w:trPr>
        <w:tc>
          <w:tcPr>
            <w:tcW w:w="2602" w:type="pct"/>
            <w:tcBorders>
              <w:top w:val="single" w:sz="2" w:space="0" w:color="auto"/>
              <w:left w:val="nil"/>
              <w:bottom w:val="single" w:sz="2" w:space="0" w:color="auto"/>
              <w:right w:val="nil"/>
            </w:tcBorders>
            <w:shd w:val="clear" w:color="auto" w:fill="auto"/>
            <w:tcMar>
              <w:top w:w="15" w:type="dxa"/>
              <w:left w:w="15" w:type="dxa"/>
              <w:bottom w:w="0" w:type="dxa"/>
              <w:right w:w="15" w:type="dxa"/>
            </w:tcMar>
            <w:vAlign w:val="center"/>
            <w:hideMark/>
          </w:tcPr>
          <w:p w14:paraId="71EE9027" w14:textId="6A9F7B0C" w:rsidR="008B532C" w:rsidRPr="00D67126" w:rsidRDefault="008B532C" w:rsidP="00AF5A74">
            <w:pPr>
              <w:ind w:right="115"/>
              <w:rPr>
                <w:rFonts w:asciiTheme="minorHAnsi" w:hAnsiTheme="minorHAnsi" w:cstheme="minorHAnsi"/>
                <w:sz w:val="20"/>
                <w:szCs w:val="20"/>
              </w:rPr>
            </w:pPr>
            <w:r w:rsidRPr="00842003">
              <w:rPr>
                <w:rFonts w:asciiTheme="minorHAnsi" w:eastAsia="Inter Medium" w:hAnsiTheme="minorHAnsi" w:cstheme="minorHAnsi"/>
                <w:b/>
                <w:kern w:val="24"/>
                <w:sz w:val="20"/>
                <w:szCs w:val="20"/>
              </w:rPr>
              <w:t>Statutory loss before</w:t>
            </w:r>
            <w:r w:rsidRPr="00D67126">
              <w:rPr>
                <w:rFonts w:asciiTheme="minorHAnsi" w:eastAsia="Inter Medium" w:hAnsiTheme="minorHAnsi" w:cstheme="minorHAnsi"/>
                <w:b/>
                <w:kern w:val="24"/>
                <w:sz w:val="20"/>
                <w:szCs w:val="20"/>
              </w:rPr>
              <w:t xml:space="preserve"> tax</w:t>
            </w:r>
          </w:p>
        </w:tc>
        <w:tc>
          <w:tcPr>
            <w:tcW w:w="71" w:type="pct"/>
            <w:tcBorders>
              <w:top w:val="single" w:sz="2" w:space="0" w:color="auto"/>
              <w:left w:val="nil"/>
              <w:bottom w:val="single" w:sz="2" w:space="0" w:color="auto"/>
              <w:right w:val="nil"/>
            </w:tcBorders>
            <w:shd w:val="clear" w:color="auto" w:fill="auto"/>
            <w:tcMar>
              <w:top w:w="15" w:type="dxa"/>
              <w:left w:w="15" w:type="dxa"/>
              <w:bottom w:w="0" w:type="dxa"/>
              <w:right w:w="15" w:type="dxa"/>
            </w:tcMar>
            <w:vAlign w:val="center"/>
            <w:hideMark/>
          </w:tcPr>
          <w:p w14:paraId="681D0C58" w14:textId="77777777" w:rsidR="008B532C" w:rsidRPr="00D67126" w:rsidRDefault="008B532C" w:rsidP="00AF5A74">
            <w:pPr>
              <w:rPr>
                <w:rFonts w:asciiTheme="minorHAnsi" w:hAnsiTheme="minorHAnsi" w:cstheme="minorHAnsi"/>
                <w:sz w:val="20"/>
                <w:szCs w:val="20"/>
              </w:rPr>
            </w:pPr>
          </w:p>
        </w:tc>
        <w:tc>
          <w:tcPr>
            <w:tcW w:w="639" w:type="pct"/>
            <w:tcBorders>
              <w:top w:val="single" w:sz="2" w:space="0" w:color="auto"/>
              <w:left w:val="nil"/>
              <w:bottom w:val="single" w:sz="2" w:space="0" w:color="auto"/>
              <w:right w:val="nil"/>
            </w:tcBorders>
            <w:shd w:val="clear" w:color="auto" w:fill="F2F2F2" w:themeFill="background1" w:themeFillShade="F2"/>
            <w:tcMar>
              <w:top w:w="15" w:type="dxa"/>
              <w:left w:w="15" w:type="dxa"/>
              <w:bottom w:w="0" w:type="dxa"/>
              <w:right w:w="15" w:type="dxa"/>
            </w:tcMar>
            <w:vAlign w:val="center"/>
            <w:hideMark/>
          </w:tcPr>
          <w:p w14:paraId="3D6F86A0" w14:textId="72C16802" w:rsidR="008B532C" w:rsidRPr="006C1098" w:rsidRDefault="008B532C" w:rsidP="00AF5A74">
            <w:pPr>
              <w:jc w:val="right"/>
              <w:textAlignment w:val="bottom"/>
              <w:rPr>
                <w:rFonts w:asciiTheme="minorHAnsi" w:hAnsiTheme="minorHAnsi" w:cstheme="minorHAnsi"/>
                <w:b/>
                <w:sz w:val="20"/>
                <w:szCs w:val="20"/>
              </w:rPr>
            </w:pPr>
            <w:r w:rsidRPr="006C1098">
              <w:rPr>
                <w:rFonts w:asciiTheme="minorHAnsi" w:hAnsiTheme="minorHAnsi" w:cstheme="minorHAnsi"/>
                <w:b/>
                <w:kern w:val="24"/>
                <w:sz w:val="20"/>
                <w:szCs w:val="20"/>
              </w:rPr>
              <w:t>(</w:t>
            </w:r>
            <w:r w:rsidR="005D1BD4" w:rsidRPr="006C1098">
              <w:rPr>
                <w:rFonts w:asciiTheme="minorHAnsi" w:hAnsiTheme="minorHAnsi" w:cstheme="minorHAnsi"/>
                <w:b/>
                <w:kern w:val="24"/>
                <w:sz w:val="20"/>
                <w:szCs w:val="20"/>
              </w:rPr>
              <w:t>46.5</w:t>
            </w:r>
            <w:r w:rsidRPr="006C1098">
              <w:rPr>
                <w:rFonts w:asciiTheme="minorHAnsi" w:hAnsiTheme="minorHAnsi" w:cstheme="minorHAnsi"/>
                <w:b/>
                <w:kern w:val="24"/>
                <w:sz w:val="20"/>
                <w:szCs w:val="20"/>
              </w:rPr>
              <w:t>)</w:t>
            </w:r>
          </w:p>
        </w:tc>
        <w:tc>
          <w:tcPr>
            <w:tcW w:w="915" w:type="pct"/>
            <w:tcBorders>
              <w:top w:val="single" w:sz="2" w:space="0" w:color="auto"/>
              <w:left w:val="nil"/>
              <w:bottom w:val="single" w:sz="2" w:space="0" w:color="auto"/>
              <w:right w:val="nil"/>
            </w:tcBorders>
            <w:shd w:val="clear" w:color="auto" w:fill="auto"/>
            <w:tcMar>
              <w:top w:w="15" w:type="dxa"/>
              <w:left w:w="15" w:type="dxa"/>
              <w:bottom w:w="0" w:type="dxa"/>
              <w:right w:w="15" w:type="dxa"/>
            </w:tcMar>
            <w:vAlign w:val="center"/>
            <w:hideMark/>
          </w:tcPr>
          <w:p w14:paraId="7A8C8F39" w14:textId="6E59A89A" w:rsidR="008B532C" w:rsidRPr="006C1098" w:rsidRDefault="00EE4FA5" w:rsidP="00AF5A74">
            <w:pPr>
              <w:jc w:val="right"/>
              <w:textAlignment w:val="bottom"/>
              <w:rPr>
                <w:rFonts w:asciiTheme="minorHAnsi" w:hAnsiTheme="minorHAnsi" w:cstheme="minorHAnsi"/>
                <w:sz w:val="20"/>
                <w:szCs w:val="20"/>
              </w:rPr>
            </w:pPr>
            <w:r w:rsidRPr="006C1098">
              <w:rPr>
                <w:rFonts w:asciiTheme="minorHAnsi" w:hAnsiTheme="minorHAnsi" w:cstheme="minorHAnsi"/>
                <w:kern w:val="24"/>
                <w:sz w:val="20"/>
                <w:szCs w:val="20"/>
              </w:rPr>
              <w:t>(</w:t>
            </w:r>
            <w:r w:rsidR="006D58A2">
              <w:rPr>
                <w:rFonts w:asciiTheme="minorHAnsi" w:hAnsiTheme="minorHAnsi" w:cstheme="minorHAnsi"/>
                <w:kern w:val="24"/>
                <w:sz w:val="20"/>
                <w:szCs w:val="20"/>
              </w:rPr>
              <w:t>21.9</w:t>
            </w:r>
            <w:r w:rsidRPr="006C1098">
              <w:rPr>
                <w:rFonts w:asciiTheme="minorHAnsi" w:hAnsiTheme="minorHAnsi" w:cstheme="minorHAnsi"/>
                <w:kern w:val="24"/>
                <w:sz w:val="20"/>
                <w:szCs w:val="20"/>
              </w:rPr>
              <w:t>)</w:t>
            </w:r>
          </w:p>
        </w:tc>
        <w:tc>
          <w:tcPr>
            <w:tcW w:w="773" w:type="pct"/>
            <w:tcBorders>
              <w:top w:val="single" w:sz="2" w:space="0" w:color="auto"/>
              <w:left w:val="nil"/>
              <w:bottom w:val="single" w:sz="2" w:space="0" w:color="auto"/>
              <w:right w:val="nil"/>
            </w:tcBorders>
            <w:shd w:val="clear" w:color="auto" w:fill="auto"/>
            <w:tcMar>
              <w:top w:w="15" w:type="dxa"/>
              <w:left w:w="15" w:type="dxa"/>
              <w:bottom w:w="0" w:type="dxa"/>
              <w:right w:w="15" w:type="dxa"/>
            </w:tcMar>
            <w:vAlign w:val="center"/>
            <w:hideMark/>
          </w:tcPr>
          <w:p w14:paraId="7D5F7B82" w14:textId="1511D2AB" w:rsidR="008B532C" w:rsidRPr="006C1098" w:rsidRDefault="008B532C" w:rsidP="00AF5A74">
            <w:pPr>
              <w:jc w:val="right"/>
              <w:textAlignment w:val="bottom"/>
              <w:rPr>
                <w:rFonts w:asciiTheme="minorHAnsi" w:hAnsiTheme="minorHAnsi" w:cstheme="minorHAnsi"/>
                <w:sz w:val="20"/>
                <w:szCs w:val="20"/>
              </w:rPr>
            </w:pPr>
            <w:r w:rsidRPr="006C1098">
              <w:rPr>
                <w:rFonts w:asciiTheme="minorHAnsi" w:hAnsiTheme="minorHAnsi" w:cstheme="minorHAnsi"/>
                <w:kern w:val="24"/>
                <w:sz w:val="20"/>
                <w:szCs w:val="20"/>
              </w:rPr>
              <w:t>(</w:t>
            </w:r>
            <w:r w:rsidR="00E46B06" w:rsidRPr="006C1098">
              <w:rPr>
                <w:rFonts w:asciiTheme="minorHAnsi" w:hAnsiTheme="minorHAnsi" w:cstheme="minorHAnsi"/>
                <w:kern w:val="24"/>
                <w:sz w:val="20"/>
                <w:szCs w:val="20"/>
              </w:rPr>
              <w:t>1</w:t>
            </w:r>
            <w:r w:rsidR="005C258F">
              <w:rPr>
                <w:rFonts w:asciiTheme="minorHAnsi" w:hAnsiTheme="minorHAnsi" w:cstheme="minorHAnsi"/>
                <w:kern w:val="24"/>
                <w:sz w:val="20"/>
                <w:szCs w:val="20"/>
              </w:rPr>
              <w:t>12.3</w:t>
            </w:r>
            <w:r w:rsidRPr="006C1098">
              <w:rPr>
                <w:rFonts w:asciiTheme="minorHAnsi" w:hAnsiTheme="minorHAnsi" w:cstheme="minorHAnsi"/>
                <w:kern w:val="24"/>
                <w:sz w:val="20"/>
                <w:szCs w:val="20"/>
              </w:rPr>
              <w:t>)</w:t>
            </w:r>
          </w:p>
        </w:tc>
      </w:tr>
      <w:tr w:rsidR="008B532C" w:rsidRPr="00D67126" w14:paraId="483E6E72" w14:textId="77777777" w:rsidTr="002D58E3">
        <w:trPr>
          <w:trHeight w:val="227"/>
        </w:trPr>
        <w:tc>
          <w:tcPr>
            <w:tcW w:w="2602" w:type="pct"/>
            <w:tcBorders>
              <w:top w:val="single" w:sz="2" w:space="0" w:color="auto"/>
              <w:left w:val="nil"/>
              <w:bottom w:val="single" w:sz="8" w:space="0" w:color="auto"/>
              <w:right w:val="nil"/>
            </w:tcBorders>
            <w:shd w:val="clear" w:color="auto" w:fill="auto"/>
            <w:tcMar>
              <w:top w:w="15" w:type="dxa"/>
              <w:left w:w="15" w:type="dxa"/>
              <w:bottom w:w="0" w:type="dxa"/>
              <w:right w:w="15" w:type="dxa"/>
            </w:tcMar>
            <w:vAlign w:val="center"/>
            <w:hideMark/>
          </w:tcPr>
          <w:p w14:paraId="7AD01142" w14:textId="77777777" w:rsidR="008B532C" w:rsidRPr="00D67126" w:rsidRDefault="008B532C" w:rsidP="00AF5A74">
            <w:pPr>
              <w:ind w:right="115"/>
              <w:rPr>
                <w:rFonts w:asciiTheme="minorHAnsi" w:hAnsiTheme="minorHAnsi" w:cstheme="minorHAnsi"/>
                <w:sz w:val="20"/>
                <w:szCs w:val="20"/>
              </w:rPr>
            </w:pPr>
          </w:p>
        </w:tc>
        <w:tc>
          <w:tcPr>
            <w:tcW w:w="71" w:type="pct"/>
            <w:tcBorders>
              <w:top w:val="single" w:sz="2" w:space="0" w:color="auto"/>
              <w:left w:val="nil"/>
              <w:bottom w:val="single" w:sz="8" w:space="0" w:color="auto"/>
              <w:right w:val="nil"/>
            </w:tcBorders>
            <w:shd w:val="clear" w:color="auto" w:fill="auto"/>
            <w:tcMar>
              <w:top w:w="15" w:type="dxa"/>
              <w:left w:w="15" w:type="dxa"/>
              <w:bottom w:w="0" w:type="dxa"/>
              <w:right w:w="15" w:type="dxa"/>
            </w:tcMar>
            <w:vAlign w:val="center"/>
            <w:hideMark/>
          </w:tcPr>
          <w:p w14:paraId="1B32FC6D" w14:textId="77777777" w:rsidR="008B532C" w:rsidRPr="00D67126" w:rsidRDefault="008B532C" w:rsidP="00AF5A74">
            <w:pPr>
              <w:rPr>
                <w:rFonts w:asciiTheme="minorHAnsi" w:hAnsiTheme="minorHAnsi" w:cstheme="minorHAnsi"/>
                <w:sz w:val="20"/>
                <w:szCs w:val="20"/>
              </w:rPr>
            </w:pPr>
          </w:p>
        </w:tc>
        <w:tc>
          <w:tcPr>
            <w:tcW w:w="639" w:type="pct"/>
            <w:tcBorders>
              <w:top w:val="single" w:sz="2" w:space="0" w:color="auto"/>
              <w:left w:val="nil"/>
              <w:bottom w:val="single" w:sz="8" w:space="0" w:color="auto"/>
              <w:right w:val="nil"/>
            </w:tcBorders>
            <w:shd w:val="clear" w:color="auto" w:fill="F2F2F2" w:themeFill="background1" w:themeFillShade="F2"/>
            <w:tcMar>
              <w:top w:w="15" w:type="dxa"/>
              <w:left w:w="15" w:type="dxa"/>
              <w:bottom w:w="0" w:type="dxa"/>
              <w:right w:w="15" w:type="dxa"/>
            </w:tcMar>
            <w:vAlign w:val="center"/>
            <w:hideMark/>
          </w:tcPr>
          <w:p w14:paraId="0E0AA75C" w14:textId="77777777" w:rsidR="008B532C" w:rsidRPr="006C1098" w:rsidRDefault="008B532C" w:rsidP="00AF5A74">
            <w:pPr>
              <w:jc w:val="right"/>
              <w:textAlignment w:val="bottom"/>
              <w:rPr>
                <w:rFonts w:asciiTheme="minorHAnsi" w:hAnsiTheme="minorHAnsi" w:cstheme="minorHAnsi"/>
                <w:b/>
                <w:sz w:val="20"/>
                <w:szCs w:val="20"/>
              </w:rPr>
            </w:pPr>
          </w:p>
        </w:tc>
        <w:tc>
          <w:tcPr>
            <w:tcW w:w="915" w:type="pct"/>
            <w:tcBorders>
              <w:top w:val="single" w:sz="2" w:space="0" w:color="auto"/>
              <w:left w:val="nil"/>
              <w:bottom w:val="single" w:sz="8" w:space="0" w:color="auto"/>
              <w:right w:val="nil"/>
            </w:tcBorders>
            <w:shd w:val="clear" w:color="auto" w:fill="auto"/>
            <w:tcMar>
              <w:top w:w="15" w:type="dxa"/>
              <w:left w:w="15" w:type="dxa"/>
              <w:bottom w:w="0" w:type="dxa"/>
              <w:right w:w="15" w:type="dxa"/>
            </w:tcMar>
            <w:vAlign w:val="center"/>
            <w:hideMark/>
          </w:tcPr>
          <w:p w14:paraId="49C32C05" w14:textId="77777777" w:rsidR="008B532C" w:rsidRPr="006C1098" w:rsidRDefault="008B532C" w:rsidP="00AF5A74">
            <w:pPr>
              <w:jc w:val="right"/>
              <w:textAlignment w:val="bottom"/>
              <w:rPr>
                <w:rFonts w:asciiTheme="minorHAnsi" w:hAnsiTheme="minorHAnsi" w:cstheme="minorHAnsi"/>
                <w:sz w:val="20"/>
                <w:szCs w:val="20"/>
              </w:rPr>
            </w:pPr>
          </w:p>
        </w:tc>
        <w:tc>
          <w:tcPr>
            <w:tcW w:w="773" w:type="pct"/>
            <w:tcBorders>
              <w:top w:val="single" w:sz="2" w:space="0" w:color="auto"/>
              <w:left w:val="nil"/>
              <w:bottom w:val="single" w:sz="8" w:space="0" w:color="auto"/>
              <w:right w:val="nil"/>
            </w:tcBorders>
            <w:shd w:val="clear" w:color="auto" w:fill="auto"/>
            <w:tcMar>
              <w:top w:w="15" w:type="dxa"/>
              <w:left w:w="15" w:type="dxa"/>
              <w:bottom w:w="0" w:type="dxa"/>
              <w:right w:w="15" w:type="dxa"/>
            </w:tcMar>
            <w:vAlign w:val="center"/>
            <w:hideMark/>
          </w:tcPr>
          <w:p w14:paraId="5F7C8D1D" w14:textId="77777777" w:rsidR="008B532C" w:rsidRPr="006C1098" w:rsidRDefault="008B532C" w:rsidP="00AF5A74">
            <w:pPr>
              <w:jc w:val="right"/>
              <w:textAlignment w:val="bottom"/>
              <w:rPr>
                <w:rFonts w:asciiTheme="minorHAnsi" w:hAnsiTheme="minorHAnsi" w:cstheme="minorHAnsi"/>
                <w:sz w:val="20"/>
                <w:szCs w:val="20"/>
              </w:rPr>
            </w:pPr>
          </w:p>
        </w:tc>
      </w:tr>
      <w:tr w:rsidR="008B532C" w:rsidRPr="00D67126" w14:paraId="705C4AF3" w14:textId="77777777" w:rsidTr="002D58E3">
        <w:trPr>
          <w:trHeight w:val="227"/>
        </w:trPr>
        <w:tc>
          <w:tcPr>
            <w:tcW w:w="2602" w:type="pct"/>
            <w:tcBorders>
              <w:top w:val="single" w:sz="8" w:space="0" w:color="auto"/>
              <w:left w:val="nil"/>
              <w:bottom w:val="single" w:sz="2" w:space="0" w:color="auto"/>
              <w:right w:val="nil"/>
            </w:tcBorders>
            <w:shd w:val="clear" w:color="auto" w:fill="auto"/>
            <w:tcMar>
              <w:top w:w="15" w:type="dxa"/>
              <w:left w:w="15" w:type="dxa"/>
              <w:bottom w:w="0" w:type="dxa"/>
              <w:right w:w="15" w:type="dxa"/>
            </w:tcMar>
            <w:vAlign w:val="center"/>
            <w:hideMark/>
          </w:tcPr>
          <w:p w14:paraId="1E1FEE3F" w14:textId="070CE130" w:rsidR="008B532C" w:rsidRPr="00D67126" w:rsidRDefault="008B532C" w:rsidP="00AF5A74">
            <w:pPr>
              <w:ind w:right="115"/>
              <w:rPr>
                <w:rFonts w:asciiTheme="minorHAnsi" w:hAnsiTheme="minorHAnsi" w:cstheme="minorHAnsi"/>
                <w:sz w:val="20"/>
                <w:szCs w:val="20"/>
              </w:rPr>
            </w:pPr>
            <w:r w:rsidRPr="00D67126">
              <w:rPr>
                <w:rFonts w:asciiTheme="minorHAnsi" w:hAnsiTheme="minorHAnsi" w:cstheme="minorHAnsi"/>
                <w:b/>
                <w:kern w:val="24"/>
                <w:sz w:val="20"/>
                <w:szCs w:val="20"/>
                <w:lang w:val="en-US"/>
              </w:rPr>
              <w:t xml:space="preserve">Adjusted </w:t>
            </w:r>
            <w:r w:rsidR="00842003">
              <w:rPr>
                <w:rFonts w:asciiTheme="minorHAnsi" w:hAnsiTheme="minorHAnsi" w:cstheme="minorHAnsi"/>
                <w:b/>
                <w:kern w:val="24"/>
                <w:sz w:val="20"/>
                <w:szCs w:val="20"/>
                <w:lang w:val="en-US"/>
              </w:rPr>
              <w:t>loss</w:t>
            </w:r>
            <w:r w:rsidRPr="00D67126">
              <w:rPr>
                <w:rFonts w:asciiTheme="minorHAnsi" w:hAnsiTheme="minorHAnsi" w:cstheme="minorHAnsi"/>
                <w:b/>
                <w:kern w:val="24"/>
                <w:sz w:val="20"/>
                <w:szCs w:val="20"/>
                <w:lang w:val="en-US"/>
              </w:rPr>
              <w:t xml:space="preserve"> before tax</w:t>
            </w:r>
            <w:r w:rsidRPr="00D67126">
              <w:rPr>
                <w:rFonts w:asciiTheme="minorHAnsi" w:hAnsiTheme="minorHAnsi" w:cstheme="minorHAnsi"/>
                <w:b/>
                <w:kern w:val="24"/>
                <w:sz w:val="20"/>
                <w:szCs w:val="20"/>
                <w:vertAlign w:val="superscript"/>
                <w:lang w:val="en-US"/>
              </w:rPr>
              <w:t>2</w:t>
            </w:r>
          </w:p>
        </w:tc>
        <w:tc>
          <w:tcPr>
            <w:tcW w:w="71" w:type="pct"/>
            <w:tcBorders>
              <w:top w:val="single" w:sz="8" w:space="0" w:color="auto"/>
              <w:left w:val="nil"/>
              <w:bottom w:val="single" w:sz="2" w:space="0" w:color="auto"/>
              <w:right w:val="nil"/>
            </w:tcBorders>
            <w:shd w:val="clear" w:color="auto" w:fill="auto"/>
            <w:tcMar>
              <w:top w:w="15" w:type="dxa"/>
              <w:left w:w="15" w:type="dxa"/>
              <w:bottom w:w="0" w:type="dxa"/>
              <w:right w:w="15" w:type="dxa"/>
            </w:tcMar>
            <w:vAlign w:val="center"/>
            <w:hideMark/>
          </w:tcPr>
          <w:p w14:paraId="4A03B0C4" w14:textId="77777777" w:rsidR="008B532C" w:rsidRPr="00D67126" w:rsidRDefault="008B532C" w:rsidP="00AF5A74">
            <w:pPr>
              <w:rPr>
                <w:rFonts w:asciiTheme="minorHAnsi" w:hAnsiTheme="minorHAnsi" w:cstheme="minorHAnsi"/>
                <w:sz w:val="20"/>
                <w:szCs w:val="20"/>
              </w:rPr>
            </w:pPr>
          </w:p>
        </w:tc>
        <w:tc>
          <w:tcPr>
            <w:tcW w:w="639" w:type="pct"/>
            <w:tcBorders>
              <w:top w:val="single" w:sz="8" w:space="0" w:color="auto"/>
              <w:left w:val="nil"/>
              <w:bottom w:val="single" w:sz="2" w:space="0" w:color="auto"/>
              <w:right w:val="nil"/>
            </w:tcBorders>
            <w:shd w:val="clear" w:color="auto" w:fill="F2F2F2" w:themeFill="background1" w:themeFillShade="F2"/>
            <w:tcMar>
              <w:top w:w="15" w:type="dxa"/>
              <w:left w:w="15" w:type="dxa"/>
              <w:bottom w:w="0" w:type="dxa"/>
              <w:right w:w="15" w:type="dxa"/>
            </w:tcMar>
            <w:vAlign w:val="center"/>
            <w:hideMark/>
          </w:tcPr>
          <w:p w14:paraId="0AA12CCB" w14:textId="59FFF812" w:rsidR="008B532C" w:rsidRPr="006C1098" w:rsidRDefault="000D4BD7" w:rsidP="00AF5A74">
            <w:pPr>
              <w:jc w:val="right"/>
              <w:textAlignment w:val="bottom"/>
              <w:rPr>
                <w:rFonts w:asciiTheme="minorHAnsi" w:hAnsiTheme="minorHAnsi" w:cstheme="minorHAnsi"/>
                <w:b/>
                <w:sz w:val="20"/>
                <w:szCs w:val="20"/>
              </w:rPr>
            </w:pPr>
            <w:r w:rsidRPr="006C1098">
              <w:rPr>
                <w:rFonts w:asciiTheme="minorHAnsi" w:hAnsiTheme="minorHAnsi" w:cstheme="minorHAnsi"/>
                <w:b/>
                <w:kern w:val="24"/>
                <w:sz w:val="20"/>
                <w:szCs w:val="20"/>
              </w:rPr>
              <w:t>(26.8)</w:t>
            </w:r>
            <w:r w:rsidR="008B532C" w:rsidRPr="006C1098">
              <w:rPr>
                <w:rFonts w:asciiTheme="minorHAnsi" w:hAnsiTheme="minorHAnsi" w:cstheme="minorHAnsi"/>
                <w:b/>
                <w:kern w:val="24"/>
                <w:sz w:val="20"/>
                <w:szCs w:val="20"/>
              </w:rPr>
              <w:t xml:space="preserve"> </w:t>
            </w:r>
          </w:p>
        </w:tc>
        <w:tc>
          <w:tcPr>
            <w:tcW w:w="915" w:type="pct"/>
            <w:tcBorders>
              <w:top w:val="single" w:sz="8" w:space="0" w:color="auto"/>
              <w:left w:val="nil"/>
              <w:bottom w:val="single" w:sz="2" w:space="0" w:color="auto"/>
              <w:right w:val="nil"/>
            </w:tcBorders>
            <w:shd w:val="clear" w:color="auto" w:fill="auto"/>
            <w:tcMar>
              <w:top w:w="15" w:type="dxa"/>
              <w:left w:w="15" w:type="dxa"/>
              <w:bottom w:w="0" w:type="dxa"/>
              <w:right w:w="15" w:type="dxa"/>
            </w:tcMar>
            <w:vAlign w:val="center"/>
            <w:hideMark/>
          </w:tcPr>
          <w:p w14:paraId="64401633" w14:textId="63919581" w:rsidR="008B532C" w:rsidRPr="006C1098" w:rsidRDefault="00E9762E" w:rsidP="00AF5A74">
            <w:pPr>
              <w:jc w:val="right"/>
              <w:textAlignment w:val="bottom"/>
              <w:rPr>
                <w:rFonts w:asciiTheme="minorHAnsi" w:hAnsiTheme="minorHAnsi" w:cstheme="minorHAnsi"/>
                <w:sz w:val="20"/>
                <w:szCs w:val="20"/>
              </w:rPr>
            </w:pPr>
            <w:r w:rsidRPr="006C1098">
              <w:rPr>
                <w:rFonts w:asciiTheme="minorHAnsi" w:hAnsiTheme="minorHAnsi" w:cstheme="minorHAnsi"/>
                <w:sz w:val="20"/>
                <w:szCs w:val="20"/>
              </w:rPr>
              <w:t>(</w:t>
            </w:r>
            <w:r w:rsidR="00CE40B2">
              <w:rPr>
                <w:rFonts w:asciiTheme="minorHAnsi" w:hAnsiTheme="minorHAnsi" w:cstheme="minorHAnsi"/>
                <w:sz w:val="20"/>
                <w:szCs w:val="20"/>
              </w:rPr>
              <w:t>12.</w:t>
            </w:r>
            <w:r w:rsidR="00AD2C5B" w:rsidRPr="006C1098">
              <w:rPr>
                <w:rFonts w:asciiTheme="minorHAnsi" w:hAnsiTheme="minorHAnsi" w:cstheme="minorHAnsi"/>
                <w:sz w:val="20"/>
                <w:szCs w:val="20"/>
              </w:rPr>
              <w:t>9</w:t>
            </w:r>
            <w:r w:rsidRPr="006C1098">
              <w:rPr>
                <w:rFonts w:asciiTheme="minorHAnsi" w:hAnsiTheme="minorHAnsi" w:cstheme="minorHAnsi"/>
                <w:sz w:val="20"/>
                <w:szCs w:val="20"/>
              </w:rPr>
              <w:t>)</w:t>
            </w:r>
          </w:p>
        </w:tc>
        <w:tc>
          <w:tcPr>
            <w:tcW w:w="773" w:type="pct"/>
            <w:tcBorders>
              <w:top w:val="single" w:sz="8" w:space="0" w:color="auto"/>
              <w:left w:val="nil"/>
              <w:bottom w:val="single" w:sz="2" w:space="0" w:color="auto"/>
              <w:right w:val="nil"/>
            </w:tcBorders>
            <w:shd w:val="clear" w:color="auto" w:fill="auto"/>
            <w:tcMar>
              <w:top w:w="15" w:type="dxa"/>
              <w:left w:w="15" w:type="dxa"/>
              <w:bottom w:w="0" w:type="dxa"/>
              <w:right w:w="15" w:type="dxa"/>
            </w:tcMar>
            <w:vAlign w:val="center"/>
            <w:hideMark/>
          </w:tcPr>
          <w:p w14:paraId="09A0940C" w14:textId="5E661314" w:rsidR="008B532C" w:rsidRPr="006C1098" w:rsidRDefault="008B532C" w:rsidP="00AF5A74">
            <w:pPr>
              <w:jc w:val="right"/>
              <w:textAlignment w:val="bottom"/>
              <w:rPr>
                <w:rFonts w:asciiTheme="minorHAnsi" w:hAnsiTheme="minorHAnsi" w:cstheme="minorHAnsi"/>
                <w:sz w:val="20"/>
                <w:szCs w:val="20"/>
              </w:rPr>
            </w:pPr>
            <w:r w:rsidRPr="006C1098">
              <w:rPr>
                <w:rFonts w:asciiTheme="minorHAnsi" w:hAnsiTheme="minorHAnsi" w:cstheme="minorHAnsi"/>
                <w:kern w:val="24"/>
                <w:sz w:val="20"/>
                <w:szCs w:val="20"/>
              </w:rPr>
              <w:t>(</w:t>
            </w:r>
            <w:r w:rsidR="00237729">
              <w:rPr>
                <w:rFonts w:asciiTheme="minorHAnsi" w:hAnsiTheme="minorHAnsi" w:cstheme="minorHAnsi"/>
                <w:kern w:val="24"/>
                <w:sz w:val="20"/>
                <w:szCs w:val="20"/>
              </w:rPr>
              <w:t>107.8</w:t>
            </w:r>
            <w:r w:rsidRPr="006C1098">
              <w:rPr>
                <w:rFonts w:asciiTheme="minorHAnsi" w:hAnsiTheme="minorHAnsi" w:cstheme="minorHAnsi"/>
                <w:kern w:val="24"/>
                <w:sz w:val="20"/>
                <w:szCs w:val="20"/>
              </w:rPr>
              <w:t>)</w:t>
            </w:r>
          </w:p>
        </w:tc>
      </w:tr>
      <w:tr w:rsidR="008B532C" w:rsidRPr="00D67126" w14:paraId="1575AE30" w14:textId="77777777" w:rsidTr="002D58E3">
        <w:trPr>
          <w:trHeight w:val="227"/>
        </w:trPr>
        <w:tc>
          <w:tcPr>
            <w:tcW w:w="2602" w:type="pct"/>
            <w:tcBorders>
              <w:top w:val="single" w:sz="2" w:space="0" w:color="auto"/>
              <w:left w:val="nil"/>
              <w:bottom w:val="single" w:sz="2" w:space="0" w:color="auto"/>
              <w:right w:val="nil"/>
            </w:tcBorders>
            <w:shd w:val="clear" w:color="auto" w:fill="auto"/>
            <w:tcMar>
              <w:top w:w="15" w:type="dxa"/>
              <w:left w:w="15" w:type="dxa"/>
              <w:bottom w:w="0" w:type="dxa"/>
              <w:right w:w="15" w:type="dxa"/>
            </w:tcMar>
            <w:vAlign w:val="center"/>
            <w:hideMark/>
          </w:tcPr>
          <w:p w14:paraId="1FB44E21" w14:textId="77777777" w:rsidR="008B532C" w:rsidRPr="00D67126" w:rsidRDefault="008B532C" w:rsidP="00AF5A74">
            <w:pPr>
              <w:ind w:right="115"/>
              <w:rPr>
                <w:rFonts w:asciiTheme="minorHAnsi" w:hAnsiTheme="minorHAnsi" w:cstheme="minorHAnsi"/>
                <w:sz w:val="20"/>
                <w:szCs w:val="20"/>
              </w:rPr>
            </w:pPr>
            <w:r w:rsidRPr="00D67126">
              <w:rPr>
                <w:rFonts w:asciiTheme="minorHAnsi" w:hAnsiTheme="minorHAnsi" w:cstheme="minorHAnsi"/>
                <w:kern w:val="24"/>
                <w:sz w:val="20"/>
                <w:szCs w:val="20"/>
                <w:lang w:val="en-US"/>
              </w:rPr>
              <w:t>Adjusted operating costs</w:t>
            </w:r>
            <w:r w:rsidRPr="00D67126">
              <w:rPr>
                <w:rFonts w:asciiTheme="minorHAnsi" w:hAnsiTheme="minorHAnsi" w:cstheme="minorHAnsi"/>
                <w:kern w:val="24"/>
                <w:sz w:val="20"/>
                <w:szCs w:val="20"/>
                <w:vertAlign w:val="superscript"/>
                <w:lang w:val="en-US"/>
              </w:rPr>
              <w:t>3</w:t>
            </w:r>
          </w:p>
        </w:tc>
        <w:tc>
          <w:tcPr>
            <w:tcW w:w="71" w:type="pct"/>
            <w:tcBorders>
              <w:top w:val="single" w:sz="2" w:space="0" w:color="auto"/>
              <w:left w:val="nil"/>
              <w:bottom w:val="single" w:sz="2" w:space="0" w:color="auto"/>
              <w:right w:val="nil"/>
            </w:tcBorders>
            <w:shd w:val="clear" w:color="auto" w:fill="auto"/>
            <w:tcMar>
              <w:top w:w="15" w:type="dxa"/>
              <w:left w:w="15" w:type="dxa"/>
              <w:bottom w:w="0" w:type="dxa"/>
              <w:right w:w="15" w:type="dxa"/>
            </w:tcMar>
            <w:vAlign w:val="center"/>
            <w:hideMark/>
          </w:tcPr>
          <w:p w14:paraId="63261995" w14:textId="77777777" w:rsidR="008B532C" w:rsidRPr="00D67126" w:rsidRDefault="008B532C" w:rsidP="00AF5A74">
            <w:pPr>
              <w:rPr>
                <w:rFonts w:asciiTheme="minorHAnsi" w:hAnsiTheme="minorHAnsi" w:cstheme="minorHAnsi"/>
                <w:sz w:val="20"/>
                <w:szCs w:val="20"/>
              </w:rPr>
            </w:pPr>
          </w:p>
        </w:tc>
        <w:tc>
          <w:tcPr>
            <w:tcW w:w="639" w:type="pct"/>
            <w:tcBorders>
              <w:top w:val="single" w:sz="2" w:space="0" w:color="auto"/>
              <w:left w:val="nil"/>
              <w:bottom w:val="single" w:sz="2" w:space="0" w:color="auto"/>
              <w:right w:val="nil"/>
            </w:tcBorders>
            <w:shd w:val="clear" w:color="auto" w:fill="F2F2F2" w:themeFill="background1" w:themeFillShade="F2"/>
            <w:tcMar>
              <w:top w:w="15" w:type="dxa"/>
              <w:left w:w="15" w:type="dxa"/>
              <w:bottom w:w="0" w:type="dxa"/>
              <w:right w:w="15" w:type="dxa"/>
            </w:tcMar>
            <w:vAlign w:val="center"/>
            <w:hideMark/>
          </w:tcPr>
          <w:p w14:paraId="47B061EA" w14:textId="4B043A01" w:rsidR="008B532C" w:rsidRPr="006C1098" w:rsidRDefault="008B532C" w:rsidP="00AF5A74">
            <w:pPr>
              <w:jc w:val="right"/>
              <w:textAlignment w:val="bottom"/>
              <w:rPr>
                <w:rFonts w:asciiTheme="minorHAnsi" w:hAnsiTheme="minorHAnsi" w:cstheme="minorHAnsi"/>
                <w:b/>
                <w:sz w:val="20"/>
                <w:szCs w:val="20"/>
              </w:rPr>
            </w:pPr>
            <w:r w:rsidRPr="006C1098">
              <w:rPr>
                <w:rFonts w:asciiTheme="minorHAnsi" w:hAnsiTheme="minorHAnsi" w:cstheme="minorHAnsi"/>
                <w:b/>
                <w:kern w:val="24"/>
                <w:sz w:val="20"/>
                <w:szCs w:val="20"/>
              </w:rPr>
              <w:t>(</w:t>
            </w:r>
            <w:r w:rsidR="00982DCC" w:rsidRPr="006C1098">
              <w:rPr>
                <w:rFonts w:asciiTheme="minorHAnsi" w:hAnsiTheme="minorHAnsi" w:cstheme="minorHAnsi"/>
                <w:b/>
                <w:kern w:val="24"/>
                <w:sz w:val="20"/>
                <w:szCs w:val="20"/>
              </w:rPr>
              <w:t>1</w:t>
            </w:r>
            <w:r w:rsidR="00E15ADF" w:rsidRPr="006C1098">
              <w:rPr>
                <w:rFonts w:asciiTheme="minorHAnsi" w:hAnsiTheme="minorHAnsi" w:cstheme="minorHAnsi"/>
                <w:b/>
                <w:kern w:val="24"/>
                <w:sz w:val="20"/>
                <w:szCs w:val="20"/>
              </w:rPr>
              <w:t>59.</w:t>
            </w:r>
            <w:r w:rsidR="00825C51" w:rsidRPr="006C1098">
              <w:rPr>
                <w:rFonts w:asciiTheme="minorHAnsi" w:hAnsiTheme="minorHAnsi" w:cstheme="minorHAnsi"/>
                <w:b/>
                <w:kern w:val="24"/>
                <w:sz w:val="20"/>
                <w:szCs w:val="20"/>
              </w:rPr>
              <w:t>5</w:t>
            </w:r>
            <w:r w:rsidRPr="006C1098">
              <w:rPr>
                <w:rFonts w:asciiTheme="minorHAnsi" w:hAnsiTheme="minorHAnsi" w:cstheme="minorHAnsi"/>
                <w:b/>
                <w:kern w:val="24"/>
                <w:sz w:val="20"/>
                <w:szCs w:val="20"/>
              </w:rPr>
              <w:t>)</w:t>
            </w:r>
          </w:p>
        </w:tc>
        <w:tc>
          <w:tcPr>
            <w:tcW w:w="915" w:type="pct"/>
            <w:tcBorders>
              <w:top w:val="single" w:sz="2" w:space="0" w:color="auto"/>
              <w:left w:val="nil"/>
              <w:bottom w:val="single" w:sz="2" w:space="0" w:color="auto"/>
              <w:right w:val="nil"/>
            </w:tcBorders>
            <w:shd w:val="clear" w:color="auto" w:fill="auto"/>
            <w:tcMar>
              <w:top w:w="15" w:type="dxa"/>
              <w:left w:w="15" w:type="dxa"/>
              <w:bottom w:w="0" w:type="dxa"/>
              <w:right w:w="15" w:type="dxa"/>
            </w:tcMar>
            <w:vAlign w:val="center"/>
            <w:hideMark/>
          </w:tcPr>
          <w:p w14:paraId="54A9205A" w14:textId="3A230EC6" w:rsidR="008B532C" w:rsidRPr="006C1098" w:rsidRDefault="008B532C" w:rsidP="00AF5A74">
            <w:pPr>
              <w:jc w:val="right"/>
              <w:textAlignment w:val="bottom"/>
              <w:rPr>
                <w:rFonts w:asciiTheme="minorHAnsi" w:hAnsiTheme="minorHAnsi" w:cstheme="minorHAnsi"/>
                <w:sz w:val="20"/>
                <w:szCs w:val="20"/>
              </w:rPr>
            </w:pPr>
            <w:r w:rsidRPr="006C1098">
              <w:rPr>
                <w:rFonts w:asciiTheme="minorHAnsi" w:hAnsiTheme="minorHAnsi" w:cstheme="minorHAnsi"/>
                <w:kern w:val="24"/>
                <w:sz w:val="20"/>
                <w:szCs w:val="20"/>
              </w:rPr>
              <w:t>(</w:t>
            </w:r>
            <w:r w:rsidR="00300471" w:rsidRPr="006C1098">
              <w:rPr>
                <w:rFonts w:asciiTheme="minorHAnsi" w:hAnsiTheme="minorHAnsi" w:cstheme="minorHAnsi"/>
                <w:kern w:val="24"/>
                <w:sz w:val="20"/>
                <w:szCs w:val="20"/>
              </w:rPr>
              <w:t>157</w:t>
            </w:r>
            <w:r w:rsidRPr="006C1098">
              <w:rPr>
                <w:rFonts w:asciiTheme="minorHAnsi" w:hAnsiTheme="minorHAnsi" w:cstheme="minorHAnsi"/>
                <w:kern w:val="24"/>
                <w:sz w:val="20"/>
                <w:szCs w:val="20"/>
              </w:rPr>
              <w:t>.0)</w:t>
            </w:r>
          </w:p>
        </w:tc>
        <w:tc>
          <w:tcPr>
            <w:tcW w:w="773" w:type="pct"/>
            <w:tcBorders>
              <w:top w:val="single" w:sz="2" w:space="0" w:color="auto"/>
              <w:left w:val="nil"/>
              <w:bottom w:val="single" w:sz="2" w:space="0" w:color="auto"/>
              <w:right w:val="nil"/>
            </w:tcBorders>
            <w:shd w:val="clear" w:color="auto" w:fill="auto"/>
            <w:tcMar>
              <w:top w:w="15" w:type="dxa"/>
              <w:left w:w="15" w:type="dxa"/>
              <w:bottom w:w="0" w:type="dxa"/>
              <w:right w:w="15" w:type="dxa"/>
            </w:tcMar>
            <w:vAlign w:val="center"/>
            <w:hideMark/>
          </w:tcPr>
          <w:p w14:paraId="774B0E6F" w14:textId="78DFC0DC" w:rsidR="008B532C" w:rsidRPr="006C1098" w:rsidRDefault="008070CB" w:rsidP="00AF5A74">
            <w:pPr>
              <w:jc w:val="right"/>
              <w:textAlignment w:val="bottom"/>
              <w:rPr>
                <w:rFonts w:asciiTheme="minorHAnsi" w:hAnsiTheme="minorHAnsi" w:cstheme="minorHAnsi"/>
                <w:sz w:val="20"/>
                <w:szCs w:val="20"/>
              </w:rPr>
            </w:pPr>
            <w:r w:rsidRPr="006C1098">
              <w:rPr>
                <w:rFonts w:asciiTheme="minorHAnsi" w:hAnsiTheme="minorHAnsi" w:cstheme="minorHAnsi"/>
                <w:sz w:val="20"/>
                <w:szCs w:val="20"/>
              </w:rPr>
              <w:t>1.6</w:t>
            </w:r>
          </w:p>
        </w:tc>
      </w:tr>
      <w:tr w:rsidR="008B532C" w:rsidRPr="00D67126" w14:paraId="39DFD510" w14:textId="77777777" w:rsidTr="002D58E3">
        <w:trPr>
          <w:trHeight w:val="227"/>
        </w:trPr>
        <w:tc>
          <w:tcPr>
            <w:tcW w:w="2602" w:type="pct"/>
            <w:tcBorders>
              <w:top w:val="single" w:sz="2" w:space="0" w:color="auto"/>
              <w:left w:val="nil"/>
              <w:right w:val="nil"/>
            </w:tcBorders>
            <w:shd w:val="clear" w:color="auto" w:fill="auto"/>
            <w:tcMar>
              <w:top w:w="15" w:type="dxa"/>
              <w:left w:w="15" w:type="dxa"/>
              <w:bottom w:w="0" w:type="dxa"/>
              <w:right w:w="15" w:type="dxa"/>
            </w:tcMar>
            <w:vAlign w:val="center"/>
          </w:tcPr>
          <w:p w14:paraId="5EA836A3" w14:textId="77777777" w:rsidR="008B532C" w:rsidRPr="00D67126" w:rsidRDefault="008B532C" w:rsidP="00AF5A74">
            <w:pPr>
              <w:textAlignment w:val="center"/>
              <w:rPr>
                <w:rFonts w:asciiTheme="minorHAnsi" w:hAnsiTheme="minorHAnsi" w:cstheme="minorHAnsi"/>
                <w:b/>
                <w:kern w:val="24"/>
                <w:sz w:val="20"/>
                <w:szCs w:val="20"/>
                <w:lang w:val="en-US"/>
              </w:rPr>
            </w:pPr>
          </w:p>
        </w:tc>
        <w:tc>
          <w:tcPr>
            <w:tcW w:w="71" w:type="pct"/>
            <w:tcBorders>
              <w:top w:val="single" w:sz="2" w:space="0" w:color="auto"/>
              <w:left w:val="nil"/>
              <w:right w:val="nil"/>
            </w:tcBorders>
            <w:shd w:val="clear" w:color="auto" w:fill="auto"/>
            <w:tcMar>
              <w:top w:w="15" w:type="dxa"/>
              <w:left w:w="15" w:type="dxa"/>
              <w:bottom w:w="0" w:type="dxa"/>
              <w:right w:w="15" w:type="dxa"/>
            </w:tcMar>
            <w:vAlign w:val="center"/>
          </w:tcPr>
          <w:p w14:paraId="7644E4D3" w14:textId="77777777" w:rsidR="008B532C" w:rsidRPr="00D67126" w:rsidRDefault="008B532C" w:rsidP="00AF5A74">
            <w:pPr>
              <w:rPr>
                <w:rFonts w:asciiTheme="minorHAnsi" w:hAnsiTheme="minorHAnsi" w:cstheme="minorHAnsi"/>
                <w:sz w:val="20"/>
                <w:szCs w:val="20"/>
              </w:rPr>
            </w:pPr>
          </w:p>
        </w:tc>
        <w:tc>
          <w:tcPr>
            <w:tcW w:w="639" w:type="pct"/>
            <w:tcBorders>
              <w:top w:val="single" w:sz="2" w:space="0" w:color="auto"/>
              <w:left w:val="nil"/>
              <w:right w:val="nil"/>
            </w:tcBorders>
            <w:shd w:val="clear" w:color="auto" w:fill="F2F2F2" w:themeFill="background1" w:themeFillShade="F2"/>
            <w:tcMar>
              <w:top w:w="15" w:type="dxa"/>
              <w:left w:w="15" w:type="dxa"/>
              <w:bottom w:w="0" w:type="dxa"/>
              <w:right w:w="15" w:type="dxa"/>
            </w:tcMar>
            <w:vAlign w:val="center"/>
          </w:tcPr>
          <w:p w14:paraId="4C0B7C25" w14:textId="77777777" w:rsidR="008B532C" w:rsidRPr="006C1098" w:rsidRDefault="008B532C" w:rsidP="00AF5A74">
            <w:pPr>
              <w:jc w:val="right"/>
              <w:textAlignment w:val="bottom"/>
              <w:rPr>
                <w:rFonts w:asciiTheme="minorHAnsi" w:hAnsiTheme="minorHAnsi" w:cstheme="minorHAnsi"/>
                <w:b/>
                <w:kern w:val="24"/>
                <w:sz w:val="20"/>
                <w:szCs w:val="20"/>
              </w:rPr>
            </w:pPr>
          </w:p>
        </w:tc>
        <w:tc>
          <w:tcPr>
            <w:tcW w:w="915" w:type="pct"/>
            <w:tcBorders>
              <w:top w:val="single" w:sz="2" w:space="0" w:color="auto"/>
              <w:left w:val="nil"/>
              <w:right w:val="nil"/>
            </w:tcBorders>
            <w:shd w:val="clear" w:color="auto" w:fill="auto"/>
            <w:tcMar>
              <w:top w:w="15" w:type="dxa"/>
              <w:left w:w="15" w:type="dxa"/>
              <w:bottom w:w="0" w:type="dxa"/>
              <w:right w:w="15" w:type="dxa"/>
            </w:tcMar>
            <w:vAlign w:val="center"/>
          </w:tcPr>
          <w:p w14:paraId="6FA67D44" w14:textId="77777777" w:rsidR="008B532C" w:rsidRPr="00D67126" w:rsidRDefault="008B532C" w:rsidP="00AF5A74">
            <w:pPr>
              <w:jc w:val="right"/>
              <w:textAlignment w:val="bottom"/>
              <w:rPr>
                <w:rFonts w:asciiTheme="minorHAnsi" w:hAnsiTheme="minorHAnsi" w:cstheme="minorHAnsi"/>
                <w:kern w:val="24"/>
                <w:sz w:val="20"/>
                <w:szCs w:val="20"/>
              </w:rPr>
            </w:pPr>
          </w:p>
        </w:tc>
        <w:tc>
          <w:tcPr>
            <w:tcW w:w="773" w:type="pct"/>
            <w:tcBorders>
              <w:top w:val="single" w:sz="2" w:space="0" w:color="auto"/>
              <w:left w:val="nil"/>
              <w:right w:val="nil"/>
            </w:tcBorders>
            <w:shd w:val="clear" w:color="auto" w:fill="auto"/>
            <w:tcMar>
              <w:top w:w="15" w:type="dxa"/>
              <w:left w:w="15" w:type="dxa"/>
              <w:bottom w:w="0" w:type="dxa"/>
              <w:right w:w="15" w:type="dxa"/>
            </w:tcMar>
            <w:vAlign w:val="center"/>
          </w:tcPr>
          <w:p w14:paraId="61209422" w14:textId="77777777" w:rsidR="008B532C" w:rsidRPr="006C1098" w:rsidRDefault="008B532C" w:rsidP="00AF5A74">
            <w:pPr>
              <w:jc w:val="right"/>
              <w:textAlignment w:val="bottom"/>
              <w:rPr>
                <w:rFonts w:asciiTheme="minorHAnsi" w:hAnsiTheme="minorHAnsi" w:cstheme="minorHAnsi"/>
                <w:kern w:val="24"/>
                <w:sz w:val="20"/>
                <w:szCs w:val="20"/>
              </w:rPr>
            </w:pPr>
          </w:p>
        </w:tc>
      </w:tr>
      <w:tr w:rsidR="008B532C" w:rsidRPr="00D67126" w14:paraId="5F8DF9A9" w14:textId="77777777" w:rsidTr="002D58E3">
        <w:trPr>
          <w:trHeight w:val="227"/>
        </w:trPr>
        <w:tc>
          <w:tcPr>
            <w:tcW w:w="2602" w:type="pct"/>
            <w:tcBorders>
              <w:left w:val="nil"/>
              <w:right w:val="nil"/>
            </w:tcBorders>
            <w:shd w:val="clear" w:color="auto" w:fill="auto"/>
            <w:tcMar>
              <w:top w:w="15" w:type="dxa"/>
              <w:left w:w="15" w:type="dxa"/>
              <w:bottom w:w="0" w:type="dxa"/>
              <w:right w:w="15" w:type="dxa"/>
            </w:tcMar>
            <w:vAlign w:val="center"/>
            <w:hideMark/>
          </w:tcPr>
          <w:p w14:paraId="5AFD9230" w14:textId="1F2706AF" w:rsidR="008B532C" w:rsidRPr="00D67126" w:rsidRDefault="008B532C" w:rsidP="00AF5A74">
            <w:pPr>
              <w:textAlignment w:val="center"/>
              <w:rPr>
                <w:rFonts w:asciiTheme="minorHAnsi" w:hAnsiTheme="minorHAnsi" w:cstheme="minorHAnsi"/>
                <w:sz w:val="20"/>
                <w:szCs w:val="20"/>
              </w:rPr>
            </w:pPr>
            <w:r w:rsidRPr="00D67126">
              <w:rPr>
                <w:rFonts w:asciiTheme="minorHAnsi" w:hAnsiTheme="minorHAnsi" w:cstheme="minorHAnsi"/>
                <w:b/>
                <w:kern w:val="24"/>
                <w:sz w:val="20"/>
                <w:szCs w:val="20"/>
                <w:lang w:val="en-US"/>
              </w:rPr>
              <w:t>Metrics</w:t>
            </w:r>
          </w:p>
        </w:tc>
        <w:tc>
          <w:tcPr>
            <w:tcW w:w="71" w:type="pct"/>
            <w:tcBorders>
              <w:left w:val="nil"/>
              <w:right w:val="nil"/>
            </w:tcBorders>
            <w:shd w:val="clear" w:color="auto" w:fill="auto"/>
            <w:tcMar>
              <w:top w:w="15" w:type="dxa"/>
              <w:left w:w="15" w:type="dxa"/>
              <w:bottom w:w="0" w:type="dxa"/>
              <w:right w:w="15" w:type="dxa"/>
            </w:tcMar>
            <w:vAlign w:val="center"/>
            <w:hideMark/>
          </w:tcPr>
          <w:p w14:paraId="4CDE314D" w14:textId="77777777" w:rsidR="008B532C" w:rsidRPr="00D67126" w:rsidRDefault="008B532C" w:rsidP="00AF5A74">
            <w:pPr>
              <w:rPr>
                <w:rFonts w:asciiTheme="minorHAnsi" w:hAnsiTheme="minorHAnsi" w:cstheme="minorHAnsi"/>
                <w:sz w:val="20"/>
                <w:szCs w:val="20"/>
              </w:rPr>
            </w:pPr>
          </w:p>
        </w:tc>
        <w:tc>
          <w:tcPr>
            <w:tcW w:w="639" w:type="pct"/>
            <w:tcBorders>
              <w:left w:val="nil"/>
              <w:right w:val="nil"/>
            </w:tcBorders>
            <w:shd w:val="clear" w:color="auto" w:fill="F2F2F2" w:themeFill="background1" w:themeFillShade="F2"/>
            <w:tcMar>
              <w:top w:w="15" w:type="dxa"/>
              <w:left w:w="15" w:type="dxa"/>
              <w:bottom w:w="0" w:type="dxa"/>
              <w:right w:w="15" w:type="dxa"/>
            </w:tcMar>
            <w:vAlign w:val="center"/>
            <w:hideMark/>
          </w:tcPr>
          <w:p w14:paraId="0316261A" w14:textId="77777777" w:rsidR="008B532C" w:rsidRPr="006C1098" w:rsidRDefault="008B532C" w:rsidP="00AF5A74">
            <w:pPr>
              <w:jc w:val="right"/>
              <w:textAlignment w:val="bottom"/>
              <w:rPr>
                <w:rFonts w:asciiTheme="minorHAnsi" w:hAnsiTheme="minorHAnsi" w:cstheme="minorHAnsi"/>
                <w:sz w:val="20"/>
                <w:szCs w:val="20"/>
              </w:rPr>
            </w:pPr>
          </w:p>
        </w:tc>
        <w:tc>
          <w:tcPr>
            <w:tcW w:w="915" w:type="pct"/>
            <w:tcBorders>
              <w:left w:val="nil"/>
              <w:right w:val="nil"/>
            </w:tcBorders>
            <w:shd w:val="clear" w:color="auto" w:fill="auto"/>
            <w:tcMar>
              <w:top w:w="15" w:type="dxa"/>
              <w:left w:w="15" w:type="dxa"/>
              <w:bottom w:w="0" w:type="dxa"/>
              <w:right w:w="15" w:type="dxa"/>
            </w:tcMar>
            <w:vAlign w:val="center"/>
            <w:hideMark/>
          </w:tcPr>
          <w:p w14:paraId="03C05FBB" w14:textId="77777777" w:rsidR="008B532C" w:rsidRPr="00D67126" w:rsidRDefault="008B532C" w:rsidP="00AF5A74">
            <w:pPr>
              <w:jc w:val="right"/>
              <w:textAlignment w:val="bottom"/>
              <w:rPr>
                <w:rFonts w:asciiTheme="minorHAnsi" w:hAnsiTheme="minorHAnsi" w:cstheme="minorHAnsi"/>
                <w:sz w:val="20"/>
                <w:szCs w:val="20"/>
              </w:rPr>
            </w:pPr>
          </w:p>
        </w:tc>
        <w:tc>
          <w:tcPr>
            <w:tcW w:w="773" w:type="pct"/>
            <w:tcBorders>
              <w:left w:val="nil"/>
              <w:right w:val="nil"/>
            </w:tcBorders>
            <w:shd w:val="clear" w:color="auto" w:fill="auto"/>
            <w:tcMar>
              <w:top w:w="15" w:type="dxa"/>
              <w:left w:w="15" w:type="dxa"/>
              <w:bottom w:w="0" w:type="dxa"/>
              <w:right w:w="15" w:type="dxa"/>
            </w:tcMar>
            <w:vAlign w:val="center"/>
            <w:hideMark/>
          </w:tcPr>
          <w:p w14:paraId="062549D4" w14:textId="77777777" w:rsidR="008B532C" w:rsidRPr="006C1098" w:rsidRDefault="008B532C" w:rsidP="00AF5A74">
            <w:pPr>
              <w:jc w:val="right"/>
              <w:textAlignment w:val="bottom"/>
              <w:rPr>
                <w:rFonts w:asciiTheme="minorHAnsi" w:hAnsiTheme="minorHAnsi" w:cstheme="minorHAnsi"/>
                <w:sz w:val="20"/>
                <w:szCs w:val="20"/>
              </w:rPr>
            </w:pPr>
          </w:p>
        </w:tc>
      </w:tr>
      <w:tr w:rsidR="00F63478" w:rsidRPr="00D67126" w14:paraId="089C8323" w14:textId="77777777" w:rsidTr="002D58E3">
        <w:trPr>
          <w:trHeight w:val="227"/>
        </w:trPr>
        <w:tc>
          <w:tcPr>
            <w:tcW w:w="2602" w:type="pct"/>
            <w:tcBorders>
              <w:left w:val="nil"/>
              <w:right w:val="nil"/>
            </w:tcBorders>
            <w:shd w:val="clear" w:color="auto" w:fill="auto"/>
            <w:tcMar>
              <w:top w:w="15" w:type="dxa"/>
              <w:left w:w="15" w:type="dxa"/>
              <w:bottom w:w="0" w:type="dxa"/>
              <w:right w:w="15" w:type="dxa"/>
            </w:tcMar>
            <w:vAlign w:val="center"/>
          </w:tcPr>
          <w:p w14:paraId="63465C21" w14:textId="3FD1E1E2" w:rsidR="00F63478" w:rsidRPr="00D67126" w:rsidRDefault="00F63478" w:rsidP="00AF5A74">
            <w:pPr>
              <w:textAlignment w:val="center"/>
              <w:rPr>
                <w:rFonts w:asciiTheme="minorHAnsi" w:hAnsiTheme="minorHAnsi" w:cstheme="minorBidi"/>
                <w:kern w:val="24"/>
                <w:sz w:val="20"/>
                <w:szCs w:val="20"/>
                <w:vertAlign w:val="superscript"/>
                <w:lang w:val="en-US"/>
              </w:rPr>
            </w:pPr>
            <w:r w:rsidRPr="2A194912">
              <w:rPr>
                <w:rFonts w:asciiTheme="minorHAnsi" w:hAnsiTheme="minorHAnsi" w:cstheme="minorBidi"/>
                <w:kern w:val="24"/>
                <w:sz w:val="20"/>
                <w:szCs w:val="20"/>
                <w:lang w:val="en-US"/>
              </w:rPr>
              <w:t>G</w:t>
            </w:r>
            <w:r w:rsidR="00585C7F" w:rsidRPr="2A194912">
              <w:rPr>
                <w:rFonts w:asciiTheme="minorHAnsi" w:hAnsiTheme="minorHAnsi" w:cstheme="minorBidi"/>
                <w:kern w:val="24"/>
                <w:sz w:val="20"/>
                <w:szCs w:val="20"/>
                <w:lang w:val="en-US"/>
              </w:rPr>
              <w:t xml:space="preserve">ross </w:t>
            </w:r>
            <w:r w:rsidR="00391465" w:rsidRPr="2A194912">
              <w:rPr>
                <w:rFonts w:asciiTheme="minorHAnsi" w:hAnsiTheme="minorHAnsi" w:cstheme="minorBidi"/>
                <w:kern w:val="24"/>
                <w:sz w:val="20"/>
                <w:szCs w:val="20"/>
                <w:lang w:val="en-US"/>
              </w:rPr>
              <w:t xml:space="preserve">customer interest earning </w:t>
            </w:r>
            <w:r w:rsidR="6C32B873" w:rsidRPr="2A194912">
              <w:rPr>
                <w:rFonts w:asciiTheme="minorHAnsi" w:hAnsiTheme="minorHAnsi" w:cstheme="minorBidi"/>
                <w:kern w:val="24"/>
                <w:sz w:val="20"/>
                <w:szCs w:val="20"/>
                <w:lang w:val="en-US"/>
              </w:rPr>
              <w:t>balances</w:t>
            </w:r>
            <w:r w:rsidR="67EAA208" w:rsidRPr="2A194912">
              <w:rPr>
                <w:rFonts w:asciiTheme="minorHAnsi" w:hAnsiTheme="minorHAnsi" w:cstheme="minorBidi"/>
                <w:kern w:val="24"/>
                <w:sz w:val="20"/>
                <w:szCs w:val="20"/>
                <w:vertAlign w:val="superscript"/>
                <w:lang w:val="en-US"/>
              </w:rPr>
              <w:t>4</w:t>
            </w:r>
          </w:p>
        </w:tc>
        <w:tc>
          <w:tcPr>
            <w:tcW w:w="71" w:type="pct"/>
            <w:tcBorders>
              <w:left w:val="nil"/>
              <w:right w:val="nil"/>
            </w:tcBorders>
            <w:shd w:val="clear" w:color="auto" w:fill="auto"/>
            <w:tcMar>
              <w:top w:w="15" w:type="dxa"/>
              <w:left w:w="15" w:type="dxa"/>
              <w:bottom w:w="0" w:type="dxa"/>
              <w:right w:w="15" w:type="dxa"/>
            </w:tcMar>
            <w:vAlign w:val="center"/>
          </w:tcPr>
          <w:p w14:paraId="1D49535E" w14:textId="77777777" w:rsidR="00F63478" w:rsidRPr="00D67126" w:rsidRDefault="00F63478" w:rsidP="00AF5A74">
            <w:pPr>
              <w:rPr>
                <w:rFonts w:asciiTheme="minorHAnsi" w:hAnsiTheme="minorHAnsi" w:cstheme="minorHAnsi"/>
                <w:sz w:val="20"/>
                <w:szCs w:val="20"/>
              </w:rPr>
            </w:pPr>
          </w:p>
        </w:tc>
        <w:tc>
          <w:tcPr>
            <w:tcW w:w="639" w:type="pct"/>
            <w:tcBorders>
              <w:left w:val="nil"/>
              <w:right w:val="nil"/>
            </w:tcBorders>
            <w:shd w:val="clear" w:color="auto" w:fill="F2F2F2" w:themeFill="background1" w:themeFillShade="F2"/>
            <w:tcMar>
              <w:top w:w="15" w:type="dxa"/>
              <w:left w:w="15" w:type="dxa"/>
              <w:bottom w:w="0" w:type="dxa"/>
              <w:right w:w="15" w:type="dxa"/>
            </w:tcMar>
            <w:vAlign w:val="center"/>
          </w:tcPr>
          <w:p w14:paraId="210FF233" w14:textId="42FB67FB" w:rsidR="00F63478" w:rsidRPr="006C1098" w:rsidRDefault="00331D28" w:rsidP="00AF5A74">
            <w:pPr>
              <w:jc w:val="right"/>
              <w:textAlignment w:val="bottom"/>
              <w:rPr>
                <w:rFonts w:asciiTheme="minorHAnsi" w:hAnsiTheme="minorHAnsi" w:cstheme="minorHAnsi"/>
                <w:b/>
                <w:color w:val="4747FF"/>
                <w:sz w:val="20"/>
                <w:szCs w:val="20"/>
              </w:rPr>
            </w:pPr>
            <w:r w:rsidRPr="006C1098">
              <w:rPr>
                <w:rFonts w:asciiTheme="minorHAnsi" w:hAnsiTheme="minorHAnsi" w:cstheme="minorHAnsi"/>
                <w:b/>
                <w:sz w:val="20"/>
                <w:szCs w:val="20"/>
              </w:rPr>
              <w:t>2</w:t>
            </w:r>
            <w:r w:rsidR="00C6707F" w:rsidRPr="006C1098">
              <w:rPr>
                <w:rFonts w:asciiTheme="minorHAnsi" w:hAnsiTheme="minorHAnsi" w:cstheme="minorHAnsi"/>
                <w:b/>
                <w:sz w:val="20"/>
                <w:szCs w:val="20"/>
              </w:rPr>
              <w:t>,</w:t>
            </w:r>
            <w:r w:rsidR="00026D47" w:rsidRPr="006C1098">
              <w:rPr>
                <w:rFonts w:asciiTheme="minorHAnsi" w:hAnsiTheme="minorHAnsi" w:cstheme="minorHAnsi"/>
                <w:b/>
                <w:sz w:val="20"/>
                <w:szCs w:val="20"/>
              </w:rPr>
              <w:t>254</w:t>
            </w:r>
            <w:r w:rsidR="00C2594C" w:rsidRPr="006C1098">
              <w:rPr>
                <w:rFonts w:asciiTheme="minorHAnsi" w:hAnsiTheme="minorHAnsi" w:cstheme="minorHAnsi"/>
                <w:b/>
                <w:sz w:val="20"/>
                <w:szCs w:val="20"/>
              </w:rPr>
              <w:t>.</w:t>
            </w:r>
            <w:r w:rsidR="00262417" w:rsidRPr="006C1098">
              <w:rPr>
                <w:rFonts w:asciiTheme="minorHAnsi" w:hAnsiTheme="minorHAnsi" w:cstheme="minorHAnsi"/>
                <w:b/>
                <w:sz w:val="20"/>
                <w:szCs w:val="20"/>
              </w:rPr>
              <w:t>2</w:t>
            </w:r>
          </w:p>
        </w:tc>
        <w:tc>
          <w:tcPr>
            <w:tcW w:w="915" w:type="pct"/>
            <w:tcBorders>
              <w:left w:val="nil"/>
              <w:right w:val="nil"/>
            </w:tcBorders>
            <w:shd w:val="clear" w:color="auto" w:fill="auto"/>
            <w:tcMar>
              <w:top w:w="15" w:type="dxa"/>
              <w:left w:w="15" w:type="dxa"/>
              <w:bottom w:w="0" w:type="dxa"/>
              <w:right w:w="15" w:type="dxa"/>
            </w:tcMar>
            <w:vAlign w:val="center"/>
          </w:tcPr>
          <w:p w14:paraId="7BCB5914" w14:textId="0900025D" w:rsidR="00F63478" w:rsidRPr="006C1098" w:rsidRDefault="00B97644" w:rsidP="00AF5A74">
            <w:pPr>
              <w:jc w:val="right"/>
              <w:textAlignment w:val="bottom"/>
              <w:rPr>
                <w:rFonts w:asciiTheme="minorHAnsi" w:hAnsiTheme="minorHAnsi" w:cstheme="minorHAnsi"/>
                <w:kern w:val="24"/>
                <w:sz w:val="20"/>
                <w:szCs w:val="20"/>
              </w:rPr>
            </w:pPr>
            <w:r w:rsidRPr="006C1098">
              <w:rPr>
                <w:rFonts w:asciiTheme="minorHAnsi" w:hAnsiTheme="minorHAnsi" w:cstheme="minorHAnsi"/>
                <w:kern w:val="24"/>
                <w:sz w:val="20"/>
                <w:szCs w:val="20"/>
              </w:rPr>
              <w:t>2,370.7</w:t>
            </w:r>
          </w:p>
        </w:tc>
        <w:tc>
          <w:tcPr>
            <w:tcW w:w="773" w:type="pct"/>
            <w:tcBorders>
              <w:left w:val="nil"/>
              <w:right w:val="nil"/>
            </w:tcBorders>
            <w:shd w:val="clear" w:color="auto" w:fill="auto"/>
            <w:tcMar>
              <w:top w:w="15" w:type="dxa"/>
              <w:left w:w="15" w:type="dxa"/>
              <w:bottom w:w="0" w:type="dxa"/>
              <w:right w:w="15" w:type="dxa"/>
            </w:tcMar>
            <w:vAlign w:val="center"/>
          </w:tcPr>
          <w:p w14:paraId="43254A34" w14:textId="10039B3F" w:rsidR="00F63478" w:rsidRPr="006C1098" w:rsidRDefault="00005FC1" w:rsidP="00AF5A74">
            <w:pPr>
              <w:jc w:val="right"/>
              <w:textAlignment w:val="bottom"/>
              <w:rPr>
                <w:rFonts w:asciiTheme="minorHAnsi" w:hAnsiTheme="minorHAnsi" w:cstheme="minorHAnsi"/>
                <w:kern w:val="24"/>
                <w:sz w:val="20"/>
                <w:szCs w:val="20"/>
              </w:rPr>
            </w:pPr>
            <w:r w:rsidRPr="006C1098">
              <w:rPr>
                <w:rFonts w:asciiTheme="minorHAnsi" w:hAnsiTheme="minorHAnsi" w:cstheme="minorHAnsi"/>
                <w:kern w:val="24"/>
                <w:sz w:val="20"/>
                <w:szCs w:val="20"/>
              </w:rPr>
              <w:t>(</w:t>
            </w:r>
            <w:r w:rsidR="00B60DB5" w:rsidRPr="006C1098">
              <w:rPr>
                <w:rFonts w:asciiTheme="minorHAnsi" w:hAnsiTheme="minorHAnsi" w:cstheme="minorHAnsi"/>
                <w:kern w:val="24"/>
                <w:sz w:val="20"/>
                <w:szCs w:val="20"/>
              </w:rPr>
              <w:t>4.9</w:t>
            </w:r>
            <w:r w:rsidRPr="006C1098">
              <w:rPr>
                <w:rFonts w:asciiTheme="minorHAnsi" w:hAnsiTheme="minorHAnsi" w:cstheme="minorHAnsi"/>
                <w:kern w:val="24"/>
                <w:sz w:val="20"/>
                <w:szCs w:val="20"/>
              </w:rPr>
              <w:t>)</w:t>
            </w:r>
          </w:p>
        </w:tc>
      </w:tr>
      <w:tr w:rsidR="008B532C" w:rsidRPr="00D95F2F" w14:paraId="056C72F7" w14:textId="77777777" w:rsidTr="002D58E3">
        <w:trPr>
          <w:trHeight w:val="227"/>
        </w:trPr>
        <w:tc>
          <w:tcPr>
            <w:tcW w:w="2602" w:type="pct"/>
            <w:tcBorders>
              <w:left w:val="nil"/>
              <w:right w:val="nil"/>
            </w:tcBorders>
            <w:shd w:val="clear" w:color="auto" w:fill="auto"/>
            <w:tcMar>
              <w:top w:w="15" w:type="dxa"/>
              <w:left w:w="15" w:type="dxa"/>
              <w:bottom w:w="0" w:type="dxa"/>
              <w:right w:w="15" w:type="dxa"/>
            </w:tcMar>
            <w:vAlign w:val="center"/>
          </w:tcPr>
          <w:p w14:paraId="64AFA70E" w14:textId="486B6D89" w:rsidR="008B532C" w:rsidRPr="00D67126" w:rsidRDefault="008B532C" w:rsidP="00AF5A74">
            <w:pPr>
              <w:textAlignment w:val="center"/>
              <w:rPr>
                <w:rFonts w:asciiTheme="minorHAnsi" w:hAnsiTheme="minorHAnsi" w:cstheme="minorBidi"/>
                <w:kern w:val="24"/>
                <w:sz w:val="20"/>
                <w:szCs w:val="20"/>
                <w:vertAlign w:val="superscript"/>
                <w:lang w:val="en-US"/>
              </w:rPr>
            </w:pPr>
            <w:r w:rsidRPr="2A194912">
              <w:rPr>
                <w:rFonts w:asciiTheme="minorHAnsi" w:hAnsiTheme="minorHAnsi" w:cstheme="minorBidi"/>
                <w:kern w:val="24"/>
                <w:sz w:val="20"/>
                <w:szCs w:val="20"/>
                <w:lang w:val="en-US"/>
              </w:rPr>
              <w:t xml:space="preserve">Adjusted </w:t>
            </w:r>
            <w:r w:rsidR="00636EAD">
              <w:rPr>
                <w:rFonts w:asciiTheme="minorHAnsi" w:hAnsiTheme="minorHAnsi" w:cstheme="minorBidi"/>
                <w:kern w:val="24"/>
                <w:sz w:val="20"/>
                <w:szCs w:val="20"/>
                <w:lang w:val="en-US"/>
              </w:rPr>
              <w:t>L</w:t>
            </w:r>
            <w:r w:rsidRPr="2A194912">
              <w:rPr>
                <w:rFonts w:asciiTheme="minorHAnsi" w:hAnsiTheme="minorHAnsi" w:cstheme="minorBidi"/>
                <w:kern w:val="24"/>
                <w:sz w:val="20"/>
                <w:szCs w:val="20"/>
                <w:lang w:val="en-US"/>
              </w:rPr>
              <w:t>PS (p)</w:t>
            </w:r>
            <w:r w:rsidR="057674B6" w:rsidRPr="2A194912">
              <w:rPr>
                <w:rFonts w:asciiTheme="minorHAnsi" w:hAnsiTheme="minorHAnsi" w:cstheme="minorBidi"/>
                <w:kern w:val="24"/>
                <w:sz w:val="20"/>
                <w:szCs w:val="20"/>
                <w:vertAlign w:val="superscript"/>
                <w:lang w:val="en-US"/>
              </w:rPr>
              <w:t>5</w:t>
            </w:r>
          </w:p>
        </w:tc>
        <w:tc>
          <w:tcPr>
            <w:tcW w:w="71" w:type="pct"/>
            <w:tcBorders>
              <w:left w:val="nil"/>
              <w:right w:val="nil"/>
            </w:tcBorders>
            <w:shd w:val="clear" w:color="auto" w:fill="auto"/>
            <w:tcMar>
              <w:top w:w="15" w:type="dxa"/>
              <w:left w:w="15" w:type="dxa"/>
              <w:bottom w:w="0" w:type="dxa"/>
              <w:right w:w="15" w:type="dxa"/>
            </w:tcMar>
            <w:vAlign w:val="center"/>
          </w:tcPr>
          <w:p w14:paraId="41A8B527" w14:textId="77777777" w:rsidR="008B532C" w:rsidRPr="00D67126" w:rsidRDefault="008B532C" w:rsidP="00AF5A74">
            <w:pPr>
              <w:rPr>
                <w:rFonts w:asciiTheme="minorHAnsi" w:hAnsiTheme="minorHAnsi" w:cstheme="minorHAnsi"/>
                <w:sz w:val="20"/>
                <w:szCs w:val="20"/>
              </w:rPr>
            </w:pPr>
          </w:p>
        </w:tc>
        <w:tc>
          <w:tcPr>
            <w:tcW w:w="639" w:type="pct"/>
            <w:tcBorders>
              <w:left w:val="nil"/>
              <w:right w:val="nil"/>
            </w:tcBorders>
            <w:shd w:val="clear" w:color="auto" w:fill="F2F2F2" w:themeFill="background1" w:themeFillShade="F2"/>
            <w:tcMar>
              <w:top w:w="15" w:type="dxa"/>
              <w:left w:w="15" w:type="dxa"/>
              <w:bottom w:w="0" w:type="dxa"/>
              <w:right w:w="15" w:type="dxa"/>
            </w:tcMar>
            <w:vAlign w:val="center"/>
          </w:tcPr>
          <w:p w14:paraId="003A76AF" w14:textId="4B851C09" w:rsidR="008B532C" w:rsidRPr="006C1098" w:rsidRDefault="00BC64C9" w:rsidP="00AF5A74">
            <w:pPr>
              <w:jc w:val="right"/>
              <w:textAlignment w:val="bottom"/>
              <w:rPr>
                <w:rFonts w:asciiTheme="minorHAnsi" w:hAnsiTheme="minorHAnsi" w:cstheme="minorBidi"/>
                <w:b/>
                <w:kern w:val="24"/>
                <w:sz w:val="20"/>
                <w:szCs w:val="20"/>
              </w:rPr>
            </w:pPr>
            <w:r w:rsidRPr="006C1098">
              <w:rPr>
                <w:rFonts w:asciiTheme="minorHAnsi" w:hAnsiTheme="minorHAnsi" w:cstheme="minorBidi"/>
                <w:b/>
                <w:kern w:val="24"/>
                <w:sz w:val="20"/>
                <w:szCs w:val="20"/>
              </w:rPr>
              <w:t>(8.3)</w:t>
            </w:r>
          </w:p>
        </w:tc>
        <w:tc>
          <w:tcPr>
            <w:tcW w:w="915" w:type="pct"/>
            <w:tcBorders>
              <w:left w:val="nil"/>
              <w:right w:val="nil"/>
            </w:tcBorders>
            <w:shd w:val="clear" w:color="auto" w:fill="auto"/>
            <w:tcMar>
              <w:top w:w="15" w:type="dxa"/>
              <w:left w:w="15" w:type="dxa"/>
              <w:bottom w:w="0" w:type="dxa"/>
              <w:right w:w="15" w:type="dxa"/>
            </w:tcMar>
            <w:vAlign w:val="center"/>
          </w:tcPr>
          <w:p w14:paraId="5DE7BF0F" w14:textId="16101605" w:rsidR="008B532C" w:rsidRPr="006C1098" w:rsidRDefault="00362E4C" w:rsidP="00AF5A74">
            <w:pPr>
              <w:jc w:val="right"/>
              <w:textAlignment w:val="bottom"/>
              <w:rPr>
                <w:rFonts w:asciiTheme="minorHAnsi" w:hAnsiTheme="minorHAnsi" w:cstheme="minorHAnsi"/>
                <w:kern w:val="24"/>
                <w:sz w:val="20"/>
                <w:szCs w:val="20"/>
              </w:rPr>
            </w:pPr>
            <w:r w:rsidRPr="006C1098">
              <w:rPr>
                <w:rFonts w:asciiTheme="minorHAnsi" w:hAnsiTheme="minorHAnsi" w:cstheme="minorHAnsi"/>
                <w:kern w:val="24"/>
                <w:sz w:val="20"/>
                <w:szCs w:val="20"/>
              </w:rPr>
              <w:t>(</w:t>
            </w:r>
            <w:r w:rsidR="0020028E">
              <w:rPr>
                <w:rFonts w:asciiTheme="minorHAnsi" w:hAnsiTheme="minorHAnsi" w:cstheme="minorHAnsi"/>
                <w:kern w:val="24"/>
                <w:sz w:val="20"/>
                <w:szCs w:val="20"/>
              </w:rPr>
              <w:t>3</w:t>
            </w:r>
            <w:r w:rsidR="004D1D70" w:rsidRPr="006C1098">
              <w:rPr>
                <w:rFonts w:asciiTheme="minorHAnsi" w:hAnsiTheme="minorHAnsi" w:cstheme="minorHAnsi"/>
                <w:kern w:val="24"/>
                <w:sz w:val="20"/>
                <w:szCs w:val="20"/>
              </w:rPr>
              <w:t>.6</w:t>
            </w:r>
            <w:r w:rsidRPr="006C1098">
              <w:rPr>
                <w:rFonts w:asciiTheme="minorHAnsi" w:hAnsiTheme="minorHAnsi" w:cstheme="minorHAnsi"/>
                <w:kern w:val="24"/>
                <w:sz w:val="20"/>
                <w:szCs w:val="20"/>
              </w:rPr>
              <w:t>)</w:t>
            </w:r>
          </w:p>
        </w:tc>
        <w:tc>
          <w:tcPr>
            <w:tcW w:w="773" w:type="pct"/>
            <w:tcBorders>
              <w:left w:val="nil"/>
              <w:right w:val="nil"/>
            </w:tcBorders>
            <w:shd w:val="clear" w:color="auto" w:fill="auto"/>
            <w:tcMar>
              <w:top w:w="15" w:type="dxa"/>
              <w:left w:w="15" w:type="dxa"/>
              <w:bottom w:w="0" w:type="dxa"/>
              <w:right w:w="15" w:type="dxa"/>
            </w:tcMar>
            <w:vAlign w:val="center"/>
          </w:tcPr>
          <w:p w14:paraId="1E999817" w14:textId="4DF465AA" w:rsidR="008B532C" w:rsidRPr="006C1098" w:rsidRDefault="008B532C" w:rsidP="00AF5A74">
            <w:pPr>
              <w:jc w:val="right"/>
              <w:textAlignment w:val="bottom"/>
              <w:rPr>
                <w:rFonts w:asciiTheme="minorHAnsi" w:hAnsiTheme="minorHAnsi" w:cstheme="minorHAnsi"/>
                <w:kern w:val="24"/>
                <w:sz w:val="20"/>
                <w:szCs w:val="20"/>
              </w:rPr>
            </w:pPr>
            <w:r w:rsidRPr="006C1098">
              <w:rPr>
                <w:rFonts w:asciiTheme="minorHAnsi" w:hAnsiTheme="minorHAnsi" w:cstheme="minorHAnsi"/>
                <w:kern w:val="24"/>
                <w:sz w:val="20"/>
                <w:szCs w:val="20"/>
              </w:rPr>
              <w:t>(</w:t>
            </w:r>
            <w:r w:rsidR="00DB39E0">
              <w:rPr>
                <w:rFonts w:asciiTheme="minorHAnsi" w:hAnsiTheme="minorHAnsi" w:cstheme="minorHAnsi"/>
                <w:kern w:val="24"/>
                <w:sz w:val="20"/>
                <w:szCs w:val="20"/>
              </w:rPr>
              <w:t>130</w:t>
            </w:r>
            <w:r w:rsidR="00CD5B8E" w:rsidRPr="006C1098">
              <w:rPr>
                <w:rFonts w:asciiTheme="minorHAnsi" w:hAnsiTheme="minorHAnsi" w:cstheme="minorHAnsi"/>
                <w:kern w:val="24"/>
                <w:sz w:val="20"/>
                <w:szCs w:val="20"/>
              </w:rPr>
              <w:t>.6</w:t>
            </w:r>
            <w:r w:rsidRPr="006C1098">
              <w:rPr>
                <w:rFonts w:asciiTheme="minorHAnsi" w:hAnsiTheme="minorHAnsi" w:cstheme="minorHAnsi"/>
                <w:kern w:val="24"/>
                <w:sz w:val="20"/>
                <w:szCs w:val="20"/>
              </w:rPr>
              <w:t>)</w:t>
            </w:r>
          </w:p>
        </w:tc>
      </w:tr>
      <w:tr w:rsidR="008B532C" w:rsidRPr="00D67126" w14:paraId="5029ED9A" w14:textId="77777777" w:rsidTr="002D58E3">
        <w:trPr>
          <w:trHeight w:val="227"/>
        </w:trPr>
        <w:tc>
          <w:tcPr>
            <w:tcW w:w="2602" w:type="pct"/>
            <w:tcBorders>
              <w:left w:val="nil"/>
              <w:right w:val="nil"/>
            </w:tcBorders>
            <w:shd w:val="clear" w:color="auto" w:fill="auto"/>
            <w:tcMar>
              <w:top w:w="15" w:type="dxa"/>
              <w:left w:w="15" w:type="dxa"/>
              <w:bottom w:w="0" w:type="dxa"/>
              <w:right w:w="15" w:type="dxa"/>
            </w:tcMar>
            <w:vAlign w:val="center"/>
          </w:tcPr>
          <w:p w14:paraId="2C832195" w14:textId="26E201FA" w:rsidR="008B532C" w:rsidRPr="00D67126" w:rsidRDefault="008B532C" w:rsidP="00AF5A74">
            <w:pPr>
              <w:textAlignment w:val="center"/>
              <w:rPr>
                <w:rFonts w:asciiTheme="minorHAnsi" w:hAnsiTheme="minorHAnsi" w:cstheme="minorBidi"/>
                <w:kern w:val="24"/>
                <w:sz w:val="20"/>
                <w:szCs w:val="20"/>
                <w:vertAlign w:val="superscript"/>
                <w:lang w:val="en-US"/>
              </w:rPr>
            </w:pPr>
            <w:r w:rsidRPr="2A194912">
              <w:rPr>
                <w:rFonts w:asciiTheme="minorHAnsi" w:hAnsiTheme="minorHAnsi" w:cstheme="minorBidi"/>
                <w:kern w:val="24"/>
                <w:sz w:val="20"/>
                <w:szCs w:val="20"/>
                <w:lang w:val="en-US"/>
              </w:rPr>
              <w:t>Basic LPS (p)</w:t>
            </w:r>
            <w:r w:rsidR="3019B073" w:rsidRPr="2A194912">
              <w:rPr>
                <w:rFonts w:asciiTheme="minorHAnsi" w:hAnsiTheme="minorHAnsi" w:cstheme="minorBidi"/>
                <w:kern w:val="24"/>
                <w:sz w:val="20"/>
                <w:szCs w:val="20"/>
                <w:vertAlign w:val="superscript"/>
                <w:lang w:val="en-US"/>
              </w:rPr>
              <w:t>6</w:t>
            </w:r>
          </w:p>
        </w:tc>
        <w:tc>
          <w:tcPr>
            <w:tcW w:w="71" w:type="pct"/>
            <w:tcBorders>
              <w:left w:val="nil"/>
              <w:right w:val="nil"/>
            </w:tcBorders>
            <w:shd w:val="clear" w:color="auto" w:fill="auto"/>
            <w:tcMar>
              <w:top w:w="15" w:type="dxa"/>
              <w:left w:w="15" w:type="dxa"/>
              <w:bottom w:w="0" w:type="dxa"/>
              <w:right w:w="15" w:type="dxa"/>
            </w:tcMar>
            <w:vAlign w:val="center"/>
          </w:tcPr>
          <w:p w14:paraId="3DAC1F48" w14:textId="77777777" w:rsidR="008B532C" w:rsidRPr="00D67126" w:rsidRDefault="008B532C" w:rsidP="00AF5A74">
            <w:pPr>
              <w:rPr>
                <w:rFonts w:asciiTheme="minorHAnsi" w:hAnsiTheme="minorHAnsi" w:cstheme="minorHAnsi"/>
                <w:sz w:val="20"/>
                <w:szCs w:val="20"/>
              </w:rPr>
            </w:pPr>
          </w:p>
        </w:tc>
        <w:tc>
          <w:tcPr>
            <w:tcW w:w="639" w:type="pct"/>
            <w:tcBorders>
              <w:left w:val="nil"/>
              <w:right w:val="nil"/>
            </w:tcBorders>
            <w:shd w:val="clear" w:color="auto" w:fill="F2F2F2" w:themeFill="background1" w:themeFillShade="F2"/>
            <w:tcMar>
              <w:top w:w="15" w:type="dxa"/>
              <w:left w:w="15" w:type="dxa"/>
              <w:bottom w:w="0" w:type="dxa"/>
              <w:right w:w="15" w:type="dxa"/>
            </w:tcMar>
            <w:vAlign w:val="center"/>
          </w:tcPr>
          <w:p w14:paraId="0F38D1F2" w14:textId="58AEDF67" w:rsidR="008B532C" w:rsidRPr="006C1098" w:rsidRDefault="008B532C" w:rsidP="00AF5A74">
            <w:pPr>
              <w:jc w:val="right"/>
              <w:textAlignment w:val="bottom"/>
              <w:rPr>
                <w:rFonts w:asciiTheme="minorHAnsi" w:hAnsiTheme="minorHAnsi" w:cstheme="minorHAnsi"/>
                <w:b/>
                <w:kern w:val="24"/>
                <w:sz w:val="20"/>
                <w:szCs w:val="20"/>
              </w:rPr>
            </w:pPr>
            <w:r w:rsidRPr="006C1098">
              <w:rPr>
                <w:rFonts w:asciiTheme="minorHAnsi" w:hAnsiTheme="minorHAnsi" w:cstheme="minorHAnsi"/>
                <w:b/>
                <w:kern w:val="24"/>
                <w:sz w:val="20"/>
                <w:szCs w:val="20"/>
              </w:rPr>
              <w:t>(</w:t>
            </w:r>
            <w:r w:rsidR="00BC64C9" w:rsidRPr="006C1098">
              <w:rPr>
                <w:rFonts w:asciiTheme="minorHAnsi" w:hAnsiTheme="minorHAnsi" w:cstheme="minorHAnsi"/>
                <w:b/>
                <w:kern w:val="24"/>
                <w:sz w:val="20"/>
                <w:szCs w:val="20"/>
              </w:rPr>
              <w:t>14.1</w:t>
            </w:r>
            <w:r w:rsidRPr="006C1098">
              <w:rPr>
                <w:rFonts w:asciiTheme="minorHAnsi" w:hAnsiTheme="minorHAnsi" w:cstheme="minorHAnsi"/>
                <w:b/>
                <w:kern w:val="24"/>
                <w:sz w:val="20"/>
                <w:szCs w:val="20"/>
              </w:rPr>
              <w:t>)</w:t>
            </w:r>
          </w:p>
        </w:tc>
        <w:tc>
          <w:tcPr>
            <w:tcW w:w="915" w:type="pct"/>
            <w:tcBorders>
              <w:left w:val="nil"/>
              <w:right w:val="nil"/>
            </w:tcBorders>
            <w:shd w:val="clear" w:color="auto" w:fill="auto"/>
            <w:tcMar>
              <w:top w:w="15" w:type="dxa"/>
              <w:left w:w="15" w:type="dxa"/>
              <w:bottom w:w="0" w:type="dxa"/>
              <w:right w:w="15" w:type="dxa"/>
            </w:tcMar>
          </w:tcPr>
          <w:p w14:paraId="11DADAA7" w14:textId="61A4E2F8" w:rsidR="008B532C" w:rsidRPr="006C1098" w:rsidRDefault="00E707E7" w:rsidP="00AF5A74">
            <w:pPr>
              <w:jc w:val="right"/>
              <w:textAlignment w:val="bottom"/>
              <w:rPr>
                <w:rFonts w:asciiTheme="minorHAnsi" w:hAnsiTheme="minorHAnsi" w:cstheme="minorHAnsi"/>
                <w:kern w:val="24"/>
                <w:sz w:val="20"/>
                <w:szCs w:val="20"/>
              </w:rPr>
            </w:pPr>
            <w:r w:rsidRPr="006C1098">
              <w:rPr>
                <w:rFonts w:asciiTheme="minorHAnsi" w:hAnsiTheme="minorHAnsi" w:cstheme="minorHAnsi"/>
                <w:kern w:val="24"/>
                <w:sz w:val="20"/>
                <w:szCs w:val="20"/>
              </w:rPr>
              <w:t>(</w:t>
            </w:r>
            <w:r w:rsidR="0020028E">
              <w:rPr>
                <w:rFonts w:asciiTheme="minorHAnsi" w:hAnsiTheme="minorHAnsi" w:cstheme="minorHAnsi"/>
                <w:kern w:val="24"/>
                <w:sz w:val="20"/>
                <w:szCs w:val="20"/>
              </w:rPr>
              <w:t>6.</w:t>
            </w:r>
            <w:r w:rsidR="00320E9A">
              <w:rPr>
                <w:rFonts w:asciiTheme="minorHAnsi" w:hAnsiTheme="minorHAnsi" w:cstheme="minorHAnsi"/>
                <w:kern w:val="24"/>
                <w:sz w:val="20"/>
                <w:szCs w:val="20"/>
              </w:rPr>
              <w:t>3</w:t>
            </w:r>
            <w:r w:rsidRPr="006C1098">
              <w:rPr>
                <w:rFonts w:asciiTheme="minorHAnsi" w:hAnsiTheme="minorHAnsi" w:cstheme="minorHAnsi"/>
                <w:kern w:val="24"/>
                <w:sz w:val="20"/>
                <w:szCs w:val="20"/>
              </w:rPr>
              <w:t>)</w:t>
            </w:r>
          </w:p>
        </w:tc>
        <w:tc>
          <w:tcPr>
            <w:tcW w:w="773" w:type="pct"/>
            <w:tcBorders>
              <w:left w:val="nil"/>
              <w:right w:val="nil"/>
            </w:tcBorders>
            <w:shd w:val="clear" w:color="auto" w:fill="auto"/>
            <w:tcMar>
              <w:top w:w="15" w:type="dxa"/>
              <w:left w:w="15" w:type="dxa"/>
              <w:bottom w:w="0" w:type="dxa"/>
              <w:right w:w="15" w:type="dxa"/>
            </w:tcMar>
            <w:vAlign w:val="center"/>
          </w:tcPr>
          <w:p w14:paraId="1402F2D1" w14:textId="177E7CBB" w:rsidR="008B532C" w:rsidRPr="006C1098" w:rsidRDefault="008B532C" w:rsidP="00AF5A74">
            <w:pPr>
              <w:jc w:val="right"/>
              <w:textAlignment w:val="bottom"/>
              <w:rPr>
                <w:rFonts w:asciiTheme="minorHAnsi" w:hAnsiTheme="minorHAnsi" w:cstheme="minorHAnsi"/>
                <w:kern w:val="24"/>
                <w:sz w:val="20"/>
                <w:szCs w:val="20"/>
              </w:rPr>
            </w:pPr>
            <w:r w:rsidRPr="006C1098">
              <w:rPr>
                <w:rFonts w:asciiTheme="minorHAnsi" w:hAnsiTheme="minorHAnsi" w:cstheme="minorHAnsi"/>
                <w:kern w:val="24"/>
                <w:sz w:val="20"/>
                <w:szCs w:val="20"/>
              </w:rPr>
              <w:t>(</w:t>
            </w:r>
            <w:r w:rsidR="00DB39E0">
              <w:rPr>
                <w:rFonts w:asciiTheme="minorHAnsi" w:hAnsiTheme="minorHAnsi" w:cstheme="minorHAnsi"/>
                <w:kern w:val="24"/>
                <w:sz w:val="20"/>
                <w:szCs w:val="20"/>
              </w:rPr>
              <w:t>123</w:t>
            </w:r>
            <w:r w:rsidR="00320E9A">
              <w:rPr>
                <w:rFonts w:asciiTheme="minorHAnsi" w:hAnsiTheme="minorHAnsi" w:cstheme="minorHAnsi"/>
                <w:kern w:val="24"/>
                <w:sz w:val="20"/>
                <w:szCs w:val="20"/>
              </w:rPr>
              <w:t>.8</w:t>
            </w:r>
            <w:r w:rsidRPr="006C1098">
              <w:rPr>
                <w:rFonts w:asciiTheme="minorHAnsi" w:hAnsiTheme="minorHAnsi" w:cstheme="minorHAnsi"/>
                <w:kern w:val="24"/>
                <w:sz w:val="20"/>
                <w:szCs w:val="20"/>
              </w:rPr>
              <w:t>)</w:t>
            </w:r>
          </w:p>
        </w:tc>
      </w:tr>
      <w:tr w:rsidR="008B532C" w:rsidRPr="00D67126" w14:paraId="09AA67AF" w14:textId="77777777" w:rsidTr="3441915A">
        <w:trPr>
          <w:trHeight w:val="227"/>
        </w:trPr>
        <w:tc>
          <w:tcPr>
            <w:tcW w:w="2602" w:type="pct"/>
            <w:shd w:val="clear" w:color="auto" w:fill="auto"/>
            <w:tcMar>
              <w:top w:w="15" w:type="dxa"/>
              <w:left w:w="15" w:type="dxa"/>
              <w:bottom w:w="0" w:type="dxa"/>
              <w:right w:w="15" w:type="dxa"/>
            </w:tcMar>
            <w:vAlign w:val="center"/>
          </w:tcPr>
          <w:p w14:paraId="0AF0C53E" w14:textId="77777777" w:rsidR="008B532C" w:rsidRPr="00D67126" w:rsidRDefault="008B532C" w:rsidP="00AF5A74">
            <w:pPr>
              <w:textAlignment w:val="center"/>
              <w:rPr>
                <w:rFonts w:asciiTheme="minorHAnsi" w:hAnsiTheme="minorHAnsi" w:cstheme="minorHAnsi"/>
                <w:b/>
                <w:kern w:val="24"/>
                <w:sz w:val="20"/>
                <w:szCs w:val="20"/>
                <w:lang w:val="en-US"/>
              </w:rPr>
            </w:pPr>
            <w:r w:rsidRPr="00D67126">
              <w:rPr>
                <w:rFonts w:asciiTheme="minorHAnsi" w:hAnsiTheme="minorHAnsi" w:cstheme="minorHAnsi"/>
                <w:kern w:val="24"/>
                <w:sz w:val="20"/>
                <w:szCs w:val="20"/>
                <w:lang w:val="en-US"/>
              </w:rPr>
              <w:t>Net interest margin</w:t>
            </w:r>
            <w:r w:rsidRPr="00D67126">
              <w:rPr>
                <w:rFonts w:asciiTheme="minorHAnsi" w:hAnsiTheme="minorHAnsi" w:cstheme="minorHAnsi"/>
                <w:kern w:val="24"/>
                <w:sz w:val="20"/>
                <w:szCs w:val="20"/>
                <w:vertAlign w:val="superscript"/>
                <w:lang w:val="en-US"/>
              </w:rPr>
              <w:t xml:space="preserve">7 </w:t>
            </w:r>
          </w:p>
        </w:tc>
        <w:tc>
          <w:tcPr>
            <w:tcW w:w="71" w:type="pct"/>
            <w:shd w:val="clear" w:color="auto" w:fill="auto"/>
            <w:tcMar>
              <w:top w:w="15" w:type="dxa"/>
              <w:left w:w="15" w:type="dxa"/>
              <w:bottom w:w="0" w:type="dxa"/>
              <w:right w:w="15" w:type="dxa"/>
            </w:tcMar>
            <w:vAlign w:val="center"/>
          </w:tcPr>
          <w:p w14:paraId="51CB9A2A" w14:textId="77777777" w:rsidR="008B532C" w:rsidRPr="00D67126" w:rsidRDefault="008B532C" w:rsidP="00AF5A74">
            <w:pPr>
              <w:rPr>
                <w:rFonts w:asciiTheme="minorHAnsi" w:hAnsiTheme="minorHAnsi" w:cstheme="minorHAnsi"/>
                <w:sz w:val="20"/>
                <w:szCs w:val="20"/>
              </w:rPr>
            </w:pPr>
          </w:p>
        </w:tc>
        <w:tc>
          <w:tcPr>
            <w:tcW w:w="639" w:type="pct"/>
            <w:shd w:val="clear" w:color="auto" w:fill="F2F2F2" w:themeFill="background1" w:themeFillShade="F2"/>
            <w:tcMar>
              <w:top w:w="15" w:type="dxa"/>
              <w:left w:w="15" w:type="dxa"/>
              <w:bottom w:w="0" w:type="dxa"/>
              <w:right w:w="15" w:type="dxa"/>
            </w:tcMar>
            <w:vAlign w:val="center"/>
          </w:tcPr>
          <w:p w14:paraId="0AE61168" w14:textId="17AD95B8" w:rsidR="008B532C" w:rsidRPr="006C1098" w:rsidRDefault="00A54493" w:rsidP="00AF5A74">
            <w:pPr>
              <w:jc w:val="right"/>
              <w:textAlignment w:val="bottom"/>
              <w:rPr>
                <w:rFonts w:asciiTheme="minorHAnsi" w:hAnsiTheme="minorHAnsi" w:cstheme="minorHAnsi"/>
                <w:b/>
                <w:kern w:val="24"/>
                <w:sz w:val="20"/>
                <w:szCs w:val="20"/>
              </w:rPr>
            </w:pPr>
            <w:r w:rsidRPr="006C1098">
              <w:rPr>
                <w:rFonts w:asciiTheme="minorHAnsi" w:hAnsiTheme="minorHAnsi" w:cstheme="minorHAnsi"/>
                <w:b/>
                <w:kern w:val="24"/>
                <w:sz w:val="20"/>
                <w:szCs w:val="20"/>
              </w:rPr>
              <w:t>18.</w:t>
            </w:r>
            <w:r w:rsidR="00180AE6" w:rsidRPr="006C1098">
              <w:rPr>
                <w:rFonts w:asciiTheme="minorHAnsi" w:hAnsiTheme="minorHAnsi" w:cstheme="minorHAnsi"/>
                <w:b/>
                <w:kern w:val="24"/>
                <w:sz w:val="20"/>
                <w:szCs w:val="20"/>
              </w:rPr>
              <w:t>8</w:t>
            </w:r>
            <w:r w:rsidR="008B532C" w:rsidRPr="006C1098">
              <w:rPr>
                <w:rFonts w:asciiTheme="minorHAnsi" w:hAnsiTheme="minorHAnsi" w:cstheme="minorHAnsi"/>
                <w:b/>
                <w:kern w:val="24"/>
                <w:sz w:val="20"/>
                <w:szCs w:val="20"/>
              </w:rPr>
              <w:t>%</w:t>
            </w:r>
          </w:p>
        </w:tc>
        <w:tc>
          <w:tcPr>
            <w:tcW w:w="915" w:type="pct"/>
            <w:shd w:val="clear" w:color="auto" w:fill="auto"/>
            <w:tcMar>
              <w:top w:w="15" w:type="dxa"/>
              <w:left w:w="15" w:type="dxa"/>
              <w:bottom w:w="0" w:type="dxa"/>
              <w:right w:w="15" w:type="dxa"/>
            </w:tcMar>
            <w:vAlign w:val="center"/>
          </w:tcPr>
          <w:p w14:paraId="37367595" w14:textId="193F9BFF" w:rsidR="008B532C" w:rsidRPr="006C1098" w:rsidRDefault="00647124" w:rsidP="00AF5A74">
            <w:pPr>
              <w:jc w:val="right"/>
              <w:textAlignment w:val="bottom"/>
              <w:rPr>
                <w:rFonts w:asciiTheme="minorHAnsi" w:hAnsiTheme="minorHAnsi" w:cstheme="minorHAnsi"/>
                <w:kern w:val="24"/>
                <w:sz w:val="20"/>
                <w:szCs w:val="20"/>
              </w:rPr>
            </w:pPr>
            <w:r w:rsidRPr="006C1098">
              <w:rPr>
                <w:rFonts w:asciiTheme="minorHAnsi" w:hAnsiTheme="minorHAnsi" w:cstheme="minorHAnsi"/>
                <w:kern w:val="24"/>
                <w:sz w:val="20"/>
                <w:szCs w:val="20"/>
              </w:rPr>
              <w:t>1</w:t>
            </w:r>
            <w:r w:rsidR="00B215A0" w:rsidRPr="006C1098">
              <w:rPr>
                <w:rFonts w:asciiTheme="minorHAnsi" w:hAnsiTheme="minorHAnsi" w:cstheme="minorHAnsi"/>
                <w:kern w:val="24"/>
                <w:sz w:val="20"/>
                <w:szCs w:val="20"/>
              </w:rPr>
              <w:t>8.7</w:t>
            </w:r>
            <w:r w:rsidR="008B532C" w:rsidRPr="006C1098">
              <w:rPr>
                <w:rFonts w:asciiTheme="minorHAnsi" w:hAnsiTheme="minorHAnsi" w:cstheme="minorHAnsi"/>
                <w:kern w:val="24"/>
                <w:sz w:val="20"/>
                <w:szCs w:val="20"/>
              </w:rPr>
              <w:t>%</w:t>
            </w:r>
          </w:p>
        </w:tc>
        <w:tc>
          <w:tcPr>
            <w:tcW w:w="773" w:type="pct"/>
            <w:tcBorders>
              <w:left w:val="nil"/>
            </w:tcBorders>
            <w:shd w:val="clear" w:color="auto" w:fill="auto"/>
            <w:tcMar>
              <w:top w:w="15" w:type="dxa"/>
              <w:left w:w="15" w:type="dxa"/>
              <w:bottom w:w="0" w:type="dxa"/>
              <w:right w:w="15" w:type="dxa"/>
            </w:tcMar>
            <w:vAlign w:val="center"/>
          </w:tcPr>
          <w:p w14:paraId="3F49B4D0" w14:textId="79EE96E2" w:rsidR="008B532C" w:rsidRPr="006C1098" w:rsidRDefault="00406410" w:rsidP="00AF5A74">
            <w:pPr>
              <w:jc w:val="right"/>
              <w:textAlignment w:val="bottom"/>
              <w:rPr>
                <w:rFonts w:asciiTheme="minorHAnsi" w:hAnsiTheme="minorHAnsi" w:cstheme="minorHAnsi"/>
                <w:kern w:val="24"/>
                <w:sz w:val="20"/>
                <w:szCs w:val="20"/>
              </w:rPr>
            </w:pPr>
            <w:r w:rsidRPr="006C1098">
              <w:rPr>
                <w:rFonts w:asciiTheme="minorHAnsi" w:hAnsiTheme="minorHAnsi" w:cstheme="minorHAnsi"/>
                <w:kern w:val="24"/>
                <w:sz w:val="20"/>
                <w:szCs w:val="20"/>
              </w:rPr>
              <w:t>0.</w:t>
            </w:r>
            <w:r w:rsidR="000C4FA4" w:rsidRPr="006C1098">
              <w:rPr>
                <w:rFonts w:asciiTheme="minorHAnsi" w:hAnsiTheme="minorHAnsi" w:cstheme="minorHAnsi"/>
                <w:kern w:val="24"/>
                <w:sz w:val="20"/>
                <w:szCs w:val="20"/>
              </w:rPr>
              <w:t>1</w:t>
            </w:r>
          </w:p>
        </w:tc>
      </w:tr>
      <w:tr w:rsidR="008B532C" w:rsidRPr="00D67126" w14:paraId="490729A4" w14:textId="77777777" w:rsidTr="3441915A">
        <w:trPr>
          <w:trHeight w:val="227"/>
        </w:trPr>
        <w:tc>
          <w:tcPr>
            <w:tcW w:w="2602" w:type="pct"/>
            <w:shd w:val="clear" w:color="auto" w:fill="auto"/>
            <w:tcMar>
              <w:top w:w="15" w:type="dxa"/>
              <w:left w:w="15" w:type="dxa"/>
              <w:bottom w:w="0" w:type="dxa"/>
              <w:right w:w="15" w:type="dxa"/>
            </w:tcMar>
            <w:vAlign w:val="center"/>
          </w:tcPr>
          <w:p w14:paraId="69584910" w14:textId="77777777" w:rsidR="008B532C" w:rsidRPr="00D67126" w:rsidRDefault="008B532C" w:rsidP="00AF5A74">
            <w:pPr>
              <w:textAlignment w:val="center"/>
              <w:rPr>
                <w:rFonts w:asciiTheme="minorHAnsi" w:hAnsiTheme="minorHAnsi" w:cstheme="minorHAnsi"/>
                <w:b/>
                <w:kern w:val="24"/>
                <w:sz w:val="20"/>
                <w:szCs w:val="20"/>
                <w:lang w:val="en-US"/>
              </w:rPr>
            </w:pPr>
            <w:r w:rsidRPr="00D67126">
              <w:rPr>
                <w:rFonts w:asciiTheme="minorHAnsi" w:hAnsiTheme="minorHAnsi" w:cstheme="minorHAnsi"/>
                <w:kern w:val="24"/>
                <w:sz w:val="20"/>
                <w:szCs w:val="20"/>
                <w:lang w:val="en-US"/>
              </w:rPr>
              <w:t>Risk-adjusted margin</w:t>
            </w:r>
            <w:r w:rsidRPr="00D67126">
              <w:rPr>
                <w:rFonts w:asciiTheme="minorHAnsi" w:hAnsiTheme="minorHAnsi" w:cstheme="minorHAnsi"/>
                <w:kern w:val="24"/>
                <w:sz w:val="20"/>
                <w:szCs w:val="20"/>
                <w:vertAlign w:val="superscript"/>
                <w:lang w:val="en-US"/>
              </w:rPr>
              <w:t xml:space="preserve">8 </w:t>
            </w:r>
          </w:p>
        </w:tc>
        <w:tc>
          <w:tcPr>
            <w:tcW w:w="71" w:type="pct"/>
            <w:shd w:val="clear" w:color="auto" w:fill="auto"/>
            <w:tcMar>
              <w:top w:w="15" w:type="dxa"/>
              <w:left w:w="15" w:type="dxa"/>
              <w:bottom w:w="0" w:type="dxa"/>
              <w:right w:w="15" w:type="dxa"/>
            </w:tcMar>
            <w:vAlign w:val="center"/>
          </w:tcPr>
          <w:p w14:paraId="7AF7D642" w14:textId="77777777" w:rsidR="008B532C" w:rsidRPr="00D67126" w:rsidRDefault="008B532C" w:rsidP="00AF5A74">
            <w:pPr>
              <w:rPr>
                <w:rFonts w:asciiTheme="minorHAnsi" w:hAnsiTheme="minorHAnsi" w:cstheme="minorHAnsi"/>
                <w:sz w:val="20"/>
                <w:szCs w:val="20"/>
              </w:rPr>
            </w:pPr>
          </w:p>
        </w:tc>
        <w:tc>
          <w:tcPr>
            <w:tcW w:w="639" w:type="pct"/>
            <w:shd w:val="clear" w:color="auto" w:fill="F2F2F2" w:themeFill="background1" w:themeFillShade="F2"/>
            <w:tcMar>
              <w:top w:w="15" w:type="dxa"/>
              <w:left w:w="15" w:type="dxa"/>
              <w:bottom w:w="0" w:type="dxa"/>
              <w:right w:w="15" w:type="dxa"/>
            </w:tcMar>
            <w:vAlign w:val="center"/>
          </w:tcPr>
          <w:p w14:paraId="10E38DF4" w14:textId="688A3CE3" w:rsidR="008B532C" w:rsidRPr="006C1098" w:rsidRDefault="003E166D" w:rsidP="00AF5A74">
            <w:pPr>
              <w:jc w:val="right"/>
              <w:textAlignment w:val="bottom"/>
              <w:rPr>
                <w:rFonts w:asciiTheme="minorHAnsi" w:hAnsiTheme="minorHAnsi" w:cstheme="minorHAnsi"/>
                <w:b/>
                <w:kern w:val="24"/>
                <w:sz w:val="20"/>
                <w:szCs w:val="20"/>
              </w:rPr>
            </w:pPr>
            <w:r w:rsidRPr="006C1098">
              <w:rPr>
                <w:rFonts w:asciiTheme="minorHAnsi" w:hAnsiTheme="minorHAnsi" w:cstheme="minorHAnsi"/>
                <w:b/>
                <w:kern w:val="24"/>
                <w:sz w:val="20"/>
                <w:szCs w:val="20"/>
              </w:rPr>
              <w:t>1</w:t>
            </w:r>
            <w:r w:rsidR="00D639A8" w:rsidRPr="006C1098">
              <w:rPr>
                <w:rFonts w:asciiTheme="minorHAnsi" w:hAnsiTheme="minorHAnsi" w:cstheme="minorHAnsi"/>
                <w:b/>
                <w:kern w:val="24"/>
                <w:sz w:val="20"/>
                <w:szCs w:val="20"/>
              </w:rPr>
              <w:t>1.6</w:t>
            </w:r>
            <w:r w:rsidR="008B532C" w:rsidRPr="006C1098">
              <w:rPr>
                <w:rFonts w:asciiTheme="minorHAnsi" w:hAnsiTheme="minorHAnsi" w:cstheme="minorHAnsi"/>
                <w:b/>
                <w:kern w:val="24"/>
                <w:sz w:val="20"/>
                <w:szCs w:val="20"/>
              </w:rPr>
              <w:t>%</w:t>
            </w:r>
          </w:p>
        </w:tc>
        <w:tc>
          <w:tcPr>
            <w:tcW w:w="915" w:type="pct"/>
            <w:shd w:val="clear" w:color="auto" w:fill="auto"/>
            <w:tcMar>
              <w:top w:w="15" w:type="dxa"/>
              <w:left w:w="15" w:type="dxa"/>
              <w:bottom w:w="0" w:type="dxa"/>
              <w:right w:w="15" w:type="dxa"/>
            </w:tcMar>
            <w:vAlign w:val="center"/>
          </w:tcPr>
          <w:p w14:paraId="04C97361" w14:textId="1D2D4D58" w:rsidR="008B532C" w:rsidRPr="006C1098" w:rsidRDefault="00044DEC" w:rsidP="00AF5A74">
            <w:pPr>
              <w:jc w:val="right"/>
              <w:textAlignment w:val="bottom"/>
              <w:rPr>
                <w:rFonts w:asciiTheme="minorHAnsi" w:hAnsiTheme="minorHAnsi" w:cstheme="minorHAnsi"/>
                <w:kern w:val="24"/>
                <w:sz w:val="20"/>
                <w:szCs w:val="20"/>
              </w:rPr>
            </w:pPr>
            <w:r w:rsidRPr="006C1098">
              <w:rPr>
                <w:rFonts w:asciiTheme="minorHAnsi" w:hAnsiTheme="minorHAnsi" w:cstheme="minorHAnsi"/>
                <w:kern w:val="24"/>
                <w:sz w:val="20"/>
                <w:szCs w:val="20"/>
              </w:rPr>
              <w:t>1</w:t>
            </w:r>
            <w:r w:rsidR="00CA4A1B" w:rsidRPr="006C1098">
              <w:rPr>
                <w:rFonts w:asciiTheme="minorHAnsi" w:hAnsiTheme="minorHAnsi" w:cstheme="minorHAnsi"/>
                <w:kern w:val="24"/>
                <w:sz w:val="20"/>
                <w:szCs w:val="20"/>
              </w:rPr>
              <w:t>2.</w:t>
            </w:r>
            <w:r w:rsidR="0047393C">
              <w:rPr>
                <w:rFonts w:asciiTheme="minorHAnsi" w:hAnsiTheme="minorHAnsi" w:cstheme="minorHAnsi"/>
                <w:kern w:val="24"/>
                <w:sz w:val="20"/>
                <w:szCs w:val="20"/>
              </w:rPr>
              <w:t>5</w:t>
            </w:r>
            <w:r w:rsidR="008B532C" w:rsidRPr="006C1098">
              <w:rPr>
                <w:rFonts w:asciiTheme="minorHAnsi" w:hAnsiTheme="minorHAnsi" w:cstheme="minorHAnsi"/>
                <w:kern w:val="24"/>
                <w:sz w:val="20"/>
                <w:szCs w:val="20"/>
              </w:rPr>
              <w:t>%</w:t>
            </w:r>
          </w:p>
        </w:tc>
        <w:tc>
          <w:tcPr>
            <w:tcW w:w="773" w:type="pct"/>
            <w:tcBorders>
              <w:left w:val="nil"/>
            </w:tcBorders>
            <w:shd w:val="clear" w:color="auto" w:fill="auto"/>
            <w:tcMar>
              <w:top w:w="15" w:type="dxa"/>
              <w:left w:w="15" w:type="dxa"/>
              <w:bottom w:w="0" w:type="dxa"/>
              <w:right w:w="15" w:type="dxa"/>
            </w:tcMar>
            <w:vAlign w:val="center"/>
          </w:tcPr>
          <w:p w14:paraId="3F5C0A62" w14:textId="3065B40F" w:rsidR="008B532C" w:rsidRPr="006C1098" w:rsidRDefault="008B532C" w:rsidP="00AF5A74">
            <w:pPr>
              <w:jc w:val="right"/>
              <w:textAlignment w:val="bottom"/>
              <w:rPr>
                <w:rFonts w:asciiTheme="minorHAnsi" w:hAnsiTheme="minorHAnsi" w:cstheme="minorHAnsi"/>
                <w:kern w:val="24"/>
                <w:sz w:val="20"/>
                <w:szCs w:val="20"/>
              </w:rPr>
            </w:pPr>
            <w:r w:rsidRPr="006C1098">
              <w:rPr>
                <w:rFonts w:asciiTheme="minorHAnsi" w:hAnsiTheme="minorHAnsi" w:cstheme="minorHAnsi"/>
                <w:kern w:val="24"/>
                <w:sz w:val="20"/>
                <w:szCs w:val="20"/>
              </w:rPr>
              <w:t>(</w:t>
            </w:r>
            <w:r w:rsidR="006B5243">
              <w:rPr>
                <w:rFonts w:asciiTheme="minorHAnsi" w:hAnsiTheme="minorHAnsi" w:cstheme="minorHAnsi"/>
                <w:kern w:val="24"/>
                <w:sz w:val="20"/>
                <w:szCs w:val="20"/>
              </w:rPr>
              <w:t>0.9</w:t>
            </w:r>
            <w:r w:rsidRPr="006C1098">
              <w:rPr>
                <w:rFonts w:asciiTheme="minorHAnsi" w:hAnsiTheme="minorHAnsi" w:cstheme="minorHAnsi"/>
                <w:kern w:val="24"/>
                <w:sz w:val="20"/>
                <w:szCs w:val="20"/>
              </w:rPr>
              <w:t>)</w:t>
            </w:r>
          </w:p>
        </w:tc>
      </w:tr>
      <w:tr w:rsidR="008B532C" w:rsidRPr="00D67126" w14:paraId="34951293" w14:textId="77777777" w:rsidTr="3441915A">
        <w:trPr>
          <w:trHeight w:val="227"/>
        </w:trPr>
        <w:tc>
          <w:tcPr>
            <w:tcW w:w="2602" w:type="pct"/>
            <w:shd w:val="clear" w:color="auto" w:fill="auto"/>
            <w:tcMar>
              <w:top w:w="15" w:type="dxa"/>
              <w:left w:w="15" w:type="dxa"/>
              <w:bottom w:w="0" w:type="dxa"/>
              <w:right w:w="15" w:type="dxa"/>
            </w:tcMar>
            <w:vAlign w:val="center"/>
          </w:tcPr>
          <w:p w14:paraId="32D562D4" w14:textId="77777777" w:rsidR="008B532C" w:rsidRPr="00D67126" w:rsidRDefault="008B532C" w:rsidP="00AF5A74">
            <w:pPr>
              <w:textAlignment w:val="center"/>
              <w:rPr>
                <w:rFonts w:asciiTheme="minorHAnsi" w:hAnsiTheme="minorHAnsi" w:cstheme="minorHAnsi"/>
                <w:b/>
                <w:kern w:val="24"/>
                <w:sz w:val="20"/>
                <w:szCs w:val="20"/>
                <w:lang w:val="en-US"/>
              </w:rPr>
            </w:pPr>
            <w:proofErr w:type="spellStart"/>
            <w:r w:rsidRPr="00D67126">
              <w:rPr>
                <w:rFonts w:asciiTheme="minorHAnsi" w:hAnsiTheme="minorHAnsi" w:cstheme="minorHAnsi"/>
                <w:kern w:val="24"/>
                <w:sz w:val="20"/>
                <w:szCs w:val="20"/>
                <w:lang w:val="en-US"/>
              </w:rPr>
              <w:t>Cost:income</w:t>
            </w:r>
            <w:proofErr w:type="spellEnd"/>
            <w:r w:rsidRPr="00D67126">
              <w:rPr>
                <w:rFonts w:asciiTheme="minorHAnsi" w:hAnsiTheme="minorHAnsi" w:cstheme="minorHAnsi"/>
                <w:kern w:val="24"/>
                <w:sz w:val="20"/>
                <w:szCs w:val="20"/>
                <w:lang w:val="en-US"/>
              </w:rPr>
              <w:t xml:space="preserve"> ratio</w:t>
            </w:r>
            <w:r w:rsidRPr="00D67126">
              <w:rPr>
                <w:rFonts w:asciiTheme="minorHAnsi" w:hAnsiTheme="minorHAnsi" w:cstheme="minorHAnsi"/>
                <w:kern w:val="24"/>
                <w:sz w:val="20"/>
                <w:szCs w:val="20"/>
                <w:vertAlign w:val="superscript"/>
                <w:lang w:val="en-US"/>
              </w:rPr>
              <w:t>9</w:t>
            </w:r>
          </w:p>
        </w:tc>
        <w:tc>
          <w:tcPr>
            <w:tcW w:w="71" w:type="pct"/>
            <w:shd w:val="clear" w:color="auto" w:fill="auto"/>
            <w:tcMar>
              <w:top w:w="15" w:type="dxa"/>
              <w:left w:w="15" w:type="dxa"/>
              <w:bottom w:w="0" w:type="dxa"/>
              <w:right w:w="15" w:type="dxa"/>
            </w:tcMar>
            <w:vAlign w:val="center"/>
          </w:tcPr>
          <w:p w14:paraId="3F3D2839" w14:textId="77777777" w:rsidR="008B532C" w:rsidRPr="00D67126" w:rsidRDefault="008B532C" w:rsidP="00AF5A74">
            <w:pPr>
              <w:rPr>
                <w:rFonts w:asciiTheme="minorHAnsi" w:hAnsiTheme="minorHAnsi" w:cstheme="minorHAnsi"/>
                <w:sz w:val="20"/>
                <w:szCs w:val="20"/>
              </w:rPr>
            </w:pPr>
          </w:p>
        </w:tc>
        <w:tc>
          <w:tcPr>
            <w:tcW w:w="639" w:type="pct"/>
            <w:shd w:val="clear" w:color="auto" w:fill="F2F2F2" w:themeFill="background1" w:themeFillShade="F2"/>
            <w:tcMar>
              <w:top w:w="15" w:type="dxa"/>
              <w:left w:w="15" w:type="dxa"/>
              <w:bottom w:w="0" w:type="dxa"/>
              <w:right w:w="15" w:type="dxa"/>
            </w:tcMar>
            <w:vAlign w:val="center"/>
          </w:tcPr>
          <w:p w14:paraId="283CD7F1" w14:textId="5C542AD4" w:rsidR="008B532C" w:rsidRPr="006C1098" w:rsidRDefault="00A636D1" w:rsidP="00AF5A74">
            <w:pPr>
              <w:jc w:val="right"/>
              <w:textAlignment w:val="bottom"/>
              <w:rPr>
                <w:rFonts w:asciiTheme="minorHAnsi" w:hAnsiTheme="minorHAnsi" w:cstheme="minorHAnsi"/>
                <w:b/>
                <w:kern w:val="24"/>
                <w:sz w:val="20"/>
                <w:szCs w:val="20"/>
              </w:rPr>
            </w:pPr>
            <w:r w:rsidRPr="006C1098">
              <w:rPr>
                <w:rFonts w:asciiTheme="minorHAnsi" w:hAnsiTheme="minorHAnsi" w:cstheme="minorHAnsi"/>
                <w:b/>
                <w:kern w:val="24"/>
                <w:sz w:val="20"/>
                <w:szCs w:val="20"/>
              </w:rPr>
              <w:t>68.2</w:t>
            </w:r>
            <w:r w:rsidR="008B532C" w:rsidRPr="006C1098">
              <w:rPr>
                <w:rFonts w:asciiTheme="minorHAnsi" w:hAnsiTheme="minorHAnsi" w:cstheme="minorHAnsi"/>
                <w:b/>
                <w:kern w:val="24"/>
                <w:sz w:val="20"/>
                <w:szCs w:val="20"/>
              </w:rPr>
              <w:t>%</w:t>
            </w:r>
          </w:p>
        </w:tc>
        <w:tc>
          <w:tcPr>
            <w:tcW w:w="915" w:type="pct"/>
            <w:shd w:val="clear" w:color="auto" w:fill="auto"/>
            <w:tcMar>
              <w:top w:w="15" w:type="dxa"/>
              <w:left w:w="15" w:type="dxa"/>
              <w:bottom w:w="0" w:type="dxa"/>
              <w:right w:w="15" w:type="dxa"/>
            </w:tcMar>
            <w:vAlign w:val="center"/>
          </w:tcPr>
          <w:p w14:paraId="41350C19" w14:textId="0BF5894D" w:rsidR="008B532C" w:rsidRPr="006C1098" w:rsidRDefault="009F72BA" w:rsidP="00AF5A74">
            <w:pPr>
              <w:jc w:val="right"/>
              <w:textAlignment w:val="bottom"/>
              <w:rPr>
                <w:rFonts w:asciiTheme="minorHAnsi" w:hAnsiTheme="minorHAnsi" w:cstheme="minorHAnsi"/>
                <w:kern w:val="24"/>
                <w:sz w:val="20"/>
                <w:szCs w:val="20"/>
              </w:rPr>
            </w:pPr>
            <w:r w:rsidRPr="006C1098">
              <w:rPr>
                <w:rFonts w:asciiTheme="minorHAnsi" w:hAnsiTheme="minorHAnsi" w:cstheme="minorHAnsi"/>
                <w:kern w:val="24"/>
                <w:sz w:val="20"/>
                <w:szCs w:val="20"/>
              </w:rPr>
              <w:t>66.2</w:t>
            </w:r>
            <w:r w:rsidR="008B532C" w:rsidRPr="006C1098">
              <w:rPr>
                <w:rFonts w:asciiTheme="minorHAnsi" w:hAnsiTheme="minorHAnsi" w:cstheme="minorHAnsi"/>
                <w:kern w:val="24"/>
                <w:sz w:val="20"/>
                <w:szCs w:val="20"/>
              </w:rPr>
              <w:t>%</w:t>
            </w:r>
          </w:p>
        </w:tc>
        <w:tc>
          <w:tcPr>
            <w:tcW w:w="773" w:type="pct"/>
            <w:tcBorders>
              <w:left w:val="nil"/>
            </w:tcBorders>
            <w:shd w:val="clear" w:color="auto" w:fill="auto"/>
            <w:tcMar>
              <w:top w:w="15" w:type="dxa"/>
              <w:left w:w="15" w:type="dxa"/>
              <w:bottom w:w="0" w:type="dxa"/>
              <w:right w:w="15" w:type="dxa"/>
            </w:tcMar>
            <w:vAlign w:val="center"/>
          </w:tcPr>
          <w:p w14:paraId="2B1DE2DD" w14:textId="3A6D3D36" w:rsidR="008B532C" w:rsidRPr="006C1098" w:rsidRDefault="008B532C" w:rsidP="00AF5A74">
            <w:pPr>
              <w:jc w:val="right"/>
              <w:textAlignment w:val="bottom"/>
              <w:rPr>
                <w:rFonts w:asciiTheme="minorHAnsi" w:hAnsiTheme="minorHAnsi" w:cstheme="minorHAnsi"/>
                <w:kern w:val="24"/>
                <w:sz w:val="20"/>
                <w:szCs w:val="20"/>
              </w:rPr>
            </w:pPr>
            <w:r w:rsidRPr="006C1098">
              <w:rPr>
                <w:rFonts w:asciiTheme="minorHAnsi" w:hAnsiTheme="minorHAnsi" w:cstheme="minorHAnsi"/>
                <w:kern w:val="24"/>
                <w:sz w:val="20"/>
                <w:szCs w:val="20"/>
              </w:rPr>
              <w:t>(</w:t>
            </w:r>
            <w:r w:rsidR="00817451" w:rsidRPr="006C1098">
              <w:rPr>
                <w:rFonts w:asciiTheme="minorHAnsi" w:hAnsiTheme="minorHAnsi" w:cstheme="minorHAnsi"/>
                <w:kern w:val="24"/>
                <w:sz w:val="20"/>
                <w:szCs w:val="20"/>
              </w:rPr>
              <w:t>2.0</w:t>
            </w:r>
            <w:r w:rsidRPr="006C1098">
              <w:rPr>
                <w:rFonts w:asciiTheme="minorHAnsi" w:hAnsiTheme="minorHAnsi" w:cstheme="minorHAnsi"/>
                <w:kern w:val="24"/>
                <w:sz w:val="20"/>
                <w:szCs w:val="20"/>
              </w:rPr>
              <w:t>)</w:t>
            </w:r>
          </w:p>
        </w:tc>
      </w:tr>
      <w:tr w:rsidR="008B532C" w:rsidRPr="00AB7A3F" w14:paraId="3A384E4C" w14:textId="77777777" w:rsidTr="007E39D7">
        <w:trPr>
          <w:trHeight w:val="227"/>
        </w:trPr>
        <w:tc>
          <w:tcPr>
            <w:tcW w:w="2602" w:type="pct"/>
            <w:tcBorders>
              <w:left w:val="nil"/>
              <w:right w:val="nil"/>
            </w:tcBorders>
            <w:shd w:val="clear" w:color="auto" w:fill="auto"/>
            <w:tcMar>
              <w:top w:w="15" w:type="dxa"/>
              <w:left w:w="15" w:type="dxa"/>
              <w:bottom w:w="0" w:type="dxa"/>
              <w:right w:w="15" w:type="dxa"/>
            </w:tcMar>
            <w:vAlign w:val="center"/>
          </w:tcPr>
          <w:p w14:paraId="55F66685" w14:textId="77777777" w:rsidR="008B532C" w:rsidRPr="00D67126" w:rsidRDefault="008B532C" w:rsidP="00AF5A74">
            <w:pPr>
              <w:textAlignment w:val="center"/>
              <w:rPr>
                <w:rFonts w:asciiTheme="minorHAnsi" w:hAnsiTheme="minorHAnsi" w:cstheme="minorHAnsi"/>
                <w:b/>
                <w:bCs/>
                <w:kern w:val="24"/>
                <w:sz w:val="20"/>
                <w:szCs w:val="20"/>
                <w:lang w:val="en-US"/>
              </w:rPr>
            </w:pPr>
            <w:r w:rsidRPr="00D67126">
              <w:rPr>
                <w:rFonts w:asciiTheme="minorHAnsi" w:hAnsiTheme="minorHAnsi" w:cstheme="minorHAnsi"/>
                <w:kern w:val="24"/>
                <w:sz w:val="20"/>
                <w:szCs w:val="20"/>
                <w:lang w:val="en-US"/>
              </w:rPr>
              <w:t>Adjusted ROTE</w:t>
            </w:r>
            <w:r w:rsidRPr="00D67126">
              <w:rPr>
                <w:rFonts w:asciiTheme="minorHAnsi" w:hAnsiTheme="minorHAnsi" w:cstheme="minorHAnsi"/>
                <w:kern w:val="24"/>
                <w:sz w:val="20"/>
                <w:szCs w:val="20"/>
                <w:vertAlign w:val="superscript"/>
                <w:lang w:val="en-US"/>
              </w:rPr>
              <w:t xml:space="preserve">10 </w:t>
            </w:r>
          </w:p>
        </w:tc>
        <w:tc>
          <w:tcPr>
            <w:tcW w:w="71" w:type="pct"/>
            <w:tcBorders>
              <w:left w:val="nil"/>
              <w:right w:val="nil"/>
            </w:tcBorders>
            <w:shd w:val="clear" w:color="auto" w:fill="auto"/>
            <w:tcMar>
              <w:top w:w="15" w:type="dxa"/>
              <w:left w:w="15" w:type="dxa"/>
              <w:bottom w:w="0" w:type="dxa"/>
              <w:right w:w="15" w:type="dxa"/>
            </w:tcMar>
            <w:vAlign w:val="center"/>
          </w:tcPr>
          <w:p w14:paraId="68C7E357" w14:textId="77777777" w:rsidR="008B532C" w:rsidRPr="00D67126" w:rsidRDefault="008B532C" w:rsidP="00AF5A74">
            <w:pPr>
              <w:rPr>
                <w:rFonts w:asciiTheme="minorHAnsi" w:hAnsiTheme="minorHAnsi" w:cstheme="minorHAnsi"/>
                <w:sz w:val="20"/>
                <w:szCs w:val="20"/>
              </w:rPr>
            </w:pPr>
          </w:p>
        </w:tc>
        <w:tc>
          <w:tcPr>
            <w:tcW w:w="639" w:type="pct"/>
            <w:tcBorders>
              <w:left w:val="nil"/>
              <w:right w:val="nil"/>
            </w:tcBorders>
            <w:shd w:val="clear" w:color="auto" w:fill="F2F2F2" w:themeFill="background1" w:themeFillShade="F2"/>
            <w:tcMar>
              <w:top w:w="15" w:type="dxa"/>
              <w:left w:w="15" w:type="dxa"/>
              <w:bottom w:w="0" w:type="dxa"/>
              <w:right w:w="15" w:type="dxa"/>
            </w:tcMar>
            <w:vAlign w:val="center"/>
          </w:tcPr>
          <w:p w14:paraId="57697771" w14:textId="4A656216" w:rsidR="008B532C" w:rsidRPr="006C1098" w:rsidRDefault="00DC332D" w:rsidP="007E39D7">
            <w:pPr>
              <w:jc w:val="right"/>
              <w:textAlignment w:val="bottom"/>
              <w:rPr>
                <w:rFonts w:asciiTheme="minorHAnsi" w:hAnsiTheme="minorHAnsi" w:cstheme="minorBidi"/>
                <w:b/>
                <w:kern w:val="24"/>
                <w:sz w:val="20"/>
                <w:szCs w:val="20"/>
              </w:rPr>
            </w:pPr>
            <w:r w:rsidRPr="015116E9">
              <w:rPr>
                <w:rFonts w:asciiTheme="minorHAnsi" w:hAnsiTheme="minorHAnsi" w:cstheme="minorBidi"/>
                <w:b/>
                <w:kern w:val="24"/>
                <w:sz w:val="20"/>
                <w:szCs w:val="20"/>
              </w:rPr>
              <w:t>(</w:t>
            </w:r>
            <w:r w:rsidRPr="015116E9">
              <w:rPr>
                <w:rFonts w:asciiTheme="minorHAnsi" w:hAnsiTheme="minorHAnsi" w:cstheme="minorBidi"/>
                <w:b/>
                <w:bCs/>
                <w:kern w:val="24"/>
                <w:sz w:val="20"/>
                <w:szCs w:val="20"/>
              </w:rPr>
              <w:t>1</w:t>
            </w:r>
            <w:r w:rsidR="144FE414" w:rsidRPr="015116E9">
              <w:rPr>
                <w:rFonts w:asciiTheme="minorHAnsi" w:hAnsiTheme="minorHAnsi" w:cstheme="minorBidi"/>
                <w:b/>
                <w:bCs/>
                <w:kern w:val="24"/>
                <w:sz w:val="20"/>
                <w:szCs w:val="20"/>
              </w:rPr>
              <w:t>1.5</w:t>
            </w:r>
            <w:r w:rsidR="008B532C" w:rsidRPr="015116E9">
              <w:rPr>
                <w:rFonts w:asciiTheme="minorHAnsi" w:hAnsiTheme="minorHAnsi" w:cstheme="minorBidi"/>
                <w:b/>
                <w:kern w:val="24"/>
                <w:sz w:val="20"/>
                <w:szCs w:val="20"/>
              </w:rPr>
              <w:t>%</w:t>
            </w:r>
            <w:r w:rsidR="005C7FDF" w:rsidRPr="015116E9">
              <w:rPr>
                <w:rFonts w:asciiTheme="minorHAnsi" w:hAnsiTheme="minorHAnsi" w:cstheme="minorBidi"/>
                <w:b/>
                <w:kern w:val="24"/>
                <w:sz w:val="20"/>
                <w:szCs w:val="20"/>
              </w:rPr>
              <w:t>)</w:t>
            </w:r>
          </w:p>
        </w:tc>
        <w:tc>
          <w:tcPr>
            <w:tcW w:w="915" w:type="pct"/>
            <w:tcBorders>
              <w:left w:val="nil"/>
            </w:tcBorders>
            <w:shd w:val="clear" w:color="auto" w:fill="auto"/>
            <w:tcMar>
              <w:top w:w="15" w:type="dxa"/>
              <w:left w:w="15" w:type="dxa"/>
              <w:bottom w:w="0" w:type="dxa"/>
              <w:right w:w="15" w:type="dxa"/>
            </w:tcMar>
            <w:vAlign w:val="center"/>
          </w:tcPr>
          <w:p w14:paraId="0418070A" w14:textId="2EE2B69C" w:rsidR="008B532C" w:rsidRPr="006C1098" w:rsidRDefault="005C7FDF" w:rsidP="007E39D7">
            <w:pPr>
              <w:jc w:val="right"/>
              <w:textAlignment w:val="bottom"/>
              <w:rPr>
                <w:rFonts w:asciiTheme="minorHAnsi" w:hAnsiTheme="minorHAnsi" w:cstheme="minorBidi"/>
                <w:kern w:val="24"/>
                <w:sz w:val="20"/>
                <w:szCs w:val="20"/>
              </w:rPr>
            </w:pPr>
            <w:r w:rsidRPr="015116E9">
              <w:rPr>
                <w:rFonts w:asciiTheme="minorHAnsi" w:hAnsiTheme="minorHAnsi" w:cstheme="minorBidi"/>
                <w:kern w:val="24"/>
                <w:sz w:val="20"/>
                <w:szCs w:val="20"/>
              </w:rPr>
              <w:t>(</w:t>
            </w:r>
            <w:r w:rsidR="00174646">
              <w:rPr>
                <w:rFonts w:asciiTheme="minorHAnsi" w:hAnsiTheme="minorHAnsi" w:cstheme="minorBidi"/>
                <w:kern w:val="24"/>
                <w:sz w:val="20"/>
                <w:szCs w:val="20"/>
              </w:rPr>
              <w:t>5.</w:t>
            </w:r>
            <w:r w:rsidR="003731FB">
              <w:rPr>
                <w:rFonts w:asciiTheme="minorHAnsi" w:hAnsiTheme="minorHAnsi" w:cstheme="minorBidi"/>
                <w:kern w:val="24"/>
                <w:sz w:val="20"/>
                <w:szCs w:val="20"/>
              </w:rPr>
              <w:t>2</w:t>
            </w:r>
            <w:r w:rsidRPr="015116E9">
              <w:rPr>
                <w:rFonts w:asciiTheme="minorHAnsi" w:hAnsiTheme="minorHAnsi" w:cstheme="minorBidi"/>
                <w:kern w:val="24"/>
                <w:sz w:val="20"/>
                <w:szCs w:val="20"/>
              </w:rPr>
              <w:t>%)</w:t>
            </w:r>
          </w:p>
        </w:tc>
        <w:tc>
          <w:tcPr>
            <w:tcW w:w="773" w:type="pct"/>
            <w:tcBorders>
              <w:left w:val="nil"/>
            </w:tcBorders>
            <w:shd w:val="clear" w:color="auto" w:fill="auto"/>
            <w:tcMar>
              <w:top w:w="15" w:type="dxa"/>
              <w:left w:w="15" w:type="dxa"/>
              <w:bottom w:w="0" w:type="dxa"/>
              <w:right w:w="15" w:type="dxa"/>
            </w:tcMar>
            <w:vAlign w:val="center"/>
          </w:tcPr>
          <w:p w14:paraId="28D2CE12" w14:textId="52284D66" w:rsidR="008B532C" w:rsidRPr="006C1098" w:rsidRDefault="008B532C" w:rsidP="007E39D7">
            <w:pPr>
              <w:jc w:val="right"/>
              <w:textAlignment w:val="bottom"/>
              <w:rPr>
                <w:rFonts w:asciiTheme="minorHAnsi" w:hAnsiTheme="minorHAnsi" w:cstheme="minorBidi"/>
                <w:kern w:val="24"/>
                <w:sz w:val="20"/>
                <w:szCs w:val="20"/>
              </w:rPr>
            </w:pPr>
            <w:r w:rsidRPr="64676039">
              <w:rPr>
                <w:rFonts w:asciiTheme="minorHAnsi" w:hAnsiTheme="minorHAnsi" w:cstheme="minorBidi"/>
                <w:kern w:val="24"/>
                <w:sz w:val="20"/>
                <w:szCs w:val="20"/>
              </w:rPr>
              <w:t>(</w:t>
            </w:r>
            <w:r w:rsidR="00CE6450">
              <w:rPr>
                <w:rFonts w:asciiTheme="minorHAnsi" w:hAnsiTheme="minorHAnsi" w:cstheme="minorBidi"/>
                <w:kern w:val="24"/>
                <w:sz w:val="20"/>
                <w:szCs w:val="20"/>
              </w:rPr>
              <w:t>6.</w:t>
            </w:r>
            <w:r w:rsidR="000A572C">
              <w:rPr>
                <w:rFonts w:asciiTheme="minorHAnsi" w:hAnsiTheme="minorHAnsi" w:cstheme="minorBidi"/>
                <w:kern w:val="24"/>
                <w:sz w:val="20"/>
                <w:szCs w:val="20"/>
              </w:rPr>
              <w:t>3</w:t>
            </w:r>
            <w:r w:rsidRPr="64676039">
              <w:rPr>
                <w:rFonts w:asciiTheme="minorHAnsi" w:hAnsiTheme="minorHAnsi" w:cstheme="minorBidi"/>
                <w:kern w:val="24"/>
                <w:sz w:val="20"/>
                <w:szCs w:val="20"/>
              </w:rPr>
              <w:t>)</w:t>
            </w:r>
          </w:p>
        </w:tc>
      </w:tr>
      <w:tr w:rsidR="004356E4" w:rsidRPr="00AB7A3F" w14:paraId="227BDD0C" w14:textId="77777777" w:rsidTr="007E39D7">
        <w:trPr>
          <w:trHeight w:val="227"/>
        </w:trPr>
        <w:tc>
          <w:tcPr>
            <w:tcW w:w="2602" w:type="pct"/>
            <w:tcBorders>
              <w:left w:val="nil"/>
              <w:right w:val="nil"/>
            </w:tcBorders>
            <w:shd w:val="clear" w:color="auto" w:fill="auto"/>
            <w:tcMar>
              <w:top w:w="15" w:type="dxa"/>
              <w:left w:w="15" w:type="dxa"/>
              <w:bottom w:w="0" w:type="dxa"/>
              <w:right w:w="15" w:type="dxa"/>
            </w:tcMar>
            <w:vAlign w:val="center"/>
          </w:tcPr>
          <w:p w14:paraId="1094E5C7" w14:textId="58327238" w:rsidR="004356E4" w:rsidRPr="00D67126" w:rsidRDefault="004356E4" w:rsidP="00AF5A74">
            <w:pPr>
              <w:textAlignment w:val="center"/>
              <w:rPr>
                <w:rFonts w:asciiTheme="minorHAnsi" w:hAnsiTheme="minorHAnsi" w:cstheme="minorHAnsi"/>
                <w:kern w:val="24"/>
                <w:sz w:val="20"/>
                <w:szCs w:val="20"/>
                <w:lang w:val="en-US"/>
              </w:rPr>
            </w:pPr>
            <w:r>
              <w:rPr>
                <w:rFonts w:asciiTheme="minorHAnsi" w:hAnsiTheme="minorHAnsi" w:cstheme="minorHAnsi"/>
                <w:kern w:val="24"/>
                <w:sz w:val="20"/>
                <w:szCs w:val="20"/>
                <w:lang w:val="en-US"/>
              </w:rPr>
              <w:t>TNAV</w:t>
            </w:r>
            <w:r w:rsidR="00DC7E46">
              <w:rPr>
                <w:rFonts w:asciiTheme="minorHAnsi" w:hAnsiTheme="minorHAnsi" w:cstheme="minorHAnsi"/>
                <w:kern w:val="24"/>
                <w:sz w:val="20"/>
                <w:szCs w:val="20"/>
                <w:lang w:val="en-US"/>
              </w:rPr>
              <w:t xml:space="preserve"> </w:t>
            </w:r>
            <w:r w:rsidR="00310672">
              <w:rPr>
                <w:rFonts w:asciiTheme="minorHAnsi" w:hAnsiTheme="minorHAnsi" w:cstheme="minorHAnsi"/>
                <w:kern w:val="24"/>
                <w:sz w:val="20"/>
                <w:szCs w:val="20"/>
                <w:lang w:val="en-US"/>
              </w:rPr>
              <w:t xml:space="preserve">per share </w:t>
            </w:r>
            <w:r w:rsidR="00DC7E46">
              <w:rPr>
                <w:rFonts w:asciiTheme="minorHAnsi" w:hAnsiTheme="minorHAnsi" w:cstheme="minorHAnsi"/>
                <w:kern w:val="24"/>
                <w:sz w:val="20"/>
                <w:szCs w:val="20"/>
                <w:lang w:val="en-US"/>
              </w:rPr>
              <w:t>(£)</w:t>
            </w:r>
            <w:r w:rsidR="00890EF8" w:rsidRPr="002725AC">
              <w:rPr>
                <w:rFonts w:asciiTheme="minorHAnsi" w:hAnsiTheme="minorHAnsi" w:cstheme="minorHAnsi"/>
                <w:kern w:val="24"/>
                <w:sz w:val="20"/>
                <w:szCs w:val="20"/>
                <w:vertAlign w:val="superscript"/>
                <w:lang w:val="en-US"/>
              </w:rPr>
              <w:t>11</w:t>
            </w:r>
          </w:p>
        </w:tc>
        <w:tc>
          <w:tcPr>
            <w:tcW w:w="71" w:type="pct"/>
            <w:tcBorders>
              <w:left w:val="nil"/>
              <w:right w:val="nil"/>
            </w:tcBorders>
            <w:shd w:val="clear" w:color="auto" w:fill="auto"/>
            <w:tcMar>
              <w:top w:w="15" w:type="dxa"/>
              <w:left w:w="15" w:type="dxa"/>
              <w:bottom w:w="0" w:type="dxa"/>
              <w:right w:w="15" w:type="dxa"/>
            </w:tcMar>
            <w:vAlign w:val="center"/>
          </w:tcPr>
          <w:p w14:paraId="3B3FB918" w14:textId="77777777" w:rsidR="004356E4" w:rsidRPr="00D67126" w:rsidRDefault="004356E4" w:rsidP="00AF5A74">
            <w:pPr>
              <w:rPr>
                <w:rFonts w:asciiTheme="minorHAnsi" w:hAnsiTheme="minorHAnsi" w:cstheme="minorHAnsi"/>
                <w:sz w:val="20"/>
                <w:szCs w:val="20"/>
              </w:rPr>
            </w:pPr>
          </w:p>
        </w:tc>
        <w:tc>
          <w:tcPr>
            <w:tcW w:w="639" w:type="pct"/>
            <w:tcBorders>
              <w:left w:val="nil"/>
              <w:right w:val="nil"/>
            </w:tcBorders>
            <w:shd w:val="clear" w:color="auto" w:fill="F2F2F2" w:themeFill="background1" w:themeFillShade="F2"/>
            <w:tcMar>
              <w:top w:w="15" w:type="dxa"/>
              <w:left w:w="15" w:type="dxa"/>
              <w:bottom w:w="0" w:type="dxa"/>
              <w:right w:w="15" w:type="dxa"/>
            </w:tcMar>
            <w:vAlign w:val="center"/>
          </w:tcPr>
          <w:p w14:paraId="16AC913B" w14:textId="5EFDF469" w:rsidR="004356E4" w:rsidRPr="64676039" w:rsidRDefault="002C683A" w:rsidP="007E39D7">
            <w:pPr>
              <w:jc w:val="right"/>
              <w:textAlignment w:val="bottom"/>
              <w:rPr>
                <w:rFonts w:asciiTheme="minorHAnsi" w:hAnsiTheme="minorHAnsi" w:cstheme="minorBidi"/>
                <w:b/>
                <w:kern w:val="24"/>
                <w:sz w:val="20"/>
                <w:szCs w:val="20"/>
              </w:rPr>
            </w:pPr>
            <w:r>
              <w:rPr>
                <w:rFonts w:asciiTheme="minorHAnsi" w:hAnsiTheme="minorHAnsi" w:cstheme="minorBidi"/>
                <w:b/>
                <w:kern w:val="24"/>
                <w:sz w:val="20"/>
                <w:szCs w:val="20"/>
              </w:rPr>
              <w:t>1.5</w:t>
            </w:r>
          </w:p>
        </w:tc>
        <w:tc>
          <w:tcPr>
            <w:tcW w:w="915" w:type="pct"/>
            <w:tcBorders>
              <w:left w:val="nil"/>
            </w:tcBorders>
            <w:shd w:val="clear" w:color="auto" w:fill="auto"/>
            <w:tcMar>
              <w:top w:w="15" w:type="dxa"/>
              <w:left w:w="15" w:type="dxa"/>
              <w:bottom w:w="0" w:type="dxa"/>
              <w:right w:w="15" w:type="dxa"/>
            </w:tcMar>
            <w:vAlign w:val="center"/>
          </w:tcPr>
          <w:p w14:paraId="754C5128" w14:textId="7D175811" w:rsidR="004356E4" w:rsidRPr="64676039" w:rsidRDefault="008950C5" w:rsidP="007E39D7">
            <w:pPr>
              <w:jc w:val="right"/>
              <w:textAlignment w:val="bottom"/>
              <w:rPr>
                <w:rFonts w:asciiTheme="minorHAnsi" w:hAnsiTheme="minorHAnsi" w:cstheme="minorBidi"/>
                <w:kern w:val="24"/>
                <w:sz w:val="20"/>
                <w:szCs w:val="20"/>
              </w:rPr>
            </w:pPr>
            <w:r>
              <w:rPr>
                <w:rFonts w:asciiTheme="minorHAnsi" w:hAnsiTheme="minorHAnsi" w:cstheme="minorBidi"/>
                <w:kern w:val="24"/>
                <w:sz w:val="20"/>
                <w:szCs w:val="20"/>
              </w:rPr>
              <w:t>1.</w:t>
            </w:r>
            <w:r w:rsidR="003160DA">
              <w:rPr>
                <w:rFonts w:asciiTheme="minorHAnsi" w:hAnsiTheme="minorHAnsi" w:cstheme="minorBidi"/>
                <w:kern w:val="24"/>
                <w:sz w:val="20"/>
                <w:szCs w:val="20"/>
              </w:rPr>
              <w:t>7</w:t>
            </w:r>
          </w:p>
        </w:tc>
        <w:tc>
          <w:tcPr>
            <w:tcW w:w="773" w:type="pct"/>
            <w:tcBorders>
              <w:left w:val="nil"/>
            </w:tcBorders>
            <w:shd w:val="clear" w:color="auto" w:fill="auto"/>
            <w:tcMar>
              <w:top w:w="15" w:type="dxa"/>
              <w:left w:w="15" w:type="dxa"/>
              <w:bottom w:w="0" w:type="dxa"/>
              <w:right w:w="15" w:type="dxa"/>
            </w:tcMar>
            <w:vAlign w:val="center"/>
          </w:tcPr>
          <w:p w14:paraId="0BD26BBD" w14:textId="2E0ADBA7" w:rsidR="004356E4" w:rsidRPr="64676039" w:rsidRDefault="00FB3BC6" w:rsidP="007E39D7">
            <w:pPr>
              <w:jc w:val="right"/>
              <w:textAlignment w:val="bottom"/>
              <w:rPr>
                <w:rFonts w:asciiTheme="minorHAnsi" w:hAnsiTheme="minorHAnsi" w:cstheme="minorBidi"/>
                <w:kern w:val="24"/>
                <w:sz w:val="20"/>
                <w:szCs w:val="20"/>
              </w:rPr>
            </w:pPr>
            <w:r>
              <w:rPr>
                <w:rFonts w:asciiTheme="minorHAnsi" w:hAnsiTheme="minorHAnsi" w:cstheme="minorBidi"/>
                <w:kern w:val="24"/>
                <w:sz w:val="20"/>
                <w:szCs w:val="20"/>
              </w:rPr>
              <w:t>(</w:t>
            </w:r>
            <w:r w:rsidR="004B00FB">
              <w:rPr>
                <w:rFonts w:asciiTheme="minorHAnsi" w:hAnsiTheme="minorHAnsi" w:cstheme="minorBidi"/>
                <w:kern w:val="24"/>
                <w:sz w:val="20"/>
                <w:szCs w:val="20"/>
              </w:rPr>
              <w:t>11.8</w:t>
            </w:r>
            <w:r>
              <w:rPr>
                <w:rFonts w:asciiTheme="minorHAnsi" w:hAnsiTheme="minorHAnsi" w:cstheme="minorBidi"/>
                <w:kern w:val="24"/>
                <w:sz w:val="20"/>
                <w:szCs w:val="20"/>
              </w:rPr>
              <w:t>)</w:t>
            </w:r>
          </w:p>
        </w:tc>
      </w:tr>
      <w:tr w:rsidR="008B532C" w:rsidRPr="00D67126" w14:paraId="39EF4A79" w14:textId="77777777" w:rsidTr="007E39D7">
        <w:trPr>
          <w:trHeight w:val="227"/>
        </w:trPr>
        <w:tc>
          <w:tcPr>
            <w:tcW w:w="2602" w:type="pct"/>
            <w:tcBorders>
              <w:left w:val="nil"/>
              <w:bottom w:val="single" w:sz="4" w:space="0" w:color="auto"/>
              <w:right w:val="nil"/>
            </w:tcBorders>
            <w:shd w:val="clear" w:color="auto" w:fill="auto"/>
            <w:tcMar>
              <w:top w:w="15" w:type="dxa"/>
              <w:left w:w="15" w:type="dxa"/>
              <w:bottom w:w="0" w:type="dxa"/>
              <w:right w:w="15" w:type="dxa"/>
            </w:tcMar>
            <w:vAlign w:val="center"/>
          </w:tcPr>
          <w:p w14:paraId="1D209792" w14:textId="719967F0" w:rsidR="008B532C" w:rsidRPr="00D67126" w:rsidRDefault="00F87B22" w:rsidP="00AF5A74">
            <w:pPr>
              <w:textAlignment w:val="center"/>
              <w:rPr>
                <w:rFonts w:asciiTheme="minorHAnsi" w:hAnsiTheme="minorHAnsi" w:cstheme="minorHAnsi"/>
                <w:kern w:val="24"/>
                <w:sz w:val="20"/>
                <w:szCs w:val="20"/>
                <w:lang w:val="en-US"/>
              </w:rPr>
            </w:pPr>
            <w:r>
              <w:rPr>
                <w:rFonts w:asciiTheme="minorHAnsi" w:hAnsiTheme="minorHAnsi" w:cstheme="minorHAnsi"/>
                <w:kern w:val="24"/>
                <w:sz w:val="20"/>
                <w:szCs w:val="20"/>
                <w:lang w:val="en-US"/>
              </w:rPr>
              <w:t>Tier 1</w:t>
            </w:r>
            <w:r w:rsidR="008B532C" w:rsidRPr="00D67126">
              <w:rPr>
                <w:rFonts w:asciiTheme="minorHAnsi" w:hAnsiTheme="minorHAnsi" w:cstheme="minorHAnsi"/>
                <w:kern w:val="24"/>
                <w:sz w:val="20"/>
                <w:szCs w:val="20"/>
                <w:lang w:val="en-US"/>
              </w:rPr>
              <w:t xml:space="preserve"> ratio</w:t>
            </w:r>
            <w:r w:rsidR="008B532C" w:rsidRPr="00D67126">
              <w:rPr>
                <w:rFonts w:asciiTheme="minorHAnsi" w:hAnsiTheme="minorHAnsi" w:cstheme="minorHAnsi"/>
                <w:kern w:val="24"/>
                <w:sz w:val="20"/>
                <w:szCs w:val="20"/>
                <w:vertAlign w:val="superscript"/>
                <w:lang w:val="en-US"/>
              </w:rPr>
              <w:t>1</w:t>
            </w:r>
            <w:r w:rsidR="00890EF8">
              <w:rPr>
                <w:rFonts w:asciiTheme="minorHAnsi" w:hAnsiTheme="minorHAnsi" w:cstheme="minorHAnsi"/>
                <w:kern w:val="24"/>
                <w:sz w:val="20"/>
                <w:szCs w:val="20"/>
                <w:vertAlign w:val="superscript"/>
                <w:lang w:val="en-US"/>
              </w:rPr>
              <w:t>2</w:t>
            </w:r>
            <w:r w:rsidR="008B532C" w:rsidRPr="00D67126">
              <w:rPr>
                <w:rFonts w:asciiTheme="minorHAnsi" w:hAnsiTheme="minorHAnsi" w:cstheme="minorHAnsi"/>
                <w:kern w:val="24"/>
                <w:sz w:val="20"/>
                <w:szCs w:val="20"/>
                <w:vertAlign w:val="superscript"/>
                <w:lang w:val="en-US"/>
              </w:rPr>
              <w:t xml:space="preserve"> </w:t>
            </w:r>
          </w:p>
        </w:tc>
        <w:tc>
          <w:tcPr>
            <w:tcW w:w="71" w:type="pct"/>
            <w:tcBorders>
              <w:left w:val="nil"/>
              <w:bottom w:val="single" w:sz="4" w:space="0" w:color="auto"/>
              <w:right w:val="nil"/>
            </w:tcBorders>
            <w:shd w:val="clear" w:color="auto" w:fill="auto"/>
            <w:tcMar>
              <w:top w:w="15" w:type="dxa"/>
              <w:left w:w="15" w:type="dxa"/>
              <w:bottom w:w="0" w:type="dxa"/>
              <w:right w:w="15" w:type="dxa"/>
            </w:tcMar>
            <w:vAlign w:val="center"/>
          </w:tcPr>
          <w:p w14:paraId="06638D57" w14:textId="77777777" w:rsidR="008B532C" w:rsidRPr="00D67126" w:rsidRDefault="008B532C" w:rsidP="00AF5A74">
            <w:pPr>
              <w:rPr>
                <w:rFonts w:asciiTheme="minorHAnsi" w:hAnsiTheme="minorHAnsi" w:cstheme="minorHAnsi"/>
                <w:sz w:val="20"/>
                <w:szCs w:val="20"/>
              </w:rPr>
            </w:pPr>
          </w:p>
        </w:tc>
        <w:tc>
          <w:tcPr>
            <w:tcW w:w="639" w:type="pct"/>
            <w:tcBorders>
              <w:left w:val="nil"/>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3431F928" w14:textId="7EEBEB96" w:rsidR="008B532C" w:rsidRPr="00D67126" w:rsidRDefault="0047110F" w:rsidP="007E39D7">
            <w:pPr>
              <w:jc w:val="right"/>
              <w:textAlignment w:val="bottom"/>
              <w:rPr>
                <w:rFonts w:asciiTheme="minorHAnsi" w:hAnsiTheme="minorHAnsi" w:cstheme="minorHAnsi"/>
                <w:b/>
                <w:kern w:val="24"/>
                <w:sz w:val="20"/>
                <w:szCs w:val="20"/>
                <w:highlight w:val="yellow"/>
              </w:rPr>
            </w:pPr>
            <w:r w:rsidRPr="0047110F">
              <w:rPr>
                <w:rFonts w:asciiTheme="minorHAnsi" w:hAnsiTheme="minorHAnsi" w:cstheme="minorHAnsi"/>
                <w:b/>
                <w:kern w:val="24"/>
                <w:sz w:val="20"/>
                <w:szCs w:val="20"/>
              </w:rPr>
              <w:t>19.8</w:t>
            </w:r>
            <w:r w:rsidR="008B532C" w:rsidRPr="0047110F">
              <w:rPr>
                <w:rFonts w:asciiTheme="minorHAnsi" w:hAnsiTheme="minorHAnsi" w:cstheme="minorHAnsi"/>
                <w:b/>
                <w:kern w:val="24"/>
                <w:sz w:val="20"/>
                <w:szCs w:val="20"/>
              </w:rPr>
              <w:t>%</w:t>
            </w:r>
          </w:p>
        </w:tc>
        <w:tc>
          <w:tcPr>
            <w:tcW w:w="915" w:type="pct"/>
            <w:tcBorders>
              <w:left w:val="nil"/>
              <w:bottom w:val="single" w:sz="4" w:space="0" w:color="auto"/>
            </w:tcBorders>
            <w:shd w:val="clear" w:color="auto" w:fill="auto"/>
            <w:tcMar>
              <w:top w:w="15" w:type="dxa"/>
              <w:left w:w="15" w:type="dxa"/>
              <w:bottom w:w="0" w:type="dxa"/>
              <w:right w:w="15" w:type="dxa"/>
            </w:tcMar>
            <w:vAlign w:val="center"/>
          </w:tcPr>
          <w:p w14:paraId="7C302FFF" w14:textId="25354CF6" w:rsidR="008B532C" w:rsidRPr="00D67126" w:rsidRDefault="008B532C" w:rsidP="007E39D7">
            <w:pPr>
              <w:jc w:val="right"/>
              <w:textAlignment w:val="bottom"/>
              <w:rPr>
                <w:rFonts w:asciiTheme="minorHAnsi" w:hAnsiTheme="minorHAnsi" w:cstheme="minorHAnsi"/>
                <w:kern w:val="24"/>
                <w:sz w:val="20"/>
                <w:szCs w:val="20"/>
                <w:highlight w:val="green"/>
              </w:rPr>
            </w:pPr>
            <w:r w:rsidRPr="006C1098">
              <w:rPr>
                <w:rFonts w:asciiTheme="minorHAnsi" w:hAnsiTheme="minorHAnsi" w:cstheme="minorHAnsi"/>
                <w:kern w:val="24"/>
                <w:sz w:val="20"/>
                <w:szCs w:val="20"/>
              </w:rPr>
              <w:t>2</w:t>
            </w:r>
            <w:r w:rsidR="00E707E7" w:rsidRPr="006C1098">
              <w:rPr>
                <w:rFonts w:asciiTheme="minorHAnsi" w:hAnsiTheme="minorHAnsi" w:cstheme="minorHAnsi"/>
                <w:kern w:val="24"/>
                <w:sz w:val="20"/>
                <w:szCs w:val="20"/>
              </w:rPr>
              <w:t>1.</w:t>
            </w:r>
            <w:r w:rsidR="00B943E4">
              <w:rPr>
                <w:rFonts w:asciiTheme="minorHAnsi" w:hAnsiTheme="minorHAnsi" w:cstheme="minorHAnsi"/>
                <w:kern w:val="24"/>
                <w:sz w:val="20"/>
                <w:szCs w:val="20"/>
              </w:rPr>
              <w:t>1</w:t>
            </w:r>
            <w:r w:rsidRPr="006C1098">
              <w:rPr>
                <w:rFonts w:asciiTheme="minorHAnsi" w:hAnsiTheme="minorHAnsi" w:cstheme="minorHAnsi"/>
                <w:kern w:val="24"/>
                <w:sz w:val="20"/>
                <w:szCs w:val="20"/>
              </w:rPr>
              <w:t>%</w:t>
            </w:r>
          </w:p>
        </w:tc>
        <w:tc>
          <w:tcPr>
            <w:tcW w:w="773" w:type="pct"/>
            <w:tcBorders>
              <w:left w:val="nil"/>
              <w:bottom w:val="single" w:sz="4" w:space="0" w:color="auto"/>
            </w:tcBorders>
            <w:shd w:val="clear" w:color="auto" w:fill="auto"/>
            <w:tcMar>
              <w:top w:w="15" w:type="dxa"/>
              <w:left w:w="15" w:type="dxa"/>
              <w:bottom w:w="0" w:type="dxa"/>
              <w:right w:w="15" w:type="dxa"/>
            </w:tcMar>
            <w:vAlign w:val="center"/>
          </w:tcPr>
          <w:p w14:paraId="5FAE39E1" w14:textId="08D64D11" w:rsidR="008B532C" w:rsidRPr="00D67126" w:rsidRDefault="008B532C" w:rsidP="007E39D7">
            <w:pPr>
              <w:jc w:val="right"/>
              <w:textAlignment w:val="bottom"/>
              <w:rPr>
                <w:rFonts w:asciiTheme="minorHAnsi" w:hAnsiTheme="minorHAnsi" w:cstheme="minorHAnsi"/>
                <w:kern w:val="24"/>
                <w:sz w:val="20"/>
                <w:szCs w:val="20"/>
              </w:rPr>
            </w:pPr>
            <w:r>
              <w:rPr>
                <w:rFonts w:asciiTheme="minorHAnsi" w:hAnsiTheme="minorHAnsi" w:cstheme="minorHAnsi"/>
                <w:kern w:val="24"/>
                <w:sz w:val="20"/>
                <w:szCs w:val="20"/>
              </w:rPr>
              <w:t>(</w:t>
            </w:r>
            <w:r w:rsidR="006E5556">
              <w:rPr>
                <w:rFonts w:asciiTheme="minorHAnsi" w:hAnsiTheme="minorHAnsi" w:cstheme="minorHAnsi"/>
                <w:kern w:val="24"/>
                <w:sz w:val="20"/>
                <w:szCs w:val="20"/>
              </w:rPr>
              <w:t>1.</w:t>
            </w:r>
            <w:r w:rsidR="00CD440D">
              <w:rPr>
                <w:rFonts w:asciiTheme="minorHAnsi" w:hAnsiTheme="minorHAnsi" w:cstheme="minorHAnsi"/>
                <w:kern w:val="24"/>
                <w:sz w:val="20"/>
                <w:szCs w:val="20"/>
              </w:rPr>
              <w:t>3</w:t>
            </w:r>
            <w:r>
              <w:rPr>
                <w:rFonts w:asciiTheme="minorHAnsi" w:hAnsiTheme="minorHAnsi" w:cstheme="minorHAnsi"/>
                <w:kern w:val="24"/>
                <w:sz w:val="20"/>
                <w:szCs w:val="20"/>
              </w:rPr>
              <w:t>)</w:t>
            </w:r>
          </w:p>
        </w:tc>
      </w:tr>
    </w:tbl>
    <w:bookmarkEnd w:id="1"/>
    <w:p w14:paraId="0326F860" w14:textId="7F655E1B" w:rsidR="00007130" w:rsidRPr="00075A4D" w:rsidRDefault="00BB4256" w:rsidP="00007130">
      <w:pPr>
        <w:jc w:val="both"/>
        <w:rPr>
          <w:rStyle w:val="Strong"/>
          <w:rFonts w:asciiTheme="minorHAnsi" w:hAnsiTheme="minorHAnsi" w:cstheme="minorBidi"/>
          <w:sz w:val="20"/>
          <w:szCs w:val="20"/>
        </w:rPr>
      </w:pPr>
      <w:r>
        <w:rPr>
          <w:rStyle w:val="Strong"/>
          <w:rFonts w:asciiTheme="minorHAnsi" w:hAnsiTheme="minorHAnsi" w:cstheme="minorBidi"/>
          <w:color w:val="4747FF"/>
          <w:sz w:val="20"/>
          <w:szCs w:val="20"/>
        </w:rPr>
        <w:lastRenderedPageBreak/>
        <w:t>Update</w:t>
      </w:r>
      <w:r w:rsidR="00445A05">
        <w:rPr>
          <w:rStyle w:val="Strong"/>
          <w:rFonts w:asciiTheme="minorHAnsi" w:hAnsiTheme="minorHAnsi" w:cstheme="minorBidi"/>
          <w:color w:val="4747FF"/>
          <w:sz w:val="20"/>
          <w:szCs w:val="20"/>
        </w:rPr>
        <w:t xml:space="preserve"> of strategic plan</w:t>
      </w:r>
    </w:p>
    <w:p w14:paraId="091321FE" w14:textId="77777777" w:rsidR="00007130" w:rsidRPr="00075A4D" w:rsidRDefault="00007130" w:rsidP="00007130">
      <w:pPr>
        <w:jc w:val="both"/>
        <w:rPr>
          <w:rStyle w:val="Strong"/>
          <w:rFonts w:asciiTheme="minorHAnsi" w:hAnsiTheme="minorHAnsi" w:cstheme="minorBidi"/>
          <w:sz w:val="20"/>
          <w:szCs w:val="20"/>
        </w:rPr>
      </w:pPr>
    </w:p>
    <w:p w14:paraId="27786984" w14:textId="2225833F" w:rsidR="009B2849" w:rsidRPr="005E042B" w:rsidDel="00F60CE8" w:rsidRDefault="00417B0B" w:rsidP="00007130">
      <w:pPr>
        <w:jc w:val="both"/>
        <w:rPr>
          <w:rStyle w:val="Strong"/>
          <w:rFonts w:asciiTheme="minorHAnsi" w:hAnsiTheme="minorHAnsi" w:cstheme="minorBidi"/>
          <w:b w:val="0"/>
          <w:sz w:val="20"/>
          <w:szCs w:val="20"/>
        </w:rPr>
      </w:pPr>
      <w:r>
        <w:rPr>
          <w:rStyle w:val="Strong"/>
          <w:rFonts w:asciiTheme="minorHAnsi" w:hAnsiTheme="minorHAnsi" w:cstheme="minorBidi"/>
          <w:b w:val="0"/>
          <w:bCs w:val="0"/>
          <w:sz w:val="20"/>
          <w:szCs w:val="20"/>
        </w:rPr>
        <w:t xml:space="preserve">Vanquis Management </w:t>
      </w:r>
      <w:r w:rsidR="00DF1263">
        <w:rPr>
          <w:rStyle w:val="Strong"/>
          <w:rFonts w:asciiTheme="minorHAnsi" w:hAnsiTheme="minorHAnsi" w:cstheme="minorBidi"/>
          <w:b w:val="0"/>
          <w:bCs w:val="0"/>
          <w:sz w:val="20"/>
          <w:szCs w:val="20"/>
        </w:rPr>
        <w:t xml:space="preserve">has </w:t>
      </w:r>
      <w:r w:rsidR="00BB4256">
        <w:rPr>
          <w:rStyle w:val="Strong"/>
          <w:rFonts w:asciiTheme="minorHAnsi" w:hAnsiTheme="minorHAnsi" w:cstheme="minorBidi"/>
          <w:b w:val="0"/>
          <w:bCs w:val="0"/>
          <w:sz w:val="20"/>
          <w:szCs w:val="20"/>
        </w:rPr>
        <w:t>updated</w:t>
      </w:r>
      <w:r w:rsidR="00DF1263">
        <w:rPr>
          <w:rStyle w:val="Strong"/>
          <w:rFonts w:asciiTheme="minorHAnsi" w:hAnsiTheme="minorHAnsi" w:cstheme="minorBidi"/>
          <w:b w:val="0"/>
          <w:bCs w:val="0"/>
          <w:sz w:val="20"/>
          <w:szCs w:val="20"/>
        </w:rPr>
        <w:t xml:space="preserve"> its </w:t>
      </w:r>
      <w:r w:rsidR="00013021">
        <w:rPr>
          <w:rStyle w:val="Strong"/>
          <w:rFonts w:asciiTheme="minorHAnsi" w:hAnsiTheme="minorHAnsi" w:cstheme="minorBidi"/>
          <w:b w:val="0"/>
          <w:bCs w:val="0"/>
          <w:sz w:val="20"/>
          <w:szCs w:val="20"/>
        </w:rPr>
        <w:t>strategic plan.</w:t>
      </w:r>
    </w:p>
    <w:p w14:paraId="0540AAD9" w14:textId="77777777" w:rsidR="009B2849" w:rsidRPr="00075A4D" w:rsidRDefault="009B2849" w:rsidP="00007130">
      <w:pPr>
        <w:jc w:val="both"/>
        <w:rPr>
          <w:rStyle w:val="Strong"/>
          <w:rFonts w:asciiTheme="minorHAnsi" w:hAnsiTheme="minorHAnsi" w:cstheme="minorBidi"/>
          <w:sz w:val="20"/>
          <w:szCs w:val="20"/>
        </w:rPr>
      </w:pPr>
    </w:p>
    <w:p w14:paraId="3E0BB9B5" w14:textId="7C72F834" w:rsidR="00007130" w:rsidRPr="00075A4D" w:rsidRDefault="00013021" w:rsidP="00007130">
      <w:pPr>
        <w:pStyle w:val="ListParagraph"/>
        <w:numPr>
          <w:ilvl w:val="0"/>
          <w:numId w:val="41"/>
        </w:numPr>
        <w:jc w:val="both"/>
        <w:rPr>
          <w:rStyle w:val="Strong"/>
          <w:rFonts w:asciiTheme="minorHAnsi" w:hAnsiTheme="minorHAnsi" w:cstheme="minorBidi"/>
          <w:sz w:val="20"/>
          <w:szCs w:val="20"/>
        </w:rPr>
      </w:pPr>
      <w:r>
        <w:rPr>
          <w:rStyle w:val="Strong"/>
          <w:rFonts w:asciiTheme="minorHAnsi" w:hAnsiTheme="minorHAnsi" w:cstheme="minorBidi"/>
          <w:sz w:val="20"/>
          <w:szCs w:val="20"/>
        </w:rPr>
        <w:t>No change</w:t>
      </w:r>
      <w:r>
        <w:rPr>
          <w:rStyle w:val="Strong"/>
          <w:rFonts w:asciiTheme="minorHAnsi" w:hAnsiTheme="minorHAnsi" w:cstheme="minorBidi"/>
          <w:b w:val="0"/>
          <w:bCs w:val="0"/>
          <w:sz w:val="20"/>
          <w:szCs w:val="20"/>
        </w:rPr>
        <w:t xml:space="preserve"> </w:t>
      </w:r>
      <w:r w:rsidR="00423E9E">
        <w:rPr>
          <w:rStyle w:val="Strong"/>
          <w:rFonts w:asciiTheme="minorHAnsi" w:hAnsiTheme="minorHAnsi" w:cstheme="minorBidi"/>
          <w:b w:val="0"/>
          <w:bCs w:val="0"/>
          <w:sz w:val="20"/>
          <w:szCs w:val="20"/>
        </w:rPr>
        <w:t xml:space="preserve">to </w:t>
      </w:r>
      <w:r w:rsidR="00B4099E">
        <w:rPr>
          <w:rStyle w:val="Strong"/>
          <w:rFonts w:asciiTheme="minorHAnsi" w:hAnsiTheme="minorHAnsi" w:cstheme="minorBidi"/>
          <w:b w:val="0"/>
          <w:bCs w:val="0"/>
          <w:sz w:val="20"/>
          <w:szCs w:val="20"/>
        </w:rPr>
        <w:t>purpose and strategy</w:t>
      </w:r>
      <w:r w:rsidR="00C47594">
        <w:rPr>
          <w:rStyle w:val="Strong"/>
          <w:rFonts w:asciiTheme="minorHAnsi" w:hAnsiTheme="minorHAnsi" w:cstheme="minorBidi"/>
          <w:b w:val="0"/>
          <w:bCs w:val="0"/>
          <w:sz w:val="20"/>
          <w:szCs w:val="20"/>
        </w:rPr>
        <w:t xml:space="preserve">: Vanquis has a unique role to play in </w:t>
      </w:r>
      <w:r w:rsidR="00A34FAD">
        <w:rPr>
          <w:rStyle w:val="Strong"/>
          <w:rFonts w:asciiTheme="minorHAnsi" w:hAnsiTheme="minorHAnsi" w:cstheme="minorBidi"/>
          <w:b w:val="0"/>
          <w:bCs w:val="0"/>
          <w:sz w:val="20"/>
          <w:szCs w:val="20"/>
        </w:rPr>
        <w:t xml:space="preserve">delivering caring banking </w:t>
      </w:r>
      <w:r w:rsidR="00236409">
        <w:rPr>
          <w:rStyle w:val="Strong"/>
          <w:rFonts w:asciiTheme="minorHAnsi" w:hAnsiTheme="minorHAnsi" w:cstheme="minorBidi"/>
          <w:b w:val="0"/>
          <w:bCs w:val="0"/>
          <w:sz w:val="20"/>
          <w:szCs w:val="20"/>
        </w:rPr>
        <w:t xml:space="preserve">so that customers can make the most of life’s opportunities. </w:t>
      </w:r>
    </w:p>
    <w:p w14:paraId="257EF417" w14:textId="6149E127" w:rsidR="008651BB" w:rsidRPr="002514B0" w:rsidRDefault="002514B0" w:rsidP="00007130">
      <w:pPr>
        <w:pStyle w:val="ListParagraph"/>
        <w:numPr>
          <w:ilvl w:val="0"/>
          <w:numId w:val="41"/>
        </w:numPr>
        <w:jc w:val="both"/>
        <w:rPr>
          <w:rStyle w:val="Strong"/>
          <w:rFonts w:asciiTheme="minorHAnsi" w:hAnsiTheme="minorHAnsi" w:cstheme="minorBidi"/>
          <w:sz w:val="20"/>
          <w:szCs w:val="20"/>
        </w:rPr>
      </w:pPr>
      <w:r>
        <w:rPr>
          <w:rStyle w:val="Strong"/>
          <w:rFonts w:asciiTheme="minorHAnsi" w:hAnsiTheme="minorHAnsi" w:cstheme="minorBidi"/>
          <w:sz w:val="20"/>
          <w:szCs w:val="20"/>
        </w:rPr>
        <w:t xml:space="preserve">Continued development </w:t>
      </w:r>
      <w:r>
        <w:rPr>
          <w:rStyle w:val="Strong"/>
          <w:rFonts w:asciiTheme="minorHAnsi" w:hAnsiTheme="minorHAnsi" w:cstheme="minorBidi"/>
          <w:b w:val="0"/>
          <w:bCs w:val="0"/>
          <w:sz w:val="20"/>
          <w:szCs w:val="20"/>
        </w:rPr>
        <w:t xml:space="preserve">of customer proposition. </w:t>
      </w:r>
    </w:p>
    <w:p w14:paraId="07B54B1F" w14:textId="077D9719" w:rsidR="002514B0" w:rsidRPr="00BF5C2A" w:rsidRDefault="00AF6DAE" w:rsidP="00007130">
      <w:pPr>
        <w:pStyle w:val="ListParagraph"/>
        <w:numPr>
          <w:ilvl w:val="0"/>
          <w:numId w:val="41"/>
        </w:numPr>
        <w:jc w:val="both"/>
        <w:rPr>
          <w:rStyle w:val="Strong"/>
          <w:rFonts w:asciiTheme="minorHAnsi" w:hAnsiTheme="minorHAnsi" w:cstheme="minorBidi"/>
          <w:sz w:val="20"/>
          <w:szCs w:val="20"/>
        </w:rPr>
      </w:pPr>
      <w:r>
        <w:rPr>
          <w:rStyle w:val="Strong"/>
          <w:rFonts w:asciiTheme="minorHAnsi" w:hAnsiTheme="minorHAnsi" w:cstheme="minorBidi"/>
          <w:sz w:val="20"/>
          <w:szCs w:val="20"/>
        </w:rPr>
        <w:t xml:space="preserve">Continued </w:t>
      </w:r>
      <w:r w:rsidR="00281C48">
        <w:rPr>
          <w:rStyle w:val="Strong"/>
          <w:rFonts w:asciiTheme="minorHAnsi" w:hAnsiTheme="minorHAnsi" w:cstheme="minorBidi"/>
          <w:sz w:val="20"/>
          <w:szCs w:val="20"/>
        </w:rPr>
        <w:t xml:space="preserve">implementation </w:t>
      </w:r>
      <w:r w:rsidR="00281C48">
        <w:rPr>
          <w:rStyle w:val="Strong"/>
          <w:rFonts w:asciiTheme="minorHAnsi" w:hAnsiTheme="minorHAnsi" w:cstheme="minorBidi"/>
          <w:b w:val="0"/>
          <w:bCs w:val="0"/>
          <w:sz w:val="20"/>
          <w:szCs w:val="20"/>
        </w:rPr>
        <w:t xml:space="preserve">of Gateway transformation plan. </w:t>
      </w:r>
    </w:p>
    <w:p w14:paraId="47F302D8" w14:textId="1428C6C1" w:rsidR="00BF5C2A" w:rsidRPr="00075A4D" w:rsidRDefault="00BF5C2A" w:rsidP="00007130">
      <w:pPr>
        <w:pStyle w:val="ListParagraph"/>
        <w:numPr>
          <w:ilvl w:val="0"/>
          <w:numId w:val="41"/>
        </w:numPr>
        <w:jc w:val="both"/>
        <w:rPr>
          <w:rStyle w:val="Strong"/>
          <w:rFonts w:asciiTheme="minorHAnsi" w:hAnsiTheme="minorHAnsi" w:cstheme="minorBidi"/>
          <w:sz w:val="20"/>
          <w:szCs w:val="20"/>
        </w:rPr>
      </w:pPr>
      <w:r>
        <w:rPr>
          <w:rStyle w:val="Strong"/>
          <w:rFonts w:asciiTheme="minorHAnsi" w:hAnsiTheme="minorHAnsi" w:cstheme="minorBidi"/>
          <w:sz w:val="20"/>
          <w:szCs w:val="20"/>
        </w:rPr>
        <w:t xml:space="preserve">Further business streamlining </w:t>
      </w:r>
      <w:r w:rsidR="00CA3696">
        <w:rPr>
          <w:rStyle w:val="Strong"/>
          <w:rFonts w:asciiTheme="minorHAnsi" w:hAnsiTheme="minorHAnsi" w:cstheme="minorBidi"/>
          <w:b w:val="0"/>
          <w:bCs w:val="0"/>
          <w:sz w:val="20"/>
          <w:szCs w:val="20"/>
        </w:rPr>
        <w:t xml:space="preserve">to deliver an additional </w:t>
      </w:r>
      <w:r w:rsidR="006C6E59">
        <w:rPr>
          <w:rStyle w:val="Strong"/>
          <w:rFonts w:asciiTheme="minorHAnsi" w:hAnsiTheme="minorHAnsi" w:cstheme="minorBidi"/>
          <w:b w:val="0"/>
          <w:bCs w:val="0"/>
          <w:sz w:val="20"/>
          <w:szCs w:val="20"/>
        </w:rPr>
        <w:t>£</w:t>
      </w:r>
      <w:r w:rsidR="00043664">
        <w:rPr>
          <w:rStyle w:val="Strong"/>
          <w:rFonts w:asciiTheme="minorHAnsi" w:hAnsiTheme="minorHAnsi" w:cstheme="minorBidi"/>
          <w:b w:val="0"/>
          <w:bCs w:val="0"/>
          <w:sz w:val="20"/>
          <w:szCs w:val="20"/>
        </w:rPr>
        <w:t>15</w:t>
      </w:r>
      <w:r w:rsidR="006C6E59">
        <w:rPr>
          <w:rStyle w:val="Strong"/>
          <w:rFonts w:asciiTheme="minorHAnsi" w:hAnsiTheme="minorHAnsi" w:cstheme="minorBidi"/>
          <w:b w:val="0"/>
          <w:bCs w:val="0"/>
          <w:sz w:val="20"/>
          <w:szCs w:val="20"/>
        </w:rPr>
        <w:t xml:space="preserve">m of cost savings </w:t>
      </w:r>
      <w:r w:rsidR="00034CD6" w:rsidRPr="002725AC">
        <w:rPr>
          <w:rStyle w:val="Strong"/>
          <w:rFonts w:asciiTheme="minorHAnsi" w:hAnsiTheme="minorHAnsi" w:cstheme="minorBidi"/>
          <w:b w:val="0"/>
          <w:sz w:val="20"/>
          <w:szCs w:val="20"/>
        </w:rPr>
        <w:t>by the end of 2025</w:t>
      </w:r>
      <w:r w:rsidR="00034CD6">
        <w:rPr>
          <w:rStyle w:val="Strong"/>
          <w:rFonts w:asciiTheme="minorHAnsi" w:hAnsiTheme="minorHAnsi" w:cstheme="minorBidi"/>
          <w:b w:val="0"/>
          <w:bCs w:val="0"/>
          <w:sz w:val="20"/>
          <w:szCs w:val="20"/>
        </w:rPr>
        <w:t xml:space="preserve">. </w:t>
      </w:r>
      <w:r w:rsidR="00E0441A">
        <w:rPr>
          <w:rStyle w:val="Strong"/>
          <w:rFonts w:asciiTheme="minorHAnsi" w:hAnsiTheme="minorHAnsi" w:cstheme="minorBidi"/>
          <w:b w:val="0"/>
          <w:bCs w:val="0"/>
          <w:i/>
          <w:iCs/>
          <w:sz w:val="20"/>
          <w:szCs w:val="20"/>
        </w:rPr>
        <w:t xml:space="preserve"> </w:t>
      </w:r>
    </w:p>
    <w:p w14:paraId="5D572262" w14:textId="13666D8D" w:rsidR="00E84366" w:rsidRPr="00075A4D" w:rsidRDefault="00C06C00" w:rsidP="00007130">
      <w:pPr>
        <w:pStyle w:val="ListParagraph"/>
        <w:numPr>
          <w:ilvl w:val="0"/>
          <w:numId w:val="41"/>
        </w:numPr>
        <w:jc w:val="both"/>
        <w:rPr>
          <w:rStyle w:val="Strong"/>
          <w:rFonts w:asciiTheme="minorHAnsi" w:hAnsiTheme="minorHAnsi" w:cstheme="minorBidi"/>
          <w:sz w:val="20"/>
          <w:szCs w:val="20"/>
        </w:rPr>
      </w:pPr>
      <w:r>
        <w:rPr>
          <w:rStyle w:val="Strong"/>
          <w:rFonts w:asciiTheme="minorHAnsi" w:hAnsiTheme="minorHAnsi" w:cstheme="minorBidi"/>
          <w:sz w:val="20"/>
          <w:szCs w:val="20"/>
        </w:rPr>
        <w:t xml:space="preserve">Opportunities for </w:t>
      </w:r>
      <w:r w:rsidR="522EF001" w:rsidRPr="5866A31E">
        <w:rPr>
          <w:rStyle w:val="Strong"/>
          <w:rFonts w:asciiTheme="minorHAnsi" w:hAnsiTheme="minorHAnsi" w:cstheme="minorBidi"/>
          <w:sz w:val="20"/>
          <w:szCs w:val="20"/>
        </w:rPr>
        <w:t>further</w:t>
      </w:r>
      <w:r w:rsidRPr="5866A31E">
        <w:rPr>
          <w:rStyle w:val="Strong"/>
          <w:rFonts w:asciiTheme="minorHAnsi" w:hAnsiTheme="minorHAnsi" w:cstheme="minorBidi"/>
          <w:sz w:val="20"/>
          <w:szCs w:val="20"/>
        </w:rPr>
        <w:t xml:space="preserve"> </w:t>
      </w:r>
      <w:r>
        <w:rPr>
          <w:rStyle w:val="Strong"/>
          <w:rFonts w:asciiTheme="minorHAnsi" w:hAnsiTheme="minorHAnsi" w:cstheme="minorBidi"/>
          <w:sz w:val="20"/>
          <w:szCs w:val="20"/>
        </w:rPr>
        <w:t>revenue optimisation in Credit Cards</w:t>
      </w:r>
      <w:r w:rsidR="127EA2BE" w:rsidRPr="5866A31E">
        <w:rPr>
          <w:rStyle w:val="Strong"/>
          <w:rFonts w:asciiTheme="minorHAnsi" w:hAnsiTheme="minorHAnsi" w:cstheme="minorBidi"/>
          <w:sz w:val="20"/>
          <w:szCs w:val="20"/>
        </w:rPr>
        <w:t>.</w:t>
      </w:r>
    </w:p>
    <w:p w14:paraId="27D6CF21" w14:textId="027BE289" w:rsidR="007D434D" w:rsidRPr="00075A4D" w:rsidRDefault="00087C49" w:rsidP="00007130">
      <w:pPr>
        <w:pStyle w:val="ListParagraph"/>
        <w:numPr>
          <w:ilvl w:val="0"/>
          <w:numId w:val="41"/>
        </w:numPr>
        <w:jc w:val="both"/>
        <w:rPr>
          <w:rStyle w:val="Strong"/>
          <w:rFonts w:asciiTheme="minorHAnsi" w:hAnsiTheme="minorHAnsi" w:cstheme="minorBidi"/>
          <w:sz w:val="20"/>
          <w:szCs w:val="20"/>
        </w:rPr>
      </w:pPr>
      <w:r>
        <w:rPr>
          <w:rStyle w:val="Strong"/>
          <w:rFonts w:asciiTheme="minorHAnsi" w:hAnsiTheme="minorHAnsi" w:cstheme="minorBidi"/>
          <w:sz w:val="20"/>
          <w:szCs w:val="20"/>
        </w:rPr>
        <w:t xml:space="preserve">Target Tier 1 </w:t>
      </w:r>
      <w:r w:rsidR="007674EB">
        <w:rPr>
          <w:rStyle w:val="Strong"/>
          <w:rFonts w:asciiTheme="minorHAnsi" w:hAnsiTheme="minorHAnsi" w:cstheme="minorBidi"/>
          <w:sz w:val="20"/>
          <w:szCs w:val="20"/>
        </w:rPr>
        <w:t xml:space="preserve">capital ratio reset </w:t>
      </w:r>
      <w:r w:rsidR="004D768C">
        <w:rPr>
          <w:rStyle w:val="Strong"/>
          <w:rFonts w:asciiTheme="minorHAnsi" w:hAnsiTheme="minorHAnsi" w:cstheme="minorBidi"/>
          <w:sz w:val="20"/>
          <w:szCs w:val="20"/>
        </w:rPr>
        <w:t>to</w:t>
      </w:r>
      <w:r w:rsidR="007674EB">
        <w:rPr>
          <w:rStyle w:val="Strong"/>
          <w:rFonts w:asciiTheme="minorHAnsi" w:hAnsiTheme="minorHAnsi" w:cstheme="minorBidi"/>
          <w:sz w:val="20"/>
          <w:szCs w:val="20"/>
        </w:rPr>
        <w:t xml:space="preserve"> 18.5 – 19.5%</w:t>
      </w:r>
      <w:r w:rsidR="00D31612">
        <w:rPr>
          <w:rStyle w:val="Strong"/>
          <w:rFonts w:asciiTheme="minorHAnsi" w:hAnsiTheme="minorHAnsi" w:cstheme="minorBidi"/>
          <w:b w:val="0"/>
          <w:bCs w:val="0"/>
          <w:sz w:val="20"/>
          <w:szCs w:val="20"/>
        </w:rPr>
        <w:t xml:space="preserve">, reflecting the Group’s </w:t>
      </w:r>
      <w:r w:rsidR="00A11D42">
        <w:rPr>
          <w:rStyle w:val="Strong"/>
          <w:rFonts w:asciiTheme="minorHAnsi" w:hAnsiTheme="minorHAnsi" w:cstheme="minorBidi"/>
          <w:b w:val="0"/>
          <w:bCs w:val="0"/>
          <w:sz w:val="20"/>
          <w:szCs w:val="20"/>
        </w:rPr>
        <w:t>clearer and more stable financial position</w:t>
      </w:r>
      <w:r w:rsidR="002B7FF4">
        <w:rPr>
          <w:rStyle w:val="Strong"/>
          <w:rFonts w:asciiTheme="minorHAnsi" w:hAnsiTheme="minorHAnsi" w:cstheme="minorBidi"/>
          <w:b w:val="0"/>
          <w:bCs w:val="0"/>
          <w:sz w:val="20"/>
          <w:szCs w:val="20"/>
        </w:rPr>
        <w:t>.</w:t>
      </w:r>
    </w:p>
    <w:p w14:paraId="62E03A92" w14:textId="77777777" w:rsidR="00007130" w:rsidRDefault="00007130" w:rsidP="00007130">
      <w:pPr>
        <w:jc w:val="both"/>
        <w:rPr>
          <w:rStyle w:val="Strong"/>
          <w:rFonts w:asciiTheme="minorHAnsi" w:hAnsiTheme="minorHAnsi" w:cstheme="minorBidi"/>
          <w:color w:val="4747FF"/>
          <w:sz w:val="20"/>
          <w:szCs w:val="20"/>
        </w:rPr>
      </w:pPr>
    </w:p>
    <w:p w14:paraId="4F33DE30" w14:textId="77777777" w:rsidR="00007130" w:rsidRPr="00F44F67" w:rsidRDefault="00007130" w:rsidP="00007130">
      <w:pPr>
        <w:jc w:val="both"/>
        <w:rPr>
          <w:rStyle w:val="Strong"/>
          <w:rFonts w:asciiTheme="minorHAnsi" w:hAnsiTheme="minorHAnsi" w:cstheme="minorBidi"/>
          <w:sz w:val="20"/>
          <w:szCs w:val="20"/>
          <w:u w:val="single"/>
        </w:rPr>
      </w:pPr>
      <w:r w:rsidRPr="00F44F67">
        <w:rPr>
          <w:rStyle w:val="Strong"/>
          <w:rFonts w:asciiTheme="minorHAnsi" w:hAnsiTheme="minorHAnsi" w:cstheme="minorBidi"/>
          <w:color w:val="4747FF"/>
          <w:sz w:val="20"/>
          <w:szCs w:val="20"/>
          <w:u w:val="single"/>
        </w:rPr>
        <w:t>1H24 headlines</w:t>
      </w:r>
    </w:p>
    <w:p w14:paraId="13DFA78A" w14:textId="77777777" w:rsidR="00007130" w:rsidRPr="00D67126" w:rsidRDefault="00007130" w:rsidP="00007130">
      <w:pPr>
        <w:jc w:val="both"/>
        <w:rPr>
          <w:rStyle w:val="Strong"/>
          <w:rFonts w:asciiTheme="minorHAnsi" w:hAnsiTheme="minorHAnsi" w:cstheme="minorHAnsi"/>
          <w:sz w:val="20"/>
          <w:szCs w:val="20"/>
        </w:rPr>
      </w:pPr>
    </w:p>
    <w:p w14:paraId="062B1348" w14:textId="77777777" w:rsidR="00007130" w:rsidRDefault="00007130" w:rsidP="00007130">
      <w:pPr>
        <w:pStyle w:val="NoSpacing"/>
        <w:jc w:val="both"/>
        <w:rPr>
          <w:rStyle w:val="Strong"/>
          <w:color w:val="4747FF"/>
          <w:sz w:val="20"/>
          <w:szCs w:val="20"/>
        </w:rPr>
      </w:pPr>
      <w:r w:rsidRPr="350DDE80">
        <w:rPr>
          <w:rStyle w:val="Strong"/>
          <w:color w:val="4747FF"/>
          <w:sz w:val="20"/>
          <w:szCs w:val="20"/>
        </w:rPr>
        <w:t xml:space="preserve">Business performance: </w:t>
      </w:r>
      <w:r>
        <w:rPr>
          <w:rStyle w:val="Strong"/>
          <w:color w:val="4747FF"/>
          <w:sz w:val="20"/>
          <w:szCs w:val="20"/>
        </w:rPr>
        <w:t>progress with business transformation</w:t>
      </w:r>
      <w:r w:rsidRPr="1BAAE010">
        <w:rPr>
          <w:rStyle w:val="Strong"/>
          <w:color w:val="4747FF"/>
          <w:sz w:val="20"/>
          <w:szCs w:val="20"/>
        </w:rPr>
        <w:t>,</w:t>
      </w:r>
      <w:r w:rsidRPr="350DDE80">
        <w:rPr>
          <w:rStyle w:val="Strong"/>
          <w:color w:val="4747FF"/>
          <w:sz w:val="20"/>
          <w:szCs w:val="20"/>
        </w:rPr>
        <w:t xml:space="preserve"> </w:t>
      </w:r>
      <w:r>
        <w:rPr>
          <w:rStyle w:val="Strong"/>
          <w:color w:val="4747FF"/>
          <w:sz w:val="20"/>
          <w:szCs w:val="20"/>
        </w:rPr>
        <w:t>financial position now clearer and more stable</w:t>
      </w:r>
    </w:p>
    <w:p w14:paraId="3D8F62D6" w14:textId="77777777" w:rsidR="00007130" w:rsidRPr="00D67126" w:rsidRDefault="00007130" w:rsidP="00007130">
      <w:pPr>
        <w:pStyle w:val="NoSpacing"/>
        <w:jc w:val="both"/>
        <w:rPr>
          <w:rStyle w:val="Strong"/>
          <w:rFonts w:cstheme="minorHAnsi"/>
          <w:bCs w:val="0"/>
          <w:sz w:val="20"/>
          <w:szCs w:val="20"/>
        </w:rPr>
      </w:pPr>
    </w:p>
    <w:p w14:paraId="40CF6FA1" w14:textId="724906BB" w:rsidR="00007130" w:rsidRPr="00C668E1" w:rsidRDefault="00007130" w:rsidP="00007130">
      <w:pPr>
        <w:pStyle w:val="NoSpacing"/>
        <w:numPr>
          <w:ilvl w:val="0"/>
          <w:numId w:val="38"/>
        </w:numPr>
        <w:jc w:val="both"/>
        <w:rPr>
          <w:sz w:val="20"/>
          <w:szCs w:val="20"/>
        </w:rPr>
      </w:pPr>
      <w:r w:rsidRPr="0015013A">
        <w:rPr>
          <w:b/>
          <w:sz w:val="20"/>
        </w:rPr>
        <w:t xml:space="preserve">Gross </w:t>
      </w:r>
      <w:r>
        <w:rPr>
          <w:b/>
          <w:sz w:val="20"/>
          <w:szCs w:val="20"/>
        </w:rPr>
        <w:t>C</w:t>
      </w:r>
      <w:r w:rsidRPr="0015013A">
        <w:rPr>
          <w:b/>
          <w:sz w:val="20"/>
          <w:szCs w:val="20"/>
        </w:rPr>
        <w:t xml:space="preserve">ustomer </w:t>
      </w:r>
      <w:r>
        <w:rPr>
          <w:b/>
          <w:sz w:val="20"/>
          <w:szCs w:val="20"/>
        </w:rPr>
        <w:t>I</w:t>
      </w:r>
      <w:r w:rsidRPr="0015013A">
        <w:rPr>
          <w:b/>
          <w:sz w:val="20"/>
          <w:szCs w:val="20"/>
        </w:rPr>
        <w:t xml:space="preserve">nterest </w:t>
      </w:r>
      <w:r>
        <w:rPr>
          <w:b/>
          <w:sz w:val="20"/>
          <w:szCs w:val="20"/>
        </w:rPr>
        <w:t>E</w:t>
      </w:r>
      <w:r w:rsidRPr="0015013A">
        <w:rPr>
          <w:b/>
          <w:sz w:val="20"/>
          <w:szCs w:val="20"/>
        </w:rPr>
        <w:t xml:space="preserve">arning </w:t>
      </w:r>
      <w:r>
        <w:rPr>
          <w:b/>
          <w:sz w:val="20"/>
          <w:szCs w:val="20"/>
        </w:rPr>
        <w:t>B</w:t>
      </w:r>
      <w:r w:rsidRPr="0015013A">
        <w:rPr>
          <w:b/>
          <w:sz w:val="20"/>
          <w:szCs w:val="20"/>
        </w:rPr>
        <w:t xml:space="preserve">alances </w:t>
      </w:r>
      <w:r w:rsidRPr="2A194912">
        <w:rPr>
          <w:sz w:val="20"/>
          <w:szCs w:val="20"/>
        </w:rPr>
        <w:t>at 30 June of</w:t>
      </w:r>
      <w:r w:rsidRPr="00C668E1">
        <w:rPr>
          <w:sz w:val="20"/>
          <w:szCs w:val="20"/>
        </w:rPr>
        <w:t xml:space="preserve"> </w:t>
      </w:r>
      <w:r w:rsidRPr="00E6202F">
        <w:rPr>
          <w:sz w:val="20"/>
          <w:szCs w:val="20"/>
        </w:rPr>
        <w:t>£2,254.2m</w:t>
      </w:r>
      <w:r w:rsidRPr="2A194912">
        <w:rPr>
          <w:sz w:val="20"/>
          <w:szCs w:val="20"/>
        </w:rPr>
        <w:t xml:space="preserve">, a decline of </w:t>
      </w:r>
      <w:r w:rsidRPr="00E6202F">
        <w:rPr>
          <w:sz w:val="20"/>
          <w:szCs w:val="20"/>
        </w:rPr>
        <w:t>5%</w:t>
      </w:r>
      <w:r>
        <w:rPr>
          <w:sz w:val="20"/>
          <w:szCs w:val="20"/>
        </w:rPr>
        <w:t xml:space="preserve"> </w:t>
      </w:r>
      <w:r w:rsidR="00F971CD">
        <w:rPr>
          <w:sz w:val="20"/>
          <w:szCs w:val="20"/>
        </w:rPr>
        <w:t xml:space="preserve">(1H23: </w:t>
      </w:r>
      <w:r w:rsidR="00EB7929">
        <w:rPr>
          <w:sz w:val="20"/>
          <w:szCs w:val="20"/>
        </w:rPr>
        <w:t>£2,370.7m)</w:t>
      </w:r>
      <w:r w:rsidR="00AD1000">
        <w:rPr>
          <w:sz w:val="20"/>
          <w:szCs w:val="20"/>
        </w:rPr>
        <w:t>.</w:t>
      </w:r>
    </w:p>
    <w:p w14:paraId="70FA3CB1" w14:textId="06CB0D37" w:rsidR="00007130" w:rsidRPr="00C668E1" w:rsidRDefault="00007130" w:rsidP="00007130">
      <w:pPr>
        <w:pStyle w:val="NoSpacing"/>
        <w:numPr>
          <w:ilvl w:val="1"/>
          <w:numId w:val="30"/>
        </w:numPr>
        <w:jc w:val="both"/>
        <w:rPr>
          <w:sz w:val="20"/>
          <w:szCs w:val="20"/>
        </w:rPr>
      </w:pPr>
      <w:r w:rsidRPr="00C668E1">
        <w:rPr>
          <w:sz w:val="20"/>
          <w:szCs w:val="20"/>
        </w:rPr>
        <w:t xml:space="preserve">New customer acquisitions </w:t>
      </w:r>
      <w:r w:rsidRPr="00D67126">
        <w:rPr>
          <w:rFonts w:cstheme="minorHAnsi"/>
          <w:sz w:val="20"/>
          <w:szCs w:val="20"/>
        </w:rPr>
        <w:t xml:space="preserve">grew </w:t>
      </w:r>
      <w:r>
        <w:rPr>
          <w:rFonts w:cstheme="minorHAnsi"/>
          <w:sz w:val="20"/>
          <w:szCs w:val="20"/>
        </w:rPr>
        <w:t>ahead of plan</w:t>
      </w:r>
      <w:r w:rsidR="00AD1000">
        <w:rPr>
          <w:rFonts w:cstheme="minorHAnsi"/>
          <w:sz w:val="20"/>
          <w:szCs w:val="20"/>
        </w:rPr>
        <w:t>.</w:t>
      </w:r>
    </w:p>
    <w:p w14:paraId="4AF73DE6" w14:textId="457C09D8" w:rsidR="00007130" w:rsidRPr="00C668E1" w:rsidRDefault="00007130" w:rsidP="00007130">
      <w:pPr>
        <w:pStyle w:val="NoSpacing"/>
        <w:numPr>
          <w:ilvl w:val="1"/>
          <w:numId w:val="30"/>
        </w:numPr>
        <w:jc w:val="both"/>
        <w:rPr>
          <w:sz w:val="20"/>
          <w:szCs w:val="20"/>
        </w:rPr>
      </w:pPr>
      <w:r>
        <w:rPr>
          <w:rFonts w:cstheme="minorHAnsi"/>
          <w:sz w:val="20"/>
          <w:szCs w:val="20"/>
        </w:rPr>
        <w:t xml:space="preserve">Overall </w:t>
      </w:r>
      <w:r w:rsidRPr="00C668E1">
        <w:rPr>
          <w:sz w:val="20"/>
          <w:szCs w:val="20"/>
        </w:rPr>
        <w:t xml:space="preserve">reduction in receivables was </w:t>
      </w:r>
      <w:r>
        <w:rPr>
          <w:sz w:val="20"/>
          <w:szCs w:val="20"/>
        </w:rPr>
        <w:t>d</w:t>
      </w:r>
      <w:r w:rsidRPr="00C668E1">
        <w:rPr>
          <w:sz w:val="20"/>
          <w:szCs w:val="20"/>
        </w:rPr>
        <w:t>ue to proactive volume management in 2H23, along with reduced customer spending and higher debt repayments</w:t>
      </w:r>
      <w:r w:rsidR="00AD1000">
        <w:rPr>
          <w:sz w:val="20"/>
          <w:szCs w:val="20"/>
        </w:rPr>
        <w:t>.</w:t>
      </w:r>
    </w:p>
    <w:p w14:paraId="0A0E741A" w14:textId="77777777" w:rsidR="00007130" w:rsidRPr="00C668E1" w:rsidRDefault="00007130" w:rsidP="00007130">
      <w:pPr>
        <w:pStyle w:val="NoSpacing"/>
        <w:numPr>
          <w:ilvl w:val="1"/>
          <w:numId w:val="30"/>
        </w:numPr>
        <w:jc w:val="both"/>
        <w:rPr>
          <w:sz w:val="20"/>
          <w:szCs w:val="20"/>
        </w:rPr>
      </w:pPr>
      <w:r>
        <w:rPr>
          <w:sz w:val="20"/>
          <w:szCs w:val="20"/>
        </w:rPr>
        <w:t>D</w:t>
      </w:r>
      <w:r w:rsidRPr="00C668E1">
        <w:rPr>
          <w:sz w:val="20"/>
          <w:szCs w:val="20"/>
        </w:rPr>
        <w:t>ecline in receivables moderated in April and May, with a slight increase in June.</w:t>
      </w:r>
    </w:p>
    <w:p w14:paraId="6788D139" w14:textId="2BE16584" w:rsidR="00007130" w:rsidRPr="00C668E1" w:rsidRDefault="00007130" w:rsidP="00007130">
      <w:pPr>
        <w:pStyle w:val="NoSpacing"/>
        <w:numPr>
          <w:ilvl w:val="0"/>
          <w:numId w:val="30"/>
        </w:numPr>
        <w:jc w:val="both"/>
        <w:rPr>
          <w:sz w:val="20"/>
          <w:szCs w:val="20"/>
        </w:rPr>
      </w:pPr>
      <w:r w:rsidRPr="00421373">
        <w:rPr>
          <w:b/>
          <w:sz w:val="20"/>
        </w:rPr>
        <w:t>NIM</w:t>
      </w:r>
      <w:r w:rsidRPr="00C668E1">
        <w:rPr>
          <w:b/>
          <w:bCs/>
          <w:sz w:val="20"/>
          <w:szCs w:val="20"/>
        </w:rPr>
        <w:t>:</w:t>
      </w:r>
      <w:r w:rsidRPr="00C668E1">
        <w:rPr>
          <w:sz w:val="20"/>
          <w:szCs w:val="20"/>
        </w:rPr>
        <w:t xml:space="preserve"> </w:t>
      </w:r>
      <w:r>
        <w:rPr>
          <w:sz w:val="20"/>
          <w:szCs w:val="20"/>
        </w:rPr>
        <w:t>s</w:t>
      </w:r>
      <w:r w:rsidRPr="00C668E1">
        <w:rPr>
          <w:sz w:val="20"/>
          <w:szCs w:val="20"/>
        </w:rPr>
        <w:t xml:space="preserve">table at </w:t>
      </w:r>
      <w:r w:rsidRPr="00E6202F">
        <w:rPr>
          <w:sz w:val="20"/>
          <w:szCs w:val="20"/>
        </w:rPr>
        <w:t>18.8%</w:t>
      </w:r>
      <w:r w:rsidR="00F971CD">
        <w:rPr>
          <w:sz w:val="20"/>
          <w:szCs w:val="20"/>
        </w:rPr>
        <w:t xml:space="preserve"> (1H23: 18.7%)</w:t>
      </w:r>
      <w:r w:rsidR="00AD1000">
        <w:rPr>
          <w:sz w:val="20"/>
          <w:szCs w:val="20"/>
        </w:rPr>
        <w:t>.</w:t>
      </w:r>
    </w:p>
    <w:p w14:paraId="06CF785D" w14:textId="47654554" w:rsidR="00007130" w:rsidRPr="00C668E1" w:rsidRDefault="00007130" w:rsidP="00007130">
      <w:pPr>
        <w:pStyle w:val="NoSpacing"/>
        <w:numPr>
          <w:ilvl w:val="0"/>
          <w:numId w:val="30"/>
        </w:numPr>
        <w:jc w:val="both"/>
        <w:rPr>
          <w:sz w:val="20"/>
          <w:szCs w:val="20"/>
        </w:rPr>
      </w:pPr>
      <w:r>
        <w:rPr>
          <w:b/>
          <w:sz w:val="20"/>
        </w:rPr>
        <w:t xml:space="preserve">Net </w:t>
      </w:r>
      <w:r w:rsidRPr="00C668E1">
        <w:rPr>
          <w:b/>
          <w:bCs/>
          <w:sz w:val="20"/>
          <w:szCs w:val="20"/>
        </w:rPr>
        <w:t>Interest Income:</w:t>
      </w:r>
      <w:r w:rsidRPr="00C668E1">
        <w:rPr>
          <w:sz w:val="20"/>
          <w:szCs w:val="20"/>
        </w:rPr>
        <w:t xml:space="preserve"> </w:t>
      </w:r>
      <w:r>
        <w:rPr>
          <w:sz w:val="20"/>
          <w:szCs w:val="20"/>
        </w:rPr>
        <w:t xml:space="preserve">stable at </w:t>
      </w:r>
      <w:r w:rsidRPr="00E16FE2">
        <w:rPr>
          <w:sz w:val="20"/>
          <w:szCs w:val="20"/>
        </w:rPr>
        <w:t>£214.5m</w:t>
      </w:r>
      <w:r w:rsidR="00EB7929">
        <w:rPr>
          <w:sz w:val="20"/>
          <w:szCs w:val="20"/>
        </w:rPr>
        <w:t xml:space="preserve"> (1H23: </w:t>
      </w:r>
      <w:r w:rsidR="00DC724F">
        <w:rPr>
          <w:sz w:val="20"/>
          <w:szCs w:val="20"/>
        </w:rPr>
        <w:t>£214.5m)</w:t>
      </w:r>
      <w:r w:rsidRPr="00C668E1">
        <w:rPr>
          <w:sz w:val="20"/>
          <w:szCs w:val="20"/>
        </w:rPr>
        <w:t xml:space="preserve">, with </w:t>
      </w:r>
      <w:r w:rsidR="00FC1FF0">
        <w:rPr>
          <w:sz w:val="20"/>
          <w:szCs w:val="20"/>
        </w:rPr>
        <w:t xml:space="preserve">initial </w:t>
      </w:r>
      <w:r w:rsidRPr="00C668E1">
        <w:rPr>
          <w:sz w:val="20"/>
          <w:szCs w:val="20"/>
        </w:rPr>
        <w:t xml:space="preserve">re-pricing initiatives </w:t>
      </w:r>
      <w:r>
        <w:rPr>
          <w:sz w:val="20"/>
          <w:szCs w:val="20"/>
        </w:rPr>
        <w:t xml:space="preserve">now </w:t>
      </w:r>
      <w:r w:rsidRPr="00C668E1">
        <w:rPr>
          <w:sz w:val="20"/>
          <w:szCs w:val="20"/>
        </w:rPr>
        <w:t>complete.</w:t>
      </w:r>
    </w:p>
    <w:p w14:paraId="6049368A" w14:textId="287145B3" w:rsidR="00007130" w:rsidRPr="00C668E1" w:rsidRDefault="00007130" w:rsidP="00007130">
      <w:pPr>
        <w:pStyle w:val="NoSpacing"/>
        <w:numPr>
          <w:ilvl w:val="0"/>
          <w:numId w:val="39"/>
        </w:numPr>
        <w:jc w:val="both"/>
        <w:rPr>
          <w:sz w:val="20"/>
          <w:szCs w:val="20"/>
        </w:rPr>
      </w:pPr>
      <w:r w:rsidRPr="00EF6D48">
        <w:rPr>
          <w:b/>
          <w:sz w:val="20"/>
        </w:rPr>
        <w:t xml:space="preserve">Impairment </w:t>
      </w:r>
      <w:r>
        <w:rPr>
          <w:b/>
          <w:bCs/>
          <w:sz w:val="20"/>
          <w:szCs w:val="20"/>
        </w:rPr>
        <w:t>C</w:t>
      </w:r>
      <w:r w:rsidRPr="00C668E1">
        <w:rPr>
          <w:b/>
          <w:bCs/>
          <w:sz w:val="20"/>
          <w:szCs w:val="20"/>
        </w:rPr>
        <w:t>harges:</w:t>
      </w:r>
      <w:r w:rsidRPr="00C668E1">
        <w:rPr>
          <w:sz w:val="20"/>
          <w:szCs w:val="20"/>
        </w:rPr>
        <w:t xml:space="preserve"> </w:t>
      </w:r>
      <w:r>
        <w:rPr>
          <w:sz w:val="20"/>
          <w:szCs w:val="20"/>
        </w:rPr>
        <w:t>i</w:t>
      </w:r>
      <w:r w:rsidRPr="00C668E1">
        <w:rPr>
          <w:sz w:val="20"/>
          <w:szCs w:val="20"/>
        </w:rPr>
        <w:t xml:space="preserve">ncreased by </w:t>
      </w:r>
      <w:r w:rsidR="00523B27">
        <w:rPr>
          <w:sz w:val="20"/>
          <w:szCs w:val="20"/>
        </w:rPr>
        <w:t>9</w:t>
      </w:r>
      <w:r w:rsidRPr="00E16FE2">
        <w:rPr>
          <w:sz w:val="20"/>
          <w:szCs w:val="20"/>
        </w:rPr>
        <w:t>%</w:t>
      </w:r>
      <w:r w:rsidRPr="00C668E1">
        <w:rPr>
          <w:sz w:val="20"/>
          <w:szCs w:val="20"/>
        </w:rPr>
        <w:t xml:space="preserve"> to </w:t>
      </w:r>
      <w:r w:rsidRPr="00E16FE2">
        <w:rPr>
          <w:sz w:val="20"/>
          <w:szCs w:val="20"/>
        </w:rPr>
        <w:t>£101.3m</w:t>
      </w:r>
      <w:r w:rsidR="00583233">
        <w:rPr>
          <w:sz w:val="20"/>
          <w:szCs w:val="20"/>
        </w:rPr>
        <w:t xml:space="preserve"> (1H23: </w:t>
      </w:r>
      <w:r w:rsidR="00854CB0">
        <w:rPr>
          <w:sz w:val="20"/>
          <w:szCs w:val="20"/>
        </w:rPr>
        <w:t>£93.0m)</w:t>
      </w:r>
      <w:r w:rsidR="00AD1000">
        <w:rPr>
          <w:sz w:val="20"/>
          <w:szCs w:val="20"/>
        </w:rPr>
        <w:t>.</w:t>
      </w:r>
    </w:p>
    <w:p w14:paraId="73BE3328" w14:textId="51553146" w:rsidR="00007130" w:rsidRPr="002C27C8" w:rsidRDefault="00007130" w:rsidP="00007130">
      <w:pPr>
        <w:pStyle w:val="NoSpacing"/>
        <w:numPr>
          <w:ilvl w:val="1"/>
          <w:numId w:val="30"/>
        </w:numPr>
        <w:jc w:val="both"/>
        <w:rPr>
          <w:sz w:val="20"/>
          <w:szCs w:val="20"/>
        </w:rPr>
      </w:pPr>
      <w:r w:rsidRPr="00BD1036">
        <w:rPr>
          <w:sz w:val="20"/>
          <w:szCs w:val="20"/>
        </w:rPr>
        <w:t>£</w:t>
      </w:r>
      <w:r w:rsidR="00651B45">
        <w:rPr>
          <w:sz w:val="20"/>
          <w:szCs w:val="20"/>
        </w:rPr>
        <w:t>9.7</w:t>
      </w:r>
      <w:r w:rsidR="009F02D6" w:rsidRPr="00BD1036">
        <w:rPr>
          <w:sz w:val="20"/>
          <w:szCs w:val="20"/>
        </w:rPr>
        <w:t>m</w:t>
      </w:r>
      <w:r w:rsidR="009F02D6" w:rsidRPr="002C27C8">
        <w:rPr>
          <w:sz w:val="20"/>
          <w:szCs w:val="20"/>
        </w:rPr>
        <w:t xml:space="preserve"> </w:t>
      </w:r>
      <w:r w:rsidRPr="002C27C8">
        <w:rPr>
          <w:sz w:val="20"/>
          <w:szCs w:val="20"/>
        </w:rPr>
        <w:t>downward revaluation of Vehicle Finance Stage 3 debt and charge-off assets</w:t>
      </w:r>
      <w:r>
        <w:rPr>
          <w:sz w:val="20"/>
          <w:szCs w:val="20"/>
        </w:rPr>
        <w:t>: d</w:t>
      </w:r>
      <w:r w:rsidRPr="002C27C8">
        <w:rPr>
          <w:sz w:val="20"/>
          <w:szCs w:val="20"/>
        </w:rPr>
        <w:t>ebt sales expected later this year</w:t>
      </w:r>
      <w:r w:rsidR="00AD1000">
        <w:rPr>
          <w:sz w:val="20"/>
          <w:szCs w:val="20"/>
        </w:rPr>
        <w:t>.</w:t>
      </w:r>
    </w:p>
    <w:p w14:paraId="1E3CADC1" w14:textId="7B2F9BEE" w:rsidR="009517E1" w:rsidRPr="00720D91" w:rsidRDefault="00007130" w:rsidP="00130F5C">
      <w:pPr>
        <w:pStyle w:val="NoSpacing"/>
        <w:numPr>
          <w:ilvl w:val="1"/>
          <w:numId w:val="30"/>
        </w:numPr>
        <w:jc w:val="both"/>
        <w:rPr>
          <w:sz w:val="20"/>
          <w:szCs w:val="20"/>
        </w:rPr>
      </w:pPr>
      <w:r w:rsidRPr="002C27C8">
        <w:rPr>
          <w:sz w:val="20"/>
          <w:szCs w:val="20"/>
        </w:rPr>
        <w:t>Lower benefits from model enhancements and recoveries</w:t>
      </w:r>
      <w:r w:rsidR="00AD1000">
        <w:rPr>
          <w:sz w:val="20"/>
          <w:szCs w:val="20"/>
        </w:rPr>
        <w:t>.</w:t>
      </w:r>
    </w:p>
    <w:p w14:paraId="110AA6BD" w14:textId="3A9A7095" w:rsidR="00C91D90" w:rsidRDefault="00566FDF" w:rsidP="00007130">
      <w:pPr>
        <w:pStyle w:val="NoSpacing"/>
        <w:numPr>
          <w:ilvl w:val="1"/>
          <w:numId w:val="30"/>
        </w:numPr>
        <w:jc w:val="both"/>
        <w:rPr>
          <w:sz w:val="20"/>
          <w:szCs w:val="20"/>
        </w:rPr>
      </w:pPr>
      <w:r>
        <w:rPr>
          <w:sz w:val="20"/>
          <w:szCs w:val="20"/>
        </w:rPr>
        <w:t xml:space="preserve"> </w:t>
      </w:r>
      <w:r w:rsidR="00283BE7">
        <w:rPr>
          <w:sz w:val="20"/>
          <w:szCs w:val="20"/>
        </w:rPr>
        <w:t>R</w:t>
      </w:r>
      <w:r w:rsidR="00C91D90" w:rsidRPr="002725AC">
        <w:rPr>
          <w:sz w:val="20"/>
          <w:szCs w:val="20"/>
        </w:rPr>
        <w:t>educed origination and stable underlying credit performance</w:t>
      </w:r>
      <w:r w:rsidR="00283BE7">
        <w:rPr>
          <w:sz w:val="20"/>
          <w:szCs w:val="20"/>
        </w:rPr>
        <w:t xml:space="preserve"> were positive drivers</w:t>
      </w:r>
      <w:r w:rsidR="00C91D90" w:rsidRPr="002725AC">
        <w:rPr>
          <w:sz w:val="20"/>
          <w:szCs w:val="20"/>
        </w:rPr>
        <w:t>.</w:t>
      </w:r>
    </w:p>
    <w:p w14:paraId="1B51468F" w14:textId="029F5E20" w:rsidR="008158AE" w:rsidRPr="002725AC" w:rsidRDefault="008158AE" w:rsidP="002725AC">
      <w:pPr>
        <w:pStyle w:val="NoSpacing"/>
        <w:numPr>
          <w:ilvl w:val="0"/>
          <w:numId w:val="30"/>
        </w:numPr>
        <w:jc w:val="both"/>
        <w:rPr>
          <w:sz w:val="20"/>
          <w:szCs w:val="20"/>
        </w:rPr>
      </w:pPr>
      <w:r w:rsidRPr="002725AC">
        <w:rPr>
          <w:b/>
          <w:bCs/>
          <w:sz w:val="20"/>
          <w:szCs w:val="20"/>
        </w:rPr>
        <w:t>Adjusted Operating Costs:</w:t>
      </w:r>
      <w:r w:rsidRPr="008158AE">
        <w:rPr>
          <w:sz w:val="20"/>
          <w:szCs w:val="20"/>
        </w:rPr>
        <w:t xml:space="preserve"> increased by 1.6% to £159.5m (1H23: £157.0m)</w:t>
      </w:r>
      <w:r w:rsidR="00A70D90">
        <w:rPr>
          <w:sz w:val="20"/>
          <w:szCs w:val="20"/>
        </w:rPr>
        <w:t>.</w:t>
      </w:r>
    </w:p>
    <w:p w14:paraId="7D6C9876" w14:textId="2B14B1E7" w:rsidR="00007130" w:rsidRPr="00E038B7" w:rsidRDefault="00007130" w:rsidP="00007130">
      <w:pPr>
        <w:pStyle w:val="NoSpacing"/>
        <w:numPr>
          <w:ilvl w:val="1"/>
          <w:numId w:val="30"/>
        </w:numPr>
        <w:jc w:val="both"/>
        <w:rPr>
          <w:sz w:val="20"/>
          <w:szCs w:val="20"/>
        </w:rPr>
      </w:pPr>
      <w:r w:rsidRPr="00E038B7">
        <w:rPr>
          <w:sz w:val="20"/>
          <w:szCs w:val="20"/>
        </w:rPr>
        <w:t>On track to achieve c.£60m previously announced cost savings by the end of 2024</w:t>
      </w:r>
      <w:r w:rsidR="00A70D90">
        <w:rPr>
          <w:sz w:val="20"/>
          <w:szCs w:val="20"/>
        </w:rPr>
        <w:t>.</w:t>
      </w:r>
    </w:p>
    <w:p w14:paraId="4A21D77C" w14:textId="75D1B03A" w:rsidR="00007130" w:rsidRPr="00E038B7" w:rsidRDefault="00007130" w:rsidP="00007130">
      <w:pPr>
        <w:pStyle w:val="NoSpacing"/>
        <w:numPr>
          <w:ilvl w:val="1"/>
          <w:numId w:val="30"/>
        </w:numPr>
        <w:jc w:val="both"/>
        <w:rPr>
          <w:sz w:val="20"/>
          <w:szCs w:val="20"/>
        </w:rPr>
      </w:pPr>
      <w:r w:rsidRPr="00E038B7">
        <w:rPr>
          <w:sz w:val="20"/>
          <w:szCs w:val="20"/>
        </w:rPr>
        <w:t>£1</w:t>
      </w:r>
      <w:r w:rsidR="00F25FE8">
        <w:rPr>
          <w:sz w:val="20"/>
          <w:szCs w:val="20"/>
        </w:rPr>
        <w:t>0</w:t>
      </w:r>
      <w:r w:rsidRPr="00E038B7">
        <w:rPr>
          <w:sz w:val="20"/>
          <w:szCs w:val="20"/>
        </w:rPr>
        <w:t xml:space="preserve">m in one-off items, mainly </w:t>
      </w:r>
      <w:r>
        <w:rPr>
          <w:sz w:val="20"/>
          <w:szCs w:val="20"/>
        </w:rPr>
        <w:t xml:space="preserve">the write-down of development costs for a now redundant mobile app, </w:t>
      </w:r>
      <w:r w:rsidRPr="00E038B7">
        <w:rPr>
          <w:sz w:val="20"/>
          <w:szCs w:val="20"/>
        </w:rPr>
        <w:t>property dilapidations</w:t>
      </w:r>
      <w:r>
        <w:rPr>
          <w:sz w:val="20"/>
          <w:szCs w:val="20"/>
        </w:rPr>
        <w:t xml:space="preserve"> </w:t>
      </w:r>
      <w:r w:rsidRPr="00E038B7">
        <w:rPr>
          <w:sz w:val="20"/>
          <w:szCs w:val="20"/>
        </w:rPr>
        <w:t xml:space="preserve">and other </w:t>
      </w:r>
      <w:r>
        <w:rPr>
          <w:sz w:val="20"/>
          <w:szCs w:val="20"/>
        </w:rPr>
        <w:t>sundry</w:t>
      </w:r>
      <w:r w:rsidRPr="00E038B7">
        <w:rPr>
          <w:sz w:val="20"/>
          <w:szCs w:val="20"/>
        </w:rPr>
        <w:t xml:space="preserve"> balances.</w:t>
      </w:r>
    </w:p>
    <w:p w14:paraId="0F548A30" w14:textId="37ABEEC8" w:rsidR="00007130" w:rsidRDefault="00007130" w:rsidP="00007130">
      <w:pPr>
        <w:pStyle w:val="NoSpacing"/>
        <w:numPr>
          <w:ilvl w:val="0"/>
          <w:numId w:val="30"/>
        </w:numPr>
        <w:jc w:val="both"/>
        <w:rPr>
          <w:sz w:val="20"/>
          <w:szCs w:val="20"/>
        </w:rPr>
      </w:pPr>
      <w:r w:rsidRPr="00E038B7">
        <w:rPr>
          <w:b/>
          <w:sz w:val="20"/>
        </w:rPr>
        <w:t xml:space="preserve">Adjusted </w:t>
      </w:r>
      <w:r w:rsidRPr="00C668E1">
        <w:rPr>
          <w:b/>
          <w:bCs/>
          <w:sz w:val="20"/>
          <w:szCs w:val="20"/>
        </w:rPr>
        <w:t>Loss Before Tax:</w:t>
      </w:r>
      <w:r w:rsidRPr="00C668E1">
        <w:rPr>
          <w:sz w:val="20"/>
          <w:szCs w:val="20"/>
        </w:rPr>
        <w:t xml:space="preserve"> £</w:t>
      </w:r>
      <w:r w:rsidR="00460EE1">
        <w:rPr>
          <w:sz w:val="20"/>
          <w:szCs w:val="20"/>
        </w:rPr>
        <w:t>26.8m</w:t>
      </w:r>
      <w:r w:rsidR="00542DFC">
        <w:rPr>
          <w:sz w:val="20"/>
          <w:szCs w:val="20"/>
        </w:rPr>
        <w:t xml:space="preserve"> (1H23: £12.9m)</w:t>
      </w:r>
      <w:r w:rsidR="00730FE3">
        <w:rPr>
          <w:sz w:val="20"/>
          <w:szCs w:val="20"/>
        </w:rPr>
        <w:t>.</w:t>
      </w:r>
    </w:p>
    <w:p w14:paraId="39461A9F" w14:textId="706D1BA1" w:rsidR="00007130" w:rsidRPr="00C668E1" w:rsidRDefault="00007130" w:rsidP="00007130">
      <w:pPr>
        <w:pStyle w:val="NoSpacing"/>
        <w:numPr>
          <w:ilvl w:val="1"/>
          <w:numId w:val="30"/>
        </w:numPr>
        <w:jc w:val="both"/>
        <w:rPr>
          <w:sz w:val="20"/>
          <w:szCs w:val="20"/>
        </w:rPr>
      </w:pPr>
      <w:r>
        <w:rPr>
          <w:bCs/>
          <w:sz w:val="20"/>
        </w:rPr>
        <w:t>E</w:t>
      </w:r>
      <w:r w:rsidRPr="00C668E1">
        <w:rPr>
          <w:sz w:val="20"/>
          <w:szCs w:val="20"/>
        </w:rPr>
        <w:t xml:space="preserve">xcluding one-off items and the revaluation of Vehicle Finance Stage 3 balances, the </w:t>
      </w:r>
      <w:r w:rsidR="007F60D2">
        <w:rPr>
          <w:sz w:val="20"/>
          <w:szCs w:val="20"/>
        </w:rPr>
        <w:t xml:space="preserve">Group </w:t>
      </w:r>
      <w:r w:rsidR="0015464F">
        <w:rPr>
          <w:sz w:val="20"/>
          <w:szCs w:val="20"/>
        </w:rPr>
        <w:t>adjusted loss before tax</w:t>
      </w:r>
      <w:r w:rsidR="0015464F" w:rsidRPr="00C668E1">
        <w:rPr>
          <w:sz w:val="20"/>
          <w:szCs w:val="20"/>
        </w:rPr>
        <w:t xml:space="preserve"> would have been </w:t>
      </w:r>
      <w:r w:rsidR="0015464F">
        <w:rPr>
          <w:sz w:val="20"/>
          <w:szCs w:val="20"/>
        </w:rPr>
        <w:t>£1.</w:t>
      </w:r>
      <w:r w:rsidR="0026504B">
        <w:rPr>
          <w:sz w:val="20"/>
          <w:szCs w:val="20"/>
        </w:rPr>
        <w:t>5</w:t>
      </w:r>
      <w:r w:rsidR="0015464F">
        <w:rPr>
          <w:sz w:val="20"/>
          <w:szCs w:val="20"/>
        </w:rPr>
        <w:t>m</w:t>
      </w:r>
      <w:r w:rsidR="00730FE3">
        <w:rPr>
          <w:sz w:val="20"/>
          <w:szCs w:val="20"/>
        </w:rPr>
        <w:t>.</w:t>
      </w:r>
    </w:p>
    <w:p w14:paraId="51780EAB" w14:textId="77777777" w:rsidR="00007130" w:rsidRDefault="00007130" w:rsidP="00007130">
      <w:pPr>
        <w:pStyle w:val="NoSpacing"/>
        <w:jc w:val="both"/>
        <w:rPr>
          <w:sz w:val="20"/>
          <w:szCs w:val="20"/>
        </w:rPr>
      </w:pPr>
    </w:p>
    <w:p w14:paraId="05D785D9" w14:textId="77777777" w:rsidR="00007130" w:rsidRPr="001D2152" w:rsidRDefault="00007130" w:rsidP="00007130">
      <w:pPr>
        <w:jc w:val="both"/>
        <w:rPr>
          <w:rStyle w:val="Strong"/>
          <w:rFonts w:asciiTheme="minorHAnsi" w:hAnsiTheme="minorHAnsi"/>
          <w:color w:val="4747FF"/>
          <w:sz w:val="20"/>
        </w:rPr>
      </w:pPr>
      <w:r w:rsidRPr="2150CF17">
        <w:rPr>
          <w:rStyle w:val="Strong"/>
          <w:rFonts w:asciiTheme="minorHAnsi" w:hAnsiTheme="minorHAnsi" w:cstheme="minorBidi"/>
          <w:color w:val="4747FF"/>
          <w:sz w:val="20"/>
          <w:szCs w:val="20"/>
        </w:rPr>
        <w:t>Customer proposition update: proposition</w:t>
      </w:r>
      <w:r>
        <w:rPr>
          <w:rStyle w:val="Strong"/>
          <w:rFonts w:asciiTheme="minorHAnsi" w:hAnsiTheme="minorHAnsi" w:cstheme="minorBidi"/>
          <w:color w:val="4747FF"/>
          <w:sz w:val="20"/>
          <w:szCs w:val="20"/>
        </w:rPr>
        <w:t xml:space="preserve"> strengthened</w:t>
      </w:r>
      <w:r w:rsidRPr="2150CF17">
        <w:rPr>
          <w:rStyle w:val="Strong"/>
          <w:rFonts w:asciiTheme="minorHAnsi" w:hAnsiTheme="minorHAnsi" w:cstheme="minorBidi"/>
          <w:color w:val="4747FF"/>
          <w:sz w:val="20"/>
          <w:szCs w:val="20"/>
        </w:rPr>
        <w:t xml:space="preserve"> to meet</w:t>
      </w:r>
      <w:r w:rsidRPr="001D2152">
        <w:rPr>
          <w:rStyle w:val="Strong"/>
          <w:rFonts w:asciiTheme="minorHAnsi" w:hAnsiTheme="minorHAnsi"/>
          <w:color w:val="4747FF"/>
          <w:sz w:val="20"/>
        </w:rPr>
        <w:t xml:space="preserve"> customer </w:t>
      </w:r>
      <w:r w:rsidRPr="57E0C9D0">
        <w:rPr>
          <w:rStyle w:val="Strong"/>
          <w:rFonts w:asciiTheme="minorHAnsi" w:hAnsiTheme="minorHAnsi" w:cstheme="minorBidi"/>
          <w:color w:val="4747FF"/>
          <w:sz w:val="20"/>
          <w:szCs w:val="20"/>
        </w:rPr>
        <w:t>needs</w:t>
      </w:r>
    </w:p>
    <w:p w14:paraId="38369380" w14:textId="77777777" w:rsidR="00007130" w:rsidRPr="006D6D15" w:rsidRDefault="00007130" w:rsidP="00007130">
      <w:pPr>
        <w:pStyle w:val="NoSpacing"/>
        <w:jc w:val="both"/>
        <w:rPr>
          <w:rStyle w:val="Strong"/>
          <w:rFonts w:ascii="Times New Roman" w:hAnsi="Times New Roman"/>
          <w:sz w:val="20"/>
        </w:rPr>
      </w:pPr>
    </w:p>
    <w:p w14:paraId="20C55BC9" w14:textId="77777777" w:rsidR="00007130" w:rsidRPr="0088180B" w:rsidRDefault="00007130" w:rsidP="00007130">
      <w:pPr>
        <w:rPr>
          <w:rFonts w:ascii="Calibri" w:hAnsi="Calibri" w:cs="Calibri"/>
          <w:b/>
          <w:bCs/>
          <w:sz w:val="20"/>
          <w:szCs w:val="20"/>
        </w:rPr>
      </w:pPr>
      <w:r w:rsidRPr="0088180B">
        <w:rPr>
          <w:rFonts w:ascii="Calibri" w:hAnsi="Calibri"/>
          <w:b/>
          <w:bCs/>
          <w:sz w:val="20"/>
          <w:szCs w:val="20"/>
        </w:rPr>
        <w:t>Cards</w:t>
      </w:r>
    </w:p>
    <w:p w14:paraId="4E5EF008" w14:textId="741C6B38" w:rsidR="00007130" w:rsidRPr="0088180B" w:rsidRDefault="00F023C6" w:rsidP="00007130">
      <w:pPr>
        <w:numPr>
          <w:ilvl w:val="0"/>
          <w:numId w:val="31"/>
        </w:numPr>
        <w:rPr>
          <w:rFonts w:ascii="Calibri" w:hAnsi="Calibri" w:cs="Calibri"/>
          <w:sz w:val="20"/>
          <w:szCs w:val="20"/>
        </w:rPr>
      </w:pPr>
      <w:r>
        <w:rPr>
          <w:rFonts w:ascii="Calibri" w:hAnsi="Calibri" w:cs="Calibri"/>
          <w:sz w:val="20"/>
          <w:szCs w:val="20"/>
        </w:rPr>
        <w:t>Initial r</w:t>
      </w:r>
      <w:r w:rsidR="00007130" w:rsidRPr="0088180B">
        <w:rPr>
          <w:rFonts w:ascii="Calibri" w:hAnsi="Calibri" w:cs="Calibri"/>
          <w:sz w:val="20"/>
          <w:szCs w:val="20"/>
        </w:rPr>
        <w:t>epricing</w:t>
      </w:r>
      <w:r w:rsidR="00007130" w:rsidRPr="0088180B">
        <w:rPr>
          <w:rFonts w:ascii="Calibri" w:hAnsi="Calibri"/>
          <w:sz w:val="20"/>
          <w:szCs w:val="20"/>
        </w:rPr>
        <w:t xml:space="preserve"> </w:t>
      </w:r>
      <w:r w:rsidR="00B17789">
        <w:rPr>
          <w:rFonts w:ascii="Calibri" w:hAnsi="Calibri"/>
          <w:sz w:val="20"/>
          <w:szCs w:val="20"/>
        </w:rPr>
        <w:t>init</w:t>
      </w:r>
      <w:r w:rsidR="00B93F30">
        <w:rPr>
          <w:rFonts w:ascii="Calibri" w:hAnsi="Calibri"/>
          <w:sz w:val="20"/>
          <w:szCs w:val="20"/>
        </w:rPr>
        <w:t>i</w:t>
      </w:r>
      <w:r w:rsidR="00B17789">
        <w:rPr>
          <w:rFonts w:ascii="Calibri" w:hAnsi="Calibri"/>
          <w:sz w:val="20"/>
          <w:szCs w:val="20"/>
        </w:rPr>
        <w:t>atives</w:t>
      </w:r>
      <w:r w:rsidR="00007130" w:rsidRPr="0088180B">
        <w:rPr>
          <w:rFonts w:ascii="Calibri" w:hAnsi="Calibri"/>
          <w:sz w:val="20"/>
          <w:szCs w:val="20"/>
        </w:rPr>
        <w:t xml:space="preserve"> complete</w:t>
      </w:r>
      <w:r w:rsidR="00007130" w:rsidRPr="0088180B">
        <w:rPr>
          <w:rFonts w:ascii="Calibri" w:hAnsi="Calibri" w:cs="Calibri"/>
          <w:sz w:val="20"/>
          <w:szCs w:val="20"/>
        </w:rPr>
        <w:t>.</w:t>
      </w:r>
    </w:p>
    <w:p w14:paraId="2B2B3DB9" w14:textId="46F84C02" w:rsidR="00007130" w:rsidRPr="0088180B" w:rsidRDefault="00007130" w:rsidP="00007130">
      <w:pPr>
        <w:numPr>
          <w:ilvl w:val="0"/>
          <w:numId w:val="31"/>
        </w:numPr>
        <w:rPr>
          <w:rFonts w:ascii="Calibri" w:hAnsi="Calibri" w:cs="Calibri"/>
          <w:sz w:val="20"/>
          <w:szCs w:val="20"/>
        </w:rPr>
      </w:pPr>
      <w:r w:rsidRPr="0088180B">
        <w:rPr>
          <w:rFonts w:ascii="Calibri" w:hAnsi="Calibri" w:cs="Calibri"/>
          <w:sz w:val="20"/>
          <w:szCs w:val="20"/>
        </w:rPr>
        <w:t>Balance</w:t>
      </w:r>
      <w:r w:rsidRPr="0088180B">
        <w:rPr>
          <w:rFonts w:ascii="Calibri" w:hAnsi="Calibri"/>
          <w:sz w:val="20"/>
          <w:szCs w:val="20"/>
        </w:rPr>
        <w:t xml:space="preserve"> transfer products launched</w:t>
      </w:r>
      <w:r w:rsidRPr="0088180B">
        <w:rPr>
          <w:rFonts w:ascii="Calibri" w:hAnsi="Calibri" w:cs="Calibri"/>
          <w:sz w:val="20"/>
          <w:szCs w:val="20"/>
        </w:rPr>
        <w:t>.</w:t>
      </w:r>
    </w:p>
    <w:p w14:paraId="4DB4A26B" w14:textId="77777777" w:rsidR="00007130" w:rsidRPr="00420674" w:rsidRDefault="00007130" w:rsidP="00007130">
      <w:pPr>
        <w:rPr>
          <w:rFonts w:asciiTheme="minorHAnsi" w:hAnsiTheme="minorHAnsi" w:cstheme="minorHAnsi"/>
          <w:b/>
          <w:bCs/>
          <w:sz w:val="20"/>
          <w:szCs w:val="20"/>
        </w:rPr>
      </w:pPr>
      <w:r w:rsidRPr="00420674">
        <w:rPr>
          <w:rFonts w:asciiTheme="minorHAnsi" w:hAnsiTheme="minorHAnsi" w:cstheme="minorHAnsi"/>
          <w:b/>
          <w:bCs/>
          <w:sz w:val="20"/>
          <w:szCs w:val="20"/>
        </w:rPr>
        <w:t>Vehicle Finance</w:t>
      </w:r>
    </w:p>
    <w:p w14:paraId="25C7B5F8" w14:textId="77777777" w:rsidR="00007130" w:rsidRPr="001B6586" w:rsidRDefault="00007130" w:rsidP="00007130">
      <w:pPr>
        <w:numPr>
          <w:ilvl w:val="0"/>
          <w:numId w:val="32"/>
        </w:numPr>
        <w:rPr>
          <w:rFonts w:asciiTheme="minorHAnsi" w:hAnsiTheme="minorHAnsi" w:cstheme="minorHAnsi"/>
          <w:sz w:val="20"/>
          <w:szCs w:val="20"/>
        </w:rPr>
      </w:pPr>
      <w:r w:rsidRPr="001B6586">
        <w:rPr>
          <w:rFonts w:asciiTheme="minorHAnsi" w:hAnsiTheme="minorHAnsi" w:cstheme="minorHAnsi"/>
          <w:sz w:val="20"/>
          <w:szCs w:val="20"/>
        </w:rPr>
        <w:t>Repricing</w:t>
      </w:r>
      <w:r w:rsidRPr="00420674">
        <w:rPr>
          <w:rFonts w:asciiTheme="minorHAnsi" w:hAnsiTheme="minorHAnsi" w:cstheme="minorHAnsi"/>
          <w:sz w:val="20"/>
          <w:szCs w:val="20"/>
        </w:rPr>
        <w:t xml:space="preserve"> programme complete</w:t>
      </w:r>
      <w:r w:rsidRPr="001B6586">
        <w:rPr>
          <w:rFonts w:asciiTheme="minorHAnsi" w:hAnsiTheme="minorHAnsi" w:cstheme="minorHAnsi"/>
          <w:sz w:val="20"/>
          <w:szCs w:val="20"/>
        </w:rPr>
        <w:t>.</w:t>
      </w:r>
    </w:p>
    <w:p w14:paraId="799CAF6D" w14:textId="2685AF9F" w:rsidR="00007130" w:rsidRPr="001B6586" w:rsidRDefault="00007130" w:rsidP="00007130">
      <w:pPr>
        <w:numPr>
          <w:ilvl w:val="0"/>
          <w:numId w:val="32"/>
        </w:numPr>
        <w:rPr>
          <w:rFonts w:asciiTheme="minorHAnsi" w:hAnsiTheme="minorHAnsi" w:cstheme="minorHAnsi"/>
          <w:sz w:val="20"/>
          <w:szCs w:val="20"/>
        </w:rPr>
      </w:pPr>
      <w:r w:rsidRPr="001B6586">
        <w:rPr>
          <w:rFonts w:asciiTheme="minorHAnsi" w:hAnsiTheme="minorHAnsi" w:cstheme="minorHAnsi"/>
          <w:sz w:val="20"/>
          <w:szCs w:val="20"/>
        </w:rPr>
        <w:t>Asset</w:t>
      </w:r>
      <w:r w:rsidRPr="00420674">
        <w:rPr>
          <w:rFonts w:asciiTheme="minorHAnsi" w:hAnsiTheme="minorHAnsi" w:cstheme="minorHAnsi"/>
          <w:sz w:val="20"/>
          <w:szCs w:val="20"/>
        </w:rPr>
        <w:t xml:space="preserve"> class expansion </w:t>
      </w:r>
      <w:r w:rsidRPr="001B6586">
        <w:rPr>
          <w:rFonts w:asciiTheme="minorHAnsi" w:hAnsiTheme="minorHAnsi" w:cstheme="minorHAnsi"/>
          <w:sz w:val="20"/>
          <w:szCs w:val="20"/>
        </w:rPr>
        <w:t>implemented</w:t>
      </w:r>
      <w:r w:rsidR="00256443">
        <w:rPr>
          <w:rFonts w:asciiTheme="minorHAnsi" w:hAnsiTheme="minorHAnsi" w:cstheme="minorHAnsi"/>
          <w:sz w:val="20"/>
          <w:szCs w:val="20"/>
        </w:rPr>
        <w:t>.</w:t>
      </w:r>
    </w:p>
    <w:p w14:paraId="07AFE8FC" w14:textId="77777777" w:rsidR="00007130" w:rsidRPr="008C7FC0" w:rsidRDefault="00007130" w:rsidP="00007130">
      <w:pPr>
        <w:rPr>
          <w:rFonts w:ascii="Calibri" w:hAnsi="Calibri" w:cs="Calibri"/>
          <w:sz w:val="20"/>
          <w:szCs w:val="20"/>
        </w:rPr>
      </w:pPr>
      <w:r w:rsidRPr="00FA6079">
        <w:rPr>
          <w:rFonts w:ascii="Calibri" w:hAnsi="Calibri"/>
          <w:b/>
          <w:sz w:val="20"/>
        </w:rPr>
        <w:t>Loans</w:t>
      </w:r>
    </w:p>
    <w:p w14:paraId="0289C1F3" w14:textId="77777777" w:rsidR="00007130" w:rsidRPr="00625EE2" w:rsidRDefault="00007130" w:rsidP="00007130">
      <w:pPr>
        <w:numPr>
          <w:ilvl w:val="0"/>
          <w:numId w:val="33"/>
        </w:numPr>
        <w:rPr>
          <w:rFonts w:ascii="Calibri" w:hAnsi="Calibri"/>
          <w:sz w:val="20"/>
          <w:szCs w:val="20"/>
        </w:rPr>
      </w:pPr>
      <w:r w:rsidRPr="00625EE2">
        <w:rPr>
          <w:rFonts w:ascii="Calibri" w:hAnsi="Calibri" w:cs="Calibri"/>
          <w:sz w:val="20"/>
          <w:szCs w:val="20"/>
        </w:rPr>
        <w:t>Existing</w:t>
      </w:r>
      <w:r w:rsidRPr="00625EE2">
        <w:rPr>
          <w:rFonts w:ascii="Calibri" w:hAnsi="Calibri"/>
          <w:sz w:val="20"/>
          <w:szCs w:val="20"/>
        </w:rPr>
        <w:t xml:space="preserve"> customer proposition re-launched with </w:t>
      </w:r>
      <w:r w:rsidRPr="00625EE2">
        <w:rPr>
          <w:rFonts w:ascii="Calibri" w:hAnsi="Calibri" w:cs="Calibri"/>
          <w:sz w:val="20"/>
          <w:szCs w:val="20"/>
        </w:rPr>
        <w:t xml:space="preserve">a </w:t>
      </w:r>
      <w:r w:rsidRPr="00625EE2">
        <w:rPr>
          <w:rFonts w:ascii="Calibri" w:hAnsi="Calibri"/>
          <w:sz w:val="20"/>
          <w:szCs w:val="20"/>
        </w:rPr>
        <w:t>strong risk-adjusted margin</w:t>
      </w:r>
      <w:r w:rsidRPr="00625EE2">
        <w:rPr>
          <w:rFonts w:ascii="Calibri" w:hAnsi="Calibri" w:cs="Calibri"/>
          <w:sz w:val="20"/>
          <w:szCs w:val="20"/>
        </w:rPr>
        <w:t>.</w:t>
      </w:r>
    </w:p>
    <w:p w14:paraId="79E235CE" w14:textId="37A258DB" w:rsidR="00007130" w:rsidRPr="008C7FC0" w:rsidRDefault="00007130" w:rsidP="00007130">
      <w:pPr>
        <w:rPr>
          <w:rFonts w:ascii="Calibri" w:hAnsi="Calibri" w:cs="Calibri"/>
          <w:sz w:val="20"/>
          <w:szCs w:val="20"/>
        </w:rPr>
      </w:pPr>
      <w:r w:rsidRPr="00FA6079">
        <w:rPr>
          <w:rFonts w:ascii="Calibri" w:hAnsi="Calibri"/>
          <w:b/>
          <w:sz w:val="20"/>
        </w:rPr>
        <w:t xml:space="preserve">Second </w:t>
      </w:r>
      <w:r w:rsidRPr="008C7FC0">
        <w:rPr>
          <w:rFonts w:ascii="Calibri" w:hAnsi="Calibri" w:cs="Calibri"/>
          <w:b/>
          <w:bCs/>
          <w:sz w:val="20"/>
          <w:szCs w:val="20"/>
        </w:rPr>
        <w:t>Charge Mortgages</w:t>
      </w:r>
    </w:p>
    <w:p w14:paraId="76371852" w14:textId="77777777" w:rsidR="00007130" w:rsidRPr="008C7FC0" w:rsidRDefault="00007130" w:rsidP="00007130">
      <w:pPr>
        <w:numPr>
          <w:ilvl w:val="0"/>
          <w:numId w:val="34"/>
        </w:numPr>
        <w:rPr>
          <w:rFonts w:ascii="Calibri" w:hAnsi="Calibri" w:cs="Calibri"/>
          <w:sz w:val="20"/>
          <w:szCs w:val="20"/>
        </w:rPr>
      </w:pPr>
      <w:r w:rsidRPr="008C7FC0">
        <w:rPr>
          <w:rFonts w:ascii="Calibri" w:hAnsi="Calibri" w:cs="Calibri"/>
          <w:sz w:val="20"/>
          <w:szCs w:val="20"/>
        </w:rPr>
        <w:t xml:space="preserve">Forward flow agreement signed with </w:t>
      </w:r>
      <w:proofErr w:type="spellStart"/>
      <w:r w:rsidRPr="00FA6079">
        <w:rPr>
          <w:rFonts w:ascii="Calibri" w:hAnsi="Calibri"/>
          <w:sz w:val="20"/>
        </w:rPr>
        <w:t>Interbridge</w:t>
      </w:r>
      <w:proofErr w:type="spellEnd"/>
      <w:r w:rsidRPr="00FA6079">
        <w:rPr>
          <w:rFonts w:ascii="Calibri" w:hAnsi="Calibri"/>
          <w:sz w:val="20"/>
        </w:rPr>
        <w:t xml:space="preserve"> Mortgages</w:t>
      </w:r>
      <w:r w:rsidRPr="008C7FC0">
        <w:rPr>
          <w:rFonts w:ascii="Calibri" w:hAnsi="Calibri" w:cs="Calibri"/>
          <w:sz w:val="20"/>
          <w:szCs w:val="20"/>
        </w:rPr>
        <w:t>.</w:t>
      </w:r>
    </w:p>
    <w:p w14:paraId="3AACF5B4" w14:textId="77777777" w:rsidR="00007130" w:rsidRPr="00FA6079" w:rsidRDefault="00007130" w:rsidP="00007130">
      <w:pPr>
        <w:numPr>
          <w:ilvl w:val="0"/>
          <w:numId w:val="34"/>
        </w:numPr>
        <w:rPr>
          <w:rFonts w:ascii="Calibri" w:hAnsi="Calibri"/>
          <w:sz w:val="20"/>
        </w:rPr>
      </w:pPr>
      <w:r w:rsidRPr="008C7FC0">
        <w:rPr>
          <w:rFonts w:ascii="Calibri" w:hAnsi="Calibri" w:cs="Calibri"/>
          <w:sz w:val="20"/>
          <w:szCs w:val="20"/>
        </w:rPr>
        <w:t>Expanded</w:t>
      </w:r>
      <w:r w:rsidRPr="00FA6079">
        <w:rPr>
          <w:rFonts w:ascii="Calibri" w:hAnsi="Calibri"/>
          <w:sz w:val="20"/>
        </w:rPr>
        <w:t xml:space="preserve"> agreement with Selina Finance.</w:t>
      </w:r>
    </w:p>
    <w:p w14:paraId="6F8CAD1A" w14:textId="064A72D4" w:rsidR="00007130" w:rsidRPr="00007130" w:rsidRDefault="00007130" w:rsidP="009D68BF">
      <w:pPr>
        <w:numPr>
          <w:ilvl w:val="0"/>
          <w:numId w:val="34"/>
        </w:numPr>
        <w:jc w:val="both"/>
        <w:rPr>
          <w:rFonts w:ascii="Calibri" w:hAnsi="Calibri" w:cs="Calibri"/>
          <w:sz w:val="20"/>
          <w:szCs w:val="20"/>
        </w:rPr>
      </w:pPr>
      <w:r w:rsidRPr="008C7FC0">
        <w:rPr>
          <w:rFonts w:ascii="Calibri" w:hAnsi="Calibri" w:cs="Calibri"/>
          <w:sz w:val="20"/>
          <w:szCs w:val="20"/>
        </w:rPr>
        <w:t>Strong start with 2Q24 originations above plan.</w:t>
      </w:r>
    </w:p>
    <w:p w14:paraId="02D9BE34" w14:textId="77777777" w:rsidR="00007130" w:rsidRPr="008C7FC0" w:rsidRDefault="00007130" w:rsidP="009D68BF">
      <w:pPr>
        <w:jc w:val="both"/>
        <w:rPr>
          <w:rFonts w:ascii="Calibri" w:hAnsi="Calibri" w:cs="Calibri"/>
          <w:sz w:val="20"/>
          <w:szCs w:val="20"/>
        </w:rPr>
      </w:pPr>
      <w:r w:rsidRPr="00FA6079">
        <w:rPr>
          <w:rFonts w:ascii="Calibri" w:hAnsi="Calibri"/>
          <w:b/>
          <w:sz w:val="20"/>
        </w:rPr>
        <w:t>Savings</w:t>
      </w:r>
    </w:p>
    <w:p w14:paraId="3AC22FBD" w14:textId="42963181" w:rsidR="00007130" w:rsidRPr="008604B3" w:rsidRDefault="00007130" w:rsidP="009D68BF">
      <w:pPr>
        <w:numPr>
          <w:ilvl w:val="0"/>
          <w:numId w:val="35"/>
        </w:numPr>
        <w:jc w:val="both"/>
        <w:rPr>
          <w:rFonts w:ascii="Calibri" w:hAnsi="Calibri"/>
        </w:rPr>
      </w:pPr>
      <w:r w:rsidRPr="008C7FC0">
        <w:rPr>
          <w:rFonts w:ascii="Calibri" w:hAnsi="Calibri" w:cs="Calibri"/>
          <w:sz w:val="20"/>
          <w:szCs w:val="20"/>
        </w:rPr>
        <w:t>Delivering</w:t>
      </w:r>
      <w:r w:rsidRPr="00FA6079">
        <w:rPr>
          <w:rFonts w:ascii="Calibri" w:hAnsi="Calibri"/>
          <w:sz w:val="20"/>
        </w:rPr>
        <w:t xml:space="preserve"> cost</w:t>
      </w:r>
      <w:r w:rsidRPr="008C7FC0">
        <w:rPr>
          <w:rFonts w:ascii="Calibri" w:hAnsi="Calibri" w:cs="Calibri"/>
          <w:sz w:val="20"/>
          <w:szCs w:val="20"/>
        </w:rPr>
        <w:t>-</w:t>
      </w:r>
      <w:r w:rsidRPr="00FA6079">
        <w:rPr>
          <w:rFonts w:ascii="Calibri" w:hAnsi="Calibri"/>
          <w:sz w:val="20"/>
        </w:rPr>
        <w:t>effective funding</w:t>
      </w:r>
      <w:r w:rsidR="00B231B6" w:rsidRPr="00B231B6">
        <w:rPr>
          <w:rFonts w:ascii="Calibri" w:hAnsi="Calibri" w:cs="Calibri"/>
          <w:sz w:val="20"/>
          <w:szCs w:val="20"/>
        </w:rPr>
        <w:t xml:space="preserve"> through an e</w:t>
      </w:r>
      <w:r w:rsidRPr="008C7FC0">
        <w:rPr>
          <w:rFonts w:ascii="Calibri" w:hAnsi="Calibri" w:cs="Calibri"/>
          <w:sz w:val="20"/>
          <w:szCs w:val="20"/>
        </w:rPr>
        <w:t>xpanded</w:t>
      </w:r>
      <w:r w:rsidRPr="00FA6079">
        <w:rPr>
          <w:rFonts w:ascii="Calibri" w:hAnsi="Calibri"/>
          <w:sz w:val="20"/>
        </w:rPr>
        <w:t xml:space="preserve"> product range, 30/60</w:t>
      </w:r>
      <w:r w:rsidRPr="008C7FC0">
        <w:rPr>
          <w:rFonts w:ascii="Calibri" w:hAnsi="Calibri" w:cs="Calibri"/>
          <w:sz w:val="20"/>
          <w:szCs w:val="20"/>
        </w:rPr>
        <w:t>-</w:t>
      </w:r>
      <w:r w:rsidRPr="00FA6079">
        <w:rPr>
          <w:rFonts w:ascii="Calibri" w:hAnsi="Calibri"/>
          <w:sz w:val="20"/>
        </w:rPr>
        <w:t>day notice accounts</w:t>
      </w:r>
      <w:r w:rsidRPr="008C7FC0">
        <w:rPr>
          <w:rFonts w:ascii="Calibri" w:hAnsi="Calibri" w:cs="Calibri"/>
          <w:sz w:val="20"/>
          <w:szCs w:val="20"/>
        </w:rPr>
        <w:t>,</w:t>
      </w:r>
      <w:r w:rsidRPr="00FA6079">
        <w:rPr>
          <w:rFonts w:ascii="Calibri" w:hAnsi="Calibri"/>
          <w:sz w:val="20"/>
        </w:rPr>
        <w:t xml:space="preserve"> and Cash ISAs</w:t>
      </w:r>
      <w:r w:rsidRPr="008C7FC0">
        <w:rPr>
          <w:rFonts w:ascii="Calibri" w:hAnsi="Calibri" w:cs="Calibri"/>
          <w:sz w:val="20"/>
          <w:szCs w:val="20"/>
        </w:rPr>
        <w:t>.</w:t>
      </w:r>
    </w:p>
    <w:p w14:paraId="46AE4498" w14:textId="77777777" w:rsidR="00007130" w:rsidRPr="00FA6079" w:rsidRDefault="00007130" w:rsidP="009D68BF">
      <w:pPr>
        <w:jc w:val="both"/>
        <w:rPr>
          <w:rFonts w:ascii="Calibri" w:hAnsi="Calibri" w:cs="Calibri"/>
          <w:b/>
          <w:bCs/>
          <w:sz w:val="20"/>
          <w:szCs w:val="20"/>
        </w:rPr>
      </w:pPr>
      <w:r w:rsidRPr="00FA6079">
        <w:rPr>
          <w:rFonts w:ascii="Calibri" w:hAnsi="Calibri"/>
          <w:b/>
          <w:bCs/>
          <w:sz w:val="20"/>
          <w:szCs w:val="20"/>
        </w:rPr>
        <w:t>Snoop</w:t>
      </w:r>
    </w:p>
    <w:p w14:paraId="268A5A61" w14:textId="77777777" w:rsidR="00007130" w:rsidRPr="00FA6079" w:rsidRDefault="00007130" w:rsidP="009D68BF">
      <w:pPr>
        <w:numPr>
          <w:ilvl w:val="0"/>
          <w:numId w:val="36"/>
        </w:numPr>
        <w:jc w:val="both"/>
        <w:rPr>
          <w:rFonts w:ascii="Calibri" w:hAnsi="Calibri" w:cs="Calibri"/>
          <w:sz w:val="20"/>
          <w:szCs w:val="20"/>
        </w:rPr>
      </w:pPr>
      <w:r w:rsidRPr="00FA6079">
        <w:rPr>
          <w:rFonts w:ascii="Calibri" w:hAnsi="Calibri" w:cs="Calibri"/>
          <w:sz w:val="20"/>
          <w:szCs w:val="20"/>
        </w:rPr>
        <w:t>Embedded as</w:t>
      </w:r>
      <w:r w:rsidRPr="00FA6079">
        <w:rPr>
          <w:rFonts w:ascii="Calibri" w:hAnsi="Calibri"/>
          <w:sz w:val="20"/>
          <w:szCs w:val="20"/>
        </w:rPr>
        <w:t xml:space="preserve"> a key strategic enabler within Vanquis</w:t>
      </w:r>
      <w:r w:rsidRPr="00FA6079">
        <w:rPr>
          <w:rFonts w:ascii="Calibri" w:hAnsi="Calibri" w:cs="Calibri"/>
          <w:sz w:val="20"/>
          <w:szCs w:val="20"/>
        </w:rPr>
        <w:t>.</w:t>
      </w:r>
    </w:p>
    <w:p w14:paraId="24BA08F1" w14:textId="48BA354D" w:rsidR="00007130" w:rsidRPr="00FA6079" w:rsidRDefault="00007130" w:rsidP="009D68BF">
      <w:pPr>
        <w:numPr>
          <w:ilvl w:val="0"/>
          <w:numId w:val="36"/>
        </w:numPr>
        <w:jc w:val="both"/>
        <w:rPr>
          <w:rFonts w:ascii="Calibri" w:hAnsi="Calibri" w:cs="Calibri"/>
          <w:sz w:val="20"/>
          <w:szCs w:val="20"/>
        </w:rPr>
      </w:pPr>
      <w:r w:rsidRPr="00FA6079">
        <w:rPr>
          <w:rFonts w:ascii="Calibri" w:hAnsi="Calibri" w:cs="Calibri"/>
          <w:sz w:val="20"/>
          <w:szCs w:val="20"/>
        </w:rPr>
        <w:t>Customer</w:t>
      </w:r>
      <w:r w:rsidRPr="00FA6079">
        <w:rPr>
          <w:rFonts w:ascii="Calibri" w:hAnsi="Calibri"/>
          <w:sz w:val="20"/>
          <w:szCs w:val="20"/>
        </w:rPr>
        <w:t xml:space="preserve"> acquisition performing well with over 24,000 Vanquis customers added in </w:t>
      </w:r>
      <w:r w:rsidRPr="53EF174C">
        <w:rPr>
          <w:rFonts w:ascii="Calibri" w:hAnsi="Calibri" w:cs="Calibri"/>
          <w:sz w:val="20"/>
          <w:szCs w:val="20"/>
        </w:rPr>
        <w:t>1H24</w:t>
      </w:r>
      <w:r w:rsidRPr="00FA6079">
        <w:rPr>
          <w:rFonts w:ascii="Calibri" w:hAnsi="Calibri" w:cs="Calibri"/>
          <w:sz w:val="20"/>
          <w:szCs w:val="20"/>
        </w:rPr>
        <w:t>.</w:t>
      </w:r>
    </w:p>
    <w:p w14:paraId="0FF5C6E4" w14:textId="618DEA05" w:rsidR="00007130" w:rsidRPr="00FA6079" w:rsidRDefault="00007130" w:rsidP="009D68BF">
      <w:pPr>
        <w:numPr>
          <w:ilvl w:val="0"/>
          <w:numId w:val="36"/>
        </w:numPr>
        <w:jc w:val="both"/>
        <w:rPr>
          <w:rFonts w:ascii="Calibri" w:hAnsi="Calibri" w:cs="Calibri"/>
          <w:sz w:val="20"/>
          <w:szCs w:val="20"/>
        </w:rPr>
      </w:pPr>
      <w:r w:rsidRPr="00FA6079">
        <w:rPr>
          <w:rFonts w:ascii="Calibri" w:hAnsi="Calibri" w:cs="Calibri"/>
          <w:sz w:val="20"/>
          <w:szCs w:val="20"/>
        </w:rPr>
        <w:t>New</w:t>
      </w:r>
      <w:r w:rsidRPr="00FA6079">
        <w:rPr>
          <w:rFonts w:ascii="Calibri" w:hAnsi="Calibri"/>
          <w:sz w:val="20"/>
          <w:szCs w:val="20"/>
        </w:rPr>
        <w:t xml:space="preserve"> credit score feature used by </w:t>
      </w:r>
      <w:r w:rsidRPr="00FA6079">
        <w:rPr>
          <w:rFonts w:ascii="Calibri" w:hAnsi="Calibri" w:cs="Calibri"/>
          <w:sz w:val="20"/>
          <w:szCs w:val="20"/>
        </w:rPr>
        <w:t xml:space="preserve">approximately </w:t>
      </w:r>
      <w:r w:rsidR="003E54F3">
        <w:rPr>
          <w:rFonts w:ascii="Calibri" w:hAnsi="Calibri"/>
          <w:sz w:val="20"/>
          <w:szCs w:val="20"/>
        </w:rPr>
        <w:t>8</w:t>
      </w:r>
      <w:r w:rsidRPr="00FA6079">
        <w:rPr>
          <w:rFonts w:ascii="Calibri" w:hAnsi="Calibri"/>
          <w:sz w:val="20"/>
          <w:szCs w:val="20"/>
        </w:rPr>
        <w:t>0,000 customers</w:t>
      </w:r>
      <w:r w:rsidRPr="00FA6079">
        <w:rPr>
          <w:rFonts w:ascii="Calibri" w:hAnsi="Calibri" w:cs="Calibri"/>
          <w:sz w:val="20"/>
          <w:szCs w:val="20"/>
        </w:rPr>
        <w:t>.</w:t>
      </w:r>
    </w:p>
    <w:p w14:paraId="62DBDB4A" w14:textId="77777777" w:rsidR="00007130" w:rsidRPr="000229BA" w:rsidRDefault="00007130" w:rsidP="009D68BF">
      <w:pPr>
        <w:numPr>
          <w:ilvl w:val="0"/>
          <w:numId w:val="36"/>
        </w:numPr>
        <w:jc w:val="both"/>
        <w:rPr>
          <w:rFonts w:ascii="Calibri" w:hAnsi="Calibri"/>
          <w:sz w:val="20"/>
          <w:szCs w:val="20"/>
        </w:rPr>
      </w:pPr>
      <w:r w:rsidRPr="00FA6079">
        <w:rPr>
          <w:rFonts w:ascii="Calibri" w:hAnsi="Calibri"/>
          <w:sz w:val="20"/>
          <w:szCs w:val="20"/>
        </w:rPr>
        <w:t xml:space="preserve">Snoop bill switching capability integrated into </w:t>
      </w:r>
      <w:r w:rsidRPr="00FA6079">
        <w:rPr>
          <w:rFonts w:ascii="Calibri" w:hAnsi="Calibri" w:cs="Calibri"/>
          <w:sz w:val="20"/>
          <w:szCs w:val="20"/>
        </w:rPr>
        <w:t xml:space="preserve">the </w:t>
      </w:r>
      <w:r w:rsidRPr="00FA6079">
        <w:rPr>
          <w:rFonts w:ascii="Calibri" w:hAnsi="Calibri"/>
          <w:sz w:val="20"/>
          <w:szCs w:val="20"/>
        </w:rPr>
        <w:t>Vanquis app</w:t>
      </w:r>
      <w:r w:rsidRPr="00FA6079">
        <w:rPr>
          <w:rFonts w:ascii="Calibri" w:hAnsi="Calibri" w:cs="Calibri"/>
          <w:sz w:val="20"/>
          <w:szCs w:val="20"/>
        </w:rPr>
        <w:t>.</w:t>
      </w:r>
    </w:p>
    <w:p w14:paraId="27788425" w14:textId="77777777" w:rsidR="00007130" w:rsidRPr="007622DF" w:rsidRDefault="00007130" w:rsidP="009D68BF">
      <w:pPr>
        <w:jc w:val="both"/>
        <w:rPr>
          <w:rFonts w:asciiTheme="minorHAnsi" w:hAnsiTheme="minorHAnsi" w:cstheme="minorHAnsi"/>
          <w:b/>
          <w:bCs/>
          <w:sz w:val="20"/>
          <w:szCs w:val="20"/>
        </w:rPr>
      </w:pPr>
      <w:r w:rsidRPr="007622DF">
        <w:rPr>
          <w:rFonts w:asciiTheme="minorHAnsi" w:hAnsiTheme="minorHAnsi" w:cstheme="minorHAnsi"/>
          <w:b/>
          <w:bCs/>
          <w:sz w:val="20"/>
          <w:szCs w:val="20"/>
        </w:rPr>
        <w:lastRenderedPageBreak/>
        <w:t>Gateway</w:t>
      </w:r>
    </w:p>
    <w:p w14:paraId="5572463F" w14:textId="77777777" w:rsidR="00007130" w:rsidRDefault="00007130" w:rsidP="009D68BF">
      <w:pPr>
        <w:numPr>
          <w:ilvl w:val="0"/>
          <w:numId w:val="36"/>
        </w:numPr>
        <w:jc w:val="both"/>
        <w:rPr>
          <w:rFonts w:asciiTheme="minorHAnsi" w:hAnsiTheme="minorHAnsi" w:cstheme="minorHAnsi"/>
          <w:sz w:val="20"/>
          <w:szCs w:val="20"/>
        </w:rPr>
      </w:pPr>
      <w:r w:rsidRPr="007622DF">
        <w:rPr>
          <w:rFonts w:asciiTheme="minorHAnsi" w:hAnsiTheme="minorHAnsi" w:cstheme="minorHAnsi"/>
          <w:sz w:val="20"/>
          <w:szCs w:val="20"/>
        </w:rPr>
        <w:t xml:space="preserve">Technology transformation progressing rapidly, and first key milestone delivered: </w:t>
      </w:r>
      <w:r>
        <w:rPr>
          <w:rFonts w:asciiTheme="minorHAnsi" w:hAnsiTheme="minorHAnsi" w:cstheme="minorHAnsi"/>
          <w:sz w:val="20"/>
          <w:szCs w:val="20"/>
        </w:rPr>
        <w:t>a</w:t>
      </w:r>
      <w:r w:rsidRPr="007622DF">
        <w:rPr>
          <w:rFonts w:asciiTheme="minorHAnsi" w:hAnsiTheme="minorHAnsi" w:cstheme="minorHAnsi"/>
          <w:sz w:val="20"/>
          <w:szCs w:val="20"/>
        </w:rPr>
        <w:t xml:space="preserve"> single customer-centric contact centre platform servicing multiple products and enhancing the customer experience.</w:t>
      </w:r>
    </w:p>
    <w:p w14:paraId="1BFDD1AE" w14:textId="77777777" w:rsidR="00007130" w:rsidRDefault="00007130" w:rsidP="009D68BF">
      <w:pPr>
        <w:jc w:val="both"/>
        <w:rPr>
          <w:rFonts w:asciiTheme="minorHAnsi" w:hAnsiTheme="minorHAnsi" w:cstheme="minorHAnsi"/>
          <w:sz w:val="20"/>
          <w:szCs w:val="20"/>
        </w:rPr>
      </w:pPr>
    </w:p>
    <w:p w14:paraId="7361BE2C" w14:textId="77777777" w:rsidR="00007130" w:rsidRPr="008404D4" w:rsidRDefault="00007130" w:rsidP="00007130">
      <w:pPr>
        <w:tabs>
          <w:tab w:val="left" w:pos="3280"/>
        </w:tabs>
        <w:jc w:val="both"/>
        <w:rPr>
          <w:rFonts w:asciiTheme="minorHAnsi" w:hAnsiTheme="minorHAnsi" w:cstheme="minorBidi"/>
          <w:b/>
          <w:bCs/>
          <w:color w:val="4747FF"/>
          <w:sz w:val="20"/>
          <w:szCs w:val="20"/>
        </w:rPr>
      </w:pPr>
      <w:r w:rsidRPr="4E5C4A35">
        <w:rPr>
          <w:rStyle w:val="Strong"/>
          <w:rFonts w:asciiTheme="minorHAnsi" w:hAnsiTheme="minorHAnsi" w:cstheme="minorBidi"/>
          <w:color w:val="4747FF"/>
          <w:sz w:val="20"/>
          <w:szCs w:val="20"/>
        </w:rPr>
        <w:t>C</w:t>
      </w:r>
      <w:r>
        <w:rPr>
          <w:rStyle w:val="Strong"/>
          <w:rFonts w:asciiTheme="minorHAnsi" w:hAnsiTheme="minorHAnsi" w:cstheme="minorBidi"/>
          <w:color w:val="4747FF"/>
          <w:sz w:val="20"/>
          <w:szCs w:val="20"/>
        </w:rPr>
        <w:t>omplaints: improved complaints handling while engaging with regulators to address industry-wide issues</w:t>
      </w:r>
      <w:r>
        <w:rPr>
          <w:rStyle w:val="Strong"/>
          <w:rFonts w:asciiTheme="minorHAnsi" w:hAnsiTheme="minorHAnsi" w:cstheme="minorBidi"/>
          <w:color w:val="4747FF"/>
          <w:sz w:val="20"/>
          <w:szCs w:val="20"/>
        </w:rPr>
        <w:tab/>
      </w:r>
    </w:p>
    <w:p w14:paraId="07C9A682" w14:textId="77777777" w:rsidR="00007130" w:rsidRPr="008404D4" w:rsidRDefault="00007130" w:rsidP="00007130">
      <w:pPr>
        <w:rPr>
          <w:rFonts w:ascii="Calibri" w:hAnsi="Calibri"/>
          <w:b/>
          <w:sz w:val="20"/>
          <w:szCs w:val="20"/>
        </w:rPr>
      </w:pPr>
    </w:p>
    <w:p w14:paraId="5E057AE7" w14:textId="6951F06B" w:rsidR="00007130" w:rsidRDefault="00007130" w:rsidP="009D68BF">
      <w:pPr>
        <w:pStyle w:val="ListParagraph"/>
        <w:numPr>
          <w:ilvl w:val="0"/>
          <w:numId w:val="37"/>
        </w:numPr>
        <w:ind w:hanging="357"/>
        <w:jc w:val="both"/>
        <w:rPr>
          <w:rFonts w:ascii="Calibri" w:hAnsi="Calibri"/>
          <w:sz w:val="20"/>
          <w:szCs w:val="20"/>
        </w:rPr>
      </w:pPr>
      <w:r>
        <w:rPr>
          <w:rFonts w:ascii="Calibri" w:hAnsi="Calibri"/>
          <w:sz w:val="20"/>
          <w:szCs w:val="20"/>
        </w:rPr>
        <w:t>Complaints costs in line with expectations</w:t>
      </w:r>
      <w:r w:rsidR="5082E503" w:rsidRPr="266F5B08">
        <w:rPr>
          <w:rFonts w:ascii="Calibri" w:hAnsi="Calibri"/>
          <w:sz w:val="20"/>
          <w:szCs w:val="20"/>
        </w:rPr>
        <w:t>.</w:t>
      </w:r>
    </w:p>
    <w:p w14:paraId="1348DA2B" w14:textId="3C8FEA2B" w:rsidR="00007130" w:rsidRPr="00FA30A8" w:rsidRDefault="00007130" w:rsidP="009D68BF">
      <w:pPr>
        <w:pStyle w:val="ListParagraph"/>
        <w:numPr>
          <w:ilvl w:val="0"/>
          <w:numId w:val="37"/>
        </w:numPr>
        <w:ind w:hanging="357"/>
        <w:jc w:val="both"/>
        <w:rPr>
          <w:rFonts w:ascii="Calibri" w:hAnsi="Calibri"/>
          <w:sz w:val="20"/>
          <w:szCs w:val="20"/>
        </w:rPr>
      </w:pPr>
      <w:r w:rsidRPr="008404D4">
        <w:rPr>
          <w:rFonts w:ascii="Calibri" w:hAnsi="Calibri"/>
          <w:sz w:val="20"/>
          <w:szCs w:val="20"/>
        </w:rPr>
        <w:t>Flexible and more cost-effective complaint handling capability b</w:t>
      </w:r>
      <w:r w:rsidR="00A3205F">
        <w:rPr>
          <w:rFonts w:ascii="Calibri" w:hAnsi="Calibri"/>
          <w:sz w:val="20"/>
          <w:szCs w:val="20"/>
        </w:rPr>
        <w:t>y</w:t>
      </w:r>
      <w:r w:rsidRPr="008404D4">
        <w:rPr>
          <w:rFonts w:ascii="Calibri" w:hAnsi="Calibri"/>
          <w:sz w:val="20"/>
          <w:szCs w:val="20"/>
        </w:rPr>
        <w:t xml:space="preserve"> offshore</w:t>
      </w:r>
      <w:r w:rsidR="00A3205F">
        <w:rPr>
          <w:rFonts w:ascii="Calibri" w:hAnsi="Calibri"/>
          <w:sz w:val="20"/>
          <w:szCs w:val="20"/>
        </w:rPr>
        <w:t xml:space="preserve"> providers</w:t>
      </w:r>
      <w:r w:rsidRPr="008404D4">
        <w:rPr>
          <w:rFonts w:ascii="Calibri" w:hAnsi="Calibri"/>
          <w:sz w:val="20"/>
          <w:szCs w:val="20"/>
        </w:rPr>
        <w:t>, with artificial intelligence being used to automate the logging of complaints.</w:t>
      </w:r>
      <w:r w:rsidRPr="00FA30A8">
        <w:rPr>
          <w:rFonts w:ascii="Calibri" w:hAnsi="Calibri" w:cs="Calibri"/>
          <w:sz w:val="20"/>
          <w:szCs w:val="20"/>
        </w:rPr>
        <w:t xml:space="preserve"> </w:t>
      </w:r>
    </w:p>
    <w:p w14:paraId="6FACC856" w14:textId="09062009" w:rsidR="00C12079" w:rsidRDefault="00007130" w:rsidP="00C12079">
      <w:pPr>
        <w:pStyle w:val="ListParagraph"/>
        <w:numPr>
          <w:ilvl w:val="0"/>
          <w:numId w:val="37"/>
        </w:numPr>
        <w:ind w:hanging="357"/>
        <w:jc w:val="both"/>
        <w:rPr>
          <w:rFonts w:ascii="Calibri" w:hAnsi="Calibri" w:cs="Calibri"/>
          <w:sz w:val="20"/>
          <w:szCs w:val="20"/>
        </w:rPr>
      </w:pPr>
      <w:r w:rsidRPr="008404D4">
        <w:rPr>
          <w:rFonts w:ascii="Calibri" w:hAnsi="Calibri" w:cs="Calibri"/>
          <w:sz w:val="20"/>
          <w:szCs w:val="20"/>
        </w:rPr>
        <w:t>Continu</w:t>
      </w:r>
      <w:r>
        <w:rPr>
          <w:rFonts w:ascii="Calibri" w:hAnsi="Calibri" w:cs="Calibri"/>
          <w:sz w:val="20"/>
          <w:szCs w:val="20"/>
        </w:rPr>
        <w:t>ing</w:t>
      </w:r>
      <w:r w:rsidRPr="008404D4">
        <w:rPr>
          <w:rFonts w:ascii="Calibri" w:hAnsi="Calibri" w:cs="Calibri"/>
          <w:sz w:val="20"/>
          <w:szCs w:val="20"/>
        </w:rPr>
        <w:t xml:space="preserve"> to engage with regulators to address complaints issues on an industry-wide basis</w:t>
      </w:r>
      <w:r w:rsidR="37157961" w:rsidRPr="266F5B08">
        <w:rPr>
          <w:rFonts w:ascii="Calibri" w:hAnsi="Calibri" w:cs="Calibri"/>
          <w:sz w:val="20"/>
          <w:szCs w:val="20"/>
        </w:rPr>
        <w:t>.</w:t>
      </w:r>
    </w:p>
    <w:p w14:paraId="496758CB" w14:textId="70858D01" w:rsidR="00007130" w:rsidRPr="00B5601D" w:rsidRDefault="00007130" w:rsidP="00B5601D">
      <w:pPr>
        <w:pStyle w:val="ListParagraph"/>
        <w:numPr>
          <w:ilvl w:val="0"/>
          <w:numId w:val="37"/>
        </w:numPr>
        <w:ind w:hanging="357"/>
        <w:jc w:val="both"/>
        <w:rPr>
          <w:rFonts w:ascii="Calibri" w:hAnsi="Calibri" w:cs="Calibri"/>
          <w:sz w:val="20"/>
          <w:szCs w:val="20"/>
        </w:rPr>
      </w:pPr>
      <w:r w:rsidRPr="00C12079">
        <w:rPr>
          <w:rFonts w:ascii="Calibri" w:hAnsi="Calibri" w:cs="Calibri"/>
          <w:sz w:val="20"/>
          <w:szCs w:val="20"/>
        </w:rPr>
        <w:t xml:space="preserve">Financial Ombudsman’s consultation: </w:t>
      </w:r>
      <w:r w:rsidR="00B5601D">
        <w:rPr>
          <w:rFonts w:ascii="Calibri" w:hAnsi="Calibri" w:cs="Calibri"/>
          <w:sz w:val="20"/>
          <w:szCs w:val="20"/>
        </w:rPr>
        <w:t>c</w:t>
      </w:r>
      <w:r w:rsidRPr="00C12079">
        <w:rPr>
          <w:rFonts w:ascii="Calibri" w:hAnsi="Calibri" w:cs="Calibri"/>
          <w:sz w:val="20"/>
          <w:szCs w:val="20"/>
        </w:rPr>
        <w:t>harging Claims Management Companies and other professional representatives</w:t>
      </w:r>
      <w:r w:rsidR="00B5601D">
        <w:rPr>
          <w:rFonts w:ascii="Calibri" w:hAnsi="Calibri" w:cs="Calibri"/>
          <w:sz w:val="20"/>
          <w:szCs w:val="20"/>
        </w:rPr>
        <w:t xml:space="preserve"> </w:t>
      </w:r>
      <w:r w:rsidR="00870BC1" w:rsidRPr="00B5601D">
        <w:rPr>
          <w:rFonts w:ascii="Calibri" w:hAnsi="Calibri" w:cs="Calibri"/>
          <w:sz w:val="20"/>
          <w:szCs w:val="20"/>
        </w:rPr>
        <w:t>c</w:t>
      </w:r>
      <w:r w:rsidRPr="00B5601D">
        <w:rPr>
          <w:rFonts w:ascii="Calibri" w:hAnsi="Calibri" w:cs="Calibri"/>
          <w:sz w:val="20"/>
          <w:szCs w:val="20"/>
        </w:rPr>
        <w:t xml:space="preserve">ould reduce the persistent harm that current poor practices are causing both firms and consumers and ensure a fairer distribution of financial responsibility. </w:t>
      </w:r>
    </w:p>
    <w:p w14:paraId="1CC651E5" w14:textId="77777777" w:rsidR="00007130" w:rsidRPr="00601D9B" w:rsidRDefault="00007130" w:rsidP="009D68BF">
      <w:pPr>
        <w:pStyle w:val="ListParagraph"/>
        <w:numPr>
          <w:ilvl w:val="0"/>
          <w:numId w:val="37"/>
        </w:numPr>
        <w:ind w:hanging="357"/>
        <w:jc w:val="both"/>
        <w:rPr>
          <w:rStyle w:val="Strong"/>
          <w:rFonts w:ascii="Calibri" w:hAnsi="Calibri" w:cs="Calibri"/>
          <w:b w:val="0"/>
          <w:bCs w:val="0"/>
          <w:sz w:val="20"/>
          <w:szCs w:val="20"/>
        </w:rPr>
      </w:pPr>
      <w:r w:rsidRPr="008404D4">
        <w:rPr>
          <w:rFonts w:ascii="Calibri" w:hAnsi="Calibri" w:cs="Calibri"/>
          <w:sz w:val="20"/>
          <w:szCs w:val="20"/>
        </w:rPr>
        <w:t>Legal proceedings are ongoing against the CMC responsible for the most spurious claims.</w:t>
      </w:r>
    </w:p>
    <w:p w14:paraId="7F40721D" w14:textId="77777777" w:rsidR="00007130" w:rsidRPr="00D67126" w:rsidRDefault="00007130" w:rsidP="00007130">
      <w:pPr>
        <w:pStyle w:val="NoSpacing"/>
        <w:jc w:val="both"/>
        <w:rPr>
          <w:rFonts w:cstheme="minorHAnsi"/>
          <w:sz w:val="20"/>
          <w:szCs w:val="20"/>
        </w:rPr>
      </w:pPr>
    </w:p>
    <w:p w14:paraId="6666BE04" w14:textId="77777777" w:rsidR="00007130" w:rsidRPr="00D67126" w:rsidRDefault="00007130" w:rsidP="00007130">
      <w:pPr>
        <w:jc w:val="both"/>
        <w:rPr>
          <w:rStyle w:val="Strong"/>
          <w:rFonts w:asciiTheme="minorHAnsi" w:hAnsiTheme="minorHAnsi" w:cstheme="minorBidi"/>
          <w:color w:val="4747FF"/>
          <w:sz w:val="20"/>
          <w:szCs w:val="20"/>
        </w:rPr>
      </w:pPr>
      <w:r w:rsidRPr="4E5C4A35">
        <w:rPr>
          <w:rStyle w:val="Strong"/>
          <w:rFonts w:asciiTheme="minorHAnsi" w:hAnsiTheme="minorHAnsi" w:cstheme="minorBidi"/>
          <w:color w:val="4747FF"/>
          <w:sz w:val="20"/>
          <w:szCs w:val="20"/>
        </w:rPr>
        <w:t>Capital and funding:</w:t>
      </w:r>
      <w:r w:rsidRPr="5B775BA9">
        <w:rPr>
          <w:rStyle w:val="Strong"/>
          <w:rFonts w:asciiTheme="minorHAnsi" w:hAnsiTheme="minorHAnsi" w:cstheme="minorBidi"/>
          <w:color w:val="4747FF"/>
          <w:sz w:val="20"/>
          <w:szCs w:val="20"/>
        </w:rPr>
        <w:t xml:space="preserve"> </w:t>
      </w:r>
      <w:r>
        <w:rPr>
          <w:rStyle w:val="Strong"/>
          <w:rFonts w:asciiTheme="minorHAnsi" w:hAnsiTheme="minorHAnsi" w:cstheme="minorBidi"/>
          <w:color w:val="4747FF"/>
          <w:sz w:val="20"/>
          <w:szCs w:val="20"/>
        </w:rPr>
        <w:t>renewed focus on deploying capital for profitable receivables growth</w:t>
      </w:r>
    </w:p>
    <w:p w14:paraId="0E94867C" w14:textId="77777777" w:rsidR="00007130" w:rsidRPr="00D67126" w:rsidRDefault="00007130" w:rsidP="00007130">
      <w:pPr>
        <w:pStyle w:val="NoSpacing"/>
        <w:jc w:val="both"/>
        <w:rPr>
          <w:rStyle w:val="Strong"/>
          <w:rFonts w:cstheme="minorHAnsi"/>
          <w:b w:val="0"/>
          <w:bCs w:val="0"/>
          <w:sz w:val="20"/>
          <w:szCs w:val="20"/>
        </w:rPr>
      </w:pPr>
    </w:p>
    <w:p w14:paraId="72F7ED27" w14:textId="1C57A04E" w:rsidR="00007130" w:rsidRPr="000E60BD" w:rsidRDefault="00007130" w:rsidP="00007130">
      <w:pPr>
        <w:pStyle w:val="NoSpacing"/>
        <w:numPr>
          <w:ilvl w:val="0"/>
          <w:numId w:val="2"/>
        </w:numPr>
        <w:spacing w:line="259" w:lineRule="auto"/>
        <w:jc w:val="both"/>
        <w:rPr>
          <w:rStyle w:val="Strong"/>
          <w:b w:val="0"/>
          <w:bCs w:val="0"/>
          <w:sz w:val="20"/>
          <w:szCs w:val="20"/>
        </w:rPr>
      </w:pPr>
      <w:r w:rsidRPr="000E60BD">
        <w:rPr>
          <w:rStyle w:val="Strong"/>
          <w:b w:val="0"/>
          <w:bCs w:val="0"/>
          <w:sz w:val="20"/>
          <w:szCs w:val="20"/>
        </w:rPr>
        <w:t xml:space="preserve">Statutory losses and one-off items resulted in a </w:t>
      </w:r>
      <w:r w:rsidR="001A3A19">
        <w:rPr>
          <w:rStyle w:val="Strong"/>
          <w:b w:val="0"/>
          <w:bCs w:val="0"/>
          <w:sz w:val="20"/>
          <w:szCs w:val="20"/>
        </w:rPr>
        <w:t xml:space="preserve">Tier </w:t>
      </w:r>
      <w:r w:rsidRPr="000E60BD">
        <w:rPr>
          <w:rStyle w:val="Strong"/>
          <w:b w:val="0"/>
          <w:bCs w:val="0"/>
          <w:sz w:val="20"/>
          <w:szCs w:val="20"/>
        </w:rPr>
        <w:t xml:space="preserve">1 ratio of </w:t>
      </w:r>
      <w:r w:rsidRPr="009634CF">
        <w:rPr>
          <w:rStyle w:val="Strong"/>
          <w:b w:val="0"/>
          <w:sz w:val="20"/>
          <w:szCs w:val="20"/>
        </w:rPr>
        <w:t>19.</w:t>
      </w:r>
      <w:r>
        <w:rPr>
          <w:rStyle w:val="Strong"/>
          <w:b w:val="0"/>
          <w:bCs w:val="0"/>
          <w:sz w:val="20"/>
          <w:szCs w:val="20"/>
        </w:rPr>
        <w:t>8</w:t>
      </w:r>
      <w:r w:rsidRPr="009634CF">
        <w:rPr>
          <w:rStyle w:val="Strong"/>
          <w:b w:val="0"/>
          <w:bCs w:val="0"/>
          <w:sz w:val="20"/>
          <w:szCs w:val="20"/>
        </w:rPr>
        <w:t>%</w:t>
      </w:r>
      <w:r>
        <w:rPr>
          <w:rStyle w:val="Strong"/>
          <w:b w:val="0"/>
          <w:bCs w:val="0"/>
          <w:sz w:val="20"/>
          <w:szCs w:val="20"/>
        </w:rPr>
        <w:t xml:space="preserve"> at 30 June 2024</w:t>
      </w:r>
      <w:r w:rsidR="009634CF">
        <w:rPr>
          <w:rStyle w:val="Strong"/>
          <w:b w:val="0"/>
          <w:bCs w:val="0"/>
          <w:sz w:val="20"/>
          <w:szCs w:val="20"/>
        </w:rPr>
        <w:t xml:space="preserve"> (1H23: 21.</w:t>
      </w:r>
      <w:r w:rsidR="00170356">
        <w:rPr>
          <w:rStyle w:val="Strong"/>
          <w:b w:val="0"/>
          <w:bCs w:val="0"/>
          <w:sz w:val="20"/>
          <w:szCs w:val="20"/>
        </w:rPr>
        <w:t>1</w:t>
      </w:r>
      <w:r w:rsidR="009634CF" w:rsidRPr="31EE4830">
        <w:rPr>
          <w:rStyle w:val="Strong"/>
          <w:b w:val="0"/>
          <w:bCs w:val="0"/>
          <w:sz w:val="20"/>
          <w:szCs w:val="20"/>
        </w:rPr>
        <w:t>%)</w:t>
      </w:r>
      <w:r w:rsidR="349E5E88" w:rsidRPr="31EE4830">
        <w:rPr>
          <w:rStyle w:val="Strong"/>
          <w:b w:val="0"/>
          <w:bCs w:val="0"/>
          <w:sz w:val="20"/>
          <w:szCs w:val="20"/>
        </w:rPr>
        <w:t>.</w:t>
      </w:r>
    </w:p>
    <w:p w14:paraId="2C51F485" w14:textId="68AD85AF" w:rsidR="00007130" w:rsidRPr="00E478C5" w:rsidRDefault="00007130" w:rsidP="00007130">
      <w:pPr>
        <w:pStyle w:val="NoSpacing"/>
        <w:numPr>
          <w:ilvl w:val="0"/>
          <w:numId w:val="2"/>
        </w:numPr>
        <w:jc w:val="both"/>
        <w:rPr>
          <w:sz w:val="20"/>
        </w:rPr>
      </w:pPr>
      <w:r w:rsidRPr="2A194912">
        <w:rPr>
          <w:rStyle w:val="Strong"/>
          <w:b w:val="0"/>
          <w:sz w:val="20"/>
          <w:szCs w:val="20"/>
        </w:rPr>
        <w:t>Strong</w:t>
      </w:r>
      <w:r w:rsidRPr="000E60BD">
        <w:rPr>
          <w:rStyle w:val="Strong"/>
          <w:b w:val="0"/>
          <w:bCs w:val="0"/>
          <w:sz w:val="20"/>
          <w:szCs w:val="20"/>
        </w:rPr>
        <w:t xml:space="preserve"> liquidity and funding, with retail funding at </w:t>
      </w:r>
      <w:r w:rsidRPr="00A53CC4">
        <w:rPr>
          <w:rStyle w:val="Strong"/>
          <w:b w:val="0"/>
          <w:sz w:val="20"/>
          <w:szCs w:val="20"/>
        </w:rPr>
        <w:t>86.</w:t>
      </w:r>
      <w:r w:rsidR="00044998">
        <w:rPr>
          <w:rStyle w:val="Strong"/>
          <w:b w:val="0"/>
          <w:sz w:val="20"/>
          <w:szCs w:val="20"/>
        </w:rPr>
        <w:t>5</w:t>
      </w:r>
      <w:r w:rsidRPr="2A194912">
        <w:rPr>
          <w:rStyle w:val="Strong"/>
          <w:b w:val="0"/>
          <w:sz w:val="20"/>
          <w:szCs w:val="20"/>
        </w:rPr>
        <w:t xml:space="preserve">% </w:t>
      </w:r>
      <w:r w:rsidR="009634CF">
        <w:rPr>
          <w:rStyle w:val="Strong"/>
          <w:b w:val="0"/>
          <w:sz w:val="20"/>
          <w:szCs w:val="20"/>
        </w:rPr>
        <w:t xml:space="preserve">(1H23: </w:t>
      </w:r>
      <w:r w:rsidR="009E7F3F">
        <w:rPr>
          <w:rStyle w:val="Strong"/>
          <w:b w:val="0"/>
          <w:sz w:val="20"/>
          <w:szCs w:val="20"/>
        </w:rPr>
        <w:t>76.1%)</w:t>
      </w:r>
      <w:r w:rsidRPr="2A194912">
        <w:rPr>
          <w:rStyle w:val="Strong"/>
          <w:b w:val="0"/>
          <w:sz w:val="20"/>
          <w:szCs w:val="20"/>
        </w:rPr>
        <w:t xml:space="preserve"> and </w:t>
      </w:r>
      <w:r w:rsidRPr="000E60BD">
        <w:rPr>
          <w:rStyle w:val="Strong"/>
          <w:b w:val="0"/>
          <w:bCs w:val="0"/>
          <w:sz w:val="20"/>
          <w:szCs w:val="20"/>
        </w:rPr>
        <w:t xml:space="preserve">partial early repayment of </w:t>
      </w:r>
      <w:r w:rsidRPr="00A53CC4">
        <w:rPr>
          <w:rStyle w:val="Strong"/>
          <w:b w:val="0"/>
          <w:bCs w:val="0"/>
          <w:sz w:val="20"/>
          <w:szCs w:val="20"/>
        </w:rPr>
        <w:t>£75m</w:t>
      </w:r>
      <w:r w:rsidRPr="000E60BD">
        <w:rPr>
          <w:rStyle w:val="Strong"/>
          <w:b w:val="0"/>
          <w:bCs w:val="0"/>
          <w:sz w:val="20"/>
          <w:szCs w:val="20"/>
        </w:rPr>
        <w:t xml:space="preserve"> TSFME funding.</w:t>
      </w:r>
    </w:p>
    <w:p w14:paraId="2773FF65" w14:textId="77777777" w:rsidR="00007130" w:rsidRPr="00D11B77" w:rsidRDefault="00007130" w:rsidP="00007130">
      <w:pPr>
        <w:jc w:val="both"/>
        <w:rPr>
          <w:rStyle w:val="Strong"/>
          <w:rFonts w:asciiTheme="minorHAnsi" w:hAnsiTheme="minorHAnsi" w:cstheme="minorBidi"/>
          <w:sz w:val="20"/>
          <w:szCs w:val="20"/>
          <w:highlight w:val="yellow"/>
        </w:rPr>
      </w:pPr>
    </w:p>
    <w:p w14:paraId="1AC0A7DF" w14:textId="6213B6A3" w:rsidR="28CF13FF" w:rsidRDefault="28CF13FF" w:rsidP="002725AC">
      <w:pPr>
        <w:pStyle w:val="NoSpacing"/>
        <w:spacing w:line="259" w:lineRule="auto"/>
        <w:jc w:val="both"/>
        <w:rPr>
          <w:rFonts w:ascii="Calibri" w:eastAsia="Calibri" w:hAnsi="Calibri" w:cs="Calibri"/>
          <w:sz w:val="20"/>
          <w:szCs w:val="20"/>
        </w:rPr>
      </w:pPr>
      <w:r w:rsidRPr="5295FE17">
        <w:rPr>
          <w:b/>
          <w:bCs/>
          <w:color w:val="4747FF"/>
          <w:sz w:val="20"/>
          <w:szCs w:val="20"/>
        </w:rPr>
        <w:t>Dividend</w:t>
      </w:r>
    </w:p>
    <w:p w14:paraId="650A145E" w14:textId="4EBE8028" w:rsidR="5295FE17" w:rsidRDefault="5295FE17" w:rsidP="5295FE17">
      <w:pPr>
        <w:pStyle w:val="NoSpacing"/>
        <w:spacing w:line="259" w:lineRule="auto"/>
        <w:jc w:val="both"/>
        <w:rPr>
          <w:b/>
          <w:bCs/>
          <w:color w:val="4747FF"/>
          <w:sz w:val="20"/>
          <w:szCs w:val="20"/>
        </w:rPr>
      </w:pPr>
    </w:p>
    <w:p w14:paraId="11527D54" w14:textId="1FF4AB7F" w:rsidR="44B4321F" w:rsidRDefault="0725004C" w:rsidP="002725AC">
      <w:pPr>
        <w:pStyle w:val="NoSpacing"/>
        <w:spacing w:line="259" w:lineRule="auto"/>
        <w:jc w:val="both"/>
        <w:rPr>
          <w:sz w:val="20"/>
          <w:szCs w:val="20"/>
        </w:rPr>
      </w:pPr>
      <w:r w:rsidRPr="5295FE17">
        <w:rPr>
          <w:sz w:val="20"/>
          <w:szCs w:val="20"/>
        </w:rPr>
        <w:t xml:space="preserve">The Board does not propose to pay </w:t>
      </w:r>
      <w:r w:rsidR="00F97F9F">
        <w:rPr>
          <w:sz w:val="20"/>
          <w:szCs w:val="20"/>
        </w:rPr>
        <w:t>a</w:t>
      </w:r>
      <w:r w:rsidRPr="16FB3EF9">
        <w:rPr>
          <w:sz w:val="20"/>
          <w:szCs w:val="20"/>
        </w:rPr>
        <w:t xml:space="preserve">n </w:t>
      </w:r>
      <w:r w:rsidR="006D0578">
        <w:rPr>
          <w:sz w:val="20"/>
          <w:szCs w:val="20"/>
        </w:rPr>
        <w:t>i</w:t>
      </w:r>
      <w:r w:rsidRPr="5295FE17">
        <w:rPr>
          <w:sz w:val="20"/>
          <w:szCs w:val="20"/>
        </w:rPr>
        <w:t>nterim dividend (1H23: 5p)</w:t>
      </w:r>
      <w:r w:rsidR="001C515F">
        <w:rPr>
          <w:sz w:val="20"/>
          <w:szCs w:val="20"/>
        </w:rPr>
        <w:t xml:space="preserve"> </w:t>
      </w:r>
      <w:r w:rsidR="00E97AFF">
        <w:rPr>
          <w:sz w:val="20"/>
          <w:szCs w:val="20"/>
        </w:rPr>
        <w:t>for</w:t>
      </w:r>
      <w:r w:rsidR="001C515F">
        <w:rPr>
          <w:sz w:val="20"/>
          <w:szCs w:val="20"/>
        </w:rPr>
        <w:t xml:space="preserve"> 1H24.</w:t>
      </w:r>
    </w:p>
    <w:p w14:paraId="6930C3DF" w14:textId="7FD011A5" w:rsidR="5295FE17" w:rsidRDefault="5295FE17" w:rsidP="5295FE17">
      <w:pPr>
        <w:pStyle w:val="NoSpacing"/>
        <w:jc w:val="both"/>
        <w:rPr>
          <w:b/>
          <w:bCs/>
          <w:color w:val="4747FF"/>
          <w:sz w:val="20"/>
          <w:szCs w:val="20"/>
        </w:rPr>
      </w:pPr>
    </w:p>
    <w:p w14:paraId="281993EB" w14:textId="40C03739" w:rsidR="00007130" w:rsidRPr="000F06D2" w:rsidRDefault="00007130" w:rsidP="00007130">
      <w:pPr>
        <w:pStyle w:val="NoSpacing"/>
        <w:jc w:val="both"/>
        <w:rPr>
          <w:b/>
          <w:color w:val="4747FF"/>
          <w:sz w:val="20"/>
          <w:szCs w:val="20"/>
          <w:u w:val="single"/>
        </w:rPr>
      </w:pPr>
      <w:r w:rsidRPr="000F06D2">
        <w:rPr>
          <w:b/>
          <w:color w:val="4747FF"/>
          <w:sz w:val="20"/>
          <w:szCs w:val="20"/>
          <w:u w:val="single"/>
        </w:rPr>
        <w:t>Outlook</w:t>
      </w:r>
      <w:r w:rsidR="006B429C" w:rsidRPr="000F06D2">
        <w:rPr>
          <w:b/>
          <w:color w:val="4747FF"/>
          <w:sz w:val="20"/>
          <w:szCs w:val="20"/>
          <w:u w:val="single"/>
        </w:rPr>
        <w:t>*</w:t>
      </w:r>
    </w:p>
    <w:p w14:paraId="784C6A1F" w14:textId="77777777" w:rsidR="00007130" w:rsidRPr="001542A7" w:rsidRDefault="00007130" w:rsidP="00007130">
      <w:pPr>
        <w:pStyle w:val="NoSpacing"/>
        <w:jc w:val="both"/>
        <w:rPr>
          <w:rFonts w:cstheme="minorHAnsi"/>
          <w:sz w:val="20"/>
          <w:szCs w:val="20"/>
        </w:rPr>
      </w:pPr>
    </w:p>
    <w:p w14:paraId="2690199B" w14:textId="4423C62B" w:rsidR="00007130" w:rsidRPr="001542A7" w:rsidRDefault="00007130" w:rsidP="00007130">
      <w:pPr>
        <w:pStyle w:val="NoSpacing"/>
        <w:jc w:val="both"/>
        <w:rPr>
          <w:rFonts w:cstheme="minorHAnsi"/>
          <w:sz w:val="20"/>
          <w:szCs w:val="20"/>
        </w:rPr>
      </w:pPr>
      <w:r w:rsidRPr="001542A7">
        <w:rPr>
          <w:rFonts w:cstheme="minorHAnsi"/>
          <w:sz w:val="20"/>
          <w:szCs w:val="20"/>
        </w:rPr>
        <w:t>The Group’s short</w:t>
      </w:r>
      <w:r w:rsidR="0028229F" w:rsidRPr="001542A7">
        <w:rPr>
          <w:rFonts w:cstheme="minorHAnsi"/>
          <w:sz w:val="20"/>
          <w:szCs w:val="20"/>
        </w:rPr>
        <w:t>-</w:t>
      </w:r>
      <w:r w:rsidRPr="001542A7">
        <w:rPr>
          <w:rFonts w:cstheme="minorHAnsi"/>
          <w:sz w:val="20"/>
          <w:szCs w:val="20"/>
        </w:rPr>
        <w:t>term objective is to return the business to</w:t>
      </w:r>
      <w:r w:rsidR="001542A7">
        <w:rPr>
          <w:rFonts w:cstheme="minorHAnsi"/>
          <w:sz w:val="20"/>
          <w:szCs w:val="20"/>
        </w:rPr>
        <w:t xml:space="preserve"> </w:t>
      </w:r>
      <w:r w:rsidR="008641D9">
        <w:rPr>
          <w:rFonts w:cstheme="minorHAnsi"/>
          <w:sz w:val="20"/>
          <w:szCs w:val="20"/>
        </w:rPr>
        <w:t>modest receivables growth in 2H24</w:t>
      </w:r>
      <w:r w:rsidRPr="001542A7">
        <w:rPr>
          <w:rFonts w:cstheme="minorHAnsi"/>
          <w:sz w:val="20"/>
          <w:szCs w:val="20"/>
        </w:rPr>
        <w:t>.</w:t>
      </w:r>
    </w:p>
    <w:p w14:paraId="013309FB" w14:textId="77777777" w:rsidR="00007130" w:rsidRPr="001542A7" w:rsidRDefault="00007130" w:rsidP="00007130">
      <w:pPr>
        <w:pStyle w:val="NoSpacing"/>
        <w:jc w:val="both"/>
        <w:rPr>
          <w:rFonts w:cstheme="minorHAnsi"/>
          <w:sz w:val="20"/>
          <w:szCs w:val="20"/>
        </w:rPr>
      </w:pPr>
    </w:p>
    <w:p w14:paraId="3C56043E" w14:textId="268ACC3A" w:rsidR="0031263C" w:rsidRPr="001542A7" w:rsidRDefault="00EB6CD1" w:rsidP="00007130">
      <w:pPr>
        <w:pStyle w:val="NoSpacing"/>
        <w:jc w:val="both"/>
        <w:rPr>
          <w:sz w:val="20"/>
          <w:szCs w:val="20"/>
        </w:rPr>
      </w:pPr>
      <w:r>
        <w:rPr>
          <w:sz w:val="20"/>
          <w:szCs w:val="20"/>
        </w:rPr>
        <w:t>T</w:t>
      </w:r>
      <w:r w:rsidR="00007130" w:rsidRPr="001542A7">
        <w:rPr>
          <w:sz w:val="20"/>
          <w:szCs w:val="20"/>
        </w:rPr>
        <w:t xml:space="preserve">he Group </w:t>
      </w:r>
      <w:r w:rsidR="426B288B" w:rsidRPr="001542A7">
        <w:rPr>
          <w:sz w:val="20"/>
          <w:szCs w:val="20"/>
        </w:rPr>
        <w:t>remains on track</w:t>
      </w:r>
      <w:r w:rsidR="00007130" w:rsidRPr="001542A7">
        <w:rPr>
          <w:sz w:val="20"/>
          <w:szCs w:val="20"/>
        </w:rPr>
        <w:t xml:space="preserve"> to </w:t>
      </w:r>
      <w:r w:rsidR="0031263C" w:rsidRPr="001542A7">
        <w:rPr>
          <w:sz w:val="20"/>
          <w:szCs w:val="20"/>
        </w:rPr>
        <w:t>deliver low single digit ROTE in 2025 and</w:t>
      </w:r>
      <w:r w:rsidR="00007130" w:rsidRPr="001542A7">
        <w:rPr>
          <w:sz w:val="20"/>
          <w:szCs w:val="20"/>
        </w:rPr>
        <w:t xml:space="preserve"> mid</w:t>
      </w:r>
      <w:r>
        <w:rPr>
          <w:sz w:val="20"/>
          <w:szCs w:val="20"/>
        </w:rPr>
        <w:t>-</w:t>
      </w:r>
      <w:r w:rsidR="00007130" w:rsidRPr="001542A7">
        <w:rPr>
          <w:sz w:val="20"/>
          <w:szCs w:val="20"/>
        </w:rPr>
        <w:t>teens ROTE in 2026</w:t>
      </w:r>
      <w:r w:rsidR="009404DD">
        <w:rPr>
          <w:sz w:val="20"/>
          <w:szCs w:val="20"/>
        </w:rPr>
        <w:t>, in line with previous guidance</w:t>
      </w:r>
      <w:r w:rsidR="0031263C" w:rsidRPr="001542A7">
        <w:rPr>
          <w:sz w:val="20"/>
          <w:szCs w:val="20"/>
        </w:rPr>
        <w:t xml:space="preserve">. </w:t>
      </w:r>
    </w:p>
    <w:p w14:paraId="1E129E47" w14:textId="751AF5FA" w:rsidR="00007130" w:rsidRPr="001542A7" w:rsidRDefault="00007130" w:rsidP="00007130">
      <w:pPr>
        <w:pStyle w:val="NoSpacing"/>
        <w:jc w:val="both"/>
        <w:rPr>
          <w:rFonts w:cstheme="minorHAnsi"/>
          <w:sz w:val="20"/>
          <w:szCs w:val="20"/>
        </w:rPr>
      </w:pPr>
    </w:p>
    <w:p w14:paraId="4B4ED732" w14:textId="77777777" w:rsidR="00007130" w:rsidRPr="001542A7" w:rsidRDefault="00007130" w:rsidP="00007130">
      <w:pPr>
        <w:pStyle w:val="NoSpacing"/>
        <w:jc w:val="both"/>
        <w:rPr>
          <w:i/>
          <w:sz w:val="20"/>
          <w:szCs w:val="20"/>
        </w:rPr>
      </w:pPr>
    </w:p>
    <w:tbl>
      <w:tblPr>
        <w:tblStyle w:val="TableGrid"/>
        <w:tblW w:w="4665" w:type="pct"/>
        <w:tblBorders>
          <w:top w:val="none" w:sz="0" w:space="0" w:color="auto"/>
          <w:left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5246"/>
        <w:gridCol w:w="1843"/>
        <w:gridCol w:w="1983"/>
      </w:tblGrid>
      <w:tr w:rsidR="00007130" w:rsidRPr="001542A7" w14:paraId="1130FBE2" w14:textId="77777777" w:rsidTr="00CF66BE">
        <w:trPr>
          <w:trHeight w:val="300"/>
        </w:trPr>
        <w:tc>
          <w:tcPr>
            <w:tcW w:w="2891" w:type="pct"/>
            <w:tcBorders>
              <w:bottom w:val="single" w:sz="4" w:space="0" w:color="auto"/>
            </w:tcBorders>
          </w:tcPr>
          <w:p w14:paraId="34C27355" w14:textId="77777777" w:rsidR="00007130" w:rsidRPr="001542A7" w:rsidRDefault="00007130">
            <w:pPr>
              <w:rPr>
                <w:rFonts w:ascii="Calibri" w:eastAsia="Calibri" w:hAnsi="Calibri" w:cs="Calibri"/>
                <w:color w:val="000000" w:themeColor="text1"/>
                <w:sz w:val="20"/>
                <w:szCs w:val="20"/>
              </w:rPr>
            </w:pPr>
          </w:p>
        </w:tc>
        <w:tc>
          <w:tcPr>
            <w:tcW w:w="1016" w:type="pct"/>
            <w:tcBorders>
              <w:bottom w:val="single" w:sz="4" w:space="0" w:color="auto"/>
            </w:tcBorders>
          </w:tcPr>
          <w:p w14:paraId="22CF4A63" w14:textId="77777777" w:rsidR="00007130" w:rsidRPr="001542A7" w:rsidRDefault="00007130">
            <w:pPr>
              <w:rPr>
                <w:rFonts w:ascii="Calibri" w:eastAsia="Calibri" w:hAnsi="Calibri" w:cs="Calibri"/>
                <w:b/>
                <w:color w:val="000000" w:themeColor="text1"/>
                <w:sz w:val="20"/>
                <w:szCs w:val="20"/>
              </w:rPr>
            </w:pPr>
            <w:r w:rsidRPr="001542A7">
              <w:rPr>
                <w:rFonts w:ascii="Calibri" w:eastAsia="Calibri" w:hAnsi="Calibri" w:cs="Calibri"/>
                <w:b/>
                <w:color w:val="000000" w:themeColor="text1"/>
                <w:sz w:val="20"/>
                <w:szCs w:val="20"/>
              </w:rPr>
              <w:t>FY24 guidance</w:t>
            </w:r>
          </w:p>
          <w:p w14:paraId="05658EE3" w14:textId="77777777" w:rsidR="00007130" w:rsidRPr="001542A7" w:rsidRDefault="00007130">
            <w:pPr>
              <w:rPr>
                <w:rFonts w:ascii="Calibri" w:eastAsia="Calibri" w:hAnsi="Calibri" w:cs="Calibri"/>
                <w:b/>
                <w:color w:val="000000" w:themeColor="text1"/>
                <w:sz w:val="20"/>
                <w:szCs w:val="20"/>
              </w:rPr>
            </w:pPr>
            <w:r w:rsidRPr="001542A7">
              <w:rPr>
                <w:rFonts w:ascii="Calibri" w:eastAsia="Calibri" w:hAnsi="Calibri" w:cs="Calibri"/>
                <w:b/>
                <w:color w:val="000000" w:themeColor="text1"/>
                <w:sz w:val="20"/>
                <w:szCs w:val="20"/>
              </w:rPr>
              <w:t>(March 2024)</w:t>
            </w:r>
          </w:p>
        </w:tc>
        <w:tc>
          <w:tcPr>
            <w:tcW w:w="1093" w:type="pct"/>
            <w:tcBorders>
              <w:bottom w:val="single" w:sz="4" w:space="0" w:color="auto"/>
            </w:tcBorders>
          </w:tcPr>
          <w:p w14:paraId="2427428E" w14:textId="77777777" w:rsidR="00007130" w:rsidRPr="001542A7" w:rsidRDefault="00007130">
            <w:pPr>
              <w:rPr>
                <w:rFonts w:ascii="Calibri" w:eastAsia="Calibri" w:hAnsi="Calibri" w:cs="Calibri"/>
                <w:b/>
                <w:color w:val="000000" w:themeColor="text1"/>
                <w:sz w:val="20"/>
                <w:szCs w:val="20"/>
              </w:rPr>
            </w:pPr>
            <w:r w:rsidRPr="001542A7">
              <w:rPr>
                <w:rFonts w:ascii="Calibri" w:eastAsia="Calibri" w:hAnsi="Calibri" w:cs="Calibri"/>
                <w:b/>
                <w:color w:val="000000" w:themeColor="text1"/>
                <w:sz w:val="20"/>
                <w:szCs w:val="20"/>
              </w:rPr>
              <w:t>Revised FY24 guidance</w:t>
            </w:r>
          </w:p>
        </w:tc>
      </w:tr>
      <w:tr w:rsidR="00007130" w:rsidRPr="001542A7" w14:paraId="5830132A" w14:textId="77777777" w:rsidTr="00CF66BE">
        <w:trPr>
          <w:trHeight w:val="300"/>
        </w:trPr>
        <w:tc>
          <w:tcPr>
            <w:tcW w:w="2891" w:type="pct"/>
            <w:tcBorders>
              <w:top w:val="single" w:sz="4" w:space="0" w:color="auto"/>
              <w:bottom w:val="single" w:sz="4" w:space="0" w:color="auto"/>
            </w:tcBorders>
          </w:tcPr>
          <w:p w14:paraId="18E05D4E" w14:textId="77777777" w:rsidR="00007130" w:rsidRPr="001542A7" w:rsidRDefault="00007130">
            <w:pPr>
              <w:rPr>
                <w:rFonts w:ascii="Calibri" w:eastAsia="Calibri" w:hAnsi="Calibri" w:cs="Calibri"/>
                <w:color w:val="000000" w:themeColor="text1"/>
                <w:sz w:val="20"/>
                <w:szCs w:val="20"/>
              </w:rPr>
            </w:pPr>
            <w:r w:rsidRPr="001542A7">
              <w:rPr>
                <w:rFonts w:ascii="Calibri" w:eastAsia="Calibri" w:hAnsi="Calibri" w:cs="Calibri"/>
                <w:color w:val="000000" w:themeColor="text1"/>
                <w:sz w:val="20"/>
                <w:szCs w:val="20"/>
              </w:rPr>
              <w:t>NIM (inc. 2</w:t>
            </w:r>
            <w:r w:rsidRPr="001542A7">
              <w:rPr>
                <w:rFonts w:ascii="Calibri" w:eastAsia="Calibri" w:hAnsi="Calibri" w:cs="Calibri"/>
                <w:color w:val="000000" w:themeColor="text1"/>
                <w:sz w:val="20"/>
                <w:szCs w:val="20"/>
                <w:vertAlign w:val="superscript"/>
              </w:rPr>
              <w:t>nd</w:t>
            </w:r>
            <w:r w:rsidRPr="001542A7">
              <w:rPr>
                <w:rFonts w:ascii="Calibri" w:eastAsia="Calibri" w:hAnsi="Calibri" w:cs="Calibri"/>
                <w:color w:val="000000" w:themeColor="text1"/>
                <w:sz w:val="20"/>
                <w:szCs w:val="20"/>
              </w:rPr>
              <w:t xml:space="preserve"> charge mortgages)</w:t>
            </w:r>
          </w:p>
        </w:tc>
        <w:tc>
          <w:tcPr>
            <w:tcW w:w="1016" w:type="pct"/>
            <w:tcBorders>
              <w:top w:val="single" w:sz="4" w:space="0" w:color="auto"/>
              <w:bottom w:val="single" w:sz="4" w:space="0" w:color="auto"/>
            </w:tcBorders>
          </w:tcPr>
          <w:p w14:paraId="726844DC" w14:textId="77777777" w:rsidR="00007130" w:rsidRPr="001542A7" w:rsidRDefault="00007130">
            <w:pPr>
              <w:rPr>
                <w:rFonts w:ascii="Calibri" w:eastAsia="Calibri" w:hAnsi="Calibri" w:cs="Calibri"/>
                <w:color w:val="000000" w:themeColor="text1"/>
                <w:sz w:val="20"/>
                <w:szCs w:val="20"/>
              </w:rPr>
            </w:pPr>
            <w:r w:rsidRPr="001542A7">
              <w:rPr>
                <w:rFonts w:ascii="Calibri" w:eastAsia="Calibri" w:hAnsi="Calibri" w:cs="Calibri"/>
                <w:color w:val="000000" w:themeColor="text1"/>
                <w:sz w:val="20"/>
                <w:szCs w:val="20"/>
              </w:rPr>
              <w:t>&gt;18%</w:t>
            </w:r>
          </w:p>
        </w:tc>
        <w:tc>
          <w:tcPr>
            <w:tcW w:w="1093" w:type="pct"/>
            <w:tcBorders>
              <w:top w:val="single" w:sz="4" w:space="0" w:color="auto"/>
              <w:bottom w:val="single" w:sz="4" w:space="0" w:color="auto"/>
            </w:tcBorders>
          </w:tcPr>
          <w:p w14:paraId="2526AFB9" w14:textId="1E3A1CA2" w:rsidR="00007130" w:rsidRPr="001542A7" w:rsidRDefault="00530966">
            <w:pPr>
              <w:rPr>
                <w:rFonts w:ascii="Calibri" w:eastAsia="Calibri" w:hAnsi="Calibri" w:cs="Calibri"/>
                <w:color w:val="000000" w:themeColor="text1"/>
                <w:sz w:val="20"/>
                <w:szCs w:val="20"/>
              </w:rPr>
            </w:pPr>
            <w:r w:rsidRPr="001542A7">
              <w:rPr>
                <w:rFonts w:ascii="Calibri" w:eastAsia="Calibri" w:hAnsi="Calibri" w:cs="Calibri"/>
                <w:color w:val="000000" w:themeColor="text1"/>
                <w:sz w:val="20"/>
                <w:szCs w:val="20"/>
              </w:rPr>
              <w:t>No change</w:t>
            </w:r>
          </w:p>
        </w:tc>
      </w:tr>
      <w:tr w:rsidR="00007130" w:rsidRPr="001542A7" w14:paraId="601E3182" w14:textId="77777777" w:rsidTr="00CF66BE">
        <w:trPr>
          <w:trHeight w:val="300"/>
        </w:trPr>
        <w:tc>
          <w:tcPr>
            <w:tcW w:w="2891" w:type="pct"/>
            <w:tcBorders>
              <w:top w:val="single" w:sz="4" w:space="0" w:color="auto"/>
              <w:bottom w:val="single" w:sz="4" w:space="0" w:color="auto"/>
            </w:tcBorders>
          </w:tcPr>
          <w:p w14:paraId="475C0C9F" w14:textId="77777777" w:rsidR="00007130" w:rsidRPr="001542A7" w:rsidRDefault="00007130">
            <w:pPr>
              <w:rPr>
                <w:rFonts w:ascii="Calibri" w:eastAsia="Calibri" w:hAnsi="Calibri" w:cs="Calibri"/>
                <w:color w:val="000000" w:themeColor="text1"/>
                <w:sz w:val="20"/>
                <w:szCs w:val="20"/>
              </w:rPr>
            </w:pPr>
            <w:r w:rsidRPr="001542A7">
              <w:rPr>
                <w:rFonts w:ascii="Calibri" w:eastAsia="Calibri" w:hAnsi="Calibri" w:cs="Calibri"/>
                <w:color w:val="000000" w:themeColor="text1"/>
                <w:sz w:val="20"/>
                <w:szCs w:val="20"/>
              </w:rPr>
              <w:t>Cost: Income ratio</w:t>
            </w:r>
          </w:p>
        </w:tc>
        <w:tc>
          <w:tcPr>
            <w:tcW w:w="1016" w:type="pct"/>
            <w:tcBorders>
              <w:top w:val="single" w:sz="4" w:space="0" w:color="auto"/>
              <w:bottom w:val="single" w:sz="4" w:space="0" w:color="auto"/>
            </w:tcBorders>
          </w:tcPr>
          <w:p w14:paraId="315D0BDA" w14:textId="4517644C" w:rsidR="00007130" w:rsidRPr="001542A7" w:rsidRDefault="00007130">
            <w:pPr>
              <w:rPr>
                <w:rFonts w:ascii="Calibri" w:eastAsia="Calibri" w:hAnsi="Calibri" w:cs="Calibri"/>
                <w:color w:val="000000" w:themeColor="text1"/>
                <w:sz w:val="20"/>
                <w:szCs w:val="20"/>
              </w:rPr>
            </w:pPr>
            <w:r w:rsidRPr="001542A7">
              <w:rPr>
                <w:rFonts w:ascii="Calibri" w:eastAsia="Calibri" w:hAnsi="Calibri" w:cs="Calibri"/>
                <w:color w:val="000000" w:themeColor="text1"/>
                <w:sz w:val="20"/>
                <w:szCs w:val="20"/>
              </w:rPr>
              <w:t>60-63%</w:t>
            </w:r>
          </w:p>
        </w:tc>
        <w:tc>
          <w:tcPr>
            <w:tcW w:w="1093" w:type="pct"/>
            <w:tcBorders>
              <w:top w:val="single" w:sz="4" w:space="0" w:color="auto"/>
              <w:bottom w:val="single" w:sz="4" w:space="0" w:color="auto"/>
            </w:tcBorders>
          </w:tcPr>
          <w:p w14:paraId="599C66BC" w14:textId="5DD1BEFC" w:rsidR="00007130" w:rsidRPr="001542A7" w:rsidRDefault="00530966">
            <w:pPr>
              <w:rPr>
                <w:rFonts w:ascii="Calibri" w:eastAsia="Calibri" w:hAnsi="Calibri" w:cs="Calibri"/>
                <w:color w:val="000000" w:themeColor="text1"/>
                <w:sz w:val="20"/>
                <w:szCs w:val="20"/>
              </w:rPr>
            </w:pPr>
            <w:r w:rsidRPr="001542A7">
              <w:rPr>
                <w:rFonts w:ascii="Calibri" w:eastAsia="Calibri" w:hAnsi="Calibri" w:cs="Calibri"/>
                <w:color w:val="000000" w:themeColor="text1"/>
                <w:sz w:val="20"/>
                <w:szCs w:val="20"/>
              </w:rPr>
              <w:t>62</w:t>
            </w:r>
            <w:r w:rsidR="006B429C" w:rsidRPr="001542A7">
              <w:rPr>
                <w:rFonts w:ascii="Calibri" w:eastAsia="Calibri" w:hAnsi="Calibri" w:cs="Calibri"/>
                <w:color w:val="000000" w:themeColor="text1"/>
                <w:sz w:val="20"/>
                <w:szCs w:val="20"/>
              </w:rPr>
              <w:t>-65%</w:t>
            </w:r>
          </w:p>
        </w:tc>
      </w:tr>
      <w:tr w:rsidR="00007130" w:rsidRPr="001542A7" w14:paraId="3726A86C" w14:textId="77777777" w:rsidTr="00CF66BE">
        <w:trPr>
          <w:trHeight w:val="300"/>
        </w:trPr>
        <w:tc>
          <w:tcPr>
            <w:tcW w:w="2891" w:type="pct"/>
            <w:tcBorders>
              <w:top w:val="single" w:sz="4" w:space="0" w:color="auto"/>
              <w:bottom w:val="single" w:sz="4" w:space="0" w:color="auto"/>
            </w:tcBorders>
          </w:tcPr>
          <w:p w14:paraId="015E21B2" w14:textId="77777777" w:rsidR="00007130" w:rsidRPr="001542A7" w:rsidRDefault="00007130">
            <w:pPr>
              <w:rPr>
                <w:rFonts w:ascii="Calibri" w:eastAsia="Calibri" w:hAnsi="Calibri" w:cs="Calibri"/>
                <w:color w:val="000000" w:themeColor="text1"/>
                <w:sz w:val="20"/>
                <w:szCs w:val="20"/>
              </w:rPr>
            </w:pPr>
            <w:r w:rsidRPr="001542A7">
              <w:rPr>
                <w:rFonts w:ascii="Calibri" w:eastAsia="Calibri" w:hAnsi="Calibri" w:cs="Calibri"/>
                <w:color w:val="000000" w:themeColor="text1"/>
                <w:sz w:val="20"/>
                <w:szCs w:val="20"/>
              </w:rPr>
              <w:t>Retail funding (% of all funding)</w:t>
            </w:r>
          </w:p>
        </w:tc>
        <w:tc>
          <w:tcPr>
            <w:tcW w:w="1016" w:type="pct"/>
            <w:tcBorders>
              <w:top w:val="single" w:sz="4" w:space="0" w:color="auto"/>
              <w:bottom w:val="single" w:sz="4" w:space="0" w:color="auto"/>
            </w:tcBorders>
          </w:tcPr>
          <w:p w14:paraId="133F587F" w14:textId="77777777" w:rsidR="00007130" w:rsidRPr="001542A7" w:rsidRDefault="00007130">
            <w:pPr>
              <w:rPr>
                <w:rFonts w:ascii="Calibri" w:eastAsia="Calibri" w:hAnsi="Calibri" w:cs="Calibri"/>
                <w:color w:val="000000" w:themeColor="text1"/>
                <w:sz w:val="20"/>
                <w:szCs w:val="20"/>
              </w:rPr>
            </w:pPr>
            <w:r w:rsidRPr="001542A7">
              <w:rPr>
                <w:rFonts w:ascii="Calibri" w:eastAsia="Calibri" w:hAnsi="Calibri" w:cs="Calibri"/>
                <w:color w:val="000000" w:themeColor="text1"/>
                <w:sz w:val="20"/>
                <w:szCs w:val="20"/>
              </w:rPr>
              <w:t>&gt;85%</w:t>
            </w:r>
          </w:p>
        </w:tc>
        <w:tc>
          <w:tcPr>
            <w:tcW w:w="1093" w:type="pct"/>
            <w:tcBorders>
              <w:top w:val="single" w:sz="4" w:space="0" w:color="auto"/>
              <w:bottom w:val="single" w:sz="4" w:space="0" w:color="auto"/>
            </w:tcBorders>
          </w:tcPr>
          <w:p w14:paraId="0032C7C6" w14:textId="6D185F31" w:rsidR="00007130" w:rsidRPr="001542A7" w:rsidRDefault="006B429C">
            <w:pPr>
              <w:rPr>
                <w:rFonts w:ascii="Calibri" w:eastAsia="Calibri" w:hAnsi="Calibri" w:cs="Calibri"/>
                <w:color w:val="000000" w:themeColor="text1"/>
                <w:sz w:val="20"/>
                <w:szCs w:val="20"/>
              </w:rPr>
            </w:pPr>
            <w:r w:rsidRPr="001542A7">
              <w:rPr>
                <w:rFonts w:ascii="Calibri" w:eastAsia="Calibri" w:hAnsi="Calibri" w:cs="Calibri"/>
                <w:color w:val="000000" w:themeColor="text1"/>
                <w:sz w:val="20"/>
                <w:szCs w:val="20"/>
              </w:rPr>
              <w:t>No change</w:t>
            </w:r>
          </w:p>
        </w:tc>
      </w:tr>
      <w:tr w:rsidR="00007130" w:rsidRPr="001542A7" w14:paraId="447B3076" w14:textId="77777777" w:rsidTr="00CF66BE">
        <w:trPr>
          <w:trHeight w:val="300"/>
        </w:trPr>
        <w:tc>
          <w:tcPr>
            <w:tcW w:w="2891" w:type="pct"/>
            <w:tcBorders>
              <w:top w:val="single" w:sz="4" w:space="0" w:color="auto"/>
              <w:bottom w:val="single" w:sz="4" w:space="0" w:color="auto"/>
            </w:tcBorders>
          </w:tcPr>
          <w:p w14:paraId="6117FCE1" w14:textId="77777777" w:rsidR="00007130" w:rsidRPr="001542A7" w:rsidRDefault="00007130">
            <w:pPr>
              <w:rPr>
                <w:rFonts w:ascii="Calibri" w:eastAsia="Calibri" w:hAnsi="Calibri" w:cs="Calibri"/>
                <w:color w:val="000000" w:themeColor="text1"/>
                <w:sz w:val="20"/>
                <w:szCs w:val="20"/>
              </w:rPr>
            </w:pPr>
            <w:r w:rsidRPr="001542A7">
              <w:rPr>
                <w:rFonts w:ascii="Calibri" w:eastAsia="Calibri" w:hAnsi="Calibri" w:cs="Calibri"/>
                <w:color w:val="000000" w:themeColor="text1"/>
                <w:sz w:val="20"/>
                <w:szCs w:val="20"/>
              </w:rPr>
              <w:t>Tier 1 ratio</w:t>
            </w:r>
          </w:p>
        </w:tc>
        <w:tc>
          <w:tcPr>
            <w:tcW w:w="1016" w:type="pct"/>
            <w:tcBorders>
              <w:top w:val="single" w:sz="4" w:space="0" w:color="auto"/>
              <w:bottom w:val="single" w:sz="4" w:space="0" w:color="auto"/>
            </w:tcBorders>
          </w:tcPr>
          <w:p w14:paraId="704D38C6" w14:textId="2B76411B" w:rsidR="00007130" w:rsidRPr="001542A7" w:rsidRDefault="00007130">
            <w:pPr>
              <w:rPr>
                <w:rFonts w:ascii="Calibri" w:eastAsia="Calibri" w:hAnsi="Calibri" w:cs="Calibri"/>
                <w:color w:val="000000" w:themeColor="text1"/>
                <w:sz w:val="20"/>
                <w:szCs w:val="20"/>
              </w:rPr>
            </w:pPr>
            <w:r w:rsidRPr="001542A7">
              <w:rPr>
                <w:rFonts w:ascii="Calibri" w:eastAsia="Calibri" w:hAnsi="Calibri" w:cs="Calibri"/>
                <w:color w:val="000000" w:themeColor="text1"/>
                <w:sz w:val="20"/>
                <w:szCs w:val="20"/>
              </w:rPr>
              <w:t>19.5-20.5%</w:t>
            </w:r>
          </w:p>
        </w:tc>
        <w:tc>
          <w:tcPr>
            <w:tcW w:w="1093" w:type="pct"/>
            <w:tcBorders>
              <w:top w:val="single" w:sz="4" w:space="0" w:color="auto"/>
              <w:bottom w:val="single" w:sz="4" w:space="0" w:color="auto"/>
            </w:tcBorders>
          </w:tcPr>
          <w:p w14:paraId="5D87F97E" w14:textId="25FF82CE" w:rsidR="00007130" w:rsidRPr="001542A7" w:rsidRDefault="00302FAA">
            <w:pPr>
              <w:rPr>
                <w:rFonts w:ascii="Calibri" w:eastAsia="Calibri" w:hAnsi="Calibri" w:cs="Calibri"/>
                <w:color w:val="000000" w:themeColor="text1"/>
                <w:sz w:val="20"/>
                <w:szCs w:val="20"/>
              </w:rPr>
            </w:pPr>
            <w:r w:rsidRPr="001542A7">
              <w:rPr>
                <w:rFonts w:ascii="Calibri" w:eastAsia="Calibri" w:hAnsi="Calibri" w:cs="Calibri"/>
                <w:color w:val="000000" w:themeColor="text1"/>
                <w:sz w:val="20"/>
                <w:szCs w:val="20"/>
              </w:rPr>
              <w:t>18.5-19.5%</w:t>
            </w:r>
            <w:r w:rsidR="00834A78">
              <w:rPr>
                <w:rFonts w:ascii="Calibri" w:eastAsia="Calibri" w:hAnsi="Calibri" w:cs="Calibri"/>
                <w:color w:val="000000" w:themeColor="text1"/>
                <w:sz w:val="20"/>
                <w:szCs w:val="20"/>
              </w:rPr>
              <w:t>**</w:t>
            </w:r>
          </w:p>
        </w:tc>
      </w:tr>
      <w:tr w:rsidR="00007130" w:rsidRPr="001542A7" w14:paraId="26547B23" w14:textId="77777777" w:rsidTr="00CF66BE">
        <w:trPr>
          <w:trHeight w:val="300"/>
        </w:trPr>
        <w:tc>
          <w:tcPr>
            <w:tcW w:w="2891" w:type="pct"/>
            <w:tcBorders>
              <w:top w:val="single" w:sz="4" w:space="0" w:color="auto"/>
            </w:tcBorders>
          </w:tcPr>
          <w:p w14:paraId="44FF08F7" w14:textId="77777777" w:rsidR="00007130" w:rsidRPr="001542A7" w:rsidRDefault="00007130">
            <w:pPr>
              <w:rPr>
                <w:rFonts w:ascii="Calibri" w:eastAsia="Calibri" w:hAnsi="Calibri" w:cs="Calibri"/>
                <w:color w:val="000000" w:themeColor="text1"/>
                <w:sz w:val="20"/>
                <w:szCs w:val="20"/>
              </w:rPr>
            </w:pPr>
            <w:r w:rsidRPr="001542A7">
              <w:rPr>
                <w:rFonts w:ascii="Calibri" w:eastAsia="Calibri" w:hAnsi="Calibri" w:cs="Calibri"/>
                <w:color w:val="000000" w:themeColor="text1"/>
                <w:sz w:val="20"/>
                <w:szCs w:val="20"/>
              </w:rPr>
              <w:t>ROTE</w:t>
            </w:r>
          </w:p>
        </w:tc>
        <w:tc>
          <w:tcPr>
            <w:tcW w:w="1016" w:type="pct"/>
            <w:tcBorders>
              <w:top w:val="single" w:sz="4" w:space="0" w:color="auto"/>
            </w:tcBorders>
          </w:tcPr>
          <w:p w14:paraId="0707CD5E" w14:textId="77777777" w:rsidR="00007130" w:rsidRPr="001542A7" w:rsidRDefault="00007130">
            <w:pPr>
              <w:rPr>
                <w:rFonts w:ascii="Calibri" w:eastAsia="Calibri" w:hAnsi="Calibri" w:cs="Calibri"/>
                <w:color w:val="000000" w:themeColor="text1"/>
                <w:sz w:val="20"/>
                <w:szCs w:val="20"/>
              </w:rPr>
            </w:pPr>
            <w:r w:rsidRPr="001542A7">
              <w:rPr>
                <w:rFonts w:ascii="Calibri" w:eastAsia="Calibri" w:hAnsi="Calibri" w:cs="Calibri"/>
                <w:color w:val="000000" w:themeColor="text1"/>
                <w:sz w:val="20"/>
                <w:szCs w:val="20"/>
              </w:rPr>
              <w:t>Low single digits</w:t>
            </w:r>
          </w:p>
        </w:tc>
        <w:tc>
          <w:tcPr>
            <w:tcW w:w="1093" w:type="pct"/>
            <w:tcBorders>
              <w:top w:val="single" w:sz="4" w:space="0" w:color="auto"/>
            </w:tcBorders>
          </w:tcPr>
          <w:p w14:paraId="515E3643" w14:textId="4F734713" w:rsidR="00007130" w:rsidRPr="001542A7" w:rsidRDefault="00302FAA">
            <w:pPr>
              <w:rPr>
                <w:rFonts w:ascii="Calibri" w:eastAsia="Calibri" w:hAnsi="Calibri" w:cs="Calibri"/>
                <w:color w:val="000000" w:themeColor="text1"/>
                <w:sz w:val="20"/>
                <w:szCs w:val="20"/>
              </w:rPr>
            </w:pPr>
            <w:r w:rsidRPr="001542A7">
              <w:rPr>
                <w:rFonts w:ascii="Calibri" w:eastAsia="Calibri" w:hAnsi="Calibri" w:cs="Calibri"/>
                <w:color w:val="000000" w:themeColor="text1"/>
                <w:sz w:val="20"/>
                <w:szCs w:val="20"/>
              </w:rPr>
              <w:t>A loss for 2024</w:t>
            </w:r>
          </w:p>
        </w:tc>
      </w:tr>
    </w:tbl>
    <w:p w14:paraId="1204BC8B" w14:textId="77777777" w:rsidR="00007130" w:rsidRPr="001542A7" w:rsidRDefault="00007130" w:rsidP="00007130">
      <w:pPr>
        <w:spacing w:after="4" w:line="250" w:lineRule="auto"/>
        <w:ind w:left="-5" w:hanging="10"/>
        <w:jc w:val="both"/>
        <w:rPr>
          <w:rFonts w:ascii="Calibri" w:eastAsia="Calibri" w:hAnsi="Calibri" w:cs="Calibri"/>
          <w:color w:val="000000"/>
          <w:kern w:val="2"/>
          <w:sz w:val="20"/>
          <w:szCs w:val="20"/>
          <w14:ligatures w14:val="standardContextual"/>
        </w:rPr>
      </w:pPr>
    </w:p>
    <w:p w14:paraId="5AC1D744" w14:textId="77777777" w:rsidR="00007130" w:rsidRPr="001542A7" w:rsidRDefault="00007130" w:rsidP="00007130">
      <w:pPr>
        <w:spacing w:after="4" w:line="250" w:lineRule="auto"/>
        <w:ind w:left="-5" w:hanging="10"/>
        <w:jc w:val="both"/>
        <w:rPr>
          <w:rFonts w:ascii="Calibri" w:eastAsia="Calibri" w:hAnsi="Calibri" w:cs="Calibri"/>
          <w:color w:val="000000" w:themeColor="text1"/>
          <w:sz w:val="20"/>
          <w:szCs w:val="20"/>
        </w:rPr>
      </w:pPr>
    </w:p>
    <w:p w14:paraId="29640392" w14:textId="6A64AB0B" w:rsidR="00007130" w:rsidRPr="001542A7" w:rsidRDefault="00007130" w:rsidP="00007130">
      <w:pPr>
        <w:spacing w:after="4" w:line="250" w:lineRule="auto"/>
        <w:ind w:left="-5" w:hanging="10"/>
        <w:jc w:val="both"/>
        <w:rPr>
          <w:rFonts w:ascii="Calibri" w:eastAsia="Calibri" w:hAnsi="Calibri" w:cs="Calibri"/>
          <w:color w:val="000000" w:themeColor="text1"/>
          <w:sz w:val="20"/>
          <w:szCs w:val="20"/>
        </w:rPr>
      </w:pPr>
      <w:r w:rsidRPr="001542A7">
        <w:rPr>
          <w:rFonts w:ascii="Calibri" w:eastAsia="Calibri" w:hAnsi="Calibri" w:cs="Calibri"/>
          <w:color w:val="000000" w:themeColor="text1"/>
          <w:sz w:val="20"/>
          <w:szCs w:val="20"/>
        </w:rPr>
        <w:t>* All measures are on an adjusted basis</w:t>
      </w:r>
    </w:p>
    <w:p w14:paraId="7CE9B062" w14:textId="3C77EAFD" w:rsidR="00007130" w:rsidRPr="00B64A90" w:rsidRDefault="00007130" w:rsidP="00007130">
      <w:pPr>
        <w:spacing w:after="4" w:line="250" w:lineRule="auto"/>
        <w:ind w:left="-5" w:hanging="10"/>
        <w:jc w:val="both"/>
        <w:rPr>
          <w:rFonts w:ascii="Calibri" w:eastAsia="Calibri" w:hAnsi="Calibri" w:cs="Calibri"/>
          <w:color w:val="000000" w:themeColor="text1"/>
          <w:sz w:val="20"/>
          <w:szCs w:val="20"/>
        </w:rPr>
      </w:pPr>
      <w:r w:rsidRPr="001542A7">
        <w:rPr>
          <w:rFonts w:ascii="Calibri" w:eastAsia="Calibri" w:hAnsi="Calibri" w:cs="Calibri"/>
          <w:color w:val="000000" w:themeColor="text1"/>
          <w:sz w:val="20"/>
          <w:szCs w:val="20"/>
        </w:rPr>
        <w:t>** Based on a current regulatory requirements and risk appetite</w:t>
      </w:r>
    </w:p>
    <w:p w14:paraId="57AE777B" w14:textId="700A3852" w:rsidR="00066102" w:rsidRDefault="00066102" w:rsidP="00007130">
      <w:pPr>
        <w:pStyle w:val="NoSpacing"/>
        <w:jc w:val="both"/>
        <w:rPr>
          <w:rStyle w:val="Strong"/>
          <w:color w:val="4747FF"/>
          <w:sz w:val="20"/>
          <w:szCs w:val="20"/>
        </w:rPr>
      </w:pPr>
    </w:p>
    <w:p w14:paraId="20735131" w14:textId="77777777" w:rsidR="00EF0312" w:rsidRDefault="00EF0312" w:rsidP="6A7632AC">
      <w:pPr>
        <w:pStyle w:val="NoSpacing"/>
        <w:jc w:val="both"/>
        <w:rPr>
          <w:rStyle w:val="Strong"/>
          <w:color w:val="4747FF"/>
          <w:sz w:val="20"/>
          <w:szCs w:val="20"/>
        </w:rPr>
      </w:pPr>
    </w:p>
    <w:p w14:paraId="2C209038" w14:textId="6657F713" w:rsidR="00007130" w:rsidRPr="00D67126" w:rsidRDefault="00007130" w:rsidP="00007130">
      <w:pPr>
        <w:pStyle w:val="NoSpacing"/>
        <w:jc w:val="both"/>
        <w:rPr>
          <w:rStyle w:val="Strong"/>
          <w:rFonts w:cstheme="minorHAnsi"/>
          <w:color w:val="4747FF"/>
          <w:sz w:val="20"/>
          <w:szCs w:val="20"/>
        </w:rPr>
      </w:pPr>
      <w:r w:rsidRPr="00D67126">
        <w:rPr>
          <w:rStyle w:val="Strong"/>
          <w:rFonts w:cstheme="minorHAnsi"/>
          <w:color w:val="4747FF"/>
          <w:sz w:val="20"/>
          <w:szCs w:val="20"/>
        </w:rPr>
        <w:t>Results webcast and strategy seminar</w:t>
      </w:r>
    </w:p>
    <w:p w14:paraId="78498E7B" w14:textId="77777777" w:rsidR="00007130" w:rsidRPr="00D67126" w:rsidRDefault="00007130" w:rsidP="00007130">
      <w:pPr>
        <w:pStyle w:val="NoSpacing"/>
        <w:jc w:val="both"/>
        <w:rPr>
          <w:rStyle w:val="Strong"/>
          <w:rFonts w:cstheme="minorHAnsi"/>
          <w:color w:val="4747FF"/>
          <w:sz w:val="20"/>
          <w:szCs w:val="20"/>
        </w:rPr>
      </w:pPr>
    </w:p>
    <w:p w14:paraId="38EBF23B" w14:textId="62EB8939" w:rsidR="00007130" w:rsidRPr="00D67126" w:rsidRDefault="00007130" w:rsidP="00007130">
      <w:pPr>
        <w:pStyle w:val="NoSpacing"/>
        <w:jc w:val="both"/>
        <w:rPr>
          <w:rStyle w:val="Strong"/>
          <w:b w:val="0"/>
          <w:sz w:val="20"/>
          <w:szCs w:val="20"/>
        </w:rPr>
      </w:pPr>
      <w:r w:rsidRPr="1727D673">
        <w:rPr>
          <w:rStyle w:val="Strong"/>
          <w:b w:val="0"/>
          <w:sz w:val="20"/>
          <w:szCs w:val="20"/>
        </w:rPr>
        <w:t>Ian McLaughlin, CEO, and Dave Watts, CFO, will host a results webcast at 08:30 today. To register your attendance, please use this link:</w:t>
      </w:r>
      <w:r w:rsidRPr="3574F51D">
        <w:rPr>
          <w:rStyle w:val="Strong"/>
          <w:b w:val="0"/>
          <w:bCs w:val="0"/>
          <w:sz w:val="20"/>
          <w:szCs w:val="20"/>
        </w:rPr>
        <w:t xml:space="preserve"> </w:t>
      </w:r>
      <w:hyperlink r:id="rId12" w:history="1">
        <w:r w:rsidR="00FA2310" w:rsidRPr="00895F82">
          <w:rPr>
            <w:rStyle w:val="Hyperlink"/>
            <w:sz w:val="20"/>
            <w:szCs w:val="20"/>
          </w:rPr>
          <w:t>https://brrmedia.news/VANQ_IR_24</w:t>
        </w:r>
      </w:hyperlink>
    </w:p>
    <w:p w14:paraId="4EB88A7D" w14:textId="77777777" w:rsidR="00007130" w:rsidRPr="00D67126" w:rsidRDefault="00007130" w:rsidP="00007130">
      <w:pPr>
        <w:jc w:val="both"/>
        <w:rPr>
          <w:rFonts w:asciiTheme="minorHAnsi" w:hAnsiTheme="minorHAnsi" w:cstheme="minorHAnsi"/>
          <w:sz w:val="20"/>
          <w:szCs w:val="20"/>
        </w:rPr>
      </w:pPr>
    </w:p>
    <w:p w14:paraId="18A5BB13" w14:textId="690B80E7" w:rsidR="00007130" w:rsidRPr="00D67126" w:rsidRDefault="00007130" w:rsidP="00007130">
      <w:pPr>
        <w:spacing w:line="259" w:lineRule="auto"/>
        <w:rPr>
          <w:rFonts w:asciiTheme="minorHAnsi" w:hAnsiTheme="minorHAnsi" w:cstheme="minorHAnsi"/>
          <w:sz w:val="20"/>
          <w:szCs w:val="20"/>
        </w:rPr>
      </w:pPr>
      <w:r w:rsidRPr="00D67126">
        <w:rPr>
          <w:rFonts w:asciiTheme="minorHAnsi" w:hAnsiTheme="minorHAnsi" w:cstheme="minorHAnsi"/>
          <w:sz w:val="20"/>
          <w:szCs w:val="20"/>
        </w:rPr>
        <w:t xml:space="preserve">Materials for the results presentation will be published at: </w:t>
      </w:r>
      <w:hyperlink r:id="rId13" w:history="1">
        <w:r w:rsidRPr="00D67126">
          <w:rPr>
            <w:rStyle w:val="Hyperlink"/>
            <w:rFonts w:asciiTheme="minorHAnsi" w:eastAsiaTheme="minorHAnsi" w:hAnsiTheme="minorHAnsi" w:cstheme="minorHAnsi"/>
            <w:sz w:val="20"/>
            <w:szCs w:val="20"/>
            <w:lang w:eastAsia="en-US"/>
          </w:rPr>
          <w:t>https://www.vanquisbankinggroup.com/shareholder-hub/results-reports-and-presentations/</w:t>
        </w:r>
      </w:hyperlink>
    </w:p>
    <w:p w14:paraId="29067D54" w14:textId="77777777" w:rsidR="00007130" w:rsidRPr="00D67126" w:rsidRDefault="00007130" w:rsidP="00007130">
      <w:pPr>
        <w:pStyle w:val="NoSpacing"/>
        <w:jc w:val="both"/>
        <w:rPr>
          <w:rStyle w:val="Strong"/>
          <w:rFonts w:cstheme="minorHAnsi"/>
          <w:color w:val="4747FF"/>
          <w:sz w:val="20"/>
          <w:szCs w:val="20"/>
        </w:rPr>
      </w:pPr>
    </w:p>
    <w:p w14:paraId="7902C68B" w14:textId="77777777" w:rsidR="00007130" w:rsidRPr="00D67126" w:rsidRDefault="00007130" w:rsidP="00007130">
      <w:pPr>
        <w:pStyle w:val="NoSpacing"/>
        <w:jc w:val="both"/>
        <w:rPr>
          <w:rStyle w:val="Strong"/>
          <w:rFonts w:cstheme="minorHAnsi"/>
          <w:color w:val="4747FF"/>
          <w:sz w:val="20"/>
          <w:szCs w:val="20"/>
        </w:rPr>
      </w:pPr>
      <w:r w:rsidRPr="00D67126">
        <w:rPr>
          <w:rStyle w:val="Strong"/>
          <w:rFonts w:cstheme="minorHAnsi"/>
          <w:color w:val="4747FF"/>
          <w:sz w:val="20"/>
          <w:szCs w:val="20"/>
        </w:rPr>
        <w:t>Enquiries</w:t>
      </w:r>
    </w:p>
    <w:p w14:paraId="7A87CA30" w14:textId="77777777" w:rsidR="00007130" w:rsidRPr="00D67126" w:rsidRDefault="00007130" w:rsidP="00007130">
      <w:pPr>
        <w:pStyle w:val="NoSpacing"/>
        <w:jc w:val="both"/>
        <w:rPr>
          <w:rStyle w:val="Strong"/>
          <w:rFonts w:cstheme="minorHAnsi"/>
          <w:color w:val="4747FF"/>
          <w:sz w:val="20"/>
          <w:szCs w:val="20"/>
        </w:rPr>
      </w:pPr>
    </w:p>
    <w:p w14:paraId="466491D7" w14:textId="77777777" w:rsidR="00007130" w:rsidRPr="00D67126" w:rsidRDefault="00007130" w:rsidP="00007130">
      <w:pPr>
        <w:pStyle w:val="NoSpacing"/>
        <w:jc w:val="both"/>
        <w:rPr>
          <w:rStyle w:val="Strong"/>
          <w:rFonts w:cstheme="minorHAnsi"/>
          <w:color w:val="4747FF"/>
          <w:sz w:val="20"/>
          <w:szCs w:val="20"/>
        </w:rPr>
      </w:pPr>
      <w:r w:rsidRPr="00D67126">
        <w:rPr>
          <w:rStyle w:val="Strong"/>
          <w:rFonts w:cstheme="minorHAnsi"/>
          <w:color w:val="4747FF"/>
          <w:sz w:val="20"/>
          <w:szCs w:val="20"/>
        </w:rPr>
        <w:lastRenderedPageBreak/>
        <w:t>Analysts and shareholders</w:t>
      </w:r>
    </w:p>
    <w:p w14:paraId="1B3BCF6E" w14:textId="77777777" w:rsidR="00007130" w:rsidRPr="00D67126" w:rsidRDefault="00007130" w:rsidP="00007130">
      <w:pPr>
        <w:pStyle w:val="NoSpacing"/>
        <w:jc w:val="both"/>
        <w:rPr>
          <w:rStyle w:val="Strong"/>
          <w:rFonts w:cstheme="minorHAnsi"/>
          <w:b w:val="0"/>
          <w:bCs w:val="0"/>
          <w:sz w:val="20"/>
          <w:szCs w:val="20"/>
        </w:rPr>
      </w:pPr>
      <w:r w:rsidRPr="00D67126">
        <w:rPr>
          <w:rStyle w:val="Strong"/>
          <w:rFonts w:cstheme="minorHAnsi"/>
          <w:b w:val="0"/>
          <w:bCs w:val="0"/>
          <w:sz w:val="20"/>
          <w:szCs w:val="20"/>
        </w:rPr>
        <w:t>Miriam McKay, Interim Head of Investor Relations</w:t>
      </w:r>
    </w:p>
    <w:p w14:paraId="60917F22" w14:textId="77777777" w:rsidR="00007130" w:rsidRPr="00D67126" w:rsidRDefault="00256443" w:rsidP="00007130">
      <w:pPr>
        <w:pStyle w:val="NoSpacing"/>
        <w:jc w:val="both"/>
        <w:rPr>
          <w:rStyle w:val="Strong"/>
          <w:rFonts w:cstheme="minorHAnsi"/>
          <w:b w:val="0"/>
          <w:bCs w:val="0"/>
          <w:sz w:val="20"/>
          <w:szCs w:val="20"/>
        </w:rPr>
      </w:pPr>
      <w:hyperlink r:id="rId14" w:history="1">
        <w:r w:rsidR="00007130" w:rsidRPr="00D67126">
          <w:rPr>
            <w:rStyle w:val="Hyperlink"/>
            <w:rFonts w:cstheme="minorHAnsi"/>
            <w:sz w:val="20"/>
            <w:szCs w:val="20"/>
          </w:rPr>
          <w:t>miriam.mckay@vanquis.com</w:t>
        </w:r>
      </w:hyperlink>
    </w:p>
    <w:p w14:paraId="48C722D4" w14:textId="77777777" w:rsidR="00007130" w:rsidRPr="00D67126" w:rsidRDefault="00007130" w:rsidP="00007130">
      <w:pPr>
        <w:pStyle w:val="NoSpacing"/>
        <w:jc w:val="both"/>
        <w:rPr>
          <w:rFonts w:eastAsia="Calibri" w:cstheme="minorHAnsi"/>
          <w:sz w:val="20"/>
          <w:szCs w:val="20"/>
        </w:rPr>
      </w:pPr>
      <w:r w:rsidRPr="00D67126">
        <w:rPr>
          <w:rFonts w:eastAsia="Calibri" w:cstheme="minorHAnsi"/>
          <w:sz w:val="20"/>
          <w:szCs w:val="20"/>
        </w:rPr>
        <w:t>07577 390666</w:t>
      </w:r>
    </w:p>
    <w:p w14:paraId="1A8FF2F0" w14:textId="77777777" w:rsidR="00007130" w:rsidRPr="00D67126" w:rsidRDefault="00007130" w:rsidP="00007130">
      <w:pPr>
        <w:pStyle w:val="NoSpacing"/>
        <w:jc w:val="both"/>
        <w:rPr>
          <w:rFonts w:eastAsia="Calibri" w:cstheme="minorHAnsi"/>
          <w:sz w:val="20"/>
          <w:szCs w:val="20"/>
        </w:rPr>
      </w:pPr>
    </w:p>
    <w:p w14:paraId="1F67A573" w14:textId="77777777" w:rsidR="00007130" w:rsidRPr="00D67126" w:rsidRDefault="00007130" w:rsidP="00007130">
      <w:pPr>
        <w:pStyle w:val="NoSpacing"/>
        <w:jc w:val="both"/>
        <w:rPr>
          <w:rStyle w:val="Strong"/>
          <w:rFonts w:cstheme="minorHAnsi"/>
          <w:color w:val="4747FF"/>
          <w:sz w:val="20"/>
          <w:szCs w:val="20"/>
        </w:rPr>
      </w:pPr>
      <w:r w:rsidRPr="1D88E325">
        <w:rPr>
          <w:rStyle w:val="Strong"/>
          <w:color w:val="4747FF"/>
          <w:sz w:val="20"/>
          <w:szCs w:val="20"/>
        </w:rPr>
        <w:t>Media</w:t>
      </w:r>
    </w:p>
    <w:p w14:paraId="1073F96F" w14:textId="77777777" w:rsidR="00007130" w:rsidRPr="00D67126" w:rsidRDefault="00007130" w:rsidP="00007130">
      <w:pPr>
        <w:pStyle w:val="NoSpacing"/>
        <w:jc w:val="both"/>
        <w:rPr>
          <w:rStyle w:val="Strong"/>
          <w:rFonts w:cstheme="minorHAnsi"/>
          <w:b w:val="0"/>
          <w:bCs w:val="0"/>
          <w:sz w:val="20"/>
          <w:szCs w:val="20"/>
          <w:lang w:val="it-IT"/>
        </w:rPr>
      </w:pPr>
      <w:r w:rsidRPr="00D67126">
        <w:rPr>
          <w:rStyle w:val="Strong"/>
          <w:rFonts w:cstheme="minorHAnsi"/>
          <w:b w:val="0"/>
          <w:bCs w:val="0"/>
          <w:sz w:val="20"/>
          <w:szCs w:val="20"/>
          <w:lang w:val="it-IT"/>
        </w:rPr>
        <w:t>Simone Selzer, Nick Cosgrove - Brunswick</w:t>
      </w:r>
    </w:p>
    <w:p w14:paraId="4C34CF72" w14:textId="77777777" w:rsidR="00007130" w:rsidRPr="00D67126" w:rsidRDefault="00256443" w:rsidP="00007130">
      <w:pPr>
        <w:pStyle w:val="NoSpacing"/>
        <w:jc w:val="both"/>
        <w:rPr>
          <w:rStyle w:val="Strong"/>
          <w:rFonts w:cstheme="minorHAnsi"/>
          <w:b w:val="0"/>
          <w:bCs w:val="0"/>
          <w:color w:val="4747FF"/>
          <w:sz w:val="20"/>
          <w:szCs w:val="20"/>
          <w:lang w:val="it-IT"/>
        </w:rPr>
      </w:pPr>
      <w:hyperlink r:id="rId15" w:history="1">
        <w:r w:rsidR="00007130" w:rsidRPr="00D67126">
          <w:rPr>
            <w:rStyle w:val="Hyperlink"/>
            <w:rFonts w:cstheme="minorHAnsi"/>
            <w:sz w:val="20"/>
            <w:szCs w:val="20"/>
            <w:lang w:val="it-IT"/>
          </w:rPr>
          <w:t>vanquisbankinggroup@brunswickgroup.com</w:t>
        </w:r>
      </w:hyperlink>
    </w:p>
    <w:p w14:paraId="21072421" w14:textId="77777777" w:rsidR="00007130" w:rsidRPr="00D67126" w:rsidRDefault="00007130" w:rsidP="00007130">
      <w:pPr>
        <w:pStyle w:val="NoSpacing"/>
        <w:jc w:val="both"/>
        <w:rPr>
          <w:rFonts w:eastAsia="Calibri" w:cstheme="minorHAnsi"/>
          <w:sz w:val="20"/>
          <w:szCs w:val="20"/>
        </w:rPr>
      </w:pPr>
      <w:r w:rsidRPr="00D67126">
        <w:rPr>
          <w:rFonts w:eastAsia="Calibri" w:cstheme="minorHAnsi"/>
          <w:sz w:val="20"/>
          <w:szCs w:val="20"/>
        </w:rPr>
        <w:t>0207 4045959</w:t>
      </w:r>
    </w:p>
    <w:p w14:paraId="2A01C60E" w14:textId="77777777" w:rsidR="00007130" w:rsidRPr="00D67126" w:rsidRDefault="00007130" w:rsidP="00007130">
      <w:pPr>
        <w:rPr>
          <w:rStyle w:val="Strong"/>
          <w:rFonts w:asciiTheme="minorHAnsi" w:eastAsiaTheme="minorHAnsi" w:hAnsiTheme="minorHAnsi" w:cstheme="minorHAnsi"/>
          <w:color w:val="4747FF"/>
          <w:sz w:val="20"/>
          <w:szCs w:val="20"/>
          <w:lang w:eastAsia="en-US"/>
        </w:rPr>
      </w:pPr>
    </w:p>
    <w:p w14:paraId="2117C62E" w14:textId="77777777" w:rsidR="00007130" w:rsidRPr="00607CE8" w:rsidRDefault="00007130" w:rsidP="00007130">
      <w:pPr>
        <w:pStyle w:val="NoSpacing"/>
        <w:jc w:val="both"/>
        <w:rPr>
          <w:rStyle w:val="Strong"/>
          <w:color w:val="4747FF"/>
          <w:sz w:val="20"/>
          <w:szCs w:val="20"/>
        </w:rPr>
      </w:pPr>
      <w:r w:rsidRPr="00607CE8">
        <w:rPr>
          <w:rStyle w:val="Strong"/>
          <w:color w:val="4747FF"/>
          <w:sz w:val="20"/>
          <w:szCs w:val="20"/>
        </w:rPr>
        <w:t>Footnotes</w:t>
      </w:r>
    </w:p>
    <w:p w14:paraId="281A83F1" w14:textId="77777777" w:rsidR="00007130" w:rsidRPr="00D67126" w:rsidRDefault="00007130" w:rsidP="00007130">
      <w:pPr>
        <w:pStyle w:val="NoSpacing"/>
        <w:jc w:val="both"/>
        <w:rPr>
          <w:rFonts w:cstheme="minorHAnsi"/>
          <w:b/>
          <w:bCs/>
          <w:color w:val="4747FF"/>
          <w:sz w:val="20"/>
          <w:szCs w:val="20"/>
        </w:rPr>
      </w:pPr>
    </w:p>
    <w:p w14:paraId="4E25F474" w14:textId="50D59103" w:rsidR="00007130" w:rsidRPr="00D67126" w:rsidRDefault="66ED3AC0" w:rsidP="00007130">
      <w:pPr>
        <w:pStyle w:val="ListParagraph"/>
        <w:numPr>
          <w:ilvl w:val="0"/>
          <w:numId w:val="20"/>
        </w:numPr>
        <w:jc w:val="both"/>
        <w:rPr>
          <w:rStyle w:val="bodycopynumber"/>
          <w:rFonts w:asciiTheme="minorHAnsi" w:eastAsia="Calibri" w:hAnsiTheme="minorHAnsi" w:cs="Poppins-Light"/>
          <w:i/>
          <w:color w:val="000000" w:themeColor="text1"/>
          <w:sz w:val="20"/>
          <w:szCs w:val="20"/>
          <w:lang w:eastAsia="en-US"/>
        </w:rPr>
      </w:pPr>
      <w:r w:rsidRPr="300267F1">
        <w:rPr>
          <w:rStyle w:val="bodycopynumber"/>
          <w:rFonts w:asciiTheme="minorHAnsi" w:hAnsiTheme="minorHAnsi" w:cs="Poppins-Light"/>
          <w:i/>
          <w:color w:val="000000" w:themeColor="text1"/>
          <w:sz w:val="20"/>
          <w:szCs w:val="20"/>
        </w:rPr>
        <w:t xml:space="preserve">As part of the Group’s review into Vehicle Finance Stage 3 assets, it was identified that cash flows expected to be received from contracts identified for debt sale were being included </w:t>
      </w:r>
      <w:r w:rsidR="00366C95">
        <w:rPr>
          <w:rStyle w:val="bodycopynumber"/>
          <w:rFonts w:asciiTheme="minorHAnsi" w:hAnsiTheme="minorHAnsi" w:cs="Poppins-Light"/>
          <w:i/>
          <w:color w:val="000000" w:themeColor="text1"/>
          <w:sz w:val="20"/>
          <w:szCs w:val="20"/>
        </w:rPr>
        <w:t xml:space="preserve">within the impairment provision </w:t>
      </w:r>
      <w:r w:rsidRPr="300267F1">
        <w:rPr>
          <w:rStyle w:val="bodycopynumber"/>
          <w:rFonts w:asciiTheme="minorHAnsi" w:hAnsiTheme="minorHAnsi" w:cs="Poppins-Light"/>
          <w:i/>
          <w:color w:val="000000" w:themeColor="text1"/>
          <w:sz w:val="20"/>
          <w:szCs w:val="20"/>
        </w:rPr>
        <w:t>beyond the expected sale date.</w:t>
      </w:r>
      <w:r w:rsidR="713A60FB" w:rsidRPr="300267F1">
        <w:rPr>
          <w:rStyle w:val="bodycopynumber"/>
          <w:rFonts w:asciiTheme="minorHAnsi" w:hAnsiTheme="minorHAnsi" w:cs="Poppins-Light"/>
          <w:i/>
          <w:color w:val="000000" w:themeColor="text1"/>
          <w:sz w:val="20"/>
          <w:szCs w:val="20"/>
        </w:rPr>
        <w:t xml:space="preserve">  </w:t>
      </w:r>
      <w:r w:rsidR="3D346A44" w:rsidRPr="300267F1">
        <w:rPr>
          <w:rStyle w:val="bodycopynumber"/>
          <w:rFonts w:asciiTheme="minorHAnsi" w:hAnsiTheme="minorHAnsi" w:cs="Poppins-Light"/>
          <w:i/>
          <w:color w:val="000000" w:themeColor="text1"/>
          <w:sz w:val="20"/>
          <w:szCs w:val="20"/>
        </w:rPr>
        <w:t>The Groups</w:t>
      </w:r>
      <w:r w:rsidR="7014F4E3" w:rsidRPr="300267F1">
        <w:rPr>
          <w:rStyle w:val="bodycopynumber"/>
          <w:rFonts w:asciiTheme="minorHAnsi" w:hAnsiTheme="minorHAnsi" w:cs="Poppins-Light"/>
          <w:i/>
          <w:color w:val="000000" w:themeColor="text1"/>
          <w:sz w:val="20"/>
          <w:szCs w:val="20"/>
        </w:rPr>
        <w:t xml:space="preserve"> results have been</w:t>
      </w:r>
      <w:r w:rsidR="713A60FB" w:rsidRPr="300267F1">
        <w:rPr>
          <w:rStyle w:val="bodycopynumber"/>
          <w:rFonts w:asciiTheme="minorHAnsi" w:hAnsiTheme="minorHAnsi" w:cs="Poppins-Light"/>
          <w:i/>
          <w:color w:val="000000" w:themeColor="text1"/>
          <w:sz w:val="20"/>
          <w:szCs w:val="20"/>
        </w:rPr>
        <w:t xml:space="preserve"> retrospectively restated</w:t>
      </w:r>
      <w:r w:rsidR="51728BD9" w:rsidRPr="300267F1">
        <w:rPr>
          <w:rStyle w:val="bodycopynumber"/>
          <w:rFonts w:asciiTheme="minorHAnsi" w:hAnsiTheme="minorHAnsi" w:cs="Poppins-Light"/>
          <w:i/>
          <w:color w:val="000000" w:themeColor="text1"/>
          <w:sz w:val="20"/>
          <w:szCs w:val="20"/>
        </w:rPr>
        <w:t xml:space="preserve"> </w:t>
      </w:r>
      <w:r w:rsidR="620F9D62" w:rsidRPr="300267F1">
        <w:rPr>
          <w:rStyle w:val="bodycopynumber"/>
          <w:rFonts w:asciiTheme="minorHAnsi" w:hAnsiTheme="minorHAnsi" w:cs="Poppins-Light"/>
          <w:i/>
          <w:color w:val="000000" w:themeColor="text1"/>
          <w:sz w:val="20"/>
          <w:szCs w:val="20"/>
        </w:rPr>
        <w:t xml:space="preserve">for all periods presented in this </w:t>
      </w:r>
      <w:r w:rsidR="620F9D62" w:rsidRPr="3441915A">
        <w:rPr>
          <w:rStyle w:val="bodycopynumber"/>
          <w:rFonts w:asciiTheme="minorHAnsi" w:hAnsiTheme="minorHAnsi" w:cs="Poppins-Light"/>
          <w:i/>
          <w:iCs/>
          <w:color w:val="000000" w:themeColor="text1"/>
          <w:sz w:val="20"/>
          <w:szCs w:val="20"/>
        </w:rPr>
        <w:t xml:space="preserve">report, </w:t>
      </w:r>
      <w:r w:rsidR="51728BD9" w:rsidRPr="3441915A">
        <w:rPr>
          <w:rStyle w:val="bodycopynumber"/>
          <w:rFonts w:asciiTheme="minorHAnsi" w:hAnsiTheme="minorHAnsi" w:cs="Poppins-Light"/>
          <w:i/>
          <w:iCs/>
          <w:color w:val="000000" w:themeColor="text1"/>
          <w:sz w:val="20"/>
          <w:szCs w:val="20"/>
        </w:rPr>
        <w:t>with</w:t>
      </w:r>
      <w:r w:rsidR="51728BD9" w:rsidRPr="300267F1">
        <w:rPr>
          <w:rStyle w:val="bodycopynumber"/>
          <w:rFonts w:asciiTheme="minorHAnsi" w:hAnsiTheme="minorHAnsi" w:cs="Poppins-Light"/>
          <w:i/>
          <w:color w:val="000000" w:themeColor="text1"/>
          <w:sz w:val="20"/>
          <w:szCs w:val="20"/>
        </w:rPr>
        <w:t xml:space="preserve"> the impact outlined in Note 2</w:t>
      </w:r>
      <w:r w:rsidR="00366C95">
        <w:rPr>
          <w:rStyle w:val="bodycopynumber"/>
          <w:rFonts w:asciiTheme="minorHAnsi" w:hAnsiTheme="minorHAnsi" w:cs="Poppins-Light"/>
          <w:i/>
          <w:color w:val="000000" w:themeColor="text1"/>
          <w:sz w:val="20"/>
          <w:szCs w:val="20"/>
        </w:rPr>
        <w:t xml:space="preserve"> of the financial statements</w:t>
      </w:r>
      <w:r w:rsidR="51728BD9" w:rsidRPr="300267F1">
        <w:rPr>
          <w:rStyle w:val="bodycopynumber"/>
          <w:rFonts w:asciiTheme="minorHAnsi" w:hAnsiTheme="minorHAnsi" w:cs="Poppins-Light"/>
          <w:i/>
          <w:color w:val="000000" w:themeColor="text1"/>
          <w:sz w:val="20"/>
          <w:szCs w:val="20"/>
        </w:rPr>
        <w:t>.</w:t>
      </w:r>
    </w:p>
    <w:p w14:paraId="211FEED1" w14:textId="09C3C441" w:rsidR="00007130" w:rsidRPr="00D67126" w:rsidRDefault="00007130" w:rsidP="00007130">
      <w:pPr>
        <w:pStyle w:val="ListParagraph"/>
        <w:numPr>
          <w:ilvl w:val="0"/>
          <w:numId w:val="20"/>
        </w:numPr>
        <w:jc w:val="both"/>
        <w:rPr>
          <w:rFonts w:asciiTheme="minorHAnsi" w:eastAsia="Calibri" w:hAnsiTheme="minorHAnsi" w:cstheme="minorHAnsi"/>
          <w:i/>
          <w:sz w:val="20"/>
          <w:szCs w:val="20"/>
          <w:lang w:eastAsia="en-US"/>
        </w:rPr>
      </w:pPr>
      <w:r w:rsidRPr="00D67126">
        <w:rPr>
          <w:rFonts w:asciiTheme="minorHAnsi" w:eastAsia="Calibri" w:hAnsiTheme="minorHAnsi" w:cstheme="minorHAnsi"/>
          <w:i/>
          <w:sz w:val="20"/>
          <w:szCs w:val="20"/>
          <w:lang w:eastAsia="en-US"/>
        </w:rPr>
        <w:t xml:space="preserve">Adjusted </w:t>
      </w:r>
      <w:r w:rsidR="00227EBA">
        <w:rPr>
          <w:rFonts w:asciiTheme="minorHAnsi" w:eastAsia="Calibri" w:hAnsiTheme="minorHAnsi" w:cstheme="minorHAnsi"/>
          <w:i/>
          <w:sz w:val="20"/>
          <w:szCs w:val="20"/>
          <w:lang w:eastAsia="en-US"/>
        </w:rPr>
        <w:t>loss</w:t>
      </w:r>
      <w:r w:rsidRPr="00D67126">
        <w:rPr>
          <w:rFonts w:asciiTheme="minorHAnsi" w:eastAsia="Calibri" w:hAnsiTheme="minorHAnsi" w:cstheme="minorHAnsi"/>
          <w:i/>
          <w:sz w:val="20"/>
          <w:szCs w:val="20"/>
          <w:lang w:eastAsia="en-US"/>
        </w:rPr>
        <w:t xml:space="preserve"> before tax is stated before amortisation of acquisition intangibles and exceptional items. </w:t>
      </w:r>
    </w:p>
    <w:p w14:paraId="6119983F" w14:textId="77777777" w:rsidR="00007130" w:rsidRPr="00D67126" w:rsidRDefault="00007130" w:rsidP="00007130">
      <w:pPr>
        <w:pStyle w:val="ListParagraph"/>
        <w:numPr>
          <w:ilvl w:val="0"/>
          <w:numId w:val="20"/>
        </w:numPr>
        <w:jc w:val="both"/>
        <w:rPr>
          <w:rFonts w:asciiTheme="minorHAnsi" w:eastAsia="Calibri" w:hAnsiTheme="minorHAnsi" w:cstheme="minorBidi"/>
          <w:i/>
          <w:sz w:val="20"/>
          <w:szCs w:val="20"/>
          <w:lang w:eastAsia="en-US"/>
        </w:rPr>
      </w:pPr>
      <w:r w:rsidRPr="2A194912">
        <w:rPr>
          <w:rFonts w:asciiTheme="minorHAnsi" w:eastAsia="Calibri" w:hAnsiTheme="minorHAnsi" w:cstheme="minorBidi"/>
          <w:i/>
          <w:sz w:val="20"/>
          <w:szCs w:val="20"/>
          <w:lang w:val="en-US" w:eastAsia="en-US"/>
        </w:rPr>
        <w:t xml:space="preserve">Adjusted operating costs are operating costs excluding exceptional items and </w:t>
      </w:r>
      <w:proofErr w:type="spellStart"/>
      <w:r w:rsidRPr="2A194912">
        <w:rPr>
          <w:rFonts w:asciiTheme="minorHAnsi" w:eastAsia="Calibri" w:hAnsiTheme="minorHAnsi" w:cstheme="minorBidi"/>
          <w:i/>
          <w:sz w:val="20"/>
          <w:szCs w:val="20"/>
          <w:lang w:val="en-US" w:eastAsia="en-US"/>
        </w:rPr>
        <w:t>amortisation</w:t>
      </w:r>
      <w:proofErr w:type="spellEnd"/>
      <w:r w:rsidRPr="2A194912">
        <w:rPr>
          <w:rFonts w:asciiTheme="minorHAnsi" w:eastAsia="Calibri" w:hAnsiTheme="minorHAnsi" w:cstheme="minorBidi"/>
          <w:i/>
          <w:sz w:val="20"/>
          <w:szCs w:val="20"/>
          <w:lang w:val="en-US" w:eastAsia="en-US"/>
        </w:rPr>
        <w:t xml:space="preserve"> of acquisition intangibles.</w:t>
      </w:r>
    </w:p>
    <w:p w14:paraId="2DF29E4D" w14:textId="364CB221" w:rsidR="00007130" w:rsidRPr="00C36058" w:rsidRDefault="00007130" w:rsidP="00007130">
      <w:pPr>
        <w:pStyle w:val="ListParagraph"/>
        <w:numPr>
          <w:ilvl w:val="0"/>
          <w:numId w:val="20"/>
        </w:numPr>
        <w:jc w:val="both"/>
        <w:rPr>
          <w:rFonts w:ascii="Calibri" w:eastAsia="Calibri" w:hAnsi="Calibri" w:cs="Calibri"/>
          <w:i/>
          <w:sz w:val="20"/>
          <w:szCs w:val="20"/>
          <w:lang w:eastAsia="en-US"/>
        </w:rPr>
      </w:pPr>
      <w:r w:rsidRPr="00D55CDE">
        <w:rPr>
          <w:rFonts w:ascii="Calibri" w:eastAsia="Calibri" w:hAnsi="Calibri" w:cs="Calibri"/>
          <w:i/>
          <w:sz w:val="20"/>
          <w:szCs w:val="20"/>
          <w:lang w:eastAsia="en-US"/>
        </w:rPr>
        <w:t>Gross customer interest earning balances excludes post charge off assets and deferred acquisition costs, which are included in Gross Receivables</w:t>
      </w:r>
      <w:r w:rsidR="1D67E61A" w:rsidRPr="3441915A">
        <w:rPr>
          <w:rFonts w:ascii="Calibri" w:eastAsia="Calibri" w:hAnsi="Calibri" w:cs="Calibri"/>
          <w:i/>
          <w:iCs/>
          <w:sz w:val="20"/>
          <w:szCs w:val="20"/>
          <w:lang w:eastAsia="en-US"/>
        </w:rPr>
        <w:t>.</w:t>
      </w:r>
      <w:r w:rsidR="6EA1E598" w:rsidRPr="3441915A">
        <w:rPr>
          <w:rFonts w:ascii="Calibri" w:eastAsia="Calibri" w:hAnsi="Calibri" w:cs="Calibri"/>
          <w:i/>
          <w:iCs/>
          <w:sz w:val="20"/>
          <w:szCs w:val="20"/>
          <w:lang w:eastAsia="en-US"/>
        </w:rPr>
        <w:t xml:space="preserve"> As part of the review into the Vehicle Finance Stage 3 </w:t>
      </w:r>
      <w:r w:rsidR="00497B65">
        <w:rPr>
          <w:rFonts w:ascii="Calibri" w:eastAsia="Calibri" w:hAnsi="Calibri" w:cs="Calibri"/>
          <w:i/>
          <w:iCs/>
          <w:sz w:val="20"/>
          <w:szCs w:val="20"/>
          <w:lang w:eastAsia="en-US"/>
        </w:rPr>
        <w:t>assets</w:t>
      </w:r>
      <w:r w:rsidR="00497B65" w:rsidRPr="00497B65">
        <w:rPr>
          <w:i/>
          <w:iCs/>
          <w:color w:val="FF0000"/>
          <w:sz w:val="20"/>
          <w:szCs w:val="20"/>
        </w:rPr>
        <w:t xml:space="preserve"> </w:t>
      </w:r>
      <w:bookmarkStart w:id="2" w:name="_Hlk173331993"/>
      <w:r w:rsidR="00497B65" w:rsidRPr="00497B65">
        <w:rPr>
          <w:rFonts w:ascii="Calibri" w:eastAsia="Calibri" w:hAnsi="Calibri" w:cs="Calibri"/>
          <w:i/>
          <w:iCs/>
          <w:sz w:val="20"/>
          <w:szCs w:val="20"/>
          <w:lang w:eastAsia="en-US"/>
        </w:rPr>
        <w:t>and review of our internal management reporting</w:t>
      </w:r>
      <w:bookmarkEnd w:id="2"/>
      <w:r w:rsidR="00497B65">
        <w:rPr>
          <w:rFonts w:ascii="Calibri" w:eastAsia="Calibri" w:hAnsi="Calibri" w:cs="Calibri"/>
          <w:i/>
          <w:iCs/>
          <w:sz w:val="20"/>
          <w:szCs w:val="20"/>
          <w:lang w:eastAsia="en-US"/>
        </w:rPr>
        <w:t>,</w:t>
      </w:r>
      <w:r w:rsidR="6EA1E598" w:rsidRPr="3441915A">
        <w:rPr>
          <w:rFonts w:ascii="Calibri" w:eastAsia="Calibri" w:hAnsi="Calibri" w:cs="Calibri"/>
          <w:i/>
          <w:iCs/>
          <w:sz w:val="20"/>
          <w:szCs w:val="20"/>
          <w:lang w:eastAsia="en-US"/>
        </w:rPr>
        <w:t xml:space="preserve"> it was identified that £51.6m of gross receivables were excluded from gross interest earning balances.</w:t>
      </w:r>
      <w:r w:rsidR="6A5655C5" w:rsidRPr="3441915A">
        <w:rPr>
          <w:rFonts w:ascii="Calibri" w:eastAsia="Calibri" w:hAnsi="Calibri" w:cs="Calibri"/>
          <w:i/>
          <w:iCs/>
          <w:sz w:val="20"/>
          <w:szCs w:val="20"/>
          <w:lang w:eastAsia="en-US"/>
        </w:rPr>
        <w:t xml:space="preserve">  </w:t>
      </w:r>
      <w:r w:rsidR="6A5655C5" w:rsidRPr="3441915A">
        <w:rPr>
          <w:rFonts w:asciiTheme="minorHAnsi" w:hAnsiTheme="minorHAnsi" w:cs="Poppins-Light"/>
          <w:sz w:val="20"/>
          <w:szCs w:val="20"/>
        </w:rPr>
        <w:t>KPIs using this metric have therefore been retrospectively represented for all periods presented in this report.</w:t>
      </w:r>
      <w:r w:rsidR="6EA1E598" w:rsidRPr="3441915A">
        <w:rPr>
          <w:rFonts w:ascii="Calibri" w:eastAsia="Calibri" w:hAnsi="Calibri" w:cs="Calibri"/>
          <w:i/>
          <w:iCs/>
          <w:sz w:val="20"/>
          <w:szCs w:val="20"/>
          <w:lang w:eastAsia="en-US"/>
        </w:rPr>
        <w:t xml:space="preserve"> </w:t>
      </w:r>
      <w:r w:rsidR="6FFB186B" w:rsidRPr="3441915A">
        <w:rPr>
          <w:rFonts w:ascii="Calibri" w:eastAsia="Calibri" w:hAnsi="Calibri" w:cs="Calibri"/>
          <w:i/>
          <w:iCs/>
          <w:sz w:val="20"/>
          <w:szCs w:val="20"/>
          <w:lang w:eastAsia="en-US"/>
        </w:rPr>
        <w:t>There is no impact to total gross receivables or net receivables as a result of this change.</w:t>
      </w:r>
    </w:p>
    <w:p w14:paraId="4FAFBBA6" w14:textId="2305B9AF" w:rsidR="00007130" w:rsidRPr="00D67126" w:rsidRDefault="00007130" w:rsidP="00007130">
      <w:pPr>
        <w:pStyle w:val="ListParagraph"/>
        <w:numPr>
          <w:ilvl w:val="0"/>
          <w:numId w:val="20"/>
        </w:numPr>
        <w:jc w:val="both"/>
        <w:rPr>
          <w:rFonts w:asciiTheme="minorHAnsi" w:eastAsia="Calibri" w:hAnsiTheme="minorHAnsi" w:cstheme="minorHAnsi"/>
          <w:i/>
          <w:sz w:val="20"/>
          <w:szCs w:val="20"/>
          <w:lang w:eastAsia="en-US"/>
        </w:rPr>
      </w:pPr>
      <w:r w:rsidRPr="00D67126">
        <w:rPr>
          <w:rFonts w:asciiTheme="minorHAnsi" w:eastAsia="Calibri" w:hAnsiTheme="minorHAnsi" w:cstheme="minorHAnsi"/>
          <w:i/>
          <w:sz w:val="20"/>
          <w:szCs w:val="20"/>
          <w:lang w:val="en-US" w:eastAsia="en-US"/>
        </w:rPr>
        <w:t xml:space="preserve">Adjusted </w:t>
      </w:r>
      <w:r w:rsidR="00763A8B">
        <w:rPr>
          <w:rFonts w:asciiTheme="minorHAnsi" w:eastAsia="Calibri" w:hAnsiTheme="minorHAnsi" w:cstheme="minorHAnsi"/>
          <w:i/>
          <w:sz w:val="20"/>
          <w:szCs w:val="20"/>
          <w:lang w:val="en-US" w:eastAsia="en-US"/>
        </w:rPr>
        <w:t>L</w:t>
      </w:r>
      <w:r w:rsidRPr="00D67126">
        <w:rPr>
          <w:rFonts w:asciiTheme="minorHAnsi" w:eastAsia="Calibri" w:hAnsiTheme="minorHAnsi" w:cstheme="minorHAnsi"/>
          <w:i/>
          <w:sz w:val="20"/>
          <w:szCs w:val="20"/>
          <w:lang w:val="en-US" w:eastAsia="en-US"/>
        </w:rPr>
        <w:t xml:space="preserve">PS is calculated as </w:t>
      </w:r>
      <w:r>
        <w:rPr>
          <w:rFonts w:asciiTheme="minorHAnsi" w:eastAsia="Calibri" w:hAnsiTheme="minorHAnsi" w:cstheme="minorHAnsi"/>
          <w:i/>
          <w:sz w:val="20"/>
          <w:szCs w:val="20"/>
          <w:lang w:val="en-US" w:eastAsia="en-US"/>
        </w:rPr>
        <w:t>loss</w:t>
      </w:r>
      <w:r w:rsidRPr="00D67126">
        <w:rPr>
          <w:rFonts w:asciiTheme="minorHAnsi" w:eastAsia="Calibri" w:hAnsiTheme="minorHAnsi" w:cstheme="minorHAnsi"/>
          <w:i/>
          <w:sz w:val="20"/>
          <w:szCs w:val="20"/>
          <w:lang w:val="en-US" w:eastAsia="en-US"/>
        </w:rPr>
        <w:t xml:space="preserve"> after tax, excluding the </w:t>
      </w:r>
      <w:proofErr w:type="spellStart"/>
      <w:r w:rsidRPr="00D67126">
        <w:rPr>
          <w:rFonts w:asciiTheme="minorHAnsi" w:eastAsia="Calibri" w:hAnsiTheme="minorHAnsi" w:cstheme="minorHAnsi"/>
          <w:i/>
          <w:sz w:val="20"/>
          <w:szCs w:val="20"/>
          <w:lang w:val="en-US" w:eastAsia="en-US"/>
        </w:rPr>
        <w:t>amortisation</w:t>
      </w:r>
      <w:proofErr w:type="spellEnd"/>
      <w:r w:rsidRPr="00D67126">
        <w:rPr>
          <w:rFonts w:asciiTheme="minorHAnsi" w:eastAsia="Calibri" w:hAnsiTheme="minorHAnsi" w:cstheme="minorHAnsi"/>
          <w:i/>
          <w:sz w:val="20"/>
          <w:szCs w:val="20"/>
          <w:lang w:val="en-US" w:eastAsia="en-US"/>
        </w:rPr>
        <w:t xml:space="preserve"> of acquisition intangibles and exceptional items for the </w:t>
      </w:r>
      <w:r>
        <w:rPr>
          <w:rFonts w:asciiTheme="minorHAnsi" w:eastAsia="Calibri" w:hAnsiTheme="minorHAnsi" w:cstheme="minorHAnsi"/>
          <w:i/>
          <w:sz w:val="20"/>
          <w:szCs w:val="20"/>
          <w:lang w:val="en-US" w:eastAsia="en-US"/>
        </w:rPr>
        <w:t>6</w:t>
      </w:r>
      <w:r w:rsidRPr="00D67126">
        <w:rPr>
          <w:rFonts w:asciiTheme="minorHAnsi" w:eastAsia="Calibri" w:hAnsiTheme="minorHAnsi" w:cstheme="minorHAnsi"/>
          <w:i/>
          <w:sz w:val="20"/>
          <w:szCs w:val="20"/>
          <w:lang w:val="en-US" w:eastAsia="en-US"/>
        </w:rPr>
        <w:t xml:space="preserve"> months ended 3</w:t>
      </w:r>
      <w:r>
        <w:rPr>
          <w:rFonts w:asciiTheme="minorHAnsi" w:eastAsia="Calibri" w:hAnsiTheme="minorHAnsi" w:cstheme="minorHAnsi"/>
          <w:i/>
          <w:sz w:val="20"/>
          <w:szCs w:val="20"/>
          <w:lang w:val="en-US" w:eastAsia="en-US"/>
        </w:rPr>
        <w:t>0 June</w:t>
      </w:r>
      <w:r w:rsidRPr="00D67126">
        <w:rPr>
          <w:rFonts w:asciiTheme="minorHAnsi" w:eastAsia="Calibri" w:hAnsiTheme="minorHAnsi" w:cstheme="minorHAnsi"/>
          <w:i/>
          <w:sz w:val="20"/>
          <w:szCs w:val="20"/>
          <w:lang w:val="en-US" w:eastAsia="en-US"/>
        </w:rPr>
        <w:t>, divided by the weighted average number of shares in issue.</w:t>
      </w:r>
    </w:p>
    <w:p w14:paraId="23BEBAAE" w14:textId="7CAD30B6" w:rsidR="00007130" w:rsidRPr="00D67126" w:rsidRDefault="00007130" w:rsidP="00007130">
      <w:pPr>
        <w:pStyle w:val="ListParagraph"/>
        <w:numPr>
          <w:ilvl w:val="0"/>
          <w:numId w:val="20"/>
        </w:numPr>
        <w:jc w:val="both"/>
        <w:rPr>
          <w:rFonts w:asciiTheme="minorHAnsi" w:eastAsia="Calibri" w:hAnsiTheme="minorHAnsi" w:cstheme="minorHAnsi"/>
          <w:i/>
          <w:sz w:val="20"/>
          <w:szCs w:val="20"/>
          <w:lang w:eastAsia="en-US"/>
        </w:rPr>
      </w:pPr>
      <w:r w:rsidRPr="2A194912">
        <w:rPr>
          <w:rFonts w:asciiTheme="minorHAnsi" w:eastAsia="Calibri" w:hAnsiTheme="minorHAnsi" w:cstheme="minorBidi"/>
          <w:i/>
          <w:sz w:val="20"/>
          <w:szCs w:val="20"/>
          <w:lang w:val="en-US" w:eastAsia="en-US"/>
        </w:rPr>
        <w:t xml:space="preserve">Basic LPS is calculated as loss after tax for the </w:t>
      </w:r>
      <w:r>
        <w:rPr>
          <w:rFonts w:asciiTheme="minorHAnsi" w:eastAsia="Calibri" w:hAnsiTheme="minorHAnsi" w:cstheme="minorBidi"/>
          <w:i/>
          <w:sz w:val="20"/>
          <w:szCs w:val="20"/>
          <w:lang w:val="en-US" w:eastAsia="en-US"/>
        </w:rPr>
        <w:t>6</w:t>
      </w:r>
      <w:r w:rsidRPr="2A194912">
        <w:rPr>
          <w:rFonts w:asciiTheme="minorHAnsi" w:eastAsia="Calibri" w:hAnsiTheme="minorHAnsi" w:cstheme="minorBidi"/>
          <w:i/>
          <w:sz w:val="20"/>
          <w:szCs w:val="20"/>
          <w:lang w:val="en-US" w:eastAsia="en-US"/>
        </w:rPr>
        <w:t xml:space="preserve"> months ended 3</w:t>
      </w:r>
      <w:r>
        <w:rPr>
          <w:rFonts w:asciiTheme="minorHAnsi" w:eastAsia="Calibri" w:hAnsiTheme="minorHAnsi" w:cstheme="minorBidi"/>
          <w:i/>
          <w:sz w:val="20"/>
          <w:szCs w:val="20"/>
          <w:lang w:val="en-US" w:eastAsia="en-US"/>
        </w:rPr>
        <w:t>0 June</w:t>
      </w:r>
      <w:r w:rsidRPr="2A194912">
        <w:rPr>
          <w:rFonts w:asciiTheme="minorHAnsi" w:eastAsia="Calibri" w:hAnsiTheme="minorHAnsi" w:cstheme="minorBidi"/>
          <w:i/>
          <w:sz w:val="20"/>
          <w:szCs w:val="20"/>
          <w:lang w:val="en-US" w:eastAsia="en-US"/>
        </w:rPr>
        <w:t>, divided by the weighted average number of shares in issue.</w:t>
      </w:r>
    </w:p>
    <w:p w14:paraId="670C63D9" w14:textId="77777777" w:rsidR="00007130" w:rsidRPr="00D67126" w:rsidRDefault="00007130" w:rsidP="00007130">
      <w:pPr>
        <w:pStyle w:val="ListParagraph"/>
        <w:numPr>
          <w:ilvl w:val="0"/>
          <w:numId w:val="20"/>
        </w:numPr>
        <w:jc w:val="both"/>
        <w:rPr>
          <w:rFonts w:asciiTheme="minorHAnsi" w:eastAsia="Calibri" w:hAnsiTheme="minorHAnsi" w:cstheme="minorHAnsi"/>
          <w:i/>
          <w:sz w:val="20"/>
          <w:szCs w:val="20"/>
          <w:lang w:eastAsia="en-US"/>
        </w:rPr>
      </w:pPr>
      <w:r w:rsidRPr="00D67126">
        <w:rPr>
          <w:rFonts w:asciiTheme="minorHAnsi" w:eastAsia="Calibri" w:hAnsiTheme="minorHAnsi" w:cstheme="minorHAnsi"/>
          <w:i/>
          <w:sz w:val="20"/>
          <w:szCs w:val="20"/>
          <w:lang w:val="en-US" w:eastAsia="en-US"/>
        </w:rPr>
        <w:t>Net interest margin is calculated as i</w:t>
      </w:r>
      <w:r w:rsidRPr="00D67126" w:rsidDel="00DC0FC9">
        <w:rPr>
          <w:rFonts w:asciiTheme="minorHAnsi" w:eastAsia="Calibri" w:hAnsiTheme="minorHAnsi" w:cstheme="minorHAnsi"/>
          <w:i/>
          <w:sz w:val="20"/>
          <w:szCs w:val="20"/>
          <w:lang w:val="en-US" w:eastAsia="en-US"/>
        </w:rPr>
        <w:t xml:space="preserve">nterest </w:t>
      </w:r>
      <w:r w:rsidRPr="00D67126">
        <w:rPr>
          <w:rFonts w:asciiTheme="minorHAnsi" w:eastAsia="Calibri" w:hAnsiTheme="minorHAnsi" w:cstheme="minorHAnsi"/>
          <w:i/>
          <w:sz w:val="20"/>
          <w:szCs w:val="20"/>
          <w:lang w:val="en-US" w:eastAsia="en-US"/>
        </w:rPr>
        <w:t xml:space="preserve">income less interest expense for the </w:t>
      </w:r>
      <w:r>
        <w:rPr>
          <w:rFonts w:asciiTheme="minorHAnsi" w:eastAsia="Calibri" w:hAnsiTheme="minorHAnsi" w:cstheme="minorHAnsi"/>
          <w:i/>
          <w:sz w:val="20"/>
          <w:szCs w:val="20"/>
          <w:lang w:val="en-US" w:eastAsia="en-US"/>
        </w:rPr>
        <w:t>period</w:t>
      </w:r>
      <w:r w:rsidRPr="00D67126">
        <w:rPr>
          <w:rFonts w:asciiTheme="minorHAnsi" w:eastAsia="Calibri" w:hAnsiTheme="minorHAnsi" w:cstheme="minorHAnsi"/>
          <w:i/>
          <w:sz w:val="20"/>
          <w:szCs w:val="20"/>
          <w:lang w:val="en-US" w:eastAsia="en-US"/>
        </w:rPr>
        <w:t xml:space="preserve"> </w:t>
      </w:r>
      <w:r w:rsidRPr="00AF36D5">
        <w:rPr>
          <w:rFonts w:asciiTheme="minorHAnsi" w:eastAsia="Calibri" w:hAnsiTheme="minorHAnsi" w:cstheme="minorHAnsi"/>
          <w:i/>
          <w:sz w:val="20"/>
          <w:szCs w:val="20"/>
          <w:lang w:val="en-US" w:eastAsia="en-US"/>
        </w:rPr>
        <w:t>multiplied by 365/181</w:t>
      </w:r>
      <w:r w:rsidRPr="00D67126">
        <w:rPr>
          <w:rFonts w:asciiTheme="minorHAnsi" w:eastAsia="Calibri" w:hAnsiTheme="minorHAnsi" w:cstheme="minorHAnsi"/>
          <w:i/>
          <w:sz w:val="20"/>
          <w:szCs w:val="20"/>
          <w:lang w:val="en-US" w:eastAsia="en-US"/>
        </w:rPr>
        <w:t xml:space="preserve"> as a percentage of average gross receivables for the </w:t>
      </w:r>
      <w:r>
        <w:rPr>
          <w:rFonts w:asciiTheme="minorHAnsi" w:eastAsia="Calibri" w:hAnsiTheme="minorHAnsi" w:cstheme="minorHAnsi"/>
          <w:i/>
          <w:sz w:val="20"/>
          <w:szCs w:val="20"/>
          <w:lang w:val="en-US" w:eastAsia="en-US"/>
        </w:rPr>
        <w:t>7</w:t>
      </w:r>
      <w:r w:rsidRPr="00D67126">
        <w:rPr>
          <w:rFonts w:asciiTheme="minorHAnsi" w:eastAsia="Calibri" w:hAnsiTheme="minorHAnsi" w:cstheme="minorHAnsi"/>
          <w:i/>
          <w:sz w:val="20"/>
          <w:szCs w:val="20"/>
          <w:lang w:val="en-US" w:eastAsia="en-US"/>
        </w:rPr>
        <w:t xml:space="preserve"> months ended 3</w:t>
      </w:r>
      <w:r>
        <w:rPr>
          <w:rFonts w:asciiTheme="minorHAnsi" w:eastAsia="Calibri" w:hAnsiTheme="minorHAnsi" w:cstheme="minorHAnsi"/>
          <w:i/>
          <w:sz w:val="20"/>
          <w:szCs w:val="20"/>
          <w:lang w:val="en-US" w:eastAsia="en-US"/>
        </w:rPr>
        <w:t>0</w:t>
      </w:r>
      <w:r w:rsidRPr="00D67126">
        <w:rPr>
          <w:rFonts w:asciiTheme="minorHAnsi" w:eastAsia="Calibri" w:hAnsiTheme="minorHAnsi" w:cstheme="minorHAnsi"/>
          <w:i/>
          <w:sz w:val="20"/>
          <w:szCs w:val="20"/>
          <w:lang w:val="en-US" w:eastAsia="en-US"/>
        </w:rPr>
        <w:t xml:space="preserve"> </w:t>
      </w:r>
      <w:r>
        <w:rPr>
          <w:rFonts w:asciiTheme="minorHAnsi" w:eastAsia="Calibri" w:hAnsiTheme="minorHAnsi" w:cstheme="minorHAnsi"/>
          <w:i/>
          <w:sz w:val="20"/>
          <w:szCs w:val="20"/>
          <w:lang w:val="en-US" w:eastAsia="en-US"/>
        </w:rPr>
        <w:t>June</w:t>
      </w:r>
      <w:r w:rsidRPr="00D67126">
        <w:rPr>
          <w:rFonts w:asciiTheme="minorHAnsi" w:eastAsia="Calibri" w:hAnsiTheme="minorHAnsi" w:cstheme="minorHAnsi"/>
          <w:i/>
          <w:sz w:val="20"/>
          <w:szCs w:val="20"/>
          <w:lang w:val="en-US" w:eastAsia="en-US"/>
        </w:rPr>
        <w:t>.</w:t>
      </w:r>
    </w:p>
    <w:p w14:paraId="615F7657" w14:textId="77777777" w:rsidR="00007130" w:rsidRPr="00D67126" w:rsidRDefault="00007130" w:rsidP="00007130">
      <w:pPr>
        <w:pStyle w:val="ListParagraph"/>
        <w:numPr>
          <w:ilvl w:val="0"/>
          <w:numId w:val="20"/>
        </w:numPr>
        <w:jc w:val="both"/>
        <w:rPr>
          <w:rFonts w:asciiTheme="minorHAnsi" w:eastAsia="Calibri" w:hAnsiTheme="minorHAnsi" w:cstheme="minorHAnsi"/>
          <w:i/>
          <w:sz w:val="20"/>
          <w:szCs w:val="20"/>
          <w:lang w:eastAsia="en-US"/>
        </w:rPr>
      </w:pPr>
      <w:r w:rsidRPr="00D67126">
        <w:rPr>
          <w:rFonts w:asciiTheme="minorHAnsi" w:eastAsia="Calibri" w:hAnsiTheme="minorHAnsi" w:cstheme="minorHAnsi"/>
          <w:i/>
          <w:sz w:val="20"/>
          <w:szCs w:val="20"/>
          <w:lang w:val="en-US" w:eastAsia="en-US"/>
        </w:rPr>
        <w:t xml:space="preserve">Risk-adjusted margin is defined as risk-adjusted income for the </w:t>
      </w:r>
      <w:r>
        <w:rPr>
          <w:rFonts w:asciiTheme="minorHAnsi" w:eastAsia="Calibri" w:hAnsiTheme="minorHAnsi" w:cstheme="minorHAnsi"/>
          <w:i/>
          <w:sz w:val="20"/>
          <w:szCs w:val="20"/>
          <w:lang w:val="en-US" w:eastAsia="en-US"/>
        </w:rPr>
        <w:t>period</w:t>
      </w:r>
      <w:r w:rsidRPr="00D67126">
        <w:rPr>
          <w:rFonts w:asciiTheme="minorHAnsi" w:eastAsia="Calibri" w:hAnsiTheme="minorHAnsi" w:cstheme="minorHAnsi"/>
          <w:i/>
          <w:sz w:val="20"/>
          <w:szCs w:val="20"/>
          <w:lang w:val="en-US" w:eastAsia="en-US"/>
        </w:rPr>
        <w:t xml:space="preserve"> </w:t>
      </w:r>
      <w:r w:rsidRPr="00AF36D5">
        <w:rPr>
          <w:rFonts w:asciiTheme="minorHAnsi" w:eastAsia="Calibri" w:hAnsiTheme="minorHAnsi" w:cstheme="minorHAnsi"/>
          <w:i/>
          <w:sz w:val="20"/>
          <w:szCs w:val="20"/>
          <w:lang w:val="en-US" w:eastAsia="en-US"/>
        </w:rPr>
        <w:t>multiplied by 365/181</w:t>
      </w:r>
      <w:r w:rsidRPr="00D67126">
        <w:rPr>
          <w:rFonts w:asciiTheme="minorHAnsi" w:eastAsia="Calibri" w:hAnsiTheme="minorHAnsi" w:cstheme="minorHAnsi"/>
          <w:i/>
          <w:sz w:val="20"/>
          <w:szCs w:val="20"/>
          <w:lang w:val="en-US" w:eastAsia="en-US"/>
        </w:rPr>
        <w:t xml:space="preserve"> as a percentage of average gross receivables for the </w:t>
      </w:r>
      <w:r>
        <w:rPr>
          <w:rFonts w:asciiTheme="minorHAnsi" w:eastAsia="Calibri" w:hAnsiTheme="minorHAnsi" w:cstheme="minorHAnsi"/>
          <w:i/>
          <w:sz w:val="20"/>
          <w:szCs w:val="20"/>
          <w:lang w:val="en-US" w:eastAsia="en-US"/>
        </w:rPr>
        <w:t>7</w:t>
      </w:r>
      <w:r w:rsidRPr="00D67126">
        <w:rPr>
          <w:rFonts w:asciiTheme="minorHAnsi" w:eastAsia="Calibri" w:hAnsiTheme="minorHAnsi" w:cstheme="minorHAnsi"/>
          <w:i/>
          <w:sz w:val="20"/>
          <w:szCs w:val="20"/>
          <w:lang w:val="en-US" w:eastAsia="en-US"/>
        </w:rPr>
        <w:t xml:space="preserve"> months ended 3</w:t>
      </w:r>
      <w:r>
        <w:rPr>
          <w:rFonts w:asciiTheme="minorHAnsi" w:eastAsia="Calibri" w:hAnsiTheme="minorHAnsi" w:cstheme="minorHAnsi"/>
          <w:i/>
          <w:sz w:val="20"/>
          <w:szCs w:val="20"/>
          <w:lang w:val="en-US" w:eastAsia="en-US"/>
        </w:rPr>
        <w:t>0 June</w:t>
      </w:r>
      <w:r w:rsidRPr="00D67126">
        <w:rPr>
          <w:rFonts w:asciiTheme="minorHAnsi" w:eastAsia="Calibri" w:hAnsiTheme="minorHAnsi" w:cstheme="minorHAnsi"/>
          <w:i/>
          <w:sz w:val="20"/>
          <w:szCs w:val="20"/>
          <w:lang w:val="en-US" w:eastAsia="en-US"/>
        </w:rPr>
        <w:t>.</w:t>
      </w:r>
    </w:p>
    <w:p w14:paraId="264BC0C6" w14:textId="77777777" w:rsidR="00007130" w:rsidRPr="00D67126" w:rsidRDefault="00007130" w:rsidP="00007130">
      <w:pPr>
        <w:pStyle w:val="ListParagraph"/>
        <w:numPr>
          <w:ilvl w:val="0"/>
          <w:numId w:val="20"/>
        </w:numPr>
        <w:jc w:val="both"/>
        <w:rPr>
          <w:rFonts w:asciiTheme="minorHAnsi" w:eastAsia="Calibri" w:hAnsiTheme="minorHAnsi" w:cstheme="minorHAnsi"/>
          <w:i/>
          <w:sz w:val="20"/>
          <w:szCs w:val="20"/>
          <w:lang w:eastAsia="en-US"/>
        </w:rPr>
      </w:pPr>
      <w:r w:rsidRPr="00D67126">
        <w:rPr>
          <w:rFonts w:asciiTheme="minorHAnsi" w:eastAsia="Calibri" w:hAnsiTheme="minorHAnsi" w:cstheme="minorHAnsi"/>
          <w:i/>
          <w:sz w:val="20"/>
          <w:szCs w:val="20"/>
          <w:lang w:val="en-US" w:eastAsia="en-US"/>
        </w:rPr>
        <w:t xml:space="preserve">Operating costs, excluding exceptional items and </w:t>
      </w:r>
      <w:proofErr w:type="spellStart"/>
      <w:r w:rsidRPr="00D67126">
        <w:rPr>
          <w:rFonts w:asciiTheme="minorHAnsi" w:eastAsia="Calibri" w:hAnsiTheme="minorHAnsi" w:cstheme="minorHAnsi"/>
          <w:i/>
          <w:sz w:val="20"/>
          <w:szCs w:val="20"/>
          <w:lang w:val="en-US" w:eastAsia="en-US"/>
        </w:rPr>
        <w:t>amortisation</w:t>
      </w:r>
      <w:proofErr w:type="spellEnd"/>
      <w:r w:rsidRPr="00D67126">
        <w:rPr>
          <w:rFonts w:asciiTheme="minorHAnsi" w:eastAsia="Calibri" w:hAnsiTheme="minorHAnsi" w:cstheme="minorHAnsi"/>
          <w:i/>
          <w:sz w:val="20"/>
          <w:szCs w:val="20"/>
          <w:lang w:val="en-US" w:eastAsia="en-US"/>
        </w:rPr>
        <w:t xml:space="preserve"> of acquisition intangibles as a percentage of total income, for the </w:t>
      </w:r>
      <w:r>
        <w:rPr>
          <w:rFonts w:asciiTheme="minorHAnsi" w:eastAsia="Calibri" w:hAnsiTheme="minorHAnsi" w:cstheme="minorHAnsi"/>
          <w:i/>
          <w:sz w:val="20"/>
          <w:szCs w:val="20"/>
          <w:lang w:val="en-US" w:eastAsia="en-US"/>
        </w:rPr>
        <w:t>period</w:t>
      </w:r>
      <w:r w:rsidRPr="00D67126">
        <w:rPr>
          <w:rFonts w:asciiTheme="minorHAnsi" w:eastAsia="Calibri" w:hAnsiTheme="minorHAnsi" w:cstheme="minorHAnsi"/>
          <w:i/>
          <w:sz w:val="20"/>
          <w:szCs w:val="20"/>
          <w:lang w:val="en-US" w:eastAsia="en-US"/>
        </w:rPr>
        <w:t>.</w:t>
      </w:r>
    </w:p>
    <w:p w14:paraId="432F2540" w14:textId="48FA489F" w:rsidR="00007130" w:rsidRPr="00D67126" w:rsidRDefault="00A639CB" w:rsidP="00007130">
      <w:pPr>
        <w:pStyle w:val="ListParagraph"/>
        <w:numPr>
          <w:ilvl w:val="0"/>
          <w:numId w:val="20"/>
        </w:numPr>
        <w:jc w:val="both"/>
        <w:rPr>
          <w:rFonts w:asciiTheme="minorHAnsi" w:eastAsia="Calibri" w:hAnsiTheme="minorHAnsi" w:cstheme="minorHAnsi"/>
          <w:i/>
          <w:sz w:val="20"/>
          <w:szCs w:val="20"/>
          <w:lang w:eastAsia="en-US"/>
        </w:rPr>
      </w:pPr>
      <w:r>
        <w:rPr>
          <w:rFonts w:asciiTheme="minorHAnsi" w:eastAsia="Calibri" w:hAnsiTheme="minorHAnsi" w:cstheme="minorHAnsi"/>
          <w:i/>
          <w:sz w:val="20"/>
          <w:szCs w:val="20"/>
          <w:lang w:val="en-US" w:eastAsia="en-US"/>
        </w:rPr>
        <w:t>Adju</w:t>
      </w:r>
      <w:r w:rsidR="00987790">
        <w:rPr>
          <w:rFonts w:asciiTheme="minorHAnsi" w:eastAsia="Calibri" w:hAnsiTheme="minorHAnsi" w:cstheme="minorHAnsi"/>
          <w:i/>
          <w:sz w:val="20"/>
          <w:szCs w:val="20"/>
          <w:lang w:val="en-US" w:eastAsia="en-US"/>
        </w:rPr>
        <w:t>s</w:t>
      </w:r>
      <w:r>
        <w:rPr>
          <w:rFonts w:asciiTheme="minorHAnsi" w:eastAsia="Calibri" w:hAnsiTheme="minorHAnsi" w:cstheme="minorHAnsi"/>
          <w:i/>
          <w:sz w:val="20"/>
          <w:szCs w:val="20"/>
          <w:lang w:val="en-US" w:eastAsia="en-US"/>
        </w:rPr>
        <w:t xml:space="preserve">ted </w:t>
      </w:r>
      <w:r w:rsidR="00007130" w:rsidRPr="00D67126">
        <w:rPr>
          <w:rFonts w:asciiTheme="minorHAnsi" w:eastAsia="Calibri" w:hAnsiTheme="minorHAnsi" w:cstheme="minorHAnsi"/>
          <w:i/>
          <w:sz w:val="20"/>
          <w:szCs w:val="20"/>
          <w:lang w:val="en-US" w:eastAsia="en-US"/>
        </w:rPr>
        <w:t xml:space="preserve">ROTE is defined as adjusted profit after tax net of fair value gains for the </w:t>
      </w:r>
      <w:r w:rsidR="00007130">
        <w:rPr>
          <w:rFonts w:asciiTheme="minorHAnsi" w:eastAsia="Calibri" w:hAnsiTheme="minorHAnsi" w:cstheme="minorHAnsi"/>
          <w:i/>
          <w:sz w:val="20"/>
          <w:szCs w:val="20"/>
          <w:lang w:val="en-US" w:eastAsia="en-US"/>
        </w:rPr>
        <w:t>period</w:t>
      </w:r>
      <w:r w:rsidR="00007130" w:rsidRPr="00D67126">
        <w:rPr>
          <w:rFonts w:asciiTheme="minorHAnsi" w:eastAsia="Calibri" w:hAnsiTheme="minorHAnsi" w:cstheme="minorHAnsi"/>
          <w:i/>
          <w:sz w:val="20"/>
          <w:szCs w:val="20"/>
          <w:lang w:val="en-US" w:eastAsia="en-US"/>
        </w:rPr>
        <w:t xml:space="preserve"> </w:t>
      </w:r>
      <w:r w:rsidR="00007130" w:rsidRPr="00776386">
        <w:rPr>
          <w:rFonts w:asciiTheme="minorHAnsi" w:eastAsia="Calibri" w:hAnsiTheme="minorHAnsi" w:cstheme="minorHAnsi"/>
          <w:i/>
          <w:sz w:val="20"/>
          <w:szCs w:val="20"/>
          <w:lang w:val="en-US" w:eastAsia="en-US"/>
        </w:rPr>
        <w:t>multiplied by 365/181</w:t>
      </w:r>
      <w:r w:rsidR="00007130" w:rsidRPr="00D67126">
        <w:rPr>
          <w:rFonts w:asciiTheme="minorHAnsi" w:eastAsia="Calibri" w:hAnsiTheme="minorHAnsi" w:cstheme="minorHAnsi"/>
          <w:i/>
          <w:sz w:val="20"/>
          <w:szCs w:val="20"/>
          <w:lang w:val="en-US" w:eastAsia="en-US"/>
        </w:rPr>
        <w:t xml:space="preserve"> as a percentage of average adjusted tangible equity for the </w:t>
      </w:r>
      <w:r w:rsidR="00007130">
        <w:rPr>
          <w:rFonts w:asciiTheme="minorHAnsi" w:eastAsia="Calibri" w:hAnsiTheme="minorHAnsi" w:cstheme="minorHAnsi"/>
          <w:i/>
          <w:sz w:val="20"/>
          <w:szCs w:val="20"/>
          <w:lang w:val="en-US" w:eastAsia="en-US"/>
        </w:rPr>
        <w:t>7</w:t>
      </w:r>
      <w:r w:rsidR="00007130" w:rsidRPr="00D67126">
        <w:rPr>
          <w:rFonts w:asciiTheme="minorHAnsi" w:eastAsia="Calibri" w:hAnsiTheme="minorHAnsi" w:cstheme="minorHAnsi"/>
          <w:i/>
          <w:sz w:val="20"/>
          <w:szCs w:val="20"/>
          <w:lang w:val="en-US" w:eastAsia="en-US"/>
        </w:rPr>
        <w:t xml:space="preserve"> months ended 3</w:t>
      </w:r>
      <w:r w:rsidR="00007130">
        <w:rPr>
          <w:rFonts w:asciiTheme="minorHAnsi" w:eastAsia="Calibri" w:hAnsiTheme="minorHAnsi" w:cstheme="minorHAnsi"/>
          <w:i/>
          <w:sz w:val="20"/>
          <w:szCs w:val="20"/>
          <w:lang w:val="en-US" w:eastAsia="en-US"/>
        </w:rPr>
        <w:t>0</w:t>
      </w:r>
      <w:r w:rsidR="00007130" w:rsidRPr="00D67126">
        <w:rPr>
          <w:rFonts w:asciiTheme="minorHAnsi" w:eastAsia="Calibri" w:hAnsiTheme="minorHAnsi" w:cstheme="minorHAnsi"/>
          <w:i/>
          <w:sz w:val="20"/>
          <w:szCs w:val="20"/>
          <w:lang w:val="en-US" w:eastAsia="en-US"/>
        </w:rPr>
        <w:t xml:space="preserve"> </w:t>
      </w:r>
      <w:r w:rsidR="00007130">
        <w:rPr>
          <w:rFonts w:asciiTheme="minorHAnsi" w:eastAsia="Calibri" w:hAnsiTheme="minorHAnsi" w:cstheme="minorHAnsi"/>
          <w:i/>
          <w:sz w:val="20"/>
          <w:szCs w:val="20"/>
          <w:lang w:val="en-US" w:eastAsia="en-US"/>
        </w:rPr>
        <w:t>June</w:t>
      </w:r>
      <w:r w:rsidR="00007130" w:rsidRPr="00D67126">
        <w:rPr>
          <w:rFonts w:asciiTheme="minorHAnsi" w:eastAsia="Calibri" w:hAnsiTheme="minorHAnsi" w:cstheme="minorHAnsi"/>
          <w:i/>
          <w:sz w:val="20"/>
          <w:szCs w:val="20"/>
          <w:lang w:val="en-US" w:eastAsia="en-US"/>
        </w:rPr>
        <w:t>. Adjusted tangible equity is stated as equity after deducting the Group’s pension asset, net of deferred tax, the fair value of derivative financial instruments, net of deferred tax, less intangible assets and goodwill.</w:t>
      </w:r>
    </w:p>
    <w:p w14:paraId="36631D2E" w14:textId="3FFEFDAE" w:rsidR="00890EF8" w:rsidRPr="00CF66BE" w:rsidRDefault="002F368F" w:rsidP="00007130">
      <w:pPr>
        <w:pStyle w:val="ListParagraph"/>
        <w:numPr>
          <w:ilvl w:val="0"/>
          <w:numId w:val="20"/>
        </w:numPr>
        <w:jc w:val="both"/>
        <w:rPr>
          <w:rFonts w:asciiTheme="minorHAnsi" w:eastAsia="Calibri" w:hAnsiTheme="minorHAnsi" w:cstheme="minorHAnsi"/>
          <w:i/>
          <w:sz w:val="20"/>
          <w:szCs w:val="20"/>
          <w:lang w:val="en-US" w:eastAsia="en-US"/>
        </w:rPr>
      </w:pPr>
      <w:r>
        <w:rPr>
          <w:rFonts w:asciiTheme="minorHAnsi" w:eastAsia="Calibri" w:hAnsiTheme="minorHAnsi" w:cstheme="minorHAnsi"/>
          <w:i/>
          <w:sz w:val="20"/>
          <w:szCs w:val="20"/>
          <w:lang w:eastAsia="en-US"/>
        </w:rPr>
        <w:t>.</w:t>
      </w:r>
      <w:r w:rsidR="00856562" w:rsidRPr="00856562">
        <w:rPr>
          <w:rFonts w:ascii="Calibri" w:eastAsia="Calibri" w:hAnsi="Calibri"/>
          <w:sz w:val="18"/>
          <w:szCs w:val="18"/>
        </w:rPr>
        <w:t xml:space="preserve"> </w:t>
      </w:r>
      <w:r w:rsidR="00856562" w:rsidRPr="00CF66BE">
        <w:rPr>
          <w:rFonts w:asciiTheme="minorHAnsi" w:eastAsia="Calibri" w:hAnsiTheme="minorHAnsi" w:cstheme="minorHAnsi"/>
          <w:i/>
          <w:sz w:val="20"/>
          <w:szCs w:val="20"/>
          <w:lang w:val="en-US" w:eastAsia="en-US"/>
        </w:rPr>
        <w:t>TNAV per share is calculated as average adjusted tangible equity, divided by the weighted average number of shares in issue during the period.</w:t>
      </w:r>
    </w:p>
    <w:p w14:paraId="02B4E05F" w14:textId="5AC5B770" w:rsidR="00007130" w:rsidRPr="00D67126" w:rsidRDefault="00007130" w:rsidP="00007130">
      <w:pPr>
        <w:pStyle w:val="ListParagraph"/>
        <w:numPr>
          <w:ilvl w:val="0"/>
          <w:numId w:val="20"/>
        </w:numPr>
        <w:jc w:val="both"/>
        <w:rPr>
          <w:rFonts w:asciiTheme="minorHAnsi" w:eastAsia="Calibri" w:hAnsiTheme="minorHAnsi" w:cstheme="minorBidi"/>
          <w:i/>
          <w:sz w:val="20"/>
          <w:szCs w:val="20"/>
          <w:lang w:eastAsia="en-US"/>
        </w:rPr>
      </w:pPr>
      <w:r w:rsidRPr="3BF4F573">
        <w:rPr>
          <w:rFonts w:asciiTheme="minorHAnsi" w:eastAsia="Calibri" w:hAnsiTheme="minorHAnsi" w:cstheme="minorBidi"/>
          <w:i/>
          <w:sz w:val="20"/>
          <w:szCs w:val="20"/>
          <w:lang w:val="en-US" w:eastAsia="en-US"/>
        </w:rPr>
        <w:t xml:space="preserve">The </w:t>
      </w:r>
      <w:r w:rsidR="3B9ADD6B" w:rsidRPr="6AD1A6A3">
        <w:rPr>
          <w:rFonts w:asciiTheme="minorHAnsi" w:eastAsia="Calibri" w:hAnsiTheme="minorHAnsi" w:cstheme="minorBidi"/>
          <w:i/>
          <w:iCs/>
          <w:sz w:val="20"/>
          <w:szCs w:val="20"/>
          <w:lang w:val="en-US" w:eastAsia="en-US"/>
        </w:rPr>
        <w:t xml:space="preserve">Tier </w:t>
      </w:r>
      <w:r w:rsidR="3B9ADD6B" w:rsidRPr="0025963B">
        <w:rPr>
          <w:rFonts w:asciiTheme="minorHAnsi" w:eastAsia="Calibri" w:hAnsiTheme="minorHAnsi" w:cstheme="minorBidi"/>
          <w:i/>
          <w:iCs/>
          <w:sz w:val="20"/>
          <w:szCs w:val="20"/>
          <w:lang w:val="en-US" w:eastAsia="en-US"/>
        </w:rPr>
        <w:t>1</w:t>
      </w:r>
      <w:r w:rsidRPr="3BF4F573">
        <w:rPr>
          <w:rFonts w:asciiTheme="minorHAnsi" w:eastAsia="Calibri" w:hAnsiTheme="minorHAnsi" w:cstheme="minorBidi"/>
          <w:i/>
          <w:sz w:val="20"/>
          <w:szCs w:val="20"/>
          <w:lang w:val="en-US" w:eastAsia="en-US"/>
        </w:rPr>
        <w:t xml:space="preserve"> ratio is defined as the ratio of the Group’s </w:t>
      </w:r>
      <w:r w:rsidR="2D7FAE4E" w:rsidRPr="6AD1A6A3">
        <w:rPr>
          <w:rFonts w:asciiTheme="minorHAnsi" w:eastAsia="Calibri" w:hAnsiTheme="minorHAnsi" w:cstheme="minorBidi"/>
          <w:i/>
          <w:iCs/>
          <w:sz w:val="20"/>
          <w:szCs w:val="20"/>
          <w:lang w:val="en-US" w:eastAsia="en-US"/>
        </w:rPr>
        <w:t xml:space="preserve">Tier 1 (currently all held as </w:t>
      </w:r>
      <w:r w:rsidRPr="6AD1A6A3">
        <w:rPr>
          <w:rFonts w:asciiTheme="minorHAnsi" w:eastAsia="Calibri" w:hAnsiTheme="minorHAnsi" w:cstheme="minorBidi"/>
          <w:i/>
          <w:iCs/>
          <w:sz w:val="20"/>
          <w:szCs w:val="20"/>
          <w:lang w:val="en-US" w:eastAsia="en-US"/>
        </w:rPr>
        <w:t>CET1</w:t>
      </w:r>
      <w:r w:rsidR="4C7013AA" w:rsidRPr="6AD1A6A3">
        <w:rPr>
          <w:rFonts w:asciiTheme="minorHAnsi" w:eastAsia="Calibri" w:hAnsiTheme="minorHAnsi" w:cstheme="minorBidi"/>
          <w:i/>
          <w:iCs/>
          <w:sz w:val="20"/>
          <w:szCs w:val="20"/>
          <w:lang w:val="en-US" w:eastAsia="en-US"/>
        </w:rPr>
        <w:t>)</w:t>
      </w:r>
      <w:r w:rsidRPr="3BF4F573">
        <w:rPr>
          <w:rFonts w:asciiTheme="minorHAnsi" w:eastAsia="Calibri" w:hAnsiTheme="minorHAnsi" w:cstheme="minorBidi"/>
          <w:i/>
          <w:sz w:val="20"/>
          <w:szCs w:val="20"/>
          <w:lang w:val="en-US" w:eastAsia="en-US"/>
        </w:rPr>
        <w:t xml:space="preserve"> to the Group’s risk-weighted assets measured in accordance with the CRR.</w:t>
      </w:r>
    </w:p>
    <w:p w14:paraId="71B67965" w14:textId="663BA84B" w:rsidR="28B0C402" w:rsidRDefault="28B0C402" w:rsidP="00B90419">
      <w:pPr>
        <w:jc w:val="both"/>
        <w:rPr>
          <w:rFonts w:ascii="Calibri" w:eastAsia="Calibri" w:hAnsi="Calibri" w:cs="Calibri"/>
          <w:i/>
          <w:iCs/>
          <w:sz w:val="20"/>
          <w:szCs w:val="20"/>
          <w:lang w:val="en-US"/>
        </w:rPr>
      </w:pPr>
      <w:bookmarkStart w:id="3" w:name="_Hlk95474937"/>
    </w:p>
    <w:p w14:paraId="2A9170F3" w14:textId="77777777" w:rsidR="00752987" w:rsidRDefault="00752987" w:rsidP="00B6746F">
      <w:pPr>
        <w:spacing w:after="160"/>
        <w:ind w:left="-110"/>
        <w:jc w:val="both"/>
        <w:rPr>
          <w:rFonts w:asciiTheme="minorHAnsi" w:hAnsiTheme="minorHAnsi" w:cstheme="minorHAnsi"/>
          <w:b/>
          <w:bCs/>
          <w:color w:val="4747FF"/>
          <w:sz w:val="20"/>
          <w:szCs w:val="20"/>
        </w:rPr>
      </w:pPr>
    </w:p>
    <w:p w14:paraId="4176EF5F" w14:textId="18324F52" w:rsidR="00B6746F" w:rsidRPr="00D67126" w:rsidRDefault="00B6746F" w:rsidP="00CF66BE">
      <w:pPr>
        <w:spacing w:after="160"/>
        <w:jc w:val="both"/>
        <w:rPr>
          <w:rFonts w:asciiTheme="minorHAnsi" w:hAnsiTheme="minorHAnsi" w:cstheme="minorHAnsi"/>
          <w:b/>
          <w:bCs/>
          <w:sz w:val="20"/>
          <w:szCs w:val="20"/>
        </w:rPr>
      </w:pPr>
      <w:r w:rsidRPr="00D67126">
        <w:rPr>
          <w:rFonts w:asciiTheme="minorHAnsi" w:hAnsiTheme="minorHAnsi" w:cstheme="minorHAnsi"/>
          <w:b/>
          <w:bCs/>
          <w:color w:val="4747FF"/>
          <w:sz w:val="20"/>
          <w:szCs w:val="20"/>
        </w:rPr>
        <w:t>Forward looking statements</w:t>
      </w:r>
    </w:p>
    <w:p w14:paraId="0AC9DE1D" w14:textId="77777777" w:rsidR="00B6746F" w:rsidRPr="00D67126" w:rsidRDefault="00B6746F" w:rsidP="00B6746F">
      <w:pPr>
        <w:pStyle w:val="NoSpacing"/>
        <w:jc w:val="both"/>
        <w:rPr>
          <w:rFonts w:eastAsia="Calibri" w:cstheme="minorHAnsi"/>
          <w:b/>
          <w:bCs/>
          <w:color w:val="000000"/>
          <w:kern w:val="2"/>
          <w:sz w:val="20"/>
          <w:szCs w:val="20"/>
          <w:lang w:eastAsia="en-GB"/>
          <w14:ligatures w14:val="standardContextual"/>
        </w:rPr>
      </w:pPr>
      <w:r w:rsidRPr="00D67126">
        <w:rPr>
          <w:rFonts w:eastAsia="Calibri" w:cstheme="minorHAnsi"/>
          <w:color w:val="000000"/>
          <w:kern w:val="2"/>
          <w:sz w:val="20"/>
          <w:szCs w:val="20"/>
          <w:lang w:eastAsia="en-GB"/>
          <w14:ligatures w14:val="standardContextual"/>
        </w:rPr>
        <w:t>This report may contain certain "forward looking statements" regarding the financial position, business strategy or plans for future operations of Vanquis Banking Group. All statements other than statements of historical fact included in this document may be forward looking statements. Forward looking statements also often use words such as "believe", "expect", "estimate", "intend", "anticipate" and words of a similar meaning. By their nature, forward looking statements involve risk and uncertainty that could cause actual results to differ from those suggested by them. Much of the risk and uncertainty relates to factors that are beyond Vanquis Banking Group’s ability to control or estimate precisely, such as future market conditions and the behaviours of other market participants, and therefore undue reliance should not be placed on such statements which speak only as at the date of this report. Vanquis Banking Group does not assume any obligation to, and does not intend to, revise or update these forward-looking statements, except as required pursuant to applicable law or regulation. No statement in this announcement is intended as a profit forecast or estimate for any period. No statement in this announcement should be interpreted to indicate a particular level of profit and, as a consequence, it should not be possible to derive a profit figure for any future period from this report.</w:t>
      </w:r>
    </w:p>
    <w:p w14:paraId="6DD2CB96" w14:textId="77777777" w:rsidR="00A01145" w:rsidRPr="00D67126" w:rsidRDefault="00A01145" w:rsidP="00A01145">
      <w:pPr>
        <w:pStyle w:val="NoSpacing"/>
        <w:jc w:val="both"/>
        <w:rPr>
          <w:rFonts w:cstheme="minorHAnsi"/>
          <w:sz w:val="20"/>
          <w:szCs w:val="20"/>
        </w:rPr>
      </w:pPr>
    </w:p>
    <w:p w14:paraId="0B4A9B11" w14:textId="428AA2A6" w:rsidR="00056065" w:rsidRPr="00A8694D" w:rsidRDefault="00056065" w:rsidP="00475376">
      <w:pPr>
        <w:pStyle w:val="NoSpacing"/>
        <w:ind w:left="720"/>
        <w:jc w:val="both"/>
        <w:rPr>
          <w:sz w:val="20"/>
          <w:szCs w:val="20"/>
        </w:rPr>
      </w:pPr>
    </w:p>
    <w:bookmarkEnd w:id="3"/>
    <w:p w14:paraId="47CE1817" w14:textId="1043AA92" w:rsidR="00E838F4" w:rsidRPr="00701439" w:rsidRDefault="00B6746F" w:rsidP="00E534C5">
      <w:pPr>
        <w:pStyle w:val="NoSpacing"/>
        <w:jc w:val="both"/>
        <w:rPr>
          <w:rStyle w:val="Strong"/>
          <w:sz w:val="20"/>
          <w:szCs w:val="20"/>
        </w:rPr>
      </w:pPr>
      <w:r>
        <w:rPr>
          <w:rStyle w:val="Strong"/>
          <w:sz w:val="20"/>
          <w:szCs w:val="20"/>
        </w:rPr>
        <w:t xml:space="preserve"> </w:t>
      </w:r>
    </w:p>
    <w:p w14:paraId="4A9ADFC1" w14:textId="281A59C8" w:rsidR="00F01EC8" w:rsidRPr="00B6746F" w:rsidRDefault="00F01EC8" w:rsidP="00E534C5">
      <w:pPr>
        <w:pStyle w:val="NoSpacing"/>
        <w:jc w:val="both"/>
        <w:rPr>
          <w:rStyle w:val="Strong"/>
          <w:sz w:val="20"/>
          <w:szCs w:val="20"/>
          <w:u w:val="single"/>
        </w:rPr>
      </w:pPr>
      <w:r w:rsidRPr="3C3008B3">
        <w:rPr>
          <w:rStyle w:val="Strong"/>
          <w:color w:val="4747FF"/>
          <w:u w:val="single"/>
        </w:rPr>
        <w:t xml:space="preserve">Financial </w:t>
      </w:r>
      <w:r w:rsidR="00EF6F4D" w:rsidRPr="3C3008B3">
        <w:rPr>
          <w:rStyle w:val="Strong"/>
          <w:color w:val="4747FF"/>
          <w:u w:val="single"/>
        </w:rPr>
        <w:t>r</w:t>
      </w:r>
      <w:r w:rsidRPr="3C3008B3">
        <w:rPr>
          <w:rStyle w:val="Strong"/>
          <w:color w:val="4747FF"/>
          <w:u w:val="single"/>
        </w:rPr>
        <w:t>eview</w:t>
      </w:r>
    </w:p>
    <w:p w14:paraId="3286C9DA" w14:textId="77777777" w:rsidR="00F01EC8" w:rsidRDefault="00F01EC8" w:rsidP="00E534C5">
      <w:pPr>
        <w:pStyle w:val="NoSpacing"/>
        <w:jc w:val="both"/>
        <w:rPr>
          <w:rStyle w:val="Strong"/>
          <w:color w:val="4747FF"/>
        </w:rPr>
      </w:pPr>
    </w:p>
    <w:p w14:paraId="77FA88C2" w14:textId="77777777" w:rsidR="00F01EC8" w:rsidRPr="00701439" w:rsidRDefault="00F01EC8" w:rsidP="00E534C5">
      <w:pPr>
        <w:pStyle w:val="NoSpacing"/>
        <w:jc w:val="both"/>
        <w:rPr>
          <w:rStyle w:val="Strong"/>
          <w:color w:val="4747FF"/>
        </w:rPr>
      </w:pPr>
      <w:r w:rsidRPr="00701439">
        <w:rPr>
          <w:rStyle w:val="Strong"/>
          <w:color w:val="4747FF"/>
        </w:rPr>
        <w:t>Group performance</w:t>
      </w:r>
    </w:p>
    <w:p w14:paraId="615D6F23" w14:textId="77777777" w:rsidR="00F01EC8" w:rsidRPr="00701439" w:rsidRDefault="00F01EC8" w:rsidP="00E534C5">
      <w:pPr>
        <w:pStyle w:val="NoSpacing"/>
        <w:jc w:val="both"/>
        <w:rPr>
          <w:rStyle w:val="Strong"/>
          <w:sz w:val="20"/>
          <w:szCs w:val="20"/>
        </w:rPr>
      </w:pPr>
    </w:p>
    <w:p w14:paraId="587D8ADF" w14:textId="71975DA2" w:rsidR="00F01EC8" w:rsidRDefault="00F01EC8" w:rsidP="00E534C5">
      <w:pPr>
        <w:pStyle w:val="NoSpacing"/>
        <w:jc w:val="both"/>
        <w:rPr>
          <w:rFonts w:cs="Arial"/>
          <w:sz w:val="20"/>
          <w:szCs w:val="20"/>
        </w:rPr>
      </w:pPr>
      <w:r w:rsidRPr="00701439">
        <w:rPr>
          <w:rFonts w:cs="Arial"/>
          <w:sz w:val="20"/>
          <w:szCs w:val="20"/>
        </w:rPr>
        <w:t>The Group’s 202</w:t>
      </w:r>
      <w:r w:rsidR="00B80A75">
        <w:rPr>
          <w:rFonts w:cs="Arial"/>
          <w:sz w:val="20"/>
          <w:szCs w:val="20"/>
        </w:rPr>
        <w:t>4</w:t>
      </w:r>
      <w:r w:rsidR="00196A38" w:rsidRPr="00701439">
        <w:rPr>
          <w:rFonts w:cs="Arial"/>
          <w:sz w:val="20"/>
          <w:szCs w:val="20"/>
        </w:rPr>
        <w:t xml:space="preserve"> </w:t>
      </w:r>
      <w:r w:rsidR="009359D4">
        <w:rPr>
          <w:rFonts w:cs="Arial"/>
          <w:sz w:val="20"/>
          <w:szCs w:val="20"/>
        </w:rPr>
        <w:t>interim</w:t>
      </w:r>
      <w:r w:rsidR="00196A38" w:rsidRPr="00701439">
        <w:rPr>
          <w:rFonts w:cs="Arial"/>
          <w:sz w:val="20"/>
          <w:szCs w:val="20"/>
        </w:rPr>
        <w:t xml:space="preserve"> </w:t>
      </w:r>
      <w:r w:rsidRPr="00701439">
        <w:rPr>
          <w:rFonts w:cs="Arial"/>
          <w:sz w:val="20"/>
          <w:szCs w:val="20"/>
        </w:rPr>
        <w:t xml:space="preserve">results </w:t>
      </w:r>
      <w:r w:rsidR="002C17F0" w:rsidRPr="00701439">
        <w:rPr>
          <w:rFonts w:cs="Arial"/>
          <w:sz w:val="20"/>
          <w:szCs w:val="20"/>
        </w:rPr>
        <w:t>are</w:t>
      </w:r>
      <w:r w:rsidRPr="00701439">
        <w:rPr>
          <w:rFonts w:cs="Arial"/>
          <w:sz w:val="20"/>
          <w:szCs w:val="20"/>
        </w:rPr>
        <w:t xml:space="preserve"> as follows:</w:t>
      </w:r>
    </w:p>
    <w:tbl>
      <w:tblPr>
        <w:tblW w:w="5000" w:type="pct"/>
        <w:tblLook w:val="04A0" w:firstRow="1" w:lastRow="0" w:firstColumn="1" w:lastColumn="0" w:noHBand="0" w:noVBand="1"/>
      </w:tblPr>
      <w:tblGrid>
        <w:gridCol w:w="7063"/>
        <w:gridCol w:w="1330"/>
        <w:gridCol w:w="1330"/>
      </w:tblGrid>
      <w:tr w:rsidR="004C079B" w:rsidRPr="00937534" w14:paraId="7D4FBCCD" w14:textId="77777777" w:rsidTr="004C079B">
        <w:trPr>
          <w:trHeight w:val="375"/>
        </w:trPr>
        <w:tc>
          <w:tcPr>
            <w:tcW w:w="3632" w:type="pct"/>
          </w:tcPr>
          <w:p w14:paraId="2642BEEB" w14:textId="77777777" w:rsidR="004C079B" w:rsidRPr="00937534" w:rsidRDefault="004C079B" w:rsidP="00AF5A74">
            <w:pPr>
              <w:rPr>
                <w:rFonts w:asciiTheme="minorHAnsi" w:eastAsiaTheme="minorEastAsia" w:hAnsiTheme="minorHAnsi" w:cstheme="minorBidi"/>
                <w:sz w:val="20"/>
                <w:szCs w:val="20"/>
              </w:rPr>
            </w:pPr>
          </w:p>
        </w:tc>
        <w:tc>
          <w:tcPr>
            <w:tcW w:w="1368" w:type="pct"/>
            <w:gridSpan w:val="2"/>
            <w:shd w:val="clear" w:color="auto" w:fill="FFFFFF" w:themeFill="background1"/>
            <w:vAlign w:val="bottom"/>
          </w:tcPr>
          <w:p w14:paraId="2C601699" w14:textId="50865AAC" w:rsidR="004C079B" w:rsidRPr="00937534" w:rsidRDefault="004C079B" w:rsidP="00970048">
            <w:pPr>
              <w:jc w:val="center"/>
              <w:rPr>
                <w:rFonts w:asciiTheme="minorHAnsi" w:eastAsiaTheme="minorEastAsia" w:hAnsiTheme="minorHAnsi" w:cstheme="minorBidi"/>
                <w:b/>
                <w:sz w:val="20"/>
                <w:szCs w:val="20"/>
              </w:rPr>
            </w:pPr>
            <w:r w:rsidRPr="551513BC">
              <w:rPr>
                <w:rFonts w:asciiTheme="minorHAnsi" w:eastAsiaTheme="minorEastAsia" w:hAnsiTheme="minorHAnsi" w:cstheme="minorBidi"/>
                <w:b/>
                <w:sz w:val="20"/>
                <w:szCs w:val="20"/>
                <w:shd w:val="clear" w:color="auto" w:fill="FFFFFF" w:themeFill="background1"/>
              </w:rPr>
              <w:t>Six months en</w:t>
            </w:r>
            <w:r w:rsidRPr="551513BC">
              <w:rPr>
                <w:rFonts w:asciiTheme="minorHAnsi" w:eastAsiaTheme="minorEastAsia" w:hAnsiTheme="minorHAnsi" w:cstheme="minorBidi"/>
                <w:b/>
                <w:sz w:val="20"/>
                <w:szCs w:val="20"/>
              </w:rPr>
              <w:t>ded</w:t>
            </w:r>
            <w:r w:rsidR="00550CD6">
              <w:rPr>
                <w:rFonts w:asciiTheme="minorHAnsi" w:eastAsiaTheme="minorEastAsia" w:hAnsiTheme="minorHAnsi" w:cstheme="minorBidi"/>
                <w:b/>
                <w:sz w:val="20"/>
                <w:szCs w:val="20"/>
              </w:rPr>
              <w:t xml:space="preserve"> 30 June</w:t>
            </w:r>
          </w:p>
        </w:tc>
      </w:tr>
      <w:tr w:rsidR="00B80A75" w:rsidRPr="00937534" w14:paraId="02FE0039" w14:textId="77777777" w:rsidTr="004C079B">
        <w:trPr>
          <w:trHeight w:val="582"/>
        </w:trPr>
        <w:tc>
          <w:tcPr>
            <w:tcW w:w="3632" w:type="pct"/>
            <w:tcBorders>
              <w:bottom w:val="single" w:sz="2" w:space="0" w:color="auto"/>
            </w:tcBorders>
            <w:hideMark/>
          </w:tcPr>
          <w:p w14:paraId="643CC962" w14:textId="77777777" w:rsidR="00B80A75" w:rsidRPr="00937534" w:rsidRDefault="00B80A75" w:rsidP="00AF5A74">
            <w:pPr>
              <w:rPr>
                <w:rFonts w:asciiTheme="minorHAnsi" w:eastAsiaTheme="minorEastAsia" w:hAnsiTheme="minorHAnsi" w:cstheme="minorBidi"/>
                <w:sz w:val="20"/>
                <w:szCs w:val="20"/>
              </w:rPr>
            </w:pPr>
          </w:p>
        </w:tc>
        <w:tc>
          <w:tcPr>
            <w:tcW w:w="684" w:type="pct"/>
            <w:tcBorders>
              <w:bottom w:val="single" w:sz="2" w:space="0" w:color="auto"/>
            </w:tcBorders>
            <w:shd w:val="clear" w:color="auto" w:fill="F2F2F2" w:themeFill="background1" w:themeFillShade="F2"/>
            <w:vAlign w:val="bottom"/>
            <w:hideMark/>
          </w:tcPr>
          <w:p w14:paraId="1CB6BC8A" w14:textId="77777777" w:rsidR="005642B5" w:rsidRDefault="00B80A75" w:rsidP="00AF5A74">
            <w:pPr>
              <w:ind w:right="115"/>
              <w:jc w:val="right"/>
              <w:rPr>
                <w:rFonts w:asciiTheme="minorHAnsi" w:eastAsiaTheme="minorEastAsia" w:hAnsiTheme="minorHAnsi" w:cstheme="minorBidi"/>
                <w:b/>
                <w:sz w:val="20"/>
                <w:szCs w:val="20"/>
              </w:rPr>
            </w:pPr>
            <w:r w:rsidRPr="551513BC">
              <w:rPr>
                <w:rFonts w:asciiTheme="minorHAnsi" w:eastAsiaTheme="minorEastAsia" w:hAnsiTheme="minorHAnsi" w:cstheme="minorBidi"/>
                <w:b/>
                <w:sz w:val="20"/>
                <w:szCs w:val="20"/>
              </w:rPr>
              <w:t>2024</w:t>
            </w:r>
          </w:p>
          <w:p w14:paraId="0B06A8BE" w14:textId="2BF62358" w:rsidR="00B80A75" w:rsidRPr="00937534" w:rsidRDefault="00B80A75" w:rsidP="00AF5A74">
            <w:pPr>
              <w:ind w:right="115"/>
              <w:jc w:val="right"/>
              <w:rPr>
                <w:rFonts w:asciiTheme="minorHAnsi" w:eastAsiaTheme="minorEastAsia" w:hAnsiTheme="minorHAnsi" w:cstheme="minorBidi"/>
                <w:b/>
                <w:sz w:val="20"/>
                <w:szCs w:val="20"/>
              </w:rPr>
            </w:pPr>
            <w:r>
              <w:rPr>
                <w:rFonts w:eastAsia="Poppins"/>
              </w:rPr>
              <w:br/>
            </w:r>
            <w:r w:rsidRPr="551513BC">
              <w:rPr>
                <w:rFonts w:asciiTheme="minorHAnsi" w:eastAsiaTheme="minorEastAsia" w:hAnsiTheme="minorHAnsi" w:cstheme="minorBidi"/>
                <w:b/>
                <w:sz w:val="20"/>
                <w:szCs w:val="20"/>
              </w:rPr>
              <w:t>£m</w:t>
            </w:r>
          </w:p>
        </w:tc>
        <w:tc>
          <w:tcPr>
            <w:tcW w:w="684" w:type="pct"/>
            <w:tcBorders>
              <w:bottom w:val="single" w:sz="2" w:space="0" w:color="auto"/>
            </w:tcBorders>
            <w:vAlign w:val="bottom"/>
            <w:hideMark/>
          </w:tcPr>
          <w:p w14:paraId="67DA9189" w14:textId="3C85909C" w:rsidR="006D6E21" w:rsidRDefault="00B80A75" w:rsidP="00AF5A74">
            <w:pPr>
              <w:jc w:val="right"/>
              <w:rPr>
                <w:rFonts w:asciiTheme="minorHAnsi" w:eastAsiaTheme="minorEastAsia" w:hAnsiTheme="minorHAnsi" w:cstheme="minorBidi"/>
                <w:b/>
                <w:sz w:val="20"/>
                <w:szCs w:val="20"/>
              </w:rPr>
            </w:pPr>
            <w:r w:rsidRPr="198B8B94">
              <w:rPr>
                <w:rFonts w:asciiTheme="minorHAnsi" w:eastAsiaTheme="minorEastAsia" w:hAnsiTheme="minorHAnsi" w:cstheme="minorBidi"/>
                <w:b/>
                <w:sz w:val="20"/>
                <w:szCs w:val="20"/>
              </w:rPr>
              <w:t>2023</w:t>
            </w:r>
            <w:r w:rsidR="0091640C" w:rsidRPr="0091640C">
              <w:rPr>
                <w:rFonts w:asciiTheme="minorHAnsi" w:eastAsiaTheme="minorEastAsia" w:hAnsiTheme="minorHAnsi" w:cstheme="minorBidi"/>
                <w:b/>
                <w:sz w:val="20"/>
                <w:szCs w:val="20"/>
                <w:vertAlign w:val="superscript"/>
              </w:rPr>
              <w:t>1</w:t>
            </w:r>
          </w:p>
          <w:p w14:paraId="19844955" w14:textId="57305689" w:rsidR="00B80A75" w:rsidRPr="00937534" w:rsidRDefault="006D6E21" w:rsidP="00AF5A74">
            <w:pPr>
              <w:jc w:val="right"/>
              <w:rPr>
                <w:rFonts w:asciiTheme="minorHAnsi" w:eastAsiaTheme="minorEastAsia" w:hAnsiTheme="minorHAnsi" w:cstheme="minorBidi"/>
                <w:b/>
                <w:sz w:val="20"/>
                <w:szCs w:val="20"/>
              </w:rPr>
            </w:pPr>
            <w:r w:rsidRPr="551513BC">
              <w:rPr>
                <w:rFonts w:asciiTheme="minorHAnsi" w:eastAsiaTheme="minorEastAsia" w:hAnsiTheme="minorHAnsi" w:cstheme="minorBidi"/>
                <w:b/>
                <w:sz w:val="20"/>
                <w:szCs w:val="20"/>
              </w:rPr>
              <w:t>(restated)</w:t>
            </w:r>
            <w:r w:rsidR="00B80A75">
              <w:br/>
            </w:r>
            <w:r w:rsidR="00B80A75" w:rsidRPr="551513BC">
              <w:rPr>
                <w:rFonts w:asciiTheme="minorHAnsi" w:eastAsiaTheme="minorEastAsia" w:hAnsiTheme="minorHAnsi" w:cstheme="minorBidi"/>
                <w:b/>
                <w:sz w:val="20"/>
                <w:szCs w:val="20"/>
              </w:rPr>
              <w:t>£m</w:t>
            </w:r>
          </w:p>
        </w:tc>
      </w:tr>
      <w:tr w:rsidR="00B80A75" w:rsidRPr="00937534" w14:paraId="64CDAFCA" w14:textId="77777777" w:rsidTr="6654B222">
        <w:trPr>
          <w:trHeight w:val="301"/>
        </w:trPr>
        <w:tc>
          <w:tcPr>
            <w:tcW w:w="3632" w:type="pct"/>
            <w:tcBorders>
              <w:top w:val="single" w:sz="2" w:space="0" w:color="auto"/>
              <w:left w:val="single" w:sz="4" w:space="0" w:color="FFFFFF" w:themeColor="background1"/>
              <w:right w:val="nil"/>
            </w:tcBorders>
            <w:shd w:val="clear" w:color="auto" w:fill="auto"/>
            <w:hideMark/>
          </w:tcPr>
          <w:p w14:paraId="655B42FA" w14:textId="77777777" w:rsidR="00B80A75" w:rsidRPr="00937534" w:rsidRDefault="00B80A75" w:rsidP="00AF5A74">
            <w:pPr>
              <w:rPr>
                <w:rFonts w:asciiTheme="minorHAnsi" w:eastAsiaTheme="minorEastAsia" w:hAnsiTheme="minorHAnsi" w:cstheme="minorBidi"/>
                <w:sz w:val="20"/>
                <w:szCs w:val="20"/>
              </w:rPr>
            </w:pPr>
            <w:r w:rsidRPr="551513BC">
              <w:rPr>
                <w:rFonts w:asciiTheme="minorHAnsi" w:eastAsiaTheme="minorEastAsia" w:hAnsiTheme="minorHAnsi" w:cstheme="minorBidi"/>
                <w:sz w:val="20"/>
                <w:szCs w:val="20"/>
              </w:rPr>
              <w:t>Interest income</w:t>
            </w:r>
          </w:p>
        </w:tc>
        <w:tc>
          <w:tcPr>
            <w:tcW w:w="684" w:type="pct"/>
            <w:tcBorders>
              <w:top w:val="single" w:sz="2" w:space="0" w:color="auto"/>
            </w:tcBorders>
            <w:shd w:val="clear" w:color="auto" w:fill="F2F2F2" w:themeFill="background1" w:themeFillShade="F2"/>
            <w:noWrap/>
            <w:hideMark/>
          </w:tcPr>
          <w:p w14:paraId="79255A78" w14:textId="7279D5D4" w:rsidR="00B80A75" w:rsidRPr="00BA7A12" w:rsidRDefault="002559D1" w:rsidP="00AF5A74">
            <w:pPr>
              <w:jc w:val="right"/>
              <w:rPr>
                <w:rFonts w:asciiTheme="minorHAnsi" w:eastAsiaTheme="minorEastAsia" w:hAnsiTheme="minorHAnsi" w:cstheme="minorBidi"/>
                <w:b/>
                <w:sz w:val="20"/>
                <w:szCs w:val="20"/>
              </w:rPr>
            </w:pPr>
            <w:r w:rsidRPr="551513BC">
              <w:rPr>
                <w:rFonts w:asciiTheme="minorHAnsi" w:eastAsiaTheme="minorEastAsia" w:hAnsiTheme="minorHAnsi" w:cstheme="minorBidi"/>
                <w:b/>
                <w:sz w:val="20"/>
                <w:szCs w:val="20"/>
              </w:rPr>
              <w:t>285.2</w:t>
            </w:r>
          </w:p>
        </w:tc>
        <w:tc>
          <w:tcPr>
            <w:tcW w:w="684" w:type="pct"/>
            <w:tcBorders>
              <w:top w:val="single" w:sz="2" w:space="0" w:color="auto"/>
            </w:tcBorders>
            <w:noWrap/>
            <w:hideMark/>
          </w:tcPr>
          <w:p w14:paraId="290CA2C9" w14:textId="191D17AB" w:rsidR="00B80A75" w:rsidRPr="00BA7A12" w:rsidRDefault="00080C71" w:rsidP="00AF5A74">
            <w:pPr>
              <w:jc w:val="right"/>
              <w:rPr>
                <w:rFonts w:asciiTheme="minorHAnsi" w:eastAsiaTheme="minorEastAsia" w:hAnsiTheme="minorHAnsi" w:cstheme="minorBidi"/>
                <w:sz w:val="20"/>
                <w:szCs w:val="20"/>
              </w:rPr>
            </w:pPr>
            <w:r w:rsidRPr="551513BC">
              <w:rPr>
                <w:rFonts w:asciiTheme="minorHAnsi" w:eastAsiaTheme="minorEastAsia" w:hAnsiTheme="minorHAnsi" w:cstheme="minorBidi"/>
                <w:sz w:val="20"/>
                <w:szCs w:val="20"/>
              </w:rPr>
              <w:t>2</w:t>
            </w:r>
            <w:r w:rsidR="002C18A1" w:rsidRPr="551513BC">
              <w:rPr>
                <w:rFonts w:asciiTheme="minorHAnsi" w:eastAsiaTheme="minorEastAsia" w:hAnsiTheme="minorHAnsi" w:cstheme="minorBidi"/>
                <w:sz w:val="20"/>
                <w:szCs w:val="20"/>
              </w:rPr>
              <w:t>64.8</w:t>
            </w:r>
          </w:p>
        </w:tc>
      </w:tr>
      <w:tr w:rsidR="00B80A75" w:rsidRPr="00937534" w14:paraId="07AA3F9F" w14:textId="77777777" w:rsidTr="6654B222">
        <w:trPr>
          <w:trHeight w:val="312"/>
        </w:trPr>
        <w:tc>
          <w:tcPr>
            <w:tcW w:w="3632" w:type="pct"/>
            <w:tcBorders>
              <w:top w:val="nil"/>
              <w:left w:val="single" w:sz="4" w:space="0" w:color="FFFFFF" w:themeColor="background1"/>
              <w:bottom w:val="single" w:sz="4" w:space="0" w:color="auto"/>
              <w:right w:val="nil"/>
            </w:tcBorders>
            <w:shd w:val="clear" w:color="auto" w:fill="auto"/>
            <w:hideMark/>
          </w:tcPr>
          <w:p w14:paraId="41DDD01E" w14:textId="77777777" w:rsidR="00B80A75" w:rsidRPr="00937534" w:rsidRDefault="00B80A75" w:rsidP="00AF5A74">
            <w:pPr>
              <w:rPr>
                <w:rFonts w:asciiTheme="minorHAnsi" w:eastAsiaTheme="minorEastAsia" w:hAnsiTheme="minorHAnsi" w:cstheme="minorBidi"/>
                <w:sz w:val="20"/>
                <w:szCs w:val="20"/>
              </w:rPr>
            </w:pPr>
            <w:r w:rsidRPr="551513BC">
              <w:rPr>
                <w:rFonts w:asciiTheme="minorHAnsi" w:eastAsiaTheme="minorEastAsia" w:hAnsiTheme="minorHAnsi" w:cstheme="minorBidi"/>
                <w:sz w:val="20"/>
                <w:szCs w:val="20"/>
              </w:rPr>
              <w:t>Interest expense</w:t>
            </w:r>
          </w:p>
        </w:tc>
        <w:tc>
          <w:tcPr>
            <w:tcW w:w="684" w:type="pct"/>
            <w:tcBorders>
              <w:bottom w:val="single" w:sz="4" w:space="0" w:color="auto"/>
            </w:tcBorders>
            <w:shd w:val="clear" w:color="auto" w:fill="F2F2F2" w:themeFill="background1" w:themeFillShade="F2"/>
            <w:noWrap/>
            <w:hideMark/>
          </w:tcPr>
          <w:p w14:paraId="7585F2C6" w14:textId="187ACCE3" w:rsidR="00B80A75" w:rsidRPr="00BA7A12" w:rsidRDefault="00B80A75" w:rsidP="00AF5A74">
            <w:pPr>
              <w:jc w:val="right"/>
              <w:rPr>
                <w:rFonts w:asciiTheme="minorHAnsi" w:eastAsiaTheme="minorEastAsia" w:hAnsiTheme="minorHAnsi" w:cstheme="minorBidi"/>
                <w:b/>
                <w:sz w:val="20"/>
                <w:szCs w:val="20"/>
              </w:rPr>
            </w:pPr>
            <w:r w:rsidRPr="551513BC">
              <w:rPr>
                <w:rFonts w:asciiTheme="minorHAnsi" w:eastAsiaTheme="minorEastAsia" w:hAnsiTheme="minorHAnsi" w:cstheme="minorBidi"/>
                <w:b/>
                <w:sz w:val="20"/>
                <w:szCs w:val="20"/>
              </w:rPr>
              <w:t>(</w:t>
            </w:r>
            <w:r w:rsidR="002559D1" w:rsidRPr="551513BC">
              <w:rPr>
                <w:rFonts w:asciiTheme="minorHAnsi" w:eastAsiaTheme="minorEastAsia" w:hAnsiTheme="minorHAnsi" w:cstheme="minorBidi"/>
                <w:b/>
                <w:sz w:val="20"/>
                <w:szCs w:val="20"/>
              </w:rPr>
              <w:t>70.7</w:t>
            </w:r>
            <w:r w:rsidRPr="551513BC">
              <w:rPr>
                <w:rFonts w:asciiTheme="minorHAnsi" w:eastAsiaTheme="minorEastAsia" w:hAnsiTheme="minorHAnsi" w:cstheme="minorBidi"/>
                <w:b/>
                <w:sz w:val="20"/>
                <w:szCs w:val="20"/>
              </w:rPr>
              <w:t>)</w:t>
            </w:r>
          </w:p>
        </w:tc>
        <w:tc>
          <w:tcPr>
            <w:tcW w:w="684" w:type="pct"/>
            <w:tcBorders>
              <w:bottom w:val="single" w:sz="4" w:space="0" w:color="auto"/>
            </w:tcBorders>
            <w:noWrap/>
            <w:hideMark/>
          </w:tcPr>
          <w:p w14:paraId="2EBF9B01" w14:textId="2F1F3FB1" w:rsidR="00B80A75" w:rsidRPr="00BA7A12" w:rsidRDefault="00B80A75" w:rsidP="00AF5A74">
            <w:pPr>
              <w:jc w:val="right"/>
              <w:rPr>
                <w:rFonts w:asciiTheme="minorHAnsi" w:eastAsiaTheme="minorEastAsia" w:hAnsiTheme="minorHAnsi" w:cstheme="minorBidi"/>
                <w:sz w:val="20"/>
                <w:szCs w:val="20"/>
              </w:rPr>
            </w:pPr>
            <w:r w:rsidRPr="551513BC">
              <w:rPr>
                <w:rFonts w:asciiTheme="minorHAnsi" w:eastAsiaTheme="minorEastAsia" w:hAnsiTheme="minorHAnsi" w:cstheme="minorBidi"/>
                <w:sz w:val="20"/>
                <w:szCs w:val="20"/>
              </w:rPr>
              <w:t>(</w:t>
            </w:r>
            <w:r w:rsidR="002C18A1" w:rsidRPr="551513BC">
              <w:rPr>
                <w:rFonts w:asciiTheme="minorHAnsi" w:eastAsiaTheme="minorEastAsia" w:hAnsiTheme="minorHAnsi" w:cstheme="minorBidi"/>
                <w:sz w:val="20"/>
                <w:szCs w:val="20"/>
              </w:rPr>
              <w:t>50.3</w:t>
            </w:r>
            <w:r w:rsidRPr="551513BC">
              <w:rPr>
                <w:rFonts w:asciiTheme="minorHAnsi" w:eastAsiaTheme="minorEastAsia" w:hAnsiTheme="minorHAnsi" w:cstheme="minorBidi"/>
                <w:sz w:val="20"/>
                <w:szCs w:val="20"/>
              </w:rPr>
              <w:t>)</w:t>
            </w:r>
          </w:p>
        </w:tc>
      </w:tr>
      <w:tr w:rsidR="00B80A75" w:rsidRPr="00937534" w14:paraId="660DE766" w14:textId="77777777" w:rsidTr="00AF5A74">
        <w:trPr>
          <w:trHeight w:val="312"/>
        </w:trPr>
        <w:tc>
          <w:tcPr>
            <w:tcW w:w="3632" w:type="pct"/>
            <w:tcBorders>
              <w:top w:val="single" w:sz="4" w:space="0" w:color="auto"/>
              <w:bottom w:val="single" w:sz="4" w:space="0" w:color="auto"/>
              <w:right w:val="nil"/>
            </w:tcBorders>
            <w:shd w:val="clear" w:color="auto" w:fill="auto"/>
            <w:hideMark/>
          </w:tcPr>
          <w:p w14:paraId="29576A77" w14:textId="77777777" w:rsidR="00B80A75" w:rsidRPr="00937534" w:rsidRDefault="00B80A75" w:rsidP="00AF5A74">
            <w:pPr>
              <w:rPr>
                <w:rFonts w:asciiTheme="minorHAnsi" w:eastAsiaTheme="minorEastAsia" w:hAnsiTheme="minorHAnsi" w:cstheme="minorBidi"/>
                <w:b/>
                <w:sz w:val="20"/>
                <w:szCs w:val="20"/>
              </w:rPr>
            </w:pPr>
            <w:r w:rsidRPr="551513BC">
              <w:rPr>
                <w:rFonts w:asciiTheme="minorHAnsi" w:eastAsiaTheme="minorEastAsia" w:hAnsiTheme="minorHAnsi" w:cstheme="minorBidi"/>
                <w:b/>
                <w:sz w:val="20"/>
                <w:szCs w:val="20"/>
              </w:rPr>
              <w:t>Net interest income</w:t>
            </w:r>
          </w:p>
        </w:tc>
        <w:tc>
          <w:tcPr>
            <w:tcW w:w="684" w:type="pct"/>
            <w:tcBorders>
              <w:top w:val="single" w:sz="4" w:space="0" w:color="auto"/>
              <w:left w:val="nil"/>
              <w:bottom w:val="single" w:sz="4" w:space="0" w:color="auto"/>
              <w:right w:val="nil"/>
            </w:tcBorders>
            <w:shd w:val="clear" w:color="auto" w:fill="F2F2F2" w:themeFill="background1" w:themeFillShade="F2"/>
            <w:noWrap/>
            <w:hideMark/>
          </w:tcPr>
          <w:p w14:paraId="199C1772" w14:textId="61CE0A64" w:rsidR="00B80A75" w:rsidRPr="00BA7A12" w:rsidRDefault="002559D1" w:rsidP="00AF5A74">
            <w:pPr>
              <w:jc w:val="right"/>
              <w:rPr>
                <w:rFonts w:asciiTheme="minorHAnsi" w:eastAsiaTheme="minorEastAsia" w:hAnsiTheme="minorHAnsi" w:cstheme="minorBidi"/>
                <w:b/>
                <w:sz w:val="20"/>
                <w:szCs w:val="20"/>
              </w:rPr>
            </w:pPr>
            <w:r w:rsidRPr="551513BC">
              <w:rPr>
                <w:rFonts w:asciiTheme="minorHAnsi" w:eastAsiaTheme="minorEastAsia" w:hAnsiTheme="minorHAnsi" w:cstheme="minorBidi"/>
                <w:b/>
                <w:sz w:val="20"/>
                <w:szCs w:val="20"/>
              </w:rPr>
              <w:t>214.</w:t>
            </w:r>
            <w:r w:rsidR="00FE06AC" w:rsidRPr="551513BC">
              <w:rPr>
                <w:rFonts w:asciiTheme="minorHAnsi" w:eastAsiaTheme="minorEastAsia" w:hAnsiTheme="minorHAnsi" w:cstheme="minorBidi"/>
                <w:b/>
                <w:sz w:val="20"/>
                <w:szCs w:val="20"/>
              </w:rPr>
              <w:t>5</w:t>
            </w:r>
          </w:p>
        </w:tc>
        <w:tc>
          <w:tcPr>
            <w:tcW w:w="684" w:type="pct"/>
            <w:tcBorders>
              <w:top w:val="single" w:sz="4" w:space="0" w:color="auto"/>
              <w:left w:val="nil"/>
              <w:bottom w:val="single" w:sz="4" w:space="0" w:color="auto"/>
              <w:right w:val="nil"/>
            </w:tcBorders>
            <w:noWrap/>
            <w:hideMark/>
          </w:tcPr>
          <w:p w14:paraId="143C3D71" w14:textId="3A17CE4E" w:rsidR="00B80A75" w:rsidRPr="00BA7A12" w:rsidRDefault="00080C71" w:rsidP="00AF5A74">
            <w:pPr>
              <w:jc w:val="right"/>
              <w:rPr>
                <w:rFonts w:asciiTheme="minorHAnsi" w:eastAsiaTheme="minorEastAsia" w:hAnsiTheme="minorHAnsi" w:cstheme="minorBidi"/>
                <w:sz w:val="20"/>
                <w:szCs w:val="20"/>
              </w:rPr>
            </w:pPr>
            <w:r w:rsidRPr="551513BC">
              <w:rPr>
                <w:rFonts w:asciiTheme="minorHAnsi" w:eastAsiaTheme="minorEastAsia" w:hAnsiTheme="minorHAnsi" w:cstheme="minorBidi"/>
                <w:sz w:val="20"/>
                <w:szCs w:val="20"/>
              </w:rPr>
              <w:t>2</w:t>
            </w:r>
            <w:r w:rsidR="00BC0C8A" w:rsidRPr="551513BC">
              <w:rPr>
                <w:rFonts w:asciiTheme="minorHAnsi" w:eastAsiaTheme="minorEastAsia" w:hAnsiTheme="minorHAnsi" w:cstheme="minorBidi"/>
                <w:sz w:val="20"/>
                <w:szCs w:val="20"/>
              </w:rPr>
              <w:t>14.5</w:t>
            </w:r>
          </w:p>
        </w:tc>
      </w:tr>
      <w:tr w:rsidR="00B80A75" w:rsidRPr="00937534" w14:paraId="7C93BE2D" w14:textId="77777777" w:rsidTr="00AF5A74">
        <w:trPr>
          <w:trHeight w:val="301"/>
        </w:trPr>
        <w:tc>
          <w:tcPr>
            <w:tcW w:w="3632" w:type="pct"/>
            <w:tcBorders>
              <w:top w:val="single" w:sz="4" w:space="0" w:color="auto"/>
              <w:right w:val="nil"/>
            </w:tcBorders>
            <w:shd w:val="clear" w:color="auto" w:fill="auto"/>
            <w:hideMark/>
          </w:tcPr>
          <w:p w14:paraId="3E731B9B" w14:textId="77777777" w:rsidR="00B80A75" w:rsidRPr="00937534" w:rsidRDefault="00B80A75" w:rsidP="00AF5A74">
            <w:pPr>
              <w:rPr>
                <w:rFonts w:asciiTheme="minorHAnsi" w:eastAsiaTheme="minorEastAsia" w:hAnsiTheme="minorHAnsi" w:cstheme="minorBidi"/>
                <w:sz w:val="20"/>
                <w:szCs w:val="20"/>
              </w:rPr>
            </w:pPr>
            <w:r w:rsidRPr="551513BC">
              <w:rPr>
                <w:rFonts w:asciiTheme="minorHAnsi" w:eastAsiaTheme="minorEastAsia" w:hAnsiTheme="minorHAnsi" w:cstheme="minorBidi"/>
                <w:sz w:val="20"/>
                <w:szCs w:val="20"/>
              </w:rPr>
              <w:t>Fee and commission income</w:t>
            </w:r>
          </w:p>
        </w:tc>
        <w:tc>
          <w:tcPr>
            <w:tcW w:w="684" w:type="pct"/>
            <w:tcBorders>
              <w:top w:val="single" w:sz="4" w:space="0" w:color="auto"/>
            </w:tcBorders>
            <w:shd w:val="clear" w:color="auto" w:fill="F2F2F2" w:themeFill="background1" w:themeFillShade="F2"/>
            <w:noWrap/>
            <w:hideMark/>
          </w:tcPr>
          <w:p w14:paraId="60F6E432" w14:textId="15C2D2D2" w:rsidR="00B80A75" w:rsidRPr="00BA7A12" w:rsidRDefault="00EC433F" w:rsidP="00AF5A74">
            <w:pPr>
              <w:jc w:val="right"/>
              <w:rPr>
                <w:rFonts w:asciiTheme="minorHAnsi" w:eastAsiaTheme="minorEastAsia" w:hAnsiTheme="minorHAnsi" w:cstheme="minorBidi"/>
                <w:b/>
                <w:sz w:val="20"/>
                <w:szCs w:val="20"/>
              </w:rPr>
            </w:pPr>
            <w:r w:rsidRPr="551513BC">
              <w:rPr>
                <w:rFonts w:asciiTheme="minorHAnsi" w:eastAsiaTheme="minorEastAsia" w:hAnsiTheme="minorHAnsi" w:cstheme="minorBidi"/>
                <w:b/>
                <w:sz w:val="20"/>
                <w:szCs w:val="20"/>
              </w:rPr>
              <w:t>20.1</w:t>
            </w:r>
          </w:p>
        </w:tc>
        <w:tc>
          <w:tcPr>
            <w:tcW w:w="684" w:type="pct"/>
            <w:tcBorders>
              <w:top w:val="single" w:sz="4" w:space="0" w:color="auto"/>
            </w:tcBorders>
            <w:noWrap/>
            <w:hideMark/>
          </w:tcPr>
          <w:p w14:paraId="7A9D38AA" w14:textId="4140BD01" w:rsidR="00B80A75" w:rsidRPr="00BA7A12" w:rsidRDefault="00CA4D58" w:rsidP="00AF5A74">
            <w:pPr>
              <w:jc w:val="right"/>
              <w:rPr>
                <w:rFonts w:asciiTheme="minorHAnsi" w:eastAsiaTheme="minorEastAsia" w:hAnsiTheme="minorHAnsi" w:cstheme="minorBidi"/>
                <w:sz w:val="20"/>
                <w:szCs w:val="20"/>
              </w:rPr>
            </w:pPr>
            <w:r w:rsidRPr="551513BC">
              <w:rPr>
                <w:rFonts w:asciiTheme="minorHAnsi" w:eastAsiaTheme="minorEastAsia" w:hAnsiTheme="minorHAnsi" w:cstheme="minorBidi"/>
                <w:sz w:val="20"/>
                <w:szCs w:val="20"/>
              </w:rPr>
              <w:t>21.5</w:t>
            </w:r>
          </w:p>
        </w:tc>
      </w:tr>
      <w:tr w:rsidR="00B80A75" w:rsidRPr="00937534" w14:paraId="33F15337" w14:textId="77777777" w:rsidTr="00AF5A74">
        <w:trPr>
          <w:trHeight w:val="312"/>
        </w:trPr>
        <w:tc>
          <w:tcPr>
            <w:tcW w:w="3632" w:type="pct"/>
            <w:tcBorders>
              <w:top w:val="nil"/>
              <w:bottom w:val="single" w:sz="4" w:space="0" w:color="auto"/>
              <w:right w:val="nil"/>
            </w:tcBorders>
            <w:shd w:val="clear" w:color="auto" w:fill="auto"/>
            <w:hideMark/>
          </w:tcPr>
          <w:p w14:paraId="4AF3BE41" w14:textId="77777777" w:rsidR="00B80A75" w:rsidRPr="00937534" w:rsidRDefault="00B80A75" w:rsidP="00AF5A74">
            <w:pPr>
              <w:rPr>
                <w:rFonts w:asciiTheme="minorHAnsi" w:eastAsiaTheme="minorEastAsia" w:hAnsiTheme="minorHAnsi" w:cstheme="minorBidi"/>
                <w:sz w:val="20"/>
                <w:szCs w:val="20"/>
              </w:rPr>
            </w:pPr>
            <w:r w:rsidRPr="551513BC">
              <w:rPr>
                <w:rFonts w:asciiTheme="minorHAnsi" w:eastAsiaTheme="minorEastAsia" w:hAnsiTheme="minorHAnsi" w:cstheme="minorBidi"/>
                <w:sz w:val="20"/>
                <w:szCs w:val="20"/>
              </w:rPr>
              <w:t>Fee and commission expense</w:t>
            </w:r>
          </w:p>
        </w:tc>
        <w:tc>
          <w:tcPr>
            <w:tcW w:w="684" w:type="pct"/>
            <w:tcBorders>
              <w:bottom w:val="single" w:sz="4" w:space="0" w:color="auto"/>
            </w:tcBorders>
            <w:shd w:val="clear" w:color="auto" w:fill="F2F2F2" w:themeFill="background1" w:themeFillShade="F2"/>
            <w:noWrap/>
            <w:hideMark/>
          </w:tcPr>
          <w:p w14:paraId="03D6B1D6" w14:textId="4F407D46" w:rsidR="00B80A75" w:rsidRPr="00BA7A12" w:rsidRDefault="00B80A75" w:rsidP="00AF5A74">
            <w:pPr>
              <w:jc w:val="right"/>
              <w:rPr>
                <w:rFonts w:asciiTheme="minorHAnsi" w:eastAsiaTheme="minorEastAsia" w:hAnsiTheme="minorHAnsi" w:cstheme="minorBidi"/>
                <w:b/>
                <w:sz w:val="20"/>
                <w:szCs w:val="20"/>
              </w:rPr>
            </w:pPr>
            <w:r w:rsidRPr="551513BC">
              <w:rPr>
                <w:rFonts w:asciiTheme="minorHAnsi" w:eastAsiaTheme="minorEastAsia" w:hAnsiTheme="minorHAnsi" w:cstheme="minorBidi"/>
                <w:b/>
                <w:sz w:val="20"/>
                <w:szCs w:val="20"/>
              </w:rPr>
              <w:t>(</w:t>
            </w:r>
            <w:r w:rsidR="00EC433F" w:rsidRPr="551513BC">
              <w:rPr>
                <w:rFonts w:asciiTheme="minorHAnsi" w:eastAsiaTheme="minorEastAsia" w:hAnsiTheme="minorHAnsi" w:cstheme="minorBidi"/>
                <w:b/>
                <w:sz w:val="20"/>
                <w:szCs w:val="20"/>
              </w:rPr>
              <w:t>0.8</w:t>
            </w:r>
            <w:r w:rsidRPr="551513BC">
              <w:rPr>
                <w:rFonts w:asciiTheme="minorHAnsi" w:eastAsiaTheme="minorEastAsia" w:hAnsiTheme="minorHAnsi" w:cstheme="minorBidi"/>
                <w:b/>
                <w:sz w:val="20"/>
                <w:szCs w:val="20"/>
              </w:rPr>
              <w:t>)</w:t>
            </w:r>
          </w:p>
        </w:tc>
        <w:tc>
          <w:tcPr>
            <w:tcW w:w="684" w:type="pct"/>
            <w:tcBorders>
              <w:bottom w:val="single" w:sz="4" w:space="0" w:color="auto"/>
            </w:tcBorders>
            <w:noWrap/>
            <w:hideMark/>
          </w:tcPr>
          <w:p w14:paraId="5E7119A2" w14:textId="53447DFE" w:rsidR="00B80A75" w:rsidRPr="00BA7A12" w:rsidRDefault="00B80A75" w:rsidP="00AF5A74">
            <w:pPr>
              <w:jc w:val="right"/>
              <w:rPr>
                <w:rFonts w:asciiTheme="minorHAnsi" w:eastAsiaTheme="minorEastAsia" w:hAnsiTheme="minorHAnsi" w:cstheme="minorBidi"/>
                <w:sz w:val="20"/>
                <w:szCs w:val="20"/>
              </w:rPr>
            </w:pPr>
            <w:r w:rsidRPr="551513BC">
              <w:rPr>
                <w:rFonts w:asciiTheme="minorHAnsi" w:eastAsiaTheme="minorEastAsia" w:hAnsiTheme="minorHAnsi" w:cstheme="minorBidi"/>
                <w:sz w:val="20"/>
                <w:szCs w:val="20"/>
              </w:rPr>
              <w:t>(</w:t>
            </w:r>
            <w:r w:rsidR="00CA4D58" w:rsidRPr="551513BC">
              <w:rPr>
                <w:rFonts w:asciiTheme="minorHAnsi" w:eastAsiaTheme="minorEastAsia" w:hAnsiTheme="minorHAnsi" w:cstheme="minorBidi"/>
                <w:sz w:val="20"/>
                <w:szCs w:val="20"/>
              </w:rPr>
              <w:t>0.7</w:t>
            </w:r>
            <w:r w:rsidRPr="551513BC">
              <w:rPr>
                <w:rFonts w:asciiTheme="minorHAnsi" w:eastAsiaTheme="minorEastAsia" w:hAnsiTheme="minorHAnsi" w:cstheme="minorBidi"/>
                <w:sz w:val="20"/>
                <w:szCs w:val="20"/>
              </w:rPr>
              <w:t>)</w:t>
            </w:r>
          </w:p>
        </w:tc>
      </w:tr>
      <w:tr w:rsidR="00B80A75" w:rsidRPr="00937534" w14:paraId="6F06D2BC" w14:textId="77777777" w:rsidTr="6654B222">
        <w:trPr>
          <w:trHeight w:val="312"/>
        </w:trPr>
        <w:tc>
          <w:tcPr>
            <w:tcW w:w="3632" w:type="pct"/>
            <w:tcBorders>
              <w:top w:val="single" w:sz="4" w:space="0" w:color="auto"/>
              <w:left w:val="single" w:sz="4" w:space="0" w:color="FFFFFF" w:themeColor="background1"/>
              <w:bottom w:val="single" w:sz="4" w:space="0" w:color="auto"/>
              <w:right w:val="nil"/>
            </w:tcBorders>
            <w:shd w:val="clear" w:color="auto" w:fill="auto"/>
            <w:hideMark/>
          </w:tcPr>
          <w:p w14:paraId="4C122605" w14:textId="77777777" w:rsidR="00B80A75" w:rsidRPr="00937534" w:rsidRDefault="00B80A75" w:rsidP="00AF5A74">
            <w:pPr>
              <w:rPr>
                <w:rFonts w:asciiTheme="minorHAnsi" w:eastAsiaTheme="minorEastAsia" w:hAnsiTheme="minorHAnsi" w:cstheme="minorBidi"/>
                <w:b/>
                <w:sz w:val="20"/>
                <w:szCs w:val="20"/>
              </w:rPr>
            </w:pPr>
            <w:r w:rsidRPr="551513BC">
              <w:rPr>
                <w:rFonts w:asciiTheme="minorHAnsi" w:eastAsiaTheme="minorEastAsia" w:hAnsiTheme="minorHAnsi" w:cstheme="minorBidi"/>
                <w:b/>
                <w:sz w:val="20"/>
                <w:szCs w:val="20"/>
              </w:rPr>
              <w:t>Net fee and commission income</w:t>
            </w:r>
          </w:p>
        </w:tc>
        <w:tc>
          <w:tcPr>
            <w:tcW w:w="684" w:type="pct"/>
            <w:tcBorders>
              <w:top w:val="single" w:sz="4" w:space="0" w:color="auto"/>
              <w:left w:val="nil"/>
              <w:bottom w:val="single" w:sz="4" w:space="0" w:color="auto"/>
              <w:right w:val="nil"/>
            </w:tcBorders>
            <w:shd w:val="clear" w:color="auto" w:fill="F2F2F2" w:themeFill="background1" w:themeFillShade="F2"/>
            <w:noWrap/>
            <w:hideMark/>
          </w:tcPr>
          <w:p w14:paraId="6F495AC4" w14:textId="6DD82234" w:rsidR="00B80A75" w:rsidRPr="00BA7A12" w:rsidRDefault="00EC433F" w:rsidP="00AF5A74">
            <w:pPr>
              <w:jc w:val="right"/>
              <w:rPr>
                <w:rFonts w:asciiTheme="minorHAnsi" w:eastAsiaTheme="minorEastAsia" w:hAnsiTheme="minorHAnsi" w:cstheme="minorBidi"/>
                <w:b/>
                <w:sz w:val="20"/>
                <w:szCs w:val="20"/>
              </w:rPr>
            </w:pPr>
            <w:r w:rsidRPr="551513BC">
              <w:rPr>
                <w:rFonts w:asciiTheme="minorHAnsi" w:eastAsiaTheme="minorEastAsia" w:hAnsiTheme="minorHAnsi" w:cstheme="minorBidi"/>
                <w:b/>
                <w:sz w:val="20"/>
                <w:szCs w:val="20"/>
              </w:rPr>
              <w:t>19.3</w:t>
            </w:r>
          </w:p>
        </w:tc>
        <w:tc>
          <w:tcPr>
            <w:tcW w:w="684" w:type="pct"/>
            <w:tcBorders>
              <w:top w:val="single" w:sz="4" w:space="0" w:color="auto"/>
              <w:left w:val="nil"/>
              <w:bottom w:val="single" w:sz="4" w:space="0" w:color="auto"/>
              <w:right w:val="nil"/>
            </w:tcBorders>
            <w:noWrap/>
            <w:hideMark/>
          </w:tcPr>
          <w:p w14:paraId="6C2BFFF2" w14:textId="0E4051D7" w:rsidR="00B80A75" w:rsidRPr="00BA7A12" w:rsidRDefault="00CA4D58" w:rsidP="00AF5A74">
            <w:pPr>
              <w:jc w:val="right"/>
              <w:rPr>
                <w:rFonts w:asciiTheme="minorHAnsi" w:eastAsiaTheme="minorEastAsia" w:hAnsiTheme="minorHAnsi" w:cstheme="minorBidi"/>
                <w:sz w:val="20"/>
                <w:szCs w:val="20"/>
              </w:rPr>
            </w:pPr>
            <w:r w:rsidRPr="551513BC">
              <w:rPr>
                <w:rFonts w:asciiTheme="minorHAnsi" w:eastAsiaTheme="minorEastAsia" w:hAnsiTheme="minorHAnsi" w:cstheme="minorBidi"/>
                <w:sz w:val="20"/>
                <w:szCs w:val="20"/>
              </w:rPr>
              <w:t>20.8</w:t>
            </w:r>
          </w:p>
        </w:tc>
      </w:tr>
      <w:tr w:rsidR="00B80A75" w:rsidRPr="00937534" w14:paraId="3564D5DD" w14:textId="77777777" w:rsidTr="6654B222">
        <w:trPr>
          <w:trHeight w:val="312"/>
        </w:trPr>
        <w:tc>
          <w:tcPr>
            <w:tcW w:w="3632"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hideMark/>
          </w:tcPr>
          <w:p w14:paraId="73CF5ED2" w14:textId="15A2CA07" w:rsidR="00B80A75" w:rsidRPr="00937534" w:rsidRDefault="00B80A75" w:rsidP="00AF5A74">
            <w:pPr>
              <w:rPr>
                <w:rFonts w:asciiTheme="minorHAnsi" w:eastAsiaTheme="minorEastAsia" w:hAnsiTheme="minorHAnsi" w:cstheme="minorBidi"/>
                <w:sz w:val="20"/>
                <w:szCs w:val="20"/>
              </w:rPr>
            </w:pPr>
            <w:r w:rsidRPr="551513BC">
              <w:rPr>
                <w:rFonts w:asciiTheme="minorHAnsi" w:eastAsiaTheme="minorEastAsia" w:hAnsiTheme="minorHAnsi" w:cstheme="minorBidi"/>
                <w:sz w:val="20"/>
                <w:szCs w:val="20"/>
              </w:rPr>
              <w:t>Other income</w:t>
            </w:r>
          </w:p>
        </w:tc>
        <w:tc>
          <w:tcPr>
            <w:tcW w:w="684" w:type="pct"/>
            <w:tcBorders>
              <w:top w:val="single" w:sz="4" w:space="0" w:color="auto"/>
              <w:left w:val="single" w:sz="4" w:space="0" w:color="FFFFFF" w:themeColor="background1"/>
              <w:bottom w:val="single" w:sz="4" w:space="0" w:color="auto"/>
              <w:right w:val="nil"/>
            </w:tcBorders>
            <w:shd w:val="clear" w:color="auto" w:fill="F2F2F2" w:themeFill="background1" w:themeFillShade="F2"/>
            <w:noWrap/>
            <w:hideMark/>
          </w:tcPr>
          <w:p w14:paraId="7575871C" w14:textId="72F003EA" w:rsidR="00B80A75" w:rsidRPr="00BA7A12" w:rsidRDefault="00EC433F" w:rsidP="00AF5A74">
            <w:pPr>
              <w:jc w:val="right"/>
              <w:rPr>
                <w:rFonts w:asciiTheme="minorHAnsi" w:eastAsiaTheme="minorEastAsia" w:hAnsiTheme="minorHAnsi" w:cstheme="minorBidi"/>
                <w:b/>
                <w:sz w:val="20"/>
                <w:szCs w:val="20"/>
              </w:rPr>
            </w:pPr>
            <w:r w:rsidRPr="551513BC">
              <w:rPr>
                <w:rFonts w:asciiTheme="minorHAnsi" w:eastAsiaTheme="minorEastAsia" w:hAnsiTheme="minorHAnsi" w:cstheme="minorBidi"/>
                <w:b/>
                <w:sz w:val="20"/>
                <w:szCs w:val="20"/>
              </w:rPr>
              <w:t>0.2</w:t>
            </w:r>
          </w:p>
        </w:tc>
        <w:tc>
          <w:tcPr>
            <w:tcW w:w="684" w:type="pct"/>
            <w:tcBorders>
              <w:top w:val="single" w:sz="4" w:space="0" w:color="auto"/>
              <w:left w:val="nil"/>
              <w:bottom w:val="single" w:sz="4" w:space="0" w:color="auto"/>
              <w:right w:val="nil"/>
            </w:tcBorders>
            <w:noWrap/>
            <w:hideMark/>
          </w:tcPr>
          <w:p w14:paraId="38CD41DF" w14:textId="073595D4" w:rsidR="00B80A75" w:rsidRPr="00BA7A12" w:rsidRDefault="00702F93" w:rsidP="00AF5A74">
            <w:pPr>
              <w:jc w:val="right"/>
              <w:rPr>
                <w:rFonts w:asciiTheme="minorHAnsi" w:eastAsiaTheme="minorEastAsia" w:hAnsiTheme="minorHAnsi" w:cstheme="minorBidi"/>
                <w:sz w:val="20"/>
                <w:szCs w:val="20"/>
              </w:rPr>
            </w:pPr>
            <w:r w:rsidRPr="551513BC">
              <w:rPr>
                <w:rFonts w:asciiTheme="minorHAnsi" w:eastAsiaTheme="minorEastAsia" w:hAnsiTheme="minorHAnsi" w:cstheme="minorBidi"/>
                <w:sz w:val="20"/>
                <w:szCs w:val="20"/>
              </w:rPr>
              <w:t>1</w:t>
            </w:r>
            <w:r w:rsidR="004E3F81" w:rsidRPr="551513BC">
              <w:rPr>
                <w:rFonts w:asciiTheme="minorHAnsi" w:eastAsiaTheme="minorEastAsia" w:hAnsiTheme="minorHAnsi" w:cstheme="minorBidi"/>
                <w:sz w:val="20"/>
                <w:szCs w:val="20"/>
              </w:rPr>
              <w:t>.8</w:t>
            </w:r>
          </w:p>
        </w:tc>
      </w:tr>
      <w:tr w:rsidR="00B80A75" w:rsidRPr="00937534" w14:paraId="424BAC82" w14:textId="77777777" w:rsidTr="6654B222">
        <w:trPr>
          <w:trHeight w:val="312"/>
        </w:trPr>
        <w:tc>
          <w:tcPr>
            <w:tcW w:w="3632" w:type="pct"/>
            <w:tcBorders>
              <w:top w:val="single" w:sz="4" w:space="0" w:color="auto"/>
              <w:left w:val="single" w:sz="4" w:space="0" w:color="FFFFFF" w:themeColor="background1"/>
              <w:bottom w:val="single" w:sz="4" w:space="0" w:color="auto"/>
              <w:right w:val="nil"/>
            </w:tcBorders>
            <w:shd w:val="clear" w:color="auto" w:fill="auto"/>
            <w:hideMark/>
          </w:tcPr>
          <w:p w14:paraId="786D4E8E" w14:textId="77777777" w:rsidR="00B80A75" w:rsidRPr="00937534" w:rsidRDefault="00B80A75" w:rsidP="00AF5A74">
            <w:pPr>
              <w:rPr>
                <w:rFonts w:asciiTheme="minorHAnsi" w:eastAsiaTheme="minorEastAsia" w:hAnsiTheme="minorHAnsi" w:cstheme="minorBidi"/>
                <w:b/>
                <w:sz w:val="20"/>
                <w:szCs w:val="20"/>
              </w:rPr>
            </w:pPr>
            <w:r w:rsidRPr="551513BC">
              <w:rPr>
                <w:rFonts w:asciiTheme="minorHAnsi" w:eastAsiaTheme="minorEastAsia" w:hAnsiTheme="minorHAnsi" w:cstheme="minorBidi"/>
                <w:b/>
                <w:sz w:val="20"/>
                <w:szCs w:val="20"/>
              </w:rPr>
              <w:t>Total income</w:t>
            </w:r>
          </w:p>
        </w:tc>
        <w:tc>
          <w:tcPr>
            <w:tcW w:w="684" w:type="pct"/>
            <w:tcBorders>
              <w:top w:val="single" w:sz="4" w:space="0" w:color="auto"/>
              <w:left w:val="nil"/>
              <w:bottom w:val="single" w:sz="4" w:space="0" w:color="auto"/>
              <w:right w:val="nil"/>
            </w:tcBorders>
            <w:shd w:val="clear" w:color="auto" w:fill="F2F2F2" w:themeFill="background1" w:themeFillShade="F2"/>
            <w:noWrap/>
            <w:hideMark/>
          </w:tcPr>
          <w:p w14:paraId="146BA489" w14:textId="02A8497E" w:rsidR="00B80A75" w:rsidRPr="00BA7A12" w:rsidRDefault="00EC433F" w:rsidP="00AF5A74">
            <w:pPr>
              <w:jc w:val="right"/>
              <w:rPr>
                <w:rFonts w:asciiTheme="minorHAnsi" w:eastAsiaTheme="minorEastAsia" w:hAnsiTheme="minorHAnsi" w:cstheme="minorBidi"/>
                <w:b/>
                <w:sz w:val="20"/>
                <w:szCs w:val="20"/>
              </w:rPr>
            </w:pPr>
            <w:r w:rsidRPr="551513BC">
              <w:rPr>
                <w:rFonts w:asciiTheme="minorHAnsi" w:eastAsiaTheme="minorEastAsia" w:hAnsiTheme="minorHAnsi" w:cstheme="minorBidi"/>
                <w:b/>
                <w:sz w:val="20"/>
                <w:szCs w:val="20"/>
              </w:rPr>
              <w:t>23</w:t>
            </w:r>
            <w:r w:rsidR="00FE06AC" w:rsidRPr="551513BC">
              <w:rPr>
                <w:rFonts w:asciiTheme="minorHAnsi" w:eastAsiaTheme="minorEastAsia" w:hAnsiTheme="minorHAnsi" w:cstheme="minorBidi"/>
                <w:b/>
                <w:sz w:val="20"/>
                <w:szCs w:val="20"/>
              </w:rPr>
              <w:t>4.0</w:t>
            </w:r>
          </w:p>
        </w:tc>
        <w:tc>
          <w:tcPr>
            <w:tcW w:w="684" w:type="pct"/>
            <w:tcBorders>
              <w:top w:val="single" w:sz="4" w:space="0" w:color="auto"/>
              <w:left w:val="nil"/>
              <w:bottom w:val="single" w:sz="4" w:space="0" w:color="auto"/>
              <w:right w:val="nil"/>
            </w:tcBorders>
            <w:noWrap/>
            <w:hideMark/>
          </w:tcPr>
          <w:p w14:paraId="0093D47F" w14:textId="36CCAE37" w:rsidR="00B80A75" w:rsidRPr="00BA7A12" w:rsidRDefault="00A41496" w:rsidP="00AF5A74">
            <w:pPr>
              <w:jc w:val="right"/>
              <w:rPr>
                <w:rFonts w:asciiTheme="minorHAnsi" w:eastAsiaTheme="minorEastAsia" w:hAnsiTheme="minorHAnsi" w:cstheme="minorBidi"/>
                <w:sz w:val="20"/>
                <w:szCs w:val="20"/>
              </w:rPr>
            </w:pPr>
            <w:r w:rsidRPr="551513BC">
              <w:rPr>
                <w:rFonts w:asciiTheme="minorHAnsi" w:eastAsiaTheme="minorEastAsia" w:hAnsiTheme="minorHAnsi" w:cstheme="minorBidi"/>
                <w:sz w:val="20"/>
                <w:szCs w:val="20"/>
              </w:rPr>
              <w:t>237.1</w:t>
            </w:r>
          </w:p>
        </w:tc>
      </w:tr>
      <w:tr w:rsidR="00B80A75" w:rsidRPr="00937534" w14:paraId="02458B00" w14:textId="77777777" w:rsidTr="6654B222">
        <w:trPr>
          <w:trHeight w:val="312"/>
        </w:trPr>
        <w:tc>
          <w:tcPr>
            <w:tcW w:w="3632" w:type="pct"/>
            <w:tcBorders>
              <w:top w:val="single" w:sz="4" w:space="0" w:color="auto"/>
              <w:left w:val="single" w:sz="4" w:space="0" w:color="FFFFFF" w:themeColor="background1"/>
              <w:bottom w:val="single" w:sz="4" w:space="0" w:color="auto"/>
              <w:right w:val="nil"/>
            </w:tcBorders>
            <w:shd w:val="clear" w:color="auto" w:fill="auto"/>
            <w:hideMark/>
          </w:tcPr>
          <w:p w14:paraId="6C25BCAF" w14:textId="77777777" w:rsidR="00B80A75" w:rsidRPr="00937534" w:rsidRDefault="00B80A75" w:rsidP="00AF5A74">
            <w:pPr>
              <w:rPr>
                <w:rFonts w:asciiTheme="minorHAnsi" w:eastAsiaTheme="minorEastAsia" w:hAnsiTheme="minorHAnsi" w:cstheme="minorBidi"/>
                <w:sz w:val="20"/>
                <w:szCs w:val="20"/>
              </w:rPr>
            </w:pPr>
            <w:r w:rsidRPr="551513BC">
              <w:rPr>
                <w:rFonts w:asciiTheme="minorHAnsi" w:eastAsiaTheme="minorEastAsia" w:hAnsiTheme="minorHAnsi" w:cstheme="minorBidi"/>
                <w:sz w:val="20"/>
                <w:szCs w:val="20"/>
              </w:rPr>
              <w:t>Impairment charges</w:t>
            </w:r>
          </w:p>
        </w:tc>
        <w:tc>
          <w:tcPr>
            <w:tcW w:w="684" w:type="pct"/>
            <w:tcBorders>
              <w:top w:val="single" w:sz="4" w:space="0" w:color="auto"/>
              <w:bottom w:val="single" w:sz="4" w:space="0" w:color="auto"/>
            </w:tcBorders>
            <w:shd w:val="clear" w:color="auto" w:fill="F2F2F2" w:themeFill="background1" w:themeFillShade="F2"/>
            <w:noWrap/>
            <w:hideMark/>
          </w:tcPr>
          <w:p w14:paraId="7EC4797C" w14:textId="7CA29732" w:rsidR="00B80A75" w:rsidRPr="00BA7A12" w:rsidRDefault="00B80A75" w:rsidP="00AF5A74">
            <w:pPr>
              <w:jc w:val="right"/>
              <w:rPr>
                <w:rFonts w:asciiTheme="minorHAnsi" w:eastAsiaTheme="minorEastAsia" w:hAnsiTheme="minorHAnsi" w:cstheme="minorBidi"/>
                <w:b/>
                <w:sz w:val="20"/>
                <w:szCs w:val="20"/>
              </w:rPr>
            </w:pPr>
            <w:r w:rsidRPr="551513BC">
              <w:rPr>
                <w:rFonts w:asciiTheme="minorHAnsi" w:eastAsiaTheme="minorEastAsia" w:hAnsiTheme="minorHAnsi" w:cstheme="minorBidi"/>
                <w:b/>
                <w:sz w:val="20"/>
                <w:szCs w:val="20"/>
              </w:rPr>
              <w:t>(</w:t>
            </w:r>
            <w:r w:rsidR="00EC433F" w:rsidRPr="551513BC">
              <w:rPr>
                <w:rFonts w:asciiTheme="minorHAnsi" w:eastAsiaTheme="minorEastAsia" w:hAnsiTheme="minorHAnsi" w:cstheme="minorBidi"/>
                <w:b/>
                <w:sz w:val="20"/>
                <w:szCs w:val="20"/>
              </w:rPr>
              <w:t>1</w:t>
            </w:r>
            <w:r w:rsidR="00FE06AC" w:rsidRPr="551513BC">
              <w:rPr>
                <w:rFonts w:asciiTheme="minorHAnsi" w:eastAsiaTheme="minorEastAsia" w:hAnsiTheme="minorHAnsi" w:cstheme="minorBidi"/>
                <w:b/>
                <w:sz w:val="20"/>
                <w:szCs w:val="20"/>
              </w:rPr>
              <w:t>01.3</w:t>
            </w:r>
            <w:r w:rsidRPr="551513BC">
              <w:rPr>
                <w:rFonts w:asciiTheme="minorHAnsi" w:eastAsiaTheme="minorEastAsia" w:hAnsiTheme="minorHAnsi" w:cstheme="minorBidi"/>
                <w:b/>
                <w:sz w:val="20"/>
                <w:szCs w:val="20"/>
              </w:rPr>
              <w:t>)</w:t>
            </w:r>
          </w:p>
        </w:tc>
        <w:tc>
          <w:tcPr>
            <w:tcW w:w="684" w:type="pct"/>
            <w:tcBorders>
              <w:top w:val="single" w:sz="4" w:space="0" w:color="auto"/>
              <w:bottom w:val="single" w:sz="4" w:space="0" w:color="auto"/>
            </w:tcBorders>
            <w:noWrap/>
            <w:hideMark/>
          </w:tcPr>
          <w:p w14:paraId="52758A40" w14:textId="7ADAEBA5" w:rsidR="00B80A75" w:rsidRPr="00BA7A12" w:rsidRDefault="00B80A75" w:rsidP="00AF5A74">
            <w:pPr>
              <w:jc w:val="right"/>
              <w:rPr>
                <w:rFonts w:asciiTheme="minorHAnsi" w:eastAsiaTheme="minorEastAsia" w:hAnsiTheme="minorHAnsi" w:cstheme="minorBidi"/>
                <w:sz w:val="20"/>
                <w:szCs w:val="20"/>
              </w:rPr>
            </w:pPr>
            <w:r w:rsidRPr="551513BC">
              <w:rPr>
                <w:rFonts w:asciiTheme="minorHAnsi" w:eastAsiaTheme="minorEastAsia" w:hAnsiTheme="minorHAnsi" w:cstheme="minorBidi"/>
                <w:sz w:val="20"/>
                <w:szCs w:val="20"/>
              </w:rPr>
              <w:t>(</w:t>
            </w:r>
            <w:r w:rsidR="00262C08">
              <w:rPr>
                <w:rFonts w:asciiTheme="minorHAnsi" w:eastAsiaTheme="minorEastAsia" w:hAnsiTheme="minorHAnsi" w:cstheme="minorBidi"/>
                <w:sz w:val="20"/>
                <w:szCs w:val="20"/>
              </w:rPr>
              <w:t>9</w:t>
            </w:r>
            <w:r w:rsidR="00552178">
              <w:rPr>
                <w:rFonts w:asciiTheme="minorHAnsi" w:eastAsiaTheme="minorEastAsia" w:hAnsiTheme="minorHAnsi" w:cstheme="minorBidi"/>
                <w:sz w:val="20"/>
                <w:szCs w:val="20"/>
              </w:rPr>
              <w:t>3.0</w:t>
            </w:r>
            <w:r w:rsidRPr="551513BC">
              <w:rPr>
                <w:rFonts w:asciiTheme="minorHAnsi" w:eastAsiaTheme="minorEastAsia" w:hAnsiTheme="minorHAnsi" w:cstheme="minorBidi"/>
                <w:sz w:val="20"/>
                <w:szCs w:val="20"/>
              </w:rPr>
              <w:t>)</w:t>
            </w:r>
          </w:p>
        </w:tc>
      </w:tr>
      <w:tr w:rsidR="00B80A75" w:rsidRPr="00937534" w14:paraId="474741EC" w14:textId="77777777" w:rsidTr="6654B222">
        <w:trPr>
          <w:trHeight w:val="312"/>
        </w:trPr>
        <w:tc>
          <w:tcPr>
            <w:tcW w:w="3632" w:type="pct"/>
            <w:tcBorders>
              <w:top w:val="single" w:sz="4" w:space="0" w:color="auto"/>
              <w:left w:val="single" w:sz="4" w:space="0" w:color="FFFFFF" w:themeColor="background1"/>
              <w:bottom w:val="single" w:sz="4" w:space="0" w:color="auto"/>
              <w:right w:val="nil"/>
            </w:tcBorders>
            <w:shd w:val="clear" w:color="auto" w:fill="auto"/>
            <w:hideMark/>
          </w:tcPr>
          <w:p w14:paraId="40F238FF" w14:textId="77777777" w:rsidR="00B80A75" w:rsidRPr="00937534" w:rsidRDefault="00B80A75" w:rsidP="00AF5A74">
            <w:pPr>
              <w:rPr>
                <w:rFonts w:asciiTheme="minorHAnsi" w:eastAsiaTheme="minorEastAsia" w:hAnsiTheme="minorHAnsi" w:cstheme="minorBidi"/>
                <w:b/>
                <w:sz w:val="20"/>
                <w:szCs w:val="20"/>
              </w:rPr>
            </w:pPr>
            <w:r w:rsidRPr="551513BC">
              <w:rPr>
                <w:rFonts w:asciiTheme="minorHAnsi" w:eastAsiaTheme="minorEastAsia" w:hAnsiTheme="minorHAnsi" w:cstheme="minorBidi"/>
                <w:b/>
                <w:sz w:val="20"/>
                <w:szCs w:val="20"/>
              </w:rPr>
              <w:t>Risk-adjusted income</w:t>
            </w:r>
          </w:p>
        </w:tc>
        <w:tc>
          <w:tcPr>
            <w:tcW w:w="684" w:type="pct"/>
            <w:tcBorders>
              <w:top w:val="single" w:sz="4" w:space="0" w:color="auto"/>
              <w:left w:val="nil"/>
              <w:bottom w:val="single" w:sz="4" w:space="0" w:color="auto"/>
              <w:right w:val="nil"/>
            </w:tcBorders>
            <w:shd w:val="clear" w:color="auto" w:fill="F2F2F2" w:themeFill="background1" w:themeFillShade="F2"/>
            <w:noWrap/>
            <w:hideMark/>
          </w:tcPr>
          <w:p w14:paraId="278158BF" w14:textId="359D97D3" w:rsidR="00B80A75" w:rsidRPr="00BA7A12" w:rsidRDefault="00A07584" w:rsidP="00AF5A74">
            <w:pPr>
              <w:jc w:val="right"/>
              <w:rPr>
                <w:rFonts w:asciiTheme="minorHAnsi" w:eastAsiaTheme="minorEastAsia" w:hAnsiTheme="minorHAnsi" w:cstheme="minorBidi"/>
                <w:b/>
                <w:sz w:val="20"/>
                <w:szCs w:val="20"/>
              </w:rPr>
            </w:pPr>
            <w:r w:rsidRPr="551513BC">
              <w:rPr>
                <w:rFonts w:asciiTheme="minorHAnsi" w:eastAsiaTheme="minorEastAsia" w:hAnsiTheme="minorHAnsi" w:cstheme="minorBidi"/>
                <w:b/>
                <w:sz w:val="20"/>
                <w:szCs w:val="20"/>
              </w:rPr>
              <w:t>1</w:t>
            </w:r>
            <w:r w:rsidR="00070BBD" w:rsidRPr="551513BC">
              <w:rPr>
                <w:rFonts w:asciiTheme="minorHAnsi" w:eastAsiaTheme="minorEastAsia" w:hAnsiTheme="minorHAnsi" w:cstheme="minorBidi"/>
                <w:b/>
                <w:sz w:val="20"/>
                <w:szCs w:val="20"/>
              </w:rPr>
              <w:t>32.7</w:t>
            </w:r>
          </w:p>
        </w:tc>
        <w:tc>
          <w:tcPr>
            <w:tcW w:w="684" w:type="pct"/>
            <w:tcBorders>
              <w:top w:val="single" w:sz="4" w:space="0" w:color="auto"/>
              <w:left w:val="nil"/>
              <w:bottom w:val="single" w:sz="4" w:space="0" w:color="auto"/>
              <w:right w:val="nil"/>
            </w:tcBorders>
            <w:noWrap/>
            <w:hideMark/>
          </w:tcPr>
          <w:p w14:paraId="28365428" w14:textId="18C3C386" w:rsidR="00B80A75" w:rsidRPr="00BA7A12" w:rsidRDefault="009B0066" w:rsidP="00AF5A74">
            <w:pPr>
              <w:jc w:val="right"/>
              <w:rPr>
                <w:rFonts w:asciiTheme="minorHAnsi" w:eastAsiaTheme="minorEastAsia" w:hAnsiTheme="minorHAnsi" w:cstheme="minorBidi"/>
                <w:sz w:val="20"/>
                <w:szCs w:val="20"/>
              </w:rPr>
            </w:pPr>
            <w:r w:rsidRPr="198B8B94">
              <w:rPr>
                <w:rFonts w:asciiTheme="minorHAnsi" w:eastAsiaTheme="minorEastAsia" w:hAnsiTheme="minorHAnsi" w:cstheme="minorBidi"/>
                <w:sz w:val="20"/>
                <w:szCs w:val="20"/>
              </w:rPr>
              <w:t>1</w:t>
            </w:r>
            <w:r w:rsidR="00AD2C5B" w:rsidRPr="198B8B94">
              <w:rPr>
                <w:rFonts w:asciiTheme="minorHAnsi" w:eastAsiaTheme="minorEastAsia" w:hAnsiTheme="minorHAnsi" w:cstheme="minorBidi"/>
                <w:sz w:val="20"/>
                <w:szCs w:val="20"/>
              </w:rPr>
              <w:t>4</w:t>
            </w:r>
            <w:r w:rsidR="00262C08">
              <w:rPr>
                <w:rFonts w:asciiTheme="minorHAnsi" w:eastAsiaTheme="minorEastAsia" w:hAnsiTheme="minorHAnsi" w:cstheme="minorBidi"/>
                <w:sz w:val="20"/>
                <w:szCs w:val="20"/>
              </w:rPr>
              <w:t>4.1</w:t>
            </w:r>
          </w:p>
        </w:tc>
      </w:tr>
      <w:tr w:rsidR="00B80A75" w:rsidRPr="00937534" w14:paraId="0757F801" w14:textId="77777777" w:rsidTr="6654B222">
        <w:trPr>
          <w:trHeight w:val="312"/>
        </w:trPr>
        <w:tc>
          <w:tcPr>
            <w:tcW w:w="3632" w:type="pct"/>
            <w:tcBorders>
              <w:top w:val="single" w:sz="4" w:space="0" w:color="auto"/>
              <w:left w:val="single" w:sz="4" w:space="0" w:color="FFFFFF" w:themeColor="background1"/>
              <w:bottom w:val="single" w:sz="4" w:space="0" w:color="auto"/>
              <w:right w:val="nil"/>
            </w:tcBorders>
            <w:shd w:val="clear" w:color="auto" w:fill="auto"/>
            <w:hideMark/>
          </w:tcPr>
          <w:p w14:paraId="13B8C7D7" w14:textId="77777777" w:rsidR="00B80A75" w:rsidRPr="00937534" w:rsidRDefault="00B80A75" w:rsidP="00AF5A74">
            <w:pPr>
              <w:rPr>
                <w:rFonts w:asciiTheme="minorHAnsi" w:eastAsiaTheme="minorEastAsia" w:hAnsiTheme="minorHAnsi" w:cstheme="minorBidi"/>
                <w:sz w:val="20"/>
                <w:szCs w:val="20"/>
              </w:rPr>
            </w:pPr>
            <w:r w:rsidRPr="551513BC">
              <w:rPr>
                <w:rFonts w:asciiTheme="minorHAnsi" w:eastAsiaTheme="minorEastAsia" w:hAnsiTheme="minorHAnsi" w:cstheme="minorBidi"/>
                <w:sz w:val="20"/>
                <w:szCs w:val="20"/>
              </w:rPr>
              <w:t xml:space="preserve">Operating costs </w:t>
            </w:r>
          </w:p>
        </w:tc>
        <w:tc>
          <w:tcPr>
            <w:tcW w:w="684" w:type="pct"/>
            <w:tcBorders>
              <w:top w:val="single" w:sz="4" w:space="0" w:color="auto"/>
              <w:bottom w:val="single" w:sz="4" w:space="0" w:color="auto"/>
            </w:tcBorders>
            <w:shd w:val="clear" w:color="auto" w:fill="F2F2F2" w:themeFill="background1" w:themeFillShade="F2"/>
            <w:noWrap/>
            <w:hideMark/>
          </w:tcPr>
          <w:p w14:paraId="32D73310" w14:textId="48DD6F48" w:rsidR="00B80A75" w:rsidRPr="00BA7A12" w:rsidRDefault="00B80A75" w:rsidP="00AF5A74">
            <w:pPr>
              <w:jc w:val="right"/>
              <w:rPr>
                <w:rFonts w:asciiTheme="minorHAnsi" w:eastAsiaTheme="minorEastAsia" w:hAnsiTheme="minorHAnsi" w:cstheme="minorBidi"/>
                <w:b/>
                <w:sz w:val="20"/>
                <w:szCs w:val="20"/>
              </w:rPr>
            </w:pPr>
            <w:r w:rsidRPr="551513BC">
              <w:rPr>
                <w:rFonts w:asciiTheme="minorHAnsi" w:eastAsiaTheme="minorEastAsia" w:hAnsiTheme="minorHAnsi" w:cstheme="minorBidi"/>
                <w:b/>
                <w:sz w:val="20"/>
                <w:szCs w:val="20"/>
              </w:rPr>
              <w:t>(</w:t>
            </w:r>
            <w:r w:rsidR="00A07584" w:rsidRPr="551513BC">
              <w:rPr>
                <w:rFonts w:asciiTheme="minorHAnsi" w:eastAsiaTheme="minorEastAsia" w:hAnsiTheme="minorHAnsi" w:cstheme="minorBidi"/>
                <w:b/>
                <w:sz w:val="20"/>
                <w:szCs w:val="20"/>
              </w:rPr>
              <w:t>1</w:t>
            </w:r>
            <w:r w:rsidR="001D43EB" w:rsidRPr="551513BC">
              <w:rPr>
                <w:rFonts w:asciiTheme="minorHAnsi" w:eastAsiaTheme="minorEastAsia" w:hAnsiTheme="minorHAnsi" w:cstheme="minorBidi"/>
                <w:b/>
                <w:sz w:val="20"/>
                <w:szCs w:val="20"/>
              </w:rPr>
              <w:t>79.2</w:t>
            </w:r>
            <w:r w:rsidRPr="551513BC">
              <w:rPr>
                <w:rFonts w:asciiTheme="minorHAnsi" w:eastAsiaTheme="minorEastAsia" w:hAnsiTheme="minorHAnsi" w:cstheme="minorBidi"/>
                <w:b/>
                <w:sz w:val="20"/>
                <w:szCs w:val="20"/>
              </w:rPr>
              <w:t>)</w:t>
            </w:r>
          </w:p>
        </w:tc>
        <w:tc>
          <w:tcPr>
            <w:tcW w:w="684" w:type="pct"/>
            <w:tcBorders>
              <w:top w:val="single" w:sz="4" w:space="0" w:color="auto"/>
              <w:bottom w:val="single" w:sz="4" w:space="0" w:color="auto"/>
            </w:tcBorders>
            <w:noWrap/>
            <w:hideMark/>
          </w:tcPr>
          <w:p w14:paraId="04CEA9E2" w14:textId="05ABFC0C" w:rsidR="00B80A75" w:rsidRPr="00BA7A12" w:rsidRDefault="00B80A75" w:rsidP="00AF5A74">
            <w:pPr>
              <w:jc w:val="right"/>
              <w:rPr>
                <w:rFonts w:asciiTheme="minorHAnsi" w:eastAsiaTheme="minorEastAsia" w:hAnsiTheme="minorHAnsi" w:cstheme="minorBidi"/>
                <w:sz w:val="20"/>
                <w:szCs w:val="20"/>
              </w:rPr>
            </w:pPr>
            <w:r w:rsidRPr="551513BC">
              <w:rPr>
                <w:rFonts w:asciiTheme="minorHAnsi" w:eastAsiaTheme="minorEastAsia" w:hAnsiTheme="minorHAnsi" w:cstheme="minorBidi"/>
                <w:sz w:val="20"/>
                <w:szCs w:val="20"/>
              </w:rPr>
              <w:t>(</w:t>
            </w:r>
            <w:r w:rsidR="009B0066" w:rsidRPr="551513BC">
              <w:rPr>
                <w:rFonts w:asciiTheme="minorHAnsi" w:eastAsiaTheme="minorEastAsia" w:hAnsiTheme="minorHAnsi" w:cstheme="minorBidi"/>
                <w:sz w:val="20"/>
                <w:szCs w:val="20"/>
              </w:rPr>
              <w:t>1</w:t>
            </w:r>
            <w:r w:rsidR="00A326A4" w:rsidRPr="551513BC">
              <w:rPr>
                <w:rFonts w:asciiTheme="minorHAnsi" w:eastAsiaTheme="minorEastAsia" w:hAnsiTheme="minorHAnsi" w:cstheme="minorBidi"/>
                <w:sz w:val="20"/>
                <w:szCs w:val="20"/>
              </w:rPr>
              <w:t>66</w:t>
            </w:r>
            <w:r w:rsidR="009B0066" w:rsidRPr="551513BC">
              <w:rPr>
                <w:rFonts w:asciiTheme="minorHAnsi" w:eastAsiaTheme="minorEastAsia" w:hAnsiTheme="minorHAnsi" w:cstheme="minorBidi"/>
                <w:sz w:val="20"/>
                <w:szCs w:val="20"/>
              </w:rPr>
              <w:t>.0</w:t>
            </w:r>
            <w:r w:rsidRPr="551513BC">
              <w:rPr>
                <w:rFonts w:asciiTheme="minorHAnsi" w:eastAsiaTheme="minorEastAsia" w:hAnsiTheme="minorHAnsi" w:cstheme="minorBidi"/>
                <w:sz w:val="20"/>
                <w:szCs w:val="20"/>
              </w:rPr>
              <w:t>)</w:t>
            </w:r>
          </w:p>
        </w:tc>
      </w:tr>
      <w:tr w:rsidR="00B80A75" w:rsidRPr="00937534" w14:paraId="7DCA2589" w14:textId="77777777" w:rsidTr="6654B222">
        <w:trPr>
          <w:trHeight w:val="312"/>
        </w:trPr>
        <w:tc>
          <w:tcPr>
            <w:tcW w:w="3632" w:type="pct"/>
            <w:tcBorders>
              <w:top w:val="single" w:sz="4" w:space="0" w:color="auto"/>
              <w:left w:val="single" w:sz="4" w:space="0" w:color="FFFFFF" w:themeColor="background1"/>
              <w:bottom w:val="single" w:sz="4" w:space="0" w:color="auto"/>
              <w:right w:val="nil"/>
            </w:tcBorders>
            <w:shd w:val="clear" w:color="auto" w:fill="auto"/>
            <w:hideMark/>
          </w:tcPr>
          <w:p w14:paraId="54D1FAFB" w14:textId="3698AED5" w:rsidR="00B80A75" w:rsidRPr="00937534" w:rsidRDefault="00B80A75" w:rsidP="00AF5A74">
            <w:pPr>
              <w:rPr>
                <w:rFonts w:asciiTheme="minorHAnsi" w:eastAsiaTheme="minorEastAsia" w:hAnsiTheme="minorHAnsi" w:cstheme="minorBidi"/>
                <w:b/>
                <w:sz w:val="20"/>
                <w:szCs w:val="20"/>
              </w:rPr>
            </w:pPr>
            <w:r w:rsidRPr="551513BC">
              <w:rPr>
                <w:rFonts w:asciiTheme="minorHAnsi" w:eastAsiaTheme="minorEastAsia" w:hAnsiTheme="minorHAnsi" w:cstheme="minorBidi"/>
                <w:b/>
                <w:sz w:val="20"/>
                <w:szCs w:val="20"/>
              </w:rPr>
              <w:t>Statutory loss before taxation</w:t>
            </w:r>
          </w:p>
        </w:tc>
        <w:tc>
          <w:tcPr>
            <w:tcW w:w="684" w:type="pct"/>
            <w:tcBorders>
              <w:top w:val="single" w:sz="4" w:space="0" w:color="auto"/>
              <w:left w:val="nil"/>
              <w:bottom w:val="single" w:sz="4" w:space="0" w:color="auto"/>
              <w:right w:val="nil"/>
            </w:tcBorders>
            <w:shd w:val="clear" w:color="auto" w:fill="F2F2F2" w:themeFill="background1" w:themeFillShade="F2"/>
            <w:noWrap/>
            <w:hideMark/>
          </w:tcPr>
          <w:p w14:paraId="16964701" w14:textId="354FB234" w:rsidR="00B80A75" w:rsidRPr="00BA7A12" w:rsidRDefault="00B80A75" w:rsidP="00AF5A74">
            <w:pPr>
              <w:jc w:val="right"/>
              <w:rPr>
                <w:rFonts w:asciiTheme="minorHAnsi" w:eastAsiaTheme="minorEastAsia" w:hAnsiTheme="minorHAnsi" w:cstheme="minorBidi"/>
                <w:b/>
                <w:sz w:val="20"/>
                <w:szCs w:val="20"/>
              </w:rPr>
            </w:pPr>
            <w:r w:rsidRPr="551513BC">
              <w:rPr>
                <w:rFonts w:asciiTheme="minorHAnsi" w:eastAsiaTheme="minorEastAsia" w:hAnsiTheme="minorHAnsi" w:cstheme="minorBidi"/>
                <w:b/>
                <w:sz w:val="20"/>
                <w:szCs w:val="20"/>
              </w:rPr>
              <w:t>(</w:t>
            </w:r>
            <w:r w:rsidR="001D43EB" w:rsidRPr="551513BC">
              <w:rPr>
                <w:rFonts w:asciiTheme="minorHAnsi" w:eastAsiaTheme="minorEastAsia" w:hAnsiTheme="minorHAnsi" w:cstheme="minorBidi"/>
                <w:b/>
                <w:sz w:val="20"/>
                <w:szCs w:val="20"/>
              </w:rPr>
              <w:t>46.5</w:t>
            </w:r>
            <w:r w:rsidRPr="551513BC">
              <w:rPr>
                <w:rFonts w:asciiTheme="minorHAnsi" w:eastAsiaTheme="minorEastAsia" w:hAnsiTheme="minorHAnsi" w:cstheme="minorBidi"/>
                <w:b/>
                <w:sz w:val="20"/>
                <w:szCs w:val="20"/>
              </w:rPr>
              <w:t>)</w:t>
            </w:r>
          </w:p>
        </w:tc>
        <w:tc>
          <w:tcPr>
            <w:tcW w:w="684" w:type="pct"/>
            <w:tcBorders>
              <w:top w:val="single" w:sz="4" w:space="0" w:color="auto"/>
              <w:left w:val="nil"/>
              <w:bottom w:val="single" w:sz="4" w:space="0" w:color="auto"/>
              <w:right w:val="nil"/>
            </w:tcBorders>
            <w:noWrap/>
            <w:hideMark/>
          </w:tcPr>
          <w:p w14:paraId="1E2EA059" w14:textId="06492E27" w:rsidR="00B80A75" w:rsidRPr="00BA7A12" w:rsidRDefault="009B0066" w:rsidP="00AF5A74">
            <w:pPr>
              <w:jc w:val="right"/>
              <w:rPr>
                <w:rFonts w:asciiTheme="minorHAnsi" w:eastAsiaTheme="minorEastAsia" w:hAnsiTheme="minorHAnsi" w:cstheme="minorBidi"/>
                <w:sz w:val="20"/>
                <w:szCs w:val="20"/>
              </w:rPr>
            </w:pPr>
            <w:r w:rsidRPr="551513BC">
              <w:rPr>
                <w:rFonts w:asciiTheme="minorHAnsi" w:eastAsiaTheme="minorEastAsia" w:hAnsiTheme="minorHAnsi" w:cstheme="minorBidi"/>
                <w:sz w:val="20"/>
                <w:szCs w:val="20"/>
              </w:rPr>
              <w:t>(</w:t>
            </w:r>
            <w:r w:rsidR="00262C08">
              <w:rPr>
                <w:rFonts w:asciiTheme="minorHAnsi" w:eastAsiaTheme="minorEastAsia" w:hAnsiTheme="minorHAnsi" w:cstheme="minorBidi"/>
                <w:sz w:val="20"/>
                <w:szCs w:val="20"/>
              </w:rPr>
              <w:t>21.9</w:t>
            </w:r>
            <w:r w:rsidRPr="551513BC">
              <w:rPr>
                <w:rFonts w:asciiTheme="minorHAnsi" w:eastAsiaTheme="minorEastAsia" w:hAnsiTheme="minorHAnsi" w:cstheme="minorBidi"/>
                <w:sz w:val="20"/>
                <w:szCs w:val="20"/>
              </w:rPr>
              <w:t>)</w:t>
            </w:r>
          </w:p>
        </w:tc>
      </w:tr>
      <w:tr w:rsidR="00B80A75" w:rsidRPr="00937534" w14:paraId="27092F8E" w14:textId="77777777" w:rsidTr="6654B222">
        <w:trPr>
          <w:trHeight w:val="246"/>
        </w:trPr>
        <w:tc>
          <w:tcPr>
            <w:tcW w:w="3632" w:type="pct"/>
            <w:tcBorders>
              <w:top w:val="single" w:sz="4" w:space="0" w:color="auto"/>
              <w:left w:val="single" w:sz="4" w:space="0" w:color="FFFFFF" w:themeColor="background1"/>
              <w:bottom w:val="single" w:sz="4" w:space="0" w:color="auto"/>
              <w:right w:val="nil"/>
            </w:tcBorders>
            <w:shd w:val="clear" w:color="auto" w:fill="auto"/>
            <w:hideMark/>
          </w:tcPr>
          <w:p w14:paraId="4F0EE33E" w14:textId="1A77EB69" w:rsidR="00B80A75" w:rsidRPr="00937534" w:rsidRDefault="00B80A75" w:rsidP="00AF5A74">
            <w:pPr>
              <w:rPr>
                <w:rFonts w:asciiTheme="minorHAnsi" w:eastAsiaTheme="minorEastAsia" w:hAnsiTheme="minorHAnsi" w:cstheme="minorBidi"/>
                <w:sz w:val="20"/>
                <w:szCs w:val="20"/>
              </w:rPr>
            </w:pPr>
            <w:r w:rsidRPr="551513BC">
              <w:rPr>
                <w:rFonts w:asciiTheme="minorHAnsi" w:eastAsiaTheme="minorEastAsia" w:hAnsiTheme="minorHAnsi" w:cstheme="minorBidi"/>
                <w:sz w:val="20"/>
                <w:szCs w:val="20"/>
              </w:rPr>
              <w:t xml:space="preserve">Tax </w:t>
            </w:r>
            <w:r w:rsidR="005170E4" w:rsidRPr="551513BC">
              <w:rPr>
                <w:rFonts w:asciiTheme="minorHAnsi" w:eastAsiaTheme="minorEastAsia" w:hAnsiTheme="minorHAnsi" w:cstheme="minorBidi"/>
                <w:sz w:val="20"/>
                <w:szCs w:val="20"/>
              </w:rPr>
              <w:t>credit</w:t>
            </w:r>
          </w:p>
        </w:tc>
        <w:tc>
          <w:tcPr>
            <w:tcW w:w="684" w:type="pct"/>
            <w:tcBorders>
              <w:top w:val="single" w:sz="4" w:space="0" w:color="auto"/>
              <w:bottom w:val="single" w:sz="4" w:space="0" w:color="auto"/>
            </w:tcBorders>
            <w:shd w:val="clear" w:color="auto" w:fill="F2F2F2" w:themeFill="background1" w:themeFillShade="F2"/>
            <w:noWrap/>
            <w:hideMark/>
          </w:tcPr>
          <w:p w14:paraId="09309FB6" w14:textId="75003D6E" w:rsidR="00B80A75" w:rsidRPr="00BA7A12" w:rsidRDefault="00A07584" w:rsidP="00AF5A74">
            <w:pPr>
              <w:jc w:val="right"/>
              <w:rPr>
                <w:rFonts w:asciiTheme="minorHAnsi" w:eastAsiaTheme="minorEastAsia" w:hAnsiTheme="minorHAnsi" w:cstheme="minorBidi"/>
                <w:b/>
                <w:sz w:val="20"/>
                <w:szCs w:val="20"/>
              </w:rPr>
            </w:pPr>
            <w:r w:rsidRPr="551513BC">
              <w:rPr>
                <w:rFonts w:asciiTheme="minorHAnsi" w:eastAsiaTheme="minorEastAsia" w:hAnsiTheme="minorHAnsi" w:cstheme="minorBidi"/>
                <w:b/>
                <w:sz w:val="20"/>
                <w:szCs w:val="20"/>
              </w:rPr>
              <w:t>1</w:t>
            </w:r>
            <w:r w:rsidR="000E7D5E" w:rsidRPr="551513BC">
              <w:rPr>
                <w:rFonts w:asciiTheme="minorHAnsi" w:eastAsiaTheme="minorEastAsia" w:hAnsiTheme="minorHAnsi" w:cstheme="minorBidi"/>
                <w:b/>
                <w:sz w:val="20"/>
                <w:szCs w:val="20"/>
              </w:rPr>
              <w:t>0.7</w:t>
            </w:r>
          </w:p>
        </w:tc>
        <w:tc>
          <w:tcPr>
            <w:tcW w:w="684" w:type="pct"/>
            <w:tcBorders>
              <w:top w:val="single" w:sz="4" w:space="0" w:color="auto"/>
              <w:bottom w:val="single" w:sz="4" w:space="0" w:color="auto"/>
            </w:tcBorders>
            <w:noWrap/>
            <w:hideMark/>
          </w:tcPr>
          <w:p w14:paraId="296BC8F5" w14:textId="5F270F87" w:rsidR="00B80A75" w:rsidRPr="00BA7A12" w:rsidRDefault="00A3382E" w:rsidP="001056BD">
            <w:pPr>
              <w:spacing w:line="259" w:lineRule="auto"/>
              <w:jc w:val="right"/>
              <w:rPr>
                <w:rFonts w:asciiTheme="minorHAnsi" w:eastAsiaTheme="minorEastAsia" w:hAnsiTheme="minorHAnsi" w:cstheme="minorBidi"/>
                <w:sz w:val="20"/>
                <w:szCs w:val="20"/>
              </w:rPr>
            </w:pPr>
            <w:r>
              <w:rPr>
                <w:rFonts w:asciiTheme="minorHAnsi" w:eastAsiaTheme="minorEastAsia" w:hAnsiTheme="minorHAnsi" w:cstheme="minorBidi"/>
                <w:sz w:val="20"/>
                <w:szCs w:val="20"/>
              </w:rPr>
              <w:t>6.0</w:t>
            </w:r>
          </w:p>
        </w:tc>
      </w:tr>
      <w:tr w:rsidR="00B80A75" w:rsidRPr="00937534" w14:paraId="07E50CE4" w14:textId="77777777" w:rsidTr="6654B222">
        <w:trPr>
          <w:trHeight w:val="316"/>
        </w:trPr>
        <w:tc>
          <w:tcPr>
            <w:tcW w:w="3632" w:type="pct"/>
            <w:tcBorders>
              <w:top w:val="single" w:sz="4" w:space="0" w:color="auto"/>
              <w:left w:val="single" w:sz="4" w:space="0" w:color="FFFFFF" w:themeColor="background1"/>
              <w:bottom w:val="single" w:sz="4" w:space="0" w:color="auto"/>
              <w:right w:val="single" w:sz="4" w:space="0" w:color="F2F2F2" w:themeColor="background1" w:themeShade="F2"/>
            </w:tcBorders>
            <w:shd w:val="clear" w:color="auto" w:fill="auto"/>
            <w:hideMark/>
          </w:tcPr>
          <w:p w14:paraId="77129179" w14:textId="0E0AC8EA" w:rsidR="00B80A75" w:rsidRPr="00937534" w:rsidRDefault="00B80A75" w:rsidP="00AF5A74">
            <w:pPr>
              <w:rPr>
                <w:rFonts w:asciiTheme="minorHAnsi" w:eastAsiaTheme="minorEastAsia" w:hAnsiTheme="minorHAnsi" w:cstheme="minorBidi"/>
                <w:b/>
                <w:sz w:val="20"/>
                <w:szCs w:val="20"/>
              </w:rPr>
            </w:pPr>
            <w:r w:rsidRPr="551513BC">
              <w:rPr>
                <w:rFonts w:asciiTheme="minorHAnsi" w:eastAsiaTheme="minorEastAsia" w:hAnsiTheme="minorHAnsi" w:cstheme="minorBidi"/>
                <w:b/>
                <w:sz w:val="20"/>
                <w:szCs w:val="20"/>
              </w:rPr>
              <w:t>Statutory loss for the year attributable to equity shareholders</w:t>
            </w:r>
          </w:p>
        </w:tc>
        <w:tc>
          <w:tcPr>
            <w:tcW w:w="684" w:type="pct"/>
            <w:tcBorders>
              <w:top w:val="single" w:sz="4" w:space="0" w:color="auto"/>
              <w:left w:val="single" w:sz="4" w:space="0" w:color="F2F2F2" w:themeColor="background1" w:themeShade="F2"/>
              <w:bottom w:val="single" w:sz="4" w:space="0" w:color="auto"/>
              <w:right w:val="nil"/>
            </w:tcBorders>
            <w:shd w:val="clear" w:color="auto" w:fill="F2F2F2" w:themeFill="background1" w:themeFillShade="F2"/>
            <w:noWrap/>
            <w:hideMark/>
          </w:tcPr>
          <w:p w14:paraId="1E63C2F3" w14:textId="1F8166F4" w:rsidR="00B80A75" w:rsidRPr="00BA7A12" w:rsidRDefault="00B80A75" w:rsidP="00AF5A74">
            <w:pPr>
              <w:jc w:val="right"/>
              <w:rPr>
                <w:rFonts w:asciiTheme="minorHAnsi" w:eastAsiaTheme="minorEastAsia" w:hAnsiTheme="minorHAnsi" w:cstheme="minorBidi"/>
                <w:b/>
                <w:sz w:val="20"/>
                <w:szCs w:val="20"/>
              </w:rPr>
            </w:pPr>
            <w:r w:rsidRPr="551513BC">
              <w:rPr>
                <w:rFonts w:asciiTheme="minorHAnsi" w:eastAsiaTheme="minorEastAsia" w:hAnsiTheme="minorHAnsi" w:cstheme="minorBidi"/>
                <w:b/>
                <w:sz w:val="20"/>
                <w:szCs w:val="20"/>
              </w:rPr>
              <w:t>(</w:t>
            </w:r>
            <w:r w:rsidR="000E7D5E" w:rsidRPr="551513BC">
              <w:rPr>
                <w:rFonts w:asciiTheme="minorHAnsi" w:eastAsiaTheme="minorEastAsia" w:hAnsiTheme="minorHAnsi" w:cstheme="minorBidi"/>
                <w:b/>
                <w:sz w:val="20"/>
                <w:szCs w:val="20"/>
              </w:rPr>
              <w:t>35.8</w:t>
            </w:r>
            <w:r w:rsidRPr="551513BC">
              <w:rPr>
                <w:rFonts w:asciiTheme="minorHAnsi" w:eastAsiaTheme="minorEastAsia" w:hAnsiTheme="minorHAnsi" w:cstheme="minorBidi"/>
                <w:b/>
                <w:sz w:val="20"/>
                <w:szCs w:val="20"/>
              </w:rPr>
              <w:t>)</w:t>
            </w:r>
          </w:p>
        </w:tc>
        <w:tc>
          <w:tcPr>
            <w:tcW w:w="684" w:type="pct"/>
            <w:tcBorders>
              <w:top w:val="single" w:sz="4" w:space="0" w:color="auto"/>
              <w:left w:val="nil"/>
              <w:bottom w:val="single" w:sz="4" w:space="0" w:color="auto"/>
              <w:right w:val="nil"/>
            </w:tcBorders>
            <w:noWrap/>
            <w:hideMark/>
          </w:tcPr>
          <w:p w14:paraId="743A9EA5" w14:textId="15AE597B" w:rsidR="00B80A75" w:rsidRPr="00BA7A12" w:rsidRDefault="001B6252" w:rsidP="00AF5A74">
            <w:pPr>
              <w:jc w:val="right"/>
              <w:rPr>
                <w:rFonts w:asciiTheme="minorHAnsi" w:eastAsiaTheme="minorEastAsia" w:hAnsiTheme="minorHAnsi" w:cstheme="minorBidi"/>
                <w:sz w:val="20"/>
                <w:szCs w:val="20"/>
              </w:rPr>
            </w:pPr>
            <w:r w:rsidRPr="551513BC">
              <w:rPr>
                <w:rFonts w:asciiTheme="minorHAnsi" w:eastAsiaTheme="minorEastAsia" w:hAnsiTheme="minorHAnsi" w:cstheme="minorBidi"/>
                <w:sz w:val="20"/>
                <w:szCs w:val="20"/>
              </w:rPr>
              <w:t>(</w:t>
            </w:r>
            <w:r w:rsidR="00AD5D52" w:rsidRPr="198B8B94">
              <w:rPr>
                <w:rFonts w:asciiTheme="minorHAnsi" w:eastAsiaTheme="minorEastAsia" w:hAnsiTheme="minorHAnsi" w:cstheme="minorBidi"/>
                <w:sz w:val="20"/>
                <w:szCs w:val="20"/>
              </w:rPr>
              <w:t>1</w:t>
            </w:r>
            <w:r w:rsidR="00A3382E">
              <w:rPr>
                <w:rFonts w:asciiTheme="minorHAnsi" w:eastAsiaTheme="minorEastAsia" w:hAnsiTheme="minorHAnsi" w:cstheme="minorBidi"/>
                <w:sz w:val="20"/>
                <w:szCs w:val="20"/>
              </w:rPr>
              <w:t>5.9</w:t>
            </w:r>
            <w:r w:rsidRPr="551513BC">
              <w:rPr>
                <w:rFonts w:asciiTheme="minorHAnsi" w:eastAsiaTheme="minorEastAsia" w:hAnsiTheme="minorHAnsi" w:cstheme="minorBidi"/>
                <w:sz w:val="20"/>
                <w:szCs w:val="20"/>
              </w:rPr>
              <w:t>)</w:t>
            </w:r>
          </w:p>
        </w:tc>
      </w:tr>
      <w:tr w:rsidR="00B80A75" w:rsidRPr="00937534" w14:paraId="30989A39" w14:textId="77777777" w:rsidTr="00AF5A74">
        <w:trPr>
          <w:trHeight w:val="301"/>
        </w:trPr>
        <w:tc>
          <w:tcPr>
            <w:tcW w:w="3632" w:type="pct"/>
            <w:tcBorders>
              <w:top w:val="single" w:sz="4" w:space="0" w:color="auto"/>
            </w:tcBorders>
            <w:shd w:val="clear" w:color="auto" w:fill="auto"/>
            <w:hideMark/>
          </w:tcPr>
          <w:p w14:paraId="792C3E7F" w14:textId="77777777" w:rsidR="00B80A75" w:rsidRPr="00937534" w:rsidRDefault="00B80A75" w:rsidP="00AF5A74">
            <w:pPr>
              <w:rPr>
                <w:rFonts w:asciiTheme="minorHAnsi" w:eastAsiaTheme="minorEastAsia" w:hAnsiTheme="minorHAnsi" w:cstheme="minorBidi"/>
                <w:b/>
                <w:sz w:val="20"/>
                <w:szCs w:val="20"/>
              </w:rPr>
            </w:pPr>
          </w:p>
        </w:tc>
        <w:tc>
          <w:tcPr>
            <w:tcW w:w="684" w:type="pct"/>
            <w:tcBorders>
              <w:top w:val="single" w:sz="4" w:space="0" w:color="auto"/>
            </w:tcBorders>
            <w:shd w:val="clear" w:color="auto" w:fill="auto"/>
            <w:noWrap/>
            <w:vAlign w:val="bottom"/>
            <w:hideMark/>
          </w:tcPr>
          <w:p w14:paraId="31668CC4" w14:textId="77777777" w:rsidR="00B80A75" w:rsidRPr="00BA7A12" w:rsidRDefault="00B80A75" w:rsidP="00AF5A74">
            <w:pPr>
              <w:rPr>
                <w:rFonts w:asciiTheme="minorHAnsi" w:eastAsiaTheme="minorEastAsia" w:hAnsiTheme="minorHAnsi" w:cstheme="minorBidi"/>
                <w:b/>
                <w:sz w:val="20"/>
                <w:szCs w:val="20"/>
              </w:rPr>
            </w:pPr>
          </w:p>
        </w:tc>
        <w:tc>
          <w:tcPr>
            <w:tcW w:w="684" w:type="pct"/>
            <w:tcBorders>
              <w:top w:val="single" w:sz="4" w:space="0" w:color="auto"/>
            </w:tcBorders>
            <w:noWrap/>
            <w:vAlign w:val="bottom"/>
            <w:hideMark/>
          </w:tcPr>
          <w:p w14:paraId="46331425" w14:textId="77777777" w:rsidR="00B80A75" w:rsidRPr="00BA7A12" w:rsidRDefault="00B80A75" w:rsidP="00AF5A74">
            <w:pPr>
              <w:rPr>
                <w:rFonts w:asciiTheme="minorHAnsi" w:eastAsiaTheme="minorEastAsia" w:hAnsiTheme="minorHAnsi" w:cstheme="minorBidi"/>
                <w:sz w:val="20"/>
                <w:szCs w:val="20"/>
              </w:rPr>
            </w:pPr>
          </w:p>
        </w:tc>
      </w:tr>
      <w:tr w:rsidR="00B80A75" w:rsidRPr="00937534" w14:paraId="11C96150" w14:textId="77777777" w:rsidTr="6654B222">
        <w:trPr>
          <w:trHeight w:val="301"/>
        </w:trPr>
        <w:tc>
          <w:tcPr>
            <w:tcW w:w="3632" w:type="pct"/>
            <w:tcBorders>
              <w:top w:val="single" w:sz="4" w:space="0" w:color="FFFFFF" w:themeColor="background1"/>
              <w:left w:val="single" w:sz="4" w:space="0" w:color="FFFFFF" w:themeColor="background1"/>
              <w:bottom w:val="single" w:sz="4" w:space="0" w:color="FFFFFF" w:themeColor="background1"/>
              <w:right w:val="nil"/>
            </w:tcBorders>
            <w:shd w:val="clear" w:color="auto" w:fill="auto"/>
            <w:hideMark/>
          </w:tcPr>
          <w:p w14:paraId="69613AD2" w14:textId="77777777" w:rsidR="00B80A75" w:rsidRPr="00937534" w:rsidRDefault="00B80A75" w:rsidP="00AF5A74">
            <w:pPr>
              <w:rPr>
                <w:rFonts w:asciiTheme="minorHAnsi" w:eastAsiaTheme="minorEastAsia" w:hAnsiTheme="minorHAnsi" w:cstheme="minorBidi"/>
                <w:i/>
                <w:sz w:val="20"/>
                <w:szCs w:val="20"/>
              </w:rPr>
            </w:pPr>
            <w:r w:rsidRPr="551513BC">
              <w:rPr>
                <w:rFonts w:asciiTheme="minorHAnsi" w:eastAsiaTheme="minorEastAsia" w:hAnsiTheme="minorHAnsi" w:cstheme="minorBidi"/>
                <w:i/>
                <w:sz w:val="20"/>
                <w:szCs w:val="20"/>
              </w:rPr>
              <w:t>Add back:</w:t>
            </w:r>
          </w:p>
        </w:tc>
        <w:tc>
          <w:tcPr>
            <w:tcW w:w="684" w:type="pct"/>
            <w:shd w:val="clear" w:color="auto" w:fill="auto"/>
            <w:noWrap/>
            <w:vAlign w:val="bottom"/>
            <w:hideMark/>
          </w:tcPr>
          <w:p w14:paraId="521A7A62" w14:textId="77777777" w:rsidR="00B80A75" w:rsidRPr="00BA7A12" w:rsidRDefault="00B80A75" w:rsidP="00AF5A74">
            <w:pPr>
              <w:rPr>
                <w:rFonts w:asciiTheme="minorHAnsi" w:eastAsiaTheme="minorEastAsia" w:hAnsiTheme="minorHAnsi" w:cstheme="minorBidi"/>
                <w:b/>
                <w:sz w:val="20"/>
                <w:szCs w:val="20"/>
              </w:rPr>
            </w:pPr>
          </w:p>
        </w:tc>
        <w:tc>
          <w:tcPr>
            <w:tcW w:w="684" w:type="pct"/>
            <w:noWrap/>
            <w:vAlign w:val="bottom"/>
            <w:hideMark/>
          </w:tcPr>
          <w:p w14:paraId="5CD5D140" w14:textId="77777777" w:rsidR="00B80A75" w:rsidRPr="00BA7A12" w:rsidRDefault="00B80A75" w:rsidP="00AF5A74">
            <w:pPr>
              <w:rPr>
                <w:rFonts w:asciiTheme="minorHAnsi" w:eastAsiaTheme="minorEastAsia" w:hAnsiTheme="minorHAnsi" w:cstheme="minorBidi"/>
                <w:sz w:val="20"/>
                <w:szCs w:val="20"/>
              </w:rPr>
            </w:pPr>
          </w:p>
        </w:tc>
      </w:tr>
      <w:tr w:rsidR="00B80A75" w:rsidRPr="00937534" w14:paraId="3DF98D58" w14:textId="77777777" w:rsidTr="6654B222">
        <w:trPr>
          <w:trHeight w:val="301"/>
        </w:trPr>
        <w:tc>
          <w:tcPr>
            <w:tcW w:w="3632" w:type="pct"/>
            <w:tcBorders>
              <w:top w:val="nil"/>
              <w:left w:val="single" w:sz="4" w:space="0" w:color="FFFFFF" w:themeColor="background1"/>
              <w:bottom w:val="nil"/>
              <w:right w:val="nil"/>
            </w:tcBorders>
            <w:shd w:val="clear" w:color="auto" w:fill="auto"/>
            <w:hideMark/>
          </w:tcPr>
          <w:p w14:paraId="75A70477" w14:textId="1A349C5B" w:rsidR="00B80A75" w:rsidRPr="00937534" w:rsidRDefault="00B80A75" w:rsidP="00AF5A74">
            <w:pPr>
              <w:rPr>
                <w:rFonts w:asciiTheme="minorHAnsi" w:eastAsiaTheme="minorEastAsia" w:hAnsiTheme="minorHAnsi" w:cstheme="minorBidi"/>
                <w:sz w:val="20"/>
                <w:szCs w:val="20"/>
              </w:rPr>
            </w:pPr>
            <w:r w:rsidRPr="551513BC">
              <w:rPr>
                <w:rFonts w:asciiTheme="minorHAnsi" w:eastAsiaTheme="minorEastAsia" w:hAnsiTheme="minorHAnsi" w:cstheme="minorBidi"/>
                <w:sz w:val="20"/>
                <w:szCs w:val="20"/>
              </w:rPr>
              <w:t>Tax c</w:t>
            </w:r>
            <w:r w:rsidR="0018487F">
              <w:rPr>
                <w:rFonts w:asciiTheme="minorHAnsi" w:eastAsiaTheme="minorEastAsia" w:hAnsiTheme="minorHAnsi" w:cstheme="minorBidi"/>
                <w:sz w:val="20"/>
                <w:szCs w:val="20"/>
              </w:rPr>
              <w:t>redit</w:t>
            </w:r>
          </w:p>
        </w:tc>
        <w:tc>
          <w:tcPr>
            <w:tcW w:w="684" w:type="pct"/>
            <w:shd w:val="clear" w:color="auto" w:fill="F2F2F2" w:themeFill="background1" w:themeFillShade="F2"/>
            <w:noWrap/>
            <w:hideMark/>
          </w:tcPr>
          <w:p w14:paraId="2363313C" w14:textId="41F3C47B" w:rsidR="00B80A75" w:rsidRPr="00BA7A12" w:rsidRDefault="00FB69EE" w:rsidP="00AF5A74">
            <w:pPr>
              <w:jc w:val="right"/>
              <w:rPr>
                <w:rFonts w:asciiTheme="minorHAnsi" w:eastAsiaTheme="minorEastAsia" w:hAnsiTheme="minorHAnsi" w:cstheme="minorBidi"/>
                <w:b/>
                <w:sz w:val="20"/>
                <w:szCs w:val="20"/>
              </w:rPr>
            </w:pPr>
            <w:r w:rsidRPr="551513BC">
              <w:rPr>
                <w:rFonts w:asciiTheme="minorHAnsi" w:eastAsiaTheme="minorEastAsia" w:hAnsiTheme="minorHAnsi" w:cstheme="minorBidi"/>
                <w:b/>
                <w:sz w:val="20"/>
                <w:szCs w:val="20"/>
              </w:rPr>
              <w:t>(</w:t>
            </w:r>
            <w:r w:rsidR="000E7D5E" w:rsidRPr="551513BC">
              <w:rPr>
                <w:rFonts w:asciiTheme="minorHAnsi" w:eastAsiaTheme="minorEastAsia" w:hAnsiTheme="minorHAnsi" w:cstheme="minorBidi"/>
                <w:b/>
                <w:sz w:val="20"/>
                <w:szCs w:val="20"/>
              </w:rPr>
              <w:t>10.7</w:t>
            </w:r>
            <w:r w:rsidRPr="551513BC">
              <w:rPr>
                <w:rFonts w:asciiTheme="minorHAnsi" w:eastAsiaTheme="minorEastAsia" w:hAnsiTheme="minorHAnsi" w:cstheme="minorBidi"/>
                <w:b/>
                <w:sz w:val="20"/>
                <w:szCs w:val="20"/>
              </w:rPr>
              <w:t>)</w:t>
            </w:r>
          </w:p>
        </w:tc>
        <w:tc>
          <w:tcPr>
            <w:tcW w:w="684" w:type="pct"/>
            <w:noWrap/>
            <w:hideMark/>
          </w:tcPr>
          <w:p w14:paraId="2F6482C5" w14:textId="33D57F48" w:rsidR="00B80A75" w:rsidRPr="00BA7A12" w:rsidRDefault="0076189E" w:rsidP="00AF5A74">
            <w:pPr>
              <w:jc w:val="right"/>
              <w:rPr>
                <w:rFonts w:asciiTheme="minorHAnsi" w:eastAsiaTheme="minorEastAsia" w:hAnsiTheme="minorHAnsi" w:cstheme="minorBidi"/>
                <w:sz w:val="20"/>
                <w:szCs w:val="20"/>
              </w:rPr>
            </w:pPr>
            <w:r w:rsidRPr="551513BC">
              <w:rPr>
                <w:rFonts w:asciiTheme="minorHAnsi" w:eastAsiaTheme="minorEastAsia" w:hAnsiTheme="minorHAnsi" w:cstheme="minorBidi"/>
                <w:sz w:val="20"/>
                <w:szCs w:val="20"/>
              </w:rPr>
              <w:t>(</w:t>
            </w:r>
            <w:r w:rsidR="00B01AE7">
              <w:rPr>
                <w:rFonts w:asciiTheme="minorHAnsi" w:eastAsiaTheme="minorEastAsia" w:hAnsiTheme="minorHAnsi" w:cstheme="minorBidi"/>
                <w:sz w:val="20"/>
                <w:szCs w:val="20"/>
              </w:rPr>
              <w:t>6.0</w:t>
            </w:r>
            <w:r w:rsidRPr="551513BC">
              <w:rPr>
                <w:rFonts w:asciiTheme="minorHAnsi" w:eastAsiaTheme="minorEastAsia" w:hAnsiTheme="minorHAnsi" w:cstheme="minorBidi"/>
                <w:sz w:val="20"/>
                <w:szCs w:val="20"/>
              </w:rPr>
              <w:t>)</w:t>
            </w:r>
          </w:p>
        </w:tc>
      </w:tr>
      <w:tr w:rsidR="00B80A75" w:rsidRPr="00937534" w14:paraId="1BABF233" w14:textId="77777777" w:rsidTr="6654B222">
        <w:trPr>
          <w:trHeight w:val="312"/>
        </w:trPr>
        <w:tc>
          <w:tcPr>
            <w:tcW w:w="3632" w:type="pct"/>
            <w:tcBorders>
              <w:top w:val="nil"/>
              <w:left w:val="single" w:sz="4" w:space="0" w:color="FFFFFF" w:themeColor="background1"/>
              <w:bottom w:val="nil"/>
              <w:right w:val="nil"/>
            </w:tcBorders>
            <w:shd w:val="clear" w:color="auto" w:fill="auto"/>
            <w:hideMark/>
          </w:tcPr>
          <w:p w14:paraId="29B03147" w14:textId="77777777" w:rsidR="00B80A75" w:rsidRPr="00937534" w:rsidRDefault="00B80A75" w:rsidP="00AF5A74">
            <w:pPr>
              <w:rPr>
                <w:rFonts w:asciiTheme="minorHAnsi" w:eastAsiaTheme="minorEastAsia" w:hAnsiTheme="minorHAnsi" w:cstheme="minorBidi"/>
                <w:sz w:val="20"/>
                <w:szCs w:val="20"/>
              </w:rPr>
            </w:pPr>
            <w:r w:rsidRPr="551513BC">
              <w:rPr>
                <w:rFonts w:asciiTheme="minorHAnsi" w:eastAsiaTheme="minorEastAsia" w:hAnsiTheme="minorHAnsi" w:cstheme="minorBidi"/>
                <w:sz w:val="20"/>
                <w:szCs w:val="20"/>
              </w:rPr>
              <w:t>Amortisation of acquisition intangibles</w:t>
            </w:r>
          </w:p>
        </w:tc>
        <w:tc>
          <w:tcPr>
            <w:tcW w:w="684" w:type="pct"/>
            <w:shd w:val="clear" w:color="auto" w:fill="F2F2F2" w:themeFill="background1" w:themeFillShade="F2"/>
            <w:noWrap/>
            <w:hideMark/>
          </w:tcPr>
          <w:p w14:paraId="675F2F22" w14:textId="05BB64BB" w:rsidR="00B80A75" w:rsidRPr="00BA7A12" w:rsidRDefault="00FB69EE" w:rsidP="00AF5A74">
            <w:pPr>
              <w:jc w:val="right"/>
              <w:rPr>
                <w:rFonts w:asciiTheme="minorHAnsi" w:eastAsiaTheme="minorEastAsia" w:hAnsiTheme="minorHAnsi" w:cstheme="minorBidi"/>
                <w:b/>
                <w:sz w:val="20"/>
                <w:szCs w:val="20"/>
              </w:rPr>
            </w:pPr>
            <w:r w:rsidRPr="551513BC">
              <w:rPr>
                <w:rFonts w:asciiTheme="minorHAnsi" w:eastAsiaTheme="minorEastAsia" w:hAnsiTheme="minorHAnsi" w:cstheme="minorBidi"/>
                <w:b/>
                <w:sz w:val="20"/>
                <w:szCs w:val="20"/>
              </w:rPr>
              <w:t>4.2</w:t>
            </w:r>
          </w:p>
        </w:tc>
        <w:tc>
          <w:tcPr>
            <w:tcW w:w="684" w:type="pct"/>
            <w:noWrap/>
            <w:hideMark/>
          </w:tcPr>
          <w:p w14:paraId="49A009FC" w14:textId="02C2D527" w:rsidR="00B80A75" w:rsidRPr="00BA7A12" w:rsidRDefault="00747054" w:rsidP="00AF5A74">
            <w:pPr>
              <w:jc w:val="right"/>
              <w:rPr>
                <w:rFonts w:asciiTheme="minorHAnsi" w:eastAsiaTheme="minorEastAsia" w:hAnsiTheme="minorHAnsi" w:cstheme="minorBidi"/>
                <w:sz w:val="20"/>
                <w:szCs w:val="20"/>
              </w:rPr>
            </w:pPr>
            <w:r w:rsidRPr="551513BC">
              <w:rPr>
                <w:rFonts w:asciiTheme="minorHAnsi" w:eastAsiaTheme="minorEastAsia" w:hAnsiTheme="minorHAnsi" w:cstheme="minorBidi"/>
                <w:sz w:val="20"/>
                <w:szCs w:val="20"/>
              </w:rPr>
              <w:t>3.7</w:t>
            </w:r>
          </w:p>
        </w:tc>
      </w:tr>
      <w:tr w:rsidR="00B80A75" w:rsidRPr="00937534" w14:paraId="1C2F7962" w14:textId="77777777" w:rsidTr="6654B222">
        <w:trPr>
          <w:trHeight w:val="312"/>
        </w:trPr>
        <w:tc>
          <w:tcPr>
            <w:tcW w:w="3632" w:type="pct"/>
            <w:tcBorders>
              <w:top w:val="nil"/>
              <w:left w:val="single" w:sz="4" w:space="0" w:color="FFFFFF" w:themeColor="background1"/>
              <w:right w:val="nil"/>
            </w:tcBorders>
            <w:shd w:val="clear" w:color="auto" w:fill="auto"/>
            <w:hideMark/>
          </w:tcPr>
          <w:p w14:paraId="2E77465A" w14:textId="77777777" w:rsidR="00B80A75" w:rsidRPr="00937534" w:rsidRDefault="00B80A75" w:rsidP="00AF5A74">
            <w:pPr>
              <w:rPr>
                <w:rFonts w:asciiTheme="minorHAnsi" w:eastAsiaTheme="minorEastAsia" w:hAnsiTheme="minorHAnsi" w:cstheme="minorBidi"/>
                <w:sz w:val="20"/>
                <w:szCs w:val="20"/>
              </w:rPr>
            </w:pPr>
            <w:r w:rsidRPr="551513BC">
              <w:rPr>
                <w:rFonts w:asciiTheme="minorHAnsi" w:eastAsiaTheme="minorEastAsia" w:hAnsiTheme="minorHAnsi" w:cstheme="minorBidi"/>
                <w:sz w:val="20"/>
                <w:szCs w:val="20"/>
              </w:rPr>
              <w:t>Exceptional items</w:t>
            </w:r>
          </w:p>
        </w:tc>
        <w:tc>
          <w:tcPr>
            <w:tcW w:w="684" w:type="pct"/>
            <w:shd w:val="clear" w:color="auto" w:fill="F2F2F2" w:themeFill="background1" w:themeFillShade="F2"/>
            <w:noWrap/>
            <w:hideMark/>
          </w:tcPr>
          <w:p w14:paraId="30D2AA89" w14:textId="186ED986" w:rsidR="00B80A75" w:rsidRPr="00BA7A12" w:rsidRDefault="00FB69EE" w:rsidP="00AF5A74">
            <w:pPr>
              <w:jc w:val="right"/>
              <w:rPr>
                <w:rFonts w:asciiTheme="minorHAnsi" w:eastAsiaTheme="minorEastAsia" w:hAnsiTheme="minorHAnsi" w:cstheme="minorBidi"/>
                <w:b/>
                <w:sz w:val="20"/>
                <w:szCs w:val="20"/>
              </w:rPr>
            </w:pPr>
            <w:r w:rsidRPr="551513BC">
              <w:rPr>
                <w:rFonts w:asciiTheme="minorHAnsi" w:eastAsiaTheme="minorEastAsia" w:hAnsiTheme="minorHAnsi" w:cstheme="minorBidi"/>
                <w:b/>
                <w:sz w:val="20"/>
                <w:szCs w:val="20"/>
              </w:rPr>
              <w:t>1</w:t>
            </w:r>
            <w:r w:rsidR="000E7D5E" w:rsidRPr="551513BC">
              <w:rPr>
                <w:rFonts w:asciiTheme="minorHAnsi" w:eastAsiaTheme="minorEastAsia" w:hAnsiTheme="minorHAnsi" w:cstheme="minorBidi"/>
                <w:b/>
                <w:sz w:val="20"/>
                <w:szCs w:val="20"/>
              </w:rPr>
              <w:t>5</w:t>
            </w:r>
            <w:r w:rsidRPr="551513BC">
              <w:rPr>
                <w:rFonts w:asciiTheme="minorHAnsi" w:eastAsiaTheme="minorEastAsia" w:hAnsiTheme="minorHAnsi" w:cstheme="minorBidi"/>
                <w:b/>
                <w:sz w:val="20"/>
                <w:szCs w:val="20"/>
              </w:rPr>
              <w:t>.5</w:t>
            </w:r>
          </w:p>
        </w:tc>
        <w:tc>
          <w:tcPr>
            <w:tcW w:w="684" w:type="pct"/>
            <w:noWrap/>
            <w:hideMark/>
          </w:tcPr>
          <w:p w14:paraId="1CE51A52" w14:textId="1F22E317" w:rsidR="00B80A75" w:rsidRPr="00BA7A12" w:rsidRDefault="00AB4570" w:rsidP="00AF5A74">
            <w:pPr>
              <w:jc w:val="right"/>
              <w:rPr>
                <w:rFonts w:asciiTheme="minorHAnsi" w:eastAsiaTheme="minorEastAsia" w:hAnsiTheme="minorHAnsi" w:cstheme="minorBidi"/>
                <w:sz w:val="20"/>
                <w:szCs w:val="20"/>
              </w:rPr>
            </w:pPr>
            <w:r w:rsidRPr="551513BC">
              <w:rPr>
                <w:rFonts w:asciiTheme="minorHAnsi" w:eastAsiaTheme="minorEastAsia" w:hAnsiTheme="minorHAnsi" w:cstheme="minorBidi"/>
                <w:sz w:val="20"/>
                <w:szCs w:val="20"/>
              </w:rPr>
              <w:t>5.3</w:t>
            </w:r>
          </w:p>
        </w:tc>
      </w:tr>
      <w:tr w:rsidR="00B80A75" w:rsidRPr="00937534" w14:paraId="78032443" w14:textId="77777777" w:rsidTr="6654B222">
        <w:trPr>
          <w:trHeight w:val="312"/>
        </w:trPr>
        <w:tc>
          <w:tcPr>
            <w:tcW w:w="3632" w:type="pct"/>
            <w:tcBorders>
              <w:top w:val="single" w:sz="4" w:space="0" w:color="auto"/>
              <w:left w:val="single" w:sz="4" w:space="0" w:color="FFFFFF" w:themeColor="background1"/>
              <w:bottom w:val="single" w:sz="4" w:space="0" w:color="auto"/>
              <w:right w:val="nil"/>
            </w:tcBorders>
            <w:shd w:val="clear" w:color="auto" w:fill="auto"/>
            <w:hideMark/>
          </w:tcPr>
          <w:p w14:paraId="5D240F32" w14:textId="595D9B60" w:rsidR="00B80A75" w:rsidRPr="00937534" w:rsidRDefault="00B80A75" w:rsidP="00AF5A74">
            <w:pPr>
              <w:rPr>
                <w:rFonts w:asciiTheme="minorHAnsi" w:eastAsiaTheme="minorEastAsia" w:hAnsiTheme="minorHAnsi" w:cstheme="minorBidi"/>
                <w:b/>
                <w:sz w:val="20"/>
                <w:szCs w:val="20"/>
              </w:rPr>
            </w:pPr>
            <w:r w:rsidRPr="551513BC">
              <w:rPr>
                <w:rFonts w:asciiTheme="minorHAnsi" w:eastAsiaTheme="minorEastAsia" w:hAnsiTheme="minorHAnsi" w:cstheme="minorBidi"/>
                <w:b/>
                <w:sz w:val="20"/>
                <w:szCs w:val="20"/>
              </w:rPr>
              <w:t xml:space="preserve">Adjusted </w:t>
            </w:r>
            <w:r w:rsidR="00AF1FDA" w:rsidRPr="551513BC">
              <w:rPr>
                <w:rFonts w:asciiTheme="minorHAnsi" w:eastAsiaTheme="minorEastAsia" w:hAnsiTheme="minorHAnsi" w:cstheme="minorBidi"/>
                <w:b/>
                <w:sz w:val="20"/>
                <w:szCs w:val="20"/>
              </w:rPr>
              <w:t>loss</w:t>
            </w:r>
            <w:r w:rsidRPr="551513BC">
              <w:rPr>
                <w:rFonts w:asciiTheme="minorHAnsi" w:eastAsiaTheme="minorEastAsia" w:hAnsiTheme="minorHAnsi" w:cstheme="minorBidi"/>
                <w:b/>
                <w:sz w:val="20"/>
                <w:szCs w:val="20"/>
              </w:rPr>
              <w:t xml:space="preserve"> before tax </w:t>
            </w:r>
          </w:p>
        </w:tc>
        <w:tc>
          <w:tcPr>
            <w:tcW w:w="684" w:type="pct"/>
            <w:tcBorders>
              <w:top w:val="single" w:sz="4" w:space="0" w:color="auto"/>
              <w:left w:val="nil"/>
              <w:bottom w:val="single" w:sz="4" w:space="0" w:color="auto"/>
              <w:right w:val="nil"/>
            </w:tcBorders>
            <w:shd w:val="clear" w:color="auto" w:fill="F2F2F2" w:themeFill="background1" w:themeFillShade="F2"/>
            <w:noWrap/>
            <w:hideMark/>
          </w:tcPr>
          <w:p w14:paraId="4B67E4A1" w14:textId="582169C2" w:rsidR="00B80A75" w:rsidRPr="00BA7A12" w:rsidRDefault="00FB69EE" w:rsidP="00AF5A74">
            <w:pPr>
              <w:jc w:val="right"/>
              <w:rPr>
                <w:rFonts w:asciiTheme="minorHAnsi" w:eastAsiaTheme="minorEastAsia" w:hAnsiTheme="minorHAnsi" w:cstheme="minorBidi"/>
                <w:b/>
                <w:sz w:val="20"/>
                <w:szCs w:val="20"/>
              </w:rPr>
            </w:pPr>
            <w:r w:rsidRPr="551513BC">
              <w:rPr>
                <w:rFonts w:asciiTheme="minorHAnsi" w:eastAsiaTheme="minorEastAsia" w:hAnsiTheme="minorHAnsi" w:cstheme="minorBidi"/>
                <w:b/>
                <w:sz w:val="20"/>
                <w:szCs w:val="20"/>
              </w:rPr>
              <w:t>(</w:t>
            </w:r>
            <w:r w:rsidR="001640F8" w:rsidRPr="551513BC">
              <w:rPr>
                <w:rFonts w:asciiTheme="minorHAnsi" w:eastAsiaTheme="minorEastAsia" w:hAnsiTheme="minorHAnsi" w:cstheme="minorBidi"/>
                <w:b/>
                <w:sz w:val="20"/>
                <w:szCs w:val="20"/>
              </w:rPr>
              <w:t>26.8</w:t>
            </w:r>
            <w:r w:rsidRPr="551513BC">
              <w:rPr>
                <w:rFonts w:asciiTheme="minorHAnsi" w:eastAsiaTheme="minorEastAsia" w:hAnsiTheme="minorHAnsi" w:cstheme="minorBidi"/>
                <w:b/>
                <w:sz w:val="20"/>
                <w:szCs w:val="20"/>
              </w:rPr>
              <w:t>)</w:t>
            </w:r>
          </w:p>
        </w:tc>
        <w:tc>
          <w:tcPr>
            <w:tcW w:w="684" w:type="pct"/>
            <w:tcBorders>
              <w:top w:val="single" w:sz="4" w:space="0" w:color="auto"/>
              <w:left w:val="nil"/>
              <w:bottom w:val="single" w:sz="4" w:space="0" w:color="auto"/>
              <w:right w:val="nil"/>
            </w:tcBorders>
            <w:noWrap/>
            <w:hideMark/>
          </w:tcPr>
          <w:p w14:paraId="6BBACACE" w14:textId="6B559DD8" w:rsidR="00B80A75" w:rsidRPr="00BA7A12" w:rsidRDefault="00B73470" w:rsidP="00AF5A74">
            <w:pPr>
              <w:jc w:val="right"/>
              <w:rPr>
                <w:rFonts w:asciiTheme="minorHAnsi" w:eastAsiaTheme="minorEastAsia" w:hAnsiTheme="minorHAnsi" w:cstheme="minorBidi"/>
                <w:sz w:val="20"/>
                <w:szCs w:val="20"/>
              </w:rPr>
            </w:pPr>
            <w:r w:rsidRPr="551513BC">
              <w:rPr>
                <w:rFonts w:asciiTheme="minorHAnsi" w:eastAsiaTheme="minorEastAsia" w:hAnsiTheme="minorHAnsi" w:cstheme="minorBidi"/>
                <w:sz w:val="20"/>
                <w:szCs w:val="20"/>
              </w:rPr>
              <w:t>(</w:t>
            </w:r>
            <w:r w:rsidR="00B01AE7">
              <w:rPr>
                <w:rFonts w:asciiTheme="minorHAnsi" w:eastAsiaTheme="minorEastAsia" w:hAnsiTheme="minorHAnsi" w:cstheme="minorBidi"/>
                <w:sz w:val="20"/>
                <w:szCs w:val="20"/>
              </w:rPr>
              <w:t>12.</w:t>
            </w:r>
            <w:r w:rsidR="00AD2C5B" w:rsidRPr="551513BC">
              <w:rPr>
                <w:rFonts w:asciiTheme="minorHAnsi" w:eastAsiaTheme="minorEastAsia" w:hAnsiTheme="minorHAnsi" w:cstheme="minorBidi"/>
                <w:sz w:val="20"/>
                <w:szCs w:val="20"/>
              </w:rPr>
              <w:t>9</w:t>
            </w:r>
            <w:r w:rsidRPr="551513BC">
              <w:rPr>
                <w:rFonts w:asciiTheme="minorHAnsi" w:eastAsiaTheme="minorEastAsia" w:hAnsiTheme="minorHAnsi" w:cstheme="minorBidi"/>
                <w:sz w:val="20"/>
                <w:szCs w:val="20"/>
              </w:rPr>
              <w:t>)</w:t>
            </w:r>
          </w:p>
        </w:tc>
      </w:tr>
    </w:tbl>
    <w:p w14:paraId="2F28E5D6" w14:textId="77777777" w:rsidR="00B80A75" w:rsidRDefault="00B80A75" w:rsidP="00E534C5">
      <w:pPr>
        <w:pStyle w:val="NoSpacing"/>
        <w:jc w:val="both"/>
        <w:rPr>
          <w:rFonts w:cs="Arial"/>
          <w:sz w:val="20"/>
          <w:szCs w:val="20"/>
        </w:rPr>
      </w:pPr>
    </w:p>
    <w:p w14:paraId="444D5868" w14:textId="77777777" w:rsidR="00DD36B9" w:rsidRDefault="00DD36B9" w:rsidP="00DD36B9">
      <w:pPr>
        <w:pStyle w:val="NoSpacing"/>
        <w:jc w:val="both"/>
        <w:rPr>
          <w:sz w:val="20"/>
          <w:szCs w:val="20"/>
        </w:rPr>
      </w:pPr>
      <w:r w:rsidRPr="00C967B0">
        <w:rPr>
          <w:sz w:val="20"/>
          <w:szCs w:val="20"/>
          <w:vertAlign w:val="superscript"/>
        </w:rPr>
        <w:t>1</w:t>
      </w:r>
      <w:r>
        <w:rPr>
          <w:sz w:val="20"/>
          <w:szCs w:val="20"/>
        </w:rPr>
        <w:t xml:space="preserve"> Refer to note 2 in financial statements for detail of restatement.</w:t>
      </w:r>
    </w:p>
    <w:p w14:paraId="305791B8" w14:textId="77777777" w:rsidR="00DD36B9" w:rsidRDefault="00DD36B9" w:rsidP="0046170D">
      <w:pPr>
        <w:pStyle w:val="NoSpacing"/>
        <w:jc w:val="both"/>
        <w:rPr>
          <w:sz w:val="20"/>
          <w:szCs w:val="20"/>
        </w:rPr>
      </w:pPr>
    </w:p>
    <w:p w14:paraId="7C680C08" w14:textId="3043B936" w:rsidR="00A364FA" w:rsidRDefault="00E75875" w:rsidP="0046170D">
      <w:pPr>
        <w:pStyle w:val="NoSpacing"/>
        <w:jc w:val="both"/>
        <w:rPr>
          <w:rStyle w:val="bodycopynumber"/>
          <w:rFonts w:asciiTheme="minorHAnsi" w:hAnsiTheme="minorHAnsi" w:cs="Poppins-Light"/>
          <w:color w:val="000000" w:themeColor="text1"/>
          <w:sz w:val="20"/>
          <w:szCs w:val="20"/>
        </w:rPr>
      </w:pPr>
      <w:r w:rsidRPr="00701439">
        <w:rPr>
          <w:sz w:val="20"/>
          <w:szCs w:val="20"/>
        </w:rPr>
        <w:t xml:space="preserve">The Group reported an adjusted </w:t>
      </w:r>
      <w:r w:rsidR="003F19BF">
        <w:rPr>
          <w:sz w:val="20"/>
          <w:szCs w:val="20"/>
        </w:rPr>
        <w:t>loss before tax</w:t>
      </w:r>
      <w:r w:rsidRPr="00701439">
        <w:rPr>
          <w:sz w:val="20"/>
          <w:szCs w:val="20"/>
        </w:rPr>
        <w:t xml:space="preserve"> </w:t>
      </w:r>
      <w:r w:rsidRPr="00BA7A12">
        <w:rPr>
          <w:sz w:val="20"/>
          <w:szCs w:val="20"/>
        </w:rPr>
        <w:t>of £</w:t>
      </w:r>
      <w:r w:rsidR="005C529D" w:rsidRPr="00BA7A12">
        <w:rPr>
          <w:sz w:val="20"/>
          <w:szCs w:val="20"/>
        </w:rPr>
        <w:t>26.8</w:t>
      </w:r>
      <w:r w:rsidRPr="00BA7A12">
        <w:rPr>
          <w:sz w:val="20"/>
          <w:szCs w:val="20"/>
        </w:rPr>
        <w:t>m (</w:t>
      </w:r>
      <w:r w:rsidR="001549F8" w:rsidRPr="00BA7A12">
        <w:rPr>
          <w:sz w:val="20"/>
          <w:szCs w:val="20"/>
        </w:rPr>
        <w:t>1H</w:t>
      </w:r>
      <w:r w:rsidR="00EC7117" w:rsidRPr="00BA7A12">
        <w:rPr>
          <w:sz w:val="20"/>
          <w:szCs w:val="20"/>
        </w:rPr>
        <w:t>2</w:t>
      </w:r>
      <w:r w:rsidR="00890DCF" w:rsidRPr="00BA7A12">
        <w:rPr>
          <w:sz w:val="20"/>
          <w:szCs w:val="20"/>
        </w:rPr>
        <w:t>3</w:t>
      </w:r>
      <w:r w:rsidR="00322FE0" w:rsidRPr="00BA7A12">
        <w:rPr>
          <w:sz w:val="20"/>
          <w:szCs w:val="20"/>
        </w:rPr>
        <w:t xml:space="preserve"> </w:t>
      </w:r>
      <w:r w:rsidR="000E468A" w:rsidRPr="00BA7A12">
        <w:rPr>
          <w:sz w:val="20"/>
          <w:szCs w:val="20"/>
        </w:rPr>
        <w:t>restated</w:t>
      </w:r>
      <w:r w:rsidRPr="00BA7A12">
        <w:rPr>
          <w:sz w:val="20"/>
          <w:szCs w:val="20"/>
        </w:rPr>
        <w:t>: £</w:t>
      </w:r>
      <w:r w:rsidR="00AC71B6">
        <w:rPr>
          <w:sz w:val="20"/>
          <w:szCs w:val="20"/>
        </w:rPr>
        <w:t>12.9</w:t>
      </w:r>
      <w:r w:rsidRPr="00BA7A12">
        <w:rPr>
          <w:sz w:val="20"/>
          <w:szCs w:val="20"/>
        </w:rPr>
        <w:t>m</w:t>
      </w:r>
      <w:r w:rsidRPr="00701439">
        <w:rPr>
          <w:sz w:val="20"/>
          <w:szCs w:val="20"/>
        </w:rPr>
        <w:t xml:space="preserve">), which reflects </w:t>
      </w:r>
      <w:r w:rsidR="00B34C56" w:rsidRPr="00B34C56">
        <w:rPr>
          <w:sz w:val="20"/>
          <w:szCs w:val="20"/>
        </w:rPr>
        <w:t>a</w:t>
      </w:r>
      <w:r w:rsidR="00D7752D">
        <w:rPr>
          <w:sz w:val="20"/>
          <w:szCs w:val="20"/>
        </w:rPr>
        <w:t xml:space="preserve"> number of one off items recognised in the period including </w:t>
      </w:r>
      <w:r w:rsidR="00B057D8" w:rsidRPr="00566E23">
        <w:rPr>
          <w:sz w:val="20"/>
          <w:szCs w:val="20"/>
        </w:rPr>
        <w:t>£1</w:t>
      </w:r>
      <w:r w:rsidR="004B47E9" w:rsidRPr="00566E23">
        <w:rPr>
          <w:sz w:val="20"/>
          <w:szCs w:val="20"/>
        </w:rPr>
        <w:t>2.8</w:t>
      </w:r>
      <w:r w:rsidR="0047072A" w:rsidRPr="00566E23">
        <w:rPr>
          <w:sz w:val="20"/>
          <w:szCs w:val="20"/>
        </w:rPr>
        <w:t>m</w:t>
      </w:r>
      <w:r w:rsidR="0047072A">
        <w:rPr>
          <w:sz w:val="20"/>
          <w:szCs w:val="20"/>
        </w:rPr>
        <w:t xml:space="preserve"> </w:t>
      </w:r>
      <w:r w:rsidR="00DD36B9">
        <w:rPr>
          <w:sz w:val="20"/>
          <w:szCs w:val="20"/>
        </w:rPr>
        <w:t>(1H23: £</w:t>
      </w:r>
      <w:r w:rsidR="00DD2490">
        <w:rPr>
          <w:sz w:val="20"/>
          <w:szCs w:val="20"/>
        </w:rPr>
        <w:t>7.</w:t>
      </w:r>
      <w:r w:rsidR="003B15C8">
        <w:rPr>
          <w:sz w:val="20"/>
          <w:szCs w:val="20"/>
        </w:rPr>
        <w:t>6</w:t>
      </w:r>
      <w:r w:rsidR="00DD2490">
        <w:rPr>
          <w:sz w:val="20"/>
          <w:szCs w:val="20"/>
        </w:rPr>
        <w:t xml:space="preserve">m) </w:t>
      </w:r>
      <w:r w:rsidR="0047072A">
        <w:rPr>
          <w:sz w:val="20"/>
          <w:szCs w:val="20"/>
        </w:rPr>
        <w:t xml:space="preserve">in relation to the </w:t>
      </w:r>
      <w:r w:rsidR="00E5223C">
        <w:rPr>
          <w:sz w:val="20"/>
          <w:szCs w:val="20"/>
        </w:rPr>
        <w:t xml:space="preserve">review of </w:t>
      </w:r>
      <w:r w:rsidR="007D0C59">
        <w:rPr>
          <w:sz w:val="20"/>
          <w:szCs w:val="20"/>
        </w:rPr>
        <w:t>V</w:t>
      </w:r>
      <w:r w:rsidR="00E5223C">
        <w:rPr>
          <w:sz w:val="20"/>
          <w:szCs w:val="20"/>
        </w:rPr>
        <w:t xml:space="preserve">ehicle </w:t>
      </w:r>
      <w:r w:rsidR="007D0C59">
        <w:rPr>
          <w:sz w:val="20"/>
          <w:szCs w:val="20"/>
        </w:rPr>
        <w:t>F</w:t>
      </w:r>
      <w:r w:rsidR="00E5223C">
        <w:rPr>
          <w:sz w:val="20"/>
          <w:szCs w:val="20"/>
        </w:rPr>
        <w:t xml:space="preserve">inance </w:t>
      </w:r>
      <w:r w:rsidR="007D0C59">
        <w:rPr>
          <w:sz w:val="20"/>
          <w:szCs w:val="20"/>
        </w:rPr>
        <w:t>S</w:t>
      </w:r>
      <w:r w:rsidR="00E5223C">
        <w:rPr>
          <w:sz w:val="20"/>
          <w:szCs w:val="20"/>
        </w:rPr>
        <w:t>tage 3</w:t>
      </w:r>
      <w:r w:rsidR="00704F9B">
        <w:rPr>
          <w:sz w:val="20"/>
          <w:szCs w:val="20"/>
        </w:rPr>
        <w:t xml:space="preserve"> </w:t>
      </w:r>
      <w:r w:rsidR="00D02C77">
        <w:rPr>
          <w:sz w:val="20"/>
          <w:szCs w:val="20"/>
        </w:rPr>
        <w:t>balances</w:t>
      </w:r>
      <w:r w:rsidR="00704F9B">
        <w:rPr>
          <w:sz w:val="20"/>
          <w:szCs w:val="20"/>
        </w:rPr>
        <w:t xml:space="preserve"> as indicated </w:t>
      </w:r>
      <w:r w:rsidR="000867A1">
        <w:rPr>
          <w:sz w:val="20"/>
          <w:szCs w:val="20"/>
        </w:rPr>
        <w:t>during the strategy seminar on 27</w:t>
      </w:r>
      <w:r w:rsidR="00D13174">
        <w:rPr>
          <w:sz w:val="20"/>
          <w:szCs w:val="20"/>
        </w:rPr>
        <w:t xml:space="preserve"> </w:t>
      </w:r>
      <w:r w:rsidR="000867A1">
        <w:rPr>
          <w:sz w:val="20"/>
          <w:szCs w:val="20"/>
        </w:rPr>
        <w:t>March 2024</w:t>
      </w:r>
      <w:r w:rsidR="00284E44">
        <w:rPr>
          <w:sz w:val="20"/>
          <w:szCs w:val="20"/>
        </w:rPr>
        <w:t>, with a view to future potential debt sales</w:t>
      </w:r>
      <w:r w:rsidR="00E5223C">
        <w:rPr>
          <w:sz w:val="20"/>
          <w:szCs w:val="20"/>
        </w:rPr>
        <w:t xml:space="preserve">. </w:t>
      </w:r>
      <w:r w:rsidR="006916E5">
        <w:rPr>
          <w:rFonts w:cs="Arial"/>
          <w:bCs/>
          <w:sz w:val="20"/>
          <w:szCs w:val="20"/>
        </w:rPr>
        <w:t xml:space="preserve">Vehicle Finance has been exhibiting an ever growing stage 3 gross receivable balance with a corresponding large and increasing ECL provision being held. As part of the review, receivables eligible for a potential debt sale were fully charged off resulting in a post charge off asset </w:t>
      </w:r>
      <w:r w:rsidR="00AD4A38">
        <w:rPr>
          <w:rFonts w:cs="Arial"/>
          <w:bCs/>
          <w:sz w:val="20"/>
          <w:szCs w:val="20"/>
        </w:rPr>
        <w:t>(PCOA)</w:t>
      </w:r>
      <w:r w:rsidR="006916E5">
        <w:rPr>
          <w:rFonts w:cs="Arial"/>
          <w:bCs/>
          <w:sz w:val="20"/>
          <w:szCs w:val="20"/>
        </w:rPr>
        <w:t xml:space="preserve"> of £17.8m being recognised. </w:t>
      </w:r>
      <w:r w:rsidR="00A364FA">
        <w:rPr>
          <w:rFonts w:cs="Arial"/>
          <w:bCs/>
          <w:sz w:val="20"/>
          <w:szCs w:val="20"/>
        </w:rPr>
        <w:t xml:space="preserve">The total impact of the review was £28.9m, with £12.8m recognised in 1H24 </w:t>
      </w:r>
      <w:r w:rsidR="00A364FA" w:rsidRPr="00D122E0">
        <w:rPr>
          <w:rFonts w:cs="Arial"/>
          <w:sz w:val="20"/>
          <w:szCs w:val="20"/>
        </w:rPr>
        <w:t xml:space="preserve">and </w:t>
      </w:r>
      <w:r w:rsidR="00A364FA" w:rsidRPr="00566E23">
        <w:rPr>
          <w:rFonts w:cs="Arial"/>
          <w:sz w:val="20"/>
          <w:szCs w:val="20"/>
        </w:rPr>
        <w:t>£</w:t>
      </w:r>
      <w:r w:rsidR="00E731EF" w:rsidRPr="00566E23">
        <w:rPr>
          <w:rFonts w:cs="Arial"/>
          <w:bCs/>
          <w:sz w:val="20"/>
          <w:szCs w:val="20"/>
        </w:rPr>
        <w:t>7.</w:t>
      </w:r>
      <w:r w:rsidR="005129ED">
        <w:rPr>
          <w:rFonts w:cs="Arial"/>
          <w:bCs/>
          <w:sz w:val="20"/>
          <w:szCs w:val="20"/>
        </w:rPr>
        <w:t>4</w:t>
      </w:r>
      <w:r w:rsidR="00A364FA" w:rsidRPr="00566E23">
        <w:rPr>
          <w:rFonts w:cs="Arial"/>
          <w:bCs/>
          <w:sz w:val="20"/>
          <w:szCs w:val="20"/>
        </w:rPr>
        <w:t>m</w:t>
      </w:r>
      <w:r w:rsidR="00A364FA">
        <w:rPr>
          <w:rFonts w:cs="Arial"/>
          <w:bCs/>
          <w:sz w:val="20"/>
          <w:szCs w:val="20"/>
        </w:rPr>
        <w:t xml:space="preserve"> in </w:t>
      </w:r>
      <w:r w:rsidR="00E45515">
        <w:rPr>
          <w:rFonts w:cs="Arial"/>
          <w:bCs/>
          <w:sz w:val="20"/>
          <w:szCs w:val="20"/>
        </w:rPr>
        <w:t>1H</w:t>
      </w:r>
      <w:r w:rsidR="00A364FA">
        <w:rPr>
          <w:rFonts w:cs="Arial"/>
          <w:bCs/>
          <w:sz w:val="20"/>
          <w:szCs w:val="20"/>
        </w:rPr>
        <w:t>23</w:t>
      </w:r>
      <w:r w:rsidR="004618BB">
        <w:rPr>
          <w:rFonts w:cs="Arial"/>
          <w:bCs/>
          <w:sz w:val="20"/>
          <w:szCs w:val="20"/>
        </w:rPr>
        <w:t xml:space="preserve"> </w:t>
      </w:r>
      <w:r w:rsidR="00BA6863">
        <w:rPr>
          <w:rFonts w:cs="Arial"/>
          <w:bCs/>
          <w:sz w:val="20"/>
          <w:szCs w:val="20"/>
        </w:rPr>
        <w:t>(</w:t>
      </w:r>
      <w:r w:rsidR="00E45515">
        <w:rPr>
          <w:rFonts w:cs="Arial"/>
          <w:bCs/>
          <w:sz w:val="20"/>
          <w:szCs w:val="20"/>
        </w:rPr>
        <w:t>2H23: £0.2m)</w:t>
      </w:r>
      <w:r w:rsidR="004618BB">
        <w:rPr>
          <w:rFonts w:cs="Arial"/>
          <w:bCs/>
          <w:sz w:val="20"/>
          <w:szCs w:val="20"/>
        </w:rPr>
        <w:t xml:space="preserve"> </w:t>
      </w:r>
      <w:r w:rsidR="00DE4CE6">
        <w:rPr>
          <w:rFonts w:cs="Arial"/>
          <w:bCs/>
          <w:sz w:val="20"/>
          <w:szCs w:val="20"/>
        </w:rPr>
        <w:t xml:space="preserve">due to </w:t>
      </w:r>
      <w:r w:rsidR="00686ACD">
        <w:rPr>
          <w:rFonts w:cs="Arial"/>
          <w:bCs/>
          <w:sz w:val="20"/>
          <w:szCs w:val="20"/>
        </w:rPr>
        <w:t>a prior period restatement being required</w:t>
      </w:r>
      <w:r w:rsidR="00D616D1">
        <w:rPr>
          <w:rFonts w:cs="Arial"/>
          <w:bCs/>
          <w:sz w:val="20"/>
          <w:szCs w:val="20"/>
        </w:rPr>
        <w:t>.</w:t>
      </w:r>
      <w:r w:rsidR="009E116F">
        <w:rPr>
          <w:rFonts w:cs="Arial"/>
          <w:bCs/>
          <w:sz w:val="20"/>
          <w:szCs w:val="20"/>
        </w:rPr>
        <w:t xml:space="preserve"> The impact on the opening balance sheet</w:t>
      </w:r>
      <w:r w:rsidR="005345ED">
        <w:rPr>
          <w:rFonts w:cs="Arial"/>
          <w:bCs/>
          <w:sz w:val="20"/>
          <w:szCs w:val="20"/>
        </w:rPr>
        <w:t xml:space="preserve"> was </w:t>
      </w:r>
      <w:r w:rsidR="008A7B2E">
        <w:rPr>
          <w:rFonts w:cs="Arial"/>
          <w:bCs/>
          <w:sz w:val="20"/>
          <w:szCs w:val="20"/>
        </w:rPr>
        <w:t>£8.5m</w:t>
      </w:r>
      <w:r w:rsidR="00686ACD">
        <w:rPr>
          <w:rFonts w:cs="Arial"/>
          <w:bCs/>
          <w:sz w:val="20"/>
          <w:szCs w:val="20"/>
        </w:rPr>
        <w:t>.</w:t>
      </w:r>
      <w:r w:rsidR="00A364FA">
        <w:rPr>
          <w:rFonts w:cs="Arial"/>
          <w:bCs/>
          <w:sz w:val="20"/>
          <w:szCs w:val="20"/>
        </w:rPr>
        <w:t xml:space="preserve"> </w:t>
      </w:r>
      <w:r w:rsidR="00A364FA">
        <w:rPr>
          <w:rStyle w:val="bodycopynumber"/>
          <w:rFonts w:asciiTheme="minorHAnsi" w:hAnsiTheme="minorHAnsi" w:cs="Poppins-Light"/>
          <w:color w:val="000000" w:themeColor="text1"/>
          <w:sz w:val="20"/>
          <w:szCs w:val="20"/>
        </w:rPr>
        <w:t xml:space="preserve">The full impact of the restatement is set out in note </w:t>
      </w:r>
      <w:r w:rsidR="00E077E4">
        <w:rPr>
          <w:rStyle w:val="bodycopynumber"/>
          <w:rFonts w:asciiTheme="minorHAnsi" w:hAnsiTheme="minorHAnsi" w:cs="Poppins-Light"/>
          <w:color w:val="000000" w:themeColor="text1"/>
          <w:sz w:val="20"/>
          <w:szCs w:val="20"/>
        </w:rPr>
        <w:t>2 of the financial statements</w:t>
      </w:r>
      <w:r w:rsidR="00A364FA">
        <w:rPr>
          <w:rStyle w:val="bodycopynumber"/>
          <w:rFonts w:asciiTheme="minorHAnsi" w:hAnsiTheme="minorHAnsi" w:cs="Poppins-Light"/>
          <w:color w:val="000000" w:themeColor="text1"/>
          <w:sz w:val="20"/>
          <w:szCs w:val="20"/>
        </w:rPr>
        <w:t>.</w:t>
      </w:r>
    </w:p>
    <w:p w14:paraId="1D3C6B86" w14:textId="4000E627" w:rsidR="00686ACD" w:rsidRDefault="00686ACD" w:rsidP="0046170D">
      <w:pPr>
        <w:pStyle w:val="NoSpacing"/>
        <w:jc w:val="both"/>
        <w:rPr>
          <w:rFonts w:cs="Arial"/>
          <w:bCs/>
          <w:sz w:val="20"/>
          <w:szCs w:val="20"/>
        </w:rPr>
      </w:pPr>
    </w:p>
    <w:p w14:paraId="67B1FB6F" w14:textId="63CA8EA6" w:rsidR="0046170D" w:rsidRDefault="003B782A" w:rsidP="0046170D">
      <w:pPr>
        <w:pStyle w:val="NoSpacing"/>
        <w:jc w:val="both"/>
      </w:pPr>
      <w:r>
        <w:rPr>
          <w:sz w:val="20"/>
          <w:szCs w:val="20"/>
        </w:rPr>
        <w:t>In addition, there were</w:t>
      </w:r>
      <w:r w:rsidR="00E5223C">
        <w:rPr>
          <w:sz w:val="20"/>
          <w:szCs w:val="20"/>
        </w:rPr>
        <w:t xml:space="preserve"> </w:t>
      </w:r>
      <w:r w:rsidR="00E5223C" w:rsidRPr="00566E23">
        <w:rPr>
          <w:sz w:val="20"/>
          <w:szCs w:val="20"/>
        </w:rPr>
        <w:t>£11</w:t>
      </w:r>
      <w:r w:rsidR="006D724D" w:rsidRPr="00566E23">
        <w:rPr>
          <w:sz w:val="20"/>
          <w:szCs w:val="20"/>
        </w:rPr>
        <w:t>.5</w:t>
      </w:r>
      <w:r w:rsidR="00E5223C" w:rsidRPr="00566E23">
        <w:rPr>
          <w:sz w:val="20"/>
          <w:szCs w:val="20"/>
        </w:rPr>
        <w:t>m</w:t>
      </w:r>
      <w:r w:rsidR="00E5223C">
        <w:rPr>
          <w:sz w:val="20"/>
          <w:szCs w:val="20"/>
        </w:rPr>
        <w:t xml:space="preserve"> </w:t>
      </w:r>
      <w:r>
        <w:rPr>
          <w:sz w:val="20"/>
          <w:szCs w:val="20"/>
        </w:rPr>
        <w:t>of</w:t>
      </w:r>
      <w:r w:rsidR="00E5223C">
        <w:rPr>
          <w:sz w:val="20"/>
          <w:szCs w:val="20"/>
        </w:rPr>
        <w:t xml:space="preserve"> other one of</w:t>
      </w:r>
      <w:r w:rsidR="00943219">
        <w:rPr>
          <w:sz w:val="20"/>
          <w:szCs w:val="20"/>
        </w:rPr>
        <w:t>f</w:t>
      </w:r>
      <w:r w:rsidR="00E5223C">
        <w:rPr>
          <w:sz w:val="20"/>
          <w:szCs w:val="20"/>
        </w:rPr>
        <w:t xml:space="preserve"> </w:t>
      </w:r>
      <w:r w:rsidR="00DF6E3A">
        <w:rPr>
          <w:sz w:val="20"/>
          <w:szCs w:val="20"/>
        </w:rPr>
        <w:t>items</w:t>
      </w:r>
      <w:r w:rsidR="00E5223C">
        <w:rPr>
          <w:sz w:val="20"/>
          <w:szCs w:val="20"/>
        </w:rPr>
        <w:t xml:space="preserve"> </w:t>
      </w:r>
      <w:r w:rsidR="0046170D" w:rsidRPr="2BF5A8B4">
        <w:rPr>
          <w:sz w:val="20"/>
          <w:szCs w:val="20"/>
        </w:rPr>
        <w:t>related to the write-down of development costs for a now redundant mobile app, property dilapidations and other sundry balances.</w:t>
      </w:r>
    </w:p>
    <w:p w14:paraId="3C454097" w14:textId="77777777" w:rsidR="001F0770" w:rsidRDefault="001F0770" w:rsidP="00E534C5">
      <w:pPr>
        <w:pStyle w:val="NoSpacing"/>
        <w:tabs>
          <w:tab w:val="left" w:pos="5529"/>
        </w:tabs>
        <w:jc w:val="both"/>
        <w:rPr>
          <w:sz w:val="20"/>
          <w:szCs w:val="20"/>
        </w:rPr>
      </w:pPr>
    </w:p>
    <w:p w14:paraId="04B36ABC" w14:textId="3AFA5F25" w:rsidR="00E75875" w:rsidRPr="00701439" w:rsidRDefault="00E75875" w:rsidP="00E534C5">
      <w:pPr>
        <w:pStyle w:val="NoSpacing"/>
        <w:tabs>
          <w:tab w:val="left" w:pos="5529"/>
        </w:tabs>
        <w:jc w:val="both"/>
        <w:rPr>
          <w:sz w:val="20"/>
          <w:szCs w:val="20"/>
        </w:rPr>
      </w:pPr>
      <w:r w:rsidRPr="00701439">
        <w:rPr>
          <w:sz w:val="20"/>
          <w:szCs w:val="20"/>
        </w:rPr>
        <w:t xml:space="preserve">Including amortisation of </w:t>
      </w:r>
      <w:r w:rsidR="008275CD">
        <w:rPr>
          <w:sz w:val="20"/>
          <w:szCs w:val="20"/>
        </w:rPr>
        <w:t xml:space="preserve">acquisition </w:t>
      </w:r>
      <w:r w:rsidRPr="00701439">
        <w:rPr>
          <w:sz w:val="20"/>
          <w:szCs w:val="20"/>
        </w:rPr>
        <w:t>intangibles</w:t>
      </w:r>
      <w:r w:rsidR="008E79E8">
        <w:rPr>
          <w:sz w:val="20"/>
          <w:szCs w:val="20"/>
        </w:rPr>
        <w:t xml:space="preserve"> </w:t>
      </w:r>
      <w:r w:rsidRPr="00701439">
        <w:rPr>
          <w:sz w:val="20"/>
          <w:szCs w:val="20"/>
        </w:rPr>
        <w:t>and exceptional items</w:t>
      </w:r>
      <w:r w:rsidR="00367123">
        <w:rPr>
          <w:sz w:val="20"/>
          <w:szCs w:val="20"/>
        </w:rPr>
        <w:t>,</w:t>
      </w:r>
      <w:r w:rsidR="008E79E8">
        <w:rPr>
          <w:sz w:val="20"/>
          <w:szCs w:val="20"/>
        </w:rPr>
        <w:t xml:space="preserve"> </w:t>
      </w:r>
      <w:r w:rsidRPr="00701439">
        <w:rPr>
          <w:sz w:val="20"/>
          <w:szCs w:val="20"/>
        </w:rPr>
        <w:t xml:space="preserve">the Group </w:t>
      </w:r>
      <w:r w:rsidR="007B6557">
        <w:rPr>
          <w:sz w:val="20"/>
          <w:szCs w:val="20"/>
        </w:rPr>
        <w:t>loss before tax</w:t>
      </w:r>
      <w:r w:rsidRPr="00701439">
        <w:rPr>
          <w:sz w:val="20"/>
          <w:szCs w:val="20"/>
        </w:rPr>
        <w:t xml:space="preserve"> </w:t>
      </w:r>
      <w:r w:rsidRPr="00BA7A12">
        <w:rPr>
          <w:sz w:val="20"/>
          <w:szCs w:val="20"/>
        </w:rPr>
        <w:t>was £</w:t>
      </w:r>
      <w:r w:rsidR="00B058D5" w:rsidRPr="00BA7A12">
        <w:rPr>
          <w:sz w:val="20"/>
          <w:szCs w:val="20"/>
        </w:rPr>
        <w:t>46.5</w:t>
      </w:r>
      <w:r w:rsidRPr="00BA7A12">
        <w:rPr>
          <w:sz w:val="20"/>
          <w:szCs w:val="20"/>
        </w:rPr>
        <w:t>m (</w:t>
      </w:r>
      <w:r w:rsidR="001549F8" w:rsidRPr="00BA7A12">
        <w:rPr>
          <w:sz w:val="20"/>
          <w:szCs w:val="20"/>
        </w:rPr>
        <w:t>1H</w:t>
      </w:r>
      <w:r w:rsidR="00EC7117" w:rsidRPr="00BA7A12">
        <w:rPr>
          <w:sz w:val="20"/>
          <w:szCs w:val="20"/>
        </w:rPr>
        <w:t>2</w:t>
      </w:r>
      <w:r w:rsidR="00890DCF" w:rsidRPr="00BA7A12">
        <w:rPr>
          <w:sz w:val="20"/>
          <w:szCs w:val="20"/>
        </w:rPr>
        <w:t>3</w:t>
      </w:r>
      <w:r w:rsidR="00B84392" w:rsidRPr="00BA7A12">
        <w:rPr>
          <w:sz w:val="20"/>
          <w:szCs w:val="20"/>
        </w:rPr>
        <w:t xml:space="preserve"> </w:t>
      </w:r>
      <w:r w:rsidR="008272B6" w:rsidRPr="00BA7A12">
        <w:rPr>
          <w:sz w:val="20"/>
          <w:szCs w:val="20"/>
        </w:rPr>
        <w:t>restated</w:t>
      </w:r>
      <w:r w:rsidR="00CC5986" w:rsidRPr="00BA7A12">
        <w:rPr>
          <w:sz w:val="20"/>
          <w:szCs w:val="20"/>
        </w:rPr>
        <w:t>:</w:t>
      </w:r>
      <w:r w:rsidR="00A5583E" w:rsidRPr="00BA7A12">
        <w:rPr>
          <w:sz w:val="20"/>
          <w:szCs w:val="20"/>
        </w:rPr>
        <w:t xml:space="preserve"> </w:t>
      </w:r>
      <w:r w:rsidR="008E79E8" w:rsidRPr="00BA7A12">
        <w:rPr>
          <w:sz w:val="20"/>
          <w:szCs w:val="20"/>
        </w:rPr>
        <w:t>£</w:t>
      </w:r>
      <w:r w:rsidR="00B105F4">
        <w:rPr>
          <w:sz w:val="20"/>
          <w:szCs w:val="20"/>
        </w:rPr>
        <w:t>21.9</w:t>
      </w:r>
      <w:r w:rsidRPr="00BA7A12">
        <w:rPr>
          <w:sz w:val="20"/>
          <w:szCs w:val="20"/>
        </w:rPr>
        <w:t>m).</w:t>
      </w:r>
    </w:p>
    <w:p w14:paraId="11E80CA6" w14:textId="3B503BA0" w:rsidR="005A08A8" w:rsidRPr="00701439" w:rsidRDefault="005A08A8" w:rsidP="00E534C5">
      <w:pPr>
        <w:pStyle w:val="NoSpacing"/>
        <w:tabs>
          <w:tab w:val="left" w:pos="5529"/>
        </w:tabs>
        <w:jc w:val="both"/>
        <w:rPr>
          <w:sz w:val="20"/>
          <w:szCs w:val="20"/>
        </w:rPr>
      </w:pPr>
    </w:p>
    <w:p w14:paraId="5B1E3E6C" w14:textId="29C0D4BF" w:rsidR="00F01EC8" w:rsidRDefault="00124A1F" w:rsidP="00E534C5">
      <w:pPr>
        <w:pStyle w:val="NoSpacing"/>
        <w:jc w:val="both"/>
        <w:rPr>
          <w:sz w:val="20"/>
          <w:szCs w:val="20"/>
        </w:rPr>
      </w:pPr>
      <w:r w:rsidRPr="00701439">
        <w:rPr>
          <w:sz w:val="20"/>
          <w:szCs w:val="20"/>
        </w:rPr>
        <w:lastRenderedPageBreak/>
        <w:t xml:space="preserve">The </w:t>
      </w:r>
      <w:r w:rsidR="008C578A">
        <w:rPr>
          <w:sz w:val="20"/>
          <w:szCs w:val="20"/>
        </w:rPr>
        <w:t>C</w:t>
      </w:r>
      <w:r w:rsidRPr="00701439">
        <w:rPr>
          <w:sz w:val="20"/>
          <w:szCs w:val="20"/>
        </w:rPr>
        <w:t xml:space="preserve">redit </w:t>
      </w:r>
      <w:r w:rsidR="008C578A">
        <w:rPr>
          <w:sz w:val="20"/>
          <w:szCs w:val="20"/>
        </w:rPr>
        <w:t>C</w:t>
      </w:r>
      <w:r w:rsidRPr="00701439">
        <w:rPr>
          <w:sz w:val="20"/>
          <w:szCs w:val="20"/>
        </w:rPr>
        <w:t>ard business</w:t>
      </w:r>
      <w:r w:rsidR="00F01EC8" w:rsidRPr="00701439">
        <w:rPr>
          <w:sz w:val="20"/>
          <w:szCs w:val="20"/>
        </w:rPr>
        <w:t xml:space="preserve"> reported </w:t>
      </w:r>
      <w:r w:rsidRPr="00701439">
        <w:rPr>
          <w:sz w:val="20"/>
          <w:szCs w:val="20"/>
        </w:rPr>
        <w:t xml:space="preserve">adjusted </w:t>
      </w:r>
      <w:r w:rsidR="00F01EC8" w:rsidRPr="00701439">
        <w:rPr>
          <w:sz w:val="20"/>
          <w:szCs w:val="20"/>
        </w:rPr>
        <w:t xml:space="preserve">profit before tax for the period </w:t>
      </w:r>
      <w:r w:rsidR="00F01EC8" w:rsidRPr="00BA7A12">
        <w:rPr>
          <w:sz w:val="20"/>
          <w:szCs w:val="20"/>
        </w:rPr>
        <w:t xml:space="preserve">of </w:t>
      </w:r>
      <w:r w:rsidRPr="00BA7A12">
        <w:rPr>
          <w:sz w:val="20"/>
          <w:szCs w:val="20"/>
        </w:rPr>
        <w:t>£</w:t>
      </w:r>
      <w:r w:rsidR="00DA38AE" w:rsidRPr="00BA7A12">
        <w:rPr>
          <w:sz w:val="20"/>
          <w:szCs w:val="20"/>
        </w:rPr>
        <w:t>20.2</w:t>
      </w:r>
      <w:r w:rsidRPr="00BA7A12">
        <w:rPr>
          <w:sz w:val="20"/>
          <w:szCs w:val="20"/>
        </w:rPr>
        <w:t>m (</w:t>
      </w:r>
      <w:r w:rsidR="001549F8" w:rsidRPr="00BA7A12">
        <w:rPr>
          <w:sz w:val="20"/>
          <w:szCs w:val="20"/>
        </w:rPr>
        <w:t>1H</w:t>
      </w:r>
      <w:r w:rsidR="00EC7117" w:rsidRPr="00BA7A12">
        <w:rPr>
          <w:sz w:val="20"/>
          <w:szCs w:val="20"/>
        </w:rPr>
        <w:t>2</w:t>
      </w:r>
      <w:r w:rsidR="009E1564" w:rsidRPr="00BA7A12">
        <w:rPr>
          <w:sz w:val="20"/>
          <w:szCs w:val="20"/>
        </w:rPr>
        <w:t>3</w:t>
      </w:r>
      <w:r w:rsidRPr="00BA7A12">
        <w:rPr>
          <w:sz w:val="20"/>
          <w:szCs w:val="20"/>
        </w:rPr>
        <w:t xml:space="preserve">: </w:t>
      </w:r>
      <w:r w:rsidR="00F01EC8" w:rsidRPr="00BA7A12">
        <w:rPr>
          <w:sz w:val="20"/>
          <w:szCs w:val="20"/>
        </w:rPr>
        <w:t>£</w:t>
      </w:r>
      <w:r w:rsidR="009E1564" w:rsidRPr="00BA7A12">
        <w:rPr>
          <w:sz w:val="20"/>
          <w:szCs w:val="20"/>
        </w:rPr>
        <w:t>33.9</w:t>
      </w:r>
      <w:r w:rsidRPr="00BA7A12">
        <w:rPr>
          <w:sz w:val="20"/>
          <w:szCs w:val="20"/>
        </w:rPr>
        <w:t>m</w:t>
      </w:r>
      <w:r w:rsidRPr="00701439">
        <w:rPr>
          <w:sz w:val="20"/>
          <w:szCs w:val="20"/>
        </w:rPr>
        <w:t>)</w:t>
      </w:r>
      <w:r w:rsidR="00F01EC8" w:rsidRPr="00701439">
        <w:rPr>
          <w:sz w:val="20"/>
          <w:szCs w:val="20"/>
        </w:rPr>
        <w:t xml:space="preserve"> and receivables ended the period </w:t>
      </w:r>
      <w:r w:rsidR="00F01EC8" w:rsidRPr="00BA7A12">
        <w:rPr>
          <w:sz w:val="20"/>
          <w:szCs w:val="20"/>
        </w:rPr>
        <w:t xml:space="preserve">at </w:t>
      </w:r>
      <w:r w:rsidRPr="00BA7A12">
        <w:rPr>
          <w:sz w:val="20"/>
          <w:szCs w:val="20"/>
        </w:rPr>
        <w:t>£</w:t>
      </w:r>
      <w:r w:rsidR="00574B6B" w:rsidRPr="00BA7A12">
        <w:rPr>
          <w:sz w:val="20"/>
          <w:szCs w:val="20"/>
        </w:rPr>
        <w:t>1,151</w:t>
      </w:r>
      <w:r w:rsidRPr="00BA7A12">
        <w:rPr>
          <w:sz w:val="20"/>
          <w:szCs w:val="20"/>
        </w:rPr>
        <w:t>m (</w:t>
      </w:r>
      <w:r w:rsidR="001549F8" w:rsidRPr="00BA7A12">
        <w:rPr>
          <w:sz w:val="20"/>
          <w:szCs w:val="20"/>
        </w:rPr>
        <w:t>1H</w:t>
      </w:r>
      <w:r w:rsidR="00EC7117" w:rsidRPr="00BA7A12">
        <w:rPr>
          <w:sz w:val="20"/>
          <w:szCs w:val="20"/>
        </w:rPr>
        <w:t>2</w:t>
      </w:r>
      <w:r w:rsidR="009E1564" w:rsidRPr="00BA7A12">
        <w:rPr>
          <w:sz w:val="20"/>
          <w:szCs w:val="20"/>
        </w:rPr>
        <w:t>3</w:t>
      </w:r>
      <w:r w:rsidRPr="00BA7A12">
        <w:rPr>
          <w:sz w:val="20"/>
          <w:szCs w:val="20"/>
        </w:rPr>
        <w:t xml:space="preserve">: </w:t>
      </w:r>
      <w:r w:rsidR="00F01EC8" w:rsidRPr="00BA7A12">
        <w:rPr>
          <w:sz w:val="20"/>
          <w:szCs w:val="20"/>
        </w:rPr>
        <w:t>£</w:t>
      </w:r>
      <w:r w:rsidR="00DC0693" w:rsidRPr="00BA7A12">
        <w:rPr>
          <w:sz w:val="20"/>
          <w:szCs w:val="20"/>
        </w:rPr>
        <w:t>1</w:t>
      </w:r>
      <w:r w:rsidR="007F5E0D" w:rsidRPr="00BA7A12">
        <w:rPr>
          <w:sz w:val="20"/>
          <w:szCs w:val="20"/>
        </w:rPr>
        <w:t>,</w:t>
      </w:r>
      <w:r w:rsidR="009E1564" w:rsidRPr="00BA7A12">
        <w:rPr>
          <w:sz w:val="20"/>
          <w:szCs w:val="20"/>
        </w:rPr>
        <w:t>224</w:t>
      </w:r>
      <w:r w:rsidRPr="00BA7A12">
        <w:rPr>
          <w:sz w:val="20"/>
          <w:szCs w:val="20"/>
        </w:rPr>
        <w:t>m</w:t>
      </w:r>
      <w:r w:rsidRPr="00701439">
        <w:rPr>
          <w:sz w:val="20"/>
          <w:szCs w:val="20"/>
        </w:rPr>
        <w:t>).</w:t>
      </w:r>
      <w:r w:rsidR="005A08A8" w:rsidRPr="00701439">
        <w:rPr>
          <w:sz w:val="20"/>
          <w:szCs w:val="20"/>
        </w:rPr>
        <w:t xml:space="preserve"> </w:t>
      </w:r>
      <w:r w:rsidRPr="00701439">
        <w:rPr>
          <w:sz w:val="20"/>
          <w:szCs w:val="20"/>
        </w:rPr>
        <w:t xml:space="preserve">The </w:t>
      </w:r>
      <w:r w:rsidR="000B5CC4">
        <w:rPr>
          <w:sz w:val="20"/>
          <w:szCs w:val="20"/>
        </w:rPr>
        <w:t>V</w:t>
      </w:r>
      <w:r w:rsidRPr="00701439">
        <w:rPr>
          <w:sz w:val="20"/>
          <w:szCs w:val="20"/>
        </w:rPr>
        <w:t xml:space="preserve">ehicle </w:t>
      </w:r>
      <w:r w:rsidR="000B5CC4">
        <w:rPr>
          <w:sz w:val="20"/>
          <w:szCs w:val="20"/>
        </w:rPr>
        <w:t>F</w:t>
      </w:r>
      <w:r w:rsidRPr="00701439">
        <w:rPr>
          <w:sz w:val="20"/>
          <w:szCs w:val="20"/>
        </w:rPr>
        <w:t>inance business</w:t>
      </w:r>
      <w:r w:rsidR="00F01EC8" w:rsidRPr="00701439">
        <w:rPr>
          <w:sz w:val="20"/>
          <w:szCs w:val="20"/>
        </w:rPr>
        <w:t xml:space="preserve"> generated a</w:t>
      </w:r>
      <w:r w:rsidR="00DD47E1" w:rsidRPr="00701439">
        <w:rPr>
          <w:sz w:val="20"/>
          <w:szCs w:val="20"/>
        </w:rPr>
        <w:t>djusted</w:t>
      </w:r>
      <w:r w:rsidR="00F01EC8" w:rsidRPr="00701439">
        <w:rPr>
          <w:sz w:val="20"/>
          <w:szCs w:val="20"/>
        </w:rPr>
        <w:t xml:space="preserve"> </w:t>
      </w:r>
      <w:r w:rsidR="00574B6B">
        <w:rPr>
          <w:sz w:val="20"/>
          <w:szCs w:val="20"/>
        </w:rPr>
        <w:t>loss</w:t>
      </w:r>
      <w:r w:rsidR="00F01EC8" w:rsidRPr="00701439">
        <w:rPr>
          <w:sz w:val="20"/>
          <w:szCs w:val="20"/>
        </w:rPr>
        <w:t xml:space="preserve"> before tax of </w:t>
      </w:r>
      <w:r w:rsidRPr="00BA7A12">
        <w:rPr>
          <w:sz w:val="20"/>
          <w:szCs w:val="20"/>
        </w:rPr>
        <w:t>£</w:t>
      </w:r>
      <w:r w:rsidR="006728C4" w:rsidRPr="00BA7A12">
        <w:rPr>
          <w:sz w:val="20"/>
          <w:szCs w:val="20"/>
        </w:rPr>
        <w:t>3.3</w:t>
      </w:r>
      <w:r w:rsidRPr="00BA7A12">
        <w:rPr>
          <w:sz w:val="20"/>
          <w:szCs w:val="20"/>
        </w:rPr>
        <w:t>m (</w:t>
      </w:r>
      <w:r w:rsidR="008272B6" w:rsidRPr="00BA7A12">
        <w:rPr>
          <w:sz w:val="20"/>
          <w:szCs w:val="20"/>
        </w:rPr>
        <w:t>1</w:t>
      </w:r>
      <w:r w:rsidR="00EC7117" w:rsidRPr="00BA7A12">
        <w:rPr>
          <w:sz w:val="20"/>
          <w:szCs w:val="20"/>
        </w:rPr>
        <w:t>H2</w:t>
      </w:r>
      <w:r w:rsidR="009E1564" w:rsidRPr="00BA7A12">
        <w:rPr>
          <w:sz w:val="20"/>
          <w:szCs w:val="20"/>
        </w:rPr>
        <w:t>3</w:t>
      </w:r>
      <w:r w:rsidR="008272B6" w:rsidRPr="00BA7A12">
        <w:rPr>
          <w:sz w:val="20"/>
          <w:szCs w:val="20"/>
        </w:rPr>
        <w:t xml:space="preserve"> restated</w:t>
      </w:r>
      <w:r w:rsidR="005F347D">
        <w:rPr>
          <w:sz w:val="20"/>
          <w:szCs w:val="20"/>
        </w:rPr>
        <w:t xml:space="preserve"> adjusted </w:t>
      </w:r>
      <w:r w:rsidR="0011669A">
        <w:rPr>
          <w:sz w:val="20"/>
          <w:szCs w:val="20"/>
        </w:rPr>
        <w:t>profit before tax</w:t>
      </w:r>
      <w:r w:rsidRPr="00BA7A12">
        <w:rPr>
          <w:sz w:val="20"/>
          <w:szCs w:val="20"/>
        </w:rPr>
        <w:t xml:space="preserve">: </w:t>
      </w:r>
      <w:r w:rsidR="00F01EC8" w:rsidRPr="00BA7A12">
        <w:rPr>
          <w:sz w:val="20"/>
          <w:szCs w:val="20"/>
        </w:rPr>
        <w:t>£</w:t>
      </w:r>
      <w:r w:rsidR="008B59D7">
        <w:rPr>
          <w:sz w:val="20"/>
          <w:szCs w:val="20"/>
        </w:rPr>
        <w:t>8.2</w:t>
      </w:r>
      <w:r w:rsidR="00F01EC8" w:rsidRPr="00BA7A12">
        <w:rPr>
          <w:sz w:val="20"/>
          <w:szCs w:val="20"/>
        </w:rPr>
        <w:t>m</w:t>
      </w:r>
      <w:r w:rsidRPr="00BA7A12">
        <w:rPr>
          <w:sz w:val="20"/>
          <w:szCs w:val="20"/>
        </w:rPr>
        <w:t>)</w:t>
      </w:r>
      <w:r w:rsidRPr="00701439">
        <w:rPr>
          <w:sz w:val="20"/>
          <w:szCs w:val="20"/>
        </w:rPr>
        <w:t xml:space="preserve"> and receivables ended the period </w:t>
      </w:r>
      <w:r w:rsidRPr="00BA7A12">
        <w:rPr>
          <w:sz w:val="20"/>
          <w:szCs w:val="20"/>
        </w:rPr>
        <w:t>at £</w:t>
      </w:r>
      <w:r w:rsidR="00B23A0E" w:rsidRPr="00BA7A12">
        <w:rPr>
          <w:sz w:val="20"/>
          <w:szCs w:val="20"/>
        </w:rPr>
        <w:t>76</w:t>
      </w:r>
      <w:r w:rsidR="00574967">
        <w:rPr>
          <w:sz w:val="20"/>
          <w:szCs w:val="20"/>
        </w:rPr>
        <w:t>0</w:t>
      </w:r>
      <w:r w:rsidRPr="00BA7A12">
        <w:rPr>
          <w:sz w:val="20"/>
          <w:szCs w:val="20"/>
        </w:rPr>
        <w:t>m (</w:t>
      </w:r>
      <w:r w:rsidR="008272B6" w:rsidRPr="00BA7A12">
        <w:rPr>
          <w:sz w:val="20"/>
          <w:szCs w:val="20"/>
        </w:rPr>
        <w:t>1H</w:t>
      </w:r>
      <w:r w:rsidR="00EC7117" w:rsidRPr="00BA7A12">
        <w:rPr>
          <w:sz w:val="20"/>
          <w:szCs w:val="20"/>
        </w:rPr>
        <w:t>2</w:t>
      </w:r>
      <w:r w:rsidR="009E1564" w:rsidRPr="00BA7A12">
        <w:rPr>
          <w:sz w:val="20"/>
          <w:szCs w:val="20"/>
        </w:rPr>
        <w:t>3</w:t>
      </w:r>
      <w:r w:rsidR="003D7D7B" w:rsidRPr="00BA7A12">
        <w:rPr>
          <w:sz w:val="20"/>
          <w:szCs w:val="20"/>
        </w:rPr>
        <w:t xml:space="preserve"> restated</w:t>
      </w:r>
      <w:r w:rsidRPr="00BA7A12">
        <w:rPr>
          <w:sz w:val="20"/>
          <w:szCs w:val="20"/>
        </w:rPr>
        <w:t>: £</w:t>
      </w:r>
      <w:r w:rsidR="009E1564" w:rsidRPr="00BA7A12">
        <w:rPr>
          <w:sz w:val="20"/>
          <w:szCs w:val="20"/>
        </w:rPr>
        <w:t>7</w:t>
      </w:r>
      <w:r w:rsidR="00976B31">
        <w:rPr>
          <w:sz w:val="20"/>
          <w:szCs w:val="20"/>
        </w:rPr>
        <w:t>48</w:t>
      </w:r>
      <w:r w:rsidRPr="00BA7A12">
        <w:rPr>
          <w:sz w:val="20"/>
          <w:szCs w:val="20"/>
        </w:rPr>
        <w:t>m).</w:t>
      </w:r>
      <w:r w:rsidRPr="00701439">
        <w:rPr>
          <w:sz w:val="20"/>
          <w:szCs w:val="20"/>
        </w:rPr>
        <w:t xml:space="preserve"> </w:t>
      </w:r>
      <w:r w:rsidR="005E02C1">
        <w:rPr>
          <w:sz w:val="20"/>
          <w:szCs w:val="20"/>
        </w:rPr>
        <w:t xml:space="preserve">The </w:t>
      </w:r>
      <w:r w:rsidR="0053636C">
        <w:rPr>
          <w:sz w:val="20"/>
          <w:szCs w:val="20"/>
        </w:rPr>
        <w:t>P</w:t>
      </w:r>
      <w:r w:rsidR="005E02C1">
        <w:rPr>
          <w:sz w:val="20"/>
          <w:szCs w:val="20"/>
        </w:rPr>
        <w:t xml:space="preserve">ersonal </w:t>
      </w:r>
      <w:r w:rsidR="0053636C">
        <w:rPr>
          <w:sz w:val="20"/>
          <w:szCs w:val="20"/>
        </w:rPr>
        <w:t>L</w:t>
      </w:r>
      <w:r w:rsidR="005E02C1">
        <w:rPr>
          <w:sz w:val="20"/>
          <w:szCs w:val="20"/>
        </w:rPr>
        <w:t xml:space="preserve">oans business generated </w:t>
      </w:r>
      <w:r w:rsidR="003C4750" w:rsidRPr="00701439">
        <w:rPr>
          <w:sz w:val="20"/>
          <w:szCs w:val="20"/>
        </w:rPr>
        <w:t xml:space="preserve">adjusted </w:t>
      </w:r>
      <w:r w:rsidR="003C4750">
        <w:rPr>
          <w:sz w:val="20"/>
          <w:szCs w:val="20"/>
        </w:rPr>
        <w:t>loss</w:t>
      </w:r>
      <w:r w:rsidR="003C4750" w:rsidRPr="00701439">
        <w:rPr>
          <w:sz w:val="20"/>
          <w:szCs w:val="20"/>
        </w:rPr>
        <w:t xml:space="preserve"> before tax</w:t>
      </w:r>
      <w:r w:rsidR="005E02C1">
        <w:rPr>
          <w:sz w:val="20"/>
          <w:szCs w:val="20"/>
        </w:rPr>
        <w:t xml:space="preserve"> </w:t>
      </w:r>
      <w:r w:rsidR="005E02C1" w:rsidRPr="00BA7A12">
        <w:rPr>
          <w:sz w:val="20"/>
          <w:szCs w:val="20"/>
        </w:rPr>
        <w:t>of £</w:t>
      </w:r>
      <w:r w:rsidR="00B23A0E" w:rsidRPr="00BA7A12">
        <w:rPr>
          <w:sz w:val="20"/>
          <w:szCs w:val="20"/>
        </w:rPr>
        <w:t>3.</w:t>
      </w:r>
      <w:r w:rsidR="005143EE" w:rsidRPr="00BA7A12">
        <w:rPr>
          <w:sz w:val="20"/>
          <w:szCs w:val="20"/>
        </w:rPr>
        <w:t>8</w:t>
      </w:r>
      <w:r w:rsidR="005E02C1" w:rsidRPr="00BA7A12">
        <w:rPr>
          <w:sz w:val="20"/>
          <w:szCs w:val="20"/>
        </w:rPr>
        <w:t>m (</w:t>
      </w:r>
      <w:r w:rsidR="007C10DC">
        <w:rPr>
          <w:sz w:val="20"/>
          <w:szCs w:val="20"/>
        </w:rPr>
        <w:t>1H</w:t>
      </w:r>
      <w:r w:rsidR="005E02C1" w:rsidRPr="00BA7A12">
        <w:rPr>
          <w:sz w:val="20"/>
          <w:szCs w:val="20"/>
        </w:rPr>
        <w:t>2</w:t>
      </w:r>
      <w:r w:rsidR="009E1564" w:rsidRPr="00BA7A12">
        <w:rPr>
          <w:sz w:val="20"/>
          <w:szCs w:val="20"/>
        </w:rPr>
        <w:t>3</w:t>
      </w:r>
      <w:r w:rsidR="005E02C1" w:rsidRPr="00BA7A12">
        <w:rPr>
          <w:sz w:val="20"/>
          <w:szCs w:val="20"/>
        </w:rPr>
        <w:t>: £</w:t>
      </w:r>
      <w:r w:rsidR="009E1564" w:rsidRPr="00BA7A12">
        <w:rPr>
          <w:sz w:val="20"/>
          <w:szCs w:val="20"/>
        </w:rPr>
        <w:t>9.3</w:t>
      </w:r>
      <w:r w:rsidR="005E02C1" w:rsidRPr="00BA7A12">
        <w:rPr>
          <w:sz w:val="20"/>
          <w:szCs w:val="20"/>
        </w:rPr>
        <w:t>m</w:t>
      </w:r>
      <w:r w:rsidR="005E02C1">
        <w:rPr>
          <w:sz w:val="20"/>
          <w:szCs w:val="20"/>
        </w:rPr>
        <w:t xml:space="preserve">) and receivables ended the period at </w:t>
      </w:r>
      <w:r w:rsidR="005E02C1" w:rsidRPr="00BA7A12">
        <w:rPr>
          <w:sz w:val="20"/>
          <w:szCs w:val="20"/>
        </w:rPr>
        <w:t>£</w:t>
      </w:r>
      <w:r w:rsidR="00060CC3" w:rsidRPr="00BA7A12">
        <w:rPr>
          <w:sz w:val="20"/>
          <w:szCs w:val="20"/>
        </w:rPr>
        <w:t>68</w:t>
      </w:r>
      <w:r w:rsidR="005E02C1" w:rsidRPr="00BA7A12">
        <w:rPr>
          <w:sz w:val="20"/>
          <w:szCs w:val="20"/>
        </w:rPr>
        <w:t>m (</w:t>
      </w:r>
      <w:r w:rsidR="007C10DC">
        <w:rPr>
          <w:sz w:val="20"/>
          <w:szCs w:val="20"/>
        </w:rPr>
        <w:t>1H</w:t>
      </w:r>
      <w:r w:rsidR="005E02C1" w:rsidRPr="00BA7A12">
        <w:rPr>
          <w:sz w:val="20"/>
          <w:szCs w:val="20"/>
        </w:rPr>
        <w:t>2</w:t>
      </w:r>
      <w:r w:rsidR="009E1564" w:rsidRPr="00BA7A12">
        <w:rPr>
          <w:sz w:val="20"/>
          <w:szCs w:val="20"/>
        </w:rPr>
        <w:t>3</w:t>
      </w:r>
      <w:r w:rsidR="005E02C1" w:rsidRPr="00BA7A12">
        <w:rPr>
          <w:sz w:val="20"/>
          <w:szCs w:val="20"/>
        </w:rPr>
        <w:t>: £</w:t>
      </w:r>
      <w:r w:rsidR="009E1564" w:rsidRPr="00BA7A12">
        <w:rPr>
          <w:sz w:val="20"/>
          <w:szCs w:val="20"/>
        </w:rPr>
        <w:t>130</w:t>
      </w:r>
      <w:r w:rsidR="005E02C1" w:rsidRPr="00BA7A12">
        <w:rPr>
          <w:sz w:val="20"/>
          <w:szCs w:val="20"/>
        </w:rPr>
        <w:t>m)</w:t>
      </w:r>
      <w:r w:rsidR="009317A3">
        <w:rPr>
          <w:sz w:val="20"/>
          <w:szCs w:val="20"/>
        </w:rPr>
        <w:t>.</w:t>
      </w:r>
      <w:r w:rsidR="00575974">
        <w:rPr>
          <w:sz w:val="20"/>
          <w:szCs w:val="20"/>
        </w:rPr>
        <w:t xml:space="preserve"> The </w:t>
      </w:r>
      <w:r w:rsidR="00EC7AA0">
        <w:rPr>
          <w:sz w:val="20"/>
          <w:szCs w:val="20"/>
        </w:rPr>
        <w:t>S</w:t>
      </w:r>
      <w:r w:rsidR="00575974">
        <w:rPr>
          <w:sz w:val="20"/>
          <w:szCs w:val="20"/>
        </w:rPr>
        <w:t xml:space="preserve">econd </w:t>
      </w:r>
      <w:r w:rsidR="00EC7AA0">
        <w:rPr>
          <w:sz w:val="20"/>
          <w:szCs w:val="20"/>
        </w:rPr>
        <w:t>C</w:t>
      </w:r>
      <w:r w:rsidR="00575974">
        <w:rPr>
          <w:sz w:val="20"/>
          <w:szCs w:val="20"/>
        </w:rPr>
        <w:t xml:space="preserve">harge </w:t>
      </w:r>
      <w:r w:rsidR="00EC7AA0">
        <w:rPr>
          <w:sz w:val="20"/>
          <w:szCs w:val="20"/>
        </w:rPr>
        <w:t>M</w:t>
      </w:r>
      <w:r w:rsidR="00575974">
        <w:rPr>
          <w:sz w:val="20"/>
          <w:szCs w:val="20"/>
        </w:rPr>
        <w:t xml:space="preserve">ortgages business generated </w:t>
      </w:r>
      <w:r w:rsidR="003C4750" w:rsidRPr="00701439">
        <w:rPr>
          <w:sz w:val="20"/>
          <w:szCs w:val="20"/>
        </w:rPr>
        <w:t xml:space="preserve">adjusted </w:t>
      </w:r>
      <w:r w:rsidR="00EA5A06">
        <w:rPr>
          <w:sz w:val="20"/>
          <w:szCs w:val="20"/>
        </w:rPr>
        <w:t>profit</w:t>
      </w:r>
      <w:r w:rsidR="003C4750" w:rsidRPr="00701439">
        <w:rPr>
          <w:sz w:val="20"/>
          <w:szCs w:val="20"/>
        </w:rPr>
        <w:t xml:space="preserve"> before tax</w:t>
      </w:r>
      <w:r w:rsidR="00575974">
        <w:rPr>
          <w:sz w:val="20"/>
          <w:szCs w:val="20"/>
        </w:rPr>
        <w:t xml:space="preserve"> </w:t>
      </w:r>
      <w:r w:rsidR="00575974" w:rsidRPr="00BA7A12">
        <w:rPr>
          <w:sz w:val="20"/>
          <w:szCs w:val="20"/>
        </w:rPr>
        <w:t>of £</w:t>
      </w:r>
      <w:r w:rsidR="005B3FA2" w:rsidRPr="00BA7A12">
        <w:rPr>
          <w:sz w:val="20"/>
          <w:szCs w:val="20"/>
        </w:rPr>
        <w:t>0.4</w:t>
      </w:r>
      <w:r w:rsidR="00575974" w:rsidRPr="00BA7A12">
        <w:rPr>
          <w:sz w:val="20"/>
          <w:szCs w:val="20"/>
        </w:rPr>
        <w:t>m (</w:t>
      </w:r>
      <w:r w:rsidR="007C10DC">
        <w:rPr>
          <w:sz w:val="20"/>
          <w:szCs w:val="20"/>
        </w:rPr>
        <w:t>1H</w:t>
      </w:r>
      <w:r w:rsidR="00575974" w:rsidRPr="00BA7A12">
        <w:rPr>
          <w:sz w:val="20"/>
          <w:szCs w:val="20"/>
        </w:rPr>
        <w:t xml:space="preserve">23 </w:t>
      </w:r>
      <w:r w:rsidR="00EA5A06" w:rsidRPr="00701439">
        <w:rPr>
          <w:sz w:val="20"/>
          <w:szCs w:val="20"/>
        </w:rPr>
        <w:t xml:space="preserve">adjusted </w:t>
      </w:r>
      <w:r w:rsidR="00EA5A06">
        <w:rPr>
          <w:sz w:val="20"/>
          <w:szCs w:val="20"/>
        </w:rPr>
        <w:t>loss</w:t>
      </w:r>
      <w:r w:rsidR="00EA5A06" w:rsidRPr="00701439">
        <w:rPr>
          <w:sz w:val="20"/>
          <w:szCs w:val="20"/>
        </w:rPr>
        <w:t xml:space="preserve"> before tax</w:t>
      </w:r>
      <w:r w:rsidR="00575974" w:rsidRPr="00BA7A12">
        <w:rPr>
          <w:sz w:val="20"/>
          <w:szCs w:val="20"/>
        </w:rPr>
        <w:t>: £</w:t>
      </w:r>
      <w:r w:rsidR="007D3097" w:rsidRPr="00BA7A12">
        <w:rPr>
          <w:sz w:val="20"/>
          <w:szCs w:val="20"/>
        </w:rPr>
        <w:t>0</w:t>
      </w:r>
      <w:r w:rsidR="00575974" w:rsidRPr="00BA7A12">
        <w:rPr>
          <w:sz w:val="20"/>
          <w:szCs w:val="20"/>
        </w:rPr>
        <w:t>.3m</w:t>
      </w:r>
      <w:r w:rsidR="00575974">
        <w:rPr>
          <w:sz w:val="20"/>
          <w:szCs w:val="20"/>
        </w:rPr>
        <w:t xml:space="preserve">) and receivables ended the period at </w:t>
      </w:r>
      <w:r w:rsidR="00575974" w:rsidRPr="00BA7A12">
        <w:rPr>
          <w:sz w:val="20"/>
          <w:szCs w:val="20"/>
        </w:rPr>
        <w:t>£</w:t>
      </w:r>
      <w:r w:rsidR="002E0633" w:rsidRPr="00BA7A12">
        <w:rPr>
          <w:sz w:val="20"/>
          <w:szCs w:val="20"/>
        </w:rPr>
        <w:t>32</w:t>
      </w:r>
      <w:r w:rsidR="00575974" w:rsidRPr="00BA7A12">
        <w:rPr>
          <w:sz w:val="20"/>
          <w:szCs w:val="20"/>
        </w:rPr>
        <w:t>m (</w:t>
      </w:r>
      <w:r w:rsidR="007C10DC">
        <w:rPr>
          <w:sz w:val="20"/>
          <w:szCs w:val="20"/>
        </w:rPr>
        <w:t>1H</w:t>
      </w:r>
      <w:r w:rsidR="00575974" w:rsidRPr="00BA7A12">
        <w:rPr>
          <w:sz w:val="20"/>
          <w:szCs w:val="20"/>
        </w:rPr>
        <w:t>23: £</w:t>
      </w:r>
      <w:r w:rsidR="00DC1F55" w:rsidRPr="00BA7A12">
        <w:rPr>
          <w:sz w:val="20"/>
          <w:szCs w:val="20"/>
        </w:rPr>
        <w:t>nil</w:t>
      </w:r>
      <w:r w:rsidR="00575974" w:rsidRPr="00BA7A12">
        <w:rPr>
          <w:sz w:val="20"/>
          <w:szCs w:val="20"/>
        </w:rPr>
        <w:t>)</w:t>
      </w:r>
      <w:r w:rsidR="00DC1F55">
        <w:rPr>
          <w:sz w:val="20"/>
          <w:szCs w:val="20"/>
        </w:rPr>
        <w:t>.</w:t>
      </w:r>
    </w:p>
    <w:p w14:paraId="6FD7A2AF" w14:textId="77777777" w:rsidR="00C27C06" w:rsidRDefault="00C27C06" w:rsidP="00E534C5">
      <w:pPr>
        <w:pStyle w:val="NoSpacing"/>
        <w:jc w:val="both"/>
        <w:rPr>
          <w:sz w:val="20"/>
          <w:szCs w:val="20"/>
        </w:rPr>
      </w:pPr>
    </w:p>
    <w:p w14:paraId="2D92BDA4" w14:textId="7D8A3CB5" w:rsidR="00C661F2" w:rsidRPr="00701439" w:rsidRDefault="006812CF" w:rsidP="00E534C5">
      <w:pPr>
        <w:pStyle w:val="NoSpacing"/>
        <w:jc w:val="both"/>
        <w:rPr>
          <w:sz w:val="20"/>
          <w:szCs w:val="20"/>
        </w:rPr>
      </w:pPr>
      <w:r>
        <w:rPr>
          <w:sz w:val="20"/>
          <w:szCs w:val="20"/>
        </w:rPr>
        <w:t xml:space="preserve">On an adjusted basis, the Group reported an </w:t>
      </w:r>
      <w:r w:rsidR="009C2764">
        <w:rPr>
          <w:sz w:val="20"/>
          <w:szCs w:val="20"/>
        </w:rPr>
        <w:t>adjusted basic</w:t>
      </w:r>
      <w:r w:rsidR="004156E2">
        <w:rPr>
          <w:sz w:val="20"/>
          <w:szCs w:val="20"/>
        </w:rPr>
        <w:t xml:space="preserve"> loss per share</w:t>
      </w:r>
      <w:r w:rsidR="009C2764">
        <w:rPr>
          <w:sz w:val="20"/>
          <w:szCs w:val="20"/>
        </w:rPr>
        <w:t xml:space="preserve"> of </w:t>
      </w:r>
      <w:r w:rsidR="005816A5" w:rsidRPr="006D4208">
        <w:rPr>
          <w:sz w:val="20"/>
          <w:szCs w:val="20"/>
        </w:rPr>
        <w:t>8.3</w:t>
      </w:r>
      <w:r w:rsidR="000D2BC7" w:rsidRPr="006D4208">
        <w:rPr>
          <w:sz w:val="20"/>
          <w:szCs w:val="20"/>
        </w:rPr>
        <w:t>p</w:t>
      </w:r>
      <w:r w:rsidR="00470A0D" w:rsidRPr="006D4208">
        <w:rPr>
          <w:sz w:val="20"/>
          <w:szCs w:val="20"/>
        </w:rPr>
        <w:t xml:space="preserve"> (</w:t>
      </w:r>
      <w:r w:rsidR="00EE64CE" w:rsidRPr="006D4208">
        <w:rPr>
          <w:sz w:val="20"/>
          <w:szCs w:val="20"/>
        </w:rPr>
        <w:t>1H</w:t>
      </w:r>
      <w:r w:rsidR="00470A0D" w:rsidRPr="006D4208">
        <w:rPr>
          <w:sz w:val="20"/>
          <w:szCs w:val="20"/>
        </w:rPr>
        <w:t>2</w:t>
      </w:r>
      <w:r w:rsidR="009E1564" w:rsidRPr="006D4208">
        <w:rPr>
          <w:sz w:val="20"/>
          <w:szCs w:val="20"/>
        </w:rPr>
        <w:t>3</w:t>
      </w:r>
      <w:r w:rsidR="00EE64CE" w:rsidRPr="006D4208">
        <w:rPr>
          <w:sz w:val="20"/>
          <w:szCs w:val="20"/>
        </w:rPr>
        <w:t xml:space="preserve"> restated</w:t>
      </w:r>
      <w:r w:rsidR="00772855">
        <w:rPr>
          <w:sz w:val="20"/>
          <w:szCs w:val="20"/>
        </w:rPr>
        <w:t xml:space="preserve"> </w:t>
      </w:r>
      <w:r w:rsidR="001D3276">
        <w:rPr>
          <w:sz w:val="20"/>
          <w:szCs w:val="20"/>
        </w:rPr>
        <w:t>3</w:t>
      </w:r>
      <w:r w:rsidR="005816A5" w:rsidRPr="006D4208">
        <w:rPr>
          <w:sz w:val="20"/>
          <w:szCs w:val="20"/>
        </w:rPr>
        <w:t>.6</w:t>
      </w:r>
      <w:r w:rsidR="00275CFA" w:rsidRPr="006D4208">
        <w:rPr>
          <w:sz w:val="20"/>
          <w:szCs w:val="20"/>
        </w:rPr>
        <w:t>p</w:t>
      </w:r>
      <w:r w:rsidR="00A30305" w:rsidRPr="006D4208">
        <w:rPr>
          <w:sz w:val="20"/>
          <w:szCs w:val="20"/>
        </w:rPr>
        <w:t>)</w:t>
      </w:r>
      <w:r w:rsidR="00710311">
        <w:rPr>
          <w:sz w:val="20"/>
          <w:szCs w:val="20"/>
        </w:rPr>
        <w:t>.</w:t>
      </w:r>
      <w:r w:rsidR="0095121E">
        <w:rPr>
          <w:sz w:val="20"/>
          <w:szCs w:val="20"/>
        </w:rPr>
        <w:t xml:space="preserve"> </w:t>
      </w:r>
      <w:r w:rsidR="0095121E" w:rsidRPr="00837E4A">
        <w:rPr>
          <w:sz w:val="20"/>
          <w:szCs w:val="20"/>
        </w:rPr>
        <w:t xml:space="preserve">On a </w:t>
      </w:r>
      <w:r w:rsidR="00B83076" w:rsidRPr="00837E4A">
        <w:rPr>
          <w:sz w:val="20"/>
          <w:szCs w:val="20"/>
        </w:rPr>
        <w:t xml:space="preserve">statutory basis, the Group reported a basic </w:t>
      </w:r>
      <w:r w:rsidR="00B6169D" w:rsidRPr="00837E4A">
        <w:rPr>
          <w:sz w:val="20"/>
          <w:szCs w:val="20"/>
        </w:rPr>
        <w:t xml:space="preserve">loss per share </w:t>
      </w:r>
      <w:r w:rsidR="00B6169D" w:rsidRPr="006D4208">
        <w:rPr>
          <w:sz w:val="20"/>
          <w:szCs w:val="20"/>
        </w:rPr>
        <w:t xml:space="preserve">of </w:t>
      </w:r>
      <w:r w:rsidR="00BF2D18" w:rsidRPr="006D4208">
        <w:rPr>
          <w:sz w:val="20"/>
          <w:szCs w:val="20"/>
        </w:rPr>
        <w:t>14.1</w:t>
      </w:r>
      <w:r w:rsidR="00B6169D" w:rsidRPr="006D4208">
        <w:rPr>
          <w:sz w:val="20"/>
          <w:szCs w:val="20"/>
        </w:rPr>
        <w:t>p</w:t>
      </w:r>
      <w:r w:rsidR="009840BB" w:rsidRPr="006D4208">
        <w:rPr>
          <w:sz w:val="20"/>
          <w:szCs w:val="20"/>
        </w:rPr>
        <w:t xml:space="preserve"> (</w:t>
      </w:r>
      <w:r w:rsidR="00EA7D88" w:rsidRPr="006D4208">
        <w:rPr>
          <w:sz w:val="20"/>
          <w:szCs w:val="20"/>
        </w:rPr>
        <w:t>1H</w:t>
      </w:r>
      <w:r w:rsidR="009840BB" w:rsidRPr="006D4208">
        <w:rPr>
          <w:sz w:val="20"/>
          <w:szCs w:val="20"/>
        </w:rPr>
        <w:t>2</w:t>
      </w:r>
      <w:r w:rsidR="009E1564" w:rsidRPr="006D4208">
        <w:rPr>
          <w:sz w:val="20"/>
          <w:szCs w:val="20"/>
        </w:rPr>
        <w:t>3</w:t>
      </w:r>
      <w:r w:rsidR="00EA7D88" w:rsidRPr="006D4208">
        <w:rPr>
          <w:sz w:val="20"/>
          <w:szCs w:val="20"/>
        </w:rPr>
        <w:t xml:space="preserve"> rest</w:t>
      </w:r>
      <w:r w:rsidR="00DC343C" w:rsidRPr="006D4208">
        <w:rPr>
          <w:sz w:val="20"/>
          <w:szCs w:val="20"/>
        </w:rPr>
        <w:t>ated</w:t>
      </w:r>
      <w:r w:rsidR="009840BB" w:rsidRPr="006D4208">
        <w:rPr>
          <w:sz w:val="20"/>
          <w:szCs w:val="20"/>
        </w:rPr>
        <w:t xml:space="preserve">: </w:t>
      </w:r>
      <w:r w:rsidR="0011186E">
        <w:rPr>
          <w:sz w:val="20"/>
          <w:szCs w:val="20"/>
        </w:rPr>
        <w:t>6.</w:t>
      </w:r>
      <w:r w:rsidR="00222F58">
        <w:rPr>
          <w:sz w:val="20"/>
          <w:szCs w:val="20"/>
        </w:rPr>
        <w:t>3</w:t>
      </w:r>
      <w:r w:rsidR="009840BB" w:rsidRPr="006D4208">
        <w:rPr>
          <w:sz w:val="20"/>
          <w:szCs w:val="20"/>
        </w:rPr>
        <w:t>p</w:t>
      </w:r>
      <w:r w:rsidR="0045792A" w:rsidRPr="006D4208">
        <w:rPr>
          <w:sz w:val="20"/>
          <w:szCs w:val="20"/>
        </w:rPr>
        <w:t>)</w:t>
      </w:r>
      <w:r w:rsidR="0045792A" w:rsidRPr="00837E4A">
        <w:rPr>
          <w:sz w:val="20"/>
          <w:szCs w:val="20"/>
        </w:rPr>
        <w:t xml:space="preserve"> </w:t>
      </w:r>
      <w:r w:rsidR="0045792A" w:rsidRPr="009A6806">
        <w:rPr>
          <w:sz w:val="20"/>
          <w:szCs w:val="20"/>
        </w:rPr>
        <w:t xml:space="preserve">for </w:t>
      </w:r>
      <w:r w:rsidR="00DC343C">
        <w:rPr>
          <w:sz w:val="20"/>
          <w:szCs w:val="20"/>
        </w:rPr>
        <w:t>1H</w:t>
      </w:r>
      <w:r w:rsidR="0045792A" w:rsidRPr="009A6806">
        <w:rPr>
          <w:sz w:val="20"/>
          <w:szCs w:val="20"/>
        </w:rPr>
        <w:t>2</w:t>
      </w:r>
      <w:r w:rsidR="009E1564">
        <w:rPr>
          <w:sz w:val="20"/>
          <w:szCs w:val="20"/>
        </w:rPr>
        <w:t>4</w:t>
      </w:r>
      <w:r w:rsidR="0045792A" w:rsidRPr="009A6806">
        <w:rPr>
          <w:sz w:val="20"/>
          <w:szCs w:val="20"/>
        </w:rPr>
        <w:t xml:space="preserve"> reflecting the statutory loss after tax </w:t>
      </w:r>
      <w:r w:rsidR="0045792A" w:rsidRPr="006D4208">
        <w:rPr>
          <w:sz w:val="20"/>
          <w:szCs w:val="20"/>
        </w:rPr>
        <w:t>of £</w:t>
      </w:r>
      <w:r w:rsidR="00D0068B" w:rsidRPr="006D4208">
        <w:rPr>
          <w:sz w:val="20"/>
          <w:szCs w:val="20"/>
        </w:rPr>
        <w:t>35</w:t>
      </w:r>
      <w:r w:rsidR="00060CC3" w:rsidRPr="006D4208">
        <w:rPr>
          <w:sz w:val="20"/>
          <w:szCs w:val="20"/>
        </w:rPr>
        <w:t>.8</w:t>
      </w:r>
      <w:r w:rsidR="0045792A" w:rsidRPr="006D4208">
        <w:rPr>
          <w:sz w:val="20"/>
          <w:szCs w:val="20"/>
        </w:rPr>
        <w:t>m (</w:t>
      </w:r>
      <w:r w:rsidR="00DC343C" w:rsidRPr="006D4208">
        <w:rPr>
          <w:sz w:val="20"/>
          <w:szCs w:val="20"/>
        </w:rPr>
        <w:t>1H</w:t>
      </w:r>
      <w:r w:rsidR="0045792A" w:rsidRPr="006D4208">
        <w:rPr>
          <w:sz w:val="20"/>
          <w:szCs w:val="20"/>
        </w:rPr>
        <w:t>2</w:t>
      </w:r>
      <w:r w:rsidR="009E1564" w:rsidRPr="006D4208">
        <w:rPr>
          <w:sz w:val="20"/>
          <w:szCs w:val="20"/>
        </w:rPr>
        <w:t>3</w:t>
      </w:r>
      <w:r w:rsidR="0045792A" w:rsidRPr="006D4208">
        <w:rPr>
          <w:sz w:val="20"/>
          <w:szCs w:val="20"/>
        </w:rPr>
        <w:t xml:space="preserve"> </w:t>
      </w:r>
      <w:r w:rsidR="00DC343C" w:rsidRPr="006D4208">
        <w:rPr>
          <w:sz w:val="20"/>
          <w:szCs w:val="20"/>
        </w:rPr>
        <w:t>restated</w:t>
      </w:r>
      <w:r w:rsidR="0045792A" w:rsidRPr="006D4208">
        <w:rPr>
          <w:sz w:val="20"/>
          <w:szCs w:val="20"/>
        </w:rPr>
        <w:t>: £</w:t>
      </w:r>
      <w:r w:rsidR="009E1564" w:rsidRPr="006D4208">
        <w:rPr>
          <w:sz w:val="20"/>
          <w:szCs w:val="20"/>
        </w:rPr>
        <w:t>1</w:t>
      </w:r>
      <w:r w:rsidR="003E148D">
        <w:rPr>
          <w:sz w:val="20"/>
          <w:szCs w:val="20"/>
        </w:rPr>
        <w:t>5.9</w:t>
      </w:r>
      <w:r w:rsidR="0045792A" w:rsidRPr="006D4208">
        <w:rPr>
          <w:sz w:val="20"/>
          <w:szCs w:val="20"/>
        </w:rPr>
        <w:t>m).</w:t>
      </w:r>
    </w:p>
    <w:p w14:paraId="787DD38A" w14:textId="77777777" w:rsidR="00CF38CD" w:rsidRPr="00701439" w:rsidRDefault="00CF38CD" w:rsidP="00E534C5">
      <w:pPr>
        <w:pStyle w:val="NoSpacing"/>
        <w:jc w:val="both"/>
        <w:rPr>
          <w:sz w:val="20"/>
          <w:szCs w:val="20"/>
        </w:rPr>
      </w:pPr>
    </w:p>
    <w:p w14:paraId="2BD7CDF8" w14:textId="5F6C5066" w:rsidR="007075BE" w:rsidRDefault="001A2B0C" w:rsidP="007075BE">
      <w:pPr>
        <w:jc w:val="both"/>
        <w:rPr>
          <w:rFonts w:asciiTheme="minorHAnsi" w:eastAsiaTheme="minorEastAsia" w:hAnsiTheme="minorHAnsi" w:cstheme="minorBidi"/>
          <w:b/>
          <w:bCs/>
          <w:color w:val="4747FF"/>
          <w:sz w:val="22"/>
          <w:szCs w:val="22"/>
          <w:lang w:eastAsia="en-US"/>
        </w:rPr>
      </w:pPr>
      <w:bookmarkStart w:id="4" w:name="_Hlk64536414"/>
      <w:r>
        <w:rPr>
          <w:rFonts w:asciiTheme="minorHAnsi" w:eastAsiaTheme="minorEastAsia" w:hAnsiTheme="minorHAnsi" w:cstheme="minorBidi"/>
          <w:b/>
          <w:bCs/>
          <w:color w:val="4747FF"/>
          <w:sz w:val="22"/>
          <w:szCs w:val="22"/>
          <w:lang w:eastAsia="en-US"/>
        </w:rPr>
        <w:t xml:space="preserve">Summary </w:t>
      </w:r>
      <w:r w:rsidR="007075BE">
        <w:rPr>
          <w:rFonts w:asciiTheme="minorHAnsi" w:eastAsiaTheme="minorEastAsia" w:hAnsiTheme="minorHAnsi" w:cstheme="minorBidi"/>
          <w:b/>
          <w:bCs/>
          <w:color w:val="4747FF"/>
          <w:sz w:val="22"/>
          <w:szCs w:val="22"/>
          <w:lang w:eastAsia="en-US"/>
        </w:rPr>
        <w:t>B</w:t>
      </w:r>
      <w:r w:rsidR="007075BE" w:rsidRPr="005D4F6D">
        <w:rPr>
          <w:rFonts w:asciiTheme="minorHAnsi" w:eastAsiaTheme="minorEastAsia" w:hAnsiTheme="minorHAnsi" w:cstheme="minorBidi"/>
          <w:b/>
          <w:bCs/>
          <w:color w:val="4747FF"/>
          <w:sz w:val="22"/>
          <w:szCs w:val="22"/>
          <w:lang w:eastAsia="en-US"/>
        </w:rPr>
        <w:t>alance sheet</w:t>
      </w:r>
    </w:p>
    <w:tbl>
      <w:tblPr>
        <w:tblW w:w="4738" w:type="pct"/>
        <w:jc w:val="center"/>
        <w:tblCellMar>
          <w:left w:w="0" w:type="dxa"/>
          <w:right w:w="0" w:type="dxa"/>
        </w:tblCellMar>
        <w:tblLook w:val="04A0" w:firstRow="1" w:lastRow="0" w:firstColumn="1" w:lastColumn="0" w:noHBand="0" w:noVBand="1"/>
      </w:tblPr>
      <w:tblGrid>
        <w:gridCol w:w="3403"/>
        <w:gridCol w:w="1418"/>
        <w:gridCol w:w="1701"/>
        <w:gridCol w:w="1275"/>
        <w:gridCol w:w="1417"/>
      </w:tblGrid>
      <w:tr w:rsidR="00492300" w:rsidRPr="005E46B1" w14:paraId="47EE914B" w14:textId="42CD1F20" w:rsidTr="00D146B1">
        <w:trPr>
          <w:trHeight w:val="56"/>
          <w:jc w:val="center"/>
        </w:trPr>
        <w:tc>
          <w:tcPr>
            <w:tcW w:w="1846" w:type="pct"/>
            <w:tcBorders>
              <w:bottom w:val="single" w:sz="2" w:space="0" w:color="auto"/>
            </w:tcBorders>
            <w:vAlign w:val="bottom"/>
            <w:hideMark/>
          </w:tcPr>
          <w:p w14:paraId="11056F4D" w14:textId="77777777" w:rsidR="001079EE" w:rsidRPr="00E71A4D" w:rsidRDefault="001079EE" w:rsidP="005D59FA">
            <w:pPr>
              <w:pStyle w:val="tablefigsheadthin"/>
              <w:rPr>
                <w:rFonts w:asciiTheme="minorHAnsi" w:hAnsiTheme="minorHAnsi" w:cstheme="minorBidi"/>
                <w:color w:val="auto"/>
                <w:sz w:val="20"/>
                <w:szCs w:val="20"/>
              </w:rPr>
            </w:pPr>
          </w:p>
        </w:tc>
        <w:tc>
          <w:tcPr>
            <w:tcW w:w="769" w:type="pct"/>
            <w:tcBorders>
              <w:bottom w:val="single" w:sz="2" w:space="0" w:color="auto"/>
            </w:tcBorders>
            <w:shd w:val="clear" w:color="auto" w:fill="F2F2F2" w:themeFill="background1" w:themeFillShade="F2"/>
            <w:vAlign w:val="bottom"/>
            <w:hideMark/>
          </w:tcPr>
          <w:p w14:paraId="188B8609" w14:textId="4E1F9824" w:rsidR="001079EE" w:rsidRPr="00E71A4D" w:rsidRDefault="001079EE" w:rsidP="005D59FA">
            <w:pPr>
              <w:pBdr>
                <w:bottom w:val="single" w:sz="4" w:space="0" w:color="000000"/>
              </w:pBdr>
              <w:ind w:right="115"/>
              <w:jc w:val="right"/>
              <w:rPr>
                <w:rFonts w:asciiTheme="minorHAnsi" w:eastAsia="Poppins" w:hAnsiTheme="minorHAnsi" w:cstheme="minorBidi"/>
                <w:b/>
                <w:sz w:val="20"/>
                <w:szCs w:val="20"/>
              </w:rPr>
            </w:pPr>
            <w:r w:rsidRPr="551513BC">
              <w:rPr>
                <w:rFonts w:asciiTheme="minorHAnsi" w:eastAsia="Poppins" w:hAnsiTheme="minorHAnsi" w:cstheme="minorBidi"/>
                <w:b/>
                <w:sz w:val="20"/>
                <w:szCs w:val="20"/>
              </w:rPr>
              <w:t>30 June 2024</w:t>
            </w:r>
          </w:p>
          <w:p w14:paraId="272220BD" w14:textId="77777777" w:rsidR="001079EE" w:rsidRPr="00E71A4D" w:rsidRDefault="001079EE" w:rsidP="005D59FA">
            <w:pPr>
              <w:pBdr>
                <w:bottom w:val="single" w:sz="4" w:space="0" w:color="000000"/>
              </w:pBdr>
              <w:ind w:right="115"/>
              <w:jc w:val="right"/>
              <w:rPr>
                <w:rFonts w:asciiTheme="minorHAnsi" w:eastAsia="Poppins" w:hAnsiTheme="minorHAnsi" w:cstheme="minorBidi"/>
                <w:b/>
                <w:sz w:val="20"/>
                <w:szCs w:val="20"/>
              </w:rPr>
            </w:pPr>
          </w:p>
          <w:p w14:paraId="3BA1CF6D" w14:textId="77777777" w:rsidR="001079EE" w:rsidRPr="00E71A4D" w:rsidRDefault="001079EE" w:rsidP="005D59FA">
            <w:pPr>
              <w:pBdr>
                <w:bottom w:val="single" w:sz="4" w:space="0" w:color="000000"/>
              </w:pBdr>
              <w:ind w:right="115"/>
              <w:jc w:val="right"/>
              <w:rPr>
                <w:rFonts w:asciiTheme="minorHAnsi" w:hAnsiTheme="minorHAnsi" w:cstheme="minorBidi"/>
                <w:sz w:val="20"/>
                <w:szCs w:val="20"/>
              </w:rPr>
            </w:pPr>
            <w:r w:rsidRPr="551513BC">
              <w:rPr>
                <w:rFonts w:asciiTheme="minorHAnsi" w:eastAsia="Poppins" w:hAnsiTheme="minorHAnsi" w:cstheme="minorBidi"/>
                <w:b/>
                <w:sz w:val="20"/>
                <w:szCs w:val="20"/>
              </w:rPr>
              <w:t>£m</w:t>
            </w:r>
          </w:p>
        </w:tc>
        <w:tc>
          <w:tcPr>
            <w:tcW w:w="923" w:type="pct"/>
            <w:tcBorders>
              <w:bottom w:val="single" w:sz="2" w:space="0" w:color="auto"/>
            </w:tcBorders>
          </w:tcPr>
          <w:p w14:paraId="219FDCF0" w14:textId="77777777" w:rsidR="006F0CA7" w:rsidRDefault="001079EE" w:rsidP="00060754">
            <w:pPr>
              <w:pStyle w:val="tablefigsheadthin"/>
              <w:jc w:val="right"/>
              <w:rPr>
                <w:rFonts w:asciiTheme="minorHAnsi" w:hAnsiTheme="minorHAnsi" w:cstheme="minorBidi"/>
                <w:color w:val="auto"/>
                <w:sz w:val="20"/>
                <w:szCs w:val="20"/>
              </w:rPr>
            </w:pPr>
            <w:r w:rsidRPr="001079EE">
              <w:rPr>
                <w:rFonts w:asciiTheme="minorHAnsi" w:hAnsiTheme="minorHAnsi" w:cstheme="minorBidi"/>
                <w:color w:val="auto"/>
                <w:sz w:val="20"/>
                <w:szCs w:val="20"/>
              </w:rPr>
              <w:t>31 December 2023</w:t>
            </w:r>
          </w:p>
          <w:p w14:paraId="27273B1D" w14:textId="1D961492" w:rsidR="001079EE" w:rsidRDefault="0077536D" w:rsidP="00060754">
            <w:pPr>
              <w:pStyle w:val="tablefigsheadthin"/>
              <w:jc w:val="right"/>
              <w:rPr>
                <w:rFonts w:asciiTheme="minorHAnsi" w:hAnsiTheme="minorHAnsi" w:cstheme="minorBidi"/>
                <w:color w:val="auto"/>
                <w:sz w:val="20"/>
                <w:szCs w:val="20"/>
              </w:rPr>
            </w:pPr>
            <w:r>
              <w:rPr>
                <w:rFonts w:asciiTheme="minorHAnsi" w:hAnsiTheme="minorHAnsi" w:cstheme="minorBidi"/>
                <w:color w:val="auto"/>
                <w:sz w:val="20"/>
                <w:szCs w:val="20"/>
              </w:rPr>
              <w:t>(restated)</w:t>
            </w:r>
          </w:p>
          <w:p w14:paraId="6FD0212D" w14:textId="341D7456" w:rsidR="001D0BA9" w:rsidRPr="001079EE" w:rsidRDefault="001D0BA9" w:rsidP="00060754">
            <w:pPr>
              <w:pStyle w:val="tablefigsheadthin"/>
              <w:jc w:val="right"/>
              <w:rPr>
                <w:rFonts w:asciiTheme="minorHAnsi" w:hAnsiTheme="minorHAnsi" w:cstheme="minorBidi"/>
                <w:color w:val="auto"/>
                <w:sz w:val="20"/>
                <w:szCs w:val="20"/>
              </w:rPr>
            </w:pPr>
            <w:r>
              <w:rPr>
                <w:rFonts w:asciiTheme="minorHAnsi" w:hAnsiTheme="minorHAnsi" w:cstheme="minorBidi"/>
                <w:color w:val="auto"/>
                <w:sz w:val="20"/>
                <w:szCs w:val="20"/>
              </w:rPr>
              <w:t>£m</w:t>
            </w:r>
          </w:p>
        </w:tc>
        <w:tc>
          <w:tcPr>
            <w:tcW w:w="692" w:type="pct"/>
            <w:tcBorders>
              <w:bottom w:val="single" w:sz="2" w:space="0" w:color="auto"/>
            </w:tcBorders>
            <w:vAlign w:val="bottom"/>
            <w:hideMark/>
          </w:tcPr>
          <w:p w14:paraId="499F5F5D" w14:textId="75A5F5C1" w:rsidR="001079EE" w:rsidRPr="00E71A4D" w:rsidRDefault="001079EE" w:rsidP="005D59FA">
            <w:pPr>
              <w:pStyle w:val="tablefigsheadthin"/>
              <w:jc w:val="right"/>
              <w:rPr>
                <w:rFonts w:asciiTheme="minorHAnsi" w:hAnsiTheme="minorHAnsi" w:cstheme="minorBidi"/>
                <w:color w:val="auto"/>
                <w:sz w:val="20"/>
                <w:szCs w:val="20"/>
              </w:rPr>
            </w:pPr>
            <w:r w:rsidRPr="551513BC">
              <w:rPr>
                <w:rFonts w:asciiTheme="minorHAnsi" w:hAnsiTheme="minorHAnsi" w:cstheme="minorBidi"/>
                <w:color w:val="auto"/>
                <w:sz w:val="20"/>
                <w:szCs w:val="20"/>
              </w:rPr>
              <w:t>30 June 2023</w:t>
            </w:r>
          </w:p>
          <w:p w14:paraId="537833A0" w14:textId="0264C835" w:rsidR="001079EE" w:rsidRPr="00E71A4D" w:rsidRDefault="001079EE" w:rsidP="005D59FA">
            <w:pPr>
              <w:pStyle w:val="tablefigsheadthin"/>
              <w:jc w:val="right"/>
              <w:rPr>
                <w:rFonts w:asciiTheme="minorHAnsi" w:hAnsiTheme="minorHAnsi" w:cstheme="minorBidi"/>
                <w:color w:val="auto"/>
                <w:sz w:val="20"/>
                <w:szCs w:val="20"/>
              </w:rPr>
            </w:pPr>
            <w:r w:rsidRPr="551513BC">
              <w:rPr>
                <w:rFonts w:asciiTheme="minorHAnsi" w:hAnsiTheme="minorHAnsi" w:cstheme="minorBidi"/>
                <w:color w:val="auto"/>
                <w:sz w:val="20"/>
                <w:szCs w:val="20"/>
              </w:rPr>
              <w:t>(restated)</w:t>
            </w:r>
          </w:p>
          <w:p w14:paraId="021A59AA" w14:textId="77777777" w:rsidR="001079EE" w:rsidRPr="00E71A4D" w:rsidRDefault="001079EE" w:rsidP="005D59FA">
            <w:pPr>
              <w:pStyle w:val="tablefigsheadthin"/>
              <w:jc w:val="right"/>
              <w:rPr>
                <w:rFonts w:asciiTheme="minorHAnsi" w:hAnsiTheme="minorHAnsi" w:cstheme="minorBidi"/>
                <w:color w:val="auto"/>
                <w:sz w:val="20"/>
                <w:szCs w:val="20"/>
              </w:rPr>
            </w:pPr>
            <w:r w:rsidRPr="551513BC">
              <w:rPr>
                <w:rFonts w:asciiTheme="minorHAnsi" w:hAnsiTheme="minorHAnsi" w:cstheme="minorBidi"/>
                <w:color w:val="auto"/>
                <w:sz w:val="20"/>
                <w:szCs w:val="20"/>
              </w:rPr>
              <w:t>£m</w:t>
            </w:r>
          </w:p>
        </w:tc>
        <w:tc>
          <w:tcPr>
            <w:tcW w:w="769" w:type="pct"/>
            <w:tcBorders>
              <w:bottom w:val="single" w:sz="2" w:space="0" w:color="auto"/>
            </w:tcBorders>
          </w:tcPr>
          <w:p w14:paraId="47E56810" w14:textId="7446C604" w:rsidR="006F0CA7" w:rsidRDefault="002906EA" w:rsidP="00060754">
            <w:pPr>
              <w:pStyle w:val="tablefigsheadthin"/>
              <w:jc w:val="right"/>
              <w:rPr>
                <w:rFonts w:asciiTheme="minorHAnsi" w:hAnsiTheme="minorHAnsi" w:cstheme="minorBidi"/>
                <w:color w:val="auto"/>
                <w:sz w:val="20"/>
                <w:szCs w:val="20"/>
              </w:rPr>
            </w:pPr>
            <w:r>
              <w:rPr>
                <w:rFonts w:asciiTheme="minorHAnsi" w:hAnsiTheme="minorHAnsi" w:cstheme="minorBidi"/>
                <w:color w:val="auto"/>
                <w:sz w:val="20"/>
                <w:szCs w:val="20"/>
              </w:rPr>
              <w:t>1 January</w:t>
            </w:r>
            <w:r w:rsidR="001079EE">
              <w:rPr>
                <w:rFonts w:asciiTheme="minorHAnsi" w:hAnsiTheme="minorHAnsi" w:cstheme="minorBidi"/>
                <w:color w:val="auto"/>
                <w:sz w:val="20"/>
                <w:szCs w:val="20"/>
              </w:rPr>
              <w:t xml:space="preserve"> 202</w:t>
            </w:r>
            <w:r>
              <w:rPr>
                <w:rFonts w:asciiTheme="minorHAnsi" w:hAnsiTheme="minorHAnsi" w:cstheme="minorBidi"/>
                <w:color w:val="auto"/>
                <w:sz w:val="20"/>
                <w:szCs w:val="20"/>
              </w:rPr>
              <w:t>3</w:t>
            </w:r>
          </w:p>
          <w:p w14:paraId="7A921BED" w14:textId="0CEBAA00" w:rsidR="001079EE" w:rsidRDefault="008F1CA1" w:rsidP="00060754">
            <w:pPr>
              <w:pStyle w:val="tablefigsheadthin"/>
              <w:jc w:val="right"/>
              <w:rPr>
                <w:rFonts w:asciiTheme="minorHAnsi" w:hAnsiTheme="minorHAnsi" w:cstheme="minorBidi"/>
                <w:color w:val="auto"/>
                <w:sz w:val="20"/>
                <w:szCs w:val="20"/>
              </w:rPr>
            </w:pPr>
            <w:r>
              <w:rPr>
                <w:rFonts w:asciiTheme="minorHAnsi" w:hAnsiTheme="minorHAnsi" w:cstheme="minorBidi"/>
                <w:color w:val="auto"/>
                <w:sz w:val="20"/>
                <w:szCs w:val="20"/>
              </w:rPr>
              <w:t>(restated)</w:t>
            </w:r>
          </w:p>
          <w:p w14:paraId="522FED42" w14:textId="70D68D32" w:rsidR="001D0BA9" w:rsidRPr="551513BC" w:rsidRDefault="001D0BA9" w:rsidP="00060754">
            <w:pPr>
              <w:pStyle w:val="tablefigsheadthin"/>
              <w:jc w:val="right"/>
              <w:rPr>
                <w:rFonts w:asciiTheme="minorHAnsi" w:hAnsiTheme="minorHAnsi" w:cstheme="minorBidi"/>
                <w:color w:val="auto"/>
                <w:sz w:val="20"/>
                <w:szCs w:val="20"/>
              </w:rPr>
            </w:pPr>
            <w:r>
              <w:rPr>
                <w:rFonts w:asciiTheme="minorHAnsi" w:hAnsiTheme="minorHAnsi" w:cstheme="minorBidi"/>
                <w:color w:val="auto"/>
                <w:sz w:val="20"/>
                <w:szCs w:val="20"/>
              </w:rPr>
              <w:t>£m</w:t>
            </w:r>
          </w:p>
        </w:tc>
      </w:tr>
      <w:tr w:rsidR="00492300" w:rsidRPr="005E46B1" w14:paraId="48ACDB49" w14:textId="5FE2CAE6" w:rsidTr="00D146B1">
        <w:trPr>
          <w:trHeight w:val="56"/>
          <w:jc w:val="center"/>
        </w:trPr>
        <w:tc>
          <w:tcPr>
            <w:tcW w:w="1846" w:type="pct"/>
            <w:tcBorders>
              <w:top w:val="single" w:sz="2" w:space="0" w:color="auto"/>
            </w:tcBorders>
            <w:vAlign w:val="bottom"/>
            <w:hideMark/>
          </w:tcPr>
          <w:p w14:paraId="2648CF7A" w14:textId="7C39A120" w:rsidR="001079EE" w:rsidRPr="00E71A4D" w:rsidRDefault="001079EE" w:rsidP="005D59FA">
            <w:pPr>
              <w:pStyle w:val="tablefigs"/>
              <w:rPr>
                <w:rFonts w:asciiTheme="minorHAnsi" w:hAnsiTheme="minorHAnsi" w:cstheme="minorBidi"/>
                <w:color w:val="auto"/>
                <w:sz w:val="20"/>
                <w:szCs w:val="20"/>
              </w:rPr>
            </w:pPr>
            <w:r w:rsidRPr="551513BC">
              <w:rPr>
                <w:rStyle w:val="tabletextbold0"/>
                <w:rFonts w:asciiTheme="minorHAnsi" w:hAnsiTheme="minorHAnsi" w:cstheme="minorBidi"/>
                <w:color w:val="auto"/>
                <w:sz w:val="20"/>
                <w:szCs w:val="20"/>
              </w:rPr>
              <w:t>Assets</w:t>
            </w:r>
          </w:p>
        </w:tc>
        <w:tc>
          <w:tcPr>
            <w:tcW w:w="769" w:type="pct"/>
            <w:tcBorders>
              <w:top w:val="single" w:sz="2" w:space="0" w:color="auto"/>
            </w:tcBorders>
            <w:shd w:val="clear" w:color="auto" w:fill="F2F2F2" w:themeFill="background1" w:themeFillShade="F2"/>
            <w:vAlign w:val="bottom"/>
            <w:hideMark/>
          </w:tcPr>
          <w:p w14:paraId="524C5502" w14:textId="412D795C" w:rsidR="001079EE" w:rsidRPr="00E71A4D" w:rsidRDefault="001079EE" w:rsidP="005D59FA">
            <w:pPr>
              <w:pStyle w:val="tablefigs"/>
              <w:jc w:val="right"/>
              <w:rPr>
                <w:rFonts w:asciiTheme="minorHAnsi" w:hAnsiTheme="minorHAnsi" w:cstheme="minorBidi"/>
                <w:color w:val="auto"/>
                <w:sz w:val="20"/>
                <w:szCs w:val="20"/>
              </w:rPr>
            </w:pPr>
            <w:r w:rsidRPr="551513BC">
              <w:rPr>
                <w:rStyle w:val="tablefigsbold0"/>
                <w:rFonts w:asciiTheme="minorHAnsi" w:hAnsiTheme="minorHAnsi" w:cstheme="minorBidi"/>
                <w:color w:val="auto"/>
                <w:sz w:val="20"/>
                <w:szCs w:val="20"/>
              </w:rPr>
              <w:t xml:space="preserve"> </w:t>
            </w:r>
          </w:p>
        </w:tc>
        <w:tc>
          <w:tcPr>
            <w:tcW w:w="923" w:type="pct"/>
            <w:tcBorders>
              <w:top w:val="single" w:sz="2" w:space="0" w:color="auto"/>
            </w:tcBorders>
          </w:tcPr>
          <w:p w14:paraId="6DA153E6" w14:textId="77777777" w:rsidR="001079EE" w:rsidRPr="551513BC" w:rsidRDefault="001079EE" w:rsidP="005D59FA">
            <w:pPr>
              <w:pStyle w:val="tablefigs"/>
              <w:jc w:val="right"/>
              <w:rPr>
                <w:rFonts w:asciiTheme="minorHAnsi" w:hAnsiTheme="minorHAnsi" w:cstheme="minorBidi"/>
                <w:color w:val="auto"/>
                <w:sz w:val="20"/>
                <w:szCs w:val="20"/>
              </w:rPr>
            </w:pPr>
          </w:p>
        </w:tc>
        <w:tc>
          <w:tcPr>
            <w:tcW w:w="692" w:type="pct"/>
            <w:tcBorders>
              <w:top w:val="single" w:sz="2" w:space="0" w:color="auto"/>
            </w:tcBorders>
            <w:vAlign w:val="bottom"/>
            <w:hideMark/>
          </w:tcPr>
          <w:p w14:paraId="556617D3" w14:textId="77777777" w:rsidR="001079EE" w:rsidRPr="00E71A4D" w:rsidRDefault="001079EE" w:rsidP="005D59FA">
            <w:pPr>
              <w:pStyle w:val="tablefigs"/>
              <w:jc w:val="right"/>
              <w:rPr>
                <w:rFonts w:asciiTheme="minorHAnsi" w:hAnsiTheme="minorHAnsi" w:cstheme="minorBidi"/>
                <w:color w:val="auto"/>
                <w:sz w:val="20"/>
                <w:szCs w:val="20"/>
              </w:rPr>
            </w:pPr>
            <w:r w:rsidRPr="551513BC">
              <w:rPr>
                <w:rFonts w:asciiTheme="minorHAnsi" w:hAnsiTheme="minorHAnsi" w:cstheme="minorBidi"/>
                <w:color w:val="auto"/>
                <w:sz w:val="20"/>
                <w:szCs w:val="20"/>
              </w:rPr>
              <w:t xml:space="preserve"> </w:t>
            </w:r>
          </w:p>
        </w:tc>
        <w:tc>
          <w:tcPr>
            <w:tcW w:w="769" w:type="pct"/>
            <w:tcBorders>
              <w:top w:val="single" w:sz="2" w:space="0" w:color="auto"/>
            </w:tcBorders>
          </w:tcPr>
          <w:p w14:paraId="1A8ED078" w14:textId="77777777" w:rsidR="001079EE" w:rsidRPr="551513BC" w:rsidRDefault="001079EE" w:rsidP="005D59FA">
            <w:pPr>
              <w:pStyle w:val="tablefigs"/>
              <w:jc w:val="right"/>
              <w:rPr>
                <w:rFonts w:asciiTheme="minorHAnsi" w:hAnsiTheme="minorHAnsi" w:cstheme="minorBidi"/>
                <w:color w:val="auto"/>
                <w:sz w:val="20"/>
                <w:szCs w:val="20"/>
              </w:rPr>
            </w:pPr>
          </w:p>
        </w:tc>
      </w:tr>
      <w:tr w:rsidR="00492300" w:rsidRPr="005E46B1" w14:paraId="2E9C28F1" w14:textId="6F063352" w:rsidTr="00D146B1">
        <w:trPr>
          <w:trHeight w:val="56"/>
          <w:jc w:val="center"/>
        </w:trPr>
        <w:tc>
          <w:tcPr>
            <w:tcW w:w="1846" w:type="pct"/>
            <w:vAlign w:val="bottom"/>
            <w:hideMark/>
          </w:tcPr>
          <w:p w14:paraId="2A654CFF" w14:textId="77777777" w:rsidR="00C54DEC" w:rsidRPr="006D4208" w:rsidRDefault="00C54DEC" w:rsidP="00C54DEC">
            <w:pPr>
              <w:pStyle w:val="tablefigs"/>
              <w:rPr>
                <w:rFonts w:asciiTheme="minorHAnsi" w:hAnsiTheme="minorHAnsi" w:cstheme="minorBidi"/>
                <w:color w:val="auto"/>
                <w:sz w:val="20"/>
                <w:szCs w:val="20"/>
              </w:rPr>
            </w:pPr>
            <w:r w:rsidRPr="551513BC">
              <w:rPr>
                <w:rFonts w:asciiTheme="minorHAnsi" w:hAnsiTheme="minorHAnsi" w:cstheme="minorBidi"/>
                <w:color w:val="auto"/>
                <w:sz w:val="20"/>
                <w:szCs w:val="20"/>
              </w:rPr>
              <w:t>Cash and balances at central banks</w:t>
            </w:r>
          </w:p>
        </w:tc>
        <w:tc>
          <w:tcPr>
            <w:tcW w:w="769" w:type="pct"/>
            <w:shd w:val="clear" w:color="auto" w:fill="F2F2F2" w:themeFill="background1" w:themeFillShade="F2"/>
            <w:hideMark/>
          </w:tcPr>
          <w:p w14:paraId="0B47A570" w14:textId="5B041952" w:rsidR="00C54DEC" w:rsidRPr="006D4208" w:rsidRDefault="00C54DEC" w:rsidP="00C54DEC">
            <w:pPr>
              <w:jc w:val="right"/>
              <w:rPr>
                <w:rFonts w:asciiTheme="minorHAnsi" w:hAnsiTheme="minorHAnsi" w:cstheme="minorBidi"/>
                <w:b/>
                <w:sz w:val="20"/>
                <w:szCs w:val="20"/>
              </w:rPr>
            </w:pPr>
            <w:r w:rsidRPr="551513BC">
              <w:rPr>
                <w:rFonts w:asciiTheme="minorHAnsi" w:hAnsiTheme="minorHAnsi" w:cstheme="minorBidi"/>
                <w:b/>
                <w:sz w:val="20"/>
                <w:szCs w:val="20"/>
              </w:rPr>
              <w:t>772.8</w:t>
            </w:r>
          </w:p>
        </w:tc>
        <w:tc>
          <w:tcPr>
            <w:tcW w:w="923" w:type="pct"/>
          </w:tcPr>
          <w:p w14:paraId="672D6267" w14:textId="0D2CC0D4" w:rsidR="00C54DEC" w:rsidRPr="551513BC" w:rsidRDefault="00C54DEC" w:rsidP="00C54DEC">
            <w:pPr>
              <w:jc w:val="right"/>
              <w:rPr>
                <w:rFonts w:asciiTheme="minorHAnsi" w:hAnsiTheme="minorHAnsi" w:cstheme="minorBidi"/>
                <w:sz w:val="20"/>
                <w:szCs w:val="20"/>
              </w:rPr>
            </w:pPr>
            <w:r>
              <w:rPr>
                <w:rFonts w:asciiTheme="minorHAnsi" w:hAnsiTheme="minorHAnsi" w:cstheme="minorBidi"/>
                <w:sz w:val="20"/>
                <w:szCs w:val="20"/>
              </w:rPr>
              <w:t>74</w:t>
            </w:r>
            <w:r w:rsidR="00F244F4">
              <w:rPr>
                <w:rFonts w:asciiTheme="minorHAnsi" w:hAnsiTheme="minorHAnsi" w:cstheme="minorBidi"/>
                <w:sz w:val="20"/>
                <w:szCs w:val="20"/>
              </w:rPr>
              <w:t>3.3</w:t>
            </w:r>
          </w:p>
        </w:tc>
        <w:tc>
          <w:tcPr>
            <w:tcW w:w="692" w:type="pct"/>
            <w:hideMark/>
          </w:tcPr>
          <w:p w14:paraId="56A26226" w14:textId="42216C0C" w:rsidR="00C54DEC" w:rsidRPr="006D4208" w:rsidRDefault="00C54DEC" w:rsidP="00C54DEC">
            <w:pPr>
              <w:jc w:val="right"/>
              <w:rPr>
                <w:rFonts w:asciiTheme="minorHAnsi" w:hAnsiTheme="minorHAnsi" w:cstheme="minorBidi"/>
                <w:sz w:val="20"/>
                <w:szCs w:val="20"/>
              </w:rPr>
            </w:pPr>
            <w:r w:rsidRPr="551513BC">
              <w:rPr>
                <w:rFonts w:asciiTheme="minorHAnsi" w:hAnsiTheme="minorHAnsi" w:cstheme="minorBidi"/>
                <w:sz w:val="20"/>
                <w:szCs w:val="20"/>
              </w:rPr>
              <w:t>447.3</w:t>
            </w:r>
          </w:p>
        </w:tc>
        <w:tc>
          <w:tcPr>
            <w:tcW w:w="769" w:type="pct"/>
          </w:tcPr>
          <w:p w14:paraId="5BEBB245" w14:textId="4CC37B52" w:rsidR="00C54DEC" w:rsidRPr="551513BC" w:rsidRDefault="007A636B" w:rsidP="00C54DEC">
            <w:pPr>
              <w:jc w:val="right"/>
              <w:rPr>
                <w:rFonts w:asciiTheme="minorHAnsi" w:hAnsiTheme="minorHAnsi" w:cstheme="minorBidi"/>
                <w:sz w:val="20"/>
                <w:szCs w:val="20"/>
              </w:rPr>
            </w:pPr>
            <w:r>
              <w:rPr>
                <w:rFonts w:asciiTheme="minorHAnsi" w:hAnsiTheme="minorHAnsi" w:cstheme="minorBidi"/>
                <w:sz w:val="20"/>
                <w:szCs w:val="20"/>
              </w:rPr>
              <w:t>464.9</w:t>
            </w:r>
          </w:p>
        </w:tc>
      </w:tr>
      <w:tr w:rsidR="00492300" w:rsidRPr="005E46B1" w14:paraId="23B971A5" w14:textId="2C76B752" w:rsidTr="00D146B1">
        <w:trPr>
          <w:trHeight w:val="56"/>
          <w:jc w:val="center"/>
        </w:trPr>
        <w:tc>
          <w:tcPr>
            <w:tcW w:w="1846" w:type="pct"/>
            <w:vAlign w:val="bottom"/>
            <w:hideMark/>
          </w:tcPr>
          <w:p w14:paraId="37DB76EC" w14:textId="77777777" w:rsidR="00C54DEC" w:rsidRPr="006D4208" w:rsidRDefault="00C54DEC" w:rsidP="00C54DEC">
            <w:pPr>
              <w:pStyle w:val="tablefigs"/>
              <w:rPr>
                <w:rFonts w:asciiTheme="minorHAnsi" w:hAnsiTheme="minorHAnsi" w:cstheme="minorBidi"/>
                <w:color w:val="auto"/>
                <w:sz w:val="20"/>
                <w:szCs w:val="20"/>
              </w:rPr>
            </w:pPr>
            <w:r w:rsidRPr="551513BC">
              <w:rPr>
                <w:rFonts w:asciiTheme="minorHAnsi" w:hAnsiTheme="minorHAnsi" w:cstheme="minorBidi"/>
                <w:color w:val="auto"/>
                <w:sz w:val="20"/>
                <w:szCs w:val="20"/>
              </w:rPr>
              <w:t>Amounts receivable from customers</w:t>
            </w:r>
            <w:r w:rsidRPr="551513BC">
              <w:rPr>
                <w:rStyle w:val="superscript"/>
                <w:rFonts w:asciiTheme="minorHAnsi" w:hAnsiTheme="minorHAnsi" w:cstheme="minorBidi"/>
                <w:color w:val="auto"/>
                <w:sz w:val="20"/>
                <w:szCs w:val="20"/>
              </w:rPr>
              <w:t>1</w:t>
            </w:r>
          </w:p>
        </w:tc>
        <w:tc>
          <w:tcPr>
            <w:tcW w:w="769" w:type="pct"/>
            <w:shd w:val="clear" w:color="auto" w:fill="F2F2F2" w:themeFill="background1" w:themeFillShade="F2"/>
            <w:hideMark/>
          </w:tcPr>
          <w:p w14:paraId="796E1F9C" w14:textId="0AC3A51D" w:rsidR="00C54DEC" w:rsidRPr="006D4208" w:rsidRDefault="00C54DEC" w:rsidP="00C54DEC">
            <w:pPr>
              <w:jc w:val="right"/>
              <w:rPr>
                <w:rFonts w:asciiTheme="minorHAnsi" w:hAnsiTheme="minorHAnsi" w:cstheme="minorBidi"/>
                <w:b/>
                <w:sz w:val="20"/>
                <w:szCs w:val="20"/>
              </w:rPr>
            </w:pPr>
            <w:r w:rsidRPr="551513BC">
              <w:rPr>
                <w:rFonts w:asciiTheme="minorHAnsi" w:hAnsiTheme="minorHAnsi" w:cstheme="minorBidi"/>
                <w:b/>
                <w:sz w:val="20"/>
                <w:szCs w:val="20"/>
              </w:rPr>
              <w:t>2,008.5</w:t>
            </w:r>
          </w:p>
        </w:tc>
        <w:tc>
          <w:tcPr>
            <w:tcW w:w="923" w:type="pct"/>
          </w:tcPr>
          <w:p w14:paraId="3B11D377" w14:textId="6374C743" w:rsidR="00C54DEC" w:rsidRPr="551513BC" w:rsidRDefault="00C54DEC" w:rsidP="00C54DEC">
            <w:pPr>
              <w:jc w:val="right"/>
              <w:rPr>
                <w:rFonts w:asciiTheme="minorHAnsi" w:hAnsiTheme="minorHAnsi" w:cstheme="minorBidi"/>
                <w:sz w:val="20"/>
                <w:szCs w:val="20"/>
              </w:rPr>
            </w:pPr>
            <w:r w:rsidRPr="551513BC">
              <w:rPr>
                <w:rFonts w:asciiTheme="minorHAnsi" w:hAnsiTheme="minorHAnsi" w:cstheme="minorBidi"/>
                <w:sz w:val="20"/>
                <w:szCs w:val="20"/>
              </w:rPr>
              <w:t>2,1</w:t>
            </w:r>
            <w:r w:rsidR="00807F74">
              <w:rPr>
                <w:rFonts w:asciiTheme="minorHAnsi" w:hAnsiTheme="minorHAnsi" w:cstheme="minorBidi"/>
                <w:sz w:val="20"/>
                <w:szCs w:val="20"/>
              </w:rPr>
              <w:t>55.8</w:t>
            </w:r>
          </w:p>
        </w:tc>
        <w:tc>
          <w:tcPr>
            <w:tcW w:w="692" w:type="pct"/>
            <w:hideMark/>
          </w:tcPr>
          <w:p w14:paraId="10BFA8BF" w14:textId="4B241421" w:rsidR="00C54DEC" w:rsidRPr="006D4208" w:rsidRDefault="00C54DEC" w:rsidP="00C54DEC">
            <w:pPr>
              <w:jc w:val="right"/>
              <w:rPr>
                <w:rFonts w:asciiTheme="minorHAnsi" w:hAnsiTheme="minorHAnsi" w:cstheme="minorBidi"/>
                <w:sz w:val="20"/>
                <w:szCs w:val="20"/>
              </w:rPr>
            </w:pPr>
            <w:r w:rsidRPr="551513BC">
              <w:rPr>
                <w:rFonts w:asciiTheme="minorHAnsi" w:hAnsiTheme="minorHAnsi" w:cstheme="minorBidi"/>
                <w:sz w:val="20"/>
                <w:szCs w:val="20"/>
              </w:rPr>
              <w:t>2,</w:t>
            </w:r>
            <w:r w:rsidR="00E10494">
              <w:rPr>
                <w:rFonts w:asciiTheme="minorHAnsi" w:hAnsiTheme="minorHAnsi" w:cstheme="minorBidi"/>
                <w:sz w:val="20"/>
                <w:szCs w:val="20"/>
              </w:rPr>
              <w:t>096.4</w:t>
            </w:r>
          </w:p>
        </w:tc>
        <w:tc>
          <w:tcPr>
            <w:tcW w:w="769" w:type="pct"/>
          </w:tcPr>
          <w:p w14:paraId="616382FA" w14:textId="32E081B7" w:rsidR="00C54DEC" w:rsidRPr="551513BC" w:rsidRDefault="0050170D" w:rsidP="00C54DEC">
            <w:pPr>
              <w:jc w:val="right"/>
              <w:rPr>
                <w:rFonts w:asciiTheme="minorHAnsi" w:hAnsiTheme="minorHAnsi" w:cstheme="minorBidi"/>
                <w:sz w:val="20"/>
                <w:szCs w:val="20"/>
              </w:rPr>
            </w:pPr>
            <w:r>
              <w:rPr>
                <w:rFonts w:asciiTheme="minorHAnsi" w:hAnsiTheme="minorHAnsi" w:cstheme="minorBidi"/>
                <w:sz w:val="20"/>
                <w:szCs w:val="20"/>
              </w:rPr>
              <w:t>1,896.9</w:t>
            </w:r>
          </w:p>
        </w:tc>
      </w:tr>
      <w:tr w:rsidR="00492300" w:rsidRPr="005E46B1" w14:paraId="3F56284C" w14:textId="1AC081ED" w:rsidTr="00D146B1">
        <w:trPr>
          <w:trHeight w:val="56"/>
          <w:jc w:val="center"/>
        </w:trPr>
        <w:tc>
          <w:tcPr>
            <w:tcW w:w="1846" w:type="pct"/>
            <w:vAlign w:val="bottom"/>
            <w:hideMark/>
          </w:tcPr>
          <w:p w14:paraId="1C497AA5" w14:textId="77777777" w:rsidR="00C54DEC" w:rsidRPr="006D4208" w:rsidRDefault="00C54DEC" w:rsidP="00C54DEC">
            <w:pPr>
              <w:pStyle w:val="tablefigs"/>
              <w:rPr>
                <w:rFonts w:asciiTheme="minorHAnsi" w:hAnsiTheme="minorHAnsi" w:cstheme="minorBidi"/>
                <w:color w:val="auto"/>
                <w:sz w:val="20"/>
                <w:szCs w:val="20"/>
              </w:rPr>
            </w:pPr>
            <w:r w:rsidRPr="551513BC">
              <w:rPr>
                <w:rFonts w:asciiTheme="minorHAnsi" w:hAnsiTheme="minorHAnsi" w:cstheme="minorBidi"/>
                <w:color w:val="auto"/>
                <w:sz w:val="20"/>
                <w:szCs w:val="20"/>
              </w:rPr>
              <w:t>Pension asset</w:t>
            </w:r>
          </w:p>
        </w:tc>
        <w:tc>
          <w:tcPr>
            <w:tcW w:w="769" w:type="pct"/>
            <w:shd w:val="clear" w:color="auto" w:fill="F2F2F2" w:themeFill="background1" w:themeFillShade="F2"/>
            <w:hideMark/>
          </w:tcPr>
          <w:p w14:paraId="49F2CC28" w14:textId="36017F4E" w:rsidR="00C54DEC" w:rsidRPr="006D4208" w:rsidRDefault="00C54DEC" w:rsidP="00C54DEC">
            <w:pPr>
              <w:jc w:val="right"/>
              <w:rPr>
                <w:rFonts w:asciiTheme="minorHAnsi" w:hAnsiTheme="minorHAnsi" w:cstheme="minorBidi"/>
                <w:b/>
                <w:sz w:val="20"/>
                <w:szCs w:val="20"/>
              </w:rPr>
            </w:pPr>
            <w:r w:rsidRPr="551513BC">
              <w:rPr>
                <w:rFonts w:asciiTheme="minorHAnsi" w:hAnsiTheme="minorHAnsi" w:cstheme="minorBidi"/>
                <w:b/>
                <w:sz w:val="20"/>
                <w:szCs w:val="20"/>
              </w:rPr>
              <w:t>34.4</w:t>
            </w:r>
          </w:p>
        </w:tc>
        <w:tc>
          <w:tcPr>
            <w:tcW w:w="923" w:type="pct"/>
          </w:tcPr>
          <w:p w14:paraId="41B5A1D3" w14:textId="6F9C80FA" w:rsidR="00C54DEC" w:rsidRPr="551513BC" w:rsidRDefault="00C54DEC" w:rsidP="00C54DEC">
            <w:pPr>
              <w:jc w:val="right"/>
              <w:rPr>
                <w:rFonts w:asciiTheme="minorHAnsi" w:hAnsiTheme="minorHAnsi" w:cstheme="minorBidi"/>
                <w:sz w:val="20"/>
                <w:szCs w:val="20"/>
              </w:rPr>
            </w:pPr>
            <w:r w:rsidRPr="551513BC">
              <w:rPr>
                <w:rFonts w:asciiTheme="minorHAnsi" w:hAnsiTheme="minorHAnsi" w:cstheme="minorBidi"/>
                <w:sz w:val="20"/>
                <w:szCs w:val="20"/>
              </w:rPr>
              <w:t>3</w:t>
            </w:r>
            <w:r w:rsidR="00016F25">
              <w:rPr>
                <w:rFonts w:asciiTheme="minorHAnsi" w:hAnsiTheme="minorHAnsi" w:cstheme="minorBidi"/>
                <w:sz w:val="20"/>
                <w:szCs w:val="20"/>
              </w:rPr>
              <w:t>8.2</w:t>
            </w:r>
          </w:p>
        </w:tc>
        <w:tc>
          <w:tcPr>
            <w:tcW w:w="692" w:type="pct"/>
            <w:hideMark/>
          </w:tcPr>
          <w:p w14:paraId="028EE790" w14:textId="307901DC" w:rsidR="00C54DEC" w:rsidRPr="006D4208" w:rsidRDefault="00C54DEC" w:rsidP="00C54DEC">
            <w:pPr>
              <w:jc w:val="right"/>
              <w:rPr>
                <w:rFonts w:asciiTheme="minorHAnsi" w:hAnsiTheme="minorHAnsi" w:cstheme="minorBidi"/>
                <w:sz w:val="20"/>
                <w:szCs w:val="20"/>
              </w:rPr>
            </w:pPr>
            <w:r w:rsidRPr="551513BC">
              <w:rPr>
                <w:rFonts w:asciiTheme="minorHAnsi" w:hAnsiTheme="minorHAnsi" w:cstheme="minorBidi"/>
                <w:sz w:val="20"/>
                <w:szCs w:val="20"/>
              </w:rPr>
              <w:t>36.8</w:t>
            </w:r>
          </w:p>
        </w:tc>
        <w:tc>
          <w:tcPr>
            <w:tcW w:w="769" w:type="pct"/>
          </w:tcPr>
          <w:p w14:paraId="664527FA" w14:textId="1FCB92EA" w:rsidR="00C54DEC" w:rsidRPr="551513BC" w:rsidRDefault="00C54DEC" w:rsidP="00C54DEC">
            <w:pPr>
              <w:jc w:val="right"/>
              <w:rPr>
                <w:rFonts w:asciiTheme="minorHAnsi" w:hAnsiTheme="minorHAnsi" w:cstheme="minorBidi"/>
                <w:sz w:val="20"/>
                <w:szCs w:val="20"/>
              </w:rPr>
            </w:pPr>
            <w:r w:rsidRPr="551513BC">
              <w:rPr>
                <w:rFonts w:asciiTheme="minorHAnsi" w:hAnsiTheme="minorHAnsi" w:cstheme="minorBidi"/>
                <w:sz w:val="20"/>
                <w:szCs w:val="20"/>
              </w:rPr>
              <w:t>3</w:t>
            </w:r>
            <w:r w:rsidR="00625755">
              <w:rPr>
                <w:rFonts w:asciiTheme="minorHAnsi" w:hAnsiTheme="minorHAnsi" w:cstheme="minorBidi"/>
                <w:sz w:val="20"/>
                <w:szCs w:val="20"/>
              </w:rPr>
              <w:t>0.7</w:t>
            </w:r>
          </w:p>
        </w:tc>
      </w:tr>
      <w:tr w:rsidR="00492300" w:rsidRPr="005E46B1" w14:paraId="50DE4063" w14:textId="7CF79EFC" w:rsidTr="00D146B1">
        <w:trPr>
          <w:trHeight w:val="56"/>
          <w:jc w:val="center"/>
        </w:trPr>
        <w:tc>
          <w:tcPr>
            <w:tcW w:w="1846" w:type="pct"/>
            <w:vAlign w:val="bottom"/>
            <w:hideMark/>
          </w:tcPr>
          <w:p w14:paraId="6754D329" w14:textId="77777777" w:rsidR="00C54DEC" w:rsidRPr="006D4208" w:rsidRDefault="00C54DEC" w:rsidP="00C54DEC">
            <w:pPr>
              <w:pStyle w:val="tablefigs"/>
              <w:rPr>
                <w:rFonts w:asciiTheme="minorHAnsi" w:hAnsiTheme="minorHAnsi" w:cstheme="minorBidi"/>
                <w:color w:val="auto"/>
                <w:sz w:val="20"/>
                <w:szCs w:val="20"/>
              </w:rPr>
            </w:pPr>
            <w:r w:rsidRPr="551513BC">
              <w:rPr>
                <w:rFonts w:asciiTheme="minorHAnsi" w:hAnsiTheme="minorHAnsi" w:cstheme="minorBidi"/>
                <w:color w:val="auto"/>
                <w:sz w:val="20"/>
                <w:szCs w:val="20"/>
              </w:rPr>
              <w:t>Goodwill and other intangibles</w:t>
            </w:r>
          </w:p>
        </w:tc>
        <w:tc>
          <w:tcPr>
            <w:tcW w:w="769" w:type="pct"/>
            <w:shd w:val="clear" w:color="auto" w:fill="F2F2F2" w:themeFill="background1" w:themeFillShade="F2"/>
            <w:hideMark/>
          </w:tcPr>
          <w:p w14:paraId="3C35BDC9" w14:textId="028D822D" w:rsidR="00C54DEC" w:rsidRPr="006D4208" w:rsidRDefault="00C54DEC" w:rsidP="00C54DEC">
            <w:pPr>
              <w:jc w:val="right"/>
              <w:rPr>
                <w:rFonts w:asciiTheme="minorHAnsi" w:hAnsiTheme="minorHAnsi" w:cstheme="minorBidi"/>
                <w:b/>
                <w:sz w:val="20"/>
                <w:szCs w:val="20"/>
              </w:rPr>
            </w:pPr>
            <w:r w:rsidRPr="551513BC">
              <w:rPr>
                <w:rFonts w:asciiTheme="minorHAnsi" w:hAnsiTheme="minorHAnsi" w:cstheme="minorBidi"/>
                <w:b/>
                <w:sz w:val="20"/>
                <w:szCs w:val="20"/>
              </w:rPr>
              <w:t>132.6</w:t>
            </w:r>
          </w:p>
        </w:tc>
        <w:tc>
          <w:tcPr>
            <w:tcW w:w="923" w:type="pct"/>
          </w:tcPr>
          <w:p w14:paraId="5D27617E" w14:textId="7421D1B6" w:rsidR="00C54DEC" w:rsidRPr="551513BC" w:rsidRDefault="00C54DEC" w:rsidP="00C54DEC">
            <w:pPr>
              <w:jc w:val="right"/>
              <w:rPr>
                <w:rFonts w:asciiTheme="minorHAnsi" w:hAnsiTheme="minorHAnsi" w:cstheme="minorBidi"/>
                <w:sz w:val="20"/>
                <w:szCs w:val="20"/>
              </w:rPr>
            </w:pPr>
            <w:r w:rsidRPr="551513BC">
              <w:rPr>
                <w:rFonts w:asciiTheme="minorHAnsi" w:hAnsiTheme="minorHAnsi" w:cstheme="minorBidi"/>
                <w:sz w:val="20"/>
                <w:szCs w:val="20"/>
              </w:rPr>
              <w:t>1</w:t>
            </w:r>
            <w:r w:rsidR="007D5BCA">
              <w:rPr>
                <w:rFonts w:asciiTheme="minorHAnsi" w:hAnsiTheme="minorHAnsi" w:cstheme="minorBidi"/>
                <w:sz w:val="20"/>
                <w:szCs w:val="20"/>
              </w:rPr>
              <w:t>46.8</w:t>
            </w:r>
          </w:p>
        </w:tc>
        <w:tc>
          <w:tcPr>
            <w:tcW w:w="692" w:type="pct"/>
            <w:hideMark/>
          </w:tcPr>
          <w:p w14:paraId="74BEA574" w14:textId="2AE6F604" w:rsidR="00C54DEC" w:rsidRPr="006D4208" w:rsidRDefault="00C54DEC" w:rsidP="00C54DEC">
            <w:pPr>
              <w:jc w:val="right"/>
              <w:rPr>
                <w:rFonts w:asciiTheme="minorHAnsi" w:hAnsiTheme="minorHAnsi" w:cstheme="minorBidi"/>
                <w:sz w:val="20"/>
                <w:szCs w:val="20"/>
              </w:rPr>
            </w:pPr>
            <w:r w:rsidRPr="551513BC">
              <w:rPr>
                <w:rFonts w:asciiTheme="minorHAnsi" w:hAnsiTheme="minorHAnsi" w:cstheme="minorBidi"/>
                <w:sz w:val="20"/>
                <w:szCs w:val="20"/>
              </w:rPr>
              <w:t>136.5</w:t>
            </w:r>
          </w:p>
        </w:tc>
        <w:tc>
          <w:tcPr>
            <w:tcW w:w="769" w:type="pct"/>
          </w:tcPr>
          <w:p w14:paraId="429B245B" w14:textId="5C3FBF49" w:rsidR="00C54DEC" w:rsidRPr="551513BC" w:rsidRDefault="00C54DEC" w:rsidP="00C54DEC">
            <w:pPr>
              <w:jc w:val="right"/>
              <w:rPr>
                <w:rFonts w:asciiTheme="minorHAnsi" w:hAnsiTheme="minorHAnsi" w:cstheme="minorBidi"/>
                <w:sz w:val="20"/>
                <w:szCs w:val="20"/>
              </w:rPr>
            </w:pPr>
            <w:r w:rsidRPr="551513BC">
              <w:rPr>
                <w:rFonts w:asciiTheme="minorHAnsi" w:hAnsiTheme="minorHAnsi" w:cstheme="minorBidi"/>
                <w:sz w:val="20"/>
                <w:szCs w:val="20"/>
              </w:rPr>
              <w:t>13</w:t>
            </w:r>
            <w:r w:rsidR="00F8572F">
              <w:rPr>
                <w:rFonts w:asciiTheme="minorHAnsi" w:hAnsiTheme="minorHAnsi" w:cstheme="minorBidi"/>
                <w:sz w:val="20"/>
                <w:szCs w:val="20"/>
              </w:rPr>
              <w:t>4</w:t>
            </w:r>
            <w:r w:rsidRPr="551513BC">
              <w:rPr>
                <w:rFonts w:asciiTheme="minorHAnsi" w:hAnsiTheme="minorHAnsi" w:cstheme="minorBidi"/>
                <w:sz w:val="20"/>
                <w:szCs w:val="20"/>
              </w:rPr>
              <w:t>.5</w:t>
            </w:r>
          </w:p>
        </w:tc>
      </w:tr>
      <w:tr w:rsidR="00492300" w:rsidRPr="005E46B1" w14:paraId="6A084955" w14:textId="45E2E7A4" w:rsidTr="00D146B1">
        <w:trPr>
          <w:trHeight w:val="56"/>
          <w:jc w:val="center"/>
        </w:trPr>
        <w:tc>
          <w:tcPr>
            <w:tcW w:w="1846" w:type="pct"/>
            <w:tcBorders>
              <w:bottom w:val="single" w:sz="4" w:space="0" w:color="auto"/>
            </w:tcBorders>
            <w:vAlign w:val="bottom"/>
            <w:hideMark/>
          </w:tcPr>
          <w:p w14:paraId="7958E982" w14:textId="77777777" w:rsidR="00C54DEC" w:rsidRPr="006D4208" w:rsidRDefault="00C54DEC" w:rsidP="00C54DEC">
            <w:pPr>
              <w:pStyle w:val="tablefigs"/>
              <w:rPr>
                <w:rFonts w:asciiTheme="minorHAnsi" w:hAnsiTheme="minorHAnsi" w:cstheme="minorBidi"/>
                <w:color w:val="auto"/>
                <w:sz w:val="20"/>
                <w:szCs w:val="20"/>
              </w:rPr>
            </w:pPr>
            <w:r w:rsidRPr="551513BC">
              <w:rPr>
                <w:rFonts w:asciiTheme="minorHAnsi" w:hAnsiTheme="minorHAnsi" w:cstheme="minorBidi"/>
                <w:color w:val="auto"/>
                <w:sz w:val="20"/>
                <w:szCs w:val="20"/>
              </w:rPr>
              <w:t>Other assets</w:t>
            </w:r>
          </w:p>
        </w:tc>
        <w:tc>
          <w:tcPr>
            <w:tcW w:w="769" w:type="pct"/>
            <w:tcBorders>
              <w:bottom w:val="single" w:sz="4" w:space="0" w:color="auto"/>
            </w:tcBorders>
            <w:shd w:val="clear" w:color="auto" w:fill="F2F2F2" w:themeFill="background1" w:themeFillShade="F2"/>
            <w:hideMark/>
          </w:tcPr>
          <w:p w14:paraId="63030E5F" w14:textId="6601D2DE" w:rsidR="00C54DEC" w:rsidRPr="006D4208" w:rsidRDefault="00B728E9" w:rsidP="00C54DEC">
            <w:pPr>
              <w:jc w:val="right"/>
              <w:rPr>
                <w:rFonts w:asciiTheme="minorHAnsi" w:hAnsiTheme="minorHAnsi" w:cstheme="minorBidi"/>
                <w:b/>
                <w:sz w:val="20"/>
                <w:szCs w:val="20"/>
              </w:rPr>
            </w:pPr>
            <w:r w:rsidRPr="198B8B94">
              <w:rPr>
                <w:rFonts w:asciiTheme="minorHAnsi" w:hAnsiTheme="minorHAnsi" w:cstheme="minorBidi"/>
                <w:b/>
                <w:sz w:val="20"/>
                <w:szCs w:val="20"/>
              </w:rPr>
              <w:t>13</w:t>
            </w:r>
            <w:r w:rsidR="00BB7EFF">
              <w:rPr>
                <w:rFonts w:asciiTheme="minorHAnsi" w:hAnsiTheme="minorHAnsi" w:cstheme="minorBidi"/>
                <w:b/>
                <w:sz w:val="20"/>
                <w:szCs w:val="20"/>
              </w:rPr>
              <w:t>6.8</w:t>
            </w:r>
          </w:p>
        </w:tc>
        <w:tc>
          <w:tcPr>
            <w:tcW w:w="923" w:type="pct"/>
            <w:tcBorders>
              <w:bottom w:val="single" w:sz="4" w:space="0" w:color="auto"/>
            </w:tcBorders>
          </w:tcPr>
          <w:p w14:paraId="7842F292" w14:textId="1D2C30DB" w:rsidR="00C54DEC" w:rsidRPr="551513BC" w:rsidRDefault="00C54DEC" w:rsidP="00C54DEC">
            <w:pPr>
              <w:jc w:val="right"/>
              <w:rPr>
                <w:rFonts w:asciiTheme="minorHAnsi" w:hAnsiTheme="minorHAnsi" w:cstheme="minorBidi"/>
                <w:sz w:val="20"/>
                <w:szCs w:val="20"/>
              </w:rPr>
            </w:pPr>
            <w:r w:rsidRPr="551513BC">
              <w:rPr>
                <w:rFonts w:asciiTheme="minorHAnsi" w:hAnsiTheme="minorHAnsi" w:cstheme="minorBidi"/>
                <w:sz w:val="20"/>
                <w:szCs w:val="20"/>
              </w:rPr>
              <w:t>1</w:t>
            </w:r>
            <w:r w:rsidR="00517108">
              <w:rPr>
                <w:rFonts w:asciiTheme="minorHAnsi" w:hAnsiTheme="minorHAnsi" w:cstheme="minorBidi"/>
                <w:sz w:val="20"/>
                <w:szCs w:val="20"/>
              </w:rPr>
              <w:t>1</w:t>
            </w:r>
            <w:r w:rsidR="00DB532F">
              <w:rPr>
                <w:rFonts w:asciiTheme="minorHAnsi" w:hAnsiTheme="minorHAnsi" w:cstheme="minorBidi"/>
                <w:sz w:val="20"/>
                <w:szCs w:val="20"/>
              </w:rPr>
              <w:t>0.6</w:t>
            </w:r>
          </w:p>
        </w:tc>
        <w:tc>
          <w:tcPr>
            <w:tcW w:w="692" w:type="pct"/>
            <w:tcBorders>
              <w:bottom w:val="single" w:sz="4" w:space="0" w:color="auto"/>
            </w:tcBorders>
            <w:hideMark/>
          </w:tcPr>
          <w:p w14:paraId="074B2CF4" w14:textId="51B24F74" w:rsidR="00C54DEC" w:rsidRPr="006D4208" w:rsidRDefault="00C54DEC" w:rsidP="00C54DEC">
            <w:pPr>
              <w:jc w:val="right"/>
              <w:rPr>
                <w:rFonts w:asciiTheme="minorHAnsi" w:hAnsiTheme="minorHAnsi" w:cstheme="minorBidi"/>
                <w:sz w:val="20"/>
                <w:szCs w:val="20"/>
              </w:rPr>
            </w:pPr>
            <w:r w:rsidRPr="551513BC">
              <w:rPr>
                <w:rFonts w:asciiTheme="minorHAnsi" w:hAnsiTheme="minorHAnsi" w:cstheme="minorBidi"/>
                <w:sz w:val="20"/>
                <w:szCs w:val="20"/>
              </w:rPr>
              <w:t>153.</w:t>
            </w:r>
            <w:r w:rsidR="00F103A5">
              <w:rPr>
                <w:rFonts w:asciiTheme="minorHAnsi" w:hAnsiTheme="minorHAnsi" w:cstheme="minorBidi"/>
                <w:sz w:val="20"/>
                <w:szCs w:val="20"/>
              </w:rPr>
              <w:t>2</w:t>
            </w:r>
          </w:p>
        </w:tc>
        <w:tc>
          <w:tcPr>
            <w:tcW w:w="769" w:type="pct"/>
            <w:tcBorders>
              <w:bottom w:val="single" w:sz="4" w:space="0" w:color="auto"/>
            </w:tcBorders>
          </w:tcPr>
          <w:p w14:paraId="2CDD6216" w14:textId="08C85A36" w:rsidR="00C54DEC" w:rsidRPr="551513BC" w:rsidRDefault="00C54DEC" w:rsidP="00C54DEC">
            <w:pPr>
              <w:jc w:val="right"/>
              <w:rPr>
                <w:rFonts w:asciiTheme="minorHAnsi" w:hAnsiTheme="minorHAnsi" w:cstheme="minorBidi"/>
                <w:sz w:val="20"/>
                <w:szCs w:val="20"/>
              </w:rPr>
            </w:pPr>
            <w:r w:rsidRPr="551513BC">
              <w:rPr>
                <w:rFonts w:asciiTheme="minorHAnsi" w:hAnsiTheme="minorHAnsi" w:cstheme="minorBidi"/>
                <w:sz w:val="20"/>
                <w:szCs w:val="20"/>
              </w:rPr>
              <w:t>1</w:t>
            </w:r>
            <w:r w:rsidR="00B3276C">
              <w:rPr>
                <w:rFonts w:asciiTheme="minorHAnsi" w:hAnsiTheme="minorHAnsi" w:cstheme="minorBidi"/>
                <w:sz w:val="20"/>
                <w:szCs w:val="20"/>
              </w:rPr>
              <w:t>2</w:t>
            </w:r>
            <w:r w:rsidR="00386A80">
              <w:rPr>
                <w:rFonts w:asciiTheme="minorHAnsi" w:hAnsiTheme="minorHAnsi" w:cstheme="minorBidi"/>
                <w:sz w:val="20"/>
                <w:szCs w:val="20"/>
              </w:rPr>
              <w:t>8.0</w:t>
            </w:r>
          </w:p>
        </w:tc>
      </w:tr>
      <w:tr w:rsidR="00492300" w:rsidRPr="005E46B1" w14:paraId="3464D06D" w14:textId="3138F7D9" w:rsidTr="00D146B1">
        <w:trPr>
          <w:trHeight w:val="56"/>
          <w:jc w:val="center"/>
        </w:trPr>
        <w:tc>
          <w:tcPr>
            <w:tcW w:w="1846" w:type="pct"/>
            <w:tcBorders>
              <w:top w:val="single" w:sz="4" w:space="0" w:color="auto"/>
            </w:tcBorders>
            <w:vAlign w:val="bottom"/>
            <w:hideMark/>
          </w:tcPr>
          <w:p w14:paraId="119B7E46" w14:textId="77777777" w:rsidR="00C54DEC" w:rsidRPr="006D4208" w:rsidRDefault="00C54DEC" w:rsidP="00C54DEC">
            <w:pPr>
              <w:pStyle w:val="tablefigsthick"/>
              <w:rPr>
                <w:rFonts w:asciiTheme="minorHAnsi" w:hAnsiTheme="minorHAnsi" w:cstheme="minorBidi"/>
                <w:color w:val="auto"/>
                <w:sz w:val="20"/>
                <w:szCs w:val="20"/>
              </w:rPr>
            </w:pPr>
            <w:r w:rsidRPr="551513BC">
              <w:rPr>
                <w:rFonts w:asciiTheme="minorHAnsi" w:hAnsiTheme="minorHAnsi" w:cstheme="minorBidi"/>
                <w:color w:val="auto"/>
                <w:sz w:val="20"/>
                <w:szCs w:val="20"/>
              </w:rPr>
              <w:t xml:space="preserve"> </w:t>
            </w:r>
          </w:p>
        </w:tc>
        <w:tc>
          <w:tcPr>
            <w:tcW w:w="769" w:type="pct"/>
            <w:tcBorders>
              <w:top w:val="single" w:sz="4" w:space="0" w:color="auto"/>
            </w:tcBorders>
            <w:shd w:val="clear" w:color="auto" w:fill="F2F2F2" w:themeFill="background1" w:themeFillShade="F2"/>
            <w:hideMark/>
          </w:tcPr>
          <w:p w14:paraId="1547FE2D" w14:textId="4DFD926E" w:rsidR="00C54DEC" w:rsidRPr="006D4208" w:rsidRDefault="00C54DEC" w:rsidP="00C54DEC">
            <w:pPr>
              <w:pBdr>
                <w:bottom w:val="single" w:sz="12" w:space="0" w:color="000000"/>
              </w:pBdr>
              <w:jc w:val="right"/>
              <w:rPr>
                <w:rFonts w:asciiTheme="minorHAnsi" w:hAnsiTheme="minorHAnsi" w:cstheme="minorBidi"/>
                <w:b/>
                <w:sz w:val="20"/>
                <w:szCs w:val="20"/>
              </w:rPr>
            </w:pPr>
            <w:r w:rsidRPr="551513BC">
              <w:rPr>
                <w:rFonts w:asciiTheme="minorHAnsi" w:hAnsiTheme="minorHAnsi" w:cstheme="minorBidi"/>
                <w:b/>
                <w:sz w:val="20"/>
                <w:szCs w:val="20"/>
              </w:rPr>
              <w:t>3,085.</w:t>
            </w:r>
            <w:r w:rsidR="00017550">
              <w:rPr>
                <w:rFonts w:asciiTheme="minorHAnsi" w:hAnsiTheme="minorHAnsi" w:cstheme="minorBidi"/>
                <w:b/>
                <w:sz w:val="20"/>
                <w:szCs w:val="20"/>
              </w:rPr>
              <w:t>1</w:t>
            </w:r>
          </w:p>
        </w:tc>
        <w:tc>
          <w:tcPr>
            <w:tcW w:w="923" w:type="pct"/>
            <w:tcBorders>
              <w:top w:val="single" w:sz="4" w:space="0" w:color="auto"/>
            </w:tcBorders>
          </w:tcPr>
          <w:p w14:paraId="587F5B7D" w14:textId="77647D7A" w:rsidR="00C54DEC" w:rsidRPr="551513BC" w:rsidRDefault="007D5BCA" w:rsidP="00C54DEC">
            <w:pPr>
              <w:pBdr>
                <w:bottom w:val="single" w:sz="12" w:space="0" w:color="000000"/>
              </w:pBdr>
              <w:jc w:val="right"/>
              <w:rPr>
                <w:rFonts w:asciiTheme="minorHAnsi" w:hAnsiTheme="minorHAnsi" w:cstheme="minorBidi"/>
                <w:sz w:val="20"/>
                <w:szCs w:val="20"/>
              </w:rPr>
            </w:pPr>
            <w:r>
              <w:rPr>
                <w:rFonts w:asciiTheme="minorHAnsi" w:hAnsiTheme="minorHAnsi" w:cstheme="minorBidi"/>
                <w:sz w:val="20"/>
                <w:szCs w:val="20"/>
              </w:rPr>
              <w:t>3,19</w:t>
            </w:r>
            <w:r w:rsidR="0040620A">
              <w:rPr>
                <w:rFonts w:asciiTheme="minorHAnsi" w:hAnsiTheme="minorHAnsi" w:cstheme="minorBidi"/>
                <w:sz w:val="20"/>
                <w:szCs w:val="20"/>
              </w:rPr>
              <w:t>4.7</w:t>
            </w:r>
          </w:p>
        </w:tc>
        <w:tc>
          <w:tcPr>
            <w:tcW w:w="692" w:type="pct"/>
            <w:tcBorders>
              <w:top w:val="single" w:sz="4" w:space="0" w:color="auto"/>
            </w:tcBorders>
            <w:hideMark/>
          </w:tcPr>
          <w:p w14:paraId="05EEC76A" w14:textId="57A26AFC" w:rsidR="00C54DEC" w:rsidRPr="006D4208" w:rsidRDefault="00C54DEC" w:rsidP="00C54DEC">
            <w:pPr>
              <w:pBdr>
                <w:bottom w:val="single" w:sz="12" w:space="0" w:color="000000"/>
              </w:pBdr>
              <w:jc w:val="right"/>
              <w:rPr>
                <w:rFonts w:asciiTheme="minorHAnsi" w:hAnsiTheme="minorHAnsi" w:cstheme="minorBidi"/>
                <w:sz w:val="20"/>
                <w:szCs w:val="20"/>
              </w:rPr>
            </w:pPr>
            <w:r w:rsidRPr="551513BC">
              <w:rPr>
                <w:rFonts w:asciiTheme="minorHAnsi" w:hAnsiTheme="minorHAnsi" w:cstheme="minorBidi"/>
                <w:sz w:val="20"/>
                <w:szCs w:val="20"/>
              </w:rPr>
              <w:t>2,</w:t>
            </w:r>
            <w:r w:rsidR="00F61FE6" w:rsidRPr="198B8B94">
              <w:rPr>
                <w:rFonts w:asciiTheme="minorHAnsi" w:hAnsiTheme="minorHAnsi" w:cstheme="minorBidi"/>
                <w:sz w:val="20"/>
                <w:szCs w:val="20"/>
              </w:rPr>
              <w:t>8</w:t>
            </w:r>
            <w:r w:rsidR="008103F8" w:rsidRPr="198B8B94">
              <w:rPr>
                <w:rFonts w:asciiTheme="minorHAnsi" w:hAnsiTheme="minorHAnsi" w:cstheme="minorBidi"/>
                <w:sz w:val="20"/>
                <w:szCs w:val="20"/>
              </w:rPr>
              <w:t>7</w:t>
            </w:r>
            <w:r w:rsidR="00D3144C">
              <w:rPr>
                <w:rFonts w:asciiTheme="minorHAnsi" w:hAnsiTheme="minorHAnsi" w:cstheme="minorBidi"/>
                <w:sz w:val="20"/>
                <w:szCs w:val="20"/>
              </w:rPr>
              <w:t>0.2</w:t>
            </w:r>
          </w:p>
        </w:tc>
        <w:tc>
          <w:tcPr>
            <w:tcW w:w="769" w:type="pct"/>
            <w:tcBorders>
              <w:top w:val="single" w:sz="4" w:space="0" w:color="auto"/>
            </w:tcBorders>
          </w:tcPr>
          <w:p w14:paraId="718911A7" w14:textId="7D6472ED" w:rsidR="00C54DEC" w:rsidRPr="551513BC" w:rsidRDefault="00C54DEC" w:rsidP="00C54DEC">
            <w:pPr>
              <w:pBdr>
                <w:bottom w:val="single" w:sz="12" w:space="0" w:color="000000"/>
              </w:pBdr>
              <w:jc w:val="right"/>
              <w:rPr>
                <w:rFonts w:asciiTheme="minorHAnsi" w:hAnsiTheme="minorHAnsi" w:cstheme="minorBidi"/>
                <w:sz w:val="20"/>
                <w:szCs w:val="20"/>
              </w:rPr>
            </w:pPr>
            <w:r w:rsidRPr="551513BC">
              <w:rPr>
                <w:rFonts w:asciiTheme="minorHAnsi" w:hAnsiTheme="minorHAnsi" w:cstheme="minorBidi"/>
                <w:sz w:val="20"/>
                <w:szCs w:val="20"/>
              </w:rPr>
              <w:t>2,</w:t>
            </w:r>
            <w:r w:rsidR="00F8572F">
              <w:rPr>
                <w:rFonts w:asciiTheme="minorHAnsi" w:hAnsiTheme="minorHAnsi" w:cstheme="minorBidi"/>
                <w:sz w:val="20"/>
                <w:szCs w:val="20"/>
              </w:rPr>
              <w:t>65</w:t>
            </w:r>
            <w:r w:rsidR="00386A80">
              <w:rPr>
                <w:rFonts w:asciiTheme="minorHAnsi" w:hAnsiTheme="minorHAnsi" w:cstheme="minorBidi"/>
                <w:sz w:val="20"/>
                <w:szCs w:val="20"/>
              </w:rPr>
              <w:t>5.0</w:t>
            </w:r>
          </w:p>
        </w:tc>
      </w:tr>
      <w:tr w:rsidR="00492300" w:rsidRPr="005E46B1" w14:paraId="01DB73E3" w14:textId="01CA7623" w:rsidTr="00D146B1">
        <w:trPr>
          <w:trHeight w:val="56"/>
          <w:jc w:val="center"/>
        </w:trPr>
        <w:tc>
          <w:tcPr>
            <w:tcW w:w="1846" w:type="pct"/>
            <w:vAlign w:val="bottom"/>
            <w:hideMark/>
          </w:tcPr>
          <w:p w14:paraId="1A9CB1CD" w14:textId="77777777" w:rsidR="00C54DEC" w:rsidRPr="006D4208" w:rsidRDefault="00C54DEC" w:rsidP="00C54DEC">
            <w:pPr>
              <w:pStyle w:val="tablefigs"/>
              <w:rPr>
                <w:rFonts w:asciiTheme="minorHAnsi" w:hAnsiTheme="minorHAnsi" w:cstheme="minorBidi"/>
                <w:color w:val="auto"/>
                <w:sz w:val="20"/>
                <w:szCs w:val="20"/>
              </w:rPr>
            </w:pPr>
            <w:r w:rsidRPr="551513BC">
              <w:rPr>
                <w:rStyle w:val="tabletextbold0"/>
                <w:rFonts w:asciiTheme="minorHAnsi" w:hAnsiTheme="minorHAnsi" w:cstheme="minorBidi"/>
                <w:color w:val="auto"/>
                <w:sz w:val="20"/>
                <w:szCs w:val="20"/>
              </w:rPr>
              <w:t>Liabilities</w:t>
            </w:r>
          </w:p>
        </w:tc>
        <w:tc>
          <w:tcPr>
            <w:tcW w:w="769" w:type="pct"/>
            <w:shd w:val="clear" w:color="auto" w:fill="F2F2F2" w:themeFill="background1" w:themeFillShade="F2"/>
            <w:hideMark/>
          </w:tcPr>
          <w:p w14:paraId="085DD4E6" w14:textId="77777777" w:rsidR="00C54DEC" w:rsidRPr="006D4208" w:rsidRDefault="00C54DEC" w:rsidP="00C54DEC">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p>
        </w:tc>
        <w:tc>
          <w:tcPr>
            <w:tcW w:w="923" w:type="pct"/>
          </w:tcPr>
          <w:p w14:paraId="0FD7AA6C" w14:textId="77777777" w:rsidR="00C54DEC" w:rsidRPr="551513BC" w:rsidRDefault="00C54DEC" w:rsidP="00C54DEC">
            <w:pPr>
              <w:jc w:val="right"/>
              <w:rPr>
                <w:rFonts w:asciiTheme="minorHAnsi" w:hAnsiTheme="minorHAnsi" w:cstheme="minorBidi"/>
                <w:sz w:val="20"/>
                <w:szCs w:val="20"/>
              </w:rPr>
            </w:pPr>
          </w:p>
        </w:tc>
        <w:tc>
          <w:tcPr>
            <w:tcW w:w="692" w:type="pct"/>
            <w:hideMark/>
          </w:tcPr>
          <w:p w14:paraId="12BD43B7" w14:textId="77777777" w:rsidR="00C54DEC" w:rsidRPr="006D4208" w:rsidRDefault="00C54DEC" w:rsidP="00C54DEC">
            <w:pPr>
              <w:jc w:val="right"/>
              <w:rPr>
                <w:rFonts w:asciiTheme="minorHAnsi" w:hAnsiTheme="minorHAnsi" w:cstheme="minorBidi"/>
                <w:sz w:val="20"/>
                <w:szCs w:val="20"/>
              </w:rPr>
            </w:pPr>
            <w:r w:rsidRPr="551513BC">
              <w:rPr>
                <w:rFonts w:asciiTheme="minorHAnsi" w:hAnsiTheme="minorHAnsi" w:cstheme="minorBidi"/>
                <w:sz w:val="20"/>
                <w:szCs w:val="20"/>
              </w:rPr>
              <w:t xml:space="preserve"> </w:t>
            </w:r>
          </w:p>
        </w:tc>
        <w:tc>
          <w:tcPr>
            <w:tcW w:w="769" w:type="pct"/>
          </w:tcPr>
          <w:p w14:paraId="4F22DD87" w14:textId="0FA6AFEE" w:rsidR="00C54DEC" w:rsidRPr="551513BC" w:rsidRDefault="00C54DEC" w:rsidP="00C54DEC">
            <w:pPr>
              <w:jc w:val="right"/>
              <w:rPr>
                <w:rFonts w:asciiTheme="minorHAnsi" w:hAnsiTheme="minorHAnsi" w:cstheme="minorBidi"/>
                <w:sz w:val="20"/>
                <w:szCs w:val="20"/>
              </w:rPr>
            </w:pPr>
            <w:r w:rsidRPr="551513BC">
              <w:rPr>
                <w:rFonts w:asciiTheme="minorHAnsi" w:hAnsiTheme="minorHAnsi" w:cstheme="minorBidi"/>
                <w:sz w:val="20"/>
                <w:szCs w:val="20"/>
              </w:rPr>
              <w:t xml:space="preserve"> </w:t>
            </w:r>
          </w:p>
        </w:tc>
      </w:tr>
      <w:tr w:rsidR="00492300" w:rsidRPr="005E46B1" w14:paraId="362CF9E3" w14:textId="4766D0F2" w:rsidTr="00D146B1">
        <w:trPr>
          <w:trHeight w:val="56"/>
          <w:jc w:val="center"/>
        </w:trPr>
        <w:tc>
          <w:tcPr>
            <w:tcW w:w="1846" w:type="pct"/>
            <w:vAlign w:val="bottom"/>
            <w:hideMark/>
          </w:tcPr>
          <w:p w14:paraId="5AF98BFA" w14:textId="77777777" w:rsidR="00C54DEC" w:rsidRPr="006D4208" w:rsidRDefault="00C54DEC" w:rsidP="00C54DEC">
            <w:pPr>
              <w:pStyle w:val="tablefigs"/>
              <w:rPr>
                <w:rFonts w:asciiTheme="minorHAnsi" w:hAnsiTheme="minorHAnsi" w:cstheme="minorBidi"/>
                <w:color w:val="auto"/>
                <w:sz w:val="20"/>
                <w:szCs w:val="20"/>
              </w:rPr>
            </w:pPr>
            <w:r w:rsidRPr="551513BC">
              <w:rPr>
                <w:rFonts w:asciiTheme="minorHAnsi" w:hAnsiTheme="minorHAnsi" w:cstheme="minorBidi"/>
                <w:color w:val="auto"/>
                <w:sz w:val="20"/>
                <w:szCs w:val="20"/>
              </w:rPr>
              <w:t>Retail deposits</w:t>
            </w:r>
          </w:p>
        </w:tc>
        <w:tc>
          <w:tcPr>
            <w:tcW w:w="769" w:type="pct"/>
            <w:shd w:val="clear" w:color="auto" w:fill="F2F2F2" w:themeFill="background1" w:themeFillShade="F2"/>
            <w:hideMark/>
          </w:tcPr>
          <w:p w14:paraId="327BDEB9" w14:textId="48B95A5B" w:rsidR="00C54DEC" w:rsidRPr="006D4208" w:rsidRDefault="00C54DEC" w:rsidP="00C54DEC">
            <w:pPr>
              <w:jc w:val="right"/>
              <w:rPr>
                <w:rFonts w:asciiTheme="minorHAnsi" w:hAnsiTheme="minorHAnsi" w:cstheme="minorBidi"/>
                <w:b/>
                <w:sz w:val="20"/>
                <w:szCs w:val="20"/>
              </w:rPr>
            </w:pPr>
            <w:r w:rsidRPr="551513BC">
              <w:rPr>
                <w:rFonts w:asciiTheme="minorHAnsi" w:hAnsiTheme="minorHAnsi" w:cstheme="minorBidi"/>
                <w:b/>
                <w:sz w:val="20"/>
                <w:szCs w:val="20"/>
              </w:rPr>
              <w:t>1,937.5</w:t>
            </w:r>
          </w:p>
        </w:tc>
        <w:tc>
          <w:tcPr>
            <w:tcW w:w="923" w:type="pct"/>
          </w:tcPr>
          <w:p w14:paraId="0E03DFE5" w14:textId="0A8F4BCA" w:rsidR="00C54DEC" w:rsidRPr="551513BC" w:rsidRDefault="00C54DEC" w:rsidP="00C54DEC">
            <w:pPr>
              <w:jc w:val="right"/>
              <w:rPr>
                <w:rFonts w:asciiTheme="minorHAnsi" w:hAnsiTheme="minorHAnsi" w:cstheme="minorBidi"/>
                <w:sz w:val="20"/>
                <w:szCs w:val="20"/>
              </w:rPr>
            </w:pPr>
            <w:r w:rsidRPr="551513BC">
              <w:rPr>
                <w:rFonts w:asciiTheme="minorHAnsi" w:hAnsiTheme="minorHAnsi" w:cstheme="minorBidi"/>
                <w:sz w:val="20"/>
                <w:szCs w:val="20"/>
              </w:rPr>
              <w:t>1,</w:t>
            </w:r>
            <w:r w:rsidR="0084657F">
              <w:rPr>
                <w:rFonts w:asciiTheme="minorHAnsi" w:hAnsiTheme="minorHAnsi" w:cstheme="minorBidi"/>
                <w:sz w:val="20"/>
                <w:szCs w:val="20"/>
              </w:rPr>
              <w:t>950.5</w:t>
            </w:r>
          </w:p>
        </w:tc>
        <w:tc>
          <w:tcPr>
            <w:tcW w:w="692" w:type="pct"/>
            <w:hideMark/>
          </w:tcPr>
          <w:p w14:paraId="551C3513" w14:textId="665435E6" w:rsidR="00C54DEC" w:rsidRPr="006D4208" w:rsidRDefault="00C54DEC" w:rsidP="00C54DEC">
            <w:pPr>
              <w:jc w:val="right"/>
              <w:rPr>
                <w:rFonts w:asciiTheme="minorHAnsi" w:hAnsiTheme="minorHAnsi" w:cstheme="minorBidi"/>
                <w:sz w:val="20"/>
                <w:szCs w:val="20"/>
              </w:rPr>
            </w:pPr>
            <w:r w:rsidRPr="551513BC">
              <w:rPr>
                <w:rFonts w:asciiTheme="minorHAnsi" w:hAnsiTheme="minorHAnsi" w:cstheme="minorBidi"/>
                <w:sz w:val="20"/>
                <w:szCs w:val="20"/>
              </w:rPr>
              <w:t>1,445.3</w:t>
            </w:r>
          </w:p>
        </w:tc>
        <w:tc>
          <w:tcPr>
            <w:tcW w:w="769" w:type="pct"/>
          </w:tcPr>
          <w:p w14:paraId="4E6AB9D1" w14:textId="1FE8BDB5" w:rsidR="00C54DEC" w:rsidRPr="551513BC" w:rsidRDefault="00C54DEC" w:rsidP="00C54DEC">
            <w:pPr>
              <w:jc w:val="right"/>
              <w:rPr>
                <w:rFonts w:asciiTheme="minorHAnsi" w:hAnsiTheme="minorHAnsi" w:cstheme="minorBidi"/>
                <w:sz w:val="20"/>
                <w:szCs w:val="20"/>
              </w:rPr>
            </w:pPr>
            <w:r w:rsidRPr="551513BC">
              <w:rPr>
                <w:rFonts w:asciiTheme="minorHAnsi" w:hAnsiTheme="minorHAnsi" w:cstheme="minorBidi"/>
                <w:sz w:val="20"/>
                <w:szCs w:val="20"/>
              </w:rPr>
              <w:t>1,</w:t>
            </w:r>
            <w:r w:rsidR="008605B4">
              <w:rPr>
                <w:rFonts w:asciiTheme="minorHAnsi" w:hAnsiTheme="minorHAnsi" w:cstheme="minorBidi"/>
                <w:sz w:val="20"/>
                <w:szCs w:val="20"/>
              </w:rPr>
              <w:t>100.6</w:t>
            </w:r>
          </w:p>
        </w:tc>
      </w:tr>
      <w:tr w:rsidR="00492300" w:rsidRPr="005E46B1" w14:paraId="37609B05" w14:textId="0B12D92B" w:rsidTr="00D146B1">
        <w:trPr>
          <w:trHeight w:val="56"/>
          <w:jc w:val="center"/>
        </w:trPr>
        <w:tc>
          <w:tcPr>
            <w:tcW w:w="1846" w:type="pct"/>
            <w:vAlign w:val="bottom"/>
            <w:hideMark/>
          </w:tcPr>
          <w:p w14:paraId="767B4716" w14:textId="77777777" w:rsidR="00C54DEC" w:rsidRPr="006D4208" w:rsidRDefault="00C54DEC" w:rsidP="00C54DEC">
            <w:pPr>
              <w:pStyle w:val="tablefigs"/>
              <w:rPr>
                <w:rFonts w:asciiTheme="minorHAnsi" w:hAnsiTheme="minorHAnsi" w:cstheme="minorBidi"/>
                <w:color w:val="auto"/>
                <w:sz w:val="20"/>
                <w:szCs w:val="20"/>
              </w:rPr>
            </w:pPr>
            <w:r w:rsidRPr="551513BC">
              <w:rPr>
                <w:rFonts w:asciiTheme="minorHAnsi" w:hAnsiTheme="minorHAnsi" w:cstheme="minorBidi"/>
                <w:color w:val="auto"/>
                <w:sz w:val="20"/>
                <w:szCs w:val="20"/>
              </w:rPr>
              <w:t>Bank and other borrowings</w:t>
            </w:r>
            <w:r w:rsidRPr="551513BC">
              <w:rPr>
                <w:rStyle w:val="superscript"/>
                <w:rFonts w:asciiTheme="minorHAnsi" w:hAnsiTheme="minorHAnsi" w:cstheme="minorBidi"/>
                <w:color w:val="auto"/>
                <w:sz w:val="20"/>
                <w:szCs w:val="20"/>
              </w:rPr>
              <w:t>2</w:t>
            </w:r>
          </w:p>
        </w:tc>
        <w:tc>
          <w:tcPr>
            <w:tcW w:w="769" w:type="pct"/>
            <w:shd w:val="clear" w:color="auto" w:fill="F2F2F2" w:themeFill="background1" w:themeFillShade="F2"/>
            <w:hideMark/>
          </w:tcPr>
          <w:p w14:paraId="72631E16" w14:textId="481C9038" w:rsidR="00C54DEC" w:rsidRPr="006D4208" w:rsidRDefault="00C54DEC" w:rsidP="00C54DEC">
            <w:pPr>
              <w:jc w:val="right"/>
              <w:rPr>
                <w:rFonts w:asciiTheme="minorHAnsi" w:hAnsiTheme="minorHAnsi" w:cstheme="minorBidi"/>
                <w:b/>
                <w:sz w:val="20"/>
                <w:szCs w:val="20"/>
              </w:rPr>
            </w:pPr>
            <w:r w:rsidRPr="551513BC">
              <w:rPr>
                <w:rFonts w:asciiTheme="minorHAnsi" w:hAnsiTheme="minorHAnsi" w:cstheme="minorBidi"/>
                <w:b/>
                <w:sz w:val="20"/>
                <w:szCs w:val="20"/>
              </w:rPr>
              <w:t>504.1</w:t>
            </w:r>
          </w:p>
        </w:tc>
        <w:tc>
          <w:tcPr>
            <w:tcW w:w="923" w:type="pct"/>
          </w:tcPr>
          <w:p w14:paraId="2B85AEA4" w14:textId="07DBEB93" w:rsidR="00C54DEC" w:rsidRPr="551513BC" w:rsidRDefault="005D1018" w:rsidP="00C54DEC">
            <w:pPr>
              <w:jc w:val="right"/>
              <w:rPr>
                <w:rFonts w:asciiTheme="minorHAnsi" w:hAnsiTheme="minorHAnsi" w:cstheme="minorBidi"/>
                <w:sz w:val="20"/>
                <w:szCs w:val="20"/>
              </w:rPr>
            </w:pPr>
            <w:r>
              <w:rPr>
                <w:rFonts w:asciiTheme="minorHAnsi" w:hAnsiTheme="minorHAnsi" w:cstheme="minorBidi"/>
                <w:sz w:val="20"/>
                <w:szCs w:val="20"/>
              </w:rPr>
              <w:t>582.</w:t>
            </w:r>
            <w:r w:rsidR="005B6F42">
              <w:rPr>
                <w:rFonts w:asciiTheme="minorHAnsi" w:hAnsiTheme="minorHAnsi" w:cstheme="minorBidi"/>
                <w:sz w:val="20"/>
                <w:szCs w:val="20"/>
              </w:rPr>
              <w:t>5</w:t>
            </w:r>
          </w:p>
        </w:tc>
        <w:tc>
          <w:tcPr>
            <w:tcW w:w="692" w:type="pct"/>
            <w:hideMark/>
          </w:tcPr>
          <w:p w14:paraId="5F861F03" w14:textId="7F8E9829" w:rsidR="00C54DEC" w:rsidRPr="006D4208" w:rsidRDefault="00C54DEC" w:rsidP="00C54DEC">
            <w:pPr>
              <w:jc w:val="right"/>
              <w:rPr>
                <w:rFonts w:asciiTheme="minorHAnsi" w:hAnsiTheme="minorHAnsi" w:cstheme="minorBidi"/>
                <w:sz w:val="20"/>
                <w:szCs w:val="20"/>
              </w:rPr>
            </w:pPr>
            <w:r w:rsidRPr="551513BC">
              <w:rPr>
                <w:rFonts w:asciiTheme="minorHAnsi" w:hAnsiTheme="minorHAnsi" w:cstheme="minorBidi"/>
                <w:sz w:val="20"/>
                <w:szCs w:val="20"/>
              </w:rPr>
              <w:t>706.6</w:t>
            </w:r>
          </w:p>
        </w:tc>
        <w:tc>
          <w:tcPr>
            <w:tcW w:w="769" w:type="pct"/>
          </w:tcPr>
          <w:p w14:paraId="6D22027D" w14:textId="72240A59" w:rsidR="00C54DEC" w:rsidRPr="551513BC" w:rsidRDefault="00FA38DE" w:rsidP="00C54DEC">
            <w:pPr>
              <w:jc w:val="right"/>
              <w:rPr>
                <w:rFonts w:asciiTheme="minorHAnsi" w:hAnsiTheme="minorHAnsi" w:cstheme="minorBidi"/>
                <w:sz w:val="20"/>
                <w:szCs w:val="20"/>
              </w:rPr>
            </w:pPr>
            <w:r>
              <w:rPr>
                <w:rFonts w:asciiTheme="minorHAnsi" w:hAnsiTheme="minorHAnsi" w:cstheme="minorBidi"/>
                <w:sz w:val="20"/>
                <w:szCs w:val="20"/>
              </w:rPr>
              <w:t>815.4</w:t>
            </w:r>
          </w:p>
        </w:tc>
      </w:tr>
      <w:tr w:rsidR="00492300" w:rsidRPr="005E46B1" w14:paraId="49CF149D" w14:textId="433E7C8A" w:rsidTr="00D146B1">
        <w:trPr>
          <w:trHeight w:val="56"/>
          <w:jc w:val="center"/>
        </w:trPr>
        <w:tc>
          <w:tcPr>
            <w:tcW w:w="1846" w:type="pct"/>
            <w:vAlign w:val="bottom"/>
            <w:hideMark/>
          </w:tcPr>
          <w:p w14:paraId="1027DBFF" w14:textId="77777777" w:rsidR="00C54DEC" w:rsidRPr="006D4208" w:rsidRDefault="00C54DEC" w:rsidP="00C54DEC">
            <w:pPr>
              <w:pStyle w:val="tablefigs"/>
              <w:rPr>
                <w:rFonts w:asciiTheme="minorHAnsi" w:hAnsiTheme="minorHAnsi" w:cstheme="minorBidi"/>
                <w:color w:val="auto"/>
                <w:sz w:val="20"/>
                <w:szCs w:val="20"/>
              </w:rPr>
            </w:pPr>
            <w:r w:rsidRPr="551513BC">
              <w:rPr>
                <w:rFonts w:asciiTheme="minorHAnsi" w:hAnsiTheme="minorHAnsi" w:cstheme="minorBidi"/>
                <w:color w:val="auto"/>
                <w:sz w:val="20"/>
                <w:szCs w:val="20"/>
              </w:rPr>
              <w:t>Trade and other payables</w:t>
            </w:r>
          </w:p>
        </w:tc>
        <w:tc>
          <w:tcPr>
            <w:tcW w:w="769" w:type="pct"/>
            <w:shd w:val="clear" w:color="auto" w:fill="F2F2F2" w:themeFill="background1" w:themeFillShade="F2"/>
            <w:hideMark/>
          </w:tcPr>
          <w:p w14:paraId="642F7C8F" w14:textId="0EE99FB5" w:rsidR="00C54DEC" w:rsidRPr="006D4208" w:rsidRDefault="00876771" w:rsidP="00C54DEC">
            <w:pPr>
              <w:jc w:val="right"/>
              <w:rPr>
                <w:rFonts w:asciiTheme="minorHAnsi" w:hAnsiTheme="minorHAnsi" w:cstheme="minorBidi"/>
                <w:b/>
                <w:sz w:val="20"/>
                <w:szCs w:val="20"/>
              </w:rPr>
            </w:pPr>
            <w:r>
              <w:rPr>
                <w:rFonts w:asciiTheme="minorHAnsi" w:hAnsiTheme="minorHAnsi" w:cstheme="minorBidi"/>
                <w:b/>
                <w:sz w:val="20"/>
                <w:szCs w:val="20"/>
              </w:rPr>
              <w:t>49</w:t>
            </w:r>
            <w:r w:rsidR="00C54DEC" w:rsidRPr="551513BC">
              <w:rPr>
                <w:rFonts w:asciiTheme="minorHAnsi" w:hAnsiTheme="minorHAnsi" w:cstheme="minorBidi"/>
                <w:b/>
                <w:sz w:val="20"/>
                <w:szCs w:val="20"/>
              </w:rPr>
              <w:t>.6</w:t>
            </w:r>
          </w:p>
        </w:tc>
        <w:tc>
          <w:tcPr>
            <w:tcW w:w="923" w:type="pct"/>
          </w:tcPr>
          <w:p w14:paraId="7D68D683" w14:textId="7DBBAAF1" w:rsidR="00C54DEC" w:rsidRPr="551513BC" w:rsidRDefault="00917A18" w:rsidP="00C54DEC">
            <w:pPr>
              <w:jc w:val="right"/>
              <w:rPr>
                <w:rFonts w:asciiTheme="minorHAnsi" w:hAnsiTheme="minorHAnsi" w:cstheme="minorBidi"/>
                <w:sz w:val="20"/>
                <w:szCs w:val="20"/>
              </w:rPr>
            </w:pPr>
            <w:r>
              <w:rPr>
                <w:rFonts w:asciiTheme="minorHAnsi" w:hAnsiTheme="minorHAnsi" w:cstheme="minorBidi"/>
                <w:sz w:val="20"/>
                <w:szCs w:val="20"/>
              </w:rPr>
              <w:t>44.1</w:t>
            </w:r>
          </w:p>
        </w:tc>
        <w:tc>
          <w:tcPr>
            <w:tcW w:w="692" w:type="pct"/>
            <w:hideMark/>
          </w:tcPr>
          <w:p w14:paraId="0CCA5943" w14:textId="4C5C7BC8" w:rsidR="00C54DEC" w:rsidRPr="006D4208" w:rsidRDefault="00C54DEC" w:rsidP="00C54DEC">
            <w:pPr>
              <w:jc w:val="right"/>
              <w:rPr>
                <w:rFonts w:asciiTheme="minorHAnsi" w:hAnsiTheme="minorHAnsi" w:cstheme="minorBidi"/>
                <w:sz w:val="20"/>
                <w:szCs w:val="20"/>
              </w:rPr>
            </w:pPr>
            <w:r w:rsidRPr="551513BC">
              <w:rPr>
                <w:rFonts w:asciiTheme="minorHAnsi" w:hAnsiTheme="minorHAnsi" w:cstheme="minorBidi"/>
                <w:sz w:val="20"/>
                <w:szCs w:val="20"/>
              </w:rPr>
              <w:t>64.0</w:t>
            </w:r>
          </w:p>
        </w:tc>
        <w:tc>
          <w:tcPr>
            <w:tcW w:w="769" w:type="pct"/>
          </w:tcPr>
          <w:p w14:paraId="4F3C995E" w14:textId="3DCFCE2F" w:rsidR="00C54DEC" w:rsidRPr="551513BC" w:rsidRDefault="00C54DEC" w:rsidP="00C54DEC">
            <w:pPr>
              <w:jc w:val="right"/>
              <w:rPr>
                <w:rFonts w:asciiTheme="minorHAnsi" w:hAnsiTheme="minorHAnsi" w:cstheme="minorBidi"/>
                <w:sz w:val="20"/>
                <w:szCs w:val="20"/>
              </w:rPr>
            </w:pPr>
            <w:r w:rsidRPr="551513BC">
              <w:rPr>
                <w:rFonts w:asciiTheme="minorHAnsi" w:hAnsiTheme="minorHAnsi" w:cstheme="minorBidi"/>
                <w:sz w:val="20"/>
                <w:szCs w:val="20"/>
              </w:rPr>
              <w:t>6</w:t>
            </w:r>
            <w:r w:rsidR="006B5189">
              <w:rPr>
                <w:rFonts w:asciiTheme="minorHAnsi" w:hAnsiTheme="minorHAnsi" w:cstheme="minorBidi"/>
                <w:sz w:val="20"/>
                <w:szCs w:val="20"/>
              </w:rPr>
              <w:t>2.8</w:t>
            </w:r>
          </w:p>
        </w:tc>
      </w:tr>
      <w:tr w:rsidR="00492300" w:rsidRPr="005E46B1" w14:paraId="2CA8F32F" w14:textId="45A83610" w:rsidTr="00D146B1">
        <w:trPr>
          <w:trHeight w:val="56"/>
          <w:jc w:val="center"/>
        </w:trPr>
        <w:tc>
          <w:tcPr>
            <w:tcW w:w="1846" w:type="pct"/>
            <w:vAlign w:val="bottom"/>
            <w:hideMark/>
          </w:tcPr>
          <w:p w14:paraId="2856AA7F" w14:textId="77777777" w:rsidR="00C54DEC" w:rsidRPr="006D4208" w:rsidRDefault="00C54DEC" w:rsidP="00C54DEC">
            <w:pPr>
              <w:pStyle w:val="tablefigs"/>
              <w:rPr>
                <w:rFonts w:asciiTheme="minorHAnsi" w:hAnsiTheme="minorHAnsi" w:cstheme="minorBidi"/>
                <w:color w:val="auto"/>
                <w:sz w:val="20"/>
                <w:szCs w:val="20"/>
              </w:rPr>
            </w:pPr>
            <w:r w:rsidRPr="551513BC">
              <w:rPr>
                <w:rFonts w:asciiTheme="minorHAnsi" w:hAnsiTheme="minorHAnsi" w:cstheme="minorBidi"/>
                <w:color w:val="auto"/>
                <w:sz w:val="20"/>
                <w:szCs w:val="20"/>
              </w:rPr>
              <w:t>Other liabilities</w:t>
            </w:r>
          </w:p>
        </w:tc>
        <w:tc>
          <w:tcPr>
            <w:tcW w:w="769" w:type="pct"/>
            <w:shd w:val="clear" w:color="auto" w:fill="F2F2F2" w:themeFill="background1" w:themeFillShade="F2"/>
            <w:hideMark/>
          </w:tcPr>
          <w:p w14:paraId="1FD78D5A" w14:textId="54761D56" w:rsidR="00C54DEC" w:rsidRPr="006D4208" w:rsidRDefault="00F13020" w:rsidP="00C54DEC">
            <w:pPr>
              <w:jc w:val="right"/>
              <w:rPr>
                <w:rFonts w:asciiTheme="minorHAnsi" w:hAnsiTheme="minorHAnsi" w:cstheme="minorBidi"/>
                <w:b/>
                <w:sz w:val="20"/>
                <w:szCs w:val="20"/>
              </w:rPr>
            </w:pPr>
            <w:r w:rsidRPr="198B8B94">
              <w:rPr>
                <w:rFonts w:asciiTheme="minorHAnsi" w:hAnsiTheme="minorHAnsi" w:cstheme="minorBidi"/>
                <w:b/>
                <w:sz w:val="20"/>
                <w:szCs w:val="20"/>
              </w:rPr>
              <w:t>6</w:t>
            </w:r>
            <w:r w:rsidR="004039BB">
              <w:rPr>
                <w:rFonts w:asciiTheme="minorHAnsi" w:hAnsiTheme="minorHAnsi" w:cstheme="minorBidi"/>
                <w:b/>
                <w:sz w:val="20"/>
                <w:szCs w:val="20"/>
              </w:rPr>
              <w:t>4.2</w:t>
            </w:r>
          </w:p>
        </w:tc>
        <w:tc>
          <w:tcPr>
            <w:tcW w:w="923" w:type="pct"/>
          </w:tcPr>
          <w:p w14:paraId="44B5AE7E" w14:textId="33972024" w:rsidR="00C54DEC" w:rsidRPr="551513BC" w:rsidRDefault="00FE5E3D" w:rsidP="00C54DEC">
            <w:pPr>
              <w:jc w:val="right"/>
              <w:rPr>
                <w:rFonts w:asciiTheme="minorHAnsi" w:hAnsiTheme="minorHAnsi" w:cstheme="minorBidi"/>
                <w:sz w:val="20"/>
                <w:szCs w:val="20"/>
              </w:rPr>
            </w:pPr>
            <w:r>
              <w:rPr>
                <w:rFonts w:asciiTheme="minorHAnsi" w:hAnsiTheme="minorHAnsi" w:cstheme="minorBidi"/>
                <w:sz w:val="20"/>
                <w:szCs w:val="20"/>
              </w:rPr>
              <w:t>48.5</w:t>
            </w:r>
          </w:p>
        </w:tc>
        <w:tc>
          <w:tcPr>
            <w:tcW w:w="692" w:type="pct"/>
            <w:hideMark/>
          </w:tcPr>
          <w:p w14:paraId="2B56668D" w14:textId="7C1B5CAB" w:rsidR="00C54DEC" w:rsidRPr="006D4208" w:rsidRDefault="00C54DEC" w:rsidP="00C54DEC">
            <w:pPr>
              <w:jc w:val="right"/>
              <w:rPr>
                <w:rFonts w:asciiTheme="minorHAnsi" w:hAnsiTheme="minorHAnsi" w:cstheme="minorBidi"/>
                <w:sz w:val="20"/>
                <w:szCs w:val="20"/>
              </w:rPr>
            </w:pPr>
            <w:r w:rsidRPr="551513BC">
              <w:rPr>
                <w:rFonts w:asciiTheme="minorHAnsi" w:hAnsiTheme="minorHAnsi" w:cstheme="minorBidi"/>
                <w:sz w:val="20"/>
                <w:szCs w:val="20"/>
              </w:rPr>
              <w:t>82.3</w:t>
            </w:r>
          </w:p>
        </w:tc>
        <w:tc>
          <w:tcPr>
            <w:tcW w:w="769" w:type="pct"/>
          </w:tcPr>
          <w:p w14:paraId="612EDE8D" w14:textId="1AF7394C" w:rsidR="00C54DEC" w:rsidRPr="551513BC" w:rsidRDefault="00FD3C5F" w:rsidP="00C54DEC">
            <w:pPr>
              <w:jc w:val="right"/>
              <w:rPr>
                <w:rFonts w:asciiTheme="minorHAnsi" w:hAnsiTheme="minorHAnsi" w:cstheme="minorBidi"/>
                <w:sz w:val="20"/>
                <w:szCs w:val="20"/>
              </w:rPr>
            </w:pPr>
            <w:r>
              <w:rPr>
                <w:rFonts w:asciiTheme="minorHAnsi" w:hAnsiTheme="minorHAnsi" w:cstheme="minorBidi"/>
                <w:sz w:val="20"/>
                <w:szCs w:val="20"/>
              </w:rPr>
              <w:t>69.8</w:t>
            </w:r>
          </w:p>
        </w:tc>
      </w:tr>
      <w:tr w:rsidR="00492300" w:rsidRPr="005E46B1" w14:paraId="709BBA77" w14:textId="057ACA4D" w:rsidTr="00D146B1">
        <w:trPr>
          <w:trHeight w:val="56"/>
          <w:jc w:val="center"/>
        </w:trPr>
        <w:tc>
          <w:tcPr>
            <w:tcW w:w="1846" w:type="pct"/>
            <w:tcBorders>
              <w:top w:val="single" w:sz="2" w:space="0" w:color="auto"/>
            </w:tcBorders>
            <w:vAlign w:val="bottom"/>
            <w:hideMark/>
          </w:tcPr>
          <w:p w14:paraId="7CBCC822" w14:textId="77777777" w:rsidR="00C54DEC" w:rsidRPr="006D4208" w:rsidRDefault="00C54DEC" w:rsidP="00C54DEC">
            <w:pPr>
              <w:pStyle w:val="tablefigsthick"/>
              <w:rPr>
                <w:rFonts w:asciiTheme="minorHAnsi" w:hAnsiTheme="minorHAnsi" w:cstheme="minorBidi"/>
                <w:color w:val="auto"/>
                <w:sz w:val="20"/>
                <w:szCs w:val="20"/>
              </w:rPr>
            </w:pPr>
            <w:r w:rsidRPr="551513BC">
              <w:rPr>
                <w:rFonts w:asciiTheme="minorHAnsi" w:hAnsiTheme="minorHAnsi" w:cstheme="minorBidi"/>
                <w:color w:val="auto"/>
                <w:sz w:val="20"/>
                <w:szCs w:val="20"/>
              </w:rPr>
              <w:t xml:space="preserve"> </w:t>
            </w:r>
          </w:p>
        </w:tc>
        <w:tc>
          <w:tcPr>
            <w:tcW w:w="769" w:type="pct"/>
            <w:tcBorders>
              <w:top w:val="single" w:sz="2" w:space="0" w:color="auto"/>
            </w:tcBorders>
            <w:shd w:val="clear" w:color="auto" w:fill="F2F2F2" w:themeFill="background1" w:themeFillShade="F2"/>
            <w:hideMark/>
          </w:tcPr>
          <w:p w14:paraId="7156BDB4" w14:textId="26727683" w:rsidR="00C54DEC" w:rsidRPr="006D4208" w:rsidRDefault="00C54DEC" w:rsidP="00C54DEC">
            <w:pPr>
              <w:pBdr>
                <w:bottom w:val="single" w:sz="12" w:space="0" w:color="000000"/>
              </w:pBdr>
              <w:jc w:val="right"/>
              <w:rPr>
                <w:rFonts w:asciiTheme="minorHAnsi" w:hAnsiTheme="minorHAnsi" w:cstheme="minorBidi"/>
                <w:b/>
                <w:sz w:val="20"/>
                <w:szCs w:val="20"/>
              </w:rPr>
            </w:pPr>
            <w:r w:rsidRPr="551513BC">
              <w:rPr>
                <w:rFonts w:asciiTheme="minorHAnsi" w:hAnsiTheme="minorHAnsi" w:cstheme="minorBidi"/>
                <w:b/>
                <w:sz w:val="20"/>
                <w:szCs w:val="20"/>
              </w:rPr>
              <w:t>2,</w:t>
            </w:r>
            <w:r w:rsidR="0002242E" w:rsidRPr="198B8B94">
              <w:rPr>
                <w:rFonts w:asciiTheme="minorHAnsi" w:hAnsiTheme="minorHAnsi" w:cstheme="minorBidi"/>
                <w:b/>
                <w:sz w:val="20"/>
                <w:szCs w:val="20"/>
              </w:rPr>
              <w:t>55</w:t>
            </w:r>
            <w:r w:rsidR="00656EEB">
              <w:rPr>
                <w:rFonts w:asciiTheme="minorHAnsi" w:hAnsiTheme="minorHAnsi" w:cstheme="minorBidi"/>
                <w:b/>
                <w:sz w:val="20"/>
                <w:szCs w:val="20"/>
              </w:rPr>
              <w:t>5.4</w:t>
            </w:r>
          </w:p>
        </w:tc>
        <w:tc>
          <w:tcPr>
            <w:tcW w:w="923" w:type="pct"/>
            <w:tcBorders>
              <w:top w:val="single" w:sz="2" w:space="0" w:color="auto"/>
            </w:tcBorders>
          </w:tcPr>
          <w:p w14:paraId="43C61EE0" w14:textId="0AA0944E" w:rsidR="00C54DEC" w:rsidRPr="551513BC" w:rsidRDefault="00C54DEC" w:rsidP="00C54DEC">
            <w:pPr>
              <w:pBdr>
                <w:bottom w:val="single" w:sz="12" w:space="0" w:color="000000"/>
              </w:pBdr>
              <w:jc w:val="right"/>
              <w:rPr>
                <w:rFonts w:asciiTheme="minorHAnsi" w:hAnsiTheme="minorHAnsi" w:cstheme="minorBidi"/>
                <w:sz w:val="20"/>
                <w:szCs w:val="20"/>
              </w:rPr>
            </w:pPr>
            <w:r w:rsidRPr="551513BC">
              <w:rPr>
                <w:rFonts w:asciiTheme="minorHAnsi" w:hAnsiTheme="minorHAnsi" w:cstheme="minorBidi"/>
                <w:sz w:val="20"/>
                <w:szCs w:val="20"/>
              </w:rPr>
              <w:t>2,</w:t>
            </w:r>
            <w:r w:rsidR="00E0118B">
              <w:rPr>
                <w:rFonts w:asciiTheme="minorHAnsi" w:hAnsiTheme="minorHAnsi" w:cstheme="minorBidi"/>
                <w:sz w:val="20"/>
                <w:szCs w:val="20"/>
              </w:rPr>
              <w:t>625.6</w:t>
            </w:r>
          </w:p>
        </w:tc>
        <w:tc>
          <w:tcPr>
            <w:tcW w:w="692" w:type="pct"/>
            <w:tcBorders>
              <w:top w:val="single" w:sz="2" w:space="0" w:color="auto"/>
            </w:tcBorders>
            <w:hideMark/>
          </w:tcPr>
          <w:p w14:paraId="27B89E40" w14:textId="28310A78" w:rsidR="00C54DEC" w:rsidRPr="006D4208" w:rsidRDefault="00C54DEC" w:rsidP="00C54DEC">
            <w:pPr>
              <w:pBdr>
                <w:bottom w:val="single" w:sz="12" w:space="0" w:color="000000"/>
              </w:pBdr>
              <w:jc w:val="right"/>
              <w:rPr>
                <w:rFonts w:asciiTheme="minorHAnsi" w:hAnsiTheme="minorHAnsi" w:cstheme="minorBidi"/>
                <w:sz w:val="20"/>
                <w:szCs w:val="20"/>
              </w:rPr>
            </w:pPr>
            <w:r w:rsidRPr="551513BC">
              <w:rPr>
                <w:rFonts w:asciiTheme="minorHAnsi" w:hAnsiTheme="minorHAnsi" w:cstheme="minorBidi"/>
                <w:sz w:val="20"/>
                <w:szCs w:val="20"/>
              </w:rPr>
              <w:t>2,298.2</w:t>
            </w:r>
          </w:p>
        </w:tc>
        <w:tc>
          <w:tcPr>
            <w:tcW w:w="769" w:type="pct"/>
            <w:tcBorders>
              <w:top w:val="single" w:sz="2" w:space="0" w:color="auto"/>
            </w:tcBorders>
          </w:tcPr>
          <w:p w14:paraId="52AF8D77" w14:textId="42AEC113" w:rsidR="00C54DEC" w:rsidRPr="551513BC" w:rsidRDefault="00C54DEC" w:rsidP="00C54DEC">
            <w:pPr>
              <w:pBdr>
                <w:bottom w:val="single" w:sz="12" w:space="0" w:color="000000"/>
              </w:pBdr>
              <w:jc w:val="right"/>
              <w:rPr>
                <w:rFonts w:asciiTheme="minorHAnsi" w:hAnsiTheme="minorHAnsi" w:cstheme="minorBidi"/>
                <w:sz w:val="20"/>
                <w:szCs w:val="20"/>
              </w:rPr>
            </w:pPr>
            <w:r w:rsidRPr="551513BC">
              <w:rPr>
                <w:rFonts w:asciiTheme="minorHAnsi" w:hAnsiTheme="minorHAnsi" w:cstheme="minorBidi"/>
                <w:sz w:val="20"/>
                <w:szCs w:val="20"/>
              </w:rPr>
              <w:t>2,</w:t>
            </w:r>
            <w:r w:rsidR="005C0592">
              <w:rPr>
                <w:rFonts w:asciiTheme="minorHAnsi" w:hAnsiTheme="minorHAnsi" w:cstheme="minorBidi"/>
                <w:sz w:val="20"/>
                <w:szCs w:val="20"/>
              </w:rPr>
              <w:t>048.6</w:t>
            </w:r>
          </w:p>
        </w:tc>
      </w:tr>
    </w:tbl>
    <w:p w14:paraId="07F792A3" w14:textId="77777777" w:rsidR="0057661D" w:rsidRDefault="0057661D" w:rsidP="00E534C5">
      <w:pPr>
        <w:pStyle w:val="NoSpacing"/>
        <w:jc w:val="both"/>
        <w:rPr>
          <w:rStyle w:val="Strong"/>
          <w:color w:val="4747FF"/>
        </w:rPr>
      </w:pPr>
    </w:p>
    <w:p w14:paraId="6C4FF6DA" w14:textId="77777777" w:rsidR="009F2BB1" w:rsidRPr="00701439" w:rsidRDefault="009F2BB1" w:rsidP="00E534C5">
      <w:pPr>
        <w:pStyle w:val="NoSpacing"/>
        <w:jc w:val="both"/>
        <w:rPr>
          <w:rStyle w:val="Strong"/>
          <w:color w:val="4747FF"/>
        </w:rPr>
      </w:pPr>
    </w:p>
    <w:p w14:paraId="0009F578" w14:textId="4D22D8C4" w:rsidR="001701EA" w:rsidRPr="0060472E" w:rsidRDefault="001701EA" w:rsidP="001701EA">
      <w:pPr>
        <w:pStyle w:val="Footnote"/>
        <w:jc w:val="both"/>
        <w:rPr>
          <w:rFonts w:ascii="Calibri" w:eastAsia="Calibri" w:hAnsi="Calibri" w:cs="Calibri"/>
          <w:i/>
          <w:color w:val="auto"/>
          <w:sz w:val="20"/>
          <w:szCs w:val="20"/>
          <w:highlight w:val="yellow"/>
          <w:lang w:eastAsia="en-US"/>
        </w:rPr>
      </w:pPr>
      <w:r w:rsidRPr="00E71A4D">
        <w:rPr>
          <w:rFonts w:ascii="Calibri" w:eastAsia="Calibri" w:hAnsi="Calibri" w:cs="Calibri"/>
          <w:i/>
          <w:color w:val="auto"/>
          <w:sz w:val="20"/>
          <w:szCs w:val="20"/>
          <w:vertAlign w:val="superscript"/>
          <w:lang w:eastAsia="en-US"/>
        </w:rPr>
        <w:t>1</w:t>
      </w:r>
      <w:r w:rsidRPr="00E71A4D">
        <w:rPr>
          <w:rFonts w:ascii="Calibri" w:eastAsia="Calibri" w:hAnsi="Calibri" w:cs="Calibri"/>
          <w:i/>
          <w:color w:val="auto"/>
          <w:sz w:val="20"/>
          <w:szCs w:val="20"/>
          <w:lang w:eastAsia="en-US"/>
        </w:rPr>
        <w:t xml:space="preserve"> </w:t>
      </w:r>
      <w:r w:rsidRPr="005E4F89">
        <w:rPr>
          <w:rFonts w:ascii="Calibri" w:eastAsia="Calibri" w:hAnsi="Calibri" w:cs="Calibri"/>
          <w:i/>
          <w:color w:val="auto"/>
          <w:sz w:val="20"/>
          <w:szCs w:val="20"/>
          <w:lang w:eastAsia="en-US"/>
        </w:rPr>
        <w:t xml:space="preserve">Amounts receivable from customers are </w:t>
      </w:r>
      <w:r w:rsidRPr="006D4208">
        <w:rPr>
          <w:rFonts w:ascii="Calibri" w:eastAsia="Calibri" w:hAnsi="Calibri" w:cs="Calibri"/>
          <w:i/>
          <w:color w:val="auto"/>
          <w:sz w:val="20"/>
          <w:szCs w:val="20"/>
          <w:lang w:eastAsia="en-US"/>
        </w:rPr>
        <w:t>presented net of £</w:t>
      </w:r>
      <w:r w:rsidR="00594CE2" w:rsidRPr="006D4208">
        <w:rPr>
          <w:rFonts w:ascii="Calibri" w:eastAsia="Calibri" w:hAnsi="Calibri" w:cs="Calibri"/>
          <w:i/>
          <w:color w:val="auto"/>
          <w:sz w:val="20"/>
          <w:szCs w:val="20"/>
          <w:lang w:eastAsia="en-US"/>
        </w:rPr>
        <w:t>1.9</w:t>
      </w:r>
      <w:r w:rsidRPr="006D4208">
        <w:rPr>
          <w:rFonts w:ascii="Calibri" w:eastAsia="Calibri" w:hAnsi="Calibri" w:cs="Calibri"/>
          <w:i/>
          <w:color w:val="auto"/>
          <w:sz w:val="20"/>
          <w:szCs w:val="20"/>
          <w:lang w:eastAsia="en-US"/>
        </w:rPr>
        <w:t>m (</w:t>
      </w:r>
      <w:r w:rsidR="00736546">
        <w:rPr>
          <w:rFonts w:ascii="Calibri" w:eastAsia="Calibri" w:hAnsi="Calibri" w:cs="Calibri"/>
          <w:i/>
          <w:color w:val="auto"/>
          <w:sz w:val="20"/>
          <w:szCs w:val="20"/>
          <w:lang w:eastAsia="en-US"/>
        </w:rPr>
        <w:t>FY23: £3.2</w:t>
      </w:r>
      <w:r w:rsidR="00531F6C">
        <w:rPr>
          <w:rFonts w:ascii="Calibri" w:eastAsia="Calibri" w:hAnsi="Calibri" w:cs="Calibri"/>
          <w:i/>
          <w:color w:val="auto"/>
          <w:sz w:val="20"/>
          <w:szCs w:val="20"/>
          <w:lang w:eastAsia="en-US"/>
        </w:rPr>
        <w:t xml:space="preserve">m, </w:t>
      </w:r>
      <w:r w:rsidR="0071125B" w:rsidRPr="006D4208">
        <w:rPr>
          <w:rFonts w:ascii="Calibri" w:eastAsia="Calibri" w:hAnsi="Calibri" w:cs="Calibri"/>
          <w:i/>
          <w:color w:val="auto"/>
          <w:sz w:val="20"/>
          <w:szCs w:val="20"/>
          <w:lang w:eastAsia="en-US"/>
        </w:rPr>
        <w:t>1H</w:t>
      </w:r>
      <w:r w:rsidR="004C079B" w:rsidRPr="006D4208">
        <w:rPr>
          <w:rFonts w:ascii="Calibri" w:eastAsia="Calibri" w:hAnsi="Calibri" w:cs="Calibri"/>
          <w:i/>
          <w:color w:val="auto"/>
          <w:sz w:val="20"/>
          <w:szCs w:val="20"/>
          <w:lang w:eastAsia="en-US"/>
        </w:rPr>
        <w:t>23</w:t>
      </w:r>
      <w:r w:rsidRPr="006D4208">
        <w:rPr>
          <w:rFonts w:ascii="Calibri" w:eastAsia="Calibri" w:hAnsi="Calibri" w:cs="Calibri"/>
          <w:i/>
          <w:color w:val="auto"/>
          <w:sz w:val="20"/>
          <w:szCs w:val="20"/>
          <w:lang w:eastAsia="en-US"/>
        </w:rPr>
        <w:t>: £</w:t>
      </w:r>
      <w:r w:rsidR="00D65C8C" w:rsidRPr="006D4208">
        <w:rPr>
          <w:rFonts w:ascii="Calibri" w:eastAsia="Calibri" w:hAnsi="Calibri" w:cs="Calibri"/>
          <w:i/>
          <w:color w:val="auto"/>
          <w:sz w:val="20"/>
          <w:szCs w:val="20"/>
          <w:lang w:eastAsia="en-US"/>
        </w:rPr>
        <w:t>5.3</w:t>
      </w:r>
      <w:r w:rsidRPr="006D4208">
        <w:rPr>
          <w:rFonts w:ascii="Calibri" w:eastAsia="Calibri" w:hAnsi="Calibri" w:cs="Calibri"/>
          <w:i/>
          <w:color w:val="auto"/>
          <w:sz w:val="20"/>
          <w:szCs w:val="20"/>
          <w:lang w:eastAsia="en-US"/>
        </w:rPr>
        <w:t>m</w:t>
      </w:r>
      <w:r w:rsidR="00531F6C">
        <w:rPr>
          <w:rFonts w:ascii="Calibri" w:eastAsia="Calibri" w:hAnsi="Calibri" w:cs="Calibri"/>
          <w:i/>
          <w:color w:val="auto"/>
          <w:sz w:val="20"/>
          <w:szCs w:val="20"/>
          <w:lang w:eastAsia="en-US"/>
        </w:rPr>
        <w:t>, FY22</w:t>
      </w:r>
      <w:r w:rsidR="0026328E">
        <w:rPr>
          <w:rFonts w:ascii="Calibri" w:eastAsia="Calibri" w:hAnsi="Calibri" w:cs="Calibri"/>
          <w:i/>
          <w:color w:val="auto"/>
          <w:sz w:val="20"/>
          <w:szCs w:val="20"/>
          <w:lang w:eastAsia="en-US"/>
        </w:rPr>
        <w:t>: £7.9m</w:t>
      </w:r>
      <w:r w:rsidRPr="006D4208">
        <w:rPr>
          <w:rFonts w:ascii="Calibri" w:eastAsia="Calibri" w:hAnsi="Calibri" w:cs="Calibri"/>
          <w:i/>
          <w:color w:val="auto"/>
          <w:sz w:val="20"/>
          <w:szCs w:val="20"/>
          <w:lang w:eastAsia="en-US"/>
        </w:rPr>
        <w:t>)</w:t>
      </w:r>
      <w:r w:rsidRPr="005E4F89">
        <w:rPr>
          <w:rFonts w:ascii="Calibri" w:eastAsia="Calibri" w:hAnsi="Calibri" w:cs="Calibri"/>
          <w:i/>
          <w:color w:val="auto"/>
          <w:sz w:val="20"/>
          <w:szCs w:val="20"/>
          <w:lang w:eastAsia="en-US"/>
        </w:rPr>
        <w:t xml:space="preserve"> fair value adjustment for portfolio hedged risk. Underlying receivables from customers </w:t>
      </w:r>
      <w:r w:rsidRPr="006D4208">
        <w:rPr>
          <w:rFonts w:ascii="Calibri" w:eastAsia="Calibri" w:hAnsi="Calibri" w:cs="Calibri"/>
          <w:i/>
          <w:color w:val="auto"/>
          <w:sz w:val="20"/>
          <w:szCs w:val="20"/>
          <w:lang w:eastAsia="en-US"/>
        </w:rPr>
        <w:t>are £</w:t>
      </w:r>
      <w:r w:rsidR="00DA1815" w:rsidRPr="006D4208">
        <w:rPr>
          <w:rFonts w:ascii="Calibri" w:eastAsia="Calibri" w:hAnsi="Calibri" w:cs="Calibri"/>
          <w:i/>
          <w:color w:val="auto"/>
          <w:sz w:val="20"/>
          <w:szCs w:val="20"/>
          <w:lang w:eastAsia="en-US"/>
        </w:rPr>
        <w:t>2,010.</w:t>
      </w:r>
      <w:r w:rsidR="002D659A" w:rsidRPr="006D4208">
        <w:rPr>
          <w:rFonts w:ascii="Calibri" w:eastAsia="Calibri" w:hAnsi="Calibri" w:cs="Calibri"/>
          <w:i/>
          <w:color w:val="auto"/>
          <w:sz w:val="20"/>
          <w:szCs w:val="20"/>
          <w:lang w:eastAsia="en-US"/>
        </w:rPr>
        <w:t>4</w:t>
      </w:r>
      <w:r w:rsidRPr="006D4208">
        <w:rPr>
          <w:rFonts w:ascii="Calibri" w:eastAsia="Calibri" w:hAnsi="Calibri" w:cs="Calibri"/>
          <w:i/>
          <w:color w:val="auto"/>
          <w:sz w:val="20"/>
          <w:szCs w:val="20"/>
          <w:lang w:eastAsia="en-US"/>
        </w:rPr>
        <w:t>m (</w:t>
      </w:r>
      <w:r w:rsidR="0039457A">
        <w:rPr>
          <w:rFonts w:ascii="Calibri" w:eastAsia="Calibri" w:hAnsi="Calibri" w:cs="Calibri"/>
          <w:i/>
          <w:color w:val="auto"/>
          <w:sz w:val="20"/>
          <w:szCs w:val="20"/>
          <w:lang w:eastAsia="en-US"/>
        </w:rPr>
        <w:t>FY</w:t>
      </w:r>
      <w:r w:rsidR="00106CD7">
        <w:rPr>
          <w:rFonts w:ascii="Calibri" w:eastAsia="Calibri" w:hAnsi="Calibri" w:cs="Calibri"/>
          <w:i/>
          <w:color w:val="auto"/>
          <w:sz w:val="20"/>
          <w:szCs w:val="20"/>
          <w:lang w:eastAsia="en-US"/>
        </w:rPr>
        <w:t xml:space="preserve">23: </w:t>
      </w:r>
      <w:r w:rsidR="004E106E">
        <w:rPr>
          <w:rFonts w:ascii="Calibri" w:eastAsia="Calibri" w:hAnsi="Calibri" w:cs="Calibri"/>
          <w:i/>
          <w:color w:val="auto"/>
          <w:sz w:val="20"/>
          <w:szCs w:val="20"/>
          <w:lang w:eastAsia="en-US"/>
        </w:rPr>
        <w:t>£</w:t>
      </w:r>
      <w:r w:rsidR="00780EF3">
        <w:rPr>
          <w:rFonts w:ascii="Calibri" w:eastAsia="Calibri" w:hAnsi="Calibri" w:cs="Calibri"/>
          <w:i/>
          <w:color w:val="auto"/>
          <w:sz w:val="20"/>
          <w:szCs w:val="20"/>
          <w:lang w:eastAsia="en-US"/>
        </w:rPr>
        <w:t>2,1</w:t>
      </w:r>
      <w:r w:rsidR="000055FF">
        <w:rPr>
          <w:rFonts w:ascii="Calibri" w:eastAsia="Calibri" w:hAnsi="Calibri" w:cs="Calibri"/>
          <w:i/>
          <w:color w:val="auto"/>
          <w:sz w:val="20"/>
          <w:szCs w:val="20"/>
          <w:lang w:eastAsia="en-US"/>
        </w:rPr>
        <w:t>59.0m</w:t>
      </w:r>
      <w:r w:rsidR="00780EF3">
        <w:rPr>
          <w:rFonts w:ascii="Calibri" w:eastAsia="Calibri" w:hAnsi="Calibri" w:cs="Calibri"/>
          <w:i/>
          <w:color w:val="auto"/>
          <w:sz w:val="20"/>
          <w:szCs w:val="20"/>
          <w:lang w:eastAsia="en-US"/>
        </w:rPr>
        <w:t xml:space="preserve">, </w:t>
      </w:r>
      <w:r w:rsidR="004C079B" w:rsidRPr="006D4208">
        <w:rPr>
          <w:rFonts w:ascii="Calibri" w:eastAsia="Calibri" w:hAnsi="Calibri" w:cs="Calibri"/>
          <w:i/>
          <w:color w:val="auto"/>
          <w:sz w:val="20"/>
          <w:szCs w:val="20"/>
          <w:lang w:eastAsia="en-US"/>
        </w:rPr>
        <w:t>1H23</w:t>
      </w:r>
      <w:r w:rsidRPr="006D4208">
        <w:rPr>
          <w:rFonts w:ascii="Calibri" w:eastAsia="Calibri" w:hAnsi="Calibri" w:cs="Calibri"/>
          <w:i/>
          <w:color w:val="auto"/>
          <w:sz w:val="20"/>
          <w:szCs w:val="20"/>
          <w:lang w:eastAsia="en-US"/>
        </w:rPr>
        <w:t>: £</w:t>
      </w:r>
      <w:r w:rsidR="00904156" w:rsidRPr="006D4208">
        <w:rPr>
          <w:rFonts w:ascii="Calibri" w:eastAsia="Calibri" w:hAnsi="Calibri" w:cs="Calibri"/>
          <w:i/>
          <w:color w:val="auto"/>
          <w:sz w:val="20"/>
          <w:szCs w:val="20"/>
          <w:lang w:eastAsia="en-US"/>
        </w:rPr>
        <w:t>2,</w:t>
      </w:r>
      <w:r w:rsidR="00904156" w:rsidRPr="00F9544E">
        <w:rPr>
          <w:rFonts w:ascii="Calibri" w:eastAsia="Calibri" w:hAnsi="Calibri" w:cs="Calibri"/>
          <w:i/>
          <w:color w:val="auto"/>
          <w:sz w:val="20"/>
          <w:szCs w:val="20"/>
          <w:lang w:eastAsia="en-US"/>
        </w:rPr>
        <w:t>1</w:t>
      </w:r>
      <w:r w:rsidR="00A17E39" w:rsidRPr="00F9544E">
        <w:rPr>
          <w:rFonts w:ascii="Calibri" w:eastAsia="Calibri" w:hAnsi="Calibri" w:cs="Calibri"/>
          <w:i/>
          <w:color w:val="auto"/>
          <w:sz w:val="20"/>
          <w:szCs w:val="20"/>
          <w:lang w:eastAsia="en-US"/>
        </w:rPr>
        <w:t>0</w:t>
      </w:r>
      <w:r w:rsidR="0034319F" w:rsidRPr="00F9544E">
        <w:rPr>
          <w:rFonts w:ascii="Calibri" w:eastAsia="Calibri" w:hAnsi="Calibri" w:cs="Calibri"/>
          <w:i/>
          <w:color w:val="auto"/>
          <w:sz w:val="20"/>
          <w:szCs w:val="20"/>
          <w:lang w:eastAsia="en-US"/>
        </w:rPr>
        <w:t>1.7</w:t>
      </w:r>
      <w:r w:rsidRPr="00F9544E">
        <w:rPr>
          <w:rFonts w:ascii="Calibri" w:eastAsia="Calibri" w:hAnsi="Calibri" w:cs="Calibri"/>
          <w:i/>
          <w:color w:val="auto"/>
          <w:sz w:val="20"/>
          <w:szCs w:val="20"/>
          <w:lang w:eastAsia="en-US"/>
        </w:rPr>
        <w:t>m</w:t>
      </w:r>
      <w:r w:rsidR="00780EF3">
        <w:rPr>
          <w:rFonts w:ascii="Calibri" w:eastAsia="Calibri" w:hAnsi="Calibri" w:cs="Calibri"/>
          <w:i/>
          <w:color w:val="auto"/>
          <w:sz w:val="20"/>
          <w:szCs w:val="20"/>
          <w:lang w:eastAsia="en-US"/>
        </w:rPr>
        <w:t xml:space="preserve">, </w:t>
      </w:r>
      <w:r w:rsidR="00FF3977" w:rsidRPr="001514FB">
        <w:rPr>
          <w:rFonts w:ascii="Calibri" w:eastAsia="Calibri" w:hAnsi="Calibri" w:cs="Calibri"/>
          <w:i/>
          <w:color w:val="auto"/>
          <w:sz w:val="20"/>
          <w:szCs w:val="20"/>
          <w:lang w:eastAsia="en-US"/>
        </w:rPr>
        <w:t>FY</w:t>
      </w:r>
      <w:r w:rsidR="00DE6FA5" w:rsidRPr="001514FB">
        <w:rPr>
          <w:rFonts w:ascii="Calibri" w:eastAsia="Calibri" w:hAnsi="Calibri" w:cs="Calibri"/>
          <w:i/>
          <w:color w:val="auto"/>
          <w:sz w:val="20"/>
          <w:szCs w:val="20"/>
          <w:lang w:eastAsia="en-US"/>
        </w:rPr>
        <w:t>22:</w:t>
      </w:r>
      <w:r w:rsidR="00DD763A" w:rsidRPr="001514FB">
        <w:rPr>
          <w:rFonts w:ascii="Calibri" w:eastAsia="Calibri" w:hAnsi="Calibri" w:cs="Calibri"/>
          <w:i/>
          <w:color w:val="auto"/>
          <w:sz w:val="20"/>
          <w:szCs w:val="20"/>
          <w:lang w:eastAsia="en-US"/>
        </w:rPr>
        <w:t xml:space="preserve"> </w:t>
      </w:r>
      <w:r w:rsidR="004E106E" w:rsidRPr="001514FB">
        <w:rPr>
          <w:rFonts w:ascii="Calibri" w:eastAsia="Calibri" w:hAnsi="Calibri" w:cs="Calibri"/>
          <w:i/>
          <w:color w:val="auto"/>
          <w:sz w:val="20"/>
          <w:szCs w:val="20"/>
          <w:lang w:eastAsia="en-US"/>
        </w:rPr>
        <w:t>£</w:t>
      </w:r>
      <w:r w:rsidR="002404A0" w:rsidRPr="001514FB">
        <w:rPr>
          <w:rFonts w:ascii="Calibri" w:eastAsia="Calibri" w:hAnsi="Calibri" w:cs="Calibri"/>
          <w:i/>
          <w:color w:val="auto"/>
          <w:sz w:val="20"/>
          <w:szCs w:val="20"/>
          <w:lang w:eastAsia="en-US"/>
        </w:rPr>
        <w:t>1,9</w:t>
      </w:r>
      <w:r w:rsidR="001514FB" w:rsidRPr="001514FB">
        <w:rPr>
          <w:rFonts w:ascii="Calibri" w:eastAsia="Calibri" w:hAnsi="Calibri" w:cs="Calibri"/>
          <w:i/>
          <w:color w:val="auto"/>
          <w:sz w:val="20"/>
          <w:szCs w:val="20"/>
          <w:lang w:eastAsia="en-US"/>
        </w:rPr>
        <w:t>04.8</w:t>
      </w:r>
      <w:r w:rsidR="00ED0285" w:rsidRPr="001514FB">
        <w:rPr>
          <w:rFonts w:ascii="Calibri" w:eastAsia="Calibri" w:hAnsi="Calibri" w:cs="Calibri"/>
          <w:i/>
          <w:color w:val="auto"/>
          <w:sz w:val="20"/>
          <w:szCs w:val="20"/>
          <w:lang w:eastAsia="en-US"/>
        </w:rPr>
        <w:t>m</w:t>
      </w:r>
      <w:r w:rsidRPr="006D4208">
        <w:rPr>
          <w:rFonts w:ascii="Calibri" w:eastAsia="Calibri" w:hAnsi="Calibri" w:cs="Calibri"/>
          <w:i/>
          <w:color w:val="auto"/>
          <w:sz w:val="20"/>
          <w:szCs w:val="20"/>
          <w:lang w:eastAsia="en-US"/>
        </w:rPr>
        <w:t xml:space="preserve">). </w:t>
      </w:r>
    </w:p>
    <w:p w14:paraId="191AAEB9" w14:textId="308F060C" w:rsidR="001701EA" w:rsidRPr="00E71A4D" w:rsidRDefault="001701EA" w:rsidP="001701EA">
      <w:pPr>
        <w:pStyle w:val="Footnote"/>
        <w:jc w:val="both"/>
        <w:rPr>
          <w:rFonts w:ascii="Calibri" w:eastAsia="Calibri" w:hAnsi="Calibri" w:cs="Calibri"/>
          <w:i/>
          <w:color w:val="auto"/>
          <w:sz w:val="20"/>
          <w:szCs w:val="20"/>
          <w:lang w:eastAsia="en-US"/>
        </w:rPr>
      </w:pPr>
      <w:r w:rsidRPr="00132FB1">
        <w:rPr>
          <w:rFonts w:ascii="Calibri" w:eastAsia="Calibri" w:hAnsi="Calibri" w:cs="Calibri"/>
          <w:i/>
          <w:color w:val="auto"/>
          <w:sz w:val="20"/>
          <w:szCs w:val="20"/>
          <w:vertAlign w:val="superscript"/>
          <w:lang w:eastAsia="en-US"/>
        </w:rPr>
        <w:t>2</w:t>
      </w:r>
      <w:r w:rsidRPr="00132FB1">
        <w:rPr>
          <w:rFonts w:ascii="Calibri" w:eastAsia="Calibri" w:hAnsi="Calibri" w:cs="Calibri"/>
          <w:i/>
          <w:color w:val="auto"/>
          <w:sz w:val="20"/>
          <w:szCs w:val="20"/>
          <w:lang w:eastAsia="en-US"/>
        </w:rPr>
        <w:t xml:space="preserve"> Bank and other borrowings are presented net </w:t>
      </w:r>
      <w:r w:rsidRPr="006D4208">
        <w:rPr>
          <w:rFonts w:ascii="Calibri" w:eastAsia="Calibri" w:hAnsi="Calibri" w:cs="Calibri"/>
          <w:i/>
          <w:color w:val="auto"/>
          <w:sz w:val="20"/>
          <w:szCs w:val="20"/>
          <w:lang w:eastAsia="en-US"/>
        </w:rPr>
        <w:t>of £</w:t>
      </w:r>
      <w:r w:rsidR="007B7E21" w:rsidRPr="006D4208">
        <w:rPr>
          <w:rFonts w:ascii="Calibri" w:eastAsia="Calibri" w:hAnsi="Calibri" w:cs="Calibri"/>
          <w:i/>
          <w:color w:val="auto"/>
          <w:sz w:val="20"/>
          <w:szCs w:val="20"/>
          <w:lang w:eastAsia="en-US"/>
        </w:rPr>
        <w:t>3.7</w:t>
      </w:r>
      <w:r w:rsidRPr="006D4208">
        <w:rPr>
          <w:rFonts w:ascii="Calibri" w:eastAsia="Calibri" w:hAnsi="Calibri" w:cs="Calibri"/>
          <w:i/>
          <w:color w:val="auto"/>
          <w:sz w:val="20"/>
          <w:szCs w:val="20"/>
          <w:lang w:eastAsia="en-US"/>
        </w:rPr>
        <w:t>m (</w:t>
      </w:r>
      <w:r w:rsidR="00302423">
        <w:rPr>
          <w:rFonts w:ascii="Calibri" w:eastAsia="Calibri" w:hAnsi="Calibri" w:cs="Calibri"/>
          <w:i/>
          <w:color w:val="auto"/>
          <w:sz w:val="20"/>
          <w:szCs w:val="20"/>
          <w:lang w:eastAsia="en-US"/>
        </w:rPr>
        <w:t>FY23: £1.0m</w:t>
      </w:r>
      <w:r w:rsidR="009D7E4E">
        <w:rPr>
          <w:rFonts w:ascii="Calibri" w:eastAsia="Calibri" w:hAnsi="Calibri" w:cs="Calibri"/>
          <w:i/>
          <w:color w:val="auto"/>
          <w:sz w:val="20"/>
          <w:szCs w:val="20"/>
          <w:lang w:eastAsia="en-US"/>
        </w:rPr>
        <w:t xml:space="preserve">, </w:t>
      </w:r>
      <w:r w:rsidR="004C079B" w:rsidRPr="006D4208">
        <w:rPr>
          <w:rFonts w:ascii="Calibri" w:eastAsia="Calibri" w:hAnsi="Calibri" w:cs="Calibri"/>
          <w:i/>
          <w:color w:val="auto"/>
          <w:sz w:val="20"/>
          <w:szCs w:val="20"/>
          <w:lang w:eastAsia="en-US"/>
        </w:rPr>
        <w:t>1H23</w:t>
      </w:r>
      <w:r w:rsidRPr="006D4208">
        <w:rPr>
          <w:rFonts w:ascii="Calibri" w:eastAsia="Calibri" w:hAnsi="Calibri" w:cs="Calibri"/>
          <w:i/>
          <w:color w:val="auto"/>
          <w:sz w:val="20"/>
          <w:szCs w:val="20"/>
          <w:lang w:eastAsia="en-US"/>
        </w:rPr>
        <w:t>: £</w:t>
      </w:r>
      <w:r w:rsidR="00265FA8" w:rsidRPr="006D4208">
        <w:rPr>
          <w:rFonts w:ascii="Calibri" w:eastAsia="Calibri" w:hAnsi="Calibri" w:cs="Calibri"/>
          <w:i/>
          <w:color w:val="auto"/>
          <w:sz w:val="20"/>
          <w:szCs w:val="20"/>
          <w:lang w:eastAsia="en-US"/>
        </w:rPr>
        <w:t>11.5</w:t>
      </w:r>
      <w:r w:rsidRPr="006D4208">
        <w:rPr>
          <w:rFonts w:ascii="Calibri" w:eastAsia="Calibri" w:hAnsi="Calibri" w:cs="Calibri"/>
          <w:i/>
          <w:color w:val="auto"/>
          <w:sz w:val="20"/>
          <w:szCs w:val="20"/>
          <w:lang w:eastAsia="en-US"/>
        </w:rPr>
        <w:t>m</w:t>
      </w:r>
      <w:r w:rsidR="009D7E4E">
        <w:rPr>
          <w:rFonts w:ascii="Calibri" w:eastAsia="Calibri" w:hAnsi="Calibri" w:cs="Calibri"/>
          <w:i/>
          <w:color w:val="auto"/>
          <w:sz w:val="20"/>
          <w:szCs w:val="20"/>
          <w:lang w:eastAsia="en-US"/>
        </w:rPr>
        <w:t xml:space="preserve">, FY22: </w:t>
      </w:r>
      <w:r w:rsidR="00DA4DC9">
        <w:rPr>
          <w:rFonts w:ascii="Calibri" w:eastAsia="Calibri" w:hAnsi="Calibri" w:cs="Calibri"/>
          <w:i/>
          <w:color w:val="auto"/>
          <w:sz w:val="20"/>
          <w:szCs w:val="20"/>
          <w:lang w:eastAsia="en-US"/>
        </w:rPr>
        <w:t>£4.6m</w:t>
      </w:r>
      <w:r w:rsidRPr="006D4208">
        <w:rPr>
          <w:rFonts w:ascii="Calibri" w:eastAsia="Calibri" w:hAnsi="Calibri" w:cs="Calibri"/>
          <w:i/>
          <w:color w:val="auto"/>
          <w:sz w:val="20"/>
          <w:szCs w:val="20"/>
          <w:lang w:eastAsia="en-US"/>
        </w:rPr>
        <w:t>)</w:t>
      </w:r>
      <w:r w:rsidRPr="00132FB1">
        <w:rPr>
          <w:rFonts w:ascii="Calibri" w:eastAsia="Calibri" w:hAnsi="Calibri" w:cs="Calibri"/>
          <w:i/>
          <w:color w:val="auto"/>
          <w:sz w:val="20"/>
          <w:szCs w:val="20"/>
          <w:lang w:eastAsia="en-US"/>
        </w:rPr>
        <w:t xml:space="preserve"> fair value adjustment for hedged risk. Underlying bank and other borrowings are </w:t>
      </w:r>
      <w:r w:rsidRPr="006D4208">
        <w:rPr>
          <w:rFonts w:ascii="Calibri" w:eastAsia="Calibri" w:hAnsi="Calibri" w:cs="Calibri"/>
          <w:i/>
          <w:color w:val="auto"/>
          <w:sz w:val="20"/>
          <w:szCs w:val="20"/>
          <w:lang w:eastAsia="en-US"/>
        </w:rPr>
        <w:t>£</w:t>
      </w:r>
      <w:r w:rsidR="00632A25" w:rsidRPr="006D4208">
        <w:rPr>
          <w:rFonts w:ascii="Calibri" w:eastAsia="Calibri" w:hAnsi="Calibri" w:cs="Calibri"/>
          <w:i/>
          <w:color w:val="auto"/>
          <w:sz w:val="20"/>
          <w:szCs w:val="20"/>
          <w:lang w:eastAsia="en-US"/>
        </w:rPr>
        <w:t>507.</w:t>
      </w:r>
      <w:r w:rsidR="00766F1B" w:rsidRPr="006D4208">
        <w:rPr>
          <w:rFonts w:ascii="Calibri" w:eastAsia="Calibri" w:hAnsi="Calibri" w:cs="Calibri"/>
          <w:i/>
          <w:color w:val="auto"/>
          <w:sz w:val="20"/>
          <w:szCs w:val="20"/>
          <w:lang w:eastAsia="en-US"/>
        </w:rPr>
        <w:t>8</w:t>
      </w:r>
      <w:r w:rsidRPr="006D4208">
        <w:rPr>
          <w:rFonts w:ascii="Calibri" w:eastAsia="Calibri" w:hAnsi="Calibri" w:cs="Calibri"/>
          <w:i/>
          <w:color w:val="auto"/>
          <w:sz w:val="20"/>
          <w:szCs w:val="20"/>
          <w:lang w:eastAsia="en-US"/>
        </w:rPr>
        <w:t>m (</w:t>
      </w:r>
      <w:r w:rsidR="00B27F1E">
        <w:rPr>
          <w:rFonts w:ascii="Calibri" w:eastAsia="Calibri" w:hAnsi="Calibri" w:cs="Calibri"/>
          <w:i/>
          <w:color w:val="auto"/>
          <w:sz w:val="20"/>
          <w:szCs w:val="20"/>
          <w:lang w:eastAsia="en-US"/>
        </w:rPr>
        <w:t>FY</w:t>
      </w:r>
      <w:r w:rsidR="00F677E1">
        <w:rPr>
          <w:rFonts w:ascii="Calibri" w:eastAsia="Calibri" w:hAnsi="Calibri" w:cs="Calibri"/>
          <w:i/>
          <w:color w:val="auto"/>
          <w:sz w:val="20"/>
          <w:szCs w:val="20"/>
          <w:lang w:eastAsia="en-US"/>
        </w:rPr>
        <w:t xml:space="preserve">23: </w:t>
      </w:r>
      <w:r w:rsidR="004E106E">
        <w:rPr>
          <w:rFonts w:ascii="Calibri" w:eastAsia="Calibri" w:hAnsi="Calibri" w:cs="Calibri"/>
          <w:i/>
          <w:color w:val="auto"/>
          <w:sz w:val="20"/>
          <w:szCs w:val="20"/>
          <w:lang w:eastAsia="en-US"/>
        </w:rPr>
        <w:t>£58</w:t>
      </w:r>
      <w:r w:rsidR="00E50E93">
        <w:rPr>
          <w:rFonts w:ascii="Calibri" w:eastAsia="Calibri" w:hAnsi="Calibri" w:cs="Calibri"/>
          <w:i/>
          <w:color w:val="auto"/>
          <w:sz w:val="20"/>
          <w:szCs w:val="20"/>
          <w:lang w:eastAsia="en-US"/>
        </w:rPr>
        <w:t>3</w:t>
      </w:r>
      <w:r w:rsidR="004E106E">
        <w:rPr>
          <w:rFonts w:ascii="Calibri" w:eastAsia="Calibri" w:hAnsi="Calibri" w:cs="Calibri"/>
          <w:i/>
          <w:color w:val="auto"/>
          <w:sz w:val="20"/>
          <w:szCs w:val="20"/>
          <w:lang w:eastAsia="en-US"/>
        </w:rPr>
        <w:t xml:space="preserve">.5m, </w:t>
      </w:r>
      <w:r w:rsidR="004C079B" w:rsidRPr="006D4208">
        <w:rPr>
          <w:rFonts w:ascii="Calibri" w:eastAsia="Calibri" w:hAnsi="Calibri" w:cs="Calibri"/>
          <w:i/>
          <w:color w:val="auto"/>
          <w:sz w:val="20"/>
          <w:szCs w:val="20"/>
          <w:lang w:eastAsia="en-US"/>
        </w:rPr>
        <w:t>1H23</w:t>
      </w:r>
      <w:r w:rsidRPr="006D4208">
        <w:rPr>
          <w:rFonts w:ascii="Calibri" w:eastAsia="Calibri" w:hAnsi="Calibri" w:cs="Calibri"/>
          <w:i/>
          <w:color w:val="auto"/>
          <w:sz w:val="20"/>
          <w:szCs w:val="20"/>
          <w:lang w:eastAsia="en-US"/>
        </w:rPr>
        <w:t>: £</w:t>
      </w:r>
      <w:r w:rsidR="00132FB1" w:rsidRPr="006D4208">
        <w:rPr>
          <w:rFonts w:ascii="Calibri" w:eastAsia="Calibri" w:hAnsi="Calibri" w:cs="Calibri"/>
          <w:i/>
          <w:color w:val="auto"/>
          <w:sz w:val="20"/>
          <w:szCs w:val="20"/>
          <w:lang w:eastAsia="en-US"/>
        </w:rPr>
        <w:t>7</w:t>
      </w:r>
      <w:r w:rsidR="00E617EE">
        <w:rPr>
          <w:rFonts w:ascii="Calibri" w:eastAsia="Calibri" w:hAnsi="Calibri" w:cs="Calibri"/>
          <w:i/>
          <w:color w:val="auto"/>
          <w:sz w:val="20"/>
          <w:szCs w:val="20"/>
          <w:lang w:eastAsia="en-US"/>
        </w:rPr>
        <w:t>18.1</w:t>
      </w:r>
      <w:r w:rsidRPr="006D4208">
        <w:rPr>
          <w:rFonts w:ascii="Calibri" w:eastAsia="Calibri" w:hAnsi="Calibri" w:cs="Calibri"/>
          <w:i/>
          <w:color w:val="auto"/>
          <w:sz w:val="20"/>
          <w:szCs w:val="20"/>
          <w:lang w:eastAsia="en-US"/>
        </w:rPr>
        <w:t>m</w:t>
      </w:r>
      <w:r w:rsidR="004E106E">
        <w:rPr>
          <w:rFonts w:ascii="Calibri" w:eastAsia="Calibri" w:hAnsi="Calibri" w:cs="Calibri"/>
          <w:i/>
          <w:color w:val="auto"/>
          <w:sz w:val="20"/>
          <w:szCs w:val="20"/>
          <w:lang w:eastAsia="en-US"/>
        </w:rPr>
        <w:t xml:space="preserve">, </w:t>
      </w:r>
      <w:r w:rsidR="00E617EE">
        <w:rPr>
          <w:rFonts w:ascii="Calibri" w:eastAsia="Calibri" w:hAnsi="Calibri" w:cs="Calibri"/>
          <w:i/>
          <w:color w:val="auto"/>
          <w:sz w:val="20"/>
          <w:szCs w:val="20"/>
          <w:lang w:eastAsia="en-US"/>
        </w:rPr>
        <w:t>FY</w:t>
      </w:r>
      <w:r w:rsidR="004E106E">
        <w:rPr>
          <w:rFonts w:ascii="Calibri" w:eastAsia="Calibri" w:hAnsi="Calibri" w:cs="Calibri"/>
          <w:i/>
          <w:color w:val="auto"/>
          <w:sz w:val="20"/>
          <w:szCs w:val="20"/>
          <w:lang w:eastAsia="en-US"/>
        </w:rPr>
        <w:t>22: £</w:t>
      </w:r>
      <w:r w:rsidR="00954FFC">
        <w:rPr>
          <w:rFonts w:ascii="Calibri" w:eastAsia="Calibri" w:hAnsi="Calibri" w:cs="Calibri"/>
          <w:i/>
          <w:color w:val="auto"/>
          <w:sz w:val="20"/>
          <w:szCs w:val="20"/>
          <w:lang w:eastAsia="en-US"/>
        </w:rPr>
        <w:t>8</w:t>
      </w:r>
      <w:r w:rsidR="00883612">
        <w:rPr>
          <w:rFonts w:ascii="Calibri" w:eastAsia="Calibri" w:hAnsi="Calibri" w:cs="Calibri"/>
          <w:i/>
          <w:color w:val="auto"/>
          <w:sz w:val="20"/>
          <w:szCs w:val="20"/>
          <w:lang w:eastAsia="en-US"/>
        </w:rPr>
        <w:t>20.0</w:t>
      </w:r>
      <w:r w:rsidR="00954FFC">
        <w:rPr>
          <w:rFonts w:ascii="Calibri" w:eastAsia="Calibri" w:hAnsi="Calibri" w:cs="Calibri"/>
          <w:i/>
          <w:color w:val="auto"/>
          <w:sz w:val="20"/>
          <w:szCs w:val="20"/>
          <w:lang w:eastAsia="en-US"/>
        </w:rPr>
        <w:t>m</w:t>
      </w:r>
      <w:r w:rsidRPr="006D4208">
        <w:rPr>
          <w:rFonts w:ascii="Calibri" w:eastAsia="Calibri" w:hAnsi="Calibri" w:cs="Calibri"/>
          <w:i/>
          <w:color w:val="auto"/>
          <w:sz w:val="20"/>
          <w:szCs w:val="20"/>
          <w:lang w:eastAsia="en-US"/>
        </w:rPr>
        <w:t>).</w:t>
      </w:r>
    </w:p>
    <w:p w14:paraId="13EAF381" w14:textId="77777777" w:rsidR="0040155F" w:rsidRDefault="0040155F" w:rsidP="00E534C5">
      <w:pPr>
        <w:pStyle w:val="NoSpacing"/>
        <w:jc w:val="both"/>
        <w:rPr>
          <w:rStyle w:val="Strong"/>
          <w:color w:val="4747FF"/>
        </w:rPr>
      </w:pPr>
    </w:p>
    <w:p w14:paraId="0C5C93C3" w14:textId="4A199096" w:rsidR="00A105F5" w:rsidRPr="00B100FE" w:rsidRDefault="00A105F5" w:rsidP="00A105F5">
      <w:pPr>
        <w:jc w:val="both"/>
        <w:rPr>
          <w:rFonts w:asciiTheme="minorHAnsi" w:eastAsiaTheme="minorEastAsia" w:hAnsiTheme="minorHAnsi" w:cstheme="minorBidi"/>
          <w:b/>
          <w:bCs/>
          <w:color w:val="4747FF"/>
          <w:sz w:val="22"/>
          <w:szCs w:val="22"/>
          <w:u w:val="single"/>
          <w:lang w:eastAsia="en-US"/>
        </w:rPr>
      </w:pPr>
      <w:r w:rsidRPr="00B100FE">
        <w:rPr>
          <w:rFonts w:asciiTheme="minorHAnsi" w:eastAsiaTheme="minorEastAsia" w:hAnsiTheme="minorHAnsi" w:cstheme="minorBidi"/>
          <w:b/>
          <w:bCs/>
          <w:color w:val="4747FF"/>
          <w:sz w:val="22"/>
          <w:szCs w:val="22"/>
          <w:u w:val="single"/>
          <w:lang w:eastAsia="en-US"/>
        </w:rPr>
        <w:t>Operating review</w:t>
      </w:r>
    </w:p>
    <w:p w14:paraId="0B4B0E59" w14:textId="77777777" w:rsidR="00027372" w:rsidRPr="00B100FE" w:rsidRDefault="00027372" w:rsidP="00A105F5">
      <w:pPr>
        <w:jc w:val="both"/>
        <w:rPr>
          <w:rFonts w:asciiTheme="minorHAnsi" w:eastAsiaTheme="minorEastAsia" w:hAnsiTheme="minorHAnsi" w:cstheme="minorBidi"/>
          <w:b/>
          <w:bCs/>
          <w:color w:val="4747FF"/>
          <w:sz w:val="22"/>
          <w:szCs w:val="22"/>
          <w:u w:val="single"/>
          <w:lang w:eastAsia="en-US"/>
        </w:rPr>
      </w:pPr>
    </w:p>
    <w:p w14:paraId="6BB7A5ED" w14:textId="128465D1" w:rsidR="00A105F5" w:rsidRPr="00027372" w:rsidRDefault="00A105F5" w:rsidP="00A105F5">
      <w:pPr>
        <w:jc w:val="both"/>
        <w:rPr>
          <w:rFonts w:asciiTheme="minorHAnsi" w:eastAsiaTheme="minorEastAsia" w:hAnsiTheme="minorHAnsi" w:cstheme="minorBidi"/>
          <w:b/>
          <w:color w:val="4747FF"/>
          <w:sz w:val="22"/>
          <w:szCs w:val="22"/>
          <w:lang w:eastAsia="en-US"/>
        </w:rPr>
      </w:pPr>
      <w:r w:rsidRPr="00A534F4">
        <w:rPr>
          <w:rFonts w:asciiTheme="minorHAnsi" w:eastAsiaTheme="minorEastAsia" w:hAnsiTheme="minorHAnsi" w:cstheme="minorBidi"/>
          <w:b/>
          <w:bCs/>
          <w:color w:val="4747FF"/>
          <w:sz w:val="22"/>
          <w:szCs w:val="22"/>
          <w:lang w:eastAsia="en-US"/>
        </w:rPr>
        <w:t xml:space="preserve">Product </w:t>
      </w:r>
      <w:r>
        <w:rPr>
          <w:rFonts w:asciiTheme="minorHAnsi" w:eastAsiaTheme="minorEastAsia" w:hAnsiTheme="minorHAnsi" w:cstheme="minorBidi"/>
          <w:b/>
          <w:bCs/>
          <w:color w:val="4747FF"/>
          <w:sz w:val="22"/>
          <w:szCs w:val="22"/>
          <w:lang w:eastAsia="en-US"/>
        </w:rPr>
        <w:t>t</w:t>
      </w:r>
      <w:r w:rsidRPr="00A534F4">
        <w:rPr>
          <w:rFonts w:asciiTheme="minorHAnsi" w:eastAsiaTheme="minorEastAsia" w:hAnsiTheme="minorHAnsi" w:cstheme="minorBidi"/>
          <w:b/>
          <w:bCs/>
          <w:color w:val="4747FF"/>
          <w:sz w:val="22"/>
          <w:szCs w:val="22"/>
          <w:lang w:eastAsia="en-US"/>
        </w:rPr>
        <w:t>rading performance</w:t>
      </w:r>
      <w:r>
        <w:rPr>
          <w:rFonts w:asciiTheme="minorHAnsi" w:eastAsiaTheme="minorEastAsia" w:hAnsiTheme="minorHAnsi" w:cstheme="minorBidi"/>
          <w:b/>
          <w:bCs/>
          <w:color w:val="4747FF"/>
          <w:sz w:val="22"/>
          <w:szCs w:val="22"/>
          <w:lang w:eastAsia="en-US"/>
        </w:rPr>
        <w:t xml:space="preserve"> </w:t>
      </w:r>
    </w:p>
    <w:tbl>
      <w:tblPr>
        <w:tblW w:w="5000" w:type="pct"/>
        <w:tblLook w:val="04A0" w:firstRow="1" w:lastRow="0" w:firstColumn="1" w:lastColumn="0" w:noHBand="0" w:noVBand="1"/>
      </w:tblPr>
      <w:tblGrid>
        <w:gridCol w:w="3163"/>
        <w:gridCol w:w="1067"/>
        <w:gridCol w:w="1052"/>
        <w:gridCol w:w="1068"/>
        <w:gridCol w:w="1068"/>
        <w:gridCol w:w="1239"/>
        <w:gridCol w:w="1066"/>
      </w:tblGrid>
      <w:tr w:rsidR="00A176F3" w:rsidRPr="005E46B1" w14:paraId="11D26CA5" w14:textId="77777777" w:rsidTr="00A176F3">
        <w:trPr>
          <w:trHeight w:val="20"/>
        </w:trPr>
        <w:tc>
          <w:tcPr>
            <w:tcW w:w="1627" w:type="pct"/>
            <w:tcBorders>
              <w:top w:val="nil"/>
              <w:left w:val="nil"/>
              <w:right w:val="nil"/>
            </w:tcBorders>
            <w:shd w:val="clear" w:color="auto" w:fill="auto"/>
            <w:vAlign w:val="bottom"/>
          </w:tcPr>
          <w:p w14:paraId="2EF3EF82" w14:textId="77777777" w:rsidR="00A176F3" w:rsidRPr="005E46B1" w:rsidRDefault="00A176F3" w:rsidP="005D59FA">
            <w:pPr>
              <w:rPr>
                <w:rFonts w:asciiTheme="minorHAnsi" w:hAnsiTheme="minorHAnsi" w:cstheme="minorBidi"/>
                <w:sz w:val="20"/>
                <w:szCs w:val="20"/>
              </w:rPr>
            </w:pPr>
          </w:p>
        </w:tc>
        <w:tc>
          <w:tcPr>
            <w:tcW w:w="3373" w:type="pct"/>
            <w:gridSpan w:val="6"/>
            <w:tcBorders>
              <w:top w:val="single" w:sz="4" w:space="0" w:color="D0CECE"/>
              <w:left w:val="nil"/>
              <w:bottom w:val="single" w:sz="8" w:space="0" w:color="D0CECE"/>
              <w:right w:val="nil"/>
            </w:tcBorders>
            <w:shd w:val="clear" w:color="auto" w:fill="F2F2F2" w:themeFill="background1" w:themeFillShade="F2"/>
            <w:vAlign w:val="center"/>
          </w:tcPr>
          <w:p w14:paraId="04E9A102" w14:textId="6E867D58" w:rsidR="00A176F3" w:rsidRPr="003357B0" w:rsidRDefault="00A176F3" w:rsidP="005D59FA">
            <w:pPr>
              <w:jc w:val="center"/>
              <w:rPr>
                <w:rFonts w:asciiTheme="minorHAnsi" w:hAnsiTheme="minorHAnsi" w:cstheme="minorBidi"/>
                <w:b/>
                <w:sz w:val="20"/>
                <w:szCs w:val="20"/>
              </w:rPr>
            </w:pPr>
            <w:r w:rsidRPr="551513BC">
              <w:rPr>
                <w:rFonts w:asciiTheme="minorHAnsi" w:hAnsiTheme="minorHAnsi" w:cstheme="minorBidi"/>
                <w:b/>
                <w:sz w:val="20"/>
                <w:szCs w:val="20"/>
              </w:rPr>
              <w:t>Six months ended 30 June 2024</w:t>
            </w:r>
          </w:p>
        </w:tc>
      </w:tr>
      <w:tr w:rsidR="00A105F5" w:rsidRPr="005E46B1" w14:paraId="217E4187" w14:textId="77777777" w:rsidTr="551513BC">
        <w:trPr>
          <w:trHeight w:val="20"/>
        </w:trPr>
        <w:tc>
          <w:tcPr>
            <w:tcW w:w="1627" w:type="pct"/>
            <w:vMerge w:val="restart"/>
            <w:tcBorders>
              <w:left w:val="nil"/>
              <w:bottom w:val="single" w:sz="8" w:space="0" w:color="BFBFBF" w:themeColor="background1" w:themeShade="BF"/>
              <w:right w:val="nil"/>
            </w:tcBorders>
            <w:shd w:val="clear" w:color="auto" w:fill="auto"/>
            <w:vAlign w:val="bottom"/>
            <w:hideMark/>
          </w:tcPr>
          <w:p w14:paraId="7F6554C7" w14:textId="77777777" w:rsidR="00A105F5" w:rsidRPr="005E46B1" w:rsidRDefault="00A105F5" w:rsidP="005D59FA">
            <w:pPr>
              <w:rPr>
                <w:rFonts w:asciiTheme="minorHAnsi" w:hAnsiTheme="minorHAnsi" w:cstheme="minorBidi"/>
                <w:sz w:val="20"/>
                <w:szCs w:val="20"/>
              </w:rPr>
            </w:pPr>
          </w:p>
        </w:tc>
        <w:tc>
          <w:tcPr>
            <w:tcW w:w="549" w:type="pct"/>
            <w:tcBorders>
              <w:top w:val="single" w:sz="4" w:space="0" w:color="D0CECE"/>
              <w:left w:val="nil"/>
              <w:bottom w:val="single" w:sz="8" w:space="0" w:color="D0CECE"/>
              <w:right w:val="nil"/>
            </w:tcBorders>
            <w:shd w:val="clear" w:color="auto" w:fill="F2F2F2" w:themeFill="background1" w:themeFillShade="F2"/>
            <w:vAlign w:val="center"/>
            <w:hideMark/>
          </w:tcPr>
          <w:p w14:paraId="6D7254D8" w14:textId="77777777" w:rsidR="00A105F5" w:rsidRPr="003357B0" w:rsidRDefault="00A105F5" w:rsidP="005D59FA">
            <w:pPr>
              <w:jc w:val="center"/>
              <w:rPr>
                <w:rFonts w:asciiTheme="minorHAnsi" w:hAnsiTheme="minorHAnsi" w:cstheme="minorBidi"/>
                <w:b/>
                <w:sz w:val="20"/>
                <w:szCs w:val="20"/>
              </w:rPr>
            </w:pPr>
            <w:r w:rsidRPr="551513BC">
              <w:rPr>
                <w:rFonts w:asciiTheme="minorHAnsi" w:hAnsiTheme="minorHAnsi" w:cstheme="minorBidi"/>
                <w:b/>
                <w:sz w:val="20"/>
                <w:szCs w:val="20"/>
              </w:rPr>
              <w:t>Cards</w:t>
            </w:r>
          </w:p>
        </w:tc>
        <w:tc>
          <w:tcPr>
            <w:tcW w:w="541" w:type="pct"/>
            <w:tcBorders>
              <w:top w:val="single" w:sz="4" w:space="0" w:color="D0CECE"/>
              <w:left w:val="nil"/>
              <w:bottom w:val="single" w:sz="8" w:space="0" w:color="D0CECE"/>
              <w:right w:val="nil"/>
            </w:tcBorders>
            <w:shd w:val="clear" w:color="auto" w:fill="F2F2F2" w:themeFill="background1" w:themeFillShade="F2"/>
            <w:vAlign w:val="center"/>
            <w:hideMark/>
          </w:tcPr>
          <w:p w14:paraId="562DDABA" w14:textId="77777777" w:rsidR="00A105F5" w:rsidRPr="003357B0" w:rsidRDefault="00A105F5" w:rsidP="005D59FA">
            <w:pPr>
              <w:jc w:val="center"/>
              <w:rPr>
                <w:rFonts w:asciiTheme="minorHAnsi" w:hAnsiTheme="minorHAnsi" w:cstheme="minorBidi"/>
                <w:b/>
                <w:sz w:val="20"/>
                <w:szCs w:val="20"/>
              </w:rPr>
            </w:pPr>
            <w:r w:rsidRPr="551513BC">
              <w:rPr>
                <w:rFonts w:asciiTheme="minorHAnsi" w:hAnsiTheme="minorHAnsi" w:cstheme="minorBidi"/>
                <w:b/>
                <w:sz w:val="20"/>
                <w:szCs w:val="20"/>
              </w:rPr>
              <w:t>Vehicle Finance</w:t>
            </w:r>
          </w:p>
        </w:tc>
        <w:tc>
          <w:tcPr>
            <w:tcW w:w="549" w:type="pct"/>
            <w:tcBorders>
              <w:top w:val="single" w:sz="4" w:space="0" w:color="D0CECE"/>
              <w:left w:val="nil"/>
              <w:bottom w:val="single" w:sz="8" w:space="0" w:color="D0CECE"/>
              <w:right w:val="nil"/>
            </w:tcBorders>
            <w:shd w:val="clear" w:color="auto" w:fill="F2F2F2" w:themeFill="background1" w:themeFillShade="F2"/>
            <w:vAlign w:val="center"/>
            <w:hideMark/>
          </w:tcPr>
          <w:p w14:paraId="382CFFF1" w14:textId="77777777" w:rsidR="00A105F5" w:rsidRPr="003357B0" w:rsidRDefault="00A105F5" w:rsidP="005D59FA">
            <w:pPr>
              <w:jc w:val="center"/>
              <w:rPr>
                <w:rFonts w:asciiTheme="minorHAnsi" w:hAnsiTheme="minorHAnsi" w:cstheme="minorBidi"/>
                <w:b/>
                <w:sz w:val="20"/>
                <w:szCs w:val="20"/>
              </w:rPr>
            </w:pPr>
            <w:r w:rsidRPr="551513BC">
              <w:rPr>
                <w:rFonts w:asciiTheme="minorHAnsi" w:hAnsiTheme="minorHAnsi" w:cstheme="minorBidi"/>
                <w:b/>
                <w:sz w:val="20"/>
                <w:szCs w:val="20"/>
              </w:rPr>
              <w:t>Loans</w:t>
            </w:r>
          </w:p>
        </w:tc>
        <w:tc>
          <w:tcPr>
            <w:tcW w:w="549" w:type="pct"/>
            <w:tcBorders>
              <w:top w:val="single" w:sz="4" w:space="0" w:color="D0CECE"/>
              <w:left w:val="nil"/>
              <w:bottom w:val="single" w:sz="8" w:space="0" w:color="D0CECE"/>
              <w:right w:val="nil"/>
            </w:tcBorders>
            <w:shd w:val="clear" w:color="auto" w:fill="F2F2F2" w:themeFill="background1" w:themeFillShade="F2"/>
            <w:vAlign w:val="center"/>
            <w:hideMark/>
          </w:tcPr>
          <w:p w14:paraId="31638962" w14:textId="24F5C7F9" w:rsidR="00A105F5" w:rsidRPr="003357B0" w:rsidRDefault="00A105F5" w:rsidP="005D59FA">
            <w:pPr>
              <w:jc w:val="center"/>
              <w:rPr>
                <w:rFonts w:asciiTheme="minorHAnsi" w:hAnsiTheme="minorHAnsi" w:cstheme="minorBidi"/>
                <w:b/>
                <w:sz w:val="20"/>
                <w:szCs w:val="20"/>
              </w:rPr>
            </w:pPr>
            <w:r w:rsidRPr="198B8B94">
              <w:rPr>
                <w:rFonts w:asciiTheme="minorHAnsi" w:hAnsiTheme="minorHAnsi" w:cstheme="minorBidi"/>
                <w:b/>
                <w:sz w:val="20"/>
                <w:szCs w:val="20"/>
              </w:rPr>
              <w:t>Other</w:t>
            </w:r>
            <w:r w:rsidR="0056591D" w:rsidRPr="002725AC">
              <w:rPr>
                <w:rFonts w:asciiTheme="minorHAnsi" w:hAnsiTheme="minorHAnsi" w:cstheme="minorBidi"/>
                <w:b/>
                <w:sz w:val="20"/>
                <w:szCs w:val="20"/>
                <w:vertAlign w:val="superscript"/>
              </w:rPr>
              <w:t>1</w:t>
            </w:r>
          </w:p>
        </w:tc>
        <w:tc>
          <w:tcPr>
            <w:tcW w:w="637" w:type="pct"/>
            <w:tcBorders>
              <w:top w:val="single" w:sz="4" w:space="0" w:color="D0CECE"/>
              <w:left w:val="nil"/>
              <w:bottom w:val="single" w:sz="8" w:space="0" w:color="D0CECE"/>
              <w:right w:val="nil"/>
            </w:tcBorders>
            <w:shd w:val="clear" w:color="auto" w:fill="F2F2F2" w:themeFill="background1" w:themeFillShade="F2"/>
            <w:vAlign w:val="center"/>
            <w:hideMark/>
          </w:tcPr>
          <w:p w14:paraId="529A3D5B" w14:textId="77777777" w:rsidR="00A105F5" w:rsidRPr="003357B0" w:rsidRDefault="00A105F5" w:rsidP="005D59FA">
            <w:pPr>
              <w:jc w:val="center"/>
              <w:rPr>
                <w:rFonts w:asciiTheme="minorHAnsi" w:hAnsiTheme="minorHAnsi" w:cstheme="minorBidi"/>
                <w:b/>
                <w:sz w:val="20"/>
                <w:szCs w:val="20"/>
              </w:rPr>
            </w:pPr>
            <w:r w:rsidRPr="551513BC">
              <w:rPr>
                <w:rFonts w:asciiTheme="minorHAnsi" w:hAnsiTheme="minorHAnsi" w:cstheme="minorBidi"/>
                <w:b/>
                <w:sz w:val="20"/>
                <w:szCs w:val="20"/>
              </w:rPr>
              <w:t>Corporate Centre</w:t>
            </w:r>
          </w:p>
        </w:tc>
        <w:tc>
          <w:tcPr>
            <w:tcW w:w="548" w:type="pct"/>
            <w:tcBorders>
              <w:top w:val="single" w:sz="4" w:space="0" w:color="D0CECE"/>
              <w:left w:val="nil"/>
              <w:bottom w:val="single" w:sz="8" w:space="0" w:color="D0CECE"/>
              <w:right w:val="nil"/>
            </w:tcBorders>
            <w:shd w:val="clear" w:color="auto" w:fill="F2F2F2" w:themeFill="background1" w:themeFillShade="F2"/>
            <w:vAlign w:val="center"/>
            <w:hideMark/>
          </w:tcPr>
          <w:p w14:paraId="0230B437" w14:textId="77777777" w:rsidR="00A105F5" w:rsidRPr="003357B0" w:rsidRDefault="00A105F5" w:rsidP="005D59FA">
            <w:pPr>
              <w:jc w:val="center"/>
              <w:rPr>
                <w:rFonts w:asciiTheme="minorHAnsi" w:hAnsiTheme="minorHAnsi" w:cstheme="minorBidi"/>
                <w:b/>
                <w:sz w:val="20"/>
                <w:szCs w:val="20"/>
              </w:rPr>
            </w:pPr>
            <w:r w:rsidRPr="551513BC">
              <w:rPr>
                <w:rFonts w:asciiTheme="minorHAnsi" w:hAnsiTheme="minorHAnsi" w:cstheme="minorBidi"/>
                <w:b/>
                <w:sz w:val="20"/>
                <w:szCs w:val="20"/>
              </w:rPr>
              <w:t>Total</w:t>
            </w:r>
          </w:p>
        </w:tc>
      </w:tr>
      <w:tr w:rsidR="00A105F5" w:rsidRPr="005E46B1" w14:paraId="40A1E434" w14:textId="77777777" w:rsidTr="551513BC">
        <w:trPr>
          <w:trHeight w:val="278"/>
        </w:trPr>
        <w:tc>
          <w:tcPr>
            <w:tcW w:w="1627" w:type="pct"/>
            <w:vMerge/>
            <w:vAlign w:val="center"/>
            <w:hideMark/>
          </w:tcPr>
          <w:p w14:paraId="03A49D95" w14:textId="77777777" w:rsidR="00A105F5" w:rsidRPr="005E46B1" w:rsidRDefault="00A105F5" w:rsidP="005D59FA">
            <w:pPr>
              <w:rPr>
                <w:rFonts w:asciiTheme="minorHAnsi" w:hAnsiTheme="minorHAnsi" w:cstheme="minorHAnsi"/>
                <w:sz w:val="22"/>
                <w:szCs w:val="22"/>
              </w:rPr>
            </w:pPr>
          </w:p>
        </w:tc>
        <w:tc>
          <w:tcPr>
            <w:tcW w:w="549" w:type="pct"/>
            <w:tcBorders>
              <w:top w:val="nil"/>
              <w:left w:val="nil"/>
              <w:bottom w:val="single" w:sz="2" w:space="0" w:color="auto"/>
              <w:right w:val="nil"/>
            </w:tcBorders>
            <w:shd w:val="clear" w:color="auto" w:fill="F2F2F2" w:themeFill="background1" w:themeFillShade="F2"/>
            <w:vAlign w:val="bottom"/>
            <w:hideMark/>
          </w:tcPr>
          <w:p w14:paraId="5D3E16D2" w14:textId="4BC975C8" w:rsidR="00A105F5" w:rsidRPr="003357B0"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£m</w:t>
            </w:r>
          </w:p>
        </w:tc>
        <w:tc>
          <w:tcPr>
            <w:tcW w:w="541" w:type="pct"/>
            <w:tcBorders>
              <w:top w:val="nil"/>
              <w:left w:val="nil"/>
              <w:bottom w:val="single" w:sz="2" w:space="0" w:color="auto"/>
              <w:right w:val="nil"/>
            </w:tcBorders>
            <w:shd w:val="clear" w:color="auto" w:fill="F2F2F2" w:themeFill="background1" w:themeFillShade="F2"/>
            <w:vAlign w:val="bottom"/>
            <w:hideMark/>
          </w:tcPr>
          <w:p w14:paraId="31FE713F" w14:textId="0AB8657B" w:rsidR="00A105F5" w:rsidRPr="003357B0"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£m</w:t>
            </w:r>
          </w:p>
        </w:tc>
        <w:tc>
          <w:tcPr>
            <w:tcW w:w="549" w:type="pct"/>
            <w:tcBorders>
              <w:top w:val="nil"/>
              <w:left w:val="nil"/>
              <w:bottom w:val="single" w:sz="2" w:space="0" w:color="auto"/>
              <w:right w:val="nil"/>
            </w:tcBorders>
            <w:shd w:val="clear" w:color="auto" w:fill="F2F2F2" w:themeFill="background1" w:themeFillShade="F2"/>
            <w:vAlign w:val="bottom"/>
            <w:hideMark/>
          </w:tcPr>
          <w:p w14:paraId="094B5A80" w14:textId="531E3EC0" w:rsidR="00A105F5" w:rsidRPr="003357B0" w:rsidRDefault="00A105F5" w:rsidP="005D59FA">
            <w:pPr>
              <w:jc w:val="right"/>
              <w:rPr>
                <w:rFonts w:asciiTheme="minorHAnsi" w:hAnsiTheme="minorHAnsi" w:cstheme="minorBidi"/>
                <w:b/>
                <w:sz w:val="20"/>
                <w:szCs w:val="20"/>
              </w:rPr>
            </w:pPr>
            <w:r>
              <w:br/>
            </w:r>
            <w:r w:rsidRPr="551513BC">
              <w:rPr>
                <w:rFonts w:asciiTheme="minorHAnsi" w:hAnsiTheme="minorHAnsi" w:cstheme="minorBidi"/>
                <w:b/>
                <w:sz w:val="20"/>
                <w:szCs w:val="20"/>
              </w:rPr>
              <w:t>£m</w:t>
            </w:r>
          </w:p>
        </w:tc>
        <w:tc>
          <w:tcPr>
            <w:tcW w:w="549" w:type="pct"/>
            <w:tcBorders>
              <w:top w:val="nil"/>
              <w:left w:val="nil"/>
              <w:bottom w:val="single" w:sz="2" w:space="0" w:color="auto"/>
              <w:right w:val="nil"/>
            </w:tcBorders>
            <w:shd w:val="clear" w:color="auto" w:fill="F2F2F2" w:themeFill="background1" w:themeFillShade="F2"/>
            <w:vAlign w:val="bottom"/>
            <w:hideMark/>
          </w:tcPr>
          <w:p w14:paraId="2ADBA775" w14:textId="2EB614E6" w:rsidR="00A105F5" w:rsidRPr="003357B0" w:rsidRDefault="00A105F5" w:rsidP="005D59FA">
            <w:pPr>
              <w:jc w:val="right"/>
              <w:rPr>
                <w:rFonts w:asciiTheme="minorHAnsi" w:hAnsiTheme="minorHAnsi" w:cstheme="minorBidi"/>
                <w:b/>
                <w:sz w:val="20"/>
                <w:szCs w:val="20"/>
              </w:rPr>
            </w:pPr>
            <w:r>
              <w:br/>
            </w:r>
            <w:r w:rsidRPr="551513BC">
              <w:rPr>
                <w:rFonts w:asciiTheme="minorHAnsi" w:hAnsiTheme="minorHAnsi" w:cstheme="minorBidi"/>
                <w:b/>
                <w:sz w:val="20"/>
                <w:szCs w:val="20"/>
              </w:rPr>
              <w:t>£m</w:t>
            </w:r>
          </w:p>
        </w:tc>
        <w:tc>
          <w:tcPr>
            <w:tcW w:w="637" w:type="pct"/>
            <w:tcBorders>
              <w:top w:val="nil"/>
              <w:left w:val="nil"/>
              <w:bottom w:val="single" w:sz="2" w:space="0" w:color="auto"/>
              <w:right w:val="nil"/>
            </w:tcBorders>
            <w:shd w:val="clear" w:color="auto" w:fill="F2F2F2" w:themeFill="background1" w:themeFillShade="F2"/>
            <w:vAlign w:val="bottom"/>
            <w:hideMark/>
          </w:tcPr>
          <w:p w14:paraId="47B40DDE" w14:textId="7AE40DBD" w:rsidR="00A105F5" w:rsidRPr="003357B0" w:rsidRDefault="00A105F5" w:rsidP="005D59FA">
            <w:pPr>
              <w:jc w:val="right"/>
              <w:rPr>
                <w:rFonts w:asciiTheme="minorHAnsi" w:hAnsiTheme="minorHAnsi" w:cstheme="minorBidi"/>
                <w:b/>
                <w:sz w:val="20"/>
                <w:szCs w:val="20"/>
              </w:rPr>
            </w:pPr>
            <w:r>
              <w:br/>
            </w:r>
            <w:r w:rsidRPr="551513BC">
              <w:rPr>
                <w:rFonts w:asciiTheme="minorHAnsi" w:hAnsiTheme="minorHAnsi" w:cstheme="minorBidi"/>
                <w:b/>
                <w:sz w:val="20"/>
                <w:szCs w:val="20"/>
              </w:rPr>
              <w:t>£m</w:t>
            </w:r>
          </w:p>
        </w:tc>
        <w:tc>
          <w:tcPr>
            <w:tcW w:w="548" w:type="pct"/>
            <w:tcBorders>
              <w:top w:val="nil"/>
              <w:left w:val="nil"/>
              <w:bottom w:val="single" w:sz="2" w:space="0" w:color="auto"/>
              <w:right w:val="nil"/>
            </w:tcBorders>
            <w:shd w:val="clear" w:color="auto" w:fill="F2F2F2" w:themeFill="background1" w:themeFillShade="F2"/>
            <w:vAlign w:val="bottom"/>
            <w:hideMark/>
          </w:tcPr>
          <w:p w14:paraId="6184D9BC" w14:textId="2DBD8913" w:rsidR="00A105F5" w:rsidRPr="003357B0" w:rsidRDefault="00A105F5" w:rsidP="005D59FA">
            <w:pPr>
              <w:jc w:val="right"/>
              <w:rPr>
                <w:rFonts w:asciiTheme="minorHAnsi" w:hAnsiTheme="minorHAnsi" w:cstheme="minorBidi"/>
                <w:b/>
                <w:sz w:val="20"/>
                <w:szCs w:val="20"/>
              </w:rPr>
            </w:pPr>
            <w:r>
              <w:br/>
            </w:r>
            <w:r w:rsidRPr="551513BC">
              <w:rPr>
                <w:rFonts w:asciiTheme="minorHAnsi" w:hAnsiTheme="minorHAnsi" w:cstheme="minorBidi"/>
                <w:b/>
                <w:sz w:val="20"/>
                <w:szCs w:val="20"/>
              </w:rPr>
              <w:t>£m</w:t>
            </w:r>
          </w:p>
        </w:tc>
      </w:tr>
      <w:tr w:rsidR="00A105F5" w:rsidRPr="005E46B1" w14:paraId="14CEBAFA" w14:textId="77777777" w:rsidTr="551513BC">
        <w:trPr>
          <w:trHeight w:val="397"/>
        </w:trPr>
        <w:tc>
          <w:tcPr>
            <w:tcW w:w="1627" w:type="pct"/>
            <w:tcBorders>
              <w:top w:val="single" w:sz="2" w:space="0" w:color="auto"/>
              <w:left w:val="nil"/>
              <w:bottom w:val="single" w:sz="4" w:space="0" w:color="BFBFBF" w:themeColor="background1" w:themeShade="BF"/>
              <w:right w:val="nil"/>
            </w:tcBorders>
            <w:shd w:val="clear" w:color="auto" w:fill="auto"/>
            <w:vAlign w:val="center"/>
            <w:hideMark/>
          </w:tcPr>
          <w:p w14:paraId="1DBC6FBE" w14:textId="77777777" w:rsidR="00A105F5" w:rsidRPr="006D4208" w:rsidRDefault="00A105F5" w:rsidP="005D59FA">
            <w:pPr>
              <w:rPr>
                <w:rFonts w:asciiTheme="minorHAnsi" w:hAnsiTheme="minorHAnsi" w:cstheme="minorBidi"/>
                <w:sz w:val="20"/>
                <w:szCs w:val="20"/>
              </w:rPr>
            </w:pPr>
            <w:r w:rsidRPr="551513BC">
              <w:rPr>
                <w:rFonts w:asciiTheme="minorHAnsi" w:hAnsiTheme="minorHAnsi" w:cstheme="minorBidi"/>
                <w:sz w:val="20"/>
                <w:szCs w:val="20"/>
              </w:rPr>
              <w:t>Interest income</w:t>
            </w:r>
          </w:p>
        </w:tc>
        <w:tc>
          <w:tcPr>
            <w:tcW w:w="549" w:type="pct"/>
            <w:tcBorders>
              <w:top w:val="single" w:sz="2" w:space="0" w:color="auto"/>
              <w:left w:val="nil"/>
              <w:bottom w:val="single" w:sz="4" w:space="0" w:color="BFBFBF" w:themeColor="background1" w:themeShade="BF"/>
              <w:right w:val="nil"/>
            </w:tcBorders>
            <w:shd w:val="clear" w:color="auto" w:fill="F2F2F2" w:themeFill="background1" w:themeFillShade="F2"/>
            <w:noWrap/>
            <w:hideMark/>
          </w:tcPr>
          <w:p w14:paraId="61177F1F" w14:textId="6E5A7E14"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60277A" w:rsidRPr="551513BC">
              <w:rPr>
                <w:rFonts w:asciiTheme="minorHAnsi" w:hAnsiTheme="minorHAnsi" w:cstheme="minorBidi"/>
                <w:b/>
                <w:sz w:val="20"/>
                <w:szCs w:val="20"/>
              </w:rPr>
              <w:t>202.6</w:t>
            </w:r>
            <w:r w:rsidRPr="551513BC">
              <w:rPr>
                <w:rFonts w:asciiTheme="minorHAnsi" w:hAnsiTheme="minorHAnsi" w:cstheme="minorBidi"/>
                <w:b/>
                <w:sz w:val="20"/>
                <w:szCs w:val="20"/>
              </w:rPr>
              <w:t xml:space="preserve"> </w:t>
            </w:r>
          </w:p>
        </w:tc>
        <w:tc>
          <w:tcPr>
            <w:tcW w:w="541" w:type="pct"/>
            <w:tcBorders>
              <w:top w:val="single" w:sz="2" w:space="0" w:color="auto"/>
              <w:left w:val="nil"/>
              <w:bottom w:val="single" w:sz="4" w:space="0" w:color="BFBFBF" w:themeColor="background1" w:themeShade="BF"/>
              <w:right w:val="nil"/>
            </w:tcBorders>
            <w:shd w:val="clear" w:color="auto" w:fill="F2F2F2" w:themeFill="background1" w:themeFillShade="F2"/>
            <w:noWrap/>
            <w:hideMark/>
          </w:tcPr>
          <w:p w14:paraId="5D74C3D1" w14:textId="57DD7814"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1A00F5" w:rsidRPr="551513BC">
              <w:rPr>
                <w:rFonts w:asciiTheme="minorHAnsi" w:hAnsiTheme="minorHAnsi" w:cstheme="minorBidi"/>
                <w:b/>
                <w:sz w:val="20"/>
                <w:szCs w:val="20"/>
              </w:rPr>
              <w:t>69.8</w:t>
            </w:r>
            <w:r w:rsidRPr="551513BC">
              <w:rPr>
                <w:rFonts w:asciiTheme="minorHAnsi" w:hAnsiTheme="minorHAnsi" w:cstheme="minorBidi"/>
                <w:b/>
                <w:sz w:val="20"/>
                <w:szCs w:val="20"/>
              </w:rPr>
              <w:t xml:space="preserve"> </w:t>
            </w:r>
          </w:p>
        </w:tc>
        <w:tc>
          <w:tcPr>
            <w:tcW w:w="549" w:type="pct"/>
            <w:tcBorders>
              <w:top w:val="single" w:sz="2" w:space="0" w:color="auto"/>
              <w:left w:val="nil"/>
              <w:bottom w:val="single" w:sz="4" w:space="0" w:color="BFBFBF" w:themeColor="background1" w:themeShade="BF"/>
              <w:right w:val="nil"/>
            </w:tcBorders>
            <w:shd w:val="clear" w:color="auto" w:fill="F2F2F2" w:themeFill="background1" w:themeFillShade="F2"/>
            <w:noWrap/>
            <w:hideMark/>
          </w:tcPr>
          <w:p w14:paraId="638916EB" w14:textId="6E06D58A"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15749E" w:rsidRPr="551513BC">
              <w:rPr>
                <w:rFonts w:asciiTheme="minorHAnsi" w:hAnsiTheme="minorHAnsi" w:cstheme="minorBidi"/>
                <w:b/>
                <w:sz w:val="20"/>
                <w:szCs w:val="20"/>
              </w:rPr>
              <w:t>9.</w:t>
            </w:r>
            <w:r w:rsidR="006D0B47" w:rsidRPr="551513BC">
              <w:rPr>
                <w:rFonts w:asciiTheme="minorHAnsi" w:hAnsiTheme="minorHAnsi" w:cstheme="minorBidi"/>
                <w:b/>
                <w:sz w:val="20"/>
                <w:szCs w:val="20"/>
              </w:rPr>
              <w:t>2</w:t>
            </w:r>
            <w:r w:rsidRPr="551513BC">
              <w:rPr>
                <w:rFonts w:asciiTheme="minorHAnsi" w:hAnsiTheme="minorHAnsi" w:cstheme="minorBidi"/>
                <w:b/>
                <w:sz w:val="20"/>
                <w:szCs w:val="20"/>
              </w:rPr>
              <w:t xml:space="preserve"> </w:t>
            </w:r>
          </w:p>
        </w:tc>
        <w:tc>
          <w:tcPr>
            <w:tcW w:w="549" w:type="pct"/>
            <w:tcBorders>
              <w:top w:val="single" w:sz="2" w:space="0" w:color="auto"/>
              <w:left w:val="nil"/>
              <w:bottom w:val="single" w:sz="4" w:space="0" w:color="BFBFBF" w:themeColor="background1" w:themeShade="BF"/>
              <w:right w:val="nil"/>
            </w:tcBorders>
            <w:shd w:val="clear" w:color="auto" w:fill="F2F2F2" w:themeFill="background1" w:themeFillShade="F2"/>
            <w:noWrap/>
            <w:hideMark/>
          </w:tcPr>
          <w:p w14:paraId="1D412817" w14:textId="5379D6D9"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73685E" w:rsidRPr="551513BC">
              <w:rPr>
                <w:rFonts w:asciiTheme="minorHAnsi" w:hAnsiTheme="minorHAnsi" w:cstheme="minorBidi"/>
                <w:b/>
                <w:sz w:val="20"/>
                <w:szCs w:val="20"/>
              </w:rPr>
              <w:t>1.0</w:t>
            </w:r>
            <w:r w:rsidRPr="551513BC">
              <w:rPr>
                <w:rFonts w:asciiTheme="minorHAnsi" w:hAnsiTheme="minorHAnsi" w:cstheme="minorBidi"/>
                <w:b/>
                <w:sz w:val="20"/>
                <w:szCs w:val="20"/>
              </w:rPr>
              <w:t xml:space="preserve"> </w:t>
            </w:r>
          </w:p>
        </w:tc>
        <w:tc>
          <w:tcPr>
            <w:tcW w:w="637" w:type="pct"/>
            <w:tcBorders>
              <w:top w:val="single" w:sz="2" w:space="0" w:color="auto"/>
              <w:left w:val="nil"/>
              <w:bottom w:val="single" w:sz="4" w:space="0" w:color="BFBFBF" w:themeColor="background1" w:themeShade="BF"/>
              <w:right w:val="nil"/>
            </w:tcBorders>
            <w:shd w:val="clear" w:color="auto" w:fill="F2F2F2" w:themeFill="background1" w:themeFillShade="F2"/>
            <w:noWrap/>
            <w:hideMark/>
          </w:tcPr>
          <w:p w14:paraId="67ABB15A" w14:textId="3CE216B6"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985604" w:rsidRPr="551513BC">
              <w:rPr>
                <w:rFonts w:asciiTheme="minorHAnsi" w:hAnsiTheme="minorHAnsi" w:cstheme="minorBidi"/>
                <w:b/>
                <w:sz w:val="20"/>
                <w:szCs w:val="20"/>
              </w:rPr>
              <w:t>2.6</w:t>
            </w:r>
            <w:r w:rsidRPr="551513BC">
              <w:rPr>
                <w:rFonts w:asciiTheme="minorHAnsi" w:hAnsiTheme="minorHAnsi" w:cstheme="minorBidi"/>
                <w:b/>
                <w:sz w:val="20"/>
                <w:szCs w:val="20"/>
              </w:rPr>
              <w:t xml:space="preserve"> </w:t>
            </w:r>
          </w:p>
        </w:tc>
        <w:tc>
          <w:tcPr>
            <w:tcW w:w="548" w:type="pct"/>
            <w:tcBorders>
              <w:top w:val="single" w:sz="2" w:space="0" w:color="auto"/>
              <w:left w:val="nil"/>
              <w:bottom w:val="single" w:sz="4" w:space="0" w:color="BFBFBF" w:themeColor="background1" w:themeShade="BF"/>
              <w:right w:val="nil"/>
            </w:tcBorders>
            <w:shd w:val="clear" w:color="auto" w:fill="F2F2F2" w:themeFill="background1" w:themeFillShade="F2"/>
            <w:noWrap/>
            <w:hideMark/>
          </w:tcPr>
          <w:p w14:paraId="40BFAFF9" w14:textId="3149AB5B"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360CC9" w:rsidRPr="551513BC">
              <w:rPr>
                <w:rFonts w:asciiTheme="minorHAnsi" w:hAnsiTheme="minorHAnsi" w:cstheme="minorBidi"/>
                <w:b/>
                <w:sz w:val="20"/>
                <w:szCs w:val="20"/>
              </w:rPr>
              <w:t>285.2</w:t>
            </w:r>
            <w:r w:rsidRPr="551513BC">
              <w:rPr>
                <w:rFonts w:asciiTheme="minorHAnsi" w:hAnsiTheme="minorHAnsi" w:cstheme="minorBidi"/>
                <w:b/>
                <w:sz w:val="20"/>
                <w:szCs w:val="20"/>
              </w:rPr>
              <w:t xml:space="preserve"> </w:t>
            </w:r>
          </w:p>
        </w:tc>
      </w:tr>
      <w:tr w:rsidR="00A105F5" w:rsidRPr="005E46B1" w14:paraId="723A8760" w14:textId="77777777" w:rsidTr="551513BC">
        <w:trPr>
          <w:trHeight w:val="397"/>
        </w:trPr>
        <w:tc>
          <w:tcPr>
            <w:tcW w:w="1627" w:type="pct"/>
            <w:tcBorders>
              <w:top w:val="single" w:sz="4" w:space="0" w:color="BFBFBF" w:themeColor="background1" w:themeShade="BF"/>
              <w:left w:val="nil"/>
              <w:bottom w:val="single" w:sz="2" w:space="0" w:color="auto"/>
              <w:right w:val="nil"/>
            </w:tcBorders>
            <w:shd w:val="clear" w:color="auto" w:fill="auto"/>
            <w:vAlign w:val="center"/>
            <w:hideMark/>
          </w:tcPr>
          <w:p w14:paraId="59E7C24A" w14:textId="77777777" w:rsidR="00A105F5" w:rsidRPr="006D4208" w:rsidRDefault="00A105F5" w:rsidP="005D59FA">
            <w:pPr>
              <w:rPr>
                <w:rFonts w:asciiTheme="minorHAnsi" w:hAnsiTheme="minorHAnsi" w:cstheme="minorBidi"/>
                <w:sz w:val="20"/>
                <w:szCs w:val="20"/>
              </w:rPr>
            </w:pPr>
            <w:r w:rsidRPr="551513BC">
              <w:rPr>
                <w:rFonts w:asciiTheme="minorHAnsi" w:hAnsiTheme="minorHAnsi" w:cstheme="minorBidi"/>
                <w:sz w:val="20"/>
                <w:szCs w:val="20"/>
              </w:rPr>
              <w:t>Interest expense</w:t>
            </w:r>
          </w:p>
        </w:tc>
        <w:tc>
          <w:tcPr>
            <w:tcW w:w="549" w:type="pct"/>
            <w:tcBorders>
              <w:top w:val="single" w:sz="4" w:space="0" w:color="BFBFBF" w:themeColor="background1" w:themeShade="BF"/>
              <w:left w:val="nil"/>
              <w:bottom w:val="single" w:sz="2" w:space="0" w:color="auto"/>
              <w:right w:val="nil"/>
            </w:tcBorders>
            <w:shd w:val="clear" w:color="auto" w:fill="F2F2F2" w:themeFill="background1" w:themeFillShade="F2"/>
            <w:noWrap/>
            <w:hideMark/>
          </w:tcPr>
          <w:p w14:paraId="2B1576F0" w14:textId="452BCB00"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60277A" w:rsidRPr="551513BC">
              <w:rPr>
                <w:rFonts w:asciiTheme="minorHAnsi" w:hAnsiTheme="minorHAnsi" w:cstheme="minorBidi"/>
                <w:b/>
                <w:sz w:val="20"/>
                <w:szCs w:val="20"/>
              </w:rPr>
              <w:t>38.4</w:t>
            </w:r>
            <w:r w:rsidRPr="551513BC">
              <w:rPr>
                <w:rFonts w:asciiTheme="minorHAnsi" w:hAnsiTheme="minorHAnsi" w:cstheme="minorBidi"/>
                <w:b/>
                <w:sz w:val="20"/>
                <w:szCs w:val="20"/>
              </w:rPr>
              <w:t>)</w:t>
            </w:r>
          </w:p>
        </w:tc>
        <w:tc>
          <w:tcPr>
            <w:tcW w:w="541" w:type="pct"/>
            <w:tcBorders>
              <w:top w:val="single" w:sz="4" w:space="0" w:color="BFBFBF" w:themeColor="background1" w:themeShade="BF"/>
              <w:left w:val="nil"/>
              <w:bottom w:val="single" w:sz="2" w:space="0" w:color="auto"/>
              <w:right w:val="nil"/>
            </w:tcBorders>
            <w:shd w:val="clear" w:color="auto" w:fill="F2F2F2" w:themeFill="background1" w:themeFillShade="F2"/>
            <w:noWrap/>
            <w:hideMark/>
          </w:tcPr>
          <w:p w14:paraId="718097CC" w14:textId="0A0ECE32"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1A00F5" w:rsidRPr="551513BC">
              <w:rPr>
                <w:rFonts w:asciiTheme="minorHAnsi" w:hAnsiTheme="minorHAnsi" w:cstheme="minorBidi"/>
                <w:b/>
                <w:sz w:val="20"/>
                <w:szCs w:val="20"/>
              </w:rPr>
              <w:t>1</w:t>
            </w:r>
            <w:r w:rsidR="0067505D" w:rsidRPr="551513BC">
              <w:rPr>
                <w:rFonts w:asciiTheme="minorHAnsi" w:hAnsiTheme="minorHAnsi" w:cstheme="minorBidi"/>
                <w:b/>
                <w:sz w:val="20"/>
                <w:szCs w:val="20"/>
              </w:rPr>
              <w:t>9.9</w:t>
            </w:r>
            <w:r w:rsidRPr="551513BC">
              <w:rPr>
                <w:rFonts w:asciiTheme="minorHAnsi" w:hAnsiTheme="minorHAnsi" w:cstheme="minorBidi"/>
                <w:b/>
                <w:sz w:val="20"/>
                <w:szCs w:val="20"/>
              </w:rPr>
              <w:t>)</w:t>
            </w:r>
          </w:p>
        </w:tc>
        <w:tc>
          <w:tcPr>
            <w:tcW w:w="549" w:type="pct"/>
            <w:tcBorders>
              <w:top w:val="single" w:sz="4" w:space="0" w:color="BFBFBF" w:themeColor="background1" w:themeShade="BF"/>
              <w:left w:val="nil"/>
              <w:bottom w:val="single" w:sz="2" w:space="0" w:color="auto"/>
              <w:right w:val="nil"/>
            </w:tcBorders>
            <w:shd w:val="clear" w:color="auto" w:fill="F2F2F2" w:themeFill="background1" w:themeFillShade="F2"/>
            <w:noWrap/>
            <w:hideMark/>
          </w:tcPr>
          <w:p w14:paraId="6D4C594E" w14:textId="6D8EA11C"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15749E" w:rsidRPr="551513BC">
              <w:rPr>
                <w:rFonts w:asciiTheme="minorHAnsi" w:hAnsiTheme="minorHAnsi" w:cstheme="minorBidi"/>
                <w:b/>
                <w:sz w:val="20"/>
                <w:szCs w:val="20"/>
              </w:rPr>
              <w:t>2.0</w:t>
            </w:r>
            <w:r w:rsidRPr="551513BC">
              <w:rPr>
                <w:rFonts w:asciiTheme="minorHAnsi" w:hAnsiTheme="minorHAnsi" w:cstheme="minorBidi"/>
                <w:b/>
                <w:sz w:val="20"/>
                <w:szCs w:val="20"/>
              </w:rPr>
              <w:t>)</w:t>
            </w:r>
          </w:p>
        </w:tc>
        <w:tc>
          <w:tcPr>
            <w:tcW w:w="549" w:type="pct"/>
            <w:tcBorders>
              <w:top w:val="single" w:sz="4" w:space="0" w:color="BFBFBF" w:themeColor="background1" w:themeShade="BF"/>
              <w:left w:val="nil"/>
              <w:bottom w:val="single" w:sz="2" w:space="0" w:color="auto"/>
              <w:right w:val="nil"/>
            </w:tcBorders>
            <w:shd w:val="clear" w:color="auto" w:fill="F2F2F2" w:themeFill="background1" w:themeFillShade="F2"/>
            <w:noWrap/>
            <w:hideMark/>
          </w:tcPr>
          <w:p w14:paraId="250AEA44" w14:textId="7BCBA3E3"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9E4FF6" w:rsidRPr="551513BC">
              <w:rPr>
                <w:rFonts w:asciiTheme="minorHAnsi" w:hAnsiTheme="minorHAnsi" w:cstheme="minorBidi"/>
                <w:b/>
                <w:sz w:val="20"/>
                <w:szCs w:val="20"/>
              </w:rPr>
              <w:t>0.4</w:t>
            </w:r>
            <w:r w:rsidRPr="551513BC">
              <w:rPr>
                <w:rFonts w:asciiTheme="minorHAnsi" w:hAnsiTheme="minorHAnsi" w:cstheme="minorBidi"/>
                <w:b/>
                <w:sz w:val="20"/>
                <w:szCs w:val="20"/>
              </w:rPr>
              <w:t>)</w:t>
            </w:r>
          </w:p>
        </w:tc>
        <w:tc>
          <w:tcPr>
            <w:tcW w:w="637" w:type="pct"/>
            <w:tcBorders>
              <w:top w:val="single" w:sz="4" w:space="0" w:color="BFBFBF" w:themeColor="background1" w:themeShade="BF"/>
              <w:left w:val="nil"/>
              <w:bottom w:val="single" w:sz="2" w:space="0" w:color="auto"/>
              <w:right w:val="nil"/>
            </w:tcBorders>
            <w:shd w:val="clear" w:color="auto" w:fill="F2F2F2" w:themeFill="background1" w:themeFillShade="F2"/>
            <w:noWrap/>
            <w:hideMark/>
          </w:tcPr>
          <w:p w14:paraId="2EC9FFF5" w14:textId="2AEA44F2"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985604" w:rsidRPr="551513BC">
              <w:rPr>
                <w:rFonts w:asciiTheme="minorHAnsi" w:hAnsiTheme="minorHAnsi" w:cstheme="minorBidi"/>
                <w:b/>
                <w:sz w:val="20"/>
                <w:szCs w:val="20"/>
              </w:rPr>
              <w:t>1</w:t>
            </w:r>
            <w:r w:rsidR="00E56064" w:rsidRPr="551513BC">
              <w:rPr>
                <w:rFonts w:asciiTheme="minorHAnsi" w:hAnsiTheme="minorHAnsi" w:cstheme="minorBidi"/>
                <w:b/>
                <w:sz w:val="20"/>
                <w:szCs w:val="20"/>
              </w:rPr>
              <w:t>0.0</w:t>
            </w:r>
            <w:r w:rsidRPr="551513BC">
              <w:rPr>
                <w:rFonts w:asciiTheme="minorHAnsi" w:hAnsiTheme="minorHAnsi" w:cstheme="minorBidi"/>
                <w:b/>
                <w:sz w:val="20"/>
                <w:szCs w:val="20"/>
              </w:rPr>
              <w:t>)</w:t>
            </w:r>
          </w:p>
        </w:tc>
        <w:tc>
          <w:tcPr>
            <w:tcW w:w="548" w:type="pct"/>
            <w:tcBorders>
              <w:top w:val="single" w:sz="4" w:space="0" w:color="BFBFBF" w:themeColor="background1" w:themeShade="BF"/>
              <w:left w:val="nil"/>
              <w:bottom w:val="single" w:sz="2" w:space="0" w:color="auto"/>
              <w:right w:val="nil"/>
            </w:tcBorders>
            <w:shd w:val="clear" w:color="auto" w:fill="F2F2F2" w:themeFill="background1" w:themeFillShade="F2"/>
            <w:noWrap/>
            <w:hideMark/>
          </w:tcPr>
          <w:p w14:paraId="166D17E6" w14:textId="6BE1F6DF"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360CC9" w:rsidRPr="551513BC">
              <w:rPr>
                <w:rFonts w:asciiTheme="minorHAnsi" w:hAnsiTheme="minorHAnsi" w:cstheme="minorBidi"/>
                <w:b/>
                <w:sz w:val="20"/>
                <w:szCs w:val="20"/>
              </w:rPr>
              <w:t>70.7</w:t>
            </w:r>
            <w:r w:rsidRPr="551513BC">
              <w:rPr>
                <w:rFonts w:asciiTheme="minorHAnsi" w:hAnsiTheme="minorHAnsi" w:cstheme="minorBidi"/>
                <w:b/>
                <w:sz w:val="20"/>
                <w:szCs w:val="20"/>
              </w:rPr>
              <w:t>)</w:t>
            </w:r>
          </w:p>
        </w:tc>
      </w:tr>
      <w:tr w:rsidR="00A105F5" w:rsidRPr="005E46B1" w14:paraId="6D3FF7D0" w14:textId="77777777" w:rsidTr="009A000F">
        <w:trPr>
          <w:trHeight w:val="397"/>
        </w:trPr>
        <w:tc>
          <w:tcPr>
            <w:tcW w:w="1627" w:type="pct"/>
            <w:tcBorders>
              <w:top w:val="single" w:sz="2" w:space="0" w:color="auto"/>
              <w:left w:val="nil"/>
              <w:bottom w:val="single" w:sz="2" w:space="0" w:color="auto"/>
              <w:right w:val="nil"/>
            </w:tcBorders>
            <w:shd w:val="clear" w:color="auto" w:fill="auto"/>
            <w:vAlign w:val="center"/>
            <w:hideMark/>
          </w:tcPr>
          <w:p w14:paraId="4A687040" w14:textId="77777777" w:rsidR="00A105F5" w:rsidRPr="006D4208" w:rsidRDefault="00A105F5" w:rsidP="005D59FA">
            <w:pPr>
              <w:rPr>
                <w:rFonts w:asciiTheme="minorHAnsi" w:hAnsiTheme="minorHAnsi" w:cstheme="minorBidi"/>
                <w:b/>
                <w:sz w:val="20"/>
                <w:szCs w:val="20"/>
              </w:rPr>
            </w:pPr>
            <w:r w:rsidRPr="551513BC">
              <w:rPr>
                <w:rFonts w:asciiTheme="minorHAnsi" w:hAnsiTheme="minorHAnsi" w:cstheme="minorBidi"/>
                <w:b/>
                <w:sz w:val="20"/>
                <w:szCs w:val="20"/>
              </w:rPr>
              <w:t>Net interest income</w:t>
            </w:r>
          </w:p>
        </w:tc>
        <w:tc>
          <w:tcPr>
            <w:tcW w:w="549" w:type="pct"/>
            <w:tcBorders>
              <w:top w:val="single" w:sz="2" w:space="0" w:color="auto"/>
              <w:left w:val="nil"/>
              <w:bottom w:val="single" w:sz="2" w:space="0" w:color="auto"/>
              <w:right w:val="nil"/>
            </w:tcBorders>
            <w:shd w:val="clear" w:color="auto" w:fill="F2F2F2" w:themeFill="background1" w:themeFillShade="F2"/>
            <w:noWrap/>
            <w:hideMark/>
          </w:tcPr>
          <w:p w14:paraId="23A72330" w14:textId="5D33C7E9"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60277A" w:rsidRPr="551513BC">
              <w:rPr>
                <w:rFonts w:asciiTheme="minorHAnsi" w:hAnsiTheme="minorHAnsi" w:cstheme="minorBidi"/>
                <w:b/>
                <w:sz w:val="20"/>
                <w:szCs w:val="20"/>
              </w:rPr>
              <w:t>164.2</w:t>
            </w:r>
            <w:r w:rsidRPr="551513BC">
              <w:rPr>
                <w:rFonts w:asciiTheme="minorHAnsi" w:hAnsiTheme="minorHAnsi" w:cstheme="minorBidi"/>
                <w:b/>
                <w:sz w:val="20"/>
                <w:szCs w:val="20"/>
              </w:rPr>
              <w:t xml:space="preserve"> </w:t>
            </w:r>
          </w:p>
        </w:tc>
        <w:tc>
          <w:tcPr>
            <w:tcW w:w="541" w:type="pct"/>
            <w:tcBorders>
              <w:top w:val="single" w:sz="2" w:space="0" w:color="auto"/>
              <w:left w:val="nil"/>
              <w:bottom w:val="single" w:sz="2" w:space="0" w:color="auto"/>
              <w:right w:val="nil"/>
            </w:tcBorders>
            <w:shd w:val="clear" w:color="auto" w:fill="F2F2F2" w:themeFill="background1" w:themeFillShade="F2"/>
            <w:noWrap/>
            <w:hideMark/>
          </w:tcPr>
          <w:p w14:paraId="5DFDBD68" w14:textId="193C0BC5"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67505D" w:rsidRPr="551513BC">
              <w:rPr>
                <w:rFonts w:asciiTheme="minorHAnsi" w:hAnsiTheme="minorHAnsi" w:cstheme="minorBidi"/>
                <w:b/>
                <w:sz w:val="20"/>
                <w:szCs w:val="20"/>
              </w:rPr>
              <w:t>49.9</w:t>
            </w:r>
            <w:r w:rsidRPr="551513BC">
              <w:rPr>
                <w:rFonts w:asciiTheme="minorHAnsi" w:hAnsiTheme="minorHAnsi" w:cstheme="minorBidi"/>
                <w:b/>
                <w:sz w:val="20"/>
                <w:szCs w:val="20"/>
              </w:rPr>
              <w:t xml:space="preserve"> </w:t>
            </w:r>
          </w:p>
        </w:tc>
        <w:tc>
          <w:tcPr>
            <w:tcW w:w="549" w:type="pct"/>
            <w:tcBorders>
              <w:top w:val="single" w:sz="2" w:space="0" w:color="auto"/>
              <w:left w:val="nil"/>
              <w:bottom w:val="single" w:sz="2" w:space="0" w:color="auto"/>
              <w:right w:val="nil"/>
            </w:tcBorders>
            <w:shd w:val="clear" w:color="auto" w:fill="F2F2F2" w:themeFill="background1" w:themeFillShade="F2"/>
            <w:noWrap/>
            <w:hideMark/>
          </w:tcPr>
          <w:p w14:paraId="6A5817DE" w14:textId="50048533"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5F6508" w:rsidRPr="551513BC">
              <w:rPr>
                <w:rFonts w:asciiTheme="minorHAnsi" w:hAnsiTheme="minorHAnsi" w:cstheme="minorBidi"/>
                <w:b/>
                <w:sz w:val="20"/>
                <w:szCs w:val="20"/>
              </w:rPr>
              <w:t>7.</w:t>
            </w:r>
            <w:r w:rsidR="006D0B47" w:rsidRPr="551513BC">
              <w:rPr>
                <w:rFonts w:asciiTheme="minorHAnsi" w:hAnsiTheme="minorHAnsi" w:cstheme="minorBidi"/>
                <w:b/>
                <w:sz w:val="20"/>
                <w:szCs w:val="20"/>
              </w:rPr>
              <w:t>2</w:t>
            </w:r>
            <w:r w:rsidRPr="551513BC">
              <w:rPr>
                <w:rFonts w:asciiTheme="minorHAnsi" w:hAnsiTheme="minorHAnsi" w:cstheme="minorBidi"/>
                <w:b/>
                <w:sz w:val="20"/>
                <w:szCs w:val="20"/>
              </w:rPr>
              <w:t xml:space="preserve"> </w:t>
            </w:r>
          </w:p>
        </w:tc>
        <w:tc>
          <w:tcPr>
            <w:tcW w:w="549" w:type="pct"/>
            <w:tcBorders>
              <w:top w:val="single" w:sz="2" w:space="0" w:color="auto"/>
              <w:left w:val="nil"/>
              <w:bottom w:val="single" w:sz="2" w:space="0" w:color="auto"/>
              <w:right w:val="nil"/>
            </w:tcBorders>
            <w:shd w:val="clear" w:color="auto" w:fill="F2F2F2" w:themeFill="background1" w:themeFillShade="F2"/>
            <w:noWrap/>
            <w:hideMark/>
          </w:tcPr>
          <w:p w14:paraId="50989EBA" w14:textId="4964731D"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9E4FF6" w:rsidRPr="551513BC">
              <w:rPr>
                <w:rFonts w:asciiTheme="minorHAnsi" w:hAnsiTheme="minorHAnsi" w:cstheme="minorBidi"/>
                <w:b/>
                <w:sz w:val="20"/>
                <w:szCs w:val="20"/>
              </w:rPr>
              <w:t>0.</w:t>
            </w:r>
            <w:r w:rsidR="00FF0F3C" w:rsidRPr="551513BC">
              <w:rPr>
                <w:rFonts w:asciiTheme="minorHAnsi" w:hAnsiTheme="minorHAnsi" w:cstheme="minorBidi"/>
                <w:b/>
                <w:sz w:val="20"/>
                <w:szCs w:val="20"/>
              </w:rPr>
              <w:t>6</w:t>
            </w:r>
            <w:r w:rsidRPr="551513BC">
              <w:rPr>
                <w:rFonts w:asciiTheme="minorHAnsi" w:hAnsiTheme="minorHAnsi" w:cstheme="minorBidi"/>
                <w:b/>
                <w:sz w:val="20"/>
                <w:szCs w:val="20"/>
              </w:rPr>
              <w:t xml:space="preserve"> </w:t>
            </w:r>
          </w:p>
        </w:tc>
        <w:tc>
          <w:tcPr>
            <w:tcW w:w="637" w:type="pct"/>
            <w:tcBorders>
              <w:top w:val="single" w:sz="2" w:space="0" w:color="auto"/>
              <w:left w:val="nil"/>
              <w:bottom w:val="single" w:sz="2" w:space="0" w:color="auto"/>
              <w:right w:val="nil"/>
            </w:tcBorders>
            <w:shd w:val="clear" w:color="auto" w:fill="F2F2F2" w:themeFill="background1" w:themeFillShade="F2"/>
            <w:noWrap/>
            <w:hideMark/>
          </w:tcPr>
          <w:p w14:paraId="0A0E21D0" w14:textId="2894E844"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E56064" w:rsidRPr="551513BC">
              <w:rPr>
                <w:rFonts w:asciiTheme="minorHAnsi" w:hAnsiTheme="minorHAnsi" w:cstheme="minorBidi"/>
                <w:b/>
                <w:sz w:val="20"/>
                <w:szCs w:val="20"/>
              </w:rPr>
              <w:t>7.4</w:t>
            </w:r>
            <w:r w:rsidRPr="551513BC">
              <w:rPr>
                <w:rFonts w:asciiTheme="minorHAnsi" w:hAnsiTheme="minorHAnsi" w:cstheme="minorBidi"/>
                <w:b/>
                <w:sz w:val="20"/>
                <w:szCs w:val="20"/>
              </w:rPr>
              <w:t>)</w:t>
            </w:r>
          </w:p>
        </w:tc>
        <w:tc>
          <w:tcPr>
            <w:tcW w:w="548" w:type="pct"/>
            <w:tcBorders>
              <w:top w:val="single" w:sz="2" w:space="0" w:color="auto"/>
              <w:left w:val="nil"/>
              <w:bottom w:val="single" w:sz="2" w:space="0" w:color="auto"/>
              <w:right w:val="nil"/>
            </w:tcBorders>
            <w:shd w:val="clear" w:color="auto" w:fill="F2F2F2" w:themeFill="background1" w:themeFillShade="F2"/>
            <w:noWrap/>
            <w:hideMark/>
          </w:tcPr>
          <w:p w14:paraId="5B33CCAD" w14:textId="706D5BFB"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360CC9" w:rsidRPr="551513BC">
              <w:rPr>
                <w:rFonts w:asciiTheme="minorHAnsi" w:hAnsiTheme="minorHAnsi" w:cstheme="minorBidi"/>
                <w:b/>
                <w:sz w:val="20"/>
                <w:szCs w:val="20"/>
              </w:rPr>
              <w:t>214.</w:t>
            </w:r>
            <w:r w:rsidR="00A65662" w:rsidRPr="551513BC">
              <w:rPr>
                <w:rFonts w:asciiTheme="minorHAnsi" w:hAnsiTheme="minorHAnsi" w:cstheme="minorBidi"/>
                <w:b/>
                <w:sz w:val="20"/>
                <w:szCs w:val="20"/>
              </w:rPr>
              <w:t>5</w:t>
            </w:r>
            <w:r w:rsidRPr="551513BC">
              <w:rPr>
                <w:rFonts w:asciiTheme="minorHAnsi" w:hAnsiTheme="minorHAnsi" w:cstheme="minorBidi"/>
                <w:b/>
                <w:sz w:val="20"/>
                <w:szCs w:val="20"/>
              </w:rPr>
              <w:t xml:space="preserve"> </w:t>
            </w:r>
          </w:p>
        </w:tc>
      </w:tr>
      <w:tr w:rsidR="00A105F5" w:rsidRPr="005E46B1" w14:paraId="01BF840F" w14:textId="77777777" w:rsidTr="551513BC">
        <w:trPr>
          <w:trHeight w:val="397"/>
        </w:trPr>
        <w:tc>
          <w:tcPr>
            <w:tcW w:w="1627" w:type="pct"/>
            <w:tcBorders>
              <w:top w:val="single" w:sz="2" w:space="0" w:color="auto"/>
              <w:left w:val="nil"/>
              <w:bottom w:val="single" w:sz="4" w:space="0" w:color="BFBFBF" w:themeColor="background1" w:themeShade="BF"/>
              <w:right w:val="nil"/>
            </w:tcBorders>
            <w:shd w:val="clear" w:color="auto" w:fill="auto"/>
            <w:vAlign w:val="center"/>
            <w:hideMark/>
          </w:tcPr>
          <w:p w14:paraId="4A12E724" w14:textId="77777777" w:rsidR="00A105F5" w:rsidRPr="006D4208" w:rsidRDefault="00A105F5" w:rsidP="005D59FA">
            <w:pPr>
              <w:rPr>
                <w:rFonts w:asciiTheme="minorHAnsi" w:hAnsiTheme="minorHAnsi" w:cstheme="minorBidi"/>
                <w:sz w:val="20"/>
                <w:szCs w:val="20"/>
              </w:rPr>
            </w:pPr>
            <w:r w:rsidRPr="551513BC">
              <w:rPr>
                <w:rFonts w:asciiTheme="minorHAnsi" w:hAnsiTheme="minorHAnsi" w:cstheme="minorBidi"/>
                <w:sz w:val="20"/>
                <w:szCs w:val="20"/>
              </w:rPr>
              <w:t>Fee and commission income</w:t>
            </w:r>
          </w:p>
        </w:tc>
        <w:tc>
          <w:tcPr>
            <w:tcW w:w="549" w:type="pct"/>
            <w:tcBorders>
              <w:top w:val="single" w:sz="2" w:space="0" w:color="auto"/>
              <w:left w:val="nil"/>
              <w:bottom w:val="single" w:sz="4" w:space="0" w:color="BFBFBF" w:themeColor="background1" w:themeShade="BF"/>
              <w:right w:val="nil"/>
            </w:tcBorders>
            <w:shd w:val="clear" w:color="auto" w:fill="F2F2F2" w:themeFill="background1" w:themeFillShade="F2"/>
            <w:noWrap/>
            <w:hideMark/>
          </w:tcPr>
          <w:p w14:paraId="523A1E3A" w14:textId="054E37BC"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60277A" w:rsidRPr="551513BC">
              <w:rPr>
                <w:rFonts w:asciiTheme="minorHAnsi" w:hAnsiTheme="minorHAnsi" w:cstheme="minorBidi"/>
                <w:b/>
                <w:sz w:val="20"/>
                <w:szCs w:val="20"/>
              </w:rPr>
              <w:t>19.3</w:t>
            </w:r>
            <w:r w:rsidRPr="551513BC">
              <w:rPr>
                <w:rFonts w:asciiTheme="minorHAnsi" w:hAnsiTheme="minorHAnsi" w:cstheme="minorBidi"/>
                <w:b/>
                <w:sz w:val="20"/>
                <w:szCs w:val="20"/>
              </w:rPr>
              <w:t xml:space="preserve"> </w:t>
            </w:r>
          </w:p>
        </w:tc>
        <w:tc>
          <w:tcPr>
            <w:tcW w:w="541" w:type="pct"/>
            <w:tcBorders>
              <w:top w:val="single" w:sz="2" w:space="0" w:color="auto"/>
              <w:left w:val="nil"/>
              <w:bottom w:val="single" w:sz="4" w:space="0" w:color="BFBFBF" w:themeColor="background1" w:themeShade="BF"/>
              <w:right w:val="nil"/>
            </w:tcBorders>
            <w:shd w:val="clear" w:color="auto" w:fill="F2F2F2" w:themeFill="background1" w:themeFillShade="F2"/>
            <w:noWrap/>
            <w:hideMark/>
          </w:tcPr>
          <w:p w14:paraId="1AA68238" w14:textId="77777777"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w:t>
            </w:r>
          </w:p>
        </w:tc>
        <w:tc>
          <w:tcPr>
            <w:tcW w:w="549" w:type="pct"/>
            <w:tcBorders>
              <w:top w:val="single" w:sz="2" w:space="0" w:color="auto"/>
              <w:left w:val="nil"/>
              <w:bottom w:val="single" w:sz="4" w:space="0" w:color="BFBFBF" w:themeColor="background1" w:themeShade="BF"/>
              <w:right w:val="nil"/>
            </w:tcBorders>
            <w:shd w:val="clear" w:color="auto" w:fill="F2F2F2" w:themeFill="background1" w:themeFillShade="F2"/>
            <w:noWrap/>
            <w:hideMark/>
          </w:tcPr>
          <w:p w14:paraId="00DE6E72" w14:textId="77777777"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w:t>
            </w:r>
          </w:p>
        </w:tc>
        <w:tc>
          <w:tcPr>
            <w:tcW w:w="549" w:type="pct"/>
            <w:tcBorders>
              <w:top w:val="single" w:sz="2" w:space="0" w:color="auto"/>
              <w:left w:val="nil"/>
              <w:bottom w:val="single" w:sz="4" w:space="0" w:color="BFBFBF" w:themeColor="background1" w:themeShade="BF"/>
              <w:right w:val="nil"/>
            </w:tcBorders>
            <w:shd w:val="clear" w:color="auto" w:fill="F2F2F2" w:themeFill="background1" w:themeFillShade="F2"/>
            <w:noWrap/>
            <w:hideMark/>
          </w:tcPr>
          <w:p w14:paraId="703FC58E" w14:textId="29C6435E" w:rsidR="00A105F5" w:rsidRPr="006D4208" w:rsidRDefault="00991FD0" w:rsidP="005D59FA">
            <w:pPr>
              <w:jc w:val="right"/>
              <w:rPr>
                <w:rFonts w:asciiTheme="minorHAnsi" w:hAnsiTheme="minorHAnsi" w:cstheme="minorBidi"/>
                <w:b/>
                <w:sz w:val="20"/>
                <w:szCs w:val="20"/>
              </w:rPr>
            </w:pPr>
            <w:r w:rsidRPr="551513BC">
              <w:rPr>
                <w:rFonts w:asciiTheme="minorHAnsi" w:hAnsiTheme="minorHAnsi" w:cstheme="minorBidi"/>
                <w:b/>
                <w:sz w:val="20"/>
                <w:szCs w:val="20"/>
              </w:rPr>
              <w:t>0.8</w:t>
            </w:r>
          </w:p>
        </w:tc>
        <w:tc>
          <w:tcPr>
            <w:tcW w:w="637" w:type="pct"/>
            <w:tcBorders>
              <w:top w:val="single" w:sz="2" w:space="0" w:color="auto"/>
              <w:left w:val="nil"/>
              <w:bottom w:val="single" w:sz="4" w:space="0" w:color="BFBFBF" w:themeColor="background1" w:themeShade="BF"/>
              <w:right w:val="nil"/>
            </w:tcBorders>
            <w:shd w:val="clear" w:color="auto" w:fill="F2F2F2" w:themeFill="background1" w:themeFillShade="F2"/>
            <w:noWrap/>
            <w:hideMark/>
          </w:tcPr>
          <w:p w14:paraId="598AD6FD" w14:textId="77777777"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w:t>
            </w:r>
          </w:p>
        </w:tc>
        <w:tc>
          <w:tcPr>
            <w:tcW w:w="548" w:type="pct"/>
            <w:tcBorders>
              <w:top w:val="single" w:sz="2" w:space="0" w:color="auto"/>
              <w:left w:val="nil"/>
              <w:bottom w:val="single" w:sz="4" w:space="0" w:color="BFBFBF" w:themeColor="background1" w:themeShade="BF"/>
              <w:right w:val="nil"/>
            </w:tcBorders>
            <w:shd w:val="clear" w:color="auto" w:fill="F2F2F2" w:themeFill="background1" w:themeFillShade="F2"/>
            <w:noWrap/>
            <w:hideMark/>
          </w:tcPr>
          <w:p w14:paraId="3E669DC6" w14:textId="5FE2D9D7"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360CC9" w:rsidRPr="551513BC">
              <w:rPr>
                <w:rFonts w:asciiTheme="minorHAnsi" w:hAnsiTheme="minorHAnsi" w:cstheme="minorBidi"/>
                <w:b/>
                <w:sz w:val="20"/>
                <w:szCs w:val="20"/>
              </w:rPr>
              <w:t>20.1</w:t>
            </w:r>
            <w:r w:rsidRPr="551513BC">
              <w:rPr>
                <w:rFonts w:asciiTheme="minorHAnsi" w:hAnsiTheme="minorHAnsi" w:cstheme="minorBidi"/>
                <w:b/>
                <w:sz w:val="20"/>
                <w:szCs w:val="20"/>
              </w:rPr>
              <w:t xml:space="preserve"> </w:t>
            </w:r>
          </w:p>
        </w:tc>
      </w:tr>
      <w:tr w:rsidR="00A105F5" w:rsidRPr="005E46B1" w14:paraId="5C34A581" w14:textId="77777777" w:rsidTr="009A000F">
        <w:trPr>
          <w:trHeight w:val="397"/>
        </w:trPr>
        <w:tc>
          <w:tcPr>
            <w:tcW w:w="1627" w:type="pct"/>
            <w:tcBorders>
              <w:top w:val="nil"/>
              <w:left w:val="nil"/>
              <w:bottom w:val="single" w:sz="4" w:space="0" w:color="auto"/>
              <w:right w:val="nil"/>
            </w:tcBorders>
            <w:shd w:val="clear" w:color="auto" w:fill="auto"/>
            <w:vAlign w:val="center"/>
            <w:hideMark/>
          </w:tcPr>
          <w:p w14:paraId="2B39DFBC" w14:textId="77777777" w:rsidR="00A105F5" w:rsidRPr="006D4208" w:rsidRDefault="00A105F5" w:rsidP="005D59FA">
            <w:pPr>
              <w:rPr>
                <w:rFonts w:asciiTheme="minorHAnsi" w:hAnsiTheme="minorHAnsi" w:cstheme="minorBidi"/>
                <w:sz w:val="20"/>
                <w:szCs w:val="20"/>
              </w:rPr>
            </w:pPr>
            <w:r w:rsidRPr="551513BC">
              <w:rPr>
                <w:rFonts w:asciiTheme="minorHAnsi" w:hAnsiTheme="minorHAnsi" w:cstheme="minorBidi"/>
                <w:sz w:val="20"/>
                <w:szCs w:val="20"/>
              </w:rPr>
              <w:t>Fee and commission expense</w:t>
            </w:r>
          </w:p>
        </w:tc>
        <w:tc>
          <w:tcPr>
            <w:tcW w:w="549" w:type="pct"/>
            <w:tcBorders>
              <w:top w:val="nil"/>
              <w:left w:val="nil"/>
              <w:bottom w:val="single" w:sz="4" w:space="0" w:color="auto"/>
              <w:right w:val="nil"/>
            </w:tcBorders>
            <w:shd w:val="clear" w:color="auto" w:fill="F2F2F2" w:themeFill="background1" w:themeFillShade="F2"/>
            <w:noWrap/>
            <w:hideMark/>
          </w:tcPr>
          <w:p w14:paraId="6648F02F" w14:textId="48EE5F70"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60277A" w:rsidRPr="551513BC">
              <w:rPr>
                <w:rFonts w:asciiTheme="minorHAnsi" w:hAnsiTheme="minorHAnsi" w:cstheme="minorBidi"/>
                <w:b/>
                <w:sz w:val="20"/>
                <w:szCs w:val="20"/>
              </w:rPr>
              <w:t>0.7</w:t>
            </w:r>
            <w:r w:rsidRPr="551513BC">
              <w:rPr>
                <w:rFonts w:asciiTheme="minorHAnsi" w:hAnsiTheme="minorHAnsi" w:cstheme="minorBidi"/>
                <w:b/>
                <w:sz w:val="20"/>
                <w:szCs w:val="20"/>
              </w:rPr>
              <w:t>)</w:t>
            </w:r>
          </w:p>
        </w:tc>
        <w:tc>
          <w:tcPr>
            <w:tcW w:w="541" w:type="pct"/>
            <w:tcBorders>
              <w:top w:val="nil"/>
              <w:left w:val="nil"/>
              <w:bottom w:val="single" w:sz="4" w:space="0" w:color="auto"/>
              <w:right w:val="nil"/>
            </w:tcBorders>
            <w:shd w:val="clear" w:color="auto" w:fill="F2F2F2" w:themeFill="background1" w:themeFillShade="F2"/>
            <w:noWrap/>
            <w:hideMark/>
          </w:tcPr>
          <w:p w14:paraId="17333775" w14:textId="77777777"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   </w:t>
            </w:r>
          </w:p>
        </w:tc>
        <w:tc>
          <w:tcPr>
            <w:tcW w:w="549" w:type="pct"/>
            <w:tcBorders>
              <w:top w:val="nil"/>
              <w:left w:val="nil"/>
              <w:bottom w:val="single" w:sz="4" w:space="0" w:color="auto"/>
              <w:right w:val="nil"/>
            </w:tcBorders>
            <w:shd w:val="clear" w:color="auto" w:fill="F2F2F2" w:themeFill="background1" w:themeFillShade="F2"/>
            <w:noWrap/>
            <w:hideMark/>
          </w:tcPr>
          <w:p w14:paraId="22E34B10" w14:textId="77777777"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   </w:t>
            </w:r>
          </w:p>
        </w:tc>
        <w:tc>
          <w:tcPr>
            <w:tcW w:w="549" w:type="pct"/>
            <w:tcBorders>
              <w:top w:val="nil"/>
              <w:left w:val="nil"/>
              <w:bottom w:val="single" w:sz="4" w:space="0" w:color="auto"/>
              <w:right w:val="nil"/>
            </w:tcBorders>
            <w:shd w:val="clear" w:color="auto" w:fill="F2F2F2" w:themeFill="background1" w:themeFillShade="F2"/>
            <w:noWrap/>
            <w:hideMark/>
          </w:tcPr>
          <w:p w14:paraId="04C36A33" w14:textId="69935C96"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991FD0" w:rsidRPr="551513BC">
              <w:rPr>
                <w:rFonts w:asciiTheme="minorHAnsi" w:hAnsiTheme="minorHAnsi" w:cstheme="minorBidi"/>
                <w:b/>
                <w:sz w:val="20"/>
                <w:szCs w:val="20"/>
              </w:rPr>
              <w:t>(0.1)</w:t>
            </w:r>
            <w:r w:rsidRPr="551513BC">
              <w:rPr>
                <w:rFonts w:asciiTheme="minorHAnsi" w:hAnsiTheme="minorHAnsi" w:cstheme="minorBidi"/>
                <w:b/>
                <w:sz w:val="20"/>
                <w:szCs w:val="20"/>
              </w:rPr>
              <w:t xml:space="preserve">   </w:t>
            </w:r>
          </w:p>
        </w:tc>
        <w:tc>
          <w:tcPr>
            <w:tcW w:w="637" w:type="pct"/>
            <w:tcBorders>
              <w:top w:val="nil"/>
              <w:left w:val="nil"/>
              <w:bottom w:val="single" w:sz="4" w:space="0" w:color="auto"/>
              <w:right w:val="nil"/>
            </w:tcBorders>
            <w:shd w:val="clear" w:color="auto" w:fill="F2F2F2" w:themeFill="background1" w:themeFillShade="F2"/>
            <w:noWrap/>
            <w:hideMark/>
          </w:tcPr>
          <w:p w14:paraId="57CDE1A5" w14:textId="77777777"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   </w:t>
            </w:r>
          </w:p>
        </w:tc>
        <w:tc>
          <w:tcPr>
            <w:tcW w:w="548" w:type="pct"/>
            <w:tcBorders>
              <w:top w:val="nil"/>
              <w:left w:val="nil"/>
              <w:bottom w:val="single" w:sz="4" w:space="0" w:color="auto"/>
              <w:right w:val="nil"/>
            </w:tcBorders>
            <w:shd w:val="clear" w:color="auto" w:fill="F2F2F2" w:themeFill="background1" w:themeFillShade="F2"/>
            <w:noWrap/>
            <w:hideMark/>
          </w:tcPr>
          <w:p w14:paraId="10565CD9" w14:textId="5FDC4C75"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360CC9" w:rsidRPr="551513BC">
              <w:rPr>
                <w:rFonts w:asciiTheme="minorHAnsi" w:hAnsiTheme="minorHAnsi" w:cstheme="minorBidi"/>
                <w:b/>
                <w:sz w:val="20"/>
                <w:szCs w:val="20"/>
              </w:rPr>
              <w:t>0.8</w:t>
            </w:r>
            <w:r w:rsidRPr="551513BC">
              <w:rPr>
                <w:rFonts w:asciiTheme="minorHAnsi" w:hAnsiTheme="minorHAnsi" w:cstheme="minorBidi"/>
                <w:b/>
                <w:sz w:val="20"/>
                <w:szCs w:val="20"/>
              </w:rPr>
              <w:t>)</w:t>
            </w:r>
          </w:p>
        </w:tc>
      </w:tr>
      <w:tr w:rsidR="00A105F5" w:rsidRPr="005E46B1" w14:paraId="0C0E1EE0" w14:textId="77777777" w:rsidTr="009A000F">
        <w:trPr>
          <w:trHeight w:val="397"/>
        </w:trPr>
        <w:tc>
          <w:tcPr>
            <w:tcW w:w="1627" w:type="pct"/>
            <w:tcBorders>
              <w:top w:val="single" w:sz="4" w:space="0" w:color="auto"/>
              <w:left w:val="nil"/>
              <w:bottom w:val="single" w:sz="2" w:space="0" w:color="auto"/>
              <w:right w:val="nil"/>
            </w:tcBorders>
            <w:shd w:val="clear" w:color="auto" w:fill="auto"/>
            <w:vAlign w:val="center"/>
            <w:hideMark/>
          </w:tcPr>
          <w:p w14:paraId="6ABE3A4D" w14:textId="77777777" w:rsidR="00A105F5" w:rsidRPr="006D4208" w:rsidRDefault="00A105F5" w:rsidP="005D59FA">
            <w:pPr>
              <w:rPr>
                <w:rFonts w:asciiTheme="minorHAnsi" w:hAnsiTheme="minorHAnsi" w:cstheme="minorBidi"/>
                <w:b/>
                <w:sz w:val="20"/>
                <w:szCs w:val="20"/>
              </w:rPr>
            </w:pPr>
            <w:r w:rsidRPr="551513BC">
              <w:rPr>
                <w:rFonts w:asciiTheme="minorHAnsi" w:hAnsiTheme="minorHAnsi" w:cstheme="minorBidi"/>
                <w:b/>
                <w:sz w:val="20"/>
                <w:szCs w:val="20"/>
              </w:rPr>
              <w:t>Net fee and commission income</w:t>
            </w:r>
          </w:p>
        </w:tc>
        <w:tc>
          <w:tcPr>
            <w:tcW w:w="549" w:type="pct"/>
            <w:tcBorders>
              <w:top w:val="single" w:sz="4" w:space="0" w:color="auto"/>
              <w:left w:val="nil"/>
              <w:bottom w:val="single" w:sz="2" w:space="0" w:color="auto"/>
              <w:right w:val="nil"/>
            </w:tcBorders>
            <w:shd w:val="clear" w:color="auto" w:fill="F2F2F2" w:themeFill="background1" w:themeFillShade="F2"/>
            <w:noWrap/>
            <w:hideMark/>
          </w:tcPr>
          <w:p w14:paraId="1ECF8027" w14:textId="375FC2AA"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60277A" w:rsidRPr="551513BC">
              <w:rPr>
                <w:rFonts w:asciiTheme="minorHAnsi" w:hAnsiTheme="minorHAnsi" w:cstheme="minorBidi"/>
                <w:b/>
                <w:sz w:val="20"/>
                <w:szCs w:val="20"/>
              </w:rPr>
              <w:t>18.6</w:t>
            </w:r>
            <w:r w:rsidRPr="551513BC">
              <w:rPr>
                <w:rFonts w:asciiTheme="minorHAnsi" w:hAnsiTheme="minorHAnsi" w:cstheme="minorBidi"/>
                <w:b/>
                <w:sz w:val="20"/>
                <w:szCs w:val="20"/>
              </w:rPr>
              <w:t xml:space="preserve"> </w:t>
            </w:r>
          </w:p>
        </w:tc>
        <w:tc>
          <w:tcPr>
            <w:tcW w:w="541" w:type="pct"/>
            <w:tcBorders>
              <w:top w:val="single" w:sz="4" w:space="0" w:color="auto"/>
              <w:left w:val="nil"/>
              <w:bottom w:val="single" w:sz="2" w:space="0" w:color="auto"/>
              <w:right w:val="nil"/>
            </w:tcBorders>
            <w:shd w:val="clear" w:color="auto" w:fill="F2F2F2" w:themeFill="background1" w:themeFillShade="F2"/>
            <w:noWrap/>
            <w:hideMark/>
          </w:tcPr>
          <w:p w14:paraId="19742C64" w14:textId="77777777"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   </w:t>
            </w:r>
          </w:p>
        </w:tc>
        <w:tc>
          <w:tcPr>
            <w:tcW w:w="549" w:type="pct"/>
            <w:tcBorders>
              <w:top w:val="single" w:sz="4" w:space="0" w:color="auto"/>
              <w:left w:val="nil"/>
              <w:bottom w:val="single" w:sz="2" w:space="0" w:color="auto"/>
              <w:right w:val="nil"/>
            </w:tcBorders>
            <w:shd w:val="clear" w:color="auto" w:fill="F2F2F2" w:themeFill="background1" w:themeFillShade="F2"/>
            <w:noWrap/>
            <w:hideMark/>
          </w:tcPr>
          <w:p w14:paraId="18D7B21A" w14:textId="77777777"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   </w:t>
            </w:r>
          </w:p>
        </w:tc>
        <w:tc>
          <w:tcPr>
            <w:tcW w:w="549" w:type="pct"/>
            <w:tcBorders>
              <w:top w:val="single" w:sz="4" w:space="0" w:color="auto"/>
              <w:left w:val="nil"/>
              <w:bottom w:val="single" w:sz="2" w:space="0" w:color="auto"/>
              <w:right w:val="nil"/>
            </w:tcBorders>
            <w:shd w:val="clear" w:color="auto" w:fill="F2F2F2" w:themeFill="background1" w:themeFillShade="F2"/>
            <w:noWrap/>
            <w:hideMark/>
          </w:tcPr>
          <w:p w14:paraId="25D844A5" w14:textId="15FBEC39"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991FD0" w:rsidRPr="551513BC">
              <w:rPr>
                <w:rFonts w:asciiTheme="minorHAnsi" w:hAnsiTheme="minorHAnsi" w:cstheme="minorBidi"/>
                <w:b/>
                <w:sz w:val="20"/>
                <w:szCs w:val="20"/>
              </w:rPr>
              <w:t>0.</w:t>
            </w:r>
            <w:r w:rsidR="008472C5" w:rsidRPr="551513BC">
              <w:rPr>
                <w:rFonts w:asciiTheme="minorHAnsi" w:hAnsiTheme="minorHAnsi" w:cstheme="minorBidi"/>
                <w:b/>
                <w:sz w:val="20"/>
                <w:szCs w:val="20"/>
              </w:rPr>
              <w:t>7</w:t>
            </w:r>
            <w:r w:rsidRPr="551513BC">
              <w:rPr>
                <w:rFonts w:asciiTheme="minorHAnsi" w:hAnsiTheme="minorHAnsi" w:cstheme="minorBidi"/>
                <w:b/>
                <w:sz w:val="20"/>
                <w:szCs w:val="20"/>
              </w:rPr>
              <w:t xml:space="preserve">   </w:t>
            </w:r>
          </w:p>
        </w:tc>
        <w:tc>
          <w:tcPr>
            <w:tcW w:w="637" w:type="pct"/>
            <w:tcBorders>
              <w:top w:val="single" w:sz="4" w:space="0" w:color="auto"/>
              <w:left w:val="nil"/>
              <w:bottom w:val="single" w:sz="2" w:space="0" w:color="auto"/>
              <w:right w:val="nil"/>
            </w:tcBorders>
            <w:shd w:val="clear" w:color="auto" w:fill="F2F2F2" w:themeFill="background1" w:themeFillShade="F2"/>
            <w:noWrap/>
            <w:hideMark/>
          </w:tcPr>
          <w:p w14:paraId="74CE466E" w14:textId="77777777"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   </w:t>
            </w:r>
          </w:p>
        </w:tc>
        <w:tc>
          <w:tcPr>
            <w:tcW w:w="548" w:type="pct"/>
            <w:tcBorders>
              <w:top w:val="single" w:sz="4" w:space="0" w:color="auto"/>
              <w:left w:val="nil"/>
              <w:bottom w:val="single" w:sz="2" w:space="0" w:color="auto"/>
              <w:right w:val="nil"/>
            </w:tcBorders>
            <w:shd w:val="clear" w:color="auto" w:fill="F2F2F2" w:themeFill="background1" w:themeFillShade="F2"/>
            <w:noWrap/>
            <w:hideMark/>
          </w:tcPr>
          <w:p w14:paraId="2870D7A8" w14:textId="3827DCCE"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360CC9" w:rsidRPr="551513BC">
              <w:rPr>
                <w:rFonts w:asciiTheme="minorHAnsi" w:hAnsiTheme="minorHAnsi" w:cstheme="minorBidi"/>
                <w:b/>
                <w:sz w:val="20"/>
                <w:szCs w:val="20"/>
              </w:rPr>
              <w:t>19.3</w:t>
            </w:r>
            <w:r w:rsidRPr="551513BC">
              <w:rPr>
                <w:rFonts w:asciiTheme="minorHAnsi" w:hAnsiTheme="minorHAnsi" w:cstheme="minorBidi"/>
                <w:b/>
                <w:sz w:val="20"/>
                <w:szCs w:val="20"/>
              </w:rPr>
              <w:t xml:space="preserve"> </w:t>
            </w:r>
          </w:p>
        </w:tc>
      </w:tr>
      <w:tr w:rsidR="00A105F5" w:rsidRPr="005E46B1" w14:paraId="6BD1A1F5" w14:textId="77777777" w:rsidTr="009A000F">
        <w:trPr>
          <w:trHeight w:val="397"/>
        </w:trPr>
        <w:tc>
          <w:tcPr>
            <w:tcW w:w="1627" w:type="pct"/>
            <w:tcBorders>
              <w:top w:val="single" w:sz="2" w:space="0" w:color="auto"/>
              <w:left w:val="nil"/>
              <w:bottom w:val="single" w:sz="2" w:space="0" w:color="auto"/>
              <w:right w:val="nil"/>
            </w:tcBorders>
            <w:shd w:val="clear" w:color="auto" w:fill="auto"/>
            <w:vAlign w:val="center"/>
            <w:hideMark/>
          </w:tcPr>
          <w:p w14:paraId="14C33EDC" w14:textId="77777777" w:rsidR="00A105F5" w:rsidRPr="006D4208" w:rsidRDefault="00A105F5" w:rsidP="005D59FA">
            <w:pPr>
              <w:rPr>
                <w:rFonts w:asciiTheme="minorHAnsi" w:hAnsiTheme="minorHAnsi" w:cstheme="minorBidi"/>
                <w:sz w:val="20"/>
                <w:szCs w:val="20"/>
              </w:rPr>
            </w:pPr>
            <w:r w:rsidRPr="551513BC">
              <w:rPr>
                <w:rFonts w:asciiTheme="minorHAnsi" w:hAnsiTheme="minorHAnsi" w:cstheme="minorBidi"/>
                <w:sz w:val="20"/>
                <w:szCs w:val="20"/>
              </w:rPr>
              <w:t>Other income</w:t>
            </w:r>
          </w:p>
        </w:tc>
        <w:tc>
          <w:tcPr>
            <w:tcW w:w="549" w:type="pct"/>
            <w:tcBorders>
              <w:top w:val="single" w:sz="2" w:space="0" w:color="auto"/>
              <w:left w:val="nil"/>
              <w:bottom w:val="single" w:sz="2" w:space="0" w:color="auto"/>
              <w:right w:val="nil"/>
            </w:tcBorders>
            <w:shd w:val="clear" w:color="auto" w:fill="F2F2F2" w:themeFill="background1" w:themeFillShade="F2"/>
            <w:noWrap/>
            <w:hideMark/>
          </w:tcPr>
          <w:p w14:paraId="214F3C57" w14:textId="1F7730FC"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55375B" w:rsidRPr="551513BC">
              <w:rPr>
                <w:rFonts w:asciiTheme="minorHAnsi" w:hAnsiTheme="minorHAnsi" w:cstheme="minorBidi"/>
                <w:b/>
                <w:sz w:val="20"/>
                <w:szCs w:val="20"/>
              </w:rPr>
              <w:t>(0.</w:t>
            </w:r>
            <w:r w:rsidR="0095640A" w:rsidRPr="551513BC">
              <w:rPr>
                <w:rFonts w:asciiTheme="minorHAnsi" w:hAnsiTheme="minorHAnsi" w:cstheme="minorBidi"/>
                <w:b/>
                <w:sz w:val="20"/>
                <w:szCs w:val="20"/>
              </w:rPr>
              <w:t>1</w:t>
            </w:r>
            <w:r w:rsidR="0055375B" w:rsidRPr="551513BC">
              <w:rPr>
                <w:rFonts w:asciiTheme="minorHAnsi" w:hAnsiTheme="minorHAnsi" w:cstheme="minorBidi"/>
                <w:b/>
                <w:sz w:val="20"/>
                <w:szCs w:val="20"/>
              </w:rPr>
              <w:t>)</w:t>
            </w:r>
            <w:r w:rsidRPr="551513BC">
              <w:rPr>
                <w:rFonts w:asciiTheme="minorHAnsi" w:hAnsiTheme="minorHAnsi" w:cstheme="minorBidi"/>
                <w:b/>
                <w:sz w:val="20"/>
                <w:szCs w:val="20"/>
              </w:rPr>
              <w:t xml:space="preserve"> </w:t>
            </w:r>
          </w:p>
        </w:tc>
        <w:tc>
          <w:tcPr>
            <w:tcW w:w="541" w:type="pct"/>
            <w:tcBorders>
              <w:top w:val="single" w:sz="2" w:space="0" w:color="auto"/>
              <w:left w:val="nil"/>
              <w:bottom w:val="single" w:sz="2" w:space="0" w:color="auto"/>
              <w:right w:val="nil"/>
            </w:tcBorders>
            <w:shd w:val="clear" w:color="auto" w:fill="F2F2F2" w:themeFill="background1" w:themeFillShade="F2"/>
            <w:noWrap/>
            <w:hideMark/>
          </w:tcPr>
          <w:p w14:paraId="77CA94D8" w14:textId="67F3A08C" w:rsidR="00A105F5" w:rsidRPr="006D4208" w:rsidRDefault="009613D6" w:rsidP="005D59FA">
            <w:pPr>
              <w:jc w:val="right"/>
              <w:rPr>
                <w:rFonts w:asciiTheme="minorHAnsi" w:hAnsiTheme="minorHAnsi" w:cstheme="minorBidi"/>
                <w:b/>
                <w:sz w:val="20"/>
                <w:szCs w:val="20"/>
              </w:rPr>
            </w:pPr>
            <w:r w:rsidRPr="551513BC">
              <w:rPr>
                <w:rFonts w:asciiTheme="minorHAnsi" w:hAnsiTheme="minorHAnsi" w:cstheme="minorBidi"/>
                <w:b/>
                <w:sz w:val="20"/>
                <w:szCs w:val="20"/>
              </w:rPr>
              <w:t>—</w:t>
            </w:r>
            <w:r w:rsidR="00A105F5" w:rsidRPr="551513BC">
              <w:rPr>
                <w:rFonts w:asciiTheme="minorHAnsi" w:hAnsiTheme="minorHAnsi" w:cstheme="minorBidi"/>
                <w:b/>
                <w:sz w:val="20"/>
                <w:szCs w:val="20"/>
              </w:rPr>
              <w:t xml:space="preserve">  </w:t>
            </w:r>
          </w:p>
        </w:tc>
        <w:tc>
          <w:tcPr>
            <w:tcW w:w="549" w:type="pct"/>
            <w:tcBorders>
              <w:top w:val="single" w:sz="2" w:space="0" w:color="auto"/>
              <w:left w:val="nil"/>
              <w:bottom w:val="single" w:sz="2" w:space="0" w:color="auto"/>
              <w:right w:val="nil"/>
            </w:tcBorders>
            <w:shd w:val="clear" w:color="auto" w:fill="F2F2F2" w:themeFill="background1" w:themeFillShade="F2"/>
            <w:noWrap/>
            <w:hideMark/>
          </w:tcPr>
          <w:p w14:paraId="31BD07FF" w14:textId="77777777"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   </w:t>
            </w:r>
          </w:p>
        </w:tc>
        <w:tc>
          <w:tcPr>
            <w:tcW w:w="549" w:type="pct"/>
            <w:tcBorders>
              <w:top w:val="single" w:sz="2" w:space="0" w:color="auto"/>
              <w:left w:val="nil"/>
              <w:bottom w:val="single" w:sz="2" w:space="0" w:color="auto"/>
              <w:right w:val="nil"/>
            </w:tcBorders>
            <w:shd w:val="clear" w:color="auto" w:fill="F2F2F2" w:themeFill="background1" w:themeFillShade="F2"/>
            <w:noWrap/>
            <w:hideMark/>
          </w:tcPr>
          <w:p w14:paraId="3BE8A046" w14:textId="50FF8846"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D93FCC" w:rsidRPr="551513BC">
              <w:rPr>
                <w:rFonts w:asciiTheme="minorHAnsi" w:hAnsiTheme="minorHAnsi" w:cstheme="minorBidi"/>
                <w:b/>
                <w:sz w:val="20"/>
                <w:szCs w:val="20"/>
              </w:rPr>
              <w:t>0.3</w:t>
            </w:r>
            <w:r w:rsidRPr="551513BC">
              <w:rPr>
                <w:rFonts w:asciiTheme="minorHAnsi" w:hAnsiTheme="minorHAnsi" w:cstheme="minorBidi"/>
                <w:b/>
                <w:sz w:val="20"/>
                <w:szCs w:val="20"/>
              </w:rPr>
              <w:t xml:space="preserve"> </w:t>
            </w:r>
          </w:p>
        </w:tc>
        <w:tc>
          <w:tcPr>
            <w:tcW w:w="637" w:type="pct"/>
            <w:tcBorders>
              <w:top w:val="single" w:sz="2" w:space="0" w:color="auto"/>
              <w:left w:val="nil"/>
              <w:bottom w:val="single" w:sz="2" w:space="0" w:color="auto"/>
              <w:right w:val="nil"/>
            </w:tcBorders>
            <w:shd w:val="clear" w:color="auto" w:fill="F2F2F2" w:themeFill="background1" w:themeFillShade="F2"/>
            <w:noWrap/>
            <w:hideMark/>
          </w:tcPr>
          <w:p w14:paraId="665960B7" w14:textId="77777777"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   </w:t>
            </w:r>
          </w:p>
        </w:tc>
        <w:tc>
          <w:tcPr>
            <w:tcW w:w="548" w:type="pct"/>
            <w:tcBorders>
              <w:top w:val="single" w:sz="2" w:space="0" w:color="auto"/>
              <w:left w:val="nil"/>
              <w:bottom w:val="single" w:sz="2" w:space="0" w:color="auto"/>
              <w:right w:val="nil"/>
            </w:tcBorders>
            <w:shd w:val="clear" w:color="auto" w:fill="F2F2F2" w:themeFill="background1" w:themeFillShade="F2"/>
            <w:noWrap/>
            <w:hideMark/>
          </w:tcPr>
          <w:p w14:paraId="0DE02AAB" w14:textId="38D1F2D3"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466418" w:rsidRPr="551513BC">
              <w:rPr>
                <w:rFonts w:asciiTheme="minorHAnsi" w:hAnsiTheme="minorHAnsi" w:cstheme="minorBidi"/>
                <w:b/>
                <w:sz w:val="20"/>
                <w:szCs w:val="20"/>
              </w:rPr>
              <w:t>0.2</w:t>
            </w:r>
            <w:r w:rsidRPr="551513BC">
              <w:rPr>
                <w:rFonts w:asciiTheme="minorHAnsi" w:hAnsiTheme="minorHAnsi" w:cstheme="minorBidi"/>
                <w:b/>
                <w:sz w:val="20"/>
                <w:szCs w:val="20"/>
              </w:rPr>
              <w:t xml:space="preserve"> </w:t>
            </w:r>
          </w:p>
        </w:tc>
      </w:tr>
      <w:tr w:rsidR="00A105F5" w:rsidRPr="005E46B1" w14:paraId="4B38CE98" w14:textId="77777777" w:rsidTr="009A000F">
        <w:trPr>
          <w:trHeight w:val="397"/>
        </w:trPr>
        <w:tc>
          <w:tcPr>
            <w:tcW w:w="1627" w:type="pct"/>
            <w:tcBorders>
              <w:top w:val="single" w:sz="2" w:space="0" w:color="auto"/>
              <w:left w:val="nil"/>
              <w:bottom w:val="single" w:sz="2" w:space="0" w:color="auto"/>
              <w:right w:val="nil"/>
            </w:tcBorders>
            <w:shd w:val="clear" w:color="auto" w:fill="auto"/>
            <w:vAlign w:val="center"/>
            <w:hideMark/>
          </w:tcPr>
          <w:p w14:paraId="643F2AEA" w14:textId="77777777" w:rsidR="00A105F5" w:rsidRPr="006D4208" w:rsidRDefault="00A105F5" w:rsidP="005D59FA">
            <w:pPr>
              <w:rPr>
                <w:rFonts w:asciiTheme="minorHAnsi" w:hAnsiTheme="minorHAnsi" w:cstheme="minorBidi"/>
                <w:b/>
                <w:sz w:val="20"/>
                <w:szCs w:val="20"/>
              </w:rPr>
            </w:pPr>
            <w:r w:rsidRPr="551513BC">
              <w:rPr>
                <w:rFonts w:asciiTheme="minorHAnsi" w:hAnsiTheme="minorHAnsi" w:cstheme="minorBidi"/>
                <w:b/>
                <w:sz w:val="20"/>
                <w:szCs w:val="20"/>
              </w:rPr>
              <w:lastRenderedPageBreak/>
              <w:t>Total income</w:t>
            </w:r>
          </w:p>
        </w:tc>
        <w:tc>
          <w:tcPr>
            <w:tcW w:w="549" w:type="pct"/>
            <w:tcBorders>
              <w:top w:val="single" w:sz="2" w:space="0" w:color="auto"/>
              <w:left w:val="nil"/>
              <w:bottom w:val="single" w:sz="2" w:space="0" w:color="auto"/>
              <w:right w:val="nil"/>
            </w:tcBorders>
            <w:shd w:val="clear" w:color="auto" w:fill="F2F2F2" w:themeFill="background1" w:themeFillShade="F2"/>
            <w:noWrap/>
            <w:hideMark/>
          </w:tcPr>
          <w:p w14:paraId="665E3709" w14:textId="679F52E1"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55375B" w:rsidRPr="551513BC">
              <w:rPr>
                <w:rFonts w:asciiTheme="minorHAnsi" w:hAnsiTheme="minorHAnsi" w:cstheme="minorBidi"/>
                <w:b/>
                <w:sz w:val="20"/>
                <w:szCs w:val="20"/>
              </w:rPr>
              <w:t>182.7</w:t>
            </w:r>
            <w:r w:rsidRPr="551513BC">
              <w:rPr>
                <w:rFonts w:asciiTheme="minorHAnsi" w:hAnsiTheme="minorHAnsi" w:cstheme="minorBidi"/>
                <w:b/>
                <w:sz w:val="20"/>
                <w:szCs w:val="20"/>
              </w:rPr>
              <w:t xml:space="preserve"> </w:t>
            </w:r>
          </w:p>
        </w:tc>
        <w:tc>
          <w:tcPr>
            <w:tcW w:w="541" w:type="pct"/>
            <w:tcBorders>
              <w:top w:val="single" w:sz="2" w:space="0" w:color="auto"/>
              <w:left w:val="nil"/>
              <w:bottom w:val="single" w:sz="2" w:space="0" w:color="auto"/>
              <w:right w:val="nil"/>
            </w:tcBorders>
            <w:shd w:val="clear" w:color="auto" w:fill="F2F2F2" w:themeFill="background1" w:themeFillShade="F2"/>
            <w:noWrap/>
            <w:hideMark/>
          </w:tcPr>
          <w:p w14:paraId="477240EA" w14:textId="76E27776"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310204" w:rsidRPr="551513BC">
              <w:rPr>
                <w:rFonts w:asciiTheme="minorHAnsi" w:hAnsiTheme="minorHAnsi" w:cstheme="minorBidi"/>
                <w:b/>
                <w:sz w:val="20"/>
                <w:szCs w:val="20"/>
              </w:rPr>
              <w:t>49.9</w:t>
            </w:r>
            <w:r w:rsidRPr="551513BC">
              <w:rPr>
                <w:rFonts w:asciiTheme="minorHAnsi" w:hAnsiTheme="minorHAnsi" w:cstheme="minorBidi"/>
                <w:b/>
                <w:sz w:val="20"/>
                <w:szCs w:val="20"/>
              </w:rPr>
              <w:t xml:space="preserve"> </w:t>
            </w:r>
          </w:p>
        </w:tc>
        <w:tc>
          <w:tcPr>
            <w:tcW w:w="549" w:type="pct"/>
            <w:tcBorders>
              <w:top w:val="single" w:sz="2" w:space="0" w:color="auto"/>
              <w:left w:val="nil"/>
              <w:bottom w:val="single" w:sz="2" w:space="0" w:color="auto"/>
              <w:right w:val="nil"/>
            </w:tcBorders>
            <w:shd w:val="clear" w:color="auto" w:fill="F2F2F2" w:themeFill="background1" w:themeFillShade="F2"/>
            <w:noWrap/>
            <w:hideMark/>
          </w:tcPr>
          <w:p w14:paraId="05313963" w14:textId="5F744C89"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5F6508" w:rsidRPr="551513BC">
              <w:rPr>
                <w:rFonts w:asciiTheme="minorHAnsi" w:hAnsiTheme="minorHAnsi" w:cstheme="minorBidi"/>
                <w:b/>
                <w:sz w:val="20"/>
                <w:szCs w:val="20"/>
              </w:rPr>
              <w:t>7.</w:t>
            </w:r>
            <w:r w:rsidR="006D0B47" w:rsidRPr="551513BC">
              <w:rPr>
                <w:rFonts w:asciiTheme="minorHAnsi" w:hAnsiTheme="minorHAnsi" w:cstheme="minorBidi"/>
                <w:b/>
                <w:sz w:val="20"/>
                <w:szCs w:val="20"/>
              </w:rPr>
              <w:t>2</w:t>
            </w:r>
            <w:r w:rsidRPr="551513BC">
              <w:rPr>
                <w:rFonts w:asciiTheme="minorHAnsi" w:hAnsiTheme="minorHAnsi" w:cstheme="minorBidi"/>
                <w:b/>
                <w:sz w:val="20"/>
                <w:szCs w:val="20"/>
              </w:rPr>
              <w:t xml:space="preserve"> </w:t>
            </w:r>
          </w:p>
        </w:tc>
        <w:tc>
          <w:tcPr>
            <w:tcW w:w="549" w:type="pct"/>
            <w:tcBorders>
              <w:top w:val="single" w:sz="2" w:space="0" w:color="auto"/>
              <w:left w:val="nil"/>
              <w:bottom w:val="single" w:sz="2" w:space="0" w:color="auto"/>
              <w:right w:val="nil"/>
            </w:tcBorders>
            <w:shd w:val="clear" w:color="auto" w:fill="F2F2F2" w:themeFill="background1" w:themeFillShade="F2"/>
            <w:noWrap/>
            <w:hideMark/>
          </w:tcPr>
          <w:p w14:paraId="4C733F6A" w14:textId="762832D7"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110DA6" w:rsidRPr="551513BC">
              <w:rPr>
                <w:rFonts w:asciiTheme="minorHAnsi" w:hAnsiTheme="minorHAnsi" w:cstheme="minorBidi"/>
                <w:b/>
                <w:sz w:val="20"/>
                <w:szCs w:val="20"/>
              </w:rPr>
              <w:t>1.</w:t>
            </w:r>
            <w:r w:rsidR="007769C5" w:rsidRPr="551513BC">
              <w:rPr>
                <w:rFonts w:asciiTheme="minorHAnsi" w:hAnsiTheme="minorHAnsi" w:cstheme="minorBidi"/>
                <w:b/>
                <w:sz w:val="20"/>
                <w:szCs w:val="20"/>
              </w:rPr>
              <w:t>6</w:t>
            </w:r>
            <w:r w:rsidRPr="551513BC">
              <w:rPr>
                <w:rFonts w:asciiTheme="minorHAnsi" w:hAnsiTheme="minorHAnsi" w:cstheme="minorBidi"/>
                <w:b/>
                <w:sz w:val="20"/>
                <w:szCs w:val="20"/>
              </w:rPr>
              <w:t xml:space="preserve"> </w:t>
            </w:r>
          </w:p>
        </w:tc>
        <w:tc>
          <w:tcPr>
            <w:tcW w:w="637" w:type="pct"/>
            <w:tcBorders>
              <w:top w:val="single" w:sz="2" w:space="0" w:color="auto"/>
              <w:left w:val="nil"/>
              <w:bottom w:val="single" w:sz="2" w:space="0" w:color="auto"/>
              <w:right w:val="nil"/>
            </w:tcBorders>
            <w:shd w:val="clear" w:color="auto" w:fill="F2F2F2" w:themeFill="background1" w:themeFillShade="F2"/>
            <w:noWrap/>
            <w:hideMark/>
          </w:tcPr>
          <w:p w14:paraId="7C54A50A" w14:textId="38300A07"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E56064" w:rsidRPr="551513BC">
              <w:rPr>
                <w:rFonts w:asciiTheme="minorHAnsi" w:hAnsiTheme="minorHAnsi" w:cstheme="minorBidi"/>
                <w:b/>
                <w:sz w:val="20"/>
                <w:szCs w:val="20"/>
              </w:rPr>
              <w:t>7.4</w:t>
            </w:r>
            <w:r w:rsidRPr="551513BC">
              <w:rPr>
                <w:rFonts w:asciiTheme="minorHAnsi" w:hAnsiTheme="minorHAnsi" w:cstheme="minorBidi"/>
                <w:b/>
                <w:sz w:val="20"/>
                <w:szCs w:val="20"/>
              </w:rPr>
              <w:t>)</w:t>
            </w:r>
          </w:p>
        </w:tc>
        <w:tc>
          <w:tcPr>
            <w:tcW w:w="548" w:type="pct"/>
            <w:tcBorders>
              <w:top w:val="single" w:sz="2" w:space="0" w:color="auto"/>
              <w:left w:val="nil"/>
              <w:bottom w:val="single" w:sz="2" w:space="0" w:color="auto"/>
              <w:right w:val="nil"/>
            </w:tcBorders>
            <w:shd w:val="clear" w:color="auto" w:fill="F2F2F2" w:themeFill="background1" w:themeFillShade="F2"/>
            <w:noWrap/>
            <w:hideMark/>
          </w:tcPr>
          <w:p w14:paraId="564C612D" w14:textId="67D0D86F"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7C55DB" w:rsidRPr="551513BC">
              <w:rPr>
                <w:rFonts w:asciiTheme="minorHAnsi" w:hAnsiTheme="minorHAnsi" w:cstheme="minorBidi"/>
                <w:b/>
                <w:sz w:val="20"/>
                <w:szCs w:val="20"/>
              </w:rPr>
              <w:t>23</w:t>
            </w:r>
            <w:r w:rsidR="00A65662" w:rsidRPr="551513BC">
              <w:rPr>
                <w:rFonts w:asciiTheme="minorHAnsi" w:hAnsiTheme="minorHAnsi" w:cstheme="minorBidi"/>
                <w:b/>
                <w:sz w:val="20"/>
                <w:szCs w:val="20"/>
              </w:rPr>
              <w:t>4.0</w:t>
            </w:r>
            <w:r w:rsidRPr="551513BC">
              <w:rPr>
                <w:rFonts w:asciiTheme="minorHAnsi" w:hAnsiTheme="minorHAnsi" w:cstheme="minorBidi"/>
                <w:b/>
                <w:sz w:val="20"/>
                <w:szCs w:val="20"/>
              </w:rPr>
              <w:t xml:space="preserve"> </w:t>
            </w:r>
          </w:p>
        </w:tc>
      </w:tr>
      <w:tr w:rsidR="00A105F5" w:rsidRPr="005E46B1" w14:paraId="3E6D3946" w14:textId="77777777" w:rsidTr="009A000F">
        <w:trPr>
          <w:trHeight w:val="397"/>
        </w:trPr>
        <w:tc>
          <w:tcPr>
            <w:tcW w:w="1627" w:type="pct"/>
            <w:tcBorders>
              <w:top w:val="single" w:sz="2" w:space="0" w:color="auto"/>
              <w:left w:val="nil"/>
              <w:bottom w:val="single" w:sz="2" w:space="0" w:color="auto"/>
              <w:right w:val="nil"/>
            </w:tcBorders>
            <w:shd w:val="clear" w:color="auto" w:fill="auto"/>
            <w:vAlign w:val="center"/>
            <w:hideMark/>
          </w:tcPr>
          <w:p w14:paraId="5D5A6F7D" w14:textId="77777777" w:rsidR="00A105F5" w:rsidRPr="006D4208" w:rsidRDefault="00A105F5" w:rsidP="005D59FA">
            <w:pPr>
              <w:rPr>
                <w:rFonts w:asciiTheme="minorHAnsi" w:hAnsiTheme="minorHAnsi" w:cstheme="minorBidi"/>
                <w:sz w:val="20"/>
                <w:szCs w:val="20"/>
              </w:rPr>
            </w:pPr>
            <w:r w:rsidRPr="551513BC">
              <w:rPr>
                <w:rFonts w:asciiTheme="minorHAnsi" w:hAnsiTheme="minorHAnsi" w:cstheme="minorBidi"/>
                <w:sz w:val="20"/>
                <w:szCs w:val="20"/>
              </w:rPr>
              <w:t>Impairment charges</w:t>
            </w:r>
          </w:p>
        </w:tc>
        <w:tc>
          <w:tcPr>
            <w:tcW w:w="549" w:type="pct"/>
            <w:tcBorders>
              <w:top w:val="single" w:sz="2" w:space="0" w:color="auto"/>
              <w:left w:val="nil"/>
              <w:bottom w:val="single" w:sz="2" w:space="0" w:color="auto"/>
              <w:right w:val="nil"/>
            </w:tcBorders>
            <w:shd w:val="clear" w:color="auto" w:fill="F2F2F2" w:themeFill="background1" w:themeFillShade="F2"/>
            <w:noWrap/>
            <w:hideMark/>
          </w:tcPr>
          <w:p w14:paraId="7173F92E" w14:textId="4FF6C537"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FD705F" w:rsidRPr="551513BC">
              <w:rPr>
                <w:rFonts w:asciiTheme="minorHAnsi" w:hAnsiTheme="minorHAnsi" w:cstheme="minorBidi"/>
                <w:b/>
                <w:sz w:val="20"/>
                <w:szCs w:val="20"/>
              </w:rPr>
              <w:t>6</w:t>
            </w:r>
            <w:r w:rsidR="00A86800" w:rsidRPr="551513BC">
              <w:rPr>
                <w:rFonts w:asciiTheme="minorHAnsi" w:hAnsiTheme="minorHAnsi" w:cstheme="minorBidi"/>
                <w:b/>
                <w:sz w:val="20"/>
                <w:szCs w:val="20"/>
              </w:rPr>
              <w:t>6.1</w:t>
            </w:r>
            <w:r w:rsidRPr="551513BC">
              <w:rPr>
                <w:rFonts w:asciiTheme="minorHAnsi" w:hAnsiTheme="minorHAnsi" w:cstheme="minorBidi"/>
                <w:b/>
                <w:sz w:val="20"/>
                <w:szCs w:val="20"/>
              </w:rPr>
              <w:t>)</w:t>
            </w:r>
          </w:p>
        </w:tc>
        <w:tc>
          <w:tcPr>
            <w:tcW w:w="541" w:type="pct"/>
            <w:tcBorders>
              <w:top w:val="single" w:sz="2" w:space="0" w:color="auto"/>
              <w:left w:val="nil"/>
              <w:bottom w:val="single" w:sz="2" w:space="0" w:color="auto"/>
              <w:right w:val="nil"/>
            </w:tcBorders>
            <w:shd w:val="clear" w:color="auto" w:fill="F2F2F2" w:themeFill="background1" w:themeFillShade="F2"/>
            <w:noWrap/>
            <w:hideMark/>
          </w:tcPr>
          <w:p w14:paraId="092B53B3" w14:textId="69B2AF7D"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310204" w:rsidRPr="551513BC">
              <w:rPr>
                <w:rFonts w:asciiTheme="minorHAnsi" w:hAnsiTheme="minorHAnsi" w:cstheme="minorBidi"/>
                <w:b/>
                <w:sz w:val="20"/>
                <w:szCs w:val="20"/>
              </w:rPr>
              <w:t>30.3</w:t>
            </w:r>
            <w:r w:rsidRPr="551513BC">
              <w:rPr>
                <w:rFonts w:asciiTheme="minorHAnsi" w:hAnsiTheme="minorHAnsi" w:cstheme="minorBidi"/>
                <w:b/>
                <w:sz w:val="20"/>
                <w:szCs w:val="20"/>
              </w:rPr>
              <w:t>)</w:t>
            </w:r>
          </w:p>
        </w:tc>
        <w:tc>
          <w:tcPr>
            <w:tcW w:w="549" w:type="pct"/>
            <w:tcBorders>
              <w:top w:val="single" w:sz="2" w:space="0" w:color="auto"/>
              <w:left w:val="nil"/>
              <w:bottom w:val="single" w:sz="2" w:space="0" w:color="auto"/>
              <w:right w:val="nil"/>
            </w:tcBorders>
            <w:shd w:val="clear" w:color="auto" w:fill="F2F2F2" w:themeFill="background1" w:themeFillShade="F2"/>
            <w:noWrap/>
            <w:hideMark/>
          </w:tcPr>
          <w:p w14:paraId="5E36A26A" w14:textId="7123CCA8"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5F6508" w:rsidRPr="551513BC">
              <w:rPr>
                <w:rFonts w:asciiTheme="minorHAnsi" w:hAnsiTheme="minorHAnsi" w:cstheme="minorBidi"/>
                <w:b/>
                <w:sz w:val="20"/>
                <w:szCs w:val="20"/>
              </w:rPr>
              <w:t>4.</w:t>
            </w:r>
            <w:r w:rsidR="006D0B47" w:rsidRPr="551513BC">
              <w:rPr>
                <w:rFonts w:asciiTheme="minorHAnsi" w:hAnsiTheme="minorHAnsi" w:cstheme="minorBidi"/>
                <w:b/>
                <w:sz w:val="20"/>
                <w:szCs w:val="20"/>
              </w:rPr>
              <w:t>9</w:t>
            </w:r>
            <w:r w:rsidRPr="551513BC">
              <w:rPr>
                <w:rFonts w:asciiTheme="minorHAnsi" w:hAnsiTheme="minorHAnsi" w:cstheme="minorBidi"/>
                <w:b/>
                <w:sz w:val="20"/>
                <w:szCs w:val="20"/>
              </w:rPr>
              <w:t>)</w:t>
            </w:r>
          </w:p>
        </w:tc>
        <w:tc>
          <w:tcPr>
            <w:tcW w:w="549" w:type="pct"/>
            <w:tcBorders>
              <w:top w:val="single" w:sz="2" w:space="0" w:color="auto"/>
              <w:left w:val="nil"/>
              <w:bottom w:val="single" w:sz="2" w:space="0" w:color="auto"/>
              <w:right w:val="nil"/>
            </w:tcBorders>
            <w:shd w:val="clear" w:color="auto" w:fill="F2F2F2" w:themeFill="background1" w:themeFillShade="F2"/>
            <w:noWrap/>
            <w:hideMark/>
          </w:tcPr>
          <w:p w14:paraId="710192AC" w14:textId="77777777"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   </w:t>
            </w:r>
          </w:p>
        </w:tc>
        <w:tc>
          <w:tcPr>
            <w:tcW w:w="637" w:type="pct"/>
            <w:tcBorders>
              <w:top w:val="single" w:sz="2" w:space="0" w:color="auto"/>
              <w:left w:val="nil"/>
              <w:bottom w:val="single" w:sz="2" w:space="0" w:color="auto"/>
              <w:right w:val="nil"/>
            </w:tcBorders>
            <w:shd w:val="clear" w:color="auto" w:fill="F2F2F2" w:themeFill="background1" w:themeFillShade="F2"/>
            <w:noWrap/>
            <w:hideMark/>
          </w:tcPr>
          <w:p w14:paraId="6464CC57" w14:textId="77777777"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   </w:t>
            </w:r>
          </w:p>
        </w:tc>
        <w:tc>
          <w:tcPr>
            <w:tcW w:w="548" w:type="pct"/>
            <w:tcBorders>
              <w:top w:val="single" w:sz="2" w:space="0" w:color="auto"/>
              <w:left w:val="nil"/>
              <w:bottom w:val="single" w:sz="2" w:space="0" w:color="auto"/>
              <w:right w:val="nil"/>
            </w:tcBorders>
            <w:shd w:val="clear" w:color="auto" w:fill="F2F2F2" w:themeFill="background1" w:themeFillShade="F2"/>
            <w:noWrap/>
            <w:hideMark/>
          </w:tcPr>
          <w:p w14:paraId="0A000930" w14:textId="233F12DB"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7C55DB" w:rsidRPr="551513BC">
              <w:rPr>
                <w:rFonts w:asciiTheme="minorHAnsi" w:hAnsiTheme="minorHAnsi" w:cstheme="minorBidi"/>
                <w:b/>
                <w:sz w:val="20"/>
                <w:szCs w:val="20"/>
              </w:rPr>
              <w:t>1</w:t>
            </w:r>
            <w:r w:rsidR="00A65662" w:rsidRPr="551513BC">
              <w:rPr>
                <w:rFonts w:asciiTheme="minorHAnsi" w:hAnsiTheme="minorHAnsi" w:cstheme="minorBidi"/>
                <w:b/>
                <w:sz w:val="20"/>
                <w:szCs w:val="20"/>
              </w:rPr>
              <w:t>01.3</w:t>
            </w:r>
            <w:r w:rsidRPr="551513BC">
              <w:rPr>
                <w:rFonts w:asciiTheme="minorHAnsi" w:hAnsiTheme="minorHAnsi" w:cstheme="minorBidi"/>
                <w:b/>
                <w:sz w:val="20"/>
                <w:szCs w:val="20"/>
              </w:rPr>
              <w:t>)</w:t>
            </w:r>
          </w:p>
        </w:tc>
      </w:tr>
      <w:tr w:rsidR="00A105F5" w:rsidRPr="005E46B1" w14:paraId="3C792541" w14:textId="77777777" w:rsidTr="009A000F">
        <w:trPr>
          <w:trHeight w:val="397"/>
        </w:trPr>
        <w:tc>
          <w:tcPr>
            <w:tcW w:w="1627" w:type="pct"/>
            <w:tcBorders>
              <w:top w:val="single" w:sz="2" w:space="0" w:color="auto"/>
              <w:left w:val="nil"/>
              <w:bottom w:val="single" w:sz="2" w:space="0" w:color="auto"/>
              <w:right w:val="nil"/>
            </w:tcBorders>
            <w:shd w:val="clear" w:color="auto" w:fill="auto"/>
            <w:vAlign w:val="center"/>
            <w:hideMark/>
          </w:tcPr>
          <w:p w14:paraId="7F3B0D2A" w14:textId="77777777" w:rsidR="00A105F5" w:rsidRPr="006D4208" w:rsidRDefault="00A105F5" w:rsidP="005D59FA">
            <w:pPr>
              <w:rPr>
                <w:rFonts w:asciiTheme="minorHAnsi" w:hAnsiTheme="minorHAnsi" w:cstheme="minorBidi"/>
                <w:b/>
                <w:sz w:val="20"/>
                <w:szCs w:val="20"/>
              </w:rPr>
            </w:pPr>
            <w:r w:rsidRPr="551513BC">
              <w:rPr>
                <w:rFonts w:asciiTheme="minorHAnsi" w:hAnsiTheme="minorHAnsi" w:cstheme="minorBidi"/>
                <w:b/>
                <w:sz w:val="20"/>
                <w:szCs w:val="20"/>
              </w:rPr>
              <w:t>Risk-adjusted income</w:t>
            </w:r>
          </w:p>
        </w:tc>
        <w:tc>
          <w:tcPr>
            <w:tcW w:w="549" w:type="pct"/>
            <w:tcBorders>
              <w:top w:val="single" w:sz="2" w:space="0" w:color="auto"/>
              <w:left w:val="nil"/>
              <w:bottom w:val="single" w:sz="2" w:space="0" w:color="auto"/>
              <w:right w:val="nil"/>
            </w:tcBorders>
            <w:shd w:val="clear" w:color="auto" w:fill="F2F2F2" w:themeFill="background1" w:themeFillShade="F2"/>
            <w:noWrap/>
            <w:hideMark/>
          </w:tcPr>
          <w:p w14:paraId="17750330" w14:textId="1A5A394C"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FD705F" w:rsidRPr="551513BC">
              <w:rPr>
                <w:rFonts w:asciiTheme="minorHAnsi" w:hAnsiTheme="minorHAnsi" w:cstheme="minorBidi"/>
                <w:b/>
                <w:sz w:val="20"/>
                <w:szCs w:val="20"/>
              </w:rPr>
              <w:t>116.</w:t>
            </w:r>
            <w:r w:rsidR="00A86800" w:rsidRPr="551513BC">
              <w:rPr>
                <w:rFonts w:asciiTheme="minorHAnsi" w:hAnsiTheme="minorHAnsi" w:cstheme="minorBidi"/>
                <w:b/>
                <w:sz w:val="20"/>
                <w:szCs w:val="20"/>
              </w:rPr>
              <w:t>6</w:t>
            </w:r>
            <w:r w:rsidRPr="551513BC">
              <w:rPr>
                <w:rFonts w:asciiTheme="minorHAnsi" w:hAnsiTheme="minorHAnsi" w:cstheme="minorBidi"/>
                <w:b/>
                <w:sz w:val="20"/>
                <w:szCs w:val="20"/>
              </w:rPr>
              <w:t xml:space="preserve"> </w:t>
            </w:r>
          </w:p>
        </w:tc>
        <w:tc>
          <w:tcPr>
            <w:tcW w:w="541" w:type="pct"/>
            <w:tcBorders>
              <w:top w:val="single" w:sz="2" w:space="0" w:color="auto"/>
              <w:left w:val="nil"/>
              <w:bottom w:val="single" w:sz="2" w:space="0" w:color="auto"/>
              <w:right w:val="nil"/>
            </w:tcBorders>
            <w:shd w:val="clear" w:color="auto" w:fill="F2F2F2" w:themeFill="background1" w:themeFillShade="F2"/>
            <w:noWrap/>
            <w:hideMark/>
          </w:tcPr>
          <w:p w14:paraId="7F0816E2" w14:textId="2A7521F1"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D312A6" w:rsidRPr="551513BC">
              <w:rPr>
                <w:rFonts w:asciiTheme="minorHAnsi" w:hAnsiTheme="minorHAnsi" w:cstheme="minorBidi"/>
                <w:b/>
                <w:sz w:val="20"/>
                <w:szCs w:val="20"/>
              </w:rPr>
              <w:t>19.6</w:t>
            </w:r>
            <w:r w:rsidRPr="551513BC">
              <w:rPr>
                <w:rFonts w:asciiTheme="minorHAnsi" w:hAnsiTheme="minorHAnsi" w:cstheme="minorBidi"/>
                <w:b/>
                <w:sz w:val="20"/>
                <w:szCs w:val="20"/>
              </w:rPr>
              <w:t xml:space="preserve"> </w:t>
            </w:r>
          </w:p>
        </w:tc>
        <w:tc>
          <w:tcPr>
            <w:tcW w:w="549" w:type="pct"/>
            <w:tcBorders>
              <w:top w:val="single" w:sz="2" w:space="0" w:color="auto"/>
              <w:left w:val="nil"/>
              <w:bottom w:val="single" w:sz="2" w:space="0" w:color="auto"/>
              <w:right w:val="nil"/>
            </w:tcBorders>
            <w:shd w:val="clear" w:color="auto" w:fill="F2F2F2" w:themeFill="background1" w:themeFillShade="F2"/>
            <w:noWrap/>
            <w:hideMark/>
          </w:tcPr>
          <w:p w14:paraId="7462E31F" w14:textId="6C877EEA"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E2782B" w:rsidRPr="551513BC">
              <w:rPr>
                <w:rFonts w:asciiTheme="minorHAnsi" w:hAnsiTheme="minorHAnsi" w:cstheme="minorBidi"/>
                <w:b/>
                <w:sz w:val="20"/>
                <w:szCs w:val="20"/>
              </w:rPr>
              <w:t>2.3</w:t>
            </w:r>
            <w:r w:rsidRPr="551513BC">
              <w:rPr>
                <w:rFonts w:asciiTheme="minorHAnsi" w:hAnsiTheme="minorHAnsi" w:cstheme="minorBidi"/>
                <w:b/>
                <w:sz w:val="20"/>
                <w:szCs w:val="20"/>
              </w:rPr>
              <w:t xml:space="preserve"> </w:t>
            </w:r>
          </w:p>
        </w:tc>
        <w:tc>
          <w:tcPr>
            <w:tcW w:w="549" w:type="pct"/>
            <w:tcBorders>
              <w:top w:val="single" w:sz="2" w:space="0" w:color="auto"/>
              <w:left w:val="nil"/>
              <w:bottom w:val="single" w:sz="2" w:space="0" w:color="auto"/>
              <w:right w:val="nil"/>
            </w:tcBorders>
            <w:shd w:val="clear" w:color="auto" w:fill="F2F2F2" w:themeFill="background1" w:themeFillShade="F2"/>
            <w:noWrap/>
            <w:hideMark/>
          </w:tcPr>
          <w:p w14:paraId="10B00264" w14:textId="24557D96"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F96A4C" w:rsidRPr="551513BC">
              <w:rPr>
                <w:rFonts w:asciiTheme="minorHAnsi" w:hAnsiTheme="minorHAnsi" w:cstheme="minorBidi"/>
                <w:b/>
                <w:sz w:val="20"/>
                <w:szCs w:val="20"/>
              </w:rPr>
              <w:t>1.</w:t>
            </w:r>
            <w:r w:rsidR="00746DDC" w:rsidRPr="551513BC">
              <w:rPr>
                <w:rFonts w:asciiTheme="minorHAnsi" w:hAnsiTheme="minorHAnsi" w:cstheme="minorBidi"/>
                <w:b/>
                <w:sz w:val="20"/>
                <w:szCs w:val="20"/>
              </w:rPr>
              <w:t>6</w:t>
            </w:r>
            <w:r w:rsidRPr="551513BC">
              <w:rPr>
                <w:rFonts w:asciiTheme="minorHAnsi" w:hAnsiTheme="minorHAnsi" w:cstheme="minorBidi"/>
                <w:b/>
                <w:sz w:val="20"/>
                <w:szCs w:val="20"/>
              </w:rPr>
              <w:t xml:space="preserve"> </w:t>
            </w:r>
          </w:p>
        </w:tc>
        <w:tc>
          <w:tcPr>
            <w:tcW w:w="637" w:type="pct"/>
            <w:tcBorders>
              <w:top w:val="single" w:sz="2" w:space="0" w:color="auto"/>
              <w:left w:val="nil"/>
              <w:bottom w:val="single" w:sz="2" w:space="0" w:color="auto"/>
              <w:right w:val="nil"/>
            </w:tcBorders>
            <w:shd w:val="clear" w:color="auto" w:fill="F2F2F2" w:themeFill="background1" w:themeFillShade="F2"/>
            <w:noWrap/>
            <w:hideMark/>
          </w:tcPr>
          <w:p w14:paraId="4B587FFB" w14:textId="463DE95B"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F726CF" w:rsidRPr="551513BC">
              <w:rPr>
                <w:rFonts w:asciiTheme="minorHAnsi" w:hAnsiTheme="minorHAnsi" w:cstheme="minorBidi"/>
                <w:b/>
                <w:sz w:val="20"/>
                <w:szCs w:val="20"/>
              </w:rPr>
              <w:t>7.4</w:t>
            </w:r>
            <w:r w:rsidRPr="551513BC">
              <w:rPr>
                <w:rFonts w:asciiTheme="minorHAnsi" w:hAnsiTheme="minorHAnsi" w:cstheme="minorBidi"/>
                <w:b/>
                <w:sz w:val="20"/>
                <w:szCs w:val="20"/>
              </w:rPr>
              <w:t>)</w:t>
            </w:r>
          </w:p>
        </w:tc>
        <w:tc>
          <w:tcPr>
            <w:tcW w:w="548" w:type="pct"/>
            <w:tcBorders>
              <w:top w:val="single" w:sz="2" w:space="0" w:color="auto"/>
              <w:left w:val="nil"/>
              <w:bottom w:val="single" w:sz="2" w:space="0" w:color="auto"/>
              <w:right w:val="nil"/>
            </w:tcBorders>
            <w:shd w:val="clear" w:color="auto" w:fill="F2F2F2" w:themeFill="background1" w:themeFillShade="F2"/>
            <w:noWrap/>
            <w:hideMark/>
          </w:tcPr>
          <w:p w14:paraId="1D32AF3B" w14:textId="127D0513"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7C55DB" w:rsidRPr="551513BC">
              <w:rPr>
                <w:rFonts w:asciiTheme="minorHAnsi" w:hAnsiTheme="minorHAnsi" w:cstheme="minorBidi"/>
                <w:b/>
                <w:sz w:val="20"/>
                <w:szCs w:val="20"/>
              </w:rPr>
              <w:t>1</w:t>
            </w:r>
            <w:r w:rsidR="00A65662" w:rsidRPr="551513BC">
              <w:rPr>
                <w:rFonts w:asciiTheme="minorHAnsi" w:hAnsiTheme="minorHAnsi" w:cstheme="minorBidi"/>
                <w:b/>
                <w:sz w:val="20"/>
                <w:szCs w:val="20"/>
              </w:rPr>
              <w:t>32.7</w:t>
            </w:r>
            <w:r w:rsidRPr="551513BC">
              <w:rPr>
                <w:rFonts w:asciiTheme="minorHAnsi" w:hAnsiTheme="minorHAnsi" w:cstheme="minorBidi"/>
                <w:b/>
                <w:sz w:val="20"/>
                <w:szCs w:val="20"/>
              </w:rPr>
              <w:t xml:space="preserve"> </w:t>
            </w:r>
          </w:p>
        </w:tc>
      </w:tr>
      <w:tr w:rsidR="00A105F5" w:rsidRPr="005E46B1" w14:paraId="1B50745A" w14:textId="77777777" w:rsidTr="009A000F">
        <w:trPr>
          <w:trHeight w:val="397"/>
        </w:trPr>
        <w:tc>
          <w:tcPr>
            <w:tcW w:w="1627" w:type="pct"/>
            <w:tcBorders>
              <w:top w:val="single" w:sz="2" w:space="0" w:color="auto"/>
              <w:left w:val="nil"/>
              <w:bottom w:val="single" w:sz="2" w:space="0" w:color="auto"/>
              <w:right w:val="nil"/>
            </w:tcBorders>
            <w:shd w:val="clear" w:color="auto" w:fill="auto"/>
            <w:vAlign w:val="center"/>
            <w:hideMark/>
          </w:tcPr>
          <w:p w14:paraId="0E96F8A5" w14:textId="77777777" w:rsidR="00A105F5" w:rsidRPr="006D4208" w:rsidRDefault="00A105F5" w:rsidP="005D59FA">
            <w:pPr>
              <w:rPr>
                <w:rFonts w:asciiTheme="minorHAnsi" w:hAnsiTheme="minorHAnsi" w:cstheme="minorBidi"/>
                <w:sz w:val="20"/>
                <w:szCs w:val="20"/>
              </w:rPr>
            </w:pPr>
            <w:r w:rsidRPr="551513BC">
              <w:rPr>
                <w:rFonts w:asciiTheme="minorHAnsi" w:hAnsiTheme="minorHAnsi" w:cstheme="minorBidi"/>
                <w:sz w:val="20"/>
                <w:szCs w:val="20"/>
              </w:rPr>
              <w:t>Adjusted operating costs</w:t>
            </w:r>
          </w:p>
        </w:tc>
        <w:tc>
          <w:tcPr>
            <w:tcW w:w="549" w:type="pct"/>
            <w:tcBorders>
              <w:top w:val="single" w:sz="2" w:space="0" w:color="auto"/>
              <w:left w:val="nil"/>
              <w:bottom w:val="single" w:sz="2" w:space="0" w:color="auto"/>
              <w:right w:val="nil"/>
            </w:tcBorders>
            <w:shd w:val="clear" w:color="auto" w:fill="F2F2F2" w:themeFill="background1" w:themeFillShade="F2"/>
            <w:noWrap/>
            <w:hideMark/>
          </w:tcPr>
          <w:p w14:paraId="50CD9719" w14:textId="417575A5"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FD705F" w:rsidRPr="551513BC">
              <w:rPr>
                <w:rFonts w:asciiTheme="minorHAnsi" w:hAnsiTheme="minorHAnsi" w:cstheme="minorBidi"/>
                <w:b/>
                <w:sz w:val="20"/>
                <w:szCs w:val="20"/>
              </w:rPr>
              <w:t>9</w:t>
            </w:r>
            <w:r w:rsidR="00A86800" w:rsidRPr="551513BC">
              <w:rPr>
                <w:rFonts w:asciiTheme="minorHAnsi" w:hAnsiTheme="minorHAnsi" w:cstheme="minorBidi"/>
                <w:b/>
                <w:sz w:val="20"/>
                <w:szCs w:val="20"/>
              </w:rPr>
              <w:t>6.4</w:t>
            </w:r>
            <w:r w:rsidRPr="551513BC">
              <w:rPr>
                <w:rFonts w:asciiTheme="minorHAnsi" w:hAnsiTheme="minorHAnsi" w:cstheme="minorBidi"/>
                <w:b/>
                <w:sz w:val="20"/>
                <w:szCs w:val="20"/>
              </w:rPr>
              <w:t>)</w:t>
            </w:r>
          </w:p>
        </w:tc>
        <w:tc>
          <w:tcPr>
            <w:tcW w:w="541" w:type="pct"/>
            <w:tcBorders>
              <w:top w:val="single" w:sz="2" w:space="0" w:color="auto"/>
              <w:left w:val="nil"/>
              <w:bottom w:val="single" w:sz="2" w:space="0" w:color="auto"/>
              <w:right w:val="nil"/>
            </w:tcBorders>
            <w:shd w:val="clear" w:color="auto" w:fill="F2F2F2" w:themeFill="background1" w:themeFillShade="F2"/>
            <w:noWrap/>
            <w:hideMark/>
          </w:tcPr>
          <w:p w14:paraId="7A2A8D05" w14:textId="7EC30385"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804DB9" w:rsidRPr="551513BC">
              <w:rPr>
                <w:rFonts w:asciiTheme="minorHAnsi" w:hAnsiTheme="minorHAnsi" w:cstheme="minorBidi"/>
                <w:b/>
                <w:sz w:val="20"/>
                <w:szCs w:val="20"/>
              </w:rPr>
              <w:t>2</w:t>
            </w:r>
            <w:r w:rsidR="00D312A6" w:rsidRPr="551513BC">
              <w:rPr>
                <w:rFonts w:asciiTheme="minorHAnsi" w:hAnsiTheme="minorHAnsi" w:cstheme="minorBidi"/>
                <w:b/>
                <w:sz w:val="20"/>
                <w:szCs w:val="20"/>
              </w:rPr>
              <w:t>2.9</w:t>
            </w:r>
            <w:r w:rsidRPr="551513BC">
              <w:rPr>
                <w:rFonts w:asciiTheme="minorHAnsi" w:hAnsiTheme="minorHAnsi" w:cstheme="minorBidi"/>
                <w:b/>
                <w:sz w:val="20"/>
                <w:szCs w:val="20"/>
              </w:rPr>
              <w:t>)</w:t>
            </w:r>
          </w:p>
        </w:tc>
        <w:tc>
          <w:tcPr>
            <w:tcW w:w="549" w:type="pct"/>
            <w:tcBorders>
              <w:top w:val="single" w:sz="2" w:space="0" w:color="auto"/>
              <w:left w:val="nil"/>
              <w:bottom w:val="single" w:sz="2" w:space="0" w:color="auto"/>
              <w:right w:val="nil"/>
            </w:tcBorders>
            <w:shd w:val="clear" w:color="auto" w:fill="F2F2F2" w:themeFill="background1" w:themeFillShade="F2"/>
            <w:noWrap/>
            <w:hideMark/>
          </w:tcPr>
          <w:p w14:paraId="4D70EB15" w14:textId="62649C42"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E2782B" w:rsidRPr="551513BC">
              <w:rPr>
                <w:rFonts w:asciiTheme="minorHAnsi" w:hAnsiTheme="minorHAnsi" w:cstheme="minorBidi"/>
                <w:b/>
                <w:sz w:val="20"/>
                <w:szCs w:val="20"/>
              </w:rPr>
              <w:t>6.1</w:t>
            </w:r>
            <w:r w:rsidRPr="551513BC">
              <w:rPr>
                <w:rFonts w:asciiTheme="minorHAnsi" w:hAnsiTheme="minorHAnsi" w:cstheme="minorBidi"/>
                <w:b/>
                <w:sz w:val="20"/>
                <w:szCs w:val="20"/>
              </w:rPr>
              <w:t>)</w:t>
            </w:r>
          </w:p>
        </w:tc>
        <w:tc>
          <w:tcPr>
            <w:tcW w:w="549" w:type="pct"/>
            <w:tcBorders>
              <w:top w:val="single" w:sz="2" w:space="0" w:color="auto"/>
              <w:left w:val="nil"/>
              <w:bottom w:val="single" w:sz="2" w:space="0" w:color="auto"/>
              <w:right w:val="nil"/>
            </w:tcBorders>
            <w:shd w:val="clear" w:color="auto" w:fill="F2F2F2" w:themeFill="background1" w:themeFillShade="F2"/>
            <w:noWrap/>
            <w:hideMark/>
          </w:tcPr>
          <w:p w14:paraId="7FF75E9D" w14:textId="64BB3B01"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F96A4C" w:rsidRPr="551513BC">
              <w:rPr>
                <w:rFonts w:asciiTheme="minorHAnsi" w:hAnsiTheme="minorHAnsi" w:cstheme="minorBidi"/>
                <w:b/>
                <w:sz w:val="20"/>
                <w:szCs w:val="20"/>
              </w:rPr>
              <w:t>5.</w:t>
            </w:r>
            <w:r w:rsidR="00610DBC" w:rsidRPr="551513BC">
              <w:rPr>
                <w:rFonts w:asciiTheme="minorHAnsi" w:hAnsiTheme="minorHAnsi" w:cstheme="minorBidi"/>
                <w:b/>
                <w:sz w:val="20"/>
                <w:szCs w:val="20"/>
              </w:rPr>
              <w:t>2</w:t>
            </w:r>
            <w:r w:rsidRPr="551513BC">
              <w:rPr>
                <w:rFonts w:asciiTheme="minorHAnsi" w:hAnsiTheme="minorHAnsi" w:cstheme="minorBidi"/>
                <w:b/>
                <w:sz w:val="20"/>
                <w:szCs w:val="20"/>
              </w:rPr>
              <w:t>)</w:t>
            </w:r>
          </w:p>
        </w:tc>
        <w:tc>
          <w:tcPr>
            <w:tcW w:w="637" w:type="pct"/>
            <w:tcBorders>
              <w:top w:val="single" w:sz="2" w:space="0" w:color="auto"/>
              <w:left w:val="nil"/>
              <w:bottom w:val="single" w:sz="2" w:space="0" w:color="auto"/>
              <w:right w:val="nil"/>
            </w:tcBorders>
            <w:shd w:val="clear" w:color="auto" w:fill="F2F2F2" w:themeFill="background1" w:themeFillShade="F2"/>
            <w:noWrap/>
            <w:hideMark/>
          </w:tcPr>
          <w:p w14:paraId="4FF5B302" w14:textId="42894D2B"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197613" w:rsidRPr="551513BC">
              <w:rPr>
                <w:rFonts w:asciiTheme="minorHAnsi" w:hAnsiTheme="minorHAnsi" w:cstheme="minorBidi"/>
                <w:b/>
                <w:sz w:val="20"/>
                <w:szCs w:val="20"/>
              </w:rPr>
              <w:t>28.9</w:t>
            </w:r>
            <w:r w:rsidRPr="551513BC">
              <w:rPr>
                <w:rFonts w:asciiTheme="minorHAnsi" w:hAnsiTheme="minorHAnsi" w:cstheme="minorBidi"/>
                <w:b/>
                <w:sz w:val="20"/>
                <w:szCs w:val="20"/>
              </w:rPr>
              <w:t>)</w:t>
            </w:r>
          </w:p>
        </w:tc>
        <w:tc>
          <w:tcPr>
            <w:tcW w:w="548" w:type="pct"/>
            <w:tcBorders>
              <w:top w:val="single" w:sz="2" w:space="0" w:color="auto"/>
              <w:left w:val="nil"/>
              <w:bottom w:val="single" w:sz="2" w:space="0" w:color="auto"/>
              <w:right w:val="nil"/>
            </w:tcBorders>
            <w:shd w:val="clear" w:color="auto" w:fill="F2F2F2" w:themeFill="background1" w:themeFillShade="F2"/>
            <w:noWrap/>
            <w:hideMark/>
          </w:tcPr>
          <w:p w14:paraId="1FE124E0" w14:textId="22C701AD"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7C55DB" w:rsidRPr="551513BC">
              <w:rPr>
                <w:rFonts w:asciiTheme="minorHAnsi" w:hAnsiTheme="minorHAnsi" w:cstheme="minorBidi"/>
                <w:b/>
                <w:sz w:val="20"/>
                <w:szCs w:val="20"/>
              </w:rPr>
              <w:t>1</w:t>
            </w:r>
            <w:r w:rsidR="00A65662" w:rsidRPr="551513BC">
              <w:rPr>
                <w:rFonts w:asciiTheme="minorHAnsi" w:hAnsiTheme="minorHAnsi" w:cstheme="minorBidi"/>
                <w:b/>
                <w:sz w:val="20"/>
                <w:szCs w:val="20"/>
              </w:rPr>
              <w:t>59.5</w:t>
            </w:r>
            <w:r w:rsidRPr="551513BC">
              <w:rPr>
                <w:rFonts w:asciiTheme="minorHAnsi" w:hAnsiTheme="minorHAnsi" w:cstheme="minorBidi"/>
                <w:b/>
                <w:sz w:val="20"/>
                <w:szCs w:val="20"/>
              </w:rPr>
              <w:t>)</w:t>
            </w:r>
          </w:p>
        </w:tc>
      </w:tr>
      <w:tr w:rsidR="00A105F5" w:rsidRPr="005E46B1" w14:paraId="1D820568" w14:textId="77777777" w:rsidTr="009A000F">
        <w:trPr>
          <w:trHeight w:val="397"/>
        </w:trPr>
        <w:tc>
          <w:tcPr>
            <w:tcW w:w="1627" w:type="pct"/>
            <w:tcBorders>
              <w:top w:val="single" w:sz="2" w:space="0" w:color="auto"/>
              <w:left w:val="nil"/>
              <w:bottom w:val="single" w:sz="2" w:space="0" w:color="auto"/>
              <w:right w:val="nil"/>
            </w:tcBorders>
            <w:shd w:val="clear" w:color="auto" w:fill="auto"/>
            <w:vAlign w:val="center"/>
            <w:hideMark/>
          </w:tcPr>
          <w:p w14:paraId="788C6567" w14:textId="77777777" w:rsidR="00A105F5" w:rsidRPr="006D4208" w:rsidRDefault="00A105F5" w:rsidP="005D59FA">
            <w:pPr>
              <w:rPr>
                <w:rFonts w:asciiTheme="minorHAnsi" w:hAnsiTheme="minorHAnsi" w:cstheme="minorBidi"/>
                <w:b/>
                <w:sz w:val="20"/>
                <w:szCs w:val="20"/>
              </w:rPr>
            </w:pPr>
            <w:r w:rsidRPr="551513BC">
              <w:rPr>
                <w:rFonts w:asciiTheme="minorHAnsi" w:hAnsiTheme="minorHAnsi" w:cstheme="minorBidi"/>
                <w:b/>
                <w:sz w:val="20"/>
                <w:szCs w:val="20"/>
              </w:rPr>
              <w:t>Adjusted PBT / (LBT)</w:t>
            </w:r>
          </w:p>
        </w:tc>
        <w:tc>
          <w:tcPr>
            <w:tcW w:w="549" w:type="pct"/>
            <w:tcBorders>
              <w:top w:val="single" w:sz="2" w:space="0" w:color="auto"/>
              <w:left w:val="nil"/>
              <w:bottom w:val="single" w:sz="2" w:space="0" w:color="auto"/>
              <w:right w:val="nil"/>
            </w:tcBorders>
            <w:shd w:val="clear" w:color="auto" w:fill="F2F2F2" w:themeFill="background1" w:themeFillShade="F2"/>
            <w:noWrap/>
            <w:hideMark/>
          </w:tcPr>
          <w:p w14:paraId="3D1B0FE9" w14:textId="02015FF5"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A86800" w:rsidRPr="551513BC">
              <w:rPr>
                <w:rFonts w:asciiTheme="minorHAnsi" w:hAnsiTheme="minorHAnsi" w:cstheme="minorBidi"/>
                <w:b/>
                <w:sz w:val="20"/>
                <w:szCs w:val="20"/>
              </w:rPr>
              <w:t>20.2</w:t>
            </w:r>
            <w:r w:rsidRPr="551513BC">
              <w:rPr>
                <w:rFonts w:asciiTheme="minorHAnsi" w:hAnsiTheme="minorHAnsi" w:cstheme="minorBidi"/>
                <w:b/>
                <w:sz w:val="20"/>
                <w:szCs w:val="20"/>
              </w:rPr>
              <w:t xml:space="preserve"> </w:t>
            </w:r>
          </w:p>
        </w:tc>
        <w:tc>
          <w:tcPr>
            <w:tcW w:w="541" w:type="pct"/>
            <w:tcBorders>
              <w:top w:val="single" w:sz="2" w:space="0" w:color="auto"/>
              <w:left w:val="nil"/>
              <w:bottom w:val="single" w:sz="2" w:space="0" w:color="auto"/>
              <w:right w:val="nil"/>
            </w:tcBorders>
            <w:shd w:val="clear" w:color="auto" w:fill="F2F2F2" w:themeFill="background1" w:themeFillShade="F2"/>
            <w:noWrap/>
            <w:hideMark/>
          </w:tcPr>
          <w:p w14:paraId="523E4246" w14:textId="396BDA05"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804DB9" w:rsidRPr="551513BC">
              <w:rPr>
                <w:rFonts w:asciiTheme="minorHAnsi" w:hAnsiTheme="minorHAnsi" w:cstheme="minorBidi"/>
                <w:b/>
                <w:sz w:val="20"/>
                <w:szCs w:val="20"/>
              </w:rPr>
              <w:t>(</w:t>
            </w:r>
            <w:r w:rsidR="00D312A6" w:rsidRPr="551513BC">
              <w:rPr>
                <w:rFonts w:asciiTheme="minorHAnsi" w:hAnsiTheme="minorHAnsi" w:cstheme="minorBidi"/>
                <w:b/>
                <w:sz w:val="20"/>
                <w:szCs w:val="20"/>
              </w:rPr>
              <w:t>3.3</w:t>
            </w:r>
            <w:r w:rsidR="00804DB9" w:rsidRPr="551513BC">
              <w:rPr>
                <w:rFonts w:asciiTheme="minorHAnsi" w:hAnsiTheme="minorHAnsi" w:cstheme="minorBidi"/>
                <w:b/>
                <w:sz w:val="20"/>
                <w:szCs w:val="20"/>
              </w:rPr>
              <w:t>)</w:t>
            </w:r>
            <w:r w:rsidRPr="551513BC">
              <w:rPr>
                <w:rFonts w:asciiTheme="minorHAnsi" w:hAnsiTheme="minorHAnsi" w:cstheme="minorBidi"/>
                <w:b/>
                <w:sz w:val="20"/>
                <w:szCs w:val="20"/>
              </w:rPr>
              <w:t xml:space="preserve"> </w:t>
            </w:r>
          </w:p>
        </w:tc>
        <w:tc>
          <w:tcPr>
            <w:tcW w:w="549" w:type="pct"/>
            <w:tcBorders>
              <w:top w:val="single" w:sz="2" w:space="0" w:color="auto"/>
              <w:left w:val="nil"/>
              <w:bottom w:val="single" w:sz="2" w:space="0" w:color="auto"/>
              <w:right w:val="nil"/>
            </w:tcBorders>
            <w:shd w:val="clear" w:color="auto" w:fill="F2F2F2" w:themeFill="background1" w:themeFillShade="F2"/>
            <w:noWrap/>
            <w:hideMark/>
          </w:tcPr>
          <w:p w14:paraId="39814F19" w14:textId="5DD8E894"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E2782B" w:rsidRPr="551513BC">
              <w:rPr>
                <w:rFonts w:asciiTheme="minorHAnsi" w:hAnsiTheme="minorHAnsi" w:cstheme="minorBidi"/>
                <w:b/>
                <w:sz w:val="20"/>
                <w:szCs w:val="20"/>
              </w:rPr>
              <w:t>3.</w:t>
            </w:r>
            <w:r w:rsidR="008F5BC3" w:rsidRPr="551513BC">
              <w:rPr>
                <w:rFonts w:asciiTheme="minorHAnsi" w:hAnsiTheme="minorHAnsi" w:cstheme="minorBidi"/>
                <w:b/>
                <w:sz w:val="20"/>
                <w:szCs w:val="20"/>
              </w:rPr>
              <w:t>8</w:t>
            </w:r>
            <w:r w:rsidRPr="551513BC">
              <w:rPr>
                <w:rFonts w:asciiTheme="minorHAnsi" w:hAnsiTheme="minorHAnsi" w:cstheme="minorBidi"/>
                <w:b/>
                <w:sz w:val="20"/>
                <w:szCs w:val="20"/>
              </w:rPr>
              <w:t>)</w:t>
            </w:r>
          </w:p>
        </w:tc>
        <w:tc>
          <w:tcPr>
            <w:tcW w:w="549" w:type="pct"/>
            <w:tcBorders>
              <w:top w:val="single" w:sz="2" w:space="0" w:color="auto"/>
              <w:left w:val="nil"/>
              <w:bottom w:val="single" w:sz="2" w:space="0" w:color="auto"/>
              <w:right w:val="nil"/>
            </w:tcBorders>
            <w:shd w:val="clear" w:color="auto" w:fill="F2F2F2" w:themeFill="background1" w:themeFillShade="F2"/>
            <w:noWrap/>
            <w:hideMark/>
          </w:tcPr>
          <w:p w14:paraId="30C4397D" w14:textId="1E899E3A"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2D37CF" w:rsidRPr="551513BC">
              <w:rPr>
                <w:rFonts w:asciiTheme="minorHAnsi" w:hAnsiTheme="minorHAnsi" w:cstheme="minorBidi"/>
                <w:b/>
                <w:sz w:val="20"/>
                <w:szCs w:val="20"/>
              </w:rPr>
              <w:t>3.6</w:t>
            </w:r>
            <w:r w:rsidRPr="551513BC">
              <w:rPr>
                <w:rFonts w:asciiTheme="minorHAnsi" w:hAnsiTheme="minorHAnsi" w:cstheme="minorBidi"/>
                <w:b/>
                <w:sz w:val="20"/>
                <w:szCs w:val="20"/>
              </w:rPr>
              <w:t>)</w:t>
            </w:r>
          </w:p>
        </w:tc>
        <w:tc>
          <w:tcPr>
            <w:tcW w:w="637" w:type="pct"/>
            <w:tcBorders>
              <w:top w:val="single" w:sz="2" w:space="0" w:color="auto"/>
              <w:left w:val="nil"/>
              <w:bottom w:val="single" w:sz="2" w:space="0" w:color="auto"/>
              <w:right w:val="nil"/>
            </w:tcBorders>
            <w:shd w:val="clear" w:color="auto" w:fill="F2F2F2" w:themeFill="background1" w:themeFillShade="F2"/>
            <w:noWrap/>
            <w:hideMark/>
          </w:tcPr>
          <w:p w14:paraId="72DE4E38" w14:textId="5B2D85E6"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197613" w:rsidRPr="551513BC">
              <w:rPr>
                <w:rFonts w:asciiTheme="minorHAnsi" w:hAnsiTheme="minorHAnsi" w:cstheme="minorBidi"/>
                <w:b/>
                <w:sz w:val="20"/>
                <w:szCs w:val="20"/>
              </w:rPr>
              <w:t>36.3</w:t>
            </w:r>
            <w:r w:rsidRPr="551513BC">
              <w:rPr>
                <w:rFonts w:asciiTheme="minorHAnsi" w:hAnsiTheme="minorHAnsi" w:cstheme="minorBidi"/>
                <w:b/>
                <w:sz w:val="20"/>
                <w:szCs w:val="20"/>
              </w:rPr>
              <w:t>)</w:t>
            </w:r>
          </w:p>
        </w:tc>
        <w:tc>
          <w:tcPr>
            <w:tcW w:w="548" w:type="pct"/>
            <w:tcBorders>
              <w:top w:val="single" w:sz="2" w:space="0" w:color="auto"/>
              <w:left w:val="nil"/>
              <w:bottom w:val="single" w:sz="2" w:space="0" w:color="auto"/>
              <w:right w:val="nil"/>
            </w:tcBorders>
            <w:shd w:val="clear" w:color="auto" w:fill="F2F2F2" w:themeFill="background1" w:themeFillShade="F2"/>
            <w:noWrap/>
            <w:hideMark/>
          </w:tcPr>
          <w:p w14:paraId="556BA411" w14:textId="2E25223A" w:rsidR="00A105F5" w:rsidRPr="006D4208" w:rsidRDefault="00A105F5" w:rsidP="005D59FA">
            <w:pPr>
              <w:jc w:val="right"/>
              <w:rPr>
                <w:rFonts w:asciiTheme="minorHAnsi" w:hAnsiTheme="minorHAnsi" w:cstheme="minorBidi"/>
                <w:b/>
                <w:sz w:val="20"/>
                <w:szCs w:val="20"/>
              </w:rPr>
            </w:pPr>
            <w:r w:rsidRPr="551513BC">
              <w:rPr>
                <w:rFonts w:asciiTheme="minorHAnsi" w:hAnsiTheme="minorHAnsi" w:cstheme="minorBidi"/>
                <w:b/>
                <w:sz w:val="20"/>
                <w:szCs w:val="20"/>
              </w:rPr>
              <w:t xml:space="preserve"> </w:t>
            </w:r>
            <w:r w:rsidR="007C55DB" w:rsidRPr="551513BC">
              <w:rPr>
                <w:rFonts w:asciiTheme="minorHAnsi" w:hAnsiTheme="minorHAnsi" w:cstheme="minorBidi"/>
                <w:b/>
                <w:sz w:val="20"/>
                <w:szCs w:val="20"/>
              </w:rPr>
              <w:t>(</w:t>
            </w:r>
            <w:r w:rsidR="00A65662" w:rsidRPr="551513BC">
              <w:rPr>
                <w:rFonts w:asciiTheme="minorHAnsi" w:hAnsiTheme="minorHAnsi" w:cstheme="minorBidi"/>
                <w:b/>
                <w:sz w:val="20"/>
                <w:szCs w:val="20"/>
              </w:rPr>
              <w:t>26.8</w:t>
            </w:r>
            <w:r w:rsidR="007C55DB" w:rsidRPr="551513BC">
              <w:rPr>
                <w:rFonts w:asciiTheme="minorHAnsi" w:hAnsiTheme="minorHAnsi" w:cstheme="minorBidi"/>
                <w:b/>
                <w:sz w:val="20"/>
                <w:szCs w:val="20"/>
              </w:rPr>
              <w:t>)</w:t>
            </w:r>
            <w:r w:rsidRPr="551513BC">
              <w:rPr>
                <w:rFonts w:asciiTheme="minorHAnsi" w:hAnsiTheme="minorHAnsi" w:cstheme="minorBidi"/>
                <w:b/>
                <w:sz w:val="20"/>
                <w:szCs w:val="20"/>
              </w:rPr>
              <w:t xml:space="preserve"> </w:t>
            </w:r>
          </w:p>
        </w:tc>
      </w:tr>
    </w:tbl>
    <w:p w14:paraId="0544671E" w14:textId="77777777" w:rsidR="009A000F" w:rsidRDefault="009A000F" w:rsidP="009A000F">
      <w:pPr>
        <w:jc w:val="both"/>
        <w:rPr>
          <w:rFonts w:asciiTheme="minorHAnsi" w:eastAsiaTheme="minorEastAsia" w:hAnsiTheme="minorHAnsi" w:cstheme="minorBidi"/>
          <w:sz w:val="22"/>
          <w:szCs w:val="22"/>
          <w:lang w:eastAsia="en-US"/>
        </w:rPr>
      </w:pPr>
    </w:p>
    <w:p w14:paraId="40860439" w14:textId="77777777" w:rsidR="00CF66BE" w:rsidRPr="00E61186" w:rsidRDefault="00CF66BE" w:rsidP="009A000F">
      <w:pPr>
        <w:jc w:val="both"/>
        <w:rPr>
          <w:rFonts w:asciiTheme="minorHAnsi" w:eastAsiaTheme="minorEastAsia" w:hAnsiTheme="minorHAnsi" w:cstheme="minorBidi"/>
          <w:sz w:val="22"/>
          <w:szCs w:val="22"/>
          <w:lang w:eastAsia="en-US"/>
        </w:rPr>
      </w:pPr>
    </w:p>
    <w:tbl>
      <w:tblPr>
        <w:tblW w:w="5000" w:type="pct"/>
        <w:tblLook w:val="04A0" w:firstRow="1" w:lastRow="0" w:firstColumn="1" w:lastColumn="0" w:noHBand="0" w:noVBand="1"/>
      </w:tblPr>
      <w:tblGrid>
        <w:gridCol w:w="3163"/>
        <w:gridCol w:w="1067"/>
        <w:gridCol w:w="1052"/>
        <w:gridCol w:w="1068"/>
        <w:gridCol w:w="1068"/>
        <w:gridCol w:w="1239"/>
        <w:gridCol w:w="1066"/>
      </w:tblGrid>
      <w:tr w:rsidR="00717819" w:rsidRPr="005E46B1" w14:paraId="3005DFFA" w14:textId="77777777" w:rsidTr="002D58E3">
        <w:trPr>
          <w:trHeight w:val="20"/>
        </w:trPr>
        <w:tc>
          <w:tcPr>
            <w:tcW w:w="1627" w:type="pct"/>
            <w:tcBorders>
              <w:top w:val="nil"/>
              <w:left w:val="nil"/>
              <w:right w:val="nil"/>
            </w:tcBorders>
            <w:shd w:val="clear" w:color="auto" w:fill="auto"/>
            <w:vAlign w:val="bottom"/>
          </w:tcPr>
          <w:p w14:paraId="71A8DEC6" w14:textId="77777777" w:rsidR="00717819" w:rsidRPr="005E46B1" w:rsidRDefault="00717819" w:rsidP="005D59FA">
            <w:pPr>
              <w:rPr>
                <w:rFonts w:asciiTheme="minorHAnsi" w:hAnsiTheme="minorHAnsi" w:cstheme="minorBidi"/>
                <w:sz w:val="20"/>
                <w:szCs w:val="20"/>
              </w:rPr>
            </w:pPr>
          </w:p>
        </w:tc>
        <w:tc>
          <w:tcPr>
            <w:tcW w:w="549" w:type="pct"/>
            <w:tcBorders>
              <w:top w:val="single" w:sz="4" w:space="0" w:color="D0CECE"/>
              <w:left w:val="nil"/>
              <w:bottom w:val="single" w:sz="8" w:space="0" w:color="D0CECE"/>
              <w:right w:val="nil"/>
            </w:tcBorders>
            <w:shd w:val="clear" w:color="auto" w:fill="auto"/>
            <w:vAlign w:val="center"/>
          </w:tcPr>
          <w:p w14:paraId="767733C8" w14:textId="77777777" w:rsidR="00717819" w:rsidRPr="00A03A22" w:rsidRDefault="00717819" w:rsidP="005D59FA">
            <w:pPr>
              <w:jc w:val="center"/>
              <w:rPr>
                <w:rFonts w:asciiTheme="minorHAnsi" w:hAnsiTheme="minorHAnsi" w:cstheme="minorBidi"/>
                <w:sz w:val="20"/>
                <w:szCs w:val="20"/>
              </w:rPr>
            </w:pPr>
          </w:p>
        </w:tc>
        <w:tc>
          <w:tcPr>
            <w:tcW w:w="2825" w:type="pct"/>
            <w:gridSpan w:val="5"/>
            <w:tcBorders>
              <w:top w:val="single" w:sz="4" w:space="0" w:color="D0CECE"/>
              <w:left w:val="nil"/>
              <w:bottom w:val="single" w:sz="8" w:space="0" w:color="D0CECE"/>
              <w:right w:val="nil"/>
            </w:tcBorders>
            <w:shd w:val="clear" w:color="auto" w:fill="auto"/>
            <w:vAlign w:val="center"/>
          </w:tcPr>
          <w:p w14:paraId="260BDC0F" w14:textId="0E4828DB" w:rsidR="00717819" w:rsidRPr="00A03A22" w:rsidRDefault="00717819" w:rsidP="005D59FA">
            <w:pPr>
              <w:jc w:val="center"/>
              <w:rPr>
                <w:rFonts w:asciiTheme="minorHAnsi" w:hAnsiTheme="minorHAnsi" w:cstheme="minorBidi"/>
                <w:sz w:val="20"/>
                <w:szCs w:val="20"/>
              </w:rPr>
            </w:pPr>
            <w:r w:rsidRPr="5580626D">
              <w:rPr>
                <w:rFonts w:asciiTheme="minorHAnsi" w:hAnsiTheme="minorHAnsi" w:cstheme="minorBidi"/>
                <w:sz w:val="20"/>
                <w:szCs w:val="20"/>
              </w:rPr>
              <w:t>Six months ended 30 June 2023</w:t>
            </w:r>
            <w:r w:rsidR="00C21C16" w:rsidRPr="5580626D">
              <w:rPr>
                <w:rFonts w:asciiTheme="minorHAnsi" w:hAnsiTheme="minorHAnsi" w:cstheme="minorBidi"/>
                <w:sz w:val="20"/>
                <w:szCs w:val="20"/>
              </w:rPr>
              <w:t xml:space="preserve"> (restated)</w:t>
            </w:r>
          </w:p>
        </w:tc>
      </w:tr>
      <w:tr w:rsidR="009A000F" w:rsidRPr="005E46B1" w14:paraId="76C8DB62" w14:textId="77777777" w:rsidTr="5580626D">
        <w:trPr>
          <w:trHeight w:val="20"/>
        </w:trPr>
        <w:tc>
          <w:tcPr>
            <w:tcW w:w="1627" w:type="pct"/>
            <w:vMerge w:val="restart"/>
            <w:tcBorders>
              <w:left w:val="nil"/>
              <w:bottom w:val="single" w:sz="8" w:space="0" w:color="BFBFBF" w:themeColor="background1" w:themeShade="BF"/>
              <w:right w:val="nil"/>
            </w:tcBorders>
            <w:shd w:val="clear" w:color="auto" w:fill="auto"/>
            <w:vAlign w:val="bottom"/>
            <w:hideMark/>
          </w:tcPr>
          <w:p w14:paraId="2C348C4B" w14:textId="77777777" w:rsidR="009A000F" w:rsidRPr="005E46B1" w:rsidRDefault="009A000F" w:rsidP="005D59FA">
            <w:pPr>
              <w:rPr>
                <w:rFonts w:asciiTheme="minorHAnsi" w:hAnsiTheme="minorHAnsi" w:cstheme="minorBidi"/>
                <w:sz w:val="20"/>
                <w:szCs w:val="20"/>
              </w:rPr>
            </w:pPr>
          </w:p>
        </w:tc>
        <w:tc>
          <w:tcPr>
            <w:tcW w:w="549" w:type="pct"/>
            <w:tcBorders>
              <w:top w:val="single" w:sz="4" w:space="0" w:color="D0CECE"/>
              <w:left w:val="nil"/>
              <w:bottom w:val="single" w:sz="8" w:space="0" w:color="D0CECE"/>
              <w:right w:val="nil"/>
            </w:tcBorders>
            <w:shd w:val="clear" w:color="auto" w:fill="auto"/>
            <w:vAlign w:val="center"/>
            <w:hideMark/>
          </w:tcPr>
          <w:p w14:paraId="76F6DB08" w14:textId="77777777" w:rsidR="009A000F" w:rsidRPr="00A03A22" w:rsidRDefault="009A000F" w:rsidP="005D59FA">
            <w:pPr>
              <w:jc w:val="center"/>
              <w:rPr>
                <w:rFonts w:asciiTheme="minorHAnsi" w:hAnsiTheme="minorHAnsi" w:cstheme="minorBidi"/>
                <w:sz w:val="20"/>
                <w:szCs w:val="20"/>
              </w:rPr>
            </w:pPr>
            <w:r w:rsidRPr="5580626D">
              <w:rPr>
                <w:rFonts w:asciiTheme="minorHAnsi" w:hAnsiTheme="minorHAnsi" w:cstheme="minorBidi"/>
                <w:sz w:val="20"/>
                <w:szCs w:val="20"/>
              </w:rPr>
              <w:t>Cards</w:t>
            </w:r>
          </w:p>
        </w:tc>
        <w:tc>
          <w:tcPr>
            <w:tcW w:w="541" w:type="pct"/>
            <w:tcBorders>
              <w:top w:val="single" w:sz="4" w:space="0" w:color="D0CECE"/>
              <w:left w:val="nil"/>
              <w:bottom w:val="single" w:sz="8" w:space="0" w:color="D0CECE"/>
              <w:right w:val="nil"/>
            </w:tcBorders>
            <w:shd w:val="clear" w:color="auto" w:fill="auto"/>
            <w:vAlign w:val="center"/>
            <w:hideMark/>
          </w:tcPr>
          <w:p w14:paraId="773DAE2D" w14:textId="77777777" w:rsidR="009A000F" w:rsidRPr="00A03A22" w:rsidRDefault="009A000F" w:rsidP="005D59FA">
            <w:pPr>
              <w:jc w:val="center"/>
              <w:rPr>
                <w:rFonts w:asciiTheme="minorHAnsi" w:hAnsiTheme="minorHAnsi" w:cstheme="minorBidi"/>
                <w:sz w:val="20"/>
                <w:szCs w:val="20"/>
              </w:rPr>
            </w:pPr>
            <w:r w:rsidRPr="5580626D">
              <w:rPr>
                <w:rFonts w:asciiTheme="minorHAnsi" w:hAnsiTheme="minorHAnsi" w:cstheme="minorBidi"/>
                <w:sz w:val="20"/>
                <w:szCs w:val="20"/>
              </w:rPr>
              <w:t>Vehicle Finance</w:t>
            </w:r>
          </w:p>
        </w:tc>
        <w:tc>
          <w:tcPr>
            <w:tcW w:w="549" w:type="pct"/>
            <w:tcBorders>
              <w:top w:val="single" w:sz="4" w:space="0" w:color="D0CECE"/>
              <w:left w:val="nil"/>
              <w:bottom w:val="single" w:sz="8" w:space="0" w:color="D0CECE"/>
              <w:right w:val="nil"/>
            </w:tcBorders>
            <w:shd w:val="clear" w:color="auto" w:fill="auto"/>
            <w:vAlign w:val="center"/>
            <w:hideMark/>
          </w:tcPr>
          <w:p w14:paraId="144FE053" w14:textId="77777777" w:rsidR="009A000F" w:rsidRPr="00A03A22" w:rsidRDefault="009A000F" w:rsidP="005D59FA">
            <w:pPr>
              <w:jc w:val="center"/>
              <w:rPr>
                <w:rFonts w:asciiTheme="minorHAnsi" w:hAnsiTheme="minorHAnsi" w:cstheme="minorBidi"/>
                <w:sz w:val="20"/>
                <w:szCs w:val="20"/>
              </w:rPr>
            </w:pPr>
            <w:r w:rsidRPr="5580626D">
              <w:rPr>
                <w:rFonts w:asciiTheme="minorHAnsi" w:hAnsiTheme="minorHAnsi" w:cstheme="minorBidi"/>
                <w:sz w:val="20"/>
                <w:szCs w:val="20"/>
              </w:rPr>
              <w:t>Loans</w:t>
            </w:r>
          </w:p>
        </w:tc>
        <w:tc>
          <w:tcPr>
            <w:tcW w:w="549" w:type="pct"/>
            <w:tcBorders>
              <w:top w:val="single" w:sz="4" w:space="0" w:color="D0CECE"/>
              <w:left w:val="nil"/>
              <w:bottom w:val="single" w:sz="8" w:space="0" w:color="D0CECE"/>
              <w:right w:val="nil"/>
            </w:tcBorders>
            <w:shd w:val="clear" w:color="auto" w:fill="auto"/>
            <w:vAlign w:val="center"/>
            <w:hideMark/>
          </w:tcPr>
          <w:p w14:paraId="575D79E3" w14:textId="7AD345C7" w:rsidR="009A000F" w:rsidRPr="00A03A22" w:rsidRDefault="009A000F" w:rsidP="005D59FA">
            <w:pPr>
              <w:jc w:val="center"/>
              <w:rPr>
                <w:rFonts w:asciiTheme="minorHAnsi" w:hAnsiTheme="minorHAnsi" w:cstheme="minorBidi"/>
                <w:sz w:val="20"/>
                <w:szCs w:val="20"/>
              </w:rPr>
            </w:pPr>
            <w:r w:rsidRPr="198B8B94">
              <w:rPr>
                <w:rFonts w:asciiTheme="minorHAnsi" w:hAnsiTheme="minorHAnsi" w:cstheme="minorBidi"/>
                <w:sz w:val="20"/>
                <w:szCs w:val="20"/>
              </w:rPr>
              <w:t>Other</w:t>
            </w:r>
            <w:r w:rsidR="0056591D" w:rsidRPr="002725AC">
              <w:rPr>
                <w:rFonts w:asciiTheme="minorHAnsi" w:hAnsiTheme="minorHAnsi" w:cstheme="minorBidi"/>
                <w:sz w:val="20"/>
                <w:szCs w:val="20"/>
                <w:vertAlign w:val="superscript"/>
              </w:rPr>
              <w:t>1</w:t>
            </w:r>
          </w:p>
        </w:tc>
        <w:tc>
          <w:tcPr>
            <w:tcW w:w="637" w:type="pct"/>
            <w:tcBorders>
              <w:top w:val="single" w:sz="4" w:space="0" w:color="D0CECE"/>
              <w:left w:val="nil"/>
              <w:bottom w:val="single" w:sz="8" w:space="0" w:color="D0CECE"/>
              <w:right w:val="nil"/>
            </w:tcBorders>
            <w:shd w:val="clear" w:color="auto" w:fill="auto"/>
            <w:vAlign w:val="center"/>
            <w:hideMark/>
          </w:tcPr>
          <w:p w14:paraId="3819D9F9" w14:textId="77777777" w:rsidR="009A000F" w:rsidRPr="00A03A22" w:rsidRDefault="009A000F" w:rsidP="005D59FA">
            <w:pPr>
              <w:jc w:val="center"/>
              <w:rPr>
                <w:rFonts w:asciiTheme="minorHAnsi" w:hAnsiTheme="minorHAnsi" w:cstheme="minorBidi"/>
                <w:sz w:val="20"/>
                <w:szCs w:val="20"/>
              </w:rPr>
            </w:pPr>
            <w:r w:rsidRPr="5580626D">
              <w:rPr>
                <w:rFonts w:asciiTheme="minorHAnsi" w:hAnsiTheme="minorHAnsi" w:cstheme="minorBidi"/>
                <w:sz w:val="20"/>
                <w:szCs w:val="20"/>
              </w:rPr>
              <w:t>Corporate Centre</w:t>
            </w:r>
          </w:p>
        </w:tc>
        <w:tc>
          <w:tcPr>
            <w:tcW w:w="548" w:type="pct"/>
            <w:tcBorders>
              <w:top w:val="single" w:sz="4" w:space="0" w:color="D0CECE"/>
              <w:left w:val="nil"/>
              <w:bottom w:val="single" w:sz="8" w:space="0" w:color="D0CECE"/>
              <w:right w:val="nil"/>
            </w:tcBorders>
            <w:shd w:val="clear" w:color="auto" w:fill="auto"/>
            <w:vAlign w:val="center"/>
            <w:hideMark/>
          </w:tcPr>
          <w:p w14:paraId="52CBFD7F" w14:textId="77777777" w:rsidR="009A000F" w:rsidRPr="00A03A22" w:rsidRDefault="009A000F" w:rsidP="005D59FA">
            <w:pPr>
              <w:jc w:val="center"/>
              <w:rPr>
                <w:rFonts w:asciiTheme="minorHAnsi" w:hAnsiTheme="minorHAnsi" w:cstheme="minorBidi"/>
                <w:sz w:val="20"/>
                <w:szCs w:val="20"/>
              </w:rPr>
            </w:pPr>
            <w:r w:rsidRPr="5580626D">
              <w:rPr>
                <w:rFonts w:asciiTheme="minorHAnsi" w:hAnsiTheme="minorHAnsi" w:cstheme="minorBidi"/>
                <w:sz w:val="20"/>
                <w:szCs w:val="20"/>
              </w:rPr>
              <w:t>Total</w:t>
            </w:r>
          </w:p>
        </w:tc>
      </w:tr>
      <w:tr w:rsidR="009A000F" w:rsidRPr="005E46B1" w14:paraId="0F4DB670" w14:textId="77777777" w:rsidTr="5580626D">
        <w:trPr>
          <w:trHeight w:val="20"/>
        </w:trPr>
        <w:tc>
          <w:tcPr>
            <w:tcW w:w="1627" w:type="pct"/>
            <w:vMerge/>
            <w:vAlign w:val="center"/>
            <w:hideMark/>
          </w:tcPr>
          <w:p w14:paraId="12952E2C" w14:textId="77777777" w:rsidR="009A000F" w:rsidRPr="005E46B1" w:rsidRDefault="009A000F" w:rsidP="005D59FA">
            <w:pPr>
              <w:rPr>
                <w:rFonts w:asciiTheme="minorHAnsi" w:hAnsiTheme="minorHAnsi" w:cstheme="minorHAnsi"/>
                <w:sz w:val="22"/>
                <w:szCs w:val="22"/>
              </w:rPr>
            </w:pPr>
          </w:p>
        </w:tc>
        <w:tc>
          <w:tcPr>
            <w:tcW w:w="549" w:type="pct"/>
            <w:tcBorders>
              <w:top w:val="nil"/>
              <w:left w:val="nil"/>
              <w:bottom w:val="single" w:sz="2" w:space="0" w:color="auto"/>
              <w:right w:val="nil"/>
            </w:tcBorders>
            <w:shd w:val="clear" w:color="auto" w:fill="auto"/>
            <w:vAlign w:val="bottom"/>
            <w:hideMark/>
          </w:tcPr>
          <w:p w14:paraId="0019134C" w14:textId="2BF07DB3" w:rsidR="009A000F" w:rsidRPr="00A03A22" w:rsidRDefault="009A000F" w:rsidP="005D59FA">
            <w:pPr>
              <w:jc w:val="right"/>
              <w:rPr>
                <w:rFonts w:asciiTheme="minorHAnsi" w:hAnsiTheme="minorHAnsi" w:cstheme="minorBidi"/>
                <w:sz w:val="20"/>
                <w:szCs w:val="20"/>
              </w:rPr>
            </w:pPr>
            <w:r>
              <w:br/>
            </w:r>
            <w:r w:rsidRPr="5580626D">
              <w:rPr>
                <w:rFonts w:asciiTheme="minorHAnsi" w:hAnsiTheme="minorHAnsi" w:cstheme="minorBidi"/>
                <w:sz w:val="20"/>
                <w:szCs w:val="20"/>
              </w:rPr>
              <w:t>£m</w:t>
            </w:r>
          </w:p>
        </w:tc>
        <w:tc>
          <w:tcPr>
            <w:tcW w:w="541" w:type="pct"/>
            <w:tcBorders>
              <w:top w:val="nil"/>
              <w:left w:val="nil"/>
              <w:bottom w:val="single" w:sz="2" w:space="0" w:color="auto"/>
              <w:right w:val="nil"/>
            </w:tcBorders>
            <w:shd w:val="clear" w:color="auto" w:fill="auto"/>
            <w:vAlign w:val="bottom"/>
            <w:hideMark/>
          </w:tcPr>
          <w:p w14:paraId="5D05FEC2" w14:textId="0292C22D" w:rsidR="009A000F" w:rsidRPr="00A03A22" w:rsidRDefault="009A000F" w:rsidP="005D59FA">
            <w:pPr>
              <w:jc w:val="right"/>
              <w:rPr>
                <w:rFonts w:asciiTheme="minorHAnsi" w:hAnsiTheme="minorHAnsi" w:cstheme="minorBidi"/>
                <w:sz w:val="20"/>
                <w:szCs w:val="20"/>
              </w:rPr>
            </w:pPr>
            <w:r>
              <w:br/>
            </w:r>
            <w:r w:rsidRPr="5580626D">
              <w:rPr>
                <w:rFonts w:asciiTheme="minorHAnsi" w:hAnsiTheme="minorHAnsi" w:cstheme="minorBidi"/>
                <w:sz w:val="20"/>
                <w:szCs w:val="20"/>
              </w:rPr>
              <w:t>£m</w:t>
            </w:r>
          </w:p>
        </w:tc>
        <w:tc>
          <w:tcPr>
            <w:tcW w:w="549" w:type="pct"/>
            <w:tcBorders>
              <w:top w:val="nil"/>
              <w:left w:val="nil"/>
              <w:bottom w:val="single" w:sz="2" w:space="0" w:color="auto"/>
              <w:right w:val="nil"/>
            </w:tcBorders>
            <w:shd w:val="clear" w:color="auto" w:fill="auto"/>
            <w:vAlign w:val="bottom"/>
            <w:hideMark/>
          </w:tcPr>
          <w:p w14:paraId="4A0B4280" w14:textId="059AA873" w:rsidR="009A000F" w:rsidRPr="00A03A22" w:rsidRDefault="009A000F" w:rsidP="005D59FA">
            <w:pPr>
              <w:jc w:val="right"/>
              <w:rPr>
                <w:rFonts w:asciiTheme="minorHAnsi" w:hAnsiTheme="minorHAnsi" w:cstheme="minorBidi"/>
                <w:sz w:val="20"/>
                <w:szCs w:val="20"/>
              </w:rPr>
            </w:pPr>
            <w:r>
              <w:br/>
            </w:r>
            <w:r w:rsidRPr="5580626D">
              <w:rPr>
                <w:rFonts w:asciiTheme="minorHAnsi" w:hAnsiTheme="minorHAnsi" w:cstheme="minorBidi"/>
                <w:sz w:val="20"/>
                <w:szCs w:val="20"/>
              </w:rPr>
              <w:t>£m</w:t>
            </w:r>
          </w:p>
        </w:tc>
        <w:tc>
          <w:tcPr>
            <w:tcW w:w="549" w:type="pct"/>
            <w:tcBorders>
              <w:top w:val="nil"/>
              <w:left w:val="nil"/>
              <w:bottom w:val="single" w:sz="2" w:space="0" w:color="auto"/>
              <w:right w:val="nil"/>
            </w:tcBorders>
            <w:shd w:val="clear" w:color="auto" w:fill="auto"/>
            <w:vAlign w:val="bottom"/>
            <w:hideMark/>
          </w:tcPr>
          <w:p w14:paraId="2D0310CD" w14:textId="1BE394A5" w:rsidR="009A000F" w:rsidRPr="00A03A22" w:rsidRDefault="009A000F" w:rsidP="005D59FA">
            <w:pPr>
              <w:jc w:val="right"/>
              <w:rPr>
                <w:rFonts w:asciiTheme="minorHAnsi" w:hAnsiTheme="minorHAnsi" w:cstheme="minorBidi"/>
                <w:sz w:val="20"/>
                <w:szCs w:val="20"/>
              </w:rPr>
            </w:pPr>
            <w:r>
              <w:br/>
            </w:r>
            <w:r w:rsidRPr="5580626D">
              <w:rPr>
                <w:rFonts w:asciiTheme="minorHAnsi" w:hAnsiTheme="minorHAnsi" w:cstheme="minorBidi"/>
                <w:sz w:val="20"/>
                <w:szCs w:val="20"/>
              </w:rPr>
              <w:t>£m</w:t>
            </w:r>
          </w:p>
        </w:tc>
        <w:tc>
          <w:tcPr>
            <w:tcW w:w="637" w:type="pct"/>
            <w:tcBorders>
              <w:top w:val="nil"/>
              <w:left w:val="nil"/>
              <w:bottom w:val="single" w:sz="2" w:space="0" w:color="auto"/>
              <w:right w:val="nil"/>
            </w:tcBorders>
            <w:shd w:val="clear" w:color="auto" w:fill="auto"/>
            <w:vAlign w:val="bottom"/>
            <w:hideMark/>
          </w:tcPr>
          <w:p w14:paraId="69A85C51" w14:textId="3E9912E5" w:rsidR="009A000F" w:rsidRPr="00A03A22" w:rsidRDefault="009A000F" w:rsidP="005D59FA">
            <w:pPr>
              <w:jc w:val="right"/>
              <w:rPr>
                <w:rFonts w:asciiTheme="minorHAnsi" w:hAnsiTheme="minorHAnsi" w:cstheme="minorBidi"/>
                <w:sz w:val="20"/>
                <w:szCs w:val="20"/>
              </w:rPr>
            </w:pPr>
            <w:r>
              <w:br/>
            </w:r>
            <w:r w:rsidRPr="5580626D">
              <w:rPr>
                <w:rFonts w:asciiTheme="minorHAnsi" w:hAnsiTheme="minorHAnsi" w:cstheme="minorBidi"/>
                <w:sz w:val="20"/>
                <w:szCs w:val="20"/>
              </w:rPr>
              <w:t>£m</w:t>
            </w:r>
          </w:p>
        </w:tc>
        <w:tc>
          <w:tcPr>
            <w:tcW w:w="548" w:type="pct"/>
            <w:tcBorders>
              <w:top w:val="nil"/>
              <w:left w:val="nil"/>
              <w:bottom w:val="single" w:sz="2" w:space="0" w:color="auto"/>
              <w:right w:val="nil"/>
            </w:tcBorders>
            <w:shd w:val="clear" w:color="auto" w:fill="auto"/>
            <w:vAlign w:val="bottom"/>
            <w:hideMark/>
          </w:tcPr>
          <w:p w14:paraId="7AEA7314" w14:textId="07E915BD" w:rsidR="009A000F" w:rsidRPr="00A03A22" w:rsidRDefault="009A000F" w:rsidP="005D59FA">
            <w:pPr>
              <w:jc w:val="right"/>
              <w:rPr>
                <w:rFonts w:asciiTheme="minorHAnsi" w:hAnsiTheme="minorHAnsi" w:cstheme="minorBidi"/>
                <w:sz w:val="20"/>
                <w:szCs w:val="20"/>
              </w:rPr>
            </w:pPr>
            <w:r>
              <w:br/>
            </w:r>
            <w:r w:rsidRPr="5580626D">
              <w:rPr>
                <w:rFonts w:asciiTheme="minorHAnsi" w:hAnsiTheme="minorHAnsi" w:cstheme="minorBidi"/>
                <w:sz w:val="20"/>
                <w:szCs w:val="20"/>
              </w:rPr>
              <w:t>£m</w:t>
            </w:r>
          </w:p>
        </w:tc>
      </w:tr>
      <w:tr w:rsidR="009A000F" w:rsidRPr="005E46B1" w14:paraId="170D9856" w14:textId="77777777" w:rsidTr="5580626D">
        <w:trPr>
          <w:trHeight w:val="397"/>
        </w:trPr>
        <w:tc>
          <w:tcPr>
            <w:tcW w:w="1627" w:type="pct"/>
            <w:tcBorders>
              <w:top w:val="single" w:sz="2" w:space="0" w:color="auto"/>
              <w:left w:val="nil"/>
              <w:bottom w:val="single" w:sz="4" w:space="0" w:color="BFBFBF" w:themeColor="background1" w:themeShade="BF"/>
              <w:right w:val="nil"/>
            </w:tcBorders>
            <w:shd w:val="clear" w:color="auto" w:fill="auto"/>
            <w:vAlign w:val="center"/>
            <w:hideMark/>
          </w:tcPr>
          <w:p w14:paraId="335C9704" w14:textId="77777777" w:rsidR="009A000F" w:rsidRPr="006D4208" w:rsidRDefault="009A000F" w:rsidP="005D59FA">
            <w:pPr>
              <w:rPr>
                <w:rFonts w:asciiTheme="minorHAnsi" w:hAnsiTheme="minorHAnsi" w:cstheme="minorBidi"/>
                <w:sz w:val="20"/>
                <w:szCs w:val="20"/>
              </w:rPr>
            </w:pPr>
            <w:r w:rsidRPr="5580626D">
              <w:rPr>
                <w:rFonts w:asciiTheme="minorHAnsi" w:hAnsiTheme="minorHAnsi" w:cstheme="minorBidi"/>
                <w:sz w:val="20"/>
                <w:szCs w:val="20"/>
              </w:rPr>
              <w:t>Interest income</w:t>
            </w:r>
          </w:p>
        </w:tc>
        <w:tc>
          <w:tcPr>
            <w:tcW w:w="549" w:type="pct"/>
            <w:tcBorders>
              <w:top w:val="single" w:sz="2" w:space="0" w:color="auto"/>
              <w:left w:val="nil"/>
              <w:bottom w:val="single" w:sz="4" w:space="0" w:color="BFBFBF" w:themeColor="background1" w:themeShade="BF"/>
              <w:right w:val="nil"/>
            </w:tcBorders>
            <w:shd w:val="clear" w:color="auto" w:fill="auto"/>
            <w:noWrap/>
            <w:hideMark/>
          </w:tcPr>
          <w:p w14:paraId="021A545E" w14:textId="0693EA4F"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FC596D" w:rsidRPr="5580626D">
              <w:rPr>
                <w:rFonts w:asciiTheme="minorHAnsi" w:hAnsiTheme="minorHAnsi" w:cstheme="minorBidi"/>
                <w:sz w:val="20"/>
                <w:szCs w:val="20"/>
              </w:rPr>
              <w:t>1</w:t>
            </w:r>
            <w:r w:rsidR="00CF51FA" w:rsidRPr="5580626D">
              <w:rPr>
                <w:rFonts w:asciiTheme="minorHAnsi" w:hAnsiTheme="minorHAnsi" w:cstheme="minorBidi"/>
                <w:sz w:val="20"/>
                <w:szCs w:val="20"/>
              </w:rPr>
              <w:t>75.1</w:t>
            </w:r>
            <w:r w:rsidRPr="5580626D">
              <w:rPr>
                <w:rFonts w:asciiTheme="minorHAnsi" w:hAnsiTheme="minorHAnsi" w:cstheme="minorBidi"/>
                <w:sz w:val="20"/>
                <w:szCs w:val="20"/>
              </w:rPr>
              <w:t xml:space="preserve"> </w:t>
            </w:r>
          </w:p>
        </w:tc>
        <w:tc>
          <w:tcPr>
            <w:tcW w:w="541" w:type="pct"/>
            <w:tcBorders>
              <w:top w:val="single" w:sz="2" w:space="0" w:color="auto"/>
              <w:left w:val="nil"/>
              <w:bottom w:val="single" w:sz="4" w:space="0" w:color="BFBFBF" w:themeColor="background1" w:themeShade="BF"/>
              <w:right w:val="nil"/>
            </w:tcBorders>
            <w:shd w:val="clear" w:color="auto" w:fill="auto"/>
            <w:noWrap/>
            <w:hideMark/>
          </w:tcPr>
          <w:p w14:paraId="47233A71" w14:textId="6ABC8C81"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A36011" w:rsidRPr="5580626D">
              <w:rPr>
                <w:rFonts w:asciiTheme="minorHAnsi" w:hAnsiTheme="minorHAnsi" w:cstheme="minorBidi"/>
                <w:sz w:val="20"/>
                <w:szCs w:val="20"/>
              </w:rPr>
              <w:t>72.8</w:t>
            </w:r>
            <w:r w:rsidRPr="5580626D">
              <w:rPr>
                <w:rFonts w:asciiTheme="minorHAnsi" w:hAnsiTheme="minorHAnsi" w:cstheme="minorBidi"/>
                <w:sz w:val="20"/>
                <w:szCs w:val="20"/>
              </w:rPr>
              <w:t xml:space="preserve"> </w:t>
            </w:r>
          </w:p>
        </w:tc>
        <w:tc>
          <w:tcPr>
            <w:tcW w:w="549" w:type="pct"/>
            <w:tcBorders>
              <w:top w:val="single" w:sz="2" w:space="0" w:color="auto"/>
              <w:left w:val="nil"/>
              <w:bottom w:val="single" w:sz="4" w:space="0" w:color="BFBFBF" w:themeColor="background1" w:themeShade="BF"/>
              <w:right w:val="nil"/>
            </w:tcBorders>
            <w:shd w:val="clear" w:color="auto" w:fill="auto"/>
            <w:noWrap/>
            <w:hideMark/>
          </w:tcPr>
          <w:p w14:paraId="2D85E5E8" w14:textId="3D4CD5B9"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4555F8" w:rsidRPr="5580626D">
              <w:rPr>
                <w:rFonts w:asciiTheme="minorHAnsi" w:hAnsiTheme="minorHAnsi" w:cstheme="minorBidi"/>
                <w:sz w:val="20"/>
                <w:szCs w:val="20"/>
              </w:rPr>
              <w:t>12.3</w:t>
            </w:r>
            <w:r w:rsidRPr="5580626D">
              <w:rPr>
                <w:rFonts w:asciiTheme="minorHAnsi" w:hAnsiTheme="minorHAnsi" w:cstheme="minorBidi"/>
                <w:sz w:val="20"/>
                <w:szCs w:val="20"/>
              </w:rPr>
              <w:t xml:space="preserve"> </w:t>
            </w:r>
          </w:p>
        </w:tc>
        <w:tc>
          <w:tcPr>
            <w:tcW w:w="549" w:type="pct"/>
            <w:tcBorders>
              <w:top w:val="single" w:sz="2" w:space="0" w:color="auto"/>
              <w:left w:val="nil"/>
              <w:bottom w:val="single" w:sz="4" w:space="0" w:color="BFBFBF" w:themeColor="background1" w:themeShade="BF"/>
              <w:right w:val="nil"/>
            </w:tcBorders>
            <w:shd w:val="clear" w:color="auto" w:fill="auto"/>
            <w:noWrap/>
            <w:hideMark/>
          </w:tcPr>
          <w:p w14:paraId="04D1D27F" w14:textId="6508012E" w:rsidR="009A000F" w:rsidRPr="00A03A22" w:rsidRDefault="00072D3C" w:rsidP="005D59FA">
            <w:pPr>
              <w:jc w:val="right"/>
              <w:rPr>
                <w:rFonts w:asciiTheme="minorHAnsi" w:hAnsiTheme="minorHAnsi" w:cstheme="minorBidi"/>
                <w:sz w:val="20"/>
                <w:szCs w:val="20"/>
              </w:rPr>
            </w:pPr>
            <w:r w:rsidRPr="5580626D">
              <w:rPr>
                <w:rFonts w:asciiTheme="minorHAnsi" w:hAnsiTheme="minorHAnsi" w:cstheme="minorBidi"/>
                <w:sz w:val="20"/>
                <w:szCs w:val="20"/>
              </w:rPr>
              <w:t>—</w:t>
            </w:r>
            <w:r w:rsidR="009A000F" w:rsidRPr="5580626D">
              <w:rPr>
                <w:rFonts w:asciiTheme="minorHAnsi" w:hAnsiTheme="minorHAnsi" w:cstheme="minorBidi"/>
                <w:sz w:val="20"/>
                <w:szCs w:val="20"/>
              </w:rPr>
              <w:t xml:space="preserve">  </w:t>
            </w:r>
          </w:p>
        </w:tc>
        <w:tc>
          <w:tcPr>
            <w:tcW w:w="637" w:type="pct"/>
            <w:tcBorders>
              <w:top w:val="single" w:sz="2" w:space="0" w:color="auto"/>
              <w:left w:val="nil"/>
              <w:bottom w:val="single" w:sz="4" w:space="0" w:color="BFBFBF" w:themeColor="background1" w:themeShade="BF"/>
              <w:right w:val="nil"/>
            </w:tcBorders>
            <w:shd w:val="clear" w:color="auto" w:fill="auto"/>
            <w:noWrap/>
            <w:hideMark/>
          </w:tcPr>
          <w:p w14:paraId="0085041E" w14:textId="4143AA3A"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6339E6" w:rsidRPr="5580626D">
              <w:rPr>
                <w:rFonts w:asciiTheme="minorHAnsi" w:hAnsiTheme="minorHAnsi" w:cstheme="minorBidi"/>
                <w:sz w:val="20"/>
                <w:szCs w:val="20"/>
              </w:rPr>
              <w:t>4.6</w:t>
            </w:r>
            <w:r w:rsidRPr="5580626D">
              <w:rPr>
                <w:rFonts w:asciiTheme="minorHAnsi" w:hAnsiTheme="minorHAnsi" w:cstheme="minorBidi"/>
                <w:sz w:val="20"/>
                <w:szCs w:val="20"/>
              </w:rPr>
              <w:t xml:space="preserve"> </w:t>
            </w:r>
          </w:p>
        </w:tc>
        <w:tc>
          <w:tcPr>
            <w:tcW w:w="548" w:type="pct"/>
            <w:tcBorders>
              <w:top w:val="single" w:sz="2" w:space="0" w:color="auto"/>
              <w:left w:val="nil"/>
              <w:bottom w:val="single" w:sz="4" w:space="0" w:color="BFBFBF" w:themeColor="background1" w:themeShade="BF"/>
              <w:right w:val="nil"/>
            </w:tcBorders>
            <w:shd w:val="clear" w:color="auto" w:fill="auto"/>
            <w:noWrap/>
            <w:hideMark/>
          </w:tcPr>
          <w:p w14:paraId="09FBAC4C" w14:textId="5243CE8B"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C758AB" w:rsidRPr="5580626D">
              <w:rPr>
                <w:rFonts w:asciiTheme="minorHAnsi" w:hAnsiTheme="minorHAnsi" w:cstheme="minorBidi"/>
                <w:sz w:val="20"/>
                <w:szCs w:val="20"/>
              </w:rPr>
              <w:t>2</w:t>
            </w:r>
            <w:r w:rsidR="00D91B6D" w:rsidRPr="5580626D">
              <w:rPr>
                <w:rFonts w:asciiTheme="minorHAnsi" w:hAnsiTheme="minorHAnsi" w:cstheme="minorBidi"/>
                <w:sz w:val="20"/>
                <w:szCs w:val="20"/>
              </w:rPr>
              <w:t>64.8</w:t>
            </w:r>
            <w:r w:rsidRPr="5580626D">
              <w:rPr>
                <w:rFonts w:asciiTheme="minorHAnsi" w:hAnsiTheme="minorHAnsi" w:cstheme="minorBidi"/>
                <w:sz w:val="20"/>
                <w:szCs w:val="20"/>
              </w:rPr>
              <w:t xml:space="preserve"> </w:t>
            </w:r>
          </w:p>
        </w:tc>
      </w:tr>
      <w:tr w:rsidR="009A000F" w:rsidRPr="005E46B1" w14:paraId="7481A90D" w14:textId="77777777" w:rsidTr="5580626D">
        <w:trPr>
          <w:trHeight w:val="397"/>
        </w:trPr>
        <w:tc>
          <w:tcPr>
            <w:tcW w:w="1627" w:type="pct"/>
            <w:tcBorders>
              <w:top w:val="single" w:sz="4" w:space="0" w:color="BFBFBF" w:themeColor="background1" w:themeShade="BF"/>
              <w:left w:val="nil"/>
              <w:bottom w:val="single" w:sz="2" w:space="0" w:color="auto"/>
              <w:right w:val="nil"/>
            </w:tcBorders>
            <w:shd w:val="clear" w:color="auto" w:fill="auto"/>
            <w:vAlign w:val="center"/>
            <w:hideMark/>
          </w:tcPr>
          <w:p w14:paraId="7F99C71C" w14:textId="77777777" w:rsidR="009A000F" w:rsidRPr="006D4208" w:rsidRDefault="009A000F" w:rsidP="005D59FA">
            <w:pPr>
              <w:rPr>
                <w:rFonts w:asciiTheme="minorHAnsi" w:hAnsiTheme="minorHAnsi" w:cstheme="minorBidi"/>
                <w:sz w:val="20"/>
                <w:szCs w:val="20"/>
              </w:rPr>
            </w:pPr>
            <w:r w:rsidRPr="5580626D">
              <w:rPr>
                <w:rFonts w:asciiTheme="minorHAnsi" w:hAnsiTheme="minorHAnsi" w:cstheme="minorBidi"/>
                <w:sz w:val="20"/>
                <w:szCs w:val="20"/>
              </w:rPr>
              <w:t>Interest expense</w:t>
            </w:r>
          </w:p>
        </w:tc>
        <w:tc>
          <w:tcPr>
            <w:tcW w:w="549" w:type="pct"/>
            <w:tcBorders>
              <w:top w:val="single" w:sz="4" w:space="0" w:color="BFBFBF" w:themeColor="background1" w:themeShade="BF"/>
              <w:left w:val="nil"/>
              <w:bottom w:val="single" w:sz="2" w:space="0" w:color="auto"/>
              <w:right w:val="nil"/>
            </w:tcBorders>
            <w:shd w:val="clear" w:color="auto" w:fill="auto"/>
            <w:noWrap/>
            <w:hideMark/>
          </w:tcPr>
          <w:p w14:paraId="497877A4" w14:textId="0A5E9788"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FC596D" w:rsidRPr="5580626D">
              <w:rPr>
                <w:rFonts w:asciiTheme="minorHAnsi" w:hAnsiTheme="minorHAnsi" w:cstheme="minorBidi"/>
                <w:sz w:val="20"/>
                <w:szCs w:val="20"/>
              </w:rPr>
              <w:t>20.</w:t>
            </w:r>
            <w:r w:rsidR="00CF51FA" w:rsidRPr="5580626D">
              <w:rPr>
                <w:rFonts w:asciiTheme="minorHAnsi" w:hAnsiTheme="minorHAnsi" w:cstheme="minorBidi"/>
                <w:sz w:val="20"/>
                <w:szCs w:val="20"/>
              </w:rPr>
              <w:t>7</w:t>
            </w:r>
            <w:r w:rsidRPr="5580626D">
              <w:rPr>
                <w:rFonts w:asciiTheme="minorHAnsi" w:hAnsiTheme="minorHAnsi" w:cstheme="minorBidi"/>
                <w:sz w:val="20"/>
                <w:szCs w:val="20"/>
              </w:rPr>
              <w:t>)</w:t>
            </w:r>
          </w:p>
        </w:tc>
        <w:tc>
          <w:tcPr>
            <w:tcW w:w="541" w:type="pct"/>
            <w:tcBorders>
              <w:top w:val="single" w:sz="4" w:space="0" w:color="BFBFBF" w:themeColor="background1" w:themeShade="BF"/>
              <w:left w:val="nil"/>
              <w:bottom w:val="single" w:sz="2" w:space="0" w:color="auto"/>
              <w:right w:val="nil"/>
            </w:tcBorders>
            <w:shd w:val="clear" w:color="auto" w:fill="auto"/>
            <w:noWrap/>
            <w:hideMark/>
          </w:tcPr>
          <w:p w14:paraId="2D92B78E" w14:textId="30DFDDC6"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1A687C" w:rsidRPr="5580626D">
              <w:rPr>
                <w:rFonts w:asciiTheme="minorHAnsi" w:hAnsiTheme="minorHAnsi" w:cstheme="minorBidi"/>
                <w:sz w:val="20"/>
                <w:szCs w:val="20"/>
              </w:rPr>
              <w:t>12.3</w:t>
            </w:r>
            <w:r w:rsidRPr="5580626D">
              <w:rPr>
                <w:rFonts w:asciiTheme="minorHAnsi" w:hAnsiTheme="minorHAnsi" w:cstheme="minorBidi"/>
                <w:sz w:val="20"/>
                <w:szCs w:val="20"/>
              </w:rPr>
              <w:t>)</w:t>
            </w:r>
          </w:p>
        </w:tc>
        <w:tc>
          <w:tcPr>
            <w:tcW w:w="549" w:type="pct"/>
            <w:tcBorders>
              <w:top w:val="single" w:sz="4" w:space="0" w:color="BFBFBF" w:themeColor="background1" w:themeShade="BF"/>
              <w:left w:val="nil"/>
              <w:bottom w:val="single" w:sz="2" w:space="0" w:color="auto"/>
              <w:right w:val="nil"/>
            </w:tcBorders>
            <w:shd w:val="clear" w:color="auto" w:fill="auto"/>
            <w:noWrap/>
            <w:hideMark/>
          </w:tcPr>
          <w:p w14:paraId="7098886B" w14:textId="3DC48B26"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4555F8" w:rsidRPr="5580626D">
              <w:rPr>
                <w:rFonts w:asciiTheme="minorHAnsi" w:hAnsiTheme="minorHAnsi" w:cstheme="minorBidi"/>
                <w:sz w:val="20"/>
                <w:szCs w:val="20"/>
              </w:rPr>
              <w:t>1.9</w:t>
            </w:r>
            <w:r w:rsidRPr="5580626D">
              <w:rPr>
                <w:rFonts w:asciiTheme="minorHAnsi" w:hAnsiTheme="minorHAnsi" w:cstheme="minorBidi"/>
                <w:sz w:val="20"/>
                <w:szCs w:val="20"/>
              </w:rPr>
              <w:t>)</w:t>
            </w:r>
          </w:p>
        </w:tc>
        <w:tc>
          <w:tcPr>
            <w:tcW w:w="549" w:type="pct"/>
            <w:tcBorders>
              <w:top w:val="single" w:sz="4" w:space="0" w:color="BFBFBF" w:themeColor="background1" w:themeShade="BF"/>
              <w:left w:val="nil"/>
              <w:bottom w:val="single" w:sz="2" w:space="0" w:color="auto"/>
              <w:right w:val="nil"/>
            </w:tcBorders>
            <w:shd w:val="clear" w:color="auto" w:fill="auto"/>
            <w:noWrap/>
            <w:hideMark/>
          </w:tcPr>
          <w:p w14:paraId="26B655CD" w14:textId="59D6958E"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072D3C" w:rsidRPr="5580626D">
              <w:rPr>
                <w:rFonts w:asciiTheme="minorHAnsi" w:hAnsiTheme="minorHAnsi" w:cstheme="minorBidi"/>
                <w:sz w:val="20"/>
                <w:szCs w:val="20"/>
              </w:rPr>
              <w:t>—</w:t>
            </w:r>
          </w:p>
        </w:tc>
        <w:tc>
          <w:tcPr>
            <w:tcW w:w="637" w:type="pct"/>
            <w:tcBorders>
              <w:top w:val="single" w:sz="4" w:space="0" w:color="BFBFBF" w:themeColor="background1" w:themeShade="BF"/>
              <w:left w:val="nil"/>
              <w:bottom w:val="single" w:sz="2" w:space="0" w:color="auto"/>
              <w:right w:val="nil"/>
            </w:tcBorders>
            <w:shd w:val="clear" w:color="auto" w:fill="auto"/>
            <w:noWrap/>
            <w:hideMark/>
          </w:tcPr>
          <w:p w14:paraId="3C0666B9" w14:textId="14C32E2A"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BC1E77" w:rsidRPr="5580626D">
              <w:rPr>
                <w:rFonts w:asciiTheme="minorHAnsi" w:hAnsiTheme="minorHAnsi" w:cstheme="minorBidi"/>
                <w:sz w:val="20"/>
                <w:szCs w:val="20"/>
              </w:rPr>
              <w:t>1</w:t>
            </w:r>
            <w:r w:rsidR="006339E6" w:rsidRPr="5580626D">
              <w:rPr>
                <w:rFonts w:asciiTheme="minorHAnsi" w:hAnsiTheme="minorHAnsi" w:cstheme="minorBidi"/>
                <w:sz w:val="20"/>
                <w:szCs w:val="20"/>
              </w:rPr>
              <w:t>5.4</w:t>
            </w:r>
            <w:r w:rsidRPr="5580626D">
              <w:rPr>
                <w:rFonts w:asciiTheme="minorHAnsi" w:hAnsiTheme="minorHAnsi" w:cstheme="minorBidi"/>
                <w:sz w:val="20"/>
                <w:szCs w:val="20"/>
              </w:rPr>
              <w:t>)</w:t>
            </w:r>
          </w:p>
        </w:tc>
        <w:tc>
          <w:tcPr>
            <w:tcW w:w="548" w:type="pct"/>
            <w:tcBorders>
              <w:top w:val="single" w:sz="4" w:space="0" w:color="BFBFBF" w:themeColor="background1" w:themeShade="BF"/>
              <w:left w:val="nil"/>
              <w:bottom w:val="single" w:sz="2" w:space="0" w:color="auto"/>
              <w:right w:val="nil"/>
            </w:tcBorders>
            <w:shd w:val="clear" w:color="auto" w:fill="auto"/>
            <w:noWrap/>
            <w:hideMark/>
          </w:tcPr>
          <w:p w14:paraId="5C9FAB76" w14:textId="041ECCEF"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D91B6D" w:rsidRPr="5580626D">
              <w:rPr>
                <w:rFonts w:asciiTheme="minorHAnsi" w:hAnsiTheme="minorHAnsi" w:cstheme="minorBidi"/>
                <w:sz w:val="20"/>
                <w:szCs w:val="20"/>
              </w:rPr>
              <w:t>50.3</w:t>
            </w:r>
            <w:r w:rsidRPr="5580626D">
              <w:rPr>
                <w:rFonts w:asciiTheme="minorHAnsi" w:hAnsiTheme="minorHAnsi" w:cstheme="minorBidi"/>
                <w:sz w:val="20"/>
                <w:szCs w:val="20"/>
              </w:rPr>
              <w:t>)</w:t>
            </w:r>
          </w:p>
        </w:tc>
      </w:tr>
      <w:tr w:rsidR="009A000F" w:rsidRPr="005E46B1" w14:paraId="15CFAC3B" w14:textId="77777777" w:rsidTr="002D58E3">
        <w:trPr>
          <w:trHeight w:val="397"/>
        </w:trPr>
        <w:tc>
          <w:tcPr>
            <w:tcW w:w="1627" w:type="pct"/>
            <w:tcBorders>
              <w:top w:val="single" w:sz="2" w:space="0" w:color="auto"/>
              <w:left w:val="nil"/>
              <w:bottom w:val="single" w:sz="2" w:space="0" w:color="auto"/>
              <w:right w:val="nil"/>
            </w:tcBorders>
            <w:shd w:val="clear" w:color="auto" w:fill="auto"/>
            <w:vAlign w:val="center"/>
            <w:hideMark/>
          </w:tcPr>
          <w:p w14:paraId="2D3F5A19" w14:textId="77777777" w:rsidR="009A000F" w:rsidRPr="006D4208" w:rsidRDefault="009A000F" w:rsidP="005D59FA">
            <w:pPr>
              <w:rPr>
                <w:rFonts w:asciiTheme="minorHAnsi" w:hAnsiTheme="minorHAnsi" w:cstheme="minorBidi"/>
                <w:b/>
                <w:sz w:val="20"/>
                <w:szCs w:val="20"/>
              </w:rPr>
            </w:pPr>
            <w:r w:rsidRPr="5580626D">
              <w:rPr>
                <w:rFonts w:asciiTheme="minorHAnsi" w:hAnsiTheme="minorHAnsi" w:cstheme="minorBidi"/>
                <w:b/>
                <w:sz w:val="20"/>
                <w:szCs w:val="20"/>
              </w:rPr>
              <w:t>Net interest income</w:t>
            </w:r>
          </w:p>
        </w:tc>
        <w:tc>
          <w:tcPr>
            <w:tcW w:w="549" w:type="pct"/>
            <w:tcBorders>
              <w:top w:val="single" w:sz="2" w:space="0" w:color="auto"/>
              <w:left w:val="nil"/>
              <w:bottom w:val="single" w:sz="2" w:space="0" w:color="auto"/>
              <w:right w:val="nil"/>
            </w:tcBorders>
            <w:shd w:val="clear" w:color="auto" w:fill="auto"/>
            <w:noWrap/>
            <w:hideMark/>
          </w:tcPr>
          <w:p w14:paraId="72704D04" w14:textId="6F421555"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6C1F4E" w:rsidRPr="5580626D">
              <w:rPr>
                <w:rFonts w:asciiTheme="minorHAnsi" w:hAnsiTheme="minorHAnsi" w:cstheme="minorBidi"/>
                <w:sz w:val="20"/>
                <w:szCs w:val="20"/>
              </w:rPr>
              <w:t>1</w:t>
            </w:r>
            <w:r w:rsidR="00CF51FA" w:rsidRPr="5580626D">
              <w:rPr>
                <w:rFonts w:asciiTheme="minorHAnsi" w:hAnsiTheme="minorHAnsi" w:cstheme="minorBidi"/>
                <w:sz w:val="20"/>
                <w:szCs w:val="20"/>
              </w:rPr>
              <w:t>54.4</w:t>
            </w:r>
            <w:r w:rsidRPr="5580626D">
              <w:rPr>
                <w:rFonts w:asciiTheme="minorHAnsi" w:hAnsiTheme="minorHAnsi" w:cstheme="minorBidi"/>
                <w:sz w:val="20"/>
                <w:szCs w:val="20"/>
              </w:rPr>
              <w:t xml:space="preserve"> </w:t>
            </w:r>
          </w:p>
        </w:tc>
        <w:tc>
          <w:tcPr>
            <w:tcW w:w="541" w:type="pct"/>
            <w:tcBorders>
              <w:top w:val="single" w:sz="2" w:space="0" w:color="auto"/>
              <w:left w:val="nil"/>
              <w:bottom w:val="single" w:sz="2" w:space="0" w:color="auto"/>
              <w:right w:val="nil"/>
            </w:tcBorders>
            <w:shd w:val="clear" w:color="auto" w:fill="auto"/>
            <w:noWrap/>
            <w:hideMark/>
          </w:tcPr>
          <w:p w14:paraId="59478DC9" w14:textId="4729620F"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77467A" w:rsidRPr="5580626D">
              <w:rPr>
                <w:rFonts w:asciiTheme="minorHAnsi" w:hAnsiTheme="minorHAnsi" w:cstheme="minorBidi"/>
                <w:sz w:val="20"/>
                <w:szCs w:val="20"/>
              </w:rPr>
              <w:t>60.5</w:t>
            </w:r>
            <w:r w:rsidRPr="5580626D">
              <w:rPr>
                <w:rFonts w:asciiTheme="minorHAnsi" w:hAnsiTheme="minorHAnsi" w:cstheme="minorBidi"/>
                <w:sz w:val="20"/>
                <w:szCs w:val="20"/>
              </w:rPr>
              <w:t xml:space="preserve"> </w:t>
            </w:r>
          </w:p>
        </w:tc>
        <w:tc>
          <w:tcPr>
            <w:tcW w:w="549" w:type="pct"/>
            <w:tcBorders>
              <w:top w:val="single" w:sz="2" w:space="0" w:color="auto"/>
              <w:left w:val="nil"/>
              <w:bottom w:val="single" w:sz="2" w:space="0" w:color="auto"/>
              <w:right w:val="nil"/>
            </w:tcBorders>
            <w:shd w:val="clear" w:color="auto" w:fill="auto"/>
            <w:noWrap/>
            <w:hideMark/>
          </w:tcPr>
          <w:p w14:paraId="29173143" w14:textId="0F6F3326"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4555F8" w:rsidRPr="5580626D">
              <w:rPr>
                <w:rFonts w:asciiTheme="minorHAnsi" w:hAnsiTheme="minorHAnsi" w:cstheme="minorBidi"/>
                <w:sz w:val="20"/>
                <w:szCs w:val="20"/>
              </w:rPr>
              <w:t>10.4</w:t>
            </w:r>
            <w:r w:rsidRPr="5580626D">
              <w:rPr>
                <w:rFonts w:asciiTheme="minorHAnsi" w:hAnsiTheme="minorHAnsi" w:cstheme="minorBidi"/>
                <w:sz w:val="20"/>
                <w:szCs w:val="20"/>
              </w:rPr>
              <w:t xml:space="preserve"> </w:t>
            </w:r>
          </w:p>
        </w:tc>
        <w:tc>
          <w:tcPr>
            <w:tcW w:w="549" w:type="pct"/>
            <w:tcBorders>
              <w:top w:val="single" w:sz="2" w:space="0" w:color="auto"/>
              <w:left w:val="nil"/>
              <w:bottom w:val="single" w:sz="2" w:space="0" w:color="auto"/>
              <w:right w:val="nil"/>
            </w:tcBorders>
            <w:shd w:val="clear" w:color="auto" w:fill="auto"/>
            <w:noWrap/>
            <w:hideMark/>
          </w:tcPr>
          <w:p w14:paraId="79C997A0" w14:textId="2A212789"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072D3C" w:rsidRPr="5580626D">
              <w:rPr>
                <w:rFonts w:asciiTheme="minorHAnsi" w:hAnsiTheme="minorHAnsi" w:cstheme="minorBidi"/>
                <w:sz w:val="20"/>
                <w:szCs w:val="20"/>
              </w:rPr>
              <w:t>—</w:t>
            </w:r>
          </w:p>
        </w:tc>
        <w:tc>
          <w:tcPr>
            <w:tcW w:w="637" w:type="pct"/>
            <w:tcBorders>
              <w:top w:val="single" w:sz="2" w:space="0" w:color="auto"/>
              <w:left w:val="nil"/>
              <w:bottom w:val="single" w:sz="2" w:space="0" w:color="auto"/>
              <w:right w:val="nil"/>
            </w:tcBorders>
            <w:shd w:val="clear" w:color="auto" w:fill="auto"/>
            <w:noWrap/>
            <w:hideMark/>
          </w:tcPr>
          <w:p w14:paraId="45CACF7C" w14:textId="0D88AFA0"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BC1E77" w:rsidRPr="5580626D">
              <w:rPr>
                <w:rFonts w:asciiTheme="minorHAnsi" w:hAnsiTheme="minorHAnsi" w:cstheme="minorBidi"/>
                <w:sz w:val="20"/>
                <w:szCs w:val="20"/>
              </w:rPr>
              <w:t>1</w:t>
            </w:r>
            <w:r w:rsidR="006339E6" w:rsidRPr="5580626D">
              <w:rPr>
                <w:rFonts w:asciiTheme="minorHAnsi" w:hAnsiTheme="minorHAnsi" w:cstheme="minorBidi"/>
                <w:sz w:val="20"/>
                <w:szCs w:val="20"/>
              </w:rPr>
              <w:t>0.8</w:t>
            </w:r>
            <w:r w:rsidRPr="5580626D">
              <w:rPr>
                <w:rFonts w:asciiTheme="minorHAnsi" w:hAnsiTheme="minorHAnsi" w:cstheme="minorBidi"/>
                <w:sz w:val="20"/>
                <w:szCs w:val="20"/>
              </w:rPr>
              <w:t>)</w:t>
            </w:r>
          </w:p>
        </w:tc>
        <w:tc>
          <w:tcPr>
            <w:tcW w:w="548" w:type="pct"/>
            <w:tcBorders>
              <w:top w:val="single" w:sz="2" w:space="0" w:color="auto"/>
              <w:left w:val="nil"/>
              <w:bottom w:val="single" w:sz="2" w:space="0" w:color="auto"/>
              <w:right w:val="nil"/>
            </w:tcBorders>
            <w:shd w:val="clear" w:color="auto" w:fill="auto"/>
            <w:noWrap/>
            <w:hideMark/>
          </w:tcPr>
          <w:p w14:paraId="1086935A" w14:textId="2E007D7C"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C758AB" w:rsidRPr="5580626D">
              <w:rPr>
                <w:rFonts w:asciiTheme="minorHAnsi" w:hAnsiTheme="minorHAnsi" w:cstheme="minorBidi"/>
                <w:sz w:val="20"/>
                <w:szCs w:val="20"/>
              </w:rPr>
              <w:t>2</w:t>
            </w:r>
            <w:r w:rsidR="00D91B6D" w:rsidRPr="5580626D">
              <w:rPr>
                <w:rFonts w:asciiTheme="minorHAnsi" w:hAnsiTheme="minorHAnsi" w:cstheme="minorBidi"/>
                <w:sz w:val="20"/>
                <w:szCs w:val="20"/>
              </w:rPr>
              <w:t>14.5</w:t>
            </w:r>
            <w:r w:rsidRPr="5580626D">
              <w:rPr>
                <w:rFonts w:asciiTheme="minorHAnsi" w:hAnsiTheme="minorHAnsi" w:cstheme="minorBidi"/>
                <w:sz w:val="20"/>
                <w:szCs w:val="20"/>
              </w:rPr>
              <w:t xml:space="preserve"> </w:t>
            </w:r>
          </w:p>
        </w:tc>
      </w:tr>
      <w:tr w:rsidR="009A000F" w:rsidRPr="005E46B1" w14:paraId="6D6A3449" w14:textId="77777777" w:rsidTr="5580626D">
        <w:trPr>
          <w:trHeight w:val="397"/>
        </w:trPr>
        <w:tc>
          <w:tcPr>
            <w:tcW w:w="1627" w:type="pct"/>
            <w:tcBorders>
              <w:top w:val="single" w:sz="2" w:space="0" w:color="auto"/>
              <w:left w:val="nil"/>
              <w:bottom w:val="single" w:sz="4" w:space="0" w:color="BFBFBF" w:themeColor="background1" w:themeShade="BF"/>
              <w:right w:val="nil"/>
            </w:tcBorders>
            <w:shd w:val="clear" w:color="auto" w:fill="auto"/>
            <w:vAlign w:val="center"/>
            <w:hideMark/>
          </w:tcPr>
          <w:p w14:paraId="5B0F0050" w14:textId="77777777" w:rsidR="009A000F" w:rsidRPr="006D4208" w:rsidRDefault="009A000F" w:rsidP="005D59FA">
            <w:pPr>
              <w:rPr>
                <w:rFonts w:asciiTheme="minorHAnsi" w:hAnsiTheme="minorHAnsi" w:cstheme="minorBidi"/>
                <w:sz w:val="20"/>
                <w:szCs w:val="20"/>
              </w:rPr>
            </w:pPr>
            <w:r w:rsidRPr="5580626D">
              <w:rPr>
                <w:rFonts w:asciiTheme="minorHAnsi" w:hAnsiTheme="minorHAnsi" w:cstheme="minorBidi"/>
                <w:sz w:val="20"/>
                <w:szCs w:val="20"/>
              </w:rPr>
              <w:t>Fee and commission income</w:t>
            </w:r>
          </w:p>
        </w:tc>
        <w:tc>
          <w:tcPr>
            <w:tcW w:w="549" w:type="pct"/>
            <w:tcBorders>
              <w:top w:val="single" w:sz="2" w:space="0" w:color="auto"/>
              <w:left w:val="nil"/>
              <w:bottom w:val="single" w:sz="4" w:space="0" w:color="BFBFBF" w:themeColor="background1" w:themeShade="BF"/>
              <w:right w:val="nil"/>
            </w:tcBorders>
            <w:shd w:val="clear" w:color="auto" w:fill="auto"/>
            <w:noWrap/>
            <w:hideMark/>
          </w:tcPr>
          <w:p w14:paraId="698BF5B2" w14:textId="29059E48"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6C1F4E" w:rsidRPr="5580626D">
              <w:rPr>
                <w:rFonts w:asciiTheme="minorHAnsi" w:hAnsiTheme="minorHAnsi" w:cstheme="minorBidi"/>
                <w:sz w:val="20"/>
                <w:szCs w:val="20"/>
              </w:rPr>
              <w:t>21.5</w:t>
            </w:r>
            <w:r w:rsidRPr="5580626D">
              <w:rPr>
                <w:rFonts w:asciiTheme="minorHAnsi" w:hAnsiTheme="minorHAnsi" w:cstheme="minorBidi"/>
                <w:sz w:val="20"/>
                <w:szCs w:val="20"/>
              </w:rPr>
              <w:t xml:space="preserve"> </w:t>
            </w:r>
          </w:p>
        </w:tc>
        <w:tc>
          <w:tcPr>
            <w:tcW w:w="541" w:type="pct"/>
            <w:tcBorders>
              <w:top w:val="single" w:sz="2" w:space="0" w:color="auto"/>
              <w:left w:val="nil"/>
              <w:bottom w:val="single" w:sz="4" w:space="0" w:color="BFBFBF" w:themeColor="background1" w:themeShade="BF"/>
              <w:right w:val="nil"/>
            </w:tcBorders>
            <w:shd w:val="clear" w:color="auto" w:fill="auto"/>
            <w:noWrap/>
            <w:hideMark/>
          </w:tcPr>
          <w:p w14:paraId="395D9870" w14:textId="77777777"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w:t>
            </w:r>
          </w:p>
        </w:tc>
        <w:tc>
          <w:tcPr>
            <w:tcW w:w="549" w:type="pct"/>
            <w:tcBorders>
              <w:top w:val="single" w:sz="2" w:space="0" w:color="auto"/>
              <w:left w:val="nil"/>
              <w:bottom w:val="single" w:sz="4" w:space="0" w:color="BFBFBF" w:themeColor="background1" w:themeShade="BF"/>
              <w:right w:val="nil"/>
            </w:tcBorders>
            <w:shd w:val="clear" w:color="auto" w:fill="auto"/>
            <w:noWrap/>
            <w:hideMark/>
          </w:tcPr>
          <w:p w14:paraId="56ADD44E" w14:textId="77777777"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w:t>
            </w:r>
          </w:p>
        </w:tc>
        <w:tc>
          <w:tcPr>
            <w:tcW w:w="549" w:type="pct"/>
            <w:tcBorders>
              <w:top w:val="single" w:sz="2" w:space="0" w:color="auto"/>
              <w:left w:val="nil"/>
              <w:bottom w:val="single" w:sz="4" w:space="0" w:color="BFBFBF" w:themeColor="background1" w:themeShade="BF"/>
              <w:right w:val="nil"/>
            </w:tcBorders>
            <w:shd w:val="clear" w:color="auto" w:fill="auto"/>
            <w:noWrap/>
            <w:hideMark/>
          </w:tcPr>
          <w:p w14:paraId="65B6A972" w14:textId="77777777"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w:t>
            </w:r>
          </w:p>
        </w:tc>
        <w:tc>
          <w:tcPr>
            <w:tcW w:w="637" w:type="pct"/>
            <w:tcBorders>
              <w:top w:val="single" w:sz="2" w:space="0" w:color="auto"/>
              <w:left w:val="nil"/>
              <w:bottom w:val="single" w:sz="4" w:space="0" w:color="BFBFBF" w:themeColor="background1" w:themeShade="BF"/>
              <w:right w:val="nil"/>
            </w:tcBorders>
            <w:shd w:val="clear" w:color="auto" w:fill="auto"/>
            <w:noWrap/>
            <w:hideMark/>
          </w:tcPr>
          <w:p w14:paraId="2B8F76F2" w14:textId="77777777"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w:t>
            </w:r>
          </w:p>
        </w:tc>
        <w:tc>
          <w:tcPr>
            <w:tcW w:w="548" w:type="pct"/>
            <w:tcBorders>
              <w:top w:val="single" w:sz="2" w:space="0" w:color="auto"/>
              <w:left w:val="nil"/>
              <w:bottom w:val="single" w:sz="4" w:space="0" w:color="BFBFBF" w:themeColor="background1" w:themeShade="BF"/>
              <w:right w:val="nil"/>
            </w:tcBorders>
            <w:shd w:val="clear" w:color="auto" w:fill="auto"/>
            <w:noWrap/>
            <w:hideMark/>
          </w:tcPr>
          <w:p w14:paraId="39D2F768" w14:textId="0D0AC220"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C758AB" w:rsidRPr="5580626D">
              <w:rPr>
                <w:rFonts w:asciiTheme="minorHAnsi" w:hAnsiTheme="minorHAnsi" w:cstheme="minorBidi"/>
                <w:sz w:val="20"/>
                <w:szCs w:val="20"/>
              </w:rPr>
              <w:t>21.5</w:t>
            </w:r>
            <w:r w:rsidRPr="5580626D">
              <w:rPr>
                <w:rFonts w:asciiTheme="minorHAnsi" w:hAnsiTheme="minorHAnsi" w:cstheme="minorBidi"/>
                <w:sz w:val="20"/>
                <w:szCs w:val="20"/>
              </w:rPr>
              <w:t xml:space="preserve"> </w:t>
            </w:r>
          </w:p>
        </w:tc>
      </w:tr>
      <w:tr w:rsidR="009A000F" w:rsidRPr="005E46B1" w14:paraId="25F4265F" w14:textId="77777777" w:rsidTr="002D58E3">
        <w:trPr>
          <w:trHeight w:val="397"/>
        </w:trPr>
        <w:tc>
          <w:tcPr>
            <w:tcW w:w="1627" w:type="pct"/>
            <w:tcBorders>
              <w:top w:val="nil"/>
              <w:left w:val="nil"/>
              <w:bottom w:val="single" w:sz="4" w:space="0" w:color="auto"/>
              <w:right w:val="nil"/>
            </w:tcBorders>
            <w:shd w:val="clear" w:color="auto" w:fill="auto"/>
            <w:vAlign w:val="center"/>
            <w:hideMark/>
          </w:tcPr>
          <w:p w14:paraId="1E64B6C1" w14:textId="77777777" w:rsidR="009A000F" w:rsidRPr="006D4208" w:rsidRDefault="009A000F" w:rsidP="005D59FA">
            <w:pPr>
              <w:rPr>
                <w:rFonts w:asciiTheme="minorHAnsi" w:hAnsiTheme="minorHAnsi" w:cstheme="minorBidi"/>
                <w:sz w:val="20"/>
                <w:szCs w:val="20"/>
              </w:rPr>
            </w:pPr>
            <w:r w:rsidRPr="5580626D">
              <w:rPr>
                <w:rFonts w:asciiTheme="minorHAnsi" w:hAnsiTheme="minorHAnsi" w:cstheme="minorBidi"/>
                <w:sz w:val="20"/>
                <w:szCs w:val="20"/>
              </w:rPr>
              <w:t>Fee and commission expense</w:t>
            </w:r>
          </w:p>
        </w:tc>
        <w:tc>
          <w:tcPr>
            <w:tcW w:w="549" w:type="pct"/>
            <w:tcBorders>
              <w:top w:val="nil"/>
              <w:left w:val="nil"/>
              <w:bottom w:val="single" w:sz="4" w:space="0" w:color="auto"/>
              <w:right w:val="nil"/>
            </w:tcBorders>
            <w:shd w:val="clear" w:color="auto" w:fill="auto"/>
            <w:noWrap/>
            <w:hideMark/>
          </w:tcPr>
          <w:p w14:paraId="18C3C2B0" w14:textId="704AEF57"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6C1F4E" w:rsidRPr="5580626D">
              <w:rPr>
                <w:rFonts w:asciiTheme="minorHAnsi" w:hAnsiTheme="minorHAnsi" w:cstheme="minorBidi"/>
                <w:sz w:val="20"/>
                <w:szCs w:val="20"/>
              </w:rPr>
              <w:t>0.7</w:t>
            </w:r>
            <w:r w:rsidRPr="5580626D">
              <w:rPr>
                <w:rFonts w:asciiTheme="minorHAnsi" w:hAnsiTheme="minorHAnsi" w:cstheme="minorBidi"/>
                <w:sz w:val="20"/>
                <w:szCs w:val="20"/>
              </w:rPr>
              <w:t>)</w:t>
            </w:r>
          </w:p>
        </w:tc>
        <w:tc>
          <w:tcPr>
            <w:tcW w:w="541" w:type="pct"/>
            <w:tcBorders>
              <w:top w:val="nil"/>
              <w:left w:val="nil"/>
              <w:bottom w:val="single" w:sz="4" w:space="0" w:color="auto"/>
              <w:right w:val="nil"/>
            </w:tcBorders>
            <w:shd w:val="clear" w:color="auto" w:fill="auto"/>
            <w:noWrap/>
            <w:hideMark/>
          </w:tcPr>
          <w:p w14:paraId="291092BC" w14:textId="77777777"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   </w:t>
            </w:r>
          </w:p>
        </w:tc>
        <w:tc>
          <w:tcPr>
            <w:tcW w:w="549" w:type="pct"/>
            <w:tcBorders>
              <w:top w:val="nil"/>
              <w:left w:val="nil"/>
              <w:bottom w:val="single" w:sz="4" w:space="0" w:color="auto"/>
              <w:right w:val="nil"/>
            </w:tcBorders>
            <w:shd w:val="clear" w:color="auto" w:fill="auto"/>
            <w:noWrap/>
            <w:hideMark/>
          </w:tcPr>
          <w:p w14:paraId="7BDA03FF" w14:textId="77777777"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   </w:t>
            </w:r>
          </w:p>
        </w:tc>
        <w:tc>
          <w:tcPr>
            <w:tcW w:w="549" w:type="pct"/>
            <w:tcBorders>
              <w:top w:val="nil"/>
              <w:left w:val="nil"/>
              <w:bottom w:val="single" w:sz="4" w:space="0" w:color="auto"/>
              <w:right w:val="nil"/>
            </w:tcBorders>
            <w:shd w:val="clear" w:color="auto" w:fill="auto"/>
            <w:noWrap/>
            <w:hideMark/>
          </w:tcPr>
          <w:p w14:paraId="75D83556" w14:textId="77777777"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   </w:t>
            </w:r>
          </w:p>
        </w:tc>
        <w:tc>
          <w:tcPr>
            <w:tcW w:w="637" w:type="pct"/>
            <w:tcBorders>
              <w:top w:val="nil"/>
              <w:left w:val="nil"/>
              <w:bottom w:val="single" w:sz="4" w:space="0" w:color="auto"/>
              <w:right w:val="nil"/>
            </w:tcBorders>
            <w:shd w:val="clear" w:color="auto" w:fill="auto"/>
            <w:noWrap/>
            <w:hideMark/>
          </w:tcPr>
          <w:p w14:paraId="02830D12" w14:textId="77777777"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   </w:t>
            </w:r>
          </w:p>
        </w:tc>
        <w:tc>
          <w:tcPr>
            <w:tcW w:w="548" w:type="pct"/>
            <w:tcBorders>
              <w:top w:val="nil"/>
              <w:left w:val="nil"/>
              <w:bottom w:val="single" w:sz="4" w:space="0" w:color="auto"/>
              <w:right w:val="nil"/>
            </w:tcBorders>
            <w:shd w:val="clear" w:color="auto" w:fill="auto"/>
            <w:noWrap/>
            <w:hideMark/>
          </w:tcPr>
          <w:p w14:paraId="78992382" w14:textId="7587D0E6"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C758AB" w:rsidRPr="5580626D">
              <w:rPr>
                <w:rFonts w:asciiTheme="minorHAnsi" w:hAnsiTheme="minorHAnsi" w:cstheme="minorBidi"/>
                <w:sz w:val="20"/>
                <w:szCs w:val="20"/>
              </w:rPr>
              <w:t>0</w:t>
            </w:r>
            <w:r w:rsidRPr="5580626D">
              <w:rPr>
                <w:rFonts w:asciiTheme="minorHAnsi" w:hAnsiTheme="minorHAnsi" w:cstheme="minorBidi"/>
                <w:sz w:val="20"/>
                <w:szCs w:val="20"/>
              </w:rPr>
              <w:t>.7)</w:t>
            </w:r>
          </w:p>
        </w:tc>
      </w:tr>
      <w:tr w:rsidR="009A000F" w:rsidRPr="005E46B1" w14:paraId="1C221C3C" w14:textId="77777777" w:rsidTr="002D58E3">
        <w:trPr>
          <w:trHeight w:val="397"/>
        </w:trPr>
        <w:tc>
          <w:tcPr>
            <w:tcW w:w="1627" w:type="pct"/>
            <w:tcBorders>
              <w:top w:val="single" w:sz="4" w:space="0" w:color="auto"/>
              <w:left w:val="nil"/>
              <w:bottom w:val="single" w:sz="2" w:space="0" w:color="auto"/>
              <w:right w:val="nil"/>
            </w:tcBorders>
            <w:shd w:val="clear" w:color="auto" w:fill="auto"/>
            <w:vAlign w:val="center"/>
            <w:hideMark/>
          </w:tcPr>
          <w:p w14:paraId="2270C389" w14:textId="77777777" w:rsidR="009A000F" w:rsidRPr="006D4208" w:rsidRDefault="009A000F" w:rsidP="005D59FA">
            <w:pPr>
              <w:rPr>
                <w:rFonts w:asciiTheme="minorHAnsi" w:hAnsiTheme="minorHAnsi" w:cstheme="minorBidi"/>
                <w:b/>
                <w:sz w:val="20"/>
                <w:szCs w:val="20"/>
              </w:rPr>
            </w:pPr>
            <w:r w:rsidRPr="5580626D">
              <w:rPr>
                <w:rFonts w:asciiTheme="minorHAnsi" w:hAnsiTheme="minorHAnsi" w:cstheme="minorBidi"/>
                <w:b/>
                <w:sz w:val="20"/>
                <w:szCs w:val="20"/>
              </w:rPr>
              <w:t>Net fee and commission income</w:t>
            </w:r>
          </w:p>
        </w:tc>
        <w:tc>
          <w:tcPr>
            <w:tcW w:w="549" w:type="pct"/>
            <w:tcBorders>
              <w:top w:val="single" w:sz="4" w:space="0" w:color="auto"/>
              <w:left w:val="nil"/>
              <w:bottom w:val="single" w:sz="2" w:space="0" w:color="auto"/>
              <w:right w:val="nil"/>
            </w:tcBorders>
            <w:shd w:val="clear" w:color="auto" w:fill="auto"/>
            <w:noWrap/>
            <w:hideMark/>
          </w:tcPr>
          <w:p w14:paraId="5B0A1B03" w14:textId="1C33B972"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F23D6C" w:rsidRPr="5580626D">
              <w:rPr>
                <w:rFonts w:asciiTheme="minorHAnsi" w:hAnsiTheme="minorHAnsi" w:cstheme="minorBidi"/>
                <w:sz w:val="20"/>
                <w:szCs w:val="20"/>
              </w:rPr>
              <w:t>20.8</w:t>
            </w:r>
            <w:r w:rsidRPr="5580626D">
              <w:rPr>
                <w:rFonts w:asciiTheme="minorHAnsi" w:hAnsiTheme="minorHAnsi" w:cstheme="minorBidi"/>
                <w:sz w:val="20"/>
                <w:szCs w:val="20"/>
              </w:rPr>
              <w:t xml:space="preserve"> </w:t>
            </w:r>
          </w:p>
        </w:tc>
        <w:tc>
          <w:tcPr>
            <w:tcW w:w="541" w:type="pct"/>
            <w:tcBorders>
              <w:top w:val="single" w:sz="4" w:space="0" w:color="auto"/>
              <w:left w:val="nil"/>
              <w:bottom w:val="single" w:sz="2" w:space="0" w:color="auto"/>
              <w:right w:val="nil"/>
            </w:tcBorders>
            <w:shd w:val="clear" w:color="auto" w:fill="auto"/>
            <w:noWrap/>
            <w:hideMark/>
          </w:tcPr>
          <w:p w14:paraId="2DBB1D6E" w14:textId="77777777"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   </w:t>
            </w:r>
          </w:p>
        </w:tc>
        <w:tc>
          <w:tcPr>
            <w:tcW w:w="549" w:type="pct"/>
            <w:tcBorders>
              <w:top w:val="single" w:sz="4" w:space="0" w:color="auto"/>
              <w:left w:val="nil"/>
              <w:bottom w:val="single" w:sz="2" w:space="0" w:color="auto"/>
              <w:right w:val="nil"/>
            </w:tcBorders>
            <w:shd w:val="clear" w:color="auto" w:fill="auto"/>
            <w:noWrap/>
            <w:hideMark/>
          </w:tcPr>
          <w:p w14:paraId="7E64C88B" w14:textId="77777777"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   </w:t>
            </w:r>
          </w:p>
        </w:tc>
        <w:tc>
          <w:tcPr>
            <w:tcW w:w="549" w:type="pct"/>
            <w:tcBorders>
              <w:top w:val="single" w:sz="4" w:space="0" w:color="auto"/>
              <w:left w:val="nil"/>
              <w:bottom w:val="single" w:sz="2" w:space="0" w:color="auto"/>
              <w:right w:val="nil"/>
            </w:tcBorders>
            <w:shd w:val="clear" w:color="auto" w:fill="auto"/>
            <w:noWrap/>
            <w:hideMark/>
          </w:tcPr>
          <w:p w14:paraId="7B6E768D" w14:textId="77777777"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   </w:t>
            </w:r>
          </w:p>
        </w:tc>
        <w:tc>
          <w:tcPr>
            <w:tcW w:w="637" w:type="pct"/>
            <w:tcBorders>
              <w:top w:val="single" w:sz="4" w:space="0" w:color="auto"/>
              <w:left w:val="nil"/>
              <w:bottom w:val="single" w:sz="2" w:space="0" w:color="auto"/>
              <w:right w:val="nil"/>
            </w:tcBorders>
            <w:shd w:val="clear" w:color="auto" w:fill="auto"/>
            <w:noWrap/>
            <w:hideMark/>
          </w:tcPr>
          <w:p w14:paraId="57C6FB61" w14:textId="77777777"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   </w:t>
            </w:r>
          </w:p>
        </w:tc>
        <w:tc>
          <w:tcPr>
            <w:tcW w:w="548" w:type="pct"/>
            <w:tcBorders>
              <w:top w:val="single" w:sz="4" w:space="0" w:color="auto"/>
              <w:left w:val="nil"/>
              <w:bottom w:val="single" w:sz="2" w:space="0" w:color="auto"/>
              <w:right w:val="nil"/>
            </w:tcBorders>
            <w:shd w:val="clear" w:color="auto" w:fill="auto"/>
            <w:noWrap/>
            <w:hideMark/>
          </w:tcPr>
          <w:p w14:paraId="07A69155" w14:textId="7C1488C3"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C758AB" w:rsidRPr="5580626D">
              <w:rPr>
                <w:rFonts w:asciiTheme="minorHAnsi" w:hAnsiTheme="minorHAnsi" w:cstheme="minorBidi"/>
                <w:sz w:val="20"/>
                <w:szCs w:val="20"/>
              </w:rPr>
              <w:t>20.8</w:t>
            </w:r>
            <w:r w:rsidRPr="5580626D">
              <w:rPr>
                <w:rFonts w:asciiTheme="minorHAnsi" w:hAnsiTheme="minorHAnsi" w:cstheme="minorBidi"/>
                <w:sz w:val="20"/>
                <w:szCs w:val="20"/>
              </w:rPr>
              <w:t xml:space="preserve"> </w:t>
            </w:r>
          </w:p>
        </w:tc>
      </w:tr>
      <w:tr w:rsidR="009A000F" w:rsidRPr="005E46B1" w14:paraId="34758BB0" w14:textId="77777777" w:rsidTr="002D58E3">
        <w:trPr>
          <w:trHeight w:val="397"/>
        </w:trPr>
        <w:tc>
          <w:tcPr>
            <w:tcW w:w="1627" w:type="pct"/>
            <w:tcBorders>
              <w:top w:val="single" w:sz="2" w:space="0" w:color="auto"/>
              <w:left w:val="nil"/>
              <w:bottom w:val="single" w:sz="2" w:space="0" w:color="auto"/>
              <w:right w:val="nil"/>
            </w:tcBorders>
            <w:shd w:val="clear" w:color="auto" w:fill="auto"/>
            <w:vAlign w:val="center"/>
            <w:hideMark/>
          </w:tcPr>
          <w:p w14:paraId="63A1DFAB" w14:textId="77777777" w:rsidR="009A000F" w:rsidRPr="006D4208" w:rsidRDefault="009A000F" w:rsidP="005D59FA">
            <w:pPr>
              <w:rPr>
                <w:rFonts w:asciiTheme="minorHAnsi" w:hAnsiTheme="minorHAnsi" w:cstheme="minorBidi"/>
                <w:sz w:val="20"/>
                <w:szCs w:val="20"/>
              </w:rPr>
            </w:pPr>
            <w:r w:rsidRPr="5580626D">
              <w:rPr>
                <w:rFonts w:asciiTheme="minorHAnsi" w:hAnsiTheme="minorHAnsi" w:cstheme="minorBidi"/>
                <w:sz w:val="20"/>
                <w:szCs w:val="20"/>
              </w:rPr>
              <w:t>Other income</w:t>
            </w:r>
          </w:p>
        </w:tc>
        <w:tc>
          <w:tcPr>
            <w:tcW w:w="549" w:type="pct"/>
            <w:tcBorders>
              <w:top w:val="single" w:sz="2" w:space="0" w:color="auto"/>
              <w:left w:val="nil"/>
              <w:bottom w:val="single" w:sz="2" w:space="0" w:color="auto"/>
              <w:right w:val="nil"/>
            </w:tcBorders>
            <w:shd w:val="clear" w:color="auto" w:fill="auto"/>
            <w:noWrap/>
            <w:hideMark/>
          </w:tcPr>
          <w:p w14:paraId="540E93F6" w14:textId="00120BF0"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300A3E" w:rsidRPr="5580626D">
              <w:rPr>
                <w:rFonts w:asciiTheme="minorHAnsi" w:hAnsiTheme="minorHAnsi" w:cstheme="minorBidi"/>
                <w:sz w:val="20"/>
                <w:szCs w:val="20"/>
              </w:rPr>
              <w:t>0.2</w:t>
            </w:r>
            <w:r w:rsidRPr="5580626D">
              <w:rPr>
                <w:rFonts w:asciiTheme="minorHAnsi" w:hAnsiTheme="minorHAnsi" w:cstheme="minorBidi"/>
                <w:sz w:val="20"/>
                <w:szCs w:val="20"/>
              </w:rPr>
              <w:t xml:space="preserve"> </w:t>
            </w:r>
          </w:p>
        </w:tc>
        <w:tc>
          <w:tcPr>
            <w:tcW w:w="541" w:type="pct"/>
            <w:tcBorders>
              <w:top w:val="single" w:sz="2" w:space="0" w:color="auto"/>
              <w:left w:val="nil"/>
              <w:bottom w:val="single" w:sz="2" w:space="0" w:color="auto"/>
              <w:right w:val="nil"/>
            </w:tcBorders>
            <w:shd w:val="clear" w:color="auto" w:fill="auto"/>
            <w:noWrap/>
            <w:hideMark/>
          </w:tcPr>
          <w:p w14:paraId="4E4F3356" w14:textId="32C3E149"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B01274" w:rsidRPr="5580626D">
              <w:rPr>
                <w:rFonts w:asciiTheme="minorHAnsi" w:hAnsiTheme="minorHAnsi" w:cstheme="minorBidi"/>
                <w:sz w:val="20"/>
                <w:szCs w:val="20"/>
              </w:rPr>
              <w:t>1.6</w:t>
            </w:r>
            <w:r w:rsidRPr="5580626D">
              <w:rPr>
                <w:rFonts w:asciiTheme="minorHAnsi" w:hAnsiTheme="minorHAnsi" w:cstheme="minorBidi"/>
                <w:sz w:val="20"/>
                <w:szCs w:val="20"/>
              </w:rPr>
              <w:t xml:space="preserve"> </w:t>
            </w:r>
          </w:p>
        </w:tc>
        <w:tc>
          <w:tcPr>
            <w:tcW w:w="549" w:type="pct"/>
            <w:tcBorders>
              <w:top w:val="single" w:sz="2" w:space="0" w:color="auto"/>
              <w:left w:val="nil"/>
              <w:bottom w:val="single" w:sz="2" w:space="0" w:color="auto"/>
              <w:right w:val="nil"/>
            </w:tcBorders>
            <w:shd w:val="clear" w:color="auto" w:fill="auto"/>
            <w:noWrap/>
            <w:hideMark/>
          </w:tcPr>
          <w:p w14:paraId="4F714475" w14:textId="77777777"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   </w:t>
            </w:r>
          </w:p>
        </w:tc>
        <w:tc>
          <w:tcPr>
            <w:tcW w:w="549" w:type="pct"/>
            <w:tcBorders>
              <w:top w:val="single" w:sz="2" w:space="0" w:color="auto"/>
              <w:left w:val="nil"/>
              <w:bottom w:val="single" w:sz="2" w:space="0" w:color="auto"/>
              <w:right w:val="nil"/>
            </w:tcBorders>
            <w:shd w:val="clear" w:color="auto" w:fill="auto"/>
            <w:noWrap/>
            <w:hideMark/>
          </w:tcPr>
          <w:p w14:paraId="475C0AA7" w14:textId="0F410815"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072D3C" w:rsidRPr="5580626D">
              <w:rPr>
                <w:rFonts w:asciiTheme="minorHAnsi" w:hAnsiTheme="minorHAnsi" w:cstheme="minorBidi"/>
                <w:sz w:val="20"/>
                <w:szCs w:val="20"/>
              </w:rPr>
              <w:t>—</w:t>
            </w:r>
          </w:p>
        </w:tc>
        <w:tc>
          <w:tcPr>
            <w:tcW w:w="637" w:type="pct"/>
            <w:tcBorders>
              <w:top w:val="single" w:sz="2" w:space="0" w:color="auto"/>
              <w:left w:val="nil"/>
              <w:bottom w:val="single" w:sz="2" w:space="0" w:color="auto"/>
              <w:right w:val="nil"/>
            </w:tcBorders>
            <w:shd w:val="clear" w:color="auto" w:fill="auto"/>
            <w:noWrap/>
            <w:hideMark/>
          </w:tcPr>
          <w:p w14:paraId="311193D1" w14:textId="3C2FFE07" w:rsidR="009A000F" w:rsidRPr="00A03A22" w:rsidRDefault="00513DB4" w:rsidP="005D59FA">
            <w:pPr>
              <w:jc w:val="right"/>
              <w:rPr>
                <w:rFonts w:asciiTheme="minorHAnsi" w:hAnsiTheme="minorHAnsi" w:cstheme="minorBidi"/>
                <w:sz w:val="20"/>
                <w:szCs w:val="20"/>
              </w:rPr>
            </w:pPr>
            <w:r w:rsidRPr="5580626D">
              <w:rPr>
                <w:rFonts w:asciiTheme="minorHAnsi" w:hAnsiTheme="minorHAnsi" w:cstheme="minorBidi"/>
                <w:sz w:val="20"/>
                <w:szCs w:val="20"/>
              </w:rPr>
              <w:t>—</w:t>
            </w:r>
            <w:r w:rsidR="009A000F" w:rsidRPr="5580626D">
              <w:rPr>
                <w:rFonts w:asciiTheme="minorHAnsi" w:hAnsiTheme="minorHAnsi" w:cstheme="minorBidi"/>
                <w:sz w:val="20"/>
                <w:szCs w:val="20"/>
              </w:rPr>
              <w:t xml:space="preserve">    </w:t>
            </w:r>
          </w:p>
        </w:tc>
        <w:tc>
          <w:tcPr>
            <w:tcW w:w="548" w:type="pct"/>
            <w:tcBorders>
              <w:top w:val="single" w:sz="2" w:space="0" w:color="auto"/>
              <w:left w:val="nil"/>
              <w:bottom w:val="single" w:sz="2" w:space="0" w:color="auto"/>
              <w:right w:val="nil"/>
            </w:tcBorders>
            <w:shd w:val="clear" w:color="auto" w:fill="auto"/>
            <w:noWrap/>
            <w:hideMark/>
          </w:tcPr>
          <w:p w14:paraId="0A608907" w14:textId="6B3BB369"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C758AB" w:rsidRPr="5580626D">
              <w:rPr>
                <w:rFonts w:asciiTheme="minorHAnsi" w:hAnsiTheme="minorHAnsi" w:cstheme="minorBidi"/>
                <w:sz w:val="20"/>
                <w:szCs w:val="20"/>
              </w:rPr>
              <w:t>1</w:t>
            </w:r>
            <w:r w:rsidR="00D91B6D" w:rsidRPr="5580626D">
              <w:rPr>
                <w:rFonts w:asciiTheme="minorHAnsi" w:hAnsiTheme="minorHAnsi" w:cstheme="minorBidi"/>
                <w:sz w:val="20"/>
                <w:szCs w:val="20"/>
              </w:rPr>
              <w:t>.8</w:t>
            </w:r>
            <w:r w:rsidRPr="5580626D">
              <w:rPr>
                <w:rFonts w:asciiTheme="minorHAnsi" w:hAnsiTheme="minorHAnsi" w:cstheme="minorBidi"/>
                <w:sz w:val="20"/>
                <w:szCs w:val="20"/>
              </w:rPr>
              <w:t xml:space="preserve"> </w:t>
            </w:r>
          </w:p>
        </w:tc>
      </w:tr>
      <w:tr w:rsidR="009A000F" w:rsidRPr="005E46B1" w14:paraId="6CD95FF1" w14:textId="77777777" w:rsidTr="002D58E3">
        <w:trPr>
          <w:trHeight w:val="397"/>
        </w:trPr>
        <w:tc>
          <w:tcPr>
            <w:tcW w:w="1627" w:type="pct"/>
            <w:tcBorders>
              <w:top w:val="single" w:sz="2" w:space="0" w:color="auto"/>
              <w:left w:val="nil"/>
              <w:bottom w:val="single" w:sz="2" w:space="0" w:color="auto"/>
              <w:right w:val="nil"/>
            </w:tcBorders>
            <w:shd w:val="clear" w:color="auto" w:fill="auto"/>
            <w:vAlign w:val="center"/>
            <w:hideMark/>
          </w:tcPr>
          <w:p w14:paraId="1C7CB6FB" w14:textId="77777777" w:rsidR="009A000F" w:rsidRPr="006D4208" w:rsidRDefault="009A000F" w:rsidP="005D59FA">
            <w:pPr>
              <w:rPr>
                <w:rFonts w:asciiTheme="minorHAnsi" w:hAnsiTheme="minorHAnsi" w:cstheme="minorBidi"/>
                <w:b/>
                <w:sz w:val="20"/>
                <w:szCs w:val="20"/>
              </w:rPr>
            </w:pPr>
            <w:r w:rsidRPr="5580626D">
              <w:rPr>
                <w:rFonts w:asciiTheme="minorHAnsi" w:hAnsiTheme="minorHAnsi" w:cstheme="minorBidi"/>
                <w:b/>
                <w:sz w:val="20"/>
                <w:szCs w:val="20"/>
              </w:rPr>
              <w:t>Total income</w:t>
            </w:r>
          </w:p>
        </w:tc>
        <w:tc>
          <w:tcPr>
            <w:tcW w:w="549" w:type="pct"/>
            <w:tcBorders>
              <w:top w:val="single" w:sz="2" w:space="0" w:color="auto"/>
              <w:left w:val="nil"/>
              <w:bottom w:val="single" w:sz="2" w:space="0" w:color="auto"/>
              <w:right w:val="nil"/>
            </w:tcBorders>
            <w:shd w:val="clear" w:color="auto" w:fill="auto"/>
            <w:noWrap/>
            <w:hideMark/>
          </w:tcPr>
          <w:p w14:paraId="77847F11" w14:textId="5ABD6B1F"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012515" w:rsidRPr="5580626D">
              <w:rPr>
                <w:rFonts w:asciiTheme="minorHAnsi" w:hAnsiTheme="minorHAnsi" w:cstheme="minorBidi"/>
                <w:sz w:val="20"/>
                <w:szCs w:val="20"/>
              </w:rPr>
              <w:t>175.4</w:t>
            </w:r>
            <w:r w:rsidRPr="5580626D">
              <w:rPr>
                <w:rFonts w:asciiTheme="minorHAnsi" w:hAnsiTheme="minorHAnsi" w:cstheme="minorBidi"/>
                <w:sz w:val="20"/>
                <w:szCs w:val="20"/>
              </w:rPr>
              <w:t xml:space="preserve"> </w:t>
            </w:r>
          </w:p>
        </w:tc>
        <w:tc>
          <w:tcPr>
            <w:tcW w:w="541" w:type="pct"/>
            <w:tcBorders>
              <w:top w:val="single" w:sz="2" w:space="0" w:color="auto"/>
              <w:left w:val="nil"/>
              <w:bottom w:val="single" w:sz="2" w:space="0" w:color="auto"/>
              <w:right w:val="nil"/>
            </w:tcBorders>
            <w:shd w:val="clear" w:color="auto" w:fill="auto"/>
            <w:noWrap/>
            <w:hideMark/>
          </w:tcPr>
          <w:p w14:paraId="310B9EBF" w14:textId="35B12AD5"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9629EE" w:rsidRPr="5580626D">
              <w:rPr>
                <w:rFonts w:asciiTheme="minorHAnsi" w:hAnsiTheme="minorHAnsi" w:cstheme="minorBidi"/>
                <w:sz w:val="20"/>
                <w:szCs w:val="20"/>
              </w:rPr>
              <w:t>62.1</w:t>
            </w:r>
            <w:r w:rsidRPr="5580626D">
              <w:rPr>
                <w:rFonts w:asciiTheme="minorHAnsi" w:hAnsiTheme="minorHAnsi" w:cstheme="minorBidi"/>
                <w:sz w:val="20"/>
                <w:szCs w:val="20"/>
              </w:rPr>
              <w:t xml:space="preserve"> </w:t>
            </w:r>
          </w:p>
        </w:tc>
        <w:tc>
          <w:tcPr>
            <w:tcW w:w="549" w:type="pct"/>
            <w:tcBorders>
              <w:top w:val="single" w:sz="2" w:space="0" w:color="auto"/>
              <w:left w:val="nil"/>
              <w:bottom w:val="single" w:sz="2" w:space="0" w:color="auto"/>
              <w:right w:val="nil"/>
            </w:tcBorders>
            <w:shd w:val="clear" w:color="auto" w:fill="auto"/>
            <w:noWrap/>
            <w:hideMark/>
          </w:tcPr>
          <w:p w14:paraId="25D5CAB3" w14:textId="6347FCF4"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757602" w:rsidRPr="5580626D">
              <w:rPr>
                <w:rFonts w:asciiTheme="minorHAnsi" w:hAnsiTheme="minorHAnsi" w:cstheme="minorBidi"/>
                <w:sz w:val="20"/>
                <w:szCs w:val="20"/>
              </w:rPr>
              <w:t>10.4</w:t>
            </w:r>
            <w:r w:rsidRPr="5580626D">
              <w:rPr>
                <w:rFonts w:asciiTheme="minorHAnsi" w:hAnsiTheme="minorHAnsi" w:cstheme="minorBidi"/>
                <w:sz w:val="20"/>
                <w:szCs w:val="20"/>
              </w:rPr>
              <w:t xml:space="preserve"> </w:t>
            </w:r>
          </w:p>
        </w:tc>
        <w:tc>
          <w:tcPr>
            <w:tcW w:w="549" w:type="pct"/>
            <w:tcBorders>
              <w:top w:val="single" w:sz="2" w:space="0" w:color="auto"/>
              <w:left w:val="nil"/>
              <w:bottom w:val="single" w:sz="2" w:space="0" w:color="auto"/>
              <w:right w:val="nil"/>
            </w:tcBorders>
            <w:shd w:val="clear" w:color="auto" w:fill="auto"/>
            <w:noWrap/>
            <w:hideMark/>
          </w:tcPr>
          <w:p w14:paraId="15CDE92E" w14:textId="4119824C" w:rsidR="009A000F" w:rsidRPr="00A03A22" w:rsidRDefault="00072D3C" w:rsidP="005D59FA">
            <w:pPr>
              <w:jc w:val="right"/>
              <w:rPr>
                <w:rFonts w:asciiTheme="minorHAnsi" w:hAnsiTheme="minorHAnsi" w:cstheme="minorBidi"/>
                <w:sz w:val="20"/>
                <w:szCs w:val="20"/>
              </w:rPr>
            </w:pPr>
            <w:r w:rsidRPr="5580626D">
              <w:rPr>
                <w:rFonts w:asciiTheme="minorHAnsi" w:hAnsiTheme="minorHAnsi" w:cstheme="minorBidi"/>
                <w:sz w:val="20"/>
                <w:szCs w:val="20"/>
              </w:rPr>
              <w:t>—</w:t>
            </w:r>
          </w:p>
        </w:tc>
        <w:tc>
          <w:tcPr>
            <w:tcW w:w="637" w:type="pct"/>
            <w:tcBorders>
              <w:top w:val="single" w:sz="2" w:space="0" w:color="auto"/>
              <w:left w:val="nil"/>
              <w:bottom w:val="single" w:sz="2" w:space="0" w:color="auto"/>
              <w:right w:val="nil"/>
            </w:tcBorders>
            <w:shd w:val="clear" w:color="auto" w:fill="auto"/>
            <w:noWrap/>
            <w:hideMark/>
          </w:tcPr>
          <w:p w14:paraId="17774D60" w14:textId="279BD195"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DF5BF6" w:rsidRPr="5580626D">
              <w:rPr>
                <w:rFonts w:asciiTheme="minorHAnsi" w:hAnsiTheme="minorHAnsi" w:cstheme="minorBidi"/>
                <w:sz w:val="20"/>
                <w:szCs w:val="20"/>
              </w:rPr>
              <w:t>10.8</w:t>
            </w:r>
            <w:r w:rsidRPr="5580626D">
              <w:rPr>
                <w:rFonts w:asciiTheme="minorHAnsi" w:hAnsiTheme="minorHAnsi" w:cstheme="minorBidi"/>
                <w:sz w:val="20"/>
                <w:szCs w:val="20"/>
              </w:rPr>
              <w:t>)</w:t>
            </w:r>
          </w:p>
        </w:tc>
        <w:tc>
          <w:tcPr>
            <w:tcW w:w="548" w:type="pct"/>
            <w:tcBorders>
              <w:top w:val="single" w:sz="2" w:space="0" w:color="auto"/>
              <w:left w:val="nil"/>
              <w:bottom w:val="single" w:sz="2" w:space="0" w:color="auto"/>
              <w:right w:val="nil"/>
            </w:tcBorders>
            <w:shd w:val="clear" w:color="auto" w:fill="auto"/>
            <w:noWrap/>
            <w:hideMark/>
          </w:tcPr>
          <w:p w14:paraId="56E0102D" w14:textId="3DB829BB"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C758AB" w:rsidRPr="5580626D">
              <w:rPr>
                <w:rFonts w:asciiTheme="minorHAnsi" w:hAnsiTheme="minorHAnsi" w:cstheme="minorBidi"/>
                <w:sz w:val="20"/>
                <w:szCs w:val="20"/>
              </w:rPr>
              <w:t>237.1</w:t>
            </w:r>
            <w:r w:rsidRPr="5580626D">
              <w:rPr>
                <w:rFonts w:asciiTheme="minorHAnsi" w:hAnsiTheme="minorHAnsi" w:cstheme="minorBidi"/>
                <w:sz w:val="20"/>
                <w:szCs w:val="20"/>
              </w:rPr>
              <w:t xml:space="preserve"> </w:t>
            </w:r>
          </w:p>
        </w:tc>
      </w:tr>
      <w:tr w:rsidR="009A000F" w:rsidRPr="005E46B1" w14:paraId="63730D00" w14:textId="77777777" w:rsidTr="002D58E3">
        <w:trPr>
          <w:trHeight w:val="397"/>
        </w:trPr>
        <w:tc>
          <w:tcPr>
            <w:tcW w:w="1627" w:type="pct"/>
            <w:tcBorders>
              <w:top w:val="single" w:sz="2" w:space="0" w:color="auto"/>
              <w:left w:val="nil"/>
              <w:bottom w:val="single" w:sz="2" w:space="0" w:color="auto"/>
              <w:right w:val="nil"/>
            </w:tcBorders>
            <w:shd w:val="clear" w:color="auto" w:fill="auto"/>
            <w:vAlign w:val="center"/>
            <w:hideMark/>
          </w:tcPr>
          <w:p w14:paraId="6A429955" w14:textId="77777777" w:rsidR="009A000F" w:rsidRPr="006D4208" w:rsidRDefault="009A000F" w:rsidP="005D59FA">
            <w:pPr>
              <w:rPr>
                <w:rFonts w:asciiTheme="minorHAnsi" w:hAnsiTheme="minorHAnsi" w:cstheme="minorBidi"/>
                <w:sz w:val="20"/>
                <w:szCs w:val="20"/>
              </w:rPr>
            </w:pPr>
            <w:r w:rsidRPr="5580626D">
              <w:rPr>
                <w:rFonts w:asciiTheme="minorHAnsi" w:hAnsiTheme="minorHAnsi" w:cstheme="minorBidi"/>
                <w:sz w:val="20"/>
                <w:szCs w:val="20"/>
              </w:rPr>
              <w:t>Impairment charges</w:t>
            </w:r>
          </w:p>
        </w:tc>
        <w:tc>
          <w:tcPr>
            <w:tcW w:w="549" w:type="pct"/>
            <w:tcBorders>
              <w:top w:val="single" w:sz="2" w:space="0" w:color="auto"/>
              <w:left w:val="nil"/>
              <w:bottom w:val="single" w:sz="2" w:space="0" w:color="auto"/>
              <w:right w:val="nil"/>
            </w:tcBorders>
            <w:shd w:val="clear" w:color="auto" w:fill="auto"/>
            <w:noWrap/>
            <w:hideMark/>
          </w:tcPr>
          <w:p w14:paraId="18014A97" w14:textId="2A85018E"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012515" w:rsidRPr="5580626D">
              <w:rPr>
                <w:rFonts w:asciiTheme="minorHAnsi" w:hAnsiTheme="minorHAnsi" w:cstheme="minorBidi"/>
                <w:sz w:val="20"/>
                <w:szCs w:val="20"/>
              </w:rPr>
              <w:t>55.4</w:t>
            </w:r>
            <w:r w:rsidRPr="5580626D">
              <w:rPr>
                <w:rFonts w:asciiTheme="minorHAnsi" w:hAnsiTheme="minorHAnsi" w:cstheme="minorBidi"/>
                <w:sz w:val="20"/>
                <w:szCs w:val="20"/>
              </w:rPr>
              <w:t>)</w:t>
            </w:r>
          </w:p>
        </w:tc>
        <w:tc>
          <w:tcPr>
            <w:tcW w:w="541" w:type="pct"/>
            <w:tcBorders>
              <w:top w:val="single" w:sz="2" w:space="0" w:color="auto"/>
              <w:left w:val="nil"/>
              <w:bottom w:val="single" w:sz="2" w:space="0" w:color="auto"/>
              <w:right w:val="nil"/>
            </w:tcBorders>
            <w:shd w:val="clear" w:color="auto" w:fill="auto"/>
            <w:noWrap/>
            <w:hideMark/>
          </w:tcPr>
          <w:p w14:paraId="04974E3D" w14:textId="1DAADE0D"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C21C16" w:rsidRPr="198B8B94">
              <w:rPr>
                <w:rFonts w:asciiTheme="minorHAnsi" w:hAnsiTheme="minorHAnsi" w:cstheme="minorBidi"/>
                <w:sz w:val="20"/>
                <w:szCs w:val="20"/>
              </w:rPr>
              <w:t>2</w:t>
            </w:r>
            <w:r w:rsidR="00710BAB">
              <w:rPr>
                <w:rFonts w:asciiTheme="minorHAnsi" w:hAnsiTheme="minorHAnsi" w:cstheme="minorBidi"/>
                <w:sz w:val="20"/>
                <w:szCs w:val="20"/>
              </w:rPr>
              <w:t>6.6</w:t>
            </w:r>
            <w:r w:rsidRPr="5580626D">
              <w:rPr>
                <w:rFonts w:asciiTheme="minorHAnsi" w:hAnsiTheme="minorHAnsi" w:cstheme="minorBidi"/>
                <w:sz w:val="20"/>
                <w:szCs w:val="20"/>
              </w:rPr>
              <w:t>)</w:t>
            </w:r>
          </w:p>
        </w:tc>
        <w:tc>
          <w:tcPr>
            <w:tcW w:w="549" w:type="pct"/>
            <w:tcBorders>
              <w:top w:val="single" w:sz="2" w:space="0" w:color="auto"/>
              <w:left w:val="nil"/>
              <w:bottom w:val="single" w:sz="2" w:space="0" w:color="auto"/>
              <w:right w:val="nil"/>
            </w:tcBorders>
            <w:shd w:val="clear" w:color="auto" w:fill="auto"/>
            <w:noWrap/>
            <w:hideMark/>
          </w:tcPr>
          <w:p w14:paraId="3BA1234C" w14:textId="5D5E631B"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757602" w:rsidRPr="5580626D">
              <w:rPr>
                <w:rFonts w:asciiTheme="minorHAnsi" w:hAnsiTheme="minorHAnsi" w:cstheme="minorBidi"/>
                <w:sz w:val="20"/>
                <w:szCs w:val="20"/>
              </w:rPr>
              <w:t>11.0</w:t>
            </w:r>
            <w:r w:rsidRPr="5580626D">
              <w:rPr>
                <w:rFonts w:asciiTheme="minorHAnsi" w:hAnsiTheme="minorHAnsi" w:cstheme="minorBidi"/>
                <w:sz w:val="20"/>
                <w:szCs w:val="20"/>
              </w:rPr>
              <w:t>)</w:t>
            </w:r>
          </w:p>
        </w:tc>
        <w:tc>
          <w:tcPr>
            <w:tcW w:w="549" w:type="pct"/>
            <w:tcBorders>
              <w:top w:val="single" w:sz="2" w:space="0" w:color="auto"/>
              <w:left w:val="nil"/>
              <w:bottom w:val="single" w:sz="2" w:space="0" w:color="auto"/>
              <w:right w:val="nil"/>
            </w:tcBorders>
            <w:shd w:val="clear" w:color="auto" w:fill="auto"/>
            <w:noWrap/>
            <w:hideMark/>
          </w:tcPr>
          <w:p w14:paraId="2FD3E9BC" w14:textId="77777777"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   </w:t>
            </w:r>
          </w:p>
        </w:tc>
        <w:tc>
          <w:tcPr>
            <w:tcW w:w="637" w:type="pct"/>
            <w:tcBorders>
              <w:top w:val="single" w:sz="2" w:space="0" w:color="auto"/>
              <w:left w:val="nil"/>
              <w:bottom w:val="single" w:sz="2" w:space="0" w:color="auto"/>
              <w:right w:val="nil"/>
            </w:tcBorders>
            <w:shd w:val="clear" w:color="auto" w:fill="auto"/>
            <w:noWrap/>
            <w:hideMark/>
          </w:tcPr>
          <w:p w14:paraId="6FBAA3F1" w14:textId="77777777"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   </w:t>
            </w:r>
          </w:p>
        </w:tc>
        <w:tc>
          <w:tcPr>
            <w:tcW w:w="548" w:type="pct"/>
            <w:tcBorders>
              <w:top w:val="single" w:sz="2" w:space="0" w:color="auto"/>
              <w:left w:val="nil"/>
              <w:bottom w:val="single" w:sz="2" w:space="0" w:color="auto"/>
              <w:right w:val="nil"/>
            </w:tcBorders>
            <w:shd w:val="clear" w:color="auto" w:fill="auto"/>
            <w:noWrap/>
            <w:hideMark/>
          </w:tcPr>
          <w:p w14:paraId="66303BCD" w14:textId="7436AE19"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9A1484">
              <w:rPr>
                <w:rFonts w:asciiTheme="minorHAnsi" w:hAnsiTheme="minorHAnsi" w:cstheme="minorBidi"/>
                <w:sz w:val="20"/>
                <w:szCs w:val="20"/>
              </w:rPr>
              <w:t>93.0</w:t>
            </w:r>
            <w:r w:rsidRPr="5580626D">
              <w:rPr>
                <w:rFonts w:asciiTheme="minorHAnsi" w:hAnsiTheme="minorHAnsi" w:cstheme="minorBidi"/>
                <w:sz w:val="20"/>
                <w:szCs w:val="20"/>
              </w:rPr>
              <w:t>)</w:t>
            </w:r>
          </w:p>
        </w:tc>
      </w:tr>
      <w:tr w:rsidR="009A000F" w:rsidRPr="005E46B1" w14:paraId="7178DA4A" w14:textId="77777777" w:rsidTr="002D58E3">
        <w:trPr>
          <w:trHeight w:val="397"/>
        </w:trPr>
        <w:tc>
          <w:tcPr>
            <w:tcW w:w="1627" w:type="pct"/>
            <w:tcBorders>
              <w:top w:val="single" w:sz="2" w:space="0" w:color="auto"/>
              <w:left w:val="nil"/>
              <w:bottom w:val="single" w:sz="2" w:space="0" w:color="auto"/>
              <w:right w:val="nil"/>
            </w:tcBorders>
            <w:shd w:val="clear" w:color="auto" w:fill="auto"/>
            <w:vAlign w:val="center"/>
            <w:hideMark/>
          </w:tcPr>
          <w:p w14:paraId="4FC6978F" w14:textId="77777777" w:rsidR="009A000F" w:rsidRPr="006D4208" w:rsidRDefault="009A000F" w:rsidP="005D59FA">
            <w:pPr>
              <w:rPr>
                <w:rFonts w:asciiTheme="minorHAnsi" w:hAnsiTheme="minorHAnsi" w:cstheme="minorBidi"/>
                <w:b/>
                <w:sz w:val="20"/>
                <w:szCs w:val="20"/>
              </w:rPr>
            </w:pPr>
            <w:r w:rsidRPr="5580626D">
              <w:rPr>
                <w:rFonts w:asciiTheme="minorHAnsi" w:hAnsiTheme="minorHAnsi" w:cstheme="minorBidi"/>
                <w:b/>
                <w:sz w:val="20"/>
                <w:szCs w:val="20"/>
              </w:rPr>
              <w:t>Risk-adjusted income</w:t>
            </w:r>
          </w:p>
        </w:tc>
        <w:tc>
          <w:tcPr>
            <w:tcW w:w="549" w:type="pct"/>
            <w:tcBorders>
              <w:top w:val="single" w:sz="2" w:space="0" w:color="auto"/>
              <w:left w:val="nil"/>
              <w:bottom w:val="single" w:sz="2" w:space="0" w:color="auto"/>
              <w:right w:val="nil"/>
            </w:tcBorders>
            <w:shd w:val="clear" w:color="auto" w:fill="auto"/>
            <w:noWrap/>
            <w:hideMark/>
          </w:tcPr>
          <w:p w14:paraId="10B12BA2" w14:textId="503C1796"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3B29F1" w:rsidRPr="5580626D">
              <w:rPr>
                <w:rFonts w:asciiTheme="minorHAnsi" w:hAnsiTheme="minorHAnsi" w:cstheme="minorBidi"/>
                <w:sz w:val="20"/>
                <w:szCs w:val="20"/>
              </w:rPr>
              <w:t>120.0</w:t>
            </w:r>
            <w:r w:rsidRPr="5580626D">
              <w:rPr>
                <w:rFonts w:asciiTheme="minorHAnsi" w:hAnsiTheme="minorHAnsi" w:cstheme="minorBidi"/>
                <w:sz w:val="20"/>
                <w:szCs w:val="20"/>
              </w:rPr>
              <w:t xml:space="preserve"> </w:t>
            </w:r>
          </w:p>
        </w:tc>
        <w:tc>
          <w:tcPr>
            <w:tcW w:w="541" w:type="pct"/>
            <w:tcBorders>
              <w:top w:val="single" w:sz="2" w:space="0" w:color="auto"/>
              <w:left w:val="nil"/>
              <w:bottom w:val="single" w:sz="2" w:space="0" w:color="auto"/>
              <w:right w:val="nil"/>
            </w:tcBorders>
            <w:shd w:val="clear" w:color="auto" w:fill="auto"/>
            <w:noWrap/>
            <w:hideMark/>
          </w:tcPr>
          <w:p w14:paraId="77E3A1CB" w14:textId="0995D693"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C21C16" w:rsidRPr="198B8B94">
              <w:rPr>
                <w:rFonts w:asciiTheme="minorHAnsi" w:hAnsiTheme="minorHAnsi" w:cstheme="minorBidi"/>
                <w:sz w:val="20"/>
                <w:szCs w:val="20"/>
              </w:rPr>
              <w:t>3</w:t>
            </w:r>
            <w:r w:rsidR="00710BAB">
              <w:rPr>
                <w:rFonts w:asciiTheme="minorHAnsi" w:hAnsiTheme="minorHAnsi" w:cstheme="minorBidi"/>
                <w:sz w:val="20"/>
                <w:szCs w:val="20"/>
              </w:rPr>
              <w:t>5.5</w:t>
            </w:r>
            <w:r w:rsidRPr="5580626D">
              <w:rPr>
                <w:rFonts w:asciiTheme="minorHAnsi" w:hAnsiTheme="minorHAnsi" w:cstheme="minorBidi"/>
                <w:sz w:val="20"/>
                <w:szCs w:val="20"/>
              </w:rPr>
              <w:t xml:space="preserve"> </w:t>
            </w:r>
          </w:p>
        </w:tc>
        <w:tc>
          <w:tcPr>
            <w:tcW w:w="549" w:type="pct"/>
            <w:tcBorders>
              <w:top w:val="single" w:sz="2" w:space="0" w:color="auto"/>
              <w:left w:val="nil"/>
              <w:bottom w:val="single" w:sz="2" w:space="0" w:color="auto"/>
              <w:right w:val="nil"/>
            </w:tcBorders>
            <w:shd w:val="clear" w:color="auto" w:fill="auto"/>
            <w:noWrap/>
            <w:hideMark/>
          </w:tcPr>
          <w:p w14:paraId="72C2CE92" w14:textId="065F8C57"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5E4814" w:rsidRPr="5580626D">
              <w:rPr>
                <w:rFonts w:asciiTheme="minorHAnsi" w:hAnsiTheme="minorHAnsi" w:cstheme="minorBidi"/>
                <w:sz w:val="20"/>
                <w:szCs w:val="20"/>
              </w:rPr>
              <w:t>(0.6)</w:t>
            </w:r>
            <w:r w:rsidRPr="5580626D">
              <w:rPr>
                <w:rFonts w:asciiTheme="minorHAnsi" w:hAnsiTheme="minorHAnsi" w:cstheme="minorBidi"/>
                <w:sz w:val="20"/>
                <w:szCs w:val="20"/>
              </w:rPr>
              <w:t xml:space="preserve"> </w:t>
            </w:r>
          </w:p>
        </w:tc>
        <w:tc>
          <w:tcPr>
            <w:tcW w:w="549" w:type="pct"/>
            <w:tcBorders>
              <w:top w:val="single" w:sz="2" w:space="0" w:color="auto"/>
              <w:left w:val="nil"/>
              <w:bottom w:val="single" w:sz="2" w:space="0" w:color="auto"/>
              <w:right w:val="nil"/>
            </w:tcBorders>
            <w:shd w:val="clear" w:color="auto" w:fill="auto"/>
            <w:noWrap/>
            <w:hideMark/>
          </w:tcPr>
          <w:p w14:paraId="367BB18C" w14:textId="7B68AF0B"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072D3C" w:rsidRPr="5580626D">
              <w:rPr>
                <w:rFonts w:asciiTheme="minorHAnsi" w:hAnsiTheme="minorHAnsi" w:cstheme="minorBidi"/>
                <w:sz w:val="20"/>
                <w:szCs w:val="20"/>
              </w:rPr>
              <w:t>—</w:t>
            </w:r>
          </w:p>
        </w:tc>
        <w:tc>
          <w:tcPr>
            <w:tcW w:w="637" w:type="pct"/>
            <w:tcBorders>
              <w:top w:val="single" w:sz="2" w:space="0" w:color="auto"/>
              <w:left w:val="nil"/>
              <w:bottom w:val="single" w:sz="2" w:space="0" w:color="auto"/>
              <w:right w:val="nil"/>
            </w:tcBorders>
            <w:shd w:val="clear" w:color="auto" w:fill="auto"/>
            <w:noWrap/>
            <w:hideMark/>
          </w:tcPr>
          <w:p w14:paraId="42572119" w14:textId="6E29CBBF"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DF5BF6" w:rsidRPr="5580626D">
              <w:rPr>
                <w:rFonts w:asciiTheme="minorHAnsi" w:hAnsiTheme="minorHAnsi" w:cstheme="minorBidi"/>
                <w:sz w:val="20"/>
                <w:szCs w:val="20"/>
              </w:rPr>
              <w:t>10.8</w:t>
            </w:r>
            <w:r w:rsidRPr="5580626D">
              <w:rPr>
                <w:rFonts w:asciiTheme="minorHAnsi" w:hAnsiTheme="minorHAnsi" w:cstheme="minorBidi"/>
                <w:sz w:val="20"/>
                <w:szCs w:val="20"/>
              </w:rPr>
              <w:t>)</w:t>
            </w:r>
          </w:p>
        </w:tc>
        <w:tc>
          <w:tcPr>
            <w:tcW w:w="548" w:type="pct"/>
            <w:tcBorders>
              <w:top w:val="single" w:sz="2" w:space="0" w:color="auto"/>
              <w:left w:val="nil"/>
              <w:bottom w:val="single" w:sz="2" w:space="0" w:color="auto"/>
              <w:right w:val="nil"/>
            </w:tcBorders>
            <w:shd w:val="clear" w:color="auto" w:fill="auto"/>
            <w:noWrap/>
            <w:hideMark/>
          </w:tcPr>
          <w:p w14:paraId="239DA2BC" w14:textId="2FECEE97"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C758AB" w:rsidRPr="198B8B94">
              <w:rPr>
                <w:rFonts w:asciiTheme="minorHAnsi" w:hAnsiTheme="minorHAnsi" w:cstheme="minorBidi"/>
                <w:sz w:val="20"/>
                <w:szCs w:val="20"/>
              </w:rPr>
              <w:t>1</w:t>
            </w:r>
            <w:r w:rsidR="00D8485B" w:rsidRPr="198B8B94">
              <w:rPr>
                <w:rFonts w:asciiTheme="minorHAnsi" w:hAnsiTheme="minorHAnsi" w:cstheme="minorBidi"/>
                <w:sz w:val="20"/>
                <w:szCs w:val="20"/>
              </w:rPr>
              <w:t>4</w:t>
            </w:r>
            <w:r w:rsidR="009A1484">
              <w:rPr>
                <w:rFonts w:asciiTheme="minorHAnsi" w:hAnsiTheme="minorHAnsi" w:cstheme="minorBidi"/>
                <w:sz w:val="20"/>
                <w:szCs w:val="20"/>
              </w:rPr>
              <w:t>4</w:t>
            </w:r>
            <w:r w:rsidR="008D4BA5">
              <w:rPr>
                <w:rFonts w:asciiTheme="minorHAnsi" w:hAnsiTheme="minorHAnsi" w:cstheme="minorBidi"/>
                <w:sz w:val="20"/>
                <w:szCs w:val="20"/>
              </w:rPr>
              <w:t>.1</w:t>
            </w:r>
            <w:r w:rsidRPr="5580626D">
              <w:rPr>
                <w:rFonts w:asciiTheme="minorHAnsi" w:hAnsiTheme="minorHAnsi" w:cstheme="minorBidi"/>
                <w:sz w:val="20"/>
                <w:szCs w:val="20"/>
              </w:rPr>
              <w:t xml:space="preserve"> </w:t>
            </w:r>
          </w:p>
        </w:tc>
      </w:tr>
      <w:tr w:rsidR="009A000F" w:rsidRPr="005E46B1" w14:paraId="124BECF2" w14:textId="77777777" w:rsidTr="002D58E3">
        <w:trPr>
          <w:trHeight w:val="397"/>
        </w:trPr>
        <w:tc>
          <w:tcPr>
            <w:tcW w:w="1627" w:type="pct"/>
            <w:tcBorders>
              <w:top w:val="single" w:sz="2" w:space="0" w:color="auto"/>
              <w:left w:val="nil"/>
              <w:bottom w:val="single" w:sz="2" w:space="0" w:color="auto"/>
              <w:right w:val="nil"/>
            </w:tcBorders>
            <w:shd w:val="clear" w:color="auto" w:fill="auto"/>
            <w:vAlign w:val="center"/>
            <w:hideMark/>
          </w:tcPr>
          <w:p w14:paraId="445B3A79" w14:textId="77777777" w:rsidR="009A000F" w:rsidRPr="006D4208" w:rsidRDefault="009A000F" w:rsidP="005D59FA">
            <w:pPr>
              <w:rPr>
                <w:rFonts w:asciiTheme="minorHAnsi" w:hAnsiTheme="minorHAnsi" w:cstheme="minorBidi"/>
                <w:sz w:val="20"/>
                <w:szCs w:val="20"/>
              </w:rPr>
            </w:pPr>
            <w:r w:rsidRPr="5580626D">
              <w:rPr>
                <w:rFonts w:asciiTheme="minorHAnsi" w:hAnsiTheme="minorHAnsi" w:cstheme="minorBidi"/>
                <w:sz w:val="20"/>
                <w:szCs w:val="20"/>
              </w:rPr>
              <w:t>Adjusted operating costs</w:t>
            </w:r>
          </w:p>
        </w:tc>
        <w:tc>
          <w:tcPr>
            <w:tcW w:w="549" w:type="pct"/>
            <w:tcBorders>
              <w:top w:val="single" w:sz="2" w:space="0" w:color="auto"/>
              <w:left w:val="nil"/>
              <w:bottom w:val="single" w:sz="2" w:space="0" w:color="auto"/>
              <w:right w:val="nil"/>
            </w:tcBorders>
            <w:shd w:val="clear" w:color="auto" w:fill="auto"/>
            <w:noWrap/>
            <w:hideMark/>
          </w:tcPr>
          <w:p w14:paraId="7ADF1BE1" w14:textId="13C4D7B4"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3B29F1" w:rsidRPr="5580626D">
              <w:rPr>
                <w:rFonts w:asciiTheme="minorHAnsi" w:hAnsiTheme="minorHAnsi" w:cstheme="minorBidi"/>
                <w:sz w:val="20"/>
                <w:szCs w:val="20"/>
              </w:rPr>
              <w:t>86.1</w:t>
            </w:r>
            <w:r w:rsidRPr="5580626D">
              <w:rPr>
                <w:rFonts w:asciiTheme="minorHAnsi" w:hAnsiTheme="minorHAnsi" w:cstheme="minorBidi"/>
                <w:sz w:val="20"/>
                <w:szCs w:val="20"/>
              </w:rPr>
              <w:t>)</w:t>
            </w:r>
          </w:p>
        </w:tc>
        <w:tc>
          <w:tcPr>
            <w:tcW w:w="541" w:type="pct"/>
            <w:tcBorders>
              <w:top w:val="single" w:sz="2" w:space="0" w:color="auto"/>
              <w:left w:val="nil"/>
              <w:bottom w:val="single" w:sz="2" w:space="0" w:color="auto"/>
              <w:right w:val="nil"/>
            </w:tcBorders>
            <w:shd w:val="clear" w:color="auto" w:fill="auto"/>
            <w:noWrap/>
            <w:hideMark/>
          </w:tcPr>
          <w:p w14:paraId="5C3D8477" w14:textId="5D586593"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9629EE" w:rsidRPr="5580626D">
              <w:rPr>
                <w:rFonts w:asciiTheme="minorHAnsi" w:hAnsiTheme="minorHAnsi" w:cstheme="minorBidi"/>
                <w:sz w:val="20"/>
                <w:szCs w:val="20"/>
              </w:rPr>
              <w:t>27.3</w:t>
            </w:r>
            <w:r w:rsidRPr="5580626D">
              <w:rPr>
                <w:rFonts w:asciiTheme="minorHAnsi" w:hAnsiTheme="minorHAnsi" w:cstheme="minorBidi"/>
                <w:sz w:val="20"/>
                <w:szCs w:val="20"/>
              </w:rPr>
              <w:t>)</w:t>
            </w:r>
          </w:p>
        </w:tc>
        <w:tc>
          <w:tcPr>
            <w:tcW w:w="549" w:type="pct"/>
            <w:tcBorders>
              <w:top w:val="single" w:sz="2" w:space="0" w:color="auto"/>
              <w:left w:val="nil"/>
              <w:bottom w:val="single" w:sz="2" w:space="0" w:color="auto"/>
              <w:right w:val="nil"/>
            </w:tcBorders>
            <w:shd w:val="clear" w:color="auto" w:fill="auto"/>
            <w:noWrap/>
            <w:hideMark/>
          </w:tcPr>
          <w:p w14:paraId="3F0FC1A4" w14:textId="5467F942"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3A31BF" w:rsidRPr="5580626D">
              <w:rPr>
                <w:rFonts w:asciiTheme="minorHAnsi" w:hAnsiTheme="minorHAnsi" w:cstheme="minorBidi"/>
                <w:sz w:val="20"/>
                <w:szCs w:val="20"/>
              </w:rPr>
              <w:t>(8.7</w:t>
            </w:r>
            <w:r w:rsidRPr="5580626D">
              <w:rPr>
                <w:rFonts w:asciiTheme="minorHAnsi" w:hAnsiTheme="minorHAnsi" w:cstheme="minorBidi"/>
                <w:sz w:val="20"/>
                <w:szCs w:val="20"/>
              </w:rPr>
              <w:t>)</w:t>
            </w:r>
          </w:p>
        </w:tc>
        <w:tc>
          <w:tcPr>
            <w:tcW w:w="549" w:type="pct"/>
            <w:tcBorders>
              <w:top w:val="single" w:sz="2" w:space="0" w:color="auto"/>
              <w:left w:val="nil"/>
              <w:bottom w:val="single" w:sz="2" w:space="0" w:color="auto"/>
              <w:right w:val="nil"/>
            </w:tcBorders>
            <w:shd w:val="clear" w:color="auto" w:fill="auto"/>
            <w:noWrap/>
            <w:hideMark/>
          </w:tcPr>
          <w:p w14:paraId="5A848672" w14:textId="2B57B02C"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072D3C" w:rsidRPr="5580626D">
              <w:rPr>
                <w:rFonts w:asciiTheme="minorHAnsi" w:hAnsiTheme="minorHAnsi" w:cstheme="minorBidi"/>
                <w:sz w:val="20"/>
                <w:szCs w:val="20"/>
              </w:rPr>
              <w:t>0.3</w:t>
            </w:r>
            <w:r w:rsidRPr="5580626D">
              <w:rPr>
                <w:rFonts w:asciiTheme="minorHAnsi" w:hAnsiTheme="minorHAnsi" w:cstheme="minorBidi"/>
                <w:sz w:val="20"/>
                <w:szCs w:val="20"/>
              </w:rPr>
              <w:t>)</w:t>
            </w:r>
          </w:p>
        </w:tc>
        <w:tc>
          <w:tcPr>
            <w:tcW w:w="637" w:type="pct"/>
            <w:tcBorders>
              <w:top w:val="single" w:sz="2" w:space="0" w:color="auto"/>
              <w:left w:val="nil"/>
              <w:bottom w:val="single" w:sz="2" w:space="0" w:color="auto"/>
              <w:right w:val="nil"/>
            </w:tcBorders>
            <w:shd w:val="clear" w:color="auto" w:fill="auto"/>
            <w:noWrap/>
            <w:hideMark/>
          </w:tcPr>
          <w:p w14:paraId="2926A366" w14:textId="5B8DA4D6"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DF5BF6" w:rsidRPr="5580626D">
              <w:rPr>
                <w:rFonts w:asciiTheme="minorHAnsi" w:hAnsiTheme="minorHAnsi" w:cstheme="minorBidi"/>
                <w:sz w:val="20"/>
                <w:szCs w:val="20"/>
              </w:rPr>
              <w:t>34.6</w:t>
            </w:r>
            <w:r w:rsidRPr="5580626D">
              <w:rPr>
                <w:rFonts w:asciiTheme="minorHAnsi" w:hAnsiTheme="minorHAnsi" w:cstheme="minorBidi"/>
                <w:sz w:val="20"/>
                <w:szCs w:val="20"/>
              </w:rPr>
              <w:t>)</w:t>
            </w:r>
          </w:p>
        </w:tc>
        <w:tc>
          <w:tcPr>
            <w:tcW w:w="548" w:type="pct"/>
            <w:tcBorders>
              <w:top w:val="single" w:sz="2" w:space="0" w:color="auto"/>
              <w:left w:val="nil"/>
              <w:bottom w:val="single" w:sz="2" w:space="0" w:color="auto"/>
              <w:right w:val="nil"/>
            </w:tcBorders>
            <w:shd w:val="clear" w:color="auto" w:fill="auto"/>
            <w:noWrap/>
            <w:hideMark/>
          </w:tcPr>
          <w:p w14:paraId="4A574DAE" w14:textId="60F45764"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942F04" w:rsidRPr="5580626D">
              <w:rPr>
                <w:rFonts w:asciiTheme="minorHAnsi" w:hAnsiTheme="minorHAnsi" w:cstheme="minorBidi"/>
                <w:sz w:val="20"/>
                <w:szCs w:val="20"/>
              </w:rPr>
              <w:t>157.0</w:t>
            </w:r>
            <w:r w:rsidRPr="5580626D">
              <w:rPr>
                <w:rFonts w:asciiTheme="minorHAnsi" w:hAnsiTheme="minorHAnsi" w:cstheme="minorBidi"/>
                <w:sz w:val="20"/>
                <w:szCs w:val="20"/>
              </w:rPr>
              <w:t>)</w:t>
            </w:r>
          </w:p>
        </w:tc>
      </w:tr>
      <w:tr w:rsidR="009A000F" w:rsidRPr="005E46B1" w14:paraId="2555D3C9" w14:textId="77777777" w:rsidTr="002D58E3">
        <w:trPr>
          <w:trHeight w:val="397"/>
        </w:trPr>
        <w:tc>
          <w:tcPr>
            <w:tcW w:w="1627" w:type="pct"/>
            <w:tcBorders>
              <w:top w:val="single" w:sz="2" w:space="0" w:color="auto"/>
              <w:left w:val="nil"/>
              <w:bottom w:val="single" w:sz="2" w:space="0" w:color="auto"/>
              <w:right w:val="nil"/>
            </w:tcBorders>
            <w:shd w:val="clear" w:color="auto" w:fill="auto"/>
            <w:vAlign w:val="center"/>
            <w:hideMark/>
          </w:tcPr>
          <w:p w14:paraId="05CDC680" w14:textId="77777777" w:rsidR="009A000F" w:rsidRPr="006D4208" w:rsidRDefault="009A000F" w:rsidP="005D59FA">
            <w:pPr>
              <w:rPr>
                <w:rFonts w:asciiTheme="minorHAnsi" w:hAnsiTheme="minorHAnsi" w:cstheme="minorBidi"/>
                <w:b/>
                <w:sz w:val="20"/>
                <w:szCs w:val="20"/>
              </w:rPr>
            </w:pPr>
            <w:r w:rsidRPr="5580626D">
              <w:rPr>
                <w:rFonts w:asciiTheme="minorHAnsi" w:hAnsiTheme="minorHAnsi" w:cstheme="minorBidi"/>
                <w:b/>
                <w:sz w:val="20"/>
                <w:szCs w:val="20"/>
              </w:rPr>
              <w:t>Adjusted PBT / (LBT)</w:t>
            </w:r>
          </w:p>
        </w:tc>
        <w:tc>
          <w:tcPr>
            <w:tcW w:w="549" w:type="pct"/>
            <w:tcBorders>
              <w:top w:val="single" w:sz="2" w:space="0" w:color="auto"/>
              <w:left w:val="nil"/>
              <w:bottom w:val="single" w:sz="2" w:space="0" w:color="auto"/>
              <w:right w:val="nil"/>
            </w:tcBorders>
            <w:shd w:val="clear" w:color="auto" w:fill="auto"/>
            <w:noWrap/>
            <w:hideMark/>
          </w:tcPr>
          <w:p w14:paraId="4244D406" w14:textId="6D27C9A0"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3B29F1" w:rsidRPr="5580626D">
              <w:rPr>
                <w:rFonts w:asciiTheme="minorHAnsi" w:hAnsiTheme="minorHAnsi" w:cstheme="minorBidi"/>
                <w:sz w:val="20"/>
                <w:szCs w:val="20"/>
              </w:rPr>
              <w:t>33.9</w:t>
            </w:r>
            <w:r w:rsidRPr="5580626D">
              <w:rPr>
                <w:rFonts w:asciiTheme="minorHAnsi" w:hAnsiTheme="minorHAnsi" w:cstheme="minorBidi"/>
                <w:sz w:val="20"/>
                <w:szCs w:val="20"/>
              </w:rPr>
              <w:t xml:space="preserve"> </w:t>
            </w:r>
          </w:p>
        </w:tc>
        <w:tc>
          <w:tcPr>
            <w:tcW w:w="541" w:type="pct"/>
            <w:tcBorders>
              <w:top w:val="single" w:sz="2" w:space="0" w:color="auto"/>
              <w:left w:val="nil"/>
              <w:bottom w:val="single" w:sz="2" w:space="0" w:color="auto"/>
              <w:right w:val="nil"/>
            </w:tcBorders>
            <w:shd w:val="clear" w:color="auto" w:fill="auto"/>
            <w:noWrap/>
            <w:hideMark/>
          </w:tcPr>
          <w:p w14:paraId="6586B482" w14:textId="735EE66D"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C21C16" w:rsidRPr="5580626D">
              <w:rPr>
                <w:rFonts w:asciiTheme="minorHAnsi" w:hAnsiTheme="minorHAnsi" w:cstheme="minorBidi"/>
                <w:sz w:val="20"/>
                <w:szCs w:val="20"/>
              </w:rPr>
              <w:t>8</w:t>
            </w:r>
            <w:r w:rsidR="00E31837">
              <w:rPr>
                <w:rFonts w:asciiTheme="minorHAnsi" w:hAnsiTheme="minorHAnsi" w:cstheme="minorBidi"/>
                <w:sz w:val="20"/>
                <w:szCs w:val="20"/>
              </w:rPr>
              <w:t>.2</w:t>
            </w:r>
            <w:r w:rsidRPr="5580626D">
              <w:rPr>
                <w:rFonts w:asciiTheme="minorHAnsi" w:hAnsiTheme="minorHAnsi" w:cstheme="minorBidi"/>
                <w:sz w:val="20"/>
                <w:szCs w:val="20"/>
              </w:rPr>
              <w:t xml:space="preserve"> </w:t>
            </w:r>
          </w:p>
        </w:tc>
        <w:tc>
          <w:tcPr>
            <w:tcW w:w="549" w:type="pct"/>
            <w:tcBorders>
              <w:top w:val="single" w:sz="2" w:space="0" w:color="auto"/>
              <w:left w:val="nil"/>
              <w:bottom w:val="single" w:sz="2" w:space="0" w:color="auto"/>
              <w:right w:val="nil"/>
            </w:tcBorders>
            <w:shd w:val="clear" w:color="auto" w:fill="auto"/>
            <w:noWrap/>
            <w:hideMark/>
          </w:tcPr>
          <w:p w14:paraId="7BC7C041" w14:textId="63732B20"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3A31BF" w:rsidRPr="5580626D">
              <w:rPr>
                <w:rFonts w:asciiTheme="minorHAnsi" w:hAnsiTheme="minorHAnsi" w:cstheme="minorBidi"/>
                <w:sz w:val="20"/>
                <w:szCs w:val="20"/>
              </w:rPr>
              <w:t>9.3</w:t>
            </w:r>
            <w:r w:rsidRPr="5580626D">
              <w:rPr>
                <w:rFonts w:asciiTheme="minorHAnsi" w:hAnsiTheme="minorHAnsi" w:cstheme="minorBidi"/>
                <w:sz w:val="20"/>
                <w:szCs w:val="20"/>
              </w:rPr>
              <w:t>)</w:t>
            </w:r>
          </w:p>
        </w:tc>
        <w:tc>
          <w:tcPr>
            <w:tcW w:w="549" w:type="pct"/>
            <w:tcBorders>
              <w:top w:val="single" w:sz="2" w:space="0" w:color="auto"/>
              <w:left w:val="nil"/>
              <w:bottom w:val="single" w:sz="2" w:space="0" w:color="auto"/>
              <w:right w:val="nil"/>
            </w:tcBorders>
            <w:shd w:val="clear" w:color="auto" w:fill="auto"/>
            <w:noWrap/>
            <w:hideMark/>
          </w:tcPr>
          <w:p w14:paraId="3927866F" w14:textId="00F4A609"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(0</w:t>
            </w:r>
            <w:r w:rsidR="00072D3C" w:rsidRPr="5580626D">
              <w:rPr>
                <w:rFonts w:asciiTheme="minorHAnsi" w:hAnsiTheme="minorHAnsi" w:cstheme="minorBidi"/>
                <w:sz w:val="20"/>
                <w:szCs w:val="20"/>
              </w:rPr>
              <w:t>.3</w:t>
            </w:r>
            <w:r w:rsidRPr="5580626D">
              <w:rPr>
                <w:rFonts w:asciiTheme="minorHAnsi" w:hAnsiTheme="minorHAnsi" w:cstheme="minorBidi"/>
                <w:sz w:val="20"/>
                <w:szCs w:val="20"/>
              </w:rPr>
              <w:t>)</w:t>
            </w:r>
          </w:p>
        </w:tc>
        <w:tc>
          <w:tcPr>
            <w:tcW w:w="637" w:type="pct"/>
            <w:tcBorders>
              <w:top w:val="single" w:sz="2" w:space="0" w:color="auto"/>
              <w:left w:val="nil"/>
              <w:bottom w:val="single" w:sz="2" w:space="0" w:color="auto"/>
              <w:right w:val="nil"/>
            </w:tcBorders>
            <w:shd w:val="clear" w:color="auto" w:fill="auto"/>
            <w:noWrap/>
            <w:hideMark/>
          </w:tcPr>
          <w:p w14:paraId="3C5D1DE0" w14:textId="41D1B842"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DF5BF6" w:rsidRPr="5580626D">
              <w:rPr>
                <w:rFonts w:asciiTheme="minorHAnsi" w:hAnsiTheme="minorHAnsi" w:cstheme="minorBidi"/>
                <w:sz w:val="20"/>
                <w:szCs w:val="20"/>
              </w:rPr>
              <w:t>45</w:t>
            </w:r>
            <w:r w:rsidRPr="5580626D">
              <w:rPr>
                <w:rFonts w:asciiTheme="minorHAnsi" w:hAnsiTheme="minorHAnsi" w:cstheme="minorBidi"/>
                <w:sz w:val="20"/>
                <w:szCs w:val="20"/>
              </w:rPr>
              <w:t>.4)</w:t>
            </w:r>
          </w:p>
        </w:tc>
        <w:tc>
          <w:tcPr>
            <w:tcW w:w="548" w:type="pct"/>
            <w:tcBorders>
              <w:top w:val="single" w:sz="2" w:space="0" w:color="auto"/>
              <w:left w:val="nil"/>
              <w:bottom w:val="single" w:sz="2" w:space="0" w:color="auto"/>
              <w:right w:val="nil"/>
            </w:tcBorders>
            <w:shd w:val="clear" w:color="auto" w:fill="auto"/>
            <w:noWrap/>
            <w:hideMark/>
          </w:tcPr>
          <w:p w14:paraId="5B4FF423" w14:textId="2A14EE51" w:rsidR="009A000F" w:rsidRPr="00A03A22" w:rsidRDefault="009A000F" w:rsidP="005D59FA">
            <w:pPr>
              <w:jc w:val="right"/>
              <w:rPr>
                <w:rFonts w:asciiTheme="minorHAnsi" w:hAnsiTheme="minorHAnsi" w:cstheme="minorBidi"/>
                <w:sz w:val="20"/>
                <w:szCs w:val="20"/>
              </w:rPr>
            </w:pPr>
            <w:r w:rsidRPr="5580626D">
              <w:rPr>
                <w:rFonts w:asciiTheme="minorHAnsi" w:hAnsiTheme="minorHAnsi" w:cstheme="minorBidi"/>
                <w:sz w:val="20"/>
                <w:szCs w:val="20"/>
              </w:rPr>
              <w:t xml:space="preserve"> </w:t>
            </w:r>
            <w:r w:rsidR="00942F04" w:rsidRPr="5580626D">
              <w:rPr>
                <w:rFonts w:asciiTheme="minorHAnsi" w:hAnsiTheme="minorHAnsi" w:cstheme="minorBidi"/>
                <w:sz w:val="20"/>
                <w:szCs w:val="20"/>
              </w:rPr>
              <w:t>(</w:t>
            </w:r>
            <w:r w:rsidR="008D4BA5">
              <w:rPr>
                <w:rFonts w:asciiTheme="minorHAnsi" w:hAnsiTheme="minorHAnsi" w:cstheme="minorBidi"/>
                <w:sz w:val="20"/>
                <w:szCs w:val="20"/>
              </w:rPr>
              <w:t>12.</w:t>
            </w:r>
            <w:r w:rsidR="00D8485B" w:rsidRPr="5580626D">
              <w:rPr>
                <w:rFonts w:asciiTheme="minorHAnsi" w:hAnsiTheme="minorHAnsi" w:cstheme="minorBidi"/>
                <w:sz w:val="20"/>
                <w:szCs w:val="20"/>
              </w:rPr>
              <w:t>9</w:t>
            </w:r>
            <w:r w:rsidR="00942F04" w:rsidRPr="5580626D">
              <w:rPr>
                <w:rFonts w:asciiTheme="minorHAnsi" w:hAnsiTheme="minorHAnsi" w:cstheme="minorBidi"/>
                <w:sz w:val="20"/>
                <w:szCs w:val="20"/>
              </w:rPr>
              <w:t>)</w:t>
            </w:r>
            <w:r w:rsidRPr="5580626D">
              <w:rPr>
                <w:rFonts w:asciiTheme="minorHAnsi" w:hAnsiTheme="minorHAnsi" w:cstheme="minorBidi"/>
                <w:sz w:val="20"/>
                <w:szCs w:val="20"/>
              </w:rPr>
              <w:t xml:space="preserve"> </w:t>
            </w:r>
          </w:p>
        </w:tc>
      </w:tr>
    </w:tbl>
    <w:p w14:paraId="507DAF1A" w14:textId="3D27B5D3" w:rsidR="0040155F" w:rsidRPr="002725AC" w:rsidRDefault="0056591D" w:rsidP="00E534C5">
      <w:pPr>
        <w:pStyle w:val="NoSpacing"/>
        <w:jc w:val="both"/>
        <w:rPr>
          <w:rFonts w:ascii="Calibri" w:eastAsia="Calibri" w:hAnsi="Calibri" w:cs="Calibri"/>
          <w:i/>
          <w:sz w:val="20"/>
          <w:szCs w:val="20"/>
        </w:rPr>
      </w:pPr>
      <w:r w:rsidRPr="002725AC">
        <w:rPr>
          <w:rFonts w:ascii="Calibri" w:eastAsia="Calibri" w:hAnsi="Calibri" w:cs="Calibri"/>
          <w:i/>
          <w:sz w:val="20"/>
          <w:szCs w:val="20"/>
          <w:vertAlign w:val="superscript"/>
        </w:rPr>
        <w:t>1</w:t>
      </w:r>
      <w:r w:rsidRPr="002725AC">
        <w:rPr>
          <w:rFonts w:ascii="Calibri" w:eastAsia="Calibri" w:hAnsi="Calibri" w:cs="Calibri"/>
          <w:i/>
          <w:sz w:val="20"/>
          <w:szCs w:val="20"/>
        </w:rPr>
        <w:t xml:space="preserve"> Other includes Snoop and Second Charge Mortgages</w:t>
      </w:r>
    </w:p>
    <w:p w14:paraId="14668462" w14:textId="77777777" w:rsidR="000652AC" w:rsidRDefault="000652AC" w:rsidP="00E534C5">
      <w:pPr>
        <w:pStyle w:val="NoSpacing"/>
        <w:jc w:val="both"/>
        <w:rPr>
          <w:rStyle w:val="Strong"/>
          <w:color w:val="4747FF"/>
        </w:rPr>
      </w:pPr>
    </w:p>
    <w:p w14:paraId="181B0CF7" w14:textId="70D77313" w:rsidR="00F01EC8" w:rsidRDefault="00AE29B0" w:rsidP="00E534C5">
      <w:pPr>
        <w:pStyle w:val="NoSpacing"/>
        <w:jc w:val="both"/>
        <w:rPr>
          <w:rStyle w:val="Strong"/>
          <w:color w:val="4747FF"/>
        </w:rPr>
      </w:pPr>
      <w:r w:rsidRPr="00701439">
        <w:rPr>
          <w:rStyle w:val="Strong"/>
          <w:color w:val="4747FF"/>
        </w:rPr>
        <w:t>Credit Cards</w:t>
      </w:r>
    </w:p>
    <w:p w14:paraId="2DD41913" w14:textId="77777777" w:rsidR="00E04DBF" w:rsidRDefault="00E04DBF" w:rsidP="00E534C5">
      <w:pPr>
        <w:pStyle w:val="NoSpacing"/>
        <w:jc w:val="both"/>
        <w:rPr>
          <w:rStyle w:val="Strong"/>
          <w:color w:val="4747FF"/>
        </w:rPr>
      </w:pPr>
    </w:p>
    <w:tbl>
      <w:tblPr>
        <w:tblW w:w="9831" w:type="dxa"/>
        <w:tblInd w:w="-108"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928"/>
        <w:gridCol w:w="1346"/>
        <w:gridCol w:w="1900"/>
        <w:gridCol w:w="1657"/>
      </w:tblGrid>
      <w:tr w:rsidR="00A865FD" w:rsidRPr="003357B0" w14:paraId="3C2DDA42" w14:textId="77777777" w:rsidTr="2CF31E8D">
        <w:trPr>
          <w:trHeight w:val="390"/>
        </w:trPr>
        <w:tc>
          <w:tcPr>
            <w:tcW w:w="4928" w:type="dxa"/>
            <w:tcBorders>
              <w:top w:val="nil"/>
              <w:left w:val="nil"/>
              <w:bottom w:val="nil"/>
              <w:right w:val="nil"/>
            </w:tcBorders>
            <w:tcMar>
              <w:top w:w="60" w:type="dxa"/>
              <w:bottom w:w="60" w:type="dxa"/>
            </w:tcMar>
            <w:vAlign w:val="bottom"/>
          </w:tcPr>
          <w:p w14:paraId="17955241" w14:textId="77777777" w:rsidR="008729BA" w:rsidRPr="003357B0" w:rsidRDefault="008729BA" w:rsidP="00AF5A74">
            <w:pPr>
              <w:rPr>
                <w:rFonts w:asciiTheme="minorHAnsi" w:hAnsiTheme="minorHAnsi" w:cstheme="minorBidi"/>
                <w:sz w:val="20"/>
                <w:szCs w:val="20"/>
              </w:rPr>
            </w:pPr>
          </w:p>
        </w:tc>
        <w:tc>
          <w:tcPr>
            <w:tcW w:w="4903" w:type="dxa"/>
            <w:gridSpan w:val="3"/>
            <w:tcBorders>
              <w:top w:val="nil"/>
              <w:left w:val="nil"/>
              <w:bottom w:val="nil"/>
              <w:right w:val="nil"/>
            </w:tcBorders>
            <w:shd w:val="clear" w:color="auto" w:fill="auto"/>
            <w:vAlign w:val="center"/>
          </w:tcPr>
          <w:p w14:paraId="01B5F2BC" w14:textId="1DCB9784" w:rsidR="008729BA" w:rsidRPr="008729BA" w:rsidRDefault="008729BA" w:rsidP="008729BA">
            <w:pPr>
              <w:ind w:right="115"/>
              <w:jc w:val="center"/>
              <w:rPr>
                <w:rFonts w:asciiTheme="minorHAnsi" w:eastAsia="Poppins" w:hAnsiTheme="minorHAnsi" w:cstheme="minorBidi"/>
                <w:sz w:val="20"/>
                <w:szCs w:val="20"/>
              </w:rPr>
            </w:pPr>
            <w:r w:rsidRPr="0907C099">
              <w:rPr>
                <w:rFonts w:asciiTheme="minorHAnsi" w:eastAsia="Poppins" w:hAnsiTheme="minorHAnsi" w:cstheme="minorBidi"/>
                <w:sz w:val="20"/>
                <w:szCs w:val="20"/>
              </w:rPr>
              <w:t>Six months ended</w:t>
            </w:r>
            <w:r w:rsidR="00766E5F">
              <w:rPr>
                <w:rFonts w:asciiTheme="minorHAnsi" w:eastAsia="Poppins" w:hAnsiTheme="minorHAnsi" w:cstheme="minorBidi"/>
                <w:sz w:val="20"/>
                <w:szCs w:val="20"/>
              </w:rPr>
              <w:t xml:space="preserve"> 30 June</w:t>
            </w:r>
          </w:p>
        </w:tc>
      </w:tr>
      <w:tr w:rsidR="00B674CF" w:rsidRPr="003357B0" w14:paraId="13E8916D" w14:textId="77777777" w:rsidTr="2CF31E8D">
        <w:trPr>
          <w:trHeight w:val="390"/>
        </w:trPr>
        <w:tc>
          <w:tcPr>
            <w:tcW w:w="4928" w:type="dxa"/>
            <w:tcBorders>
              <w:top w:val="nil"/>
              <w:left w:val="nil"/>
              <w:bottom w:val="single" w:sz="4" w:space="0" w:color="auto"/>
              <w:right w:val="nil"/>
            </w:tcBorders>
            <w:tcMar>
              <w:top w:w="60" w:type="dxa"/>
              <w:bottom w:w="60" w:type="dxa"/>
            </w:tcMar>
            <w:vAlign w:val="bottom"/>
          </w:tcPr>
          <w:p w14:paraId="36B0FE7C" w14:textId="77777777" w:rsidR="00E04DBF" w:rsidRPr="003357B0" w:rsidRDefault="00E04DBF" w:rsidP="00AF5A74">
            <w:pPr>
              <w:rPr>
                <w:rFonts w:asciiTheme="minorHAnsi" w:hAnsiTheme="minorHAnsi" w:cstheme="minorBidi"/>
                <w:sz w:val="20"/>
                <w:szCs w:val="20"/>
              </w:rPr>
            </w:pPr>
          </w:p>
        </w:tc>
        <w:tc>
          <w:tcPr>
            <w:tcW w:w="1346" w:type="dxa"/>
            <w:tcBorders>
              <w:top w:val="nil"/>
              <w:left w:val="nil"/>
              <w:bottom w:val="single" w:sz="4" w:space="0" w:color="auto"/>
              <w:right w:val="nil"/>
            </w:tcBorders>
            <w:shd w:val="clear" w:color="auto" w:fill="F2F2F2" w:themeFill="background1" w:themeFillShade="F2"/>
            <w:vAlign w:val="center"/>
          </w:tcPr>
          <w:p w14:paraId="3F1FACA5" w14:textId="27592E7B" w:rsidR="00E04DBF" w:rsidRPr="005E46B1" w:rsidRDefault="00E04DBF" w:rsidP="00AF5A74">
            <w:pPr>
              <w:spacing w:line="259" w:lineRule="auto"/>
              <w:ind w:right="115"/>
              <w:jc w:val="right"/>
              <w:rPr>
                <w:rFonts w:asciiTheme="minorHAnsi" w:hAnsiTheme="minorHAnsi" w:cstheme="minorBidi"/>
                <w:sz w:val="20"/>
                <w:szCs w:val="20"/>
              </w:rPr>
            </w:pPr>
            <w:r w:rsidRPr="0907C099">
              <w:rPr>
                <w:rFonts w:asciiTheme="minorHAnsi" w:eastAsia="Poppins" w:hAnsiTheme="minorHAnsi" w:cstheme="minorBidi"/>
                <w:b/>
                <w:sz w:val="20"/>
                <w:szCs w:val="20"/>
              </w:rPr>
              <w:t>2024</w:t>
            </w:r>
          </w:p>
          <w:p w14:paraId="3D2F085D" w14:textId="77777777" w:rsidR="00E04DBF" w:rsidRPr="003357B0" w:rsidRDefault="00E04DBF" w:rsidP="00AF5A74">
            <w:pPr>
              <w:ind w:right="115"/>
              <w:jc w:val="right"/>
              <w:rPr>
                <w:rFonts w:asciiTheme="minorHAnsi" w:eastAsia="Poppins" w:hAnsiTheme="minorHAnsi" w:cstheme="minorBidi"/>
                <w:sz w:val="20"/>
                <w:szCs w:val="20"/>
              </w:rPr>
            </w:pPr>
            <w:r w:rsidRPr="0907C099">
              <w:rPr>
                <w:rFonts w:asciiTheme="minorHAnsi" w:eastAsia="Poppins" w:hAnsiTheme="minorHAnsi" w:cstheme="minorBidi"/>
                <w:b/>
                <w:sz w:val="20"/>
                <w:szCs w:val="20"/>
              </w:rPr>
              <w:t>£m</w:t>
            </w:r>
          </w:p>
        </w:tc>
        <w:tc>
          <w:tcPr>
            <w:tcW w:w="1900" w:type="dxa"/>
            <w:tcBorders>
              <w:top w:val="nil"/>
              <w:left w:val="nil"/>
              <w:bottom w:val="single" w:sz="4" w:space="0" w:color="auto"/>
              <w:right w:val="nil"/>
            </w:tcBorders>
            <w:vAlign w:val="center"/>
          </w:tcPr>
          <w:p w14:paraId="5060AA21" w14:textId="1BA25C4C" w:rsidR="00E04DBF" w:rsidRPr="003357B0" w:rsidRDefault="00E04DBF" w:rsidP="00AF5A74">
            <w:pPr>
              <w:jc w:val="right"/>
              <w:rPr>
                <w:rFonts w:asciiTheme="minorHAnsi" w:eastAsia="Poppins" w:hAnsiTheme="minorHAnsi" w:cstheme="minorBidi"/>
                <w:sz w:val="20"/>
                <w:szCs w:val="20"/>
              </w:rPr>
            </w:pPr>
            <w:r w:rsidRPr="0907C099">
              <w:rPr>
                <w:rFonts w:asciiTheme="minorHAnsi" w:eastAsia="Poppins" w:hAnsiTheme="minorHAnsi" w:cstheme="minorBidi"/>
                <w:sz w:val="20"/>
                <w:szCs w:val="20"/>
              </w:rPr>
              <w:t>2023</w:t>
            </w:r>
          </w:p>
          <w:p w14:paraId="276BA5BB" w14:textId="77777777" w:rsidR="00E04DBF" w:rsidRPr="003357B0" w:rsidRDefault="00E04DBF" w:rsidP="00AF5A74">
            <w:pPr>
              <w:jc w:val="right"/>
              <w:rPr>
                <w:rFonts w:asciiTheme="minorHAnsi" w:eastAsia="Poppins" w:hAnsiTheme="minorHAnsi" w:cstheme="minorBidi"/>
                <w:sz w:val="20"/>
                <w:szCs w:val="20"/>
                <w:vertAlign w:val="superscript"/>
              </w:rPr>
            </w:pPr>
            <w:r w:rsidRPr="0907C099">
              <w:rPr>
                <w:rFonts w:asciiTheme="minorHAnsi" w:eastAsia="Poppins" w:hAnsiTheme="minorHAnsi" w:cstheme="minorBidi"/>
                <w:sz w:val="20"/>
                <w:szCs w:val="20"/>
              </w:rPr>
              <w:t>£m</w:t>
            </w:r>
          </w:p>
        </w:tc>
        <w:tc>
          <w:tcPr>
            <w:tcW w:w="1657" w:type="dxa"/>
            <w:tcBorders>
              <w:top w:val="nil"/>
              <w:left w:val="nil"/>
              <w:bottom w:val="single" w:sz="4" w:space="0" w:color="auto"/>
              <w:right w:val="nil"/>
            </w:tcBorders>
            <w:vAlign w:val="center"/>
          </w:tcPr>
          <w:p w14:paraId="67C1C66E" w14:textId="77777777" w:rsidR="00E04DBF" w:rsidRPr="003357B0" w:rsidRDefault="00E04DBF" w:rsidP="00AF5A74">
            <w:pPr>
              <w:ind w:right="115"/>
              <w:jc w:val="right"/>
              <w:rPr>
                <w:rFonts w:asciiTheme="minorHAnsi" w:eastAsia="Poppins" w:hAnsiTheme="minorHAnsi" w:cstheme="minorBidi"/>
                <w:i/>
                <w:sz w:val="20"/>
                <w:szCs w:val="20"/>
              </w:rPr>
            </w:pPr>
            <w:r w:rsidRPr="0907C099">
              <w:rPr>
                <w:rFonts w:asciiTheme="minorHAnsi" w:eastAsia="Poppins" w:hAnsiTheme="minorHAnsi" w:cstheme="minorBidi"/>
                <w:i/>
                <w:sz w:val="20"/>
                <w:szCs w:val="20"/>
              </w:rPr>
              <w:t>Change</w:t>
            </w:r>
          </w:p>
          <w:p w14:paraId="0FE65F74" w14:textId="77777777" w:rsidR="00E04DBF" w:rsidRPr="003357B0" w:rsidRDefault="00E04DBF" w:rsidP="00AF5A74">
            <w:pPr>
              <w:ind w:right="115"/>
              <w:jc w:val="right"/>
              <w:rPr>
                <w:rFonts w:asciiTheme="minorHAnsi" w:eastAsia="Poppins" w:hAnsiTheme="minorHAnsi" w:cstheme="minorBidi"/>
                <w:i/>
                <w:sz w:val="20"/>
                <w:szCs w:val="20"/>
              </w:rPr>
            </w:pPr>
            <w:r w:rsidRPr="0907C099">
              <w:rPr>
                <w:rFonts w:asciiTheme="minorHAnsi" w:eastAsia="Poppins" w:hAnsiTheme="minorHAnsi" w:cstheme="minorBidi"/>
                <w:i/>
                <w:sz w:val="20"/>
                <w:szCs w:val="20"/>
              </w:rPr>
              <w:t>(%)</w:t>
            </w:r>
          </w:p>
        </w:tc>
      </w:tr>
      <w:tr w:rsidR="00473125" w:rsidRPr="00C87FB6" w14:paraId="4ED03042" w14:textId="77777777" w:rsidTr="2CF31E8D">
        <w:trPr>
          <w:trHeight w:val="240"/>
        </w:trPr>
        <w:tc>
          <w:tcPr>
            <w:tcW w:w="4928" w:type="dxa"/>
            <w:tcBorders>
              <w:top w:val="single" w:sz="4" w:space="0" w:color="auto"/>
              <w:left w:val="nil"/>
              <w:bottom w:val="single" w:sz="4" w:space="0" w:color="FFFFFF" w:themeColor="background1"/>
              <w:right w:val="nil"/>
            </w:tcBorders>
            <w:vAlign w:val="center"/>
          </w:tcPr>
          <w:p w14:paraId="5C1FC37C" w14:textId="77777777" w:rsidR="00E04DBF" w:rsidRPr="003357B0" w:rsidRDefault="00E04DBF" w:rsidP="00AF5A74">
            <w:pPr>
              <w:ind w:right="115"/>
              <w:rPr>
                <w:rFonts w:asciiTheme="minorHAnsi" w:eastAsia="Poppins" w:hAnsiTheme="minorHAnsi" w:cstheme="minorBidi"/>
                <w:sz w:val="20"/>
                <w:szCs w:val="20"/>
              </w:rPr>
            </w:pPr>
            <w:r w:rsidRPr="0907C099">
              <w:rPr>
                <w:rFonts w:asciiTheme="minorHAnsi" w:eastAsia="Poppins" w:hAnsiTheme="minorHAnsi" w:cstheme="minorBidi"/>
                <w:sz w:val="20"/>
                <w:szCs w:val="20"/>
              </w:rPr>
              <w:t>Total customer numbers (‘000)</w:t>
            </w:r>
          </w:p>
        </w:tc>
        <w:tc>
          <w:tcPr>
            <w:tcW w:w="1346" w:type="dxa"/>
            <w:tcBorders>
              <w:top w:val="single" w:sz="4" w:space="0" w:color="auto"/>
              <w:left w:val="nil"/>
              <w:bottom w:val="nil"/>
              <w:right w:val="nil"/>
            </w:tcBorders>
            <w:shd w:val="clear" w:color="auto" w:fill="F2F2F2" w:themeFill="background1" w:themeFillShade="F2"/>
          </w:tcPr>
          <w:p w14:paraId="499B516D" w14:textId="776FBF83" w:rsidR="00E04DBF" w:rsidRPr="006D4208" w:rsidRDefault="00F5691C" w:rsidP="00AF5A74">
            <w:pPr>
              <w:jc w:val="right"/>
              <w:rPr>
                <w:rFonts w:asciiTheme="minorHAnsi" w:hAnsiTheme="minorHAnsi" w:cstheme="minorBidi"/>
                <w:b/>
                <w:sz w:val="20"/>
                <w:szCs w:val="20"/>
              </w:rPr>
            </w:pPr>
            <w:r w:rsidRPr="0907C099">
              <w:rPr>
                <w:rFonts w:asciiTheme="minorHAnsi" w:hAnsiTheme="minorHAnsi" w:cstheme="minorBidi"/>
                <w:b/>
                <w:sz w:val="20"/>
                <w:szCs w:val="20"/>
              </w:rPr>
              <w:t>1,</w:t>
            </w:r>
            <w:r w:rsidR="007619FC" w:rsidRPr="0907C099">
              <w:rPr>
                <w:rFonts w:asciiTheme="minorHAnsi" w:hAnsiTheme="minorHAnsi" w:cstheme="minorBidi"/>
                <w:b/>
                <w:sz w:val="20"/>
                <w:szCs w:val="20"/>
              </w:rPr>
              <w:t>320.9</w:t>
            </w:r>
          </w:p>
        </w:tc>
        <w:tc>
          <w:tcPr>
            <w:tcW w:w="1900" w:type="dxa"/>
            <w:tcBorders>
              <w:top w:val="single" w:sz="4" w:space="0" w:color="auto"/>
              <w:left w:val="nil"/>
              <w:bottom w:val="single" w:sz="4" w:space="0" w:color="FFFFFF" w:themeColor="background1"/>
              <w:right w:val="nil"/>
            </w:tcBorders>
            <w:vAlign w:val="bottom"/>
          </w:tcPr>
          <w:p w14:paraId="668F9338" w14:textId="2027BABD" w:rsidR="00E04DBF" w:rsidRPr="006D4208" w:rsidRDefault="00E04DBF" w:rsidP="00AF5A74">
            <w:pPr>
              <w:jc w:val="right"/>
              <w:rPr>
                <w:rFonts w:asciiTheme="minorHAnsi" w:hAnsiTheme="minorHAnsi" w:cstheme="minorBidi"/>
                <w:sz w:val="20"/>
                <w:szCs w:val="20"/>
              </w:rPr>
            </w:pPr>
            <w:r w:rsidRPr="0907C099">
              <w:rPr>
                <w:rFonts w:asciiTheme="minorHAnsi" w:hAnsiTheme="minorHAnsi" w:cstheme="minorBidi"/>
                <w:sz w:val="20"/>
                <w:szCs w:val="20"/>
              </w:rPr>
              <w:t>1,</w:t>
            </w:r>
            <w:r w:rsidR="00ED4671" w:rsidRPr="0907C099">
              <w:rPr>
                <w:rFonts w:asciiTheme="minorHAnsi" w:hAnsiTheme="minorHAnsi" w:cstheme="minorBidi"/>
                <w:sz w:val="20"/>
                <w:szCs w:val="20"/>
              </w:rPr>
              <w:t>617.3</w:t>
            </w:r>
          </w:p>
        </w:tc>
        <w:tc>
          <w:tcPr>
            <w:tcW w:w="1657" w:type="dxa"/>
            <w:tcBorders>
              <w:top w:val="single" w:sz="4" w:space="0" w:color="auto"/>
              <w:left w:val="nil"/>
              <w:bottom w:val="single" w:sz="4" w:space="0" w:color="FFFFFF" w:themeColor="background1"/>
              <w:right w:val="nil"/>
            </w:tcBorders>
          </w:tcPr>
          <w:p w14:paraId="2D0FB645" w14:textId="0CE84CBE" w:rsidR="00E04DBF" w:rsidRPr="006D4208" w:rsidRDefault="00E04DBF" w:rsidP="00AF5A74">
            <w:pPr>
              <w:jc w:val="right"/>
              <w:rPr>
                <w:rFonts w:asciiTheme="minorHAnsi" w:hAnsiTheme="minorHAnsi" w:cstheme="minorBidi"/>
                <w:i/>
                <w:sz w:val="20"/>
                <w:szCs w:val="20"/>
              </w:rPr>
            </w:pPr>
            <w:r w:rsidRPr="0907C099">
              <w:rPr>
                <w:rFonts w:asciiTheme="minorHAnsi" w:hAnsiTheme="minorHAnsi" w:cstheme="minorBidi"/>
                <w:i/>
                <w:sz w:val="20"/>
                <w:szCs w:val="20"/>
              </w:rPr>
              <w:t>(</w:t>
            </w:r>
            <w:r w:rsidR="00AA6FAD" w:rsidRPr="0907C099">
              <w:rPr>
                <w:rFonts w:asciiTheme="minorHAnsi" w:hAnsiTheme="minorHAnsi" w:cstheme="minorBidi"/>
                <w:i/>
                <w:sz w:val="20"/>
                <w:szCs w:val="20"/>
              </w:rPr>
              <w:t>18.3</w:t>
            </w:r>
            <w:r w:rsidRPr="0907C099">
              <w:rPr>
                <w:rFonts w:asciiTheme="minorHAnsi" w:hAnsiTheme="minorHAnsi" w:cstheme="minorBidi"/>
                <w:i/>
                <w:sz w:val="20"/>
                <w:szCs w:val="20"/>
              </w:rPr>
              <w:t>)</w:t>
            </w:r>
          </w:p>
        </w:tc>
      </w:tr>
      <w:tr w:rsidR="00473125" w:rsidRPr="00C87FB6" w14:paraId="2C767D0E" w14:textId="77777777" w:rsidTr="2CF31E8D">
        <w:trPr>
          <w:trHeight w:val="240"/>
        </w:trPr>
        <w:tc>
          <w:tcPr>
            <w:tcW w:w="4928" w:type="dxa"/>
            <w:tcBorders>
              <w:top w:val="single" w:sz="4" w:space="0" w:color="FFFFFF" w:themeColor="background1"/>
              <w:left w:val="nil"/>
              <w:bottom w:val="single" w:sz="4" w:space="0" w:color="FFFFFF" w:themeColor="background1"/>
              <w:right w:val="nil"/>
            </w:tcBorders>
            <w:vAlign w:val="center"/>
          </w:tcPr>
          <w:p w14:paraId="23D840D9" w14:textId="77777777" w:rsidR="00E04DBF" w:rsidRPr="00C87FB6" w:rsidRDefault="00E04DBF" w:rsidP="00AF5A74">
            <w:pPr>
              <w:ind w:right="115"/>
              <w:rPr>
                <w:rFonts w:asciiTheme="minorHAnsi" w:eastAsia="Poppins" w:hAnsiTheme="minorHAnsi" w:cstheme="minorBidi"/>
                <w:sz w:val="20"/>
                <w:szCs w:val="20"/>
              </w:rPr>
            </w:pPr>
            <w:r w:rsidRPr="0907C099">
              <w:rPr>
                <w:rFonts w:asciiTheme="minorHAnsi" w:eastAsia="Poppins" w:hAnsiTheme="minorHAnsi" w:cstheme="minorBidi"/>
                <w:sz w:val="20"/>
                <w:szCs w:val="20"/>
              </w:rPr>
              <w:t>New customer bookings (‘000)</w:t>
            </w:r>
          </w:p>
        </w:tc>
        <w:tc>
          <w:tcPr>
            <w:tcW w:w="1346" w:type="dxa"/>
            <w:tcBorders>
              <w:top w:val="nil"/>
              <w:left w:val="nil"/>
              <w:bottom w:val="nil"/>
              <w:right w:val="nil"/>
            </w:tcBorders>
            <w:shd w:val="clear" w:color="auto" w:fill="F2F2F2" w:themeFill="background1" w:themeFillShade="F2"/>
          </w:tcPr>
          <w:p w14:paraId="3A3C9BC0" w14:textId="60F6247C" w:rsidR="00E04DBF" w:rsidRPr="006D4208" w:rsidRDefault="007619FC" w:rsidP="00AF5A74">
            <w:pPr>
              <w:jc w:val="right"/>
              <w:rPr>
                <w:rFonts w:asciiTheme="minorHAnsi" w:hAnsiTheme="minorHAnsi" w:cstheme="minorBidi"/>
                <w:b/>
                <w:sz w:val="20"/>
                <w:szCs w:val="20"/>
              </w:rPr>
            </w:pPr>
            <w:r w:rsidRPr="0907C099">
              <w:rPr>
                <w:rFonts w:asciiTheme="minorHAnsi" w:hAnsiTheme="minorHAnsi" w:cstheme="minorBidi"/>
                <w:b/>
                <w:sz w:val="20"/>
                <w:szCs w:val="20"/>
              </w:rPr>
              <w:t>56.8</w:t>
            </w:r>
          </w:p>
        </w:tc>
        <w:tc>
          <w:tcPr>
            <w:tcW w:w="1900" w:type="dxa"/>
            <w:tcBorders>
              <w:top w:val="single" w:sz="4" w:space="0" w:color="FFFFFF" w:themeColor="background1"/>
              <w:left w:val="nil"/>
              <w:bottom w:val="single" w:sz="4" w:space="0" w:color="FFFFFF" w:themeColor="background1"/>
              <w:right w:val="nil"/>
            </w:tcBorders>
            <w:vAlign w:val="bottom"/>
          </w:tcPr>
          <w:p w14:paraId="422FE333" w14:textId="7AB89F9A" w:rsidR="00E04DBF" w:rsidRPr="006D4208" w:rsidRDefault="00AD36D6" w:rsidP="00AF5A74">
            <w:pPr>
              <w:jc w:val="right"/>
              <w:rPr>
                <w:rFonts w:asciiTheme="minorHAnsi" w:hAnsiTheme="minorHAnsi" w:cstheme="minorBidi"/>
                <w:sz w:val="20"/>
                <w:szCs w:val="20"/>
              </w:rPr>
            </w:pPr>
            <w:r w:rsidRPr="0907C099">
              <w:rPr>
                <w:rFonts w:asciiTheme="minorHAnsi" w:hAnsiTheme="minorHAnsi" w:cstheme="minorBidi"/>
                <w:sz w:val="20"/>
                <w:szCs w:val="20"/>
              </w:rPr>
              <w:t>182.8</w:t>
            </w:r>
          </w:p>
        </w:tc>
        <w:tc>
          <w:tcPr>
            <w:tcW w:w="1657" w:type="dxa"/>
            <w:tcBorders>
              <w:top w:val="single" w:sz="4" w:space="0" w:color="FFFFFF" w:themeColor="background1"/>
              <w:left w:val="nil"/>
              <w:bottom w:val="single" w:sz="4" w:space="0" w:color="FFFFFF" w:themeColor="background1"/>
              <w:right w:val="nil"/>
            </w:tcBorders>
          </w:tcPr>
          <w:p w14:paraId="422BFC2F" w14:textId="4953CBAD" w:rsidR="00E04DBF" w:rsidRPr="006D4208" w:rsidRDefault="007B503F" w:rsidP="00AF5A74">
            <w:pPr>
              <w:jc w:val="right"/>
              <w:rPr>
                <w:rFonts w:asciiTheme="minorHAnsi" w:hAnsiTheme="minorHAnsi" w:cstheme="minorBidi"/>
                <w:i/>
                <w:sz w:val="20"/>
                <w:szCs w:val="20"/>
              </w:rPr>
            </w:pPr>
            <w:r w:rsidRPr="0907C099">
              <w:rPr>
                <w:rFonts w:asciiTheme="minorHAnsi" w:hAnsiTheme="minorHAnsi" w:cstheme="minorBidi"/>
                <w:i/>
                <w:sz w:val="20"/>
                <w:szCs w:val="20"/>
              </w:rPr>
              <w:t>(68.9)</w:t>
            </w:r>
          </w:p>
        </w:tc>
      </w:tr>
      <w:tr w:rsidR="00473125" w:rsidRPr="00C87FB6" w14:paraId="7BB0AC7A" w14:textId="77777777" w:rsidTr="2CF31E8D">
        <w:trPr>
          <w:trHeight w:val="240"/>
        </w:trPr>
        <w:tc>
          <w:tcPr>
            <w:tcW w:w="4928" w:type="dxa"/>
            <w:tcBorders>
              <w:top w:val="single" w:sz="4" w:space="0" w:color="FFFFFF" w:themeColor="background1"/>
              <w:left w:val="nil"/>
              <w:bottom w:val="single" w:sz="4" w:space="0" w:color="FFFFFF" w:themeColor="background1"/>
              <w:right w:val="nil"/>
            </w:tcBorders>
            <w:vAlign w:val="center"/>
          </w:tcPr>
          <w:p w14:paraId="58A83DBA" w14:textId="77777777" w:rsidR="00E04DBF" w:rsidRPr="00C87FB6" w:rsidRDefault="00E04DBF" w:rsidP="00AF5A74">
            <w:pPr>
              <w:ind w:right="115"/>
              <w:rPr>
                <w:rFonts w:asciiTheme="minorHAnsi" w:eastAsia="Poppins" w:hAnsiTheme="minorHAnsi" w:cstheme="minorBidi"/>
                <w:sz w:val="20"/>
                <w:szCs w:val="20"/>
              </w:rPr>
            </w:pPr>
            <w:r w:rsidRPr="0907C099">
              <w:rPr>
                <w:rFonts w:asciiTheme="minorHAnsi" w:eastAsia="Poppins" w:hAnsiTheme="minorHAnsi" w:cstheme="minorBidi"/>
                <w:sz w:val="20"/>
                <w:szCs w:val="20"/>
              </w:rPr>
              <w:t>Period-end receivables</w:t>
            </w:r>
          </w:p>
        </w:tc>
        <w:tc>
          <w:tcPr>
            <w:tcW w:w="1346" w:type="dxa"/>
            <w:tcBorders>
              <w:top w:val="nil"/>
              <w:left w:val="nil"/>
              <w:bottom w:val="nil"/>
              <w:right w:val="nil"/>
            </w:tcBorders>
            <w:shd w:val="clear" w:color="auto" w:fill="F2F2F2" w:themeFill="background1" w:themeFillShade="F2"/>
          </w:tcPr>
          <w:p w14:paraId="4954F8E3" w14:textId="4A5201E7" w:rsidR="00E04DBF" w:rsidRPr="006D4208" w:rsidRDefault="007619FC" w:rsidP="00AF5A74">
            <w:pPr>
              <w:jc w:val="right"/>
              <w:rPr>
                <w:rFonts w:asciiTheme="minorHAnsi" w:hAnsiTheme="minorHAnsi" w:cstheme="minorBidi"/>
                <w:b/>
                <w:sz w:val="20"/>
                <w:szCs w:val="20"/>
              </w:rPr>
            </w:pPr>
            <w:r w:rsidRPr="0907C099">
              <w:rPr>
                <w:rFonts w:asciiTheme="minorHAnsi" w:hAnsiTheme="minorHAnsi" w:cstheme="minorBidi"/>
                <w:b/>
                <w:sz w:val="20"/>
                <w:szCs w:val="20"/>
              </w:rPr>
              <w:t>1,</w:t>
            </w:r>
            <w:r w:rsidRPr="198B8B94">
              <w:rPr>
                <w:rFonts w:asciiTheme="minorHAnsi" w:hAnsiTheme="minorHAnsi" w:cstheme="minorBidi"/>
                <w:b/>
                <w:sz w:val="20"/>
                <w:szCs w:val="20"/>
              </w:rPr>
              <w:t>15</w:t>
            </w:r>
            <w:r w:rsidR="00911B1E">
              <w:rPr>
                <w:rFonts w:asciiTheme="minorHAnsi" w:hAnsiTheme="minorHAnsi" w:cstheme="minorBidi"/>
                <w:b/>
                <w:sz w:val="20"/>
                <w:szCs w:val="20"/>
              </w:rPr>
              <w:t>0</w:t>
            </w:r>
            <w:r w:rsidRPr="198B8B94">
              <w:rPr>
                <w:rFonts w:asciiTheme="minorHAnsi" w:hAnsiTheme="minorHAnsi" w:cstheme="minorBidi"/>
                <w:b/>
                <w:sz w:val="20"/>
                <w:szCs w:val="20"/>
              </w:rPr>
              <w:t>.</w:t>
            </w:r>
            <w:r w:rsidR="00911B1E">
              <w:rPr>
                <w:rFonts w:asciiTheme="minorHAnsi" w:hAnsiTheme="minorHAnsi" w:cstheme="minorBidi"/>
                <w:b/>
                <w:sz w:val="20"/>
                <w:szCs w:val="20"/>
              </w:rPr>
              <w:t>6</w:t>
            </w:r>
          </w:p>
        </w:tc>
        <w:tc>
          <w:tcPr>
            <w:tcW w:w="1900" w:type="dxa"/>
            <w:tcBorders>
              <w:top w:val="single" w:sz="4" w:space="0" w:color="FFFFFF" w:themeColor="background1"/>
              <w:left w:val="nil"/>
              <w:bottom w:val="single" w:sz="4" w:space="0" w:color="FFFFFF" w:themeColor="background1"/>
              <w:right w:val="nil"/>
            </w:tcBorders>
            <w:vAlign w:val="bottom"/>
          </w:tcPr>
          <w:p w14:paraId="5BDD0104" w14:textId="4BD9A182" w:rsidR="00E04DBF" w:rsidRPr="006D4208" w:rsidRDefault="00E04DBF" w:rsidP="00AF5A74">
            <w:pPr>
              <w:jc w:val="right"/>
              <w:rPr>
                <w:rFonts w:asciiTheme="minorHAnsi" w:hAnsiTheme="minorHAnsi" w:cstheme="minorBidi"/>
                <w:sz w:val="20"/>
                <w:szCs w:val="20"/>
              </w:rPr>
            </w:pPr>
            <w:r w:rsidRPr="0907C099">
              <w:rPr>
                <w:rFonts w:asciiTheme="minorHAnsi" w:hAnsiTheme="minorHAnsi" w:cstheme="minorBidi"/>
                <w:sz w:val="20"/>
                <w:szCs w:val="20"/>
              </w:rPr>
              <w:t>1,</w:t>
            </w:r>
            <w:r w:rsidR="00D84CF7" w:rsidRPr="0907C099">
              <w:rPr>
                <w:rFonts w:asciiTheme="minorHAnsi" w:hAnsiTheme="minorHAnsi" w:cstheme="minorBidi"/>
                <w:sz w:val="20"/>
                <w:szCs w:val="20"/>
              </w:rPr>
              <w:t>223.9</w:t>
            </w:r>
          </w:p>
        </w:tc>
        <w:tc>
          <w:tcPr>
            <w:tcW w:w="1657" w:type="dxa"/>
            <w:tcBorders>
              <w:top w:val="single" w:sz="4" w:space="0" w:color="FFFFFF" w:themeColor="background1"/>
              <w:left w:val="nil"/>
              <w:bottom w:val="single" w:sz="4" w:space="0" w:color="FFFFFF" w:themeColor="background1"/>
              <w:right w:val="nil"/>
            </w:tcBorders>
          </w:tcPr>
          <w:p w14:paraId="487CED84" w14:textId="7CD5F30E" w:rsidR="00E04DBF" w:rsidRPr="006D4208" w:rsidRDefault="0076249E" w:rsidP="00AF5A74">
            <w:pPr>
              <w:jc w:val="right"/>
              <w:rPr>
                <w:rFonts w:asciiTheme="minorHAnsi" w:hAnsiTheme="minorHAnsi" w:cstheme="minorBidi"/>
                <w:i/>
                <w:sz w:val="20"/>
                <w:szCs w:val="20"/>
              </w:rPr>
            </w:pPr>
            <w:r w:rsidRPr="0907C099">
              <w:rPr>
                <w:rFonts w:asciiTheme="minorHAnsi" w:hAnsiTheme="minorHAnsi" w:cstheme="minorBidi"/>
                <w:i/>
                <w:sz w:val="20"/>
                <w:szCs w:val="20"/>
              </w:rPr>
              <w:t>(6.0)</w:t>
            </w:r>
          </w:p>
        </w:tc>
      </w:tr>
      <w:tr w:rsidR="00473125" w:rsidRPr="00C87FB6" w14:paraId="29261BC1" w14:textId="77777777" w:rsidTr="2CF31E8D">
        <w:trPr>
          <w:trHeight w:val="240"/>
        </w:trPr>
        <w:tc>
          <w:tcPr>
            <w:tcW w:w="4928" w:type="dxa"/>
            <w:tcBorders>
              <w:top w:val="single" w:sz="4" w:space="0" w:color="FFFFFF" w:themeColor="background1"/>
              <w:left w:val="nil"/>
              <w:bottom w:val="single" w:sz="4" w:space="0" w:color="auto"/>
              <w:right w:val="nil"/>
            </w:tcBorders>
            <w:vAlign w:val="center"/>
          </w:tcPr>
          <w:p w14:paraId="43D5C81F" w14:textId="6F071479" w:rsidR="00E04DBF" w:rsidRPr="00C87FB6" w:rsidRDefault="00F7049D" w:rsidP="00AF5A74">
            <w:pPr>
              <w:ind w:right="115"/>
              <w:rPr>
                <w:rFonts w:asciiTheme="minorHAnsi" w:eastAsia="Poppins" w:hAnsiTheme="minorHAnsi" w:cstheme="minorBidi"/>
                <w:sz w:val="20"/>
                <w:szCs w:val="20"/>
              </w:rPr>
            </w:pPr>
            <w:r w:rsidRPr="0907C099">
              <w:rPr>
                <w:rFonts w:asciiTheme="minorHAnsi" w:eastAsia="Poppins" w:hAnsiTheme="minorHAnsi" w:cstheme="minorBidi"/>
                <w:sz w:val="20"/>
                <w:szCs w:val="20"/>
              </w:rPr>
              <w:t>Average g</w:t>
            </w:r>
            <w:r w:rsidR="00E04DBF" w:rsidRPr="0907C099">
              <w:rPr>
                <w:rFonts w:asciiTheme="minorHAnsi" w:eastAsia="Poppins" w:hAnsiTheme="minorHAnsi" w:cstheme="minorBidi"/>
                <w:sz w:val="20"/>
                <w:szCs w:val="20"/>
              </w:rPr>
              <w:t xml:space="preserve">ross </w:t>
            </w:r>
            <w:r w:rsidRPr="0907C099">
              <w:rPr>
                <w:rFonts w:asciiTheme="minorHAnsi" w:eastAsia="Poppins" w:hAnsiTheme="minorHAnsi" w:cstheme="minorBidi"/>
                <w:sz w:val="20"/>
                <w:szCs w:val="20"/>
              </w:rPr>
              <w:t xml:space="preserve">customer </w:t>
            </w:r>
            <w:r w:rsidR="00E65AD7" w:rsidRPr="0907C099">
              <w:rPr>
                <w:rFonts w:asciiTheme="minorHAnsi" w:eastAsia="Poppins" w:hAnsiTheme="minorHAnsi" w:cstheme="minorBidi"/>
                <w:sz w:val="20"/>
                <w:szCs w:val="20"/>
              </w:rPr>
              <w:t>interest earning balances</w:t>
            </w:r>
            <w:r w:rsidR="00E04DBF" w:rsidRPr="0907C099">
              <w:rPr>
                <w:rFonts w:asciiTheme="minorHAnsi" w:eastAsia="Poppins" w:hAnsiTheme="minorHAnsi" w:cstheme="minorBidi"/>
                <w:sz w:val="20"/>
                <w:szCs w:val="20"/>
                <w:vertAlign w:val="superscript"/>
              </w:rPr>
              <w:t xml:space="preserve">1 </w:t>
            </w:r>
          </w:p>
        </w:tc>
        <w:tc>
          <w:tcPr>
            <w:tcW w:w="1346" w:type="dxa"/>
            <w:tcBorders>
              <w:top w:val="nil"/>
              <w:left w:val="nil"/>
              <w:bottom w:val="single" w:sz="4" w:space="0" w:color="auto"/>
              <w:right w:val="nil"/>
            </w:tcBorders>
            <w:shd w:val="clear" w:color="auto" w:fill="F2F2F2" w:themeFill="background1" w:themeFillShade="F2"/>
          </w:tcPr>
          <w:p w14:paraId="7B6B1437" w14:textId="5007521E" w:rsidR="00E04DBF" w:rsidRPr="006D4208" w:rsidRDefault="007619FC" w:rsidP="00AF5A74">
            <w:pPr>
              <w:jc w:val="right"/>
              <w:rPr>
                <w:rFonts w:asciiTheme="minorHAnsi" w:hAnsiTheme="minorHAnsi" w:cstheme="minorBidi"/>
                <w:b/>
                <w:sz w:val="20"/>
                <w:szCs w:val="20"/>
              </w:rPr>
            </w:pPr>
            <w:r w:rsidRPr="0907C099">
              <w:rPr>
                <w:rFonts w:asciiTheme="minorHAnsi" w:hAnsiTheme="minorHAnsi" w:cstheme="minorBidi"/>
                <w:b/>
                <w:sz w:val="20"/>
                <w:szCs w:val="20"/>
              </w:rPr>
              <w:t>1,340.4</w:t>
            </w:r>
          </w:p>
        </w:tc>
        <w:tc>
          <w:tcPr>
            <w:tcW w:w="1900" w:type="dxa"/>
            <w:tcBorders>
              <w:top w:val="single" w:sz="4" w:space="0" w:color="FFFFFF" w:themeColor="background1"/>
              <w:left w:val="nil"/>
              <w:bottom w:val="single" w:sz="4" w:space="0" w:color="auto"/>
              <w:right w:val="nil"/>
            </w:tcBorders>
            <w:vAlign w:val="bottom"/>
          </w:tcPr>
          <w:p w14:paraId="55F382B5" w14:textId="41D79A40" w:rsidR="00E04DBF" w:rsidRPr="006D4208" w:rsidRDefault="00E04DBF" w:rsidP="00AF5A74">
            <w:pPr>
              <w:jc w:val="right"/>
              <w:rPr>
                <w:rFonts w:asciiTheme="minorHAnsi" w:hAnsiTheme="minorHAnsi" w:cstheme="minorBidi"/>
                <w:sz w:val="20"/>
                <w:szCs w:val="20"/>
              </w:rPr>
            </w:pPr>
            <w:r w:rsidRPr="0907C099">
              <w:rPr>
                <w:rFonts w:asciiTheme="minorHAnsi" w:hAnsiTheme="minorHAnsi" w:cstheme="minorBidi"/>
                <w:sz w:val="20"/>
                <w:szCs w:val="20"/>
              </w:rPr>
              <w:t>1,</w:t>
            </w:r>
            <w:r w:rsidR="009362A5" w:rsidRPr="0907C099">
              <w:rPr>
                <w:rFonts w:asciiTheme="minorHAnsi" w:hAnsiTheme="minorHAnsi" w:cstheme="minorBidi"/>
                <w:sz w:val="20"/>
                <w:szCs w:val="20"/>
              </w:rPr>
              <w:t>400.9</w:t>
            </w:r>
          </w:p>
        </w:tc>
        <w:tc>
          <w:tcPr>
            <w:tcW w:w="1657" w:type="dxa"/>
            <w:tcBorders>
              <w:top w:val="single" w:sz="4" w:space="0" w:color="FFFFFF" w:themeColor="background1"/>
              <w:left w:val="nil"/>
              <w:bottom w:val="single" w:sz="4" w:space="0" w:color="auto"/>
              <w:right w:val="nil"/>
            </w:tcBorders>
          </w:tcPr>
          <w:p w14:paraId="79EA35FD" w14:textId="510957A2" w:rsidR="00E04DBF" w:rsidRPr="006D4208" w:rsidRDefault="00CD472B" w:rsidP="00AF5A74">
            <w:pPr>
              <w:jc w:val="right"/>
              <w:rPr>
                <w:rFonts w:asciiTheme="minorHAnsi" w:hAnsiTheme="minorHAnsi" w:cstheme="minorBidi"/>
                <w:i/>
                <w:sz w:val="20"/>
                <w:szCs w:val="20"/>
              </w:rPr>
            </w:pPr>
            <w:r w:rsidRPr="0907C099">
              <w:rPr>
                <w:rFonts w:asciiTheme="minorHAnsi" w:hAnsiTheme="minorHAnsi" w:cstheme="minorBidi"/>
                <w:i/>
                <w:sz w:val="20"/>
                <w:szCs w:val="20"/>
              </w:rPr>
              <w:t>(4.3)</w:t>
            </w:r>
          </w:p>
        </w:tc>
      </w:tr>
      <w:tr w:rsidR="00B674CF" w:rsidRPr="00C87FB6" w14:paraId="3B6F45C5" w14:textId="77777777" w:rsidTr="2CF31E8D">
        <w:trPr>
          <w:trHeight w:val="240"/>
        </w:trPr>
        <w:tc>
          <w:tcPr>
            <w:tcW w:w="4928" w:type="dxa"/>
            <w:tcBorders>
              <w:top w:val="single" w:sz="4" w:space="0" w:color="auto"/>
              <w:left w:val="nil"/>
              <w:bottom w:val="single" w:sz="4" w:space="0" w:color="auto"/>
              <w:right w:val="nil"/>
            </w:tcBorders>
            <w:vAlign w:val="center"/>
          </w:tcPr>
          <w:p w14:paraId="360383DF" w14:textId="77777777" w:rsidR="00E04DBF" w:rsidRPr="00C87FB6" w:rsidRDefault="00E04DBF" w:rsidP="00AF5A74">
            <w:pPr>
              <w:ind w:right="115"/>
              <w:rPr>
                <w:rFonts w:asciiTheme="minorHAnsi" w:eastAsia="Poppins" w:hAnsiTheme="minorHAnsi" w:cstheme="minorBidi"/>
                <w:sz w:val="20"/>
                <w:szCs w:val="20"/>
              </w:rPr>
            </w:pPr>
          </w:p>
        </w:tc>
        <w:tc>
          <w:tcPr>
            <w:tcW w:w="1346" w:type="dxa"/>
            <w:tcBorders>
              <w:top w:val="single" w:sz="4" w:space="0" w:color="auto"/>
              <w:left w:val="nil"/>
              <w:bottom w:val="single" w:sz="4" w:space="0" w:color="auto"/>
              <w:right w:val="nil"/>
            </w:tcBorders>
            <w:shd w:val="clear" w:color="auto" w:fill="F2F2F2" w:themeFill="background1" w:themeFillShade="F2"/>
          </w:tcPr>
          <w:p w14:paraId="3FE6C3CD" w14:textId="77777777" w:rsidR="00E04DBF" w:rsidRPr="006D4208" w:rsidRDefault="00E04DBF" w:rsidP="00AF5A74">
            <w:pPr>
              <w:jc w:val="right"/>
              <w:rPr>
                <w:rFonts w:asciiTheme="minorHAnsi" w:hAnsiTheme="minorHAnsi" w:cstheme="minorBidi"/>
                <w:b/>
                <w:sz w:val="20"/>
                <w:szCs w:val="20"/>
              </w:rPr>
            </w:pPr>
          </w:p>
        </w:tc>
        <w:tc>
          <w:tcPr>
            <w:tcW w:w="1900" w:type="dxa"/>
            <w:tcBorders>
              <w:top w:val="single" w:sz="4" w:space="0" w:color="auto"/>
              <w:left w:val="nil"/>
              <w:bottom w:val="single" w:sz="4" w:space="0" w:color="auto"/>
              <w:right w:val="nil"/>
            </w:tcBorders>
            <w:vAlign w:val="bottom"/>
          </w:tcPr>
          <w:p w14:paraId="12F25562" w14:textId="77777777" w:rsidR="00E04DBF" w:rsidRPr="006D4208" w:rsidRDefault="00E04DBF" w:rsidP="00AF5A74">
            <w:pPr>
              <w:jc w:val="right"/>
              <w:rPr>
                <w:rFonts w:asciiTheme="minorHAnsi" w:hAnsiTheme="minorHAnsi" w:cstheme="minorBidi"/>
                <w:sz w:val="20"/>
                <w:szCs w:val="20"/>
              </w:rPr>
            </w:pPr>
          </w:p>
        </w:tc>
        <w:tc>
          <w:tcPr>
            <w:tcW w:w="1657" w:type="dxa"/>
            <w:tcBorders>
              <w:top w:val="single" w:sz="4" w:space="0" w:color="auto"/>
              <w:left w:val="nil"/>
              <w:bottom w:val="single" w:sz="4" w:space="0" w:color="auto"/>
              <w:right w:val="nil"/>
            </w:tcBorders>
          </w:tcPr>
          <w:p w14:paraId="75C25622" w14:textId="77777777" w:rsidR="00E04DBF" w:rsidRPr="006D4208" w:rsidRDefault="00E04DBF" w:rsidP="00AF5A74">
            <w:pPr>
              <w:jc w:val="right"/>
              <w:rPr>
                <w:rFonts w:asciiTheme="minorHAnsi" w:hAnsiTheme="minorHAnsi" w:cstheme="minorBidi"/>
                <w:i/>
                <w:sz w:val="20"/>
                <w:szCs w:val="20"/>
              </w:rPr>
            </w:pPr>
          </w:p>
        </w:tc>
      </w:tr>
      <w:tr w:rsidR="00B674CF" w:rsidRPr="00C87FB6" w14:paraId="36A9AACB" w14:textId="77777777" w:rsidTr="000F6EE9">
        <w:trPr>
          <w:trHeight w:val="240"/>
        </w:trPr>
        <w:tc>
          <w:tcPr>
            <w:tcW w:w="4928" w:type="dxa"/>
            <w:tcBorders>
              <w:top w:val="single" w:sz="4" w:space="0" w:color="auto"/>
              <w:left w:val="nil"/>
              <w:bottom w:val="nil"/>
              <w:right w:val="nil"/>
            </w:tcBorders>
            <w:vAlign w:val="center"/>
          </w:tcPr>
          <w:p w14:paraId="36D4744D" w14:textId="0C23E60C" w:rsidR="00E04DBF" w:rsidRPr="00C87FB6" w:rsidRDefault="00E04DBF" w:rsidP="00AF5A74">
            <w:pPr>
              <w:ind w:right="115"/>
              <w:rPr>
                <w:rFonts w:asciiTheme="minorHAnsi" w:eastAsia="Poppins" w:hAnsiTheme="minorHAnsi" w:cstheme="minorBidi"/>
                <w:sz w:val="20"/>
                <w:szCs w:val="20"/>
              </w:rPr>
            </w:pPr>
            <w:r w:rsidRPr="0907C099">
              <w:rPr>
                <w:rFonts w:asciiTheme="minorHAnsi" w:eastAsia="Poppins" w:hAnsiTheme="minorHAnsi" w:cstheme="minorBidi"/>
                <w:sz w:val="20"/>
                <w:szCs w:val="20"/>
              </w:rPr>
              <w:t>Interest income</w:t>
            </w:r>
            <w:r w:rsidR="00517AD6">
              <w:rPr>
                <w:rFonts w:asciiTheme="minorHAnsi" w:eastAsia="Poppins" w:hAnsiTheme="minorHAnsi" w:cstheme="minorBidi"/>
                <w:sz w:val="20"/>
                <w:szCs w:val="20"/>
              </w:rPr>
              <w:t xml:space="preserve"> from </w:t>
            </w:r>
            <w:r w:rsidR="0080447C">
              <w:rPr>
                <w:rFonts w:asciiTheme="minorHAnsi" w:eastAsia="Poppins" w:hAnsiTheme="minorHAnsi" w:cstheme="minorBidi"/>
                <w:sz w:val="20"/>
                <w:szCs w:val="20"/>
              </w:rPr>
              <w:t xml:space="preserve">customer </w:t>
            </w:r>
            <w:r w:rsidR="00517AD6">
              <w:rPr>
                <w:rFonts w:asciiTheme="minorHAnsi" w:eastAsia="Poppins" w:hAnsiTheme="minorHAnsi" w:cstheme="minorBidi"/>
                <w:sz w:val="20"/>
                <w:szCs w:val="20"/>
              </w:rPr>
              <w:t>receivables</w:t>
            </w:r>
          </w:p>
        </w:tc>
        <w:tc>
          <w:tcPr>
            <w:tcW w:w="1346" w:type="dxa"/>
            <w:tcBorders>
              <w:top w:val="single" w:sz="4" w:space="0" w:color="auto"/>
              <w:left w:val="nil"/>
              <w:bottom w:val="nil"/>
              <w:right w:val="nil"/>
            </w:tcBorders>
            <w:shd w:val="clear" w:color="auto" w:fill="F2F2F2" w:themeFill="background1" w:themeFillShade="F2"/>
          </w:tcPr>
          <w:p w14:paraId="0F7E90BB" w14:textId="4C92C4CE" w:rsidR="00E04DBF" w:rsidRPr="006D4208" w:rsidRDefault="00787DC5" w:rsidP="00AF5A74">
            <w:pPr>
              <w:jc w:val="right"/>
              <w:rPr>
                <w:rFonts w:asciiTheme="minorHAnsi" w:hAnsiTheme="minorHAnsi" w:cstheme="minorBidi"/>
                <w:b/>
                <w:sz w:val="20"/>
                <w:szCs w:val="20"/>
              </w:rPr>
            </w:pPr>
            <w:r>
              <w:rPr>
                <w:rFonts w:asciiTheme="minorHAnsi" w:hAnsiTheme="minorHAnsi" w:cstheme="minorBidi"/>
                <w:b/>
                <w:sz w:val="20"/>
                <w:szCs w:val="20"/>
              </w:rPr>
              <w:t>183</w:t>
            </w:r>
            <w:r w:rsidR="00DF731B" w:rsidRPr="0907C099">
              <w:rPr>
                <w:rFonts w:asciiTheme="minorHAnsi" w:hAnsiTheme="minorHAnsi" w:cstheme="minorBidi"/>
                <w:b/>
                <w:sz w:val="20"/>
                <w:szCs w:val="20"/>
              </w:rPr>
              <w:t>.6</w:t>
            </w:r>
          </w:p>
        </w:tc>
        <w:tc>
          <w:tcPr>
            <w:tcW w:w="1900" w:type="dxa"/>
            <w:tcBorders>
              <w:top w:val="single" w:sz="4" w:space="0" w:color="auto"/>
              <w:left w:val="nil"/>
              <w:bottom w:val="nil"/>
              <w:right w:val="nil"/>
            </w:tcBorders>
            <w:vAlign w:val="bottom"/>
          </w:tcPr>
          <w:p w14:paraId="058318D9" w14:textId="32CFD44F" w:rsidR="00E04DBF" w:rsidRPr="006D4208" w:rsidRDefault="7AF009C4" w:rsidP="00AF5A74">
            <w:pPr>
              <w:jc w:val="right"/>
              <w:rPr>
                <w:rFonts w:asciiTheme="minorHAnsi" w:hAnsiTheme="minorHAnsi" w:cstheme="minorBidi"/>
                <w:sz w:val="20"/>
                <w:szCs w:val="20"/>
              </w:rPr>
            </w:pPr>
            <w:r w:rsidRPr="0907C099">
              <w:rPr>
                <w:rFonts w:asciiTheme="minorHAnsi" w:hAnsiTheme="minorHAnsi" w:cstheme="minorBidi"/>
                <w:sz w:val="20"/>
                <w:szCs w:val="20"/>
              </w:rPr>
              <w:t>1</w:t>
            </w:r>
            <w:r w:rsidR="00B26E24">
              <w:rPr>
                <w:rFonts w:asciiTheme="minorHAnsi" w:hAnsiTheme="minorHAnsi" w:cstheme="minorBidi"/>
                <w:sz w:val="20"/>
                <w:szCs w:val="20"/>
              </w:rPr>
              <w:t>66.5</w:t>
            </w:r>
          </w:p>
        </w:tc>
        <w:tc>
          <w:tcPr>
            <w:tcW w:w="1657" w:type="dxa"/>
            <w:tcBorders>
              <w:top w:val="single" w:sz="4" w:space="0" w:color="auto"/>
              <w:left w:val="nil"/>
              <w:bottom w:val="nil"/>
              <w:right w:val="nil"/>
            </w:tcBorders>
          </w:tcPr>
          <w:p w14:paraId="115CF82E" w14:textId="6EB1C0E5" w:rsidR="00E04DBF" w:rsidRPr="006D4208" w:rsidRDefault="003803D7" w:rsidP="00AF5A74">
            <w:pPr>
              <w:jc w:val="right"/>
              <w:rPr>
                <w:rFonts w:asciiTheme="minorHAnsi" w:hAnsiTheme="minorHAnsi" w:cstheme="minorBidi"/>
                <w:i/>
                <w:sz w:val="20"/>
                <w:szCs w:val="20"/>
              </w:rPr>
            </w:pPr>
            <w:r w:rsidRPr="0907C099">
              <w:rPr>
                <w:rFonts w:asciiTheme="minorHAnsi" w:hAnsiTheme="minorHAnsi" w:cstheme="minorBidi"/>
                <w:i/>
                <w:sz w:val="20"/>
                <w:szCs w:val="20"/>
              </w:rPr>
              <w:t>1</w:t>
            </w:r>
            <w:r w:rsidR="00FC6F70">
              <w:rPr>
                <w:rFonts w:asciiTheme="minorHAnsi" w:hAnsiTheme="minorHAnsi" w:cstheme="minorBidi"/>
                <w:i/>
                <w:sz w:val="20"/>
                <w:szCs w:val="20"/>
              </w:rPr>
              <w:t>0.3</w:t>
            </w:r>
          </w:p>
        </w:tc>
      </w:tr>
      <w:tr w:rsidR="004F165C" w:rsidRPr="00C87FB6" w14:paraId="41D7BCD7" w14:textId="77777777" w:rsidTr="000F6EE9">
        <w:trPr>
          <w:trHeight w:val="240"/>
        </w:trPr>
        <w:tc>
          <w:tcPr>
            <w:tcW w:w="4928" w:type="dxa"/>
            <w:tcBorders>
              <w:top w:val="nil"/>
              <w:left w:val="nil"/>
              <w:bottom w:val="nil"/>
              <w:right w:val="nil"/>
            </w:tcBorders>
            <w:vAlign w:val="center"/>
          </w:tcPr>
          <w:p w14:paraId="2C1D4E13" w14:textId="6E80699A" w:rsidR="00517AD6" w:rsidRPr="0907C099" w:rsidRDefault="00E54641" w:rsidP="00AF5A74">
            <w:pPr>
              <w:ind w:right="115"/>
              <w:rPr>
                <w:rFonts w:asciiTheme="minorHAnsi" w:eastAsia="Poppins" w:hAnsiTheme="minorHAnsi" w:cstheme="minorBidi"/>
                <w:sz w:val="20"/>
                <w:szCs w:val="20"/>
              </w:rPr>
            </w:pPr>
            <w:r w:rsidRPr="0907C099">
              <w:rPr>
                <w:rFonts w:asciiTheme="minorHAnsi" w:eastAsia="Poppins" w:hAnsiTheme="minorHAnsi" w:cstheme="minorBidi"/>
                <w:sz w:val="20"/>
                <w:szCs w:val="20"/>
              </w:rPr>
              <w:t>Interest income</w:t>
            </w:r>
            <w:r>
              <w:rPr>
                <w:rFonts w:asciiTheme="minorHAnsi" w:eastAsia="Poppins" w:hAnsiTheme="minorHAnsi" w:cstheme="minorBidi"/>
                <w:sz w:val="20"/>
                <w:szCs w:val="20"/>
              </w:rPr>
              <w:t xml:space="preserve"> from </w:t>
            </w:r>
            <w:r w:rsidR="000F6EE9">
              <w:rPr>
                <w:rFonts w:asciiTheme="minorHAnsi" w:eastAsia="Poppins" w:hAnsiTheme="minorHAnsi" w:cstheme="minorBidi"/>
                <w:sz w:val="20"/>
                <w:szCs w:val="20"/>
              </w:rPr>
              <w:t>c</w:t>
            </w:r>
            <w:r w:rsidR="000F6EE9" w:rsidRPr="000F6EE9">
              <w:rPr>
                <w:rFonts w:asciiTheme="minorHAnsi" w:eastAsia="Poppins" w:hAnsiTheme="minorHAnsi" w:cstheme="minorBidi"/>
                <w:sz w:val="20"/>
                <w:szCs w:val="20"/>
              </w:rPr>
              <w:t>ash balances held on deposit</w:t>
            </w:r>
          </w:p>
        </w:tc>
        <w:tc>
          <w:tcPr>
            <w:tcW w:w="1346" w:type="dxa"/>
            <w:tcBorders>
              <w:top w:val="nil"/>
              <w:left w:val="nil"/>
              <w:bottom w:val="nil"/>
              <w:right w:val="nil"/>
            </w:tcBorders>
            <w:shd w:val="clear" w:color="auto" w:fill="F2F2F2" w:themeFill="background1" w:themeFillShade="F2"/>
          </w:tcPr>
          <w:p w14:paraId="7B4904EB" w14:textId="2BC6890B" w:rsidR="00517AD6" w:rsidRPr="0907C099" w:rsidRDefault="00C5473D" w:rsidP="00AF5A74">
            <w:pPr>
              <w:jc w:val="right"/>
              <w:rPr>
                <w:rFonts w:asciiTheme="minorHAnsi" w:hAnsiTheme="minorHAnsi" w:cstheme="minorBidi"/>
                <w:b/>
                <w:sz w:val="20"/>
                <w:szCs w:val="20"/>
              </w:rPr>
            </w:pPr>
            <w:r>
              <w:rPr>
                <w:rFonts w:asciiTheme="minorHAnsi" w:hAnsiTheme="minorHAnsi" w:cstheme="minorBidi"/>
                <w:b/>
                <w:sz w:val="20"/>
                <w:szCs w:val="20"/>
              </w:rPr>
              <w:t>19.0</w:t>
            </w:r>
          </w:p>
        </w:tc>
        <w:tc>
          <w:tcPr>
            <w:tcW w:w="1900" w:type="dxa"/>
            <w:tcBorders>
              <w:top w:val="nil"/>
              <w:left w:val="nil"/>
              <w:bottom w:val="nil"/>
              <w:right w:val="nil"/>
            </w:tcBorders>
            <w:vAlign w:val="bottom"/>
          </w:tcPr>
          <w:p w14:paraId="3B4E994B" w14:textId="74F3F38C" w:rsidR="00517AD6" w:rsidRPr="0907C099" w:rsidRDefault="009B4CB1" w:rsidP="00AF5A74">
            <w:pPr>
              <w:jc w:val="right"/>
              <w:rPr>
                <w:rFonts w:asciiTheme="minorHAnsi" w:hAnsiTheme="minorHAnsi" w:cstheme="minorBidi"/>
                <w:sz w:val="20"/>
                <w:szCs w:val="20"/>
              </w:rPr>
            </w:pPr>
            <w:r>
              <w:rPr>
                <w:rFonts w:asciiTheme="minorHAnsi" w:hAnsiTheme="minorHAnsi" w:cstheme="minorBidi"/>
                <w:sz w:val="20"/>
                <w:szCs w:val="20"/>
              </w:rPr>
              <w:t>8.6</w:t>
            </w:r>
          </w:p>
        </w:tc>
        <w:tc>
          <w:tcPr>
            <w:tcW w:w="1657" w:type="dxa"/>
            <w:tcBorders>
              <w:top w:val="nil"/>
              <w:left w:val="nil"/>
              <w:bottom w:val="nil"/>
              <w:right w:val="nil"/>
            </w:tcBorders>
          </w:tcPr>
          <w:p w14:paraId="515B97B4" w14:textId="61E638C6" w:rsidR="00517AD6" w:rsidRPr="0907C099" w:rsidRDefault="00131BEF" w:rsidP="00AF5A74">
            <w:pPr>
              <w:jc w:val="right"/>
              <w:rPr>
                <w:rFonts w:asciiTheme="minorHAnsi" w:hAnsiTheme="minorHAnsi" w:cstheme="minorBidi"/>
                <w:i/>
                <w:sz w:val="20"/>
                <w:szCs w:val="20"/>
              </w:rPr>
            </w:pPr>
            <w:r>
              <w:rPr>
                <w:rFonts w:asciiTheme="minorHAnsi" w:hAnsiTheme="minorHAnsi" w:cstheme="minorBidi"/>
                <w:i/>
                <w:sz w:val="20"/>
                <w:szCs w:val="20"/>
              </w:rPr>
              <w:t>120.9</w:t>
            </w:r>
          </w:p>
        </w:tc>
      </w:tr>
      <w:tr w:rsidR="00B674CF" w:rsidRPr="00074671" w14:paraId="29B4802F" w14:textId="77777777" w:rsidTr="000F6EE9">
        <w:trPr>
          <w:trHeight w:val="240"/>
        </w:trPr>
        <w:tc>
          <w:tcPr>
            <w:tcW w:w="4928" w:type="dxa"/>
            <w:tcBorders>
              <w:top w:val="nil"/>
              <w:left w:val="nil"/>
              <w:bottom w:val="single" w:sz="4" w:space="0" w:color="auto"/>
              <w:right w:val="nil"/>
            </w:tcBorders>
            <w:vAlign w:val="center"/>
          </w:tcPr>
          <w:p w14:paraId="2609FC6C" w14:textId="77777777" w:rsidR="00E04DBF" w:rsidRPr="00C87FB6" w:rsidRDefault="00E04DBF" w:rsidP="00AF5A74">
            <w:pPr>
              <w:ind w:right="115"/>
              <w:rPr>
                <w:rFonts w:asciiTheme="minorHAnsi" w:eastAsia="Poppins" w:hAnsiTheme="minorHAnsi" w:cstheme="minorBidi"/>
                <w:sz w:val="20"/>
                <w:szCs w:val="20"/>
              </w:rPr>
            </w:pPr>
            <w:r w:rsidRPr="0907C099">
              <w:rPr>
                <w:rFonts w:asciiTheme="minorHAnsi" w:eastAsia="Poppins" w:hAnsiTheme="minorHAnsi" w:cstheme="minorBidi"/>
                <w:sz w:val="20"/>
                <w:szCs w:val="20"/>
              </w:rPr>
              <w:t>Interest expense</w:t>
            </w:r>
          </w:p>
        </w:tc>
        <w:tc>
          <w:tcPr>
            <w:tcW w:w="1346" w:type="dxa"/>
            <w:tcBorders>
              <w:top w:val="nil"/>
              <w:left w:val="nil"/>
              <w:bottom w:val="single" w:sz="4" w:space="0" w:color="auto"/>
              <w:right w:val="nil"/>
            </w:tcBorders>
            <w:shd w:val="clear" w:color="auto" w:fill="F2F2F2" w:themeFill="background1" w:themeFillShade="F2"/>
          </w:tcPr>
          <w:p w14:paraId="68258A6E" w14:textId="4ACE55BD" w:rsidR="00E04DBF" w:rsidRPr="006D4208" w:rsidRDefault="00E04DBF" w:rsidP="00AF5A74">
            <w:pPr>
              <w:jc w:val="right"/>
              <w:rPr>
                <w:rFonts w:asciiTheme="minorHAnsi" w:hAnsiTheme="minorHAnsi" w:cstheme="minorBidi"/>
                <w:b/>
                <w:sz w:val="20"/>
                <w:szCs w:val="20"/>
              </w:rPr>
            </w:pPr>
            <w:r w:rsidRPr="0907C099">
              <w:rPr>
                <w:rFonts w:asciiTheme="minorHAnsi" w:hAnsiTheme="minorHAnsi" w:cstheme="minorBidi"/>
                <w:b/>
                <w:sz w:val="20"/>
                <w:szCs w:val="20"/>
              </w:rPr>
              <w:t>(</w:t>
            </w:r>
            <w:r w:rsidR="00DF731B" w:rsidRPr="0907C099">
              <w:rPr>
                <w:rFonts w:asciiTheme="minorHAnsi" w:hAnsiTheme="minorHAnsi" w:cstheme="minorBidi"/>
                <w:b/>
                <w:sz w:val="20"/>
                <w:szCs w:val="20"/>
              </w:rPr>
              <w:t>38.4</w:t>
            </w:r>
            <w:r w:rsidRPr="0907C099">
              <w:rPr>
                <w:rFonts w:asciiTheme="minorHAnsi" w:hAnsiTheme="minorHAnsi" w:cstheme="minorBidi"/>
                <w:b/>
                <w:sz w:val="20"/>
                <w:szCs w:val="20"/>
              </w:rPr>
              <w:t>)</w:t>
            </w:r>
          </w:p>
        </w:tc>
        <w:tc>
          <w:tcPr>
            <w:tcW w:w="1900" w:type="dxa"/>
            <w:tcBorders>
              <w:top w:val="nil"/>
              <w:left w:val="nil"/>
              <w:bottom w:val="single" w:sz="4" w:space="0" w:color="auto"/>
              <w:right w:val="nil"/>
            </w:tcBorders>
            <w:vAlign w:val="bottom"/>
          </w:tcPr>
          <w:p w14:paraId="033C9DF1" w14:textId="4D0B5EFB" w:rsidR="00E04DBF" w:rsidRPr="006D4208" w:rsidRDefault="00E04DBF" w:rsidP="00AF5A74">
            <w:pPr>
              <w:jc w:val="right"/>
              <w:rPr>
                <w:rFonts w:asciiTheme="minorHAnsi" w:hAnsiTheme="minorHAnsi" w:cstheme="minorBidi"/>
                <w:sz w:val="20"/>
                <w:szCs w:val="20"/>
              </w:rPr>
            </w:pPr>
            <w:r w:rsidRPr="0907C099">
              <w:rPr>
                <w:rFonts w:asciiTheme="minorHAnsi" w:hAnsiTheme="minorHAnsi" w:cstheme="minorBidi"/>
                <w:sz w:val="20"/>
                <w:szCs w:val="20"/>
              </w:rPr>
              <w:t>(2</w:t>
            </w:r>
            <w:r w:rsidR="009979AE" w:rsidRPr="0907C099">
              <w:rPr>
                <w:rFonts w:asciiTheme="minorHAnsi" w:hAnsiTheme="minorHAnsi" w:cstheme="minorBidi"/>
                <w:sz w:val="20"/>
                <w:szCs w:val="20"/>
              </w:rPr>
              <w:t>0.</w:t>
            </w:r>
            <w:r w:rsidR="000323D7" w:rsidRPr="0907C099">
              <w:rPr>
                <w:rFonts w:asciiTheme="minorHAnsi" w:hAnsiTheme="minorHAnsi" w:cstheme="minorBidi"/>
                <w:sz w:val="20"/>
                <w:szCs w:val="20"/>
              </w:rPr>
              <w:t>7</w:t>
            </w:r>
            <w:r w:rsidRPr="0907C099">
              <w:rPr>
                <w:rFonts w:asciiTheme="minorHAnsi" w:hAnsiTheme="minorHAnsi" w:cstheme="minorBidi"/>
                <w:sz w:val="20"/>
                <w:szCs w:val="20"/>
              </w:rPr>
              <w:t>)</w:t>
            </w:r>
          </w:p>
        </w:tc>
        <w:tc>
          <w:tcPr>
            <w:tcW w:w="1657" w:type="dxa"/>
            <w:tcBorders>
              <w:top w:val="nil"/>
              <w:left w:val="nil"/>
              <w:bottom w:val="single" w:sz="4" w:space="0" w:color="auto"/>
              <w:right w:val="nil"/>
            </w:tcBorders>
          </w:tcPr>
          <w:p w14:paraId="4783E351" w14:textId="7C96620A" w:rsidR="00E04DBF" w:rsidRPr="006D4208" w:rsidRDefault="00B8445F" w:rsidP="00AF5A74">
            <w:pPr>
              <w:jc w:val="right"/>
              <w:rPr>
                <w:rFonts w:asciiTheme="minorHAnsi" w:hAnsiTheme="minorHAnsi" w:cstheme="minorBidi"/>
                <w:i/>
                <w:sz w:val="20"/>
                <w:szCs w:val="20"/>
              </w:rPr>
            </w:pPr>
            <w:r w:rsidRPr="0907C099">
              <w:rPr>
                <w:rFonts w:asciiTheme="minorHAnsi" w:hAnsiTheme="minorHAnsi" w:cstheme="minorBidi"/>
                <w:i/>
                <w:sz w:val="20"/>
                <w:szCs w:val="20"/>
              </w:rPr>
              <w:t>85.5</w:t>
            </w:r>
          </w:p>
        </w:tc>
      </w:tr>
      <w:tr w:rsidR="00473125" w:rsidRPr="00074671" w14:paraId="336B5C71" w14:textId="77777777" w:rsidTr="2CF31E8D">
        <w:trPr>
          <w:trHeight w:val="240"/>
        </w:trPr>
        <w:tc>
          <w:tcPr>
            <w:tcW w:w="4928" w:type="dxa"/>
            <w:tcBorders>
              <w:top w:val="single" w:sz="4" w:space="0" w:color="auto"/>
              <w:left w:val="nil"/>
              <w:bottom w:val="single" w:sz="4" w:space="0" w:color="FFFFFF" w:themeColor="background1"/>
              <w:right w:val="nil"/>
            </w:tcBorders>
            <w:vAlign w:val="center"/>
          </w:tcPr>
          <w:p w14:paraId="0CA648D2" w14:textId="77777777" w:rsidR="00E04DBF" w:rsidRPr="00074671" w:rsidRDefault="00E04DBF" w:rsidP="00AF5A74">
            <w:pPr>
              <w:ind w:right="115"/>
              <w:rPr>
                <w:rFonts w:asciiTheme="minorHAnsi" w:eastAsia="Poppins" w:hAnsiTheme="minorHAnsi" w:cstheme="minorBidi"/>
                <w:b/>
                <w:sz w:val="20"/>
                <w:szCs w:val="20"/>
              </w:rPr>
            </w:pPr>
            <w:r w:rsidRPr="0907C099">
              <w:rPr>
                <w:rFonts w:asciiTheme="minorHAnsi" w:eastAsia="Poppins" w:hAnsiTheme="minorHAnsi" w:cstheme="minorBidi"/>
                <w:b/>
                <w:sz w:val="20"/>
                <w:szCs w:val="20"/>
              </w:rPr>
              <w:t>Net interest income</w:t>
            </w:r>
          </w:p>
        </w:tc>
        <w:tc>
          <w:tcPr>
            <w:tcW w:w="1346" w:type="dxa"/>
            <w:tcBorders>
              <w:top w:val="single" w:sz="4" w:space="0" w:color="auto"/>
              <w:left w:val="nil"/>
              <w:bottom w:val="nil"/>
              <w:right w:val="nil"/>
            </w:tcBorders>
            <w:shd w:val="clear" w:color="auto" w:fill="F2F2F2" w:themeFill="background1" w:themeFillShade="F2"/>
          </w:tcPr>
          <w:p w14:paraId="6244472D" w14:textId="4FBBB535" w:rsidR="00E04DBF" w:rsidRPr="006D4208" w:rsidRDefault="00DF731B" w:rsidP="00AF5A74">
            <w:pPr>
              <w:jc w:val="right"/>
              <w:rPr>
                <w:rFonts w:asciiTheme="minorHAnsi" w:hAnsiTheme="minorHAnsi" w:cstheme="minorBidi"/>
                <w:b/>
                <w:sz w:val="20"/>
                <w:szCs w:val="20"/>
              </w:rPr>
            </w:pPr>
            <w:r w:rsidRPr="0907C099">
              <w:rPr>
                <w:rFonts w:asciiTheme="minorHAnsi" w:hAnsiTheme="minorHAnsi" w:cstheme="minorBidi"/>
                <w:b/>
                <w:sz w:val="20"/>
                <w:szCs w:val="20"/>
              </w:rPr>
              <w:t>164.2</w:t>
            </w:r>
          </w:p>
        </w:tc>
        <w:tc>
          <w:tcPr>
            <w:tcW w:w="1900" w:type="dxa"/>
            <w:tcBorders>
              <w:top w:val="single" w:sz="4" w:space="0" w:color="auto"/>
              <w:left w:val="nil"/>
              <w:bottom w:val="single" w:sz="4" w:space="0" w:color="FFFFFF" w:themeColor="background1"/>
              <w:right w:val="nil"/>
            </w:tcBorders>
            <w:vAlign w:val="bottom"/>
          </w:tcPr>
          <w:p w14:paraId="706B6D99" w14:textId="2F4C0E7E" w:rsidR="00E04DBF" w:rsidRPr="006D4208" w:rsidRDefault="009979AE" w:rsidP="00AF5A74">
            <w:pPr>
              <w:jc w:val="right"/>
              <w:rPr>
                <w:rFonts w:asciiTheme="minorHAnsi" w:hAnsiTheme="minorHAnsi" w:cstheme="minorBidi"/>
                <w:sz w:val="20"/>
                <w:szCs w:val="20"/>
              </w:rPr>
            </w:pPr>
            <w:r w:rsidRPr="0907C099">
              <w:rPr>
                <w:rFonts w:asciiTheme="minorHAnsi" w:hAnsiTheme="minorHAnsi" w:cstheme="minorBidi"/>
                <w:sz w:val="20"/>
                <w:szCs w:val="20"/>
              </w:rPr>
              <w:t>1</w:t>
            </w:r>
            <w:r w:rsidR="0033706A" w:rsidRPr="0907C099">
              <w:rPr>
                <w:rFonts w:asciiTheme="minorHAnsi" w:hAnsiTheme="minorHAnsi" w:cstheme="minorBidi"/>
                <w:sz w:val="20"/>
                <w:szCs w:val="20"/>
              </w:rPr>
              <w:t>54.4</w:t>
            </w:r>
          </w:p>
        </w:tc>
        <w:tc>
          <w:tcPr>
            <w:tcW w:w="1657" w:type="dxa"/>
            <w:tcBorders>
              <w:top w:val="single" w:sz="4" w:space="0" w:color="auto"/>
              <w:left w:val="nil"/>
              <w:bottom w:val="single" w:sz="4" w:space="0" w:color="FFFFFF" w:themeColor="background1"/>
              <w:right w:val="nil"/>
            </w:tcBorders>
          </w:tcPr>
          <w:p w14:paraId="64588822" w14:textId="21EBDF84" w:rsidR="00E04DBF" w:rsidRPr="006D4208" w:rsidRDefault="00F530EF" w:rsidP="00AF5A74">
            <w:pPr>
              <w:jc w:val="right"/>
              <w:rPr>
                <w:rFonts w:asciiTheme="minorHAnsi" w:hAnsiTheme="minorHAnsi" w:cstheme="minorBidi"/>
                <w:i/>
                <w:sz w:val="20"/>
                <w:szCs w:val="20"/>
              </w:rPr>
            </w:pPr>
            <w:r w:rsidRPr="0907C099">
              <w:rPr>
                <w:rFonts w:asciiTheme="minorHAnsi" w:hAnsiTheme="minorHAnsi" w:cstheme="minorBidi"/>
                <w:i/>
                <w:sz w:val="20"/>
                <w:szCs w:val="20"/>
              </w:rPr>
              <w:t>6.3</w:t>
            </w:r>
          </w:p>
        </w:tc>
      </w:tr>
      <w:tr w:rsidR="00473125" w:rsidRPr="00074671" w14:paraId="08444791" w14:textId="77777777" w:rsidTr="2CF31E8D">
        <w:trPr>
          <w:trHeight w:val="240"/>
        </w:trPr>
        <w:tc>
          <w:tcPr>
            <w:tcW w:w="4928" w:type="dxa"/>
            <w:tcBorders>
              <w:top w:val="single" w:sz="4" w:space="0" w:color="FFFFFF" w:themeColor="background1"/>
              <w:left w:val="nil"/>
              <w:bottom w:val="single" w:sz="4" w:space="0" w:color="FFFFFF" w:themeColor="background1"/>
              <w:right w:val="nil"/>
            </w:tcBorders>
            <w:vAlign w:val="center"/>
          </w:tcPr>
          <w:p w14:paraId="38C61798" w14:textId="77777777" w:rsidR="00E04DBF" w:rsidRPr="00074671" w:rsidRDefault="00E04DBF" w:rsidP="00AF5A74">
            <w:pPr>
              <w:ind w:right="115"/>
              <w:rPr>
                <w:rFonts w:asciiTheme="minorHAnsi" w:eastAsia="Poppins" w:hAnsiTheme="minorHAnsi" w:cstheme="minorBidi"/>
                <w:sz w:val="20"/>
                <w:szCs w:val="20"/>
              </w:rPr>
            </w:pPr>
            <w:r w:rsidRPr="0907C099">
              <w:rPr>
                <w:rFonts w:asciiTheme="minorHAnsi" w:eastAsia="Poppins" w:hAnsiTheme="minorHAnsi" w:cstheme="minorBidi"/>
                <w:sz w:val="20"/>
                <w:szCs w:val="20"/>
              </w:rPr>
              <w:t>Net fee and commission income</w:t>
            </w:r>
          </w:p>
        </w:tc>
        <w:tc>
          <w:tcPr>
            <w:tcW w:w="1346" w:type="dxa"/>
            <w:tcBorders>
              <w:top w:val="nil"/>
              <w:left w:val="nil"/>
              <w:bottom w:val="nil"/>
              <w:right w:val="nil"/>
            </w:tcBorders>
            <w:shd w:val="clear" w:color="auto" w:fill="F2F2F2" w:themeFill="background1" w:themeFillShade="F2"/>
          </w:tcPr>
          <w:p w14:paraId="2283F312" w14:textId="2F028A6D" w:rsidR="00E04DBF" w:rsidRPr="006D4208" w:rsidRDefault="00DF731B" w:rsidP="00AF5A74">
            <w:pPr>
              <w:jc w:val="right"/>
              <w:rPr>
                <w:rFonts w:asciiTheme="minorHAnsi" w:hAnsiTheme="minorHAnsi" w:cstheme="minorBidi"/>
                <w:b/>
                <w:sz w:val="20"/>
                <w:szCs w:val="20"/>
              </w:rPr>
            </w:pPr>
            <w:r w:rsidRPr="0907C099">
              <w:rPr>
                <w:rFonts w:asciiTheme="minorHAnsi" w:hAnsiTheme="minorHAnsi" w:cstheme="minorBidi"/>
                <w:b/>
                <w:sz w:val="20"/>
                <w:szCs w:val="20"/>
              </w:rPr>
              <w:t>18.6</w:t>
            </w:r>
          </w:p>
        </w:tc>
        <w:tc>
          <w:tcPr>
            <w:tcW w:w="1900" w:type="dxa"/>
            <w:tcBorders>
              <w:top w:val="single" w:sz="4" w:space="0" w:color="FFFFFF" w:themeColor="background1"/>
              <w:left w:val="nil"/>
              <w:bottom w:val="single" w:sz="4" w:space="0" w:color="FFFFFF" w:themeColor="background1"/>
              <w:right w:val="nil"/>
            </w:tcBorders>
            <w:vAlign w:val="bottom"/>
          </w:tcPr>
          <w:p w14:paraId="3B10ACA4" w14:textId="1EF6719B" w:rsidR="00E04DBF" w:rsidRPr="006D4208" w:rsidRDefault="00980061" w:rsidP="00AF5A74">
            <w:pPr>
              <w:jc w:val="right"/>
              <w:rPr>
                <w:rFonts w:asciiTheme="minorHAnsi" w:hAnsiTheme="minorHAnsi" w:cstheme="minorBidi"/>
                <w:sz w:val="20"/>
                <w:szCs w:val="20"/>
              </w:rPr>
            </w:pPr>
            <w:r w:rsidRPr="0907C099">
              <w:rPr>
                <w:rFonts w:asciiTheme="minorHAnsi" w:hAnsiTheme="minorHAnsi" w:cstheme="minorBidi"/>
                <w:sz w:val="20"/>
                <w:szCs w:val="20"/>
              </w:rPr>
              <w:t>2</w:t>
            </w:r>
            <w:r w:rsidR="004E3C76" w:rsidRPr="0907C099">
              <w:rPr>
                <w:rFonts w:asciiTheme="minorHAnsi" w:hAnsiTheme="minorHAnsi" w:cstheme="minorBidi"/>
                <w:sz w:val="20"/>
                <w:szCs w:val="20"/>
              </w:rPr>
              <w:t>0.8</w:t>
            </w:r>
          </w:p>
        </w:tc>
        <w:tc>
          <w:tcPr>
            <w:tcW w:w="1657" w:type="dxa"/>
            <w:tcBorders>
              <w:top w:val="single" w:sz="4" w:space="0" w:color="FFFFFF" w:themeColor="background1"/>
              <w:left w:val="nil"/>
              <w:bottom w:val="nil"/>
              <w:right w:val="nil"/>
            </w:tcBorders>
          </w:tcPr>
          <w:p w14:paraId="09BBE4C6" w14:textId="079AE0C1" w:rsidR="00E04DBF" w:rsidRPr="006D4208" w:rsidRDefault="00E04DBF" w:rsidP="00AF5A74">
            <w:pPr>
              <w:jc w:val="right"/>
              <w:rPr>
                <w:rFonts w:asciiTheme="minorHAnsi" w:hAnsiTheme="minorHAnsi" w:cstheme="minorBidi"/>
                <w:i/>
                <w:sz w:val="20"/>
                <w:szCs w:val="20"/>
              </w:rPr>
            </w:pPr>
            <w:r w:rsidRPr="0907C099">
              <w:rPr>
                <w:rFonts w:asciiTheme="minorHAnsi" w:hAnsiTheme="minorHAnsi" w:cstheme="minorBidi"/>
                <w:i/>
                <w:sz w:val="20"/>
                <w:szCs w:val="20"/>
              </w:rPr>
              <w:t>(</w:t>
            </w:r>
            <w:r w:rsidR="00624537" w:rsidRPr="0907C099">
              <w:rPr>
                <w:rFonts w:asciiTheme="minorHAnsi" w:hAnsiTheme="minorHAnsi" w:cstheme="minorBidi"/>
                <w:i/>
                <w:sz w:val="20"/>
                <w:szCs w:val="20"/>
              </w:rPr>
              <w:t>10.6</w:t>
            </w:r>
            <w:r w:rsidRPr="0907C099">
              <w:rPr>
                <w:rFonts w:asciiTheme="minorHAnsi" w:hAnsiTheme="minorHAnsi" w:cstheme="minorBidi"/>
                <w:i/>
                <w:sz w:val="20"/>
                <w:szCs w:val="20"/>
              </w:rPr>
              <w:t>)</w:t>
            </w:r>
          </w:p>
        </w:tc>
      </w:tr>
      <w:tr w:rsidR="00473125" w:rsidRPr="00074671" w14:paraId="06671A11" w14:textId="77777777" w:rsidTr="2CF31E8D">
        <w:trPr>
          <w:trHeight w:val="240"/>
        </w:trPr>
        <w:tc>
          <w:tcPr>
            <w:tcW w:w="4928" w:type="dxa"/>
            <w:tcBorders>
              <w:top w:val="single" w:sz="4" w:space="0" w:color="FFFFFF" w:themeColor="background1"/>
              <w:left w:val="nil"/>
              <w:bottom w:val="single" w:sz="4" w:space="0" w:color="auto"/>
              <w:right w:val="nil"/>
            </w:tcBorders>
            <w:vAlign w:val="center"/>
          </w:tcPr>
          <w:p w14:paraId="3E7A2BAA" w14:textId="77777777" w:rsidR="00E04DBF" w:rsidRPr="00074671" w:rsidRDefault="00E04DBF" w:rsidP="00AF5A74">
            <w:pPr>
              <w:ind w:right="115"/>
              <w:rPr>
                <w:rFonts w:asciiTheme="minorHAnsi" w:eastAsia="Poppins" w:hAnsiTheme="minorHAnsi" w:cstheme="minorBidi"/>
                <w:sz w:val="20"/>
                <w:szCs w:val="20"/>
              </w:rPr>
            </w:pPr>
            <w:r w:rsidRPr="0907C099">
              <w:rPr>
                <w:rFonts w:asciiTheme="minorHAnsi" w:eastAsia="Poppins" w:hAnsiTheme="minorHAnsi" w:cstheme="minorBidi"/>
                <w:sz w:val="20"/>
                <w:szCs w:val="20"/>
              </w:rPr>
              <w:t>Other income</w:t>
            </w:r>
          </w:p>
        </w:tc>
        <w:tc>
          <w:tcPr>
            <w:tcW w:w="1346" w:type="dxa"/>
            <w:tcBorders>
              <w:top w:val="nil"/>
              <w:left w:val="nil"/>
              <w:bottom w:val="single" w:sz="4" w:space="0" w:color="auto"/>
              <w:right w:val="nil"/>
            </w:tcBorders>
            <w:shd w:val="clear" w:color="auto" w:fill="F2F2F2" w:themeFill="background1" w:themeFillShade="F2"/>
          </w:tcPr>
          <w:p w14:paraId="6FE9F61E" w14:textId="35F217B4" w:rsidR="00E04DBF" w:rsidRPr="006D4208" w:rsidRDefault="00A03C67" w:rsidP="00AF5A74">
            <w:pPr>
              <w:jc w:val="right"/>
              <w:rPr>
                <w:rFonts w:asciiTheme="minorHAnsi" w:hAnsiTheme="minorHAnsi" w:cstheme="minorBidi"/>
                <w:b/>
                <w:sz w:val="20"/>
                <w:szCs w:val="20"/>
              </w:rPr>
            </w:pPr>
            <w:r w:rsidRPr="0907C099">
              <w:rPr>
                <w:rFonts w:asciiTheme="minorHAnsi" w:hAnsiTheme="minorHAnsi" w:cstheme="minorBidi"/>
                <w:b/>
                <w:sz w:val="20"/>
                <w:szCs w:val="20"/>
              </w:rPr>
              <w:t>(0.</w:t>
            </w:r>
            <w:r w:rsidR="00C949A0" w:rsidRPr="0907C099">
              <w:rPr>
                <w:rFonts w:asciiTheme="minorHAnsi" w:hAnsiTheme="minorHAnsi" w:cstheme="minorBidi"/>
                <w:b/>
                <w:sz w:val="20"/>
                <w:szCs w:val="20"/>
              </w:rPr>
              <w:t>1</w:t>
            </w:r>
            <w:r w:rsidRPr="0907C099">
              <w:rPr>
                <w:rFonts w:asciiTheme="minorHAnsi" w:hAnsiTheme="minorHAnsi" w:cstheme="minorBidi"/>
                <w:b/>
                <w:sz w:val="20"/>
                <w:szCs w:val="20"/>
              </w:rPr>
              <w:t>)</w:t>
            </w:r>
          </w:p>
        </w:tc>
        <w:tc>
          <w:tcPr>
            <w:tcW w:w="1900" w:type="dxa"/>
            <w:tcBorders>
              <w:top w:val="single" w:sz="4" w:space="0" w:color="FFFFFF" w:themeColor="background1"/>
              <w:left w:val="nil"/>
              <w:bottom w:val="single" w:sz="4" w:space="0" w:color="auto"/>
              <w:right w:val="nil"/>
            </w:tcBorders>
            <w:vAlign w:val="bottom"/>
          </w:tcPr>
          <w:p w14:paraId="7D93C32C" w14:textId="7AB99447" w:rsidR="00E04DBF" w:rsidRPr="006D4208" w:rsidRDefault="004E3C76" w:rsidP="00AF5A74">
            <w:pPr>
              <w:jc w:val="right"/>
              <w:rPr>
                <w:rFonts w:asciiTheme="minorHAnsi" w:hAnsiTheme="minorHAnsi" w:cstheme="minorBidi"/>
                <w:sz w:val="20"/>
                <w:szCs w:val="20"/>
              </w:rPr>
            </w:pPr>
            <w:r w:rsidRPr="0907C099">
              <w:rPr>
                <w:rFonts w:asciiTheme="minorHAnsi" w:hAnsiTheme="minorHAnsi" w:cstheme="minorBidi"/>
                <w:sz w:val="20"/>
                <w:szCs w:val="20"/>
              </w:rPr>
              <w:t>0.2</w:t>
            </w:r>
          </w:p>
        </w:tc>
        <w:tc>
          <w:tcPr>
            <w:tcW w:w="1657" w:type="dxa"/>
            <w:tcBorders>
              <w:top w:val="nil"/>
              <w:left w:val="nil"/>
              <w:bottom w:val="single" w:sz="4" w:space="0" w:color="auto"/>
              <w:right w:val="nil"/>
            </w:tcBorders>
          </w:tcPr>
          <w:p w14:paraId="28B36CF1" w14:textId="013E67FE" w:rsidR="00E04DBF" w:rsidRPr="006D4208" w:rsidRDefault="00881DF5" w:rsidP="00AF5A74">
            <w:pPr>
              <w:jc w:val="right"/>
              <w:rPr>
                <w:rFonts w:asciiTheme="minorHAnsi" w:hAnsiTheme="minorHAnsi" w:cstheme="minorBidi"/>
                <w:i/>
                <w:sz w:val="20"/>
                <w:szCs w:val="20"/>
              </w:rPr>
            </w:pPr>
            <w:r w:rsidRPr="0907C099">
              <w:rPr>
                <w:rFonts w:asciiTheme="minorHAnsi" w:hAnsiTheme="minorHAnsi" w:cstheme="minorBidi"/>
                <w:i/>
                <w:sz w:val="20"/>
                <w:szCs w:val="20"/>
              </w:rPr>
              <w:t>150.0</w:t>
            </w:r>
          </w:p>
        </w:tc>
      </w:tr>
      <w:tr w:rsidR="00473125" w:rsidRPr="00074671" w14:paraId="4F97A235" w14:textId="77777777" w:rsidTr="2CF31E8D">
        <w:trPr>
          <w:trHeight w:val="240"/>
        </w:trPr>
        <w:tc>
          <w:tcPr>
            <w:tcW w:w="4928" w:type="dxa"/>
            <w:tcBorders>
              <w:top w:val="single" w:sz="4" w:space="0" w:color="auto"/>
              <w:left w:val="nil"/>
              <w:bottom w:val="single" w:sz="4" w:space="0" w:color="FFFFFF" w:themeColor="background1"/>
              <w:right w:val="nil"/>
            </w:tcBorders>
            <w:vAlign w:val="center"/>
          </w:tcPr>
          <w:p w14:paraId="3C5FC0B6" w14:textId="77777777" w:rsidR="00E04DBF" w:rsidRPr="00074671" w:rsidRDefault="00E04DBF" w:rsidP="00AF5A74">
            <w:pPr>
              <w:ind w:right="115"/>
              <w:rPr>
                <w:rFonts w:asciiTheme="minorHAnsi" w:eastAsia="Poppins" w:hAnsiTheme="minorHAnsi" w:cstheme="minorBidi"/>
                <w:b/>
                <w:sz w:val="20"/>
                <w:szCs w:val="20"/>
              </w:rPr>
            </w:pPr>
            <w:r w:rsidRPr="0907C099">
              <w:rPr>
                <w:rFonts w:asciiTheme="minorHAnsi" w:eastAsia="Poppins" w:hAnsiTheme="minorHAnsi" w:cstheme="minorBidi"/>
                <w:b/>
                <w:sz w:val="20"/>
                <w:szCs w:val="20"/>
              </w:rPr>
              <w:t>Total income</w:t>
            </w:r>
          </w:p>
        </w:tc>
        <w:tc>
          <w:tcPr>
            <w:tcW w:w="1346" w:type="dxa"/>
            <w:tcBorders>
              <w:top w:val="single" w:sz="4" w:space="0" w:color="auto"/>
              <w:left w:val="nil"/>
              <w:bottom w:val="nil"/>
              <w:right w:val="nil"/>
            </w:tcBorders>
            <w:shd w:val="clear" w:color="auto" w:fill="F2F2F2" w:themeFill="background1" w:themeFillShade="F2"/>
          </w:tcPr>
          <w:p w14:paraId="4070EB58" w14:textId="5A9D9C4B" w:rsidR="00E04DBF" w:rsidRPr="006D4208" w:rsidRDefault="00A03C67" w:rsidP="00AF5A74">
            <w:pPr>
              <w:jc w:val="right"/>
              <w:rPr>
                <w:rFonts w:asciiTheme="minorHAnsi" w:hAnsiTheme="minorHAnsi" w:cstheme="minorBidi"/>
                <w:b/>
                <w:sz w:val="20"/>
                <w:szCs w:val="20"/>
              </w:rPr>
            </w:pPr>
            <w:r w:rsidRPr="0907C099">
              <w:rPr>
                <w:rFonts w:asciiTheme="minorHAnsi" w:hAnsiTheme="minorHAnsi" w:cstheme="minorBidi"/>
                <w:b/>
                <w:sz w:val="20"/>
                <w:szCs w:val="20"/>
              </w:rPr>
              <w:t>182.7</w:t>
            </w:r>
          </w:p>
        </w:tc>
        <w:tc>
          <w:tcPr>
            <w:tcW w:w="1900" w:type="dxa"/>
            <w:tcBorders>
              <w:top w:val="single" w:sz="4" w:space="0" w:color="auto"/>
              <w:left w:val="nil"/>
              <w:bottom w:val="single" w:sz="4" w:space="0" w:color="FFFFFF" w:themeColor="background1"/>
              <w:right w:val="nil"/>
            </w:tcBorders>
            <w:vAlign w:val="bottom"/>
          </w:tcPr>
          <w:p w14:paraId="47017805" w14:textId="489C8870" w:rsidR="00E04DBF" w:rsidRPr="006D4208" w:rsidRDefault="00980061" w:rsidP="00AF5A74">
            <w:pPr>
              <w:jc w:val="right"/>
              <w:rPr>
                <w:rFonts w:asciiTheme="minorHAnsi" w:hAnsiTheme="minorHAnsi" w:cstheme="minorBidi"/>
                <w:sz w:val="20"/>
                <w:szCs w:val="20"/>
              </w:rPr>
            </w:pPr>
            <w:r w:rsidRPr="0907C099">
              <w:rPr>
                <w:rFonts w:asciiTheme="minorHAnsi" w:hAnsiTheme="minorHAnsi" w:cstheme="minorBidi"/>
                <w:sz w:val="20"/>
                <w:szCs w:val="20"/>
              </w:rPr>
              <w:t>175.4</w:t>
            </w:r>
          </w:p>
        </w:tc>
        <w:tc>
          <w:tcPr>
            <w:tcW w:w="1657" w:type="dxa"/>
            <w:tcBorders>
              <w:top w:val="single" w:sz="4" w:space="0" w:color="auto"/>
              <w:left w:val="nil"/>
              <w:bottom w:val="single" w:sz="4" w:space="0" w:color="FFFFFF" w:themeColor="background1"/>
              <w:right w:val="nil"/>
            </w:tcBorders>
          </w:tcPr>
          <w:p w14:paraId="1E66249F" w14:textId="4EC04A82" w:rsidR="00E04DBF" w:rsidRPr="006D4208" w:rsidRDefault="005D0806" w:rsidP="00AF5A74">
            <w:pPr>
              <w:jc w:val="right"/>
              <w:rPr>
                <w:rFonts w:asciiTheme="minorHAnsi" w:hAnsiTheme="minorHAnsi" w:cstheme="minorBidi"/>
                <w:i/>
                <w:sz w:val="20"/>
                <w:szCs w:val="20"/>
              </w:rPr>
            </w:pPr>
            <w:r w:rsidRPr="0907C099">
              <w:rPr>
                <w:rFonts w:asciiTheme="minorHAnsi" w:hAnsiTheme="minorHAnsi" w:cstheme="minorBidi"/>
                <w:i/>
                <w:sz w:val="20"/>
                <w:szCs w:val="20"/>
              </w:rPr>
              <w:t>4.2</w:t>
            </w:r>
          </w:p>
        </w:tc>
      </w:tr>
      <w:tr w:rsidR="00473125" w:rsidRPr="004E417B" w14:paraId="3053C6C7" w14:textId="77777777" w:rsidTr="2CF31E8D">
        <w:trPr>
          <w:trHeight w:val="240"/>
        </w:trPr>
        <w:tc>
          <w:tcPr>
            <w:tcW w:w="4928" w:type="dxa"/>
            <w:tcBorders>
              <w:top w:val="single" w:sz="4" w:space="0" w:color="FFFFFF" w:themeColor="background1"/>
              <w:left w:val="nil"/>
              <w:bottom w:val="single" w:sz="4" w:space="0" w:color="auto"/>
              <w:right w:val="nil"/>
            </w:tcBorders>
            <w:vAlign w:val="center"/>
          </w:tcPr>
          <w:p w14:paraId="073698CF" w14:textId="77777777" w:rsidR="00E04DBF" w:rsidRPr="00074671" w:rsidRDefault="00E04DBF" w:rsidP="00AF5A74">
            <w:pPr>
              <w:ind w:right="115"/>
              <w:rPr>
                <w:rFonts w:asciiTheme="minorHAnsi" w:eastAsia="Poppins" w:hAnsiTheme="minorHAnsi" w:cstheme="minorBidi"/>
                <w:sz w:val="20"/>
                <w:szCs w:val="20"/>
              </w:rPr>
            </w:pPr>
            <w:r w:rsidRPr="0907C099">
              <w:rPr>
                <w:rFonts w:asciiTheme="minorHAnsi" w:eastAsia="Poppins" w:hAnsiTheme="minorHAnsi" w:cstheme="minorBidi"/>
                <w:sz w:val="20"/>
                <w:szCs w:val="20"/>
              </w:rPr>
              <w:t>Impairment charges</w:t>
            </w:r>
          </w:p>
        </w:tc>
        <w:tc>
          <w:tcPr>
            <w:tcW w:w="1346" w:type="dxa"/>
            <w:tcBorders>
              <w:top w:val="nil"/>
              <w:left w:val="nil"/>
              <w:bottom w:val="single" w:sz="4" w:space="0" w:color="auto"/>
              <w:right w:val="nil"/>
            </w:tcBorders>
            <w:shd w:val="clear" w:color="auto" w:fill="F2F2F2" w:themeFill="background1" w:themeFillShade="F2"/>
          </w:tcPr>
          <w:p w14:paraId="5490F099" w14:textId="1D565C86" w:rsidR="00E04DBF" w:rsidRPr="006D4208" w:rsidRDefault="00E04DBF" w:rsidP="00AF5A74">
            <w:pPr>
              <w:jc w:val="right"/>
              <w:rPr>
                <w:rFonts w:asciiTheme="minorHAnsi" w:hAnsiTheme="minorHAnsi" w:cstheme="minorBidi"/>
                <w:b/>
                <w:sz w:val="20"/>
                <w:szCs w:val="20"/>
              </w:rPr>
            </w:pPr>
            <w:r w:rsidRPr="0907C099">
              <w:rPr>
                <w:rFonts w:asciiTheme="minorHAnsi" w:hAnsiTheme="minorHAnsi" w:cstheme="minorBidi"/>
                <w:b/>
                <w:sz w:val="20"/>
                <w:szCs w:val="20"/>
              </w:rPr>
              <w:t>(</w:t>
            </w:r>
            <w:r w:rsidR="0ED03319" w:rsidRPr="0907C099">
              <w:rPr>
                <w:rFonts w:asciiTheme="minorHAnsi" w:hAnsiTheme="minorHAnsi" w:cstheme="minorBidi"/>
                <w:b/>
                <w:sz w:val="20"/>
                <w:szCs w:val="20"/>
              </w:rPr>
              <w:t>6</w:t>
            </w:r>
            <w:r w:rsidR="71A6DA22" w:rsidRPr="0907C099">
              <w:rPr>
                <w:rFonts w:asciiTheme="minorHAnsi" w:hAnsiTheme="minorHAnsi" w:cstheme="minorBidi"/>
                <w:b/>
                <w:sz w:val="20"/>
                <w:szCs w:val="20"/>
              </w:rPr>
              <w:t>6</w:t>
            </w:r>
            <w:r w:rsidR="0ED03319" w:rsidRPr="0907C099">
              <w:rPr>
                <w:rFonts w:asciiTheme="minorHAnsi" w:hAnsiTheme="minorHAnsi" w:cstheme="minorBidi"/>
                <w:b/>
                <w:sz w:val="20"/>
                <w:szCs w:val="20"/>
              </w:rPr>
              <w:t>.</w:t>
            </w:r>
            <w:r w:rsidR="0E23520D" w:rsidRPr="0907C099">
              <w:rPr>
                <w:rFonts w:asciiTheme="minorHAnsi" w:hAnsiTheme="minorHAnsi" w:cstheme="minorBidi"/>
                <w:b/>
                <w:sz w:val="20"/>
                <w:szCs w:val="20"/>
              </w:rPr>
              <w:t>1</w:t>
            </w:r>
            <w:r w:rsidRPr="0907C099">
              <w:rPr>
                <w:rFonts w:asciiTheme="minorHAnsi" w:hAnsiTheme="minorHAnsi" w:cstheme="minorBidi"/>
                <w:b/>
                <w:sz w:val="20"/>
                <w:szCs w:val="20"/>
              </w:rPr>
              <w:t>)</w:t>
            </w:r>
          </w:p>
        </w:tc>
        <w:tc>
          <w:tcPr>
            <w:tcW w:w="1900" w:type="dxa"/>
            <w:tcBorders>
              <w:top w:val="single" w:sz="4" w:space="0" w:color="FFFFFF" w:themeColor="background1"/>
              <w:left w:val="nil"/>
              <w:bottom w:val="single" w:sz="4" w:space="0" w:color="auto"/>
              <w:right w:val="nil"/>
            </w:tcBorders>
            <w:vAlign w:val="bottom"/>
          </w:tcPr>
          <w:p w14:paraId="576B0EA6" w14:textId="312A573D" w:rsidR="00E04DBF" w:rsidRPr="006D4208" w:rsidRDefault="00E04DBF" w:rsidP="00AF5A74">
            <w:pPr>
              <w:jc w:val="right"/>
              <w:rPr>
                <w:rFonts w:asciiTheme="minorHAnsi" w:hAnsiTheme="minorHAnsi" w:cstheme="minorBidi"/>
                <w:sz w:val="20"/>
                <w:szCs w:val="20"/>
              </w:rPr>
            </w:pPr>
            <w:r w:rsidRPr="0907C099">
              <w:rPr>
                <w:rFonts w:asciiTheme="minorHAnsi" w:hAnsiTheme="minorHAnsi" w:cstheme="minorBidi"/>
                <w:sz w:val="20"/>
                <w:szCs w:val="20"/>
              </w:rPr>
              <w:t>(</w:t>
            </w:r>
            <w:r w:rsidR="001560FC" w:rsidRPr="0907C099">
              <w:rPr>
                <w:rFonts w:asciiTheme="minorHAnsi" w:hAnsiTheme="minorHAnsi" w:cstheme="minorBidi"/>
                <w:sz w:val="20"/>
                <w:szCs w:val="20"/>
              </w:rPr>
              <w:t>55.4</w:t>
            </w:r>
            <w:r w:rsidRPr="0907C099">
              <w:rPr>
                <w:rFonts w:asciiTheme="minorHAnsi" w:hAnsiTheme="minorHAnsi" w:cstheme="minorBidi"/>
                <w:sz w:val="20"/>
                <w:szCs w:val="20"/>
              </w:rPr>
              <w:t>)</w:t>
            </w:r>
          </w:p>
        </w:tc>
        <w:tc>
          <w:tcPr>
            <w:tcW w:w="1657" w:type="dxa"/>
            <w:tcBorders>
              <w:top w:val="single" w:sz="4" w:space="0" w:color="FFFFFF" w:themeColor="background1"/>
              <w:left w:val="nil"/>
              <w:bottom w:val="single" w:sz="4" w:space="0" w:color="auto"/>
              <w:right w:val="nil"/>
            </w:tcBorders>
          </w:tcPr>
          <w:p w14:paraId="411DD3D1" w14:textId="072CC85D" w:rsidR="00E04DBF" w:rsidRPr="006D4208" w:rsidRDefault="007B0336" w:rsidP="00AF5A74">
            <w:pPr>
              <w:jc w:val="right"/>
              <w:rPr>
                <w:rFonts w:asciiTheme="minorHAnsi" w:hAnsiTheme="minorHAnsi" w:cstheme="minorBidi"/>
                <w:i/>
                <w:sz w:val="20"/>
                <w:szCs w:val="20"/>
              </w:rPr>
            </w:pPr>
            <w:r w:rsidRPr="0907C099">
              <w:rPr>
                <w:rFonts w:asciiTheme="minorHAnsi" w:hAnsiTheme="minorHAnsi" w:cstheme="minorBidi"/>
                <w:i/>
                <w:sz w:val="20"/>
                <w:szCs w:val="20"/>
              </w:rPr>
              <w:t>19.3</w:t>
            </w:r>
          </w:p>
        </w:tc>
      </w:tr>
      <w:tr w:rsidR="00473125" w:rsidRPr="00B97324" w14:paraId="6F0C336D" w14:textId="77777777" w:rsidTr="2CF31E8D">
        <w:trPr>
          <w:trHeight w:val="240"/>
        </w:trPr>
        <w:tc>
          <w:tcPr>
            <w:tcW w:w="4928" w:type="dxa"/>
            <w:tcBorders>
              <w:top w:val="single" w:sz="4" w:space="0" w:color="auto"/>
              <w:left w:val="nil"/>
              <w:bottom w:val="single" w:sz="4" w:space="0" w:color="FFFFFF" w:themeColor="background1"/>
              <w:right w:val="nil"/>
            </w:tcBorders>
            <w:vAlign w:val="center"/>
          </w:tcPr>
          <w:p w14:paraId="18FD8F92" w14:textId="77777777" w:rsidR="00E04DBF" w:rsidRPr="004E417B" w:rsidRDefault="00E04DBF" w:rsidP="00AF5A74">
            <w:pPr>
              <w:ind w:right="115"/>
              <w:rPr>
                <w:rFonts w:asciiTheme="minorHAnsi" w:eastAsia="Poppins" w:hAnsiTheme="minorHAnsi" w:cstheme="minorBidi"/>
                <w:b/>
                <w:sz w:val="20"/>
                <w:szCs w:val="20"/>
              </w:rPr>
            </w:pPr>
            <w:r w:rsidRPr="0907C099">
              <w:rPr>
                <w:rFonts w:asciiTheme="minorHAnsi" w:eastAsia="Poppins" w:hAnsiTheme="minorHAnsi" w:cstheme="minorBidi"/>
                <w:b/>
                <w:sz w:val="20"/>
                <w:szCs w:val="20"/>
              </w:rPr>
              <w:lastRenderedPageBreak/>
              <w:t>Risk adjusted income</w:t>
            </w:r>
          </w:p>
        </w:tc>
        <w:tc>
          <w:tcPr>
            <w:tcW w:w="1346" w:type="dxa"/>
            <w:tcBorders>
              <w:top w:val="single" w:sz="4" w:space="0" w:color="auto"/>
              <w:left w:val="nil"/>
              <w:bottom w:val="nil"/>
              <w:right w:val="nil"/>
            </w:tcBorders>
            <w:shd w:val="clear" w:color="auto" w:fill="F2F2F2" w:themeFill="background1" w:themeFillShade="F2"/>
          </w:tcPr>
          <w:p w14:paraId="52798E42" w14:textId="5DE803EB" w:rsidR="00E04DBF" w:rsidRPr="006D4208" w:rsidRDefault="00A03C67" w:rsidP="00AF5A74">
            <w:pPr>
              <w:jc w:val="right"/>
              <w:rPr>
                <w:rFonts w:asciiTheme="minorHAnsi" w:hAnsiTheme="minorHAnsi" w:cstheme="minorBidi"/>
                <w:b/>
                <w:sz w:val="20"/>
                <w:szCs w:val="20"/>
              </w:rPr>
            </w:pPr>
            <w:r w:rsidRPr="0907C099">
              <w:rPr>
                <w:rFonts w:asciiTheme="minorHAnsi" w:hAnsiTheme="minorHAnsi" w:cstheme="minorBidi"/>
                <w:b/>
                <w:sz w:val="20"/>
                <w:szCs w:val="20"/>
              </w:rPr>
              <w:t>116.</w:t>
            </w:r>
            <w:r w:rsidR="1E5F71FD" w:rsidRPr="0907C099">
              <w:rPr>
                <w:rFonts w:asciiTheme="minorHAnsi" w:hAnsiTheme="minorHAnsi" w:cstheme="minorBidi"/>
                <w:b/>
                <w:sz w:val="20"/>
                <w:szCs w:val="20"/>
              </w:rPr>
              <w:t>6</w:t>
            </w:r>
          </w:p>
        </w:tc>
        <w:tc>
          <w:tcPr>
            <w:tcW w:w="1900" w:type="dxa"/>
            <w:tcBorders>
              <w:top w:val="single" w:sz="4" w:space="0" w:color="auto"/>
              <w:left w:val="nil"/>
              <w:bottom w:val="single" w:sz="4" w:space="0" w:color="FFFFFF" w:themeColor="background1"/>
              <w:right w:val="nil"/>
            </w:tcBorders>
            <w:vAlign w:val="bottom"/>
          </w:tcPr>
          <w:p w14:paraId="1C5358FD" w14:textId="2ABBCB7F" w:rsidR="00E04DBF" w:rsidRPr="006D4208" w:rsidRDefault="00250A33" w:rsidP="00AF5A74">
            <w:pPr>
              <w:jc w:val="right"/>
              <w:rPr>
                <w:rFonts w:asciiTheme="minorHAnsi" w:hAnsiTheme="minorHAnsi" w:cstheme="minorBidi"/>
                <w:sz w:val="20"/>
                <w:szCs w:val="20"/>
              </w:rPr>
            </w:pPr>
            <w:r w:rsidRPr="0907C099">
              <w:rPr>
                <w:rFonts w:asciiTheme="minorHAnsi" w:hAnsiTheme="minorHAnsi" w:cstheme="minorBidi"/>
                <w:sz w:val="20"/>
                <w:szCs w:val="20"/>
              </w:rPr>
              <w:t>120.0</w:t>
            </w:r>
          </w:p>
        </w:tc>
        <w:tc>
          <w:tcPr>
            <w:tcW w:w="1657" w:type="dxa"/>
            <w:tcBorders>
              <w:top w:val="single" w:sz="4" w:space="0" w:color="auto"/>
              <w:left w:val="nil"/>
              <w:bottom w:val="single" w:sz="4" w:space="0" w:color="FFFFFF" w:themeColor="background1"/>
              <w:right w:val="nil"/>
            </w:tcBorders>
          </w:tcPr>
          <w:p w14:paraId="4489A1AD" w14:textId="4769D455" w:rsidR="00E04DBF" w:rsidRPr="006D4208" w:rsidRDefault="00E04DBF" w:rsidP="00AF5A74">
            <w:pPr>
              <w:jc w:val="right"/>
              <w:rPr>
                <w:rFonts w:asciiTheme="minorHAnsi" w:hAnsiTheme="minorHAnsi" w:cstheme="minorBidi"/>
                <w:i/>
                <w:sz w:val="20"/>
                <w:szCs w:val="20"/>
              </w:rPr>
            </w:pPr>
            <w:r w:rsidRPr="0907C099">
              <w:rPr>
                <w:rFonts w:asciiTheme="minorHAnsi" w:hAnsiTheme="minorHAnsi" w:cstheme="minorBidi"/>
                <w:i/>
                <w:sz w:val="20"/>
                <w:szCs w:val="20"/>
              </w:rPr>
              <w:t>(</w:t>
            </w:r>
            <w:r w:rsidR="00F17C5C" w:rsidRPr="0907C099">
              <w:rPr>
                <w:rFonts w:asciiTheme="minorHAnsi" w:hAnsiTheme="minorHAnsi" w:cstheme="minorBidi"/>
                <w:i/>
                <w:sz w:val="20"/>
                <w:szCs w:val="20"/>
              </w:rPr>
              <w:t>2.8</w:t>
            </w:r>
            <w:r w:rsidRPr="0907C099">
              <w:rPr>
                <w:rFonts w:asciiTheme="minorHAnsi" w:hAnsiTheme="minorHAnsi" w:cstheme="minorBidi"/>
                <w:i/>
                <w:sz w:val="20"/>
                <w:szCs w:val="20"/>
              </w:rPr>
              <w:t>)</w:t>
            </w:r>
          </w:p>
        </w:tc>
      </w:tr>
      <w:tr w:rsidR="00473125" w:rsidRPr="00B97324" w14:paraId="03A97874" w14:textId="77777777" w:rsidTr="2CF31E8D">
        <w:trPr>
          <w:trHeight w:val="240"/>
        </w:trPr>
        <w:tc>
          <w:tcPr>
            <w:tcW w:w="4928" w:type="dxa"/>
            <w:tcBorders>
              <w:top w:val="single" w:sz="4" w:space="0" w:color="FFFFFF" w:themeColor="background1"/>
              <w:left w:val="nil"/>
              <w:bottom w:val="single" w:sz="4" w:space="0" w:color="auto"/>
              <w:right w:val="nil"/>
            </w:tcBorders>
            <w:vAlign w:val="center"/>
          </w:tcPr>
          <w:p w14:paraId="421DC4AC" w14:textId="2CFC5575" w:rsidR="00E04DBF" w:rsidRPr="00B97324" w:rsidRDefault="00E04DBF" w:rsidP="00AF5A74">
            <w:pPr>
              <w:ind w:right="115"/>
              <w:rPr>
                <w:rFonts w:asciiTheme="minorHAnsi" w:eastAsia="Poppins" w:hAnsiTheme="minorHAnsi" w:cstheme="minorBidi"/>
                <w:sz w:val="20"/>
                <w:szCs w:val="20"/>
              </w:rPr>
            </w:pPr>
            <w:r w:rsidRPr="0907C099">
              <w:rPr>
                <w:rFonts w:asciiTheme="minorHAnsi" w:eastAsia="Poppins" w:hAnsiTheme="minorHAnsi" w:cstheme="minorBidi"/>
                <w:sz w:val="20"/>
                <w:szCs w:val="20"/>
              </w:rPr>
              <w:t>Adjusted operating costs</w:t>
            </w:r>
            <w:r w:rsidRPr="0907C099">
              <w:rPr>
                <w:rFonts w:asciiTheme="minorHAnsi" w:eastAsia="Poppins" w:hAnsiTheme="minorHAnsi" w:cstheme="minorBidi"/>
                <w:sz w:val="20"/>
                <w:szCs w:val="20"/>
                <w:vertAlign w:val="superscript"/>
              </w:rPr>
              <w:t xml:space="preserve"> </w:t>
            </w:r>
          </w:p>
        </w:tc>
        <w:tc>
          <w:tcPr>
            <w:tcW w:w="1346" w:type="dxa"/>
            <w:tcBorders>
              <w:top w:val="nil"/>
              <w:left w:val="nil"/>
              <w:bottom w:val="single" w:sz="4" w:space="0" w:color="auto"/>
              <w:right w:val="nil"/>
            </w:tcBorders>
            <w:shd w:val="clear" w:color="auto" w:fill="F2F2F2" w:themeFill="background1" w:themeFillShade="F2"/>
          </w:tcPr>
          <w:p w14:paraId="0B0EDFDE" w14:textId="5924B6CF" w:rsidR="00E04DBF" w:rsidRPr="006D4208" w:rsidRDefault="00E04DBF" w:rsidP="00AF5A74">
            <w:pPr>
              <w:jc w:val="right"/>
              <w:rPr>
                <w:rFonts w:asciiTheme="minorHAnsi" w:hAnsiTheme="minorHAnsi" w:cstheme="minorBidi"/>
                <w:b/>
                <w:sz w:val="20"/>
                <w:szCs w:val="20"/>
              </w:rPr>
            </w:pPr>
            <w:r w:rsidRPr="0907C099">
              <w:rPr>
                <w:rFonts w:asciiTheme="minorHAnsi" w:hAnsiTheme="minorHAnsi" w:cstheme="minorBidi"/>
                <w:b/>
                <w:sz w:val="20"/>
                <w:szCs w:val="20"/>
              </w:rPr>
              <w:t>(</w:t>
            </w:r>
            <w:r w:rsidR="0ED03319" w:rsidRPr="0907C099">
              <w:rPr>
                <w:rFonts w:asciiTheme="minorHAnsi" w:hAnsiTheme="minorHAnsi" w:cstheme="minorBidi"/>
                <w:b/>
                <w:sz w:val="20"/>
                <w:szCs w:val="20"/>
              </w:rPr>
              <w:t>9</w:t>
            </w:r>
            <w:r w:rsidR="60F72AD6" w:rsidRPr="0907C099">
              <w:rPr>
                <w:rFonts w:asciiTheme="minorHAnsi" w:hAnsiTheme="minorHAnsi" w:cstheme="minorBidi"/>
                <w:b/>
                <w:sz w:val="20"/>
                <w:szCs w:val="20"/>
              </w:rPr>
              <w:t>6</w:t>
            </w:r>
            <w:r w:rsidR="0ED03319" w:rsidRPr="0907C099">
              <w:rPr>
                <w:rFonts w:asciiTheme="minorHAnsi" w:hAnsiTheme="minorHAnsi" w:cstheme="minorBidi"/>
                <w:b/>
                <w:sz w:val="20"/>
                <w:szCs w:val="20"/>
              </w:rPr>
              <w:t>.</w:t>
            </w:r>
            <w:r w:rsidR="00B24209" w:rsidRPr="0907C099">
              <w:rPr>
                <w:rFonts w:asciiTheme="minorHAnsi" w:hAnsiTheme="minorHAnsi" w:cstheme="minorBidi"/>
                <w:b/>
                <w:sz w:val="20"/>
                <w:szCs w:val="20"/>
              </w:rPr>
              <w:t>4</w:t>
            </w:r>
            <w:r w:rsidRPr="0907C099">
              <w:rPr>
                <w:rFonts w:asciiTheme="minorHAnsi" w:hAnsiTheme="minorHAnsi" w:cstheme="minorBidi"/>
                <w:b/>
                <w:sz w:val="20"/>
                <w:szCs w:val="20"/>
              </w:rPr>
              <w:t>)</w:t>
            </w:r>
          </w:p>
        </w:tc>
        <w:tc>
          <w:tcPr>
            <w:tcW w:w="1900" w:type="dxa"/>
            <w:tcBorders>
              <w:top w:val="single" w:sz="4" w:space="0" w:color="FFFFFF" w:themeColor="background1"/>
              <w:left w:val="nil"/>
              <w:bottom w:val="single" w:sz="4" w:space="0" w:color="auto"/>
              <w:right w:val="nil"/>
            </w:tcBorders>
            <w:vAlign w:val="bottom"/>
          </w:tcPr>
          <w:p w14:paraId="54AEF1E8" w14:textId="22947369" w:rsidR="00E04DBF" w:rsidRPr="006D4208" w:rsidRDefault="00E04DBF" w:rsidP="00AF5A74">
            <w:pPr>
              <w:jc w:val="right"/>
              <w:rPr>
                <w:rFonts w:asciiTheme="minorHAnsi" w:hAnsiTheme="minorHAnsi" w:cstheme="minorBidi"/>
                <w:sz w:val="20"/>
                <w:szCs w:val="20"/>
              </w:rPr>
            </w:pPr>
            <w:r w:rsidRPr="0907C099">
              <w:rPr>
                <w:rFonts w:asciiTheme="minorHAnsi" w:hAnsiTheme="minorHAnsi" w:cstheme="minorBidi"/>
                <w:sz w:val="20"/>
                <w:szCs w:val="20"/>
              </w:rPr>
              <w:t>(</w:t>
            </w:r>
            <w:r w:rsidR="00D2343B" w:rsidRPr="0907C099">
              <w:rPr>
                <w:rFonts w:asciiTheme="minorHAnsi" w:hAnsiTheme="minorHAnsi" w:cstheme="minorBidi"/>
                <w:sz w:val="20"/>
                <w:szCs w:val="20"/>
              </w:rPr>
              <w:t>86.1</w:t>
            </w:r>
            <w:r w:rsidRPr="0907C099">
              <w:rPr>
                <w:rFonts w:asciiTheme="minorHAnsi" w:hAnsiTheme="minorHAnsi" w:cstheme="minorBidi"/>
                <w:sz w:val="20"/>
                <w:szCs w:val="20"/>
              </w:rPr>
              <w:t>)</w:t>
            </w:r>
          </w:p>
        </w:tc>
        <w:tc>
          <w:tcPr>
            <w:tcW w:w="1657" w:type="dxa"/>
            <w:tcBorders>
              <w:top w:val="single" w:sz="4" w:space="0" w:color="FFFFFF" w:themeColor="background1"/>
              <w:left w:val="nil"/>
              <w:bottom w:val="single" w:sz="4" w:space="0" w:color="auto"/>
              <w:right w:val="nil"/>
            </w:tcBorders>
          </w:tcPr>
          <w:p w14:paraId="56833C34" w14:textId="0AA793C6" w:rsidR="00E04DBF" w:rsidRPr="006D4208" w:rsidRDefault="007C5657" w:rsidP="00AF5A74">
            <w:pPr>
              <w:jc w:val="right"/>
              <w:rPr>
                <w:rFonts w:asciiTheme="minorHAnsi" w:hAnsiTheme="minorHAnsi" w:cstheme="minorBidi"/>
                <w:i/>
                <w:sz w:val="20"/>
                <w:szCs w:val="20"/>
              </w:rPr>
            </w:pPr>
            <w:r w:rsidRPr="0907C099">
              <w:rPr>
                <w:rFonts w:asciiTheme="minorHAnsi" w:hAnsiTheme="minorHAnsi" w:cstheme="minorBidi"/>
                <w:i/>
                <w:sz w:val="20"/>
                <w:szCs w:val="20"/>
              </w:rPr>
              <w:t>12.0</w:t>
            </w:r>
          </w:p>
        </w:tc>
      </w:tr>
      <w:tr w:rsidR="00B674CF" w:rsidRPr="00B97324" w14:paraId="6B44715C" w14:textId="77777777" w:rsidTr="2CF31E8D">
        <w:trPr>
          <w:trHeight w:val="240"/>
        </w:trPr>
        <w:tc>
          <w:tcPr>
            <w:tcW w:w="4928" w:type="dxa"/>
            <w:tcBorders>
              <w:top w:val="single" w:sz="4" w:space="0" w:color="auto"/>
              <w:left w:val="nil"/>
              <w:bottom w:val="single" w:sz="4" w:space="0" w:color="auto"/>
              <w:right w:val="nil"/>
            </w:tcBorders>
            <w:vAlign w:val="center"/>
          </w:tcPr>
          <w:p w14:paraId="177E9A4A" w14:textId="2588CDB0" w:rsidR="00E04DBF" w:rsidRPr="00B97324" w:rsidRDefault="00E04DBF" w:rsidP="00AF5A74">
            <w:pPr>
              <w:ind w:right="115"/>
              <w:rPr>
                <w:rFonts w:asciiTheme="minorHAnsi" w:eastAsia="Poppins" w:hAnsiTheme="minorHAnsi" w:cstheme="minorBidi"/>
                <w:sz w:val="20"/>
                <w:szCs w:val="20"/>
              </w:rPr>
            </w:pPr>
            <w:r w:rsidRPr="0907C099">
              <w:rPr>
                <w:rFonts w:asciiTheme="minorHAnsi" w:eastAsia="Poppins" w:hAnsiTheme="minorHAnsi" w:cstheme="minorBidi"/>
                <w:b/>
                <w:sz w:val="20"/>
                <w:szCs w:val="20"/>
              </w:rPr>
              <w:t>Adjusted PBT contribution</w:t>
            </w:r>
            <w:r w:rsidRPr="0907C099">
              <w:rPr>
                <w:rFonts w:asciiTheme="minorHAnsi" w:eastAsia="Poppins" w:hAnsiTheme="minorHAnsi" w:cstheme="minorBidi"/>
                <w:sz w:val="20"/>
                <w:szCs w:val="20"/>
                <w:vertAlign w:val="superscript"/>
              </w:rPr>
              <w:t xml:space="preserve"> </w:t>
            </w:r>
            <w:r w:rsidR="00CA5F8B" w:rsidRPr="0907C099">
              <w:rPr>
                <w:rFonts w:asciiTheme="minorHAnsi" w:eastAsia="Poppins" w:hAnsiTheme="minorHAnsi" w:cstheme="minorBidi"/>
                <w:sz w:val="20"/>
                <w:szCs w:val="20"/>
                <w:vertAlign w:val="superscript"/>
              </w:rPr>
              <w:t>2</w:t>
            </w:r>
          </w:p>
        </w:tc>
        <w:tc>
          <w:tcPr>
            <w:tcW w:w="1346" w:type="dxa"/>
            <w:tcBorders>
              <w:top w:val="single" w:sz="4" w:space="0" w:color="auto"/>
              <w:left w:val="nil"/>
              <w:bottom w:val="single" w:sz="4" w:space="0" w:color="auto"/>
              <w:right w:val="nil"/>
            </w:tcBorders>
            <w:shd w:val="clear" w:color="auto" w:fill="F2F2F2" w:themeFill="background1" w:themeFillShade="F2"/>
          </w:tcPr>
          <w:p w14:paraId="6EF1B96F" w14:textId="60C1C95C" w:rsidR="00E04DBF" w:rsidRPr="006D4208" w:rsidRDefault="37366E76" w:rsidP="00AF5A74">
            <w:pPr>
              <w:jc w:val="right"/>
              <w:rPr>
                <w:rFonts w:asciiTheme="minorHAnsi" w:hAnsiTheme="minorHAnsi" w:cstheme="minorBidi"/>
                <w:b/>
                <w:sz w:val="20"/>
                <w:szCs w:val="20"/>
              </w:rPr>
            </w:pPr>
            <w:r w:rsidRPr="0907C099">
              <w:rPr>
                <w:rFonts w:asciiTheme="minorHAnsi" w:hAnsiTheme="minorHAnsi" w:cstheme="minorBidi"/>
                <w:b/>
                <w:sz w:val="20"/>
                <w:szCs w:val="20"/>
              </w:rPr>
              <w:t>20.</w:t>
            </w:r>
            <w:r w:rsidR="00B24209" w:rsidRPr="0907C099">
              <w:rPr>
                <w:rFonts w:asciiTheme="minorHAnsi" w:hAnsiTheme="minorHAnsi" w:cstheme="minorBidi"/>
                <w:b/>
                <w:sz w:val="20"/>
                <w:szCs w:val="20"/>
              </w:rPr>
              <w:t>2</w:t>
            </w:r>
          </w:p>
        </w:tc>
        <w:tc>
          <w:tcPr>
            <w:tcW w:w="1900" w:type="dxa"/>
            <w:tcBorders>
              <w:top w:val="single" w:sz="4" w:space="0" w:color="auto"/>
              <w:left w:val="nil"/>
              <w:bottom w:val="single" w:sz="4" w:space="0" w:color="auto"/>
              <w:right w:val="nil"/>
            </w:tcBorders>
            <w:vAlign w:val="bottom"/>
          </w:tcPr>
          <w:p w14:paraId="4A63CC23" w14:textId="2F8D7EFB" w:rsidR="00E04DBF" w:rsidRPr="006D4208" w:rsidRDefault="002A5A7C" w:rsidP="00AF5A74">
            <w:pPr>
              <w:jc w:val="right"/>
              <w:rPr>
                <w:rFonts w:asciiTheme="minorHAnsi" w:hAnsiTheme="minorHAnsi" w:cstheme="minorBidi"/>
                <w:sz w:val="20"/>
                <w:szCs w:val="20"/>
              </w:rPr>
            </w:pPr>
            <w:r w:rsidRPr="0907C099">
              <w:rPr>
                <w:rFonts w:asciiTheme="minorHAnsi" w:hAnsiTheme="minorHAnsi" w:cstheme="minorBidi"/>
                <w:sz w:val="20"/>
                <w:szCs w:val="20"/>
              </w:rPr>
              <w:t>33.9</w:t>
            </w:r>
          </w:p>
        </w:tc>
        <w:tc>
          <w:tcPr>
            <w:tcW w:w="1657" w:type="dxa"/>
            <w:tcBorders>
              <w:top w:val="single" w:sz="4" w:space="0" w:color="auto"/>
              <w:left w:val="nil"/>
              <w:bottom w:val="single" w:sz="4" w:space="0" w:color="auto"/>
              <w:right w:val="nil"/>
            </w:tcBorders>
          </w:tcPr>
          <w:p w14:paraId="719B3B72" w14:textId="6C58255E" w:rsidR="00E04DBF" w:rsidRPr="006D4208" w:rsidRDefault="00E04DBF" w:rsidP="00AF5A74">
            <w:pPr>
              <w:jc w:val="right"/>
              <w:rPr>
                <w:rFonts w:asciiTheme="minorHAnsi" w:hAnsiTheme="minorHAnsi" w:cstheme="minorBidi"/>
                <w:i/>
                <w:sz w:val="20"/>
                <w:szCs w:val="20"/>
              </w:rPr>
            </w:pPr>
            <w:r w:rsidRPr="0907C099">
              <w:rPr>
                <w:rFonts w:asciiTheme="minorHAnsi" w:hAnsiTheme="minorHAnsi" w:cstheme="minorBidi"/>
                <w:i/>
                <w:sz w:val="20"/>
                <w:szCs w:val="20"/>
              </w:rPr>
              <w:t>(</w:t>
            </w:r>
            <w:r w:rsidR="004359AA" w:rsidRPr="0907C099">
              <w:rPr>
                <w:rFonts w:asciiTheme="minorHAnsi" w:hAnsiTheme="minorHAnsi" w:cstheme="minorBidi"/>
                <w:i/>
                <w:sz w:val="20"/>
                <w:szCs w:val="20"/>
              </w:rPr>
              <w:t>40.4</w:t>
            </w:r>
            <w:r w:rsidRPr="0907C099">
              <w:rPr>
                <w:rFonts w:asciiTheme="minorHAnsi" w:hAnsiTheme="minorHAnsi" w:cstheme="minorBidi"/>
                <w:i/>
                <w:sz w:val="20"/>
                <w:szCs w:val="20"/>
              </w:rPr>
              <w:t>)</w:t>
            </w:r>
          </w:p>
        </w:tc>
      </w:tr>
      <w:tr w:rsidR="00B674CF" w:rsidRPr="00B97324" w14:paraId="207D5702" w14:textId="77777777" w:rsidTr="2CF31E8D">
        <w:trPr>
          <w:trHeight w:val="240"/>
        </w:trPr>
        <w:tc>
          <w:tcPr>
            <w:tcW w:w="4928" w:type="dxa"/>
            <w:tcBorders>
              <w:top w:val="single" w:sz="4" w:space="0" w:color="auto"/>
              <w:left w:val="nil"/>
              <w:bottom w:val="nil"/>
              <w:right w:val="nil"/>
            </w:tcBorders>
            <w:vAlign w:val="center"/>
          </w:tcPr>
          <w:p w14:paraId="3BBDB475" w14:textId="77777777" w:rsidR="00E04DBF" w:rsidRPr="00B97324" w:rsidRDefault="00E04DBF" w:rsidP="00AF5A74">
            <w:pPr>
              <w:ind w:right="115"/>
              <w:rPr>
                <w:rFonts w:asciiTheme="minorHAnsi" w:eastAsia="Poppins" w:hAnsiTheme="minorHAnsi" w:cstheme="minorBidi"/>
                <w:sz w:val="20"/>
                <w:szCs w:val="20"/>
              </w:rPr>
            </w:pPr>
          </w:p>
        </w:tc>
        <w:tc>
          <w:tcPr>
            <w:tcW w:w="1346" w:type="dxa"/>
            <w:tcBorders>
              <w:top w:val="single" w:sz="4" w:space="0" w:color="auto"/>
              <w:left w:val="nil"/>
              <w:bottom w:val="nil"/>
              <w:right w:val="nil"/>
            </w:tcBorders>
            <w:shd w:val="clear" w:color="auto" w:fill="F2F2F2" w:themeFill="background1" w:themeFillShade="F2"/>
          </w:tcPr>
          <w:p w14:paraId="77C0C4D7" w14:textId="77777777" w:rsidR="00E04DBF" w:rsidRPr="006D4208" w:rsidRDefault="00E04DBF" w:rsidP="00AF5A74">
            <w:pPr>
              <w:jc w:val="right"/>
              <w:rPr>
                <w:rFonts w:asciiTheme="minorHAnsi" w:hAnsiTheme="minorHAnsi" w:cstheme="minorBidi"/>
                <w:b/>
                <w:sz w:val="20"/>
                <w:szCs w:val="20"/>
              </w:rPr>
            </w:pPr>
          </w:p>
        </w:tc>
        <w:tc>
          <w:tcPr>
            <w:tcW w:w="1900" w:type="dxa"/>
            <w:tcBorders>
              <w:top w:val="single" w:sz="4" w:space="0" w:color="auto"/>
              <w:left w:val="nil"/>
              <w:bottom w:val="nil"/>
              <w:right w:val="nil"/>
            </w:tcBorders>
            <w:vAlign w:val="bottom"/>
          </w:tcPr>
          <w:p w14:paraId="394C723A" w14:textId="77777777" w:rsidR="00E04DBF" w:rsidRPr="006D4208" w:rsidRDefault="00E04DBF" w:rsidP="00AF5A74">
            <w:pPr>
              <w:jc w:val="right"/>
              <w:rPr>
                <w:rFonts w:asciiTheme="minorHAnsi" w:hAnsiTheme="minorHAnsi" w:cstheme="minorBidi"/>
                <w:sz w:val="20"/>
                <w:szCs w:val="20"/>
              </w:rPr>
            </w:pPr>
          </w:p>
        </w:tc>
        <w:tc>
          <w:tcPr>
            <w:tcW w:w="1657" w:type="dxa"/>
            <w:tcBorders>
              <w:top w:val="single" w:sz="4" w:space="0" w:color="auto"/>
              <w:left w:val="nil"/>
              <w:bottom w:val="nil"/>
              <w:right w:val="nil"/>
            </w:tcBorders>
          </w:tcPr>
          <w:p w14:paraId="44C6FA4E" w14:textId="77777777" w:rsidR="00E04DBF" w:rsidRPr="006D4208" w:rsidRDefault="00E04DBF" w:rsidP="00AF5A74">
            <w:pPr>
              <w:jc w:val="right"/>
              <w:rPr>
                <w:rFonts w:asciiTheme="minorHAnsi" w:hAnsiTheme="minorHAnsi" w:cstheme="minorBidi"/>
                <w:i/>
                <w:sz w:val="20"/>
                <w:szCs w:val="20"/>
              </w:rPr>
            </w:pPr>
          </w:p>
        </w:tc>
      </w:tr>
      <w:tr w:rsidR="00473125" w:rsidRPr="00274086" w14:paraId="11214E20" w14:textId="77777777" w:rsidTr="2CF31E8D">
        <w:trPr>
          <w:trHeight w:val="240"/>
        </w:trPr>
        <w:tc>
          <w:tcPr>
            <w:tcW w:w="4928" w:type="dxa"/>
            <w:tcBorders>
              <w:top w:val="nil"/>
              <w:left w:val="nil"/>
              <w:bottom w:val="single" w:sz="4" w:space="0" w:color="FFFFFF" w:themeColor="background1"/>
              <w:right w:val="nil"/>
            </w:tcBorders>
            <w:vAlign w:val="center"/>
          </w:tcPr>
          <w:p w14:paraId="037FA4F2" w14:textId="3596CE7C" w:rsidR="00E04DBF" w:rsidRPr="00B97324" w:rsidRDefault="00E04DBF" w:rsidP="00AF5A74">
            <w:pPr>
              <w:ind w:right="115"/>
              <w:rPr>
                <w:rFonts w:asciiTheme="minorHAnsi" w:eastAsia="Poppins" w:hAnsiTheme="minorHAnsi" w:cstheme="minorBidi"/>
                <w:sz w:val="20"/>
                <w:szCs w:val="20"/>
              </w:rPr>
            </w:pPr>
            <w:r w:rsidRPr="0907C099">
              <w:rPr>
                <w:rFonts w:asciiTheme="minorHAnsi" w:eastAsia="Poppins" w:hAnsiTheme="minorHAnsi" w:cstheme="minorBidi"/>
                <w:sz w:val="20"/>
                <w:szCs w:val="20"/>
              </w:rPr>
              <w:t>Asset yield (%)</w:t>
            </w:r>
            <w:r w:rsidRPr="0907C099">
              <w:rPr>
                <w:rFonts w:asciiTheme="minorHAnsi" w:eastAsia="Poppins" w:hAnsiTheme="minorHAnsi" w:cstheme="minorBidi"/>
                <w:sz w:val="20"/>
                <w:szCs w:val="20"/>
                <w:vertAlign w:val="superscript"/>
              </w:rPr>
              <w:t xml:space="preserve"> </w:t>
            </w:r>
            <w:r w:rsidR="00CA5F8B" w:rsidRPr="0907C099">
              <w:rPr>
                <w:rFonts w:asciiTheme="minorHAnsi" w:eastAsia="Poppins" w:hAnsiTheme="minorHAnsi" w:cstheme="minorBidi"/>
                <w:sz w:val="20"/>
                <w:szCs w:val="20"/>
                <w:vertAlign w:val="superscript"/>
              </w:rPr>
              <w:t>3</w:t>
            </w:r>
          </w:p>
        </w:tc>
        <w:tc>
          <w:tcPr>
            <w:tcW w:w="1346" w:type="dxa"/>
            <w:tcBorders>
              <w:top w:val="nil"/>
              <w:left w:val="nil"/>
              <w:bottom w:val="nil"/>
              <w:right w:val="nil"/>
            </w:tcBorders>
            <w:shd w:val="clear" w:color="auto" w:fill="F2F2F2" w:themeFill="background1" w:themeFillShade="F2"/>
          </w:tcPr>
          <w:p w14:paraId="52E79AC0" w14:textId="1D3BDE18" w:rsidR="00E04DBF" w:rsidRPr="006D4208" w:rsidRDefault="00A03C67" w:rsidP="00AF5A74">
            <w:pPr>
              <w:jc w:val="right"/>
              <w:rPr>
                <w:rFonts w:asciiTheme="minorHAnsi" w:hAnsiTheme="minorHAnsi" w:cstheme="minorBidi"/>
                <w:b/>
                <w:sz w:val="20"/>
                <w:szCs w:val="20"/>
              </w:rPr>
            </w:pPr>
            <w:r w:rsidRPr="0907C099">
              <w:rPr>
                <w:rFonts w:asciiTheme="minorHAnsi" w:hAnsiTheme="minorHAnsi" w:cstheme="minorBidi"/>
                <w:b/>
                <w:sz w:val="20"/>
                <w:szCs w:val="20"/>
              </w:rPr>
              <w:t>27.</w:t>
            </w:r>
            <w:r w:rsidR="005C01F6" w:rsidRPr="0907C099">
              <w:rPr>
                <w:rFonts w:asciiTheme="minorHAnsi" w:hAnsiTheme="minorHAnsi" w:cstheme="minorBidi"/>
                <w:b/>
                <w:sz w:val="20"/>
                <w:szCs w:val="20"/>
              </w:rPr>
              <w:t>5</w:t>
            </w:r>
          </w:p>
        </w:tc>
        <w:tc>
          <w:tcPr>
            <w:tcW w:w="1900" w:type="dxa"/>
            <w:tcBorders>
              <w:top w:val="nil"/>
              <w:left w:val="nil"/>
              <w:bottom w:val="single" w:sz="4" w:space="0" w:color="FFFFFF" w:themeColor="background1"/>
              <w:right w:val="nil"/>
            </w:tcBorders>
            <w:vAlign w:val="bottom"/>
          </w:tcPr>
          <w:p w14:paraId="1A28927E" w14:textId="4C194C4A" w:rsidR="00E04DBF" w:rsidRPr="006D4208" w:rsidRDefault="00E04DBF" w:rsidP="00AF5A74">
            <w:pPr>
              <w:jc w:val="right"/>
              <w:rPr>
                <w:rFonts w:asciiTheme="minorHAnsi" w:hAnsiTheme="minorHAnsi" w:cstheme="minorBidi"/>
                <w:sz w:val="20"/>
                <w:szCs w:val="20"/>
              </w:rPr>
            </w:pPr>
            <w:r w:rsidRPr="0907C099">
              <w:rPr>
                <w:rFonts w:asciiTheme="minorHAnsi" w:hAnsiTheme="minorHAnsi" w:cstheme="minorBidi"/>
                <w:sz w:val="20"/>
                <w:szCs w:val="20"/>
              </w:rPr>
              <w:t>2</w:t>
            </w:r>
            <w:r w:rsidR="004E3C76" w:rsidRPr="0907C099">
              <w:rPr>
                <w:rFonts w:asciiTheme="minorHAnsi" w:hAnsiTheme="minorHAnsi" w:cstheme="minorBidi"/>
                <w:sz w:val="20"/>
                <w:szCs w:val="20"/>
              </w:rPr>
              <w:t>4.0</w:t>
            </w:r>
          </w:p>
        </w:tc>
        <w:tc>
          <w:tcPr>
            <w:tcW w:w="1657" w:type="dxa"/>
            <w:tcBorders>
              <w:top w:val="nil"/>
              <w:left w:val="nil"/>
              <w:bottom w:val="single" w:sz="4" w:space="0" w:color="FFFFFF" w:themeColor="background1"/>
              <w:right w:val="nil"/>
            </w:tcBorders>
          </w:tcPr>
          <w:p w14:paraId="21889DFA" w14:textId="34172B0D" w:rsidR="00E04DBF" w:rsidRPr="006D4208" w:rsidRDefault="00807BB9" w:rsidP="00AF5A74">
            <w:pPr>
              <w:jc w:val="right"/>
              <w:rPr>
                <w:rFonts w:asciiTheme="minorHAnsi" w:hAnsiTheme="minorHAnsi" w:cstheme="minorBidi"/>
                <w:i/>
                <w:sz w:val="20"/>
                <w:szCs w:val="20"/>
              </w:rPr>
            </w:pPr>
            <w:r w:rsidRPr="0907C099">
              <w:rPr>
                <w:rFonts w:asciiTheme="minorHAnsi" w:hAnsiTheme="minorHAnsi" w:cstheme="minorBidi"/>
                <w:i/>
                <w:sz w:val="20"/>
                <w:szCs w:val="20"/>
              </w:rPr>
              <w:t>3.5</w:t>
            </w:r>
          </w:p>
        </w:tc>
      </w:tr>
      <w:tr w:rsidR="00473125" w:rsidRPr="00274086" w14:paraId="036DD2E0" w14:textId="77777777" w:rsidTr="2CF31E8D">
        <w:trPr>
          <w:trHeight w:val="240"/>
        </w:trPr>
        <w:tc>
          <w:tcPr>
            <w:tcW w:w="4928" w:type="dxa"/>
            <w:tcBorders>
              <w:top w:val="single" w:sz="4" w:space="0" w:color="FFFFFF" w:themeColor="background1"/>
              <w:left w:val="nil"/>
              <w:bottom w:val="single" w:sz="4" w:space="0" w:color="FFFFFF" w:themeColor="background1"/>
              <w:right w:val="nil"/>
            </w:tcBorders>
            <w:vAlign w:val="center"/>
          </w:tcPr>
          <w:p w14:paraId="45BECDFC" w14:textId="3812F0AD" w:rsidR="00E04DBF" w:rsidRPr="00274086" w:rsidRDefault="00E04DBF" w:rsidP="00AF5A74">
            <w:pPr>
              <w:ind w:right="115"/>
              <w:rPr>
                <w:rFonts w:asciiTheme="minorHAnsi" w:eastAsia="Poppins" w:hAnsiTheme="minorHAnsi" w:cstheme="minorBidi"/>
                <w:sz w:val="20"/>
                <w:szCs w:val="20"/>
              </w:rPr>
            </w:pPr>
            <w:r w:rsidRPr="0907C099">
              <w:rPr>
                <w:rFonts w:asciiTheme="minorHAnsi" w:eastAsia="Poppins" w:hAnsiTheme="minorHAnsi" w:cstheme="minorBidi"/>
                <w:sz w:val="20"/>
                <w:szCs w:val="20"/>
              </w:rPr>
              <w:t>Cost of risk (%)</w:t>
            </w:r>
            <w:r w:rsidRPr="0907C099">
              <w:rPr>
                <w:rFonts w:asciiTheme="minorHAnsi" w:eastAsia="Poppins" w:hAnsiTheme="minorHAnsi" w:cstheme="minorBidi"/>
                <w:sz w:val="20"/>
                <w:szCs w:val="20"/>
                <w:vertAlign w:val="superscript"/>
              </w:rPr>
              <w:t xml:space="preserve"> </w:t>
            </w:r>
            <w:r w:rsidR="00CA5F8B" w:rsidRPr="0907C099">
              <w:rPr>
                <w:rFonts w:asciiTheme="minorHAnsi" w:eastAsia="Poppins" w:hAnsiTheme="minorHAnsi" w:cstheme="minorBidi"/>
                <w:sz w:val="20"/>
                <w:szCs w:val="20"/>
                <w:vertAlign w:val="superscript"/>
              </w:rPr>
              <w:t>4</w:t>
            </w:r>
          </w:p>
        </w:tc>
        <w:tc>
          <w:tcPr>
            <w:tcW w:w="1346" w:type="dxa"/>
            <w:tcBorders>
              <w:top w:val="nil"/>
              <w:left w:val="nil"/>
              <w:bottom w:val="nil"/>
              <w:right w:val="nil"/>
            </w:tcBorders>
            <w:shd w:val="clear" w:color="auto" w:fill="F2F2F2" w:themeFill="background1" w:themeFillShade="F2"/>
          </w:tcPr>
          <w:p w14:paraId="43F10467" w14:textId="423AD8BC" w:rsidR="00E04DBF" w:rsidRPr="006D4208" w:rsidRDefault="00E04DBF" w:rsidP="00AF5A74">
            <w:pPr>
              <w:jc w:val="right"/>
              <w:rPr>
                <w:rFonts w:asciiTheme="minorHAnsi" w:hAnsiTheme="minorHAnsi" w:cstheme="minorBidi"/>
                <w:b/>
                <w:sz w:val="20"/>
                <w:szCs w:val="20"/>
              </w:rPr>
            </w:pPr>
            <w:r w:rsidRPr="0907C099">
              <w:rPr>
                <w:rFonts w:asciiTheme="minorHAnsi" w:hAnsiTheme="minorHAnsi" w:cstheme="minorBidi"/>
                <w:b/>
                <w:sz w:val="20"/>
                <w:szCs w:val="20"/>
              </w:rPr>
              <w:t>(</w:t>
            </w:r>
            <w:r w:rsidR="009B32C7" w:rsidRPr="0907C099">
              <w:rPr>
                <w:rFonts w:asciiTheme="minorHAnsi" w:hAnsiTheme="minorHAnsi" w:cstheme="minorBidi"/>
                <w:b/>
                <w:sz w:val="20"/>
                <w:szCs w:val="20"/>
              </w:rPr>
              <w:t>9.9</w:t>
            </w:r>
            <w:r w:rsidRPr="0907C099">
              <w:rPr>
                <w:rFonts w:asciiTheme="minorHAnsi" w:hAnsiTheme="minorHAnsi" w:cstheme="minorBidi"/>
                <w:b/>
                <w:sz w:val="20"/>
                <w:szCs w:val="20"/>
              </w:rPr>
              <w:t>)</w:t>
            </w:r>
          </w:p>
        </w:tc>
        <w:tc>
          <w:tcPr>
            <w:tcW w:w="1900" w:type="dxa"/>
            <w:tcBorders>
              <w:top w:val="single" w:sz="4" w:space="0" w:color="FFFFFF" w:themeColor="background1"/>
              <w:left w:val="nil"/>
              <w:bottom w:val="single" w:sz="4" w:space="0" w:color="FFFFFF" w:themeColor="background1"/>
              <w:right w:val="nil"/>
            </w:tcBorders>
            <w:vAlign w:val="bottom"/>
          </w:tcPr>
          <w:p w14:paraId="1042C4AE" w14:textId="6278D842" w:rsidR="00E04DBF" w:rsidRPr="006D4208" w:rsidRDefault="007260D0" w:rsidP="00AF5A74">
            <w:pPr>
              <w:jc w:val="right"/>
              <w:rPr>
                <w:rFonts w:asciiTheme="minorHAnsi" w:hAnsiTheme="minorHAnsi" w:cstheme="minorBidi"/>
                <w:sz w:val="20"/>
                <w:szCs w:val="20"/>
              </w:rPr>
            </w:pPr>
            <w:r w:rsidRPr="0907C099">
              <w:rPr>
                <w:rFonts w:asciiTheme="minorHAnsi" w:hAnsiTheme="minorHAnsi" w:cstheme="minorBidi"/>
                <w:sz w:val="20"/>
                <w:szCs w:val="20"/>
              </w:rPr>
              <w:t>(</w:t>
            </w:r>
            <w:r w:rsidR="00D13476" w:rsidRPr="0907C099">
              <w:rPr>
                <w:rFonts w:asciiTheme="minorHAnsi" w:hAnsiTheme="minorHAnsi" w:cstheme="minorBidi"/>
                <w:sz w:val="20"/>
                <w:szCs w:val="20"/>
              </w:rPr>
              <w:t>8.0</w:t>
            </w:r>
            <w:r w:rsidRPr="0907C099">
              <w:rPr>
                <w:rFonts w:asciiTheme="minorHAnsi" w:hAnsiTheme="minorHAnsi" w:cstheme="minorBidi"/>
                <w:sz w:val="20"/>
                <w:szCs w:val="20"/>
              </w:rPr>
              <w:t>)</w:t>
            </w:r>
          </w:p>
        </w:tc>
        <w:tc>
          <w:tcPr>
            <w:tcW w:w="1657" w:type="dxa"/>
            <w:tcBorders>
              <w:top w:val="single" w:sz="4" w:space="0" w:color="FFFFFF" w:themeColor="background1"/>
              <w:left w:val="nil"/>
              <w:bottom w:val="single" w:sz="4" w:space="0" w:color="FFFFFF" w:themeColor="background1"/>
              <w:right w:val="nil"/>
            </w:tcBorders>
          </w:tcPr>
          <w:p w14:paraId="6C7FF1D8" w14:textId="6F13E7C6" w:rsidR="00E04DBF" w:rsidRPr="006D4208" w:rsidRDefault="00E04DBF" w:rsidP="00AF5A74">
            <w:pPr>
              <w:jc w:val="right"/>
              <w:rPr>
                <w:rFonts w:asciiTheme="minorHAnsi" w:hAnsiTheme="minorHAnsi" w:cstheme="minorBidi"/>
                <w:i/>
                <w:sz w:val="20"/>
                <w:szCs w:val="20"/>
              </w:rPr>
            </w:pPr>
            <w:r w:rsidRPr="0907C099">
              <w:rPr>
                <w:rFonts w:asciiTheme="minorHAnsi" w:hAnsiTheme="minorHAnsi" w:cstheme="minorBidi"/>
                <w:i/>
                <w:sz w:val="20"/>
                <w:szCs w:val="20"/>
              </w:rPr>
              <w:t>(</w:t>
            </w:r>
            <w:r w:rsidR="00185BEB" w:rsidRPr="0907C099">
              <w:rPr>
                <w:rFonts w:asciiTheme="minorHAnsi" w:hAnsiTheme="minorHAnsi" w:cstheme="minorBidi"/>
                <w:i/>
                <w:sz w:val="20"/>
                <w:szCs w:val="20"/>
              </w:rPr>
              <w:t>1.9</w:t>
            </w:r>
            <w:r w:rsidRPr="0907C099">
              <w:rPr>
                <w:rFonts w:asciiTheme="minorHAnsi" w:hAnsiTheme="minorHAnsi" w:cstheme="minorBidi"/>
                <w:i/>
                <w:sz w:val="20"/>
                <w:szCs w:val="20"/>
              </w:rPr>
              <w:t>)</w:t>
            </w:r>
          </w:p>
        </w:tc>
      </w:tr>
      <w:tr w:rsidR="00473125" w:rsidRPr="00274086" w14:paraId="01E0F136" w14:textId="77777777" w:rsidTr="2CF31E8D">
        <w:trPr>
          <w:trHeight w:val="240"/>
        </w:trPr>
        <w:tc>
          <w:tcPr>
            <w:tcW w:w="4928" w:type="dxa"/>
            <w:tcBorders>
              <w:top w:val="single" w:sz="4" w:space="0" w:color="FFFFFF" w:themeColor="background1"/>
              <w:left w:val="nil"/>
              <w:bottom w:val="single" w:sz="4" w:space="0" w:color="auto"/>
              <w:right w:val="nil"/>
            </w:tcBorders>
            <w:vAlign w:val="center"/>
          </w:tcPr>
          <w:p w14:paraId="273F81F7" w14:textId="4BAF8F9C" w:rsidR="00E04DBF" w:rsidRPr="00274086" w:rsidRDefault="00E04DBF" w:rsidP="00AF5A74">
            <w:pPr>
              <w:ind w:right="115"/>
              <w:rPr>
                <w:rFonts w:asciiTheme="minorHAnsi" w:eastAsia="Poppins" w:hAnsiTheme="minorHAnsi" w:cstheme="minorBidi"/>
                <w:sz w:val="20"/>
                <w:szCs w:val="20"/>
              </w:rPr>
            </w:pPr>
            <w:r w:rsidRPr="0907C099">
              <w:rPr>
                <w:rFonts w:asciiTheme="minorHAnsi" w:eastAsia="Poppins" w:hAnsiTheme="minorHAnsi" w:cstheme="minorBidi"/>
                <w:sz w:val="20"/>
                <w:szCs w:val="20"/>
              </w:rPr>
              <w:t>Risk adjusted margin (%)</w:t>
            </w:r>
            <w:r w:rsidRPr="0907C099">
              <w:rPr>
                <w:rFonts w:asciiTheme="minorHAnsi" w:eastAsia="Poppins" w:hAnsiTheme="minorHAnsi" w:cstheme="minorBidi"/>
                <w:sz w:val="20"/>
                <w:szCs w:val="20"/>
                <w:vertAlign w:val="superscript"/>
              </w:rPr>
              <w:t xml:space="preserve"> </w:t>
            </w:r>
            <w:r w:rsidR="00CA5F8B" w:rsidRPr="0907C099">
              <w:rPr>
                <w:rFonts w:asciiTheme="minorHAnsi" w:eastAsia="Poppins" w:hAnsiTheme="minorHAnsi" w:cstheme="minorBidi"/>
                <w:sz w:val="20"/>
                <w:szCs w:val="20"/>
                <w:vertAlign w:val="superscript"/>
              </w:rPr>
              <w:t>5</w:t>
            </w:r>
          </w:p>
        </w:tc>
        <w:tc>
          <w:tcPr>
            <w:tcW w:w="1346" w:type="dxa"/>
            <w:tcBorders>
              <w:top w:val="nil"/>
              <w:left w:val="nil"/>
              <w:bottom w:val="single" w:sz="4" w:space="0" w:color="auto"/>
              <w:right w:val="nil"/>
            </w:tcBorders>
            <w:shd w:val="clear" w:color="auto" w:fill="F2F2F2" w:themeFill="background1" w:themeFillShade="F2"/>
          </w:tcPr>
          <w:p w14:paraId="4A69A91C" w14:textId="65B8167E" w:rsidR="00E04DBF" w:rsidRPr="006D4208" w:rsidRDefault="4454F68B" w:rsidP="00AF5A74">
            <w:pPr>
              <w:jc w:val="right"/>
              <w:rPr>
                <w:rFonts w:asciiTheme="minorHAnsi" w:hAnsiTheme="minorHAnsi" w:cstheme="minorBidi"/>
                <w:b/>
                <w:sz w:val="20"/>
                <w:szCs w:val="20"/>
              </w:rPr>
            </w:pPr>
            <w:r w:rsidRPr="0907C099">
              <w:rPr>
                <w:rFonts w:asciiTheme="minorHAnsi" w:hAnsiTheme="minorHAnsi" w:cstheme="minorBidi"/>
                <w:b/>
                <w:sz w:val="20"/>
                <w:szCs w:val="20"/>
              </w:rPr>
              <w:t>1</w:t>
            </w:r>
            <w:r w:rsidR="3BE1E7DC" w:rsidRPr="0907C099">
              <w:rPr>
                <w:rFonts w:asciiTheme="minorHAnsi" w:hAnsiTheme="minorHAnsi" w:cstheme="minorBidi"/>
                <w:b/>
                <w:sz w:val="20"/>
                <w:szCs w:val="20"/>
              </w:rPr>
              <w:t>7</w:t>
            </w:r>
            <w:r w:rsidRPr="0907C099">
              <w:rPr>
                <w:rFonts w:asciiTheme="minorHAnsi" w:hAnsiTheme="minorHAnsi" w:cstheme="minorBidi"/>
                <w:b/>
                <w:sz w:val="20"/>
                <w:szCs w:val="20"/>
              </w:rPr>
              <w:t>.</w:t>
            </w:r>
            <w:r w:rsidR="38CA5022" w:rsidRPr="0907C099">
              <w:rPr>
                <w:rFonts w:asciiTheme="minorHAnsi" w:hAnsiTheme="minorHAnsi" w:cstheme="minorBidi"/>
                <w:b/>
                <w:sz w:val="20"/>
                <w:szCs w:val="20"/>
              </w:rPr>
              <w:t>5</w:t>
            </w:r>
          </w:p>
        </w:tc>
        <w:tc>
          <w:tcPr>
            <w:tcW w:w="1900" w:type="dxa"/>
            <w:tcBorders>
              <w:top w:val="single" w:sz="4" w:space="0" w:color="FFFFFF" w:themeColor="background1"/>
              <w:left w:val="nil"/>
              <w:bottom w:val="single" w:sz="4" w:space="0" w:color="auto"/>
              <w:right w:val="nil"/>
            </w:tcBorders>
            <w:vAlign w:val="bottom"/>
          </w:tcPr>
          <w:p w14:paraId="528982D8" w14:textId="2F3BA9DC" w:rsidR="00E04DBF" w:rsidRPr="006D4208" w:rsidRDefault="00D13476" w:rsidP="00AF5A74">
            <w:pPr>
              <w:jc w:val="right"/>
              <w:rPr>
                <w:rFonts w:asciiTheme="minorHAnsi" w:hAnsiTheme="minorHAnsi" w:cstheme="minorBidi"/>
                <w:sz w:val="20"/>
                <w:szCs w:val="20"/>
              </w:rPr>
            </w:pPr>
            <w:r w:rsidRPr="0907C099">
              <w:rPr>
                <w:rFonts w:asciiTheme="minorHAnsi" w:hAnsiTheme="minorHAnsi" w:cstheme="minorBidi"/>
                <w:sz w:val="20"/>
                <w:szCs w:val="20"/>
              </w:rPr>
              <w:t>17.3</w:t>
            </w:r>
          </w:p>
        </w:tc>
        <w:tc>
          <w:tcPr>
            <w:tcW w:w="1657" w:type="dxa"/>
            <w:tcBorders>
              <w:top w:val="single" w:sz="4" w:space="0" w:color="FFFFFF" w:themeColor="background1"/>
              <w:left w:val="nil"/>
              <w:bottom w:val="single" w:sz="4" w:space="0" w:color="auto"/>
              <w:right w:val="nil"/>
            </w:tcBorders>
          </w:tcPr>
          <w:p w14:paraId="006D72FD" w14:textId="53BBE0EC" w:rsidR="00E04DBF" w:rsidRPr="006D4208" w:rsidRDefault="001B446E" w:rsidP="00AF5A74">
            <w:pPr>
              <w:jc w:val="right"/>
              <w:rPr>
                <w:rFonts w:asciiTheme="minorHAnsi" w:hAnsiTheme="minorHAnsi" w:cstheme="minorBidi"/>
                <w:i/>
                <w:sz w:val="20"/>
                <w:szCs w:val="20"/>
              </w:rPr>
            </w:pPr>
            <w:r w:rsidRPr="0907C099">
              <w:rPr>
                <w:rFonts w:asciiTheme="minorHAnsi" w:hAnsiTheme="minorHAnsi" w:cstheme="minorBidi"/>
                <w:i/>
                <w:sz w:val="20"/>
                <w:szCs w:val="20"/>
              </w:rPr>
              <w:t>0.2</w:t>
            </w:r>
          </w:p>
        </w:tc>
      </w:tr>
    </w:tbl>
    <w:p w14:paraId="643D2899" w14:textId="77777777" w:rsidR="00F01EC8" w:rsidRPr="00701439" w:rsidRDefault="00F01EC8" w:rsidP="00E534C5">
      <w:pPr>
        <w:pStyle w:val="NoSpacing"/>
        <w:jc w:val="both"/>
        <w:rPr>
          <w:sz w:val="20"/>
          <w:szCs w:val="20"/>
        </w:rPr>
      </w:pPr>
    </w:p>
    <w:p w14:paraId="79F62B1C" w14:textId="29D61497" w:rsidR="00F01EC8" w:rsidRPr="00747AF3" w:rsidRDefault="002D2895" w:rsidP="00E534C5">
      <w:pPr>
        <w:pStyle w:val="NoSpacing"/>
        <w:ind w:left="284" w:hanging="284"/>
        <w:jc w:val="both"/>
        <w:rPr>
          <w:i/>
          <w:sz w:val="20"/>
          <w:szCs w:val="20"/>
          <w:highlight w:val="yellow"/>
        </w:rPr>
      </w:pPr>
      <w:r w:rsidRPr="00F41092">
        <w:rPr>
          <w:i/>
          <w:sz w:val="20"/>
          <w:szCs w:val="20"/>
          <w:vertAlign w:val="superscript"/>
        </w:rPr>
        <w:t>1</w:t>
      </w:r>
      <w:r w:rsidR="00F01EC8" w:rsidRPr="00F41092">
        <w:rPr>
          <w:i/>
          <w:sz w:val="20"/>
          <w:szCs w:val="20"/>
        </w:rPr>
        <w:tab/>
      </w:r>
      <w:r w:rsidR="00F01EC8" w:rsidRPr="00F7194B">
        <w:rPr>
          <w:i/>
          <w:sz w:val="20"/>
          <w:szCs w:val="20"/>
        </w:rPr>
        <w:t xml:space="preserve">Calculated </w:t>
      </w:r>
      <w:bookmarkStart w:id="5" w:name="_Hlk140750666"/>
      <w:r w:rsidR="00F01EC8" w:rsidRPr="00F7194B">
        <w:rPr>
          <w:i/>
          <w:sz w:val="20"/>
          <w:szCs w:val="20"/>
        </w:rPr>
        <w:t xml:space="preserve">as the average of </w:t>
      </w:r>
      <w:r w:rsidR="00743EF5" w:rsidRPr="00F7194B">
        <w:rPr>
          <w:i/>
          <w:sz w:val="20"/>
          <w:szCs w:val="20"/>
        </w:rPr>
        <w:t>month end</w:t>
      </w:r>
      <w:r w:rsidR="00F01EC8" w:rsidRPr="00F7194B">
        <w:rPr>
          <w:i/>
          <w:sz w:val="20"/>
          <w:szCs w:val="20"/>
        </w:rPr>
        <w:t xml:space="preserve"> </w:t>
      </w:r>
      <w:r w:rsidR="007978F5" w:rsidRPr="00F7194B">
        <w:rPr>
          <w:i/>
          <w:sz w:val="20"/>
          <w:szCs w:val="20"/>
        </w:rPr>
        <w:t>gross</w:t>
      </w:r>
      <w:r w:rsidR="00F01EC8" w:rsidRPr="00F7194B">
        <w:rPr>
          <w:i/>
          <w:sz w:val="20"/>
          <w:szCs w:val="20"/>
        </w:rPr>
        <w:t xml:space="preserve"> </w:t>
      </w:r>
      <w:r w:rsidR="00D51324" w:rsidRPr="00F7194B">
        <w:rPr>
          <w:i/>
          <w:sz w:val="20"/>
          <w:szCs w:val="20"/>
        </w:rPr>
        <w:t>receivables</w:t>
      </w:r>
      <w:r w:rsidR="0016032C" w:rsidRPr="00F7194B">
        <w:rPr>
          <w:i/>
          <w:sz w:val="20"/>
          <w:szCs w:val="20"/>
        </w:rPr>
        <w:t xml:space="preserve">, </w:t>
      </w:r>
      <w:r w:rsidR="00F7194B" w:rsidRPr="00F7194B">
        <w:rPr>
          <w:i/>
          <w:sz w:val="20"/>
          <w:szCs w:val="20"/>
        </w:rPr>
        <w:t xml:space="preserve">excluding </w:t>
      </w:r>
      <w:r w:rsidR="00F7194B" w:rsidRPr="00F7194B">
        <w:rPr>
          <w:rFonts w:ascii="Calibri" w:eastAsia="Calibri" w:hAnsi="Calibri" w:cs="Calibri"/>
          <w:i/>
          <w:sz w:val="20"/>
          <w:szCs w:val="20"/>
        </w:rPr>
        <w:t>post charge off assets and deferred acquisition costs</w:t>
      </w:r>
      <w:r w:rsidR="00767DD8">
        <w:rPr>
          <w:rFonts w:ascii="Calibri" w:eastAsia="Calibri" w:hAnsi="Calibri" w:cs="Calibri"/>
          <w:i/>
          <w:sz w:val="20"/>
          <w:szCs w:val="20"/>
        </w:rPr>
        <w:t>,</w:t>
      </w:r>
      <w:r w:rsidR="0016032C" w:rsidRPr="00F7194B">
        <w:rPr>
          <w:i/>
          <w:sz w:val="20"/>
          <w:szCs w:val="20"/>
        </w:rPr>
        <w:t xml:space="preserve"> </w:t>
      </w:r>
      <w:r w:rsidR="00F01EC8" w:rsidRPr="00F7194B">
        <w:rPr>
          <w:i/>
          <w:sz w:val="20"/>
          <w:szCs w:val="20"/>
        </w:rPr>
        <w:t xml:space="preserve">for the </w:t>
      </w:r>
      <w:r w:rsidR="003A4781" w:rsidRPr="00F7194B">
        <w:rPr>
          <w:i/>
          <w:sz w:val="20"/>
          <w:szCs w:val="20"/>
        </w:rPr>
        <w:t>7</w:t>
      </w:r>
      <w:r w:rsidR="00F01EC8" w:rsidRPr="00F7194B">
        <w:rPr>
          <w:i/>
          <w:sz w:val="20"/>
          <w:szCs w:val="20"/>
        </w:rPr>
        <w:t xml:space="preserve"> months ended </w:t>
      </w:r>
      <w:r w:rsidR="003C5660" w:rsidRPr="00F7194B">
        <w:rPr>
          <w:i/>
          <w:sz w:val="20"/>
          <w:szCs w:val="20"/>
        </w:rPr>
        <w:t>3</w:t>
      </w:r>
      <w:r w:rsidR="003A4781" w:rsidRPr="00F7194B">
        <w:rPr>
          <w:i/>
          <w:sz w:val="20"/>
          <w:szCs w:val="20"/>
        </w:rPr>
        <w:t>0</w:t>
      </w:r>
      <w:r w:rsidR="003C5660" w:rsidRPr="00F7194B">
        <w:rPr>
          <w:i/>
          <w:sz w:val="20"/>
          <w:szCs w:val="20"/>
        </w:rPr>
        <w:t xml:space="preserve"> </w:t>
      </w:r>
      <w:r w:rsidR="003A4781" w:rsidRPr="00F7194B">
        <w:rPr>
          <w:i/>
          <w:sz w:val="20"/>
          <w:szCs w:val="20"/>
        </w:rPr>
        <w:t>June</w:t>
      </w:r>
      <w:bookmarkEnd w:id="5"/>
      <w:r w:rsidR="00126BCD" w:rsidRPr="00F7194B">
        <w:rPr>
          <w:i/>
          <w:sz w:val="20"/>
          <w:szCs w:val="20"/>
        </w:rPr>
        <w:t>.</w:t>
      </w:r>
    </w:p>
    <w:p w14:paraId="4E14DA68" w14:textId="04911144" w:rsidR="0045215A" w:rsidRPr="009B0128" w:rsidRDefault="0045215A" w:rsidP="00E534C5">
      <w:pPr>
        <w:pStyle w:val="NoSpacing"/>
        <w:ind w:left="284" w:hanging="284"/>
        <w:jc w:val="both"/>
        <w:rPr>
          <w:i/>
          <w:sz w:val="20"/>
          <w:szCs w:val="20"/>
        </w:rPr>
      </w:pPr>
      <w:r w:rsidRPr="009B0128">
        <w:rPr>
          <w:i/>
          <w:sz w:val="20"/>
          <w:szCs w:val="20"/>
          <w:vertAlign w:val="superscript"/>
        </w:rPr>
        <w:t>2</w:t>
      </w:r>
      <w:r w:rsidRPr="009B0128">
        <w:rPr>
          <w:i/>
          <w:sz w:val="20"/>
          <w:szCs w:val="20"/>
        </w:rPr>
        <w:tab/>
      </w:r>
      <w:r w:rsidR="00BD7526" w:rsidRPr="009B0128">
        <w:rPr>
          <w:i/>
          <w:sz w:val="20"/>
          <w:szCs w:val="20"/>
        </w:rPr>
        <w:t xml:space="preserve">Adjusted </w:t>
      </w:r>
      <w:r w:rsidR="003B7804">
        <w:rPr>
          <w:i/>
          <w:sz w:val="20"/>
          <w:szCs w:val="20"/>
        </w:rPr>
        <w:t>PBT contribution</w:t>
      </w:r>
      <w:r w:rsidR="00BD7526" w:rsidRPr="009B0128">
        <w:rPr>
          <w:i/>
          <w:sz w:val="20"/>
          <w:szCs w:val="20"/>
        </w:rPr>
        <w:t xml:space="preserve"> is stated before</w:t>
      </w:r>
      <w:r w:rsidR="00A66E9D" w:rsidRPr="009B0128">
        <w:rPr>
          <w:i/>
          <w:sz w:val="20"/>
          <w:szCs w:val="20"/>
        </w:rPr>
        <w:t xml:space="preserve"> </w:t>
      </w:r>
      <w:r w:rsidR="003B7804">
        <w:rPr>
          <w:i/>
          <w:sz w:val="20"/>
          <w:szCs w:val="20"/>
        </w:rPr>
        <w:t xml:space="preserve">tax and </w:t>
      </w:r>
      <w:r w:rsidR="00BD7526">
        <w:rPr>
          <w:i/>
          <w:sz w:val="20"/>
          <w:szCs w:val="20"/>
        </w:rPr>
        <w:t>exception</w:t>
      </w:r>
      <w:r w:rsidR="00D2274D">
        <w:rPr>
          <w:i/>
          <w:sz w:val="20"/>
          <w:szCs w:val="20"/>
        </w:rPr>
        <w:t>al</w:t>
      </w:r>
      <w:r w:rsidR="00BD7526">
        <w:rPr>
          <w:i/>
          <w:sz w:val="20"/>
          <w:szCs w:val="20"/>
        </w:rPr>
        <w:t xml:space="preserve"> </w:t>
      </w:r>
      <w:r w:rsidR="003B7804">
        <w:rPr>
          <w:i/>
          <w:sz w:val="20"/>
          <w:szCs w:val="20"/>
        </w:rPr>
        <w:t>items</w:t>
      </w:r>
      <w:r w:rsidR="00EE5C9B">
        <w:rPr>
          <w:i/>
          <w:sz w:val="20"/>
          <w:szCs w:val="20"/>
        </w:rPr>
        <w:t>.</w:t>
      </w:r>
      <w:r w:rsidR="00EE5C9B" w:rsidRPr="009B0128">
        <w:rPr>
          <w:rFonts w:cs="Arial"/>
          <w:i/>
          <w:sz w:val="20"/>
          <w:szCs w:val="20"/>
        </w:rPr>
        <w:t xml:space="preserve"> </w:t>
      </w:r>
    </w:p>
    <w:p w14:paraId="73E0C53C" w14:textId="67DCFB28" w:rsidR="00F01EC8" w:rsidRPr="009B0128" w:rsidRDefault="0045215A" w:rsidP="00E534C5">
      <w:pPr>
        <w:pStyle w:val="NoSpacing"/>
        <w:ind w:left="284" w:hanging="284"/>
        <w:jc w:val="both"/>
        <w:rPr>
          <w:i/>
          <w:sz w:val="20"/>
          <w:szCs w:val="20"/>
        </w:rPr>
      </w:pPr>
      <w:r w:rsidRPr="009B0128">
        <w:rPr>
          <w:i/>
          <w:sz w:val="20"/>
          <w:szCs w:val="20"/>
          <w:vertAlign w:val="superscript"/>
        </w:rPr>
        <w:t>3</w:t>
      </w:r>
      <w:r w:rsidR="00F01EC8" w:rsidRPr="009B0128">
        <w:rPr>
          <w:i/>
          <w:sz w:val="20"/>
          <w:szCs w:val="20"/>
          <w:vertAlign w:val="superscript"/>
        </w:rPr>
        <w:tab/>
      </w:r>
      <w:r w:rsidR="00073B19" w:rsidRPr="00AD39C9">
        <w:rPr>
          <w:i/>
          <w:sz w:val="20"/>
          <w:szCs w:val="20"/>
        </w:rPr>
        <w:t>Interest income</w:t>
      </w:r>
      <w:r w:rsidR="00F01EC8" w:rsidRPr="00AD39C9">
        <w:rPr>
          <w:i/>
          <w:sz w:val="20"/>
          <w:szCs w:val="20"/>
        </w:rPr>
        <w:t xml:space="preserve"> </w:t>
      </w:r>
      <w:r w:rsidR="00076B3C" w:rsidRPr="00AD39C9">
        <w:rPr>
          <w:i/>
          <w:sz w:val="20"/>
          <w:szCs w:val="20"/>
        </w:rPr>
        <w:t>from customer</w:t>
      </w:r>
      <w:r w:rsidR="00E01262" w:rsidRPr="00AD39C9">
        <w:rPr>
          <w:i/>
          <w:sz w:val="20"/>
          <w:szCs w:val="20"/>
        </w:rPr>
        <w:t xml:space="preserve"> receivables</w:t>
      </w:r>
      <w:r w:rsidR="00F01EC8" w:rsidRPr="00AD39C9">
        <w:rPr>
          <w:i/>
          <w:sz w:val="20"/>
          <w:szCs w:val="20"/>
        </w:rPr>
        <w:t xml:space="preserve"> </w:t>
      </w:r>
      <w:r w:rsidR="003B569F" w:rsidRPr="00AD39C9">
        <w:rPr>
          <w:i/>
          <w:sz w:val="20"/>
          <w:szCs w:val="20"/>
        </w:rPr>
        <w:t>for the period multiplied by 365/181</w:t>
      </w:r>
      <w:r w:rsidR="00F41092" w:rsidRPr="00AD39C9">
        <w:rPr>
          <w:i/>
          <w:sz w:val="20"/>
          <w:szCs w:val="20"/>
        </w:rPr>
        <w:t xml:space="preserve"> </w:t>
      </w:r>
      <w:r w:rsidR="00F01EC8" w:rsidRPr="00AD39C9">
        <w:rPr>
          <w:i/>
          <w:sz w:val="20"/>
          <w:szCs w:val="20"/>
        </w:rPr>
        <w:t xml:space="preserve">as a percentage of average </w:t>
      </w:r>
      <w:r w:rsidR="00073B19" w:rsidRPr="00AD39C9">
        <w:rPr>
          <w:i/>
          <w:sz w:val="20"/>
          <w:szCs w:val="20"/>
        </w:rPr>
        <w:t>gross receivables</w:t>
      </w:r>
      <w:r w:rsidR="00F01EC8" w:rsidRPr="00AD39C9">
        <w:rPr>
          <w:i/>
          <w:sz w:val="20"/>
          <w:szCs w:val="20"/>
        </w:rPr>
        <w:t xml:space="preserve"> for the </w:t>
      </w:r>
      <w:r w:rsidR="003B569F" w:rsidRPr="00AD39C9">
        <w:rPr>
          <w:i/>
          <w:sz w:val="20"/>
          <w:szCs w:val="20"/>
        </w:rPr>
        <w:t>7</w:t>
      </w:r>
      <w:r w:rsidR="00F01EC8" w:rsidRPr="00AD39C9">
        <w:rPr>
          <w:i/>
          <w:sz w:val="20"/>
          <w:szCs w:val="20"/>
        </w:rPr>
        <w:t xml:space="preserve"> months ended </w:t>
      </w:r>
      <w:r w:rsidR="003C5660" w:rsidRPr="00AD39C9">
        <w:rPr>
          <w:i/>
          <w:sz w:val="20"/>
          <w:szCs w:val="20"/>
        </w:rPr>
        <w:t>3</w:t>
      </w:r>
      <w:r w:rsidR="003B569F" w:rsidRPr="00AD39C9">
        <w:rPr>
          <w:i/>
          <w:sz w:val="20"/>
          <w:szCs w:val="20"/>
        </w:rPr>
        <w:t>0</w:t>
      </w:r>
      <w:r w:rsidR="003C5660" w:rsidRPr="00AD39C9">
        <w:rPr>
          <w:i/>
          <w:sz w:val="20"/>
          <w:szCs w:val="20"/>
        </w:rPr>
        <w:t xml:space="preserve"> </w:t>
      </w:r>
      <w:r w:rsidR="003B569F" w:rsidRPr="00AD39C9">
        <w:rPr>
          <w:i/>
          <w:sz w:val="20"/>
          <w:szCs w:val="20"/>
        </w:rPr>
        <w:t>June</w:t>
      </w:r>
      <w:r w:rsidR="00F01EC8" w:rsidRPr="00AD39C9">
        <w:rPr>
          <w:i/>
          <w:sz w:val="20"/>
          <w:szCs w:val="20"/>
        </w:rPr>
        <w:t>.</w:t>
      </w:r>
    </w:p>
    <w:p w14:paraId="10FB7693" w14:textId="544AF67E" w:rsidR="00F01EC8" w:rsidRPr="009B0128" w:rsidRDefault="0045215A" w:rsidP="00813D6B">
      <w:pPr>
        <w:pStyle w:val="NoSpacing"/>
        <w:ind w:left="284" w:hanging="284"/>
        <w:jc w:val="both"/>
        <w:rPr>
          <w:i/>
          <w:sz w:val="20"/>
          <w:szCs w:val="20"/>
        </w:rPr>
      </w:pPr>
      <w:r w:rsidRPr="009B0128">
        <w:rPr>
          <w:i/>
          <w:sz w:val="20"/>
          <w:szCs w:val="20"/>
          <w:vertAlign w:val="superscript"/>
        </w:rPr>
        <w:t xml:space="preserve">4 </w:t>
      </w:r>
      <w:r w:rsidRPr="009B0128">
        <w:rPr>
          <w:i/>
          <w:sz w:val="20"/>
          <w:szCs w:val="20"/>
        </w:rPr>
        <w:t xml:space="preserve"> </w:t>
      </w:r>
      <w:r w:rsidR="007224E0" w:rsidRPr="009B0128">
        <w:rPr>
          <w:i/>
          <w:sz w:val="20"/>
          <w:szCs w:val="20"/>
        </w:rPr>
        <w:t xml:space="preserve">   </w:t>
      </w:r>
      <w:r w:rsidR="00F01EC8" w:rsidRPr="009B0128">
        <w:rPr>
          <w:i/>
          <w:sz w:val="20"/>
          <w:szCs w:val="20"/>
        </w:rPr>
        <w:t xml:space="preserve">Impairment </w:t>
      </w:r>
      <w:r w:rsidR="00073B19" w:rsidRPr="009B0128">
        <w:rPr>
          <w:i/>
          <w:sz w:val="20"/>
          <w:szCs w:val="20"/>
        </w:rPr>
        <w:t>charges</w:t>
      </w:r>
      <w:r w:rsidR="00F01EC8" w:rsidRPr="009B0128">
        <w:rPr>
          <w:i/>
          <w:sz w:val="20"/>
          <w:szCs w:val="20"/>
        </w:rPr>
        <w:t xml:space="preserve"> </w:t>
      </w:r>
      <w:r w:rsidR="00813D6B" w:rsidRPr="009B0128">
        <w:rPr>
          <w:i/>
          <w:sz w:val="20"/>
          <w:szCs w:val="20"/>
        </w:rPr>
        <w:t>for the period multiplied by 365/181</w:t>
      </w:r>
      <w:r w:rsidR="00F41092" w:rsidRPr="009B0128">
        <w:rPr>
          <w:i/>
          <w:sz w:val="20"/>
          <w:szCs w:val="20"/>
        </w:rPr>
        <w:t xml:space="preserve"> </w:t>
      </w:r>
      <w:r w:rsidR="00813D6B" w:rsidRPr="009B0128">
        <w:rPr>
          <w:i/>
          <w:sz w:val="20"/>
          <w:szCs w:val="20"/>
        </w:rPr>
        <w:t>as</w:t>
      </w:r>
      <w:r w:rsidR="00F01EC8" w:rsidRPr="009B0128">
        <w:rPr>
          <w:i/>
          <w:sz w:val="20"/>
          <w:szCs w:val="20"/>
        </w:rPr>
        <w:t xml:space="preserve"> a percentage of average </w:t>
      </w:r>
      <w:r w:rsidR="0009301F" w:rsidRPr="009B0128">
        <w:rPr>
          <w:i/>
          <w:sz w:val="20"/>
          <w:szCs w:val="20"/>
        </w:rPr>
        <w:t>gross</w:t>
      </w:r>
      <w:r w:rsidR="00F01EC8" w:rsidRPr="009B0128">
        <w:rPr>
          <w:i/>
          <w:sz w:val="20"/>
          <w:szCs w:val="20"/>
        </w:rPr>
        <w:t xml:space="preserve"> receivables for the </w:t>
      </w:r>
      <w:r w:rsidR="00813D6B" w:rsidRPr="009B0128">
        <w:rPr>
          <w:i/>
          <w:sz w:val="20"/>
          <w:szCs w:val="20"/>
        </w:rPr>
        <w:t>7</w:t>
      </w:r>
      <w:r w:rsidR="00F01EC8" w:rsidRPr="009B0128">
        <w:rPr>
          <w:i/>
          <w:sz w:val="20"/>
          <w:szCs w:val="20"/>
        </w:rPr>
        <w:t xml:space="preserve"> months ended </w:t>
      </w:r>
      <w:r w:rsidR="00813D6B" w:rsidRPr="009B0128">
        <w:rPr>
          <w:i/>
          <w:sz w:val="20"/>
          <w:szCs w:val="20"/>
        </w:rPr>
        <w:t>30 June</w:t>
      </w:r>
      <w:r w:rsidR="00F01EC8" w:rsidRPr="009B0128">
        <w:rPr>
          <w:i/>
          <w:sz w:val="20"/>
          <w:szCs w:val="20"/>
        </w:rPr>
        <w:t>.</w:t>
      </w:r>
    </w:p>
    <w:p w14:paraId="1B13FC85" w14:textId="77777777" w:rsidR="00A17DDF" w:rsidRPr="009B0128" w:rsidRDefault="0045215A" w:rsidP="00A17DDF">
      <w:pPr>
        <w:pStyle w:val="NoSpacing"/>
        <w:ind w:left="284" w:hanging="284"/>
        <w:jc w:val="both"/>
        <w:rPr>
          <w:i/>
          <w:sz w:val="20"/>
          <w:szCs w:val="20"/>
        </w:rPr>
      </w:pPr>
      <w:r w:rsidRPr="009B0128">
        <w:rPr>
          <w:i/>
          <w:sz w:val="20"/>
          <w:szCs w:val="20"/>
          <w:vertAlign w:val="superscript"/>
        </w:rPr>
        <w:t>5</w:t>
      </w:r>
      <w:r w:rsidR="00F01EC8">
        <w:tab/>
      </w:r>
      <w:r w:rsidR="00C42E03">
        <w:rPr>
          <w:i/>
          <w:iCs/>
          <w:sz w:val="20"/>
          <w:szCs w:val="20"/>
        </w:rPr>
        <w:t>Total income, excluding exceptional items less impairment charge</w:t>
      </w:r>
      <w:r w:rsidR="00F36F39" w:rsidRPr="009B0128">
        <w:rPr>
          <w:i/>
          <w:sz w:val="20"/>
          <w:szCs w:val="20"/>
        </w:rPr>
        <w:t xml:space="preserve"> </w:t>
      </w:r>
      <w:r w:rsidR="00813D6B" w:rsidRPr="009B0128">
        <w:rPr>
          <w:i/>
          <w:sz w:val="20"/>
          <w:szCs w:val="20"/>
        </w:rPr>
        <w:t>for the period multiplied by 365/181</w:t>
      </w:r>
      <w:r w:rsidR="004C3C33" w:rsidRPr="009B0128">
        <w:rPr>
          <w:i/>
          <w:sz w:val="20"/>
          <w:szCs w:val="20"/>
        </w:rPr>
        <w:t xml:space="preserve"> </w:t>
      </w:r>
      <w:r w:rsidR="00813D6B" w:rsidRPr="009B0128">
        <w:rPr>
          <w:i/>
          <w:sz w:val="20"/>
          <w:szCs w:val="20"/>
        </w:rPr>
        <w:t>as</w:t>
      </w:r>
      <w:r w:rsidR="00F36F39" w:rsidRPr="009B0128">
        <w:rPr>
          <w:i/>
          <w:sz w:val="20"/>
          <w:szCs w:val="20"/>
        </w:rPr>
        <w:t xml:space="preserve"> </w:t>
      </w:r>
      <w:r w:rsidR="004C3C33" w:rsidRPr="009B0128">
        <w:rPr>
          <w:i/>
          <w:sz w:val="20"/>
          <w:szCs w:val="20"/>
        </w:rPr>
        <w:t>a</w:t>
      </w:r>
      <w:r w:rsidR="00F36F39" w:rsidRPr="009B0128">
        <w:rPr>
          <w:i/>
          <w:sz w:val="20"/>
          <w:szCs w:val="20"/>
        </w:rPr>
        <w:t xml:space="preserve"> percentage of average </w:t>
      </w:r>
      <w:r w:rsidR="00C42E03">
        <w:rPr>
          <w:i/>
          <w:iCs/>
          <w:sz w:val="20"/>
          <w:szCs w:val="20"/>
        </w:rPr>
        <w:t>gross receivables</w:t>
      </w:r>
      <w:r w:rsidR="00F36F39" w:rsidRPr="009B0128">
        <w:rPr>
          <w:i/>
          <w:sz w:val="20"/>
          <w:szCs w:val="20"/>
        </w:rPr>
        <w:t xml:space="preserve"> for the </w:t>
      </w:r>
      <w:r w:rsidR="00813D6B" w:rsidRPr="009B0128">
        <w:rPr>
          <w:i/>
          <w:sz w:val="20"/>
          <w:szCs w:val="20"/>
        </w:rPr>
        <w:t>7</w:t>
      </w:r>
      <w:r w:rsidR="00F36F39" w:rsidRPr="009B0128">
        <w:rPr>
          <w:i/>
          <w:sz w:val="20"/>
          <w:szCs w:val="20"/>
        </w:rPr>
        <w:t xml:space="preserve"> months ended </w:t>
      </w:r>
      <w:r w:rsidR="003C5660" w:rsidRPr="009B0128">
        <w:rPr>
          <w:i/>
          <w:sz w:val="20"/>
          <w:szCs w:val="20"/>
        </w:rPr>
        <w:t>3</w:t>
      </w:r>
      <w:r w:rsidR="00813D6B" w:rsidRPr="009B0128">
        <w:rPr>
          <w:i/>
          <w:sz w:val="20"/>
          <w:szCs w:val="20"/>
        </w:rPr>
        <w:t>0</w:t>
      </w:r>
      <w:r w:rsidR="00F41092" w:rsidRPr="009B0128">
        <w:rPr>
          <w:i/>
          <w:sz w:val="20"/>
          <w:szCs w:val="20"/>
        </w:rPr>
        <w:t xml:space="preserve"> June</w:t>
      </w:r>
      <w:r w:rsidR="00F36F39" w:rsidRPr="009B0128">
        <w:rPr>
          <w:i/>
          <w:sz w:val="20"/>
          <w:szCs w:val="20"/>
        </w:rPr>
        <w:t>.</w:t>
      </w:r>
    </w:p>
    <w:p w14:paraId="054DA5BE" w14:textId="77777777" w:rsidR="00F36F39" w:rsidRPr="00701439" w:rsidRDefault="00F36F39" w:rsidP="00E534C5">
      <w:pPr>
        <w:pStyle w:val="NoSpacing"/>
        <w:ind w:left="284" w:hanging="284"/>
        <w:jc w:val="both"/>
        <w:rPr>
          <w:i/>
          <w:sz w:val="20"/>
          <w:szCs w:val="20"/>
        </w:rPr>
      </w:pPr>
    </w:p>
    <w:p w14:paraId="6F063495" w14:textId="43F25277" w:rsidR="00261D92" w:rsidRPr="006D4208" w:rsidRDefault="00261D92" w:rsidP="00E534C5">
      <w:pPr>
        <w:pStyle w:val="NoSpacing"/>
        <w:jc w:val="both"/>
        <w:rPr>
          <w:color w:val="DAEEF3" w:themeColor="accent5" w:themeTint="33"/>
          <w:sz w:val="20"/>
          <w:szCs w:val="20"/>
        </w:rPr>
      </w:pPr>
      <w:r w:rsidRPr="006D4208">
        <w:rPr>
          <w:sz w:val="20"/>
          <w:szCs w:val="20"/>
        </w:rPr>
        <w:t xml:space="preserve">For </w:t>
      </w:r>
      <w:r w:rsidR="00ED4C85">
        <w:rPr>
          <w:sz w:val="20"/>
          <w:szCs w:val="20"/>
        </w:rPr>
        <w:t>1H</w:t>
      </w:r>
      <w:r w:rsidR="00EC7117" w:rsidRPr="006D4208">
        <w:rPr>
          <w:sz w:val="20"/>
          <w:szCs w:val="20"/>
        </w:rPr>
        <w:t>2</w:t>
      </w:r>
      <w:r w:rsidR="1CFD25EB" w:rsidRPr="006D4208">
        <w:rPr>
          <w:sz w:val="20"/>
          <w:szCs w:val="20"/>
        </w:rPr>
        <w:t>4</w:t>
      </w:r>
      <w:r w:rsidRPr="006D4208">
        <w:rPr>
          <w:sz w:val="20"/>
          <w:szCs w:val="20"/>
        </w:rPr>
        <w:t xml:space="preserve">, the </w:t>
      </w:r>
      <w:r w:rsidR="007B4932" w:rsidRPr="006D4208">
        <w:rPr>
          <w:sz w:val="20"/>
          <w:szCs w:val="20"/>
        </w:rPr>
        <w:t xml:space="preserve">Group’s credit card </w:t>
      </w:r>
      <w:r w:rsidRPr="006D4208">
        <w:rPr>
          <w:sz w:val="20"/>
          <w:szCs w:val="20"/>
        </w:rPr>
        <w:t xml:space="preserve">business reported adjusted </w:t>
      </w:r>
      <w:r w:rsidR="00FF486B" w:rsidRPr="006D4208">
        <w:rPr>
          <w:sz w:val="20"/>
          <w:szCs w:val="20"/>
        </w:rPr>
        <w:t>PBT</w:t>
      </w:r>
      <w:r w:rsidRPr="006D4208">
        <w:rPr>
          <w:sz w:val="20"/>
          <w:szCs w:val="20"/>
        </w:rPr>
        <w:t xml:space="preserve"> of £</w:t>
      </w:r>
      <w:r w:rsidR="24871BDE" w:rsidRPr="006D4208">
        <w:rPr>
          <w:sz w:val="20"/>
          <w:szCs w:val="20"/>
        </w:rPr>
        <w:t>20.</w:t>
      </w:r>
      <w:r w:rsidR="00E65B7B" w:rsidRPr="006D4208">
        <w:rPr>
          <w:sz w:val="20"/>
          <w:szCs w:val="20"/>
        </w:rPr>
        <w:t>2</w:t>
      </w:r>
      <w:r w:rsidRPr="006D4208">
        <w:rPr>
          <w:sz w:val="20"/>
          <w:szCs w:val="20"/>
        </w:rPr>
        <w:t>m (</w:t>
      </w:r>
      <w:r w:rsidR="00ED4C85">
        <w:rPr>
          <w:sz w:val="20"/>
          <w:szCs w:val="20"/>
        </w:rPr>
        <w:t>1H</w:t>
      </w:r>
      <w:r w:rsidR="00EC7117" w:rsidRPr="006D4208">
        <w:rPr>
          <w:sz w:val="20"/>
          <w:szCs w:val="20"/>
        </w:rPr>
        <w:t>2</w:t>
      </w:r>
      <w:r w:rsidR="4C94E3E2" w:rsidRPr="006D4208">
        <w:rPr>
          <w:sz w:val="20"/>
          <w:szCs w:val="20"/>
        </w:rPr>
        <w:t>3</w:t>
      </w:r>
      <w:r w:rsidRPr="006D4208">
        <w:rPr>
          <w:sz w:val="20"/>
          <w:szCs w:val="20"/>
        </w:rPr>
        <w:t>: £</w:t>
      </w:r>
      <w:r w:rsidR="00395B1B" w:rsidRPr="006D4208">
        <w:rPr>
          <w:sz w:val="20"/>
          <w:szCs w:val="20"/>
        </w:rPr>
        <w:t>33.9</w:t>
      </w:r>
      <w:r w:rsidRPr="006D4208">
        <w:rPr>
          <w:sz w:val="20"/>
          <w:szCs w:val="20"/>
        </w:rPr>
        <w:t xml:space="preserve">m) and receivables at the end of the period of </w:t>
      </w:r>
      <w:r w:rsidR="00D26BDA" w:rsidRPr="006D4208">
        <w:rPr>
          <w:sz w:val="20"/>
          <w:szCs w:val="20"/>
        </w:rPr>
        <w:t xml:space="preserve">approximately </w:t>
      </w:r>
      <w:r w:rsidRPr="006D4208">
        <w:rPr>
          <w:sz w:val="20"/>
          <w:szCs w:val="20"/>
        </w:rPr>
        <w:t>£</w:t>
      </w:r>
      <w:r w:rsidR="00607956" w:rsidRPr="006D4208">
        <w:rPr>
          <w:sz w:val="20"/>
          <w:szCs w:val="20"/>
        </w:rPr>
        <w:t>1</w:t>
      </w:r>
      <w:r w:rsidR="003D5A93" w:rsidRPr="006D4208">
        <w:rPr>
          <w:sz w:val="20"/>
          <w:szCs w:val="20"/>
        </w:rPr>
        <w:t>,</w:t>
      </w:r>
      <w:r w:rsidR="07970D9B" w:rsidRPr="006D4208">
        <w:rPr>
          <w:sz w:val="20"/>
          <w:szCs w:val="20"/>
        </w:rPr>
        <w:t>151</w:t>
      </w:r>
      <w:r w:rsidRPr="006D4208">
        <w:rPr>
          <w:sz w:val="20"/>
          <w:szCs w:val="20"/>
        </w:rPr>
        <w:t>m (</w:t>
      </w:r>
      <w:r w:rsidR="42ED4974" w:rsidRPr="006D4208">
        <w:rPr>
          <w:sz w:val="20"/>
          <w:szCs w:val="20"/>
        </w:rPr>
        <w:t xml:space="preserve">Dec’23: £1,278m; </w:t>
      </w:r>
      <w:r w:rsidR="004B0B81">
        <w:rPr>
          <w:sz w:val="20"/>
          <w:szCs w:val="20"/>
        </w:rPr>
        <w:t>1H</w:t>
      </w:r>
      <w:r w:rsidR="00EC7117" w:rsidRPr="006D4208">
        <w:rPr>
          <w:sz w:val="20"/>
          <w:szCs w:val="20"/>
        </w:rPr>
        <w:t>2</w:t>
      </w:r>
      <w:r w:rsidR="4B14D6AD" w:rsidRPr="006D4208">
        <w:rPr>
          <w:sz w:val="20"/>
          <w:szCs w:val="20"/>
        </w:rPr>
        <w:t>3</w:t>
      </w:r>
      <w:r w:rsidRPr="006D4208">
        <w:rPr>
          <w:sz w:val="20"/>
          <w:szCs w:val="20"/>
        </w:rPr>
        <w:t>: £</w:t>
      </w:r>
      <w:r w:rsidR="006041EE" w:rsidRPr="006D4208">
        <w:rPr>
          <w:sz w:val="20"/>
          <w:szCs w:val="20"/>
        </w:rPr>
        <w:t>1</w:t>
      </w:r>
      <w:r w:rsidR="003D5A93" w:rsidRPr="006D4208">
        <w:rPr>
          <w:sz w:val="20"/>
          <w:szCs w:val="20"/>
        </w:rPr>
        <w:t>,</w:t>
      </w:r>
      <w:r w:rsidR="5FAA6C22" w:rsidRPr="006D4208">
        <w:rPr>
          <w:sz w:val="20"/>
          <w:szCs w:val="20"/>
        </w:rPr>
        <w:t>224</w:t>
      </w:r>
      <w:r w:rsidRPr="006D4208">
        <w:rPr>
          <w:sz w:val="20"/>
          <w:szCs w:val="20"/>
        </w:rPr>
        <w:t>m)</w:t>
      </w:r>
      <w:r w:rsidR="00352828" w:rsidRPr="006D4208">
        <w:rPr>
          <w:sz w:val="20"/>
          <w:szCs w:val="20"/>
        </w:rPr>
        <w:t>.</w:t>
      </w:r>
    </w:p>
    <w:p w14:paraId="5C1C3DBA" w14:textId="77777777" w:rsidR="00261D92" w:rsidRPr="00701439" w:rsidRDefault="00261D92" w:rsidP="00E534C5">
      <w:pPr>
        <w:pStyle w:val="NoSpacing"/>
        <w:jc w:val="both"/>
        <w:rPr>
          <w:color w:val="D99594" w:themeColor="accent2" w:themeTint="99"/>
          <w:sz w:val="20"/>
          <w:szCs w:val="20"/>
        </w:rPr>
      </w:pPr>
    </w:p>
    <w:p w14:paraId="4278DD50" w14:textId="3F1D992D" w:rsidR="00261D92" w:rsidRPr="00701439" w:rsidRDefault="00261D92" w:rsidP="00E534C5">
      <w:pPr>
        <w:pStyle w:val="NoSpacing"/>
        <w:jc w:val="both"/>
        <w:rPr>
          <w:color w:val="D99594" w:themeColor="accent2" w:themeTint="99"/>
          <w:sz w:val="20"/>
          <w:szCs w:val="20"/>
        </w:rPr>
      </w:pPr>
      <w:r w:rsidRPr="006D4208">
        <w:rPr>
          <w:sz w:val="20"/>
          <w:szCs w:val="20"/>
        </w:rPr>
        <w:t xml:space="preserve">New customer bookings for the </w:t>
      </w:r>
      <w:r w:rsidR="002A3824" w:rsidRPr="006D4208">
        <w:rPr>
          <w:sz w:val="20"/>
          <w:szCs w:val="20"/>
        </w:rPr>
        <w:t>period</w:t>
      </w:r>
      <w:r w:rsidRPr="006D4208">
        <w:rPr>
          <w:sz w:val="20"/>
          <w:szCs w:val="20"/>
        </w:rPr>
        <w:t xml:space="preserve"> were </w:t>
      </w:r>
      <w:r w:rsidR="41B3FA4E" w:rsidRPr="006D4208">
        <w:rPr>
          <w:sz w:val="20"/>
          <w:szCs w:val="20"/>
        </w:rPr>
        <w:t>57</w:t>
      </w:r>
      <w:r w:rsidRPr="006D4208">
        <w:rPr>
          <w:sz w:val="20"/>
          <w:szCs w:val="20"/>
        </w:rPr>
        <w:t xml:space="preserve">k, </w:t>
      </w:r>
      <w:r w:rsidR="39DC5297" w:rsidRPr="006D4208">
        <w:rPr>
          <w:sz w:val="20"/>
          <w:szCs w:val="20"/>
        </w:rPr>
        <w:t>down</w:t>
      </w:r>
      <w:r w:rsidRPr="006D4208">
        <w:rPr>
          <w:sz w:val="20"/>
          <w:szCs w:val="20"/>
        </w:rPr>
        <w:t xml:space="preserve"> from </w:t>
      </w:r>
      <w:r w:rsidR="0077355D" w:rsidRPr="006D4208">
        <w:rPr>
          <w:sz w:val="20"/>
          <w:szCs w:val="20"/>
        </w:rPr>
        <w:t>1</w:t>
      </w:r>
      <w:r w:rsidR="1805ABBD" w:rsidRPr="006D4208">
        <w:rPr>
          <w:sz w:val="20"/>
          <w:szCs w:val="20"/>
        </w:rPr>
        <w:t>83</w:t>
      </w:r>
      <w:r w:rsidR="00844946" w:rsidRPr="006D4208">
        <w:rPr>
          <w:sz w:val="20"/>
          <w:szCs w:val="20"/>
        </w:rPr>
        <w:t>k</w:t>
      </w:r>
      <w:r w:rsidRPr="006D4208">
        <w:rPr>
          <w:rFonts w:eastAsiaTheme="minorEastAsia"/>
          <w:sz w:val="20"/>
          <w:szCs w:val="20"/>
        </w:rPr>
        <w:t xml:space="preserve"> in </w:t>
      </w:r>
      <w:r w:rsidR="004B0B81">
        <w:rPr>
          <w:rFonts w:eastAsiaTheme="minorEastAsia"/>
          <w:sz w:val="20"/>
          <w:szCs w:val="20"/>
        </w:rPr>
        <w:t>1H</w:t>
      </w:r>
      <w:r w:rsidR="00EC7117" w:rsidRPr="006D4208">
        <w:rPr>
          <w:rFonts w:eastAsiaTheme="minorEastAsia"/>
          <w:sz w:val="20"/>
          <w:szCs w:val="20"/>
        </w:rPr>
        <w:t>2</w:t>
      </w:r>
      <w:r w:rsidR="6BCB3EA5" w:rsidRPr="006D4208">
        <w:rPr>
          <w:rFonts w:eastAsiaTheme="minorEastAsia"/>
          <w:sz w:val="20"/>
          <w:szCs w:val="20"/>
        </w:rPr>
        <w:t>3</w:t>
      </w:r>
      <w:r w:rsidRPr="006D4208">
        <w:rPr>
          <w:rFonts w:eastAsiaTheme="minorEastAsia"/>
          <w:sz w:val="20"/>
          <w:szCs w:val="20"/>
        </w:rPr>
        <w:t xml:space="preserve">, </w:t>
      </w:r>
      <w:r w:rsidR="17A95FE6" w:rsidRPr="006D4208">
        <w:rPr>
          <w:rFonts w:eastAsiaTheme="minorEastAsia"/>
          <w:sz w:val="20"/>
          <w:szCs w:val="20"/>
        </w:rPr>
        <w:t>reflecting</w:t>
      </w:r>
      <w:r w:rsidRPr="006D4208">
        <w:rPr>
          <w:rFonts w:eastAsiaTheme="minorEastAsia"/>
          <w:sz w:val="20"/>
          <w:szCs w:val="20"/>
        </w:rPr>
        <w:t xml:space="preserve"> </w:t>
      </w:r>
      <w:r w:rsidR="17A95FE6" w:rsidRPr="006D4208">
        <w:rPr>
          <w:rFonts w:eastAsiaTheme="minorEastAsia"/>
          <w:sz w:val="20"/>
          <w:szCs w:val="20"/>
        </w:rPr>
        <w:t xml:space="preserve">the temporary cessation of balance transfers, purchase offers, and the credit builder product on affiliate channels in September 2023 following </w:t>
      </w:r>
      <w:r w:rsidR="00A36CE9">
        <w:rPr>
          <w:rFonts w:eastAsiaTheme="minorEastAsia"/>
          <w:sz w:val="20"/>
          <w:szCs w:val="20"/>
        </w:rPr>
        <w:t xml:space="preserve">a strategic </w:t>
      </w:r>
      <w:r w:rsidR="17A95FE6" w:rsidRPr="006D4208">
        <w:rPr>
          <w:rFonts w:eastAsiaTheme="minorEastAsia"/>
          <w:sz w:val="20"/>
          <w:szCs w:val="20"/>
        </w:rPr>
        <w:t xml:space="preserve">review of the profitability of the portfolio. The credit builder product was relaunched on the affiliate channel </w:t>
      </w:r>
      <w:r w:rsidR="5D42B8A2" w:rsidRPr="006D4208">
        <w:rPr>
          <w:rFonts w:eastAsiaTheme="minorEastAsia"/>
          <w:sz w:val="20"/>
          <w:szCs w:val="20"/>
        </w:rPr>
        <w:t xml:space="preserve">and balance transfers recommenced in </w:t>
      </w:r>
      <w:r w:rsidR="17A95FE6" w:rsidRPr="006D4208">
        <w:rPr>
          <w:rFonts w:eastAsiaTheme="minorEastAsia"/>
          <w:sz w:val="20"/>
          <w:szCs w:val="20"/>
        </w:rPr>
        <w:t>Q2’24.</w:t>
      </w:r>
      <w:r w:rsidR="002D0BFE" w:rsidRPr="006D4208">
        <w:rPr>
          <w:rFonts w:eastAsiaTheme="minorEastAsia"/>
          <w:sz w:val="20"/>
          <w:szCs w:val="20"/>
        </w:rPr>
        <w:t xml:space="preserve"> C</w:t>
      </w:r>
      <w:r w:rsidRPr="006D4208">
        <w:rPr>
          <w:rFonts w:eastAsiaTheme="minorEastAsia"/>
          <w:sz w:val="20"/>
          <w:szCs w:val="20"/>
        </w:rPr>
        <w:t xml:space="preserve">redit card customer numbers </w:t>
      </w:r>
      <w:r w:rsidR="2733E2C9" w:rsidRPr="006D4208">
        <w:rPr>
          <w:rFonts w:eastAsiaTheme="minorEastAsia"/>
          <w:sz w:val="20"/>
          <w:szCs w:val="20"/>
        </w:rPr>
        <w:t>de</w:t>
      </w:r>
      <w:r w:rsidR="00DF376A" w:rsidRPr="006D4208">
        <w:rPr>
          <w:rFonts w:eastAsiaTheme="minorEastAsia"/>
          <w:sz w:val="20"/>
          <w:szCs w:val="20"/>
        </w:rPr>
        <w:t>creased</w:t>
      </w:r>
      <w:r w:rsidRPr="006D4208">
        <w:rPr>
          <w:rFonts w:eastAsiaTheme="minorEastAsia"/>
          <w:sz w:val="20"/>
          <w:szCs w:val="20"/>
        </w:rPr>
        <w:t xml:space="preserve"> </w:t>
      </w:r>
      <w:r w:rsidR="002061A9" w:rsidRPr="006D4208">
        <w:rPr>
          <w:rFonts w:eastAsiaTheme="minorEastAsia"/>
          <w:sz w:val="20"/>
          <w:szCs w:val="20"/>
        </w:rPr>
        <w:t>to</w:t>
      </w:r>
      <w:r w:rsidRPr="006D4208">
        <w:rPr>
          <w:rFonts w:eastAsiaTheme="minorEastAsia"/>
          <w:sz w:val="20"/>
          <w:szCs w:val="20"/>
        </w:rPr>
        <w:t xml:space="preserve"> </w:t>
      </w:r>
      <w:r w:rsidR="00EB2D3F" w:rsidRPr="006D4208">
        <w:rPr>
          <w:rFonts w:eastAsiaTheme="minorEastAsia"/>
          <w:sz w:val="20"/>
          <w:szCs w:val="20"/>
        </w:rPr>
        <w:t>1</w:t>
      </w:r>
      <w:r w:rsidR="006C45B4" w:rsidRPr="006D4208">
        <w:rPr>
          <w:rFonts w:eastAsiaTheme="minorEastAsia"/>
          <w:sz w:val="20"/>
          <w:szCs w:val="20"/>
        </w:rPr>
        <w:t>,</w:t>
      </w:r>
      <w:r w:rsidR="119ADBFE" w:rsidRPr="006D4208">
        <w:rPr>
          <w:rFonts w:eastAsiaTheme="minorEastAsia"/>
          <w:sz w:val="20"/>
          <w:szCs w:val="20"/>
        </w:rPr>
        <w:t>321</w:t>
      </w:r>
      <w:r w:rsidRPr="006D4208">
        <w:rPr>
          <w:rFonts w:eastAsiaTheme="minorEastAsia"/>
          <w:sz w:val="20"/>
          <w:szCs w:val="20"/>
        </w:rPr>
        <w:t xml:space="preserve">k </w:t>
      </w:r>
      <w:r w:rsidR="00DF376A" w:rsidRPr="006D4208">
        <w:rPr>
          <w:rFonts w:eastAsiaTheme="minorEastAsia"/>
          <w:sz w:val="20"/>
          <w:szCs w:val="20"/>
        </w:rPr>
        <w:t>as at 30 June</w:t>
      </w:r>
      <w:r w:rsidRPr="006D4208">
        <w:rPr>
          <w:rFonts w:eastAsiaTheme="minorEastAsia"/>
          <w:sz w:val="20"/>
          <w:szCs w:val="20"/>
        </w:rPr>
        <w:t xml:space="preserve"> (</w:t>
      </w:r>
      <w:r w:rsidR="008C33CC">
        <w:rPr>
          <w:rFonts w:eastAsiaTheme="minorEastAsia"/>
          <w:sz w:val="20"/>
          <w:szCs w:val="20"/>
        </w:rPr>
        <w:t>FY</w:t>
      </w:r>
      <w:r w:rsidR="47D78811" w:rsidRPr="006D4208">
        <w:rPr>
          <w:rFonts w:eastAsiaTheme="minorEastAsia"/>
          <w:sz w:val="20"/>
          <w:szCs w:val="20"/>
        </w:rPr>
        <w:t>23</w:t>
      </w:r>
      <w:r w:rsidRPr="006D4208">
        <w:rPr>
          <w:rFonts w:eastAsiaTheme="minorEastAsia"/>
          <w:sz w:val="20"/>
          <w:szCs w:val="20"/>
        </w:rPr>
        <w:t xml:space="preserve">: </w:t>
      </w:r>
      <w:r w:rsidR="00A95CD8" w:rsidRPr="006D4208">
        <w:rPr>
          <w:rFonts w:eastAsiaTheme="minorEastAsia"/>
          <w:sz w:val="20"/>
          <w:szCs w:val="20"/>
        </w:rPr>
        <w:t>1</w:t>
      </w:r>
      <w:r w:rsidR="006C45B4" w:rsidRPr="006D4208">
        <w:rPr>
          <w:rFonts w:eastAsiaTheme="minorEastAsia"/>
          <w:sz w:val="20"/>
          <w:szCs w:val="20"/>
        </w:rPr>
        <w:t>,</w:t>
      </w:r>
      <w:r w:rsidR="47D78811" w:rsidRPr="006D4208">
        <w:rPr>
          <w:rFonts w:eastAsiaTheme="minorEastAsia"/>
          <w:sz w:val="20"/>
          <w:szCs w:val="20"/>
        </w:rPr>
        <w:t xml:space="preserve">376k; </w:t>
      </w:r>
      <w:r w:rsidR="00051A8A">
        <w:rPr>
          <w:rFonts w:eastAsiaTheme="minorEastAsia"/>
          <w:sz w:val="20"/>
          <w:szCs w:val="20"/>
        </w:rPr>
        <w:t>1H</w:t>
      </w:r>
      <w:r w:rsidR="00EC7117" w:rsidRPr="006D4208">
        <w:rPr>
          <w:rFonts w:eastAsiaTheme="minorEastAsia"/>
          <w:sz w:val="20"/>
          <w:szCs w:val="20"/>
        </w:rPr>
        <w:t>2</w:t>
      </w:r>
      <w:r w:rsidR="07CF85F1" w:rsidRPr="006D4208">
        <w:rPr>
          <w:rFonts w:eastAsiaTheme="minorEastAsia"/>
          <w:sz w:val="20"/>
          <w:szCs w:val="20"/>
        </w:rPr>
        <w:t>3</w:t>
      </w:r>
      <w:r w:rsidRPr="006D4208">
        <w:rPr>
          <w:rFonts w:eastAsiaTheme="minorEastAsia"/>
          <w:sz w:val="20"/>
          <w:szCs w:val="20"/>
        </w:rPr>
        <w:t xml:space="preserve">: </w:t>
      </w:r>
      <w:r w:rsidR="00A95CD8" w:rsidRPr="006D4208">
        <w:rPr>
          <w:rFonts w:eastAsiaTheme="minorEastAsia"/>
          <w:sz w:val="20"/>
          <w:szCs w:val="20"/>
        </w:rPr>
        <w:t>1</w:t>
      </w:r>
      <w:r w:rsidR="006C45B4" w:rsidRPr="006D4208">
        <w:rPr>
          <w:rFonts w:eastAsiaTheme="minorEastAsia"/>
          <w:sz w:val="20"/>
          <w:szCs w:val="20"/>
        </w:rPr>
        <w:t>,</w:t>
      </w:r>
      <w:r w:rsidR="37AF187D" w:rsidRPr="006D4208">
        <w:rPr>
          <w:rFonts w:eastAsiaTheme="minorEastAsia"/>
          <w:sz w:val="20"/>
          <w:szCs w:val="20"/>
        </w:rPr>
        <w:t>617</w:t>
      </w:r>
      <w:r w:rsidR="00F8630F" w:rsidRPr="006D4208">
        <w:rPr>
          <w:rFonts w:eastAsiaTheme="minorEastAsia"/>
          <w:sz w:val="20"/>
          <w:szCs w:val="20"/>
        </w:rPr>
        <w:t>k</w:t>
      </w:r>
      <w:r w:rsidRPr="006D4208">
        <w:rPr>
          <w:rFonts w:eastAsiaTheme="minorEastAsia"/>
          <w:sz w:val="20"/>
          <w:szCs w:val="20"/>
        </w:rPr>
        <w:t>)</w:t>
      </w:r>
      <w:r w:rsidR="00155663" w:rsidRPr="006D4208">
        <w:rPr>
          <w:rFonts w:eastAsiaTheme="minorEastAsia"/>
          <w:sz w:val="20"/>
          <w:szCs w:val="20"/>
        </w:rPr>
        <w:t>.</w:t>
      </w:r>
      <w:r w:rsidR="00F008FB" w:rsidRPr="006D4208">
        <w:rPr>
          <w:rFonts w:eastAsiaTheme="minorEastAsia"/>
          <w:sz w:val="20"/>
          <w:szCs w:val="20"/>
        </w:rPr>
        <w:t xml:space="preserve"> Active customer numbers, </w:t>
      </w:r>
      <w:r w:rsidR="00551C47" w:rsidRPr="006D4208">
        <w:rPr>
          <w:rFonts w:eastAsiaTheme="minorEastAsia"/>
          <w:sz w:val="20"/>
          <w:szCs w:val="20"/>
        </w:rPr>
        <w:t xml:space="preserve">defined as </w:t>
      </w:r>
      <w:r w:rsidR="00EB4ED6" w:rsidRPr="006D4208">
        <w:rPr>
          <w:rFonts w:eastAsiaTheme="minorEastAsia"/>
          <w:sz w:val="20"/>
          <w:szCs w:val="20"/>
        </w:rPr>
        <w:t>customers with activity on their card in the last month</w:t>
      </w:r>
      <w:r w:rsidR="00431850" w:rsidRPr="006D4208">
        <w:rPr>
          <w:rFonts w:eastAsiaTheme="minorEastAsia"/>
          <w:sz w:val="20"/>
          <w:szCs w:val="20"/>
        </w:rPr>
        <w:t xml:space="preserve">, </w:t>
      </w:r>
      <w:r w:rsidR="004E735B" w:rsidRPr="006D4208">
        <w:rPr>
          <w:rFonts w:eastAsiaTheme="minorEastAsia"/>
          <w:sz w:val="20"/>
          <w:szCs w:val="20"/>
        </w:rPr>
        <w:t xml:space="preserve">also </w:t>
      </w:r>
      <w:r w:rsidR="359CCBB1" w:rsidRPr="006D4208">
        <w:rPr>
          <w:rFonts w:eastAsiaTheme="minorEastAsia"/>
          <w:sz w:val="20"/>
          <w:szCs w:val="20"/>
        </w:rPr>
        <w:t xml:space="preserve">fell </w:t>
      </w:r>
      <w:r w:rsidR="004E735B" w:rsidRPr="006D4208">
        <w:rPr>
          <w:rFonts w:eastAsiaTheme="minorEastAsia"/>
          <w:sz w:val="20"/>
          <w:szCs w:val="20"/>
        </w:rPr>
        <w:t xml:space="preserve">to </w:t>
      </w:r>
      <w:r w:rsidR="00A6605E" w:rsidRPr="006D4208">
        <w:rPr>
          <w:rFonts w:eastAsiaTheme="minorEastAsia"/>
          <w:sz w:val="20"/>
          <w:szCs w:val="20"/>
        </w:rPr>
        <w:t>1,</w:t>
      </w:r>
      <w:r w:rsidR="703BE1F8" w:rsidRPr="006D4208">
        <w:rPr>
          <w:rFonts w:eastAsiaTheme="minorEastAsia"/>
          <w:sz w:val="20"/>
          <w:szCs w:val="20"/>
        </w:rPr>
        <w:t>097</w:t>
      </w:r>
      <w:r w:rsidR="00066D8B" w:rsidRPr="006D4208">
        <w:rPr>
          <w:rFonts w:eastAsiaTheme="minorEastAsia"/>
          <w:sz w:val="20"/>
          <w:szCs w:val="20"/>
        </w:rPr>
        <w:t>k (</w:t>
      </w:r>
      <w:r w:rsidR="008C33CC">
        <w:rPr>
          <w:rFonts w:eastAsiaTheme="minorEastAsia"/>
          <w:sz w:val="20"/>
          <w:szCs w:val="20"/>
        </w:rPr>
        <w:t>FY</w:t>
      </w:r>
      <w:r w:rsidR="4B4DD5C5" w:rsidRPr="006D4208">
        <w:rPr>
          <w:sz w:val="20"/>
          <w:szCs w:val="20"/>
        </w:rPr>
        <w:t xml:space="preserve">23: </w:t>
      </w:r>
      <w:r w:rsidR="5E1DFE89" w:rsidRPr="006D4208">
        <w:rPr>
          <w:sz w:val="20"/>
          <w:szCs w:val="20"/>
        </w:rPr>
        <w:t>1,190k</w:t>
      </w:r>
      <w:r w:rsidR="4B4DD5C5" w:rsidRPr="006D4208">
        <w:rPr>
          <w:sz w:val="20"/>
          <w:szCs w:val="20"/>
        </w:rPr>
        <w:t xml:space="preserve">; </w:t>
      </w:r>
      <w:r w:rsidR="00051A8A">
        <w:rPr>
          <w:sz w:val="20"/>
          <w:szCs w:val="20"/>
        </w:rPr>
        <w:t>1H</w:t>
      </w:r>
      <w:r w:rsidR="00EC7117" w:rsidRPr="006D4208">
        <w:rPr>
          <w:sz w:val="20"/>
          <w:szCs w:val="20"/>
        </w:rPr>
        <w:t>2</w:t>
      </w:r>
      <w:r w:rsidR="60F439A1" w:rsidRPr="006D4208">
        <w:rPr>
          <w:sz w:val="20"/>
          <w:szCs w:val="20"/>
        </w:rPr>
        <w:t>3</w:t>
      </w:r>
      <w:r w:rsidR="00066D8B" w:rsidRPr="006D4208">
        <w:rPr>
          <w:sz w:val="20"/>
          <w:szCs w:val="20"/>
        </w:rPr>
        <w:t xml:space="preserve">: </w:t>
      </w:r>
      <w:r w:rsidR="00A6605E" w:rsidRPr="006D4208">
        <w:rPr>
          <w:sz w:val="20"/>
          <w:szCs w:val="20"/>
        </w:rPr>
        <w:t>1,2</w:t>
      </w:r>
      <w:r w:rsidR="0C262F25" w:rsidRPr="006D4208">
        <w:rPr>
          <w:sz w:val="20"/>
          <w:szCs w:val="20"/>
        </w:rPr>
        <w:t>60</w:t>
      </w:r>
      <w:r w:rsidR="00066D8B" w:rsidRPr="006D4208">
        <w:rPr>
          <w:sz w:val="20"/>
          <w:szCs w:val="20"/>
        </w:rPr>
        <w:t>k)</w:t>
      </w:r>
      <w:r w:rsidR="009D3812" w:rsidRPr="006D4208">
        <w:rPr>
          <w:sz w:val="20"/>
          <w:szCs w:val="20"/>
        </w:rPr>
        <w:t>.</w:t>
      </w:r>
    </w:p>
    <w:p w14:paraId="31CF309D" w14:textId="77777777" w:rsidR="00261D92" w:rsidRPr="00701439" w:rsidRDefault="00261D92" w:rsidP="00E534C5">
      <w:pPr>
        <w:pStyle w:val="NoSpacing"/>
        <w:jc w:val="both"/>
        <w:rPr>
          <w:color w:val="D99594" w:themeColor="accent2" w:themeTint="99"/>
          <w:sz w:val="20"/>
          <w:szCs w:val="20"/>
        </w:rPr>
      </w:pPr>
    </w:p>
    <w:p w14:paraId="1F043055" w14:textId="6D8A361A" w:rsidR="00261D92" w:rsidRPr="00701439" w:rsidRDefault="00261D92" w:rsidP="00E534C5">
      <w:pPr>
        <w:pStyle w:val="NoSpacing"/>
        <w:jc w:val="both"/>
        <w:rPr>
          <w:color w:val="D99594" w:themeColor="accent2" w:themeTint="99"/>
          <w:sz w:val="20"/>
          <w:szCs w:val="20"/>
        </w:rPr>
      </w:pPr>
      <w:r w:rsidRPr="006D4208">
        <w:rPr>
          <w:sz w:val="20"/>
          <w:szCs w:val="20"/>
        </w:rPr>
        <w:t xml:space="preserve">During </w:t>
      </w:r>
      <w:r w:rsidR="00B20A2D" w:rsidRPr="006D4208">
        <w:rPr>
          <w:sz w:val="20"/>
          <w:szCs w:val="20"/>
        </w:rPr>
        <w:t>the period</w:t>
      </w:r>
      <w:r w:rsidRPr="006D4208">
        <w:rPr>
          <w:sz w:val="20"/>
          <w:szCs w:val="20"/>
        </w:rPr>
        <w:t xml:space="preserve">, </w:t>
      </w:r>
      <w:r w:rsidR="00E32496" w:rsidRPr="006D4208">
        <w:rPr>
          <w:sz w:val="20"/>
          <w:szCs w:val="20"/>
        </w:rPr>
        <w:t xml:space="preserve">credit line increases </w:t>
      </w:r>
      <w:r w:rsidR="003907F4" w:rsidRPr="006D4208">
        <w:rPr>
          <w:sz w:val="20"/>
          <w:szCs w:val="20"/>
        </w:rPr>
        <w:t>issued to customers were</w:t>
      </w:r>
      <w:r w:rsidRPr="006D4208">
        <w:rPr>
          <w:sz w:val="20"/>
          <w:szCs w:val="20"/>
        </w:rPr>
        <w:t xml:space="preserve"> approximately £</w:t>
      </w:r>
      <w:r w:rsidR="24C86B0B" w:rsidRPr="006D4208">
        <w:rPr>
          <w:sz w:val="20"/>
          <w:szCs w:val="20"/>
        </w:rPr>
        <w:t>65</w:t>
      </w:r>
      <w:r w:rsidR="00BC6AB2" w:rsidRPr="006D4208">
        <w:rPr>
          <w:sz w:val="20"/>
          <w:szCs w:val="20"/>
        </w:rPr>
        <w:t xml:space="preserve">m </w:t>
      </w:r>
      <w:r w:rsidR="001519EC" w:rsidRPr="006D4208">
        <w:rPr>
          <w:sz w:val="20"/>
          <w:szCs w:val="20"/>
        </w:rPr>
        <w:t>(</w:t>
      </w:r>
      <w:r w:rsidR="00051A8A">
        <w:rPr>
          <w:sz w:val="20"/>
          <w:szCs w:val="20"/>
        </w:rPr>
        <w:t>1H</w:t>
      </w:r>
      <w:r w:rsidR="00EC7117" w:rsidRPr="006D4208">
        <w:rPr>
          <w:sz w:val="20"/>
          <w:szCs w:val="20"/>
        </w:rPr>
        <w:t>2</w:t>
      </w:r>
      <w:r w:rsidR="1A5DF667" w:rsidRPr="006D4208">
        <w:rPr>
          <w:sz w:val="20"/>
          <w:szCs w:val="20"/>
        </w:rPr>
        <w:t>3</w:t>
      </w:r>
      <w:r w:rsidR="001519EC" w:rsidRPr="006D4208">
        <w:rPr>
          <w:sz w:val="20"/>
          <w:szCs w:val="20"/>
        </w:rPr>
        <w:t xml:space="preserve">: </w:t>
      </w:r>
      <w:r w:rsidR="00835A6F" w:rsidRPr="006D4208">
        <w:rPr>
          <w:sz w:val="20"/>
          <w:szCs w:val="20"/>
        </w:rPr>
        <w:t>£</w:t>
      </w:r>
      <w:r w:rsidR="005C5993" w:rsidRPr="006D4208">
        <w:rPr>
          <w:sz w:val="20"/>
          <w:szCs w:val="20"/>
        </w:rPr>
        <w:t>1</w:t>
      </w:r>
      <w:r w:rsidR="0296B86F" w:rsidRPr="006D4208">
        <w:rPr>
          <w:sz w:val="20"/>
          <w:szCs w:val="20"/>
        </w:rPr>
        <w:t>6</w:t>
      </w:r>
      <w:r w:rsidR="005C5993" w:rsidRPr="006D4208">
        <w:rPr>
          <w:sz w:val="20"/>
          <w:szCs w:val="20"/>
        </w:rPr>
        <w:t>9m</w:t>
      </w:r>
      <w:r w:rsidR="001519EC" w:rsidRPr="006D4208">
        <w:rPr>
          <w:sz w:val="20"/>
          <w:szCs w:val="20"/>
        </w:rPr>
        <w:t>)</w:t>
      </w:r>
      <w:r w:rsidR="788B249E" w:rsidRPr="006D4208">
        <w:rPr>
          <w:sz w:val="20"/>
          <w:szCs w:val="20"/>
        </w:rPr>
        <w:t>,</w:t>
      </w:r>
      <w:r w:rsidR="788B249E" w:rsidRPr="006D4208">
        <w:rPr>
          <w:rFonts w:eastAsiaTheme="minorEastAsia"/>
          <w:sz w:val="20"/>
          <w:szCs w:val="20"/>
        </w:rPr>
        <w:t xml:space="preserve"> c.</w:t>
      </w:r>
      <w:r w:rsidR="32B028F7" w:rsidRPr="006D4208">
        <w:rPr>
          <w:rFonts w:eastAsiaTheme="minorEastAsia"/>
          <w:sz w:val="20"/>
          <w:szCs w:val="20"/>
        </w:rPr>
        <w:t xml:space="preserve"> </w:t>
      </w:r>
      <w:r w:rsidR="788B249E" w:rsidRPr="006D4208">
        <w:rPr>
          <w:rFonts w:eastAsiaTheme="minorEastAsia"/>
          <w:sz w:val="20"/>
          <w:szCs w:val="20"/>
        </w:rPr>
        <w:t>60%</w:t>
      </w:r>
      <w:r w:rsidR="32B028F7" w:rsidRPr="006D4208">
        <w:rPr>
          <w:rFonts w:eastAsiaTheme="minorEastAsia"/>
          <w:sz w:val="20"/>
          <w:szCs w:val="20"/>
        </w:rPr>
        <w:t xml:space="preserve"> </w:t>
      </w:r>
      <w:r w:rsidR="683C6D1B" w:rsidRPr="006D4208">
        <w:rPr>
          <w:rFonts w:eastAsiaTheme="minorEastAsia"/>
          <w:sz w:val="20"/>
          <w:szCs w:val="20"/>
        </w:rPr>
        <w:t xml:space="preserve">lower than </w:t>
      </w:r>
      <w:r w:rsidR="00051A8A">
        <w:rPr>
          <w:rFonts w:eastAsiaTheme="minorEastAsia"/>
          <w:sz w:val="20"/>
          <w:szCs w:val="20"/>
        </w:rPr>
        <w:t>1H</w:t>
      </w:r>
      <w:r w:rsidR="73F1D314" w:rsidRPr="006D4208">
        <w:rPr>
          <w:sz w:val="20"/>
          <w:szCs w:val="20"/>
        </w:rPr>
        <w:t>23</w:t>
      </w:r>
      <w:r w:rsidR="32B028F7" w:rsidRPr="006D4208">
        <w:rPr>
          <w:sz w:val="20"/>
          <w:szCs w:val="20"/>
        </w:rPr>
        <w:t xml:space="preserve"> </w:t>
      </w:r>
      <w:r w:rsidR="1611AB11" w:rsidRPr="006D4208">
        <w:rPr>
          <w:rFonts w:ascii="Calibri" w:eastAsia="Calibri" w:hAnsi="Calibri" w:cs="Calibri"/>
          <w:sz w:val="20"/>
          <w:szCs w:val="20"/>
        </w:rPr>
        <w:t xml:space="preserve">due to pausing credit line increases in Aug’23 amid the same business rationale for </w:t>
      </w:r>
      <w:r w:rsidR="00877333">
        <w:rPr>
          <w:rFonts w:ascii="Calibri" w:eastAsia="Calibri" w:hAnsi="Calibri" w:cs="Calibri"/>
          <w:sz w:val="20"/>
          <w:szCs w:val="20"/>
        </w:rPr>
        <w:t>moderating</w:t>
      </w:r>
      <w:r w:rsidR="1611AB11" w:rsidRPr="006D4208">
        <w:rPr>
          <w:rFonts w:ascii="Calibri" w:eastAsia="Calibri" w:hAnsi="Calibri" w:cs="Calibri"/>
          <w:sz w:val="20"/>
          <w:szCs w:val="20"/>
        </w:rPr>
        <w:t xml:space="preserve"> acquisition volume. Credit line increases were resumed in Apr’24.</w:t>
      </w:r>
      <w:r w:rsidRPr="006D4208">
        <w:rPr>
          <w:sz w:val="20"/>
          <w:szCs w:val="20"/>
        </w:rPr>
        <w:t xml:space="preserve"> At the end of </w:t>
      </w:r>
      <w:r w:rsidR="003A60B5" w:rsidRPr="006D4208">
        <w:rPr>
          <w:sz w:val="20"/>
          <w:szCs w:val="20"/>
        </w:rPr>
        <w:t>June</w:t>
      </w:r>
      <w:r w:rsidRPr="006D4208">
        <w:rPr>
          <w:sz w:val="20"/>
          <w:szCs w:val="20"/>
        </w:rPr>
        <w:t xml:space="preserve">, the average utilisation rate was approximately </w:t>
      </w:r>
      <w:r w:rsidR="0086282C" w:rsidRPr="006D4208">
        <w:rPr>
          <w:sz w:val="20"/>
          <w:szCs w:val="20"/>
        </w:rPr>
        <w:t>47</w:t>
      </w:r>
      <w:r w:rsidRPr="006D4208">
        <w:rPr>
          <w:sz w:val="20"/>
          <w:szCs w:val="20"/>
        </w:rPr>
        <w:t>%</w:t>
      </w:r>
      <w:r w:rsidR="003A60B5" w:rsidRPr="006D4208">
        <w:rPr>
          <w:sz w:val="20"/>
          <w:szCs w:val="20"/>
        </w:rPr>
        <w:t xml:space="preserve"> (</w:t>
      </w:r>
      <w:r w:rsidR="00051A8A">
        <w:rPr>
          <w:sz w:val="20"/>
          <w:szCs w:val="20"/>
        </w:rPr>
        <w:t>1H</w:t>
      </w:r>
      <w:r w:rsidR="003A60B5" w:rsidRPr="006D4208">
        <w:rPr>
          <w:sz w:val="20"/>
          <w:szCs w:val="20"/>
        </w:rPr>
        <w:t>2</w:t>
      </w:r>
      <w:r w:rsidR="57C23314" w:rsidRPr="006D4208">
        <w:rPr>
          <w:sz w:val="20"/>
          <w:szCs w:val="20"/>
        </w:rPr>
        <w:t>3</w:t>
      </w:r>
      <w:r w:rsidR="003A60B5" w:rsidRPr="006D4208">
        <w:rPr>
          <w:sz w:val="20"/>
          <w:szCs w:val="20"/>
        </w:rPr>
        <w:t xml:space="preserve">: </w:t>
      </w:r>
      <w:r w:rsidR="0086282C" w:rsidRPr="006D4208">
        <w:rPr>
          <w:sz w:val="20"/>
          <w:szCs w:val="20"/>
        </w:rPr>
        <w:t>4</w:t>
      </w:r>
      <w:r w:rsidR="569F3AFF" w:rsidRPr="006D4208">
        <w:rPr>
          <w:sz w:val="20"/>
          <w:szCs w:val="20"/>
        </w:rPr>
        <w:t>7</w:t>
      </w:r>
      <w:r w:rsidR="003A60B5" w:rsidRPr="006D4208">
        <w:rPr>
          <w:sz w:val="20"/>
          <w:szCs w:val="20"/>
        </w:rPr>
        <w:t>%</w:t>
      </w:r>
      <w:r w:rsidR="289BCB6A" w:rsidRPr="006D4208">
        <w:rPr>
          <w:sz w:val="20"/>
          <w:szCs w:val="20"/>
        </w:rPr>
        <w:t xml:space="preserve">). </w:t>
      </w:r>
      <w:bookmarkStart w:id="6" w:name="_Hlk49171789"/>
      <w:r w:rsidRPr="006D4208">
        <w:rPr>
          <w:sz w:val="20"/>
          <w:szCs w:val="20"/>
        </w:rPr>
        <w:t>Rece</w:t>
      </w:r>
      <w:r w:rsidRPr="006D4208">
        <w:rPr>
          <w:rFonts w:eastAsiaTheme="minorEastAsia"/>
          <w:sz w:val="20"/>
          <w:szCs w:val="20"/>
        </w:rPr>
        <w:t>ivables ended the period at £</w:t>
      </w:r>
      <w:r w:rsidR="00BB1C25" w:rsidRPr="006D4208">
        <w:rPr>
          <w:rFonts w:eastAsiaTheme="minorEastAsia"/>
          <w:sz w:val="20"/>
          <w:szCs w:val="20"/>
        </w:rPr>
        <w:t>1</w:t>
      </w:r>
      <w:r w:rsidR="006C45B4" w:rsidRPr="006D4208">
        <w:rPr>
          <w:rFonts w:eastAsiaTheme="minorEastAsia"/>
          <w:sz w:val="20"/>
          <w:szCs w:val="20"/>
        </w:rPr>
        <w:t>,</w:t>
      </w:r>
      <w:r w:rsidR="16D7C0F2" w:rsidRPr="006D4208">
        <w:rPr>
          <w:rFonts w:eastAsiaTheme="minorEastAsia"/>
          <w:sz w:val="20"/>
          <w:szCs w:val="20"/>
        </w:rPr>
        <w:t>151</w:t>
      </w:r>
      <w:r w:rsidRPr="006D4208">
        <w:rPr>
          <w:rFonts w:eastAsiaTheme="minorEastAsia"/>
          <w:sz w:val="20"/>
          <w:szCs w:val="20"/>
        </w:rPr>
        <w:t>m (</w:t>
      </w:r>
      <w:r w:rsidR="00D610C9">
        <w:rPr>
          <w:rFonts w:eastAsiaTheme="minorEastAsia"/>
          <w:sz w:val="20"/>
          <w:szCs w:val="20"/>
        </w:rPr>
        <w:t>FY</w:t>
      </w:r>
      <w:r w:rsidR="5A45BBBB" w:rsidRPr="006D4208">
        <w:rPr>
          <w:rFonts w:eastAsiaTheme="minorEastAsia"/>
          <w:sz w:val="20"/>
          <w:szCs w:val="20"/>
        </w:rPr>
        <w:t>23</w:t>
      </w:r>
      <w:r w:rsidRPr="006D4208">
        <w:rPr>
          <w:rFonts w:eastAsiaTheme="minorEastAsia"/>
          <w:sz w:val="20"/>
          <w:szCs w:val="20"/>
        </w:rPr>
        <w:t>: £</w:t>
      </w:r>
      <w:r w:rsidR="00D008C8" w:rsidRPr="006D4208">
        <w:rPr>
          <w:rFonts w:eastAsiaTheme="minorEastAsia"/>
          <w:sz w:val="20"/>
          <w:szCs w:val="20"/>
        </w:rPr>
        <w:t>1</w:t>
      </w:r>
      <w:r w:rsidR="006C45B4" w:rsidRPr="006D4208">
        <w:rPr>
          <w:rFonts w:eastAsiaTheme="minorEastAsia"/>
          <w:sz w:val="20"/>
          <w:szCs w:val="20"/>
        </w:rPr>
        <w:t>,</w:t>
      </w:r>
      <w:r w:rsidR="5A45BBBB" w:rsidRPr="006D4208">
        <w:rPr>
          <w:rFonts w:eastAsiaTheme="minorEastAsia"/>
          <w:sz w:val="20"/>
          <w:szCs w:val="20"/>
        </w:rPr>
        <w:t xml:space="preserve">278m; </w:t>
      </w:r>
      <w:r w:rsidR="00051A8A">
        <w:rPr>
          <w:rFonts w:eastAsiaTheme="minorEastAsia"/>
          <w:sz w:val="20"/>
          <w:szCs w:val="20"/>
        </w:rPr>
        <w:t>1H</w:t>
      </w:r>
      <w:r w:rsidR="00EC7117" w:rsidRPr="006D4208">
        <w:rPr>
          <w:rFonts w:eastAsiaTheme="minorEastAsia"/>
          <w:sz w:val="20"/>
          <w:szCs w:val="20"/>
        </w:rPr>
        <w:t>2</w:t>
      </w:r>
      <w:r w:rsidR="1A65999C" w:rsidRPr="006D4208">
        <w:rPr>
          <w:rFonts w:eastAsiaTheme="minorEastAsia"/>
          <w:sz w:val="20"/>
          <w:szCs w:val="20"/>
        </w:rPr>
        <w:t>3</w:t>
      </w:r>
      <w:r w:rsidRPr="006D4208">
        <w:rPr>
          <w:rFonts w:eastAsiaTheme="minorEastAsia"/>
          <w:sz w:val="20"/>
          <w:szCs w:val="20"/>
        </w:rPr>
        <w:t>: £</w:t>
      </w:r>
      <w:r w:rsidR="00D008C8" w:rsidRPr="006D4208">
        <w:rPr>
          <w:rFonts w:eastAsiaTheme="minorEastAsia"/>
          <w:sz w:val="20"/>
          <w:szCs w:val="20"/>
        </w:rPr>
        <w:t>1</w:t>
      </w:r>
      <w:r w:rsidR="006C45B4" w:rsidRPr="006D4208">
        <w:rPr>
          <w:rFonts w:eastAsiaTheme="minorEastAsia"/>
          <w:sz w:val="20"/>
          <w:szCs w:val="20"/>
        </w:rPr>
        <w:t>,</w:t>
      </w:r>
      <w:r w:rsidR="18769601" w:rsidRPr="006D4208">
        <w:rPr>
          <w:rFonts w:eastAsiaTheme="minorEastAsia"/>
          <w:sz w:val="20"/>
          <w:szCs w:val="20"/>
        </w:rPr>
        <w:t>224</w:t>
      </w:r>
      <w:r w:rsidRPr="006D4208">
        <w:rPr>
          <w:rFonts w:eastAsiaTheme="minorEastAsia"/>
          <w:sz w:val="20"/>
          <w:szCs w:val="20"/>
        </w:rPr>
        <w:t xml:space="preserve">m), </w:t>
      </w:r>
      <w:r w:rsidR="004329BD" w:rsidRPr="006D4208">
        <w:rPr>
          <w:rFonts w:eastAsiaTheme="minorEastAsia"/>
          <w:sz w:val="20"/>
          <w:szCs w:val="20"/>
        </w:rPr>
        <w:t xml:space="preserve">representing </w:t>
      </w:r>
      <w:r w:rsidR="7314B5B8" w:rsidRPr="006D4208">
        <w:rPr>
          <w:rFonts w:eastAsiaTheme="minorEastAsia"/>
          <w:sz w:val="20"/>
          <w:szCs w:val="20"/>
        </w:rPr>
        <w:t>a reduction</w:t>
      </w:r>
      <w:r w:rsidR="004329BD" w:rsidRPr="006D4208">
        <w:rPr>
          <w:rFonts w:eastAsiaTheme="minorEastAsia"/>
          <w:sz w:val="20"/>
          <w:szCs w:val="20"/>
        </w:rPr>
        <w:t xml:space="preserve"> of </w:t>
      </w:r>
      <w:r w:rsidR="727D6DF0" w:rsidRPr="006D4208">
        <w:rPr>
          <w:rFonts w:eastAsiaTheme="minorEastAsia"/>
          <w:sz w:val="20"/>
          <w:szCs w:val="20"/>
        </w:rPr>
        <w:t>6</w:t>
      </w:r>
      <w:r w:rsidR="004329BD" w:rsidRPr="006D4208">
        <w:rPr>
          <w:rFonts w:eastAsiaTheme="minorEastAsia"/>
          <w:sz w:val="20"/>
          <w:szCs w:val="20"/>
        </w:rPr>
        <w:t>% year</w:t>
      </w:r>
      <w:r w:rsidR="00A928C4" w:rsidRPr="006D4208">
        <w:rPr>
          <w:rFonts w:eastAsiaTheme="minorEastAsia"/>
          <w:sz w:val="20"/>
          <w:szCs w:val="20"/>
        </w:rPr>
        <w:t xml:space="preserve"> </w:t>
      </w:r>
      <w:r w:rsidR="004329BD" w:rsidRPr="006D4208">
        <w:rPr>
          <w:rFonts w:eastAsiaTheme="minorEastAsia"/>
          <w:sz w:val="20"/>
          <w:szCs w:val="20"/>
        </w:rPr>
        <w:t>on</w:t>
      </w:r>
      <w:r w:rsidR="00A928C4" w:rsidRPr="006D4208">
        <w:rPr>
          <w:rFonts w:eastAsiaTheme="minorEastAsia"/>
          <w:sz w:val="20"/>
          <w:szCs w:val="20"/>
        </w:rPr>
        <w:t xml:space="preserve"> </w:t>
      </w:r>
      <w:r w:rsidRPr="006D4208">
        <w:rPr>
          <w:rFonts w:eastAsiaTheme="minorEastAsia"/>
          <w:sz w:val="20"/>
          <w:szCs w:val="20"/>
        </w:rPr>
        <w:t>year.</w:t>
      </w:r>
    </w:p>
    <w:p w14:paraId="7EBEE692" w14:textId="77777777" w:rsidR="00261D92" w:rsidRPr="00701439" w:rsidRDefault="00261D92" w:rsidP="00E534C5">
      <w:pPr>
        <w:pStyle w:val="NoSpacing"/>
        <w:jc w:val="both"/>
        <w:rPr>
          <w:color w:val="D99594" w:themeColor="accent2" w:themeTint="99"/>
          <w:sz w:val="20"/>
          <w:szCs w:val="20"/>
        </w:rPr>
      </w:pPr>
    </w:p>
    <w:bookmarkEnd w:id="6"/>
    <w:p w14:paraId="7CA069FE" w14:textId="1A417B8E" w:rsidR="00261D92" w:rsidRPr="00701439" w:rsidRDefault="00261D92" w:rsidP="00E534C5">
      <w:pPr>
        <w:pStyle w:val="NoSpacing"/>
        <w:jc w:val="both"/>
        <w:rPr>
          <w:color w:val="D99594" w:themeColor="accent2" w:themeTint="99"/>
          <w:sz w:val="20"/>
          <w:szCs w:val="20"/>
        </w:rPr>
      </w:pPr>
      <w:r w:rsidRPr="006D4208">
        <w:rPr>
          <w:sz w:val="20"/>
          <w:szCs w:val="20"/>
        </w:rPr>
        <w:t>The credit card business generated</w:t>
      </w:r>
      <w:r w:rsidR="00A2486D" w:rsidRPr="006D4208">
        <w:rPr>
          <w:sz w:val="20"/>
          <w:szCs w:val="20"/>
        </w:rPr>
        <w:t xml:space="preserve"> interest income</w:t>
      </w:r>
      <w:r w:rsidRPr="006D4208">
        <w:rPr>
          <w:sz w:val="20"/>
          <w:szCs w:val="20"/>
        </w:rPr>
        <w:t xml:space="preserve"> of £</w:t>
      </w:r>
      <w:r w:rsidR="7D44C569" w:rsidRPr="006D4208">
        <w:rPr>
          <w:sz w:val="20"/>
          <w:szCs w:val="20"/>
        </w:rPr>
        <w:t>202</w:t>
      </w:r>
      <w:r w:rsidR="00BF2168" w:rsidRPr="006D4208">
        <w:rPr>
          <w:sz w:val="20"/>
          <w:szCs w:val="20"/>
        </w:rPr>
        <w:t>.</w:t>
      </w:r>
      <w:r w:rsidR="726F081F" w:rsidRPr="006D4208">
        <w:rPr>
          <w:sz w:val="20"/>
          <w:szCs w:val="20"/>
        </w:rPr>
        <w:t>6</w:t>
      </w:r>
      <w:r w:rsidR="00293CA5" w:rsidRPr="006D4208">
        <w:rPr>
          <w:sz w:val="20"/>
          <w:szCs w:val="20"/>
        </w:rPr>
        <w:t>m</w:t>
      </w:r>
      <w:r w:rsidRPr="006D4208">
        <w:rPr>
          <w:sz w:val="20"/>
          <w:szCs w:val="20"/>
        </w:rPr>
        <w:t xml:space="preserve"> during the </w:t>
      </w:r>
      <w:r w:rsidR="00102FCC" w:rsidRPr="006D4208">
        <w:rPr>
          <w:sz w:val="20"/>
          <w:szCs w:val="20"/>
        </w:rPr>
        <w:t>period</w:t>
      </w:r>
      <w:r w:rsidRPr="006D4208">
        <w:rPr>
          <w:sz w:val="20"/>
          <w:szCs w:val="20"/>
        </w:rPr>
        <w:t>, versus £</w:t>
      </w:r>
      <w:r w:rsidR="00E03879" w:rsidRPr="006D4208">
        <w:rPr>
          <w:sz w:val="20"/>
          <w:szCs w:val="20"/>
        </w:rPr>
        <w:t>1</w:t>
      </w:r>
      <w:r w:rsidR="2E04499F" w:rsidRPr="006D4208">
        <w:rPr>
          <w:sz w:val="20"/>
          <w:szCs w:val="20"/>
        </w:rPr>
        <w:t>7</w:t>
      </w:r>
      <w:r w:rsidR="00224493">
        <w:rPr>
          <w:sz w:val="20"/>
          <w:szCs w:val="20"/>
        </w:rPr>
        <w:t>5.1</w:t>
      </w:r>
      <w:r w:rsidRPr="006D4208">
        <w:rPr>
          <w:sz w:val="20"/>
          <w:szCs w:val="20"/>
        </w:rPr>
        <w:t xml:space="preserve">m in </w:t>
      </w:r>
      <w:r w:rsidR="00051A8A">
        <w:rPr>
          <w:sz w:val="20"/>
          <w:szCs w:val="20"/>
        </w:rPr>
        <w:t>1H</w:t>
      </w:r>
      <w:r w:rsidR="00102FCC" w:rsidRPr="006D4208">
        <w:rPr>
          <w:sz w:val="20"/>
          <w:szCs w:val="20"/>
        </w:rPr>
        <w:t>2</w:t>
      </w:r>
      <w:r w:rsidR="1F338319" w:rsidRPr="006D4208">
        <w:rPr>
          <w:sz w:val="20"/>
          <w:szCs w:val="20"/>
        </w:rPr>
        <w:t>3.</w:t>
      </w:r>
      <w:r w:rsidRPr="006D4208">
        <w:rPr>
          <w:sz w:val="20"/>
          <w:szCs w:val="20"/>
        </w:rPr>
        <w:t xml:space="preserve"> </w:t>
      </w:r>
      <w:r w:rsidR="57BD90C8" w:rsidRPr="006D4208">
        <w:rPr>
          <w:sz w:val="20"/>
          <w:szCs w:val="20"/>
        </w:rPr>
        <w:t xml:space="preserve">This reflects price increases on the customer receivable in Nov’23 and in </w:t>
      </w:r>
      <w:r w:rsidR="00051A8A">
        <w:rPr>
          <w:sz w:val="20"/>
          <w:szCs w:val="20"/>
        </w:rPr>
        <w:t>1H</w:t>
      </w:r>
      <w:r w:rsidR="57BD90C8" w:rsidRPr="006D4208">
        <w:rPr>
          <w:sz w:val="20"/>
          <w:szCs w:val="20"/>
        </w:rPr>
        <w:t xml:space="preserve">24, with a resultant </w:t>
      </w:r>
      <w:r w:rsidR="0F5F40DE" w:rsidRPr="006D4208">
        <w:rPr>
          <w:sz w:val="20"/>
          <w:szCs w:val="20"/>
        </w:rPr>
        <w:t xml:space="preserve">increase </w:t>
      </w:r>
      <w:r w:rsidRPr="006D4208">
        <w:rPr>
          <w:sz w:val="20"/>
          <w:szCs w:val="20"/>
        </w:rPr>
        <w:t xml:space="preserve">in the </w:t>
      </w:r>
      <w:r w:rsidR="00CD6F36" w:rsidRPr="006D4208">
        <w:rPr>
          <w:sz w:val="20"/>
          <w:szCs w:val="20"/>
        </w:rPr>
        <w:t>asset</w:t>
      </w:r>
      <w:r w:rsidRPr="006D4208">
        <w:rPr>
          <w:sz w:val="20"/>
          <w:szCs w:val="20"/>
        </w:rPr>
        <w:t xml:space="preserve"> yield to</w:t>
      </w:r>
      <w:r w:rsidR="00102FCC" w:rsidRPr="006D4208">
        <w:rPr>
          <w:sz w:val="20"/>
          <w:szCs w:val="20"/>
        </w:rPr>
        <w:t xml:space="preserve"> </w:t>
      </w:r>
      <w:r w:rsidR="00DE3C90" w:rsidRPr="006D4208">
        <w:rPr>
          <w:sz w:val="20"/>
          <w:szCs w:val="20"/>
        </w:rPr>
        <w:t>2</w:t>
      </w:r>
      <w:r w:rsidR="7077EAA4" w:rsidRPr="006D4208">
        <w:rPr>
          <w:sz w:val="20"/>
          <w:szCs w:val="20"/>
        </w:rPr>
        <w:t>7.</w:t>
      </w:r>
      <w:r w:rsidR="00042152">
        <w:rPr>
          <w:sz w:val="20"/>
          <w:szCs w:val="20"/>
        </w:rPr>
        <w:t>5</w:t>
      </w:r>
      <w:r w:rsidRPr="006D4208">
        <w:rPr>
          <w:sz w:val="20"/>
          <w:szCs w:val="20"/>
        </w:rPr>
        <w:t>% (</w:t>
      </w:r>
      <w:r w:rsidR="00051A8A">
        <w:rPr>
          <w:sz w:val="20"/>
          <w:szCs w:val="20"/>
        </w:rPr>
        <w:t>1H</w:t>
      </w:r>
      <w:r w:rsidR="00EC7117" w:rsidRPr="006D4208">
        <w:rPr>
          <w:sz w:val="20"/>
          <w:szCs w:val="20"/>
        </w:rPr>
        <w:t>2</w:t>
      </w:r>
      <w:r w:rsidR="12E88FF6" w:rsidRPr="006D4208">
        <w:rPr>
          <w:sz w:val="20"/>
          <w:szCs w:val="20"/>
        </w:rPr>
        <w:t>3</w:t>
      </w:r>
      <w:r w:rsidRPr="006D4208">
        <w:rPr>
          <w:sz w:val="20"/>
          <w:szCs w:val="20"/>
        </w:rPr>
        <w:t xml:space="preserve">: </w:t>
      </w:r>
      <w:r w:rsidR="003A4966" w:rsidRPr="006D4208">
        <w:rPr>
          <w:sz w:val="20"/>
          <w:szCs w:val="20"/>
        </w:rPr>
        <w:t>2</w:t>
      </w:r>
      <w:r w:rsidR="004716AC">
        <w:rPr>
          <w:sz w:val="20"/>
          <w:szCs w:val="20"/>
        </w:rPr>
        <w:t>4.0</w:t>
      </w:r>
      <w:r w:rsidRPr="006D4208">
        <w:rPr>
          <w:sz w:val="20"/>
          <w:szCs w:val="20"/>
        </w:rPr>
        <w:t>%)</w:t>
      </w:r>
      <w:r w:rsidR="4BABD33E" w:rsidRPr="006D4208">
        <w:rPr>
          <w:sz w:val="20"/>
          <w:szCs w:val="20"/>
        </w:rPr>
        <w:t>. Interest income was also favourably impacted by increased returns from funds placed at the Bank of England.</w:t>
      </w:r>
      <w:r w:rsidR="00375595" w:rsidRPr="50A6550C">
        <w:rPr>
          <w:sz w:val="20"/>
          <w:szCs w:val="20"/>
        </w:rPr>
        <w:t xml:space="preserve"> </w:t>
      </w:r>
    </w:p>
    <w:p w14:paraId="79E0337B" w14:textId="375775FB" w:rsidR="00261D92" w:rsidRPr="00701439" w:rsidRDefault="00261D92" w:rsidP="00E534C5">
      <w:pPr>
        <w:pStyle w:val="NoSpacing"/>
        <w:jc w:val="both"/>
        <w:rPr>
          <w:color w:val="D99594" w:themeColor="accent2" w:themeTint="99"/>
          <w:sz w:val="20"/>
          <w:szCs w:val="20"/>
        </w:rPr>
      </w:pPr>
      <w:r w:rsidRPr="006D4208">
        <w:rPr>
          <w:sz w:val="20"/>
          <w:szCs w:val="20"/>
        </w:rPr>
        <w:t xml:space="preserve">Funding costs </w:t>
      </w:r>
      <w:r w:rsidR="0018514A" w:rsidRPr="006D4208">
        <w:rPr>
          <w:sz w:val="20"/>
          <w:szCs w:val="20"/>
        </w:rPr>
        <w:t>increased</w:t>
      </w:r>
      <w:r w:rsidRPr="006D4208">
        <w:rPr>
          <w:sz w:val="20"/>
          <w:szCs w:val="20"/>
        </w:rPr>
        <w:t xml:space="preserve"> to £</w:t>
      </w:r>
      <w:r w:rsidR="4884271B" w:rsidRPr="006D4208">
        <w:rPr>
          <w:sz w:val="20"/>
          <w:szCs w:val="20"/>
        </w:rPr>
        <w:t>38.4</w:t>
      </w:r>
      <w:r w:rsidRPr="006D4208">
        <w:rPr>
          <w:sz w:val="20"/>
          <w:szCs w:val="20"/>
        </w:rPr>
        <w:t xml:space="preserve">m during the </w:t>
      </w:r>
      <w:r w:rsidR="005001A3" w:rsidRPr="006D4208">
        <w:rPr>
          <w:sz w:val="20"/>
          <w:szCs w:val="20"/>
        </w:rPr>
        <w:t>period</w:t>
      </w:r>
      <w:r w:rsidRPr="006D4208">
        <w:rPr>
          <w:sz w:val="20"/>
          <w:szCs w:val="20"/>
        </w:rPr>
        <w:t>, versus £</w:t>
      </w:r>
      <w:r w:rsidR="4B3C50D9" w:rsidRPr="006D4208">
        <w:rPr>
          <w:sz w:val="20"/>
          <w:szCs w:val="20"/>
        </w:rPr>
        <w:t>20.</w:t>
      </w:r>
      <w:r w:rsidR="00DB0F1F">
        <w:rPr>
          <w:sz w:val="20"/>
          <w:szCs w:val="20"/>
        </w:rPr>
        <w:t>7</w:t>
      </w:r>
      <w:r w:rsidRPr="006D4208">
        <w:rPr>
          <w:sz w:val="20"/>
          <w:szCs w:val="20"/>
        </w:rPr>
        <w:t xml:space="preserve">m in </w:t>
      </w:r>
      <w:r w:rsidR="00051A8A">
        <w:rPr>
          <w:sz w:val="20"/>
          <w:szCs w:val="20"/>
        </w:rPr>
        <w:t>1H</w:t>
      </w:r>
      <w:r w:rsidR="00EC7117" w:rsidRPr="006D4208">
        <w:rPr>
          <w:sz w:val="20"/>
          <w:szCs w:val="20"/>
        </w:rPr>
        <w:t>2</w:t>
      </w:r>
      <w:r w:rsidR="4DD0320F" w:rsidRPr="006D4208">
        <w:rPr>
          <w:sz w:val="20"/>
          <w:szCs w:val="20"/>
        </w:rPr>
        <w:t>3</w:t>
      </w:r>
      <w:r w:rsidRPr="006D4208">
        <w:rPr>
          <w:sz w:val="20"/>
          <w:szCs w:val="20"/>
        </w:rPr>
        <w:t>, reflecting</w:t>
      </w:r>
      <w:r w:rsidR="284FE4E5" w:rsidRPr="006D4208">
        <w:rPr>
          <w:sz w:val="20"/>
          <w:szCs w:val="20"/>
        </w:rPr>
        <w:t xml:space="preserve"> the </w:t>
      </w:r>
      <w:r w:rsidR="13401D40" w:rsidRPr="006D4208">
        <w:rPr>
          <w:sz w:val="20"/>
          <w:szCs w:val="20"/>
        </w:rPr>
        <w:t>3</w:t>
      </w:r>
      <w:r w:rsidR="00BC6B70">
        <w:rPr>
          <w:sz w:val="20"/>
          <w:szCs w:val="20"/>
        </w:rPr>
        <w:t>4</w:t>
      </w:r>
      <w:r w:rsidR="13401D40" w:rsidRPr="006D4208">
        <w:rPr>
          <w:sz w:val="20"/>
          <w:szCs w:val="20"/>
        </w:rPr>
        <w:t xml:space="preserve">% </w:t>
      </w:r>
      <w:r w:rsidR="284FE4E5" w:rsidRPr="006D4208">
        <w:rPr>
          <w:sz w:val="20"/>
          <w:szCs w:val="20"/>
        </w:rPr>
        <w:t>increase in retail deposit</w:t>
      </w:r>
      <w:r w:rsidR="7B4BD16A" w:rsidRPr="006D4208">
        <w:rPr>
          <w:sz w:val="20"/>
          <w:szCs w:val="20"/>
        </w:rPr>
        <w:t xml:space="preserve"> balances</w:t>
      </w:r>
      <w:r w:rsidR="284FE4E5" w:rsidRPr="006D4208">
        <w:rPr>
          <w:sz w:val="20"/>
          <w:szCs w:val="20"/>
        </w:rPr>
        <w:t xml:space="preserve"> (</w:t>
      </w:r>
      <w:r w:rsidR="00051A8A">
        <w:rPr>
          <w:sz w:val="20"/>
          <w:szCs w:val="20"/>
        </w:rPr>
        <w:t>1H</w:t>
      </w:r>
      <w:r w:rsidR="284FE4E5" w:rsidRPr="006D4208">
        <w:rPr>
          <w:sz w:val="20"/>
          <w:szCs w:val="20"/>
        </w:rPr>
        <w:t xml:space="preserve">24: </w:t>
      </w:r>
      <w:r w:rsidR="541DEB3E" w:rsidRPr="006D4208">
        <w:rPr>
          <w:sz w:val="20"/>
          <w:szCs w:val="20"/>
        </w:rPr>
        <w:t>£</w:t>
      </w:r>
      <w:r w:rsidR="7E62A942" w:rsidRPr="006D4208">
        <w:rPr>
          <w:sz w:val="20"/>
          <w:szCs w:val="20"/>
        </w:rPr>
        <w:t>1,938m</w:t>
      </w:r>
      <w:r w:rsidR="284FE4E5" w:rsidRPr="006D4208">
        <w:rPr>
          <w:sz w:val="20"/>
          <w:szCs w:val="20"/>
        </w:rPr>
        <w:t xml:space="preserve">; </w:t>
      </w:r>
      <w:r w:rsidR="00051A8A">
        <w:rPr>
          <w:sz w:val="20"/>
          <w:szCs w:val="20"/>
        </w:rPr>
        <w:t>1H</w:t>
      </w:r>
      <w:r w:rsidR="284FE4E5" w:rsidRPr="006D4208">
        <w:rPr>
          <w:sz w:val="20"/>
          <w:szCs w:val="20"/>
        </w:rPr>
        <w:t>23:</w:t>
      </w:r>
      <w:r w:rsidR="6C67086B" w:rsidRPr="006D4208">
        <w:rPr>
          <w:sz w:val="20"/>
          <w:szCs w:val="20"/>
        </w:rPr>
        <w:t xml:space="preserve"> £1,44</w:t>
      </w:r>
      <w:r w:rsidR="00896C0E">
        <w:rPr>
          <w:sz w:val="20"/>
          <w:szCs w:val="20"/>
        </w:rPr>
        <w:t>5</w:t>
      </w:r>
      <w:r w:rsidR="6C67086B" w:rsidRPr="006D4208">
        <w:rPr>
          <w:sz w:val="20"/>
          <w:szCs w:val="20"/>
        </w:rPr>
        <w:t>m)</w:t>
      </w:r>
      <w:r w:rsidRPr="006D4208">
        <w:rPr>
          <w:sz w:val="20"/>
          <w:szCs w:val="20"/>
        </w:rPr>
        <w:t xml:space="preserve"> </w:t>
      </w:r>
      <w:r w:rsidR="0018514A" w:rsidRPr="006D4208">
        <w:rPr>
          <w:sz w:val="20"/>
          <w:szCs w:val="20"/>
        </w:rPr>
        <w:t>and</w:t>
      </w:r>
      <w:r w:rsidR="00F66055" w:rsidRPr="006D4208">
        <w:rPr>
          <w:sz w:val="20"/>
          <w:szCs w:val="20"/>
        </w:rPr>
        <w:t xml:space="preserve"> rising interest rates</w:t>
      </w:r>
      <w:r w:rsidR="002F1C35" w:rsidRPr="006D4208">
        <w:rPr>
          <w:sz w:val="20"/>
          <w:szCs w:val="20"/>
        </w:rPr>
        <w:t xml:space="preserve">. </w:t>
      </w:r>
      <w:r w:rsidR="007C0856" w:rsidRPr="006D4208">
        <w:rPr>
          <w:sz w:val="20"/>
          <w:szCs w:val="20"/>
        </w:rPr>
        <w:t xml:space="preserve">Net fee and commission income reduced in </w:t>
      </w:r>
      <w:r w:rsidR="00051A8A">
        <w:rPr>
          <w:sz w:val="20"/>
          <w:szCs w:val="20"/>
        </w:rPr>
        <w:t>1H</w:t>
      </w:r>
      <w:r w:rsidR="00EC7117" w:rsidRPr="006D4208">
        <w:rPr>
          <w:sz w:val="20"/>
          <w:szCs w:val="20"/>
        </w:rPr>
        <w:t>2</w:t>
      </w:r>
      <w:r w:rsidR="72327591" w:rsidRPr="006D4208">
        <w:rPr>
          <w:sz w:val="20"/>
          <w:szCs w:val="20"/>
        </w:rPr>
        <w:t>4</w:t>
      </w:r>
      <w:r w:rsidR="0058539B" w:rsidRPr="006D4208">
        <w:rPr>
          <w:sz w:val="20"/>
          <w:szCs w:val="20"/>
        </w:rPr>
        <w:t xml:space="preserve"> to £</w:t>
      </w:r>
      <w:r w:rsidR="0F508A73" w:rsidRPr="006D4208">
        <w:rPr>
          <w:sz w:val="20"/>
          <w:szCs w:val="20"/>
        </w:rPr>
        <w:t>18.6</w:t>
      </w:r>
      <w:r w:rsidR="0058539B" w:rsidRPr="006D4208">
        <w:rPr>
          <w:sz w:val="20"/>
          <w:szCs w:val="20"/>
        </w:rPr>
        <w:t>m (</w:t>
      </w:r>
      <w:r w:rsidR="00051A8A">
        <w:rPr>
          <w:sz w:val="20"/>
          <w:szCs w:val="20"/>
        </w:rPr>
        <w:t>1H</w:t>
      </w:r>
      <w:r w:rsidR="00EC7117" w:rsidRPr="006D4208">
        <w:rPr>
          <w:sz w:val="20"/>
          <w:szCs w:val="20"/>
        </w:rPr>
        <w:t>23</w:t>
      </w:r>
      <w:r w:rsidR="0058539B" w:rsidRPr="006D4208">
        <w:rPr>
          <w:sz w:val="20"/>
          <w:szCs w:val="20"/>
        </w:rPr>
        <w:t>: £</w:t>
      </w:r>
      <w:r w:rsidR="00551DEA" w:rsidRPr="006D4208">
        <w:rPr>
          <w:sz w:val="20"/>
          <w:szCs w:val="20"/>
        </w:rPr>
        <w:t>2</w:t>
      </w:r>
      <w:r w:rsidR="4B4D9F27" w:rsidRPr="006D4208">
        <w:rPr>
          <w:sz w:val="20"/>
          <w:szCs w:val="20"/>
        </w:rPr>
        <w:t>0.8</w:t>
      </w:r>
      <w:r w:rsidR="0058539B" w:rsidRPr="006D4208">
        <w:rPr>
          <w:sz w:val="20"/>
          <w:szCs w:val="20"/>
        </w:rPr>
        <w:t>m)</w:t>
      </w:r>
      <w:r w:rsidR="00D624AA" w:rsidRPr="006D4208">
        <w:rPr>
          <w:sz w:val="20"/>
          <w:szCs w:val="20"/>
        </w:rPr>
        <w:t xml:space="preserve"> reflecting the </w:t>
      </w:r>
      <w:r w:rsidR="56BBA0C7" w:rsidRPr="006D4208">
        <w:rPr>
          <w:sz w:val="20"/>
          <w:szCs w:val="20"/>
        </w:rPr>
        <w:t>lower a</w:t>
      </w:r>
      <w:r w:rsidR="00384F73" w:rsidRPr="006D4208">
        <w:rPr>
          <w:sz w:val="20"/>
          <w:szCs w:val="20"/>
        </w:rPr>
        <w:t>ct</w:t>
      </w:r>
      <w:r w:rsidR="56BBA0C7" w:rsidRPr="006D4208">
        <w:rPr>
          <w:sz w:val="20"/>
          <w:szCs w:val="20"/>
        </w:rPr>
        <w:t>ive customer numbers</w:t>
      </w:r>
      <w:r w:rsidR="004D1892" w:rsidRPr="006D4208">
        <w:rPr>
          <w:sz w:val="20"/>
          <w:szCs w:val="20"/>
        </w:rPr>
        <w:t>.</w:t>
      </w:r>
    </w:p>
    <w:p w14:paraId="7D0BD96F" w14:textId="77777777" w:rsidR="00F50EC9" w:rsidRDefault="00F50EC9" w:rsidP="00E534C5">
      <w:pPr>
        <w:pStyle w:val="NoSpacing"/>
        <w:jc w:val="both"/>
        <w:rPr>
          <w:color w:val="D99594" w:themeColor="accent2" w:themeTint="99"/>
          <w:sz w:val="20"/>
          <w:szCs w:val="20"/>
        </w:rPr>
      </w:pPr>
    </w:p>
    <w:p w14:paraId="3BBD3361" w14:textId="200A4AC0" w:rsidR="00261D92" w:rsidRPr="00701439" w:rsidRDefault="00261D92" w:rsidP="00E534C5">
      <w:pPr>
        <w:pStyle w:val="NoSpacing"/>
        <w:jc w:val="both"/>
        <w:rPr>
          <w:color w:val="D99594" w:themeColor="accent2" w:themeTint="99"/>
          <w:sz w:val="20"/>
          <w:szCs w:val="20"/>
        </w:rPr>
      </w:pPr>
      <w:r w:rsidRPr="006D4208">
        <w:rPr>
          <w:sz w:val="20"/>
          <w:szCs w:val="20"/>
        </w:rPr>
        <w:t xml:space="preserve">The impairment charge for </w:t>
      </w:r>
      <w:r w:rsidR="00051A8A">
        <w:rPr>
          <w:sz w:val="20"/>
          <w:szCs w:val="20"/>
        </w:rPr>
        <w:t>1H</w:t>
      </w:r>
      <w:r w:rsidR="00EC7117" w:rsidRPr="006D4208">
        <w:rPr>
          <w:sz w:val="20"/>
          <w:szCs w:val="20"/>
        </w:rPr>
        <w:t>2</w:t>
      </w:r>
      <w:r w:rsidR="3DF8414F" w:rsidRPr="006D4208">
        <w:rPr>
          <w:sz w:val="20"/>
          <w:szCs w:val="20"/>
        </w:rPr>
        <w:t>4</w:t>
      </w:r>
      <w:r w:rsidRPr="006D4208">
        <w:rPr>
          <w:sz w:val="20"/>
          <w:szCs w:val="20"/>
        </w:rPr>
        <w:t xml:space="preserve"> was £</w:t>
      </w:r>
      <w:r w:rsidR="3D0FF6B6" w:rsidRPr="006D4208">
        <w:rPr>
          <w:sz w:val="20"/>
          <w:szCs w:val="20"/>
        </w:rPr>
        <w:t>66.1</w:t>
      </w:r>
      <w:r w:rsidR="00BB76D7" w:rsidRPr="006D4208">
        <w:rPr>
          <w:sz w:val="20"/>
          <w:szCs w:val="20"/>
        </w:rPr>
        <w:t>m</w:t>
      </w:r>
      <w:r w:rsidRPr="006D4208">
        <w:rPr>
          <w:sz w:val="20"/>
          <w:szCs w:val="20"/>
        </w:rPr>
        <w:t xml:space="preserve"> (</w:t>
      </w:r>
      <w:r w:rsidR="00051A8A">
        <w:rPr>
          <w:sz w:val="20"/>
          <w:szCs w:val="20"/>
        </w:rPr>
        <w:t>1H</w:t>
      </w:r>
      <w:r w:rsidR="00EC7117" w:rsidRPr="006D4208">
        <w:rPr>
          <w:sz w:val="20"/>
          <w:szCs w:val="20"/>
        </w:rPr>
        <w:t>2</w:t>
      </w:r>
      <w:r w:rsidR="113558EC" w:rsidRPr="006D4208">
        <w:rPr>
          <w:sz w:val="20"/>
          <w:szCs w:val="20"/>
        </w:rPr>
        <w:t>3</w:t>
      </w:r>
      <w:r w:rsidRPr="006D4208">
        <w:rPr>
          <w:sz w:val="20"/>
          <w:szCs w:val="20"/>
        </w:rPr>
        <w:t>: £</w:t>
      </w:r>
      <w:r w:rsidR="00EE433A" w:rsidRPr="006D4208">
        <w:rPr>
          <w:sz w:val="20"/>
          <w:szCs w:val="20"/>
        </w:rPr>
        <w:t>55.4</w:t>
      </w:r>
      <w:r w:rsidR="00BB76D7" w:rsidRPr="006D4208">
        <w:rPr>
          <w:sz w:val="20"/>
          <w:szCs w:val="20"/>
        </w:rPr>
        <w:t>m</w:t>
      </w:r>
      <w:r w:rsidRPr="006D4208">
        <w:rPr>
          <w:sz w:val="20"/>
          <w:szCs w:val="20"/>
        </w:rPr>
        <w:t>)</w:t>
      </w:r>
      <w:r w:rsidR="219FA44D" w:rsidRPr="006D4208">
        <w:rPr>
          <w:sz w:val="20"/>
          <w:szCs w:val="20"/>
        </w:rPr>
        <w:t xml:space="preserve"> as a result of </w:t>
      </w:r>
      <w:r w:rsidR="009F07E7">
        <w:rPr>
          <w:sz w:val="20"/>
          <w:szCs w:val="20"/>
        </w:rPr>
        <w:t>higher</w:t>
      </w:r>
      <w:r w:rsidR="004A2204" w:rsidRPr="006D4208">
        <w:rPr>
          <w:sz w:val="20"/>
          <w:szCs w:val="20"/>
        </w:rPr>
        <w:t xml:space="preserve"> </w:t>
      </w:r>
      <w:r w:rsidR="219FA44D" w:rsidRPr="006D4208">
        <w:rPr>
          <w:sz w:val="20"/>
          <w:szCs w:val="20"/>
        </w:rPr>
        <w:t xml:space="preserve">debt sales </w:t>
      </w:r>
      <w:r w:rsidR="647B2B94" w:rsidRPr="006D4208">
        <w:rPr>
          <w:sz w:val="20"/>
          <w:szCs w:val="20"/>
        </w:rPr>
        <w:t xml:space="preserve">and post charge off activity in </w:t>
      </w:r>
      <w:r w:rsidR="009F07E7">
        <w:rPr>
          <w:sz w:val="20"/>
          <w:szCs w:val="20"/>
        </w:rPr>
        <w:t>1H24</w:t>
      </w:r>
      <w:r w:rsidR="647B2B94" w:rsidRPr="006D4208">
        <w:rPr>
          <w:sz w:val="20"/>
          <w:szCs w:val="20"/>
        </w:rPr>
        <w:t>.</w:t>
      </w:r>
      <w:r w:rsidR="003E4093">
        <w:rPr>
          <w:sz w:val="20"/>
          <w:szCs w:val="20"/>
        </w:rPr>
        <w:t xml:space="preserve"> </w:t>
      </w:r>
      <w:r>
        <w:rPr>
          <w:sz w:val="20"/>
          <w:szCs w:val="20"/>
        </w:rPr>
        <w:t xml:space="preserve"> </w:t>
      </w:r>
      <w:r w:rsidR="00961875" w:rsidRPr="006D4208">
        <w:rPr>
          <w:sz w:val="20"/>
          <w:szCs w:val="20"/>
        </w:rPr>
        <w:t>The</w:t>
      </w:r>
      <w:r w:rsidRPr="006D4208">
        <w:rPr>
          <w:sz w:val="20"/>
          <w:szCs w:val="20"/>
        </w:rPr>
        <w:t xml:space="preserve"> annualised </w:t>
      </w:r>
      <w:r w:rsidR="005A7342" w:rsidRPr="006D4208">
        <w:rPr>
          <w:sz w:val="20"/>
          <w:szCs w:val="20"/>
        </w:rPr>
        <w:t>cost of risk</w:t>
      </w:r>
      <w:r w:rsidRPr="006D4208">
        <w:rPr>
          <w:sz w:val="20"/>
          <w:szCs w:val="20"/>
        </w:rPr>
        <w:t xml:space="preserve"> </w:t>
      </w:r>
      <w:r w:rsidR="00961875" w:rsidRPr="006D4208">
        <w:rPr>
          <w:sz w:val="20"/>
          <w:szCs w:val="20"/>
        </w:rPr>
        <w:t xml:space="preserve">was </w:t>
      </w:r>
      <w:r w:rsidR="52B6DBA8" w:rsidRPr="006D4208">
        <w:rPr>
          <w:sz w:val="20"/>
          <w:szCs w:val="20"/>
        </w:rPr>
        <w:t>9.9</w:t>
      </w:r>
      <w:r w:rsidR="00961875" w:rsidRPr="006D4208">
        <w:rPr>
          <w:sz w:val="20"/>
          <w:szCs w:val="20"/>
        </w:rPr>
        <w:t>%</w:t>
      </w:r>
      <w:r w:rsidRPr="006D4208">
        <w:rPr>
          <w:sz w:val="20"/>
          <w:szCs w:val="20"/>
        </w:rPr>
        <w:t xml:space="preserve"> (</w:t>
      </w:r>
      <w:r w:rsidR="00051A8A">
        <w:rPr>
          <w:sz w:val="20"/>
          <w:szCs w:val="20"/>
        </w:rPr>
        <w:t>1H</w:t>
      </w:r>
      <w:r w:rsidR="00EC7117" w:rsidRPr="006D4208">
        <w:rPr>
          <w:sz w:val="20"/>
          <w:szCs w:val="20"/>
        </w:rPr>
        <w:t>2</w:t>
      </w:r>
      <w:r w:rsidR="35315F98" w:rsidRPr="006D4208">
        <w:rPr>
          <w:sz w:val="20"/>
          <w:szCs w:val="20"/>
        </w:rPr>
        <w:t>3</w:t>
      </w:r>
      <w:r w:rsidRPr="006D4208">
        <w:rPr>
          <w:sz w:val="20"/>
          <w:szCs w:val="20"/>
        </w:rPr>
        <w:t xml:space="preserve">: </w:t>
      </w:r>
      <w:r w:rsidR="00207358" w:rsidRPr="006D4208">
        <w:rPr>
          <w:sz w:val="20"/>
          <w:szCs w:val="20"/>
        </w:rPr>
        <w:t>8.0</w:t>
      </w:r>
      <w:r w:rsidRPr="006D4208">
        <w:rPr>
          <w:sz w:val="20"/>
          <w:szCs w:val="20"/>
        </w:rPr>
        <w:t>%).</w:t>
      </w:r>
    </w:p>
    <w:p w14:paraId="4C5CC9F5" w14:textId="16F44AB5" w:rsidR="1DEAEBA2" w:rsidRPr="006D4208" w:rsidRDefault="1DEAEBA2" w:rsidP="1DEAEBA2">
      <w:pPr>
        <w:pStyle w:val="NoSpacing"/>
        <w:jc w:val="both"/>
        <w:rPr>
          <w:sz w:val="20"/>
          <w:szCs w:val="20"/>
        </w:rPr>
      </w:pPr>
    </w:p>
    <w:p w14:paraId="27AF5587" w14:textId="45E26710" w:rsidR="00261D92" w:rsidRPr="006D4208" w:rsidRDefault="00261D92" w:rsidP="00E534C5">
      <w:pPr>
        <w:pStyle w:val="NoSpacing"/>
        <w:jc w:val="both"/>
        <w:rPr>
          <w:color w:val="D99594" w:themeColor="accent2" w:themeTint="99"/>
          <w:sz w:val="20"/>
          <w:szCs w:val="20"/>
        </w:rPr>
      </w:pPr>
      <w:r w:rsidRPr="006D4208">
        <w:rPr>
          <w:sz w:val="20"/>
          <w:szCs w:val="20"/>
        </w:rPr>
        <w:t xml:space="preserve">Costs </w:t>
      </w:r>
      <w:r w:rsidR="002C4443" w:rsidRPr="006D4208">
        <w:rPr>
          <w:sz w:val="20"/>
          <w:szCs w:val="20"/>
        </w:rPr>
        <w:t>in</w:t>
      </w:r>
      <w:r w:rsidR="006D1AF7" w:rsidRPr="006D4208">
        <w:rPr>
          <w:sz w:val="20"/>
          <w:szCs w:val="20"/>
        </w:rPr>
        <w:t>creased</w:t>
      </w:r>
      <w:r w:rsidRPr="006D4208">
        <w:rPr>
          <w:sz w:val="20"/>
          <w:szCs w:val="20"/>
        </w:rPr>
        <w:t xml:space="preserve"> to £</w:t>
      </w:r>
      <w:r w:rsidR="0A8B284E" w:rsidRPr="006D4208">
        <w:rPr>
          <w:sz w:val="20"/>
          <w:szCs w:val="20"/>
        </w:rPr>
        <w:t>96.</w:t>
      </w:r>
      <w:r w:rsidR="00874720">
        <w:rPr>
          <w:sz w:val="20"/>
          <w:szCs w:val="20"/>
        </w:rPr>
        <w:t>4</w:t>
      </w:r>
      <w:r w:rsidRPr="006D4208">
        <w:rPr>
          <w:sz w:val="20"/>
          <w:szCs w:val="20"/>
        </w:rPr>
        <w:t xml:space="preserve">m during the </w:t>
      </w:r>
      <w:r w:rsidR="007C508B" w:rsidRPr="006D4208">
        <w:rPr>
          <w:sz w:val="20"/>
          <w:szCs w:val="20"/>
        </w:rPr>
        <w:t>period</w:t>
      </w:r>
      <w:r w:rsidRPr="006D4208">
        <w:rPr>
          <w:sz w:val="20"/>
          <w:szCs w:val="20"/>
        </w:rPr>
        <w:t xml:space="preserve"> versus £</w:t>
      </w:r>
      <w:r w:rsidR="00871534" w:rsidRPr="006D4208">
        <w:rPr>
          <w:sz w:val="20"/>
          <w:szCs w:val="20"/>
        </w:rPr>
        <w:t>8</w:t>
      </w:r>
      <w:r w:rsidR="5D2DFE36" w:rsidRPr="006D4208">
        <w:rPr>
          <w:sz w:val="20"/>
          <w:szCs w:val="20"/>
        </w:rPr>
        <w:t>6</w:t>
      </w:r>
      <w:r w:rsidR="00871534" w:rsidRPr="006D4208">
        <w:rPr>
          <w:sz w:val="20"/>
          <w:szCs w:val="20"/>
        </w:rPr>
        <w:t>.</w:t>
      </w:r>
      <w:r w:rsidR="6269F90F" w:rsidRPr="006D4208">
        <w:rPr>
          <w:sz w:val="20"/>
          <w:szCs w:val="20"/>
        </w:rPr>
        <w:t>1</w:t>
      </w:r>
      <w:r w:rsidRPr="006D4208">
        <w:rPr>
          <w:sz w:val="20"/>
          <w:szCs w:val="20"/>
        </w:rPr>
        <w:t xml:space="preserve">m in </w:t>
      </w:r>
      <w:r w:rsidR="00051A8A">
        <w:rPr>
          <w:sz w:val="20"/>
          <w:szCs w:val="20"/>
        </w:rPr>
        <w:t>1H</w:t>
      </w:r>
      <w:r w:rsidR="00EC7117" w:rsidRPr="006D4208">
        <w:rPr>
          <w:sz w:val="20"/>
          <w:szCs w:val="20"/>
        </w:rPr>
        <w:t>2</w:t>
      </w:r>
      <w:r w:rsidR="01C0B1F4" w:rsidRPr="006D4208">
        <w:rPr>
          <w:sz w:val="20"/>
          <w:szCs w:val="20"/>
        </w:rPr>
        <w:t>3</w:t>
      </w:r>
      <w:r w:rsidR="006D1AF7" w:rsidRPr="006D4208">
        <w:rPr>
          <w:sz w:val="20"/>
          <w:szCs w:val="20"/>
        </w:rPr>
        <w:t xml:space="preserve"> </w:t>
      </w:r>
      <w:r w:rsidRPr="006D4208">
        <w:rPr>
          <w:sz w:val="20"/>
          <w:szCs w:val="20"/>
        </w:rPr>
        <w:t xml:space="preserve">reflecting </w:t>
      </w:r>
      <w:r w:rsidR="087EA449" w:rsidRPr="006D4208">
        <w:rPr>
          <w:sz w:val="20"/>
          <w:szCs w:val="20"/>
        </w:rPr>
        <w:t>the write-down</w:t>
      </w:r>
      <w:r w:rsidR="004C1A45" w:rsidRPr="006D4208">
        <w:rPr>
          <w:sz w:val="20"/>
          <w:szCs w:val="20"/>
        </w:rPr>
        <w:t xml:space="preserve"> of </w:t>
      </w:r>
      <w:r w:rsidR="087EA449" w:rsidRPr="006D4208">
        <w:rPr>
          <w:sz w:val="20"/>
          <w:szCs w:val="20"/>
        </w:rPr>
        <w:t>development</w:t>
      </w:r>
      <w:r w:rsidR="004C1A45" w:rsidRPr="006D4208">
        <w:rPr>
          <w:sz w:val="20"/>
          <w:szCs w:val="20"/>
        </w:rPr>
        <w:t xml:space="preserve"> costs</w:t>
      </w:r>
      <w:r w:rsidR="00B5680D" w:rsidRPr="006D4208">
        <w:rPr>
          <w:sz w:val="20"/>
          <w:szCs w:val="20"/>
        </w:rPr>
        <w:t xml:space="preserve"> </w:t>
      </w:r>
      <w:r w:rsidR="087EA449" w:rsidRPr="006D4208">
        <w:rPr>
          <w:sz w:val="20"/>
          <w:szCs w:val="20"/>
        </w:rPr>
        <w:t>for a now redundant mobile app and increased costs from complaints and FOS fees</w:t>
      </w:r>
      <w:r w:rsidR="000F2343">
        <w:rPr>
          <w:sz w:val="20"/>
          <w:szCs w:val="20"/>
        </w:rPr>
        <w:t>.  These were</w:t>
      </w:r>
      <w:r w:rsidR="087EA449" w:rsidRPr="006D4208">
        <w:rPr>
          <w:sz w:val="20"/>
          <w:szCs w:val="20"/>
        </w:rPr>
        <w:t xml:space="preserve"> partly offset by </w:t>
      </w:r>
      <w:r w:rsidR="388E5A0F" w:rsidRPr="006D4208">
        <w:rPr>
          <w:sz w:val="20"/>
          <w:szCs w:val="20"/>
        </w:rPr>
        <w:t>savings from</w:t>
      </w:r>
      <w:r w:rsidR="00B5680D" w:rsidRPr="006D4208">
        <w:rPr>
          <w:rFonts w:eastAsiaTheme="minorEastAsia"/>
          <w:sz w:val="20"/>
          <w:szCs w:val="20"/>
        </w:rPr>
        <w:t xml:space="preserve"> overall cost management actions</w:t>
      </w:r>
      <w:r w:rsidR="427BC2A2" w:rsidRPr="006D4208">
        <w:rPr>
          <w:rFonts w:eastAsiaTheme="minorEastAsia"/>
          <w:sz w:val="20"/>
          <w:szCs w:val="20"/>
        </w:rPr>
        <w:t>, including headcount reduction,</w:t>
      </w:r>
      <w:r w:rsidR="00BB6636" w:rsidRPr="006D4208">
        <w:rPr>
          <w:sz w:val="20"/>
          <w:szCs w:val="20"/>
        </w:rPr>
        <w:t xml:space="preserve"> to mitigate the impact of inflation on the business’s cost base.</w:t>
      </w:r>
      <w:r w:rsidR="00BB6636" w:rsidRPr="16D24949">
        <w:rPr>
          <w:sz w:val="20"/>
          <w:szCs w:val="20"/>
        </w:rPr>
        <w:t xml:space="preserve"> </w:t>
      </w:r>
    </w:p>
    <w:p w14:paraId="0C70D4C4" w14:textId="77777777" w:rsidR="00261D92" w:rsidRPr="00701439" w:rsidRDefault="00261D92" w:rsidP="00E534C5">
      <w:pPr>
        <w:pStyle w:val="NoSpacing"/>
        <w:jc w:val="both"/>
        <w:rPr>
          <w:color w:val="D99594" w:themeColor="accent2" w:themeTint="99"/>
          <w:sz w:val="20"/>
          <w:szCs w:val="20"/>
        </w:rPr>
      </w:pPr>
    </w:p>
    <w:p w14:paraId="34517AD7" w14:textId="5B45FDDA" w:rsidR="0BD1A08F" w:rsidRPr="006D4208" w:rsidRDefault="0BD1A08F" w:rsidP="27F5F0A2">
      <w:pPr>
        <w:jc w:val="both"/>
        <w:rPr>
          <w:sz w:val="20"/>
          <w:szCs w:val="20"/>
        </w:rPr>
      </w:pPr>
      <w:r w:rsidRPr="006D4208">
        <w:rPr>
          <w:rFonts w:asciiTheme="minorHAnsi" w:eastAsiaTheme="minorEastAsia" w:hAnsiTheme="minorHAnsi" w:cstheme="minorBidi"/>
          <w:color w:val="000000" w:themeColor="text1"/>
          <w:sz w:val="20"/>
          <w:szCs w:val="20"/>
          <w:lang w:eastAsia="en-US"/>
        </w:rPr>
        <w:t xml:space="preserve">For the remainder of 2024, the credit card business is focused on building receivables with initiatives across </w:t>
      </w:r>
      <w:r w:rsidR="268A815F" w:rsidRPr="006D4208">
        <w:rPr>
          <w:rFonts w:asciiTheme="minorHAnsi" w:eastAsiaTheme="minorEastAsia" w:hAnsiTheme="minorHAnsi" w:cstheme="minorBidi"/>
          <w:color w:val="000000" w:themeColor="text1"/>
          <w:sz w:val="20"/>
          <w:szCs w:val="20"/>
          <w:lang w:eastAsia="en-US"/>
        </w:rPr>
        <w:t>a</w:t>
      </w:r>
      <w:r w:rsidRPr="006D4208">
        <w:rPr>
          <w:rFonts w:asciiTheme="minorHAnsi" w:eastAsiaTheme="minorEastAsia" w:hAnsiTheme="minorHAnsi" w:cstheme="minorBidi"/>
          <w:color w:val="000000" w:themeColor="text1"/>
          <w:sz w:val="20"/>
          <w:szCs w:val="20"/>
          <w:lang w:eastAsia="en-US"/>
        </w:rPr>
        <w:t xml:space="preserve">cquisition and </w:t>
      </w:r>
      <w:r w:rsidR="6BC097A8" w:rsidRPr="006D4208">
        <w:rPr>
          <w:rFonts w:asciiTheme="minorHAnsi" w:eastAsiaTheme="minorEastAsia" w:hAnsiTheme="minorHAnsi" w:cstheme="minorBidi"/>
          <w:color w:val="000000" w:themeColor="text1"/>
          <w:sz w:val="20"/>
          <w:szCs w:val="20"/>
          <w:lang w:eastAsia="en-US"/>
        </w:rPr>
        <w:t>e</w:t>
      </w:r>
      <w:r w:rsidRPr="006D4208">
        <w:rPr>
          <w:rFonts w:asciiTheme="minorHAnsi" w:eastAsiaTheme="minorEastAsia" w:hAnsiTheme="minorHAnsi" w:cstheme="minorBidi"/>
          <w:color w:val="000000" w:themeColor="text1"/>
          <w:sz w:val="20"/>
          <w:szCs w:val="20"/>
          <w:lang w:eastAsia="en-US"/>
        </w:rPr>
        <w:t xml:space="preserve">xisting </w:t>
      </w:r>
      <w:r w:rsidR="465BFD38" w:rsidRPr="006D4208">
        <w:rPr>
          <w:rFonts w:asciiTheme="minorHAnsi" w:eastAsiaTheme="minorEastAsia" w:hAnsiTheme="minorHAnsi" w:cstheme="minorBidi"/>
          <w:color w:val="000000" w:themeColor="text1"/>
          <w:sz w:val="20"/>
          <w:szCs w:val="20"/>
          <w:lang w:eastAsia="en-US"/>
        </w:rPr>
        <w:t>c</w:t>
      </w:r>
      <w:r w:rsidRPr="006D4208">
        <w:rPr>
          <w:rFonts w:asciiTheme="minorHAnsi" w:eastAsiaTheme="minorEastAsia" w:hAnsiTheme="minorHAnsi" w:cstheme="minorBidi"/>
          <w:color w:val="000000" w:themeColor="text1"/>
          <w:sz w:val="20"/>
          <w:szCs w:val="20"/>
          <w:lang w:eastAsia="en-US"/>
        </w:rPr>
        <w:t>ustomers, including new pricing</w:t>
      </w:r>
      <w:r w:rsidR="002853D4">
        <w:rPr>
          <w:rFonts w:asciiTheme="minorHAnsi" w:eastAsiaTheme="minorEastAsia" w:hAnsiTheme="minorHAnsi" w:cstheme="minorBidi"/>
          <w:color w:val="000000" w:themeColor="text1"/>
          <w:sz w:val="20"/>
          <w:szCs w:val="20"/>
          <w:lang w:eastAsia="en-US"/>
        </w:rPr>
        <w:t>,</w:t>
      </w:r>
      <w:r w:rsidRPr="006D4208">
        <w:rPr>
          <w:rFonts w:asciiTheme="minorHAnsi" w:eastAsiaTheme="minorEastAsia" w:hAnsiTheme="minorHAnsi" w:cstheme="minorBidi"/>
          <w:color w:val="000000" w:themeColor="text1"/>
          <w:sz w:val="20"/>
          <w:szCs w:val="20"/>
          <w:lang w:eastAsia="en-US"/>
        </w:rPr>
        <w:t xml:space="preserve"> </w:t>
      </w:r>
      <w:r w:rsidR="42E190B8" w:rsidRPr="006D4208">
        <w:rPr>
          <w:rFonts w:asciiTheme="minorHAnsi" w:eastAsiaTheme="minorEastAsia" w:hAnsiTheme="minorHAnsi" w:cstheme="minorBidi"/>
          <w:color w:val="000000" w:themeColor="text1"/>
          <w:sz w:val="20"/>
          <w:szCs w:val="20"/>
          <w:lang w:eastAsia="en-US"/>
        </w:rPr>
        <w:t>b</w:t>
      </w:r>
      <w:r w:rsidRPr="006D4208">
        <w:rPr>
          <w:rFonts w:asciiTheme="minorHAnsi" w:eastAsiaTheme="minorEastAsia" w:hAnsiTheme="minorHAnsi" w:cstheme="minorBidi"/>
          <w:color w:val="000000" w:themeColor="text1"/>
          <w:sz w:val="20"/>
          <w:szCs w:val="20"/>
          <w:lang w:eastAsia="en-US"/>
        </w:rPr>
        <w:t xml:space="preserve">alance </w:t>
      </w:r>
      <w:r w:rsidR="1CA9CC67" w:rsidRPr="006D4208">
        <w:rPr>
          <w:rFonts w:asciiTheme="minorHAnsi" w:eastAsiaTheme="minorEastAsia" w:hAnsiTheme="minorHAnsi" w:cstheme="minorBidi"/>
          <w:color w:val="000000" w:themeColor="text1"/>
          <w:sz w:val="20"/>
          <w:szCs w:val="20"/>
          <w:lang w:eastAsia="en-US"/>
        </w:rPr>
        <w:t>t</w:t>
      </w:r>
      <w:r w:rsidRPr="006D4208">
        <w:rPr>
          <w:rFonts w:asciiTheme="minorHAnsi" w:eastAsiaTheme="minorEastAsia" w:hAnsiTheme="minorHAnsi" w:cstheme="minorBidi"/>
          <w:color w:val="000000" w:themeColor="text1"/>
          <w:sz w:val="20"/>
          <w:szCs w:val="20"/>
          <w:lang w:eastAsia="en-US"/>
        </w:rPr>
        <w:t xml:space="preserve">ransfer and </w:t>
      </w:r>
      <w:r w:rsidR="3B5B135D" w:rsidRPr="006D4208">
        <w:rPr>
          <w:rFonts w:asciiTheme="minorHAnsi" w:eastAsiaTheme="minorEastAsia" w:hAnsiTheme="minorHAnsi" w:cstheme="minorBidi"/>
          <w:color w:val="000000" w:themeColor="text1"/>
          <w:sz w:val="20"/>
          <w:szCs w:val="20"/>
          <w:lang w:eastAsia="en-US"/>
        </w:rPr>
        <w:t>p</w:t>
      </w:r>
      <w:r w:rsidRPr="006D4208">
        <w:rPr>
          <w:rFonts w:asciiTheme="minorHAnsi" w:eastAsiaTheme="minorEastAsia" w:hAnsiTheme="minorHAnsi" w:cstheme="minorBidi"/>
          <w:color w:val="000000" w:themeColor="text1"/>
          <w:sz w:val="20"/>
          <w:szCs w:val="20"/>
          <w:lang w:eastAsia="en-US"/>
        </w:rPr>
        <w:t xml:space="preserve">urchase </w:t>
      </w:r>
      <w:r w:rsidR="5F5E23C0" w:rsidRPr="006D4208">
        <w:rPr>
          <w:rFonts w:asciiTheme="minorHAnsi" w:eastAsiaTheme="minorEastAsia" w:hAnsiTheme="minorHAnsi" w:cstheme="minorBidi"/>
          <w:color w:val="000000" w:themeColor="text1"/>
          <w:sz w:val="20"/>
          <w:szCs w:val="20"/>
          <w:lang w:eastAsia="en-US"/>
        </w:rPr>
        <w:t>o</w:t>
      </w:r>
      <w:r w:rsidRPr="006D4208">
        <w:rPr>
          <w:rFonts w:asciiTheme="minorHAnsi" w:eastAsiaTheme="minorEastAsia" w:hAnsiTheme="minorHAnsi" w:cstheme="minorBidi"/>
          <w:color w:val="000000" w:themeColor="text1"/>
          <w:sz w:val="20"/>
          <w:szCs w:val="20"/>
          <w:lang w:eastAsia="en-US"/>
        </w:rPr>
        <w:t>ffers.</w:t>
      </w:r>
    </w:p>
    <w:p w14:paraId="5F9F29EF" w14:textId="0CFE98BA" w:rsidR="00261D92" w:rsidRPr="00701439" w:rsidRDefault="00261D92" w:rsidP="00E534C5">
      <w:pPr>
        <w:pStyle w:val="NoSpacing"/>
        <w:jc w:val="both"/>
        <w:rPr>
          <w:sz w:val="20"/>
          <w:szCs w:val="20"/>
        </w:rPr>
      </w:pPr>
    </w:p>
    <w:bookmarkEnd w:id="4"/>
    <w:p w14:paraId="4BCCC16A" w14:textId="4A3FAC53" w:rsidR="00B04318" w:rsidRDefault="00B633D5" w:rsidP="00E534C5">
      <w:pPr>
        <w:pStyle w:val="NoSpacing"/>
        <w:jc w:val="both"/>
        <w:rPr>
          <w:rStyle w:val="Strong"/>
          <w:color w:val="4747FF"/>
        </w:rPr>
      </w:pPr>
      <w:r w:rsidRPr="00701439">
        <w:rPr>
          <w:rStyle w:val="Strong"/>
          <w:color w:val="4747FF"/>
        </w:rPr>
        <w:t>Vehicle Finance</w:t>
      </w:r>
    </w:p>
    <w:tbl>
      <w:tblPr>
        <w:tblpPr w:leftFromText="180" w:rightFromText="180" w:vertAnchor="text" w:horzAnchor="margin" w:tblpXSpec="center" w:tblpY="21"/>
        <w:tblW w:w="5000" w:type="pct"/>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4962"/>
        <w:gridCol w:w="1418"/>
        <w:gridCol w:w="1688"/>
        <w:gridCol w:w="1655"/>
      </w:tblGrid>
      <w:tr w:rsidR="0073797B" w:rsidRPr="00FF72EE" w14:paraId="2C94D4CC" w14:textId="77777777" w:rsidTr="0010719F">
        <w:trPr>
          <w:trHeight w:val="390"/>
        </w:trPr>
        <w:tc>
          <w:tcPr>
            <w:tcW w:w="2552" w:type="pct"/>
            <w:tcBorders>
              <w:top w:val="nil"/>
              <w:left w:val="nil"/>
              <w:bottom w:val="nil"/>
              <w:right w:val="nil"/>
            </w:tcBorders>
            <w:tcMar>
              <w:top w:w="60" w:type="dxa"/>
              <w:bottom w:w="60" w:type="dxa"/>
            </w:tcMar>
            <w:vAlign w:val="bottom"/>
          </w:tcPr>
          <w:p w14:paraId="2E3661CA" w14:textId="77777777" w:rsidR="0073797B" w:rsidRPr="00FF72EE" w:rsidRDefault="0073797B" w:rsidP="00AF5A74">
            <w:pPr>
              <w:rPr>
                <w:rFonts w:asciiTheme="minorHAnsi" w:hAnsiTheme="minorHAnsi" w:cstheme="minorBidi"/>
                <w:sz w:val="20"/>
                <w:szCs w:val="20"/>
              </w:rPr>
            </w:pPr>
          </w:p>
        </w:tc>
        <w:tc>
          <w:tcPr>
            <w:tcW w:w="2448" w:type="pct"/>
            <w:gridSpan w:val="3"/>
            <w:tcBorders>
              <w:top w:val="nil"/>
              <w:left w:val="nil"/>
              <w:bottom w:val="nil"/>
              <w:right w:val="nil"/>
            </w:tcBorders>
            <w:shd w:val="clear" w:color="auto" w:fill="auto"/>
            <w:vAlign w:val="center"/>
          </w:tcPr>
          <w:p w14:paraId="77525507" w14:textId="0AF9DC3C" w:rsidR="0073797B" w:rsidRPr="00FF72EE" w:rsidRDefault="0073797B" w:rsidP="00A9687E">
            <w:pPr>
              <w:ind w:right="115"/>
              <w:jc w:val="center"/>
              <w:rPr>
                <w:rFonts w:asciiTheme="minorHAnsi" w:eastAsia="Poppins" w:hAnsiTheme="minorHAnsi" w:cstheme="minorBidi"/>
                <w:sz w:val="20"/>
                <w:szCs w:val="20"/>
              </w:rPr>
            </w:pPr>
            <w:r w:rsidRPr="0907C099">
              <w:rPr>
                <w:rFonts w:asciiTheme="minorHAnsi" w:eastAsia="Poppins" w:hAnsiTheme="minorHAnsi" w:cstheme="minorBidi"/>
                <w:sz w:val="20"/>
                <w:szCs w:val="20"/>
              </w:rPr>
              <w:t>Six months ended 30 June</w:t>
            </w:r>
          </w:p>
        </w:tc>
      </w:tr>
      <w:tr w:rsidR="0073797B" w:rsidRPr="00FF72EE" w14:paraId="54A097F4" w14:textId="77777777" w:rsidTr="0010719F">
        <w:trPr>
          <w:trHeight w:val="390"/>
        </w:trPr>
        <w:tc>
          <w:tcPr>
            <w:tcW w:w="2552" w:type="pct"/>
            <w:tcBorders>
              <w:top w:val="nil"/>
              <w:left w:val="nil"/>
              <w:bottom w:val="single" w:sz="4" w:space="0" w:color="auto"/>
              <w:right w:val="nil"/>
            </w:tcBorders>
            <w:tcMar>
              <w:top w:w="60" w:type="dxa"/>
              <w:bottom w:w="60" w:type="dxa"/>
            </w:tcMar>
            <w:vAlign w:val="bottom"/>
          </w:tcPr>
          <w:p w14:paraId="64B45546" w14:textId="77777777" w:rsidR="0073797B" w:rsidRPr="00FF72EE" w:rsidRDefault="0073797B" w:rsidP="00AF5A74">
            <w:pPr>
              <w:rPr>
                <w:rFonts w:asciiTheme="minorHAnsi" w:hAnsiTheme="minorHAnsi" w:cstheme="minorBidi"/>
                <w:sz w:val="20"/>
                <w:szCs w:val="20"/>
              </w:rPr>
            </w:pPr>
          </w:p>
        </w:tc>
        <w:tc>
          <w:tcPr>
            <w:tcW w:w="729" w:type="pct"/>
            <w:tcBorders>
              <w:top w:val="nil"/>
              <w:left w:val="nil"/>
              <w:bottom w:val="single" w:sz="4" w:space="0" w:color="auto"/>
              <w:right w:val="nil"/>
            </w:tcBorders>
            <w:shd w:val="clear" w:color="auto" w:fill="F2F2F2" w:themeFill="background1" w:themeFillShade="F2"/>
            <w:vAlign w:val="center"/>
          </w:tcPr>
          <w:p w14:paraId="75383CFC" w14:textId="6176F384" w:rsidR="0073797B" w:rsidRPr="00FF72EE" w:rsidRDefault="0073797B" w:rsidP="00AF5A74">
            <w:pPr>
              <w:ind w:right="115"/>
              <w:jc w:val="right"/>
              <w:rPr>
                <w:rFonts w:asciiTheme="minorHAnsi" w:eastAsia="Poppins" w:hAnsiTheme="minorHAnsi" w:cstheme="minorBidi"/>
                <w:b/>
                <w:sz w:val="20"/>
                <w:szCs w:val="20"/>
              </w:rPr>
            </w:pPr>
            <w:r w:rsidRPr="0907C099">
              <w:rPr>
                <w:rFonts w:asciiTheme="minorHAnsi" w:eastAsia="Poppins" w:hAnsiTheme="minorHAnsi" w:cstheme="minorBidi"/>
                <w:b/>
                <w:sz w:val="20"/>
                <w:szCs w:val="20"/>
              </w:rPr>
              <w:t>2024</w:t>
            </w:r>
          </w:p>
          <w:p w14:paraId="454F914B" w14:textId="77777777" w:rsidR="00F1393F" w:rsidRDefault="00F1393F" w:rsidP="00AF5A74">
            <w:pPr>
              <w:ind w:right="115"/>
              <w:jc w:val="right"/>
              <w:rPr>
                <w:rFonts w:asciiTheme="minorHAnsi" w:eastAsia="Poppins" w:hAnsiTheme="minorHAnsi" w:cstheme="minorBidi"/>
                <w:b/>
                <w:sz w:val="20"/>
                <w:szCs w:val="20"/>
              </w:rPr>
            </w:pPr>
          </w:p>
          <w:p w14:paraId="09889898" w14:textId="74142EAD" w:rsidR="0073797B" w:rsidRPr="00FF72EE" w:rsidRDefault="0073797B" w:rsidP="00AF5A74">
            <w:pPr>
              <w:ind w:right="115"/>
              <w:jc w:val="right"/>
              <w:rPr>
                <w:rFonts w:asciiTheme="minorHAnsi" w:eastAsia="Poppins" w:hAnsiTheme="minorHAnsi" w:cstheme="minorBidi"/>
                <w:sz w:val="20"/>
                <w:szCs w:val="20"/>
              </w:rPr>
            </w:pPr>
            <w:r w:rsidRPr="0907C099">
              <w:rPr>
                <w:rFonts w:asciiTheme="minorHAnsi" w:eastAsia="Poppins" w:hAnsiTheme="minorHAnsi" w:cstheme="minorBidi"/>
                <w:b/>
                <w:sz w:val="20"/>
                <w:szCs w:val="20"/>
              </w:rPr>
              <w:t>£m</w:t>
            </w:r>
          </w:p>
        </w:tc>
        <w:tc>
          <w:tcPr>
            <w:tcW w:w="868" w:type="pct"/>
            <w:tcBorders>
              <w:top w:val="nil"/>
              <w:left w:val="nil"/>
              <w:bottom w:val="single" w:sz="4" w:space="0" w:color="auto"/>
              <w:right w:val="nil"/>
            </w:tcBorders>
            <w:vAlign w:val="center"/>
          </w:tcPr>
          <w:p w14:paraId="5852BB3C" w14:textId="771892FA" w:rsidR="0073797B" w:rsidRPr="00FF72EE" w:rsidRDefault="0073797B" w:rsidP="00AF5A74">
            <w:pPr>
              <w:jc w:val="right"/>
              <w:rPr>
                <w:rFonts w:asciiTheme="minorHAnsi" w:eastAsia="Poppins" w:hAnsiTheme="minorHAnsi" w:cstheme="minorBidi"/>
                <w:sz w:val="20"/>
                <w:szCs w:val="20"/>
              </w:rPr>
            </w:pPr>
            <w:r w:rsidRPr="0907C099">
              <w:rPr>
                <w:rFonts w:asciiTheme="minorHAnsi" w:eastAsia="Poppins" w:hAnsiTheme="minorHAnsi" w:cstheme="minorBidi"/>
                <w:sz w:val="20"/>
                <w:szCs w:val="20"/>
              </w:rPr>
              <w:t>2023</w:t>
            </w:r>
          </w:p>
          <w:p w14:paraId="391A8B11" w14:textId="3375F0AB" w:rsidR="00CF0B4D" w:rsidRPr="00FF72EE" w:rsidRDefault="00CF0B4D" w:rsidP="00AF5A74">
            <w:pPr>
              <w:jc w:val="right"/>
              <w:rPr>
                <w:rFonts w:asciiTheme="minorHAnsi" w:eastAsia="Poppins" w:hAnsiTheme="minorHAnsi" w:cstheme="minorBidi"/>
                <w:sz w:val="20"/>
                <w:szCs w:val="20"/>
              </w:rPr>
            </w:pPr>
            <w:r w:rsidRPr="0907C099">
              <w:rPr>
                <w:rFonts w:asciiTheme="minorHAnsi" w:eastAsia="Poppins" w:hAnsiTheme="minorHAnsi" w:cstheme="minorBidi"/>
                <w:sz w:val="20"/>
                <w:szCs w:val="20"/>
              </w:rPr>
              <w:t>(restated)</w:t>
            </w:r>
            <w:r w:rsidR="24D02F07" w:rsidRPr="448A3BDD">
              <w:rPr>
                <w:rFonts w:asciiTheme="minorHAnsi" w:eastAsia="Poppins" w:hAnsiTheme="minorHAnsi" w:cstheme="minorBidi"/>
                <w:sz w:val="20"/>
                <w:szCs w:val="20"/>
                <w:vertAlign w:val="superscript"/>
              </w:rPr>
              <w:t>1</w:t>
            </w:r>
          </w:p>
          <w:p w14:paraId="78E5D997" w14:textId="77777777" w:rsidR="0073797B" w:rsidRPr="00FF72EE" w:rsidRDefault="0073797B" w:rsidP="00AF5A74">
            <w:pPr>
              <w:jc w:val="right"/>
              <w:rPr>
                <w:rFonts w:asciiTheme="minorHAnsi" w:eastAsia="Poppins" w:hAnsiTheme="minorHAnsi" w:cstheme="minorBidi"/>
                <w:sz w:val="20"/>
                <w:szCs w:val="20"/>
                <w:vertAlign w:val="superscript"/>
              </w:rPr>
            </w:pPr>
            <w:r w:rsidRPr="0907C099">
              <w:rPr>
                <w:rFonts w:asciiTheme="minorHAnsi" w:eastAsia="Poppins" w:hAnsiTheme="minorHAnsi" w:cstheme="minorBidi"/>
                <w:sz w:val="20"/>
                <w:szCs w:val="20"/>
              </w:rPr>
              <w:t>£m</w:t>
            </w:r>
          </w:p>
        </w:tc>
        <w:tc>
          <w:tcPr>
            <w:tcW w:w="852" w:type="pct"/>
            <w:tcBorders>
              <w:top w:val="nil"/>
              <w:left w:val="nil"/>
              <w:bottom w:val="single" w:sz="4" w:space="0" w:color="auto"/>
              <w:right w:val="nil"/>
            </w:tcBorders>
            <w:vAlign w:val="center"/>
          </w:tcPr>
          <w:p w14:paraId="24D96C2B" w14:textId="77777777" w:rsidR="0073797B" w:rsidRPr="00FF72EE" w:rsidRDefault="0073797B" w:rsidP="00AF5A74">
            <w:pPr>
              <w:ind w:right="115"/>
              <w:jc w:val="right"/>
              <w:rPr>
                <w:rFonts w:asciiTheme="minorHAnsi" w:eastAsia="Poppins" w:hAnsiTheme="minorHAnsi" w:cstheme="minorBidi"/>
                <w:i/>
                <w:sz w:val="20"/>
                <w:szCs w:val="20"/>
              </w:rPr>
            </w:pPr>
            <w:r w:rsidRPr="0907C099">
              <w:rPr>
                <w:rFonts w:asciiTheme="minorHAnsi" w:eastAsia="Poppins" w:hAnsiTheme="minorHAnsi" w:cstheme="minorBidi"/>
                <w:i/>
                <w:sz w:val="20"/>
                <w:szCs w:val="20"/>
              </w:rPr>
              <w:t>Change</w:t>
            </w:r>
          </w:p>
          <w:p w14:paraId="44178044" w14:textId="77777777" w:rsidR="0073797B" w:rsidRPr="00FF72EE" w:rsidRDefault="0073797B" w:rsidP="00AF5A74">
            <w:pPr>
              <w:ind w:right="115"/>
              <w:jc w:val="right"/>
              <w:rPr>
                <w:rFonts w:asciiTheme="minorHAnsi" w:eastAsia="Poppins" w:hAnsiTheme="minorHAnsi" w:cstheme="minorBidi"/>
                <w:i/>
                <w:sz w:val="20"/>
                <w:szCs w:val="20"/>
              </w:rPr>
            </w:pPr>
            <w:r w:rsidRPr="0907C099">
              <w:rPr>
                <w:rFonts w:asciiTheme="minorHAnsi" w:eastAsia="Poppins" w:hAnsiTheme="minorHAnsi" w:cstheme="minorBidi"/>
                <w:i/>
                <w:sz w:val="20"/>
                <w:szCs w:val="20"/>
              </w:rPr>
              <w:t>(%)</w:t>
            </w:r>
          </w:p>
        </w:tc>
      </w:tr>
      <w:tr w:rsidR="0073797B" w:rsidRPr="00073BEC" w14:paraId="30B7F3E3" w14:textId="77777777" w:rsidTr="0907C099">
        <w:trPr>
          <w:trHeight w:val="240"/>
        </w:trPr>
        <w:tc>
          <w:tcPr>
            <w:tcW w:w="2552" w:type="pct"/>
            <w:tcBorders>
              <w:top w:val="single" w:sz="4" w:space="0" w:color="auto"/>
              <w:left w:val="nil"/>
              <w:bottom w:val="single" w:sz="4" w:space="0" w:color="FFFFFF" w:themeColor="background1"/>
              <w:right w:val="nil"/>
            </w:tcBorders>
            <w:vAlign w:val="center"/>
          </w:tcPr>
          <w:p w14:paraId="2FF25105" w14:textId="77777777" w:rsidR="0073797B" w:rsidRPr="006D4208" w:rsidRDefault="0073797B" w:rsidP="00AF5A74">
            <w:pPr>
              <w:ind w:right="115"/>
              <w:rPr>
                <w:rFonts w:asciiTheme="minorHAnsi" w:eastAsia="Poppins" w:hAnsiTheme="minorHAnsi" w:cstheme="minorBidi"/>
                <w:sz w:val="20"/>
                <w:szCs w:val="20"/>
              </w:rPr>
            </w:pPr>
            <w:r w:rsidRPr="0907C099">
              <w:rPr>
                <w:rFonts w:asciiTheme="minorHAnsi" w:eastAsia="Poppins" w:hAnsiTheme="minorHAnsi" w:cstheme="minorBidi"/>
                <w:sz w:val="20"/>
                <w:szCs w:val="20"/>
              </w:rPr>
              <w:t>Total customer numbers (‘000)</w:t>
            </w:r>
          </w:p>
        </w:tc>
        <w:tc>
          <w:tcPr>
            <w:tcW w:w="729" w:type="pct"/>
            <w:tcBorders>
              <w:top w:val="single" w:sz="4" w:space="0" w:color="auto"/>
              <w:left w:val="nil"/>
              <w:bottom w:val="nil"/>
              <w:right w:val="nil"/>
            </w:tcBorders>
            <w:shd w:val="clear" w:color="auto" w:fill="F2F2F2" w:themeFill="background1" w:themeFillShade="F2"/>
          </w:tcPr>
          <w:p w14:paraId="7E1AFD70" w14:textId="41A4F52A" w:rsidR="0073797B" w:rsidRPr="006D4208" w:rsidRDefault="00F508AB" w:rsidP="00AF5A74">
            <w:pPr>
              <w:jc w:val="right"/>
              <w:rPr>
                <w:rFonts w:asciiTheme="minorHAnsi" w:hAnsiTheme="minorHAnsi" w:cstheme="minorBidi"/>
                <w:b/>
                <w:sz w:val="20"/>
                <w:szCs w:val="20"/>
              </w:rPr>
            </w:pPr>
            <w:r w:rsidRPr="0907C099">
              <w:rPr>
                <w:rFonts w:asciiTheme="minorHAnsi" w:hAnsiTheme="minorHAnsi" w:cstheme="minorBidi"/>
                <w:b/>
                <w:sz w:val="20"/>
                <w:szCs w:val="20"/>
              </w:rPr>
              <w:t>109.9</w:t>
            </w:r>
            <w:r w:rsidR="0073797B" w:rsidRPr="0907C099">
              <w:rPr>
                <w:rFonts w:asciiTheme="minorHAnsi" w:hAnsiTheme="minorHAnsi" w:cstheme="minorBidi"/>
                <w:b/>
                <w:sz w:val="20"/>
                <w:szCs w:val="20"/>
              </w:rPr>
              <w:t xml:space="preserve"> </w:t>
            </w:r>
          </w:p>
        </w:tc>
        <w:tc>
          <w:tcPr>
            <w:tcW w:w="868" w:type="pct"/>
            <w:tcBorders>
              <w:top w:val="single" w:sz="4" w:space="0" w:color="auto"/>
              <w:left w:val="nil"/>
              <w:bottom w:val="single" w:sz="4" w:space="0" w:color="FFFFFF" w:themeColor="background1"/>
              <w:right w:val="nil"/>
            </w:tcBorders>
          </w:tcPr>
          <w:p w14:paraId="6C799C9C" w14:textId="60C090BB" w:rsidR="0073797B" w:rsidRPr="006D4208" w:rsidRDefault="0073797B" w:rsidP="00AF5A74">
            <w:pPr>
              <w:jc w:val="right"/>
              <w:rPr>
                <w:rFonts w:asciiTheme="minorHAnsi" w:hAnsiTheme="minorHAnsi" w:cstheme="minorBidi"/>
                <w:sz w:val="20"/>
                <w:szCs w:val="20"/>
              </w:rPr>
            </w:pPr>
            <w:r w:rsidRPr="0907C099">
              <w:rPr>
                <w:rFonts w:asciiTheme="minorHAnsi" w:hAnsiTheme="minorHAnsi" w:cstheme="minorBidi"/>
                <w:sz w:val="20"/>
                <w:szCs w:val="20"/>
              </w:rPr>
              <w:t>1</w:t>
            </w:r>
            <w:r w:rsidR="007D709E" w:rsidRPr="0907C099">
              <w:rPr>
                <w:rFonts w:asciiTheme="minorHAnsi" w:hAnsiTheme="minorHAnsi" w:cstheme="minorBidi"/>
                <w:sz w:val="20"/>
                <w:szCs w:val="20"/>
              </w:rPr>
              <w:t>1</w:t>
            </w:r>
            <w:r w:rsidRPr="0907C099">
              <w:rPr>
                <w:rFonts w:asciiTheme="minorHAnsi" w:hAnsiTheme="minorHAnsi" w:cstheme="minorBidi"/>
                <w:sz w:val="20"/>
                <w:szCs w:val="20"/>
              </w:rPr>
              <w:t>0.</w:t>
            </w:r>
            <w:r w:rsidR="00217258" w:rsidRPr="0907C099">
              <w:rPr>
                <w:rFonts w:asciiTheme="minorHAnsi" w:hAnsiTheme="minorHAnsi" w:cstheme="minorBidi"/>
                <w:sz w:val="20"/>
                <w:szCs w:val="20"/>
              </w:rPr>
              <w:t>9</w:t>
            </w:r>
            <w:r w:rsidRPr="0907C099">
              <w:rPr>
                <w:rFonts w:asciiTheme="minorHAnsi" w:hAnsiTheme="minorHAnsi" w:cstheme="minorBidi"/>
                <w:sz w:val="20"/>
                <w:szCs w:val="20"/>
              </w:rPr>
              <w:t xml:space="preserve"> </w:t>
            </w:r>
          </w:p>
        </w:tc>
        <w:tc>
          <w:tcPr>
            <w:tcW w:w="852" w:type="pct"/>
            <w:tcBorders>
              <w:top w:val="single" w:sz="4" w:space="0" w:color="auto"/>
              <w:left w:val="nil"/>
              <w:bottom w:val="single" w:sz="4" w:space="0" w:color="FFFFFF" w:themeColor="background1"/>
              <w:right w:val="nil"/>
            </w:tcBorders>
          </w:tcPr>
          <w:p w14:paraId="1079EE4F" w14:textId="0F955C8D" w:rsidR="0073797B" w:rsidRPr="006D4208" w:rsidRDefault="00B120D6" w:rsidP="00AF5A74">
            <w:pPr>
              <w:jc w:val="right"/>
              <w:rPr>
                <w:rFonts w:asciiTheme="minorHAnsi" w:hAnsiTheme="minorHAnsi" w:cstheme="minorBidi"/>
                <w:i/>
                <w:sz w:val="20"/>
                <w:szCs w:val="20"/>
              </w:rPr>
            </w:pPr>
            <w:r w:rsidRPr="0907C099">
              <w:rPr>
                <w:rFonts w:asciiTheme="minorHAnsi" w:hAnsiTheme="minorHAnsi" w:cstheme="minorBidi"/>
                <w:i/>
                <w:sz w:val="20"/>
                <w:szCs w:val="20"/>
              </w:rPr>
              <w:t>(0.9)</w:t>
            </w:r>
          </w:p>
        </w:tc>
      </w:tr>
      <w:tr w:rsidR="0073797B" w:rsidRPr="00073BEC" w14:paraId="41E84E02" w14:textId="77777777" w:rsidTr="0907C099">
        <w:trPr>
          <w:trHeight w:val="240"/>
        </w:trPr>
        <w:tc>
          <w:tcPr>
            <w:tcW w:w="2552" w:type="pct"/>
            <w:tcBorders>
              <w:top w:val="single" w:sz="4" w:space="0" w:color="FFFFFF" w:themeColor="background1"/>
              <w:left w:val="nil"/>
              <w:bottom w:val="single" w:sz="4" w:space="0" w:color="FFFFFF" w:themeColor="background1"/>
              <w:right w:val="nil"/>
            </w:tcBorders>
            <w:vAlign w:val="center"/>
          </w:tcPr>
          <w:p w14:paraId="1C14253B" w14:textId="77777777" w:rsidR="0073797B" w:rsidRPr="006D4208" w:rsidRDefault="0073797B" w:rsidP="00AF5A74">
            <w:pPr>
              <w:ind w:right="115"/>
              <w:rPr>
                <w:rFonts w:asciiTheme="minorHAnsi" w:eastAsia="Poppins" w:hAnsiTheme="minorHAnsi" w:cstheme="minorBidi"/>
                <w:sz w:val="20"/>
                <w:szCs w:val="20"/>
              </w:rPr>
            </w:pPr>
            <w:r w:rsidRPr="0907C099">
              <w:rPr>
                <w:rFonts w:asciiTheme="minorHAnsi" w:eastAsia="Poppins" w:hAnsiTheme="minorHAnsi" w:cstheme="minorBidi"/>
                <w:sz w:val="20"/>
                <w:szCs w:val="20"/>
              </w:rPr>
              <w:t>New customer bookings (‘000)</w:t>
            </w:r>
          </w:p>
        </w:tc>
        <w:tc>
          <w:tcPr>
            <w:tcW w:w="729" w:type="pct"/>
            <w:tcBorders>
              <w:top w:val="nil"/>
              <w:left w:val="nil"/>
              <w:bottom w:val="nil"/>
              <w:right w:val="nil"/>
            </w:tcBorders>
            <w:shd w:val="clear" w:color="auto" w:fill="F2F2F2" w:themeFill="background1" w:themeFillShade="F2"/>
          </w:tcPr>
          <w:p w14:paraId="4BE51323" w14:textId="24E664AB" w:rsidR="0073797B" w:rsidRPr="006D4208" w:rsidRDefault="00F508AB" w:rsidP="00AF5A74">
            <w:pPr>
              <w:jc w:val="right"/>
              <w:rPr>
                <w:rFonts w:asciiTheme="minorHAnsi" w:hAnsiTheme="minorHAnsi" w:cstheme="minorBidi"/>
                <w:b/>
                <w:sz w:val="20"/>
                <w:szCs w:val="20"/>
              </w:rPr>
            </w:pPr>
            <w:r w:rsidRPr="0907C099">
              <w:rPr>
                <w:rFonts w:asciiTheme="minorHAnsi" w:hAnsiTheme="minorHAnsi" w:cstheme="minorBidi"/>
                <w:b/>
                <w:sz w:val="20"/>
                <w:szCs w:val="20"/>
              </w:rPr>
              <w:t>19.4</w:t>
            </w:r>
            <w:r w:rsidR="0073797B" w:rsidRPr="0907C099">
              <w:rPr>
                <w:rFonts w:asciiTheme="minorHAnsi" w:hAnsiTheme="minorHAnsi" w:cstheme="minorBidi"/>
                <w:b/>
                <w:sz w:val="20"/>
                <w:szCs w:val="20"/>
              </w:rPr>
              <w:t xml:space="preserve"> </w:t>
            </w:r>
          </w:p>
        </w:tc>
        <w:tc>
          <w:tcPr>
            <w:tcW w:w="868" w:type="pct"/>
            <w:tcBorders>
              <w:top w:val="single" w:sz="4" w:space="0" w:color="FFFFFF" w:themeColor="background1"/>
              <w:left w:val="nil"/>
              <w:bottom w:val="single" w:sz="4" w:space="0" w:color="FFFFFF" w:themeColor="background1"/>
              <w:right w:val="nil"/>
            </w:tcBorders>
          </w:tcPr>
          <w:p w14:paraId="2E1C033A" w14:textId="452C65F7" w:rsidR="0073797B" w:rsidRPr="006D4208" w:rsidRDefault="00B14BDF" w:rsidP="00AF5A74">
            <w:pPr>
              <w:jc w:val="right"/>
              <w:rPr>
                <w:rFonts w:asciiTheme="minorHAnsi" w:hAnsiTheme="minorHAnsi" w:cstheme="minorBidi"/>
                <w:sz w:val="20"/>
                <w:szCs w:val="20"/>
              </w:rPr>
            </w:pPr>
            <w:r w:rsidRPr="0907C099">
              <w:rPr>
                <w:rFonts w:asciiTheme="minorHAnsi" w:hAnsiTheme="minorHAnsi" w:cstheme="minorBidi"/>
                <w:sz w:val="20"/>
                <w:szCs w:val="20"/>
              </w:rPr>
              <w:t>31.0</w:t>
            </w:r>
            <w:r w:rsidR="0073797B" w:rsidRPr="0907C099">
              <w:rPr>
                <w:rFonts w:asciiTheme="minorHAnsi" w:hAnsiTheme="minorHAnsi" w:cstheme="minorBidi"/>
                <w:sz w:val="20"/>
                <w:szCs w:val="20"/>
              </w:rPr>
              <w:t xml:space="preserve"> </w:t>
            </w:r>
          </w:p>
        </w:tc>
        <w:tc>
          <w:tcPr>
            <w:tcW w:w="852" w:type="pct"/>
            <w:tcBorders>
              <w:top w:val="single" w:sz="4" w:space="0" w:color="FFFFFF" w:themeColor="background1"/>
              <w:left w:val="nil"/>
              <w:bottom w:val="single" w:sz="4" w:space="0" w:color="FFFFFF" w:themeColor="background1"/>
              <w:right w:val="nil"/>
            </w:tcBorders>
          </w:tcPr>
          <w:p w14:paraId="03B495ED" w14:textId="310C29E4" w:rsidR="0073797B" w:rsidRPr="006D4208" w:rsidRDefault="00FA1D6F" w:rsidP="00AF5A74">
            <w:pPr>
              <w:jc w:val="right"/>
              <w:rPr>
                <w:rFonts w:asciiTheme="minorHAnsi" w:hAnsiTheme="minorHAnsi" w:cstheme="minorBidi"/>
                <w:i/>
                <w:sz w:val="20"/>
                <w:szCs w:val="20"/>
              </w:rPr>
            </w:pPr>
            <w:r w:rsidRPr="0907C099">
              <w:rPr>
                <w:rFonts w:asciiTheme="minorHAnsi" w:hAnsiTheme="minorHAnsi" w:cstheme="minorBidi"/>
                <w:i/>
                <w:sz w:val="20"/>
                <w:szCs w:val="20"/>
              </w:rPr>
              <w:t>(37.4)</w:t>
            </w:r>
          </w:p>
        </w:tc>
      </w:tr>
      <w:tr w:rsidR="0073797B" w:rsidRPr="00073BEC" w14:paraId="29190F4A" w14:textId="77777777" w:rsidTr="0907C099">
        <w:trPr>
          <w:trHeight w:val="240"/>
        </w:trPr>
        <w:tc>
          <w:tcPr>
            <w:tcW w:w="2552" w:type="pct"/>
            <w:tcBorders>
              <w:top w:val="single" w:sz="4" w:space="0" w:color="FFFFFF" w:themeColor="background1"/>
              <w:left w:val="nil"/>
              <w:bottom w:val="single" w:sz="4" w:space="0" w:color="FFFFFF" w:themeColor="background1"/>
              <w:right w:val="nil"/>
            </w:tcBorders>
            <w:vAlign w:val="center"/>
          </w:tcPr>
          <w:p w14:paraId="08058350" w14:textId="77777777" w:rsidR="0073797B" w:rsidRPr="006D4208" w:rsidRDefault="0073797B" w:rsidP="00AF5A74">
            <w:pPr>
              <w:ind w:right="115"/>
              <w:rPr>
                <w:rFonts w:asciiTheme="minorHAnsi" w:eastAsia="Poppins" w:hAnsiTheme="minorHAnsi" w:cstheme="minorBidi"/>
                <w:sz w:val="20"/>
                <w:szCs w:val="20"/>
              </w:rPr>
            </w:pPr>
            <w:r w:rsidRPr="0907C099">
              <w:rPr>
                <w:rFonts w:asciiTheme="minorHAnsi" w:eastAsia="Poppins" w:hAnsiTheme="minorHAnsi" w:cstheme="minorBidi"/>
                <w:sz w:val="20"/>
                <w:szCs w:val="20"/>
              </w:rPr>
              <w:t>Period-end receivables</w:t>
            </w:r>
          </w:p>
        </w:tc>
        <w:tc>
          <w:tcPr>
            <w:tcW w:w="729" w:type="pct"/>
            <w:tcBorders>
              <w:top w:val="nil"/>
              <w:left w:val="nil"/>
              <w:bottom w:val="nil"/>
              <w:right w:val="nil"/>
            </w:tcBorders>
            <w:shd w:val="clear" w:color="auto" w:fill="F2F2F2" w:themeFill="background1" w:themeFillShade="F2"/>
          </w:tcPr>
          <w:p w14:paraId="568B4CB5" w14:textId="70687749" w:rsidR="0073797B" w:rsidRPr="006D4208" w:rsidRDefault="00F508AB" w:rsidP="00AF5A74">
            <w:pPr>
              <w:jc w:val="right"/>
              <w:rPr>
                <w:rFonts w:asciiTheme="minorHAnsi" w:hAnsiTheme="minorHAnsi" w:cstheme="minorBidi"/>
                <w:b/>
                <w:sz w:val="20"/>
                <w:szCs w:val="20"/>
              </w:rPr>
            </w:pPr>
            <w:r w:rsidRPr="0907C099">
              <w:rPr>
                <w:rFonts w:asciiTheme="minorHAnsi" w:hAnsiTheme="minorHAnsi" w:cstheme="minorBidi"/>
                <w:b/>
                <w:sz w:val="20"/>
                <w:szCs w:val="20"/>
              </w:rPr>
              <w:t>7</w:t>
            </w:r>
            <w:r w:rsidR="00643A5F" w:rsidRPr="0907C099">
              <w:rPr>
                <w:rFonts w:asciiTheme="minorHAnsi" w:hAnsiTheme="minorHAnsi" w:cstheme="minorBidi"/>
                <w:b/>
                <w:sz w:val="20"/>
                <w:szCs w:val="20"/>
              </w:rPr>
              <w:t>60</w:t>
            </w:r>
            <w:r w:rsidRPr="0907C099">
              <w:rPr>
                <w:rFonts w:asciiTheme="minorHAnsi" w:hAnsiTheme="minorHAnsi" w:cstheme="minorBidi"/>
                <w:b/>
                <w:sz w:val="20"/>
                <w:szCs w:val="20"/>
              </w:rPr>
              <w:t>.</w:t>
            </w:r>
            <w:r w:rsidR="0079251C">
              <w:rPr>
                <w:rFonts w:asciiTheme="minorHAnsi" w:hAnsiTheme="minorHAnsi" w:cstheme="minorBidi"/>
                <w:b/>
                <w:sz w:val="20"/>
                <w:szCs w:val="20"/>
              </w:rPr>
              <w:t>5</w:t>
            </w:r>
            <w:r w:rsidR="0073797B" w:rsidRPr="0907C099">
              <w:rPr>
                <w:rFonts w:asciiTheme="minorHAnsi" w:hAnsiTheme="minorHAnsi" w:cstheme="minorBidi"/>
                <w:b/>
                <w:sz w:val="20"/>
                <w:szCs w:val="20"/>
              </w:rPr>
              <w:t xml:space="preserve"> </w:t>
            </w:r>
          </w:p>
        </w:tc>
        <w:tc>
          <w:tcPr>
            <w:tcW w:w="868" w:type="pct"/>
            <w:tcBorders>
              <w:top w:val="single" w:sz="4" w:space="0" w:color="FFFFFF" w:themeColor="background1"/>
              <w:left w:val="nil"/>
              <w:bottom w:val="single" w:sz="4" w:space="0" w:color="FFFFFF" w:themeColor="background1"/>
              <w:right w:val="nil"/>
            </w:tcBorders>
          </w:tcPr>
          <w:p w14:paraId="390AA1E2" w14:textId="7D00892E" w:rsidR="0073797B" w:rsidRPr="006D4208" w:rsidRDefault="008907C0" w:rsidP="00AF5A74">
            <w:pPr>
              <w:jc w:val="right"/>
              <w:rPr>
                <w:rFonts w:asciiTheme="minorHAnsi" w:hAnsiTheme="minorHAnsi" w:cstheme="minorBidi"/>
                <w:sz w:val="20"/>
                <w:szCs w:val="20"/>
              </w:rPr>
            </w:pPr>
            <w:r w:rsidRPr="198B8B94">
              <w:rPr>
                <w:rFonts w:asciiTheme="minorHAnsi" w:hAnsiTheme="minorHAnsi" w:cstheme="minorBidi"/>
                <w:sz w:val="20"/>
                <w:szCs w:val="20"/>
              </w:rPr>
              <w:t>7</w:t>
            </w:r>
            <w:r w:rsidR="004E4EA8">
              <w:rPr>
                <w:rFonts w:asciiTheme="minorHAnsi" w:hAnsiTheme="minorHAnsi" w:cstheme="minorBidi"/>
                <w:sz w:val="20"/>
                <w:szCs w:val="20"/>
              </w:rPr>
              <w:t>48.2</w:t>
            </w:r>
            <w:r w:rsidR="0073797B" w:rsidRPr="198B8B94">
              <w:rPr>
                <w:rFonts w:asciiTheme="minorHAnsi" w:hAnsiTheme="minorHAnsi" w:cstheme="minorBidi"/>
                <w:sz w:val="20"/>
                <w:szCs w:val="20"/>
              </w:rPr>
              <w:t xml:space="preserve"> </w:t>
            </w:r>
          </w:p>
        </w:tc>
        <w:tc>
          <w:tcPr>
            <w:tcW w:w="852" w:type="pct"/>
            <w:tcBorders>
              <w:top w:val="single" w:sz="4" w:space="0" w:color="FFFFFF" w:themeColor="background1"/>
              <w:left w:val="nil"/>
              <w:bottom w:val="single" w:sz="4" w:space="0" w:color="FFFFFF" w:themeColor="background1"/>
              <w:right w:val="nil"/>
            </w:tcBorders>
          </w:tcPr>
          <w:p w14:paraId="67F124AE" w14:textId="189BB2E8" w:rsidR="0073797B" w:rsidRPr="006D4208" w:rsidRDefault="00FD6BEA" w:rsidP="00AF5A74">
            <w:pPr>
              <w:jc w:val="right"/>
              <w:rPr>
                <w:rFonts w:asciiTheme="minorHAnsi" w:hAnsiTheme="minorHAnsi" w:cstheme="minorBidi"/>
                <w:i/>
                <w:sz w:val="20"/>
                <w:szCs w:val="20"/>
              </w:rPr>
            </w:pPr>
            <w:r w:rsidRPr="0907C099">
              <w:rPr>
                <w:rFonts w:asciiTheme="minorHAnsi" w:hAnsiTheme="minorHAnsi" w:cstheme="minorBidi"/>
                <w:i/>
                <w:sz w:val="20"/>
                <w:szCs w:val="20"/>
              </w:rPr>
              <w:t>1.</w:t>
            </w:r>
            <w:r w:rsidR="00A32214">
              <w:rPr>
                <w:rFonts w:asciiTheme="minorHAnsi" w:hAnsiTheme="minorHAnsi" w:cstheme="minorBidi"/>
                <w:i/>
                <w:sz w:val="20"/>
                <w:szCs w:val="20"/>
              </w:rPr>
              <w:t>6</w:t>
            </w:r>
          </w:p>
        </w:tc>
      </w:tr>
      <w:tr w:rsidR="0073797B" w:rsidRPr="00073BEC" w14:paraId="0608E202" w14:textId="77777777" w:rsidTr="0907C099">
        <w:trPr>
          <w:trHeight w:val="240"/>
        </w:trPr>
        <w:tc>
          <w:tcPr>
            <w:tcW w:w="2552" w:type="pct"/>
            <w:tcBorders>
              <w:top w:val="single" w:sz="4" w:space="0" w:color="FFFFFF" w:themeColor="background1"/>
              <w:left w:val="nil"/>
              <w:bottom w:val="single" w:sz="4" w:space="0" w:color="auto"/>
              <w:right w:val="nil"/>
            </w:tcBorders>
            <w:vAlign w:val="center"/>
          </w:tcPr>
          <w:p w14:paraId="416C48D3" w14:textId="02E9394A" w:rsidR="0073797B" w:rsidRPr="006D4208" w:rsidRDefault="0073797B" w:rsidP="00AF5A74">
            <w:pPr>
              <w:ind w:right="115"/>
              <w:rPr>
                <w:rFonts w:asciiTheme="minorHAnsi" w:eastAsia="Poppins" w:hAnsiTheme="minorHAnsi" w:cstheme="minorBidi"/>
                <w:sz w:val="20"/>
                <w:szCs w:val="20"/>
                <w:vertAlign w:val="superscript"/>
              </w:rPr>
            </w:pPr>
            <w:r w:rsidRPr="0907C099">
              <w:rPr>
                <w:rFonts w:asciiTheme="minorHAnsi" w:eastAsia="Poppins" w:hAnsiTheme="minorHAnsi" w:cstheme="minorBidi"/>
                <w:sz w:val="20"/>
                <w:szCs w:val="20"/>
              </w:rPr>
              <w:t xml:space="preserve">Average </w:t>
            </w:r>
            <w:r w:rsidR="0010719F" w:rsidRPr="0907C099">
              <w:rPr>
                <w:rFonts w:asciiTheme="minorHAnsi" w:eastAsia="Poppins" w:hAnsiTheme="minorHAnsi" w:cstheme="minorBidi"/>
                <w:sz w:val="20"/>
                <w:szCs w:val="20"/>
              </w:rPr>
              <w:t xml:space="preserve">customer </w:t>
            </w:r>
            <w:r w:rsidRPr="0907C099">
              <w:rPr>
                <w:rFonts w:asciiTheme="minorHAnsi" w:eastAsia="Poppins" w:hAnsiTheme="minorHAnsi" w:cstheme="minorBidi"/>
                <w:sz w:val="20"/>
                <w:szCs w:val="20"/>
              </w:rPr>
              <w:t xml:space="preserve">gross </w:t>
            </w:r>
            <w:r w:rsidR="00E65AD7" w:rsidRPr="0907C099">
              <w:rPr>
                <w:rFonts w:asciiTheme="minorHAnsi" w:eastAsia="Poppins" w:hAnsiTheme="minorHAnsi" w:cstheme="minorBidi"/>
                <w:sz w:val="20"/>
                <w:szCs w:val="20"/>
              </w:rPr>
              <w:t xml:space="preserve">interest earning </w:t>
            </w:r>
            <w:r w:rsidR="568E9E02" w:rsidRPr="448A3BDD">
              <w:rPr>
                <w:rFonts w:asciiTheme="minorHAnsi" w:eastAsia="Poppins" w:hAnsiTheme="minorHAnsi" w:cstheme="minorBidi"/>
                <w:sz w:val="20"/>
                <w:szCs w:val="20"/>
              </w:rPr>
              <w:t>balances</w:t>
            </w:r>
            <w:r w:rsidR="741646AD" w:rsidRPr="448A3BDD">
              <w:rPr>
                <w:rFonts w:asciiTheme="minorHAnsi" w:eastAsia="Poppins" w:hAnsiTheme="minorHAnsi" w:cstheme="minorBidi"/>
                <w:sz w:val="20"/>
                <w:szCs w:val="20"/>
                <w:vertAlign w:val="superscript"/>
              </w:rPr>
              <w:t>2</w:t>
            </w:r>
          </w:p>
        </w:tc>
        <w:tc>
          <w:tcPr>
            <w:tcW w:w="729" w:type="pct"/>
            <w:tcBorders>
              <w:top w:val="nil"/>
              <w:left w:val="nil"/>
              <w:bottom w:val="single" w:sz="4" w:space="0" w:color="auto"/>
              <w:right w:val="nil"/>
            </w:tcBorders>
            <w:shd w:val="clear" w:color="auto" w:fill="F2F2F2" w:themeFill="background1" w:themeFillShade="F2"/>
          </w:tcPr>
          <w:p w14:paraId="7232904E" w14:textId="600A5D41" w:rsidR="0073797B" w:rsidRPr="006D4208" w:rsidRDefault="00F508AB" w:rsidP="00AF5A74">
            <w:pPr>
              <w:jc w:val="right"/>
              <w:rPr>
                <w:rFonts w:asciiTheme="minorHAnsi" w:hAnsiTheme="minorHAnsi" w:cstheme="minorBidi"/>
                <w:b/>
                <w:sz w:val="20"/>
                <w:szCs w:val="20"/>
              </w:rPr>
            </w:pPr>
            <w:r w:rsidRPr="0907C099">
              <w:rPr>
                <w:rFonts w:asciiTheme="minorHAnsi" w:hAnsiTheme="minorHAnsi" w:cstheme="minorBidi"/>
                <w:b/>
                <w:sz w:val="20"/>
                <w:szCs w:val="20"/>
              </w:rPr>
              <w:t>851.0</w:t>
            </w:r>
            <w:r w:rsidR="0073797B" w:rsidRPr="0907C099">
              <w:rPr>
                <w:rFonts w:asciiTheme="minorHAnsi" w:hAnsiTheme="minorHAnsi" w:cstheme="minorBidi"/>
                <w:b/>
                <w:sz w:val="20"/>
                <w:szCs w:val="20"/>
              </w:rPr>
              <w:t xml:space="preserve"> </w:t>
            </w:r>
          </w:p>
        </w:tc>
        <w:tc>
          <w:tcPr>
            <w:tcW w:w="868" w:type="pct"/>
            <w:tcBorders>
              <w:top w:val="single" w:sz="4" w:space="0" w:color="FFFFFF" w:themeColor="background1"/>
              <w:left w:val="nil"/>
              <w:bottom w:val="single" w:sz="4" w:space="0" w:color="auto"/>
              <w:right w:val="nil"/>
            </w:tcBorders>
          </w:tcPr>
          <w:p w14:paraId="18D6EF62" w14:textId="1616CA53" w:rsidR="0073797B" w:rsidRPr="006D4208" w:rsidRDefault="00B3022D" w:rsidP="00AF5A74">
            <w:pPr>
              <w:jc w:val="right"/>
              <w:rPr>
                <w:rFonts w:asciiTheme="minorHAnsi" w:hAnsiTheme="minorHAnsi" w:cstheme="minorBidi"/>
                <w:sz w:val="20"/>
                <w:szCs w:val="20"/>
              </w:rPr>
            </w:pPr>
            <w:r w:rsidRPr="0907C099">
              <w:rPr>
                <w:rFonts w:asciiTheme="minorHAnsi" w:hAnsiTheme="minorHAnsi" w:cstheme="minorBidi"/>
                <w:sz w:val="20"/>
                <w:szCs w:val="20"/>
              </w:rPr>
              <w:t>802.0</w:t>
            </w:r>
            <w:r w:rsidR="0073797B" w:rsidRPr="0907C099">
              <w:rPr>
                <w:rFonts w:asciiTheme="minorHAnsi" w:hAnsiTheme="minorHAnsi" w:cstheme="minorBidi"/>
                <w:sz w:val="20"/>
                <w:szCs w:val="20"/>
              </w:rPr>
              <w:t xml:space="preserve"> </w:t>
            </w:r>
          </w:p>
        </w:tc>
        <w:tc>
          <w:tcPr>
            <w:tcW w:w="852" w:type="pct"/>
            <w:tcBorders>
              <w:top w:val="single" w:sz="4" w:space="0" w:color="FFFFFF" w:themeColor="background1"/>
              <w:left w:val="nil"/>
              <w:bottom w:val="single" w:sz="4" w:space="0" w:color="auto"/>
              <w:right w:val="nil"/>
            </w:tcBorders>
          </w:tcPr>
          <w:p w14:paraId="08AA3D93" w14:textId="61264254" w:rsidR="0073797B" w:rsidRPr="006D4208" w:rsidRDefault="00B3022D" w:rsidP="00AF5A74">
            <w:pPr>
              <w:jc w:val="right"/>
              <w:rPr>
                <w:rFonts w:asciiTheme="minorHAnsi" w:hAnsiTheme="minorHAnsi" w:cstheme="minorBidi"/>
                <w:i/>
                <w:sz w:val="20"/>
                <w:szCs w:val="20"/>
              </w:rPr>
            </w:pPr>
            <w:r w:rsidRPr="0907C099">
              <w:rPr>
                <w:rFonts w:asciiTheme="minorHAnsi" w:hAnsiTheme="minorHAnsi" w:cstheme="minorBidi"/>
                <w:i/>
                <w:sz w:val="20"/>
                <w:szCs w:val="20"/>
              </w:rPr>
              <w:t>6.1</w:t>
            </w:r>
          </w:p>
        </w:tc>
      </w:tr>
      <w:tr w:rsidR="0073797B" w:rsidRPr="00073BEC" w14:paraId="6CE19FCB" w14:textId="77777777" w:rsidTr="0010719F">
        <w:trPr>
          <w:trHeight w:val="240"/>
        </w:trPr>
        <w:tc>
          <w:tcPr>
            <w:tcW w:w="2552" w:type="pct"/>
            <w:tcBorders>
              <w:top w:val="single" w:sz="4" w:space="0" w:color="auto"/>
              <w:left w:val="nil"/>
              <w:bottom w:val="single" w:sz="4" w:space="0" w:color="auto"/>
              <w:right w:val="nil"/>
            </w:tcBorders>
            <w:vAlign w:val="center"/>
          </w:tcPr>
          <w:p w14:paraId="1DD323A5" w14:textId="77777777" w:rsidR="0073797B" w:rsidRPr="006D4208" w:rsidRDefault="0073797B" w:rsidP="00AF5A74">
            <w:pPr>
              <w:ind w:right="115"/>
              <w:rPr>
                <w:rFonts w:asciiTheme="minorHAnsi" w:eastAsia="Poppins" w:hAnsiTheme="minorHAnsi" w:cstheme="minorBidi"/>
                <w:sz w:val="20"/>
                <w:szCs w:val="20"/>
              </w:rPr>
            </w:pPr>
          </w:p>
        </w:tc>
        <w:tc>
          <w:tcPr>
            <w:tcW w:w="729" w:type="pct"/>
            <w:tcBorders>
              <w:top w:val="single" w:sz="4" w:space="0" w:color="auto"/>
              <w:left w:val="nil"/>
              <w:bottom w:val="single" w:sz="4" w:space="0" w:color="auto"/>
              <w:right w:val="nil"/>
            </w:tcBorders>
            <w:shd w:val="clear" w:color="auto" w:fill="auto"/>
          </w:tcPr>
          <w:p w14:paraId="480B3E44" w14:textId="77777777" w:rsidR="0073797B" w:rsidRPr="006D4208" w:rsidRDefault="0073797B" w:rsidP="00AF5A74">
            <w:pPr>
              <w:jc w:val="right"/>
              <w:rPr>
                <w:rFonts w:asciiTheme="minorHAnsi" w:hAnsiTheme="minorHAnsi" w:cstheme="minorBidi"/>
                <w:b/>
                <w:sz w:val="20"/>
                <w:szCs w:val="20"/>
              </w:rPr>
            </w:pPr>
          </w:p>
        </w:tc>
        <w:tc>
          <w:tcPr>
            <w:tcW w:w="868" w:type="pct"/>
            <w:tcBorders>
              <w:top w:val="single" w:sz="4" w:space="0" w:color="auto"/>
              <w:left w:val="nil"/>
              <w:bottom w:val="single" w:sz="4" w:space="0" w:color="auto"/>
              <w:right w:val="nil"/>
            </w:tcBorders>
          </w:tcPr>
          <w:p w14:paraId="7260A1EC" w14:textId="77777777" w:rsidR="0073797B" w:rsidRPr="006D4208" w:rsidRDefault="0073797B" w:rsidP="00AF5A74">
            <w:pPr>
              <w:jc w:val="right"/>
              <w:rPr>
                <w:rFonts w:asciiTheme="minorHAnsi" w:hAnsiTheme="minorHAnsi" w:cstheme="minorBidi"/>
                <w:sz w:val="20"/>
                <w:szCs w:val="20"/>
              </w:rPr>
            </w:pPr>
          </w:p>
        </w:tc>
        <w:tc>
          <w:tcPr>
            <w:tcW w:w="852" w:type="pct"/>
            <w:tcBorders>
              <w:top w:val="single" w:sz="4" w:space="0" w:color="auto"/>
              <w:left w:val="nil"/>
              <w:bottom w:val="single" w:sz="4" w:space="0" w:color="auto"/>
              <w:right w:val="nil"/>
            </w:tcBorders>
          </w:tcPr>
          <w:p w14:paraId="0030D82B" w14:textId="77777777" w:rsidR="0073797B" w:rsidRPr="006D4208" w:rsidRDefault="0073797B" w:rsidP="00AF5A74">
            <w:pPr>
              <w:jc w:val="right"/>
              <w:rPr>
                <w:rFonts w:asciiTheme="minorHAnsi" w:hAnsiTheme="minorHAnsi" w:cstheme="minorBidi"/>
                <w:i/>
                <w:sz w:val="20"/>
                <w:szCs w:val="20"/>
              </w:rPr>
            </w:pPr>
          </w:p>
        </w:tc>
      </w:tr>
      <w:tr w:rsidR="0073797B" w:rsidRPr="00073BEC" w14:paraId="213450B7" w14:textId="77777777" w:rsidTr="0907C099">
        <w:trPr>
          <w:trHeight w:val="240"/>
        </w:trPr>
        <w:tc>
          <w:tcPr>
            <w:tcW w:w="2552" w:type="pct"/>
            <w:tcBorders>
              <w:top w:val="single" w:sz="4" w:space="0" w:color="auto"/>
              <w:left w:val="nil"/>
              <w:bottom w:val="single" w:sz="4" w:space="0" w:color="FFFFFF" w:themeColor="background1"/>
              <w:right w:val="nil"/>
            </w:tcBorders>
            <w:vAlign w:val="center"/>
          </w:tcPr>
          <w:p w14:paraId="26BC151A" w14:textId="77777777" w:rsidR="0073797B" w:rsidRPr="006D4208" w:rsidRDefault="0073797B" w:rsidP="00AF5A74">
            <w:pPr>
              <w:ind w:right="115"/>
              <w:rPr>
                <w:rFonts w:asciiTheme="minorHAnsi" w:eastAsia="Poppins" w:hAnsiTheme="minorHAnsi" w:cstheme="minorBidi"/>
                <w:sz w:val="20"/>
                <w:szCs w:val="20"/>
              </w:rPr>
            </w:pPr>
            <w:r w:rsidRPr="0907C099">
              <w:rPr>
                <w:rFonts w:asciiTheme="minorHAnsi" w:eastAsia="Poppins" w:hAnsiTheme="minorHAnsi" w:cstheme="minorBidi"/>
                <w:sz w:val="20"/>
                <w:szCs w:val="20"/>
              </w:rPr>
              <w:t>Interest income</w:t>
            </w:r>
          </w:p>
        </w:tc>
        <w:tc>
          <w:tcPr>
            <w:tcW w:w="729" w:type="pct"/>
            <w:tcBorders>
              <w:top w:val="single" w:sz="4" w:space="0" w:color="auto"/>
              <w:left w:val="nil"/>
              <w:bottom w:val="nil"/>
              <w:right w:val="nil"/>
            </w:tcBorders>
            <w:shd w:val="clear" w:color="auto" w:fill="F2F2F2" w:themeFill="background1" w:themeFillShade="F2"/>
          </w:tcPr>
          <w:p w14:paraId="18824CF5" w14:textId="6DC593D7" w:rsidR="0073797B" w:rsidRPr="006D4208" w:rsidRDefault="00F508AB" w:rsidP="00AF5A74">
            <w:pPr>
              <w:jc w:val="right"/>
              <w:rPr>
                <w:rFonts w:asciiTheme="minorHAnsi" w:hAnsiTheme="minorHAnsi" w:cstheme="minorBidi"/>
                <w:b/>
                <w:sz w:val="20"/>
                <w:szCs w:val="20"/>
              </w:rPr>
            </w:pPr>
            <w:r w:rsidRPr="0907C099">
              <w:rPr>
                <w:rFonts w:asciiTheme="minorHAnsi" w:hAnsiTheme="minorHAnsi" w:cstheme="minorBidi"/>
                <w:b/>
                <w:sz w:val="20"/>
                <w:szCs w:val="20"/>
              </w:rPr>
              <w:t>69.8</w:t>
            </w:r>
            <w:r w:rsidR="0073797B" w:rsidRPr="0907C099">
              <w:rPr>
                <w:rFonts w:asciiTheme="minorHAnsi" w:hAnsiTheme="minorHAnsi" w:cstheme="minorBidi"/>
                <w:b/>
                <w:sz w:val="20"/>
                <w:szCs w:val="20"/>
              </w:rPr>
              <w:t xml:space="preserve"> </w:t>
            </w:r>
          </w:p>
        </w:tc>
        <w:tc>
          <w:tcPr>
            <w:tcW w:w="868" w:type="pct"/>
            <w:tcBorders>
              <w:top w:val="single" w:sz="4" w:space="0" w:color="auto"/>
              <w:left w:val="nil"/>
              <w:bottom w:val="single" w:sz="4" w:space="0" w:color="FFFFFF" w:themeColor="background1"/>
              <w:right w:val="nil"/>
            </w:tcBorders>
          </w:tcPr>
          <w:p w14:paraId="59CF038E" w14:textId="3926BF88" w:rsidR="0073797B" w:rsidRPr="006D4208" w:rsidRDefault="009726DE" w:rsidP="00AF5A74">
            <w:pPr>
              <w:jc w:val="right"/>
              <w:rPr>
                <w:rFonts w:asciiTheme="minorHAnsi" w:hAnsiTheme="minorHAnsi" w:cstheme="minorBidi"/>
                <w:sz w:val="20"/>
                <w:szCs w:val="20"/>
              </w:rPr>
            </w:pPr>
            <w:r w:rsidRPr="0907C099">
              <w:rPr>
                <w:rFonts w:asciiTheme="minorHAnsi" w:hAnsiTheme="minorHAnsi" w:cstheme="minorBidi"/>
                <w:sz w:val="20"/>
                <w:szCs w:val="20"/>
              </w:rPr>
              <w:t>72.8</w:t>
            </w:r>
            <w:r w:rsidR="0073797B" w:rsidRPr="0907C099">
              <w:rPr>
                <w:rFonts w:asciiTheme="minorHAnsi" w:hAnsiTheme="minorHAnsi" w:cstheme="minorBidi"/>
                <w:sz w:val="20"/>
                <w:szCs w:val="20"/>
              </w:rPr>
              <w:t xml:space="preserve"> </w:t>
            </w:r>
          </w:p>
        </w:tc>
        <w:tc>
          <w:tcPr>
            <w:tcW w:w="852" w:type="pct"/>
            <w:tcBorders>
              <w:top w:val="single" w:sz="4" w:space="0" w:color="auto"/>
              <w:left w:val="nil"/>
              <w:bottom w:val="single" w:sz="4" w:space="0" w:color="FFFFFF" w:themeColor="background1"/>
              <w:right w:val="nil"/>
            </w:tcBorders>
          </w:tcPr>
          <w:p w14:paraId="75C85365" w14:textId="181F40A4" w:rsidR="0073797B" w:rsidRPr="006D4208" w:rsidRDefault="00363FAD" w:rsidP="00AF5A74">
            <w:pPr>
              <w:jc w:val="right"/>
              <w:rPr>
                <w:rFonts w:asciiTheme="minorHAnsi" w:hAnsiTheme="minorHAnsi" w:cstheme="minorBidi"/>
                <w:i/>
                <w:sz w:val="20"/>
                <w:szCs w:val="20"/>
              </w:rPr>
            </w:pPr>
            <w:r w:rsidRPr="0907C099">
              <w:rPr>
                <w:rFonts w:asciiTheme="minorHAnsi" w:hAnsiTheme="minorHAnsi" w:cstheme="minorBidi"/>
                <w:i/>
                <w:sz w:val="20"/>
                <w:szCs w:val="20"/>
              </w:rPr>
              <w:t>(4.1)</w:t>
            </w:r>
          </w:p>
        </w:tc>
      </w:tr>
      <w:tr w:rsidR="0073797B" w:rsidRPr="00073BEC" w14:paraId="05D6D505" w14:textId="77777777" w:rsidTr="0907C099">
        <w:trPr>
          <w:trHeight w:val="240"/>
        </w:trPr>
        <w:tc>
          <w:tcPr>
            <w:tcW w:w="2552" w:type="pct"/>
            <w:tcBorders>
              <w:top w:val="single" w:sz="4" w:space="0" w:color="FFFFFF" w:themeColor="background1"/>
              <w:left w:val="nil"/>
              <w:bottom w:val="single" w:sz="4" w:space="0" w:color="auto"/>
              <w:right w:val="nil"/>
            </w:tcBorders>
            <w:vAlign w:val="center"/>
          </w:tcPr>
          <w:p w14:paraId="6F093C3E" w14:textId="77777777" w:rsidR="0073797B" w:rsidRPr="006D4208" w:rsidRDefault="0073797B" w:rsidP="00AF5A74">
            <w:pPr>
              <w:ind w:right="115"/>
              <w:rPr>
                <w:rFonts w:asciiTheme="minorHAnsi" w:eastAsia="Poppins" w:hAnsiTheme="minorHAnsi" w:cstheme="minorBidi"/>
                <w:sz w:val="20"/>
                <w:szCs w:val="20"/>
              </w:rPr>
            </w:pPr>
            <w:r w:rsidRPr="0907C099">
              <w:rPr>
                <w:rFonts w:asciiTheme="minorHAnsi" w:eastAsia="Poppins" w:hAnsiTheme="minorHAnsi" w:cstheme="minorBidi"/>
                <w:sz w:val="20"/>
                <w:szCs w:val="20"/>
              </w:rPr>
              <w:t>Interest expense</w:t>
            </w:r>
          </w:p>
        </w:tc>
        <w:tc>
          <w:tcPr>
            <w:tcW w:w="729" w:type="pct"/>
            <w:tcBorders>
              <w:top w:val="nil"/>
              <w:left w:val="nil"/>
              <w:bottom w:val="single" w:sz="4" w:space="0" w:color="auto"/>
              <w:right w:val="nil"/>
            </w:tcBorders>
            <w:shd w:val="clear" w:color="auto" w:fill="F2F2F2" w:themeFill="background1" w:themeFillShade="F2"/>
          </w:tcPr>
          <w:p w14:paraId="50590677" w14:textId="0F83EE76" w:rsidR="0073797B" w:rsidRPr="006D4208" w:rsidRDefault="0073797B" w:rsidP="00AF5A74">
            <w:pPr>
              <w:jc w:val="right"/>
              <w:rPr>
                <w:rFonts w:asciiTheme="minorHAnsi" w:hAnsiTheme="minorHAnsi" w:cstheme="minorBidi"/>
                <w:b/>
                <w:sz w:val="20"/>
                <w:szCs w:val="20"/>
              </w:rPr>
            </w:pPr>
            <w:r w:rsidRPr="0907C099">
              <w:rPr>
                <w:rFonts w:asciiTheme="minorHAnsi" w:hAnsiTheme="minorHAnsi" w:cstheme="minorBidi"/>
                <w:b/>
                <w:sz w:val="20"/>
                <w:szCs w:val="20"/>
              </w:rPr>
              <w:t>(</w:t>
            </w:r>
            <w:r w:rsidR="00F508AB" w:rsidRPr="0907C099">
              <w:rPr>
                <w:rFonts w:asciiTheme="minorHAnsi" w:hAnsiTheme="minorHAnsi" w:cstheme="minorBidi"/>
                <w:b/>
                <w:sz w:val="20"/>
                <w:szCs w:val="20"/>
              </w:rPr>
              <w:t>1</w:t>
            </w:r>
            <w:r w:rsidR="00200F70" w:rsidRPr="0907C099">
              <w:rPr>
                <w:rFonts w:asciiTheme="minorHAnsi" w:hAnsiTheme="minorHAnsi" w:cstheme="minorBidi"/>
                <w:b/>
                <w:sz w:val="20"/>
                <w:szCs w:val="20"/>
              </w:rPr>
              <w:t>9.9</w:t>
            </w:r>
            <w:r w:rsidRPr="0907C099">
              <w:rPr>
                <w:rFonts w:asciiTheme="minorHAnsi" w:hAnsiTheme="minorHAnsi" w:cstheme="minorBidi"/>
                <w:b/>
                <w:sz w:val="20"/>
                <w:szCs w:val="20"/>
              </w:rPr>
              <w:t xml:space="preserve">) </w:t>
            </w:r>
          </w:p>
        </w:tc>
        <w:tc>
          <w:tcPr>
            <w:tcW w:w="868" w:type="pct"/>
            <w:tcBorders>
              <w:top w:val="single" w:sz="4" w:space="0" w:color="FFFFFF" w:themeColor="background1"/>
              <w:left w:val="nil"/>
              <w:bottom w:val="single" w:sz="4" w:space="0" w:color="auto"/>
              <w:right w:val="nil"/>
            </w:tcBorders>
          </w:tcPr>
          <w:p w14:paraId="0259EB76" w14:textId="6B36CF1B" w:rsidR="0073797B" w:rsidRPr="006D4208" w:rsidRDefault="0073797B" w:rsidP="00AF5A74">
            <w:pPr>
              <w:jc w:val="right"/>
              <w:rPr>
                <w:rFonts w:asciiTheme="minorHAnsi" w:hAnsiTheme="minorHAnsi" w:cstheme="minorBidi"/>
                <w:sz w:val="20"/>
                <w:szCs w:val="20"/>
              </w:rPr>
            </w:pPr>
            <w:r w:rsidRPr="0907C099">
              <w:rPr>
                <w:rFonts w:asciiTheme="minorHAnsi" w:hAnsiTheme="minorHAnsi" w:cstheme="minorBidi"/>
                <w:sz w:val="20"/>
                <w:szCs w:val="20"/>
              </w:rPr>
              <w:t>(</w:t>
            </w:r>
            <w:r w:rsidR="009726DE" w:rsidRPr="0907C099">
              <w:rPr>
                <w:rFonts w:asciiTheme="minorHAnsi" w:hAnsiTheme="minorHAnsi" w:cstheme="minorBidi"/>
                <w:sz w:val="20"/>
                <w:szCs w:val="20"/>
              </w:rPr>
              <w:t>12.3</w:t>
            </w:r>
            <w:r w:rsidRPr="0907C099">
              <w:rPr>
                <w:rFonts w:asciiTheme="minorHAnsi" w:hAnsiTheme="minorHAnsi" w:cstheme="minorBidi"/>
                <w:sz w:val="20"/>
                <w:szCs w:val="20"/>
              </w:rPr>
              <w:t xml:space="preserve">) </w:t>
            </w:r>
          </w:p>
        </w:tc>
        <w:tc>
          <w:tcPr>
            <w:tcW w:w="852" w:type="pct"/>
            <w:tcBorders>
              <w:top w:val="single" w:sz="4" w:space="0" w:color="FFFFFF" w:themeColor="background1"/>
              <w:left w:val="nil"/>
              <w:bottom w:val="single" w:sz="4" w:space="0" w:color="auto"/>
              <w:right w:val="nil"/>
            </w:tcBorders>
          </w:tcPr>
          <w:p w14:paraId="4EAAB461" w14:textId="3EB52454" w:rsidR="0073797B" w:rsidRPr="006D4208" w:rsidRDefault="00D618E6" w:rsidP="00AF5A74">
            <w:pPr>
              <w:jc w:val="right"/>
              <w:rPr>
                <w:rFonts w:asciiTheme="minorHAnsi" w:hAnsiTheme="minorHAnsi" w:cstheme="minorBidi"/>
                <w:i/>
                <w:sz w:val="20"/>
                <w:szCs w:val="20"/>
              </w:rPr>
            </w:pPr>
            <w:r w:rsidRPr="0907C099">
              <w:rPr>
                <w:rFonts w:asciiTheme="minorHAnsi" w:hAnsiTheme="minorHAnsi" w:cstheme="minorBidi"/>
                <w:i/>
                <w:sz w:val="20"/>
                <w:szCs w:val="20"/>
              </w:rPr>
              <w:t>61.8</w:t>
            </w:r>
          </w:p>
        </w:tc>
      </w:tr>
      <w:tr w:rsidR="0073797B" w:rsidRPr="00073BEC" w14:paraId="702BD566" w14:textId="77777777" w:rsidTr="0907C099">
        <w:trPr>
          <w:trHeight w:val="240"/>
        </w:trPr>
        <w:tc>
          <w:tcPr>
            <w:tcW w:w="2552" w:type="pct"/>
            <w:tcBorders>
              <w:top w:val="single" w:sz="4" w:space="0" w:color="auto"/>
              <w:left w:val="nil"/>
              <w:bottom w:val="single" w:sz="4" w:space="0" w:color="FFFFFF" w:themeColor="background1"/>
              <w:right w:val="nil"/>
            </w:tcBorders>
            <w:vAlign w:val="center"/>
          </w:tcPr>
          <w:p w14:paraId="1DB6DAE3" w14:textId="77777777" w:rsidR="0073797B" w:rsidRPr="006D4208" w:rsidRDefault="0073797B" w:rsidP="00AF5A74">
            <w:pPr>
              <w:ind w:right="115"/>
              <w:rPr>
                <w:rFonts w:asciiTheme="minorHAnsi" w:eastAsia="Poppins" w:hAnsiTheme="minorHAnsi" w:cstheme="minorBidi"/>
                <w:b/>
                <w:sz w:val="20"/>
                <w:szCs w:val="20"/>
              </w:rPr>
            </w:pPr>
            <w:r w:rsidRPr="0907C099">
              <w:rPr>
                <w:rFonts w:asciiTheme="minorHAnsi" w:eastAsia="Poppins" w:hAnsiTheme="minorHAnsi" w:cstheme="minorBidi"/>
                <w:b/>
                <w:sz w:val="20"/>
                <w:szCs w:val="20"/>
              </w:rPr>
              <w:t>Net interest income</w:t>
            </w:r>
          </w:p>
        </w:tc>
        <w:tc>
          <w:tcPr>
            <w:tcW w:w="729" w:type="pct"/>
            <w:tcBorders>
              <w:top w:val="single" w:sz="4" w:space="0" w:color="auto"/>
              <w:left w:val="nil"/>
              <w:bottom w:val="nil"/>
              <w:right w:val="nil"/>
            </w:tcBorders>
            <w:shd w:val="clear" w:color="auto" w:fill="F2F2F2" w:themeFill="background1" w:themeFillShade="F2"/>
          </w:tcPr>
          <w:p w14:paraId="0AF8078A" w14:textId="78A570EF" w:rsidR="0073797B" w:rsidRPr="006D4208" w:rsidRDefault="00200F70" w:rsidP="00AF5A74">
            <w:pPr>
              <w:jc w:val="right"/>
              <w:rPr>
                <w:rFonts w:asciiTheme="minorHAnsi" w:hAnsiTheme="minorHAnsi" w:cstheme="minorBidi"/>
                <w:b/>
                <w:sz w:val="20"/>
                <w:szCs w:val="20"/>
              </w:rPr>
            </w:pPr>
            <w:r w:rsidRPr="0907C099">
              <w:rPr>
                <w:rFonts w:asciiTheme="minorHAnsi" w:hAnsiTheme="minorHAnsi" w:cstheme="minorBidi"/>
                <w:b/>
                <w:sz w:val="20"/>
                <w:szCs w:val="20"/>
              </w:rPr>
              <w:t>49.9</w:t>
            </w:r>
            <w:r w:rsidR="0073797B" w:rsidRPr="0907C099">
              <w:rPr>
                <w:rFonts w:asciiTheme="minorHAnsi" w:hAnsiTheme="minorHAnsi" w:cstheme="minorBidi"/>
                <w:b/>
                <w:sz w:val="20"/>
                <w:szCs w:val="20"/>
              </w:rPr>
              <w:t xml:space="preserve"> </w:t>
            </w:r>
          </w:p>
        </w:tc>
        <w:tc>
          <w:tcPr>
            <w:tcW w:w="868" w:type="pct"/>
            <w:tcBorders>
              <w:top w:val="single" w:sz="4" w:space="0" w:color="auto"/>
              <w:left w:val="nil"/>
              <w:bottom w:val="single" w:sz="4" w:space="0" w:color="FFFFFF" w:themeColor="background1"/>
              <w:right w:val="nil"/>
            </w:tcBorders>
          </w:tcPr>
          <w:p w14:paraId="68460123" w14:textId="01E50D8E" w:rsidR="0073797B" w:rsidRPr="006D4208" w:rsidRDefault="009726DE" w:rsidP="00AF5A74">
            <w:pPr>
              <w:jc w:val="right"/>
              <w:rPr>
                <w:rFonts w:asciiTheme="minorHAnsi" w:hAnsiTheme="minorHAnsi" w:cstheme="minorBidi"/>
                <w:sz w:val="20"/>
                <w:szCs w:val="20"/>
              </w:rPr>
            </w:pPr>
            <w:r w:rsidRPr="0907C099">
              <w:rPr>
                <w:rFonts w:asciiTheme="minorHAnsi" w:hAnsiTheme="minorHAnsi" w:cstheme="minorBidi"/>
                <w:sz w:val="20"/>
                <w:szCs w:val="20"/>
              </w:rPr>
              <w:t>60.5</w:t>
            </w:r>
            <w:r w:rsidR="0073797B" w:rsidRPr="0907C099">
              <w:rPr>
                <w:rFonts w:asciiTheme="minorHAnsi" w:hAnsiTheme="minorHAnsi" w:cstheme="minorBidi"/>
                <w:sz w:val="20"/>
                <w:szCs w:val="20"/>
              </w:rPr>
              <w:t xml:space="preserve"> </w:t>
            </w:r>
          </w:p>
        </w:tc>
        <w:tc>
          <w:tcPr>
            <w:tcW w:w="852" w:type="pct"/>
            <w:tcBorders>
              <w:top w:val="single" w:sz="4" w:space="0" w:color="auto"/>
              <w:left w:val="nil"/>
              <w:bottom w:val="single" w:sz="4" w:space="0" w:color="FFFFFF" w:themeColor="background1"/>
              <w:right w:val="nil"/>
            </w:tcBorders>
          </w:tcPr>
          <w:p w14:paraId="60A68AE8" w14:textId="5D2DEBAC" w:rsidR="0073797B" w:rsidRPr="006D4208" w:rsidRDefault="00BB159C" w:rsidP="00AF5A74">
            <w:pPr>
              <w:jc w:val="right"/>
              <w:rPr>
                <w:rFonts w:asciiTheme="minorHAnsi" w:hAnsiTheme="minorHAnsi" w:cstheme="minorBidi"/>
                <w:i/>
                <w:sz w:val="20"/>
                <w:szCs w:val="20"/>
              </w:rPr>
            </w:pPr>
            <w:r w:rsidRPr="0907C099">
              <w:rPr>
                <w:rFonts w:asciiTheme="minorHAnsi" w:hAnsiTheme="minorHAnsi" w:cstheme="minorBidi"/>
                <w:i/>
                <w:sz w:val="20"/>
                <w:szCs w:val="20"/>
              </w:rPr>
              <w:t>(17.5)</w:t>
            </w:r>
          </w:p>
        </w:tc>
      </w:tr>
      <w:tr w:rsidR="0073797B" w:rsidRPr="00073BEC" w14:paraId="23162F48" w14:textId="77777777" w:rsidTr="0907C099">
        <w:trPr>
          <w:trHeight w:val="240"/>
        </w:trPr>
        <w:tc>
          <w:tcPr>
            <w:tcW w:w="2552" w:type="pct"/>
            <w:tcBorders>
              <w:top w:val="single" w:sz="4" w:space="0" w:color="FFFFFF" w:themeColor="background1"/>
              <w:left w:val="nil"/>
              <w:bottom w:val="single" w:sz="4" w:space="0" w:color="auto"/>
              <w:right w:val="nil"/>
            </w:tcBorders>
            <w:vAlign w:val="center"/>
          </w:tcPr>
          <w:p w14:paraId="5CA69234" w14:textId="77777777" w:rsidR="0073797B" w:rsidRPr="006D4208" w:rsidRDefault="0073797B" w:rsidP="00AF5A74">
            <w:pPr>
              <w:ind w:right="115"/>
              <w:rPr>
                <w:rFonts w:asciiTheme="minorHAnsi" w:eastAsia="Poppins" w:hAnsiTheme="minorHAnsi" w:cstheme="minorBidi"/>
                <w:sz w:val="20"/>
                <w:szCs w:val="20"/>
              </w:rPr>
            </w:pPr>
            <w:r w:rsidRPr="0907C099">
              <w:rPr>
                <w:rFonts w:asciiTheme="minorHAnsi" w:eastAsia="Poppins" w:hAnsiTheme="minorHAnsi" w:cstheme="minorBidi"/>
                <w:sz w:val="20"/>
                <w:szCs w:val="20"/>
              </w:rPr>
              <w:t>Other income</w:t>
            </w:r>
          </w:p>
        </w:tc>
        <w:tc>
          <w:tcPr>
            <w:tcW w:w="729" w:type="pct"/>
            <w:tcBorders>
              <w:top w:val="nil"/>
              <w:left w:val="nil"/>
              <w:bottom w:val="single" w:sz="4" w:space="0" w:color="auto"/>
              <w:right w:val="nil"/>
            </w:tcBorders>
            <w:shd w:val="clear" w:color="auto" w:fill="F2F2F2" w:themeFill="background1" w:themeFillShade="F2"/>
          </w:tcPr>
          <w:p w14:paraId="7D43C14F" w14:textId="4A9087E2" w:rsidR="0073797B" w:rsidRPr="006D4208" w:rsidRDefault="00F508AB" w:rsidP="00AF5A74">
            <w:pPr>
              <w:jc w:val="right"/>
              <w:rPr>
                <w:rFonts w:asciiTheme="minorHAnsi" w:hAnsiTheme="minorHAnsi" w:cstheme="minorBidi"/>
                <w:b/>
                <w:sz w:val="20"/>
                <w:szCs w:val="20"/>
              </w:rPr>
            </w:pPr>
            <w:r w:rsidRPr="0907C099">
              <w:rPr>
                <w:rFonts w:asciiTheme="minorHAnsi" w:hAnsiTheme="minorHAnsi" w:cstheme="minorBidi"/>
                <w:b/>
                <w:sz w:val="20"/>
                <w:szCs w:val="20"/>
              </w:rPr>
              <w:t>-</w:t>
            </w:r>
          </w:p>
        </w:tc>
        <w:tc>
          <w:tcPr>
            <w:tcW w:w="868" w:type="pct"/>
            <w:tcBorders>
              <w:top w:val="single" w:sz="4" w:space="0" w:color="FFFFFF" w:themeColor="background1"/>
              <w:left w:val="nil"/>
              <w:bottom w:val="single" w:sz="4" w:space="0" w:color="auto"/>
              <w:right w:val="nil"/>
            </w:tcBorders>
          </w:tcPr>
          <w:p w14:paraId="2B5BED89" w14:textId="76CA7A7B" w:rsidR="0073797B" w:rsidRPr="006D4208" w:rsidRDefault="00CC66D3" w:rsidP="00AF5A74">
            <w:pPr>
              <w:jc w:val="right"/>
              <w:rPr>
                <w:rFonts w:asciiTheme="minorHAnsi" w:hAnsiTheme="minorHAnsi" w:cstheme="minorBidi"/>
                <w:sz w:val="20"/>
                <w:szCs w:val="20"/>
              </w:rPr>
            </w:pPr>
            <w:r w:rsidRPr="0907C099">
              <w:rPr>
                <w:rFonts w:asciiTheme="minorHAnsi" w:hAnsiTheme="minorHAnsi" w:cstheme="minorBidi"/>
                <w:sz w:val="20"/>
                <w:szCs w:val="20"/>
              </w:rPr>
              <w:t>1.6</w:t>
            </w:r>
            <w:r w:rsidR="0073797B" w:rsidRPr="0907C099">
              <w:rPr>
                <w:rFonts w:asciiTheme="minorHAnsi" w:hAnsiTheme="minorHAnsi" w:cstheme="minorBidi"/>
                <w:sz w:val="20"/>
                <w:szCs w:val="20"/>
              </w:rPr>
              <w:t xml:space="preserve"> </w:t>
            </w:r>
          </w:p>
        </w:tc>
        <w:tc>
          <w:tcPr>
            <w:tcW w:w="852" w:type="pct"/>
            <w:tcBorders>
              <w:top w:val="single" w:sz="4" w:space="0" w:color="FFFFFF" w:themeColor="background1"/>
              <w:left w:val="nil"/>
              <w:bottom w:val="single" w:sz="4" w:space="0" w:color="auto"/>
              <w:right w:val="nil"/>
            </w:tcBorders>
          </w:tcPr>
          <w:p w14:paraId="00B461BD" w14:textId="62015C28" w:rsidR="0073797B" w:rsidRPr="006D4208" w:rsidRDefault="0073797B" w:rsidP="00AF5A74">
            <w:pPr>
              <w:jc w:val="right"/>
              <w:rPr>
                <w:rFonts w:asciiTheme="minorHAnsi" w:hAnsiTheme="minorHAnsi" w:cstheme="minorBidi"/>
                <w:i/>
                <w:sz w:val="20"/>
                <w:szCs w:val="20"/>
              </w:rPr>
            </w:pPr>
            <w:r w:rsidRPr="0907C099">
              <w:rPr>
                <w:rFonts w:asciiTheme="minorHAnsi" w:hAnsiTheme="minorHAnsi" w:cstheme="minorBidi"/>
                <w:i/>
                <w:sz w:val="20"/>
                <w:szCs w:val="20"/>
              </w:rPr>
              <w:t>(</w:t>
            </w:r>
            <w:r w:rsidR="000B20B7" w:rsidRPr="0907C099">
              <w:rPr>
                <w:rFonts w:asciiTheme="minorHAnsi" w:hAnsiTheme="minorHAnsi" w:cstheme="minorBidi"/>
                <w:i/>
                <w:sz w:val="20"/>
                <w:szCs w:val="20"/>
              </w:rPr>
              <w:t>100</w:t>
            </w:r>
            <w:r w:rsidRPr="0907C099">
              <w:rPr>
                <w:rFonts w:asciiTheme="minorHAnsi" w:hAnsiTheme="minorHAnsi" w:cstheme="minorBidi"/>
                <w:i/>
                <w:sz w:val="20"/>
                <w:szCs w:val="20"/>
              </w:rPr>
              <w:t>)</w:t>
            </w:r>
          </w:p>
        </w:tc>
      </w:tr>
      <w:tr w:rsidR="0073797B" w:rsidRPr="00073BEC" w14:paraId="7F7AF534" w14:textId="77777777" w:rsidTr="0907C099">
        <w:trPr>
          <w:trHeight w:val="240"/>
        </w:trPr>
        <w:tc>
          <w:tcPr>
            <w:tcW w:w="2552" w:type="pct"/>
            <w:tcBorders>
              <w:top w:val="single" w:sz="4" w:space="0" w:color="auto"/>
              <w:left w:val="nil"/>
              <w:bottom w:val="single" w:sz="4" w:space="0" w:color="FFFFFF" w:themeColor="background1"/>
              <w:right w:val="nil"/>
            </w:tcBorders>
            <w:vAlign w:val="center"/>
          </w:tcPr>
          <w:p w14:paraId="2520A9A9" w14:textId="77777777" w:rsidR="0073797B" w:rsidRPr="006D4208" w:rsidRDefault="0073797B" w:rsidP="00AF5A74">
            <w:pPr>
              <w:ind w:right="115"/>
              <w:rPr>
                <w:rFonts w:asciiTheme="minorHAnsi" w:eastAsia="Poppins" w:hAnsiTheme="minorHAnsi" w:cstheme="minorBidi"/>
                <w:b/>
                <w:sz w:val="20"/>
                <w:szCs w:val="20"/>
              </w:rPr>
            </w:pPr>
            <w:r w:rsidRPr="0907C099">
              <w:rPr>
                <w:rFonts w:asciiTheme="minorHAnsi" w:eastAsia="Poppins" w:hAnsiTheme="minorHAnsi" w:cstheme="minorBidi"/>
                <w:b/>
                <w:sz w:val="20"/>
                <w:szCs w:val="20"/>
              </w:rPr>
              <w:t>Total income</w:t>
            </w:r>
          </w:p>
        </w:tc>
        <w:tc>
          <w:tcPr>
            <w:tcW w:w="729" w:type="pct"/>
            <w:tcBorders>
              <w:top w:val="single" w:sz="4" w:space="0" w:color="auto"/>
              <w:left w:val="nil"/>
              <w:bottom w:val="nil"/>
              <w:right w:val="nil"/>
            </w:tcBorders>
            <w:shd w:val="clear" w:color="auto" w:fill="F2F2F2" w:themeFill="background1" w:themeFillShade="F2"/>
          </w:tcPr>
          <w:p w14:paraId="711988D4" w14:textId="32B53C95" w:rsidR="0073797B" w:rsidRPr="006D4208" w:rsidRDefault="00200F70" w:rsidP="00AF5A74">
            <w:pPr>
              <w:jc w:val="right"/>
              <w:rPr>
                <w:rFonts w:asciiTheme="minorHAnsi" w:hAnsiTheme="minorHAnsi" w:cstheme="minorBidi"/>
                <w:b/>
                <w:sz w:val="20"/>
                <w:szCs w:val="20"/>
              </w:rPr>
            </w:pPr>
            <w:r w:rsidRPr="0907C099">
              <w:rPr>
                <w:rFonts w:asciiTheme="minorHAnsi" w:hAnsiTheme="minorHAnsi" w:cstheme="minorBidi"/>
                <w:b/>
                <w:sz w:val="20"/>
                <w:szCs w:val="20"/>
              </w:rPr>
              <w:t>49.9</w:t>
            </w:r>
            <w:r w:rsidR="0073797B" w:rsidRPr="0907C099">
              <w:rPr>
                <w:rFonts w:asciiTheme="minorHAnsi" w:hAnsiTheme="minorHAnsi" w:cstheme="minorBidi"/>
                <w:b/>
                <w:sz w:val="20"/>
                <w:szCs w:val="20"/>
              </w:rPr>
              <w:t xml:space="preserve"> </w:t>
            </w:r>
          </w:p>
        </w:tc>
        <w:tc>
          <w:tcPr>
            <w:tcW w:w="868" w:type="pct"/>
            <w:tcBorders>
              <w:top w:val="single" w:sz="4" w:space="0" w:color="auto"/>
              <w:left w:val="nil"/>
              <w:bottom w:val="single" w:sz="4" w:space="0" w:color="FFFFFF" w:themeColor="background1"/>
              <w:right w:val="nil"/>
            </w:tcBorders>
          </w:tcPr>
          <w:p w14:paraId="7BA319B2" w14:textId="7A211717" w:rsidR="0073797B" w:rsidRPr="006D4208" w:rsidRDefault="00C26442" w:rsidP="00AF5A74">
            <w:pPr>
              <w:jc w:val="right"/>
              <w:rPr>
                <w:rFonts w:asciiTheme="minorHAnsi" w:hAnsiTheme="minorHAnsi" w:cstheme="minorBidi"/>
                <w:sz w:val="20"/>
                <w:szCs w:val="20"/>
              </w:rPr>
            </w:pPr>
            <w:r w:rsidRPr="0907C099">
              <w:rPr>
                <w:rFonts w:asciiTheme="minorHAnsi" w:hAnsiTheme="minorHAnsi" w:cstheme="minorBidi"/>
                <w:sz w:val="20"/>
                <w:szCs w:val="20"/>
              </w:rPr>
              <w:t>62.1</w:t>
            </w:r>
            <w:r w:rsidR="0073797B" w:rsidRPr="0907C099">
              <w:rPr>
                <w:rFonts w:asciiTheme="minorHAnsi" w:hAnsiTheme="minorHAnsi" w:cstheme="minorBidi"/>
                <w:sz w:val="20"/>
                <w:szCs w:val="20"/>
              </w:rPr>
              <w:t xml:space="preserve"> </w:t>
            </w:r>
          </w:p>
        </w:tc>
        <w:tc>
          <w:tcPr>
            <w:tcW w:w="852" w:type="pct"/>
            <w:tcBorders>
              <w:top w:val="single" w:sz="4" w:space="0" w:color="auto"/>
              <w:left w:val="nil"/>
              <w:bottom w:val="single" w:sz="4" w:space="0" w:color="FFFFFF" w:themeColor="background1"/>
              <w:right w:val="nil"/>
            </w:tcBorders>
          </w:tcPr>
          <w:p w14:paraId="3B1DC0D1" w14:textId="573B394C" w:rsidR="0073797B" w:rsidRPr="006D4208" w:rsidRDefault="008A6DB5" w:rsidP="00AF5A74">
            <w:pPr>
              <w:jc w:val="right"/>
              <w:rPr>
                <w:rFonts w:asciiTheme="minorHAnsi" w:hAnsiTheme="minorHAnsi" w:cstheme="minorBidi"/>
                <w:i/>
                <w:sz w:val="20"/>
                <w:szCs w:val="20"/>
              </w:rPr>
            </w:pPr>
            <w:r w:rsidRPr="0907C099">
              <w:rPr>
                <w:rFonts w:asciiTheme="minorHAnsi" w:hAnsiTheme="minorHAnsi" w:cstheme="minorBidi"/>
                <w:i/>
                <w:sz w:val="20"/>
                <w:szCs w:val="20"/>
              </w:rPr>
              <w:t>(19.6)</w:t>
            </w:r>
          </w:p>
        </w:tc>
      </w:tr>
      <w:tr w:rsidR="0073797B" w:rsidRPr="00073BEC" w14:paraId="4CD917BE" w14:textId="77777777" w:rsidTr="0907C099">
        <w:trPr>
          <w:trHeight w:val="240"/>
        </w:trPr>
        <w:tc>
          <w:tcPr>
            <w:tcW w:w="2552" w:type="pct"/>
            <w:tcBorders>
              <w:top w:val="single" w:sz="4" w:space="0" w:color="FFFFFF" w:themeColor="background1"/>
              <w:left w:val="nil"/>
              <w:bottom w:val="single" w:sz="4" w:space="0" w:color="auto"/>
              <w:right w:val="nil"/>
            </w:tcBorders>
            <w:vAlign w:val="center"/>
          </w:tcPr>
          <w:p w14:paraId="2B1DBF95" w14:textId="77777777" w:rsidR="0073797B" w:rsidRPr="006D4208" w:rsidRDefault="0073797B" w:rsidP="00AF5A74">
            <w:pPr>
              <w:ind w:right="115"/>
              <w:rPr>
                <w:rFonts w:asciiTheme="minorHAnsi" w:eastAsia="Poppins" w:hAnsiTheme="minorHAnsi" w:cstheme="minorBidi"/>
                <w:sz w:val="20"/>
                <w:szCs w:val="20"/>
              </w:rPr>
            </w:pPr>
            <w:r w:rsidRPr="0907C099">
              <w:rPr>
                <w:rFonts w:asciiTheme="minorHAnsi" w:eastAsia="Poppins" w:hAnsiTheme="minorHAnsi" w:cstheme="minorBidi"/>
                <w:sz w:val="20"/>
                <w:szCs w:val="20"/>
              </w:rPr>
              <w:t>Impairment charges</w:t>
            </w:r>
          </w:p>
        </w:tc>
        <w:tc>
          <w:tcPr>
            <w:tcW w:w="729" w:type="pct"/>
            <w:tcBorders>
              <w:top w:val="nil"/>
              <w:left w:val="nil"/>
              <w:bottom w:val="single" w:sz="4" w:space="0" w:color="auto"/>
              <w:right w:val="nil"/>
            </w:tcBorders>
            <w:shd w:val="clear" w:color="auto" w:fill="F2F2F2" w:themeFill="background1" w:themeFillShade="F2"/>
          </w:tcPr>
          <w:p w14:paraId="2F4B7BFD" w14:textId="2DBD82F5" w:rsidR="0073797B" w:rsidRPr="006D4208" w:rsidRDefault="0073797B" w:rsidP="00AF5A74">
            <w:pPr>
              <w:jc w:val="right"/>
              <w:rPr>
                <w:rFonts w:asciiTheme="minorHAnsi" w:hAnsiTheme="minorHAnsi" w:cstheme="minorBidi"/>
                <w:b/>
                <w:sz w:val="20"/>
                <w:szCs w:val="20"/>
              </w:rPr>
            </w:pPr>
            <w:r w:rsidRPr="0907C099">
              <w:rPr>
                <w:rFonts w:asciiTheme="minorHAnsi" w:hAnsiTheme="minorHAnsi" w:cstheme="minorBidi"/>
                <w:b/>
                <w:sz w:val="20"/>
                <w:szCs w:val="20"/>
              </w:rPr>
              <w:t>(</w:t>
            </w:r>
            <w:r w:rsidR="006D6AC3" w:rsidRPr="0907C099">
              <w:rPr>
                <w:rFonts w:asciiTheme="minorHAnsi" w:hAnsiTheme="minorHAnsi" w:cstheme="minorBidi"/>
                <w:b/>
                <w:sz w:val="20"/>
                <w:szCs w:val="20"/>
              </w:rPr>
              <w:t>30.3</w:t>
            </w:r>
            <w:r w:rsidRPr="0907C099">
              <w:rPr>
                <w:rFonts w:asciiTheme="minorHAnsi" w:hAnsiTheme="minorHAnsi" w:cstheme="minorBidi"/>
                <w:b/>
                <w:sz w:val="20"/>
                <w:szCs w:val="20"/>
              </w:rPr>
              <w:t xml:space="preserve">) </w:t>
            </w:r>
          </w:p>
        </w:tc>
        <w:tc>
          <w:tcPr>
            <w:tcW w:w="868" w:type="pct"/>
            <w:tcBorders>
              <w:top w:val="single" w:sz="4" w:space="0" w:color="FFFFFF" w:themeColor="background1"/>
              <w:left w:val="nil"/>
              <w:bottom w:val="single" w:sz="4" w:space="0" w:color="auto"/>
              <w:right w:val="nil"/>
            </w:tcBorders>
          </w:tcPr>
          <w:p w14:paraId="7DE06FF9" w14:textId="3285E0AF" w:rsidR="0073797B" w:rsidRPr="006D4208" w:rsidRDefault="0073797B" w:rsidP="00AF5A74">
            <w:pPr>
              <w:jc w:val="right"/>
              <w:rPr>
                <w:rFonts w:asciiTheme="minorHAnsi" w:hAnsiTheme="minorHAnsi" w:cstheme="minorBidi"/>
                <w:sz w:val="20"/>
                <w:szCs w:val="20"/>
              </w:rPr>
            </w:pPr>
            <w:r w:rsidRPr="0907C099">
              <w:rPr>
                <w:rFonts w:asciiTheme="minorHAnsi" w:hAnsiTheme="minorHAnsi" w:cstheme="minorBidi"/>
                <w:sz w:val="20"/>
                <w:szCs w:val="20"/>
              </w:rPr>
              <w:t>(</w:t>
            </w:r>
            <w:r w:rsidR="00763293" w:rsidRPr="198B8B94">
              <w:rPr>
                <w:rFonts w:asciiTheme="minorHAnsi" w:hAnsiTheme="minorHAnsi" w:cstheme="minorBidi"/>
                <w:sz w:val="20"/>
                <w:szCs w:val="20"/>
              </w:rPr>
              <w:t>2</w:t>
            </w:r>
            <w:r w:rsidR="00FB4C3D">
              <w:rPr>
                <w:rFonts w:asciiTheme="minorHAnsi" w:hAnsiTheme="minorHAnsi" w:cstheme="minorBidi"/>
                <w:sz w:val="20"/>
                <w:szCs w:val="20"/>
              </w:rPr>
              <w:t>6.6</w:t>
            </w:r>
            <w:r w:rsidRPr="0907C099">
              <w:rPr>
                <w:rFonts w:asciiTheme="minorHAnsi" w:hAnsiTheme="minorHAnsi" w:cstheme="minorBidi"/>
                <w:sz w:val="20"/>
                <w:szCs w:val="20"/>
              </w:rPr>
              <w:t xml:space="preserve">) </w:t>
            </w:r>
          </w:p>
        </w:tc>
        <w:tc>
          <w:tcPr>
            <w:tcW w:w="852" w:type="pct"/>
            <w:tcBorders>
              <w:top w:val="single" w:sz="4" w:space="0" w:color="FFFFFF" w:themeColor="background1"/>
              <w:left w:val="nil"/>
              <w:bottom w:val="single" w:sz="4" w:space="0" w:color="auto"/>
              <w:right w:val="nil"/>
            </w:tcBorders>
          </w:tcPr>
          <w:p w14:paraId="2634A635" w14:textId="630590B9" w:rsidR="0073797B" w:rsidRPr="006D4208" w:rsidRDefault="00A53EAF" w:rsidP="00AF5A74">
            <w:pPr>
              <w:jc w:val="right"/>
              <w:rPr>
                <w:rFonts w:asciiTheme="minorHAnsi" w:hAnsiTheme="minorHAnsi" w:cstheme="minorBidi"/>
                <w:i/>
                <w:sz w:val="20"/>
                <w:szCs w:val="20"/>
              </w:rPr>
            </w:pPr>
            <w:r>
              <w:rPr>
                <w:rFonts w:asciiTheme="minorHAnsi" w:hAnsiTheme="minorHAnsi" w:cstheme="minorBidi"/>
                <w:i/>
                <w:sz w:val="20"/>
                <w:szCs w:val="20"/>
              </w:rPr>
              <w:t>13.9</w:t>
            </w:r>
          </w:p>
        </w:tc>
      </w:tr>
      <w:tr w:rsidR="0073797B" w:rsidRPr="00073BEC" w14:paraId="7FE51BE7" w14:textId="77777777" w:rsidTr="0010719F">
        <w:trPr>
          <w:trHeight w:val="240"/>
        </w:trPr>
        <w:tc>
          <w:tcPr>
            <w:tcW w:w="2552" w:type="pct"/>
            <w:tcBorders>
              <w:top w:val="single" w:sz="4" w:space="0" w:color="auto"/>
              <w:left w:val="nil"/>
              <w:bottom w:val="single" w:sz="4" w:space="0" w:color="FFFFFF" w:themeColor="background1"/>
              <w:right w:val="nil"/>
            </w:tcBorders>
            <w:vAlign w:val="center"/>
          </w:tcPr>
          <w:p w14:paraId="3F70C1B8" w14:textId="77777777" w:rsidR="0073797B" w:rsidRPr="006D4208" w:rsidRDefault="0073797B" w:rsidP="00AF5A74">
            <w:pPr>
              <w:ind w:right="115"/>
              <w:rPr>
                <w:rFonts w:asciiTheme="minorHAnsi" w:eastAsia="Poppins" w:hAnsiTheme="minorHAnsi" w:cstheme="minorBidi"/>
                <w:sz w:val="20"/>
                <w:szCs w:val="20"/>
              </w:rPr>
            </w:pPr>
            <w:r w:rsidRPr="0907C099">
              <w:rPr>
                <w:rFonts w:asciiTheme="minorHAnsi" w:eastAsia="Poppins" w:hAnsiTheme="minorHAnsi" w:cstheme="minorBidi"/>
                <w:sz w:val="20"/>
                <w:szCs w:val="20"/>
              </w:rPr>
              <w:t>Risk adjusted income</w:t>
            </w:r>
          </w:p>
        </w:tc>
        <w:tc>
          <w:tcPr>
            <w:tcW w:w="729" w:type="pct"/>
            <w:tcBorders>
              <w:top w:val="single" w:sz="4" w:space="0" w:color="auto"/>
              <w:left w:val="nil"/>
              <w:bottom w:val="nil"/>
              <w:right w:val="nil"/>
            </w:tcBorders>
            <w:shd w:val="clear" w:color="auto" w:fill="F2F2F2" w:themeFill="background1" w:themeFillShade="F2"/>
          </w:tcPr>
          <w:p w14:paraId="63C486AF" w14:textId="23D6F797" w:rsidR="0073797B" w:rsidRPr="006D4208" w:rsidRDefault="00AC5BE1" w:rsidP="00AF5A74">
            <w:pPr>
              <w:jc w:val="right"/>
              <w:rPr>
                <w:rFonts w:asciiTheme="minorHAnsi" w:hAnsiTheme="minorHAnsi" w:cstheme="minorBidi"/>
                <w:b/>
                <w:sz w:val="20"/>
                <w:szCs w:val="20"/>
              </w:rPr>
            </w:pPr>
            <w:r w:rsidRPr="0907C099">
              <w:rPr>
                <w:rFonts w:asciiTheme="minorHAnsi" w:hAnsiTheme="minorHAnsi" w:cstheme="minorBidi"/>
                <w:b/>
                <w:sz w:val="20"/>
                <w:szCs w:val="20"/>
              </w:rPr>
              <w:t>19.6</w:t>
            </w:r>
            <w:r w:rsidR="0073797B" w:rsidRPr="0907C099">
              <w:rPr>
                <w:rFonts w:asciiTheme="minorHAnsi" w:hAnsiTheme="minorHAnsi" w:cstheme="minorBidi"/>
                <w:b/>
                <w:sz w:val="20"/>
                <w:szCs w:val="20"/>
              </w:rPr>
              <w:t xml:space="preserve"> </w:t>
            </w:r>
          </w:p>
        </w:tc>
        <w:tc>
          <w:tcPr>
            <w:tcW w:w="868" w:type="pct"/>
            <w:tcBorders>
              <w:top w:val="single" w:sz="4" w:space="0" w:color="auto"/>
              <w:left w:val="nil"/>
              <w:bottom w:val="single" w:sz="4" w:space="0" w:color="FFFFFF" w:themeColor="background1"/>
              <w:right w:val="nil"/>
            </w:tcBorders>
          </w:tcPr>
          <w:p w14:paraId="056FD56C" w14:textId="1106D7ED" w:rsidR="0073797B" w:rsidRPr="006D4208" w:rsidRDefault="00CF0B4D" w:rsidP="00AF5A74">
            <w:pPr>
              <w:jc w:val="right"/>
              <w:rPr>
                <w:rFonts w:asciiTheme="minorHAnsi" w:hAnsiTheme="minorHAnsi" w:cstheme="minorBidi"/>
                <w:sz w:val="20"/>
                <w:szCs w:val="20"/>
              </w:rPr>
            </w:pPr>
            <w:r w:rsidRPr="198B8B94">
              <w:rPr>
                <w:rFonts w:asciiTheme="minorHAnsi" w:hAnsiTheme="minorHAnsi" w:cstheme="minorBidi"/>
                <w:sz w:val="20"/>
                <w:szCs w:val="20"/>
              </w:rPr>
              <w:t>3</w:t>
            </w:r>
            <w:r w:rsidR="00FB4C3D">
              <w:rPr>
                <w:rFonts w:asciiTheme="minorHAnsi" w:hAnsiTheme="minorHAnsi" w:cstheme="minorBidi"/>
                <w:sz w:val="20"/>
                <w:szCs w:val="20"/>
              </w:rPr>
              <w:t>5.5</w:t>
            </w:r>
            <w:r w:rsidR="0073797B" w:rsidRPr="198B8B94">
              <w:rPr>
                <w:rFonts w:asciiTheme="minorHAnsi" w:hAnsiTheme="minorHAnsi" w:cstheme="minorBidi"/>
                <w:sz w:val="20"/>
                <w:szCs w:val="20"/>
              </w:rPr>
              <w:t xml:space="preserve"> </w:t>
            </w:r>
          </w:p>
        </w:tc>
        <w:tc>
          <w:tcPr>
            <w:tcW w:w="852" w:type="pct"/>
            <w:tcBorders>
              <w:top w:val="single" w:sz="4" w:space="0" w:color="auto"/>
              <w:left w:val="nil"/>
              <w:bottom w:val="single" w:sz="4" w:space="0" w:color="FFFFFF" w:themeColor="background1"/>
              <w:right w:val="nil"/>
            </w:tcBorders>
          </w:tcPr>
          <w:p w14:paraId="2E5B4EA7" w14:textId="26283EDF" w:rsidR="0073797B" w:rsidRPr="006D4208" w:rsidRDefault="00226930" w:rsidP="00AF5A74">
            <w:pPr>
              <w:jc w:val="right"/>
              <w:rPr>
                <w:rFonts w:asciiTheme="minorHAnsi" w:hAnsiTheme="minorHAnsi" w:cstheme="minorBidi"/>
                <w:i/>
                <w:sz w:val="20"/>
                <w:szCs w:val="20"/>
              </w:rPr>
            </w:pPr>
            <w:r w:rsidRPr="0907C099">
              <w:rPr>
                <w:rFonts w:asciiTheme="minorHAnsi" w:hAnsiTheme="minorHAnsi" w:cstheme="minorBidi"/>
                <w:i/>
                <w:sz w:val="20"/>
                <w:szCs w:val="20"/>
              </w:rPr>
              <w:t>(</w:t>
            </w:r>
            <w:r w:rsidRPr="198B8B94">
              <w:rPr>
                <w:rFonts w:asciiTheme="minorHAnsi" w:hAnsiTheme="minorHAnsi" w:cstheme="minorBidi"/>
                <w:i/>
                <w:sz w:val="20"/>
                <w:szCs w:val="20"/>
              </w:rPr>
              <w:t>4</w:t>
            </w:r>
            <w:r w:rsidR="008F4C06">
              <w:rPr>
                <w:rFonts w:asciiTheme="minorHAnsi" w:hAnsiTheme="minorHAnsi" w:cstheme="minorBidi"/>
                <w:i/>
                <w:sz w:val="20"/>
                <w:szCs w:val="20"/>
              </w:rPr>
              <w:t>4.8</w:t>
            </w:r>
            <w:r w:rsidRPr="0907C099">
              <w:rPr>
                <w:rFonts w:asciiTheme="minorHAnsi" w:hAnsiTheme="minorHAnsi" w:cstheme="minorBidi"/>
                <w:i/>
                <w:sz w:val="20"/>
                <w:szCs w:val="20"/>
              </w:rPr>
              <w:t>)</w:t>
            </w:r>
          </w:p>
        </w:tc>
      </w:tr>
      <w:tr w:rsidR="0073797B" w:rsidRPr="00073BEC" w14:paraId="44706BC6" w14:textId="77777777" w:rsidTr="0010719F">
        <w:trPr>
          <w:trHeight w:val="240"/>
        </w:trPr>
        <w:tc>
          <w:tcPr>
            <w:tcW w:w="2552" w:type="pct"/>
            <w:tcBorders>
              <w:top w:val="single" w:sz="4" w:space="0" w:color="FFFFFF" w:themeColor="background1"/>
              <w:left w:val="nil"/>
              <w:bottom w:val="single" w:sz="4" w:space="0" w:color="auto"/>
              <w:right w:val="nil"/>
            </w:tcBorders>
            <w:vAlign w:val="center"/>
          </w:tcPr>
          <w:p w14:paraId="136C78D0" w14:textId="2F952B69" w:rsidR="0073797B" w:rsidRPr="006D4208" w:rsidRDefault="0073797B" w:rsidP="00AF5A74">
            <w:pPr>
              <w:ind w:right="115"/>
              <w:rPr>
                <w:rFonts w:asciiTheme="minorHAnsi" w:eastAsia="Poppins" w:hAnsiTheme="minorHAnsi" w:cstheme="minorBidi"/>
                <w:sz w:val="20"/>
                <w:szCs w:val="20"/>
              </w:rPr>
            </w:pPr>
            <w:r w:rsidRPr="0907C099">
              <w:rPr>
                <w:rFonts w:asciiTheme="minorHAnsi" w:eastAsia="Poppins" w:hAnsiTheme="minorHAnsi" w:cstheme="minorBidi"/>
                <w:sz w:val="20"/>
                <w:szCs w:val="20"/>
              </w:rPr>
              <w:t>Adjusted operating costs</w:t>
            </w:r>
            <w:r w:rsidRPr="0907C099">
              <w:rPr>
                <w:rFonts w:asciiTheme="minorHAnsi" w:eastAsia="Poppins" w:hAnsiTheme="minorHAnsi" w:cstheme="minorBidi"/>
                <w:sz w:val="20"/>
                <w:szCs w:val="20"/>
                <w:vertAlign w:val="superscript"/>
              </w:rPr>
              <w:t xml:space="preserve"> </w:t>
            </w:r>
          </w:p>
        </w:tc>
        <w:tc>
          <w:tcPr>
            <w:tcW w:w="729" w:type="pct"/>
            <w:tcBorders>
              <w:top w:val="nil"/>
              <w:left w:val="nil"/>
              <w:bottom w:val="single" w:sz="4" w:space="0" w:color="auto"/>
              <w:right w:val="nil"/>
            </w:tcBorders>
            <w:shd w:val="clear" w:color="auto" w:fill="F2F2F2" w:themeFill="background1" w:themeFillShade="F2"/>
          </w:tcPr>
          <w:p w14:paraId="43637BD5" w14:textId="743CA151" w:rsidR="0073797B" w:rsidRPr="006D4208" w:rsidRDefault="0073797B" w:rsidP="00AF5A74">
            <w:pPr>
              <w:jc w:val="right"/>
              <w:rPr>
                <w:rFonts w:asciiTheme="minorHAnsi" w:hAnsiTheme="minorHAnsi" w:cstheme="minorBidi"/>
                <w:b/>
                <w:sz w:val="20"/>
                <w:szCs w:val="20"/>
              </w:rPr>
            </w:pPr>
            <w:r w:rsidRPr="0907C099">
              <w:rPr>
                <w:rFonts w:asciiTheme="minorHAnsi" w:hAnsiTheme="minorHAnsi" w:cstheme="minorBidi"/>
                <w:b/>
                <w:sz w:val="20"/>
                <w:szCs w:val="20"/>
              </w:rPr>
              <w:t>(</w:t>
            </w:r>
            <w:r w:rsidR="000170FF" w:rsidRPr="0907C099">
              <w:rPr>
                <w:rFonts w:asciiTheme="minorHAnsi" w:hAnsiTheme="minorHAnsi" w:cstheme="minorBidi"/>
                <w:b/>
                <w:sz w:val="20"/>
                <w:szCs w:val="20"/>
              </w:rPr>
              <w:t>2</w:t>
            </w:r>
            <w:r w:rsidR="00AC5BE1" w:rsidRPr="0907C099">
              <w:rPr>
                <w:rFonts w:asciiTheme="minorHAnsi" w:hAnsiTheme="minorHAnsi" w:cstheme="minorBidi"/>
                <w:b/>
                <w:sz w:val="20"/>
                <w:szCs w:val="20"/>
              </w:rPr>
              <w:t>2.9</w:t>
            </w:r>
            <w:r w:rsidRPr="0907C099">
              <w:rPr>
                <w:rFonts w:asciiTheme="minorHAnsi" w:hAnsiTheme="minorHAnsi" w:cstheme="minorBidi"/>
                <w:b/>
                <w:sz w:val="20"/>
                <w:szCs w:val="20"/>
              </w:rPr>
              <w:t xml:space="preserve">) </w:t>
            </w:r>
          </w:p>
        </w:tc>
        <w:tc>
          <w:tcPr>
            <w:tcW w:w="868" w:type="pct"/>
            <w:tcBorders>
              <w:top w:val="single" w:sz="4" w:space="0" w:color="FFFFFF" w:themeColor="background1"/>
              <w:left w:val="nil"/>
              <w:bottom w:val="single" w:sz="4" w:space="0" w:color="auto"/>
              <w:right w:val="nil"/>
            </w:tcBorders>
          </w:tcPr>
          <w:p w14:paraId="5A928407" w14:textId="47A1BC04" w:rsidR="0073797B" w:rsidRPr="006D4208" w:rsidRDefault="0073797B" w:rsidP="00AF5A74">
            <w:pPr>
              <w:jc w:val="right"/>
              <w:rPr>
                <w:rFonts w:asciiTheme="minorHAnsi" w:hAnsiTheme="minorHAnsi" w:cstheme="minorBidi"/>
                <w:sz w:val="20"/>
                <w:szCs w:val="20"/>
              </w:rPr>
            </w:pPr>
            <w:r w:rsidRPr="0907C099">
              <w:rPr>
                <w:rFonts w:asciiTheme="minorHAnsi" w:hAnsiTheme="minorHAnsi" w:cstheme="minorBidi"/>
                <w:sz w:val="20"/>
                <w:szCs w:val="20"/>
              </w:rPr>
              <w:t>(</w:t>
            </w:r>
            <w:r w:rsidR="005A37BD" w:rsidRPr="0907C099">
              <w:rPr>
                <w:rFonts w:asciiTheme="minorHAnsi" w:hAnsiTheme="minorHAnsi" w:cstheme="minorBidi"/>
                <w:sz w:val="20"/>
                <w:szCs w:val="20"/>
              </w:rPr>
              <w:t>27.3</w:t>
            </w:r>
            <w:r w:rsidRPr="0907C099">
              <w:rPr>
                <w:rFonts w:asciiTheme="minorHAnsi" w:hAnsiTheme="minorHAnsi" w:cstheme="minorBidi"/>
                <w:sz w:val="20"/>
                <w:szCs w:val="20"/>
              </w:rPr>
              <w:t xml:space="preserve">) </w:t>
            </w:r>
          </w:p>
        </w:tc>
        <w:tc>
          <w:tcPr>
            <w:tcW w:w="852" w:type="pct"/>
            <w:tcBorders>
              <w:top w:val="single" w:sz="4" w:space="0" w:color="FFFFFF" w:themeColor="background1"/>
              <w:left w:val="nil"/>
              <w:bottom w:val="single" w:sz="4" w:space="0" w:color="auto"/>
              <w:right w:val="nil"/>
            </w:tcBorders>
          </w:tcPr>
          <w:p w14:paraId="41DFDEBA" w14:textId="7232BDD9" w:rsidR="0073797B" w:rsidRPr="006D4208" w:rsidRDefault="00641C65" w:rsidP="00AF5A74">
            <w:pPr>
              <w:jc w:val="right"/>
              <w:rPr>
                <w:rFonts w:asciiTheme="minorHAnsi" w:hAnsiTheme="minorHAnsi" w:cstheme="minorBidi"/>
                <w:i/>
                <w:sz w:val="20"/>
                <w:szCs w:val="20"/>
              </w:rPr>
            </w:pPr>
            <w:r w:rsidRPr="0907C099">
              <w:rPr>
                <w:rFonts w:asciiTheme="minorHAnsi" w:hAnsiTheme="minorHAnsi" w:cstheme="minorBidi"/>
                <w:i/>
                <w:sz w:val="20"/>
                <w:szCs w:val="20"/>
              </w:rPr>
              <w:t>(16.1)</w:t>
            </w:r>
          </w:p>
        </w:tc>
      </w:tr>
      <w:tr w:rsidR="0073797B" w:rsidRPr="00073BEC" w14:paraId="6BBC84C6" w14:textId="77777777" w:rsidTr="0010719F">
        <w:trPr>
          <w:trHeight w:val="240"/>
        </w:trPr>
        <w:tc>
          <w:tcPr>
            <w:tcW w:w="2552" w:type="pct"/>
            <w:tcBorders>
              <w:top w:val="single" w:sz="4" w:space="0" w:color="auto"/>
              <w:left w:val="nil"/>
              <w:bottom w:val="single" w:sz="4" w:space="0" w:color="auto"/>
              <w:right w:val="nil"/>
            </w:tcBorders>
            <w:vAlign w:val="center"/>
          </w:tcPr>
          <w:p w14:paraId="27E35B7B" w14:textId="1FBF60F9" w:rsidR="0073797B" w:rsidRPr="006D4208" w:rsidRDefault="0073797B" w:rsidP="00AF5A74">
            <w:pPr>
              <w:ind w:right="115"/>
              <w:rPr>
                <w:rFonts w:asciiTheme="minorHAnsi" w:eastAsia="Poppins" w:hAnsiTheme="minorHAnsi" w:cstheme="minorBidi"/>
                <w:sz w:val="20"/>
                <w:szCs w:val="20"/>
              </w:rPr>
            </w:pPr>
            <w:r w:rsidRPr="0907C099">
              <w:rPr>
                <w:rFonts w:asciiTheme="minorHAnsi" w:eastAsia="Poppins" w:hAnsiTheme="minorHAnsi" w:cstheme="minorBidi"/>
                <w:b/>
                <w:sz w:val="20"/>
                <w:szCs w:val="20"/>
              </w:rPr>
              <w:t xml:space="preserve">Adjusted </w:t>
            </w:r>
            <w:r w:rsidR="00C01462">
              <w:rPr>
                <w:rFonts w:asciiTheme="minorHAnsi" w:eastAsia="Poppins" w:hAnsiTheme="minorHAnsi" w:cstheme="minorBidi"/>
                <w:b/>
                <w:sz w:val="20"/>
                <w:szCs w:val="20"/>
              </w:rPr>
              <w:t>(LBT)/</w:t>
            </w:r>
            <w:r w:rsidRPr="0907C099">
              <w:rPr>
                <w:rFonts w:asciiTheme="minorHAnsi" w:eastAsia="Poppins" w:hAnsiTheme="minorHAnsi" w:cstheme="minorBidi"/>
                <w:b/>
                <w:sz w:val="20"/>
                <w:szCs w:val="20"/>
              </w:rPr>
              <w:t>PBT contribution</w:t>
            </w:r>
            <w:r w:rsidRPr="0907C099">
              <w:rPr>
                <w:rFonts w:asciiTheme="minorHAnsi" w:eastAsia="Poppins" w:hAnsiTheme="minorHAnsi" w:cstheme="minorBidi"/>
                <w:sz w:val="20"/>
                <w:szCs w:val="20"/>
                <w:vertAlign w:val="superscript"/>
              </w:rPr>
              <w:t xml:space="preserve"> 3</w:t>
            </w:r>
          </w:p>
        </w:tc>
        <w:tc>
          <w:tcPr>
            <w:tcW w:w="729" w:type="pct"/>
            <w:tcBorders>
              <w:top w:val="single" w:sz="4" w:space="0" w:color="auto"/>
              <w:left w:val="nil"/>
              <w:bottom w:val="single" w:sz="4" w:space="0" w:color="auto"/>
              <w:right w:val="nil"/>
            </w:tcBorders>
            <w:shd w:val="clear" w:color="auto" w:fill="F2F2F2" w:themeFill="background1" w:themeFillShade="F2"/>
          </w:tcPr>
          <w:p w14:paraId="58393B46" w14:textId="332EBB6C" w:rsidR="0073797B" w:rsidRPr="006D4208" w:rsidRDefault="000170FF" w:rsidP="00AF5A74">
            <w:pPr>
              <w:jc w:val="right"/>
              <w:rPr>
                <w:rFonts w:asciiTheme="minorHAnsi" w:hAnsiTheme="minorHAnsi" w:cstheme="minorBidi"/>
                <w:b/>
                <w:sz w:val="20"/>
                <w:szCs w:val="20"/>
              </w:rPr>
            </w:pPr>
            <w:r w:rsidRPr="0907C099">
              <w:rPr>
                <w:rFonts w:asciiTheme="minorHAnsi" w:hAnsiTheme="minorHAnsi" w:cstheme="minorBidi"/>
                <w:b/>
                <w:sz w:val="20"/>
                <w:szCs w:val="20"/>
              </w:rPr>
              <w:t>(</w:t>
            </w:r>
            <w:r w:rsidR="00AC5BE1" w:rsidRPr="0907C099">
              <w:rPr>
                <w:rFonts w:asciiTheme="minorHAnsi" w:hAnsiTheme="minorHAnsi" w:cstheme="minorBidi"/>
                <w:b/>
                <w:sz w:val="20"/>
                <w:szCs w:val="20"/>
              </w:rPr>
              <w:t>3.3</w:t>
            </w:r>
            <w:r w:rsidRPr="0907C099">
              <w:rPr>
                <w:rFonts w:asciiTheme="minorHAnsi" w:hAnsiTheme="minorHAnsi" w:cstheme="minorBidi"/>
                <w:b/>
                <w:sz w:val="20"/>
                <w:szCs w:val="20"/>
              </w:rPr>
              <w:t>)</w:t>
            </w:r>
            <w:r w:rsidR="0073797B" w:rsidRPr="0907C099">
              <w:rPr>
                <w:rFonts w:asciiTheme="minorHAnsi" w:hAnsiTheme="minorHAnsi" w:cstheme="minorBidi"/>
                <w:b/>
                <w:sz w:val="20"/>
                <w:szCs w:val="20"/>
              </w:rPr>
              <w:t xml:space="preserve"> </w:t>
            </w:r>
          </w:p>
        </w:tc>
        <w:tc>
          <w:tcPr>
            <w:tcW w:w="868" w:type="pct"/>
            <w:tcBorders>
              <w:top w:val="single" w:sz="4" w:space="0" w:color="auto"/>
              <w:left w:val="nil"/>
              <w:bottom w:val="single" w:sz="4" w:space="0" w:color="auto"/>
              <w:right w:val="nil"/>
            </w:tcBorders>
          </w:tcPr>
          <w:p w14:paraId="26A3D21C" w14:textId="321DC741" w:rsidR="0073797B" w:rsidRPr="006D4208" w:rsidRDefault="00CF0B4D" w:rsidP="00AF5A74">
            <w:pPr>
              <w:jc w:val="right"/>
              <w:rPr>
                <w:rFonts w:asciiTheme="minorHAnsi" w:hAnsiTheme="minorHAnsi" w:cstheme="minorBidi"/>
                <w:sz w:val="20"/>
                <w:szCs w:val="20"/>
              </w:rPr>
            </w:pPr>
            <w:r w:rsidRPr="0907C099">
              <w:rPr>
                <w:rFonts w:asciiTheme="minorHAnsi" w:hAnsiTheme="minorHAnsi" w:cstheme="minorBidi"/>
                <w:sz w:val="20"/>
                <w:szCs w:val="20"/>
              </w:rPr>
              <w:t>8</w:t>
            </w:r>
            <w:r w:rsidR="00FB4C3D">
              <w:rPr>
                <w:rFonts w:asciiTheme="minorHAnsi" w:hAnsiTheme="minorHAnsi" w:cstheme="minorBidi"/>
                <w:sz w:val="20"/>
                <w:szCs w:val="20"/>
              </w:rPr>
              <w:t>.2</w:t>
            </w:r>
            <w:r w:rsidR="0073797B" w:rsidRPr="0907C099">
              <w:rPr>
                <w:rFonts w:asciiTheme="minorHAnsi" w:hAnsiTheme="minorHAnsi" w:cstheme="minorBidi"/>
                <w:sz w:val="20"/>
                <w:szCs w:val="20"/>
              </w:rPr>
              <w:t xml:space="preserve"> </w:t>
            </w:r>
          </w:p>
        </w:tc>
        <w:tc>
          <w:tcPr>
            <w:tcW w:w="852" w:type="pct"/>
            <w:tcBorders>
              <w:top w:val="single" w:sz="4" w:space="0" w:color="auto"/>
              <w:left w:val="nil"/>
              <w:bottom w:val="single" w:sz="4" w:space="0" w:color="auto"/>
              <w:right w:val="nil"/>
            </w:tcBorders>
          </w:tcPr>
          <w:p w14:paraId="75C0424D" w14:textId="29518F78" w:rsidR="0073797B" w:rsidRPr="006D4208" w:rsidRDefault="00B971C0" w:rsidP="00AF5A74">
            <w:pPr>
              <w:jc w:val="right"/>
              <w:rPr>
                <w:rFonts w:asciiTheme="minorHAnsi" w:hAnsiTheme="minorHAnsi" w:cstheme="minorBidi"/>
                <w:i/>
                <w:sz w:val="20"/>
                <w:szCs w:val="20"/>
              </w:rPr>
            </w:pPr>
            <w:r w:rsidRPr="0907C099">
              <w:rPr>
                <w:rFonts w:asciiTheme="minorHAnsi" w:hAnsiTheme="minorHAnsi" w:cstheme="minorBidi"/>
                <w:i/>
                <w:sz w:val="20"/>
                <w:szCs w:val="20"/>
              </w:rPr>
              <w:t>(</w:t>
            </w:r>
            <w:r w:rsidRPr="198B8B94">
              <w:rPr>
                <w:rFonts w:asciiTheme="minorHAnsi" w:hAnsiTheme="minorHAnsi" w:cstheme="minorBidi"/>
                <w:i/>
                <w:sz w:val="20"/>
                <w:szCs w:val="20"/>
              </w:rPr>
              <w:t>1</w:t>
            </w:r>
            <w:r w:rsidR="00A50655">
              <w:rPr>
                <w:rFonts w:asciiTheme="minorHAnsi" w:hAnsiTheme="minorHAnsi" w:cstheme="minorBidi"/>
                <w:i/>
                <w:sz w:val="20"/>
                <w:szCs w:val="20"/>
              </w:rPr>
              <w:t>40.2</w:t>
            </w:r>
            <w:r w:rsidRPr="0907C099">
              <w:rPr>
                <w:rFonts w:asciiTheme="minorHAnsi" w:hAnsiTheme="minorHAnsi" w:cstheme="minorBidi"/>
                <w:i/>
                <w:sz w:val="20"/>
                <w:szCs w:val="20"/>
              </w:rPr>
              <w:t>)</w:t>
            </w:r>
          </w:p>
        </w:tc>
      </w:tr>
      <w:tr w:rsidR="0073797B" w:rsidRPr="00073BEC" w14:paraId="1CA89D7E" w14:textId="77777777" w:rsidTr="0010719F">
        <w:trPr>
          <w:trHeight w:val="240"/>
        </w:trPr>
        <w:tc>
          <w:tcPr>
            <w:tcW w:w="2552" w:type="pct"/>
            <w:tcBorders>
              <w:top w:val="single" w:sz="4" w:space="0" w:color="auto"/>
              <w:left w:val="nil"/>
              <w:bottom w:val="single" w:sz="4" w:space="0" w:color="FFFFFF" w:themeColor="background1"/>
              <w:right w:val="nil"/>
            </w:tcBorders>
            <w:vAlign w:val="center"/>
          </w:tcPr>
          <w:p w14:paraId="3A3E830F" w14:textId="77777777" w:rsidR="0073797B" w:rsidRPr="006D4208" w:rsidRDefault="0073797B" w:rsidP="00AF5A74">
            <w:pPr>
              <w:ind w:right="115"/>
              <w:rPr>
                <w:rFonts w:asciiTheme="minorHAnsi" w:eastAsia="Poppins" w:hAnsiTheme="minorHAnsi" w:cstheme="minorBidi"/>
                <w:sz w:val="20"/>
                <w:szCs w:val="20"/>
              </w:rPr>
            </w:pPr>
          </w:p>
        </w:tc>
        <w:tc>
          <w:tcPr>
            <w:tcW w:w="729" w:type="pct"/>
            <w:tcBorders>
              <w:top w:val="single" w:sz="4" w:space="0" w:color="auto"/>
              <w:left w:val="nil"/>
              <w:bottom w:val="nil"/>
              <w:right w:val="nil"/>
            </w:tcBorders>
            <w:shd w:val="clear" w:color="auto" w:fill="auto"/>
          </w:tcPr>
          <w:p w14:paraId="0B36BC48" w14:textId="77777777" w:rsidR="0073797B" w:rsidRPr="006D4208" w:rsidRDefault="0073797B" w:rsidP="00AF5A74">
            <w:pPr>
              <w:jc w:val="right"/>
              <w:rPr>
                <w:rFonts w:asciiTheme="minorHAnsi" w:hAnsiTheme="minorHAnsi" w:cstheme="minorBidi"/>
                <w:b/>
                <w:sz w:val="20"/>
                <w:szCs w:val="20"/>
              </w:rPr>
            </w:pPr>
          </w:p>
        </w:tc>
        <w:tc>
          <w:tcPr>
            <w:tcW w:w="868" w:type="pct"/>
            <w:tcBorders>
              <w:top w:val="single" w:sz="4" w:space="0" w:color="auto"/>
              <w:left w:val="nil"/>
              <w:bottom w:val="single" w:sz="4" w:space="0" w:color="FFFFFF" w:themeColor="background1"/>
              <w:right w:val="nil"/>
            </w:tcBorders>
          </w:tcPr>
          <w:p w14:paraId="4DE1C3DD" w14:textId="77777777" w:rsidR="0073797B" w:rsidRPr="006D4208" w:rsidRDefault="0073797B" w:rsidP="00AF5A74">
            <w:pPr>
              <w:jc w:val="right"/>
              <w:rPr>
                <w:rFonts w:asciiTheme="minorHAnsi" w:hAnsiTheme="minorHAnsi" w:cstheme="minorBidi"/>
                <w:sz w:val="20"/>
                <w:szCs w:val="20"/>
              </w:rPr>
            </w:pPr>
          </w:p>
        </w:tc>
        <w:tc>
          <w:tcPr>
            <w:tcW w:w="852" w:type="pct"/>
            <w:tcBorders>
              <w:top w:val="single" w:sz="4" w:space="0" w:color="auto"/>
              <w:left w:val="nil"/>
              <w:bottom w:val="single" w:sz="4" w:space="0" w:color="FFFFFF" w:themeColor="background1"/>
              <w:right w:val="nil"/>
            </w:tcBorders>
          </w:tcPr>
          <w:p w14:paraId="6923C77B" w14:textId="77777777" w:rsidR="0073797B" w:rsidRPr="006D4208" w:rsidRDefault="0073797B" w:rsidP="00AF5A74">
            <w:pPr>
              <w:jc w:val="right"/>
              <w:rPr>
                <w:rFonts w:asciiTheme="minorHAnsi" w:hAnsiTheme="minorHAnsi" w:cstheme="minorBidi"/>
                <w:i/>
                <w:sz w:val="20"/>
                <w:szCs w:val="20"/>
              </w:rPr>
            </w:pPr>
          </w:p>
        </w:tc>
      </w:tr>
      <w:tr w:rsidR="0073797B" w:rsidRPr="00073BEC" w14:paraId="19F7B29E" w14:textId="77777777" w:rsidTr="0010719F">
        <w:trPr>
          <w:trHeight w:val="240"/>
        </w:trPr>
        <w:tc>
          <w:tcPr>
            <w:tcW w:w="2552" w:type="pct"/>
            <w:tcBorders>
              <w:top w:val="single" w:sz="4" w:space="0" w:color="FFFFFF" w:themeColor="background1"/>
              <w:left w:val="nil"/>
              <w:bottom w:val="single" w:sz="4" w:space="0" w:color="FFFFFF" w:themeColor="background1"/>
              <w:right w:val="nil"/>
            </w:tcBorders>
            <w:vAlign w:val="center"/>
          </w:tcPr>
          <w:p w14:paraId="0BAE9C28" w14:textId="77777777" w:rsidR="0073797B" w:rsidRPr="006D4208" w:rsidRDefault="0073797B" w:rsidP="00AF5A74">
            <w:pPr>
              <w:ind w:right="115"/>
              <w:rPr>
                <w:rFonts w:asciiTheme="minorHAnsi" w:eastAsia="Poppins" w:hAnsiTheme="minorHAnsi" w:cstheme="minorBidi"/>
                <w:sz w:val="20"/>
                <w:szCs w:val="20"/>
              </w:rPr>
            </w:pPr>
            <w:r w:rsidRPr="0907C099">
              <w:rPr>
                <w:rFonts w:asciiTheme="minorHAnsi" w:eastAsia="Poppins" w:hAnsiTheme="minorHAnsi" w:cstheme="minorBidi"/>
                <w:sz w:val="20"/>
                <w:szCs w:val="20"/>
              </w:rPr>
              <w:t>Asset yield (%)</w:t>
            </w:r>
            <w:r w:rsidRPr="0907C099">
              <w:rPr>
                <w:rFonts w:asciiTheme="minorHAnsi" w:eastAsia="Poppins" w:hAnsiTheme="minorHAnsi" w:cstheme="minorBidi"/>
                <w:sz w:val="20"/>
                <w:szCs w:val="20"/>
                <w:vertAlign w:val="superscript"/>
              </w:rPr>
              <w:t xml:space="preserve"> 4</w:t>
            </w:r>
          </w:p>
        </w:tc>
        <w:tc>
          <w:tcPr>
            <w:tcW w:w="729" w:type="pct"/>
            <w:tcBorders>
              <w:top w:val="nil"/>
              <w:left w:val="nil"/>
              <w:bottom w:val="nil"/>
              <w:right w:val="nil"/>
            </w:tcBorders>
            <w:shd w:val="clear" w:color="auto" w:fill="F2F2F2" w:themeFill="background1" w:themeFillShade="F2"/>
          </w:tcPr>
          <w:p w14:paraId="44A9528B" w14:textId="6AAC7449" w:rsidR="0073797B" w:rsidRPr="006D4208" w:rsidRDefault="00622623" w:rsidP="00AF5A74">
            <w:pPr>
              <w:jc w:val="right"/>
              <w:rPr>
                <w:rFonts w:asciiTheme="minorHAnsi" w:hAnsiTheme="minorHAnsi" w:cstheme="minorBidi"/>
                <w:b/>
                <w:sz w:val="20"/>
                <w:szCs w:val="20"/>
              </w:rPr>
            </w:pPr>
            <w:r w:rsidRPr="0907C099">
              <w:rPr>
                <w:rFonts w:asciiTheme="minorHAnsi" w:hAnsiTheme="minorHAnsi" w:cstheme="minorBidi"/>
                <w:b/>
                <w:sz w:val="20"/>
                <w:szCs w:val="20"/>
              </w:rPr>
              <w:t>16.5</w:t>
            </w:r>
          </w:p>
        </w:tc>
        <w:tc>
          <w:tcPr>
            <w:tcW w:w="868" w:type="pct"/>
            <w:tcBorders>
              <w:top w:val="single" w:sz="4" w:space="0" w:color="FFFFFF" w:themeColor="background1"/>
              <w:left w:val="nil"/>
              <w:bottom w:val="single" w:sz="4" w:space="0" w:color="FFFFFF" w:themeColor="background1"/>
              <w:right w:val="nil"/>
            </w:tcBorders>
          </w:tcPr>
          <w:p w14:paraId="2ED07830" w14:textId="1B236966" w:rsidR="0073797B" w:rsidRPr="006D4208" w:rsidRDefault="00541382" w:rsidP="00AF5A74">
            <w:pPr>
              <w:jc w:val="right"/>
              <w:rPr>
                <w:rFonts w:asciiTheme="minorHAnsi" w:hAnsiTheme="minorHAnsi" w:cstheme="minorBidi"/>
                <w:sz w:val="20"/>
                <w:szCs w:val="20"/>
              </w:rPr>
            </w:pPr>
            <w:r w:rsidRPr="0907C099">
              <w:rPr>
                <w:rFonts w:asciiTheme="minorHAnsi" w:hAnsiTheme="minorHAnsi" w:cstheme="minorBidi"/>
                <w:sz w:val="20"/>
                <w:szCs w:val="20"/>
              </w:rPr>
              <w:t>1</w:t>
            </w:r>
            <w:r w:rsidR="000F6484" w:rsidRPr="0907C099">
              <w:rPr>
                <w:rFonts w:asciiTheme="minorHAnsi" w:hAnsiTheme="minorHAnsi" w:cstheme="minorBidi"/>
                <w:sz w:val="20"/>
                <w:szCs w:val="20"/>
              </w:rPr>
              <w:t>8.3</w:t>
            </w:r>
          </w:p>
        </w:tc>
        <w:tc>
          <w:tcPr>
            <w:tcW w:w="852" w:type="pct"/>
            <w:tcBorders>
              <w:top w:val="single" w:sz="4" w:space="0" w:color="FFFFFF" w:themeColor="background1"/>
              <w:left w:val="nil"/>
              <w:bottom w:val="single" w:sz="4" w:space="0" w:color="FFFFFF" w:themeColor="background1"/>
              <w:right w:val="nil"/>
            </w:tcBorders>
          </w:tcPr>
          <w:p w14:paraId="0E9F8D2D" w14:textId="295CB705" w:rsidR="0073797B" w:rsidRPr="006D4208" w:rsidRDefault="0073797B" w:rsidP="00AF5A74">
            <w:pPr>
              <w:jc w:val="right"/>
              <w:rPr>
                <w:rFonts w:asciiTheme="minorHAnsi" w:hAnsiTheme="minorHAnsi" w:cstheme="minorBidi"/>
                <w:i/>
                <w:sz w:val="20"/>
                <w:szCs w:val="20"/>
              </w:rPr>
            </w:pPr>
            <w:r w:rsidRPr="0907C099">
              <w:rPr>
                <w:rFonts w:asciiTheme="minorHAnsi" w:hAnsiTheme="minorHAnsi" w:cstheme="minorBidi"/>
                <w:i/>
                <w:sz w:val="20"/>
                <w:szCs w:val="20"/>
              </w:rPr>
              <w:t>(</w:t>
            </w:r>
            <w:r w:rsidR="00262755" w:rsidRPr="0907C099">
              <w:rPr>
                <w:rFonts w:asciiTheme="minorHAnsi" w:hAnsiTheme="minorHAnsi" w:cstheme="minorBidi"/>
                <w:i/>
                <w:sz w:val="20"/>
                <w:szCs w:val="20"/>
              </w:rPr>
              <w:t>1.8</w:t>
            </w:r>
            <w:r w:rsidRPr="0907C099">
              <w:rPr>
                <w:rFonts w:asciiTheme="minorHAnsi" w:hAnsiTheme="minorHAnsi" w:cstheme="minorBidi"/>
                <w:i/>
                <w:sz w:val="20"/>
                <w:szCs w:val="20"/>
              </w:rPr>
              <w:t>)</w:t>
            </w:r>
          </w:p>
        </w:tc>
      </w:tr>
      <w:tr w:rsidR="0073797B" w:rsidRPr="00073BEC" w14:paraId="610D3C9D" w14:textId="77777777" w:rsidTr="0010719F">
        <w:trPr>
          <w:trHeight w:val="240"/>
        </w:trPr>
        <w:tc>
          <w:tcPr>
            <w:tcW w:w="2552" w:type="pct"/>
            <w:tcBorders>
              <w:top w:val="single" w:sz="4" w:space="0" w:color="FFFFFF" w:themeColor="background1"/>
              <w:left w:val="nil"/>
              <w:bottom w:val="single" w:sz="4" w:space="0" w:color="FFFFFF" w:themeColor="background1"/>
              <w:right w:val="nil"/>
            </w:tcBorders>
            <w:vAlign w:val="center"/>
          </w:tcPr>
          <w:p w14:paraId="4E8C24E0" w14:textId="77777777" w:rsidR="0073797B" w:rsidRPr="006D4208" w:rsidRDefault="0073797B" w:rsidP="00AF5A74">
            <w:pPr>
              <w:ind w:right="115"/>
              <w:rPr>
                <w:rFonts w:asciiTheme="minorHAnsi" w:eastAsia="Poppins" w:hAnsiTheme="minorHAnsi" w:cstheme="minorBidi"/>
                <w:sz w:val="20"/>
                <w:szCs w:val="20"/>
              </w:rPr>
            </w:pPr>
            <w:r w:rsidRPr="0907C099">
              <w:rPr>
                <w:rFonts w:asciiTheme="minorHAnsi" w:eastAsia="Poppins" w:hAnsiTheme="minorHAnsi" w:cstheme="minorBidi"/>
                <w:sz w:val="20"/>
                <w:szCs w:val="20"/>
              </w:rPr>
              <w:t>Cost of risk (%)</w:t>
            </w:r>
            <w:r w:rsidRPr="0907C099">
              <w:rPr>
                <w:rFonts w:asciiTheme="minorHAnsi" w:eastAsia="Poppins" w:hAnsiTheme="minorHAnsi" w:cstheme="minorBidi"/>
                <w:sz w:val="20"/>
                <w:szCs w:val="20"/>
                <w:vertAlign w:val="superscript"/>
              </w:rPr>
              <w:t xml:space="preserve"> 5</w:t>
            </w:r>
          </w:p>
        </w:tc>
        <w:tc>
          <w:tcPr>
            <w:tcW w:w="729" w:type="pct"/>
            <w:tcBorders>
              <w:top w:val="nil"/>
              <w:left w:val="nil"/>
              <w:bottom w:val="nil"/>
              <w:right w:val="nil"/>
            </w:tcBorders>
            <w:shd w:val="clear" w:color="auto" w:fill="F2F2F2" w:themeFill="background1" w:themeFillShade="F2"/>
          </w:tcPr>
          <w:p w14:paraId="716F782B" w14:textId="1303042A" w:rsidR="0073797B" w:rsidRPr="006D4208" w:rsidRDefault="0073797B" w:rsidP="00AF5A74">
            <w:pPr>
              <w:jc w:val="right"/>
              <w:rPr>
                <w:rFonts w:asciiTheme="minorHAnsi" w:hAnsiTheme="minorHAnsi" w:cstheme="minorBidi"/>
                <w:b/>
                <w:sz w:val="20"/>
                <w:szCs w:val="20"/>
              </w:rPr>
            </w:pPr>
            <w:r w:rsidRPr="0907C099">
              <w:rPr>
                <w:rFonts w:asciiTheme="minorHAnsi" w:hAnsiTheme="minorHAnsi" w:cstheme="minorBidi"/>
                <w:b/>
                <w:sz w:val="20"/>
                <w:szCs w:val="20"/>
              </w:rPr>
              <w:t>(</w:t>
            </w:r>
            <w:r w:rsidR="008675C9" w:rsidRPr="0907C099">
              <w:rPr>
                <w:rFonts w:asciiTheme="minorHAnsi" w:hAnsiTheme="minorHAnsi" w:cstheme="minorBidi"/>
                <w:b/>
                <w:sz w:val="20"/>
                <w:szCs w:val="20"/>
              </w:rPr>
              <w:t>7</w:t>
            </w:r>
            <w:r w:rsidR="00622623" w:rsidRPr="0907C099">
              <w:rPr>
                <w:rFonts w:asciiTheme="minorHAnsi" w:hAnsiTheme="minorHAnsi" w:cstheme="minorBidi"/>
                <w:b/>
                <w:sz w:val="20"/>
                <w:szCs w:val="20"/>
              </w:rPr>
              <w:t>.2</w:t>
            </w:r>
            <w:r w:rsidRPr="0907C099">
              <w:rPr>
                <w:rFonts w:asciiTheme="minorHAnsi" w:hAnsiTheme="minorHAnsi" w:cstheme="minorBidi"/>
                <w:b/>
                <w:sz w:val="20"/>
                <w:szCs w:val="20"/>
              </w:rPr>
              <w:t>)</w:t>
            </w:r>
          </w:p>
        </w:tc>
        <w:tc>
          <w:tcPr>
            <w:tcW w:w="868" w:type="pct"/>
            <w:tcBorders>
              <w:top w:val="single" w:sz="4" w:space="0" w:color="FFFFFF" w:themeColor="background1"/>
              <w:left w:val="nil"/>
              <w:bottom w:val="single" w:sz="4" w:space="0" w:color="FFFFFF" w:themeColor="background1"/>
              <w:right w:val="nil"/>
            </w:tcBorders>
          </w:tcPr>
          <w:p w14:paraId="5C61FECF" w14:textId="23580C07" w:rsidR="0073797B" w:rsidRPr="006D4208" w:rsidRDefault="00A75D84" w:rsidP="00AF5A74">
            <w:pPr>
              <w:jc w:val="right"/>
              <w:rPr>
                <w:rFonts w:asciiTheme="minorHAnsi" w:hAnsiTheme="minorHAnsi" w:cstheme="minorBidi"/>
                <w:sz w:val="20"/>
                <w:szCs w:val="20"/>
              </w:rPr>
            </w:pPr>
            <w:r w:rsidRPr="0907C099">
              <w:rPr>
                <w:rFonts w:asciiTheme="minorHAnsi" w:hAnsiTheme="minorHAnsi" w:cstheme="minorBidi"/>
                <w:sz w:val="20"/>
                <w:szCs w:val="20"/>
              </w:rPr>
              <w:t>(</w:t>
            </w:r>
            <w:r w:rsidR="00234C10">
              <w:rPr>
                <w:rFonts w:asciiTheme="minorHAnsi" w:hAnsiTheme="minorHAnsi" w:cstheme="minorBidi"/>
                <w:sz w:val="20"/>
                <w:szCs w:val="20"/>
              </w:rPr>
              <w:t>6.7</w:t>
            </w:r>
            <w:r w:rsidRPr="0907C099">
              <w:rPr>
                <w:rFonts w:asciiTheme="minorHAnsi" w:hAnsiTheme="minorHAnsi" w:cstheme="minorBidi"/>
                <w:sz w:val="20"/>
                <w:szCs w:val="20"/>
              </w:rPr>
              <w:t>)</w:t>
            </w:r>
          </w:p>
        </w:tc>
        <w:tc>
          <w:tcPr>
            <w:tcW w:w="852" w:type="pct"/>
            <w:tcBorders>
              <w:top w:val="single" w:sz="4" w:space="0" w:color="FFFFFF" w:themeColor="background1"/>
              <w:left w:val="nil"/>
              <w:bottom w:val="single" w:sz="4" w:space="0" w:color="FFFFFF" w:themeColor="background1"/>
              <w:right w:val="nil"/>
            </w:tcBorders>
          </w:tcPr>
          <w:p w14:paraId="36792856" w14:textId="70DAA8EB" w:rsidR="0073797B" w:rsidRPr="006D4208" w:rsidRDefault="00F64F6D" w:rsidP="00AF5A74">
            <w:pPr>
              <w:jc w:val="right"/>
              <w:rPr>
                <w:rFonts w:asciiTheme="minorHAnsi" w:hAnsiTheme="minorHAnsi" w:cstheme="minorBidi"/>
                <w:i/>
                <w:sz w:val="20"/>
                <w:szCs w:val="20"/>
              </w:rPr>
            </w:pPr>
            <w:r w:rsidRPr="0907C099">
              <w:rPr>
                <w:rFonts w:asciiTheme="minorHAnsi" w:hAnsiTheme="minorHAnsi" w:cstheme="minorBidi"/>
                <w:i/>
                <w:sz w:val="20"/>
                <w:szCs w:val="20"/>
              </w:rPr>
              <w:t>(</w:t>
            </w:r>
            <w:r w:rsidR="007F44AB">
              <w:rPr>
                <w:rFonts w:asciiTheme="minorHAnsi" w:hAnsiTheme="minorHAnsi" w:cstheme="minorBidi"/>
                <w:i/>
                <w:sz w:val="20"/>
                <w:szCs w:val="20"/>
              </w:rPr>
              <w:t>0.5</w:t>
            </w:r>
            <w:r w:rsidRPr="0907C099">
              <w:rPr>
                <w:rFonts w:asciiTheme="minorHAnsi" w:hAnsiTheme="minorHAnsi" w:cstheme="minorBidi"/>
                <w:i/>
                <w:sz w:val="20"/>
                <w:szCs w:val="20"/>
              </w:rPr>
              <w:t>)</w:t>
            </w:r>
          </w:p>
        </w:tc>
      </w:tr>
      <w:tr w:rsidR="0073797B" w:rsidRPr="00073BEC" w14:paraId="4982CD05" w14:textId="77777777" w:rsidTr="0010719F">
        <w:trPr>
          <w:trHeight w:val="240"/>
        </w:trPr>
        <w:tc>
          <w:tcPr>
            <w:tcW w:w="2552" w:type="pct"/>
            <w:tcBorders>
              <w:top w:val="single" w:sz="4" w:space="0" w:color="FFFFFF" w:themeColor="background1"/>
              <w:left w:val="nil"/>
              <w:bottom w:val="single" w:sz="4" w:space="0" w:color="auto"/>
              <w:right w:val="nil"/>
            </w:tcBorders>
            <w:vAlign w:val="center"/>
          </w:tcPr>
          <w:p w14:paraId="53DB36EA" w14:textId="77777777" w:rsidR="0073797B" w:rsidRPr="006D4208" w:rsidRDefault="0073797B" w:rsidP="00AF5A74">
            <w:pPr>
              <w:ind w:right="115"/>
              <w:rPr>
                <w:rFonts w:asciiTheme="minorHAnsi" w:eastAsia="Poppins" w:hAnsiTheme="minorHAnsi" w:cstheme="minorBidi"/>
                <w:sz w:val="20"/>
                <w:szCs w:val="20"/>
              </w:rPr>
            </w:pPr>
            <w:r w:rsidRPr="0907C099">
              <w:rPr>
                <w:rFonts w:asciiTheme="minorHAnsi" w:eastAsia="Poppins" w:hAnsiTheme="minorHAnsi" w:cstheme="minorBidi"/>
                <w:sz w:val="20"/>
                <w:szCs w:val="20"/>
              </w:rPr>
              <w:t>Risk adjusted margin (%)</w:t>
            </w:r>
            <w:r w:rsidRPr="0907C099">
              <w:rPr>
                <w:rFonts w:asciiTheme="minorHAnsi" w:eastAsia="Poppins" w:hAnsiTheme="minorHAnsi" w:cstheme="minorBidi"/>
                <w:sz w:val="20"/>
                <w:szCs w:val="20"/>
                <w:vertAlign w:val="superscript"/>
              </w:rPr>
              <w:t xml:space="preserve"> 6</w:t>
            </w:r>
          </w:p>
        </w:tc>
        <w:tc>
          <w:tcPr>
            <w:tcW w:w="729" w:type="pct"/>
            <w:tcBorders>
              <w:top w:val="nil"/>
              <w:left w:val="nil"/>
              <w:bottom w:val="single" w:sz="4" w:space="0" w:color="auto"/>
              <w:right w:val="nil"/>
            </w:tcBorders>
            <w:shd w:val="clear" w:color="auto" w:fill="F2F2F2" w:themeFill="background1" w:themeFillShade="F2"/>
          </w:tcPr>
          <w:p w14:paraId="1BD68DB8" w14:textId="6D559E65" w:rsidR="0073797B" w:rsidRPr="006D4208" w:rsidRDefault="00BB0B86" w:rsidP="00AF5A74">
            <w:pPr>
              <w:jc w:val="right"/>
              <w:rPr>
                <w:rFonts w:asciiTheme="minorHAnsi" w:hAnsiTheme="minorHAnsi" w:cstheme="minorBidi"/>
                <w:b/>
                <w:sz w:val="20"/>
                <w:szCs w:val="20"/>
              </w:rPr>
            </w:pPr>
            <w:r w:rsidRPr="0907C099">
              <w:rPr>
                <w:rFonts w:asciiTheme="minorHAnsi" w:hAnsiTheme="minorHAnsi" w:cstheme="minorBidi"/>
                <w:b/>
                <w:sz w:val="20"/>
                <w:szCs w:val="20"/>
              </w:rPr>
              <w:t>4.6</w:t>
            </w:r>
          </w:p>
        </w:tc>
        <w:tc>
          <w:tcPr>
            <w:tcW w:w="868" w:type="pct"/>
            <w:tcBorders>
              <w:top w:val="single" w:sz="4" w:space="0" w:color="FFFFFF" w:themeColor="background1"/>
              <w:left w:val="nil"/>
              <w:bottom w:val="single" w:sz="4" w:space="0" w:color="auto"/>
              <w:right w:val="nil"/>
            </w:tcBorders>
          </w:tcPr>
          <w:p w14:paraId="1107961A" w14:textId="1646FC46" w:rsidR="0073797B" w:rsidRPr="006D4208" w:rsidRDefault="00EF537E" w:rsidP="00AF5A74">
            <w:pPr>
              <w:jc w:val="right"/>
              <w:rPr>
                <w:rFonts w:asciiTheme="minorHAnsi" w:hAnsiTheme="minorHAnsi" w:cstheme="minorBidi"/>
                <w:sz w:val="20"/>
                <w:szCs w:val="20"/>
              </w:rPr>
            </w:pPr>
            <w:r>
              <w:rPr>
                <w:rFonts w:asciiTheme="minorHAnsi" w:hAnsiTheme="minorHAnsi" w:cstheme="minorBidi"/>
                <w:sz w:val="20"/>
                <w:szCs w:val="20"/>
              </w:rPr>
              <w:t>8.</w:t>
            </w:r>
            <w:r w:rsidR="00BB0B86" w:rsidRPr="0907C099">
              <w:rPr>
                <w:rFonts w:asciiTheme="minorHAnsi" w:hAnsiTheme="minorHAnsi" w:cstheme="minorBidi"/>
                <w:sz w:val="20"/>
                <w:szCs w:val="20"/>
              </w:rPr>
              <w:t>9</w:t>
            </w:r>
          </w:p>
        </w:tc>
        <w:tc>
          <w:tcPr>
            <w:tcW w:w="852" w:type="pct"/>
            <w:tcBorders>
              <w:top w:val="single" w:sz="4" w:space="0" w:color="FFFFFF" w:themeColor="background1"/>
              <w:left w:val="nil"/>
              <w:bottom w:val="single" w:sz="4" w:space="0" w:color="auto"/>
              <w:right w:val="nil"/>
            </w:tcBorders>
          </w:tcPr>
          <w:p w14:paraId="6B161725" w14:textId="3E92C37F" w:rsidR="0073797B" w:rsidRPr="006D4208" w:rsidRDefault="00CF2F90" w:rsidP="00AF5A74">
            <w:pPr>
              <w:jc w:val="right"/>
              <w:rPr>
                <w:rFonts w:asciiTheme="minorHAnsi" w:hAnsiTheme="minorHAnsi" w:cstheme="minorBidi"/>
                <w:i/>
                <w:sz w:val="20"/>
                <w:szCs w:val="20"/>
              </w:rPr>
            </w:pPr>
            <w:r w:rsidRPr="0907C099">
              <w:rPr>
                <w:rFonts w:asciiTheme="minorHAnsi" w:hAnsiTheme="minorHAnsi" w:cstheme="minorBidi"/>
                <w:i/>
                <w:sz w:val="20"/>
                <w:szCs w:val="20"/>
              </w:rPr>
              <w:t>(</w:t>
            </w:r>
            <w:r w:rsidR="00124F84">
              <w:rPr>
                <w:rFonts w:asciiTheme="minorHAnsi" w:hAnsiTheme="minorHAnsi" w:cstheme="minorBidi"/>
                <w:i/>
                <w:sz w:val="20"/>
                <w:szCs w:val="20"/>
              </w:rPr>
              <w:t>4.3</w:t>
            </w:r>
            <w:r w:rsidRPr="0907C099">
              <w:rPr>
                <w:rFonts w:asciiTheme="minorHAnsi" w:hAnsiTheme="minorHAnsi" w:cstheme="minorBidi"/>
                <w:i/>
                <w:sz w:val="20"/>
                <w:szCs w:val="20"/>
              </w:rPr>
              <w:t>)</w:t>
            </w:r>
          </w:p>
        </w:tc>
      </w:tr>
    </w:tbl>
    <w:p w14:paraId="66DB0FAE" w14:textId="77777777" w:rsidR="00B04318" w:rsidRPr="00701439" w:rsidRDefault="00B04318" w:rsidP="00E534C5">
      <w:pPr>
        <w:pStyle w:val="NoSpacing"/>
        <w:jc w:val="both"/>
        <w:rPr>
          <w:rStyle w:val="Strong"/>
          <w:color w:val="4747FF"/>
        </w:rPr>
      </w:pPr>
    </w:p>
    <w:p w14:paraId="116D0799" w14:textId="6BE05F64" w:rsidR="000460FE" w:rsidRPr="000C55D2" w:rsidRDefault="000460FE" w:rsidP="000460FE">
      <w:pPr>
        <w:pStyle w:val="NoSpacing"/>
        <w:ind w:left="284" w:hanging="284"/>
        <w:jc w:val="both"/>
        <w:rPr>
          <w:rStyle w:val="bodycopynumber"/>
          <w:rFonts w:asciiTheme="minorHAnsi" w:eastAsia="Calibri" w:hAnsiTheme="minorHAnsi" w:cs="Poppins-Light"/>
          <w:i/>
          <w:color w:val="000000" w:themeColor="text1"/>
          <w:sz w:val="20"/>
          <w:szCs w:val="20"/>
        </w:rPr>
      </w:pPr>
      <w:r w:rsidRPr="3441915A">
        <w:rPr>
          <w:i/>
          <w:iCs/>
          <w:sz w:val="20"/>
          <w:szCs w:val="20"/>
          <w:vertAlign w:val="superscript"/>
        </w:rPr>
        <w:t>1</w:t>
      </w:r>
      <w:r>
        <w:tab/>
      </w:r>
      <w:r w:rsidR="38D99CD9" w:rsidRPr="3296D0CD">
        <w:rPr>
          <w:rStyle w:val="bodycopynumber"/>
          <w:rFonts w:asciiTheme="minorHAnsi" w:hAnsiTheme="minorHAnsi" w:cs="Poppins-Light"/>
          <w:i/>
          <w:color w:val="000000" w:themeColor="text1"/>
          <w:sz w:val="20"/>
          <w:szCs w:val="20"/>
        </w:rPr>
        <w:t xml:space="preserve">As part of the Group’s review into Vehicle Finance Stage 3 assets, it was identified that cash flows expected to be received from contracts </w:t>
      </w:r>
      <w:r w:rsidR="008224B2">
        <w:rPr>
          <w:rStyle w:val="bodycopynumber"/>
          <w:rFonts w:asciiTheme="minorHAnsi" w:hAnsiTheme="minorHAnsi" w:cs="Poppins-Light"/>
          <w:i/>
          <w:color w:val="000000" w:themeColor="text1"/>
          <w:sz w:val="20"/>
          <w:szCs w:val="20"/>
        </w:rPr>
        <w:t xml:space="preserve">projected to be received </w:t>
      </w:r>
      <w:r w:rsidR="00D910A4">
        <w:rPr>
          <w:rStyle w:val="bodycopynumber"/>
          <w:rFonts w:asciiTheme="minorHAnsi" w:hAnsiTheme="minorHAnsi" w:cs="Poppins-Light"/>
          <w:i/>
          <w:color w:val="000000" w:themeColor="text1"/>
          <w:sz w:val="20"/>
          <w:szCs w:val="20"/>
        </w:rPr>
        <w:t xml:space="preserve">from customers on contracts </w:t>
      </w:r>
      <w:r w:rsidR="38D99CD9" w:rsidRPr="3296D0CD">
        <w:rPr>
          <w:rStyle w:val="bodycopynumber"/>
          <w:rFonts w:asciiTheme="minorHAnsi" w:hAnsiTheme="minorHAnsi" w:cs="Poppins-Light"/>
          <w:i/>
          <w:color w:val="000000" w:themeColor="text1"/>
          <w:sz w:val="20"/>
          <w:szCs w:val="20"/>
        </w:rPr>
        <w:t>identified for debt sale were being included beyond the expected sale date</w:t>
      </w:r>
      <w:r w:rsidR="004F475B">
        <w:rPr>
          <w:rStyle w:val="bodycopynumber"/>
          <w:rFonts w:asciiTheme="minorHAnsi" w:hAnsiTheme="minorHAnsi" w:cs="Poppins-Light"/>
          <w:i/>
          <w:color w:val="000000" w:themeColor="text1"/>
          <w:sz w:val="20"/>
          <w:szCs w:val="20"/>
        </w:rPr>
        <w:t xml:space="preserve"> </w:t>
      </w:r>
      <w:r w:rsidR="00356BC2">
        <w:rPr>
          <w:rStyle w:val="bodycopynumber"/>
          <w:rFonts w:asciiTheme="minorHAnsi" w:hAnsiTheme="minorHAnsi" w:cs="Poppins-Light"/>
          <w:i/>
          <w:color w:val="000000" w:themeColor="text1"/>
          <w:sz w:val="20"/>
          <w:szCs w:val="20"/>
        </w:rPr>
        <w:t xml:space="preserve">in addition to the cash flows from the debt sale. </w:t>
      </w:r>
      <w:r w:rsidR="38D99CD9" w:rsidRPr="3296D0CD">
        <w:rPr>
          <w:rStyle w:val="bodycopynumber"/>
          <w:rFonts w:asciiTheme="minorHAnsi" w:hAnsiTheme="minorHAnsi" w:cs="Poppins-Light"/>
          <w:i/>
          <w:color w:val="000000" w:themeColor="text1"/>
          <w:sz w:val="20"/>
          <w:szCs w:val="20"/>
        </w:rPr>
        <w:t>Vehicle Finance results have been retrospectively restated with the impact outlined in Note 2</w:t>
      </w:r>
      <w:r w:rsidR="003134C1">
        <w:rPr>
          <w:rStyle w:val="bodycopynumber"/>
          <w:rFonts w:asciiTheme="minorHAnsi" w:hAnsiTheme="minorHAnsi" w:cs="Poppins-Light"/>
          <w:i/>
          <w:color w:val="000000" w:themeColor="text1"/>
          <w:sz w:val="20"/>
          <w:szCs w:val="20"/>
        </w:rPr>
        <w:t xml:space="preserve"> of the financial statements.</w:t>
      </w:r>
    </w:p>
    <w:p w14:paraId="340D15BF" w14:textId="19B87139" w:rsidR="00BE6A84" w:rsidRPr="002725AC" w:rsidRDefault="000460FE" w:rsidP="3441915A">
      <w:pPr>
        <w:pStyle w:val="NoSpacing"/>
        <w:ind w:left="284" w:hanging="284"/>
        <w:jc w:val="both"/>
        <w:rPr>
          <w:rFonts w:cs="Poppins-Light"/>
          <w:i/>
          <w:iCs/>
          <w:sz w:val="20"/>
          <w:szCs w:val="20"/>
        </w:rPr>
      </w:pPr>
      <w:r w:rsidRPr="3441915A">
        <w:rPr>
          <w:i/>
          <w:iCs/>
          <w:sz w:val="20"/>
          <w:szCs w:val="20"/>
          <w:vertAlign w:val="superscript"/>
        </w:rPr>
        <w:t>2</w:t>
      </w:r>
      <w:r>
        <w:tab/>
      </w:r>
      <w:r w:rsidR="0010719F" w:rsidRPr="3441915A">
        <w:rPr>
          <w:i/>
          <w:iCs/>
          <w:sz w:val="20"/>
          <w:szCs w:val="20"/>
        </w:rPr>
        <w:t xml:space="preserve">Calculated as the average of month end gross receivables, excluding </w:t>
      </w:r>
      <w:r w:rsidR="0010719F" w:rsidRPr="3441915A">
        <w:rPr>
          <w:rFonts w:ascii="Calibri" w:eastAsia="Calibri" w:hAnsi="Calibri" w:cs="Calibri"/>
          <w:i/>
          <w:iCs/>
          <w:sz w:val="20"/>
          <w:szCs w:val="20"/>
        </w:rPr>
        <w:t>post charge off assets and deferred acquisition costs,</w:t>
      </w:r>
      <w:r w:rsidR="0010719F" w:rsidRPr="3441915A">
        <w:rPr>
          <w:i/>
          <w:iCs/>
          <w:sz w:val="20"/>
          <w:szCs w:val="20"/>
        </w:rPr>
        <w:t xml:space="preserve"> for the 7 months ended 30 June.</w:t>
      </w:r>
      <w:r w:rsidR="1F31A76F" w:rsidRPr="3441915A">
        <w:rPr>
          <w:i/>
          <w:iCs/>
          <w:sz w:val="20"/>
          <w:szCs w:val="20"/>
        </w:rPr>
        <w:t xml:space="preserve"> </w:t>
      </w:r>
      <w:r w:rsidR="1F31A76F" w:rsidRPr="3441915A">
        <w:rPr>
          <w:rFonts w:ascii="Calibri" w:eastAsia="Calibri" w:hAnsi="Calibri" w:cs="Calibri"/>
          <w:i/>
          <w:iCs/>
          <w:sz w:val="20"/>
          <w:szCs w:val="20"/>
        </w:rPr>
        <w:t xml:space="preserve">As part of the review into the Vehicle Finance Stage 3 </w:t>
      </w:r>
      <w:r w:rsidR="00CB6A8B">
        <w:rPr>
          <w:rFonts w:ascii="Calibri" w:eastAsia="Calibri" w:hAnsi="Calibri" w:cs="Calibri"/>
          <w:i/>
          <w:iCs/>
          <w:sz w:val="20"/>
          <w:szCs w:val="20"/>
        </w:rPr>
        <w:t xml:space="preserve">assets </w:t>
      </w:r>
      <w:r w:rsidR="00CB6A8B" w:rsidRPr="00CB6A8B">
        <w:rPr>
          <w:rFonts w:ascii="Calibri" w:eastAsia="Calibri" w:hAnsi="Calibri" w:cs="Calibri"/>
          <w:i/>
          <w:iCs/>
          <w:sz w:val="20"/>
          <w:szCs w:val="20"/>
        </w:rPr>
        <w:t>and review of our internal management reporting</w:t>
      </w:r>
      <w:r w:rsidR="1F31A76F" w:rsidRPr="3441915A">
        <w:rPr>
          <w:rFonts w:ascii="Calibri" w:eastAsia="Calibri" w:hAnsi="Calibri" w:cs="Calibri"/>
          <w:i/>
          <w:iCs/>
          <w:sz w:val="20"/>
          <w:szCs w:val="20"/>
        </w:rPr>
        <w:t xml:space="preserve"> it was identified that £51.6m of gross receivables were excluded </w:t>
      </w:r>
      <w:r w:rsidR="005C3537">
        <w:rPr>
          <w:rFonts w:ascii="Calibri" w:eastAsia="Calibri" w:hAnsi="Calibri" w:cs="Calibri"/>
          <w:i/>
          <w:iCs/>
          <w:sz w:val="20"/>
          <w:szCs w:val="20"/>
        </w:rPr>
        <w:t>incorrectly</w:t>
      </w:r>
      <w:r w:rsidR="1F31A76F" w:rsidRPr="02F52F1F">
        <w:rPr>
          <w:rFonts w:ascii="Calibri" w:eastAsia="Calibri" w:hAnsi="Calibri" w:cs="Calibri"/>
          <w:i/>
          <w:iCs/>
          <w:sz w:val="20"/>
          <w:szCs w:val="20"/>
        </w:rPr>
        <w:t xml:space="preserve"> from </w:t>
      </w:r>
      <w:r w:rsidR="00DF5C85">
        <w:rPr>
          <w:rFonts w:ascii="Calibri" w:eastAsia="Calibri" w:hAnsi="Calibri" w:cs="Calibri"/>
          <w:i/>
          <w:iCs/>
          <w:sz w:val="20"/>
          <w:szCs w:val="20"/>
        </w:rPr>
        <w:t>the presentation of</w:t>
      </w:r>
      <w:r w:rsidR="1F31A76F" w:rsidRPr="3441915A">
        <w:rPr>
          <w:rFonts w:ascii="Calibri" w:eastAsia="Calibri" w:hAnsi="Calibri" w:cs="Calibri"/>
          <w:i/>
          <w:iCs/>
          <w:sz w:val="20"/>
          <w:szCs w:val="20"/>
        </w:rPr>
        <w:t xml:space="preserve"> gross interest earning balances.</w:t>
      </w:r>
      <w:r w:rsidR="37D829C9" w:rsidRPr="3441915A">
        <w:rPr>
          <w:rFonts w:ascii="Calibri" w:eastAsia="Calibri" w:hAnsi="Calibri" w:cs="Calibri"/>
          <w:i/>
          <w:iCs/>
          <w:sz w:val="20"/>
          <w:szCs w:val="20"/>
        </w:rPr>
        <w:t xml:space="preserve"> </w:t>
      </w:r>
      <w:r w:rsidR="00245138">
        <w:rPr>
          <w:rFonts w:ascii="Calibri" w:eastAsia="Calibri" w:hAnsi="Calibri" w:cs="Calibri"/>
          <w:i/>
          <w:iCs/>
          <w:sz w:val="20"/>
          <w:szCs w:val="20"/>
        </w:rPr>
        <w:t>There was no impact on the balance sheet</w:t>
      </w:r>
      <w:r w:rsidR="006F4B59">
        <w:rPr>
          <w:rFonts w:ascii="Calibri" w:eastAsia="Calibri" w:hAnsi="Calibri" w:cs="Calibri"/>
          <w:i/>
          <w:iCs/>
          <w:sz w:val="20"/>
          <w:szCs w:val="20"/>
        </w:rPr>
        <w:t xml:space="preserve"> </w:t>
      </w:r>
      <w:r w:rsidR="005C3537">
        <w:rPr>
          <w:rFonts w:ascii="Calibri" w:eastAsia="Calibri" w:hAnsi="Calibri" w:cs="Calibri"/>
          <w:i/>
          <w:iCs/>
          <w:sz w:val="20"/>
          <w:szCs w:val="20"/>
        </w:rPr>
        <w:t>a</w:t>
      </w:r>
      <w:r w:rsidR="00A13097">
        <w:rPr>
          <w:rFonts w:ascii="Calibri" w:eastAsia="Calibri" w:hAnsi="Calibri" w:cs="Calibri"/>
          <w:i/>
          <w:iCs/>
          <w:sz w:val="20"/>
          <w:szCs w:val="20"/>
        </w:rPr>
        <w:t>s</w:t>
      </w:r>
      <w:r w:rsidR="005C3537">
        <w:rPr>
          <w:rFonts w:ascii="Calibri" w:eastAsia="Calibri" w:hAnsi="Calibri" w:cs="Calibri"/>
          <w:i/>
          <w:iCs/>
          <w:sz w:val="20"/>
          <w:szCs w:val="20"/>
        </w:rPr>
        <w:t xml:space="preserve"> a result of this</w:t>
      </w:r>
      <w:r w:rsidR="00BE7A98">
        <w:rPr>
          <w:rFonts w:ascii="Calibri" w:eastAsia="Calibri" w:hAnsi="Calibri" w:cs="Calibri"/>
          <w:i/>
          <w:iCs/>
          <w:sz w:val="20"/>
          <w:szCs w:val="20"/>
        </w:rPr>
        <w:t>.</w:t>
      </w:r>
      <w:r w:rsidR="005C3537">
        <w:rPr>
          <w:rFonts w:ascii="Calibri" w:eastAsia="Calibri" w:hAnsi="Calibri" w:cs="Calibri"/>
          <w:i/>
          <w:iCs/>
          <w:sz w:val="20"/>
          <w:szCs w:val="20"/>
        </w:rPr>
        <w:t xml:space="preserve"> </w:t>
      </w:r>
      <w:r w:rsidR="1F31A76F" w:rsidRPr="02F52F1F">
        <w:rPr>
          <w:rFonts w:ascii="Calibri" w:eastAsia="Calibri" w:hAnsi="Calibri" w:cs="Calibri"/>
          <w:i/>
          <w:iCs/>
          <w:sz w:val="20"/>
          <w:szCs w:val="20"/>
        </w:rPr>
        <w:t xml:space="preserve"> </w:t>
      </w:r>
      <w:r w:rsidR="37D829C9" w:rsidRPr="002725AC">
        <w:rPr>
          <w:rFonts w:cs="Poppins-Light"/>
          <w:i/>
          <w:iCs/>
          <w:sz w:val="20"/>
          <w:szCs w:val="20"/>
        </w:rPr>
        <w:t>KPIs using this metric have therefore been retrospectively represented for all periods presented in this report.</w:t>
      </w:r>
    </w:p>
    <w:p w14:paraId="52C76229" w14:textId="285B09E1" w:rsidR="00BE6A84" w:rsidRPr="000C55D2" w:rsidRDefault="000460FE" w:rsidP="00BE6A84">
      <w:pPr>
        <w:pStyle w:val="NoSpacing"/>
        <w:ind w:left="284" w:hanging="284"/>
        <w:jc w:val="both"/>
        <w:rPr>
          <w:i/>
          <w:sz w:val="20"/>
          <w:szCs w:val="20"/>
        </w:rPr>
      </w:pPr>
      <w:r w:rsidRPr="000C55D2">
        <w:rPr>
          <w:i/>
          <w:sz w:val="20"/>
          <w:szCs w:val="20"/>
          <w:vertAlign w:val="superscript"/>
        </w:rPr>
        <w:t>3</w:t>
      </w:r>
      <w:r w:rsidR="00BE6A84">
        <w:tab/>
      </w:r>
      <w:r w:rsidR="00BE6A84" w:rsidRPr="000C55D2">
        <w:rPr>
          <w:i/>
          <w:sz w:val="20"/>
          <w:szCs w:val="20"/>
        </w:rPr>
        <w:t xml:space="preserve">Adjusted </w:t>
      </w:r>
      <w:r w:rsidR="00A4102D">
        <w:rPr>
          <w:i/>
          <w:sz w:val="20"/>
          <w:szCs w:val="20"/>
        </w:rPr>
        <w:t>(loss)</w:t>
      </w:r>
      <w:r w:rsidR="00D80244">
        <w:rPr>
          <w:i/>
          <w:sz w:val="20"/>
          <w:szCs w:val="20"/>
        </w:rPr>
        <w:t>\</w:t>
      </w:r>
      <w:r w:rsidR="00BE6A84" w:rsidRPr="000C55D2">
        <w:rPr>
          <w:i/>
          <w:sz w:val="20"/>
          <w:szCs w:val="20"/>
        </w:rPr>
        <w:t xml:space="preserve">profit before tax </w:t>
      </w:r>
      <w:r w:rsidR="00C42E03">
        <w:rPr>
          <w:i/>
          <w:sz w:val="20"/>
          <w:szCs w:val="20"/>
        </w:rPr>
        <w:t xml:space="preserve">contribution </w:t>
      </w:r>
      <w:r w:rsidR="00BE6A84" w:rsidRPr="000C55D2">
        <w:rPr>
          <w:i/>
          <w:sz w:val="20"/>
          <w:szCs w:val="20"/>
        </w:rPr>
        <w:t xml:space="preserve">is stated before </w:t>
      </w:r>
      <w:r w:rsidR="00C42E03">
        <w:rPr>
          <w:i/>
          <w:sz w:val="20"/>
          <w:szCs w:val="20"/>
        </w:rPr>
        <w:t xml:space="preserve">tax and </w:t>
      </w:r>
      <w:r w:rsidR="00BE6A84">
        <w:rPr>
          <w:i/>
          <w:sz w:val="20"/>
          <w:szCs w:val="20"/>
        </w:rPr>
        <w:t xml:space="preserve">exceptional </w:t>
      </w:r>
      <w:r w:rsidR="00C42E03">
        <w:rPr>
          <w:i/>
          <w:sz w:val="20"/>
          <w:szCs w:val="20"/>
        </w:rPr>
        <w:t>items</w:t>
      </w:r>
      <w:r w:rsidR="00BE6A84">
        <w:rPr>
          <w:i/>
          <w:sz w:val="20"/>
          <w:szCs w:val="20"/>
        </w:rPr>
        <w:t>.</w:t>
      </w:r>
      <w:r w:rsidR="00BE6A84" w:rsidRPr="000C55D2">
        <w:rPr>
          <w:rFonts w:cs="Arial"/>
          <w:i/>
          <w:sz w:val="20"/>
          <w:szCs w:val="20"/>
        </w:rPr>
        <w:t xml:space="preserve"> </w:t>
      </w:r>
    </w:p>
    <w:p w14:paraId="6DE4CFCA" w14:textId="2727E2D3" w:rsidR="002C56F8" w:rsidRPr="000C55D2" w:rsidRDefault="000460FE" w:rsidP="002C56F8">
      <w:pPr>
        <w:pStyle w:val="NoSpacing"/>
        <w:ind w:left="284" w:hanging="284"/>
        <w:jc w:val="both"/>
        <w:rPr>
          <w:i/>
          <w:sz w:val="20"/>
          <w:szCs w:val="20"/>
        </w:rPr>
      </w:pPr>
      <w:r w:rsidRPr="000C55D2">
        <w:rPr>
          <w:i/>
          <w:sz w:val="20"/>
          <w:szCs w:val="20"/>
          <w:vertAlign w:val="superscript"/>
        </w:rPr>
        <w:t>4</w:t>
      </w:r>
      <w:r w:rsidR="00BE6A84" w:rsidRPr="000C55D2">
        <w:rPr>
          <w:i/>
          <w:sz w:val="20"/>
          <w:szCs w:val="20"/>
          <w:vertAlign w:val="superscript"/>
        </w:rPr>
        <w:tab/>
      </w:r>
      <w:r w:rsidR="002C56F8" w:rsidRPr="000C55D2">
        <w:rPr>
          <w:i/>
          <w:sz w:val="20"/>
          <w:szCs w:val="20"/>
        </w:rPr>
        <w:t>Interest income for the period multiplied by 365/181 as a percentage of average gross receivables for the 7 months ended 30 June.</w:t>
      </w:r>
    </w:p>
    <w:p w14:paraId="2E07D6E1" w14:textId="29A73771" w:rsidR="00254A48" w:rsidRPr="000C55D2" w:rsidRDefault="000460FE" w:rsidP="002C56F8">
      <w:pPr>
        <w:pStyle w:val="NoSpacing"/>
        <w:ind w:left="284" w:hanging="284"/>
        <w:jc w:val="both"/>
        <w:rPr>
          <w:i/>
          <w:sz w:val="20"/>
          <w:szCs w:val="20"/>
        </w:rPr>
      </w:pPr>
      <w:r w:rsidRPr="000C55D2">
        <w:rPr>
          <w:i/>
          <w:sz w:val="20"/>
          <w:szCs w:val="20"/>
          <w:vertAlign w:val="superscript"/>
        </w:rPr>
        <w:t>5</w:t>
      </w:r>
      <w:r w:rsidR="00BE6A84" w:rsidRPr="000C55D2">
        <w:rPr>
          <w:i/>
          <w:sz w:val="20"/>
          <w:szCs w:val="20"/>
          <w:vertAlign w:val="superscript"/>
        </w:rPr>
        <w:t xml:space="preserve"> </w:t>
      </w:r>
      <w:r w:rsidR="00BE6A84" w:rsidRPr="000C55D2">
        <w:rPr>
          <w:i/>
          <w:sz w:val="20"/>
          <w:szCs w:val="20"/>
        </w:rPr>
        <w:t xml:space="preserve">    Impairment charges</w:t>
      </w:r>
      <w:r w:rsidR="002C56F8" w:rsidRPr="000C55D2">
        <w:rPr>
          <w:i/>
          <w:sz w:val="20"/>
          <w:szCs w:val="20"/>
        </w:rPr>
        <w:t xml:space="preserve"> for the period multiplied by 365/181 </w:t>
      </w:r>
      <w:r w:rsidR="00BE6A84" w:rsidRPr="000C55D2">
        <w:rPr>
          <w:i/>
          <w:sz w:val="20"/>
          <w:szCs w:val="20"/>
        </w:rPr>
        <w:t xml:space="preserve">as a percentage of average gross receivables for the </w:t>
      </w:r>
      <w:r w:rsidR="002C56F8" w:rsidRPr="000C55D2">
        <w:rPr>
          <w:i/>
          <w:sz w:val="20"/>
          <w:szCs w:val="20"/>
        </w:rPr>
        <w:t>7</w:t>
      </w:r>
      <w:r w:rsidR="00BE6A84" w:rsidRPr="000C55D2">
        <w:rPr>
          <w:i/>
          <w:sz w:val="20"/>
          <w:szCs w:val="20"/>
        </w:rPr>
        <w:t xml:space="preserve"> months ended </w:t>
      </w:r>
      <w:r w:rsidR="002C56F8" w:rsidRPr="000C55D2">
        <w:rPr>
          <w:i/>
          <w:sz w:val="20"/>
          <w:szCs w:val="20"/>
        </w:rPr>
        <w:t>30 June</w:t>
      </w:r>
      <w:r w:rsidR="00FA3E9C" w:rsidRPr="000C55D2">
        <w:rPr>
          <w:i/>
          <w:sz w:val="20"/>
          <w:szCs w:val="20"/>
        </w:rPr>
        <w:t>.</w:t>
      </w:r>
    </w:p>
    <w:p w14:paraId="07D47031" w14:textId="77777777" w:rsidR="00A17DDF" w:rsidRPr="009B0128" w:rsidRDefault="000460FE" w:rsidP="00A17DDF">
      <w:pPr>
        <w:pStyle w:val="NoSpacing"/>
        <w:ind w:left="284" w:hanging="284"/>
        <w:jc w:val="both"/>
        <w:rPr>
          <w:i/>
          <w:sz w:val="20"/>
          <w:szCs w:val="20"/>
        </w:rPr>
      </w:pPr>
      <w:r w:rsidRPr="000C55D2">
        <w:rPr>
          <w:i/>
          <w:sz w:val="20"/>
          <w:szCs w:val="20"/>
          <w:vertAlign w:val="superscript"/>
        </w:rPr>
        <w:t>6</w:t>
      </w:r>
      <w:r w:rsidR="00C02365">
        <w:rPr>
          <w:i/>
          <w:sz w:val="20"/>
          <w:szCs w:val="20"/>
          <w:vertAlign w:val="superscript"/>
        </w:rPr>
        <w:t xml:space="preserve"> </w:t>
      </w:r>
      <w:r w:rsidR="00C02365">
        <w:rPr>
          <w:i/>
          <w:iCs/>
          <w:sz w:val="20"/>
          <w:szCs w:val="20"/>
        </w:rPr>
        <w:tab/>
      </w:r>
      <w:r w:rsidR="00C42E03">
        <w:rPr>
          <w:i/>
          <w:iCs/>
          <w:sz w:val="20"/>
          <w:szCs w:val="20"/>
        </w:rPr>
        <w:t xml:space="preserve">Total income, excluding exceptional items less impairment charge </w:t>
      </w:r>
      <w:r w:rsidR="00C42E03" w:rsidRPr="009B0128">
        <w:rPr>
          <w:i/>
          <w:sz w:val="20"/>
          <w:szCs w:val="20"/>
        </w:rPr>
        <w:t>for the period</w:t>
      </w:r>
      <w:r w:rsidR="00BE6A84" w:rsidRPr="000C55D2">
        <w:rPr>
          <w:i/>
          <w:sz w:val="20"/>
          <w:szCs w:val="20"/>
        </w:rPr>
        <w:t xml:space="preserve"> </w:t>
      </w:r>
      <w:r w:rsidR="00254A48" w:rsidRPr="000C55D2">
        <w:rPr>
          <w:i/>
          <w:sz w:val="20"/>
          <w:szCs w:val="20"/>
        </w:rPr>
        <w:t xml:space="preserve">multiplied by 365/181 </w:t>
      </w:r>
      <w:r w:rsidR="00BE6A84" w:rsidRPr="000C55D2">
        <w:rPr>
          <w:i/>
          <w:sz w:val="20"/>
          <w:szCs w:val="20"/>
        </w:rPr>
        <w:t xml:space="preserve">as a percentage of average </w:t>
      </w:r>
      <w:r w:rsidR="00C42E03">
        <w:rPr>
          <w:i/>
          <w:iCs/>
          <w:sz w:val="20"/>
          <w:szCs w:val="20"/>
        </w:rPr>
        <w:t>gross receivables</w:t>
      </w:r>
      <w:r w:rsidR="00BE6A84" w:rsidRPr="000C55D2">
        <w:rPr>
          <w:i/>
          <w:sz w:val="20"/>
          <w:szCs w:val="20"/>
        </w:rPr>
        <w:t xml:space="preserve"> for the </w:t>
      </w:r>
      <w:r w:rsidR="00254A48" w:rsidRPr="000C55D2">
        <w:rPr>
          <w:i/>
          <w:sz w:val="20"/>
          <w:szCs w:val="20"/>
        </w:rPr>
        <w:t>7</w:t>
      </w:r>
      <w:r w:rsidR="00BE6A84" w:rsidRPr="000C55D2">
        <w:rPr>
          <w:i/>
          <w:sz w:val="20"/>
          <w:szCs w:val="20"/>
        </w:rPr>
        <w:t xml:space="preserve"> months ended 3</w:t>
      </w:r>
      <w:r w:rsidR="00254A48" w:rsidRPr="000C55D2">
        <w:rPr>
          <w:i/>
          <w:sz w:val="20"/>
          <w:szCs w:val="20"/>
        </w:rPr>
        <w:t>0</w:t>
      </w:r>
      <w:r w:rsidR="00BE6A84" w:rsidRPr="000C55D2">
        <w:rPr>
          <w:i/>
          <w:sz w:val="20"/>
          <w:szCs w:val="20"/>
        </w:rPr>
        <w:t xml:space="preserve"> </w:t>
      </w:r>
      <w:r w:rsidR="00254A48" w:rsidRPr="000C55D2">
        <w:rPr>
          <w:i/>
          <w:sz w:val="20"/>
          <w:szCs w:val="20"/>
        </w:rPr>
        <w:t>June</w:t>
      </w:r>
      <w:r w:rsidR="00BE6A84" w:rsidRPr="000C55D2">
        <w:rPr>
          <w:i/>
          <w:sz w:val="20"/>
          <w:szCs w:val="20"/>
        </w:rPr>
        <w:t>.</w:t>
      </w:r>
    </w:p>
    <w:p w14:paraId="7EA1606A" w14:textId="7BE0B2A8" w:rsidR="00BE6A84" w:rsidRPr="00701439" w:rsidRDefault="00BE6A84" w:rsidP="00BE6A84">
      <w:pPr>
        <w:pStyle w:val="NoSpacing"/>
        <w:ind w:left="284" w:hanging="284"/>
        <w:jc w:val="both"/>
        <w:rPr>
          <w:i/>
          <w:sz w:val="20"/>
          <w:szCs w:val="20"/>
        </w:rPr>
      </w:pPr>
    </w:p>
    <w:p w14:paraId="041A2F82" w14:textId="72B527BF" w:rsidR="00A57A6E" w:rsidRDefault="00740F8E" w:rsidP="00A57A6E">
      <w:pPr>
        <w:spacing w:after="160"/>
        <w:jc w:val="both"/>
        <w:rPr>
          <w:rFonts w:asciiTheme="minorHAnsi" w:eastAsia="Calibri" w:hAnsiTheme="minorHAnsi"/>
          <w:sz w:val="20"/>
          <w:szCs w:val="20"/>
          <w:lang w:eastAsia="en-US"/>
        </w:rPr>
      </w:pPr>
      <w:r w:rsidRPr="00FC4C4F">
        <w:rPr>
          <w:rFonts w:asciiTheme="minorHAnsi" w:eastAsia="Calibri" w:hAnsiTheme="minorHAnsi"/>
          <w:sz w:val="20"/>
          <w:szCs w:val="20"/>
          <w:lang w:eastAsia="en-US"/>
        </w:rPr>
        <w:t xml:space="preserve">The Group’s vehicle finance business generated adjusted </w:t>
      </w:r>
      <w:r w:rsidR="004D3ACA" w:rsidRPr="00FC4C4F">
        <w:rPr>
          <w:rFonts w:asciiTheme="minorHAnsi" w:eastAsia="Calibri" w:hAnsiTheme="minorHAnsi"/>
          <w:sz w:val="20"/>
          <w:szCs w:val="20"/>
          <w:lang w:eastAsia="en-US"/>
        </w:rPr>
        <w:t>loss</w:t>
      </w:r>
      <w:r w:rsidRPr="00FC4C4F">
        <w:rPr>
          <w:rFonts w:asciiTheme="minorHAnsi" w:eastAsia="Calibri" w:hAnsiTheme="minorHAnsi"/>
          <w:sz w:val="20"/>
          <w:szCs w:val="20"/>
          <w:lang w:eastAsia="en-US"/>
        </w:rPr>
        <w:t xml:space="preserve"> before tax of £</w:t>
      </w:r>
      <w:r w:rsidR="004D3ACA" w:rsidRPr="00FC4C4F">
        <w:rPr>
          <w:rFonts w:asciiTheme="minorHAnsi" w:eastAsia="Calibri" w:hAnsiTheme="minorHAnsi"/>
          <w:sz w:val="20"/>
          <w:szCs w:val="20"/>
          <w:lang w:eastAsia="en-US"/>
        </w:rPr>
        <w:t>3.3</w:t>
      </w:r>
      <w:r w:rsidRPr="00FC4C4F">
        <w:rPr>
          <w:rFonts w:asciiTheme="minorHAnsi" w:eastAsia="Calibri" w:hAnsiTheme="minorHAnsi"/>
          <w:sz w:val="20"/>
          <w:szCs w:val="20"/>
          <w:lang w:eastAsia="en-US"/>
        </w:rPr>
        <w:t>m (</w:t>
      </w:r>
      <w:r w:rsidR="00051A8A" w:rsidRPr="00FC4C4F">
        <w:rPr>
          <w:rFonts w:asciiTheme="minorHAnsi" w:eastAsia="Calibri" w:hAnsiTheme="minorHAnsi"/>
          <w:sz w:val="20"/>
          <w:szCs w:val="20"/>
          <w:lang w:eastAsia="en-US"/>
        </w:rPr>
        <w:t>1H</w:t>
      </w:r>
      <w:r w:rsidR="00EC7117" w:rsidRPr="00FC4C4F">
        <w:rPr>
          <w:rFonts w:asciiTheme="minorHAnsi" w:eastAsia="Calibri" w:hAnsiTheme="minorHAnsi"/>
          <w:sz w:val="20"/>
          <w:szCs w:val="20"/>
          <w:lang w:eastAsia="en-US"/>
        </w:rPr>
        <w:t>2</w:t>
      </w:r>
      <w:r w:rsidR="004D3ACA" w:rsidRPr="00FC4C4F">
        <w:rPr>
          <w:rFonts w:asciiTheme="minorHAnsi" w:eastAsia="Calibri" w:hAnsiTheme="minorHAnsi"/>
          <w:sz w:val="20"/>
          <w:szCs w:val="20"/>
          <w:lang w:eastAsia="en-US"/>
        </w:rPr>
        <w:t>3</w:t>
      </w:r>
      <w:r w:rsidR="00391063" w:rsidRPr="00FC4C4F">
        <w:rPr>
          <w:rFonts w:asciiTheme="minorHAnsi" w:eastAsia="Calibri" w:hAnsiTheme="minorHAnsi"/>
          <w:sz w:val="20"/>
          <w:szCs w:val="20"/>
          <w:lang w:eastAsia="en-US"/>
        </w:rPr>
        <w:t xml:space="preserve"> restated</w:t>
      </w:r>
      <w:r w:rsidR="00D50DA5" w:rsidRPr="00FC4C4F">
        <w:rPr>
          <w:rFonts w:asciiTheme="minorHAnsi" w:eastAsia="Calibri" w:hAnsiTheme="minorHAnsi"/>
          <w:sz w:val="20"/>
          <w:szCs w:val="20"/>
          <w:lang w:eastAsia="en-US"/>
        </w:rPr>
        <w:t xml:space="preserve"> adjusted profit before tax</w:t>
      </w:r>
      <w:r w:rsidRPr="00FC4C4F">
        <w:rPr>
          <w:rFonts w:asciiTheme="minorHAnsi" w:eastAsia="Calibri" w:hAnsiTheme="minorHAnsi"/>
          <w:sz w:val="20"/>
          <w:szCs w:val="20"/>
          <w:lang w:eastAsia="en-US"/>
        </w:rPr>
        <w:t>: £</w:t>
      </w:r>
      <w:r w:rsidR="00EB0302">
        <w:rPr>
          <w:rFonts w:asciiTheme="minorHAnsi" w:eastAsia="Calibri" w:hAnsiTheme="minorHAnsi"/>
          <w:sz w:val="20"/>
          <w:szCs w:val="20"/>
          <w:lang w:eastAsia="en-US"/>
        </w:rPr>
        <w:t>8.2</w:t>
      </w:r>
      <w:r w:rsidRPr="00FC4C4F">
        <w:rPr>
          <w:rFonts w:asciiTheme="minorHAnsi" w:eastAsia="Calibri" w:hAnsiTheme="minorHAnsi"/>
          <w:sz w:val="20"/>
          <w:szCs w:val="20"/>
          <w:lang w:eastAsia="en-US"/>
        </w:rPr>
        <w:t xml:space="preserve">m) </w:t>
      </w:r>
      <w:r w:rsidR="0019306C" w:rsidRPr="00FC4C4F">
        <w:rPr>
          <w:rFonts w:asciiTheme="minorHAnsi" w:eastAsia="Calibri" w:hAnsiTheme="minorHAnsi"/>
          <w:sz w:val="20"/>
          <w:szCs w:val="20"/>
          <w:lang w:eastAsia="en-US"/>
        </w:rPr>
        <w:t>for</w:t>
      </w:r>
      <w:r w:rsidR="00F63FEF" w:rsidRPr="00FC4C4F">
        <w:rPr>
          <w:rFonts w:asciiTheme="minorHAnsi" w:eastAsia="Calibri" w:hAnsiTheme="minorHAnsi"/>
          <w:sz w:val="20"/>
          <w:szCs w:val="20"/>
          <w:lang w:eastAsia="en-US"/>
        </w:rPr>
        <w:t xml:space="preserve"> </w:t>
      </w:r>
      <w:r w:rsidR="00051A8A" w:rsidRPr="00FC4C4F">
        <w:rPr>
          <w:rFonts w:asciiTheme="minorHAnsi" w:eastAsia="Calibri" w:hAnsiTheme="minorHAnsi"/>
          <w:sz w:val="20"/>
          <w:szCs w:val="20"/>
          <w:lang w:eastAsia="en-US"/>
        </w:rPr>
        <w:t>1H</w:t>
      </w:r>
      <w:r w:rsidR="00F63FEF" w:rsidRPr="00FC4C4F">
        <w:rPr>
          <w:rFonts w:asciiTheme="minorHAnsi" w:eastAsia="Calibri" w:hAnsiTheme="minorHAnsi"/>
          <w:sz w:val="20"/>
          <w:szCs w:val="20"/>
          <w:lang w:eastAsia="en-US"/>
        </w:rPr>
        <w:t>2</w:t>
      </w:r>
      <w:r w:rsidR="00E24F17" w:rsidRPr="00FC4C4F">
        <w:rPr>
          <w:rFonts w:asciiTheme="minorHAnsi" w:eastAsia="Calibri" w:hAnsiTheme="minorHAnsi"/>
          <w:sz w:val="20"/>
          <w:szCs w:val="20"/>
          <w:lang w:eastAsia="en-US"/>
        </w:rPr>
        <w:t>4</w:t>
      </w:r>
      <w:r w:rsidR="00F63FEF" w:rsidRPr="00FC4C4F">
        <w:rPr>
          <w:rFonts w:asciiTheme="minorHAnsi" w:eastAsia="Calibri" w:hAnsiTheme="minorHAnsi"/>
          <w:sz w:val="20"/>
          <w:szCs w:val="20"/>
          <w:lang w:eastAsia="en-US"/>
        </w:rPr>
        <w:t xml:space="preserve"> </w:t>
      </w:r>
      <w:r w:rsidRPr="00FC4C4F">
        <w:rPr>
          <w:rFonts w:asciiTheme="minorHAnsi" w:eastAsia="Calibri" w:hAnsiTheme="minorHAnsi"/>
          <w:sz w:val="20"/>
          <w:szCs w:val="20"/>
          <w:lang w:eastAsia="en-US"/>
        </w:rPr>
        <w:t>and receivables at the period end were £</w:t>
      </w:r>
      <w:r w:rsidR="005A33BC" w:rsidRPr="00FC4C4F">
        <w:rPr>
          <w:rFonts w:asciiTheme="minorHAnsi" w:eastAsia="Calibri" w:hAnsiTheme="minorHAnsi"/>
          <w:sz w:val="20"/>
          <w:szCs w:val="20"/>
          <w:lang w:eastAsia="en-US"/>
        </w:rPr>
        <w:t>76</w:t>
      </w:r>
      <w:r w:rsidR="00705696">
        <w:rPr>
          <w:rFonts w:asciiTheme="minorHAnsi" w:eastAsia="Calibri" w:hAnsiTheme="minorHAnsi"/>
          <w:sz w:val="20"/>
          <w:szCs w:val="20"/>
          <w:lang w:eastAsia="en-US"/>
        </w:rPr>
        <w:t>1</w:t>
      </w:r>
      <w:r w:rsidRPr="00FC4C4F">
        <w:rPr>
          <w:rFonts w:asciiTheme="minorHAnsi" w:eastAsia="Calibri" w:hAnsiTheme="minorHAnsi"/>
          <w:sz w:val="20"/>
          <w:szCs w:val="20"/>
          <w:lang w:eastAsia="en-US"/>
        </w:rPr>
        <w:t>m (</w:t>
      </w:r>
      <w:r w:rsidR="00051A8A" w:rsidRPr="00FC4C4F">
        <w:rPr>
          <w:rFonts w:asciiTheme="minorHAnsi" w:eastAsia="Calibri" w:hAnsiTheme="minorHAnsi"/>
          <w:sz w:val="20"/>
          <w:szCs w:val="20"/>
          <w:lang w:eastAsia="en-US"/>
        </w:rPr>
        <w:t>1H</w:t>
      </w:r>
      <w:r w:rsidR="00EC7117" w:rsidRPr="00FC4C4F">
        <w:rPr>
          <w:rFonts w:asciiTheme="minorHAnsi" w:eastAsia="Calibri" w:hAnsiTheme="minorHAnsi"/>
          <w:sz w:val="20"/>
          <w:szCs w:val="20"/>
          <w:lang w:eastAsia="en-US"/>
        </w:rPr>
        <w:t>2</w:t>
      </w:r>
      <w:r w:rsidR="00E24F17" w:rsidRPr="00FC4C4F">
        <w:rPr>
          <w:rFonts w:asciiTheme="minorHAnsi" w:eastAsia="Calibri" w:hAnsiTheme="minorHAnsi"/>
          <w:sz w:val="20"/>
          <w:szCs w:val="20"/>
          <w:lang w:eastAsia="en-US"/>
        </w:rPr>
        <w:t>3</w:t>
      </w:r>
      <w:r w:rsidR="00F97169" w:rsidRPr="00FC4C4F">
        <w:rPr>
          <w:rFonts w:asciiTheme="minorHAnsi" w:eastAsia="Calibri" w:hAnsiTheme="minorHAnsi"/>
          <w:sz w:val="20"/>
          <w:szCs w:val="20"/>
          <w:lang w:eastAsia="en-US"/>
        </w:rPr>
        <w:t xml:space="preserve"> </w:t>
      </w:r>
      <w:r w:rsidR="00BD2CEC" w:rsidRPr="00FC4C4F">
        <w:rPr>
          <w:rFonts w:asciiTheme="minorHAnsi" w:eastAsia="Calibri" w:hAnsiTheme="minorHAnsi"/>
          <w:sz w:val="20"/>
          <w:szCs w:val="20"/>
          <w:lang w:eastAsia="en-US"/>
        </w:rPr>
        <w:t>r</w:t>
      </w:r>
      <w:r w:rsidR="00F97169" w:rsidRPr="00FC4C4F">
        <w:rPr>
          <w:rFonts w:asciiTheme="minorHAnsi" w:eastAsia="Calibri" w:hAnsiTheme="minorHAnsi"/>
          <w:sz w:val="20"/>
          <w:szCs w:val="20"/>
          <w:lang w:eastAsia="en-US"/>
        </w:rPr>
        <w:t>estated</w:t>
      </w:r>
      <w:r w:rsidRPr="00FC4C4F">
        <w:rPr>
          <w:rFonts w:asciiTheme="minorHAnsi" w:eastAsia="Calibri" w:hAnsiTheme="minorHAnsi"/>
          <w:sz w:val="20"/>
          <w:szCs w:val="20"/>
          <w:lang w:eastAsia="en-US"/>
        </w:rPr>
        <w:t>: £</w:t>
      </w:r>
      <w:r w:rsidR="00A23272" w:rsidRPr="00FC4C4F">
        <w:rPr>
          <w:rFonts w:asciiTheme="minorHAnsi" w:eastAsia="Calibri" w:hAnsiTheme="minorHAnsi"/>
          <w:sz w:val="20"/>
          <w:szCs w:val="20"/>
          <w:lang w:eastAsia="en-US"/>
        </w:rPr>
        <w:t>7</w:t>
      </w:r>
      <w:r w:rsidR="00EB0302">
        <w:rPr>
          <w:rFonts w:asciiTheme="minorHAnsi" w:eastAsia="Calibri" w:hAnsiTheme="minorHAnsi"/>
          <w:sz w:val="20"/>
          <w:szCs w:val="20"/>
          <w:lang w:eastAsia="en-US"/>
        </w:rPr>
        <w:t>48</w:t>
      </w:r>
      <w:r w:rsidRPr="00FC4C4F">
        <w:rPr>
          <w:rFonts w:asciiTheme="minorHAnsi" w:eastAsia="Calibri" w:hAnsiTheme="minorHAnsi"/>
          <w:sz w:val="20"/>
          <w:szCs w:val="20"/>
          <w:lang w:eastAsia="en-US"/>
        </w:rPr>
        <w:t>m)</w:t>
      </w:r>
      <w:r w:rsidR="00BD6C85" w:rsidRPr="00FC4C4F">
        <w:rPr>
          <w:rFonts w:asciiTheme="minorHAnsi" w:eastAsia="Calibri" w:hAnsiTheme="minorHAnsi"/>
          <w:sz w:val="20"/>
          <w:szCs w:val="20"/>
          <w:lang w:eastAsia="en-US"/>
        </w:rPr>
        <w:t xml:space="preserve">, representing </w:t>
      </w:r>
      <w:r w:rsidR="004F2077" w:rsidRPr="00FC4C4F">
        <w:rPr>
          <w:rFonts w:asciiTheme="minorHAnsi" w:eastAsia="Calibri" w:hAnsiTheme="minorHAnsi"/>
          <w:sz w:val="20"/>
          <w:szCs w:val="20"/>
          <w:lang w:eastAsia="en-US"/>
        </w:rPr>
        <w:t xml:space="preserve">growth of </w:t>
      </w:r>
      <w:r w:rsidR="000E362A" w:rsidRPr="00FC4C4F">
        <w:rPr>
          <w:rFonts w:asciiTheme="minorHAnsi" w:eastAsia="Calibri" w:hAnsiTheme="minorHAnsi"/>
          <w:sz w:val="20"/>
          <w:szCs w:val="20"/>
          <w:lang w:eastAsia="en-US"/>
        </w:rPr>
        <w:t>1.</w:t>
      </w:r>
      <w:r w:rsidR="00273A68">
        <w:rPr>
          <w:rFonts w:asciiTheme="minorHAnsi" w:eastAsia="Calibri" w:hAnsiTheme="minorHAnsi"/>
          <w:sz w:val="20"/>
          <w:szCs w:val="20"/>
          <w:lang w:eastAsia="en-US"/>
        </w:rPr>
        <w:t>6</w:t>
      </w:r>
      <w:r w:rsidR="004F2077" w:rsidRPr="00FC4C4F">
        <w:rPr>
          <w:rFonts w:asciiTheme="minorHAnsi" w:eastAsia="Calibri" w:hAnsiTheme="minorHAnsi"/>
          <w:sz w:val="20"/>
          <w:szCs w:val="20"/>
          <w:lang w:eastAsia="en-US"/>
        </w:rPr>
        <w:t>% year</w:t>
      </w:r>
      <w:r w:rsidR="00A928C4" w:rsidRPr="00FC4C4F">
        <w:rPr>
          <w:rFonts w:asciiTheme="minorHAnsi" w:eastAsia="Calibri" w:hAnsiTheme="minorHAnsi"/>
          <w:sz w:val="20"/>
          <w:szCs w:val="20"/>
          <w:lang w:eastAsia="en-US"/>
        </w:rPr>
        <w:t xml:space="preserve"> </w:t>
      </w:r>
      <w:r w:rsidR="004F2077" w:rsidRPr="00FC4C4F">
        <w:rPr>
          <w:rFonts w:asciiTheme="minorHAnsi" w:eastAsia="Calibri" w:hAnsiTheme="minorHAnsi"/>
          <w:sz w:val="20"/>
          <w:szCs w:val="20"/>
          <w:lang w:eastAsia="en-US"/>
        </w:rPr>
        <w:t>on</w:t>
      </w:r>
      <w:r w:rsidR="00A928C4" w:rsidRPr="00FC4C4F">
        <w:rPr>
          <w:rFonts w:asciiTheme="minorHAnsi" w:eastAsia="Calibri" w:hAnsiTheme="minorHAnsi"/>
          <w:sz w:val="20"/>
          <w:szCs w:val="20"/>
          <w:lang w:eastAsia="en-US"/>
        </w:rPr>
        <w:t xml:space="preserve"> </w:t>
      </w:r>
      <w:r w:rsidR="004F2077" w:rsidRPr="00FC4C4F">
        <w:rPr>
          <w:rFonts w:asciiTheme="minorHAnsi" w:eastAsia="Calibri" w:hAnsiTheme="minorHAnsi"/>
          <w:sz w:val="20"/>
          <w:szCs w:val="20"/>
          <w:lang w:eastAsia="en-US"/>
        </w:rPr>
        <w:t xml:space="preserve">year. </w:t>
      </w:r>
    </w:p>
    <w:p w14:paraId="5E1A06AB" w14:textId="011DB71F" w:rsidR="006D2F19" w:rsidRDefault="0023519C" w:rsidP="008A5B18">
      <w:pPr>
        <w:autoSpaceDE w:val="0"/>
        <w:autoSpaceDN w:val="0"/>
        <w:adjustRightInd w:val="0"/>
        <w:jc w:val="both"/>
        <w:rPr>
          <w:rFonts w:asciiTheme="minorHAnsi" w:hAnsiTheme="minorHAnsi" w:cs="Arial"/>
          <w:bCs/>
          <w:sz w:val="20"/>
          <w:szCs w:val="20"/>
        </w:rPr>
      </w:pPr>
      <w:r>
        <w:rPr>
          <w:rFonts w:asciiTheme="minorHAnsi" w:hAnsiTheme="minorHAnsi" w:cs="Arial"/>
          <w:bCs/>
          <w:sz w:val="20"/>
          <w:szCs w:val="20"/>
        </w:rPr>
        <w:t xml:space="preserve">During 1H24 a </w:t>
      </w:r>
      <w:r w:rsidR="00FC4C4F">
        <w:rPr>
          <w:rFonts w:asciiTheme="minorHAnsi" w:eastAsia="Calibri" w:hAnsiTheme="minorHAnsi" w:cs="Arial"/>
          <w:sz w:val="20"/>
          <w:szCs w:val="20"/>
        </w:rPr>
        <w:t xml:space="preserve">review </w:t>
      </w:r>
      <w:r>
        <w:rPr>
          <w:rFonts w:asciiTheme="minorHAnsi" w:hAnsiTheme="minorHAnsi" w:cs="Arial"/>
          <w:bCs/>
          <w:sz w:val="20"/>
          <w:szCs w:val="20"/>
        </w:rPr>
        <w:t xml:space="preserve">was undertaken </w:t>
      </w:r>
      <w:r w:rsidR="00FC4C4F">
        <w:rPr>
          <w:rFonts w:asciiTheme="minorHAnsi" w:eastAsia="Calibri" w:hAnsiTheme="minorHAnsi" w:cs="Arial"/>
          <w:sz w:val="20"/>
          <w:szCs w:val="20"/>
        </w:rPr>
        <w:t xml:space="preserve">of </w:t>
      </w:r>
      <w:r>
        <w:rPr>
          <w:rFonts w:asciiTheme="minorHAnsi" w:hAnsiTheme="minorHAnsi" w:cs="Arial"/>
          <w:bCs/>
          <w:sz w:val="20"/>
          <w:szCs w:val="20"/>
        </w:rPr>
        <w:t>the vehicle finance stage 3 assets as indicated during the strategy seminar held on 27 March 2024</w:t>
      </w:r>
      <w:r w:rsidR="00284E44">
        <w:rPr>
          <w:rFonts w:asciiTheme="minorHAnsi" w:hAnsiTheme="minorHAnsi" w:cs="Arial"/>
          <w:bCs/>
          <w:sz w:val="20"/>
          <w:szCs w:val="20"/>
        </w:rPr>
        <w:t>, with a view to future potential debt sales</w:t>
      </w:r>
      <w:r>
        <w:rPr>
          <w:rFonts w:asciiTheme="minorHAnsi" w:hAnsiTheme="minorHAnsi" w:cs="Arial"/>
          <w:bCs/>
          <w:sz w:val="20"/>
          <w:szCs w:val="20"/>
        </w:rPr>
        <w:t xml:space="preserve">. Vehicle Finance has been exhibiting an ever growing stage 3 gross receivable balance with a corresponding large and increasing ECL provision being held. As part of the review, </w:t>
      </w:r>
      <w:r w:rsidR="00800B23">
        <w:rPr>
          <w:rFonts w:asciiTheme="minorHAnsi" w:hAnsiTheme="minorHAnsi" w:cs="Arial"/>
          <w:bCs/>
          <w:sz w:val="20"/>
          <w:szCs w:val="20"/>
        </w:rPr>
        <w:t>a previ</w:t>
      </w:r>
      <w:r w:rsidR="003E798F">
        <w:rPr>
          <w:rFonts w:asciiTheme="minorHAnsi" w:hAnsiTheme="minorHAnsi" w:cs="Arial"/>
          <w:bCs/>
          <w:sz w:val="20"/>
          <w:szCs w:val="20"/>
        </w:rPr>
        <w:t xml:space="preserve">ously recognised debt sale asset has been </w:t>
      </w:r>
      <w:r w:rsidR="004F7E83">
        <w:rPr>
          <w:rFonts w:asciiTheme="minorHAnsi" w:hAnsiTheme="minorHAnsi" w:cs="Arial"/>
          <w:bCs/>
          <w:sz w:val="20"/>
          <w:szCs w:val="20"/>
        </w:rPr>
        <w:t xml:space="preserve">removed </w:t>
      </w:r>
      <w:r w:rsidR="00350B93">
        <w:rPr>
          <w:rFonts w:asciiTheme="minorHAnsi" w:hAnsiTheme="minorHAnsi" w:cs="Arial"/>
          <w:bCs/>
          <w:sz w:val="20"/>
          <w:szCs w:val="20"/>
        </w:rPr>
        <w:t>(£</w:t>
      </w:r>
      <w:r w:rsidR="00CC1031">
        <w:rPr>
          <w:rFonts w:asciiTheme="minorHAnsi" w:hAnsiTheme="minorHAnsi" w:cs="Arial"/>
          <w:bCs/>
          <w:sz w:val="20"/>
          <w:szCs w:val="20"/>
        </w:rPr>
        <w:t>19.8m)</w:t>
      </w:r>
      <w:r w:rsidR="00303F52">
        <w:rPr>
          <w:rFonts w:asciiTheme="minorHAnsi" w:hAnsiTheme="minorHAnsi" w:cs="Arial"/>
          <w:bCs/>
          <w:sz w:val="20"/>
          <w:szCs w:val="20"/>
        </w:rPr>
        <w:t xml:space="preserve"> </w:t>
      </w:r>
      <w:r w:rsidR="002020BF">
        <w:rPr>
          <w:rFonts w:asciiTheme="minorHAnsi" w:hAnsiTheme="minorHAnsi" w:cs="Arial"/>
          <w:bCs/>
          <w:sz w:val="20"/>
          <w:szCs w:val="20"/>
        </w:rPr>
        <w:t xml:space="preserve">and </w:t>
      </w:r>
      <w:r w:rsidR="00FC4C4F">
        <w:rPr>
          <w:rFonts w:asciiTheme="minorHAnsi" w:eastAsia="Calibri" w:hAnsiTheme="minorHAnsi" w:cs="Arial"/>
          <w:sz w:val="20"/>
          <w:szCs w:val="20"/>
        </w:rPr>
        <w:t>receivables</w:t>
      </w:r>
      <w:r>
        <w:rPr>
          <w:rFonts w:asciiTheme="minorHAnsi" w:hAnsiTheme="minorHAnsi" w:cs="Arial"/>
          <w:bCs/>
          <w:sz w:val="20"/>
          <w:szCs w:val="20"/>
        </w:rPr>
        <w:t xml:space="preserve"> eligible for a potential debt sale were fully charged off resulting in a post charge off asset of £17.8m being recognised (PCOA). </w:t>
      </w:r>
      <w:r w:rsidR="00A57A6E">
        <w:rPr>
          <w:rFonts w:asciiTheme="minorHAnsi" w:hAnsiTheme="minorHAnsi" w:cs="Arial"/>
          <w:bCs/>
          <w:sz w:val="20"/>
          <w:szCs w:val="20"/>
        </w:rPr>
        <w:t xml:space="preserve">As a result of charging off the receivables there has been a </w:t>
      </w:r>
      <w:r w:rsidR="002323DF">
        <w:rPr>
          <w:rFonts w:asciiTheme="minorHAnsi" w:hAnsiTheme="minorHAnsi" w:cs="Arial"/>
          <w:bCs/>
          <w:sz w:val="20"/>
          <w:szCs w:val="20"/>
        </w:rPr>
        <w:t>reduction in gross receivables o</w:t>
      </w:r>
      <w:r w:rsidR="00FE7354">
        <w:rPr>
          <w:rFonts w:asciiTheme="minorHAnsi" w:hAnsiTheme="minorHAnsi" w:cs="Arial"/>
          <w:bCs/>
          <w:sz w:val="20"/>
          <w:szCs w:val="20"/>
        </w:rPr>
        <w:t>f</w:t>
      </w:r>
      <w:r w:rsidR="002323DF">
        <w:rPr>
          <w:rFonts w:asciiTheme="minorHAnsi" w:hAnsiTheme="minorHAnsi" w:cs="Arial"/>
          <w:bCs/>
          <w:sz w:val="20"/>
          <w:szCs w:val="20"/>
        </w:rPr>
        <w:t xml:space="preserve"> </w:t>
      </w:r>
      <w:r w:rsidR="00FE7354" w:rsidRPr="00266730">
        <w:rPr>
          <w:rFonts w:asciiTheme="minorHAnsi" w:hAnsiTheme="minorHAnsi" w:cs="Arial"/>
          <w:sz w:val="20"/>
          <w:szCs w:val="20"/>
        </w:rPr>
        <w:t>£</w:t>
      </w:r>
      <w:r w:rsidR="00882952" w:rsidRPr="00266730">
        <w:rPr>
          <w:rFonts w:asciiTheme="minorHAnsi" w:hAnsiTheme="minorHAnsi" w:cs="Arial"/>
          <w:sz w:val="20"/>
          <w:szCs w:val="20"/>
        </w:rPr>
        <w:t>260</w:t>
      </w:r>
      <w:r w:rsidR="00D72DE1">
        <w:rPr>
          <w:rFonts w:asciiTheme="minorHAnsi" w:hAnsiTheme="minorHAnsi" w:cs="Arial"/>
          <w:sz w:val="20"/>
          <w:szCs w:val="20"/>
        </w:rPr>
        <w:t>.2</w:t>
      </w:r>
      <w:r w:rsidR="00FE7354" w:rsidRPr="00266730">
        <w:rPr>
          <w:rFonts w:asciiTheme="minorHAnsi" w:hAnsiTheme="minorHAnsi" w:cs="Arial"/>
          <w:sz w:val="20"/>
          <w:szCs w:val="20"/>
        </w:rPr>
        <w:t>m</w:t>
      </w:r>
      <w:r w:rsidR="00FE7354">
        <w:rPr>
          <w:rFonts w:asciiTheme="minorHAnsi" w:hAnsiTheme="minorHAnsi" w:cs="Arial"/>
          <w:bCs/>
          <w:sz w:val="20"/>
          <w:szCs w:val="20"/>
        </w:rPr>
        <w:t xml:space="preserve"> and a release of impairment provision </w:t>
      </w:r>
      <w:r w:rsidR="00FE7354" w:rsidRPr="00266730">
        <w:rPr>
          <w:rFonts w:asciiTheme="minorHAnsi" w:hAnsiTheme="minorHAnsi" w:cs="Arial"/>
          <w:sz w:val="20"/>
          <w:szCs w:val="20"/>
        </w:rPr>
        <w:t>of £</w:t>
      </w:r>
      <w:r w:rsidR="00CD16A3" w:rsidRPr="00266730">
        <w:rPr>
          <w:rFonts w:asciiTheme="minorHAnsi" w:hAnsiTheme="minorHAnsi" w:cs="Arial"/>
          <w:sz w:val="20"/>
          <w:szCs w:val="20"/>
        </w:rPr>
        <w:t>2</w:t>
      </w:r>
      <w:r w:rsidR="00BD29A6">
        <w:rPr>
          <w:rFonts w:asciiTheme="minorHAnsi" w:hAnsiTheme="minorHAnsi" w:cs="Arial"/>
          <w:sz w:val="20"/>
          <w:szCs w:val="20"/>
        </w:rPr>
        <w:t>52.5</w:t>
      </w:r>
      <w:r w:rsidR="00FE7354" w:rsidRPr="00266730">
        <w:rPr>
          <w:rFonts w:asciiTheme="minorHAnsi" w:hAnsiTheme="minorHAnsi" w:cs="Arial"/>
          <w:sz w:val="20"/>
          <w:szCs w:val="20"/>
        </w:rPr>
        <w:t>m</w:t>
      </w:r>
      <w:r w:rsidR="003560EB">
        <w:rPr>
          <w:rFonts w:asciiTheme="minorHAnsi" w:hAnsiTheme="minorHAnsi" w:cs="Arial"/>
          <w:bCs/>
          <w:sz w:val="20"/>
          <w:szCs w:val="20"/>
        </w:rPr>
        <w:t xml:space="preserve">. </w:t>
      </w:r>
      <w:r w:rsidR="00DA14C6">
        <w:rPr>
          <w:rStyle w:val="bodycopynumber"/>
          <w:rFonts w:asciiTheme="minorHAnsi" w:hAnsiTheme="minorHAnsi" w:cs="Poppins-Light"/>
          <w:color w:val="000000" w:themeColor="text1"/>
          <w:sz w:val="20"/>
          <w:szCs w:val="20"/>
        </w:rPr>
        <w:t>Th</w:t>
      </w:r>
      <w:r w:rsidR="0053645D">
        <w:rPr>
          <w:rStyle w:val="bodycopynumber"/>
          <w:rFonts w:asciiTheme="minorHAnsi" w:hAnsiTheme="minorHAnsi" w:cs="Poppins-Light"/>
          <w:color w:val="000000" w:themeColor="text1"/>
          <w:sz w:val="20"/>
          <w:szCs w:val="20"/>
        </w:rPr>
        <w:t>e review also</w:t>
      </w:r>
      <w:r w:rsidR="00DA14C6">
        <w:rPr>
          <w:rStyle w:val="bodycopynumber"/>
          <w:rFonts w:asciiTheme="minorHAnsi" w:hAnsiTheme="minorHAnsi" w:cs="Poppins-Light"/>
          <w:color w:val="000000" w:themeColor="text1"/>
          <w:sz w:val="20"/>
          <w:szCs w:val="20"/>
        </w:rPr>
        <w:t xml:space="preserve"> included a £3.1m write off of deferred acquisition costs which related to accounts </w:t>
      </w:r>
      <w:r w:rsidR="006F6550">
        <w:rPr>
          <w:rStyle w:val="bodycopynumber"/>
          <w:rFonts w:asciiTheme="minorHAnsi" w:hAnsiTheme="minorHAnsi" w:cs="Poppins-Light"/>
          <w:color w:val="000000" w:themeColor="text1"/>
          <w:sz w:val="20"/>
          <w:szCs w:val="20"/>
        </w:rPr>
        <w:t xml:space="preserve">that </w:t>
      </w:r>
      <w:r w:rsidR="00DA14C6">
        <w:rPr>
          <w:rStyle w:val="bodycopynumber"/>
          <w:rFonts w:asciiTheme="minorHAnsi" w:hAnsiTheme="minorHAnsi" w:cs="Poppins-Light"/>
          <w:color w:val="000000" w:themeColor="text1"/>
          <w:sz w:val="20"/>
          <w:szCs w:val="20"/>
        </w:rPr>
        <w:t>were charged off.</w:t>
      </w:r>
    </w:p>
    <w:p w14:paraId="41FB4EA9" w14:textId="77777777" w:rsidR="006D2F19" w:rsidRDefault="006D2F19" w:rsidP="008A5B18">
      <w:pPr>
        <w:autoSpaceDE w:val="0"/>
        <w:autoSpaceDN w:val="0"/>
        <w:adjustRightInd w:val="0"/>
        <w:jc w:val="both"/>
        <w:rPr>
          <w:rFonts w:asciiTheme="minorHAnsi" w:hAnsiTheme="minorHAnsi" w:cs="Arial"/>
          <w:bCs/>
          <w:sz w:val="20"/>
          <w:szCs w:val="20"/>
        </w:rPr>
      </w:pPr>
    </w:p>
    <w:p w14:paraId="1AD53AB5" w14:textId="52493DD9" w:rsidR="0023519C" w:rsidRDefault="006D2F19" w:rsidP="004D23C2">
      <w:pPr>
        <w:autoSpaceDE w:val="0"/>
        <w:autoSpaceDN w:val="0"/>
        <w:adjustRightInd w:val="0"/>
        <w:jc w:val="both"/>
        <w:rPr>
          <w:rStyle w:val="bodycopynumber"/>
          <w:rFonts w:asciiTheme="minorHAnsi" w:eastAsia="Calibri" w:hAnsiTheme="minorHAnsi" w:cs="Poppins-Light"/>
          <w:color w:val="000000" w:themeColor="text1"/>
          <w:sz w:val="20"/>
          <w:szCs w:val="20"/>
        </w:rPr>
      </w:pPr>
      <w:r>
        <w:rPr>
          <w:rStyle w:val="bodycopynumber"/>
          <w:rFonts w:asciiTheme="minorHAnsi" w:hAnsiTheme="minorHAnsi" w:cs="Poppins-Light"/>
          <w:color w:val="000000" w:themeColor="text1"/>
          <w:sz w:val="20"/>
          <w:szCs w:val="20"/>
        </w:rPr>
        <w:t>As</w:t>
      </w:r>
      <w:r w:rsidR="008A5B18" w:rsidRPr="32107A1C">
        <w:rPr>
          <w:rStyle w:val="bodycopynumber"/>
          <w:rFonts w:asciiTheme="minorHAnsi" w:hAnsiTheme="minorHAnsi" w:cs="Poppins-Light"/>
          <w:color w:val="000000" w:themeColor="text1"/>
          <w:sz w:val="20"/>
          <w:szCs w:val="20"/>
        </w:rPr>
        <w:t xml:space="preserve"> part of the review, it was identified that cash flows expected to be received from contracts identified for debt sale were being included beyond the expected sale date. This led to a lower </w:t>
      </w:r>
      <w:r w:rsidR="00662239">
        <w:rPr>
          <w:rStyle w:val="bodycopynumber"/>
          <w:rFonts w:asciiTheme="minorHAnsi" w:hAnsiTheme="minorHAnsi" w:cs="Poppins-Light"/>
          <w:color w:val="000000" w:themeColor="text1"/>
          <w:sz w:val="20"/>
          <w:szCs w:val="20"/>
        </w:rPr>
        <w:t>ECL</w:t>
      </w:r>
      <w:r w:rsidR="008A5B18" w:rsidRPr="32107A1C">
        <w:rPr>
          <w:rStyle w:val="bodycopynumber"/>
          <w:rFonts w:asciiTheme="minorHAnsi" w:hAnsiTheme="minorHAnsi" w:cs="Poppins-Light"/>
          <w:color w:val="000000" w:themeColor="text1"/>
          <w:sz w:val="20"/>
          <w:szCs w:val="20"/>
        </w:rPr>
        <w:t xml:space="preserve"> provision being recognised.  As a result, Management consider that a prior period restatement is appropriate and has retrospectively restated its results. </w:t>
      </w:r>
      <w:r w:rsidR="00D26637">
        <w:rPr>
          <w:rFonts w:asciiTheme="minorHAnsi" w:hAnsiTheme="minorHAnsi" w:cs="Arial"/>
          <w:bCs/>
          <w:sz w:val="20"/>
          <w:szCs w:val="20"/>
        </w:rPr>
        <w:t xml:space="preserve">The total impact of the review was £28.9m, with £12.8m recognised in 1H24 </w:t>
      </w:r>
      <w:r w:rsidR="00D26637" w:rsidRPr="00E767B8">
        <w:rPr>
          <w:rFonts w:asciiTheme="minorHAnsi" w:hAnsiTheme="minorHAnsi" w:cs="Arial"/>
          <w:sz w:val="20"/>
          <w:szCs w:val="20"/>
        </w:rPr>
        <w:t>and £</w:t>
      </w:r>
      <w:r w:rsidR="006552F1" w:rsidRPr="00E767B8">
        <w:rPr>
          <w:rFonts w:asciiTheme="minorHAnsi" w:hAnsiTheme="minorHAnsi" w:cs="Arial"/>
          <w:bCs/>
          <w:sz w:val="20"/>
          <w:szCs w:val="20"/>
        </w:rPr>
        <w:t>7.6</w:t>
      </w:r>
      <w:r w:rsidR="00D26637" w:rsidRPr="00E767B8">
        <w:rPr>
          <w:rFonts w:asciiTheme="minorHAnsi" w:hAnsiTheme="minorHAnsi" w:cs="Arial"/>
          <w:bCs/>
          <w:sz w:val="20"/>
          <w:szCs w:val="20"/>
        </w:rPr>
        <w:t>m</w:t>
      </w:r>
      <w:r w:rsidR="00D26637">
        <w:rPr>
          <w:rFonts w:asciiTheme="minorHAnsi" w:hAnsiTheme="minorHAnsi" w:cs="Arial"/>
          <w:bCs/>
          <w:sz w:val="20"/>
          <w:szCs w:val="20"/>
        </w:rPr>
        <w:t xml:space="preserve"> in </w:t>
      </w:r>
      <w:r w:rsidR="00714E80">
        <w:rPr>
          <w:rFonts w:asciiTheme="minorHAnsi" w:hAnsiTheme="minorHAnsi" w:cs="Arial"/>
          <w:bCs/>
          <w:sz w:val="20"/>
          <w:szCs w:val="20"/>
        </w:rPr>
        <w:t>1H23</w:t>
      </w:r>
      <w:r w:rsidR="00D26637">
        <w:rPr>
          <w:rFonts w:asciiTheme="minorHAnsi" w:hAnsiTheme="minorHAnsi" w:cs="Arial"/>
          <w:bCs/>
          <w:sz w:val="20"/>
          <w:szCs w:val="20"/>
        </w:rPr>
        <w:t xml:space="preserve">. </w:t>
      </w:r>
      <w:r w:rsidR="004D23C2">
        <w:rPr>
          <w:rStyle w:val="bodycopynumber"/>
          <w:rFonts w:asciiTheme="minorHAnsi" w:hAnsiTheme="minorHAnsi" w:cs="Poppins-Light"/>
          <w:color w:val="000000" w:themeColor="text1"/>
          <w:sz w:val="20"/>
          <w:szCs w:val="20"/>
        </w:rPr>
        <w:t xml:space="preserve">The </w:t>
      </w:r>
      <w:r w:rsidR="00D26637">
        <w:rPr>
          <w:rStyle w:val="bodycopynumber"/>
          <w:rFonts w:asciiTheme="minorHAnsi" w:hAnsiTheme="minorHAnsi" w:cs="Poppins-Light"/>
          <w:color w:val="000000" w:themeColor="text1"/>
          <w:sz w:val="20"/>
          <w:szCs w:val="20"/>
        </w:rPr>
        <w:t>full</w:t>
      </w:r>
      <w:r w:rsidR="004D23C2">
        <w:rPr>
          <w:rStyle w:val="bodycopynumber"/>
          <w:rFonts w:asciiTheme="minorHAnsi" w:hAnsiTheme="minorHAnsi" w:cs="Poppins-Light"/>
          <w:color w:val="000000" w:themeColor="text1"/>
          <w:sz w:val="20"/>
          <w:szCs w:val="20"/>
        </w:rPr>
        <w:t xml:space="preserve"> impact of the restatement </w:t>
      </w:r>
      <w:r w:rsidR="009876FD">
        <w:rPr>
          <w:rStyle w:val="bodycopynumber"/>
          <w:rFonts w:asciiTheme="minorHAnsi" w:hAnsiTheme="minorHAnsi" w:cs="Poppins-Light"/>
          <w:color w:val="000000" w:themeColor="text1"/>
          <w:sz w:val="20"/>
          <w:szCs w:val="20"/>
        </w:rPr>
        <w:t>of £16.1m</w:t>
      </w:r>
      <w:r w:rsidR="004D23C2">
        <w:rPr>
          <w:rStyle w:val="bodycopynumber"/>
          <w:rFonts w:asciiTheme="minorHAnsi" w:hAnsiTheme="minorHAnsi" w:cs="Poppins-Light"/>
          <w:color w:val="000000" w:themeColor="text1"/>
          <w:sz w:val="20"/>
          <w:szCs w:val="20"/>
        </w:rPr>
        <w:t xml:space="preserve"> is set out in note </w:t>
      </w:r>
      <w:r w:rsidR="00A8193E">
        <w:rPr>
          <w:rStyle w:val="bodycopynumber"/>
          <w:rFonts w:asciiTheme="minorHAnsi" w:hAnsiTheme="minorHAnsi" w:cs="Poppins-Light"/>
          <w:color w:val="000000" w:themeColor="text1"/>
          <w:sz w:val="20"/>
          <w:szCs w:val="20"/>
        </w:rPr>
        <w:t>2</w:t>
      </w:r>
      <w:r w:rsidR="001878E8">
        <w:rPr>
          <w:rStyle w:val="bodycopynumber"/>
          <w:rFonts w:asciiTheme="minorHAnsi" w:hAnsiTheme="minorHAnsi" w:cs="Poppins-Light"/>
          <w:color w:val="000000" w:themeColor="text1"/>
          <w:sz w:val="20"/>
          <w:szCs w:val="20"/>
        </w:rPr>
        <w:t xml:space="preserve"> of the financial statements</w:t>
      </w:r>
      <w:r w:rsidR="004D23C2">
        <w:rPr>
          <w:rStyle w:val="bodycopynumber"/>
          <w:rFonts w:asciiTheme="minorHAnsi" w:hAnsiTheme="minorHAnsi" w:cs="Poppins-Light"/>
          <w:color w:val="000000" w:themeColor="text1"/>
          <w:sz w:val="20"/>
          <w:szCs w:val="20"/>
        </w:rPr>
        <w:t>.</w:t>
      </w:r>
      <w:r w:rsidR="00F716BE">
        <w:rPr>
          <w:rStyle w:val="bodycopynumber"/>
          <w:rFonts w:asciiTheme="minorHAnsi" w:hAnsiTheme="minorHAnsi" w:cs="Poppins-Light"/>
          <w:color w:val="000000" w:themeColor="text1"/>
          <w:sz w:val="20"/>
          <w:szCs w:val="20"/>
        </w:rPr>
        <w:t xml:space="preserve"> </w:t>
      </w:r>
    </w:p>
    <w:p w14:paraId="271AEB51" w14:textId="77777777" w:rsidR="00740F8E" w:rsidRPr="00FC4C4F" w:rsidRDefault="00740F8E" w:rsidP="004D23C2">
      <w:pPr>
        <w:autoSpaceDE w:val="0"/>
        <w:autoSpaceDN w:val="0"/>
        <w:adjustRightInd w:val="0"/>
        <w:jc w:val="both"/>
        <w:rPr>
          <w:rFonts w:asciiTheme="minorHAnsi" w:eastAsia="Calibri" w:hAnsiTheme="minorHAnsi"/>
          <w:sz w:val="20"/>
          <w:szCs w:val="20"/>
          <w:lang w:eastAsia="en-US"/>
        </w:rPr>
      </w:pPr>
    </w:p>
    <w:p w14:paraId="0166787E" w14:textId="4DADB4E0" w:rsidR="00740F8E" w:rsidRPr="00493162" w:rsidRDefault="00740F8E" w:rsidP="00E534C5">
      <w:pPr>
        <w:spacing w:after="160"/>
        <w:jc w:val="both"/>
        <w:rPr>
          <w:rFonts w:asciiTheme="minorHAnsi" w:eastAsia="Calibri" w:hAnsiTheme="minorHAnsi"/>
          <w:sz w:val="20"/>
          <w:szCs w:val="20"/>
          <w:lang w:eastAsia="en-US"/>
        </w:rPr>
      </w:pPr>
      <w:r w:rsidRPr="00493162">
        <w:rPr>
          <w:rFonts w:asciiTheme="minorHAnsi" w:eastAsia="Calibri" w:hAnsiTheme="minorHAnsi"/>
          <w:sz w:val="20"/>
          <w:szCs w:val="20"/>
          <w:lang w:eastAsia="en-US"/>
        </w:rPr>
        <w:lastRenderedPageBreak/>
        <w:t xml:space="preserve">New business volumes </w:t>
      </w:r>
      <w:r w:rsidR="00A05CDD" w:rsidRPr="00493162">
        <w:rPr>
          <w:rFonts w:asciiTheme="minorHAnsi" w:eastAsia="Calibri" w:hAnsiTheme="minorHAnsi"/>
          <w:sz w:val="20"/>
          <w:szCs w:val="20"/>
          <w:lang w:eastAsia="en-US"/>
        </w:rPr>
        <w:t>in</w:t>
      </w:r>
      <w:r w:rsidRPr="00493162">
        <w:rPr>
          <w:rFonts w:asciiTheme="minorHAnsi" w:eastAsia="Calibri" w:hAnsiTheme="minorHAnsi"/>
          <w:sz w:val="20"/>
          <w:szCs w:val="20"/>
          <w:lang w:eastAsia="en-US"/>
        </w:rPr>
        <w:t xml:space="preserve"> </w:t>
      </w:r>
      <w:r w:rsidR="00051A8A" w:rsidRPr="00493162">
        <w:rPr>
          <w:rFonts w:asciiTheme="minorHAnsi" w:eastAsia="Calibri" w:hAnsiTheme="minorHAnsi"/>
          <w:sz w:val="20"/>
          <w:szCs w:val="20"/>
          <w:lang w:eastAsia="en-US"/>
        </w:rPr>
        <w:t>1H</w:t>
      </w:r>
      <w:r w:rsidR="00EC7117" w:rsidRPr="00493162">
        <w:rPr>
          <w:rFonts w:asciiTheme="minorHAnsi" w:eastAsia="Calibri" w:hAnsiTheme="minorHAnsi"/>
          <w:sz w:val="20"/>
          <w:szCs w:val="20"/>
          <w:lang w:eastAsia="en-US"/>
        </w:rPr>
        <w:t>2</w:t>
      </w:r>
      <w:r w:rsidR="002C4D43" w:rsidRPr="00493162">
        <w:rPr>
          <w:rFonts w:asciiTheme="minorHAnsi" w:eastAsia="Calibri" w:hAnsiTheme="minorHAnsi"/>
          <w:sz w:val="20"/>
          <w:szCs w:val="20"/>
          <w:lang w:eastAsia="en-US"/>
        </w:rPr>
        <w:t>4</w:t>
      </w:r>
      <w:r w:rsidRPr="00493162">
        <w:rPr>
          <w:rFonts w:asciiTheme="minorHAnsi" w:eastAsia="Calibri" w:hAnsiTheme="minorHAnsi"/>
          <w:sz w:val="20"/>
          <w:szCs w:val="20"/>
          <w:lang w:eastAsia="en-US"/>
        </w:rPr>
        <w:t xml:space="preserve"> </w:t>
      </w:r>
      <w:r w:rsidR="002A5E29" w:rsidRPr="00493162">
        <w:rPr>
          <w:rFonts w:asciiTheme="minorHAnsi" w:eastAsia="Calibri" w:hAnsiTheme="minorHAnsi"/>
          <w:sz w:val="20"/>
          <w:szCs w:val="20"/>
          <w:lang w:eastAsia="en-US"/>
        </w:rPr>
        <w:t>decreased</w:t>
      </w:r>
      <w:r w:rsidR="00A05CDD" w:rsidRPr="00493162">
        <w:rPr>
          <w:rFonts w:asciiTheme="minorHAnsi" w:eastAsia="Calibri" w:hAnsiTheme="minorHAnsi"/>
          <w:sz w:val="20"/>
          <w:szCs w:val="20"/>
          <w:lang w:eastAsia="en-US"/>
        </w:rPr>
        <w:t xml:space="preserve"> by </w:t>
      </w:r>
      <w:r w:rsidR="002A5E29" w:rsidRPr="00493162">
        <w:rPr>
          <w:rFonts w:asciiTheme="minorHAnsi" w:eastAsia="Calibri" w:hAnsiTheme="minorHAnsi"/>
          <w:sz w:val="20"/>
          <w:szCs w:val="20"/>
          <w:lang w:eastAsia="en-US"/>
        </w:rPr>
        <w:t>38</w:t>
      </w:r>
      <w:r w:rsidR="00A05CDD" w:rsidRPr="00493162">
        <w:rPr>
          <w:rFonts w:asciiTheme="minorHAnsi" w:eastAsia="Calibri" w:hAnsiTheme="minorHAnsi"/>
          <w:sz w:val="20"/>
          <w:szCs w:val="20"/>
          <w:lang w:eastAsia="en-US"/>
        </w:rPr>
        <w:t>%</w:t>
      </w:r>
      <w:r w:rsidRPr="00493162">
        <w:rPr>
          <w:rFonts w:asciiTheme="minorHAnsi" w:eastAsia="Calibri" w:hAnsiTheme="minorHAnsi"/>
          <w:sz w:val="20"/>
          <w:szCs w:val="20"/>
          <w:lang w:eastAsia="en-US"/>
        </w:rPr>
        <w:t xml:space="preserve"> </w:t>
      </w:r>
      <w:r w:rsidR="004C65BF" w:rsidRPr="00493162">
        <w:rPr>
          <w:rFonts w:asciiTheme="minorHAnsi" w:eastAsia="Calibri" w:hAnsiTheme="minorHAnsi"/>
          <w:sz w:val="20"/>
          <w:szCs w:val="20"/>
          <w:lang w:eastAsia="en-US"/>
        </w:rPr>
        <w:t>to</w:t>
      </w:r>
      <w:r w:rsidRPr="00493162">
        <w:rPr>
          <w:rFonts w:asciiTheme="minorHAnsi" w:eastAsia="Calibri" w:hAnsiTheme="minorHAnsi"/>
          <w:sz w:val="20"/>
          <w:szCs w:val="20"/>
          <w:lang w:eastAsia="en-US"/>
        </w:rPr>
        <w:t xml:space="preserve"> </w:t>
      </w:r>
      <w:r w:rsidR="00406987" w:rsidRPr="00493162">
        <w:rPr>
          <w:rFonts w:asciiTheme="minorHAnsi" w:eastAsia="Calibri" w:hAnsiTheme="minorHAnsi"/>
          <w:sz w:val="20"/>
          <w:szCs w:val="20"/>
          <w:lang w:eastAsia="en-US"/>
        </w:rPr>
        <w:t>19</w:t>
      </w:r>
      <w:r w:rsidRPr="00493162">
        <w:rPr>
          <w:rFonts w:asciiTheme="minorHAnsi" w:eastAsia="Calibri" w:hAnsiTheme="minorHAnsi"/>
          <w:sz w:val="20"/>
          <w:szCs w:val="20"/>
          <w:lang w:eastAsia="en-US"/>
        </w:rPr>
        <w:t>k (</w:t>
      </w:r>
      <w:r w:rsidR="00051A8A" w:rsidRPr="00493162">
        <w:rPr>
          <w:rFonts w:asciiTheme="minorHAnsi" w:eastAsia="Calibri" w:hAnsiTheme="minorHAnsi"/>
          <w:sz w:val="20"/>
          <w:szCs w:val="20"/>
          <w:lang w:eastAsia="en-US"/>
        </w:rPr>
        <w:t>1H</w:t>
      </w:r>
      <w:r w:rsidR="00EC7117" w:rsidRPr="00493162">
        <w:rPr>
          <w:rFonts w:asciiTheme="minorHAnsi" w:eastAsia="Calibri" w:hAnsiTheme="minorHAnsi"/>
          <w:sz w:val="20"/>
          <w:szCs w:val="20"/>
          <w:lang w:eastAsia="en-US"/>
        </w:rPr>
        <w:t>2</w:t>
      </w:r>
      <w:r w:rsidR="002C4D43" w:rsidRPr="00493162">
        <w:rPr>
          <w:rFonts w:asciiTheme="minorHAnsi" w:eastAsia="Calibri" w:hAnsiTheme="minorHAnsi"/>
          <w:sz w:val="20"/>
          <w:szCs w:val="20"/>
          <w:lang w:eastAsia="en-US"/>
        </w:rPr>
        <w:t>3</w:t>
      </w:r>
      <w:r w:rsidRPr="00493162">
        <w:rPr>
          <w:rFonts w:asciiTheme="minorHAnsi" w:eastAsia="Calibri" w:hAnsiTheme="minorHAnsi"/>
          <w:sz w:val="20"/>
          <w:szCs w:val="20"/>
          <w:lang w:eastAsia="en-US"/>
        </w:rPr>
        <w:t xml:space="preserve">: </w:t>
      </w:r>
      <w:r w:rsidR="0015760B" w:rsidRPr="00493162">
        <w:rPr>
          <w:rFonts w:asciiTheme="minorHAnsi" w:eastAsia="Calibri" w:hAnsiTheme="minorHAnsi"/>
          <w:sz w:val="20"/>
          <w:szCs w:val="20"/>
          <w:lang w:eastAsia="en-US"/>
        </w:rPr>
        <w:t>31</w:t>
      </w:r>
      <w:r w:rsidRPr="00493162">
        <w:rPr>
          <w:rFonts w:asciiTheme="minorHAnsi" w:eastAsia="Calibri" w:hAnsiTheme="minorHAnsi"/>
          <w:sz w:val="20"/>
          <w:szCs w:val="20"/>
          <w:lang w:eastAsia="en-US"/>
        </w:rPr>
        <w:t>k)</w:t>
      </w:r>
      <w:r w:rsidR="00AC21C3">
        <w:rPr>
          <w:rFonts w:asciiTheme="minorHAnsi" w:eastAsia="Calibri" w:hAnsiTheme="minorHAnsi"/>
          <w:sz w:val="20"/>
          <w:szCs w:val="20"/>
          <w:lang w:eastAsia="en-US"/>
        </w:rPr>
        <w:t>.  T</w:t>
      </w:r>
      <w:r w:rsidR="00E862E4" w:rsidRPr="00493162">
        <w:rPr>
          <w:rFonts w:asciiTheme="minorHAnsi" w:eastAsia="Calibri" w:hAnsiTheme="minorHAnsi"/>
          <w:sz w:val="20"/>
          <w:szCs w:val="20"/>
          <w:lang w:eastAsia="en-US"/>
        </w:rPr>
        <w:t>he prior year saw</w:t>
      </w:r>
      <w:r w:rsidR="00E52024" w:rsidRPr="00493162">
        <w:rPr>
          <w:rFonts w:asciiTheme="minorHAnsi" w:eastAsia="Calibri" w:hAnsiTheme="minorHAnsi"/>
          <w:sz w:val="20"/>
          <w:szCs w:val="20"/>
          <w:lang w:eastAsia="en-US"/>
        </w:rPr>
        <w:t xml:space="preserve"> </w:t>
      </w:r>
      <w:r w:rsidR="00E52577" w:rsidRPr="00493162">
        <w:rPr>
          <w:rFonts w:asciiTheme="minorHAnsi" w:eastAsia="Calibri" w:hAnsiTheme="minorHAnsi"/>
          <w:sz w:val="20"/>
          <w:szCs w:val="20"/>
          <w:lang w:eastAsia="en-US"/>
        </w:rPr>
        <w:t>strong new business</w:t>
      </w:r>
      <w:r w:rsidR="00D92634" w:rsidRPr="00493162">
        <w:rPr>
          <w:rFonts w:asciiTheme="minorHAnsi" w:eastAsia="Calibri" w:hAnsiTheme="minorHAnsi"/>
          <w:sz w:val="20"/>
          <w:szCs w:val="20"/>
          <w:lang w:eastAsia="en-US"/>
        </w:rPr>
        <w:t xml:space="preserve"> volumes </w:t>
      </w:r>
      <w:r w:rsidR="00427371" w:rsidRPr="00493162">
        <w:rPr>
          <w:rFonts w:asciiTheme="minorHAnsi" w:eastAsia="Calibri" w:hAnsiTheme="minorHAnsi"/>
          <w:sz w:val="20"/>
          <w:szCs w:val="20"/>
          <w:lang w:eastAsia="en-US"/>
        </w:rPr>
        <w:t>notwithstanding the challenging macroeconomic backdrop</w:t>
      </w:r>
      <w:r w:rsidR="00457F17" w:rsidRPr="00493162">
        <w:rPr>
          <w:rFonts w:asciiTheme="minorHAnsi" w:eastAsia="Calibri" w:hAnsiTheme="minorHAnsi"/>
          <w:sz w:val="20"/>
          <w:szCs w:val="20"/>
          <w:lang w:eastAsia="en-US"/>
        </w:rPr>
        <w:t>. Volumes reduced in 1H24 due</w:t>
      </w:r>
      <w:r w:rsidR="00EB4589" w:rsidRPr="00493162">
        <w:rPr>
          <w:rFonts w:asciiTheme="minorHAnsi" w:eastAsia="Calibri" w:hAnsiTheme="minorHAnsi"/>
          <w:sz w:val="20"/>
          <w:szCs w:val="20"/>
          <w:lang w:eastAsia="en-US"/>
        </w:rPr>
        <w:t xml:space="preserve"> to </w:t>
      </w:r>
      <w:r w:rsidR="00493162" w:rsidRPr="00493162">
        <w:rPr>
          <w:rFonts w:asciiTheme="minorHAnsi" w:eastAsia="Calibri" w:hAnsiTheme="minorHAnsi"/>
          <w:sz w:val="20"/>
          <w:szCs w:val="20"/>
          <w:lang w:eastAsia="en-US"/>
        </w:rPr>
        <w:t xml:space="preserve">actions taken at the end of 2023 to moderate lending growth. </w:t>
      </w:r>
      <w:r w:rsidR="0051361E" w:rsidRPr="00493162">
        <w:rPr>
          <w:rFonts w:asciiTheme="minorHAnsi" w:eastAsia="Calibri" w:hAnsiTheme="minorHAnsi"/>
          <w:sz w:val="20"/>
          <w:szCs w:val="20"/>
          <w:lang w:eastAsia="en-US"/>
        </w:rPr>
        <w:t>T</w:t>
      </w:r>
      <w:r w:rsidRPr="00493162">
        <w:rPr>
          <w:rFonts w:asciiTheme="minorHAnsi" w:eastAsia="Calibri" w:hAnsiTheme="minorHAnsi"/>
          <w:sz w:val="20"/>
          <w:szCs w:val="20"/>
          <w:lang w:eastAsia="en-US"/>
        </w:rPr>
        <w:t xml:space="preserve">he vehicle finance business ended the </w:t>
      </w:r>
      <w:r w:rsidR="00E52024" w:rsidRPr="00493162">
        <w:rPr>
          <w:rFonts w:asciiTheme="minorHAnsi" w:eastAsia="Calibri" w:hAnsiTheme="minorHAnsi"/>
          <w:sz w:val="20"/>
          <w:szCs w:val="20"/>
          <w:lang w:eastAsia="en-US"/>
        </w:rPr>
        <w:t>period</w:t>
      </w:r>
      <w:r w:rsidRPr="00493162">
        <w:rPr>
          <w:rFonts w:asciiTheme="minorHAnsi" w:eastAsia="Calibri" w:hAnsiTheme="minorHAnsi"/>
          <w:sz w:val="20"/>
          <w:szCs w:val="20"/>
          <w:lang w:eastAsia="en-US"/>
        </w:rPr>
        <w:t xml:space="preserve"> with </w:t>
      </w:r>
      <w:r w:rsidR="000D5659" w:rsidRPr="00493162">
        <w:rPr>
          <w:rFonts w:asciiTheme="minorHAnsi" w:eastAsia="Calibri" w:hAnsiTheme="minorHAnsi"/>
          <w:sz w:val="20"/>
          <w:szCs w:val="20"/>
          <w:lang w:eastAsia="en-US"/>
        </w:rPr>
        <w:t>11</w:t>
      </w:r>
      <w:r w:rsidR="00867E6D" w:rsidRPr="00493162">
        <w:rPr>
          <w:rFonts w:asciiTheme="minorHAnsi" w:eastAsia="Calibri" w:hAnsiTheme="minorHAnsi"/>
          <w:sz w:val="20"/>
          <w:szCs w:val="20"/>
          <w:lang w:eastAsia="en-US"/>
        </w:rPr>
        <w:t>0</w:t>
      </w:r>
      <w:r w:rsidRPr="00493162">
        <w:rPr>
          <w:rFonts w:asciiTheme="minorHAnsi" w:eastAsia="Calibri" w:hAnsiTheme="minorHAnsi"/>
          <w:sz w:val="20"/>
          <w:szCs w:val="20"/>
          <w:lang w:eastAsia="en-US"/>
        </w:rPr>
        <w:t xml:space="preserve">k customers </w:t>
      </w:r>
      <w:r w:rsidR="00427371" w:rsidRPr="00493162">
        <w:rPr>
          <w:rFonts w:asciiTheme="minorHAnsi" w:eastAsia="Calibri" w:hAnsiTheme="minorHAnsi"/>
          <w:sz w:val="20"/>
          <w:szCs w:val="20"/>
          <w:lang w:eastAsia="en-US"/>
        </w:rPr>
        <w:t>(</w:t>
      </w:r>
      <w:r w:rsidR="00051A8A" w:rsidRPr="00493162">
        <w:rPr>
          <w:rFonts w:asciiTheme="minorHAnsi" w:eastAsia="Calibri" w:hAnsiTheme="minorHAnsi"/>
          <w:sz w:val="20"/>
          <w:szCs w:val="20"/>
          <w:lang w:eastAsia="en-US"/>
        </w:rPr>
        <w:t>1H</w:t>
      </w:r>
      <w:r w:rsidR="00EC7117" w:rsidRPr="00493162">
        <w:rPr>
          <w:rFonts w:asciiTheme="minorHAnsi" w:eastAsia="Calibri" w:hAnsiTheme="minorHAnsi"/>
          <w:sz w:val="20"/>
          <w:szCs w:val="20"/>
          <w:lang w:eastAsia="en-US"/>
        </w:rPr>
        <w:t>2</w:t>
      </w:r>
      <w:r w:rsidR="00DA6D68" w:rsidRPr="00493162">
        <w:rPr>
          <w:rFonts w:asciiTheme="minorHAnsi" w:eastAsia="Calibri" w:hAnsiTheme="minorHAnsi"/>
          <w:sz w:val="20"/>
          <w:szCs w:val="20"/>
          <w:lang w:eastAsia="en-US"/>
        </w:rPr>
        <w:t>3</w:t>
      </w:r>
      <w:r w:rsidR="00427371" w:rsidRPr="00493162">
        <w:rPr>
          <w:rFonts w:asciiTheme="minorHAnsi" w:eastAsia="Calibri" w:hAnsiTheme="minorHAnsi"/>
          <w:sz w:val="20"/>
          <w:szCs w:val="20"/>
          <w:lang w:eastAsia="en-US"/>
        </w:rPr>
        <w:t xml:space="preserve">: </w:t>
      </w:r>
      <w:r w:rsidR="00DA6D68" w:rsidRPr="00493162">
        <w:rPr>
          <w:rFonts w:asciiTheme="minorHAnsi" w:eastAsia="Calibri" w:hAnsiTheme="minorHAnsi"/>
          <w:sz w:val="20"/>
          <w:szCs w:val="20"/>
          <w:lang w:eastAsia="en-US"/>
        </w:rPr>
        <w:t>111</w:t>
      </w:r>
      <w:r w:rsidRPr="00493162">
        <w:rPr>
          <w:rFonts w:asciiTheme="minorHAnsi" w:eastAsia="Calibri" w:hAnsiTheme="minorHAnsi"/>
          <w:sz w:val="20"/>
          <w:szCs w:val="20"/>
          <w:lang w:eastAsia="en-US"/>
        </w:rPr>
        <w:t>k</w:t>
      </w:r>
      <w:r w:rsidR="00427371" w:rsidRPr="00493162">
        <w:rPr>
          <w:rFonts w:asciiTheme="minorHAnsi" w:eastAsia="Calibri" w:hAnsiTheme="minorHAnsi"/>
          <w:sz w:val="20"/>
          <w:szCs w:val="20"/>
          <w:lang w:eastAsia="en-US"/>
        </w:rPr>
        <w:t>)</w:t>
      </w:r>
      <w:r w:rsidRPr="00493162">
        <w:rPr>
          <w:rFonts w:asciiTheme="minorHAnsi" w:eastAsia="Calibri" w:hAnsiTheme="minorHAnsi"/>
          <w:sz w:val="20"/>
          <w:szCs w:val="20"/>
          <w:lang w:eastAsia="en-US"/>
        </w:rPr>
        <w:t xml:space="preserve">. </w:t>
      </w:r>
      <w:r w:rsidR="0028475A" w:rsidRPr="00493162">
        <w:rPr>
          <w:rFonts w:asciiTheme="minorHAnsi" w:eastAsia="Calibri" w:hAnsiTheme="minorHAnsi"/>
          <w:sz w:val="20"/>
          <w:szCs w:val="20"/>
          <w:lang w:eastAsia="en-US"/>
        </w:rPr>
        <w:t>T</w:t>
      </w:r>
      <w:r w:rsidR="002B0DFB" w:rsidRPr="00493162">
        <w:rPr>
          <w:rFonts w:asciiTheme="minorHAnsi" w:eastAsia="Calibri" w:hAnsiTheme="minorHAnsi"/>
          <w:sz w:val="20"/>
          <w:szCs w:val="20"/>
          <w:lang w:eastAsia="en-US"/>
        </w:rPr>
        <w:t xml:space="preserve">he average loan size </w:t>
      </w:r>
      <w:r w:rsidR="0028475A" w:rsidRPr="00493162">
        <w:rPr>
          <w:rFonts w:asciiTheme="minorHAnsi" w:eastAsia="Calibri" w:hAnsiTheme="minorHAnsi"/>
          <w:sz w:val="20"/>
          <w:szCs w:val="20"/>
          <w:lang w:eastAsia="en-US"/>
        </w:rPr>
        <w:t>was stable</w:t>
      </w:r>
      <w:r w:rsidR="002B0DFB" w:rsidRPr="00493162">
        <w:rPr>
          <w:rFonts w:asciiTheme="minorHAnsi" w:eastAsia="Calibri" w:hAnsiTheme="minorHAnsi"/>
          <w:sz w:val="20"/>
          <w:szCs w:val="20"/>
          <w:lang w:eastAsia="en-US"/>
        </w:rPr>
        <w:t xml:space="preserve"> </w:t>
      </w:r>
      <w:r w:rsidR="0028475A" w:rsidRPr="00493162">
        <w:rPr>
          <w:rFonts w:asciiTheme="minorHAnsi" w:eastAsia="Calibri" w:hAnsiTheme="minorHAnsi"/>
          <w:sz w:val="20"/>
          <w:szCs w:val="20"/>
          <w:lang w:eastAsia="en-US"/>
        </w:rPr>
        <w:t>at</w:t>
      </w:r>
      <w:r w:rsidR="002B0DFB" w:rsidRPr="00493162">
        <w:rPr>
          <w:rFonts w:asciiTheme="minorHAnsi" w:eastAsia="Calibri" w:hAnsiTheme="minorHAnsi"/>
          <w:sz w:val="20"/>
          <w:szCs w:val="20"/>
          <w:lang w:eastAsia="en-US"/>
        </w:rPr>
        <w:t xml:space="preserve"> approximately </w:t>
      </w:r>
      <w:r w:rsidR="002B0DFB" w:rsidRPr="00176DB8">
        <w:rPr>
          <w:rFonts w:asciiTheme="minorHAnsi" w:eastAsia="Calibri" w:hAnsiTheme="minorHAnsi"/>
          <w:sz w:val="20"/>
          <w:szCs w:val="20"/>
          <w:lang w:eastAsia="en-US"/>
        </w:rPr>
        <w:t>£</w:t>
      </w:r>
      <w:r w:rsidR="00737C71" w:rsidRPr="00176DB8">
        <w:rPr>
          <w:rFonts w:asciiTheme="minorHAnsi" w:eastAsia="Calibri" w:hAnsiTheme="minorHAnsi"/>
          <w:sz w:val="20"/>
          <w:szCs w:val="20"/>
          <w:lang w:eastAsia="en-US"/>
        </w:rPr>
        <w:t>8.6</w:t>
      </w:r>
      <w:r w:rsidR="002B0DFB" w:rsidRPr="00176DB8">
        <w:rPr>
          <w:rFonts w:asciiTheme="minorHAnsi" w:eastAsia="Calibri" w:hAnsiTheme="minorHAnsi"/>
          <w:sz w:val="20"/>
          <w:szCs w:val="20"/>
          <w:lang w:eastAsia="en-US"/>
        </w:rPr>
        <w:t>k</w:t>
      </w:r>
      <w:r w:rsidR="00AE1684" w:rsidRPr="00176DB8">
        <w:rPr>
          <w:rFonts w:asciiTheme="minorHAnsi" w:eastAsia="Calibri" w:hAnsiTheme="minorHAnsi"/>
          <w:sz w:val="20"/>
          <w:szCs w:val="20"/>
          <w:lang w:eastAsia="en-US"/>
        </w:rPr>
        <w:t xml:space="preserve"> </w:t>
      </w:r>
      <w:r w:rsidR="00AE1684" w:rsidRPr="00493162">
        <w:rPr>
          <w:rFonts w:asciiTheme="minorHAnsi" w:eastAsia="Calibri" w:hAnsiTheme="minorHAnsi"/>
          <w:sz w:val="20"/>
          <w:szCs w:val="20"/>
          <w:lang w:eastAsia="en-US"/>
        </w:rPr>
        <w:t>(</w:t>
      </w:r>
      <w:r w:rsidR="00051A8A" w:rsidRPr="00493162">
        <w:rPr>
          <w:rFonts w:asciiTheme="minorHAnsi" w:eastAsia="Calibri" w:hAnsiTheme="minorHAnsi"/>
          <w:sz w:val="20"/>
          <w:szCs w:val="20"/>
          <w:lang w:eastAsia="en-US"/>
        </w:rPr>
        <w:t>1H</w:t>
      </w:r>
      <w:r w:rsidR="00AE1684" w:rsidRPr="00493162">
        <w:rPr>
          <w:rFonts w:asciiTheme="minorHAnsi" w:eastAsia="Calibri" w:hAnsiTheme="minorHAnsi"/>
          <w:sz w:val="20"/>
          <w:szCs w:val="20"/>
          <w:lang w:eastAsia="en-US"/>
        </w:rPr>
        <w:t>2</w:t>
      </w:r>
      <w:r w:rsidR="00867E6D" w:rsidRPr="00493162">
        <w:rPr>
          <w:rFonts w:asciiTheme="minorHAnsi" w:eastAsia="Calibri" w:hAnsiTheme="minorHAnsi"/>
          <w:sz w:val="20"/>
          <w:szCs w:val="20"/>
          <w:lang w:eastAsia="en-US"/>
        </w:rPr>
        <w:t>3</w:t>
      </w:r>
      <w:r w:rsidR="00D973F1" w:rsidRPr="00493162">
        <w:rPr>
          <w:rFonts w:asciiTheme="minorHAnsi" w:eastAsia="Calibri" w:hAnsiTheme="minorHAnsi"/>
          <w:sz w:val="20"/>
          <w:szCs w:val="20"/>
          <w:lang w:eastAsia="en-US"/>
        </w:rPr>
        <w:t>: £</w:t>
      </w:r>
      <w:r w:rsidR="00AE1684" w:rsidRPr="00493162">
        <w:rPr>
          <w:rFonts w:asciiTheme="minorHAnsi" w:eastAsia="Calibri" w:hAnsiTheme="minorHAnsi"/>
          <w:sz w:val="20"/>
          <w:szCs w:val="20"/>
          <w:lang w:eastAsia="en-US"/>
        </w:rPr>
        <w:t>8.4</w:t>
      </w:r>
      <w:r w:rsidR="002B0DFB" w:rsidRPr="00493162">
        <w:rPr>
          <w:rFonts w:asciiTheme="minorHAnsi" w:eastAsia="Calibri" w:hAnsiTheme="minorHAnsi"/>
          <w:sz w:val="20"/>
          <w:szCs w:val="20"/>
          <w:lang w:eastAsia="en-US"/>
        </w:rPr>
        <w:t>k</w:t>
      </w:r>
      <w:r w:rsidR="00D973F1" w:rsidRPr="00493162">
        <w:rPr>
          <w:rFonts w:asciiTheme="minorHAnsi" w:eastAsia="Calibri" w:hAnsiTheme="minorHAnsi"/>
          <w:sz w:val="20"/>
          <w:szCs w:val="20"/>
          <w:lang w:eastAsia="en-US"/>
        </w:rPr>
        <w:t>)</w:t>
      </w:r>
      <w:r w:rsidR="002B0DFB" w:rsidRPr="00493162">
        <w:rPr>
          <w:rFonts w:asciiTheme="minorHAnsi" w:eastAsia="Calibri" w:hAnsiTheme="minorHAnsi"/>
          <w:sz w:val="20"/>
          <w:szCs w:val="20"/>
          <w:lang w:eastAsia="en-US"/>
        </w:rPr>
        <w:t>.</w:t>
      </w:r>
      <w:r w:rsidR="002B0DFB" w:rsidRPr="00493162" w:rsidDel="002B0DFB">
        <w:rPr>
          <w:rFonts w:asciiTheme="minorHAnsi" w:eastAsia="Calibri" w:hAnsiTheme="minorHAnsi"/>
          <w:sz w:val="20"/>
          <w:szCs w:val="20"/>
          <w:lang w:eastAsia="en-US"/>
        </w:rPr>
        <w:t xml:space="preserve"> </w:t>
      </w:r>
    </w:p>
    <w:p w14:paraId="53291891" w14:textId="0C406965" w:rsidR="00740F8E" w:rsidRPr="00E63C3D" w:rsidRDefault="00740F8E" w:rsidP="00E534C5">
      <w:pPr>
        <w:spacing w:after="160"/>
        <w:jc w:val="both"/>
        <w:rPr>
          <w:rFonts w:asciiTheme="minorHAnsi" w:eastAsia="Calibri" w:hAnsiTheme="minorHAnsi"/>
          <w:sz w:val="20"/>
          <w:szCs w:val="20"/>
          <w:lang w:eastAsia="en-US"/>
        </w:rPr>
      </w:pPr>
      <w:r w:rsidRPr="00E63C3D">
        <w:rPr>
          <w:rFonts w:asciiTheme="minorHAnsi" w:eastAsia="Calibri" w:hAnsiTheme="minorHAnsi"/>
          <w:sz w:val="20"/>
          <w:szCs w:val="20"/>
          <w:lang w:eastAsia="en-US"/>
        </w:rPr>
        <w:t xml:space="preserve">At the end of </w:t>
      </w:r>
      <w:r w:rsidR="0028475A" w:rsidRPr="00E63C3D">
        <w:rPr>
          <w:rFonts w:asciiTheme="minorHAnsi" w:eastAsia="Calibri" w:hAnsiTheme="minorHAnsi"/>
          <w:sz w:val="20"/>
          <w:szCs w:val="20"/>
          <w:lang w:eastAsia="en-US"/>
        </w:rPr>
        <w:t>June</w:t>
      </w:r>
      <w:r w:rsidRPr="00E63C3D">
        <w:rPr>
          <w:rFonts w:asciiTheme="minorHAnsi" w:eastAsia="Calibri" w:hAnsiTheme="minorHAnsi"/>
          <w:sz w:val="20"/>
          <w:szCs w:val="20"/>
          <w:lang w:eastAsia="en-US"/>
        </w:rPr>
        <w:t>, receivables stood at £</w:t>
      </w:r>
      <w:r w:rsidR="00EA79A6" w:rsidRPr="00E63C3D">
        <w:rPr>
          <w:rFonts w:asciiTheme="minorHAnsi" w:eastAsia="Calibri" w:hAnsiTheme="minorHAnsi"/>
          <w:sz w:val="20"/>
          <w:szCs w:val="20"/>
          <w:lang w:eastAsia="en-US"/>
        </w:rPr>
        <w:t>76</w:t>
      </w:r>
      <w:r w:rsidR="009C4711" w:rsidRPr="00E63C3D">
        <w:rPr>
          <w:rFonts w:asciiTheme="minorHAnsi" w:eastAsia="Calibri" w:hAnsiTheme="minorHAnsi"/>
          <w:sz w:val="20"/>
          <w:szCs w:val="20"/>
          <w:lang w:eastAsia="en-US"/>
        </w:rPr>
        <w:t>1</w:t>
      </w:r>
      <w:r w:rsidRPr="00E63C3D">
        <w:rPr>
          <w:rFonts w:asciiTheme="minorHAnsi" w:eastAsia="Calibri" w:hAnsiTheme="minorHAnsi"/>
          <w:sz w:val="20"/>
          <w:szCs w:val="20"/>
          <w:lang w:eastAsia="en-US"/>
        </w:rPr>
        <w:t>m (</w:t>
      </w:r>
      <w:r w:rsidR="00051A8A" w:rsidRPr="00E63C3D">
        <w:rPr>
          <w:rFonts w:asciiTheme="minorHAnsi" w:eastAsia="Calibri" w:hAnsiTheme="minorHAnsi"/>
          <w:sz w:val="20"/>
          <w:szCs w:val="20"/>
          <w:lang w:eastAsia="en-US"/>
        </w:rPr>
        <w:t>1H</w:t>
      </w:r>
      <w:r w:rsidR="00EC7117" w:rsidRPr="00E63C3D">
        <w:rPr>
          <w:rFonts w:asciiTheme="minorHAnsi" w:eastAsia="Calibri" w:hAnsiTheme="minorHAnsi"/>
          <w:sz w:val="20"/>
          <w:szCs w:val="20"/>
          <w:lang w:eastAsia="en-US"/>
        </w:rPr>
        <w:t>2</w:t>
      </w:r>
      <w:r w:rsidR="009C4711" w:rsidRPr="00E63C3D">
        <w:rPr>
          <w:rFonts w:asciiTheme="minorHAnsi" w:eastAsia="Calibri" w:hAnsiTheme="minorHAnsi"/>
          <w:sz w:val="20"/>
          <w:szCs w:val="20"/>
          <w:lang w:eastAsia="en-US"/>
        </w:rPr>
        <w:t>3</w:t>
      </w:r>
      <w:r w:rsidR="006E2790" w:rsidRPr="00E63C3D">
        <w:rPr>
          <w:rFonts w:asciiTheme="minorHAnsi" w:eastAsia="Calibri" w:hAnsiTheme="minorHAnsi"/>
          <w:sz w:val="20"/>
          <w:szCs w:val="20"/>
          <w:lang w:eastAsia="en-US"/>
        </w:rPr>
        <w:t xml:space="preserve"> restated</w:t>
      </w:r>
      <w:r w:rsidRPr="00E63C3D">
        <w:rPr>
          <w:rFonts w:asciiTheme="minorHAnsi" w:eastAsia="Calibri" w:hAnsiTheme="minorHAnsi"/>
          <w:sz w:val="20"/>
          <w:szCs w:val="20"/>
          <w:lang w:eastAsia="en-US"/>
        </w:rPr>
        <w:t>: £</w:t>
      </w:r>
      <w:r w:rsidR="009C4711" w:rsidRPr="00E63C3D">
        <w:rPr>
          <w:rFonts w:asciiTheme="minorHAnsi" w:eastAsia="Calibri" w:hAnsiTheme="minorHAnsi"/>
          <w:sz w:val="20"/>
          <w:szCs w:val="20"/>
          <w:lang w:eastAsia="en-US"/>
        </w:rPr>
        <w:t>7</w:t>
      </w:r>
      <w:r w:rsidR="009B76FA">
        <w:rPr>
          <w:rFonts w:asciiTheme="minorHAnsi" w:eastAsia="Calibri" w:hAnsiTheme="minorHAnsi"/>
          <w:sz w:val="20"/>
          <w:szCs w:val="20"/>
          <w:lang w:eastAsia="en-US"/>
        </w:rPr>
        <w:t>48</w:t>
      </w:r>
      <w:r w:rsidRPr="00E63C3D">
        <w:rPr>
          <w:rFonts w:asciiTheme="minorHAnsi" w:eastAsia="Calibri" w:hAnsiTheme="minorHAnsi"/>
          <w:sz w:val="20"/>
          <w:szCs w:val="20"/>
          <w:lang w:eastAsia="en-US"/>
        </w:rPr>
        <w:t xml:space="preserve">m), </w:t>
      </w:r>
      <w:r w:rsidR="00AB3ABA" w:rsidRPr="00E63C3D">
        <w:rPr>
          <w:rFonts w:asciiTheme="minorHAnsi" w:eastAsia="Calibri" w:hAnsiTheme="minorHAnsi"/>
          <w:sz w:val="20"/>
          <w:szCs w:val="20"/>
          <w:lang w:eastAsia="en-US"/>
        </w:rPr>
        <w:t>reflect</w:t>
      </w:r>
      <w:r w:rsidR="00D31ED1" w:rsidRPr="00E63C3D">
        <w:rPr>
          <w:rFonts w:asciiTheme="minorHAnsi" w:eastAsia="Calibri" w:hAnsiTheme="minorHAnsi"/>
          <w:sz w:val="20"/>
          <w:szCs w:val="20"/>
          <w:lang w:eastAsia="en-US"/>
        </w:rPr>
        <w:t>ing</w:t>
      </w:r>
      <w:r w:rsidRPr="00E63C3D">
        <w:rPr>
          <w:rFonts w:asciiTheme="minorHAnsi" w:eastAsia="Calibri" w:hAnsiTheme="minorHAnsi"/>
          <w:sz w:val="20"/>
          <w:szCs w:val="20"/>
          <w:lang w:eastAsia="en-US"/>
        </w:rPr>
        <w:t xml:space="preserve"> </w:t>
      </w:r>
      <w:r w:rsidR="000F6AD3" w:rsidRPr="00E63C3D">
        <w:rPr>
          <w:rFonts w:asciiTheme="minorHAnsi" w:eastAsia="Calibri" w:hAnsiTheme="minorHAnsi"/>
          <w:sz w:val="20"/>
          <w:szCs w:val="20"/>
          <w:lang w:eastAsia="en-US"/>
        </w:rPr>
        <w:t xml:space="preserve">the </w:t>
      </w:r>
      <w:r w:rsidR="00E63C3D" w:rsidRPr="00E63C3D">
        <w:rPr>
          <w:rFonts w:asciiTheme="minorHAnsi" w:eastAsia="Calibri" w:hAnsiTheme="minorHAnsi"/>
          <w:sz w:val="20"/>
          <w:szCs w:val="20"/>
          <w:lang w:eastAsia="en-US"/>
        </w:rPr>
        <w:t>bookings</w:t>
      </w:r>
      <w:r w:rsidR="000F6AD3" w:rsidRPr="00E63C3D">
        <w:rPr>
          <w:rFonts w:asciiTheme="minorHAnsi" w:eastAsia="Calibri" w:hAnsiTheme="minorHAnsi"/>
          <w:sz w:val="20"/>
          <w:szCs w:val="20"/>
          <w:lang w:eastAsia="en-US"/>
        </w:rPr>
        <w:t xml:space="preserve"> in</w:t>
      </w:r>
      <w:r w:rsidRPr="00E63C3D">
        <w:rPr>
          <w:rFonts w:asciiTheme="minorHAnsi" w:eastAsia="Calibri" w:hAnsiTheme="minorHAnsi"/>
          <w:sz w:val="20"/>
          <w:szCs w:val="20"/>
          <w:lang w:eastAsia="en-US"/>
        </w:rPr>
        <w:t xml:space="preserve"> </w:t>
      </w:r>
      <w:r w:rsidR="00AB3ABA" w:rsidRPr="00E63C3D">
        <w:rPr>
          <w:rFonts w:asciiTheme="minorHAnsi" w:eastAsia="Calibri" w:hAnsiTheme="minorHAnsi"/>
          <w:sz w:val="20"/>
          <w:szCs w:val="20"/>
          <w:lang w:eastAsia="en-US"/>
        </w:rPr>
        <w:t>the</w:t>
      </w:r>
      <w:r w:rsidR="000C3C35" w:rsidRPr="00E63C3D">
        <w:rPr>
          <w:rFonts w:asciiTheme="minorHAnsi" w:eastAsia="Calibri" w:hAnsiTheme="minorHAnsi"/>
          <w:sz w:val="20"/>
          <w:szCs w:val="20"/>
          <w:lang w:eastAsia="en-US"/>
        </w:rPr>
        <w:t xml:space="preserve"> </w:t>
      </w:r>
      <w:r w:rsidR="00E63C3D" w:rsidRPr="00E63C3D">
        <w:rPr>
          <w:rFonts w:asciiTheme="minorHAnsi" w:eastAsia="Calibri" w:hAnsiTheme="minorHAnsi"/>
          <w:sz w:val="20"/>
          <w:szCs w:val="20"/>
          <w:lang w:eastAsia="en-US"/>
        </w:rPr>
        <w:t>period</w:t>
      </w:r>
      <w:r w:rsidR="00A73E6E">
        <w:rPr>
          <w:rFonts w:asciiTheme="minorHAnsi" w:eastAsia="Calibri" w:hAnsiTheme="minorHAnsi"/>
          <w:sz w:val="20"/>
          <w:szCs w:val="20"/>
          <w:lang w:eastAsia="en-US"/>
        </w:rPr>
        <w:t xml:space="preserve"> </w:t>
      </w:r>
      <w:r w:rsidR="00A73E6E" w:rsidRPr="00A73E6E">
        <w:rPr>
          <w:rFonts w:asciiTheme="minorHAnsi" w:eastAsia="Calibri" w:hAnsiTheme="minorHAnsi"/>
          <w:sz w:val="20"/>
          <w:szCs w:val="20"/>
          <w:lang w:eastAsia="en-US"/>
        </w:rPr>
        <w:t>offset by the impact of the stage 3 write offs.</w:t>
      </w:r>
    </w:p>
    <w:p w14:paraId="6AA0659D" w14:textId="78E1B856" w:rsidR="00740F8E" w:rsidRPr="00CB79D7" w:rsidRDefault="00E245BE" w:rsidP="00E534C5">
      <w:pPr>
        <w:spacing w:after="160"/>
        <w:jc w:val="both"/>
        <w:rPr>
          <w:rFonts w:asciiTheme="minorHAnsi" w:eastAsia="Calibri" w:hAnsiTheme="minorHAnsi"/>
          <w:sz w:val="20"/>
          <w:szCs w:val="20"/>
          <w:lang w:eastAsia="en-US"/>
        </w:rPr>
      </w:pPr>
      <w:r w:rsidRPr="006933B5">
        <w:rPr>
          <w:rFonts w:asciiTheme="minorHAnsi" w:eastAsia="Calibri" w:hAnsiTheme="minorHAnsi"/>
          <w:sz w:val="20"/>
          <w:szCs w:val="20"/>
          <w:lang w:eastAsia="en-US"/>
        </w:rPr>
        <w:t>Interest income</w:t>
      </w:r>
      <w:r w:rsidR="00740F8E" w:rsidRPr="006933B5">
        <w:rPr>
          <w:rFonts w:asciiTheme="minorHAnsi" w:eastAsia="Calibri" w:hAnsiTheme="minorHAnsi"/>
          <w:sz w:val="20"/>
          <w:szCs w:val="20"/>
          <w:lang w:eastAsia="en-US"/>
        </w:rPr>
        <w:t xml:space="preserve"> during </w:t>
      </w:r>
      <w:r w:rsidR="00051A8A" w:rsidRPr="006933B5">
        <w:rPr>
          <w:rFonts w:asciiTheme="minorHAnsi" w:eastAsia="Calibri" w:hAnsiTheme="minorHAnsi"/>
          <w:sz w:val="20"/>
          <w:szCs w:val="20"/>
          <w:lang w:eastAsia="en-US"/>
        </w:rPr>
        <w:t>1H</w:t>
      </w:r>
      <w:r w:rsidR="00EC7117" w:rsidRPr="006933B5">
        <w:rPr>
          <w:rFonts w:asciiTheme="minorHAnsi" w:eastAsia="Calibri" w:hAnsiTheme="minorHAnsi"/>
          <w:sz w:val="20"/>
          <w:szCs w:val="20"/>
          <w:lang w:eastAsia="en-US"/>
        </w:rPr>
        <w:t>2</w:t>
      </w:r>
      <w:r w:rsidR="009C4711" w:rsidRPr="006933B5">
        <w:rPr>
          <w:rFonts w:asciiTheme="minorHAnsi" w:eastAsia="Calibri" w:hAnsiTheme="minorHAnsi"/>
          <w:sz w:val="20"/>
          <w:szCs w:val="20"/>
          <w:lang w:eastAsia="en-US"/>
        </w:rPr>
        <w:t>4</w:t>
      </w:r>
      <w:r w:rsidR="00740F8E" w:rsidRPr="006933B5">
        <w:rPr>
          <w:rFonts w:asciiTheme="minorHAnsi" w:eastAsia="Calibri" w:hAnsiTheme="minorHAnsi"/>
          <w:sz w:val="20"/>
          <w:szCs w:val="20"/>
          <w:lang w:eastAsia="en-US"/>
        </w:rPr>
        <w:t xml:space="preserve"> </w:t>
      </w:r>
      <w:r w:rsidR="00056159" w:rsidRPr="006933B5">
        <w:rPr>
          <w:rFonts w:asciiTheme="minorHAnsi" w:eastAsia="Calibri" w:hAnsiTheme="minorHAnsi"/>
          <w:sz w:val="20"/>
          <w:szCs w:val="20"/>
          <w:lang w:eastAsia="en-US"/>
        </w:rPr>
        <w:t>de</w:t>
      </w:r>
      <w:r w:rsidR="00A57329" w:rsidRPr="006933B5">
        <w:rPr>
          <w:rFonts w:asciiTheme="minorHAnsi" w:eastAsia="Calibri" w:hAnsiTheme="minorHAnsi"/>
          <w:sz w:val="20"/>
          <w:szCs w:val="20"/>
          <w:lang w:eastAsia="en-US"/>
        </w:rPr>
        <w:t>creased</w:t>
      </w:r>
      <w:r w:rsidR="00864AA8" w:rsidRPr="006933B5">
        <w:rPr>
          <w:rFonts w:asciiTheme="minorHAnsi" w:eastAsia="Calibri" w:hAnsiTheme="minorHAnsi"/>
          <w:sz w:val="20"/>
          <w:szCs w:val="20"/>
          <w:lang w:eastAsia="en-US"/>
        </w:rPr>
        <w:t xml:space="preserve"> </w:t>
      </w:r>
      <w:r w:rsidR="00740F8E" w:rsidRPr="006933B5">
        <w:rPr>
          <w:rFonts w:asciiTheme="minorHAnsi" w:eastAsia="Calibri" w:hAnsiTheme="minorHAnsi"/>
          <w:sz w:val="20"/>
          <w:szCs w:val="20"/>
          <w:lang w:eastAsia="en-US"/>
        </w:rPr>
        <w:t>to £</w:t>
      </w:r>
      <w:r w:rsidR="00056159" w:rsidRPr="006933B5">
        <w:rPr>
          <w:rFonts w:asciiTheme="minorHAnsi" w:eastAsia="Calibri" w:hAnsiTheme="minorHAnsi"/>
          <w:sz w:val="20"/>
          <w:szCs w:val="20"/>
          <w:lang w:eastAsia="en-US"/>
        </w:rPr>
        <w:t>69</w:t>
      </w:r>
      <w:r w:rsidR="00242C45" w:rsidRPr="006933B5">
        <w:rPr>
          <w:rFonts w:asciiTheme="minorHAnsi" w:eastAsia="Calibri" w:hAnsiTheme="minorHAnsi"/>
          <w:sz w:val="20"/>
          <w:szCs w:val="20"/>
          <w:lang w:eastAsia="en-US"/>
        </w:rPr>
        <w:t>.8</w:t>
      </w:r>
      <w:r w:rsidR="00740F8E" w:rsidRPr="006933B5">
        <w:rPr>
          <w:rFonts w:asciiTheme="minorHAnsi" w:eastAsia="Calibri" w:hAnsiTheme="minorHAnsi"/>
          <w:sz w:val="20"/>
          <w:szCs w:val="20"/>
          <w:lang w:eastAsia="en-US"/>
        </w:rPr>
        <w:t>m (</w:t>
      </w:r>
      <w:r w:rsidR="00051A8A" w:rsidRPr="006933B5">
        <w:rPr>
          <w:rFonts w:asciiTheme="minorHAnsi" w:eastAsia="Calibri" w:hAnsiTheme="minorHAnsi"/>
          <w:sz w:val="20"/>
          <w:szCs w:val="20"/>
          <w:lang w:eastAsia="en-US"/>
        </w:rPr>
        <w:t>1H</w:t>
      </w:r>
      <w:r w:rsidR="00EC7117" w:rsidRPr="006933B5">
        <w:rPr>
          <w:rFonts w:asciiTheme="minorHAnsi" w:eastAsia="Calibri" w:hAnsiTheme="minorHAnsi"/>
          <w:sz w:val="20"/>
          <w:szCs w:val="20"/>
          <w:lang w:eastAsia="en-US"/>
        </w:rPr>
        <w:t>2</w:t>
      </w:r>
      <w:r w:rsidR="009C4711" w:rsidRPr="006933B5">
        <w:rPr>
          <w:rFonts w:asciiTheme="minorHAnsi" w:eastAsia="Calibri" w:hAnsiTheme="minorHAnsi"/>
          <w:sz w:val="20"/>
          <w:szCs w:val="20"/>
          <w:lang w:eastAsia="en-US"/>
        </w:rPr>
        <w:t>3</w:t>
      </w:r>
      <w:r w:rsidR="00793A8D">
        <w:rPr>
          <w:rFonts w:asciiTheme="minorHAnsi" w:eastAsia="Calibri" w:hAnsiTheme="minorHAnsi"/>
          <w:sz w:val="20"/>
          <w:szCs w:val="20"/>
          <w:lang w:eastAsia="en-US"/>
        </w:rPr>
        <w:t xml:space="preserve"> restated</w:t>
      </w:r>
      <w:r w:rsidR="00740F8E" w:rsidRPr="006933B5">
        <w:rPr>
          <w:rFonts w:asciiTheme="minorHAnsi" w:eastAsia="Calibri" w:hAnsiTheme="minorHAnsi"/>
          <w:sz w:val="20"/>
          <w:szCs w:val="20"/>
          <w:lang w:eastAsia="en-US"/>
        </w:rPr>
        <w:t>: £</w:t>
      </w:r>
      <w:r w:rsidR="00056159" w:rsidRPr="006933B5">
        <w:rPr>
          <w:rFonts w:asciiTheme="minorHAnsi" w:eastAsia="Calibri" w:hAnsiTheme="minorHAnsi"/>
          <w:sz w:val="20"/>
          <w:szCs w:val="20"/>
          <w:lang w:eastAsia="en-US"/>
        </w:rPr>
        <w:t>72</w:t>
      </w:r>
      <w:r w:rsidR="00812B61" w:rsidRPr="006933B5">
        <w:rPr>
          <w:rFonts w:asciiTheme="minorHAnsi" w:eastAsia="Calibri" w:hAnsiTheme="minorHAnsi"/>
          <w:sz w:val="20"/>
          <w:szCs w:val="20"/>
          <w:lang w:eastAsia="en-US"/>
        </w:rPr>
        <w:t>.</w:t>
      </w:r>
      <w:r w:rsidR="006D285C" w:rsidRPr="006933B5">
        <w:rPr>
          <w:rFonts w:asciiTheme="minorHAnsi" w:eastAsia="Calibri" w:hAnsiTheme="minorHAnsi"/>
          <w:sz w:val="20"/>
          <w:szCs w:val="20"/>
          <w:lang w:eastAsia="en-US"/>
        </w:rPr>
        <w:t>8</w:t>
      </w:r>
      <w:r w:rsidR="00740F8E" w:rsidRPr="006933B5">
        <w:rPr>
          <w:rFonts w:asciiTheme="minorHAnsi" w:eastAsia="Calibri" w:hAnsiTheme="minorHAnsi"/>
          <w:sz w:val="20"/>
          <w:szCs w:val="20"/>
          <w:lang w:eastAsia="en-US"/>
        </w:rPr>
        <w:t>m)</w:t>
      </w:r>
      <w:r w:rsidR="00F92BC9" w:rsidRPr="006933B5">
        <w:rPr>
          <w:rFonts w:asciiTheme="minorHAnsi" w:eastAsia="Calibri" w:hAnsiTheme="minorHAnsi"/>
          <w:sz w:val="20"/>
          <w:szCs w:val="20"/>
          <w:lang w:eastAsia="en-US"/>
        </w:rPr>
        <w:t xml:space="preserve"> </w:t>
      </w:r>
      <w:r w:rsidR="006933B5" w:rsidRPr="006933B5">
        <w:rPr>
          <w:rFonts w:asciiTheme="minorHAnsi" w:eastAsia="Calibri" w:hAnsiTheme="minorHAnsi"/>
          <w:sz w:val="20"/>
          <w:szCs w:val="20"/>
          <w:lang w:eastAsia="en-US"/>
        </w:rPr>
        <w:t xml:space="preserve">which included a £3.1m write off for deferred acquisition costs for contracts associated with the stage 3 review which have now been charged off. </w:t>
      </w:r>
      <w:r w:rsidR="004F6665">
        <w:rPr>
          <w:rFonts w:asciiTheme="minorHAnsi" w:eastAsia="Calibri" w:hAnsiTheme="minorHAnsi"/>
          <w:sz w:val="20"/>
          <w:szCs w:val="20"/>
          <w:lang w:eastAsia="en-US"/>
        </w:rPr>
        <w:t xml:space="preserve"> </w:t>
      </w:r>
      <w:r w:rsidR="004F6665" w:rsidRPr="00CB79D7">
        <w:rPr>
          <w:rFonts w:asciiTheme="minorHAnsi" w:eastAsia="Calibri" w:hAnsiTheme="minorHAnsi"/>
          <w:sz w:val="20"/>
          <w:szCs w:val="20"/>
          <w:lang w:eastAsia="en-US"/>
        </w:rPr>
        <w:t>T</w:t>
      </w:r>
      <w:r w:rsidR="00740F8E" w:rsidRPr="00CB79D7">
        <w:rPr>
          <w:rFonts w:asciiTheme="minorHAnsi" w:eastAsia="Calibri" w:hAnsiTheme="minorHAnsi"/>
          <w:sz w:val="20"/>
          <w:szCs w:val="20"/>
          <w:lang w:eastAsia="en-US"/>
        </w:rPr>
        <w:t xml:space="preserve">he annualised </w:t>
      </w:r>
      <w:r w:rsidR="009656C8" w:rsidRPr="00CB79D7">
        <w:rPr>
          <w:rFonts w:asciiTheme="minorHAnsi" w:eastAsia="Calibri" w:hAnsiTheme="minorHAnsi"/>
          <w:sz w:val="20"/>
          <w:szCs w:val="20"/>
          <w:lang w:eastAsia="en-US"/>
        </w:rPr>
        <w:t>asset</w:t>
      </w:r>
      <w:r w:rsidR="00740F8E" w:rsidRPr="00CB79D7">
        <w:rPr>
          <w:rFonts w:asciiTheme="minorHAnsi" w:eastAsia="Calibri" w:hAnsiTheme="minorHAnsi"/>
          <w:sz w:val="20"/>
          <w:szCs w:val="20"/>
          <w:lang w:eastAsia="en-US"/>
        </w:rPr>
        <w:t xml:space="preserve"> yield</w:t>
      </w:r>
      <w:r w:rsidR="002475AC" w:rsidRPr="00CB79D7">
        <w:rPr>
          <w:rFonts w:asciiTheme="minorHAnsi" w:eastAsia="Calibri" w:hAnsiTheme="minorHAnsi"/>
          <w:sz w:val="20"/>
          <w:szCs w:val="20"/>
          <w:lang w:eastAsia="en-US"/>
        </w:rPr>
        <w:t xml:space="preserve"> </w:t>
      </w:r>
      <w:r w:rsidR="009B3C49" w:rsidRPr="00CB79D7">
        <w:rPr>
          <w:rFonts w:asciiTheme="minorHAnsi" w:eastAsia="Calibri" w:hAnsiTheme="minorHAnsi"/>
          <w:sz w:val="20"/>
          <w:szCs w:val="20"/>
          <w:lang w:eastAsia="en-US"/>
        </w:rPr>
        <w:t>decreased</w:t>
      </w:r>
      <w:r w:rsidR="00C00073" w:rsidRPr="00CB79D7">
        <w:rPr>
          <w:rFonts w:asciiTheme="minorHAnsi" w:eastAsia="Calibri" w:hAnsiTheme="minorHAnsi"/>
          <w:sz w:val="20"/>
          <w:szCs w:val="20"/>
          <w:lang w:eastAsia="en-US"/>
        </w:rPr>
        <w:t xml:space="preserve"> year</w:t>
      </w:r>
      <w:r w:rsidR="00554A6F" w:rsidRPr="00CB79D7">
        <w:rPr>
          <w:rFonts w:asciiTheme="minorHAnsi" w:eastAsia="Calibri" w:hAnsiTheme="minorHAnsi"/>
          <w:sz w:val="20"/>
          <w:szCs w:val="20"/>
          <w:lang w:eastAsia="en-US"/>
        </w:rPr>
        <w:t xml:space="preserve"> </w:t>
      </w:r>
      <w:r w:rsidR="00C00073" w:rsidRPr="00CB79D7">
        <w:rPr>
          <w:rFonts w:asciiTheme="minorHAnsi" w:eastAsia="Calibri" w:hAnsiTheme="minorHAnsi"/>
          <w:sz w:val="20"/>
          <w:szCs w:val="20"/>
          <w:lang w:eastAsia="en-US"/>
        </w:rPr>
        <w:t>on</w:t>
      </w:r>
      <w:r w:rsidR="00554A6F" w:rsidRPr="00CB79D7">
        <w:rPr>
          <w:rFonts w:asciiTheme="minorHAnsi" w:eastAsia="Calibri" w:hAnsiTheme="minorHAnsi"/>
          <w:sz w:val="20"/>
          <w:szCs w:val="20"/>
          <w:lang w:eastAsia="en-US"/>
        </w:rPr>
        <w:t xml:space="preserve"> </w:t>
      </w:r>
      <w:r w:rsidR="00C00073" w:rsidRPr="00CB79D7">
        <w:rPr>
          <w:rFonts w:asciiTheme="minorHAnsi" w:eastAsia="Calibri" w:hAnsiTheme="minorHAnsi"/>
          <w:sz w:val="20"/>
          <w:szCs w:val="20"/>
          <w:lang w:eastAsia="en-US"/>
        </w:rPr>
        <w:t>year</w:t>
      </w:r>
      <w:r w:rsidR="00E93820" w:rsidRPr="00CB79D7">
        <w:rPr>
          <w:rFonts w:asciiTheme="minorHAnsi" w:eastAsia="Calibri" w:hAnsiTheme="minorHAnsi"/>
          <w:sz w:val="20"/>
          <w:szCs w:val="20"/>
          <w:lang w:eastAsia="en-US"/>
        </w:rPr>
        <w:t xml:space="preserve"> to</w:t>
      </w:r>
      <w:r w:rsidR="00740F8E" w:rsidRPr="00CB79D7">
        <w:rPr>
          <w:rFonts w:asciiTheme="minorHAnsi" w:eastAsia="Calibri" w:hAnsiTheme="minorHAnsi"/>
          <w:sz w:val="20"/>
          <w:szCs w:val="20"/>
          <w:lang w:eastAsia="en-US"/>
        </w:rPr>
        <w:t xml:space="preserve"> </w:t>
      </w:r>
      <w:r w:rsidR="002475AC" w:rsidRPr="00CB79D7">
        <w:rPr>
          <w:rFonts w:asciiTheme="minorHAnsi" w:eastAsia="Calibri" w:hAnsiTheme="minorHAnsi"/>
          <w:sz w:val="20"/>
          <w:szCs w:val="20"/>
          <w:lang w:eastAsia="en-US"/>
        </w:rPr>
        <w:t>1</w:t>
      </w:r>
      <w:r w:rsidR="00F224F4" w:rsidRPr="00CB79D7">
        <w:rPr>
          <w:rFonts w:asciiTheme="minorHAnsi" w:eastAsia="Calibri" w:hAnsiTheme="minorHAnsi"/>
          <w:sz w:val="20"/>
          <w:szCs w:val="20"/>
          <w:lang w:eastAsia="en-US"/>
        </w:rPr>
        <w:t>6.5</w:t>
      </w:r>
      <w:r w:rsidR="00740F8E" w:rsidRPr="00CB79D7">
        <w:rPr>
          <w:rFonts w:asciiTheme="minorHAnsi" w:eastAsia="Calibri" w:hAnsiTheme="minorHAnsi"/>
          <w:sz w:val="20"/>
          <w:szCs w:val="20"/>
          <w:lang w:eastAsia="en-US"/>
        </w:rPr>
        <w:t xml:space="preserve">% </w:t>
      </w:r>
      <w:r w:rsidR="005545F4" w:rsidRPr="00CB79D7">
        <w:rPr>
          <w:rFonts w:asciiTheme="minorHAnsi" w:eastAsia="Calibri" w:hAnsiTheme="minorHAnsi"/>
          <w:sz w:val="20"/>
          <w:szCs w:val="20"/>
          <w:lang w:eastAsia="en-US"/>
        </w:rPr>
        <w:t>versus</w:t>
      </w:r>
      <w:r w:rsidR="00740F8E" w:rsidRPr="00CB79D7">
        <w:rPr>
          <w:rFonts w:asciiTheme="minorHAnsi" w:eastAsia="Calibri" w:hAnsiTheme="minorHAnsi"/>
          <w:sz w:val="20"/>
          <w:szCs w:val="20"/>
          <w:lang w:eastAsia="en-US"/>
        </w:rPr>
        <w:t xml:space="preserve"> </w:t>
      </w:r>
      <w:r w:rsidR="00F224F4" w:rsidRPr="00CB79D7">
        <w:rPr>
          <w:rFonts w:asciiTheme="minorHAnsi" w:eastAsia="Calibri" w:hAnsiTheme="minorHAnsi"/>
          <w:sz w:val="20"/>
          <w:szCs w:val="20"/>
          <w:lang w:eastAsia="en-US"/>
        </w:rPr>
        <w:t>18.3</w:t>
      </w:r>
      <w:r w:rsidR="00740F8E" w:rsidRPr="00CB79D7">
        <w:rPr>
          <w:rFonts w:asciiTheme="minorHAnsi" w:eastAsia="Calibri" w:hAnsiTheme="minorHAnsi"/>
          <w:sz w:val="20"/>
          <w:szCs w:val="20"/>
          <w:lang w:eastAsia="en-US"/>
        </w:rPr>
        <w:t xml:space="preserve">% </w:t>
      </w:r>
      <w:r w:rsidR="00F50F8B">
        <w:rPr>
          <w:rFonts w:asciiTheme="minorHAnsi" w:eastAsia="Calibri" w:hAnsiTheme="minorHAnsi"/>
          <w:sz w:val="20"/>
          <w:szCs w:val="20"/>
          <w:lang w:eastAsia="en-US"/>
        </w:rPr>
        <w:t xml:space="preserve">(restated) </w:t>
      </w:r>
      <w:r w:rsidR="00740F8E" w:rsidRPr="00CB79D7">
        <w:rPr>
          <w:rFonts w:asciiTheme="minorHAnsi" w:eastAsia="Calibri" w:hAnsiTheme="minorHAnsi"/>
          <w:sz w:val="20"/>
          <w:szCs w:val="20"/>
          <w:lang w:eastAsia="en-US"/>
        </w:rPr>
        <w:t xml:space="preserve">in </w:t>
      </w:r>
      <w:r w:rsidR="00051A8A" w:rsidRPr="00CB79D7">
        <w:rPr>
          <w:rFonts w:asciiTheme="minorHAnsi" w:eastAsia="Calibri" w:hAnsiTheme="minorHAnsi"/>
          <w:sz w:val="20"/>
          <w:szCs w:val="20"/>
          <w:lang w:eastAsia="en-US"/>
        </w:rPr>
        <w:t>1H</w:t>
      </w:r>
      <w:r w:rsidR="00EC7117" w:rsidRPr="00CB79D7">
        <w:rPr>
          <w:rFonts w:asciiTheme="minorHAnsi" w:eastAsia="Calibri" w:hAnsiTheme="minorHAnsi"/>
          <w:sz w:val="20"/>
          <w:szCs w:val="20"/>
          <w:lang w:eastAsia="en-US"/>
        </w:rPr>
        <w:t>2</w:t>
      </w:r>
      <w:r w:rsidR="00F224F4" w:rsidRPr="00CB79D7">
        <w:rPr>
          <w:rFonts w:asciiTheme="minorHAnsi" w:eastAsia="Calibri" w:hAnsiTheme="minorHAnsi"/>
          <w:sz w:val="20"/>
          <w:szCs w:val="20"/>
          <w:lang w:eastAsia="en-US"/>
        </w:rPr>
        <w:t>3</w:t>
      </w:r>
      <w:r w:rsidR="005500E1" w:rsidRPr="00CB79D7">
        <w:rPr>
          <w:rFonts w:asciiTheme="minorHAnsi" w:eastAsia="Calibri" w:hAnsiTheme="minorHAnsi"/>
          <w:sz w:val="20"/>
          <w:szCs w:val="20"/>
          <w:lang w:eastAsia="en-US"/>
        </w:rPr>
        <w:t>,</w:t>
      </w:r>
      <w:r w:rsidR="005D2881" w:rsidRPr="00CB79D7">
        <w:rPr>
          <w:rFonts w:asciiTheme="minorHAnsi" w:eastAsia="Calibri" w:hAnsiTheme="minorHAnsi"/>
          <w:sz w:val="20"/>
          <w:szCs w:val="20"/>
          <w:lang w:eastAsia="en-US"/>
        </w:rPr>
        <w:t xml:space="preserve"> reflecting the</w:t>
      </w:r>
      <w:r w:rsidR="009B3C49" w:rsidRPr="00CB79D7">
        <w:rPr>
          <w:rFonts w:asciiTheme="minorHAnsi" w:eastAsia="Calibri" w:hAnsiTheme="minorHAnsi"/>
          <w:sz w:val="20"/>
          <w:szCs w:val="20"/>
          <w:lang w:eastAsia="en-US"/>
        </w:rPr>
        <w:t xml:space="preserve"> </w:t>
      </w:r>
      <w:r w:rsidR="00374573" w:rsidRPr="00CB79D7">
        <w:rPr>
          <w:rFonts w:asciiTheme="minorHAnsi" w:eastAsia="Calibri" w:hAnsiTheme="minorHAnsi"/>
          <w:sz w:val="20"/>
          <w:szCs w:val="20"/>
          <w:lang w:eastAsia="en-US"/>
        </w:rPr>
        <w:t>impact of the £3.1m write off and</w:t>
      </w:r>
      <w:r w:rsidR="005D2881" w:rsidRPr="00CB79D7">
        <w:rPr>
          <w:rFonts w:asciiTheme="minorHAnsi" w:eastAsia="Calibri" w:hAnsiTheme="minorHAnsi"/>
          <w:sz w:val="20"/>
          <w:szCs w:val="20"/>
          <w:lang w:eastAsia="en-US"/>
        </w:rPr>
        <w:t xml:space="preserve"> </w:t>
      </w:r>
      <w:r w:rsidR="00C02647" w:rsidRPr="00CB79D7">
        <w:rPr>
          <w:rFonts w:asciiTheme="minorHAnsi" w:eastAsia="Calibri" w:hAnsiTheme="minorHAnsi"/>
          <w:sz w:val="20"/>
          <w:szCs w:val="20"/>
          <w:lang w:eastAsia="en-US"/>
        </w:rPr>
        <w:t>new business being written in the lower risk near-prime segment</w:t>
      </w:r>
      <w:r w:rsidR="00E45E8E" w:rsidRPr="00CB79D7">
        <w:rPr>
          <w:rFonts w:asciiTheme="minorHAnsi" w:eastAsia="Calibri" w:hAnsiTheme="minorHAnsi"/>
          <w:sz w:val="20"/>
          <w:szCs w:val="20"/>
          <w:lang w:eastAsia="en-US"/>
        </w:rPr>
        <w:t>.</w:t>
      </w:r>
    </w:p>
    <w:p w14:paraId="70B4AFF7" w14:textId="65D265E2" w:rsidR="00F965D1" w:rsidRPr="00153BB2" w:rsidRDefault="00740F8E" w:rsidP="00E534C5">
      <w:pPr>
        <w:spacing w:after="160"/>
        <w:jc w:val="both"/>
        <w:rPr>
          <w:rFonts w:asciiTheme="minorHAnsi" w:eastAsia="Calibri" w:hAnsiTheme="minorHAnsi"/>
          <w:sz w:val="20"/>
          <w:szCs w:val="20"/>
          <w:lang w:eastAsia="en-US"/>
        </w:rPr>
      </w:pPr>
      <w:r w:rsidRPr="00153BB2">
        <w:rPr>
          <w:rFonts w:asciiTheme="minorHAnsi" w:eastAsia="Calibri" w:hAnsiTheme="minorHAnsi"/>
          <w:sz w:val="20"/>
          <w:szCs w:val="20"/>
          <w:lang w:eastAsia="en-US"/>
        </w:rPr>
        <w:t xml:space="preserve">Interest costs </w:t>
      </w:r>
      <w:r w:rsidR="00B64F3D" w:rsidRPr="00153BB2">
        <w:rPr>
          <w:rFonts w:asciiTheme="minorHAnsi" w:eastAsia="Calibri" w:hAnsiTheme="minorHAnsi"/>
          <w:sz w:val="20"/>
          <w:szCs w:val="20"/>
          <w:lang w:eastAsia="en-US"/>
        </w:rPr>
        <w:t>increased</w:t>
      </w:r>
      <w:r w:rsidRPr="00153BB2">
        <w:rPr>
          <w:rFonts w:asciiTheme="minorHAnsi" w:eastAsia="Calibri" w:hAnsiTheme="minorHAnsi"/>
          <w:sz w:val="20"/>
          <w:szCs w:val="20"/>
          <w:lang w:eastAsia="en-US"/>
        </w:rPr>
        <w:t xml:space="preserve"> during the </w:t>
      </w:r>
      <w:r w:rsidR="002C0F47" w:rsidRPr="00153BB2">
        <w:rPr>
          <w:rFonts w:asciiTheme="minorHAnsi" w:eastAsia="Calibri" w:hAnsiTheme="minorHAnsi"/>
          <w:sz w:val="20"/>
          <w:szCs w:val="20"/>
          <w:lang w:eastAsia="en-US"/>
        </w:rPr>
        <w:t>period</w:t>
      </w:r>
      <w:r w:rsidRPr="00153BB2">
        <w:rPr>
          <w:rFonts w:asciiTheme="minorHAnsi" w:eastAsia="Calibri" w:hAnsiTheme="minorHAnsi"/>
          <w:sz w:val="20"/>
          <w:szCs w:val="20"/>
          <w:lang w:eastAsia="en-US"/>
        </w:rPr>
        <w:t xml:space="preserve"> to £</w:t>
      </w:r>
      <w:r w:rsidR="00643970" w:rsidRPr="00153BB2">
        <w:rPr>
          <w:rFonts w:asciiTheme="minorHAnsi" w:eastAsia="Calibri" w:hAnsiTheme="minorHAnsi"/>
          <w:sz w:val="20"/>
          <w:szCs w:val="20"/>
          <w:lang w:eastAsia="en-US"/>
        </w:rPr>
        <w:t>1</w:t>
      </w:r>
      <w:r w:rsidR="00636930" w:rsidRPr="00153BB2">
        <w:rPr>
          <w:rFonts w:asciiTheme="minorHAnsi" w:eastAsia="Calibri" w:hAnsiTheme="minorHAnsi"/>
          <w:sz w:val="20"/>
          <w:szCs w:val="20"/>
          <w:lang w:eastAsia="en-US"/>
        </w:rPr>
        <w:t>9.9</w:t>
      </w:r>
      <w:r w:rsidRPr="00153BB2">
        <w:rPr>
          <w:rFonts w:asciiTheme="minorHAnsi" w:eastAsia="Calibri" w:hAnsiTheme="minorHAnsi"/>
          <w:sz w:val="20"/>
          <w:szCs w:val="20"/>
          <w:lang w:eastAsia="en-US"/>
        </w:rPr>
        <w:t>m from £</w:t>
      </w:r>
      <w:r w:rsidR="00643970" w:rsidRPr="00153BB2">
        <w:rPr>
          <w:rFonts w:asciiTheme="minorHAnsi" w:eastAsia="Calibri" w:hAnsiTheme="minorHAnsi"/>
          <w:sz w:val="20"/>
          <w:szCs w:val="20"/>
          <w:lang w:eastAsia="en-US"/>
        </w:rPr>
        <w:t>12</w:t>
      </w:r>
      <w:r w:rsidR="0001383D" w:rsidRPr="00153BB2">
        <w:rPr>
          <w:rFonts w:asciiTheme="minorHAnsi" w:eastAsia="Calibri" w:hAnsiTheme="minorHAnsi"/>
          <w:sz w:val="20"/>
          <w:szCs w:val="20"/>
          <w:lang w:eastAsia="en-US"/>
        </w:rPr>
        <w:t>.3</w:t>
      </w:r>
      <w:r w:rsidRPr="00153BB2">
        <w:rPr>
          <w:rFonts w:asciiTheme="minorHAnsi" w:eastAsia="Calibri" w:hAnsiTheme="minorHAnsi"/>
          <w:sz w:val="20"/>
          <w:szCs w:val="20"/>
          <w:lang w:eastAsia="en-US"/>
        </w:rPr>
        <w:t xml:space="preserve">m in </w:t>
      </w:r>
      <w:r w:rsidR="00051A8A" w:rsidRPr="00153BB2">
        <w:rPr>
          <w:rFonts w:asciiTheme="minorHAnsi" w:eastAsia="Calibri" w:hAnsiTheme="minorHAnsi"/>
          <w:sz w:val="20"/>
          <w:szCs w:val="20"/>
          <w:lang w:eastAsia="en-US"/>
        </w:rPr>
        <w:t>1H</w:t>
      </w:r>
      <w:r w:rsidR="00EC7117" w:rsidRPr="00153BB2">
        <w:rPr>
          <w:rFonts w:asciiTheme="minorHAnsi" w:eastAsia="Calibri" w:hAnsiTheme="minorHAnsi"/>
          <w:sz w:val="20"/>
          <w:szCs w:val="20"/>
          <w:lang w:eastAsia="en-US"/>
        </w:rPr>
        <w:t>2</w:t>
      </w:r>
      <w:r w:rsidR="003C7390" w:rsidRPr="00153BB2">
        <w:rPr>
          <w:rFonts w:asciiTheme="minorHAnsi" w:eastAsia="Calibri" w:hAnsiTheme="minorHAnsi"/>
          <w:sz w:val="20"/>
          <w:szCs w:val="20"/>
          <w:lang w:eastAsia="en-US"/>
        </w:rPr>
        <w:t>3</w:t>
      </w:r>
      <w:r w:rsidR="00D26B78" w:rsidRPr="00153BB2">
        <w:rPr>
          <w:rFonts w:asciiTheme="minorHAnsi" w:eastAsia="Calibri" w:hAnsiTheme="minorHAnsi"/>
          <w:sz w:val="20"/>
          <w:szCs w:val="20"/>
          <w:lang w:eastAsia="en-US"/>
        </w:rPr>
        <w:t>,</w:t>
      </w:r>
      <w:r w:rsidRPr="00153BB2">
        <w:rPr>
          <w:rFonts w:asciiTheme="minorHAnsi" w:eastAsia="Calibri" w:hAnsiTheme="minorHAnsi"/>
          <w:sz w:val="20"/>
          <w:szCs w:val="20"/>
          <w:lang w:eastAsia="en-US"/>
        </w:rPr>
        <w:t xml:space="preserve"> reflecting </w:t>
      </w:r>
      <w:r w:rsidR="0058123E" w:rsidRPr="00153BB2">
        <w:rPr>
          <w:rFonts w:asciiTheme="minorHAnsi" w:eastAsia="Calibri" w:hAnsiTheme="minorHAnsi"/>
          <w:sz w:val="20"/>
          <w:szCs w:val="20"/>
          <w:lang w:eastAsia="en-US"/>
        </w:rPr>
        <w:t xml:space="preserve">the growth in </w:t>
      </w:r>
      <w:r w:rsidR="0053635F" w:rsidRPr="00153BB2">
        <w:rPr>
          <w:rFonts w:asciiTheme="minorHAnsi" w:eastAsia="Calibri" w:hAnsiTheme="minorHAnsi"/>
          <w:sz w:val="20"/>
          <w:szCs w:val="20"/>
          <w:lang w:eastAsia="en-US"/>
        </w:rPr>
        <w:t>and</w:t>
      </w:r>
      <w:r w:rsidR="0058123E" w:rsidRPr="00153BB2">
        <w:rPr>
          <w:rFonts w:asciiTheme="minorHAnsi" w:eastAsia="Calibri" w:hAnsiTheme="minorHAnsi"/>
          <w:sz w:val="20"/>
          <w:szCs w:val="20"/>
          <w:lang w:eastAsia="en-US"/>
        </w:rPr>
        <w:t xml:space="preserve"> a</w:t>
      </w:r>
      <w:r w:rsidRPr="00153BB2">
        <w:rPr>
          <w:rFonts w:asciiTheme="minorHAnsi" w:eastAsia="Calibri" w:hAnsiTheme="minorHAnsi"/>
          <w:sz w:val="20"/>
          <w:szCs w:val="20"/>
          <w:lang w:eastAsia="en-US"/>
        </w:rPr>
        <w:t xml:space="preserve"> </w:t>
      </w:r>
      <w:r w:rsidR="0053635F" w:rsidRPr="00153BB2">
        <w:rPr>
          <w:rFonts w:asciiTheme="minorHAnsi" w:eastAsia="Calibri" w:hAnsiTheme="minorHAnsi"/>
          <w:sz w:val="20"/>
          <w:szCs w:val="20"/>
          <w:lang w:eastAsia="en-US"/>
        </w:rPr>
        <w:t>higher</w:t>
      </w:r>
      <w:r w:rsidR="0041704D" w:rsidRPr="00153BB2">
        <w:rPr>
          <w:rFonts w:asciiTheme="minorHAnsi" w:eastAsia="Calibri" w:hAnsiTheme="minorHAnsi"/>
          <w:sz w:val="20"/>
          <w:szCs w:val="20"/>
          <w:lang w:eastAsia="en-US"/>
        </w:rPr>
        <w:t xml:space="preserve"> cost</w:t>
      </w:r>
      <w:r w:rsidR="00BF1B5D" w:rsidRPr="00153BB2">
        <w:rPr>
          <w:rFonts w:asciiTheme="minorHAnsi" w:eastAsia="Calibri" w:hAnsiTheme="minorHAnsi"/>
          <w:sz w:val="20"/>
          <w:szCs w:val="20"/>
          <w:lang w:eastAsia="en-US"/>
        </w:rPr>
        <w:t xml:space="preserve"> </w:t>
      </w:r>
      <w:r w:rsidR="002132BF" w:rsidRPr="00153BB2">
        <w:rPr>
          <w:rFonts w:asciiTheme="minorHAnsi" w:eastAsia="Calibri" w:hAnsiTheme="minorHAnsi"/>
          <w:sz w:val="20"/>
          <w:szCs w:val="20"/>
          <w:lang w:eastAsia="en-US"/>
        </w:rPr>
        <w:t xml:space="preserve">of </w:t>
      </w:r>
      <w:r w:rsidR="00BF1B5D" w:rsidRPr="00153BB2">
        <w:rPr>
          <w:rFonts w:asciiTheme="minorHAnsi" w:eastAsia="Calibri" w:hAnsiTheme="minorHAnsi"/>
          <w:sz w:val="20"/>
          <w:szCs w:val="20"/>
          <w:lang w:eastAsia="en-US"/>
        </w:rPr>
        <w:t>fund</w:t>
      </w:r>
      <w:r w:rsidR="00106957" w:rsidRPr="00153BB2">
        <w:rPr>
          <w:rFonts w:asciiTheme="minorHAnsi" w:eastAsia="Calibri" w:hAnsiTheme="minorHAnsi"/>
          <w:sz w:val="20"/>
          <w:szCs w:val="20"/>
          <w:lang w:eastAsia="en-US"/>
        </w:rPr>
        <w:t>s</w:t>
      </w:r>
      <w:r w:rsidR="00BF1B5D" w:rsidRPr="00153BB2">
        <w:rPr>
          <w:rFonts w:asciiTheme="minorHAnsi" w:eastAsia="Calibri" w:hAnsiTheme="minorHAnsi"/>
          <w:sz w:val="20"/>
          <w:szCs w:val="20"/>
          <w:lang w:eastAsia="en-US"/>
        </w:rPr>
        <w:t xml:space="preserve"> received</w:t>
      </w:r>
      <w:r w:rsidR="0041704D" w:rsidRPr="00153BB2">
        <w:rPr>
          <w:rFonts w:asciiTheme="minorHAnsi" w:eastAsia="Calibri" w:hAnsiTheme="minorHAnsi"/>
          <w:sz w:val="20"/>
          <w:szCs w:val="20"/>
          <w:lang w:eastAsia="en-US"/>
        </w:rPr>
        <w:t xml:space="preserve"> from the Group</w:t>
      </w:r>
      <w:r w:rsidRPr="00153BB2">
        <w:rPr>
          <w:rFonts w:asciiTheme="minorHAnsi" w:eastAsia="Calibri" w:hAnsiTheme="minorHAnsi"/>
          <w:sz w:val="20"/>
          <w:szCs w:val="20"/>
          <w:lang w:eastAsia="en-US"/>
        </w:rPr>
        <w:t>. As a result</w:t>
      </w:r>
      <w:r w:rsidR="006F372A" w:rsidRPr="00153BB2">
        <w:rPr>
          <w:rFonts w:asciiTheme="minorHAnsi" w:eastAsia="Calibri" w:hAnsiTheme="minorHAnsi"/>
          <w:sz w:val="20"/>
          <w:szCs w:val="20"/>
          <w:lang w:eastAsia="en-US"/>
        </w:rPr>
        <w:t xml:space="preserve"> of this and the lower asset yield profile,</w:t>
      </w:r>
      <w:r w:rsidRPr="00153BB2">
        <w:rPr>
          <w:rFonts w:asciiTheme="minorHAnsi" w:eastAsia="Calibri" w:hAnsiTheme="minorHAnsi"/>
          <w:sz w:val="20"/>
          <w:szCs w:val="20"/>
          <w:lang w:eastAsia="en-US"/>
        </w:rPr>
        <w:t xml:space="preserve"> the net interest margin</w:t>
      </w:r>
      <w:r w:rsidR="006F372A" w:rsidRPr="00153BB2">
        <w:rPr>
          <w:rFonts w:asciiTheme="minorHAnsi" w:eastAsia="Calibri" w:hAnsiTheme="minorHAnsi"/>
          <w:sz w:val="20"/>
          <w:szCs w:val="20"/>
          <w:lang w:eastAsia="en-US"/>
        </w:rPr>
        <w:t xml:space="preserve"> fell to</w:t>
      </w:r>
      <w:r w:rsidRPr="00153BB2">
        <w:rPr>
          <w:rFonts w:asciiTheme="minorHAnsi" w:eastAsia="Calibri" w:hAnsiTheme="minorHAnsi"/>
          <w:sz w:val="20"/>
          <w:szCs w:val="20"/>
          <w:lang w:eastAsia="en-US"/>
        </w:rPr>
        <w:t xml:space="preserve"> </w:t>
      </w:r>
      <w:r w:rsidR="001837EC" w:rsidRPr="00956EE8">
        <w:rPr>
          <w:rFonts w:asciiTheme="minorHAnsi" w:eastAsia="Calibri" w:hAnsiTheme="minorHAnsi"/>
          <w:sz w:val="20"/>
          <w:szCs w:val="20"/>
          <w:lang w:eastAsia="en-US"/>
        </w:rPr>
        <w:t>1</w:t>
      </w:r>
      <w:r w:rsidR="009070E3" w:rsidRPr="00956EE8">
        <w:rPr>
          <w:rFonts w:asciiTheme="minorHAnsi" w:eastAsia="Calibri" w:hAnsiTheme="minorHAnsi"/>
          <w:sz w:val="20"/>
          <w:szCs w:val="20"/>
          <w:lang w:eastAsia="en-US"/>
        </w:rPr>
        <w:t>1.8</w:t>
      </w:r>
      <w:r w:rsidRPr="00956EE8">
        <w:rPr>
          <w:rFonts w:asciiTheme="minorHAnsi" w:eastAsia="Calibri" w:hAnsiTheme="minorHAnsi"/>
          <w:sz w:val="20"/>
          <w:szCs w:val="20"/>
          <w:lang w:eastAsia="en-US"/>
        </w:rPr>
        <w:t xml:space="preserve">% versus </w:t>
      </w:r>
      <w:r w:rsidR="00014E76" w:rsidRPr="00956EE8">
        <w:rPr>
          <w:rFonts w:asciiTheme="minorHAnsi" w:eastAsia="Calibri" w:hAnsiTheme="minorHAnsi"/>
          <w:sz w:val="20"/>
          <w:szCs w:val="20"/>
          <w:lang w:eastAsia="en-US"/>
        </w:rPr>
        <w:t>1</w:t>
      </w:r>
      <w:r w:rsidR="009A7D09" w:rsidRPr="00956EE8">
        <w:rPr>
          <w:rFonts w:asciiTheme="minorHAnsi" w:eastAsia="Calibri" w:hAnsiTheme="minorHAnsi"/>
          <w:sz w:val="20"/>
          <w:szCs w:val="20"/>
          <w:lang w:eastAsia="en-US"/>
        </w:rPr>
        <w:t>5.2</w:t>
      </w:r>
      <w:r w:rsidRPr="00956EE8">
        <w:rPr>
          <w:rFonts w:asciiTheme="minorHAnsi" w:eastAsia="Calibri" w:hAnsiTheme="minorHAnsi"/>
          <w:sz w:val="20"/>
          <w:szCs w:val="20"/>
          <w:lang w:eastAsia="en-US"/>
        </w:rPr>
        <w:t>% a year earlier.</w:t>
      </w:r>
      <w:r w:rsidRPr="00153BB2">
        <w:rPr>
          <w:rFonts w:asciiTheme="minorHAnsi" w:eastAsia="Calibri" w:hAnsiTheme="minorHAnsi"/>
          <w:sz w:val="20"/>
          <w:szCs w:val="20"/>
          <w:lang w:eastAsia="en-US"/>
        </w:rPr>
        <w:t xml:space="preserve"> </w:t>
      </w:r>
    </w:p>
    <w:p w14:paraId="60867219" w14:textId="1EADA644" w:rsidR="00740F8E" w:rsidRPr="00DC6F62" w:rsidRDefault="00740F8E" w:rsidP="00E534C5">
      <w:pPr>
        <w:spacing w:after="160"/>
        <w:jc w:val="both"/>
        <w:rPr>
          <w:rFonts w:asciiTheme="minorHAnsi" w:eastAsia="Calibri" w:hAnsiTheme="minorHAnsi"/>
          <w:sz w:val="20"/>
          <w:szCs w:val="20"/>
          <w:lang w:eastAsia="en-US"/>
        </w:rPr>
      </w:pPr>
      <w:r w:rsidRPr="00D40660">
        <w:rPr>
          <w:rFonts w:asciiTheme="minorHAnsi" w:eastAsia="Calibri" w:hAnsiTheme="minorHAnsi"/>
          <w:sz w:val="20"/>
          <w:szCs w:val="20"/>
          <w:lang w:eastAsia="en-US"/>
        </w:rPr>
        <w:t xml:space="preserve">Impairment </w:t>
      </w:r>
      <w:r w:rsidR="00D2215C" w:rsidRPr="00D40660">
        <w:rPr>
          <w:rFonts w:asciiTheme="minorHAnsi" w:eastAsia="Calibri" w:hAnsiTheme="minorHAnsi"/>
          <w:sz w:val="20"/>
          <w:szCs w:val="20"/>
          <w:lang w:eastAsia="en-US"/>
        </w:rPr>
        <w:t xml:space="preserve">for the period </w:t>
      </w:r>
      <w:r w:rsidR="0076296C" w:rsidRPr="00D40660">
        <w:rPr>
          <w:rFonts w:asciiTheme="minorHAnsi" w:eastAsia="Calibri" w:hAnsiTheme="minorHAnsi"/>
          <w:sz w:val="20"/>
          <w:szCs w:val="20"/>
          <w:lang w:eastAsia="en-US"/>
        </w:rPr>
        <w:t>increased</w:t>
      </w:r>
      <w:r w:rsidR="002429F2" w:rsidRPr="00D40660">
        <w:rPr>
          <w:rFonts w:asciiTheme="minorHAnsi" w:eastAsia="Calibri" w:hAnsiTheme="minorHAnsi"/>
          <w:sz w:val="20"/>
          <w:szCs w:val="20"/>
          <w:lang w:eastAsia="en-US"/>
        </w:rPr>
        <w:t xml:space="preserve"> to</w:t>
      </w:r>
      <w:r w:rsidRPr="00D40660">
        <w:rPr>
          <w:rFonts w:asciiTheme="minorHAnsi" w:eastAsia="Calibri" w:hAnsiTheme="minorHAnsi"/>
          <w:sz w:val="20"/>
          <w:szCs w:val="20"/>
          <w:lang w:eastAsia="en-US"/>
        </w:rPr>
        <w:t xml:space="preserve"> £</w:t>
      </w:r>
      <w:r w:rsidR="00887565" w:rsidRPr="00D40660">
        <w:rPr>
          <w:rFonts w:asciiTheme="minorHAnsi" w:eastAsia="Calibri" w:hAnsiTheme="minorHAnsi"/>
          <w:sz w:val="20"/>
          <w:szCs w:val="20"/>
          <w:lang w:eastAsia="en-US"/>
        </w:rPr>
        <w:t>30.3</w:t>
      </w:r>
      <w:r w:rsidRPr="00D40660">
        <w:rPr>
          <w:rFonts w:asciiTheme="minorHAnsi" w:eastAsia="Calibri" w:hAnsiTheme="minorHAnsi"/>
          <w:sz w:val="20"/>
          <w:szCs w:val="20"/>
          <w:lang w:eastAsia="en-US"/>
        </w:rPr>
        <w:t>m (</w:t>
      </w:r>
      <w:r w:rsidR="00051A8A" w:rsidRPr="00D40660">
        <w:rPr>
          <w:rFonts w:asciiTheme="minorHAnsi" w:eastAsia="Calibri" w:hAnsiTheme="minorHAnsi"/>
          <w:sz w:val="20"/>
          <w:szCs w:val="20"/>
          <w:lang w:eastAsia="en-US"/>
        </w:rPr>
        <w:t>1H</w:t>
      </w:r>
      <w:r w:rsidR="00EC7117" w:rsidRPr="00D40660">
        <w:rPr>
          <w:rFonts w:asciiTheme="minorHAnsi" w:eastAsia="Calibri" w:hAnsiTheme="minorHAnsi"/>
          <w:sz w:val="20"/>
          <w:szCs w:val="20"/>
          <w:lang w:eastAsia="en-US"/>
        </w:rPr>
        <w:t>2</w:t>
      </w:r>
      <w:r w:rsidR="00887565" w:rsidRPr="00D40660">
        <w:rPr>
          <w:rFonts w:asciiTheme="minorHAnsi" w:eastAsia="Calibri" w:hAnsiTheme="minorHAnsi"/>
          <w:sz w:val="20"/>
          <w:szCs w:val="20"/>
          <w:lang w:eastAsia="en-US"/>
        </w:rPr>
        <w:t>3</w:t>
      </w:r>
      <w:r w:rsidR="003474A9">
        <w:rPr>
          <w:rFonts w:asciiTheme="minorHAnsi" w:eastAsia="Calibri" w:hAnsiTheme="minorHAnsi"/>
          <w:sz w:val="20"/>
          <w:szCs w:val="20"/>
          <w:lang w:eastAsia="en-US"/>
        </w:rPr>
        <w:t xml:space="preserve"> restated</w:t>
      </w:r>
      <w:r w:rsidRPr="00D40660">
        <w:rPr>
          <w:rFonts w:asciiTheme="minorHAnsi" w:eastAsia="Calibri" w:hAnsiTheme="minorHAnsi"/>
          <w:sz w:val="20"/>
          <w:szCs w:val="20"/>
          <w:lang w:eastAsia="en-US"/>
        </w:rPr>
        <w:t>: £</w:t>
      </w:r>
      <w:r w:rsidR="004E0656" w:rsidRPr="00D40660">
        <w:rPr>
          <w:rFonts w:asciiTheme="minorHAnsi" w:eastAsia="Calibri" w:hAnsiTheme="minorHAnsi"/>
          <w:sz w:val="20"/>
          <w:szCs w:val="20"/>
          <w:lang w:eastAsia="en-US"/>
        </w:rPr>
        <w:t>2</w:t>
      </w:r>
      <w:r w:rsidR="007D381C">
        <w:rPr>
          <w:rFonts w:asciiTheme="minorHAnsi" w:eastAsia="Calibri" w:hAnsiTheme="minorHAnsi"/>
          <w:sz w:val="20"/>
          <w:szCs w:val="20"/>
          <w:lang w:eastAsia="en-US"/>
        </w:rPr>
        <w:t>6.6</w:t>
      </w:r>
      <w:r w:rsidRPr="00D40660">
        <w:rPr>
          <w:rFonts w:asciiTheme="minorHAnsi" w:eastAsia="Calibri" w:hAnsiTheme="minorHAnsi"/>
          <w:sz w:val="20"/>
          <w:szCs w:val="20"/>
          <w:lang w:eastAsia="en-US"/>
        </w:rPr>
        <w:t>m)</w:t>
      </w:r>
      <w:r w:rsidR="004575E6" w:rsidRPr="00D40660">
        <w:rPr>
          <w:rFonts w:asciiTheme="minorHAnsi" w:eastAsia="Calibri" w:hAnsiTheme="minorHAnsi"/>
          <w:sz w:val="20"/>
          <w:szCs w:val="20"/>
          <w:lang w:eastAsia="en-US"/>
        </w:rPr>
        <w:t>,</w:t>
      </w:r>
      <w:r w:rsidRPr="00D40660">
        <w:rPr>
          <w:rFonts w:asciiTheme="minorHAnsi" w:eastAsia="Calibri" w:hAnsiTheme="minorHAnsi"/>
          <w:sz w:val="20"/>
          <w:szCs w:val="20"/>
          <w:lang w:eastAsia="en-US"/>
        </w:rPr>
        <w:t xml:space="preserve"> </w:t>
      </w:r>
      <w:r w:rsidR="00C81A94" w:rsidRPr="00D40660">
        <w:rPr>
          <w:rFonts w:asciiTheme="minorHAnsi" w:eastAsia="Calibri" w:hAnsiTheme="minorHAnsi"/>
          <w:sz w:val="20"/>
          <w:szCs w:val="20"/>
          <w:lang w:eastAsia="en-US"/>
        </w:rPr>
        <w:t xml:space="preserve">which includes </w:t>
      </w:r>
      <w:r w:rsidR="00F26A19" w:rsidRPr="00D40660">
        <w:rPr>
          <w:rFonts w:asciiTheme="minorHAnsi" w:eastAsia="Calibri" w:hAnsiTheme="minorHAnsi"/>
          <w:sz w:val="20"/>
          <w:szCs w:val="20"/>
          <w:lang w:eastAsia="en-US"/>
        </w:rPr>
        <w:t>£</w:t>
      </w:r>
      <w:r w:rsidR="00A3654A">
        <w:rPr>
          <w:rFonts w:asciiTheme="minorHAnsi" w:eastAsia="Calibri" w:hAnsiTheme="minorHAnsi"/>
          <w:sz w:val="20"/>
          <w:szCs w:val="20"/>
          <w:lang w:eastAsia="en-US"/>
        </w:rPr>
        <w:t>9.7</w:t>
      </w:r>
      <w:r w:rsidR="00F26A19" w:rsidRPr="00D40660">
        <w:rPr>
          <w:rFonts w:asciiTheme="minorHAnsi" w:eastAsia="Calibri" w:hAnsiTheme="minorHAnsi"/>
          <w:sz w:val="20"/>
          <w:szCs w:val="20"/>
          <w:lang w:eastAsia="en-US"/>
        </w:rPr>
        <w:t xml:space="preserve">m </w:t>
      </w:r>
      <w:r w:rsidR="00E92326" w:rsidRPr="00D40660">
        <w:rPr>
          <w:rFonts w:asciiTheme="minorHAnsi" w:eastAsia="Calibri" w:hAnsiTheme="minorHAnsi"/>
          <w:sz w:val="20"/>
          <w:szCs w:val="20"/>
          <w:lang w:eastAsia="en-US"/>
        </w:rPr>
        <w:t>(1H23</w:t>
      </w:r>
      <w:r w:rsidR="00E92326" w:rsidRPr="002C3733">
        <w:rPr>
          <w:rFonts w:asciiTheme="minorHAnsi" w:eastAsia="Calibri" w:hAnsiTheme="minorHAnsi"/>
          <w:sz w:val="20"/>
          <w:szCs w:val="20"/>
          <w:lang w:eastAsia="en-US"/>
        </w:rPr>
        <w:t>: £</w:t>
      </w:r>
      <w:r w:rsidR="002C3733" w:rsidRPr="002C3733">
        <w:rPr>
          <w:rFonts w:asciiTheme="minorHAnsi" w:eastAsia="Calibri" w:hAnsiTheme="minorHAnsi"/>
          <w:sz w:val="20"/>
          <w:szCs w:val="20"/>
          <w:lang w:eastAsia="en-US"/>
        </w:rPr>
        <w:t>7.4</w:t>
      </w:r>
      <w:r w:rsidR="00E92326" w:rsidRPr="002C3733">
        <w:rPr>
          <w:rFonts w:asciiTheme="minorHAnsi" w:eastAsia="Calibri" w:hAnsiTheme="minorHAnsi"/>
          <w:sz w:val="20"/>
          <w:szCs w:val="20"/>
          <w:lang w:eastAsia="en-US"/>
        </w:rPr>
        <w:t>m)</w:t>
      </w:r>
      <w:r w:rsidR="00E92326" w:rsidRPr="00D40660">
        <w:rPr>
          <w:rFonts w:asciiTheme="minorHAnsi" w:eastAsia="Calibri" w:hAnsiTheme="minorHAnsi"/>
          <w:sz w:val="20"/>
          <w:szCs w:val="20"/>
          <w:lang w:eastAsia="en-US"/>
        </w:rPr>
        <w:t xml:space="preserve"> </w:t>
      </w:r>
      <w:r w:rsidR="00F26A19" w:rsidRPr="00D40660">
        <w:rPr>
          <w:rFonts w:asciiTheme="minorHAnsi" w:eastAsia="Calibri" w:hAnsiTheme="minorHAnsi"/>
          <w:sz w:val="20"/>
          <w:szCs w:val="20"/>
          <w:lang w:eastAsia="en-US"/>
        </w:rPr>
        <w:t xml:space="preserve">in relation to the </w:t>
      </w:r>
      <w:r w:rsidR="0032411E" w:rsidRPr="00D40660">
        <w:rPr>
          <w:rFonts w:asciiTheme="minorHAnsi" w:eastAsia="Calibri" w:hAnsiTheme="minorHAnsi"/>
          <w:sz w:val="20"/>
          <w:szCs w:val="20"/>
          <w:lang w:eastAsia="en-US"/>
        </w:rPr>
        <w:t>stage 3 review</w:t>
      </w:r>
      <w:r w:rsidR="00E92326" w:rsidRPr="00D40660">
        <w:rPr>
          <w:rFonts w:asciiTheme="minorHAnsi" w:eastAsia="Calibri" w:hAnsiTheme="minorHAnsi"/>
          <w:sz w:val="20"/>
          <w:szCs w:val="20"/>
          <w:lang w:eastAsia="en-US"/>
        </w:rPr>
        <w:t xml:space="preserve">. </w:t>
      </w:r>
      <w:r w:rsidR="0032411E" w:rsidRPr="00D40660">
        <w:rPr>
          <w:rFonts w:asciiTheme="minorHAnsi" w:eastAsia="Calibri" w:hAnsiTheme="minorHAnsi"/>
          <w:sz w:val="20"/>
          <w:szCs w:val="20"/>
          <w:lang w:eastAsia="en-US"/>
        </w:rPr>
        <w:t xml:space="preserve"> </w:t>
      </w:r>
      <w:r w:rsidR="00956FF2" w:rsidRPr="00D40660">
        <w:rPr>
          <w:rFonts w:asciiTheme="minorHAnsi" w:eastAsia="Calibri" w:hAnsiTheme="minorHAnsi"/>
          <w:sz w:val="20"/>
          <w:szCs w:val="20"/>
          <w:lang w:eastAsia="en-US"/>
        </w:rPr>
        <w:t xml:space="preserve">The charge also </w:t>
      </w:r>
      <w:r w:rsidR="00D2215C" w:rsidRPr="00D40660">
        <w:rPr>
          <w:rFonts w:asciiTheme="minorHAnsi" w:eastAsia="Calibri" w:hAnsiTheme="minorHAnsi"/>
          <w:sz w:val="20"/>
          <w:szCs w:val="20"/>
          <w:lang w:eastAsia="en-US"/>
        </w:rPr>
        <w:t>reflect</w:t>
      </w:r>
      <w:r w:rsidR="00956FF2" w:rsidRPr="00D40660">
        <w:rPr>
          <w:rFonts w:asciiTheme="minorHAnsi" w:eastAsia="Calibri" w:hAnsiTheme="minorHAnsi"/>
          <w:sz w:val="20"/>
          <w:szCs w:val="20"/>
          <w:lang w:eastAsia="en-US"/>
        </w:rPr>
        <w:t>s</w:t>
      </w:r>
      <w:r w:rsidRPr="00D40660">
        <w:rPr>
          <w:rFonts w:asciiTheme="minorHAnsi" w:eastAsia="Calibri" w:hAnsiTheme="minorHAnsi"/>
          <w:sz w:val="20"/>
          <w:szCs w:val="20"/>
          <w:lang w:eastAsia="en-US"/>
        </w:rPr>
        <w:t xml:space="preserve"> </w:t>
      </w:r>
      <w:r w:rsidR="00AC53BC" w:rsidRPr="00D40660">
        <w:rPr>
          <w:rFonts w:asciiTheme="minorHAnsi" w:eastAsia="Calibri" w:hAnsiTheme="minorHAnsi"/>
          <w:sz w:val="20"/>
          <w:szCs w:val="20"/>
          <w:lang w:eastAsia="en-US"/>
        </w:rPr>
        <w:t>higher expected credit losses from the IFRS</w:t>
      </w:r>
      <w:r w:rsidR="008B665D" w:rsidRPr="00D40660">
        <w:rPr>
          <w:rFonts w:asciiTheme="minorHAnsi" w:eastAsia="Calibri" w:hAnsiTheme="minorHAnsi"/>
          <w:sz w:val="20"/>
          <w:szCs w:val="20"/>
          <w:lang w:eastAsia="en-US"/>
        </w:rPr>
        <w:t xml:space="preserve"> </w:t>
      </w:r>
      <w:r w:rsidR="00AC53BC" w:rsidRPr="00D40660">
        <w:rPr>
          <w:rFonts w:asciiTheme="minorHAnsi" w:eastAsia="Calibri" w:hAnsiTheme="minorHAnsi"/>
          <w:sz w:val="20"/>
          <w:szCs w:val="20"/>
          <w:lang w:eastAsia="en-US"/>
        </w:rPr>
        <w:t xml:space="preserve">9 impact of loan book growth, </w:t>
      </w:r>
      <w:r w:rsidR="00A3333A" w:rsidRPr="00D40660">
        <w:rPr>
          <w:rFonts w:asciiTheme="minorHAnsi" w:eastAsia="Calibri" w:hAnsiTheme="minorHAnsi"/>
          <w:sz w:val="20"/>
          <w:szCs w:val="20"/>
          <w:lang w:eastAsia="en-US"/>
        </w:rPr>
        <w:t>partly mitigated by the continued</w:t>
      </w:r>
      <w:r w:rsidR="00BA6BBE" w:rsidRPr="00D40660">
        <w:rPr>
          <w:rFonts w:asciiTheme="minorHAnsi" w:eastAsia="Calibri" w:hAnsiTheme="minorHAnsi"/>
          <w:sz w:val="20"/>
          <w:szCs w:val="20"/>
          <w:lang w:eastAsia="en-US"/>
        </w:rPr>
        <w:t xml:space="preserve"> </w:t>
      </w:r>
      <w:r w:rsidR="002429F2" w:rsidRPr="00D40660">
        <w:rPr>
          <w:rFonts w:asciiTheme="minorHAnsi" w:eastAsia="Calibri" w:hAnsiTheme="minorHAnsi"/>
          <w:sz w:val="20"/>
          <w:szCs w:val="20"/>
          <w:lang w:eastAsia="en-US"/>
        </w:rPr>
        <w:t>shift to lower risk customers</w:t>
      </w:r>
      <w:r w:rsidRPr="00D40660">
        <w:rPr>
          <w:rFonts w:asciiTheme="minorHAnsi" w:eastAsia="Calibri" w:hAnsiTheme="minorHAnsi"/>
          <w:sz w:val="20"/>
          <w:szCs w:val="20"/>
          <w:lang w:eastAsia="en-US"/>
        </w:rPr>
        <w:t xml:space="preserve">. </w:t>
      </w:r>
      <w:r w:rsidR="00077669" w:rsidRPr="00DC6F62">
        <w:rPr>
          <w:rFonts w:asciiTheme="minorHAnsi" w:eastAsia="Calibri" w:hAnsiTheme="minorHAnsi"/>
          <w:sz w:val="20"/>
          <w:szCs w:val="20"/>
          <w:lang w:eastAsia="en-US"/>
        </w:rPr>
        <w:t>T</w:t>
      </w:r>
      <w:r w:rsidR="002849B4" w:rsidRPr="00DC6F62">
        <w:rPr>
          <w:rFonts w:asciiTheme="minorHAnsi" w:eastAsia="Calibri" w:hAnsiTheme="minorHAnsi"/>
          <w:sz w:val="20"/>
          <w:szCs w:val="20"/>
          <w:lang w:eastAsia="en-US"/>
        </w:rPr>
        <w:t xml:space="preserve">he annualised </w:t>
      </w:r>
      <w:r w:rsidR="006866CB" w:rsidRPr="00DC6F62">
        <w:rPr>
          <w:rFonts w:asciiTheme="minorHAnsi" w:eastAsia="Calibri" w:hAnsiTheme="minorHAnsi"/>
          <w:sz w:val="20"/>
          <w:szCs w:val="20"/>
          <w:lang w:eastAsia="en-US"/>
        </w:rPr>
        <w:t>cost of risk</w:t>
      </w:r>
      <w:r w:rsidR="002849B4" w:rsidRPr="00DC6F62">
        <w:rPr>
          <w:rFonts w:asciiTheme="minorHAnsi" w:eastAsia="Calibri" w:hAnsiTheme="minorHAnsi"/>
          <w:sz w:val="20"/>
          <w:szCs w:val="20"/>
          <w:lang w:eastAsia="en-US"/>
        </w:rPr>
        <w:t xml:space="preserve"> </w:t>
      </w:r>
      <w:r w:rsidR="00DC6F62" w:rsidRPr="00DC6F62">
        <w:rPr>
          <w:rFonts w:asciiTheme="minorHAnsi" w:eastAsia="Calibri" w:hAnsiTheme="minorHAnsi"/>
          <w:sz w:val="20"/>
          <w:szCs w:val="20"/>
          <w:lang w:eastAsia="en-US"/>
        </w:rPr>
        <w:t>in</w:t>
      </w:r>
      <w:r w:rsidR="002849B4" w:rsidRPr="00DC6F62">
        <w:rPr>
          <w:rFonts w:asciiTheme="minorHAnsi" w:eastAsia="Calibri" w:hAnsiTheme="minorHAnsi"/>
          <w:sz w:val="20"/>
          <w:szCs w:val="20"/>
          <w:lang w:eastAsia="en-US"/>
        </w:rPr>
        <w:t xml:space="preserve">creased to </w:t>
      </w:r>
      <w:r w:rsidR="004E0656" w:rsidRPr="00DC6F62">
        <w:rPr>
          <w:rFonts w:asciiTheme="minorHAnsi" w:eastAsia="Calibri" w:hAnsiTheme="minorHAnsi"/>
          <w:sz w:val="20"/>
          <w:szCs w:val="20"/>
          <w:lang w:eastAsia="en-US"/>
        </w:rPr>
        <w:t>7</w:t>
      </w:r>
      <w:r w:rsidR="00A932B8" w:rsidRPr="00DC6F62">
        <w:rPr>
          <w:rFonts w:asciiTheme="minorHAnsi" w:eastAsia="Calibri" w:hAnsiTheme="minorHAnsi"/>
          <w:sz w:val="20"/>
          <w:szCs w:val="20"/>
          <w:lang w:eastAsia="en-US"/>
        </w:rPr>
        <w:t>.2</w:t>
      </w:r>
      <w:r w:rsidR="002849B4" w:rsidRPr="00DC6F62">
        <w:rPr>
          <w:rFonts w:asciiTheme="minorHAnsi" w:eastAsia="Calibri" w:hAnsiTheme="minorHAnsi"/>
          <w:sz w:val="20"/>
          <w:szCs w:val="20"/>
          <w:lang w:eastAsia="en-US"/>
        </w:rPr>
        <w:t xml:space="preserve">% from </w:t>
      </w:r>
      <w:r w:rsidR="004C4388">
        <w:rPr>
          <w:rFonts w:asciiTheme="minorHAnsi" w:eastAsia="Calibri" w:hAnsiTheme="minorHAnsi"/>
          <w:sz w:val="20"/>
          <w:szCs w:val="20"/>
          <w:lang w:eastAsia="en-US"/>
        </w:rPr>
        <w:t>6.7</w:t>
      </w:r>
      <w:r w:rsidR="002849B4" w:rsidRPr="00DC6F62">
        <w:rPr>
          <w:rFonts w:asciiTheme="minorHAnsi" w:eastAsia="Calibri" w:hAnsiTheme="minorHAnsi"/>
          <w:sz w:val="20"/>
          <w:szCs w:val="20"/>
          <w:lang w:eastAsia="en-US"/>
        </w:rPr>
        <w:t xml:space="preserve">% </w:t>
      </w:r>
      <w:r w:rsidR="004924EF">
        <w:rPr>
          <w:rFonts w:asciiTheme="minorHAnsi" w:eastAsia="Calibri" w:hAnsiTheme="minorHAnsi"/>
          <w:sz w:val="20"/>
          <w:szCs w:val="20"/>
          <w:lang w:eastAsia="en-US"/>
        </w:rPr>
        <w:t xml:space="preserve">(restated) </w:t>
      </w:r>
      <w:r w:rsidR="002849B4" w:rsidRPr="00DC6F62">
        <w:rPr>
          <w:rFonts w:asciiTheme="minorHAnsi" w:eastAsia="Calibri" w:hAnsiTheme="minorHAnsi"/>
          <w:sz w:val="20"/>
          <w:szCs w:val="20"/>
          <w:lang w:eastAsia="en-US"/>
        </w:rPr>
        <w:t xml:space="preserve">in </w:t>
      </w:r>
      <w:r w:rsidR="00051A8A" w:rsidRPr="00DC6F62">
        <w:rPr>
          <w:rFonts w:asciiTheme="minorHAnsi" w:eastAsia="Calibri" w:hAnsiTheme="minorHAnsi"/>
          <w:sz w:val="20"/>
          <w:szCs w:val="20"/>
          <w:lang w:eastAsia="en-US"/>
        </w:rPr>
        <w:t>1H</w:t>
      </w:r>
      <w:r w:rsidR="00EC7117" w:rsidRPr="00DC6F62">
        <w:rPr>
          <w:rFonts w:asciiTheme="minorHAnsi" w:eastAsia="Calibri" w:hAnsiTheme="minorHAnsi"/>
          <w:sz w:val="20"/>
          <w:szCs w:val="20"/>
          <w:lang w:eastAsia="en-US"/>
        </w:rPr>
        <w:t>2</w:t>
      </w:r>
      <w:r w:rsidR="004E0656" w:rsidRPr="00DC6F62">
        <w:rPr>
          <w:rFonts w:asciiTheme="minorHAnsi" w:eastAsia="Calibri" w:hAnsiTheme="minorHAnsi"/>
          <w:sz w:val="20"/>
          <w:szCs w:val="20"/>
          <w:lang w:eastAsia="en-US"/>
        </w:rPr>
        <w:t>3</w:t>
      </w:r>
      <w:r w:rsidR="00F75DAF">
        <w:rPr>
          <w:rFonts w:asciiTheme="minorHAnsi" w:eastAsia="Calibri" w:hAnsiTheme="minorHAnsi"/>
          <w:sz w:val="20"/>
          <w:szCs w:val="20"/>
          <w:lang w:eastAsia="en-US"/>
        </w:rPr>
        <w:t>.T</w:t>
      </w:r>
      <w:r w:rsidR="002849B4" w:rsidRPr="00DC6F62">
        <w:rPr>
          <w:rFonts w:asciiTheme="minorHAnsi" w:eastAsia="Calibri" w:hAnsiTheme="minorHAnsi"/>
          <w:sz w:val="20"/>
          <w:szCs w:val="20"/>
          <w:lang w:eastAsia="en-US"/>
        </w:rPr>
        <w:t>he risk</w:t>
      </w:r>
      <w:r w:rsidR="00374C5D" w:rsidRPr="00DC6F62">
        <w:rPr>
          <w:rFonts w:asciiTheme="minorHAnsi" w:eastAsia="Calibri" w:hAnsiTheme="minorHAnsi"/>
          <w:sz w:val="20"/>
          <w:szCs w:val="20"/>
          <w:lang w:eastAsia="en-US"/>
        </w:rPr>
        <w:t>-</w:t>
      </w:r>
      <w:r w:rsidR="002849B4" w:rsidRPr="00DC6F62">
        <w:rPr>
          <w:rFonts w:asciiTheme="minorHAnsi" w:eastAsia="Calibri" w:hAnsiTheme="minorHAnsi"/>
          <w:sz w:val="20"/>
          <w:szCs w:val="20"/>
          <w:lang w:eastAsia="en-US"/>
        </w:rPr>
        <w:t xml:space="preserve">adjusted margin </w:t>
      </w:r>
      <w:r w:rsidR="00EB2CEE" w:rsidRPr="00DC6F62">
        <w:rPr>
          <w:rFonts w:asciiTheme="minorHAnsi" w:eastAsia="Calibri" w:hAnsiTheme="minorHAnsi"/>
          <w:sz w:val="20"/>
          <w:szCs w:val="20"/>
          <w:lang w:eastAsia="en-US"/>
        </w:rPr>
        <w:t>reduc</w:t>
      </w:r>
      <w:r w:rsidR="00562AB1" w:rsidRPr="00DC6F62">
        <w:rPr>
          <w:rFonts w:asciiTheme="minorHAnsi" w:eastAsia="Calibri" w:hAnsiTheme="minorHAnsi"/>
          <w:sz w:val="20"/>
          <w:szCs w:val="20"/>
          <w:lang w:eastAsia="en-US"/>
        </w:rPr>
        <w:t>ed</w:t>
      </w:r>
      <w:r w:rsidR="002849B4" w:rsidRPr="00DC6F62">
        <w:rPr>
          <w:rFonts w:asciiTheme="minorHAnsi" w:eastAsia="Calibri" w:hAnsiTheme="minorHAnsi"/>
          <w:sz w:val="20"/>
          <w:szCs w:val="20"/>
          <w:lang w:eastAsia="en-US"/>
        </w:rPr>
        <w:t xml:space="preserve"> to </w:t>
      </w:r>
      <w:r w:rsidR="002E6809" w:rsidRPr="00DC6F62">
        <w:rPr>
          <w:rFonts w:asciiTheme="minorHAnsi" w:eastAsia="Calibri" w:hAnsiTheme="minorHAnsi"/>
          <w:sz w:val="20"/>
          <w:szCs w:val="20"/>
          <w:lang w:eastAsia="en-US"/>
        </w:rPr>
        <w:t>4.6</w:t>
      </w:r>
      <w:r w:rsidR="002849B4" w:rsidRPr="00DC6F62">
        <w:rPr>
          <w:rFonts w:asciiTheme="minorHAnsi" w:eastAsia="Calibri" w:hAnsiTheme="minorHAnsi"/>
          <w:sz w:val="20"/>
          <w:szCs w:val="20"/>
          <w:lang w:eastAsia="en-US"/>
        </w:rPr>
        <w:t>% (</w:t>
      </w:r>
      <w:r w:rsidR="00051A8A" w:rsidRPr="00DC6F62">
        <w:rPr>
          <w:rFonts w:asciiTheme="minorHAnsi" w:eastAsia="Calibri" w:hAnsiTheme="minorHAnsi"/>
          <w:sz w:val="20"/>
          <w:szCs w:val="20"/>
          <w:lang w:eastAsia="en-US"/>
        </w:rPr>
        <w:t>1H</w:t>
      </w:r>
      <w:r w:rsidR="00EC7117" w:rsidRPr="00DC6F62">
        <w:rPr>
          <w:rFonts w:asciiTheme="minorHAnsi" w:eastAsia="Calibri" w:hAnsiTheme="minorHAnsi"/>
          <w:sz w:val="20"/>
          <w:szCs w:val="20"/>
          <w:lang w:eastAsia="en-US"/>
        </w:rPr>
        <w:t>2</w:t>
      </w:r>
      <w:r w:rsidR="004E0656" w:rsidRPr="00DC6F62">
        <w:rPr>
          <w:rFonts w:asciiTheme="minorHAnsi" w:eastAsia="Calibri" w:hAnsiTheme="minorHAnsi"/>
          <w:sz w:val="20"/>
          <w:szCs w:val="20"/>
          <w:lang w:eastAsia="en-US"/>
        </w:rPr>
        <w:t>3</w:t>
      </w:r>
      <w:r w:rsidR="004924EF">
        <w:rPr>
          <w:rFonts w:asciiTheme="minorHAnsi" w:eastAsia="Calibri" w:hAnsiTheme="minorHAnsi"/>
          <w:sz w:val="20"/>
          <w:szCs w:val="20"/>
          <w:lang w:eastAsia="en-US"/>
        </w:rPr>
        <w:t xml:space="preserve"> restated</w:t>
      </w:r>
      <w:r w:rsidR="002849B4" w:rsidRPr="00DC6F62">
        <w:rPr>
          <w:rFonts w:asciiTheme="minorHAnsi" w:eastAsia="Calibri" w:hAnsiTheme="minorHAnsi"/>
          <w:sz w:val="20"/>
          <w:szCs w:val="20"/>
          <w:lang w:eastAsia="en-US"/>
        </w:rPr>
        <w:t xml:space="preserve">: </w:t>
      </w:r>
      <w:r w:rsidR="00BF56D6">
        <w:rPr>
          <w:rFonts w:asciiTheme="minorHAnsi" w:eastAsia="Calibri" w:hAnsiTheme="minorHAnsi"/>
          <w:sz w:val="20"/>
          <w:szCs w:val="20"/>
          <w:lang w:eastAsia="en-US"/>
        </w:rPr>
        <w:t>8.</w:t>
      </w:r>
      <w:r w:rsidR="00731B63" w:rsidRPr="00DC6F62">
        <w:rPr>
          <w:rFonts w:asciiTheme="minorHAnsi" w:eastAsia="Calibri" w:hAnsiTheme="minorHAnsi"/>
          <w:sz w:val="20"/>
          <w:szCs w:val="20"/>
          <w:lang w:eastAsia="en-US"/>
        </w:rPr>
        <w:t>9</w:t>
      </w:r>
      <w:r w:rsidR="002849B4" w:rsidRPr="00DC6F62">
        <w:rPr>
          <w:rFonts w:asciiTheme="minorHAnsi" w:eastAsia="Calibri" w:hAnsiTheme="minorHAnsi"/>
          <w:sz w:val="20"/>
          <w:szCs w:val="20"/>
          <w:lang w:eastAsia="en-US"/>
        </w:rPr>
        <w:t>%)</w:t>
      </w:r>
      <w:r w:rsidR="00F75DAF">
        <w:rPr>
          <w:rFonts w:asciiTheme="minorHAnsi" w:eastAsia="Calibri" w:hAnsiTheme="minorHAnsi"/>
          <w:sz w:val="20"/>
          <w:szCs w:val="20"/>
          <w:lang w:eastAsia="en-US"/>
        </w:rPr>
        <w:t>, also impacted by the higher funding costs</w:t>
      </w:r>
      <w:r w:rsidR="000B1658">
        <w:rPr>
          <w:rFonts w:asciiTheme="minorHAnsi" w:eastAsia="Calibri" w:hAnsiTheme="minorHAnsi"/>
          <w:sz w:val="20"/>
          <w:szCs w:val="20"/>
          <w:lang w:eastAsia="en-US"/>
        </w:rPr>
        <w:t xml:space="preserve"> noted above.</w:t>
      </w:r>
      <w:r w:rsidRPr="00DC6F62">
        <w:rPr>
          <w:rFonts w:asciiTheme="minorHAnsi" w:eastAsia="Calibri" w:hAnsiTheme="minorHAnsi"/>
          <w:sz w:val="20"/>
          <w:szCs w:val="20"/>
          <w:lang w:eastAsia="en-US"/>
        </w:rPr>
        <w:t xml:space="preserve"> </w:t>
      </w:r>
    </w:p>
    <w:p w14:paraId="64734DC2" w14:textId="63E0B8EF" w:rsidR="00910E92" w:rsidRDefault="00275D41" w:rsidP="0002541E">
      <w:pPr>
        <w:spacing w:after="160"/>
        <w:jc w:val="both"/>
        <w:rPr>
          <w:rFonts w:asciiTheme="minorHAnsi" w:eastAsia="Calibri" w:hAnsiTheme="minorHAnsi"/>
          <w:sz w:val="20"/>
          <w:szCs w:val="20"/>
          <w:lang w:eastAsia="en-US"/>
        </w:rPr>
      </w:pPr>
      <w:r w:rsidRPr="00910E92">
        <w:rPr>
          <w:rFonts w:asciiTheme="minorHAnsi" w:eastAsia="Calibri" w:hAnsiTheme="minorHAnsi"/>
          <w:sz w:val="20"/>
          <w:szCs w:val="20"/>
          <w:lang w:eastAsia="en-US"/>
        </w:rPr>
        <w:t xml:space="preserve">Costs </w:t>
      </w:r>
      <w:r w:rsidR="003F2700" w:rsidRPr="00910E92">
        <w:rPr>
          <w:rFonts w:asciiTheme="minorHAnsi" w:eastAsia="Calibri" w:hAnsiTheme="minorHAnsi"/>
          <w:sz w:val="20"/>
          <w:szCs w:val="20"/>
          <w:lang w:eastAsia="en-US"/>
        </w:rPr>
        <w:t>de</w:t>
      </w:r>
      <w:r w:rsidRPr="00910E92">
        <w:rPr>
          <w:rFonts w:asciiTheme="minorHAnsi" w:eastAsia="Calibri" w:hAnsiTheme="minorHAnsi"/>
          <w:sz w:val="20"/>
          <w:szCs w:val="20"/>
          <w:lang w:eastAsia="en-US"/>
        </w:rPr>
        <w:t>creased to £</w:t>
      </w:r>
      <w:r w:rsidR="00D97C4F" w:rsidRPr="00910E92">
        <w:rPr>
          <w:rFonts w:asciiTheme="minorHAnsi" w:eastAsia="Calibri" w:hAnsiTheme="minorHAnsi"/>
          <w:sz w:val="20"/>
          <w:szCs w:val="20"/>
          <w:lang w:eastAsia="en-US"/>
        </w:rPr>
        <w:t>2</w:t>
      </w:r>
      <w:r w:rsidR="00342729" w:rsidRPr="00910E92">
        <w:rPr>
          <w:rFonts w:asciiTheme="minorHAnsi" w:eastAsia="Calibri" w:hAnsiTheme="minorHAnsi"/>
          <w:sz w:val="20"/>
          <w:szCs w:val="20"/>
          <w:lang w:eastAsia="en-US"/>
        </w:rPr>
        <w:t>2.9</w:t>
      </w:r>
      <w:r w:rsidRPr="00910E92">
        <w:rPr>
          <w:rFonts w:asciiTheme="minorHAnsi" w:eastAsia="Calibri" w:hAnsiTheme="minorHAnsi"/>
          <w:sz w:val="20"/>
          <w:szCs w:val="20"/>
          <w:lang w:eastAsia="en-US"/>
        </w:rPr>
        <w:t>m (</w:t>
      </w:r>
      <w:r w:rsidR="00051A8A" w:rsidRPr="00910E92">
        <w:rPr>
          <w:rFonts w:asciiTheme="minorHAnsi" w:eastAsia="Calibri" w:hAnsiTheme="minorHAnsi"/>
          <w:sz w:val="20"/>
          <w:szCs w:val="20"/>
          <w:lang w:eastAsia="en-US"/>
        </w:rPr>
        <w:t>1H</w:t>
      </w:r>
      <w:r w:rsidR="00EC7117" w:rsidRPr="00910E92">
        <w:rPr>
          <w:rFonts w:asciiTheme="minorHAnsi" w:eastAsia="Calibri" w:hAnsiTheme="minorHAnsi"/>
          <w:sz w:val="20"/>
          <w:szCs w:val="20"/>
          <w:lang w:eastAsia="en-US"/>
        </w:rPr>
        <w:t>2</w:t>
      </w:r>
      <w:r w:rsidR="00342729" w:rsidRPr="00910E92">
        <w:rPr>
          <w:rFonts w:asciiTheme="minorHAnsi" w:eastAsia="Calibri" w:hAnsiTheme="minorHAnsi"/>
          <w:sz w:val="20"/>
          <w:szCs w:val="20"/>
          <w:lang w:eastAsia="en-US"/>
        </w:rPr>
        <w:t>3</w:t>
      </w:r>
      <w:r w:rsidRPr="00910E92">
        <w:rPr>
          <w:rFonts w:asciiTheme="minorHAnsi" w:eastAsia="Calibri" w:hAnsiTheme="minorHAnsi"/>
          <w:sz w:val="20"/>
          <w:szCs w:val="20"/>
          <w:lang w:eastAsia="en-US"/>
        </w:rPr>
        <w:t>: £</w:t>
      </w:r>
      <w:r w:rsidR="00D97C4F" w:rsidRPr="00910E92">
        <w:rPr>
          <w:rFonts w:asciiTheme="minorHAnsi" w:eastAsia="Calibri" w:hAnsiTheme="minorHAnsi"/>
          <w:sz w:val="20"/>
          <w:szCs w:val="20"/>
          <w:lang w:eastAsia="en-US"/>
        </w:rPr>
        <w:t>27.3</w:t>
      </w:r>
      <w:r w:rsidRPr="00910E92">
        <w:rPr>
          <w:rFonts w:asciiTheme="minorHAnsi" w:eastAsia="Calibri" w:hAnsiTheme="minorHAnsi"/>
          <w:sz w:val="20"/>
          <w:szCs w:val="20"/>
          <w:lang w:eastAsia="en-US"/>
        </w:rPr>
        <w:t>m)</w:t>
      </w:r>
      <w:r w:rsidR="00C242E5" w:rsidRPr="00910E92">
        <w:rPr>
          <w:rFonts w:asciiTheme="minorHAnsi" w:eastAsia="Calibri" w:hAnsiTheme="minorHAnsi"/>
          <w:sz w:val="20"/>
          <w:szCs w:val="20"/>
          <w:lang w:eastAsia="en-US"/>
        </w:rPr>
        <w:t xml:space="preserve"> reflecting </w:t>
      </w:r>
      <w:r w:rsidR="00C12440" w:rsidRPr="00910E92">
        <w:rPr>
          <w:rFonts w:asciiTheme="minorHAnsi" w:eastAsia="Calibri" w:hAnsiTheme="minorHAnsi"/>
          <w:sz w:val="20"/>
          <w:szCs w:val="20"/>
          <w:lang w:eastAsia="en-US"/>
        </w:rPr>
        <w:t xml:space="preserve">a </w:t>
      </w:r>
      <w:r w:rsidR="00C61364" w:rsidRPr="00910E92">
        <w:rPr>
          <w:rFonts w:asciiTheme="minorHAnsi" w:eastAsia="Calibri" w:hAnsiTheme="minorHAnsi"/>
          <w:sz w:val="20"/>
          <w:szCs w:val="20"/>
          <w:lang w:eastAsia="en-US"/>
        </w:rPr>
        <w:t>reduc</w:t>
      </w:r>
      <w:r w:rsidR="00C12440" w:rsidRPr="00910E92">
        <w:rPr>
          <w:rFonts w:asciiTheme="minorHAnsi" w:eastAsia="Calibri" w:hAnsiTheme="minorHAnsi"/>
          <w:sz w:val="20"/>
          <w:szCs w:val="20"/>
          <w:lang w:eastAsia="en-US"/>
        </w:rPr>
        <w:t>tion</w:t>
      </w:r>
      <w:r w:rsidR="00C61364" w:rsidRPr="00910E92">
        <w:rPr>
          <w:rFonts w:asciiTheme="minorHAnsi" w:eastAsia="Calibri" w:hAnsiTheme="minorHAnsi"/>
          <w:sz w:val="20"/>
          <w:szCs w:val="20"/>
          <w:lang w:eastAsia="en-US"/>
        </w:rPr>
        <w:t xml:space="preserve"> </w:t>
      </w:r>
      <w:r w:rsidR="00FC4A60">
        <w:rPr>
          <w:rFonts w:asciiTheme="minorHAnsi" w:eastAsia="Calibri" w:hAnsiTheme="minorHAnsi"/>
          <w:sz w:val="20"/>
          <w:szCs w:val="20"/>
          <w:lang w:eastAsia="en-US"/>
        </w:rPr>
        <w:t xml:space="preserve">in </w:t>
      </w:r>
      <w:r w:rsidR="00262E36" w:rsidRPr="00910E92">
        <w:rPr>
          <w:rFonts w:asciiTheme="minorHAnsi" w:eastAsia="Calibri" w:hAnsiTheme="minorHAnsi"/>
          <w:sz w:val="20"/>
          <w:szCs w:val="20"/>
          <w:lang w:eastAsia="en-US"/>
        </w:rPr>
        <w:t xml:space="preserve">spurious claims from several claims management companies </w:t>
      </w:r>
      <w:r w:rsidR="009957E6" w:rsidRPr="00910E92">
        <w:rPr>
          <w:rFonts w:asciiTheme="minorHAnsi" w:eastAsia="Calibri" w:hAnsiTheme="minorHAnsi"/>
          <w:sz w:val="20"/>
          <w:szCs w:val="20"/>
          <w:lang w:eastAsia="en-US"/>
        </w:rPr>
        <w:t xml:space="preserve">and </w:t>
      </w:r>
      <w:r w:rsidR="00910E92" w:rsidRPr="00910E92">
        <w:rPr>
          <w:rFonts w:asciiTheme="minorHAnsi" w:eastAsia="Calibri" w:hAnsiTheme="minorHAnsi"/>
          <w:sz w:val="20"/>
          <w:szCs w:val="20"/>
          <w:lang w:eastAsia="en-US"/>
        </w:rPr>
        <w:t>savings from cost management actions, including headcount reduction.</w:t>
      </w:r>
    </w:p>
    <w:p w14:paraId="515216C2" w14:textId="0BC2B2BA" w:rsidR="00AD5FB4" w:rsidRPr="00701439" w:rsidRDefault="00AD5FB4" w:rsidP="0002541E">
      <w:pPr>
        <w:spacing w:after="160"/>
        <w:jc w:val="both"/>
        <w:rPr>
          <w:rFonts w:asciiTheme="minorHAnsi" w:hAnsiTheme="minorHAnsi" w:cs="Arial"/>
          <w:sz w:val="20"/>
          <w:szCs w:val="20"/>
        </w:rPr>
      </w:pPr>
      <w:r w:rsidRPr="007E1C36">
        <w:rPr>
          <w:rFonts w:asciiTheme="minorHAnsi" w:hAnsiTheme="minorHAnsi" w:cs="Arial"/>
          <w:sz w:val="20"/>
          <w:szCs w:val="20"/>
        </w:rPr>
        <w:t xml:space="preserve">During </w:t>
      </w:r>
      <w:r w:rsidR="00051A8A" w:rsidRPr="007E1C36">
        <w:rPr>
          <w:rFonts w:asciiTheme="minorHAnsi" w:hAnsiTheme="minorHAnsi" w:cs="Arial"/>
          <w:sz w:val="20"/>
          <w:szCs w:val="20"/>
        </w:rPr>
        <w:t>2H</w:t>
      </w:r>
      <w:r w:rsidRPr="007E1C36">
        <w:rPr>
          <w:rFonts w:asciiTheme="minorHAnsi" w:hAnsiTheme="minorHAnsi" w:cs="Arial"/>
          <w:sz w:val="20"/>
          <w:szCs w:val="20"/>
        </w:rPr>
        <w:t>2</w:t>
      </w:r>
      <w:r w:rsidR="00342729" w:rsidRPr="007E1C36">
        <w:rPr>
          <w:rFonts w:asciiTheme="minorHAnsi" w:hAnsiTheme="minorHAnsi" w:cs="Arial"/>
          <w:sz w:val="20"/>
          <w:szCs w:val="20"/>
        </w:rPr>
        <w:t>4</w:t>
      </w:r>
      <w:r w:rsidRPr="007E1C36">
        <w:rPr>
          <w:rFonts w:asciiTheme="minorHAnsi" w:hAnsiTheme="minorHAnsi" w:cs="Arial"/>
          <w:sz w:val="20"/>
          <w:szCs w:val="20"/>
        </w:rPr>
        <w:t>, the vehicle finance business will continue to seek ways to improve its customer offering and grow its addressable markets</w:t>
      </w:r>
      <w:r w:rsidR="006C667D">
        <w:rPr>
          <w:rFonts w:asciiTheme="minorHAnsi" w:hAnsiTheme="minorHAnsi" w:cs="Arial"/>
          <w:sz w:val="20"/>
          <w:szCs w:val="20"/>
        </w:rPr>
        <w:t>,</w:t>
      </w:r>
      <w:r w:rsidRPr="007E1C36">
        <w:rPr>
          <w:rFonts w:asciiTheme="minorHAnsi" w:hAnsiTheme="minorHAnsi" w:cs="Arial"/>
          <w:sz w:val="20"/>
          <w:szCs w:val="20"/>
        </w:rPr>
        <w:t xml:space="preserve"> with new asset class </w:t>
      </w:r>
      <w:r w:rsidR="006C667D">
        <w:rPr>
          <w:rFonts w:asciiTheme="minorHAnsi" w:hAnsiTheme="minorHAnsi" w:cs="Arial"/>
          <w:sz w:val="20"/>
          <w:szCs w:val="20"/>
        </w:rPr>
        <w:t>differentiation</w:t>
      </w:r>
      <w:r w:rsidR="008578E0">
        <w:rPr>
          <w:rFonts w:asciiTheme="minorHAnsi" w:hAnsiTheme="minorHAnsi" w:cs="Arial"/>
          <w:sz w:val="20"/>
          <w:szCs w:val="20"/>
        </w:rPr>
        <w:t xml:space="preserve"> and</w:t>
      </w:r>
      <w:r w:rsidRPr="007E1C36">
        <w:rPr>
          <w:rFonts w:asciiTheme="minorHAnsi" w:hAnsiTheme="minorHAnsi" w:cs="Arial"/>
          <w:sz w:val="20"/>
          <w:szCs w:val="20"/>
        </w:rPr>
        <w:t xml:space="preserve"> </w:t>
      </w:r>
      <w:r w:rsidR="007E1C36" w:rsidRPr="007E1C36">
        <w:rPr>
          <w:rFonts w:asciiTheme="minorHAnsi" w:hAnsiTheme="minorHAnsi" w:cs="Arial"/>
          <w:sz w:val="20"/>
          <w:szCs w:val="20"/>
        </w:rPr>
        <w:t>more competitive pricing in the near prime, lower risk segments.</w:t>
      </w:r>
      <w:r w:rsidRPr="007E1C36">
        <w:rPr>
          <w:rFonts w:asciiTheme="minorHAnsi" w:hAnsiTheme="minorHAnsi" w:cs="Arial"/>
          <w:sz w:val="20"/>
          <w:szCs w:val="20"/>
        </w:rPr>
        <w:t xml:space="preserve"> </w:t>
      </w:r>
    </w:p>
    <w:p w14:paraId="34A44C5B" w14:textId="2AA7AC21" w:rsidR="000949E0" w:rsidRDefault="000949E0" w:rsidP="00E534C5">
      <w:pPr>
        <w:jc w:val="both"/>
        <w:rPr>
          <w:rStyle w:val="Strong"/>
          <w:rFonts w:asciiTheme="minorHAnsi" w:hAnsiTheme="minorHAnsi"/>
          <w:color w:val="4747FF"/>
          <w:sz w:val="22"/>
          <w:szCs w:val="22"/>
        </w:rPr>
      </w:pPr>
    </w:p>
    <w:p w14:paraId="0F5C7700" w14:textId="2B5D8FBE" w:rsidR="00515584" w:rsidRDefault="004C7077" w:rsidP="00E534C5">
      <w:pPr>
        <w:jc w:val="both"/>
        <w:rPr>
          <w:rStyle w:val="Strong"/>
          <w:rFonts w:asciiTheme="minorHAnsi" w:hAnsiTheme="minorHAnsi"/>
          <w:color w:val="4747FF"/>
          <w:sz w:val="22"/>
          <w:szCs w:val="22"/>
        </w:rPr>
      </w:pPr>
      <w:r w:rsidRPr="00701439">
        <w:rPr>
          <w:rStyle w:val="Strong"/>
          <w:rFonts w:asciiTheme="minorHAnsi" w:hAnsiTheme="minorHAnsi"/>
          <w:color w:val="4747FF"/>
          <w:sz w:val="22"/>
          <w:szCs w:val="22"/>
        </w:rPr>
        <w:t>Personal Loans</w:t>
      </w:r>
    </w:p>
    <w:tbl>
      <w:tblPr>
        <w:tblW w:w="5000" w:type="pct"/>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4731"/>
        <w:gridCol w:w="1435"/>
        <w:gridCol w:w="1900"/>
        <w:gridCol w:w="1657"/>
      </w:tblGrid>
      <w:tr w:rsidR="00515584" w:rsidRPr="00FF3FAD" w14:paraId="54C501E4" w14:textId="77777777" w:rsidTr="008729BA">
        <w:trPr>
          <w:trHeight w:val="390"/>
        </w:trPr>
        <w:tc>
          <w:tcPr>
            <w:tcW w:w="2433" w:type="pct"/>
            <w:tcBorders>
              <w:top w:val="nil"/>
              <w:left w:val="nil"/>
              <w:bottom w:val="nil"/>
              <w:right w:val="nil"/>
            </w:tcBorders>
            <w:tcMar>
              <w:top w:w="60" w:type="dxa"/>
              <w:bottom w:w="60" w:type="dxa"/>
            </w:tcMar>
            <w:vAlign w:val="bottom"/>
          </w:tcPr>
          <w:p w14:paraId="2B1939C9" w14:textId="77777777" w:rsidR="00515584" w:rsidRPr="00FF3FAD" w:rsidRDefault="00515584" w:rsidP="00AF5A74">
            <w:pPr>
              <w:rPr>
                <w:rFonts w:asciiTheme="minorHAnsi" w:hAnsiTheme="minorHAnsi" w:cstheme="minorBidi"/>
                <w:sz w:val="20"/>
                <w:szCs w:val="20"/>
              </w:rPr>
            </w:pPr>
          </w:p>
        </w:tc>
        <w:tc>
          <w:tcPr>
            <w:tcW w:w="2567" w:type="pct"/>
            <w:gridSpan w:val="3"/>
            <w:tcBorders>
              <w:top w:val="nil"/>
              <w:left w:val="nil"/>
              <w:bottom w:val="nil"/>
              <w:right w:val="nil"/>
            </w:tcBorders>
            <w:shd w:val="clear" w:color="auto" w:fill="auto"/>
            <w:vAlign w:val="center"/>
          </w:tcPr>
          <w:p w14:paraId="01CA9BBB" w14:textId="1DD0384F" w:rsidR="00515584" w:rsidRPr="00FF3FAD" w:rsidRDefault="00515584" w:rsidP="00A9687E">
            <w:pPr>
              <w:ind w:right="115"/>
              <w:jc w:val="center"/>
              <w:rPr>
                <w:rFonts w:asciiTheme="minorHAnsi" w:eastAsia="Poppins" w:hAnsiTheme="minorHAnsi" w:cstheme="minorBidi"/>
                <w:sz w:val="20"/>
                <w:szCs w:val="20"/>
              </w:rPr>
            </w:pPr>
            <w:r w:rsidRPr="198B8B94">
              <w:rPr>
                <w:rFonts w:asciiTheme="minorHAnsi" w:eastAsia="Poppins" w:hAnsiTheme="minorHAnsi" w:cstheme="minorBidi"/>
                <w:sz w:val="20"/>
                <w:szCs w:val="20"/>
              </w:rPr>
              <w:t>Six months ended 30 June</w:t>
            </w:r>
          </w:p>
        </w:tc>
      </w:tr>
      <w:tr w:rsidR="00515584" w:rsidRPr="00FF3FAD" w14:paraId="72DEFD77" w14:textId="77777777" w:rsidTr="008729BA">
        <w:trPr>
          <w:trHeight w:val="390"/>
        </w:trPr>
        <w:tc>
          <w:tcPr>
            <w:tcW w:w="2433" w:type="pct"/>
            <w:tcBorders>
              <w:top w:val="nil"/>
              <w:left w:val="nil"/>
              <w:bottom w:val="single" w:sz="4" w:space="0" w:color="auto"/>
              <w:right w:val="nil"/>
            </w:tcBorders>
            <w:tcMar>
              <w:top w:w="60" w:type="dxa"/>
              <w:bottom w:w="60" w:type="dxa"/>
            </w:tcMar>
            <w:vAlign w:val="bottom"/>
          </w:tcPr>
          <w:p w14:paraId="24E66112" w14:textId="77777777" w:rsidR="00515584" w:rsidRPr="00FF3FAD" w:rsidRDefault="00515584" w:rsidP="00AF5A74">
            <w:pPr>
              <w:rPr>
                <w:rFonts w:asciiTheme="minorHAnsi" w:hAnsiTheme="minorHAnsi" w:cstheme="minorBidi"/>
                <w:sz w:val="20"/>
                <w:szCs w:val="20"/>
              </w:rPr>
            </w:pPr>
          </w:p>
        </w:tc>
        <w:tc>
          <w:tcPr>
            <w:tcW w:w="738" w:type="pct"/>
            <w:tcBorders>
              <w:top w:val="nil"/>
              <w:left w:val="nil"/>
              <w:bottom w:val="single" w:sz="4" w:space="0" w:color="auto"/>
              <w:right w:val="nil"/>
            </w:tcBorders>
            <w:shd w:val="clear" w:color="auto" w:fill="F2F2F2" w:themeFill="background1" w:themeFillShade="F2"/>
            <w:vAlign w:val="center"/>
          </w:tcPr>
          <w:p w14:paraId="3526C6D5" w14:textId="038C9029" w:rsidR="00515584" w:rsidRPr="00515584" w:rsidRDefault="00515584" w:rsidP="00AF5A74">
            <w:pPr>
              <w:ind w:right="115"/>
              <w:jc w:val="right"/>
              <w:rPr>
                <w:rFonts w:asciiTheme="minorHAnsi" w:eastAsia="Poppins" w:hAnsiTheme="minorHAnsi" w:cstheme="minorBidi"/>
                <w:b/>
                <w:sz w:val="20"/>
                <w:szCs w:val="20"/>
              </w:rPr>
            </w:pPr>
            <w:r w:rsidRPr="198B8B94">
              <w:rPr>
                <w:rFonts w:asciiTheme="minorHAnsi" w:eastAsia="Poppins" w:hAnsiTheme="minorHAnsi" w:cstheme="minorBidi"/>
                <w:b/>
                <w:sz w:val="20"/>
                <w:szCs w:val="20"/>
              </w:rPr>
              <w:t>2024</w:t>
            </w:r>
          </w:p>
          <w:p w14:paraId="2BA6A44F" w14:textId="77777777" w:rsidR="00515584" w:rsidRPr="00515584" w:rsidRDefault="00515584" w:rsidP="00AF5A74">
            <w:pPr>
              <w:ind w:right="115"/>
              <w:jc w:val="right"/>
              <w:rPr>
                <w:rFonts w:asciiTheme="minorHAnsi" w:eastAsia="Poppins" w:hAnsiTheme="minorHAnsi" w:cstheme="minorBidi"/>
                <w:sz w:val="20"/>
                <w:szCs w:val="20"/>
                <w:highlight w:val="yellow"/>
              </w:rPr>
            </w:pPr>
            <w:r w:rsidRPr="198B8B94">
              <w:rPr>
                <w:rFonts w:asciiTheme="minorHAnsi" w:eastAsia="Poppins" w:hAnsiTheme="minorHAnsi" w:cstheme="minorBidi"/>
                <w:b/>
                <w:sz w:val="20"/>
                <w:szCs w:val="20"/>
              </w:rPr>
              <w:t>£m</w:t>
            </w:r>
          </w:p>
        </w:tc>
        <w:tc>
          <w:tcPr>
            <w:tcW w:w="977" w:type="pct"/>
            <w:tcBorders>
              <w:top w:val="nil"/>
              <w:left w:val="nil"/>
              <w:bottom w:val="single" w:sz="4" w:space="0" w:color="auto"/>
              <w:right w:val="nil"/>
            </w:tcBorders>
            <w:vAlign w:val="center"/>
          </w:tcPr>
          <w:p w14:paraId="32FA36C1" w14:textId="39D67708" w:rsidR="00515584" w:rsidRPr="00FF3FAD" w:rsidRDefault="00515584" w:rsidP="00AF5A74">
            <w:pPr>
              <w:jc w:val="right"/>
              <w:rPr>
                <w:rFonts w:asciiTheme="minorHAnsi" w:eastAsia="Poppins" w:hAnsiTheme="minorHAnsi" w:cstheme="minorBidi"/>
                <w:sz w:val="20"/>
                <w:szCs w:val="20"/>
              </w:rPr>
            </w:pPr>
            <w:r w:rsidRPr="198B8B94">
              <w:rPr>
                <w:rFonts w:asciiTheme="minorHAnsi" w:eastAsia="Poppins" w:hAnsiTheme="minorHAnsi" w:cstheme="minorBidi"/>
                <w:sz w:val="20"/>
                <w:szCs w:val="20"/>
              </w:rPr>
              <w:t>2023</w:t>
            </w:r>
          </w:p>
          <w:p w14:paraId="44134B9A" w14:textId="77777777" w:rsidR="00515584" w:rsidRPr="00FF3FAD" w:rsidRDefault="00515584" w:rsidP="00AF5A74">
            <w:pPr>
              <w:jc w:val="right"/>
              <w:rPr>
                <w:rFonts w:asciiTheme="minorHAnsi" w:eastAsia="Poppins" w:hAnsiTheme="minorHAnsi" w:cstheme="minorBidi"/>
                <w:sz w:val="20"/>
                <w:szCs w:val="20"/>
                <w:vertAlign w:val="superscript"/>
              </w:rPr>
            </w:pPr>
            <w:r w:rsidRPr="198B8B94">
              <w:rPr>
                <w:rFonts w:asciiTheme="minorHAnsi" w:eastAsia="Poppins" w:hAnsiTheme="minorHAnsi" w:cstheme="minorBidi"/>
                <w:sz w:val="20"/>
                <w:szCs w:val="20"/>
              </w:rPr>
              <w:t>£m</w:t>
            </w:r>
          </w:p>
        </w:tc>
        <w:tc>
          <w:tcPr>
            <w:tcW w:w="852" w:type="pct"/>
            <w:tcBorders>
              <w:top w:val="nil"/>
              <w:left w:val="nil"/>
              <w:bottom w:val="single" w:sz="4" w:space="0" w:color="auto"/>
              <w:right w:val="nil"/>
            </w:tcBorders>
            <w:vAlign w:val="center"/>
          </w:tcPr>
          <w:p w14:paraId="33482358" w14:textId="77777777" w:rsidR="00515584" w:rsidRPr="00515584" w:rsidRDefault="00515584" w:rsidP="00AF5A74">
            <w:pPr>
              <w:ind w:right="115"/>
              <w:jc w:val="right"/>
              <w:rPr>
                <w:rFonts w:asciiTheme="minorHAnsi" w:eastAsia="Poppins" w:hAnsiTheme="minorHAnsi" w:cstheme="minorBidi"/>
                <w:i/>
                <w:sz w:val="20"/>
                <w:szCs w:val="20"/>
              </w:rPr>
            </w:pPr>
            <w:r w:rsidRPr="198B8B94">
              <w:rPr>
                <w:rFonts w:asciiTheme="minorHAnsi" w:eastAsia="Poppins" w:hAnsiTheme="minorHAnsi" w:cstheme="minorBidi"/>
                <w:i/>
                <w:sz w:val="20"/>
                <w:szCs w:val="20"/>
              </w:rPr>
              <w:t>Change</w:t>
            </w:r>
          </w:p>
          <w:p w14:paraId="7180BCFC" w14:textId="77777777" w:rsidR="00515584" w:rsidRPr="00515584" w:rsidRDefault="00515584" w:rsidP="00AF5A74">
            <w:pPr>
              <w:ind w:right="115"/>
              <w:jc w:val="right"/>
              <w:rPr>
                <w:rFonts w:asciiTheme="minorHAnsi" w:eastAsia="Poppins" w:hAnsiTheme="minorHAnsi" w:cstheme="minorBidi"/>
                <w:i/>
                <w:sz w:val="20"/>
                <w:szCs w:val="20"/>
                <w:highlight w:val="yellow"/>
              </w:rPr>
            </w:pPr>
            <w:r w:rsidRPr="198B8B94">
              <w:rPr>
                <w:rFonts w:asciiTheme="minorHAnsi" w:eastAsia="Poppins" w:hAnsiTheme="minorHAnsi" w:cstheme="minorBidi"/>
                <w:i/>
                <w:sz w:val="20"/>
                <w:szCs w:val="20"/>
              </w:rPr>
              <w:t>(%)</w:t>
            </w:r>
          </w:p>
        </w:tc>
      </w:tr>
      <w:tr w:rsidR="00515584" w:rsidRPr="00FF3FAD" w14:paraId="70AA560B" w14:textId="77777777" w:rsidTr="4EC1664A">
        <w:trPr>
          <w:trHeight w:val="240"/>
        </w:trPr>
        <w:tc>
          <w:tcPr>
            <w:tcW w:w="2433" w:type="pct"/>
            <w:tcBorders>
              <w:top w:val="single" w:sz="4" w:space="0" w:color="auto"/>
              <w:left w:val="nil"/>
              <w:bottom w:val="single" w:sz="4" w:space="0" w:color="FFFFFF" w:themeColor="background1"/>
              <w:right w:val="nil"/>
            </w:tcBorders>
            <w:vAlign w:val="center"/>
          </w:tcPr>
          <w:p w14:paraId="6FAEAA0D" w14:textId="77777777" w:rsidR="00515584" w:rsidRPr="00FF3FAD" w:rsidRDefault="00515584" w:rsidP="00AF5A74">
            <w:pPr>
              <w:ind w:right="115"/>
              <w:rPr>
                <w:rFonts w:asciiTheme="minorHAnsi" w:eastAsia="Poppins" w:hAnsiTheme="minorHAnsi" w:cstheme="minorBidi"/>
                <w:sz w:val="20"/>
                <w:szCs w:val="20"/>
              </w:rPr>
            </w:pPr>
            <w:r w:rsidRPr="198B8B94">
              <w:rPr>
                <w:rFonts w:asciiTheme="minorHAnsi" w:eastAsia="Poppins" w:hAnsiTheme="minorHAnsi" w:cstheme="minorBidi"/>
                <w:sz w:val="20"/>
                <w:szCs w:val="20"/>
              </w:rPr>
              <w:t>Total customer numbers (‘000)</w:t>
            </w:r>
          </w:p>
        </w:tc>
        <w:tc>
          <w:tcPr>
            <w:tcW w:w="738" w:type="pct"/>
            <w:tcBorders>
              <w:top w:val="single" w:sz="4" w:space="0" w:color="auto"/>
              <w:left w:val="nil"/>
              <w:bottom w:val="nil"/>
              <w:right w:val="nil"/>
            </w:tcBorders>
            <w:shd w:val="clear" w:color="auto" w:fill="F2F2F2" w:themeFill="background1" w:themeFillShade="F2"/>
          </w:tcPr>
          <w:p w14:paraId="1ABE9D40" w14:textId="5E97E017" w:rsidR="00515584" w:rsidRPr="006D4208" w:rsidRDefault="00896CBE" w:rsidP="00AF5A74">
            <w:pPr>
              <w:jc w:val="right"/>
              <w:rPr>
                <w:rFonts w:asciiTheme="minorHAnsi" w:hAnsiTheme="minorHAnsi" w:cstheme="minorBidi"/>
                <w:b/>
                <w:sz w:val="20"/>
                <w:szCs w:val="20"/>
              </w:rPr>
            </w:pPr>
            <w:r w:rsidRPr="198B8B94">
              <w:rPr>
                <w:rFonts w:asciiTheme="minorHAnsi" w:hAnsiTheme="minorHAnsi" w:cstheme="minorBidi"/>
                <w:b/>
                <w:sz w:val="20"/>
                <w:szCs w:val="20"/>
              </w:rPr>
              <w:t>33.1</w:t>
            </w:r>
            <w:r w:rsidR="00515584" w:rsidRPr="198B8B94">
              <w:rPr>
                <w:rFonts w:asciiTheme="minorHAnsi" w:hAnsiTheme="minorHAnsi" w:cstheme="minorBidi"/>
                <w:b/>
                <w:sz w:val="20"/>
                <w:szCs w:val="20"/>
              </w:rPr>
              <w:t xml:space="preserve"> </w:t>
            </w:r>
          </w:p>
        </w:tc>
        <w:tc>
          <w:tcPr>
            <w:tcW w:w="977" w:type="pct"/>
            <w:tcBorders>
              <w:top w:val="single" w:sz="4" w:space="0" w:color="auto"/>
              <w:left w:val="nil"/>
              <w:bottom w:val="single" w:sz="4" w:space="0" w:color="FFFFFF" w:themeColor="background1"/>
              <w:right w:val="nil"/>
            </w:tcBorders>
          </w:tcPr>
          <w:p w14:paraId="1DA362B7" w14:textId="219CE319" w:rsidR="00515584" w:rsidRPr="006D4208" w:rsidRDefault="006B2373" w:rsidP="00AF5A74">
            <w:pPr>
              <w:jc w:val="right"/>
              <w:rPr>
                <w:rFonts w:asciiTheme="minorHAnsi" w:hAnsiTheme="minorHAnsi" w:cstheme="minorBidi"/>
                <w:sz w:val="20"/>
                <w:szCs w:val="20"/>
              </w:rPr>
            </w:pPr>
            <w:r w:rsidRPr="198B8B94">
              <w:rPr>
                <w:rFonts w:asciiTheme="minorHAnsi" w:hAnsiTheme="minorHAnsi" w:cstheme="minorBidi"/>
                <w:sz w:val="20"/>
                <w:szCs w:val="20"/>
              </w:rPr>
              <w:t>50.1</w:t>
            </w:r>
            <w:r w:rsidR="00515584" w:rsidRPr="198B8B94">
              <w:rPr>
                <w:rFonts w:asciiTheme="minorHAnsi" w:hAnsiTheme="minorHAnsi" w:cstheme="minorBidi"/>
                <w:sz w:val="20"/>
                <w:szCs w:val="20"/>
              </w:rPr>
              <w:t xml:space="preserve"> </w:t>
            </w:r>
          </w:p>
        </w:tc>
        <w:tc>
          <w:tcPr>
            <w:tcW w:w="852" w:type="pct"/>
            <w:tcBorders>
              <w:top w:val="single" w:sz="4" w:space="0" w:color="auto"/>
              <w:left w:val="nil"/>
              <w:bottom w:val="single" w:sz="4" w:space="0" w:color="FFFFFF" w:themeColor="background1"/>
              <w:right w:val="nil"/>
            </w:tcBorders>
          </w:tcPr>
          <w:p w14:paraId="200EBE61" w14:textId="1E4FB96C" w:rsidR="00515584" w:rsidRPr="006D4208" w:rsidRDefault="00123CE3" w:rsidP="00AF5A74">
            <w:pPr>
              <w:jc w:val="right"/>
              <w:rPr>
                <w:rFonts w:asciiTheme="minorHAnsi" w:hAnsiTheme="minorHAnsi" w:cstheme="minorBidi"/>
                <w:i/>
                <w:sz w:val="20"/>
                <w:szCs w:val="20"/>
              </w:rPr>
            </w:pPr>
            <w:r w:rsidRPr="198B8B94">
              <w:rPr>
                <w:rFonts w:asciiTheme="minorHAnsi" w:hAnsiTheme="minorHAnsi" w:cstheme="minorBidi"/>
                <w:i/>
                <w:sz w:val="20"/>
                <w:szCs w:val="20"/>
              </w:rPr>
              <w:t>(34.0)</w:t>
            </w:r>
          </w:p>
        </w:tc>
      </w:tr>
      <w:tr w:rsidR="00515584" w:rsidRPr="00FF3FAD" w14:paraId="7A714A19" w14:textId="77777777" w:rsidTr="4EC1664A">
        <w:trPr>
          <w:trHeight w:val="240"/>
        </w:trPr>
        <w:tc>
          <w:tcPr>
            <w:tcW w:w="2433" w:type="pct"/>
            <w:tcBorders>
              <w:top w:val="single" w:sz="4" w:space="0" w:color="FFFFFF" w:themeColor="background1"/>
              <w:left w:val="nil"/>
              <w:bottom w:val="single" w:sz="4" w:space="0" w:color="FFFFFF" w:themeColor="background1"/>
              <w:right w:val="nil"/>
            </w:tcBorders>
            <w:vAlign w:val="center"/>
          </w:tcPr>
          <w:p w14:paraId="51B3D6C9" w14:textId="77777777" w:rsidR="00515584" w:rsidRPr="00FF3FAD" w:rsidRDefault="00515584" w:rsidP="00AF5A74">
            <w:pPr>
              <w:ind w:right="115"/>
              <w:rPr>
                <w:rFonts w:asciiTheme="minorHAnsi" w:eastAsia="Poppins" w:hAnsiTheme="minorHAnsi" w:cstheme="minorBidi"/>
                <w:sz w:val="20"/>
                <w:szCs w:val="20"/>
              </w:rPr>
            </w:pPr>
            <w:r w:rsidRPr="198B8B94">
              <w:rPr>
                <w:rFonts w:asciiTheme="minorHAnsi" w:eastAsia="Poppins" w:hAnsiTheme="minorHAnsi" w:cstheme="minorBidi"/>
                <w:sz w:val="20"/>
                <w:szCs w:val="20"/>
              </w:rPr>
              <w:t>New customer bookings (‘000)</w:t>
            </w:r>
          </w:p>
        </w:tc>
        <w:tc>
          <w:tcPr>
            <w:tcW w:w="738" w:type="pct"/>
            <w:tcBorders>
              <w:top w:val="nil"/>
              <w:left w:val="nil"/>
              <w:bottom w:val="nil"/>
              <w:right w:val="nil"/>
            </w:tcBorders>
            <w:shd w:val="clear" w:color="auto" w:fill="F2F2F2" w:themeFill="background1" w:themeFillShade="F2"/>
          </w:tcPr>
          <w:p w14:paraId="7B43C158" w14:textId="50A119D2" w:rsidR="00515584" w:rsidRPr="006D4208" w:rsidRDefault="00CE3B51" w:rsidP="00AF5A74">
            <w:pPr>
              <w:jc w:val="right"/>
              <w:rPr>
                <w:rFonts w:asciiTheme="minorHAnsi" w:hAnsiTheme="minorHAnsi" w:cstheme="minorBidi"/>
                <w:b/>
                <w:sz w:val="20"/>
                <w:szCs w:val="20"/>
              </w:rPr>
            </w:pPr>
            <w:r w:rsidRPr="198B8B94">
              <w:rPr>
                <w:rFonts w:asciiTheme="minorHAnsi" w:hAnsiTheme="minorHAnsi" w:cstheme="minorBidi"/>
                <w:b/>
                <w:sz w:val="20"/>
                <w:szCs w:val="20"/>
              </w:rPr>
              <w:t>1.2</w:t>
            </w:r>
            <w:r w:rsidR="00515584" w:rsidRPr="198B8B94">
              <w:rPr>
                <w:rFonts w:asciiTheme="minorHAnsi" w:hAnsiTheme="minorHAnsi" w:cstheme="minorBidi"/>
                <w:b/>
                <w:sz w:val="20"/>
                <w:szCs w:val="20"/>
              </w:rPr>
              <w:t xml:space="preserve"> </w:t>
            </w:r>
          </w:p>
        </w:tc>
        <w:tc>
          <w:tcPr>
            <w:tcW w:w="977" w:type="pct"/>
            <w:tcBorders>
              <w:top w:val="single" w:sz="4" w:space="0" w:color="FFFFFF" w:themeColor="background1"/>
              <w:left w:val="nil"/>
              <w:bottom w:val="single" w:sz="4" w:space="0" w:color="FFFFFF" w:themeColor="background1"/>
              <w:right w:val="nil"/>
            </w:tcBorders>
          </w:tcPr>
          <w:p w14:paraId="715D557C" w14:textId="7875B2EB" w:rsidR="00515584" w:rsidRPr="006D4208" w:rsidRDefault="00515584" w:rsidP="00AF5A74">
            <w:pPr>
              <w:jc w:val="right"/>
              <w:rPr>
                <w:rFonts w:asciiTheme="minorHAnsi" w:hAnsiTheme="minorHAnsi" w:cstheme="minorBidi"/>
                <w:sz w:val="20"/>
                <w:szCs w:val="20"/>
              </w:rPr>
            </w:pPr>
            <w:r w:rsidRPr="198B8B94">
              <w:rPr>
                <w:rFonts w:asciiTheme="minorHAnsi" w:hAnsiTheme="minorHAnsi" w:cstheme="minorBidi"/>
                <w:sz w:val="20"/>
                <w:szCs w:val="20"/>
              </w:rPr>
              <w:t>2</w:t>
            </w:r>
            <w:r w:rsidR="00FD5223" w:rsidRPr="198B8B94">
              <w:rPr>
                <w:rFonts w:asciiTheme="minorHAnsi" w:hAnsiTheme="minorHAnsi" w:cstheme="minorBidi"/>
                <w:sz w:val="20"/>
                <w:szCs w:val="20"/>
              </w:rPr>
              <w:t>5.4</w:t>
            </w:r>
            <w:r w:rsidRPr="198B8B94">
              <w:rPr>
                <w:rFonts w:asciiTheme="minorHAnsi" w:hAnsiTheme="minorHAnsi" w:cstheme="minorBidi"/>
                <w:sz w:val="20"/>
                <w:szCs w:val="20"/>
              </w:rPr>
              <w:t xml:space="preserve"> </w:t>
            </w:r>
          </w:p>
        </w:tc>
        <w:tc>
          <w:tcPr>
            <w:tcW w:w="852" w:type="pct"/>
            <w:tcBorders>
              <w:top w:val="single" w:sz="4" w:space="0" w:color="FFFFFF" w:themeColor="background1"/>
              <w:left w:val="nil"/>
              <w:bottom w:val="single" w:sz="4" w:space="0" w:color="FFFFFF" w:themeColor="background1"/>
              <w:right w:val="nil"/>
            </w:tcBorders>
          </w:tcPr>
          <w:p w14:paraId="24A57474" w14:textId="3BD26D4A" w:rsidR="00515584" w:rsidRPr="006D4208" w:rsidRDefault="00CE3B51" w:rsidP="00AF5A74">
            <w:pPr>
              <w:jc w:val="right"/>
              <w:rPr>
                <w:rFonts w:asciiTheme="minorHAnsi" w:hAnsiTheme="minorHAnsi" w:cstheme="minorBidi"/>
                <w:i/>
                <w:sz w:val="20"/>
                <w:szCs w:val="20"/>
              </w:rPr>
            </w:pPr>
            <w:r w:rsidRPr="198B8B94">
              <w:rPr>
                <w:rFonts w:asciiTheme="minorHAnsi" w:hAnsiTheme="minorHAnsi" w:cstheme="minorBidi"/>
                <w:i/>
                <w:sz w:val="20"/>
                <w:szCs w:val="20"/>
              </w:rPr>
              <w:t>(95.3)</w:t>
            </w:r>
          </w:p>
        </w:tc>
      </w:tr>
      <w:tr w:rsidR="00515584" w:rsidRPr="00FF3FAD" w14:paraId="645C7419" w14:textId="77777777" w:rsidTr="4EC1664A">
        <w:trPr>
          <w:trHeight w:val="240"/>
        </w:trPr>
        <w:tc>
          <w:tcPr>
            <w:tcW w:w="2433" w:type="pct"/>
            <w:tcBorders>
              <w:top w:val="single" w:sz="4" w:space="0" w:color="FFFFFF" w:themeColor="background1"/>
              <w:left w:val="nil"/>
              <w:bottom w:val="single" w:sz="4" w:space="0" w:color="FFFFFF" w:themeColor="background1"/>
              <w:right w:val="nil"/>
            </w:tcBorders>
            <w:vAlign w:val="center"/>
          </w:tcPr>
          <w:p w14:paraId="6734979E" w14:textId="77777777" w:rsidR="00515584" w:rsidRPr="00FF3FAD" w:rsidRDefault="00515584" w:rsidP="00AF5A74">
            <w:pPr>
              <w:ind w:right="115"/>
              <w:rPr>
                <w:rFonts w:asciiTheme="minorHAnsi" w:eastAsia="Poppins" w:hAnsiTheme="minorHAnsi" w:cstheme="minorBidi"/>
                <w:sz w:val="20"/>
                <w:szCs w:val="20"/>
              </w:rPr>
            </w:pPr>
            <w:r w:rsidRPr="198B8B94">
              <w:rPr>
                <w:rFonts w:asciiTheme="minorHAnsi" w:eastAsia="Poppins" w:hAnsiTheme="minorHAnsi" w:cstheme="minorBidi"/>
                <w:sz w:val="20"/>
                <w:szCs w:val="20"/>
              </w:rPr>
              <w:t>Period-end receivables</w:t>
            </w:r>
          </w:p>
        </w:tc>
        <w:tc>
          <w:tcPr>
            <w:tcW w:w="738" w:type="pct"/>
            <w:tcBorders>
              <w:top w:val="nil"/>
              <w:left w:val="nil"/>
              <w:bottom w:val="nil"/>
              <w:right w:val="nil"/>
            </w:tcBorders>
            <w:shd w:val="clear" w:color="auto" w:fill="F2F2F2" w:themeFill="background1" w:themeFillShade="F2"/>
          </w:tcPr>
          <w:p w14:paraId="67A97006" w14:textId="7036FC3D" w:rsidR="00515584" w:rsidRPr="006D4208" w:rsidRDefault="00032551" w:rsidP="00AF5A74">
            <w:pPr>
              <w:jc w:val="right"/>
              <w:rPr>
                <w:rFonts w:asciiTheme="minorHAnsi" w:hAnsiTheme="minorHAnsi" w:cstheme="minorBidi"/>
                <w:b/>
                <w:sz w:val="20"/>
                <w:szCs w:val="20"/>
              </w:rPr>
            </w:pPr>
            <w:r w:rsidRPr="198B8B94">
              <w:rPr>
                <w:rFonts w:asciiTheme="minorHAnsi" w:hAnsiTheme="minorHAnsi" w:cstheme="minorBidi"/>
                <w:b/>
                <w:sz w:val="20"/>
                <w:szCs w:val="20"/>
              </w:rPr>
              <w:t>67.8</w:t>
            </w:r>
            <w:r w:rsidR="00515584" w:rsidRPr="198B8B94">
              <w:rPr>
                <w:rFonts w:asciiTheme="minorHAnsi" w:hAnsiTheme="minorHAnsi" w:cstheme="minorBidi"/>
                <w:b/>
                <w:sz w:val="20"/>
                <w:szCs w:val="20"/>
              </w:rPr>
              <w:t xml:space="preserve"> </w:t>
            </w:r>
          </w:p>
        </w:tc>
        <w:tc>
          <w:tcPr>
            <w:tcW w:w="977" w:type="pct"/>
            <w:tcBorders>
              <w:top w:val="single" w:sz="4" w:space="0" w:color="FFFFFF" w:themeColor="background1"/>
              <w:left w:val="nil"/>
              <w:bottom w:val="single" w:sz="4" w:space="0" w:color="FFFFFF" w:themeColor="background1"/>
              <w:right w:val="nil"/>
            </w:tcBorders>
          </w:tcPr>
          <w:p w14:paraId="6A3B7809" w14:textId="5FBA81BA" w:rsidR="00515584" w:rsidRPr="006D4208" w:rsidRDefault="00B039AD" w:rsidP="00AF5A74">
            <w:pPr>
              <w:jc w:val="right"/>
              <w:rPr>
                <w:rFonts w:asciiTheme="minorHAnsi" w:hAnsiTheme="minorHAnsi" w:cstheme="minorBidi"/>
                <w:sz w:val="20"/>
                <w:szCs w:val="20"/>
              </w:rPr>
            </w:pPr>
            <w:r w:rsidRPr="198B8B94">
              <w:rPr>
                <w:rFonts w:asciiTheme="minorHAnsi" w:hAnsiTheme="minorHAnsi" w:cstheme="minorBidi"/>
                <w:sz w:val="20"/>
                <w:szCs w:val="20"/>
              </w:rPr>
              <w:t>129.6</w:t>
            </w:r>
            <w:r w:rsidR="00515584" w:rsidRPr="198B8B94">
              <w:rPr>
                <w:rFonts w:asciiTheme="minorHAnsi" w:hAnsiTheme="minorHAnsi" w:cstheme="minorBidi"/>
                <w:sz w:val="20"/>
                <w:szCs w:val="20"/>
              </w:rPr>
              <w:t xml:space="preserve"> </w:t>
            </w:r>
          </w:p>
        </w:tc>
        <w:tc>
          <w:tcPr>
            <w:tcW w:w="852" w:type="pct"/>
            <w:tcBorders>
              <w:top w:val="single" w:sz="4" w:space="0" w:color="FFFFFF" w:themeColor="background1"/>
              <w:left w:val="nil"/>
              <w:bottom w:val="single" w:sz="4" w:space="0" w:color="FFFFFF" w:themeColor="background1"/>
              <w:right w:val="nil"/>
            </w:tcBorders>
          </w:tcPr>
          <w:p w14:paraId="0678D3A7" w14:textId="66FC0EBD" w:rsidR="00515584" w:rsidRPr="006D4208" w:rsidRDefault="00377942" w:rsidP="00AF5A74">
            <w:pPr>
              <w:jc w:val="right"/>
              <w:rPr>
                <w:rFonts w:asciiTheme="minorHAnsi" w:hAnsiTheme="minorHAnsi" w:cstheme="minorBidi"/>
                <w:i/>
                <w:sz w:val="20"/>
                <w:szCs w:val="20"/>
              </w:rPr>
            </w:pPr>
            <w:r w:rsidRPr="198B8B94">
              <w:rPr>
                <w:rFonts w:asciiTheme="minorHAnsi" w:hAnsiTheme="minorHAnsi" w:cstheme="minorBidi"/>
                <w:i/>
                <w:sz w:val="20"/>
                <w:szCs w:val="20"/>
              </w:rPr>
              <w:t>(47.7)</w:t>
            </w:r>
          </w:p>
        </w:tc>
      </w:tr>
      <w:tr w:rsidR="00515584" w:rsidRPr="00FF3FAD" w14:paraId="176F2F97" w14:textId="77777777" w:rsidTr="4EC1664A">
        <w:trPr>
          <w:trHeight w:val="240"/>
        </w:trPr>
        <w:tc>
          <w:tcPr>
            <w:tcW w:w="2433" w:type="pct"/>
            <w:tcBorders>
              <w:top w:val="single" w:sz="4" w:space="0" w:color="FFFFFF" w:themeColor="background1"/>
              <w:left w:val="nil"/>
              <w:bottom w:val="single" w:sz="4" w:space="0" w:color="auto"/>
              <w:right w:val="nil"/>
            </w:tcBorders>
            <w:vAlign w:val="center"/>
          </w:tcPr>
          <w:p w14:paraId="49DED965" w14:textId="6FDC6246" w:rsidR="00515584" w:rsidRPr="00FF3FAD" w:rsidRDefault="00515584" w:rsidP="00AF5A74">
            <w:pPr>
              <w:ind w:right="115"/>
              <w:rPr>
                <w:rFonts w:asciiTheme="minorHAnsi" w:eastAsia="Poppins" w:hAnsiTheme="minorHAnsi" w:cstheme="minorBidi"/>
                <w:sz w:val="20"/>
                <w:szCs w:val="20"/>
              </w:rPr>
            </w:pPr>
            <w:r w:rsidRPr="198B8B94">
              <w:rPr>
                <w:rFonts w:asciiTheme="minorHAnsi" w:eastAsia="Poppins" w:hAnsiTheme="minorHAnsi" w:cstheme="minorBidi"/>
                <w:sz w:val="20"/>
                <w:szCs w:val="20"/>
              </w:rPr>
              <w:t xml:space="preserve">Average gross </w:t>
            </w:r>
            <w:r w:rsidR="00681879" w:rsidRPr="198B8B94">
              <w:rPr>
                <w:rFonts w:asciiTheme="minorHAnsi" w:eastAsia="Poppins" w:hAnsiTheme="minorHAnsi" w:cstheme="minorBidi"/>
                <w:sz w:val="20"/>
                <w:szCs w:val="20"/>
              </w:rPr>
              <w:t xml:space="preserve">customer </w:t>
            </w:r>
            <w:r w:rsidR="00032321" w:rsidRPr="198B8B94">
              <w:rPr>
                <w:rFonts w:asciiTheme="minorHAnsi" w:eastAsia="Poppins" w:hAnsiTheme="minorHAnsi" w:cstheme="minorBidi"/>
                <w:sz w:val="20"/>
                <w:szCs w:val="20"/>
              </w:rPr>
              <w:t>interest earni</w:t>
            </w:r>
            <w:r w:rsidR="00E65AD7" w:rsidRPr="198B8B94">
              <w:rPr>
                <w:rFonts w:asciiTheme="minorHAnsi" w:eastAsia="Poppins" w:hAnsiTheme="minorHAnsi" w:cstheme="minorBidi"/>
                <w:sz w:val="20"/>
                <w:szCs w:val="20"/>
              </w:rPr>
              <w:t>ng balances</w:t>
            </w:r>
            <w:r w:rsidRPr="198B8B94">
              <w:rPr>
                <w:rFonts w:asciiTheme="minorHAnsi" w:eastAsia="Poppins" w:hAnsiTheme="minorHAnsi" w:cstheme="minorBidi"/>
                <w:sz w:val="20"/>
                <w:szCs w:val="20"/>
                <w:vertAlign w:val="superscript"/>
              </w:rPr>
              <w:t xml:space="preserve">1 </w:t>
            </w:r>
          </w:p>
        </w:tc>
        <w:tc>
          <w:tcPr>
            <w:tcW w:w="738" w:type="pct"/>
            <w:tcBorders>
              <w:top w:val="nil"/>
              <w:left w:val="nil"/>
              <w:bottom w:val="single" w:sz="4" w:space="0" w:color="auto"/>
              <w:right w:val="nil"/>
            </w:tcBorders>
            <w:shd w:val="clear" w:color="auto" w:fill="F2F2F2" w:themeFill="background1" w:themeFillShade="F2"/>
          </w:tcPr>
          <w:p w14:paraId="0546CA44" w14:textId="06882DA4" w:rsidR="00515584" w:rsidRPr="006D4208" w:rsidRDefault="00032551" w:rsidP="00AF5A74">
            <w:pPr>
              <w:jc w:val="right"/>
              <w:rPr>
                <w:rFonts w:asciiTheme="minorHAnsi" w:hAnsiTheme="minorHAnsi" w:cstheme="minorBidi"/>
                <w:b/>
                <w:sz w:val="20"/>
                <w:szCs w:val="20"/>
              </w:rPr>
            </w:pPr>
            <w:r w:rsidRPr="198B8B94">
              <w:rPr>
                <w:rFonts w:asciiTheme="minorHAnsi" w:hAnsiTheme="minorHAnsi" w:cstheme="minorBidi"/>
                <w:b/>
                <w:sz w:val="20"/>
                <w:szCs w:val="20"/>
              </w:rPr>
              <w:t>95.0</w:t>
            </w:r>
            <w:r w:rsidR="00515584" w:rsidRPr="198B8B94">
              <w:rPr>
                <w:rFonts w:asciiTheme="minorHAnsi" w:hAnsiTheme="minorHAnsi" w:cstheme="minorBidi"/>
                <w:b/>
                <w:sz w:val="20"/>
                <w:szCs w:val="20"/>
              </w:rPr>
              <w:t xml:space="preserve"> </w:t>
            </w:r>
          </w:p>
        </w:tc>
        <w:tc>
          <w:tcPr>
            <w:tcW w:w="977" w:type="pct"/>
            <w:tcBorders>
              <w:top w:val="single" w:sz="4" w:space="0" w:color="FFFFFF" w:themeColor="background1"/>
              <w:left w:val="nil"/>
              <w:bottom w:val="single" w:sz="4" w:space="0" w:color="auto"/>
              <w:right w:val="nil"/>
            </w:tcBorders>
          </w:tcPr>
          <w:p w14:paraId="07CA4CA0" w14:textId="6E42A126" w:rsidR="00515584" w:rsidRPr="006D4208" w:rsidRDefault="006F323C" w:rsidP="00AF5A74">
            <w:pPr>
              <w:jc w:val="right"/>
              <w:rPr>
                <w:rFonts w:asciiTheme="minorHAnsi" w:hAnsiTheme="minorHAnsi" w:cstheme="minorBidi"/>
                <w:sz w:val="20"/>
                <w:szCs w:val="20"/>
              </w:rPr>
            </w:pPr>
            <w:r w:rsidRPr="198B8B94">
              <w:rPr>
                <w:rFonts w:asciiTheme="minorHAnsi" w:hAnsiTheme="minorHAnsi" w:cstheme="minorBidi"/>
                <w:sz w:val="20"/>
                <w:szCs w:val="20"/>
              </w:rPr>
              <w:t>115.5</w:t>
            </w:r>
            <w:r w:rsidR="00515584" w:rsidRPr="198B8B94">
              <w:rPr>
                <w:rFonts w:asciiTheme="minorHAnsi" w:hAnsiTheme="minorHAnsi" w:cstheme="minorBidi"/>
                <w:sz w:val="20"/>
                <w:szCs w:val="20"/>
              </w:rPr>
              <w:t xml:space="preserve"> </w:t>
            </w:r>
          </w:p>
        </w:tc>
        <w:tc>
          <w:tcPr>
            <w:tcW w:w="852" w:type="pct"/>
            <w:tcBorders>
              <w:top w:val="single" w:sz="4" w:space="0" w:color="FFFFFF" w:themeColor="background1"/>
              <w:left w:val="nil"/>
              <w:bottom w:val="single" w:sz="4" w:space="0" w:color="auto"/>
              <w:right w:val="nil"/>
            </w:tcBorders>
          </w:tcPr>
          <w:p w14:paraId="76EA5942" w14:textId="62589631" w:rsidR="00515584" w:rsidRPr="006D4208" w:rsidRDefault="008C70A6" w:rsidP="00AF5A74">
            <w:pPr>
              <w:jc w:val="right"/>
              <w:rPr>
                <w:rFonts w:asciiTheme="minorHAnsi" w:hAnsiTheme="minorHAnsi" w:cstheme="minorBidi"/>
                <w:i/>
                <w:sz w:val="20"/>
                <w:szCs w:val="20"/>
              </w:rPr>
            </w:pPr>
            <w:r w:rsidRPr="198B8B94">
              <w:rPr>
                <w:rFonts w:asciiTheme="minorHAnsi" w:hAnsiTheme="minorHAnsi" w:cstheme="minorBidi"/>
                <w:i/>
                <w:sz w:val="20"/>
                <w:szCs w:val="20"/>
              </w:rPr>
              <w:t>(17.7)</w:t>
            </w:r>
          </w:p>
        </w:tc>
      </w:tr>
      <w:tr w:rsidR="00515584" w:rsidRPr="00FF3FAD" w14:paraId="1C150FF0" w14:textId="77777777" w:rsidTr="00AF5A74">
        <w:trPr>
          <w:trHeight w:val="240"/>
        </w:trPr>
        <w:tc>
          <w:tcPr>
            <w:tcW w:w="2433" w:type="pct"/>
            <w:tcBorders>
              <w:top w:val="single" w:sz="4" w:space="0" w:color="auto"/>
              <w:left w:val="nil"/>
              <w:bottom w:val="single" w:sz="4" w:space="0" w:color="auto"/>
              <w:right w:val="nil"/>
            </w:tcBorders>
            <w:vAlign w:val="center"/>
          </w:tcPr>
          <w:p w14:paraId="1F817C04" w14:textId="77777777" w:rsidR="00515584" w:rsidRPr="00FF3FAD" w:rsidRDefault="00515584" w:rsidP="00AF5A74">
            <w:pPr>
              <w:ind w:right="115"/>
              <w:rPr>
                <w:rFonts w:asciiTheme="minorHAnsi" w:eastAsia="Poppins" w:hAnsiTheme="minorHAnsi" w:cstheme="minorBidi"/>
                <w:sz w:val="20"/>
                <w:szCs w:val="20"/>
              </w:rPr>
            </w:pPr>
          </w:p>
        </w:tc>
        <w:tc>
          <w:tcPr>
            <w:tcW w:w="738" w:type="pct"/>
            <w:tcBorders>
              <w:top w:val="single" w:sz="4" w:space="0" w:color="auto"/>
              <w:left w:val="nil"/>
              <w:bottom w:val="single" w:sz="4" w:space="0" w:color="auto"/>
              <w:right w:val="nil"/>
            </w:tcBorders>
            <w:shd w:val="clear" w:color="auto" w:fill="auto"/>
          </w:tcPr>
          <w:p w14:paraId="457F55DB" w14:textId="77777777" w:rsidR="00515584" w:rsidRPr="006D4208" w:rsidRDefault="00515584" w:rsidP="00AF5A74">
            <w:pPr>
              <w:jc w:val="right"/>
              <w:rPr>
                <w:rFonts w:asciiTheme="minorHAnsi" w:hAnsiTheme="minorHAnsi" w:cstheme="minorBidi"/>
                <w:b/>
                <w:sz w:val="20"/>
                <w:szCs w:val="20"/>
              </w:rPr>
            </w:pPr>
          </w:p>
        </w:tc>
        <w:tc>
          <w:tcPr>
            <w:tcW w:w="977" w:type="pct"/>
            <w:tcBorders>
              <w:top w:val="single" w:sz="4" w:space="0" w:color="auto"/>
              <w:left w:val="nil"/>
              <w:bottom w:val="single" w:sz="4" w:space="0" w:color="auto"/>
              <w:right w:val="nil"/>
            </w:tcBorders>
          </w:tcPr>
          <w:p w14:paraId="410D996F" w14:textId="77777777" w:rsidR="00515584" w:rsidRPr="006D4208" w:rsidRDefault="00515584" w:rsidP="00AF5A74">
            <w:pPr>
              <w:jc w:val="right"/>
              <w:rPr>
                <w:rFonts w:asciiTheme="minorHAnsi" w:hAnsiTheme="minorHAnsi" w:cstheme="minorBidi"/>
                <w:sz w:val="20"/>
                <w:szCs w:val="20"/>
              </w:rPr>
            </w:pPr>
          </w:p>
        </w:tc>
        <w:tc>
          <w:tcPr>
            <w:tcW w:w="852" w:type="pct"/>
            <w:tcBorders>
              <w:top w:val="single" w:sz="4" w:space="0" w:color="auto"/>
              <w:left w:val="nil"/>
              <w:bottom w:val="single" w:sz="4" w:space="0" w:color="auto"/>
              <w:right w:val="nil"/>
            </w:tcBorders>
          </w:tcPr>
          <w:p w14:paraId="41C42039" w14:textId="77777777" w:rsidR="00515584" w:rsidRPr="006D4208" w:rsidRDefault="00515584" w:rsidP="00AF5A74">
            <w:pPr>
              <w:jc w:val="right"/>
              <w:rPr>
                <w:rFonts w:asciiTheme="minorHAnsi" w:hAnsiTheme="minorHAnsi" w:cstheme="minorBidi"/>
                <w:i/>
                <w:sz w:val="20"/>
                <w:szCs w:val="20"/>
              </w:rPr>
            </w:pPr>
          </w:p>
        </w:tc>
      </w:tr>
      <w:tr w:rsidR="00515584" w:rsidRPr="00FF3FAD" w14:paraId="5A4E29C9" w14:textId="77777777" w:rsidTr="4EC1664A">
        <w:trPr>
          <w:trHeight w:val="240"/>
        </w:trPr>
        <w:tc>
          <w:tcPr>
            <w:tcW w:w="2433" w:type="pct"/>
            <w:tcBorders>
              <w:top w:val="single" w:sz="4" w:space="0" w:color="auto"/>
              <w:left w:val="nil"/>
              <w:bottom w:val="single" w:sz="4" w:space="0" w:color="FFFFFF" w:themeColor="background1"/>
              <w:right w:val="nil"/>
            </w:tcBorders>
            <w:vAlign w:val="center"/>
          </w:tcPr>
          <w:p w14:paraId="6F112CDF" w14:textId="77777777" w:rsidR="00515584" w:rsidRPr="00FF3FAD" w:rsidRDefault="00515584" w:rsidP="00AF5A74">
            <w:pPr>
              <w:ind w:right="115"/>
              <w:rPr>
                <w:rFonts w:asciiTheme="minorHAnsi" w:eastAsia="Poppins" w:hAnsiTheme="minorHAnsi" w:cstheme="minorBidi"/>
                <w:sz w:val="20"/>
                <w:szCs w:val="20"/>
              </w:rPr>
            </w:pPr>
            <w:r w:rsidRPr="198B8B94">
              <w:rPr>
                <w:rFonts w:asciiTheme="minorHAnsi" w:eastAsia="Poppins" w:hAnsiTheme="minorHAnsi" w:cstheme="minorBidi"/>
                <w:sz w:val="20"/>
                <w:szCs w:val="20"/>
              </w:rPr>
              <w:t>Interest income</w:t>
            </w:r>
          </w:p>
        </w:tc>
        <w:tc>
          <w:tcPr>
            <w:tcW w:w="738" w:type="pct"/>
            <w:tcBorders>
              <w:top w:val="single" w:sz="4" w:space="0" w:color="auto"/>
              <w:left w:val="nil"/>
              <w:bottom w:val="nil"/>
              <w:right w:val="nil"/>
            </w:tcBorders>
            <w:shd w:val="clear" w:color="auto" w:fill="F2F2F2" w:themeFill="background1" w:themeFillShade="F2"/>
          </w:tcPr>
          <w:p w14:paraId="00F35A2E" w14:textId="69B5B9FD" w:rsidR="00515584" w:rsidRPr="006D4208" w:rsidRDefault="00032551" w:rsidP="00AF5A74">
            <w:pPr>
              <w:jc w:val="right"/>
              <w:rPr>
                <w:rFonts w:asciiTheme="minorHAnsi" w:hAnsiTheme="minorHAnsi" w:cstheme="minorBidi"/>
                <w:b/>
                <w:sz w:val="20"/>
                <w:szCs w:val="20"/>
              </w:rPr>
            </w:pPr>
            <w:r w:rsidRPr="198B8B94">
              <w:rPr>
                <w:rFonts w:asciiTheme="minorHAnsi" w:hAnsiTheme="minorHAnsi" w:cstheme="minorBidi"/>
                <w:b/>
                <w:sz w:val="20"/>
                <w:szCs w:val="20"/>
              </w:rPr>
              <w:t>9.</w:t>
            </w:r>
            <w:r w:rsidR="00683C84">
              <w:rPr>
                <w:rFonts w:asciiTheme="minorHAnsi" w:hAnsiTheme="minorHAnsi" w:cstheme="minorBidi"/>
                <w:b/>
                <w:sz w:val="20"/>
                <w:szCs w:val="20"/>
              </w:rPr>
              <w:t>2</w:t>
            </w:r>
          </w:p>
        </w:tc>
        <w:tc>
          <w:tcPr>
            <w:tcW w:w="977" w:type="pct"/>
            <w:tcBorders>
              <w:top w:val="single" w:sz="4" w:space="0" w:color="auto"/>
              <w:left w:val="nil"/>
              <w:bottom w:val="single" w:sz="4" w:space="0" w:color="FFFFFF" w:themeColor="background1"/>
              <w:right w:val="nil"/>
            </w:tcBorders>
          </w:tcPr>
          <w:p w14:paraId="12D7513C" w14:textId="54A62FB2" w:rsidR="00515584" w:rsidRPr="006D4208" w:rsidRDefault="00515584" w:rsidP="00AF5A74">
            <w:pPr>
              <w:jc w:val="right"/>
              <w:rPr>
                <w:rFonts w:asciiTheme="minorHAnsi" w:hAnsiTheme="minorHAnsi" w:cstheme="minorBidi"/>
                <w:sz w:val="20"/>
                <w:szCs w:val="20"/>
              </w:rPr>
            </w:pPr>
            <w:r w:rsidRPr="198B8B94">
              <w:rPr>
                <w:rFonts w:asciiTheme="minorHAnsi" w:hAnsiTheme="minorHAnsi" w:cstheme="minorBidi"/>
                <w:sz w:val="20"/>
                <w:szCs w:val="20"/>
              </w:rPr>
              <w:t>1</w:t>
            </w:r>
            <w:r w:rsidR="00782A6F" w:rsidRPr="198B8B94">
              <w:rPr>
                <w:rFonts w:asciiTheme="minorHAnsi" w:hAnsiTheme="minorHAnsi" w:cstheme="minorBidi"/>
                <w:sz w:val="20"/>
                <w:szCs w:val="20"/>
              </w:rPr>
              <w:t>2.3</w:t>
            </w:r>
          </w:p>
        </w:tc>
        <w:tc>
          <w:tcPr>
            <w:tcW w:w="852" w:type="pct"/>
            <w:tcBorders>
              <w:top w:val="single" w:sz="4" w:space="0" w:color="auto"/>
              <w:left w:val="nil"/>
              <w:bottom w:val="single" w:sz="4" w:space="0" w:color="FFFFFF" w:themeColor="background1"/>
              <w:right w:val="nil"/>
            </w:tcBorders>
          </w:tcPr>
          <w:p w14:paraId="695418F4" w14:textId="0F6A004D" w:rsidR="00515584" w:rsidRPr="006D4208" w:rsidRDefault="00866706" w:rsidP="00AF5A74">
            <w:pPr>
              <w:jc w:val="right"/>
              <w:rPr>
                <w:rFonts w:asciiTheme="minorHAnsi" w:hAnsiTheme="minorHAnsi" w:cstheme="minorBidi"/>
                <w:i/>
                <w:sz w:val="20"/>
                <w:szCs w:val="20"/>
              </w:rPr>
            </w:pPr>
            <w:r w:rsidRPr="198B8B94">
              <w:rPr>
                <w:rFonts w:asciiTheme="minorHAnsi" w:hAnsiTheme="minorHAnsi" w:cstheme="minorBidi"/>
                <w:i/>
                <w:sz w:val="20"/>
                <w:szCs w:val="20"/>
              </w:rPr>
              <w:t>(25.2)</w:t>
            </w:r>
          </w:p>
        </w:tc>
      </w:tr>
      <w:tr w:rsidR="00515584" w:rsidRPr="00FF3FAD" w14:paraId="19E11BF1" w14:textId="77777777" w:rsidTr="4EC1664A">
        <w:trPr>
          <w:trHeight w:val="240"/>
        </w:trPr>
        <w:tc>
          <w:tcPr>
            <w:tcW w:w="2433" w:type="pct"/>
            <w:tcBorders>
              <w:top w:val="single" w:sz="4" w:space="0" w:color="FFFFFF" w:themeColor="background1"/>
              <w:left w:val="nil"/>
              <w:bottom w:val="single" w:sz="4" w:space="0" w:color="auto"/>
              <w:right w:val="nil"/>
            </w:tcBorders>
            <w:vAlign w:val="center"/>
          </w:tcPr>
          <w:p w14:paraId="03A5DDCA" w14:textId="77777777" w:rsidR="00515584" w:rsidRPr="00FF3FAD" w:rsidRDefault="00515584" w:rsidP="00AF5A74">
            <w:pPr>
              <w:ind w:right="115"/>
              <w:rPr>
                <w:rFonts w:asciiTheme="minorHAnsi" w:eastAsia="Poppins" w:hAnsiTheme="minorHAnsi" w:cstheme="minorBidi"/>
                <w:sz w:val="20"/>
                <w:szCs w:val="20"/>
              </w:rPr>
            </w:pPr>
            <w:r w:rsidRPr="198B8B94">
              <w:rPr>
                <w:rFonts w:asciiTheme="minorHAnsi" w:eastAsia="Poppins" w:hAnsiTheme="minorHAnsi" w:cstheme="minorBidi"/>
                <w:sz w:val="20"/>
                <w:szCs w:val="20"/>
              </w:rPr>
              <w:t>Interest expense</w:t>
            </w:r>
          </w:p>
        </w:tc>
        <w:tc>
          <w:tcPr>
            <w:tcW w:w="738" w:type="pct"/>
            <w:tcBorders>
              <w:top w:val="nil"/>
              <w:left w:val="nil"/>
              <w:bottom w:val="single" w:sz="4" w:space="0" w:color="auto"/>
              <w:right w:val="nil"/>
            </w:tcBorders>
            <w:shd w:val="clear" w:color="auto" w:fill="F2F2F2" w:themeFill="background1" w:themeFillShade="F2"/>
          </w:tcPr>
          <w:p w14:paraId="0D3A32BA" w14:textId="453C250B" w:rsidR="00515584" w:rsidRPr="006D4208" w:rsidRDefault="00515584" w:rsidP="00AF5A74">
            <w:pPr>
              <w:jc w:val="right"/>
              <w:rPr>
                <w:rFonts w:asciiTheme="minorHAnsi" w:hAnsiTheme="minorHAnsi" w:cstheme="minorBidi"/>
                <w:b/>
                <w:sz w:val="20"/>
                <w:szCs w:val="20"/>
              </w:rPr>
            </w:pPr>
            <w:r w:rsidRPr="198B8B94">
              <w:rPr>
                <w:rFonts w:asciiTheme="minorHAnsi" w:hAnsiTheme="minorHAnsi" w:cstheme="minorBidi"/>
                <w:b/>
                <w:sz w:val="20"/>
                <w:szCs w:val="20"/>
              </w:rPr>
              <w:t>(</w:t>
            </w:r>
            <w:r w:rsidR="00032551" w:rsidRPr="198B8B94">
              <w:rPr>
                <w:rFonts w:asciiTheme="minorHAnsi" w:hAnsiTheme="minorHAnsi" w:cstheme="minorBidi"/>
                <w:b/>
                <w:sz w:val="20"/>
                <w:szCs w:val="20"/>
              </w:rPr>
              <w:t>2.0</w:t>
            </w:r>
            <w:r w:rsidRPr="198B8B94">
              <w:rPr>
                <w:rFonts w:asciiTheme="minorHAnsi" w:hAnsiTheme="minorHAnsi" w:cstheme="minorBidi"/>
                <w:b/>
                <w:sz w:val="20"/>
                <w:szCs w:val="20"/>
              </w:rPr>
              <w:t>)</w:t>
            </w:r>
          </w:p>
        </w:tc>
        <w:tc>
          <w:tcPr>
            <w:tcW w:w="977" w:type="pct"/>
            <w:tcBorders>
              <w:top w:val="single" w:sz="4" w:space="0" w:color="FFFFFF" w:themeColor="background1"/>
              <w:left w:val="nil"/>
              <w:bottom w:val="single" w:sz="4" w:space="0" w:color="auto"/>
              <w:right w:val="nil"/>
            </w:tcBorders>
          </w:tcPr>
          <w:p w14:paraId="0CB8C0B9" w14:textId="486D4A56" w:rsidR="00515584" w:rsidRPr="006D4208" w:rsidRDefault="00515584" w:rsidP="00AF5A74">
            <w:pPr>
              <w:jc w:val="right"/>
              <w:rPr>
                <w:rFonts w:asciiTheme="minorHAnsi" w:hAnsiTheme="minorHAnsi" w:cstheme="minorBidi"/>
                <w:sz w:val="20"/>
                <w:szCs w:val="20"/>
              </w:rPr>
            </w:pPr>
            <w:r w:rsidRPr="198B8B94">
              <w:rPr>
                <w:rFonts w:asciiTheme="minorHAnsi" w:hAnsiTheme="minorHAnsi" w:cstheme="minorBidi"/>
                <w:sz w:val="20"/>
                <w:szCs w:val="20"/>
              </w:rPr>
              <w:t>(1.</w:t>
            </w:r>
            <w:r w:rsidR="00782A6F" w:rsidRPr="198B8B94">
              <w:rPr>
                <w:rFonts w:asciiTheme="minorHAnsi" w:hAnsiTheme="minorHAnsi" w:cstheme="minorBidi"/>
                <w:sz w:val="20"/>
                <w:szCs w:val="20"/>
              </w:rPr>
              <w:t>9</w:t>
            </w:r>
            <w:r w:rsidRPr="198B8B94">
              <w:rPr>
                <w:rFonts w:asciiTheme="minorHAnsi" w:hAnsiTheme="minorHAnsi" w:cstheme="minorBidi"/>
                <w:sz w:val="20"/>
                <w:szCs w:val="20"/>
              </w:rPr>
              <w:t>)</w:t>
            </w:r>
          </w:p>
        </w:tc>
        <w:tc>
          <w:tcPr>
            <w:tcW w:w="852" w:type="pct"/>
            <w:tcBorders>
              <w:top w:val="single" w:sz="4" w:space="0" w:color="FFFFFF" w:themeColor="background1"/>
              <w:left w:val="nil"/>
              <w:bottom w:val="single" w:sz="4" w:space="0" w:color="auto"/>
              <w:right w:val="nil"/>
            </w:tcBorders>
          </w:tcPr>
          <w:p w14:paraId="26C620B2" w14:textId="169283CC" w:rsidR="00515584" w:rsidRPr="006D4208" w:rsidRDefault="003E5FC8" w:rsidP="00AF5A74">
            <w:pPr>
              <w:jc w:val="right"/>
              <w:rPr>
                <w:rFonts w:asciiTheme="minorHAnsi" w:hAnsiTheme="minorHAnsi" w:cstheme="minorBidi"/>
                <w:i/>
                <w:sz w:val="20"/>
                <w:szCs w:val="20"/>
              </w:rPr>
            </w:pPr>
            <w:r w:rsidRPr="198B8B94">
              <w:rPr>
                <w:rFonts w:asciiTheme="minorHAnsi" w:hAnsiTheme="minorHAnsi" w:cstheme="minorBidi"/>
                <w:i/>
                <w:sz w:val="20"/>
                <w:szCs w:val="20"/>
              </w:rPr>
              <w:t>5.3</w:t>
            </w:r>
          </w:p>
        </w:tc>
      </w:tr>
      <w:tr w:rsidR="00515584" w:rsidRPr="00FF3FAD" w14:paraId="376E7CA0" w14:textId="77777777" w:rsidTr="00AF5A74">
        <w:trPr>
          <w:trHeight w:val="240"/>
        </w:trPr>
        <w:tc>
          <w:tcPr>
            <w:tcW w:w="2433" w:type="pct"/>
            <w:tcBorders>
              <w:top w:val="single" w:sz="4" w:space="0" w:color="auto"/>
              <w:left w:val="nil"/>
              <w:bottom w:val="single" w:sz="4" w:space="0" w:color="auto"/>
              <w:right w:val="nil"/>
            </w:tcBorders>
            <w:vAlign w:val="center"/>
          </w:tcPr>
          <w:p w14:paraId="6BF9A6C5" w14:textId="77777777" w:rsidR="00515584" w:rsidRPr="00FF3FAD" w:rsidRDefault="00515584" w:rsidP="00AF5A74">
            <w:pPr>
              <w:ind w:right="115"/>
              <w:rPr>
                <w:rFonts w:asciiTheme="minorHAnsi" w:eastAsia="Poppins" w:hAnsiTheme="minorHAnsi" w:cstheme="minorBidi"/>
                <w:sz w:val="20"/>
                <w:szCs w:val="20"/>
              </w:rPr>
            </w:pPr>
            <w:r w:rsidRPr="198B8B94">
              <w:rPr>
                <w:rFonts w:asciiTheme="minorHAnsi" w:eastAsia="Poppins" w:hAnsiTheme="minorHAnsi" w:cstheme="minorBidi"/>
                <w:sz w:val="20"/>
                <w:szCs w:val="20"/>
              </w:rPr>
              <w:t>Net interest income</w:t>
            </w:r>
          </w:p>
        </w:tc>
        <w:tc>
          <w:tcPr>
            <w:tcW w:w="738" w:type="pct"/>
            <w:tcBorders>
              <w:top w:val="single" w:sz="4" w:space="0" w:color="auto"/>
              <w:left w:val="nil"/>
              <w:bottom w:val="single" w:sz="4" w:space="0" w:color="auto"/>
              <w:right w:val="nil"/>
            </w:tcBorders>
            <w:shd w:val="clear" w:color="auto" w:fill="F2F2F2" w:themeFill="background1" w:themeFillShade="F2"/>
          </w:tcPr>
          <w:p w14:paraId="637FB293" w14:textId="21B8D14B" w:rsidR="00515584" w:rsidRPr="006D4208" w:rsidRDefault="00032551" w:rsidP="00AF5A74">
            <w:pPr>
              <w:jc w:val="right"/>
              <w:rPr>
                <w:rFonts w:asciiTheme="minorHAnsi" w:hAnsiTheme="minorHAnsi" w:cstheme="minorBidi"/>
                <w:b/>
                <w:sz w:val="20"/>
                <w:szCs w:val="20"/>
              </w:rPr>
            </w:pPr>
            <w:r w:rsidRPr="198B8B94">
              <w:rPr>
                <w:rFonts w:asciiTheme="minorHAnsi" w:hAnsiTheme="minorHAnsi" w:cstheme="minorBidi"/>
                <w:b/>
                <w:sz w:val="20"/>
                <w:szCs w:val="20"/>
              </w:rPr>
              <w:t>7.</w:t>
            </w:r>
            <w:r w:rsidR="00D43DE2">
              <w:rPr>
                <w:rFonts w:asciiTheme="minorHAnsi" w:hAnsiTheme="minorHAnsi" w:cstheme="minorBidi"/>
                <w:b/>
                <w:sz w:val="20"/>
                <w:szCs w:val="20"/>
              </w:rPr>
              <w:t>2</w:t>
            </w:r>
          </w:p>
        </w:tc>
        <w:tc>
          <w:tcPr>
            <w:tcW w:w="977" w:type="pct"/>
            <w:tcBorders>
              <w:top w:val="single" w:sz="4" w:space="0" w:color="auto"/>
              <w:left w:val="nil"/>
              <w:bottom w:val="single" w:sz="4" w:space="0" w:color="auto"/>
              <w:right w:val="nil"/>
            </w:tcBorders>
          </w:tcPr>
          <w:p w14:paraId="34F29788" w14:textId="65D9ABFF" w:rsidR="00515584" w:rsidRPr="006D4208" w:rsidRDefault="00515584" w:rsidP="00AF5A74">
            <w:pPr>
              <w:jc w:val="right"/>
              <w:rPr>
                <w:rFonts w:asciiTheme="minorHAnsi" w:hAnsiTheme="minorHAnsi" w:cstheme="minorBidi"/>
                <w:sz w:val="20"/>
                <w:szCs w:val="20"/>
              </w:rPr>
            </w:pPr>
            <w:r w:rsidRPr="198B8B94">
              <w:rPr>
                <w:rFonts w:asciiTheme="minorHAnsi" w:hAnsiTheme="minorHAnsi" w:cstheme="minorBidi"/>
                <w:sz w:val="20"/>
                <w:szCs w:val="20"/>
              </w:rPr>
              <w:t>1</w:t>
            </w:r>
            <w:r w:rsidR="00782A6F" w:rsidRPr="198B8B94">
              <w:rPr>
                <w:rFonts w:asciiTheme="minorHAnsi" w:hAnsiTheme="minorHAnsi" w:cstheme="minorBidi"/>
                <w:sz w:val="20"/>
                <w:szCs w:val="20"/>
              </w:rPr>
              <w:t>0.4</w:t>
            </w:r>
          </w:p>
        </w:tc>
        <w:tc>
          <w:tcPr>
            <w:tcW w:w="852" w:type="pct"/>
            <w:tcBorders>
              <w:top w:val="single" w:sz="4" w:space="0" w:color="auto"/>
              <w:left w:val="nil"/>
              <w:bottom w:val="single" w:sz="4" w:space="0" w:color="auto"/>
              <w:right w:val="nil"/>
            </w:tcBorders>
          </w:tcPr>
          <w:p w14:paraId="59AC05FC" w14:textId="15D86494" w:rsidR="00515584" w:rsidRPr="006D4208" w:rsidRDefault="008571EC" w:rsidP="00AF5A74">
            <w:pPr>
              <w:jc w:val="right"/>
              <w:rPr>
                <w:rFonts w:asciiTheme="minorHAnsi" w:hAnsiTheme="minorHAnsi" w:cstheme="minorBidi"/>
                <w:i/>
                <w:sz w:val="20"/>
                <w:szCs w:val="20"/>
              </w:rPr>
            </w:pPr>
            <w:r w:rsidRPr="198B8B94">
              <w:rPr>
                <w:rFonts w:asciiTheme="minorHAnsi" w:hAnsiTheme="minorHAnsi" w:cstheme="minorBidi"/>
                <w:i/>
                <w:sz w:val="20"/>
                <w:szCs w:val="20"/>
              </w:rPr>
              <w:t>(30.8)</w:t>
            </w:r>
          </w:p>
        </w:tc>
      </w:tr>
      <w:tr w:rsidR="00515584" w:rsidRPr="00FF3FAD" w14:paraId="2DD882E2" w14:textId="77777777" w:rsidTr="4EC1664A">
        <w:trPr>
          <w:trHeight w:val="240"/>
        </w:trPr>
        <w:tc>
          <w:tcPr>
            <w:tcW w:w="2433" w:type="pct"/>
            <w:tcBorders>
              <w:top w:val="single" w:sz="4" w:space="0" w:color="auto"/>
              <w:left w:val="nil"/>
              <w:bottom w:val="single" w:sz="4" w:space="0" w:color="FFFFFF" w:themeColor="background1"/>
              <w:right w:val="nil"/>
            </w:tcBorders>
            <w:vAlign w:val="center"/>
          </w:tcPr>
          <w:p w14:paraId="24AFC511" w14:textId="77777777" w:rsidR="00515584" w:rsidRPr="00FF3FAD" w:rsidRDefault="00515584" w:rsidP="00AF5A74">
            <w:pPr>
              <w:ind w:right="115"/>
              <w:rPr>
                <w:rFonts w:asciiTheme="minorHAnsi" w:eastAsia="Poppins" w:hAnsiTheme="minorHAnsi" w:cstheme="minorBidi"/>
                <w:sz w:val="20"/>
                <w:szCs w:val="20"/>
              </w:rPr>
            </w:pPr>
            <w:r w:rsidRPr="198B8B94">
              <w:rPr>
                <w:rFonts w:asciiTheme="minorHAnsi" w:eastAsia="Poppins" w:hAnsiTheme="minorHAnsi" w:cstheme="minorBidi"/>
                <w:sz w:val="20"/>
                <w:szCs w:val="20"/>
              </w:rPr>
              <w:t>Total income</w:t>
            </w:r>
          </w:p>
        </w:tc>
        <w:tc>
          <w:tcPr>
            <w:tcW w:w="738" w:type="pct"/>
            <w:tcBorders>
              <w:top w:val="single" w:sz="4" w:space="0" w:color="auto"/>
              <w:left w:val="nil"/>
              <w:bottom w:val="nil"/>
              <w:right w:val="nil"/>
            </w:tcBorders>
            <w:shd w:val="clear" w:color="auto" w:fill="F2F2F2" w:themeFill="background1" w:themeFillShade="F2"/>
          </w:tcPr>
          <w:p w14:paraId="0627E6D6" w14:textId="2B2B6E22" w:rsidR="00515584" w:rsidRPr="006D4208" w:rsidRDefault="00032551" w:rsidP="00AF5A74">
            <w:pPr>
              <w:jc w:val="right"/>
              <w:rPr>
                <w:rFonts w:asciiTheme="minorHAnsi" w:hAnsiTheme="minorHAnsi" w:cstheme="minorBidi"/>
                <w:b/>
                <w:sz w:val="20"/>
                <w:szCs w:val="20"/>
              </w:rPr>
            </w:pPr>
            <w:r w:rsidRPr="198B8B94">
              <w:rPr>
                <w:rFonts w:asciiTheme="minorHAnsi" w:hAnsiTheme="minorHAnsi" w:cstheme="minorBidi"/>
                <w:b/>
                <w:sz w:val="20"/>
                <w:szCs w:val="20"/>
              </w:rPr>
              <w:t>7.</w:t>
            </w:r>
            <w:r w:rsidR="00346757">
              <w:rPr>
                <w:rFonts w:asciiTheme="minorHAnsi" w:hAnsiTheme="minorHAnsi" w:cstheme="minorBidi"/>
                <w:b/>
                <w:sz w:val="20"/>
                <w:szCs w:val="20"/>
              </w:rPr>
              <w:t>2</w:t>
            </w:r>
          </w:p>
        </w:tc>
        <w:tc>
          <w:tcPr>
            <w:tcW w:w="977" w:type="pct"/>
            <w:tcBorders>
              <w:top w:val="single" w:sz="4" w:space="0" w:color="auto"/>
              <w:left w:val="nil"/>
              <w:bottom w:val="single" w:sz="4" w:space="0" w:color="FFFFFF" w:themeColor="background1"/>
              <w:right w:val="nil"/>
            </w:tcBorders>
          </w:tcPr>
          <w:p w14:paraId="43CF420F" w14:textId="42478948" w:rsidR="00515584" w:rsidRPr="006D4208" w:rsidRDefault="00515584" w:rsidP="00AF5A74">
            <w:pPr>
              <w:jc w:val="right"/>
              <w:rPr>
                <w:rFonts w:asciiTheme="minorHAnsi" w:hAnsiTheme="minorHAnsi" w:cstheme="minorBidi"/>
                <w:sz w:val="20"/>
                <w:szCs w:val="20"/>
              </w:rPr>
            </w:pPr>
            <w:r w:rsidRPr="198B8B94">
              <w:rPr>
                <w:rFonts w:asciiTheme="minorHAnsi" w:hAnsiTheme="minorHAnsi" w:cstheme="minorBidi"/>
                <w:sz w:val="20"/>
                <w:szCs w:val="20"/>
              </w:rPr>
              <w:t>1</w:t>
            </w:r>
            <w:r w:rsidR="00954387" w:rsidRPr="198B8B94">
              <w:rPr>
                <w:rFonts w:asciiTheme="minorHAnsi" w:hAnsiTheme="minorHAnsi" w:cstheme="minorBidi"/>
                <w:sz w:val="20"/>
                <w:szCs w:val="20"/>
              </w:rPr>
              <w:t>0.4</w:t>
            </w:r>
          </w:p>
        </w:tc>
        <w:tc>
          <w:tcPr>
            <w:tcW w:w="852" w:type="pct"/>
            <w:tcBorders>
              <w:top w:val="single" w:sz="4" w:space="0" w:color="auto"/>
              <w:left w:val="nil"/>
              <w:bottom w:val="single" w:sz="4" w:space="0" w:color="FFFFFF" w:themeColor="background1"/>
              <w:right w:val="nil"/>
            </w:tcBorders>
          </w:tcPr>
          <w:p w14:paraId="01261AA3" w14:textId="5D4C9A1E" w:rsidR="00515584" w:rsidRPr="006D4208" w:rsidRDefault="00491BFB" w:rsidP="00AF5A74">
            <w:pPr>
              <w:jc w:val="right"/>
              <w:rPr>
                <w:rFonts w:asciiTheme="minorHAnsi" w:hAnsiTheme="minorHAnsi" w:cstheme="minorBidi"/>
                <w:i/>
                <w:sz w:val="20"/>
                <w:szCs w:val="20"/>
              </w:rPr>
            </w:pPr>
            <w:r w:rsidRPr="198B8B94">
              <w:rPr>
                <w:rFonts w:asciiTheme="minorHAnsi" w:hAnsiTheme="minorHAnsi" w:cstheme="minorBidi"/>
                <w:i/>
                <w:sz w:val="20"/>
                <w:szCs w:val="20"/>
              </w:rPr>
              <w:t>(30.8)</w:t>
            </w:r>
          </w:p>
        </w:tc>
      </w:tr>
      <w:tr w:rsidR="00515584" w:rsidRPr="00FF3FAD" w14:paraId="56B97BDD" w14:textId="77777777" w:rsidTr="4EC1664A">
        <w:trPr>
          <w:trHeight w:val="240"/>
        </w:trPr>
        <w:tc>
          <w:tcPr>
            <w:tcW w:w="2433" w:type="pct"/>
            <w:tcBorders>
              <w:top w:val="single" w:sz="4" w:space="0" w:color="FFFFFF" w:themeColor="background1"/>
              <w:left w:val="nil"/>
              <w:bottom w:val="single" w:sz="4" w:space="0" w:color="auto"/>
              <w:right w:val="nil"/>
            </w:tcBorders>
            <w:vAlign w:val="center"/>
          </w:tcPr>
          <w:p w14:paraId="6621DD42" w14:textId="77777777" w:rsidR="00515584" w:rsidRPr="00FF3FAD" w:rsidRDefault="00515584" w:rsidP="00AF5A74">
            <w:pPr>
              <w:ind w:right="115"/>
              <w:rPr>
                <w:rFonts w:asciiTheme="minorHAnsi" w:eastAsia="Poppins" w:hAnsiTheme="minorHAnsi" w:cstheme="minorBidi"/>
                <w:sz w:val="20"/>
                <w:szCs w:val="20"/>
              </w:rPr>
            </w:pPr>
            <w:r w:rsidRPr="198B8B94">
              <w:rPr>
                <w:rFonts w:asciiTheme="minorHAnsi" w:eastAsia="Poppins" w:hAnsiTheme="minorHAnsi" w:cstheme="minorBidi"/>
                <w:sz w:val="20"/>
                <w:szCs w:val="20"/>
              </w:rPr>
              <w:t>Impairment charges</w:t>
            </w:r>
          </w:p>
        </w:tc>
        <w:tc>
          <w:tcPr>
            <w:tcW w:w="738" w:type="pct"/>
            <w:tcBorders>
              <w:top w:val="nil"/>
              <w:left w:val="nil"/>
              <w:bottom w:val="single" w:sz="4" w:space="0" w:color="auto"/>
              <w:right w:val="nil"/>
            </w:tcBorders>
            <w:shd w:val="clear" w:color="auto" w:fill="F2F2F2" w:themeFill="background1" w:themeFillShade="F2"/>
          </w:tcPr>
          <w:p w14:paraId="3C322B6B" w14:textId="25A5CE30" w:rsidR="00515584" w:rsidRPr="006D4208" w:rsidRDefault="00515584" w:rsidP="00AF5A74">
            <w:pPr>
              <w:jc w:val="right"/>
              <w:rPr>
                <w:rFonts w:asciiTheme="minorHAnsi" w:hAnsiTheme="minorHAnsi" w:cstheme="minorBidi"/>
                <w:b/>
                <w:sz w:val="20"/>
                <w:szCs w:val="20"/>
              </w:rPr>
            </w:pPr>
            <w:r w:rsidRPr="198B8B94">
              <w:rPr>
                <w:rFonts w:asciiTheme="minorHAnsi" w:hAnsiTheme="minorHAnsi" w:cstheme="minorBidi"/>
                <w:b/>
                <w:sz w:val="20"/>
                <w:szCs w:val="20"/>
              </w:rPr>
              <w:t>(</w:t>
            </w:r>
            <w:r w:rsidR="00032551" w:rsidRPr="198B8B94">
              <w:rPr>
                <w:rFonts w:asciiTheme="minorHAnsi" w:hAnsiTheme="minorHAnsi" w:cstheme="minorBidi"/>
                <w:b/>
                <w:sz w:val="20"/>
                <w:szCs w:val="20"/>
              </w:rPr>
              <w:t>4.</w:t>
            </w:r>
            <w:r w:rsidR="002A434B">
              <w:rPr>
                <w:rFonts w:asciiTheme="minorHAnsi" w:hAnsiTheme="minorHAnsi" w:cstheme="minorBidi"/>
                <w:b/>
                <w:sz w:val="20"/>
                <w:szCs w:val="20"/>
              </w:rPr>
              <w:t>9</w:t>
            </w:r>
            <w:r w:rsidRPr="198B8B94">
              <w:rPr>
                <w:rFonts w:asciiTheme="minorHAnsi" w:hAnsiTheme="minorHAnsi" w:cstheme="minorBidi"/>
                <w:b/>
                <w:sz w:val="20"/>
                <w:szCs w:val="20"/>
              </w:rPr>
              <w:t>)</w:t>
            </w:r>
          </w:p>
        </w:tc>
        <w:tc>
          <w:tcPr>
            <w:tcW w:w="977" w:type="pct"/>
            <w:tcBorders>
              <w:top w:val="single" w:sz="4" w:space="0" w:color="FFFFFF" w:themeColor="background1"/>
              <w:left w:val="nil"/>
              <w:bottom w:val="single" w:sz="4" w:space="0" w:color="auto"/>
              <w:right w:val="nil"/>
            </w:tcBorders>
          </w:tcPr>
          <w:p w14:paraId="6BB88262" w14:textId="7533D256" w:rsidR="00515584" w:rsidRPr="006D4208" w:rsidRDefault="00515584" w:rsidP="00AF5A74">
            <w:pPr>
              <w:jc w:val="right"/>
              <w:rPr>
                <w:rFonts w:asciiTheme="minorHAnsi" w:hAnsiTheme="minorHAnsi" w:cstheme="minorBidi"/>
                <w:sz w:val="20"/>
                <w:szCs w:val="20"/>
              </w:rPr>
            </w:pPr>
            <w:r w:rsidRPr="198B8B94">
              <w:rPr>
                <w:rFonts w:asciiTheme="minorHAnsi" w:hAnsiTheme="minorHAnsi" w:cstheme="minorBidi"/>
                <w:sz w:val="20"/>
                <w:szCs w:val="20"/>
              </w:rPr>
              <w:t>(</w:t>
            </w:r>
            <w:r w:rsidR="000256C6" w:rsidRPr="198B8B94">
              <w:rPr>
                <w:rFonts w:asciiTheme="minorHAnsi" w:hAnsiTheme="minorHAnsi" w:cstheme="minorBidi"/>
                <w:sz w:val="20"/>
                <w:szCs w:val="20"/>
              </w:rPr>
              <w:t>11.0</w:t>
            </w:r>
            <w:r w:rsidRPr="198B8B94">
              <w:rPr>
                <w:rFonts w:asciiTheme="minorHAnsi" w:hAnsiTheme="minorHAnsi" w:cstheme="minorBidi"/>
                <w:sz w:val="20"/>
                <w:szCs w:val="20"/>
              </w:rPr>
              <w:t>)</w:t>
            </w:r>
          </w:p>
        </w:tc>
        <w:tc>
          <w:tcPr>
            <w:tcW w:w="852" w:type="pct"/>
            <w:tcBorders>
              <w:top w:val="single" w:sz="4" w:space="0" w:color="FFFFFF" w:themeColor="background1"/>
              <w:left w:val="nil"/>
              <w:bottom w:val="single" w:sz="4" w:space="0" w:color="auto"/>
              <w:right w:val="nil"/>
            </w:tcBorders>
          </w:tcPr>
          <w:p w14:paraId="206ED3A1" w14:textId="5E160D5D" w:rsidR="00515584" w:rsidRPr="006D4208" w:rsidRDefault="008B0D1C" w:rsidP="00AF5A74">
            <w:pPr>
              <w:jc w:val="right"/>
              <w:rPr>
                <w:rFonts w:asciiTheme="minorHAnsi" w:hAnsiTheme="minorHAnsi" w:cstheme="minorBidi"/>
                <w:i/>
                <w:sz w:val="20"/>
                <w:szCs w:val="20"/>
              </w:rPr>
            </w:pPr>
            <w:r w:rsidRPr="198B8B94">
              <w:rPr>
                <w:rFonts w:asciiTheme="minorHAnsi" w:hAnsiTheme="minorHAnsi" w:cstheme="minorBidi"/>
                <w:i/>
                <w:sz w:val="20"/>
                <w:szCs w:val="20"/>
              </w:rPr>
              <w:t>(55.5)</w:t>
            </w:r>
          </w:p>
        </w:tc>
      </w:tr>
      <w:tr w:rsidR="00515584" w:rsidRPr="00FF3FAD" w14:paraId="0D0D528E" w14:textId="77777777" w:rsidTr="4EC1664A">
        <w:trPr>
          <w:trHeight w:val="240"/>
        </w:trPr>
        <w:tc>
          <w:tcPr>
            <w:tcW w:w="2433" w:type="pct"/>
            <w:tcBorders>
              <w:top w:val="single" w:sz="4" w:space="0" w:color="auto"/>
              <w:left w:val="nil"/>
              <w:bottom w:val="single" w:sz="4" w:space="0" w:color="FFFFFF" w:themeColor="background1"/>
              <w:right w:val="nil"/>
            </w:tcBorders>
            <w:vAlign w:val="center"/>
          </w:tcPr>
          <w:p w14:paraId="24D1A5DA" w14:textId="77777777" w:rsidR="00515584" w:rsidRPr="00FF3FAD" w:rsidRDefault="00515584" w:rsidP="00AF5A74">
            <w:pPr>
              <w:ind w:right="115"/>
              <w:rPr>
                <w:rFonts w:asciiTheme="minorHAnsi" w:eastAsia="Poppins" w:hAnsiTheme="minorHAnsi" w:cstheme="minorBidi"/>
                <w:sz w:val="20"/>
                <w:szCs w:val="20"/>
              </w:rPr>
            </w:pPr>
            <w:r w:rsidRPr="198B8B94">
              <w:rPr>
                <w:rFonts w:asciiTheme="minorHAnsi" w:eastAsia="Poppins" w:hAnsiTheme="minorHAnsi" w:cstheme="minorBidi"/>
                <w:sz w:val="20"/>
                <w:szCs w:val="20"/>
              </w:rPr>
              <w:t>Risk-adjusted income</w:t>
            </w:r>
          </w:p>
        </w:tc>
        <w:tc>
          <w:tcPr>
            <w:tcW w:w="738" w:type="pct"/>
            <w:tcBorders>
              <w:top w:val="single" w:sz="4" w:space="0" w:color="auto"/>
              <w:left w:val="nil"/>
              <w:bottom w:val="nil"/>
              <w:right w:val="nil"/>
            </w:tcBorders>
            <w:shd w:val="clear" w:color="auto" w:fill="F2F2F2" w:themeFill="background1" w:themeFillShade="F2"/>
          </w:tcPr>
          <w:p w14:paraId="19D46A7F" w14:textId="57C16DCB" w:rsidR="00515584" w:rsidRPr="006D4208" w:rsidRDefault="00032551" w:rsidP="00AF5A74">
            <w:pPr>
              <w:jc w:val="right"/>
              <w:rPr>
                <w:rFonts w:asciiTheme="minorHAnsi" w:hAnsiTheme="minorHAnsi" w:cstheme="minorBidi"/>
                <w:b/>
                <w:sz w:val="20"/>
                <w:szCs w:val="20"/>
              </w:rPr>
            </w:pPr>
            <w:r w:rsidRPr="198B8B94">
              <w:rPr>
                <w:rFonts w:asciiTheme="minorHAnsi" w:hAnsiTheme="minorHAnsi" w:cstheme="minorBidi"/>
                <w:b/>
                <w:sz w:val="20"/>
                <w:szCs w:val="20"/>
              </w:rPr>
              <w:t>2.3</w:t>
            </w:r>
          </w:p>
        </w:tc>
        <w:tc>
          <w:tcPr>
            <w:tcW w:w="977" w:type="pct"/>
            <w:tcBorders>
              <w:top w:val="single" w:sz="4" w:space="0" w:color="auto"/>
              <w:left w:val="nil"/>
              <w:bottom w:val="single" w:sz="4" w:space="0" w:color="FFFFFF" w:themeColor="background1"/>
              <w:right w:val="nil"/>
            </w:tcBorders>
          </w:tcPr>
          <w:p w14:paraId="05065CDD" w14:textId="36B05A5B" w:rsidR="00515584" w:rsidRPr="006D4208" w:rsidRDefault="005824F1" w:rsidP="00AF5A74">
            <w:pPr>
              <w:jc w:val="right"/>
              <w:rPr>
                <w:rFonts w:asciiTheme="minorHAnsi" w:hAnsiTheme="minorHAnsi" w:cstheme="minorBidi"/>
                <w:sz w:val="20"/>
                <w:szCs w:val="20"/>
              </w:rPr>
            </w:pPr>
            <w:r w:rsidRPr="198B8B94">
              <w:rPr>
                <w:rFonts w:asciiTheme="minorHAnsi" w:hAnsiTheme="minorHAnsi" w:cstheme="minorBidi"/>
                <w:sz w:val="20"/>
                <w:szCs w:val="20"/>
              </w:rPr>
              <w:t>(0.6)</w:t>
            </w:r>
          </w:p>
        </w:tc>
        <w:tc>
          <w:tcPr>
            <w:tcW w:w="852" w:type="pct"/>
            <w:tcBorders>
              <w:top w:val="single" w:sz="4" w:space="0" w:color="auto"/>
              <w:left w:val="nil"/>
              <w:bottom w:val="single" w:sz="4" w:space="0" w:color="FFFFFF" w:themeColor="background1"/>
              <w:right w:val="nil"/>
            </w:tcBorders>
          </w:tcPr>
          <w:p w14:paraId="60252BC7" w14:textId="241D24A8" w:rsidR="00515584" w:rsidRPr="006D4208" w:rsidRDefault="00515584" w:rsidP="00AF5A74">
            <w:pPr>
              <w:jc w:val="right"/>
              <w:rPr>
                <w:rFonts w:asciiTheme="minorHAnsi" w:hAnsiTheme="minorHAnsi" w:cstheme="minorBidi"/>
                <w:i/>
                <w:sz w:val="20"/>
                <w:szCs w:val="20"/>
              </w:rPr>
            </w:pPr>
            <w:r w:rsidRPr="198B8B94">
              <w:rPr>
                <w:rFonts w:asciiTheme="minorHAnsi" w:hAnsiTheme="minorHAnsi" w:cstheme="minorBidi"/>
                <w:i/>
                <w:sz w:val="20"/>
                <w:szCs w:val="20"/>
              </w:rPr>
              <w:t>(</w:t>
            </w:r>
            <w:r w:rsidR="00F91691" w:rsidRPr="198B8B94">
              <w:rPr>
                <w:rFonts w:asciiTheme="minorHAnsi" w:hAnsiTheme="minorHAnsi" w:cstheme="minorBidi"/>
                <w:i/>
                <w:sz w:val="20"/>
                <w:szCs w:val="20"/>
              </w:rPr>
              <w:t>483.3</w:t>
            </w:r>
            <w:r w:rsidRPr="198B8B94">
              <w:rPr>
                <w:rFonts w:asciiTheme="minorHAnsi" w:hAnsiTheme="minorHAnsi" w:cstheme="minorBidi"/>
                <w:i/>
                <w:sz w:val="20"/>
                <w:szCs w:val="20"/>
              </w:rPr>
              <w:t>)</w:t>
            </w:r>
          </w:p>
        </w:tc>
      </w:tr>
      <w:tr w:rsidR="00515584" w:rsidRPr="00FF3FAD" w14:paraId="687F5B37" w14:textId="77777777" w:rsidTr="4EC1664A">
        <w:trPr>
          <w:trHeight w:val="240"/>
        </w:trPr>
        <w:tc>
          <w:tcPr>
            <w:tcW w:w="2433" w:type="pct"/>
            <w:tcBorders>
              <w:top w:val="single" w:sz="4" w:space="0" w:color="FFFFFF" w:themeColor="background1"/>
              <w:left w:val="nil"/>
              <w:bottom w:val="single" w:sz="4" w:space="0" w:color="auto"/>
              <w:right w:val="nil"/>
            </w:tcBorders>
            <w:vAlign w:val="center"/>
          </w:tcPr>
          <w:p w14:paraId="5324BC38" w14:textId="77777777" w:rsidR="00515584" w:rsidRPr="00FF3FAD" w:rsidRDefault="00515584" w:rsidP="00AF5A74">
            <w:pPr>
              <w:ind w:right="115"/>
              <w:rPr>
                <w:rFonts w:asciiTheme="minorHAnsi" w:eastAsia="Poppins" w:hAnsiTheme="minorHAnsi" w:cstheme="minorBidi"/>
                <w:sz w:val="20"/>
                <w:szCs w:val="20"/>
              </w:rPr>
            </w:pPr>
            <w:r w:rsidRPr="198B8B94">
              <w:rPr>
                <w:rFonts w:asciiTheme="minorHAnsi" w:eastAsia="Poppins" w:hAnsiTheme="minorHAnsi" w:cstheme="minorBidi"/>
                <w:sz w:val="20"/>
                <w:szCs w:val="20"/>
              </w:rPr>
              <w:t>Operating costs</w:t>
            </w:r>
            <w:r w:rsidRPr="198B8B94">
              <w:rPr>
                <w:rFonts w:asciiTheme="minorHAnsi" w:eastAsia="Poppins" w:hAnsiTheme="minorHAnsi" w:cstheme="minorBidi"/>
                <w:sz w:val="20"/>
                <w:szCs w:val="20"/>
                <w:vertAlign w:val="superscript"/>
              </w:rPr>
              <w:t xml:space="preserve"> </w:t>
            </w:r>
          </w:p>
        </w:tc>
        <w:tc>
          <w:tcPr>
            <w:tcW w:w="738" w:type="pct"/>
            <w:tcBorders>
              <w:top w:val="nil"/>
              <w:left w:val="nil"/>
              <w:bottom w:val="single" w:sz="4" w:space="0" w:color="auto"/>
              <w:right w:val="nil"/>
            </w:tcBorders>
            <w:shd w:val="clear" w:color="auto" w:fill="F2F2F2" w:themeFill="background1" w:themeFillShade="F2"/>
          </w:tcPr>
          <w:p w14:paraId="435597BF" w14:textId="11320FA7" w:rsidR="00515584" w:rsidRPr="006D4208" w:rsidRDefault="00515584" w:rsidP="00AF5A74">
            <w:pPr>
              <w:jc w:val="right"/>
              <w:rPr>
                <w:rFonts w:asciiTheme="minorHAnsi" w:hAnsiTheme="minorHAnsi" w:cstheme="minorBidi"/>
                <w:b/>
                <w:sz w:val="20"/>
                <w:szCs w:val="20"/>
              </w:rPr>
            </w:pPr>
            <w:r w:rsidRPr="198B8B94">
              <w:rPr>
                <w:rFonts w:asciiTheme="minorHAnsi" w:hAnsiTheme="minorHAnsi" w:cstheme="minorBidi"/>
                <w:b/>
                <w:sz w:val="20"/>
                <w:szCs w:val="20"/>
              </w:rPr>
              <w:t>(</w:t>
            </w:r>
            <w:r w:rsidR="00032551" w:rsidRPr="198B8B94">
              <w:rPr>
                <w:rFonts w:asciiTheme="minorHAnsi" w:hAnsiTheme="minorHAnsi" w:cstheme="minorBidi"/>
                <w:b/>
                <w:sz w:val="20"/>
                <w:szCs w:val="20"/>
              </w:rPr>
              <w:t>6.1</w:t>
            </w:r>
            <w:r w:rsidRPr="198B8B94">
              <w:rPr>
                <w:rFonts w:asciiTheme="minorHAnsi" w:hAnsiTheme="minorHAnsi" w:cstheme="minorBidi"/>
                <w:b/>
                <w:sz w:val="20"/>
                <w:szCs w:val="20"/>
              </w:rPr>
              <w:t>)</w:t>
            </w:r>
          </w:p>
        </w:tc>
        <w:tc>
          <w:tcPr>
            <w:tcW w:w="977" w:type="pct"/>
            <w:tcBorders>
              <w:top w:val="single" w:sz="4" w:space="0" w:color="FFFFFF" w:themeColor="background1"/>
              <w:left w:val="nil"/>
              <w:bottom w:val="single" w:sz="4" w:space="0" w:color="auto"/>
              <w:right w:val="nil"/>
            </w:tcBorders>
          </w:tcPr>
          <w:p w14:paraId="45AB4757" w14:textId="29A8D16B" w:rsidR="00515584" w:rsidRPr="006D4208" w:rsidRDefault="00515584" w:rsidP="00AF5A74">
            <w:pPr>
              <w:jc w:val="right"/>
              <w:rPr>
                <w:rFonts w:asciiTheme="minorHAnsi" w:hAnsiTheme="minorHAnsi" w:cstheme="minorBidi"/>
                <w:sz w:val="20"/>
                <w:szCs w:val="20"/>
              </w:rPr>
            </w:pPr>
            <w:r w:rsidRPr="198B8B94">
              <w:rPr>
                <w:rFonts w:asciiTheme="minorHAnsi" w:hAnsiTheme="minorHAnsi" w:cstheme="minorBidi"/>
                <w:sz w:val="20"/>
                <w:szCs w:val="20"/>
              </w:rPr>
              <w:t>(</w:t>
            </w:r>
            <w:r w:rsidR="005824F1" w:rsidRPr="198B8B94">
              <w:rPr>
                <w:rFonts w:asciiTheme="minorHAnsi" w:hAnsiTheme="minorHAnsi" w:cstheme="minorBidi"/>
                <w:sz w:val="20"/>
                <w:szCs w:val="20"/>
              </w:rPr>
              <w:t>8.7</w:t>
            </w:r>
            <w:r w:rsidRPr="198B8B94">
              <w:rPr>
                <w:rFonts w:asciiTheme="minorHAnsi" w:hAnsiTheme="minorHAnsi" w:cstheme="minorBidi"/>
                <w:sz w:val="20"/>
                <w:szCs w:val="20"/>
              </w:rPr>
              <w:t>)</w:t>
            </w:r>
          </w:p>
        </w:tc>
        <w:tc>
          <w:tcPr>
            <w:tcW w:w="852" w:type="pct"/>
            <w:tcBorders>
              <w:top w:val="single" w:sz="4" w:space="0" w:color="FFFFFF" w:themeColor="background1"/>
              <w:left w:val="nil"/>
              <w:bottom w:val="single" w:sz="4" w:space="0" w:color="auto"/>
              <w:right w:val="nil"/>
            </w:tcBorders>
          </w:tcPr>
          <w:p w14:paraId="56DC9CFC" w14:textId="1460E308" w:rsidR="00515584" w:rsidRPr="006D4208" w:rsidRDefault="00515584" w:rsidP="00AF5A74">
            <w:pPr>
              <w:jc w:val="right"/>
              <w:rPr>
                <w:rFonts w:asciiTheme="minorHAnsi" w:hAnsiTheme="minorHAnsi" w:cstheme="minorBidi"/>
                <w:i/>
                <w:sz w:val="20"/>
                <w:szCs w:val="20"/>
              </w:rPr>
            </w:pPr>
            <w:r w:rsidRPr="198B8B94">
              <w:rPr>
                <w:rFonts w:asciiTheme="minorHAnsi" w:hAnsiTheme="minorHAnsi" w:cstheme="minorBidi"/>
                <w:i/>
                <w:sz w:val="20"/>
                <w:szCs w:val="20"/>
              </w:rPr>
              <w:t>(</w:t>
            </w:r>
            <w:r w:rsidR="001E2ABF" w:rsidRPr="198B8B94">
              <w:rPr>
                <w:rFonts w:asciiTheme="minorHAnsi" w:hAnsiTheme="minorHAnsi" w:cstheme="minorBidi"/>
                <w:i/>
                <w:sz w:val="20"/>
                <w:szCs w:val="20"/>
              </w:rPr>
              <w:t>29.9</w:t>
            </w:r>
            <w:r w:rsidRPr="198B8B94">
              <w:rPr>
                <w:rFonts w:asciiTheme="minorHAnsi" w:hAnsiTheme="minorHAnsi" w:cstheme="minorBidi"/>
                <w:i/>
                <w:sz w:val="20"/>
                <w:szCs w:val="20"/>
              </w:rPr>
              <w:t>)</w:t>
            </w:r>
          </w:p>
        </w:tc>
      </w:tr>
      <w:tr w:rsidR="00515584" w:rsidRPr="00FF3FAD" w14:paraId="56BA3748" w14:textId="77777777" w:rsidTr="00AF5A74">
        <w:trPr>
          <w:trHeight w:val="240"/>
        </w:trPr>
        <w:tc>
          <w:tcPr>
            <w:tcW w:w="2433" w:type="pct"/>
            <w:tcBorders>
              <w:top w:val="single" w:sz="4" w:space="0" w:color="auto"/>
              <w:left w:val="nil"/>
              <w:bottom w:val="single" w:sz="4" w:space="0" w:color="auto"/>
              <w:right w:val="nil"/>
            </w:tcBorders>
            <w:vAlign w:val="center"/>
          </w:tcPr>
          <w:p w14:paraId="78DB4DDB" w14:textId="77777777" w:rsidR="00515584" w:rsidRPr="00FF3FAD" w:rsidRDefault="00515584" w:rsidP="00AF5A74">
            <w:pPr>
              <w:ind w:right="115"/>
              <w:rPr>
                <w:rFonts w:asciiTheme="minorHAnsi" w:eastAsia="Poppins" w:hAnsiTheme="minorHAnsi" w:cstheme="minorBidi"/>
                <w:sz w:val="20"/>
                <w:szCs w:val="20"/>
              </w:rPr>
            </w:pPr>
            <w:r w:rsidRPr="198B8B94">
              <w:rPr>
                <w:rFonts w:asciiTheme="minorHAnsi" w:eastAsia="Poppins" w:hAnsiTheme="minorHAnsi" w:cstheme="minorBidi"/>
                <w:b/>
                <w:sz w:val="20"/>
                <w:szCs w:val="20"/>
              </w:rPr>
              <w:t xml:space="preserve">LBT contribution </w:t>
            </w:r>
          </w:p>
        </w:tc>
        <w:tc>
          <w:tcPr>
            <w:tcW w:w="738" w:type="pct"/>
            <w:tcBorders>
              <w:top w:val="single" w:sz="4" w:space="0" w:color="auto"/>
              <w:left w:val="nil"/>
              <w:bottom w:val="single" w:sz="4" w:space="0" w:color="auto"/>
              <w:right w:val="nil"/>
            </w:tcBorders>
            <w:shd w:val="clear" w:color="auto" w:fill="F2F2F2" w:themeFill="background1" w:themeFillShade="F2"/>
          </w:tcPr>
          <w:p w14:paraId="1046B496" w14:textId="170A5E06" w:rsidR="00515584" w:rsidRPr="006D4208" w:rsidRDefault="00515584" w:rsidP="00AF5A74">
            <w:pPr>
              <w:jc w:val="right"/>
              <w:rPr>
                <w:rFonts w:asciiTheme="minorHAnsi" w:hAnsiTheme="minorHAnsi" w:cstheme="minorBidi"/>
                <w:b/>
                <w:sz w:val="20"/>
                <w:szCs w:val="20"/>
              </w:rPr>
            </w:pPr>
            <w:r w:rsidRPr="198B8B94">
              <w:rPr>
                <w:rFonts w:asciiTheme="minorHAnsi" w:hAnsiTheme="minorHAnsi" w:cstheme="minorBidi"/>
                <w:b/>
                <w:sz w:val="20"/>
                <w:szCs w:val="20"/>
              </w:rPr>
              <w:t>(</w:t>
            </w:r>
            <w:r w:rsidR="00032551" w:rsidRPr="198B8B94">
              <w:rPr>
                <w:rFonts w:asciiTheme="minorHAnsi" w:hAnsiTheme="minorHAnsi" w:cstheme="minorBidi"/>
                <w:b/>
                <w:sz w:val="20"/>
                <w:szCs w:val="20"/>
              </w:rPr>
              <w:t>3.</w:t>
            </w:r>
            <w:r w:rsidR="00910501" w:rsidRPr="198B8B94">
              <w:rPr>
                <w:rFonts w:asciiTheme="minorHAnsi" w:hAnsiTheme="minorHAnsi" w:cstheme="minorBidi"/>
                <w:b/>
                <w:sz w:val="20"/>
                <w:szCs w:val="20"/>
              </w:rPr>
              <w:t>8</w:t>
            </w:r>
            <w:r w:rsidRPr="198B8B94">
              <w:rPr>
                <w:rFonts w:asciiTheme="minorHAnsi" w:hAnsiTheme="minorHAnsi" w:cstheme="minorBidi"/>
                <w:b/>
                <w:sz w:val="20"/>
                <w:szCs w:val="20"/>
              </w:rPr>
              <w:t>)</w:t>
            </w:r>
          </w:p>
        </w:tc>
        <w:tc>
          <w:tcPr>
            <w:tcW w:w="977" w:type="pct"/>
            <w:tcBorders>
              <w:top w:val="single" w:sz="4" w:space="0" w:color="auto"/>
              <w:left w:val="nil"/>
              <w:bottom w:val="single" w:sz="4" w:space="0" w:color="auto"/>
              <w:right w:val="nil"/>
            </w:tcBorders>
          </w:tcPr>
          <w:p w14:paraId="038A92DF" w14:textId="73B82464" w:rsidR="00515584" w:rsidRPr="006D4208" w:rsidRDefault="00515584" w:rsidP="00AF5A74">
            <w:pPr>
              <w:jc w:val="right"/>
              <w:rPr>
                <w:rFonts w:asciiTheme="minorHAnsi" w:hAnsiTheme="minorHAnsi" w:cstheme="minorBidi"/>
                <w:sz w:val="20"/>
                <w:szCs w:val="20"/>
              </w:rPr>
            </w:pPr>
            <w:r w:rsidRPr="198B8B94">
              <w:rPr>
                <w:rFonts w:asciiTheme="minorHAnsi" w:hAnsiTheme="minorHAnsi" w:cstheme="minorBidi"/>
                <w:sz w:val="20"/>
                <w:szCs w:val="20"/>
              </w:rPr>
              <w:t>(</w:t>
            </w:r>
            <w:r w:rsidR="005824F1" w:rsidRPr="198B8B94">
              <w:rPr>
                <w:rFonts w:asciiTheme="minorHAnsi" w:hAnsiTheme="minorHAnsi" w:cstheme="minorBidi"/>
                <w:sz w:val="20"/>
                <w:szCs w:val="20"/>
              </w:rPr>
              <w:t>9.3</w:t>
            </w:r>
            <w:r w:rsidRPr="198B8B94">
              <w:rPr>
                <w:rFonts w:asciiTheme="minorHAnsi" w:hAnsiTheme="minorHAnsi" w:cstheme="minorBidi"/>
                <w:sz w:val="20"/>
                <w:szCs w:val="20"/>
              </w:rPr>
              <w:t>)</w:t>
            </w:r>
          </w:p>
        </w:tc>
        <w:tc>
          <w:tcPr>
            <w:tcW w:w="852" w:type="pct"/>
            <w:tcBorders>
              <w:top w:val="single" w:sz="4" w:space="0" w:color="auto"/>
              <w:left w:val="nil"/>
              <w:bottom w:val="single" w:sz="4" w:space="0" w:color="auto"/>
              <w:right w:val="nil"/>
            </w:tcBorders>
          </w:tcPr>
          <w:p w14:paraId="76312736" w14:textId="4ACF5368" w:rsidR="00515584" w:rsidRPr="006D4208" w:rsidRDefault="00515584" w:rsidP="00AF5A74">
            <w:pPr>
              <w:jc w:val="right"/>
              <w:rPr>
                <w:rFonts w:asciiTheme="minorHAnsi" w:hAnsiTheme="minorHAnsi" w:cstheme="minorBidi"/>
                <w:i/>
                <w:sz w:val="20"/>
                <w:szCs w:val="20"/>
              </w:rPr>
            </w:pPr>
            <w:r w:rsidRPr="198B8B94">
              <w:rPr>
                <w:rFonts w:asciiTheme="minorHAnsi" w:hAnsiTheme="minorHAnsi" w:cstheme="minorBidi"/>
                <w:i/>
                <w:sz w:val="20"/>
                <w:szCs w:val="20"/>
              </w:rPr>
              <w:t>(</w:t>
            </w:r>
            <w:r w:rsidR="008A397F" w:rsidRPr="198B8B94">
              <w:rPr>
                <w:rFonts w:asciiTheme="minorHAnsi" w:hAnsiTheme="minorHAnsi" w:cstheme="minorBidi"/>
                <w:i/>
                <w:sz w:val="20"/>
                <w:szCs w:val="20"/>
              </w:rPr>
              <w:t>59.1</w:t>
            </w:r>
            <w:r w:rsidRPr="198B8B94">
              <w:rPr>
                <w:rFonts w:asciiTheme="minorHAnsi" w:hAnsiTheme="minorHAnsi" w:cstheme="minorBidi"/>
                <w:i/>
                <w:sz w:val="20"/>
                <w:szCs w:val="20"/>
              </w:rPr>
              <w:t>)</w:t>
            </w:r>
          </w:p>
        </w:tc>
      </w:tr>
      <w:tr w:rsidR="00515584" w:rsidRPr="00FF3FAD" w14:paraId="26B6A133" w14:textId="77777777" w:rsidTr="00AF5A74">
        <w:trPr>
          <w:trHeight w:val="240"/>
        </w:trPr>
        <w:tc>
          <w:tcPr>
            <w:tcW w:w="2433" w:type="pct"/>
            <w:tcBorders>
              <w:top w:val="single" w:sz="4" w:space="0" w:color="auto"/>
              <w:left w:val="nil"/>
              <w:bottom w:val="single" w:sz="4" w:space="0" w:color="auto"/>
              <w:right w:val="nil"/>
            </w:tcBorders>
            <w:vAlign w:val="center"/>
          </w:tcPr>
          <w:p w14:paraId="40E797F4" w14:textId="77777777" w:rsidR="00515584" w:rsidRPr="00FF3FAD" w:rsidRDefault="00515584" w:rsidP="00AF5A74">
            <w:pPr>
              <w:ind w:right="115"/>
              <w:rPr>
                <w:rFonts w:asciiTheme="minorHAnsi" w:eastAsia="Poppins" w:hAnsiTheme="minorHAnsi" w:cstheme="minorBidi"/>
                <w:sz w:val="20"/>
                <w:szCs w:val="20"/>
              </w:rPr>
            </w:pPr>
          </w:p>
        </w:tc>
        <w:tc>
          <w:tcPr>
            <w:tcW w:w="738" w:type="pct"/>
            <w:tcBorders>
              <w:top w:val="single" w:sz="4" w:space="0" w:color="auto"/>
              <w:left w:val="nil"/>
              <w:bottom w:val="single" w:sz="4" w:space="0" w:color="auto"/>
              <w:right w:val="nil"/>
            </w:tcBorders>
            <w:shd w:val="clear" w:color="auto" w:fill="auto"/>
          </w:tcPr>
          <w:p w14:paraId="0FBD3A78" w14:textId="77777777" w:rsidR="00515584" w:rsidRPr="006D4208" w:rsidRDefault="00515584" w:rsidP="00AF5A74">
            <w:pPr>
              <w:jc w:val="right"/>
              <w:rPr>
                <w:rFonts w:asciiTheme="minorHAnsi" w:hAnsiTheme="minorHAnsi" w:cstheme="minorBidi"/>
                <w:b/>
                <w:sz w:val="20"/>
                <w:szCs w:val="20"/>
              </w:rPr>
            </w:pPr>
          </w:p>
        </w:tc>
        <w:tc>
          <w:tcPr>
            <w:tcW w:w="977" w:type="pct"/>
            <w:tcBorders>
              <w:top w:val="single" w:sz="4" w:space="0" w:color="auto"/>
              <w:left w:val="nil"/>
              <w:bottom w:val="single" w:sz="4" w:space="0" w:color="auto"/>
              <w:right w:val="nil"/>
            </w:tcBorders>
          </w:tcPr>
          <w:p w14:paraId="6978C45D" w14:textId="77777777" w:rsidR="00515584" w:rsidRPr="006D4208" w:rsidRDefault="00515584" w:rsidP="00AF5A74">
            <w:pPr>
              <w:jc w:val="right"/>
              <w:rPr>
                <w:rFonts w:asciiTheme="minorHAnsi" w:hAnsiTheme="minorHAnsi" w:cstheme="minorBidi"/>
                <w:sz w:val="20"/>
                <w:szCs w:val="20"/>
              </w:rPr>
            </w:pPr>
          </w:p>
        </w:tc>
        <w:tc>
          <w:tcPr>
            <w:tcW w:w="852" w:type="pct"/>
            <w:tcBorders>
              <w:top w:val="single" w:sz="4" w:space="0" w:color="auto"/>
              <w:left w:val="nil"/>
              <w:bottom w:val="single" w:sz="4" w:space="0" w:color="auto"/>
              <w:right w:val="nil"/>
            </w:tcBorders>
          </w:tcPr>
          <w:p w14:paraId="59121B85" w14:textId="77777777" w:rsidR="00515584" w:rsidRPr="006D4208" w:rsidRDefault="00515584" w:rsidP="00AF5A74">
            <w:pPr>
              <w:jc w:val="right"/>
              <w:rPr>
                <w:rFonts w:asciiTheme="minorHAnsi" w:hAnsiTheme="minorHAnsi" w:cstheme="minorBidi"/>
                <w:i/>
                <w:sz w:val="20"/>
                <w:szCs w:val="20"/>
              </w:rPr>
            </w:pPr>
          </w:p>
        </w:tc>
      </w:tr>
      <w:tr w:rsidR="00515584" w:rsidRPr="00FF3FAD" w14:paraId="161E4A94" w14:textId="77777777" w:rsidTr="4EC1664A">
        <w:trPr>
          <w:trHeight w:val="240"/>
        </w:trPr>
        <w:tc>
          <w:tcPr>
            <w:tcW w:w="2433" w:type="pct"/>
            <w:tcBorders>
              <w:top w:val="single" w:sz="4" w:space="0" w:color="auto"/>
              <w:left w:val="nil"/>
              <w:bottom w:val="single" w:sz="4" w:space="0" w:color="FFFFFF" w:themeColor="background1"/>
              <w:right w:val="nil"/>
            </w:tcBorders>
            <w:vAlign w:val="center"/>
          </w:tcPr>
          <w:p w14:paraId="4752D9E0" w14:textId="77777777" w:rsidR="00515584" w:rsidRPr="00FF3FAD" w:rsidRDefault="00515584" w:rsidP="00AF5A74">
            <w:pPr>
              <w:ind w:right="115"/>
              <w:rPr>
                <w:rFonts w:asciiTheme="minorHAnsi" w:eastAsia="Poppins" w:hAnsiTheme="minorHAnsi" w:cstheme="minorBidi"/>
                <w:sz w:val="20"/>
                <w:szCs w:val="20"/>
              </w:rPr>
            </w:pPr>
            <w:r w:rsidRPr="198B8B94">
              <w:rPr>
                <w:rFonts w:asciiTheme="minorHAnsi" w:eastAsia="Poppins" w:hAnsiTheme="minorHAnsi" w:cstheme="minorBidi"/>
                <w:sz w:val="20"/>
                <w:szCs w:val="20"/>
              </w:rPr>
              <w:t>Asset yield (%)</w:t>
            </w:r>
            <w:r w:rsidRPr="198B8B94">
              <w:rPr>
                <w:rFonts w:asciiTheme="minorHAnsi" w:eastAsia="Poppins" w:hAnsiTheme="minorHAnsi" w:cstheme="minorBidi"/>
                <w:sz w:val="20"/>
                <w:szCs w:val="20"/>
                <w:vertAlign w:val="superscript"/>
              </w:rPr>
              <w:t xml:space="preserve"> 2</w:t>
            </w:r>
          </w:p>
        </w:tc>
        <w:tc>
          <w:tcPr>
            <w:tcW w:w="738" w:type="pct"/>
            <w:tcBorders>
              <w:top w:val="single" w:sz="4" w:space="0" w:color="auto"/>
              <w:left w:val="nil"/>
              <w:bottom w:val="nil"/>
              <w:right w:val="nil"/>
            </w:tcBorders>
            <w:shd w:val="clear" w:color="auto" w:fill="F2F2F2" w:themeFill="background1" w:themeFillShade="F2"/>
          </w:tcPr>
          <w:p w14:paraId="507D30A1" w14:textId="44685D41" w:rsidR="00515584" w:rsidRPr="006D4208" w:rsidRDefault="00032551" w:rsidP="00AF5A74">
            <w:pPr>
              <w:jc w:val="right"/>
              <w:rPr>
                <w:rFonts w:asciiTheme="minorHAnsi" w:hAnsiTheme="minorHAnsi" w:cstheme="minorBidi"/>
                <w:b/>
                <w:sz w:val="20"/>
                <w:szCs w:val="20"/>
              </w:rPr>
            </w:pPr>
            <w:r w:rsidRPr="198B8B94">
              <w:rPr>
                <w:rFonts w:asciiTheme="minorHAnsi" w:hAnsiTheme="minorHAnsi" w:cstheme="minorBidi"/>
                <w:b/>
                <w:sz w:val="20"/>
                <w:szCs w:val="20"/>
              </w:rPr>
              <w:t>19.</w:t>
            </w:r>
            <w:r w:rsidR="00DA7E33">
              <w:rPr>
                <w:rFonts w:asciiTheme="minorHAnsi" w:hAnsiTheme="minorHAnsi" w:cstheme="minorBidi"/>
                <w:b/>
                <w:sz w:val="20"/>
                <w:szCs w:val="20"/>
              </w:rPr>
              <w:t>5</w:t>
            </w:r>
          </w:p>
        </w:tc>
        <w:tc>
          <w:tcPr>
            <w:tcW w:w="977" w:type="pct"/>
            <w:tcBorders>
              <w:top w:val="single" w:sz="4" w:space="0" w:color="auto"/>
              <w:left w:val="nil"/>
              <w:bottom w:val="single" w:sz="4" w:space="0" w:color="FFFFFF" w:themeColor="background1"/>
              <w:right w:val="nil"/>
            </w:tcBorders>
          </w:tcPr>
          <w:p w14:paraId="6DBF6A8D" w14:textId="3695FAEA" w:rsidR="00515584" w:rsidRPr="006D4208" w:rsidRDefault="00515584" w:rsidP="00AF5A74">
            <w:pPr>
              <w:jc w:val="right"/>
              <w:rPr>
                <w:rFonts w:asciiTheme="minorHAnsi" w:hAnsiTheme="minorHAnsi" w:cstheme="minorBidi"/>
                <w:sz w:val="20"/>
                <w:szCs w:val="20"/>
              </w:rPr>
            </w:pPr>
            <w:r w:rsidRPr="198B8B94">
              <w:rPr>
                <w:rFonts w:asciiTheme="minorHAnsi" w:hAnsiTheme="minorHAnsi" w:cstheme="minorBidi"/>
                <w:sz w:val="20"/>
                <w:szCs w:val="20"/>
              </w:rPr>
              <w:t>2</w:t>
            </w:r>
            <w:r w:rsidR="00AE51C0" w:rsidRPr="198B8B94">
              <w:rPr>
                <w:rFonts w:asciiTheme="minorHAnsi" w:hAnsiTheme="minorHAnsi" w:cstheme="minorBidi"/>
                <w:sz w:val="20"/>
                <w:szCs w:val="20"/>
              </w:rPr>
              <w:t>1.5</w:t>
            </w:r>
          </w:p>
        </w:tc>
        <w:tc>
          <w:tcPr>
            <w:tcW w:w="852" w:type="pct"/>
            <w:tcBorders>
              <w:top w:val="single" w:sz="4" w:space="0" w:color="auto"/>
              <w:left w:val="nil"/>
              <w:bottom w:val="single" w:sz="4" w:space="0" w:color="FFFFFF" w:themeColor="background1"/>
              <w:right w:val="nil"/>
            </w:tcBorders>
          </w:tcPr>
          <w:p w14:paraId="636789CC" w14:textId="3E291249" w:rsidR="00515584" w:rsidRPr="006D4208" w:rsidRDefault="00515584" w:rsidP="00AF5A74">
            <w:pPr>
              <w:jc w:val="right"/>
              <w:rPr>
                <w:rFonts w:asciiTheme="minorHAnsi" w:hAnsiTheme="minorHAnsi" w:cstheme="minorBidi"/>
                <w:i/>
                <w:sz w:val="20"/>
                <w:szCs w:val="20"/>
              </w:rPr>
            </w:pPr>
            <w:r w:rsidRPr="198B8B94">
              <w:rPr>
                <w:rFonts w:asciiTheme="minorHAnsi" w:hAnsiTheme="minorHAnsi" w:cstheme="minorBidi"/>
                <w:i/>
                <w:sz w:val="20"/>
                <w:szCs w:val="20"/>
              </w:rPr>
              <w:t>(</w:t>
            </w:r>
            <w:r w:rsidR="001929C5" w:rsidRPr="198B8B94">
              <w:rPr>
                <w:rFonts w:asciiTheme="minorHAnsi" w:hAnsiTheme="minorHAnsi" w:cstheme="minorBidi"/>
                <w:i/>
                <w:sz w:val="20"/>
                <w:szCs w:val="20"/>
              </w:rPr>
              <w:t>2.0</w:t>
            </w:r>
            <w:r w:rsidRPr="198B8B94">
              <w:rPr>
                <w:rFonts w:asciiTheme="minorHAnsi" w:hAnsiTheme="minorHAnsi" w:cstheme="minorBidi"/>
                <w:i/>
                <w:sz w:val="20"/>
                <w:szCs w:val="20"/>
              </w:rPr>
              <w:t>)</w:t>
            </w:r>
          </w:p>
        </w:tc>
      </w:tr>
      <w:tr w:rsidR="00515584" w:rsidRPr="00FF3FAD" w14:paraId="34091C0C" w14:textId="77777777" w:rsidTr="4EC1664A">
        <w:trPr>
          <w:trHeight w:val="240"/>
        </w:trPr>
        <w:tc>
          <w:tcPr>
            <w:tcW w:w="2433" w:type="pct"/>
            <w:tcBorders>
              <w:top w:val="single" w:sz="4" w:space="0" w:color="FFFFFF" w:themeColor="background1"/>
              <w:left w:val="nil"/>
              <w:bottom w:val="single" w:sz="4" w:space="0" w:color="FFFFFF" w:themeColor="background1"/>
              <w:right w:val="nil"/>
            </w:tcBorders>
            <w:vAlign w:val="center"/>
          </w:tcPr>
          <w:p w14:paraId="231FBFB9" w14:textId="77777777" w:rsidR="00515584" w:rsidRPr="00FF3FAD" w:rsidRDefault="00515584" w:rsidP="00AF5A74">
            <w:pPr>
              <w:ind w:right="115"/>
              <w:rPr>
                <w:rFonts w:asciiTheme="minorHAnsi" w:eastAsia="Poppins" w:hAnsiTheme="minorHAnsi" w:cstheme="minorBidi"/>
                <w:sz w:val="20"/>
                <w:szCs w:val="20"/>
              </w:rPr>
            </w:pPr>
            <w:r w:rsidRPr="198B8B94">
              <w:rPr>
                <w:rFonts w:asciiTheme="minorHAnsi" w:eastAsia="Poppins" w:hAnsiTheme="minorHAnsi" w:cstheme="minorBidi"/>
                <w:sz w:val="20"/>
                <w:szCs w:val="20"/>
              </w:rPr>
              <w:t>Cost of risk (%)</w:t>
            </w:r>
            <w:r w:rsidRPr="198B8B94">
              <w:rPr>
                <w:rFonts w:asciiTheme="minorHAnsi" w:eastAsia="Poppins" w:hAnsiTheme="minorHAnsi" w:cstheme="minorBidi"/>
                <w:sz w:val="20"/>
                <w:szCs w:val="20"/>
                <w:vertAlign w:val="superscript"/>
              </w:rPr>
              <w:t>3</w:t>
            </w:r>
          </w:p>
        </w:tc>
        <w:tc>
          <w:tcPr>
            <w:tcW w:w="738" w:type="pct"/>
            <w:tcBorders>
              <w:top w:val="nil"/>
              <w:left w:val="nil"/>
              <w:bottom w:val="nil"/>
              <w:right w:val="nil"/>
            </w:tcBorders>
            <w:shd w:val="clear" w:color="auto" w:fill="F2F2F2" w:themeFill="background1" w:themeFillShade="F2"/>
          </w:tcPr>
          <w:p w14:paraId="140AD947" w14:textId="491F5851" w:rsidR="00515584" w:rsidRPr="006D4208" w:rsidRDefault="00515584" w:rsidP="00AF5A74">
            <w:pPr>
              <w:jc w:val="right"/>
              <w:rPr>
                <w:rFonts w:asciiTheme="minorHAnsi" w:hAnsiTheme="minorHAnsi" w:cstheme="minorBidi"/>
                <w:b/>
                <w:sz w:val="20"/>
                <w:szCs w:val="20"/>
              </w:rPr>
            </w:pPr>
            <w:r w:rsidRPr="198B8B94">
              <w:rPr>
                <w:rFonts w:asciiTheme="minorHAnsi" w:hAnsiTheme="minorHAnsi" w:cstheme="minorBidi"/>
                <w:b/>
                <w:sz w:val="20"/>
                <w:szCs w:val="20"/>
              </w:rPr>
              <w:t>(</w:t>
            </w:r>
            <w:r w:rsidR="009465F5" w:rsidRPr="198B8B94">
              <w:rPr>
                <w:rFonts w:asciiTheme="minorHAnsi" w:hAnsiTheme="minorHAnsi" w:cstheme="minorBidi"/>
                <w:b/>
                <w:sz w:val="20"/>
                <w:szCs w:val="20"/>
              </w:rPr>
              <w:t>10.</w:t>
            </w:r>
            <w:r w:rsidR="00420087">
              <w:rPr>
                <w:rFonts w:asciiTheme="minorHAnsi" w:hAnsiTheme="minorHAnsi" w:cstheme="minorBidi"/>
                <w:b/>
                <w:sz w:val="20"/>
                <w:szCs w:val="20"/>
              </w:rPr>
              <w:t>4</w:t>
            </w:r>
            <w:r w:rsidRPr="198B8B94">
              <w:rPr>
                <w:rFonts w:asciiTheme="minorHAnsi" w:hAnsiTheme="minorHAnsi" w:cstheme="minorBidi"/>
                <w:b/>
                <w:sz w:val="20"/>
                <w:szCs w:val="20"/>
              </w:rPr>
              <w:t>)</w:t>
            </w:r>
          </w:p>
        </w:tc>
        <w:tc>
          <w:tcPr>
            <w:tcW w:w="977" w:type="pct"/>
            <w:tcBorders>
              <w:top w:val="single" w:sz="4" w:space="0" w:color="FFFFFF" w:themeColor="background1"/>
              <w:left w:val="nil"/>
              <w:bottom w:val="single" w:sz="4" w:space="0" w:color="FFFFFF" w:themeColor="background1"/>
              <w:right w:val="nil"/>
            </w:tcBorders>
          </w:tcPr>
          <w:p w14:paraId="7F3E2DB0" w14:textId="280FF0A1" w:rsidR="00515584" w:rsidRPr="006D4208" w:rsidRDefault="00A237F2" w:rsidP="00AF5A74">
            <w:pPr>
              <w:jc w:val="right"/>
              <w:rPr>
                <w:rFonts w:asciiTheme="minorHAnsi" w:hAnsiTheme="minorHAnsi" w:cstheme="minorBidi"/>
                <w:sz w:val="20"/>
                <w:szCs w:val="20"/>
              </w:rPr>
            </w:pPr>
            <w:r w:rsidRPr="198B8B94">
              <w:rPr>
                <w:rFonts w:asciiTheme="minorHAnsi" w:hAnsiTheme="minorHAnsi" w:cstheme="minorBidi"/>
                <w:sz w:val="20"/>
                <w:szCs w:val="20"/>
              </w:rPr>
              <w:t>(</w:t>
            </w:r>
            <w:r w:rsidR="00515584" w:rsidRPr="198B8B94">
              <w:rPr>
                <w:rFonts w:asciiTheme="minorHAnsi" w:hAnsiTheme="minorHAnsi" w:cstheme="minorBidi"/>
                <w:sz w:val="20"/>
                <w:szCs w:val="20"/>
              </w:rPr>
              <w:t>1</w:t>
            </w:r>
            <w:r w:rsidR="008D644A" w:rsidRPr="198B8B94">
              <w:rPr>
                <w:rFonts w:asciiTheme="minorHAnsi" w:hAnsiTheme="minorHAnsi" w:cstheme="minorBidi"/>
                <w:sz w:val="20"/>
                <w:szCs w:val="20"/>
              </w:rPr>
              <w:t>9.2</w:t>
            </w:r>
            <w:r w:rsidRPr="198B8B94">
              <w:rPr>
                <w:rFonts w:asciiTheme="minorHAnsi" w:hAnsiTheme="minorHAnsi" w:cstheme="minorBidi"/>
                <w:sz w:val="20"/>
                <w:szCs w:val="20"/>
              </w:rPr>
              <w:t>)</w:t>
            </w:r>
          </w:p>
        </w:tc>
        <w:tc>
          <w:tcPr>
            <w:tcW w:w="852" w:type="pct"/>
            <w:tcBorders>
              <w:top w:val="single" w:sz="4" w:space="0" w:color="FFFFFF" w:themeColor="background1"/>
              <w:left w:val="nil"/>
              <w:bottom w:val="single" w:sz="4" w:space="0" w:color="FFFFFF" w:themeColor="background1"/>
              <w:right w:val="nil"/>
            </w:tcBorders>
          </w:tcPr>
          <w:p w14:paraId="0F6BC249" w14:textId="1FFBD1D1" w:rsidR="00515584" w:rsidRPr="006D4208" w:rsidRDefault="00AD7020" w:rsidP="00AF5A74">
            <w:pPr>
              <w:jc w:val="right"/>
              <w:rPr>
                <w:rFonts w:asciiTheme="minorHAnsi" w:hAnsiTheme="minorHAnsi" w:cstheme="minorBidi"/>
                <w:i/>
                <w:sz w:val="20"/>
                <w:szCs w:val="20"/>
              </w:rPr>
            </w:pPr>
            <w:r w:rsidRPr="198B8B94">
              <w:rPr>
                <w:rFonts w:asciiTheme="minorHAnsi" w:hAnsiTheme="minorHAnsi" w:cstheme="minorBidi"/>
                <w:i/>
                <w:sz w:val="20"/>
                <w:szCs w:val="20"/>
              </w:rPr>
              <w:t>8.8</w:t>
            </w:r>
          </w:p>
        </w:tc>
      </w:tr>
      <w:tr w:rsidR="00515584" w:rsidRPr="00FF3FAD" w14:paraId="03C33284" w14:textId="77777777" w:rsidTr="4EC1664A">
        <w:trPr>
          <w:trHeight w:val="240"/>
        </w:trPr>
        <w:tc>
          <w:tcPr>
            <w:tcW w:w="2433" w:type="pct"/>
            <w:tcBorders>
              <w:top w:val="single" w:sz="4" w:space="0" w:color="FFFFFF" w:themeColor="background1"/>
              <w:left w:val="nil"/>
              <w:bottom w:val="single" w:sz="4" w:space="0" w:color="auto"/>
              <w:right w:val="nil"/>
            </w:tcBorders>
            <w:vAlign w:val="center"/>
          </w:tcPr>
          <w:p w14:paraId="5C85D4AB" w14:textId="77777777" w:rsidR="00515584" w:rsidRPr="00FF3FAD" w:rsidRDefault="00515584" w:rsidP="00AF5A74">
            <w:pPr>
              <w:ind w:right="115"/>
              <w:rPr>
                <w:rFonts w:asciiTheme="minorHAnsi" w:eastAsia="Poppins" w:hAnsiTheme="minorHAnsi" w:cstheme="minorBidi"/>
                <w:sz w:val="20"/>
                <w:szCs w:val="20"/>
              </w:rPr>
            </w:pPr>
            <w:r w:rsidRPr="198B8B94">
              <w:rPr>
                <w:rFonts w:asciiTheme="minorHAnsi" w:eastAsia="Poppins" w:hAnsiTheme="minorHAnsi" w:cstheme="minorBidi"/>
                <w:sz w:val="20"/>
                <w:szCs w:val="20"/>
              </w:rPr>
              <w:t>Risk adjusted margin (%)</w:t>
            </w:r>
            <w:r w:rsidRPr="198B8B94">
              <w:rPr>
                <w:rFonts w:asciiTheme="minorHAnsi" w:eastAsia="Poppins" w:hAnsiTheme="minorHAnsi" w:cstheme="minorBidi"/>
                <w:sz w:val="20"/>
                <w:szCs w:val="20"/>
                <w:vertAlign w:val="superscript"/>
              </w:rPr>
              <w:t>4</w:t>
            </w:r>
          </w:p>
        </w:tc>
        <w:tc>
          <w:tcPr>
            <w:tcW w:w="738" w:type="pct"/>
            <w:tcBorders>
              <w:top w:val="nil"/>
              <w:left w:val="nil"/>
              <w:bottom w:val="single" w:sz="4" w:space="0" w:color="auto"/>
              <w:right w:val="nil"/>
            </w:tcBorders>
            <w:shd w:val="clear" w:color="auto" w:fill="F2F2F2" w:themeFill="background1" w:themeFillShade="F2"/>
          </w:tcPr>
          <w:p w14:paraId="153C9BEF" w14:textId="22EEE0E4" w:rsidR="00515584" w:rsidRPr="006D4208" w:rsidRDefault="009465F5" w:rsidP="00AF5A74">
            <w:pPr>
              <w:jc w:val="right"/>
              <w:rPr>
                <w:rFonts w:asciiTheme="minorHAnsi" w:hAnsiTheme="minorHAnsi" w:cstheme="minorBidi"/>
                <w:b/>
                <w:sz w:val="20"/>
                <w:szCs w:val="20"/>
              </w:rPr>
            </w:pPr>
            <w:r w:rsidRPr="198B8B94">
              <w:rPr>
                <w:rFonts w:asciiTheme="minorHAnsi" w:hAnsiTheme="minorHAnsi" w:cstheme="minorBidi"/>
                <w:b/>
                <w:sz w:val="20"/>
                <w:szCs w:val="20"/>
              </w:rPr>
              <w:t>4.9</w:t>
            </w:r>
          </w:p>
        </w:tc>
        <w:tc>
          <w:tcPr>
            <w:tcW w:w="977" w:type="pct"/>
            <w:tcBorders>
              <w:top w:val="single" w:sz="4" w:space="0" w:color="FFFFFF" w:themeColor="background1"/>
              <w:left w:val="nil"/>
              <w:bottom w:val="single" w:sz="4" w:space="0" w:color="auto"/>
              <w:right w:val="nil"/>
            </w:tcBorders>
          </w:tcPr>
          <w:p w14:paraId="5136E44F" w14:textId="08FF9B93" w:rsidR="00515584" w:rsidRPr="006D4208" w:rsidRDefault="00454961" w:rsidP="00AF5A74">
            <w:pPr>
              <w:jc w:val="right"/>
              <w:rPr>
                <w:rFonts w:asciiTheme="minorHAnsi" w:hAnsiTheme="minorHAnsi" w:cstheme="minorBidi"/>
                <w:sz w:val="20"/>
                <w:szCs w:val="20"/>
              </w:rPr>
            </w:pPr>
            <w:r w:rsidRPr="198B8B94">
              <w:rPr>
                <w:rFonts w:asciiTheme="minorHAnsi" w:hAnsiTheme="minorHAnsi" w:cstheme="minorBidi"/>
                <w:sz w:val="20"/>
                <w:szCs w:val="20"/>
              </w:rPr>
              <w:t>(1.0)</w:t>
            </w:r>
          </w:p>
        </w:tc>
        <w:tc>
          <w:tcPr>
            <w:tcW w:w="852" w:type="pct"/>
            <w:tcBorders>
              <w:top w:val="single" w:sz="4" w:space="0" w:color="FFFFFF" w:themeColor="background1"/>
              <w:left w:val="nil"/>
              <w:bottom w:val="single" w:sz="4" w:space="0" w:color="auto"/>
              <w:right w:val="nil"/>
            </w:tcBorders>
          </w:tcPr>
          <w:p w14:paraId="41E1854A" w14:textId="0CC21205" w:rsidR="00515584" w:rsidRPr="006D4208" w:rsidRDefault="003463CD" w:rsidP="00AF5A74">
            <w:pPr>
              <w:jc w:val="right"/>
              <w:rPr>
                <w:rFonts w:asciiTheme="minorHAnsi" w:hAnsiTheme="minorHAnsi" w:cstheme="minorBidi"/>
                <w:i/>
                <w:sz w:val="20"/>
                <w:szCs w:val="20"/>
              </w:rPr>
            </w:pPr>
            <w:r w:rsidRPr="198B8B94">
              <w:rPr>
                <w:rFonts w:asciiTheme="minorHAnsi" w:hAnsiTheme="minorHAnsi" w:cstheme="minorBidi"/>
                <w:i/>
                <w:sz w:val="20"/>
                <w:szCs w:val="20"/>
              </w:rPr>
              <w:t>5.9</w:t>
            </w:r>
          </w:p>
        </w:tc>
      </w:tr>
    </w:tbl>
    <w:p w14:paraId="6C699F82" w14:textId="77777777" w:rsidR="00515584" w:rsidRPr="00701439" w:rsidRDefault="00515584" w:rsidP="00E534C5">
      <w:pPr>
        <w:jc w:val="both"/>
        <w:rPr>
          <w:rStyle w:val="Strong"/>
          <w:rFonts w:asciiTheme="minorHAnsi" w:hAnsiTheme="minorHAnsi"/>
          <w:color w:val="4747FF"/>
          <w:sz w:val="22"/>
          <w:szCs w:val="22"/>
        </w:rPr>
      </w:pPr>
    </w:p>
    <w:tbl>
      <w:tblPr>
        <w:tblW w:w="9752" w:type="dxa"/>
        <w:tblLayout w:type="fixed"/>
        <w:tblLook w:val="04A0" w:firstRow="1" w:lastRow="0" w:firstColumn="1" w:lastColumn="0" w:noHBand="0" w:noVBand="1"/>
      </w:tblPr>
      <w:tblGrid>
        <w:gridCol w:w="6350"/>
        <w:gridCol w:w="1134"/>
        <w:gridCol w:w="1134"/>
        <w:gridCol w:w="1134"/>
      </w:tblGrid>
      <w:tr w:rsidR="00201CB1" w:rsidRPr="00701439" w14:paraId="73DCE868" w14:textId="77777777" w:rsidTr="00201CB1">
        <w:tc>
          <w:tcPr>
            <w:tcW w:w="6350" w:type="dxa"/>
            <w:vAlign w:val="bottom"/>
          </w:tcPr>
          <w:p w14:paraId="22E3EDEF" w14:textId="77777777" w:rsidR="00201CB1" w:rsidRPr="00701439" w:rsidRDefault="00201CB1" w:rsidP="00A237F2">
            <w:pPr>
              <w:rPr>
                <w:sz w:val="20"/>
                <w:szCs w:val="20"/>
              </w:rPr>
            </w:pPr>
          </w:p>
        </w:tc>
        <w:tc>
          <w:tcPr>
            <w:tcW w:w="1134" w:type="dxa"/>
            <w:vAlign w:val="bottom"/>
          </w:tcPr>
          <w:p w14:paraId="1D2BB5CE" w14:textId="77777777" w:rsidR="00201CB1" w:rsidRPr="00701439" w:rsidRDefault="00201CB1" w:rsidP="00E534C5">
            <w:pPr>
              <w:pStyle w:val="NoSpacing"/>
              <w:jc w:val="center"/>
              <w:rPr>
                <w:sz w:val="20"/>
                <w:szCs w:val="20"/>
              </w:rPr>
            </w:pPr>
          </w:p>
        </w:tc>
        <w:tc>
          <w:tcPr>
            <w:tcW w:w="1134" w:type="dxa"/>
            <w:vAlign w:val="bottom"/>
          </w:tcPr>
          <w:p w14:paraId="30EA5A5B" w14:textId="77777777" w:rsidR="00201CB1" w:rsidRPr="00701439" w:rsidRDefault="00201CB1" w:rsidP="00E534C5">
            <w:pPr>
              <w:pStyle w:val="NoSpacing"/>
              <w:jc w:val="center"/>
              <w:rPr>
                <w:sz w:val="20"/>
                <w:szCs w:val="20"/>
              </w:rPr>
            </w:pPr>
          </w:p>
        </w:tc>
        <w:tc>
          <w:tcPr>
            <w:tcW w:w="1134" w:type="dxa"/>
            <w:vAlign w:val="bottom"/>
          </w:tcPr>
          <w:p w14:paraId="29992994" w14:textId="77777777" w:rsidR="00201CB1" w:rsidRPr="00701439" w:rsidRDefault="00201CB1" w:rsidP="00E534C5">
            <w:pPr>
              <w:pStyle w:val="NoSpacing"/>
              <w:jc w:val="center"/>
              <w:rPr>
                <w:sz w:val="20"/>
                <w:szCs w:val="20"/>
              </w:rPr>
            </w:pPr>
          </w:p>
        </w:tc>
      </w:tr>
    </w:tbl>
    <w:p w14:paraId="77F52728" w14:textId="7BEB42D6" w:rsidR="00F970F3" w:rsidRPr="000C55D2" w:rsidRDefault="00F970F3" w:rsidP="00F970F3">
      <w:pPr>
        <w:pStyle w:val="NoSpacing"/>
        <w:ind w:left="284" w:hanging="284"/>
        <w:jc w:val="both"/>
        <w:rPr>
          <w:i/>
          <w:sz w:val="20"/>
          <w:szCs w:val="20"/>
        </w:rPr>
      </w:pPr>
      <w:r w:rsidRPr="00BF4DB6">
        <w:rPr>
          <w:i/>
          <w:sz w:val="20"/>
          <w:szCs w:val="20"/>
          <w:vertAlign w:val="superscript"/>
        </w:rPr>
        <w:t>1</w:t>
      </w:r>
      <w:r w:rsidRPr="00BF4DB6">
        <w:rPr>
          <w:i/>
          <w:sz w:val="20"/>
          <w:szCs w:val="20"/>
        </w:rPr>
        <w:tab/>
      </w:r>
      <w:r w:rsidR="00681879" w:rsidRPr="00F7194B">
        <w:rPr>
          <w:i/>
          <w:sz w:val="20"/>
          <w:szCs w:val="20"/>
        </w:rPr>
        <w:t xml:space="preserve">Calculated as the average of month end gross receivables, excluding </w:t>
      </w:r>
      <w:r w:rsidR="00681879" w:rsidRPr="00F7194B">
        <w:rPr>
          <w:rFonts w:ascii="Calibri" w:eastAsia="Calibri" w:hAnsi="Calibri" w:cs="Calibri"/>
          <w:i/>
          <w:sz w:val="20"/>
          <w:szCs w:val="20"/>
        </w:rPr>
        <w:t>post charge off assets and deferred acquisition costs</w:t>
      </w:r>
      <w:r w:rsidR="00681879">
        <w:rPr>
          <w:rFonts w:ascii="Calibri" w:eastAsia="Calibri" w:hAnsi="Calibri" w:cs="Calibri"/>
          <w:i/>
          <w:sz w:val="20"/>
          <w:szCs w:val="20"/>
        </w:rPr>
        <w:t>,</w:t>
      </w:r>
      <w:r w:rsidR="007B4AF2">
        <w:rPr>
          <w:i/>
          <w:sz w:val="20"/>
          <w:szCs w:val="20"/>
        </w:rPr>
        <w:t xml:space="preserve"> </w:t>
      </w:r>
      <w:r w:rsidR="00681879" w:rsidRPr="00F7194B">
        <w:rPr>
          <w:i/>
          <w:sz w:val="20"/>
          <w:szCs w:val="20"/>
        </w:rPr>
        <w:t>for the 7 months ended 30 June.</w:t>
      </w:r>
    </w:p>
    <w:p w14:paraId="45FAB205" w14:textId="77777777" w:rsidR="00BF4DB6" w:rsidRPr="000C55D2" w:rsidRDefault="00D503F3" w:rsidP="00BF4DB6">
      <w:pPr>
        <w:pStyle w:val="NoSpacing"/>
        <w:ind w:left="284" w:hanging="284"/>
        <w:jc w:val="both"/>
        <w:rPr>
          <w:i/>
          <w:sz w:val="20"/>
          <w:szCs w:val="20"/>
        </w:rPr>
      </w:pPr>
      <w:r w:rsidRPr="000C55D2">
        <w:rPr>
          <w:i/>
          <w:sz w:val="20"/>
          <w:szCs w:val="20"/>
          <w:vertAlign w:val="superscript"/>
        </w:rPr>
        <w:t>2</w:t>
      </w:r>
      <w:r w:rsidR="00F970F3" w:rsidRPr="000C55D2">
        <w:rPr>
          <w:i/>
          <w:sz w:val="20"/>
          <w:szCs w:val="20"/>
        </w:rPr>
        <w:tab/>
      </w:r>
      <w:r w:rsidR="00BF4DB6" w:rsidRPr="000C55D2">
        <w:rPr>
          <w:i/>
          <w:sz w:val="20"/>
          <w:szCs w:val="20"/>
        </w:rPr>
        <w:t>Interest income for the period multiplied by 365/181 as a percentage of average gross receivables for the 7 months ended 30 June.</w:t>
      </w:r>
    </w:p>
    <w:p w14:paraId="3D8C4A40" w14:textId="19AF684C" w:rsidR="00BF4DB6" w:rsidRPr="00254A48" w:rsidRDefault="00BF4DB6" w:rsidP="00BF4DB6">
      <w:pPr>
        <w:pStyle w:val="NoSpacing"/>
        <w:ind w:left="284" w:hanging="284"/>
        <w:jc w:val="both"/>
        <w:rPr>
          <w:i/>
          <w:sz w:val="20"/>
          <w:szCs w:val="20"/>
        </w:rPr>
      </w:pPr>
      <w:r w:rsidRPr="000C55D2">
        <w:rPr>
          <w:i/>
          <w:sz w:val="20"/>
          <w:szCs w:val="20"/>
          <w:vertAlign w:val="superscript"/>
        </w:rPr>
        <w:lastRenderedPageBreak/>
        <w:t xml:space="preserve">3 </w:t>
      </w:r>
      <w:r w:rsidRPr="000C55D2">
        <w:rPr>
          <w:i/>
          <w:sz w:val="20"/>
          <w:szCs w:val="20"/>
        </w:rPr>
        <w:t xml:space="preserve"> </w:t>
      </w:r>
      <w:r w:rsidR="006E7881" w:rsidRPr="000C55D2">
        <w:rPr>
          <w:i/>
          <w:sz w:val="20"/>
          <w:szCs w:val="20"/>
        </w:rPr>
        <w:t xml:space="preserve">  </w:t>
      </w:r>
      <w:r w:rsidRPr="000C55D2">
        <w:rPr>
          <w:i/>
          <w:sz w:val="20"/>
          <w:szCs w:val="20"/>
        </w:rPr>
        <w:t xml:space="preserve">Impairment </w:t>
      </w:r>
      <w:r w:rsidR="006E7881" w:rsidRPr="000C55D2">
        <w:rPr>
          <w:i/>
          <w:sz w:val="20"/>
          <w:szCs w:val="20"/>
        </w:rPr>
        <w:t>charges for</w:t>
      </w:r>
      <w:r w:rsidRPr="000C55D2">
        <w:rPr>
          <w:i/>
          <w:sz w:val="20"/>
          <w:szCs w:val="20"/>
        </w:rPr>
        <w:t xml:space="preserve"> the period multiplied by 365/181 as a percentage of average gross receivables for the 7 months ended 30 June</w:t>
      </w:r>
      <w:r w:rsidR="00EE0D97" w:rsidRPr="000C55D2">
        <w:rPr>
          <w:i/>
          <w:sz w:val="20"/>
          <w:szCs w:val="20"/>
        </w:rPr>
        <w:t>.</w:t>
      </w:r>
    </w:p>
    <w:p w14:paraId="13AC139F" w14:textId="77777777" w:rsidR="0090100C" w:rsidRPr="009B0128" w:rsidRDefault="0063565F" w:rsidP="0090100C">
      <w:pPr>
        <w:pStyle w:val="NoSpacing"/>
        <w:ind w:left="284" w:hanging="284"/>
        <w:jc w:val="both"/>
        <w:rPr>
          <w:i/>
          <w:sz w:val="20"/>
          <w:szCs w:val="20"/>
        </w:rPr>
      </w:pPr>
      <w:r w:rsidRPr="002725AC">
        <w:rPr>
          <w:i/>
          <w:sz w:val="20"/>
          <w:szCs w:val="20"/>
          <w:vertAlign w:val="superscript"/>
        </w:rPr>
        <w:t>4</w:t>
      </w:r>
      <w:r>
        <w:rPr>
          <w:i/>
          <w:sz w:val="20"/>
          <w:szCs w:val="20"/>
        </w:rPr>
        <w:t xml:space="preserve"> </w:t>
      </w:r>
      <w:r w:rsidR="00C02365">
        <w:rPr>
          <w:i/>
          <w:iCs/>
          <w:sz w:val="20"/>
          <w:szCs w:val="20"/>
        </w:rPr>
        <w:t xml:space="preserve">Total income, excluding exceptional items less impairment charge </w:t>
      </w:r>
      <w:r w:rsidR="00C02365" w:rsidRPr="009B0128">
        <w:rPr>
          <w:i/>
          <w:sz w:val="20"/>
          <w:szCs w:val="20"/>
        </w:rPr>
        <w:t xml:space="preserve">for the period multiplied by 365/181 </w:t>
      </w:r>
      <w:r w:rsidR="00C02365">
        <w:rPr>
          <w:i/>
          <w:iCs/>
          <w:sz w:val="20"/>
          <w:szCs w:val="20"/>
        </w:rPr>
        <w:t>as a percentage of average gross receivables</w:t>
      </w:r>
      <w:r w:rsidR="0090100C">
        <w:rPr>
          <w:i/>
          <w:iCs/>
          <w:sz w:val="20"/>
          <w:szCs w:val="20"/>
        </w:rPr>
        <w:t xml:space="preserve"> </w:t>
      </w:r>
      <w:r w:rsidR="0090100C" w:rsidRPr="009B0128">
        <w:rPr>
          <w:i/>
          <w:sz w:val="20"/>
          <w:szCs w:val="20"/>
        </w:rPr>
        <w:t>for the 7 months ended 30 June.</w:t>
      </w:r>
    </w:p>
    <w:p w14:paraId="77E43EEC" w14:textId="4B798158" w:rsidR="0063565F" w:rsidRPr="00254A48" w:rsidRDefault="0063565F" w:rsidP="0090100C">
      <w:pPr>
        <w:pStyle w:val="NoSpacing"/>
        <w:jc w:val="both"/>
        <w:rPr>
          <w:i/>
          <w:sz w:val="20"/>
          <w:szCs w:val="20"/>
        </w:rPr>
      </w:pPr>
    </w:p>
    <w:p w14:paraId="2728A390" w14:textId="4A094A52" w:rsidR="00D31CBE" w:rsidRPr="00701439" w:rsidRDefault="00D31CBE" w:rsidP="00BF4DB6">
      <w:pPr>
        <w:pStyle w:val="NoSpacing"/>
        <w:ind w:left="284" w:hanging="284"/>
        <w:jc w:val="both"/>
        <w:rPr>
          <w:rStyle w:val="Strong"/>
          <w:b w:val="0"/>
          <w:sz w:val="20"/>
          <w:szCs w:val="20"/>
        </w:rPr>
      </w:pPr>
    </w:p>
    <w:p w14:paraId="7B57E957" w14:textId="02EFEB55" w:rsidR="79B9DE59" w:rsidRDefault="79B9DE59" w:rsidP="0029155F">
      <w:pPr>
        <w:jc w:val="both"/>
        <w:rPr>
          <w:rStyle w:val="Strong"/>
          <w:rFonts w:asciiTheme="minorHAnsi" w:eastAsia="Calibri" w:hAnsiTheme="minorHAnsi"/>
          <w:b w:val="0"/>
          <w:sz w:val="20"/>
          <w:szCs w:val="20"/>
        </w:rPr>
      </w:pPr>
      <w:r w:rsidRPr="006D4208">
        <w:rPr>
          <w:rStyle w:val="Strong"/>
          <w:rFonts w:asciiTheme="minorHAnsi" w:eastAsia="Calibri" w:hAnsiTheme="minorHAnsi"/>
          <w:b w:val="0"/>
          <w:sz w:val="20"/>
          <w:szCs w:val="20"/>
        </w:rPr>
        <w:t xml:space="preserve">The Group’s personal loans business temporarily paused all new lending in September 2023, to both Existing Market and Open Market customers. Following the Group wide strategic refresh </w:t>
      </w:r>
      <w:r w:rsidR="00411037">
        <w:rPr>
          <w:rStyle w:val="Strong"/>
          <w:rFonts w:asciiTheme="minorHAnsi" w:eastAsia="Calibri" w:hAnsiTheme="minorHAnsi"/>
          <w:b w:val="0"/>
          <w:sz w:val="20"/>
          <w:szCs w:val="20"/>
        </w:rPr>
        <w:t>concluding</w:t>
      </w:r>
      <w:r w:rsidRPr="006D4208">
        <w:rPr>
          <w:rStyle w:val="Strong"/>
          <w:rFonts w:asciiTheme="minorHAnsi" w:eastAsia="Calibri" w:hAnsiTheme="minorHAnsi"/>
          <w:b w:val="0"/>
          <w:sz w:val="20"/>
          <w:szCs w:val="20"/>
        </w:rPr>
        <w:t xml:space="preserve"> in March 2024, lending to Existing Market customers re-commenced in mid-April 2024. The Group have withdrawn from the Open Market loans and have no near-term plans to return to th</w:t>
      </w:r>
      <w:r w:rsidR="000A2C67">
        <w:rPr>
          <w:rStyle w:val="Strong"/>
          <w:rFonts w:asciiTheme="minorHAnsi" w:eastAsia="Calibri" w:hAnsiTheme="minorHAnsi"/>
          <w:b w:val="0"/>
          <w:sz w:val="20"/>
          <w:szCs w:val="20"/>
        </w:rPr>
        <w:t>is</w:t>
      </w:r>
      <w:r w:rsidRPr="006D4208">
        <w:rPr>
          <w:rStyle w:val="Strong"/>
          <w:rFonts w:asciiTheme="minorHAnsi" w:eastAsia="Calibri" w:hAnsiTheme="minorHAnsi"/>
          <w:b w:val="0"/>
          <w:sz w:val="20"/>
          <w:szCs w:val="20"/>
        </w:rPr>
        <w:t xml:space="preserve"> market </w:t>
      </w:r>
      <w:r w:rsidR="000A2C67">
        <w:rPr>
          <w:rStyle w:val="Strong"/>
          <w:rFonts w:asciiTheme="minorHAnsi" w:eastAsia="Calibri" w:hAnsiTheme="minorHAnsi"/>
          <w:b w:val="0"/>
          <w:sz w:val="20"/>
          <w:szCs w:val="20"/>
        </w:rPr>
        <w:t>segment</w:t>
      </w:r>
      <w:r w:rsidRPr="006D4208">
        <w:rPr>
          <w:rStyle w:val="Strong"/>
          <w:rFonts w:asciiTheme="minorHAnsi" w:eastAsia="Calibri" w:hAnsiTheme="minorHAnsi"/>
          <w:b w:val="0"/>
          <w:sz w:val="20"/>
          <w:szCs w:val="20"/>
        </w:rPr>
        <w:t>.</w:t>
      </w:r>
    </w:p>
    <w:p w14:paraId="709AE5E4" w14:textId="77777777" w:rsidR="000B64B1" w:rsidRPr="006D4208" w:rsidRDefault="000B64B1" w:rsidP="0029155F">
      <w:pPr>
        <w:jc w:val="both"/>
        <w:rPr>
          <w:rStyle w:val="Strong"/>
          <w:rFonts w:asciiTheme="minorHAnsi" w:hAnsiTheme="minorHAnsi"/>
          <w:b w:val="0"/>
          <w:sz w:val="20"/>
          <w:szCs w:val="20"/>
        </w:rPr>
      </w:pPr>
    </w:p>
    <w:p w14:paraId="519F7E71" w14:textId="64B232CB" w:rsidR="79B9DE59" w:rsidRPr="006D4208" w:rsidRDefault="79B9DE59" w:rsidP="7F79FD83">
      <w:pPr>
        <w:spacing w:after="160" w:line="257" w:lineRule="auto"/>
        <w:jc w:val="both"/>
        <w:rPr>
          <w:rStyle w:val="Strong"/>
          <w:rFonts w:asciiTheme="minorHAnsi" w:hAnsiTheme="minorHAnsi"/>
          <w:b w:val="0"/>
          <w:sz w:val="20"/>
          <w:szCs w:val="20"/>
        </w:rPr>
      </w:pPr>
      <w:r w:rsidRPr="006D4208">
        <w:rPr>
          <w:rStyle w:val="Strong"/>
          <w:rFonts w:asciiTheme="minorHAnsi" w:eastAsia="Calibri" w:hAnsiTheme="minorHAnsi"/>
          <w:b w:val="0"/>
          <w:sz w:val="20"/>
          <w:szCs w:val="20"/>
        </w:rPr>
        <w:t xml:space="preserve">Total customer numbers of 33.1k at the end of June were 34.0% lower year on year, reflecting the pause to new lending from mid-September. Lending volumes during </w:t>
      </w:r>
      <w:r w:rsidR="00051A8A">
        <w:rPr>
          <w:rStyle w:val="Strong"/>
          <w:rFonts w:asciiTheme="minorHAnsi" w:eastAsia="Calibri" w:hAnsiTheme="minorHAnsi"/>
          <w:b w:val="0"/>
          <w:sz w:val="20"/>
          <w:szCs w:val="20"/>
        </w:rPr>
        <w:t>1H</w:t>
      </w:r>
      <w:r w:rsidRPr="006D4208">
        <w:rPr>
          <w:rStyle w:val="Strong"/>
          <w:rFonts w:asciiTheme="minorHAnsi" w:eastAsia="Calibri" w:hAnsiTheme="minorHAnsi"/>
          <w:b w:val="0"/>
          <w:sz w:val="20"/>
          <w:szCs w:val="20"/>
        </w:rPr>
        <w:t>24 w</w:t>
      </w:r>
      <w:r w:rsidR="008119A4">
        <w:rPr>
          <w:rStyle w:val="Strong"/>
          <w:rFonts w:asciiTheme="minorHAnsi" w:eastAsia="Calibri" w:hAnsiTheme="minorHAnsi"/>
          <w:b w:val="0"/>
          <w:sz w:val="20"/>
          <w:szCs w:val="20"/>
        </w:rPr>
        <w:t>ere</w:t>
      </w:r>
      <w:r w:rsidRPr="006D4208">
        <w:rPr>
          <w:rStyle w:val="Strong"/>
          <w:rFonts w:asciiTheme="minorHAnsi" w:eastAsia="Calibri" w:hAnsiTheme="minorHAnsi"/>
          <w:b w:val="0"/>
          <w:sz w:val="20"/>
          <w:szCs w:val="20"/>
        </w:rPr>
        <w:t xml:space="preserve"> 1k, versus 25k in </w:t>
      </w:r>
      <w:r w:rsidR="00051A8A">
        <w:rPr>
          <w:rStyle w:val="Strong"/>
          <w:rFonts w:asciiTheme="minorHAnsi" w:eastAsia="Calibri" w:hAnsiTheme="minorHAnsi"/>
          <w:b w:val="0"/>
          <w:sz w:val="20"/>
          <w:szCs w:val="20"/>
        </w:rPr>
        <w:t>1H</w:t>
      </w:r>
      <w:r w:rsidRPr="006D4208">
        <w:rPr>
          <w:rStyle w:val="Strong"/>
          <w:rFonts w:asciiTheme="minorHAnsi" w:eastAsia="Calibri" w:hAnsiTheme="minorHAnsi"/>
          <w:b w:val="0"/>
          <w:sz w:val="20"/>
          <w:szCs w:val="20"/>
        </w:rPr>
        <w:t xml:space="preserve">23 </w:t>
      </w:r>
      <w:r w:rsidR="00167228">
        <w:rPr>
          <w:rStyle w:val="Strong"/>
          <w:rFonts w:asciiTheme="minorHAnsi" w:eastAsia="Calibri" w:hAnsiTheme="minorHAnsi"/>
          <w:b w:val="0"/>
          <w:sz w:val="20"/>
          <w:szCs w:val="20"/>
        </w:rPr>
        <w:t>because</w:t>
      </w:r>
      <w:r w:rsidRPr="006D4208">
        <w:rPr>
          <w:rStyle w:val="Strong"/>
          <w:rFonts w:asciiTheme="minorHAnsi" w:eastAsia="Calibri" w:hAnsiTheme="minorHAnsi"/>
          <w:b w:val="0"/>
          <w:sz w:val="20"/>
          <w:szCs w:val="20"/>
        </w:rPr>
        <w:t xml:space="preserve"> the prior year saw significant growth due to the business’s Open Market positioning and expansion of the product range offered to both existing and new customers.</w:t>
      </w:r>
    </w:p>
    <w:p w14:paraId="7EA151AA" w14:textId="0628C988" w:rsidR="79B9DE59" w:rsidRPr="006D4208" w:rsidRDefault="79B9DE59" w:rsidP="7F79FD83">
      <w:pPr>
        <w:spacing w:after="160" w:line="257" w:lineRule="auto"/>
        <w:jc w:val="both"/>
        <w:rPr>
          <w:rStyle w:val="Strong"/>
          <w:rFonts w:asciiTheme="minorHAnsi" w:hAnsiTheme="minorHAnsi"/>
          <w:b w:val="0"/>
          <w:sz w:val="20"/>
          <w:szCs w:val="20"/>
        </w:rPr>
      </w:pPr>
      <w:r w:rsidRPr="006D4208">
        <w:rPr>
          <w:rStyle w:val="Strong"/>
          <w:rFonts w:asciiTheme="minorHAnsi" w:eastAsia="Calibri" w:hAnsiTheme="minorHAnsi"/>
          <w:b w:val="0"/>
          <w:sz w:val="20"/>
          <w:szCs w:val="20"/>
        </w:rPr>
        <w:t xml:space="preserve">At the end of June, receivables stood at £68m </w:t>
      </w:r>
      <w:r w:rsidR="00BD4F82">
        <w:rPr>
          <w:rStyle w:val="Strong"/>
          <w:rFonts w:asciiTheme="minorHAnsi" w:eastAsia="Calibri" w:hAnsiTheme="minorHAnsi"/>
          <w:b w:val="0"/>
          <w:sz w:val="20"/>
          <w:szCs w:val="20"/>
        </w:rPr>
        <w:t>(1H23:</w:t>
      </w:r>
      <w:r w:rsidRPr="006D4208">
        <w:rPr>
          <w:rStyle w:val="Strong"/>
          <w:rFonts w:asciiTheme="minorHAnsi" w:eastAsia="Calibri" w:hAnsiTheme="minorHAnsi"/>
          <w:b w:val="0"/>
          <w:sz w:val="20"/>
          <w:szCs w:val="20"/>
        </w:rPr>
        <w:t xml:space="preserve"> £130m</w:t>
      </w:r>
      <w:r w:rsidR="00BD4F82">
        <w:rPr>
          <w:rStyle w:val="Strong"/>
          <w:rFonts w:asciiTheme="minorHAnsi" w:eastAsia="Calibri" w:hAnsiTheme="minorHAnsi"/>
          <w:b w:val="0"/>
          <w:sz w:val="20"/>
          <w:szCs w:val="20"/>
        </w:rPr>
        <w:t>)</w:t>
      </w:r>
      <w:r w:rsidRPr="006D4208">
        <w:rPr>
          <w:rStyle w:val="Strong"/>
          <w:rFonts w:asciiTheme="minorHAnsi" w:eastAsia="Calibri" w:hAnsiTheme="minorHAnsi"/>
          <w:b w:val="0"/>
          <w:sz w:val="20"/>
          <w:szCs w:val="20"/>
        </w:rPr>
        <w:t>, reflecting the new lending pause</w:t>
      </w:r>
      <w:r w:rsidR="00DA218C">
        <w:rPr>
          <w:rStyle w:val="Strong"/>
          <w:rFonts w:asciiTheme="minorHAnsi" w:eastAsia="Calibri" w:hAnsiTheme="minorHAnsi"/>
          <w:b w:val="0"/>
          <w:sz w:val="20"/>
          <w:szCs w:val="20"/>
        </w:rPr>
        <w:t>,</w:t>
      </w:r>
      <w:r w:rsidRPr="006D4208">
        <w:rPr>
          <w:rStyle w:val="Strong"/>
          <w:rFonts w:asciiTheme="minorHAnsi" w:eastAsia="Calibri" w:hAnsiTheme="minorHAnsi"/>
          <w:b w:val="0"/>
          <w:sz w:val="20"/>
          <w:szCs w:val="20"/>
        </w:rPr>
        <w:t xml:space="preserve"> collect out of the loans portfolio from mid-September, and lower year to date new business volumes.</w:t>
      </w:r>
    </w:p>
    <w:p w14:paraId="0618361F" w14:textId="23538BFC" w:rsidR="79B9DE59" w:rsidRPr="006D4208" w:rsidRDefault="79B9DE59" w:rsidP="7F79FD83">
      <w:pPr>
        <w:spacing w:after="160" w:line="257" w:lineRule="auto"/>
        <w:jc w:val="both"/>
        <w:rPr>
          <w:rStyle w:val="Strong"/>
          <w:rFonts w:asciiTheme="minorHAnsi" w:hAnsiTheme="minorHAnsi"/>
          <w:b w:val="0"/>
          <w:sz w:val="20"/>
          <w:szCs w:val="20"/>
        </w:rPr>
      </w:pPr>
      <w:r w:rsidRPr="006D4208">
        <w:rPr>
          <w:rStyle w:val="Strong"/>
          <w:rFonts w:asciiTheme="minorHAnsi" w:eastAsia="Calibri" w:hAnsiTheme="minorHAnsi"/>
          <w:b w:val="0"/>
          <w:sz w:val="20"/>
          <w:szCs w:val="20"/>
        </w:rPr>
        <w:t>The personal loans business generated interest income of £9.</w:t>
      </w:r>
      <w:r w:rsidR="003B0FCF">
        <w:rPr>
          <w:rStyle w:val="Strong"/>
          <w:rFonts w:asciiTheme="minorHAnsi" w:eastAsia="Calibri" w:hAnsiTheme="minorHAnsi"/>
          <w:b w:val="0"/>
          <w:sz w:val="20"/>
          <w:szCs w:val="20"/>
        </w:rPr>
        <w:t>2</w:t>
      </w:r>
      <w:r w:rsidRPr="006D4208">
        <w:rPr>
          <w:rStyle w:val="Strong"/>
          <w:rFonts w:asciiTheme="minorHAnsi" w:eastAsia="Calibri" w:hAnsiTheme="minorHAnsi"/>
          <w:b w:val="0"/>
          <w:sz w:val="20"/>
          <w:szCs w:val="20"/>
        </w:rPr>
        <w:t>m during the period (</w:t>
      </w:r>
      <w:r w:rsidR="00051A8A">
        <w:rPr>
          <w:rStyle w:val="Strong"/>
          <w:rFonts w:asciiTheme="minorHAnsi" w:eastAsia="Calibri" w:hAnsiTheme="minorHAnsi"/>
          <w:b w:val="0"/>
          <w:sz w:val="20"/>
          <w:szCs w:val="20"/>
        </w:rPr>
        <w:t>1H</w:t>
      </w:r>
      <w:r w:rsidRPr="006D4208">
        <w:rPr>
          <w:rStyle w:val="Strong"/>
          <w:rFonts w:asciiTheme="minorHAnsi" w:eastAsia="Calibri" w:hAnsiTheme="minorHAnsi"/>
          <w:b w:val="0"/>
          <w:sz w:val="20"/>
          <w:szCs w:val="20"/>
        </w:rPr>
        <w:t>23: £12.3m), 2</w:t>
      </w:r>
      <w:r w:rsidR="00497CDB">
        <w:rPr>
          <w:rStyle w:val="Strong"/>
          <w:rFonts w:asciiTheme="minorHAnsi" w:eastAsia="Calibri" w:hAnsiTheme="minorHAnsi"/>
          <w:b w:val="0"/>
          <w:sz w:val="20"/>
          <w:szCs w:val="20"/>
        </w:rPr>
        <w:t>5</w:t>
      </w:r>
      <w:r w:rsidRPr="006D4208">
        <w:rPr>
          <w:rStyle w:val="Strong"/>
          <w:rFonts w:asciiTheme="minorHAnsi" w:eastAsia="Calibri" w:hAnsiTheme="minorHAnsi"/>
          <w:b w:val="0"/>
          <w:sz w:val="20"/>
          <w:szCs w:val="20"/>
        </w:rPr>
        <w:t>% lower than the prior year driven by lower average receivables.  Asset yield was 19.</w:t>
      </w:r>
      <w:r w:rsidR="003B0FCF">
        <w:rPr>
          <w:rStyle w:val="Strong"/>
          <w:rFonts w:asciiTheme="minorHAnsi" w:eastAsia="Calibri" w:hAnsiTheme="minorHAnsi"/>
          <w:b w:val="0"/>
          <w:sz w:val="20"/>
          <w:szCs w:val="20"/>
        </w:rPr>
        <w:t>5</w:t>
      </w:r>
      <w:r w:rsidRPr="006D4208">
        <w:rPr>
          <w:rStyle w:val="Strong"/>
          <w:rFonts w:asciiTheme="minorHAnsi" w:eastAsia="Calibri" w:hAnsiTheme="minorHAnsi"/>
          <w:b w:val="0"/>
          <w:sz w:val="20"/>
          <w:szCs w:val="20"/>
        </w:rPr>
        <w:t xml:space="preserve">% versus 21.5% in </w:t>
      </w:r>
      <w:r w:rsidR="00051A8A">
        <w:rPr>
          <w:rStyle w:val="Strong"/>
          <w:rFonts w:asciiTheme="minorHAnsi" w:eastAsia="Calibri" w:hAnsiTheme="minorHAnsi"/>
          <w:b w:val="0"/>
          <w:sz w:val="20"/>
          <w:szCs w:val="20"/>
        </w:rPr>
        <w:t>1H</w:t>
      </w:r>
      <w:r w:rsidRPr="006D4208">
        <w:rPr>
          <w:rStyle w:val="Strong"/>
          <w:rFonts w:asciiTheme="minorHAnsi" w:eastAsia="Calibri" w:hAnsiTheme="minorHAnsi"/>
          <w:b w:val="0"/>
          <w:sz w:val="20"/>
          <w:szCs w:val="20"/>
        </w:rPr>
        <w:t>23, with the decrease attributed to the impact on the portfolio of new business bookings across 2023 at lower price points with the focus on lower risk near-prime customers.</w:t>
      </w:r>
    </w:p>
    <w:p w14:paraId="28F8BEDF" w14:textId="3D12C211" w:rsidR="79B9DE59" w:rsidRPr="006D4208" w:rsidRDefault="79B9DE59" w:rsidP="7F79FD83">
      <w:pPr>
        <w:spacing w:after="160" w:line="257" w:lineRule="auto"/>
        <w:jc w:val="both"/>
        <w:rPr>
          <w:rStyle w:val="Strong"/>
          <w:rFonts w:asciiTheme="minorHAnsi" w:hAnsiTheme="minorHAnsi"/>
          <w:b w:val="0"/>
          <w:sz w:val="20"/>
          <w:szCs w:val="20"/>
        </w:rPr>
      </w:pPr>
      <w:r w:rsidRPr="006D4208">
        <w:rPr>
          <w:rStyle w:val="Strong"/>
          <w:rFonts w:asciiTheme="minorHAnsi" w:eastAsia="Calibri" w:hAnsiTheme="minorHAnsi"/>
          <w:b w:val="0"/>
          <w:sz w:val="20"/>
          <w:szCs w:val="20"/>
        </w:rPr>
        <w:t xml:space="preserve">The impairment charge for </w:t>
      </w:r>
      <w:r w:rsidR="00051A8A">
        <w:rPr>
          <w:rStyle w:val="Strong"/>
          <w:rFonts w:asciiTheme="minorHAnsi" w:eastAsia="Calibri" w:hAnsiTheme="minorHAnsi"/>
          <w:b w:val="0"/>
          <w:sz w:val="20"/>
          <w:szCs w:val="20"/>
        </w:rPr>
        <w:t>1H</w:t>
      </w:r>
      <w:r w:rsidRPr="006D4208">
        <w:rPr>
          <w:rStyle w:val="Strong"/>
          <w:rFonts w:asciiTheme="minorHAnsi" w:eastAsia="Calibri" w:hAnsiTheme="minorHAnsi"/>
          <w:b w:val="0"/>
          <w:sz w:val="20"/>
          <w:szCs w:val="20"/>
        </w:rPr>
        <w:t xml:space="preserve">24 decreased to </w:t>
      </w:r>
      <w:r w:rsidR="007075B3">
        <w:rPr>
          <w:rStyle w:val="Strong"/>
          <w:rFonts w:asciiTheme="minorHAnsi" w:eastAsia="Calibri" w:hAnsiTheme="minorHAnsi"/>
          <w:b w:val="0"/>
          <w:sz w:val="20"/>
          <w:szCs w:val="20"/>
        </w:rPr>
        <w:t>£</w:t>
      </w:r>
      <w:r w:rsidRPr="006D4208">
        <w:rPr>
          <w:rStyle w:val="Strong"/>
          <w:rFonts w:asciiTheme="minorHAnsi" w:eastAsia="Calibri" w:hAnsiTheme="minorHAnsi"/>
          <w:b w:val="0"/>
          <w:sz w:val="20"/>
          <w:szCs w:val="20"/>
        </w:rPr>
        <w:t>4.</w:t>
      </w:r>
      <w:r w:rsidR="0085360F">
        <w:rPr>
          <w:rStyle w:val="Strong"/>
          <w:rFonts w:asciiTheme="minorHAnsi" w:eastAsia="Calibri" w:hAnsiTheme="minorHAnsi"/>
          <w:b w:val="0"/>
          <w:sz w:val="20"/>
          <w:szCs w:val="20"/>
        </w:rPr>
        <w:t>9</w:t>
      </w:r>
      <w:r w:rsidRPr="006D4208">
        <w:rPr>
          <w:rStyle w:val="Strong"/>
          <w:rFonts w:asciiTheme="minorHAnsi" w:eastAsia="Calibri" w:hAnsiTheme="minorHAnsi"/>
          <w:b w:val="0"/>
          <w:sz w:val="20"/>
          <w:szCs w:val="20"/>
        </w:rPr>
        <w:t xml:space="preserve">m, from £11.0m in </w:t>
      </w:r>
      <w:r w:rsidR="00051A8A">
        <w:rPr>
          <w:rStyle w:val="Strong"/>
          <w:rFonts w:asciiTheme="minorHAnsi" w:eastAsia="Calibri" w:hAnsiTheme="minorHAnsi"/>
          <w:b w:val="0"/>
          <w:sz w:val="20"/>
          <w:szCs w:val="20"/>
        </w:rPr>
        <w:t>1H</w:t>
      </w:r>
      <w:r w:rsidRPr="006D4208">
        <w:rPr>
          <w:rStyle w:val="Strong"/>
          <w:rFonts w:asciiTheme="minorHAnsi" w:eastAsia="Calibri" w:hAnsiTheme="minorHAnsi"/>
          <w:b w:val="0"/>
          <w:sz w:val="20"/>
          <w:szCs w:val="20"/>
        </w:rPr>
        <w:t xml:space="preserve">23, predominantly driven by lower new business </w:t>
      </w:r>
      <w:r w:rsidR="00607071">
        <w:rPr>
          <w:rStyle w:val="Strong"/>
          <w:rFonts w:asciiTheme="minorHAnsi" w:eastAsia="Calibri" w:hAnsiTheme="minorHAnsi"/>
          <w:b w:val="0"/>
          <w:sz w:val="20"/>
          <w:szCs w:val="20"/>
        </w:rPr>
        <w:t>volumes</w:t>
      </w:r>
      <w:r w:rsidRPr="006D4208">
        <w:rPr>
          <w:rStyle w:val="Strong"/>
          <w:rFonts w:asciiTheme="minorHAnsi" w:eastAsia="Calibri" w:hAnsiTheme="minorHAnsi"/>
          <w:b w:val="0"/>
          <w:sz w:val="20"/>
          <w:szCs w:val="20"/>
        </w:rPr>
        <w:t xml:space="preserve"> and the associated day one impact of IFRS 9 expected credit losses from new business. The annualised cost of risk for the period was 10.</w:t>
      </w:r>
      <w:r w:rsidR="0085360F">
        <w:rPr>
          <w:rStyle w:val="Strong"/>
          <w:rFonts w:asciiTheme="minorHAnsi" w:eastAsia="Calibri" w:hAnsiTheme="minorHAnsi"/>
          <w:b w:val="0"/>
          <w:sz w:val="20"/>
          <w:szCs w:val="20"/>
        </w:rPr>
        <w:t>4</w:t>
      </w:r>
      <w:r w:rsidRPr="006D4208">
        <w:rPr>
          <w:rStyle w:val="Strong"/>
          <w:rFonts w:asciiTheme="minorHAnsi" w:eastAsia="Calibri" w:hAnsiTheme="minorHAnsi"/>
          <w:b w:val="0"/>
          <w:sz w:val="20"/>
          <w:szCs w:val="20"/>
        </w:rPr>
        <w:t>% (</w:t>
      </w:r>
      <w:r w:rsidR="00051A8A">
        <w:rPr>
          <w:rStyle w:val="Strong"/>
          <w:rFonts w:asciiTheme="minorHAnsi" w:eastAsia="Calibri" w:hAnsiTheme="minorHAnsi"/>
          <w:b w:val="0"/>
          <w:sz w:val="20"/>
          <w:szCs w:val="20"/>
        </w:rPr>
        <w:t>1H</w:t>
      </w:r>
      <w:r w:rsidRPr="006D4208">
        <w:rPr>
          <w:rStyle w:val="Strong"/>
          <w:rFonts w:asciiTheme="minorHAnsi" w:eastAsia="Calibri" w:hAnsiTheme="minorHAnsi"/>
          <w:b w:val="0"/>
          <w:sz w:val="20"/>
          <w:szCs w:val="20"/>
        </w:rPr>
        <w:t xml:space="preserve">23: 19.2%), which resulted in the risk-adjusted margin improving to 4.9% </w:t>
      </w:r>
      <w:r w:rsidR="00656654">
        <w:rPr>
          <w:rStyle w:val="Strong"/>
          <w:rFonts w:asciiTheme="minorHAnsi" w:eastAsia="Calibri" w:hAnsiTheme="minorHAnsi"/>
          <w:b w:val="0"/>
          <w:sz w:val="20"/>
          <w:szCs w:val="20"/>
        </w:rPr>
        <w:t xml:space="preserve">(1H23: </w:t>
      </w:r>
      <w:r w:rsidRPr="006D4208">
        <w:rPr>
          <w:rStyle w:val="Strong"/>
          <w:rFonts w:asciiTheme="minorHAnsi" w:eastAsia="Calibri" w:hAnsiTheme="minorHAnsi"/>
          <w:b w:val="0"/>
          <w:sz w:val="20"/>
          <w:szCs w:val="20"/>
        </w:rPr>
        <w:t>1.0%).</w:t>
      </w:r>
      <w:r w:rsidRPr="7F79FD83">
        <w:rPr>
          <w:rStyle w:val="Strong"/>
          <w:rFonts w:asciiTheme="minorHAnsi" w:eastAsia="Calibri" w:hAnsiTheme="minorHAnsi"/>
          <w:b w:val="0"/>
          <w:sz w:val="20"/>
          <w:szCs w:val="20"/>
        </w:rPr>
        <w:t xml:space="preserve"> </w:t>
      </w:r>
    </w:p>
    <w:p w14:paraId="7AF29F8A" w14:textId="2AB671E0" w:rsidR="79B9DE59" w:rsidRPr="006D4208" w:rsidRDefault="79B9DE59" w:rsidP="7F79FD83">
      <w:pPr>
        <w:spacing w:after="160" w:line="257" w:lineRule="auto"/>
        <w:jc w:val="both"/>
        <w:rPr>
          <w:rStyle w:val="Strong"/>
          <w:rFonts w:asciiTheme="minorHAnsi" w:hAnsiTheme="minorHAnsi"/>
          <w:b w:val="0"/>
          <w:sz w:val="20"/>
          <w:szCs w:val="20"/>
        </w:rPr>
      </w:pPr>
      <w:r w:rsidRPr="006D4208">
        <w:rPr>
          <w:rStyle w:val="Strong"/>
          <w:rFonts w:asciiTheme="minorHAnsi" w:eastAsia="Calibri" w:hAnsiTheme="minorHAnsi"/>
          <w:b w:val="0"/>
          <w:sz w:val="20"/>
          <w:szCs w:val="20"/>
        </w:rPr>
        <w:t>Interest costs for the period increased to £2.0m (</w:t>
      </w:r>
      <w:r w:rsidR="00051A8A">
        <w:rPr>
          <w:rStyle w:val="Strong"/>
          <w:rFonts w:asciiTheme="minorHAnsi" w:eastAsia="Calibri" w:hAnsiTheme="minorHAnsi"/>
          <w:b w:val="0"/>
          <w:sz w:val="20"/>
          <w:szCs w:val="20"/>
        </w:rPr>
        <w:t>1H</w:t>
      </w:r>
      <w:r w:rsidRPr="006D4208">
        <w:rPr>
          <w:rStyle w:val="Strong"/>
          <w:rFonts w:asciiTheme="minorHAnsi" w:eastAsia="Calibri" w:hAnsiTheme="minorHAnsi"/>
          <w:b w:val="0"/>
          <w:sz w:val="20"/>
          <w:szCs w:val="20"/>
        </w:rPr>
        <w:t>23: £1.</w:t>
      </w:r>
      <w:r w:rsidR="7E4C890D" w:rsidRPr="006D4208">
        <w:rPr>
          <w:rStyle w:val="Strong"/>
          <w:rFonts w:asciiTheme="minorHAnsi" w:hAnsiTheme="minorHAnsi"/>
          <w:b w:val="0"/>
          <w:sz w:val="20"/>
          <w:szCs w:val="20"/>
        </w:rPr>
        <w:t>9</w:t>
      </w:r>
      <w:r w:rsidRPr="006D4208">
        <w:rPr>
          <w:rStyle w:val="Strong"/>
          <w:rFonts w:asciiTheme="minorHAnsi" w:hAnsiTheme="minorHAnsi"/>
          <w:b w:val="0"/>
          <w:sz w:val="20"/>
          <w:szCs w:val="20"/>
        </w:rPr>
        <w:t>m</w:t>
      </w:r>
      <w:r w:rsidRPr="006D4208">
        <w:rPr>
          <w:rStyle w:val="Strong"/>
          <w:rFonts w:asciiTheme="minorHAnsi" w:eastAsia="Calibri" w:hAnsiTheme="minorHAnsi"/>
          <w:b w:val="0"/>
          <w:sz w:val="20"/>
          <w:szCs w:val="20"/>
        </w:rPr>
        <w:t xml:space="preserve">) despite a lower average receivables balance year on year due to </w:t>
      </w:r>
      <w:r w:rsidR="00E33BF5">
        <w:rPr>
          <w:rStyle w:val="Strong"/>
          <w:rFonts w:asciiTheme="minorHAnsi" w:eastAsia="Calibri" w:hAnsiTheme="minorHAnsi"/>
          <w:b w:val="0"/>
          <w:sz w:val="20"/>
          <w:szCs w:val="20"/>
        </w:rPr>
        <w:t xml:space="preserve">higher </w:t>
      </w:r>
      <w:r w:rsidRPr="006D4208">
        <w:rPr>
          <w:rStyle w:val="Strong"/>
          <w:rFonts w:asciiTheme="minorHAnsi" w:eastAsia="Calibri" w:hAnsiTheme="minorHAnsi"/>
          <w:b w:val="0"/>
          <w:sz w:val="20"/>
          <w:szCs w:val="20"/>
        </w:rPr>
        <w:t xml:space="preserve">market savings rates and the UK bank base rate </w:t>
      </w:r>
      <w:r w:rsidR="00E33BF5">
        <w:rPr>
          <w:rStyle w:val="Strong"/>
          <w:rFonts w:asciiTheme="minorHAnsi" w:eastAsia="Calibri" w:hAnsiTheme="minorHAnsi"/>
          <w:b w:val="0"/>
          <w:sz w:val="20"/>
          <w:szCs w:val="20"/>
        </w:rPr>
        <w:t>increasing during</w:t>
      </w:r>
      <w:r w:rsidRPr="006D4208">
        <w:rPr>
          <w:rStyle w:val="Strong"/>
          <w:rFonts w:asciiTheme="minorHAnsi" w:eastAsia="Calibri" w:hAnsiTheme="minorHAnsi"/>
          <w:b w:val="0"/>
          <w:sz w:val="20"/>
          <w:szCs w:val="20"/>
        </w:rPr>
        <w:t xml:space="preserve"> 2023.</w:t>
      </w:r>
      <w:r w:rsidRPr="7F79FD83">
        <w:rPr>
          <w:rStyle w:val="Strong"/>
          <w:rFonts w:asciiTheme="minorHAnsi" w:eastAsia="Calibri" w:hAnsiTheme="minorHAnsi"/>
          <w:b w:val="0"/>
          <w:sz w:val="20"/>
          <w:szCs w:val="20"/>
        </w:rPr>
        <w:t xml:space="preserve"> </w:t>
      </w:r>
    </w:p>
    <w:p w14:paraId="23DF6B32" w14:textId="5BC92453" w:rsidR="79B9DE59" w:rsidRPr="006D4208" w:rsidRDefault="79B9DE59" w:rsidP="7F79FD83">
      <w:pPr>
        <w:spacing w:after="160" w:line="257" w:lineRule="auto"/>
        <w:jc w:val="both"/>
        <w:rPr>
          <w:rStyle w:val="Strong"/>
          <w:rFonts w:asciiTheme="minorHAnsi" w:hAnsiTheme="minorHAnsi"/>
          <w:b w:val="0"/>
          <w:sz w:val="20"/>
          <w:szCs w:val="20"/>
        </w:rPr>
      </w:pPr>
      <w:r w:rsidRPr="006D4208">
        <w:rPr>
          <w:rStyle w:val="Strong"/>
          <w:rFonts w:asciiTheme="minorHAnsi" w:eastAsia="Calibri" w:hAnsiTheme="minorHAnsi"/>
          <w:b w:val="0"/>
          <w:sz w:val="20"/>
          <w:szCs w:val="20"/>
        </w:rPr>
        <w:t>Costs decreased during the period to £6.1m (</w:t>
      </w:r>
      <w:r w:rsidR="00051A8A">
        <w:rPr>
          <w:rStyle w:val="Strong"/>
          <w:rFonts w:asciiTheme="minorHAnsi" w:eastAsia="Calibri" w:hAnsiTheme="minorHAnsi"/>
          <w:b w:val="0"/>
          <w:sz w:val="20"/>
          <w:szCs w:val="20"/>
        </w:rPr>
        <w:t>1H</w:t>
      </w:r>
      <w:r w:rsidRPr="006D4208">
        <w:rPr>
          <w:rStyle w:val="Strong"/>
          <w:rFonts w:asciiTheme="minorHAnsi" w:eastAsia="Calibri" w:hAnsiTheme="minorHAnsi"/>
          <w:b w:val="0"/>
          <w:sz w:val="20"/>
          <w:szCs w:val="20"/>
        </w:rPr>
        <w:t>23: £8.7m) due to lower internal recharges, along with lower marketing and IT spend.</w:t>
      </w:r>
    </w:p>
    <w:p w14:paraId="33508F06" w14:textId="3D5D87FF" w:rsidR="002402BE" w:rsidRDefault="002402BE" w:rsidP="00E534C5">
      <w:pPr>
        <w:pStyle w:val="NoSpacing"/>
        <w:jc w:val="both"/>
        <w:rPr>
          <w:b/>
          <w:color w:val="4747FF"/>
        </w:rPr>
      </w:pPr>
      <w:r w:rsidRPr="0049368D">
        <w:rPr>
          <w:b/>
          <w:color w:val="4747FF"/>
        </w:rPr>
        <w:t xml:space="preserve">Snoop </w:t>
      </w:r>
    </w:p>
    <w:p w14:paraId="5B799CC2" w14:textId="0CD97D48" w:rsidR="00FD7573" w:rsidRDefault="00FD7573" w:rsidP="6A7632AC">
      <w:pPr>
        <w:pStyle w:val="NoSpacing"/>
        <w:jc w:val="both"/>
        <w:rPr>
          <w:b/>
          <w:bCs/>
          <w:color w:val="4747FF"/>
        </w:rPr>
      </w:pPr>
    </w:p>
    <w:p w14:paraId="7FC7BC9D" w14:textId="572E0E26" w:rsidR="312E0F1F" w:rsidRDefault="000D2960" w:rsidP="312E0F1F">
      <w:pPr>
        <w:pStyle w:val="NoSpacing"/>
        <w:jc w:val="both"/>
        <w:rPr>
          <w:rFonts w:eastAsiaTheme="minorEastAsia"/>
          <w:sz w:val="20"/>
          <w:szCs w:val="20"/>
          <w:highlight w:val="yellow"/>
        </w:rPr>
      </w:pPr>
      <w:r w:rsidRPr="000D2960">
        <w:rPr>
          <w:rFonts w:eastAsiaTheme="minorEastAsia"/>
          <w:sz w:val="20"/>
          <w:szCs w:val="20"/>
        </w:rPr>
        <w:t xml:space="preserve">Since acquisition in August 2023, Snoop has continued to grow its active user base, adding nearly 30,000 new customers per month in 1H24. Development </w:t>
      </w:r>
      <w:r w:rsidR="00D0737B">
        <w:rPr>
          <w:rFonts w:eastAsiaTheme="minorEastAsia"/>
          <w:sz w:val="20"/>
          <w:szCs w:val="20"/>
        </w:rPr>
        <w:t>of the app</w:t>
      </w:r>
      <w:r w:rsidRPr="000D2960">
        <w:rPr>
          <w:rFonts w:eastAsiaTheme="minorEastAsia"/>
          <w:sz w:val="20"/>
          <w:szCs w:val="20"/>
        </w:rPr>
        <w:t xml:space="preserve"> has continued at pace, with over 400 technical and product releases since acquisition, including the launch of credit score which had around </w:t>
      </w:r>
      <w:r w:rsidR="003E54F3">
        <w:rPr>
          <w:rFonts w:eastAsiaTheme="minorEastAsia"/>
          <w:sz w:val="20"/>
          <w:szCs w:val="20"/>
        </w:rPr>
        <w:t>8</w:t>
      </w:r>
      <w:r w:rsidRPr="000D2960">
        <w:rPr>
          <w:rFonts w:eastAsiaTheme="minorEastAsia"/>
          <w:sz w:val="20"/>
          <w:szCs w:val="20"/>
        </w:rPr>
        <w:t xml:space="preserve">0,000 users in 1H24, and the integration of switching capability into the Vanquis </w:t>
      </w:r>
      <w:r w:rsidR="00364BBE">
        <w:rPr>
          <w:rFonts w:eastAsiaTheme="minorEastAsia"/>
          <w:sz w:val="20"/>
          <w:szCs w:val="20"/>
        </w:rPr>
        <w:t>mobile</w:t>
      </w:r>
      <w:r w:rsidR="003D430D">
        <w:rPr>
          <w:rFonts w:eastAsiaTheme="minorEastAsia"/>
          <w:sz w:val="20"/>
          <w:szCs w:val="20"/>
        </w:rPr>
        <w:t xml:space="preserve"> </w:t>
      </w:r>
      <w:r w:rsidRPr="000D2960">
        <w:rPr>
          <w:rFonts w:eastAsiaTheme="minorEastAsia"/>
          <w:sz w:val="20"/>
          <w:szCs w:val="20"/>
        </w:rPr>
        <w:t xml:space="preserve">app. </w:t>
      </w:r>
      <w:r w:rsidR="006125DD" w:rsidRPr="00DF68B8">
        <w:rPr>
          <w:rFonts w:eastAsiaTheme="minorEastAsia"/>
          <w:sz w:val="20"/>
          <w:szCs w:val="20"/>
        </w:rPr>
        <w:t>Snoop loss</w:t>
      </w:r>
      <w:r w:rsidR="006125DD">
        <w:rPr>
          <w:rFonts w:eastAsiaTheme="minorEastAsia"/>
          <w:sz w:val="20"/>
          <w:szCs w:val="20"/>
        </w:rPr>
        <w:t xml:space="preserve"> </w:t>
      </w:r>
      <w:r w:rsidR="007074BC">
        <w:rPr>
          <w:rFonts w:eastAsiaTheme="minorEastAsia"/>
          <w:sz w:val="20"/>
          <w:szCs w:val="20"/>
        </w:rPr>
        <w:t>before tax</w:t>
      </w:r>
      <w:r w:rsidR="006125DD" w:rsidRPr="00DF68B8">
        <w:rPr>
          <w:rFonts w:eastAsiaTheme="minorEastAsia"/>
          <w:sz w:val="20"/>
          <w:szCs w:val="20"/>
        </w:rPr>
        <w:t xml:space="preserve"> of £4.0m in 1H24 reflect</w:t>
      </w:r>
      <w:r w:rsidR="00E0288E">
        <w:rPr>
          <w:rFonts w:eastAsiaTheme="minorEastAsia"/>
          <w:sz w:val="20"/>
          <w:szCs w:val="20"/>
        </w:rPr>
        <w:t>s</w:t>
      </w:r>
      <w:r w:rsidR="00DF68B8" w:rsidRPr="00DF68B8">
        <w:rPr>
          <w:rFonts w:eastAsiaTheme="minorEastAsia"/>
          <w:sz w:val="20"/>
          <w:szCs w:val="20"/>
        </w:rPr>
        <w:t xml:space="preserve"> £1m of income offset by £5m of costs.</w:t>
      </w:r>
    </w:p>
    <w:p w14:paraId="4188D549" w14:textId="77777777" w:rsidR="006125DD" w:rsidRDefault="006125DD" w:rsidP="312E0F1F">
      <w:pPr>
        <w:pStyle w:val="NoSpacing"/>
        <w:jc w:val="both"/>
        <w:rPr>
          <w:b/>
          <w:bCs/>
          <w:color w:val="4747FF"/>
          <w:highlight w:val="yellow"/>
        </w:rPr>
      </w:pPr>
    </w:p>
    <w:p w14:paraId="5A991CBE" w14:textId="4163B613" w:rsidR="798FAB39" w:rsidRPr="00F76933" w:rsidRDefault="798FAB39" w:rsidP="6520D816">
      <w:pPr>
        <w:pStyle w:val="NoSpacing"/>
        <w:jc w:val="both"/>
        <w:rPr>
          <w:b/>
          <w:color w:val="4747FF"/>
        </w:rPr>
      </w:pPr>
      <w:r w:rsidRPr="00F76933">
        <w:rPr>
          <w:b/>
          <w:color w:val="4747FF"/>
        </w:rPr>
        <w:t>Second charge mortgages</w:t>
      </w:r>
    </w:p>
    <w:p w14:paraId="313CAA83" w14:textId="34CE9326" w:rsidR="00FD7573" w:rsidRPr="00F76933" w:rsidRDefault="00FD7573" w:rsidP="6A7632AC">
      <w:pPr>
        <w:pStyle w:val="NoSpacing"/>
        <w:jc w:val="both"/>
        <w:rPr>
          <w:b/>
          <w:bCs/>
          <w:color w:val="4747FF"/>
        </w:rPr>
      </w:pPr>
    </w:p>
    <w:p w14:paraId="138A6880" w14:textId="5ED67CF4" w:rsidR="798FAB39" w:rsidRPr="006D4208" w:rsidRDefault="798FAB39" w:rsidP="6520D816">
      <w:pPr>
        <w:pStyle w:val="NoSpacing"/>
        <w:jc w:val="both"/>
        <w:rPr>
          <w:sz w:val="20"/>
          <w:szCs w:val="20"/>
        </w:rPr>
      </w:pPr>
      <w:r w:rsidRPr="006D4208">
        <w:rPr>
          <w:rFonts w:eastAsiaTheme="minorEastAsia"/>
          <w:sz w:val="20"/>
          <w:szCs w:val="20"/>
        </w:rPr>
        <w:t>Following the launch of second charge mortgages in Sep</w:t>
      </w:r>
      <w:r w:rsidR="2ADD7413" w:rsidRPr="006D4208">
        <w:rPr>
          <w:rFonts w:eastAsiaTheme="minorEastAsia"/>
          <w:sz w:val="20"/>
          <w:szCs w:val="20"/>
        </w:rPr>
        <w:t>‘</w:t>
      </w:r>
      <w:r w:rsidRPr="006D4208">
        <w:rPr>
          <w:rFonts w:eastAsiaTheme="minorEastAsia"/>
          <w:sz w:val="20"/>
          <w:szCs w:val="20"/>
        </w:rPr>
        <w:t>23</w:t>
      </w:r>
      <w:r w:rsidR="4835E957" w:rsidRPr="006D4208">
        <w:rPr>
          <w:rFonts w:eastAsiaTheme="minorEastAsia"/>
          <w:sz w:val="20"/>
          <w:szCs w:val="20"/>
        </w:rPr>
        <w:t xml:space="preserve"> volumes have increased </w:t>
      </w:r>
      <w:r w:rsidR="5B1513D7" w:rsidRPr="006D4208">
        <w:rPr>
          <w:rFonts w:eastAsiaTheme="minorEastAsia"/>
          <w:sz w:val="20"/>
          <w:szCs w:val="20"/>
        </w:rPr>
        <w:t xml:space="preserve">through </w:t>
      </w:r>
      <w:r w:rsidR="00051A8A">
        <w:rPr>
          <w:rFonts w:eastAsiaTheme="minorEastAsia"/>
          <w:sz w:val="20"/>
          <w:szCs w:val="20"/>
        </w:rPr>
        <w:t>1H</w:t>
      </w:r>
      <w:r w:rsidR="5B1513D7" w:rsidRPr="006D4208">
        <w:rPr>
          <w:rFonts w:eastAsiaTheme="minorEastAsia"/>
          <w:sz w:val="20"/>
          <w:szCs w:val="20"/>
        </w:rPr>
        <w:t>24</w:t>
      </w:r>
      <w:r w:rsidR="00002685">
        <w:rPr>
          <w:rFonts w:eastAsiaTheme="minorEastAsia"/>
          <w:sz w:val="20"/>
          <w:szCs w:val="20"/>
        </w:rPr>
        <w:t>,</w:t>
      </w:r>
      <w:r w:rsidR="5B1513D7" w:rsidRPr="006D4208">
        <w:rPr>
          <w:rFonts w:eastAsiaTheme="minorEastAsia"/>
          <w:sz w:val="20"/>
          <w:szCs w:val="20"/>
        </w:rPr>
        <w:t xml:space="preserve"> particular</w:t>
      </w:r>
      <w:r w:rsidR="00002685">
        <w:rPr>
          <w:rFonts w:eastAsiaTheme="minorEastAsia"/>
          <w:sz w:val="20"/>
          <w:szCs w:val="20"/>
        </w:rPr>
        <w:t>ly</w:t>
      </w:r>
      <w:r w:rsidR="5B1513D7" w:rsidRPr="006D4208">
        <w:rPr>
          <w:rFonts w:eastAsiaTheme="minorEastAsia"/>
          <w:sz w:val="20"/>
          <w:szCs w:val="20"/>
        </w:rPr>
        <w:t xml:space="preserve"> in Q2’24</w:t>
      </w:r>
      <w:r w:rsidR="00F0072B">
        <w:rPr>
          <w:rFonts w:eastAsiaTheme="minorEastAsia"/>
          <w:sz w:val="20"/>
          <w:szCs w:val="20"/>
        </w:rPr>
        <w:t>,</w:t>
      </w:r>
      <w:r w:rsidR="5B1513D7" w:rsidRPr="006D4208">
        <w:rPr>
          <w:rFonts w:eastAsiaTheme="minorEastAsia"/>
          <w:sz w:val="20"/>
          <w:szCs w:val="20"/>
        </w:rPr>
        <w:t xml:space="preserve"> following the launch of </w:t>
      </w:r>
      <w:proofErr w:type="spellStart"/>
      <w:r w:rsidR="5B1513D7" w:rsidRPr="006D4208">
        <w:rPr>
          <w:rFonts w:eastAsiaTheme="minorEastAsia"/>
          <w:sz w:val="20"/>
          <w:szCs w:val="20"/>
        </w:rPr>
        <w:t>Interbridge</w:t>
      </w:r>
      <w:proofErr w:type="spellEnd"/>
      <w:r w:rsidR="5B1513D7" w:rsidRPr="006D4208">
        <w:rPr>
          <w:rFonts w:eastAsiaTheme="minorEastAsia"/>
          <w:sz w:val="20"/>
          <w:szCs w:val="20"/>
        </w:rPr>
        <w:t xml:space="preserve"> Mortgages in May‘24 and an expanded forward flow agreement with Sel</w:t>
      </w:r>
      <w:r w:rsidR="4B3FE285" w:rsidRPr="006D4208">
        <w:rPr>
          <w:rFonts w:eastAsiaTheme="minorEastAsia"/>
          <w:sz w:val="20"/>
          <w:szCs w:val="20"/>
        </w:rPr>
        <w:t>ina Finance.</w:t>
      </w:r>
      <w:r w:rsidR="285CB481" w:rsidRPr="006D4208">
        <w:rPr>
          <w:rFonts w:eastAsiaTheme="minorEastAsia"/>
          <w:sz w:val="20"/>
          <w:szCs w:val="20"/>
        </w:rPr>
        <w:t xml:space="preserve"> New mortgage origination vol</w:t>
      </w:r>
      <w:r w:rsidR="6B0F597C" w:rsidRPr="006D4208">
        <w:rPr>
          <w:rFonts w:eastAsiaTheme="minorEastAsia"/>
          <w:sz w:val="20"/>
          <w:szCs w:val="20"/>
        </w:rPr>
        <w:t xml:space="preserve">umes </w:t>
      </w:r>
      <w:r w:rsidR="285CB481" w:rsidRPr="006D4208">
        <w:rPr>
          <w:rFonts w:eastAsiaTheme="minorEastAsia"/>
          <w:sz w:val="20"/>
          <w:szCs w:val="20"/>
        </w:rPr>
        <w:t xml:space="preserve">in the period of </w:t>
      </w:r>
      <w:r w:rsidR="47B66A9C" w:rsidRPr="006D4208">
        <w:rPr>
          <w:rFonts w:eastAsiaTheme="minorEastAsia"/>
          <w:sz w:val="20"/>
          <w:szCs w:val="20"/>
        </w:rPr>
        <w:t xml:space="preserve">500 </w:t>
      </w:r>
      <w:r w:rsidR="262C3D19" w:rsidRPr="006D4208">
        <w:rPr>
          <w:rFonts w:eastAsiaTheme="minorEastAsia"/>
          <w:sz w:val="20"/>
          <w:szCs w:val="20"/>
        </w:rPr>
        <w:t>(</w:t>
      </w:r>
      <w:r w:rsidR="00051A8A">
        <w:rPr>
          <w:rFonts w:eastAsiaTheme="minorEastAsia"/>
          <w:sz w:val="20"/>
          <w:szCs w:val="20"/>
        </w:rPr>
        <w:t>1H</w:t>
      </w:r>
      <w:r w:rsidR="262C3D19" w:rsidRPr="006D4208">
        <w:rPr>
          <w:rFonts w:eastAsiaTheme="minorEastAsia"/>
          <w:sz w:val="20"/>
          <w:szCs w:val="20"/>
        </w:rPr>
        <w:t>23: nil)</w:t>
      </w:r>
      <w:r w:rsidR="47B66A9C" w:rsidRPr="006D4208">
        <w:rPr>
          <w:rFonts w:eastAsiaTheme="minorEastAsia"/>
          <w:sz w:val="20"/>
          <w:szCs w:val="20"/>
        </w:rPr>
        <w:t xml:space="preserve"> resulted in a closing </w:t>
      </w:r>
      <w:r w:rsidR="1E3EDCED" w:rsidRPr="006D4208">
        <w:rPr>
          <w:rFonts w:eastAsiaTheme="minorEastAsia"/>
          <w:sz w:val="20"/>
          <w:szCs w:val="20"/>
        </w:rPr>
        <w:t>receivable of £3</w:t>
      </w:r>
      <w:r w:rsidR="0085025C">
        <w:rPr>
          <w:rFonts w:eastAsiaTheme="minorEastAsia"/>
          <w:sz w:val="20"/>
          <w:szCs w:val="20"/>
        </w:rPr>
        <w:t>2</w:t>
      </w:r>
      <w:r w:rsidR="1E3EDCED" w:rsidRPr="006D4208">
        <w:rPr>
          <w:rFonts w:eastAsiaTheme="minorEastAsia"/>
          <w:sz w:val="20"/>
          <w:szCs w:val="20"/>
        </w:rPr>
        <w:t>m</w:t>
      </w:r>
      <w:r w:rsidR="47B66A9C" w:rsidRPr="006D4208">
        <w:rPr>
          <w:rFonts w:eastAsiaTheme="minorEastAsia"/>
          <w:sz w:val="20"/>
          <w:szCs w:val="20"/>
        </w:rPr>
        <w:t xml:space="preserve"> </w:t>
      </w:r>
      <w:r w:rsidR="1F5E5896" w:rsidRPr="006D4208">
        <w:rPr>
          <w:rFonts w:eastAsiaTheme="minorEastAsia"/>
          <w:sz w:val="20"/>
          <w:szCs w:val="20"/>
        </w:rPr>
        <w:t>(</w:t>
      </w:r>
      <w:r w:rsidR="00051A8A">
        <w:rPr>
          <w:rFonts w:eastAsiaTheme="minorEastAsia"/>
          <w:sz w:val="20"/>
          <w:szCs w:val="20"/>
        </w:rPr>
        <w:t>1H</w:t>
      </w:r>
      <w:r w:rsidR="1F5E5896" w:rsidRPr="006D4208">
        <w:rPr>
          <w:rFonts w:eastAsiaTheme="minorEastAsia"/>
          <w:sz w:val="20"/>
          <w:szCs w:val="20"/>
        </w:rPr>
        <w:t>23: £nil)</w:t>
      </w:r>
      <w:r w:rsidR="1F5E5896" w:rsidRPr="006D4208">
        <w:rPr>
          <w:sz w:val="20"/>
          <w:szCs w:val="20"/>
        </w:rPr>
        <w:t xml:space="preserve"> and a reported </w:t>
      </w:r>
      <w:r w:rsidR="007E65CD">
        <w:rPr>
          <w:sz w:val="20"/>
          <w:szCs w:val="20"/>
        </w:rPr>
        <w:t>adjusted profit before tax</w:t>
      </w:r>
      <w:r w:rsidR="1F5E5896" w:rsidRPr="006D4208">
        <w:rPr>
          <w:sz w:val="20"/>
          <w:szCs w:val="20"/>
        </w:rPr>
        <w:t xml:space="preserve"> of £0.</w:t>
      </w:r>
      <w:r w:rsidR="00414C71">
        <w:rPr>
          <w:sz w:val="20"/>
          <w:szCs w:val="20"/>
        </w:rPr>
        <w:t>4</w:t>
      </w:r>
      <w:r w:rsidR="1F5E5896" w:rsidRPr="006D4208">
        <w:rPr>
          <w:sz w:val="20"/>
          <w:szCs w:val="20"/>
        </w:rPr>
        <w:t>m (</w:t>
      </w:r>
      <w:r w:rsidR="00051A8A">
        <w:rPr>
          <w:sz w:val="20"/>
          <w:szCs w:val="20"/>
        </w:rPr>
        <w:t>1H</w:t>
      </w:r>
      <w:r w:rsidR="1F5E5896" w:rsidRPr="006D4208">
        <w:rPr>
          <w:sz w:val="20"/>
          <w:szCs w:val="20"/>
        </w:rPr>
        <w:t xml:space="preserve">23: </w:t>
      </w:r>
      <w:r w:rsidR="007E65CD">
        <w:rPr>
          <w:sz w:val="20"/>
          <w:szCs w:val="20"/>
        </w:rPr>
        <w:t>adjusted loss before tax</w:t>
      </w:r>
      <w:r w:rsidR="1F5E5896" w:rsidRPr="006D4208">
        <w:rPr>
          <w:sz w:val="20"/>
          <w:szCs w:val="20"/>
        </w:rPr>
        <w:t xml:space="preserve"> of £0.3m)</w:t>
      </w:r>
      <w:r w:rsidR="089345F7" w:rsidRPr="006D4208">
        <w:rPr>
          <w:sz w:val="20"/>
          <w:szCs w:val="20"/>
        </w:rPr>
        <w:t>.</w:t>
      </w:r>
    </w:p>
    <w:p w14:paraId="0CA1524B" w14:textId="0AF73991" w:rsidR="6520D816" w:rsidRDefault="6520D816" w:rsidP="6520D816">
      <w:pPr>
        <w:pStyle w:val="NoSpacing"/>
        <w:jc w:val="both"/>
        <w:rPr>
          <w:b/>
          <w:bCs/>
          <w:color w:val="4747FF"/>
          <w:highlight w:val="yellow"/>
        </w:rPr>
      </w:pPr>
    </w:p>
    <w:p w14:paraId="4C10D895" w14:textId="5A555347" w:rsidR="00F01EC8" w:rsidRPr="00701439" w:rsidRDefault="002B0A16" w:rsidP="00E534C5">
      <w:pPr>
        <w:pStyle w:val="NoSpacing"/>
        <w:jc w:val="both"/>
        <w:rPr>
          <w:b/>
          <w:color w:val="4747FF"/>
        </w:rPr>
      </w:pPr>
      <w:r>
        <w:rPr>
          <w:b/>
          <w:color w:val="4747FF"/>
        </w:rPr>
        <w:t>Corporate Centre</w:t>
      </w:r>
    </w:p>
    <w:p w14:paraId="3D51A4C5" w14:textId="0203285D" w:rsidR="00F01EC8" w:rsidRPr="00701439" w:rsidRDefault="00F01EC8" w:rsidP="00E534C5">
      <w:pPr>
        <w:pStyle w:val="NoSpacing"/>
        <w:jc w:val="both"/>
        <w:rPr>
          <w:sz w:val="20"/>
          <w:szCs w:val="20"/>
        </w:rPr>
      </w:pPr>
    </w:p>
    <w:p w14:paraId="2D95509C" w14:textId="1CE1AC36" w:rsidR="004726CD" w:rsidRPr="00614C43" w:rsidRDefault="003230D4" w:rsidP="00E534C5">
      <w:pPr>
        <w:jc w:val="both"/>
        <w:rPr>
          <w:rFonts w:asciiTheme="minorHAnsi" w:eastAsiaTheme="minorEastAsia" w:hAnsiTheme="minorHAnsi" w:cstheme="minorBidi"/>
          <w:sz w:val="20"/>
          <w:szCs w:val="20"/>
          <w:lang w:eastAsia="en-US"/>
        </w:rPr>
      </w:pPr>
      <w:r>
        <w:rPr>
          <w:rFonts w:asciiTheme="minorHAnsi" w:eastAsiaTheme="minorEastAsia" w:hAnsiTheme="minorHAnsi" w:cstheme="minorBidi"/>
          <w:sz w:val="20"/>
          <w:szCs w:val="20"/>
          <w:lang w:eastAsia="en-US"/>
        </w:rPr>
        <w:t>Corporate C</w:t>
      </w:r>
      <w:r w:rsidR="002036AF" w:rsidRPr="00614C43">
        <w:rPr>
          <w:rFonts w:asciiTheme="minorHAnsi" w:eastAsiaTheme="minorEastAsia" w:hAnsiTheme="minorHAnsi" w:cstheme="minorBidi"/>
          <w:sz w:val="20"/>
          <w:szCs w:val="20"/>
          <w:lang w:eastAsia="en-US"/>
        </w:rPr>
        <w:t>ent</w:t>
      </w:r>
      <w:r>
        <w:rPr>
          <w:rFonts w:asciiTheme="minorHAnsi" w:eastAsiaTheme="minorEastAsia" w:hAnsiTheme="minorHAnsi" w:cstheme="minorBidi"/>
          <w:sz w:val="20"/>
          <w:szCs w:val="20"/>
          <w:lang w:eastAsia="en-US"/>
        </w:rPr>
        <w:t>re</w:t>
      </w:r>
      <w:r w:rsidR="002036AF" w:rsidRPr="00614C43">
        <w:rPr>
          <w:rFonts w:asciiTheme="minorHAnsi" w:eastAsiaTheme="minorEastAsia" w:hAnsiTheme="minorHAnsi" w:cstheme="minorBidi"/>
          <w:sz w:val="20"/>
          <w:szCs w:val="20"/>
          <w:lang w:eastAsia="en-US"/>
        </w:rPr>
        <w:t xml:space="preserve"> </w:t>
      </w:r>
      <w:r w:rsidR="00E43764" w:rsidRPr="00614C43">
        <w:rPr>
          <w:rFonts w:asciiTheme="minorHAnsi" w:eastAsiaTheme="minorEastAsia" w:hAnsiTheme="minorHAnsi" w:cstheme="minorBidi"/>
          <w:sz w:val="20"/>
          <w:szCs w:val="20"/>
          <w:lang w:eastAsia="en-US"/>
        </w:rPr>
        <w:t>contribution was</w:t>
      </w:r>
      <w:r w:rsidR="002827FA" w:rsidRPr="00614C43">
        <w:rPr>
          <w:rFonts w:asciiTheme="minorHAnsi" w:eastAsiaTheme="minorEastAsia" w:hAnsiTheme="minorHAnsi" w:cstheme="minorBidi"/>
          <w:sz w:val="20"/>
          <w:szCs w:val="20"/>
          <w:lang w:eastAsia="en-US"/>
        </w:rPr>
        <w:t xml:space="preserve"> </w:t>
      </w:r>
      <w:r w:rsidR="00D64E0A" w:rsidRPr="00614C43">
        <w:rPr>
          <w:rFonts w:asciiTheme="minorHAnsi" w:eastAsiaTheme="minorEastAsia" w:hAnsiTheme="minorHAnsi" w:cstheme="minorBidi"/>
          <w:sz w:val="20"/>
          <w:szCs w:val="20"/>
          <w:lang w:eastAsia="en-US"/>
        </w:rPr>
        <w:t>a</w:t>
      </w:r>
      <w:r w:rsidR="00C42EE7" w:rsidRPr="00614C43">
        <w:rPr>
          <w:rFonts w:asciiTheme="minorHAnsi" w:eastAsiaTheme="minorEastAsia" w:hAnsiTheme="minorHAnsi" w:cstheme="minorBidi"/>
          <w:sz w:val="20"/>
          <w:szCs w:val="20"/>
          <w:lang w:eastAsia="en-US"/>
        </w:rPr>
        <w:t xml:space="preserve"> loss of</w:t>
      </w:r>
      <w:r w:rsidR="002036AF" w:rsidRPr="00614C43">
        <w:rPr>
          <w:rFonts w:asciiTheme="minorHAnsi" w:eastAsiaTheme="minorEastAsia" w:hAnsiTheme="minorHAnsi" w:cstheme="minorBidi"/>
          <w:sz w:val="20"/>
          <w:szCs w:val="20"/>
          <w:lang w:eastAsia="en-US"/>
        </w:rPr>
        <w:t xml:space="preserve"> £</w:t>
      </w:r>
      <w:r w:rsidR="00E43764" w:rsidRPr="00614C43">
        <w:rPr>
          <w:rFonts w:asciiTheme="minorHAnsi" w:eastAsiaTheme="minorEastAsia" w:hAnsiTheme="minorHAnsi" w:cstheme="minorBidi"/>
          <w:sz w:val="20"/>
          <w:szCs w:val="20"/>
          <w:lang w:eastAsia="en-US"/>
        </w:rPr>
        <w:t>36.3</w:t>
      </w:r>
      <w:r w:rsidR="002036AF" w:rsidRPr="00614C43">
        <w:rPr>
          <w:rFonts w:asciiTheme="minorHAnsi" w:eastAsiaTheme="minorEastAsia" w:hAnsiTheme="minorHAnsi" w:cstheme="minorBidi"/>
          <w:sz w:val="20"/>
          <w:szCs w:val="20"/>
          <w:lang w:eastAsia="en-US"/>
        </w:rPr>
        <w:t>m (</w:t>
      </w:r>
      <w:r w:rsidR="00051A8A" w:rsidRPr="00614C43">
        <w:rPr>
          <w:rFonts w:asciiTheme="minorHAnsi" w:eastAsiaTheme="minorEastAsia" w:hAnsiTheme="minorHAnsi" w:cstheme="minorBidi"/>
          <w:sz w:val="20"/>
          <w:szCs w:val="20"/>
          <w:lang w:eastAsia="en-US"/>
        </w:rPr>
        <w:t>1H</w:t>
      </w:r>
      <w:r w:rsidR="00EC7117" w:rsidRPr="00614C43">
        <w:rPr>
          <w:rFonts w:asciiTheme="minorHAnsi" w:eastAsiaTheme="minorEastAsia" w:hAnsiTheme="minorHAnsi" w:cstheme="minorBidi"/>
          <w:sz w:val="20"/>
          <w:szCs w:val="20"/>
          <w:lang w:eastAsia="en-US"/>
        </w:rPr>
        <w:t>2</w:t>
      </w:r>
      <w:r w:rsidR="00FB5FA2" w:rsidRPr="00614C43">
        <w:rPr>
          <w:rFonts w:asciiTheme="minorHAnsi" w:eastAsiaTheme="minorEastAsia" w:hAnsiTheme="minorHAnsi" w:cstheme="minorBidi"/>
          <w:sz w:val="20"/>
          <w:szCs w:val="20"/>
          <w:lang w:eastAsia="en-US"/>
        </w:rPr>
        <w:t>3</w:t>
      </w:r>
      <w:r w:rsidR="002036AF" w:rsidRPr="00614C43">
        <w:rPr>
          <w:rFonts w:asciiTheme="minorHAnsi" w:eastAsiaTheme="minorEastAsia" w:hAnsiTheme="minorHAnsi" w:cstheme="minorBidi"/>
          <w:sz w:val="20"/>
          <w:szCs w:val="20"/>
          <w:lang w:eastAsia="en-US"/>
        </w:rPr>
        <w:t>: £</w:t>
      </w:r>
      <w:r w:rsidR="00773C5E">
        <w:rPr>
          <w:rFonts w:asciiTheme="minorHAnsi" w:eastAsiaTheme="minorEastAsia" w:hAnsiTheme="minorHAnsi" w:cstheme="minorBidi"/>
          <w:sz w:val="20"/>
          <w:szCs w:val="20"/>
          <w:lang w:eastAsia="en-US"/>
        </w:rPr>
        <w:t>45.4</w:t>
      </w:r>
      <w:r w:rsidR="002036AF" w:rsidRPr="00614C43">
        <w:rPr>
          <w:rFonts w:asciiTheme="minorHAnsi" w:eastAsiaTheme="minorEastAsia" w:hAnsiTheme="minorHAnsi" w:cstheme="minorBidi"/>
          <w:sz w:val="20"/>
          <w:szCs w:val="20"/>
          <w:lang w:eastAsia="en-US"/>
        </w:rPr>
        <w:t>m)</w:t>
      </w:r>
      <w:r w:rsidR="00B6784A" w:rsidRPr="00614C43">
        <w:rPr>
          <w:rFonts w:asciiTheme="minorHAnsi" w:eastAsiaTheme="minorEastAsia" w:hAnsiTheme="minorHAnsi" w:cstheme="minorBidi"/>
          <w:sz w:val="20"/>
          <w:szCs w:val="20"/>
          <w:lang w:eastAsia="en-US"/>
        </w:rPr>
        <w:t>.</w:t>
      </w:r>
      <w:r w:rsidR="002036AF" w:rsidRPr="00614C43">
        <w:rPr>
          <w:rFonts w:asciiTheme="minorHAnsi" w:eastAsiaTheme="minorEastAsia" w:hAnsiTheme="minorHAnsi" w:cstheme="minorBidi"/>
          <w:sz w:val="20"/>
          <w:szCs w:val="20"/>
          <w:lang w:eastAsia="en-US"/>
        </w:rPr>
        <w:t xml:space="preserve"> </w:t>
      </w:r>
      <w:r w:rsidR="00F177A6" w:rsidRPr="00614C43">
        <w:rPr>
          <w:rFonts w:asciiTheme="minorHAnsi" w:eastAsiaTheme="minorEastAsia" w:hAnsiTheme="minorHAnsi" w:cstheme="minorBidi"/>
          <w:sz w:val="20"/>
          <w:szCs w:val="20"/>
          <w:lang w:eastAsia="en-US"/>
        </w:rPr>
        <w:t xml:space="preserve">Net interest </w:t>
      </w:r>
      <w:r w:rsidR="008E3A4D" w:rsidRPr="00614C43">
        <w:rPr>
          <w:rFonts w:asciiTheme="minorHAnsi" w:eastAsiaTheme="minorEastAsia" w:hAnsiTheme="minorHAnsi" w:cstheme="minorBidi"/>
          <w:sz w:val="20"/>
          <w:szCs w:val="20"/>
          <w:lang w:eastAsia="en-US"/>
        </w:rPr>
        <w:t>expense has reduced reflecting</w:t>
      </w:r>
      <w:r w:rsidR="00016CA4" w:rsidRPr="00614C43">
        <w:rPr>
          <w:rFonts w:asciiTheme="minorHAnsi" w:eastAsiaTheme="minorEastAsia" w:hAnsiTheme="minorHAnsi" w:cstheme="minorBidi"/>
          <w:sz w:val="20"/>
          <w:szCs w:val="20"/>
          <w:lang w:eastAsia="en-US"/>
        </w:rPr>
        <w:t xml:space="preserve"> </w:t>
      </w:r>
      <w:r w:rsidR="00631C50" w:rsidRPr="00614C43">
        <w:rPr>
          <w:rFonts w:asciiTheme="minorHAnsi" w:eastAsiaTheme="minorEastAsia" w:hAnsiTheme="minorHAnsi" w:cstheme="minorBidi"/>
          <w:sz w:val="20"/>
          <w:szCs w:val="20"/>
          <w:lang w:eastAsia="en-US"/>
        </w:rPr>
        <w:t xml:space="preserve">lower interest income due to </w:t>
      </w:r>
      <w:r w:rsidR="00631C50" w:rsidRPr="00833B5B">
        <w:rPr>
          <w:rFonts w:asciiTheme="minorHAnsi" w:eastAsiaTheme="minorEastAsia" w:hAnsiTheme="minorHAnsi" w:cstheme="minorBidi"/>
          <w:sz w:val="20"/>
          <w:szCs w:val="20"/>
          <w:lang w:eastAsia="en-US"/>
        </w:rPr>
        <w:t>lower balances held in the liquid asset buffer centrally</w:t>
      </w:r>
      <w:r w:rsidR="00631C50" w:rsidRPr="00614C43">
        <w:rPr>
          <w:rFonts w:asciiTheme="minorHAnsi" w:eastAsiaTheme="minorEastAsia" w:hAnsiTheme="minorHAnsi" w:cstheme="minorBidi"/>
          <w:sz w:val="20"/>
          <w:szCs w:val="20"/>
          <w:lang w:eastAsia="en-US"/>
        </w:rPr>
        <w:t xml:space="preserve"> and a lower funding expense </w:t>
      </w:r>
      <w:r w:rsidR="00F262BC" w:rsidRPr="00614C43">
        <w:rPr>
          <w:rFonts w:asciiTheme="minorHAnsi" w:eastAsiaTheme="minorEastAsia" w:hAnsiTheme="minorHAnsi" w:cstheme="minorBidi"/>
          <w:sz w:val="20"/>
          <w:szCs w:val="20"/>
          <w:lang w:eastAsia="en-US"/>
        </w:rPr>
        <w:t xml:space="preserve">as </w:t>
      </w:r>
      <w:r w:rsidR="00B4488B" w:rsidRPr="00614C43">
        <w:rPr>
          <w:rFonts w:asciiTheme="minorHAnsi" w:eastAsiaTheme="minorHAnsi" w:hAnsiTheme="minorHAnsi" w:cstheme="minorBidi"/>
          <w:sz w:val="20"/>
          <w:szCs w:val="20"/>
          <w:lang w:eastAsia="en-US"/>
        </w:rPr>
        <w:t xml:space="preserve">a lower charge is being retained centrally. </w:t>
      </w:r>
      <w:r w:rsidR="00114CF2" w:rsidRPr="00614C43">
        <w:rPr>
          <w:rFonts w:asciiTheme="minorHAnsi" w:eastAsiaTheme="minorEastAsia" w:hAnsiTheme="minorHAnsi" w:cstheme="minorBidi"/>
          <w:sz w:val="20"/>
          <w:szCs w:val="20"/>
          <w:lang w:eastAsia="en-US"/>
        </w:rPr>
        <w:t>C</w:t>
      </w:r>
      <w:r w:rsidR="000A3778" w:rsidRPr="00614C43">
        <w:rPr>
          <w:rFonts w:asciiTheme="minorHAnsi" w:eastAsiaTheme="minorEastAsia" w:hAnsiTheme="minorHAnsi" w:cstheme="minorBidi"/>
          <w:sz w:val="20"/>
          <w:szCs w:val="20"/>
          <w:lang w:eastAsia="en-US"/>
        </w:rPr>
        <w:t xml:space="preserve">osts have reduced by £5.7m </w:t>
      </w:r>
      <w:r w:rsidR="008906D4" w:rsidRPr="00614C43">
        <w:rPr>
          <w:rFonts w:asciiTheme="minorHAnsi" w:eastAsiaTheme="minorEastAsia" w:hAnsiTheme="minorHAnsi" w:cstheme="minorBidi"/>
          <w:sz w:val="20"/>
          <w:szCs w:val="20"/>
          <w:lang w:eastAsia="en-US"/>
        </w:rPr>
        <w:t xml:space="preserve">from £34.6m in 1H23 to </w:t>
      </w:r>
      <w:r w:rsidR="004726CD" w:rsidRPr="00614C43">
        <w:rPr>
          <w:rFonts w:asciiTheme="minorHAnsi" w:eastAsiaTheme="minorEastAsia" w:hAnsiTheme="minorHAnsi" w:cstheme="minorBidi"/>
          <w:sz w:val="20"/>
          <w:szCs w:val="20"/>
          <w:lang w:eastAsia="en-US"/>
        </w:rPr>
        <w:t xml:space="preserve">£28.9m in 1H24 reflecting </w:t>
      </w:r>
      <w:r w:rsidR="005C0829" w:rsidRPr="00614C43">
        <w:rPr>
          <w:rFonts w:asciiTheme="minorHAnsi" w:eastAsiaTheme="minorHAnsi" w:hAnsiTheme="minorHAnsi" w:cstheme="minorBidi"/>
          <w:sz w:val="20"/>
          <w:szCs w:val="20"/>
          <w:lang w:eastAsia="en-US"/>
        </w:rPr>
        <w:t>management actions to reduce costs including headcount</w:t>
      </w:r>
      <w:r w:rsidR="0029741A">
        <w:rPr>
          <w:rFonts w:asciiTheme="minorHAnsi" w:eastAsiaTheme="minorHAnsi" w:hAnsiTheme="minorHAnsi" w:cstheme="minorBidi"/>
          <w:sz w:val="20"/>
          <w:szCs w:val="20"/>
          <w:lang w:eastAsia="en-US"/>
        </w:rPr>
        <w:t xml:space="preserve"> reduction</w:t>
      </w:r>
      <w:r w:rsidR="005C0829" w:rsidRPr="00614C43">
        <w:rPr>
          <w:rFonts w:asciiTheme="minorHAnsi" w:eastAsiaTheme="minorHAnsi" w:hAnsiTheme="minorHAnsi" w:cstheme="minorBidi"/>
          <w:sz w:val="20"/>
          <w:szCs w:val="20"/>
          <w:lang w:eastAsia="en-US"/>
        </w:rPr>
        <w:t xml:space="preserve">. </w:t>
      </w:r>
    </w:p>
    <w:p w14:paraId="72EA3DE6" w14:textId="193DB96A" w:rsidR="00DD6D48" w:rsidRPr="00701439" w:rsidRDefault="00DD6D48" w:rsidP="00E534C5">
      <w:pPr>
        <w:pStyle w:val="NoSpacing"/>
        <w:jc w:val="both"/>
        <w:rPr>
          <w:sz w:val="20"/>
          <w:szCs w:val="20"/>
        </w:rPr>
      </w:pPr>
    </w:p>
    <w:p w14:paraId="0A195658" w14:textId="5DABD73B" w:rsidR="00F01EC8" w:rsidRPr="00701439" w:rsidRDefault="00F01EC8" w:rsidP="00E534C5">
      <w:pPr>
        <w:pStyle w:val="NoSpacing"/>
        <w:jc w:val="both"/>
        <w:rPr>
          <w:b/>
          <w:color w:val="4747FF"/>
        </w:rPr>
      </w:pPr>
      <w:r w:rsidRPr="00333720">
        <w:rPr>
          <w:b/>
          <w:color w:val="4747FF"/>
        </w:rPr>
        <w:t>Exceptional items</w:t>
      </w:r>
    </w:p>
    <w:p w14:paraId="09123634" w14:textId="77777777" w:rsidR="00F01EC8" w:rsidRPr="00701439" w:rsidRDefault="00F01EC8" w:rsidP="00E534C5">
      <w:pPr>
        <w:pStyle w:val="NoSpacing"/>
        <w:jc w:val="both"/>
        <w:rPr>
          <w:sz w:val="20"/>
          <w:szCs w:val="20"/>
        </w:rPr>
      </w:pPr>
    </w:p>
    <w:p w14:paraId="05B324BF" w14:textId="18985662" w:rsidR="00524289" w:rsidRDefault="00B52887" w:rsidP="00E534C5">
      <w:pPr>
        <w:jc w:val="both"/>
        <w:rPr>
          <w:rFonts w:asciiTheme="minorHAnsi" w:hAnsiTheme="minorHAnsi"/>
          <w:sz w:val="20"/>
          <w:szCs w:val="20"/>
        </w:rPr>
      </w:pPr>
      <w:r w:rsidRPr="00701439">
        <w:rPr>
          <w:rFonts w:asciiTheme="minorHAnsi" w:hAnsiTheme="minorHAnsi"/>
          <w:sz w:val="20"/>
          <w:szCs w:val="20"/>
        </w:rPr>
        <w:lastRenderedPageBreak/>
        <w:t xml:space="preserve">An exceptional cost of </w:t>
      </w:r>
      <w:r w:rsidRPr="006D4208">
        <w:rPr>
          <w:rFonts w:asciiTheme="minorHAnsi" w:hAnsiTheme="minorHAnsi"/>
          <w:sz w:val="20"/>
          <w:szCs w:val="20"/>
        </w:rPr>
        <w:t>£</w:t>
      </w:r>
      <w:r w:rsidR="009F0C93" w:rsidRPr="006D4208">
        <w:rPr>
          <w:rFonts w:asciiTheme="minorHAnsi" w:hAnsiTheme="minorHAnsi"/>
          <w:sz w:val="20"/>
          <w:szCs w:val="20"/>
        </w:rPr>
        <w:t>1</w:t>
      </w:r>
      <w:r w:rsidR="00D127E3" w:rsidRPr="006D4208">
        <w:rPr>
          <w:rFonts w:asciiTheme="minorHAnsi" w:hAnsiTheme="minorHAnsi"/>
          <w:sz w:val="20"/>
          <w:szCs w:val="20"/>
        </w:rPr>
        <w:t>5.5</w:t>
      </w:r>
      <w:r w:rsidRPr="006D4208">
        <w:rPr>
          <w:rFonts w:asciiTheme="minorHAnsi" w:hAnsiTheme="minorHAnsi"/>
          <w:sz w:val="20"/>
          <w:szCs w:val="20"/>
        </w:rPr>
        <w:t xml:space="preserve">m was recognised in </w:t>
      </w:r>
      <w:r w:rsidR="000D42C2" w:rsidRPr="006D4208">
        <w:rPr>
          <w:rFonts w:asciiTheme="minorHAnsi" w:hAnsiTheme="minorHAnsi"/>
          <w:sz w:val="20"/>
          <w:szCs w:val="20"/>
        </w:rPr>
        <w:t>1</w:t>
      </w:r>
      <w:r w:rsidR="00EC7117" w:rsidRPr="006D4208">
        <w:rPr>
          <w:rFonts w:asciiTheme="minorHAnsi" w:hAnsiTheme="minorHAnsi"/>
          <w:sz w:val="20"/>
          <w:szCs w:val="20"/>
        </w:rPr>
        <w:t>H2</w:t>
      </w:r>
      <w:r w:rsidR="009F0C93" w:rsidRPr="006D4208">
        <w:rPr>
          <w:rFonts w:asciiTheme="minorHAnsi" w:hAnsiTheme="minorHAnsi"/>
          <w:sz w:val="20"/>
          <w:szCs w:val="20"/>
        </w:rPr>
        <w:t>4</w:t>
      </w:r>
      <w:r w:rsidR="000023C8" w:rsidRPr="006D4208">
        <w:rPr>
          <w:rFonts w:asciiTheme="minorHAnsi" w:hAnsiTheme="minorHAnsi"/>
          <w:sz w:val="20"/>
          <w:szCs w:val="20"/>
        </w:rPr>
        <w:t xml:space="preserve"> (1H23</w:t>
      </w:r>
      <w:r w:rsidR="00BA3E7D" w:rsidRPr="006D4208">
        <w:rPr>
          <w:rFonts w:asciiTheme="minorHAnsi" w:hAnsiTheme="minorHAnsi"/>
          <w:sz w:val="20"/>
          <w:szCs w:val="20"/>
        </w:rPr>
        <w:t xml:space="preserve"> £5.3m)</w:t>
      </w:r>
      <w:r w:rsidRPr="006D4208">
        <w:rPr>
          <w:rFonts w:asciiTheme="minorHAnsi" w:hAnsiTheme="minorHAnsi"/>
          <w:sz w:val="20"/>
          <w:szCs w:val="20"/>
        </w:rPr>
        <w:t>.</w:t>
      </w:r>
      <w:r w:rsidRPr="00701439">
        <w:rPr>
          <w:rFonts w:asciiTheme="minorHAnsi" w:hAnsiTheme="minorHAnsi"/>
          <w:sz w:val="20"/>
          <w:szCs w:val="20"/>
        </w:rPr>
        <w:t xml:space="preserve"> This includes</w:t>
      </w:r>
      <w:r w:rsidR="00BF2C62">
        <w:rPr>
          <w:rFonts w:asciiTheme="minorHAnsi" w:hAnsiTheme="minorHAnsi"/>
          <w:sz w:val="20"/>
          <w:szCs w:val="20"/>
        </w:rPr>
        <w:t xml:space="preserve"> transformation costs of £16.0m</w:t>
      </w:r>
      <w:r w:rsidR="000522EA">
        <w:rPr>
          <w:rFonts w:asciiTheme="minorHAnsi" w:hAnsiTheme="minorHAnsi"/>
          <w:sz w:val="20"/>
          <w:szCs w:val="20"/>
        </w:rPr>
        <w:t xml:space="preserve"> </w:t>
      </w:r>
      <w:r w:rsidR="00E54859">
        <w:rPr>
          <w:rFonts w:asciiTheme="minorHAnsi" w:hAnsiTheme="minorHAnsi"/>
          <w:sz w:val="20"/>
          <w:szCs w:val="20"/>
        </w:rPr>
        <w:t xml:space="preserve"> (1H2</w:t>
      </w:r>
      <w:r w:rsidR="007E4E82">
        <w:rPr>
          <w:rFonts w:asciiTheme="minorHAnsi" w:hAnsiTheme="minorHAnsi"/>
          <w:sz w:val="20"/>
          <w:szCs w:val="20"/>
        </w:rPr>
        <w:t>3</w:t>
      </w:r>
      <w:r w:rsidR="00E54859">
        <w:rPr>
          <w:rFonts w:asciiTheme="minorHAnsi" w:hAnsiTheme="minorHAnsi"/>
          <w:sz w:val="20"/>
          <w:szCs w:val="20"/>
        </w:rPr>
        <w:t xml:space="preserve">: £2.9m) </w:t>
      </w:r>
      <w:r w:rsidR="00524289">
        <w:rPr>
          <w:rFonts w:asciiTheme="minorHAnsi" w:hAnsiTheme="minorHAnsi"/>
          <w:sz w:val="20"/>
          <w:szCs w:val="20"/>
        </w:rPr>
        <w:t>reflecting</w:t>
      </w:r>
      <w:r w:rsidR="000522EA">
        <w:rPr>
          <w:rFonts w:asciiTheme="minorHAnsi" w:hAnsiTheme="minorHAnsi"/>
          <w:sz w:val="20"/>
          <w:szCs w:val="20"/>
        </w:rPr>
        <w:t xml:space="preserve"> </w:t>
      </w:r>
      <w:r w:rsidR="009A6A11">
        <w:rPr>
          <w:rFonts w:asciiTheme="minorHAnsi" w:hAnsiTheme="minorHAnsi"/>
          <w:sz w:val="20"/>
          <w:szCs w:val="20"/>
        </w:rPr>
        <w:t>(</w:t>
      </w:r>
      <w:proofErr w:type="spellStart"/>
      <w:r w:rsidR="009A6A11">
        <w:rPr>
          <w:rFonts w:asciiTheme="minorHAnsi" w:hAnsiTheme="minorHAnsi"/>
          <w:sz w:val="20"/>
          <w:szCs w:val="20"/>
        </w:rPr>
        <w:t>i</w:t>
      </w:r>
      <w:proofErr w:type="spellEnd"/>
      <w:r w:rsidR="009A6A11">
        <w:rPr>
          <w:rFonts w:asciiTheme="minorHAnsi" w:hAnsiTheme="minorHAnsi"/>
          <w:sz w:val="20"/>
          <w:szCs w:val="20"/>
        </w:rPr>
        <w:t xml:space="preserve">) </w:t>
      </w:r>
      <w:r w:rsidR="000522EA">
        <w:rPr>
          <w:rFonts w:asciiTheme="minorHAnsi" w:hAnsiTheme="minorHAnsi"/>
          <w:sz w:val="20"/>
          <w:szCs w:val="20"/>
        </w:rPr>
        <w:t>consultancy costs £7.</w:t>
      </w:r>
      <w:r w:rsidR="001B04F3">
        <w:rPr>
          <w:rFonts w:asciiTheme="minorHAnsi" w:hAnsiTheme="minorHAnsi"/>
          <w:sz w:val="20"/>
          <w:szCs w:val="20"/>
        </w:rPr>
        <w:t>8</w:t>
      </w:r>
      <w:r w:rsidR="6E9107AA" w:rsidRPr="6A7632AC">
        <w:rPr>
          <w:rFonts w:asciiTheme="minorHAnsi" w:hAnsiTheme="minorHAnsi"/>
          <w:sz w:val="20"/>
          <w:szCs w:val="20"/>
        </w:rPr>
        <w:t>m</w:t>
      </w:r>
      <w:r w:rsidR="002867C4">
        <w:rPr>
          <w:rFonts w:asciiTheme="minorHAnsi" w:hAnsiTheme="minorHAnsi"/>
          <w:sz w:val="20"/>
          <w:szCs w:val="20"/>
        </w:rPr>
        <w:t xml:space="preserve"> (1H2</w:t>
      </w:r>
      <w:r w:rsidR="007E4E82">
        <w:rPr>
          <w:rFonts w:asciiTheme="minorHAnsi" w:hAnsiTheme="minorHAnsi"/>
          <w:sz w:val="20"/>
          <w:szCs w:val="20"/>
        </w:rPr>
        <w:t>3</w:t>
      </w:r>
      <w:r w:rsidR="002867C4">
        <w:rPr>
          <w:rFonts w:asciiTheme="minorHAnsi" w:hAnsiTheme="minorHAnsi"/>
          <w:sz w:val="20"/>
          <w:szCs w:val="20"/>
        </w:rPr>
        <w:t>: £nil)</w:t>
      </w:r>
      <w:r w:rsidR="009A6A11">
        <w:rPr>
          <w:rFonts w:asciiTheme="minorHAnsi" w:hAnsiTheme="minorHAnsi"/>
          <w:sz w:val="20"/>
          <w:szCs w:val="20"/>
        </w:rPr>
        <w:t xml:space="preserve">; (ii) </w:t>
      </w:r>
      <w:r w:rsidR="00043740">
        <w:rPr>
          <w:rFonts w:asciiTheme="minorHAnsi" w:hAnsiTheme="minorHAnsi"/>
          <w:sz w:val="20"/>
          <w:szCs w:val="20"/>
        </w:rPr>
        <w:t xml:space="preserve">redundancy and outsourcing costs </w:t>
      </w:r>
      <w:r w:rsidR="00E162DF">
        <w:rPr>
          <w:rFonts w:asciiTheme="minorHAnsi" w:hAnsiTheme="minorHAnsi"/>
          <w:sz w:val="20"/>
          <w:szCs w:val="20"/>
        </w:rPr>
        <w:t>£</w:t>
      </w:r>
      <w:r w:rsidR="4F33253F" w:rsidRPr="6A7632AC">
        <w:rPr>
          <w:rFonts w:asciiTheme="minorHAnsi" w:hAnsiTheme="minorHAnsi"/>
          <w:sz w:val="20"/>
          <w:szCs w:val="20"/>
        </w:rPr>
        <w:t>5</w:t>
      </w:r>
      <w:r w:rsidR="001B04F3">
        <w:rPr>
          <w:rFonts w:asciiTheme="minorHAnsi" w:hAnsiTheme="minorHAnsi"/>
          <w:sz w:val="20"/>
          <w:szCs w:val="20"/>
        </w:rPr>
        <w:t>.1</w:t>
      </w:r>
      <w:r w:rsidR="4F33253F" w:rsidRPr="6A7632AC">
        <w:rPr>
          <w:rFonts w:asciiTheme="minorHAnsi" w:hAnsiTheme="minorHAnsi"/>
          <w:sz w:val="20"/>
          <w:szCs w:val="20"/>
        </w:rPr>
        <w:t>m</w:t>
      </w:r>
      <w:r w:rsidR="00E162DF">
        <w:rPr>
          <w:rFonts w:asciiTheme="minorHAnsi" w:hAnsiTheme="minorHAnsi"/>
          <w:sz w:val="20"/>
          <w:szCs w:val="20"/>
        </w:rPr>
        <w:t xml:space="preserve"> </w:t>
      </w:r>
      <w:r w:rsidR="002867C4">
        <w:rPr>
          <w:rFonts w:asciiTheme="minorHAnsi" w:hAnsiTheme="minorHAnsi"/>
          <w:sz w:val="20"/>
          <w:szCs w:val="20"/>
        </w:rPr>
        <w:t>(1H23: £</w:t>
      </w:r>
      <w:r w:rsidR="00634550">
        <w:rPr>
          <w:rFonts w:asciiTheme="minorHAnsi" w:hAnsiTheme="minorHAnsi"/>
          <w:sz w:val="20"/>
          <w:szCs w:val="20"/>
        </w:rPr>
        <w:t xml:space="preserve">2.9m) </w:t>
      </w:r>
      <w:r w:rsidR="00E162DF">
        <w:rPr>
          <w:rFonts w:asciiTheme="minorHAnsi" w:hAnsiTheme="minorHAnsi"/>
          <w:sz w:val="20"/>
          <w:szCs w:val="20"/>
        </w:rPr>
        <w:t>and</w:t>
      </w:r>
      <w:r w:rsidR="002867C4">
        <w:rPr>
          <w:rFonts w:asciiTheme="minorHAnsi" w:hAnsiTheme="minorHAnsi"/>
          <w:sz w:val="20"/>
          <w:szCs w:val="20"/>
        </w:rPr>
        <w:t xml:space="preserve">; (iii) </w:t>
      </w:r>
      <w:r w:rsidR="00E162DF">
        <w:rPr>
          <w:rFonts w:asciiTheme="minorHAnsi" w:hAnsiTheme="minorHAnsi"/>
          <w:sz w:val="20"/>
          <w:szCs w:val="20"/>
        </w:rPr>
        <w:t>property</w:t>
      </w:r>
      <w:r w:rsidR="00E52932">
        <w:rPr>
          <w:rFonts w:asciiTheme="minorHAnsi" w:hAnsiTheme="minorHAnsi"/>
          <w:sz w:val="20"/>
          <w:szCs w:val="20"/>
        </w:rPr>
        <w:t xml:space="preserve"> </w:t>
      </w:r>
      <w:r w:rsidR="00E52932" w:rsidRPr="00E52932">
        <w:rPr>
          <w:rFonts w:asciiTheme="minorHAnsi" w:hAnsiTheme="minorHAnsi"/>
          <w:sz w:val="20"/>
          <w:szCs w:val="20"/>
        </w:rPr>
        <w:t>related</w:t>
      </w:r>
      <w:r w:rsidR="00E162DF" w:rsidRPr="00E52932">
        <w:rPr>
          <w:rFonts w:asciiTheme="minorHAnsi" w:hAnsiTheme="minorHAnsi"/>
          <w:sz w:val="20"/>
          <w:szCs w:val="20"/>
        </w:rPr>
        <w:t xml:space="preserve"> exit</w:t>
      </w:r>
      <w:r w:rsidR="00E162DF">
        <w:rPr>
          <w:rFonts w:asciiTheme="minorHAnsi" w:hAnsiTheme="minorHAnsi"/>
          <w:sz w:val="20"/>
          <w:szCs w:val="20"/>
        </w:rPr>
        <w:t xml:space="preserve"> costs £3.1m</w:t>
      </w:r>
      <w:r w:rsidR="00634550">
        <w:rPr>
          <w:rFonts w:asciiTheme="minorHAnsi" w:hAnsiTheme="minorHAnsi"/>
          <w:sz w:val="20"/>
          <w:szCs w:val="20"/>
        </w:rPr>
        <w:t xml:space="preserve"> (1H2</w:t>
      </w:r>
      <w:r w:rsidR="007E4E82">
        <w:rPr>
          <w:rFonts w:asciiTheme="minorHAnsi" w:hAnsiTheme="minorHAnsi"/>
          <w:sz w:val="20"/>
          <w:szCs w:val="20"/>
        </w:rPr>
        <w:t>3</w:t>
      </w:r>
      <w:r w:rsidR="00634550">
        <w:rPr>
          <w:rFonts w:asciiTheme="minorHAnsi" w:hAnsiTheme="minorHAnsi"/>
          <w:sz w:val="20"/>
          <w:szCs w:val="20"/>
        </w:rPr>
        <w:t>: £nil)</w:t>
      </w:r>
      <w:r w:rsidR="00697203">
        <w:rPr>
          <w:rFonts w:asciiTheme="minorHAnsi" w:hAnsiTheme="minorHAnsi"/>
          <w:sz w:val="20"/>
          <w:szCs w:val="20"/>
        </w:rPr>
        <w:t>. Non trans</w:t>
      </w:r>
      <w:r w:rsidR="00524289">
        <w:rPr>
          <w:rFonts w:asciiTheme="minorHAnsi" w:hAnsiTheme="minorHAnsi"/>
          <w:sz w:val="20"/>
          <w:szCs w:val="20"/>
        </w:rPr>
        <w:t>formation</w:t>
      </w:r>
      <w:r w:rsidR="00697203">
        <w:rPr>
          <w:rFonts w:asciiTheme="minorHAnsi" w:hAnsiTheme="minorHAnsi"/>
          <w:sz w:val="20"/>
          <w:szCs w:val="20"/>
        </w:rPr>
        <w:t xml:space="preserve"> </w:t>
      </w:r>
      <w:r w:rsidR="005070C7">
        <w:rPr>
          <w:rFonts w:asciiTheme="minorHAnsi" w:hAnsiTheme="minorHAnsi"/>
          <w:sz w:val="20"/>
          <w:szCs w:val="20"/>
        </w:rPr>
        <w:t>c</w:t>
      </w:r>
      <w:r w:rsidR="006065AD">
        <w:rPr>
          <w:rFonts w:asciiTheme="minorHAnsi" w:hAnsiTheme="minorHAnsi"/>
          <w:sz w:val="20"/>
          <w:szCs w:val="20"/>
        </w:rPr>
        <w:t xml:space="preserve">redit of £0.5m </w:t>
      </w:r>
      <w:r w:rsidR="00303E10">
        <w:rPr>
          <w:rFonts w:asciiTheme="minorHAnsi" w:hAnsiTheme="minorHAnsi"/>
          <w:sz w:val="20"/>
          <w:szCs w:val="20"/>
        </w:rPr>
        <w:t>(1H2</w:t>
      </w:r>
      <w:r w:rsidR="007E4E82">
        <w:rPr>
          <w:rFonts w:asciiTheme="minorHAnsi" w:hAnsiTheme="minorHAnsi"/>
          <w:sz w:val="20"/>
          <w:szCs w:val="20"/>
        </w:rPr>
        <w:t>3</w:t>
      </w:r>
      <w:r w:rsidR="00303E10">
        <w:rPr>
          <w:rFonts w:asciiTheme="minorHAnsi" w:hAnsiTheme="minorHAnsi"/>
          <w:sz w:val="20"/>
          <w:szCs w:val="20"/>
        </w:rPr>
        <w:t>: £</w:t>
      </w:r>
      <w:r w:rsidR="007E4E82">
        <w:rPr>
          <w:rFonts w:asciiTheme="minorHAnsi" w:hAnsiTheme="minorHAnsi"/>
          <w:sz w:val="20"/>
          <w:szCs w:val="20"/>
        </w:rPr>
        <w:t xml:space="preserve">2.4m) </w:t>
      </w:r>
      <w:r w:rsidR="00C10103">
        <w:rPr>
          <w:rFonts w:asciiTheme="minorHAnsi" w:hAnsiTheme="minorHAnsi"/>
          <w:sz w:val="20"/>
          <w:szCs w:val="20"/>
        </w:rPr>
        <w:t>include</w:t>
      </w:r>
      <w:r w:rsidR="00523433">
        <w:rPr>
          <w:rFonts w:asciiTheme="minorHAnsi" w:hAnsiTheme="minorHAnsi"/>
          <w:sz w:val="20"/>
          <w:szCs w:val="20"/>
        </w:rPr>
        <w:t xml:space="preserve">s legal costs of £0.5m offset by a release of the remaining Scheme of Arrangement provision of £1.0m as </w:t>
      </w:r>
      <w:r w:rsidR="00750E5E">
        <w:rPr>
          <w:rFonts w:asciiTheme="minorHAnsi" w:hAnsiTheme="minorHAnsi"/>
          <w:sz w:val="20"/>
          <w:szCs w:val="20"/>
        </w:rPr>
        <w:t xml:space="preserve">the </w:t>
      </w:r>
      <w:r w:rsidR="004E58ED">
        <w:rPr>
          <w:rFonts w:asciiTheme="minorHAnsi" w:hAnsiTheme="minorHAnsi"/>
          <w:sz w:val="20"/>
          <w:szCs w:val="20"/>
        </w:rPr>
        <w:t>requirements for the</w:t>
      </w:r>
      <w:r w:rsidR="00E54859">
        <w:rPr>
          <w:rFonts w:asciiTheme="minorHAnsi" w:hAnsiTheme="minorHAnsi"/>
          <w:sz w:val="20"/>
          <w:szCs w:val="20"/>
        </w:rPr>
        <w:t xml:space="preserve"> discharging of liabilities have been met. </w:t>
      </w:r>
      <w:r w:rsidR="00122F2D">
        <w:rPr>
          <w:rFonts w:asciiTheme="minorHAnsi" w:hAnsiTheme="minorHAnsi"/>
          <w:sz w:val="20"/>
          <w:szCs w:val="20"/>
        </w:rPr>
        <w:t>1H23 also include £2.4m in relati</w:t>
      </w:r>
      <w:r w:rsidR="009A6207">
        <w:rPr>
          <w:rFonts w:asciiTheme="minorHAnsi" w:hAnsiTheme="minorHAnsi"/>
          <w:sz w:val="20"/>
          <w:szCs w:val="20"/>
        </w:rPr>
        <w:t>on to additional costs in relation to the liquidation of the CCD companies</w:t>
      </w:r>
      <w:r w:rsidR="004605FD">
        <w:rPr>
          <w:rFonts w:asciiTheme="minorHAnsi" w:hAnsiTheme="minorHAnsi"/>
          <w:sz w:val="20"/>
          <w:szCs w:val="20"/>
        </w:rPr>
        <w:t xml:space="preserve"> and the Scheme</w:t>
      </w:r>
      <w:r w:rsidR="00203558">
        <w:rPr>
          <w:rFonts w:asciiTheme="minorHAnsi" w:hAnsiTheme="minorHAnsi"/>
          <w:sz w:val="20"/>
          <w:szCs w:val="20"/>
        </w:rPr>
        <w:t>.</w:t>
      </w:r>
      <w:r w:rsidR="00A033B3">
        <w:rPr>
          <w:rFonts w:asciiTheme="minorHAnsi" w:hAnsiTheme="minorHAnsi"/>
          <w:sz w:val="20"/>
          <w:szCs w:val="20"/>
        </w:rPr>
        <w:t xml:space="preserve"> </w:t>
      </w:r>
    </w:p>
    <w:p w14:paraId="6995008A" w14:textId="77777777" w:rsidR="00A4766D" w:rsidRDefault="00A4766D" w:rsidP="00E534C5">
      <w:pPr>
        <w:jc w:val="both"/>
        <w:rPr>
          <w:rFonts w:asciiTheme="minorHAnsi" w:hAnsiTheme="minorHAnsi"/>
          <w:b/>
          <w:color w:val="4747FF"/>
          <w:sz w:val="22"/>
          <w:szCs w:val="22"/>
        </w:rPr>
      </w:pPr>
    </w:p>
    <w:p w14:paraId="12CD20D7" w14:textId="17B3D8E8" w:rsidR="00E41AE9" w:rsidRPr="00701439" w:rsidRDefault="00E41AE9" w:rsidP="00E534C5">
      <w:pPr>
        <w:jc w:val="both"/>
        <w:rPr>
          <w:rFonts w:asciiTheme="minorHAnsi" w:hAnsiTheme="minorHAnsi"/>
          <w:b/>
          <w:color w:val="4747FF"/>
          <w:sz w:val="22"/>
          <w:szCs w:val="22"/>
        </w:rPr>
      </w:pPr>
      <w:r w:rsidRPr="002C2519">
        <w:rPr>
          <w:rFonts w:asciiTheme="minorHAnsi" w:hAnsiTheme="minorHAnsi"/>
          <w:b/>
          <w:color w:val="4747FF"/>
          <w:sz w:val="22"/>
          <w:szCs w:val="22"/>
        </w:rPr>
        <w:t>Tax</w:t>
      </w:r>
    </w:p>
    <w:p w14:paraId="248607B3" w14:textId="77777777" w:rsidR="005828FC" w:rsidRPr="00701439" w:rsidRDefault="005828FC" w:rsidP="00E534C5">
      <w:pPr>
        <w:jc w:val="both"/>
        <w:rPr>
          <w:rFonts w:asciiTheme="minorHAnsi" w:hAnsiTheme="minorHAnsi"/>
          <w:sz w:val="20"/>
          <w:szCs w:val="20"/>
        </w:rPr>
      </w:pPr>
    </w:p>
    <w:p w14:paraId="3D5ABF10" w14:textId="27369B03" w:rsidR="007739CE" w:rsidRPr="006D4208" w:rsidRDefault="007739CE" w:rsidP="007739CE">
      <w:pPr>
        <w:jc w:val="both"/>
        <w:rPr>
          <w:rFonts w:asciiTheme="minorHAnsi" w:eastAsia="Calibri" w:hAnsiTheme="minorHAnsi"/>
          <w:sz w:val="20"/>
          <w:szCs w:val="20"/>
          <w:lang w:eastAsia="en-US"/>
        </w:rPr>
      </w:pPr>
      <w:r w:rsidRPr="006D4208">
        <w:rPr>
          <w:rFonts w:asciiTheme="minorHAnsi" w:eastAsia="Calibri" w:hAnsiTheme="minorHAnsi"/>
          <w:sz w:val="20"/>
          <w:szCs w:val="20"/>
          <w:lang w:eastAsia="en-US"/>
        </w:rPr>
        <w:t>The tax c</w:t>
      </w:r>
      <w:r w:rsidR="00652E5A" w:rsidRPr="006D4208">
        <w:rPr>
          <w:rFonts w:asciiTheme="minorHAnsi" w:eastAsia="Calibri" w:hAnsiTheme="minorHAnsi"/>
          <w:sz w:val="20"/>
          <w:szCs w:val="20"/>
          <w:lang w:eastAsia="en-US"/>
        </w:rPr>
        <w:t>redit</w:t>
      </w:r>
      <w:r w:rsidRPr="006D4208">
        <w:rPr>
          <w:rFonts w:asciiTheme="minorHAnsi" w:eastAsia="Calibri" w:hAnsiTheme="minorHAnsi"/>
          <w:sz w:val="20"/>
          <w:szCs w:val="20"/>
          <w:lang w:eastAsia="en-US"/>
        </w:rPr>
        <w:t xml:space="preserve"> for the period on </w:t>
      </w:r>
      <w:r w:rsidR="00652E5A" w:rsidRPr="006D4208">
        <w:rPr>
          <w:rFonts w:asciiTheme="minorHAnsi" w:eastAsia="Calibri" w:hAnsiTheme="minorHAnsi"/>
          <w:sz w:val="20"/>
          <w:szCs w:val="20"/>
          <w:lang w:eastAsia="en-US"/>
        </w:rPr>
        <w:t>loss</w:t>
      </w:r>
      <w:r w:rsidRPr="006D4208">
        <w:rPr>
          <w:rFonts w:asciiTheme="minorHAnsi" w:eastAsia="Calibri" w:hAnsiTheme="minorHAnsi"/>
          <w:sz w:val="20"/>
          <w:szCs w:val="20"/>
          <w:lang w:eastAsia="en-US"/>
        </w:rPr>
        <w:t xml:space="preserve"> before tax, amortisation of acquisition intangibles and exceptional items is £</w:t>
      </w:r>
      <w:r w:rsidR="00643C0E" w:rsidRPr="006D4208">
        <w:rPr>
          <w:rFonts w:asciiTheme="minorHAnsi" w:eastAsia="Calibri" w:hAnsiTheme="minorHAnsi"/>
          <w:sz w:val="20"/>
          <w:szCs w:val="20"/>
          <w:lang w:eastAsia="en-US"/>
        </w:rPr>
        <w:t>5.7</w:t>
      </w:r>
      <w:r w:rsidRPr="006D4208">
        <w:rPr>
          <w:rFonts w:asciiTheme="minorHAnsi" w:eastAsia="Calibri" w:hAnsiTheme="minorHAnsi"/>
          <w:sz w:val="20"/>
          <w:szCs w:val="20"/>
          <w:lang w:eastAsia="en-US"/>
        </w:rPr>
        <w:t>m</w:t>
      </w:r>
      <w:r w:rsidR="00643C0E" w:rsidRPr="006D4208">
        <w:rPr>
          <w:rFonts w:asciiTheme="minorHAnsi" w:eastAsia="Calibri" w:hAnsiTheme="minorHAnsi"/>
          <w:sz w:val="20"/>
          <w:szCs w:val="20"/>
          <w:lang w:eastAsia="en-US"/>
        </w:rPr>
        <w:t xml:space="preserve"> (</w:t>
      </w:r>
      <w:r w:rsidR="00643C0E" w:rsidRPr="5B168417">
        <w:rPr>
          <w:rFonts w:asciiTheme="minorHAnsi" w:eastAsia="Calibri" w:hAnsiTheme="minorHAnsi"/>
          <w:sz w:val="20"/>
          <w:szCs w:val="20"/>
          <w:lang w:eastAsia="en-US"/>
        </w:rPr>
        <w:t>1H2</w:t>
      </w:r>
      <w:r w:rsidR="2C4300E0" w:rsidRPr="5B168417">
        <w:rPr>
          <w:rFonts w:asciiTheme="minorHAnsi" w:eastAsia="Calibri" w:hAnsiTheme="minorHAnsi"/>
          <w:sz w:val="20"/>
          <w:szCs w:val="20"/>
          <w:lang w:eastAsia="en-US"/>
        </w:rPr>
        <w:t>3</w:t>
      </w:r>
      <w:r w:rsidR="00643C0E" w:rsidRPr="006D4208">
        <w:rPr>
          <w:rFonts w:asciiTheme="minorHAnsi" w:eastAsia="Calibri" w:hAnsiTheme="minorHAnsi"/>
          <w:sz w:val="20"/>
          <w:szCs w:val="20"/>
          <w:lang w:eastAsia="en-US"/>
        </w:rPr>
        <w:t xml:space="preserve"> restated</w:t>
      </w:r>
      <w:r w:rsidR="0068319E">
        <w:rPr>
          <w:rFonts w:asciiTheme="minorHAnsi" w:eastAsia="Calibri" w:hAnsiTheme="minorHAnsi"/>
          <w:sz w:val="20"/>
          <w:szCs w:val="20"/>
          <w:lang w:eastAsia="en-US"/>
        </w:rPr>
        <w:t>:</w:t>
      </w:r>
      <w:r w:rsidR="00643C0E" w:rsidRPr="006D4208">
        <w:rPr>
          <w:rFonts w:asciiTheme="minorHAnsi" w:eastAsia="Calibri" w:hAnsiTheme="minorHAnsi"/>
          <w:sz w:val="20"/>
          <w:szCs w:val="20"/>
          <w:lang w:eastAsia="en-US"/>
        </w:rPr>
        <w:t xml:space="preserve"> £</w:t>
      </w:r>
      <w:r w:rsidR="493C1C23" w:rsidRPr="2F480CE8">
        <w:rPr>
          <w:rFonts w:asciiTheme="minorHAnsi" w:eastAsia="Calibri" w:hAnsiTheme="minorHAnsi"/>
          <w:sz w:val="20"/>
          <w:szCs w:val="20"/>
          <w:lang w:eastAsia="en-US"/>
        </w:rPr>
        <w:t>3</w:t>
      </w:r>
      <w:r w:rsidR="471F6607" w:rsidRPr="734D2C4D">
        <w:rPr>
          <w:rFonts w:asciiTheme="minorHAnsi" w:eastAsia="Calibri" w:hAnsiTheme="minorHAnsi"/>
          <w:sz w:val="20"/>
          <w:szCs w:val="20"/>
          <w:lang w:eastAsia="en-US"/>
        </w:rPr>
        <w:t>.8</w:t>
      </w:r>
      <w:r w:rsidR="00643C0E" w:rsidRPr="734D2C4D">
        <w:rPr>
          <w:rFonts w:asciiTheme="minorHAnsi" w:eastAsia="Calibri" w:hAnsiTheme="minorHAnsi"/>
          <w:sz w:val="20"/>
          <w:szCs w:val="20"/>
          <w:lang w:eastAsia="en-US"/>
        </w:rPr>
        <w:t>m</w:t>
      </w:r>
      <w:r w:rsidR="00643C0E" w:rsidRPr="006D4208">
        <w:rPr>
          <w:rFonts w:asciiTheme="minorHAnsi" w:eastAsia="Calibri" w:hAnsiTheme="minorHAnsi"/>
          <w:sz w:val="20"/>
          <w:szCs w:val="20"/>
          <w:lang w:eastAsia="en-US"/>
        </w:rPr>
        <w:t>).</w:t>
      </w:r>
      <w:r w:rsidRPr="006D4208">
        <w:rPr>
          <w:rFonts w:asciiTheme="minorHAnsi" w:eastAsia="Calibri" w:hAnsiTheme="minorHAnsi"/>
          <w:sz w:val="20"/>
          <w:szCs w:val="20"/>
          <w:lang w:eastAsia="en-US"/>
        </w:rPr>
        <w:t xml:space="preserve"> The tax c</w:t>
      </w:r>
      <w:r w:rsidR="00EF155D" w:rsidRPr="006D4208">
        <w:rPr>
          <w:rFonts w:asciiTheme="minorHAnsi" w:eastAsia="Calibri" w:hAnsiTheme="minorHAnsi"/>
          <w:sz w:val="20"/>
          <w:szCs w:val="20"/>
          <w:lang w:eastAsia="en-US"/>
        </w:rPr>
        <w:t>redit</w:t>
      </w:r>
      <w:r w:rsidRPr="006D4208">
        <w:rPr>
          <w:rFonts w:asciiTheme="minorHAnsi" w:eastAsia="Calibri" w:hAnsiTheme="minorHAnsi"/>
          <w:sz w:val="20"/>
          <w:szCs w:val="20"/>
          <w:lang w:eastAsia="en-US"/>
        </w:rPr>
        <w:t xml:space="preserve"> reflects:</w:t>
      </w:r>
    </w:p>
    <w:p w14:paraId="12615C75" w14:textId="77777777" w:rsidR="0054747F" w:rsidRPr="006D4208" w:rsidRDefault="0054747F" w:rsidP="00E534C5">
      <w:pPr>
        <w:pStyle w:val="NoSpacing"/>
        <w:jc w:val="both"/>
        <w:rPr>
          <w:b/>
          <w:color w:val="4747FF"/>
        </w:rPr>
      </w:pPr>
    </w:p>
    <w:p w14:paraId="30576B6B" w14:textId="74E57869" w:rsidR="0058700A" w:rsidRPr="006D4208" w:rsidRDefault="00D07B5C" w:rsidP="0058700A">
      <w:pPr>
        <w:pStyle w:val="ListParagraph"/>
        <w:numPr>
          <w:ilvl w:val="0"/>
          <w:numId w:val="17"/>
        </w:numPr>
        <w:jc w:val="both"/>
        <w:rPr>
          <w:rFonts w:asciiTheme="minorHAnsi" w:eastAsia="Calibri" w:hAnsiTheme="minorHAnsi"/>
          <w:sz w:val="20"/>
          <w:szCs w:val="20"/>
          <w:lang w:eastAsia="en-US"/>
        </w:rPr>
      </w:pPr>
      <w:r>
        <w:rPr>
          <w:rFonts w:asciiTheme="minorHAnsi" w:eastAsia="Calibri" w:hAnsiTheme="minorHAnsi"/>
          <w:sz w:val="20"/>
          <w:szCs w:val="20"/>
          <w:lang w:eastAsia="en-US"/>
        </w:rPr>
        <w:t xml:space="preserve">For 1H24, </w:t>
      </w:r>
      <w:r w:rsidR="0058700A" w:rsidRPr="006D4208">
        <w:rPr>
          <w:rFonts w:asciiTheme="minorHAnsi" w:eastAsia="Calibri" w:hAnsiTheme="minorHAnsi"/>
          <w:sz w:val="20"/>
          <w:szCs w:val="20"/>
          <w:lang w:eastAsia="en-US"/>
        </w:rPr>
        <w:t xml:space="preserve">the adverse impact of writing off deferred tax assets in respect of share scheme awards where tax deductions are expected to be lower than previously expected; </w:t>
      </w:r>
    </w:p>
    <w:p w14:paraId="24C0AE28" w14:textId="557F74F7" w:rsidR="0058700A" w:rsidRPr="008604B3" w:rsidRDefault="003B71EE" w:rsidP="00CF66BE">
      <w:pPr>
        <w:pStyle w:val="ListParagraph"/>
        <w:numPr>
          <w:ilvl w:val="0"/>
          <w:numId w:val="17"/>
        </w:numPr>
        <w:jc w:val="both"/>
        <w:rPr>
          <w:rFonts w:asciiTheme="minorHAnsi" w:eastAsia="Calibri" w:hAnsiTheme="minorHAnsi"/>
          <w:sz w:val="20"/>
          <w:szCs w:val="20"/>
          <w:lang w:eastAsia="en-US"/>
        </w:rPr>
      </w:pPr>
      <w:r>
        <w:rPr>
          <w:rFonts w:asciiTheme="minorHAnsi" w:eastAsia="Calibri" w:hAnsiTheme="minorHAnsi"/>
          <w:sz w:val="20"/>
          <w:szCs w:val="20"/>
          <w:lang w:eastAsia="en-US"/>
        </w:rPr>
        <w:t>For</w:t>
      </w:r>
      <w:r w:rsidR="0058700A" w:rsidRPr="006D4208">
        <w:rPr>
          <w:rFonts w:asciiTheme="minorHAnsi" w:eastAsia="Calibri" w:hAnsiTheme="minorHAnsi"/>
          <w:sz w:val="20"/>
          <w:szCs w:val="20"/>
          <w:lang w:eastAsia="en-US"/>
        </w:rPr>
        <w:t xml:space="preserve"> 1H23</w:t>
      </w:r>
      <w:r w:rsidR="00050857">
        <w:rPr>
          <w:rFonts w:asciiTheme="minorHAnsi" w:eastAsia="Calibri" w:hAnsiTheme="minorHAnsi"/>
          <w:sz w:val="20"/>
          <w:szCs w:val="20"/>
          <w:lang w:eastAsia="en-US"/>
        </w:rPr>
        <w:t>,</w:t>
      </w:r>
      <w:r w:rsidR="0058700A" w:rsidRPr="006D4208">
        <w:rPr>
          <w:rFonts w:asciiTheme="minorHAnsi" w:eastAsia="Calibri" w:hAnsiTheme="minorHAnsi"/>
          <w:sz w:val="20"/>
          <w:szCs w:val="20"/>
          <w:lang w:eastAsia="en-US"/>
        </w:rPr>
        <w:t xml:space="preserve"> (a) the favourable impact of offsetting capital losses on which a deferred tax asset has not previously been recognised to reduce the capital gain arising on the disposal of shares following the partial conversion of the preferred stock in Visa Inc; and (b) the adverse impact of the bank corporation tax surcharge which prior to 31 March 2023 applies at a rate of 8% to the annual profits of Vanquis Bank in excess of £25m and after 31 March 2023 applies a rate of 3% to Vanquis Bank’s annual profits in excess of £100m</w:t>
      </w:r>
      <w:r w:rsidR="00D07B5C">
        <w:rPr>
          <w:rFonts w:asciiTheme="minorHAnsi" w:eastAsia="Calibri" w:hAnsiTheme="minorHAnsi"/>
          <w:sz w:val="20"/>
          <w:szCs w:val="20"/>
          <w:lang w:eastAsia="en-US"/>
        </w:rPr>
        <w:t xml:space="preserve"> and (c)</w:t>
      </w:r>
      <w:r w:rsidR="005B5BA0">
        <w:rPr>
          <w:rFonts w:asciiTheme="minorHAnsi" w:eastAsia="Calibri" w:hAnsiTheme="minorHAnsi"/>
          <w:sz w:val="20"/>
          <w:szCs w:val="20"/>
          <w:lang w:eastAsia="en-US"/>
        </w:rPr>
        <w:t xml:space="preserve"> </w:t>
      </w:r>
      <w:r w:rsidR="005B5BA0" w:rsidRPr="005B5BA0">
        <w:rPr>
          <w:rFonts w:asciiTheme="minorHAnsi" w:eastAsia="Calibri" w:hAnsiTheme="minorHAnsi"/>
          <w:sz w:val="20"/>
          <w:szCs w:val="20"/>
          <w:lang w:eastAsia="en-US"/>
        </w:rPr>
        <w:t>the adverse impact of writing off deferred tax assets in respect of share scheme awards where tax deductions are expected to be lower than previously expected</w:t>
      </w:r>
      <w:r w:rsidR="00E62903">
        <w:rPr>
          <w:rFonts w:asciiTheme="minorHAnsi" w:eastAsia="Calibri" w:hAnsiTheme="minorHAnsi"/>
          <w:sz w:val="20"/>
          <w:szCs w:val="20"/>
          <w:lang w:eastAsia="en-US"/>
        </w:rPr>
        <w:t>.</w:t>
      </w:r>
    </w:p>
    <w:p w14:paraId="0EE5F68C" w14:textId="77777777" w:rsidR="0058700A" w:rsidRPr="006D4208" w:rsidRDefault="0058700A" w:rsidP="0058700A">
      <w:pPr>
        <w:pStyle w:val="ListParagraph"/>
        <w:numPr>
          <w:ilvl w:val="0"/>
          <w:numId w:val="17"/>
        </w:numPr>
        <w:autoSpaceDE w:val="0"/>
        <w:autoSpaceDN w:val="0"/>
        <w:adjustRightInd w:val="0"/>
        <w:jc w:val="both"/>
        <w:rPr>
          <w:rFonts w:asciiTheme="minorHAnsi" w:eastAsia="Calibri" w:hAnsiTheme="minorHAnsi"/>
          <w:sz w:val="20"/>
          <w:szCs w:val="20"/>
          <w:lang w:eastAsia="en-US"/>
        </w:rPr>
      </w:pPr>
      <w:r w:rsidRPr="006D4208">
        <w:rPr>
          <w:rFonts w:asciiTheme="minorHAnsi" w:eastAsia="Calibri" w:hAnsiTheme="minorHAnsi"/>
          <w:sz w:val="20"/>
          <w:szCs w:val="20"/>
          <w:lang w:eastAsia="en-US"/>
        </w:rPr>
        <w:t>The tax credit (1H23: credit) reflects the recognition of deferred tax assets in respect of losses and other temporary differences on the basis the Group expects to have sufficient taxable profits in the future to enable such deferred tax assets to be recovered.</w:t>
      </w:r>
    </w:p>
    <w:p w14:paraId="5F96F4AA" w14:textId="001C3FEF" w:rsidR="00C4640B" w:rsidRDefault="0058700A" w:rsidP="22CF7B14">
      <w:pPr>
        <w:pStyle w:val="ListParagraph"/>
        <w:numPr>
          <w:ilvl w:val="0"/>
          <w:numId w:val="17"/>
        </w:numPr>
        <w:jc w:val="both"/>
        <w:rPr>
          <w:rFonts w:asciiTheme="minorHAnsi" w:eastAsia="Calibri" w:hAnsiTheme="minorHAnsi"/>
          <w:sz w:val="20"/>
          <w:szCs w:val="20"/>
          <w:lang w:eastAsia="en-US"/>
        </w:rPr>
      </w:pPr>
      <w:r w:rsidRPr="006D4208">
        <w:rPr>
          <w:rFonts w:asciiTheme="minorHAnsi" w:eastAsia="Calibri" w:hAnsiTheme="minorHAnsi"/>
          <w:sz w:val="20"/>
          <w:szCs w:val="20"/>
          <w:lang w:eastAsia="en-US"/>
        </w:rPr>
        <w:t xml:space="preserve">The tax credit in respect of exceptional items amounts to £3.9m (1H23: £1.3m). The tax credits in the current and prior periods represent tax relief in respect of exceptional costs which are considered to be tax deductible. </w:t>
      </w:r>
    </w:p>
    <w:p w14:paraId="525A5B9F" w14:textId="77777777" w:rsidR="0099799E" w:rsidRDefault="0099799E" w:rsidP="00CF66BE">
      <w:pPr>
        <w:pStyle w:val="ListParagraph"/>
        <w:jc w:val="both"/>
        <w:rPr>
          <w:rFonts w:asciiTheme="minorHAnsi" w:eastAsia="Calibri" w:hAnsiTheme="minorHAnsi"/>
          <w:sz w:val="20"/>
          <w:szCs w:val="20"/>
          <w:lang w:eastAsia="en-US"/>
        </w:rPr>
      </w:pPr>
    </w:p>
    <w:p w14:paraId="3EF84DA4" w14:textId="61FE4E1E" w:rsidR="00F01EC8" w:rsidRPr="00701439" w:rsidRDefault="00F01EC8" w:rsidP="00E534C5">
      <w:pPr>
        <w:pStyle w:val="NoSpacing"/>
        <w:jc w:val="both"/>
        <w:rPr>
          <w:rStyle w:val="Strong"/>
          <w:color w:val="4747FF"/>
        </w:rPr>
      </w:pPr>
      <w:r w:rsidRPr="00CD41F5">
        <w:rPr>
          <w:rStyle w:val="Strong"/>
          <w:color w:val="4747FF"/>
        </w:rPr>
        <w:t xml:space="preserve">Funding and </w:t>
      </w:r>
      <w:r w:rsidR="00680F6F" w:rsidRPr="00CD41F5">
        <w:rPr>
          <w:rStyle w:val="Strong"/>
          <w:color w:val="4747FF"/>
        </w:rPr>
        <w:t>c</w:t>
      </w:r>
      <w:r w:rsidRPr="00CD41F5">
        <w:rPr>
          <w:rStyle w:val="Strong"/>
          <w:color w:val="4747FF"/>
        </w:rPr>
        <w:t>apital</w:t>
      </w:r>
    </w:p>
    <w:p w14:paraId="56C76AC3" w14:textId="77777777" w:rsidR="00F01EC8" w:rsidRPr="00701439" w:rsidRDefault="00F01EC8" w:rsidP="00E534C5">
      <w:pPr>
        <w:pStyle w:val="NoSpacing"/>
        <w:jc w:val="both"/>
        <w:rPr>
          <w:sz w:val="20"/>
          <w:szCs w:val="20"/>
        </w:rPr>
      </w:pPr>
    </w:p>
    <w:p w14:paraId="3928F84A" w14:textId="795F153A" w:rsidR="00AB33D1" w:rsidRPr="00701439" w:rsidRDefault="00AB33D1" w:rsidP="00E534C5">
      <w:pPr>
        <w:pStyle w:val="Body"/>
        <w:jc w:val="both"/>
        <w:rPr>
          <w:rFonts w:asciiTheme="minorHAnsi" w:hAnsiTheme="minorHAnsi" w:cs="Arial"/>
          <w:color w:val="auto"/>
          <w:sz w:val="20"/>
          <w:szCs w:val="20"/>
        </w:rPr>
      </w:pPr>
      <w:r w:rsidRPr="00701439">
        <w:rPr>
          <w:rFonts w:asciiTheme="minorHAnsi" w:hAnsiTheme="minorHAnsi" w:cs="Arial"/>
          <w:color w:val="auto"/>
          <w:sz w:val="20"/>
          <w:szCs w:val="20"/>
        </w:rPr>
        <w:t xml:space="preserve">The Group has </w:t>
      </w:r>
      <w:r w:rsidR="00831D84">
        <w:rPr>
          <w:rFonts w:asciiTheme="minorHAnsi" w:hAnsiTheme="minorHAnsi" w:cs="Arial"/>
          <w:color w:val="auto"/>
          <w:sz w:val="20"/>
          <w:szCs w:val="20"/>
        </w:rPr>
        <w:t>strong</w:t>
      </w:r>
      <w:r w:rsidR="00A02B73" w:rsidRPr="00701439">
        <w:rPr>
          <w:rFonts w:asciiTheme="minorHAnsi" w:hAnsiTheme="minorHAnsi" w:cs="Arial"/>
          <w:color w:val="auto"/>
          <w:sz w:val="20"/>
          <w:szCs w:val="20"/>
        </w:rPr>
        <w:t xml:space="preserve"> </w:t>
      </w:r>
      <w:r w:rsidRPr="00701439">
        <w:rPr>
          <w:rFonts w:asciiTheme="minorHAnsi" w:hAnsiTheme="minorHAnsi" w:cs="Arial"/>
          <w:color w:val="auto"/>
          <w:sz w:val="20"/>
          <w:szCs w:val="20"/>
        </w:rPr>
        <w:t>capital and liquidity positions:</w:t>
      </w:r>
    </w:p>
    <w:p w14:paraId="73CA0ABE" w14:textId="77777777" w:rsidR="00AB33D1" w:rsidRPr="00701439" w:rsidRDefault="00AB33D1" w:rsidP="00E534C5">
      <w:pPr>
        <w:pStyle w:val="Body"/>
        <w:jc w:val="both"/>
        <w:rPr>
          <w:rFonts w:asciiTheme="minorHAnsi" w:hAnsiTheme="minorHAnsi" w:cs="Arial"/>
          <w:color w:val="auto"/>
          <w:sz w:val="20"/>
          <w:szCs w:val="20"/>
        </w:rPr>
      </w:pPr>
    </w:p>
    <w:p w14:paraId="4F698E9D" w14:textId="688569E0" w:rsidR="00081A4A" w:rsidRPr="008A5980" w:rsidRDefault="00081A4A" w:rsidP="007B19E6">
      <w:pPr>
        <w:pStyle w:val="Body"/>
        <w:numPr>
          <w:ilvl w:val="0"/>
          <w:numId w:val="6"/>
        </w:numPr>
        <w:jc w:val="both"/>
        <w:rPr>
          <w:rFonts w:asciiTheme="minorHAnsi" w:hAnsiTheme="minorHAnsi" w:cs="Arial"/>
          <w:color w:val="auto"/>
          <w:sz w:val="20"/>
          <w:szCs w:val="20"/>
        </w:rPr>
      </w:pPr>
      <w:r w:rsidRPr="008A5980">
        <w:rPr>
          <w:rFonts w:asciiTheme="minorHAnsi" w:hAnsiTheme="minorHAnsi" w:cs="Arial"/>
          <w:color w:val="auto"/>
          <w:sz w:val="20"/>
          <w:szCs w:val="20"/>
        </w:rPr>
        <w:t>The Group is holding £</w:t>
      </w:r>
      <w:r w:rsidR="00A1743A">
        <w:rPr>
          <w:rFonts w:asciiTheme="minorHAnsi" w:hAnsiTheme="minorHAnsi" w:cs="Arial"/>
          <w:color w:val="auto"/>
          <w:sz w:val="20"/>
          <w:szCs w:val="20"/>
        </w:rPr>
        <w:t>717</w:t>
      </w:r>
      <w:r w:rsidRPr="008A5980">
        <w:rPr>
          <w:rFonts w:asciiTheme="minorHAnsi" w:hAnsiTheme="minorHAnsi" w:cs="Arial"/>
          <w:color w:val="auto"/>
          <w:sz w:val="20"/>
          <w:szCs w:val="20"/>
        </w:rPr>
        <w:t xml:space="preserve">m of </w:t>
      </w:r>
      <w:r w:rsidR="00E772B1" w:rsidRPr="008A5980">
        <w:rPr>
          <w:rFonts w:asciiTheme="minorHAnsi" w:hAnsiTheme="minorHAnsi" w:cs="Arial"/>
          <w:color w:val="auto"/>
          <w:sz w:val="20"/>
          <w:szCs w:val="20"/>
        </w:rPr>
        <w:t>high-quality</w:t>
      </w:r>
      <w:r w:rsidRPr="008A5980">
        <w:rPr>
          <w:rFonts w:asciiTheme="minorHAnsi" w:hAnsiTheme="minorHAnsi" w:cs="Arial"/>
          <w:color w:val="auto"/>
          <w:sz w:val="20"/>
          <w:szCs w:val="20"/>
        </w:rPr>
        <w:t xml:space="preserve"> liquid resources with the Bank of England and has a Liquidity Coverage Ratio of </w:t>
      </w:r>
      <w:r w:rsidR="000366C5">
        <w:rPr>
          <w:rFonts w:asciiTheme="minorHAnsi" w:hAnsiTheme="minorHAnsi" w:cs="Arial"/>
          <w:color w:val="auto"/>
          <w:sz w:val="20"/>
          <w:szCs w:val="20"/>
        </w:rPr>
        <w:t>557</w:t>
      </w:r>
      <w:r w:rsidRPr="008A5980">
        <w:rPr>
          <w:rFonts w:asciiTheme="minorHAnsi" w:hAnsiTheme="minorHAnsi" w:cs="Arial"/>
          <w:color w:val="auto"/>
          <w:sz w:val="20"/>
          <w:szCs w:val="20"/>
        </w:rPr>
        <w:t>%, amounting to £</w:t>
      </w:r>
      <w:r w:rsidR="00160C2A">
        <w:rPr>
          <w:rFonts w:asciiTheme="minorHAnsi" w:hAnsiTheme="minorHAnsi" w:cs="Arial"/>
          <w:color w:val="auto"/>
          <w:sz w:val="20"/>
          <w:szCs w:val="20"/>
        </w:rPr>
        <w:t>589</w:t>
      </w:r>
      <w:r w:rsidR="003A7273" w:rsidRPr="008A5980">
        <w:rPr>
          <w:rFonts w:asciiTheme="minorHAnsi" w:hAnsiTheme="minorHAnsi" w:cs="Arial"/>
          <w:color w:val="auto"/>
          <w:sz w:val="20"/>
          <w:szCs w:val="20"/>
        </w:rPr>
        <w:t>m</w:t>
      </w:r>
      <w:r w:rsidRPr="008A5980">
        <w:rPr>
          <w:rFonts w:asciiTheme="minorHAnsi" w:hAnsiTheme="minorHAnsi" w:cs="Arial"/>
          <w:color w:val="auto"/>
          <w:sz w:val="20"/>
          <w:szCs w:val="20"/>
        </w:rPr>
        <w:t xml:space="preserve"> above the Group’s regulatory Liquidity Coverage Ratio requirement</w:t>
      </w:r>
      <w:r w:rsidR="00F01491">
        <w:rPr>
          <w:rFonts w:asciiTheme="minorHAnsi" w:hAnsiTheme="minorHAnsi" w:cs="Arial"/>
          <w:color w:val="auto"/>
          <w:sz w:val="20"/>
          <w:szCs w:val="20"/>
        </w:rPr>
        <w:t>, as at 30 June 2024</w:t>
      </w:r>
      <w:r w:rsidRPr="008A5980">
        <w:rPr>
          <w:rFonts w:asciiTheme="minorHAnsi" w:hAnsiTheme="minorHAnsi" w:cs="Arial"/>
          <w:color w:val="auto"/>
          <w:sz w:val="20"/>
          <w:szCs w:val="20"/>
        </w:rPr>
        <w:t xml:space="preserve">. </w:t>
      </w:r>
    </w:p>
    <w:p w14:paraId="285A2641" w14:textId="4609D4CA" w:rsidR="00AB33D1" w:rsidRPr="009702E5" w:rsidRDefault="006573A7" w:rsidP="0012605F">
      <w:pPr>
        <w:pStyle w:val="Body"/>
        <w:numPr>
          <w:ilvl w:val="0"/>
          <w:numId w:val="6"/>
        </w:numPr>
        <w:ind w:left="709"/>
        <w:jc w:val="both"/>
        <w:rPr>
          <w:rFonts w:asciiTheme="minorHAnsi" w:hAnsiTheme="minorHAnsi" w:cs="Arial"/>
          <w:color w:val="auto"/>
          <w:sz w:val="20"/>
          <w:szCs w:val="20"/>
        </w:rPr>
      </w:pPr>
      <w:r w:rsidRPr="009702E5">
        <w:rPr>
          <w:rFonts w:asciiTheme="minorHAnsi" w:hAnsiTheme="minorHAnsi" w:cs="Arial"/>
          <w:color w:val="auto"/>
          <w:sz w:val="20"/>
          <w:szCs w:val="20"/>
        </w:rPr>
        <w:t xml:space="preserve">The Group's balance sheet position at the end of </w:t>
      </w:r>
      <w:r w:rsidR="000B1E09" w:rsidRPr="009702E5">
        <w:rPr>
          <w:rFonts w:asciiTheme="minorHAnsi" w:hAnsiTheme="minorHAnsi" w:cs="Arial"/>
          <w:color w:val="auto"/>
          <w:sz w:val="20"/>
          <w:szCs w:val="20"/>
        </w:rPr>
        <w:t>June</w:t>
      </w:r>
      <w:r w:rsidRPr="009702E5">
        <w:rPr>
          <w:rFonts w:asciiTheme="minorHAnsi" w:hAnsiTheme="minorHAnsi" w:cs="Arial"/>
          <w:color w:val="auto"/>
          <w:sz w:val="20"/>
          <w:szCs w:val="20"/>
        </w:rPr>
        <w:t xml:space="preserve"> remained robust, with regulatory capital of £</w:t>
      </w:r>
      <w:r w:rsidR="6B5B0C60" w:rsidRPr="7B6BA942">
        <w:rPr>
          <w:rFonts w:asciiTheme="minorHAnsi" w:hAnsiTheme="minorHAnsi" w:cs="Arial"/>
          <w:color w:val="auto"/>
          <w:sz w:val="20"/>
          <w:szCs w:val="20"/>
        </w:rPr>
        <w:t>5</w:t>
      </w:r>
      <w:r w:rsidR="7EC52134" w:rsidRPr="7B6BA942">
        <w:rPr>
          <w:rFonts w:asciiTheme="minorHAnsi" w:hAnsiTheme="minorHAnsi" w:cs="Arial"/>
          <w:color w:val="auto"/>
          <w:sz w:val="20"/>
          <w:szCs w:val="20"/>
        </w:rPr>
        <w:t>59</w:t>
      </w:r>
      <w:r w:rsidR="1D8AFE1B" w:rsidRPr="7B6BA942">
        <w:rPr>
          <w:rFonts w:asciiTheme="minorHAnsi" w:hAnsiTheme="minorHAnsi" w:cs="Arial"/>
          <w:color w:val="auto"/>
          <w:sz w:val="20"/>
          <w:szCs w:val="20"/>
        </w:rPr>
        <w:t>m</w:t>
      </w:r>
      <w:r w:rsidR="7A7A0ABD" w:rsidRPr="7B6BA942">
        <w:rPr>
          <w:rFonts w:asciiTheme="minorHAnsi" w:hAnsiTheme="minorHAnsi" w:cs="Arial"/>
          <w:color w:val="auto"/>
          <w:sz w:val="20"/>
          <w:szCs w:val="20"/>
        </w:rPr>
        <w:t xml:space="preserve"> (£</w:t>
      </w:r>
      <w:r w:rsidR="3904A8CB" w:rsidRPr="7B6BA942">
        <w:rPr>
          <w:rFonts w:asciiTheme="minorHAnsi" w:hAnsiTheme="minorHAnsi" w:cs="Arial"/>
          <w:color w:val="auto"/>
          <w:sz w:val="20"/>
          <w:szCs w:val="20"/>
        </w:rPr>
        <w:t>359</w:t>
      </w:r>
      <w:r w:rsidR="00930A7B" w:rsidRPr="009702E5">
        <w:rPr>
          <w:rFonts w:asciiTheme="minorHAnsi" w:hAnsiTheme="minorHAnsi" w:cs="Arial"/>
          <w:color w:val="auto"/>
          <w:sz w:val="20"/>
          <w:szCs w:val="20"/>
        </w:rPr>
        <w:t xml:space="preserve">m of which is </w:t>
      </w:r>
      <w:r w:rsidR="5262CC7A" w:rsidRPr="6AD1A6A3">
        <w:rPr>
          <w:rFonts w:asciiTheme="minorHAnsi" w:hAnsiTheme="minorHAnsi" w:cs="Arial"/>
          <w:color w:val="auto"/>
          <w:sz w:val="20"/>
          <w:szCs w:val="20"/>
        </w:rPr>
        <w:t xml:space="preserve">Tier 1, held entirely as </w:t>
      </w:r>
      <w:r w:rsidR="00930A7B" w:rsidRPr="009702E5">
        <w:rPr>
          <w:rFonts w:asciiTheme="minorHAnsi" w:hAnsiTheme="minorHAnsi" w:cs="Arial"/>
          <w:color w:val="auto"/>
          <w:sz w:val="20"/>
          <w:szCs w:val="20"/>
        </w:rPr>
        <w:t>CET1)</w:t>
      </w:r>
      <w:r w:rsidRPr="009702E5">
        <w:rPr>
          <w:rFonts w:asciiTheme="minorHAnsi" w:hAnsiTheme="minorHAnsi" w:cs="Arial"/>
          <w:color w:val="auto"/>
          <w:sz w:val="20"/>
          <w:szCs w:val="20"/>
        </w:rPr>
        <w:t xml:space="preserve">, a </w:t>
      </w:r>
      <w:r w:rsidR="008E52D0" w:rsidRPr="009702E5">
        <w:rPr>
          <w:rFonts w:asciiTheme="minorHAnsi" w:hAnsiTheme="minorHAnsi" w:cs="Arial"/>
          <w:color w:val="auto"/>
          <w:sz w:val="20"/>
          <w:szCs w:val="20"/>
        </w:rPr>
        <w:t>total capital ratio of 3</w:t>
      </w:r>
      <w:r w:rsidR="009702E5" w:rsidRPr="009702E5">
        <w:rPr>
          <w:rFonts w:asciiTheme="minorHAnsi" w:hAnsiTheme="minorHAnsi" w:cs="Arial"/>
          <w:color w:val="auto"/>
          <w:sz w:val="20"/>
          <w:szCs w:val="20"/>
        </w:rPr>
        <w:t>0.8</w:t>
      </w:r>
      <w:r w:rsidR="008E52D0" w:rsidRPr="009702E5">
        <w:rPr>
          <w:rFonts w:asciiTheme="minorHAnsi" w:hAnsiTheme="minorHAnsi" w:cs="Arial"/>
          <w:color w:val="auto"/>
          <w:sz w:val="20"/>
          <w:szCs w:val="20"/>
        </w:rPr>
        <w:t xml:space="preserve">% and </w:t>
      </w:r>
      <w:r w:rsidRPr="009702E5">
        <w:rPr>
          <w:rFonts w:asciiTheme="minorHAnsi" w:hAnsiTheme="minorHAnsi" w:cs="Arial"/>
          <w:color w:val="auto"/>
          <w:sz w:val="20"/>
          <w:szCs w:val="20"/>
        </w:rPr>
        <w:t xml:space="preserve">a </w:t>
      </w:r>
      <w:r w:rsidR="61B9B65D" w:rsidRPr="6AD1A6A3">
        <w:rPr>
          <w:rFonts w:asciiTheme="minorHAnsi" w:hAnsiTheme="minorHAnsi" w:cs="Arial"/>
          <w:color w:val="auto"/>
          <w:sz w:val="20"/>
          <w:szCs w:val="20"/>
        </w:rPr>
        <w:t>Tier 1</w:t>
      </w:r>
      <w:r w:rsidRPr="009702E5">
        <w:rPr>
          <w:rFonts w:asciiTheme="minorHAnsi" w:hAnsiTheme="minorHAnsi" w:cs="Arial"/>
          <w:color w:val="auto"/>
          <w:sz w:val="20"/>
          <w:szCs w:val="20"/>
        </w:rPr>
        <w:t xml:space="preserve"> ratio of </w:t>
      </w:r>
      <w:r w:rsidR="009702E5" w:rsidRPr="009702E5">
        <w:rPr>
          <w:rFonts w:asciiTheme="minorHAnsi" w:hAnsiTheme="minorHAnsi" w:cs="Arial"/>
          <w:color w:val="auto"/>
          <w:sz w:val="20"/>
          <w:szCs w:val="20"/>
        </w:rPr>
        <w:t>19.8</w:t>
      </w:r>
      <w:r w:rsidRPr="009702E5">
        <w:rPr>
          <w:rFonts w:asciiTheme="minorHAnsi" w:hAnsiTheme="minorHAnsi" w:cs="Arial"/>
          <w:color w:val="auto"/>
          <w:sz w:val="20"/>
          <w:szCs w:val="20"/>
        </w:rPr>
        <w:t xml:space="preserve">%, versus requirements of </w:t>
      </w:r>
      <w:r w:rsidR="008E52D0" w:rsidRPr="009702E5">
        <w:rPr>
          <w:rFonts w:asciiTheme="minorHAnsi" w:hAnsiTheme="minorHAnsi" w:cs="Arial"/>
          <w:color w:val="auto"/>
          <w:sz w:val="20"/>
          <w:szCs w:val="20"/>
        </w:rPr>
        <w:t>1</w:t>
      </w:r>
      <w:r w:rsidR="00DD0D88" w:rsidRPr="009702E5">
        <w:rPr>
          <w:rFonts w:asciiTheme="minorHAnsi" w:hAnsiTheme="minorHAnsi" w:cs="Arial"/>
          <w:color w:val="auto"/>
          <w:sz w:val="20"/>
          <w:szCs w:val="20"/>
        </w:rPr>
        <w:t>6</w:t>
      </w:r>
      <w:r w:rsidR="008E52D0" w:rsidRPr="009702E5">
        <w:rPr>
          <w:rFonts w:asciiTheme="minorHAnsi" w:hAnsiTheme="minorHAnsi" w:cs="Arial"/>
          <w:color w:val="auto"/>
          <w:sz w:val="20"/>
          <w:szCs w:val="20"/>
        </w:rPr>
        <w:t xml:space="preserve">.4% and </w:t>
      </w:r>
      <w:r w:rsidR="11CA71A7" w:rsidRPr="6AD1A6A3">
        <w:rPr>
          <w:rFonts w:asciiTheme="minorHAnsi" w:hAnsiTheme="minorHAnsi" w:cs="Arial"/>
          <w:color w:val="auto"/>
          <w:sz w:val="20"/>
          <w:szCs w:val="20"/>
        </w:rPr>
        <w:t>13.4</w:t>
      </w:r>
      <w:r w:rsidRPr="009702E5">
        <w:rPr>
          <w:rFonts w:asciiTheme="minorHAnsi" w:hAnsiTheme="minorHAnsi" w:cs="Arial"/>
          <w:color w:val="auto"/>
          <w:sz w:val="20"/>
          <w:szCs w:val="20"/>
        </w:rPr>
        <w:t>% respectively</w:t>
      </w:r>
      <w:r w:rsidR="009E48C2" w:rsidRPr="009702E5">
        <w:rPr>
          <w:rStyle w:val="FootnoteReference"/>
          <w:rFonts w:asciiTheme="minorHAnsi" w:hAnsiTheme="minorHAnsi" w:cs="Arial"/>
          <w:color w:val="auto"/>
          <w:sz w:val="20"/>
          <w:szCs w:val="20"/>
        </w:rPr>
        <w:footnoteReference w:id="2"/>
      </w:r>
      <w:r w:rsidRPr="009702E5">
        <w:rPr>
          <w:rFonts w:asciiTheme="minorHAnsi" w:hAnsiTheme="minorHAnsi" w:cs="Arial"/>
          <w:color w:val="auto"/>
          <w:sz w:val="20"/>
          <w:szCs w:val="20"/>
        </w:rPr>
        <w:t xml:space="preserve">. Total capital includes the Group's </w:t>
      </w:r>
      <w:r w:rsidR="00FC6FEE" w:rsidRPr="009702E5">
        <w:rPr>
          <w:rFonts w:asciiTheme="minorHAnsi" w:hAnsiTheme="minorHAnsi" w:cs="Arial"/>
          <w:color w:val="auto"/>
          <w:sz w:val="20"/>
          <w:szCs w:val="20"/>
        </w:rPr>
        <w:t xml:space="preserve">£200m </w:t>
      </w:r>
      <w:r w:rsidRPr="009702E5">
        <w:rPr>
          <w:rFonts w:asciiTheme="minorHAnsi" w:hAnsiTheme="minorHAnsi" w:cs="Arial"/>
          <w:color w:val="auto"/>
          <w:sz w:val="20"/>
          <w:szCs w:val="20"/>
        </w:rPr>
        <w:t>Tier 2 capital instrument.</w:t>
      </w:r>
    </w:p>
    <w:p w14:paraId="6DA03EA6" w14:textId="77777777" w:rsidR="005D15CB" w:rsidRPr="005D15CB" w:rsidRDefault="005D15CB" w:rsidP="005D15CB">
      <w:pPr>
        <w:pStyle w:val="Body"/>
        <w:jc w:val="both"/>
        <w:rPr>
          <w:rFonts w:asciiTheme="minorHAnsi" w:eastAsia="Calibri" w:hAnsiTheme="minorHAnsi" w:cs="Calibri"/>
          <w:color w:val="auto"/>
          <w:sz w:val="20"/>
          <w:szCs w:val="20"/>
        </w:rPr>
      </w:pPr>
    </w:p>
    <w:p w14:paraId="379045EA" w14:textId="2AC93006" w:rsidR="005D15CB" w:rsidRPr="005D15CB" w:rsidRDefault="005D15CB" w:rsidP="005D15CB">
      <w:pPr>
        <w:pStyle w:val="Body"/>
        <w:jc w:val="both"/>
        <w:rPr>
          <w:rFonts w:asciiTheme="minorHAnsi" w:eastAsia="Calibri" w:hAnsiTheme="minorHAnsi" w:cs="Calibri"/>
          <w:color w:val="auto"/>
          <w:sz w:val="20"/>
          <w:szCs w:val="20"/>
        </w:rPr>
      </w:pPr>
      <w:r w:rsidRPr="005D15CB">
        <w:rPr>
          <w:rFonts w:asciiTheme="minorHAnsi" w:eastAsia="Calibri" w:hAnsiTheme="minorHAnsi" w:cs="Calibri"/>
          <w:color w:val="auto"/>
          <w:sz w:val="20"/>
          <w:szCs w:val="20"/>
        </w:rPr>
        <w:t>The Group has transitioned to a traditional bank funding model in which the Group’s funding consists of; (</w:t>
      </w:r>
      <w:proofErr w:type="spellStart"/>
      <w:r w:rsidRPr="005D15CB">
        <w:rPr>
          <w:rFonts w:asciiTheme="minorHAnsi" w:eastAsia="Calibri" w:hAnsiTheme="minorHAnsi" w:cs="Calibri"/>
          <w:color w:val="auto"/>
          <w:sz w:val="20"/>
          <w:szCs w:val="20"/>
        </w:rPr>
        <w:t>i</w:t>
      </w:r>
      <w:proofErr w:type="spellEnd"/>
      <w:r w:rsidRPr="005D15CB">
        <w:rPr>
          <w:rFonts w:asciiTheme="minorHAnsi" w:eastAsia="Calibri" w:hAnsiTheme="minorHAnsi" w:cs="Calibri"/>
          <w:color w:val="auto"/>
          <w:sz w:val="20"/>
          <w:szCs w:val="20"/>
        </w:rPr>
        <w:t xml:space="preserve">) retail deposits (fixed term and notice accounts); (ii) </w:t>
      </w:r>
      <w:proofErr w:type="spellStart"/>
      <w:r w:rsidRPr="005D15CB">
        <w:rPr>
          <w:rFonts w:asciiTheme="minorHAnsi" w:eastAsia="Calibri" w:hAnsiTheme="minorHAnsi" w:cs="Calibri"/>
          <w:color w:val="auto"/>
          <w:sz w:val="20"/>
          <w:szCs w:val="20"/>
        </w:rPr>
        <w:t>securitisation</w:t>
      </w:r>
      <w:proofErr w:type="spellEnd"/>
      <w:r w:rsidRPr="005D15CB">
        <w:rPr>
          <w:rFonts w:asciiTheme="minorHAnsi" w:eastAsia="Calibri" w:hAnsiTheme="minorHAnsi" w:cs="Calibri"/>
          <w:color w:val="auto"/>
          <w:sz w:val="20"/>
          <w:szCs w:val="20"/>
        </w:rPr>
        <w:t xml:space="preserve"> of the credit cards and vehicle finance books; and (iii) liquidity and funding facilities at the Bank of England. In 2024, the Group has </w:t>
      </w:r>
      <w:r w:rsidR="00A8786B">
        <w:rPr>
          <w:rFonts w:asciiTheme="minorHAnsi" w:eastAsia="Calibri" w:hAnsiTheme="minorHAnsi" w:cs="Calibri"/>
          <w:color w:val="auto"/>
          <w:sz w:val="20"/>
          <w:szCs w:val="20"/>
        </w:rPr>
        <w:t xml:space="preserve">added repo capability to allow for some of its retained </w:t>
      </w:r>
      <w:proofErr w:type="spellStart"/>
      <w:r w:rsidR="0096727B">
        <w:rPr>
          <w:rFonts w:asciiTheme="minorHAnsi" w:eastAsia="Calibri" w:hAnsiTheme="minorHAnsi" w:cs="Calibri"/>
          <w:color w:val="auto"/>
          <w:sz w:val="20"/>
          <w:szCs w:val="20"/>
        </w:rPr>
        <w:t>securitisation</w:t>
      </w:r>
      <w:proofErr w:type="spellEnd"/>
      <w:r w:rsidR="0096727B">
        <w:rPr>
          <w:rFonts w:asciiTheme="minorHAnsi" w:eastAsia="Calibri" w:hAnsiTheme="minorHAnsi" w:cs="Calibri"/>
          <w:color w:val="auto"/>
          <w:sz w:val="20"/>
          <w:szCs w:val="20"/>
        </w:rPr>
        <w:t xml:space="preserve"> notes to be used as a contingent funding source. </w:t>
      </w:r>
      <w:r w:rsidR="00C36AE6">
        <w:rPr>
          <w:rFonts w:asciiTheme="minorHAnsi" w:eastAsia="Calibri" w:hAnsiTheme="minorHAnsi" w:cs="Calibri"/>
          <w:color w:val="auto"/>
          <w:sz w:val="20"/>
          <w:szCs w:val="20"/>
        </w:rPr>
        <w:t xml:space="preserve"> </w:t>
      </w:r>
    </w:p>
    <w:p w14:paraId="34D6F328" w14:textId="77777777" w:rsidR="005D15CB" w:rsidRPr="005D15CB" w:rsidRDefault="005D15CB" w:rsidP="005D15CB">
      <w:pPr>
        <w:pStyle w:val="Body"/>
        <w:jc w:val="both"/>
        <w:rPr>
          <w:rFonts w:asciiTheme="minorHAnsi" w:eastAsia="Calibri" w:hAnsiTheme="minorHAnsi" w:cs="Calibri"/>
          <w:color w:val="auto"/>
          <w:sz w:val="20"/>
          <w:szCs w:val="20"/>
        </w:rPr>
      </w:pPr>
    </w:p>
    <w:p w14:paraId="353B1482" w14:textId="24A7A0F6" w:rsidR="005D15CB" w:rsidRPr="005D15CB" w:rsidRDefault="005D15CB" w:rsidP="005D15CB">
      <w:pPr>
        <w:pStyle w:val="Body"/>
        <w:jc w:val="both"/>
        <w:rPr>
          <w:rFonts w:asciiTheme="minorHAnsi" w:eastAsia="Calibri" w:hAnsiTheme="minorHAnsi" w:cs="Calibri"/>
          <w:color w:val="auto"/>
          <w:sz w:val="20"/>
          <w:szCs w:val="20"/>
        </w:rPr>
      </w:pPr>
      <w:r w:rsidRPr="005D15CB">
        <w:rPr>
          <w:rFonts w:asciiTheme="minorHAnsi" w:eastAsia="Calibri" w:hAnsiTheme="minorHAnsi" w:cs="Calibri"/>
          <w:color w:val="auto"/>
          <w:sz w:val="20"/>
          <w:szCs w:val="20"/>
        </w:rPr>
        <w:t xml:space="preserve">The retail deposits </w:t>
      </w:r>
      <w:r w:rsidR="003D17BE">
        <w:rPr>
          <w:rFonts w:asciiTheme="minorHAnsi" w:eastAsia="Calibri" w:hAnsiTheme="minorHAnsi" w:cs="Calibri"/>
          <w:color w:val="auto"/>
          <w:sz w:val="20"/>
          <w:szCs w:val="20"/>
        </w:rPr>
        <w:t xml:space="preserve">prevailing </w:t>
      </w:r>
      <w:r w:rsidRPr="005D15CB">
        <w:rPr>
          <w:rFonts w:asciiTheme="minorHAnsi" w:eastAsia="Calibri" w:hAnsiTheme="minorHAnsi" w:cs="Calibri"/>
          <w:color w:val="auto"/>
          <w:sz w:val="20"/>
          <w:szCs w:val="20"/>
        </w:rPr>
        <w:t xml:space="preserve">market </w:t>
      </w:r>
      <w:r w:rsidR="003D17BE">
        <w:rPr>
          <w:rFonts w:asciiTheme="minorHAnsi" w:eastAsia="Calibri" w:hAnsiTheme="minorHAnsi" w:cs="Calibri"/>
          <w:color w:val="auto"/>
          <w:sz w:val="20"/>
          <w:szCs w:val="20"/>
        </w:rPr>
        <w:t>conditions remain</w:t>
      </w:r>
      <w:r w:rsidRPr="005D15CB">
        <w:rPr>
          <w:rFonts w:asciiTheme="minorHAnsi" w:eastAsia="Calibri" w:hAnsiTheme="minorHAnsi" w:cs="Calibri"/>
          <w:color w:val="auto"/>
          <w:sz w:val="20"/>
          <w:szCs w:val="20"/>
        </w:rPr>
        <w:t xml:space="preserve"> liquid</w:t>
      </w:r>
      <w:r w:rsidR="00414C30">
        <w:rPr>
          <w:rFonts w:asciiTheme="minorHAnsi" w:eastAsia="Calibri" w:hAnsiTheme="minorHAnsi" w:cs="Calibri"/>
          <w:color w:val="auto"/>
          <w:sz w:val="20"/>
          <w:szCs w:val="20"/>
        </w:rPr>
        <w:t>, recognizing</w:t>
      </w:r>
      <w:r w:rsidRPr="005D15CB">
        <w:rPr>
          <w:rFonts w:asciiTheme="minorHAnsi" w:eastAsia="Calibri" w:hAnsiTheme="minorHAnsi" w:cs="Calibri"/>
          <w:color w:val="auto"/>
          <w:sz w:val="20"/>
          <w:szCs w:val="20"/>
        </w:rPr>
        <w:t xml:space="preserve"> rates payable have increased during 2023 and 2024. Notwithstanding this, the Group retains access to wholesale market funding and debt capital via its £2bn EMTN </w:t>
      </w:r>
      <w:proofErr w:type="spellStart"/>
      <w:r w:rsidRPr="005D15CB">
        <w:rPr>
          <w:rFonts w:asciiTheme="minorHAnsi" w:eastAsia="Calibri" w:hAnsiTheme="minorHAnsi" w:cs="Calibri"/>
          <w:color w:val="auto"/>
          <w:sz w:val="20"/>
          <w:szCs w:val="20"/>
        </w:rPr>
        <w:t>programme</w:t>
      </w:r>
      <w:proofErr w:type="spellEnd"/>
      <w:r w:rsidRPr="005D15CB">
        <w:rPr>
          <w:rFonts w:asciiTheme="minorHAnsi" w:eastAsia="Calibri" w:hAnsiTheme="minorHAnsi" w:cs="Calibri"/>
          <w:color w:val="auto"/>
          <w:sz w:val="20"/>
          <w:szCs w:val="20"/>
        </w:rPr>
        <w:t xml:space="preserve">. Vanquis Bank has diversified its retail deposit funding mix through more cost-effective </w:t>
      </w:r>
      <w:proofErr w:type="spellStart"/>
      <w:r w:rsidRPr="005D15CB">
        <w:rPr>
          <w:rFonts w:asciiTheme="minorHAnsi" w:eastAsia="Calibri" w:hAnsiTheme="minorHAnsi" w:cs="Calibri"/>
          <w:color w:val="auto"/>
          <w:sz w:val="20"/>
          <w:szCs w:val="20"/>
        </w:rPr>
        <w:t>behaviouralised</w:t>
      </w:r>
      <w:proofErr w:type="spellEnd"/>
      <w:r w:rsidRPr="005D15CB">
        <w:rPr>
          <w:rFonts w:asciiTheme="minorHAnsi" w:eastAsia="Calibri" w:hAnsiTheme="minorHAnsi" w:cs="Calibri"/>
          <w:color w:val="auto"/>
          <w:sz w:val="20"/>
          <w:szCs w:val="20"/>
        </w:rPr>
        <w:t xml:space="preserve"> deposits and ISAs following the launch of 30- and 60-day notice accounts and ISAs in 1H24.</w:t>
      </w:r>
    </w:p>
    <w:p w14:paraId="368E83F0" w14:textId="77777777" w:rsidR="005D15CB" w:rsidRPr="005D15CB" w:rsidRDefault="005D15CB" w:rsidP="005D15CB">
      <w:pPr>
        <w:pStyle w:val="Body"/>
        <w:jc w:val="both"/>
        <w:rPr>
          <w:rFonts w:asciiTheme="minorHAnsi" w:eastAsia="Calibri" w:hAnsiTheme="minorHAnsi" w:cs="Calibri"/>
          <w:color w:val="auto"/>
          <w:sz w:val="20"/>
          <w:szCs w:val="20"/>
        </w:rPr>
      </w:pPr>
    </w:p>
    <w:p w14:paraId="2849657E" w14:textId="3D92B755" w:rsidR="00AB33D1" w:rsidRPr="00701439" w:rsidRDefault="00AB33D1" w:rsidP="00E534C5">
      <w:pPr>
        <w:pStyle w:val="Body"/>
        <w:jc w:val="both"/>
        <w:rPr>
          <w:rFonts w:asciiTheme="minorHAnsi" w:eastAsia="Calibri" w:hAnsiTheme="minorHAnsi" w:cs="Calibri"/>
          <w:color w:val="auto"/>
          <w:sz w:val="20"/>
          <w:szCs w:val="20"/>
        </w:rPr>
      </w:pPr>
      <w:r w:rsidRPr="00701439">
        <w:rPr>
          <w:rFonts w:asciiTheme="minorHAnsi" w:eastAsia="Calibri" w:hAnsiTheme="minorHAnsi" w:cs="Calibri"/>
          <w:color w:val="auto"/>
          <w:sz w:val="20"/>
          <w:szCs w:val="20"/>
        </w:rPr>
        <w:t>The Group continues to adopt a prudent approach to managing its funding and liquidity resources within risk appetite,</w:t>
      </w:r>
      <w:r w:rsidR="00F4130D">
        <w:rPr>
          <w:rFonts w:asciiTheme="minorHAnsi" w:eastAsia="Calibri" w:hAnsiTheme="minorHAnsi" w:cs="Calibri"/>
          <w:color w:val="auto"/>
          <w:sz w:val="20"/>
          <w:szCs w:val="20"/>
        </w:rPr>
        <w:t xml:space="preserve"> </w:t>
      </w:r>
      <w:r w:rsidRPr="00701439">
        <w:rPr>
          <w:rFonts w:asciiTheme="minorHAnsi" w:eastAsia="Calibri" w:hAnsiTheme="minorHAnsi" w:cs="Calibri"/>
          <w:color w:val="auto"/>
          <w:sz w:val="20"/>
          <w:szCs w:val="20"/>
        </w:rPr>
        <w:t xml:space="preserve">and will </w:t>
      </w:r>
      <w:r w:rsidR="00DB09EE" w:rsidRPr="00701439">
        <w:rPr>
          <w:rFonts w:asciiTheme="minorHAnsi" w:eastAsia="Calibri" w:hAnsiTheme="minorHAnsi" w:cs="Calibri"/>
          <w:color w:val="auto"/>
          <w:sz w:val="20"/>
          <w:szCs w:val="20"/>
        </w:rPr>
        <w:t xml:space="preserve">continue to </w:t>
      </w:r>
      <w:proofErr w:type="spellStart"/>
      <w:r w:rsidR="00140E67" w:rsidRPr="00701439">
        <w:rPr>
          <w:rFonts w:asciiTheme="minorHAnsi" w:eastAsia="Calibri" w:hAnsiTheme="minorHAnsi" w:cs="Calibri"/>
          <w:color w:val="auto"/>
          <w:sz w:val="20"/>
          <w:szCs w:val="20"/>
        </w:rPr>
        <w:t>optimise</w:t>
      </w:r>
      <w:proofErr w:type="spellEnd"/>
      <w:r w:rsidRPr="00701439">
        <w:rPr>
          <w:rFonts w:asciiTheme="minorHAnsi" w:eastAsia="Calibri" w:hAnsiTheme="minorHAnsi" w:cs="Calibri"/>
          <w:color w:val="auto"/>
          <w:sz w:val="20"/>
          <w:szCs w:val="20"/>
        </w:rPr>
        <w:t xml:space="preserve"> these resources when new opportunities become available to the Group.</w:t>
      </w:r>
    </w:p>
    <w:p w14:paraId="25BD3181" w14:textId="6620F0E9" w:rsidR="00CB5DE8" w:rsidRPr="00701439" w:rsidRDefault="00CB5DE8" w:rsidP="00E534C5">
      <w:pPr>
        <w:pStyle w:val="Body"/>
        <w:jc w:val="both"/>
        <w:rPr>
          <w:rFonts w:asciiTheme="minorHAnsi" w:eastAsia="Calibri" w:hAnsiTheme="minorHAnsi" w:cs="Calibri"/>
          <w:color w:val="auto"/>
          <w:sz w:val="20"/>
          <w:szCs w:val="20"/>
        </w:rPr>
      </w:pPr>
    </w:p>
    <w:p w14:paraId="0B1D6E67" w14:textId="142930E2" w:rsidR="000377BA" w:rsidRDefault="000377BA" w:rsidP="000377BA">
      <w:pPr>
        <w:pStyle w:val="Body"/>
        <w:jc w:val="both"/>
        <w:rPr>
          <w:rFonts w:asciiTheme="minorHAnsi" w:eastAsia="Calibri" w:hAnsiTheme="minorHAnsi" w:cs="Calibri"/>
          <w:color w:val="auto"/>
          <w:sz w:val="20"/>
          <w:szCs w:val="20"/>
        </w:rPr>
      </w:pPr>
      <w:r w:rsidRPr="00701439">
        <w:rPr>
          <w:rFonts w:asciiTheme="minorHAnsi" w:eastAsia="Calibri" w:hAnsiTheme="minorHAnsi" w:cs="Calibri"/>
          <w:color w:val="auto"/>
          <w:sz w:val="20"/>
          <w:szCs w:val="20"/>
        </w:rPr>
        <w:t xml:space="preserve">At </w:t>
      </w:r>
      <w:r w:rsidR="007733BE">
        <w:rPr>
          <w:rFonts w:asciiTheme="minorHAnsi" w:eastAsia="Calibri" w:hAnsiTheme="minorHAnsi" w:cs="Calibri"/>
          <w:color w:val="auto"/>
          <w:sz w:val="20"/>
          <w:szCs w:val="20"/>
        </w:rPr>
        <w:t>30 June 202</w:t>
      </w:r>
      <w:r w:rsidR="006D1A6A">
        <w:rPr>
          <w:rFonts w:asciiTheme="minorHAnsi" w:eastAsia="Calibri" w:hAnsiTheme="minorHAnsi" w:cs="Calibri"/>
          <w:color w:val="auto"/>
          <w:sz w:val="20"/>
          <w:szCs w:val="20"/>
        </w:rPr>
        <w:t>4</w:t>
      </w:r>
      <w:r w:rsidRPr="00701439">
        <w:rPr>
          <w:rFonts w:asciiTheme="minorHAnsi" w:eastAsia="Calibri" w:hAnsiTheme="minorHAnsi" w:cs="Calibri"/>
          <w:color w:val="auto"/>
          <w:sz w:val="20"/>
          <w:szCs w:val="20"/>
        </w:rPr>
        <w:t xml:space="preserve">, </w:t>
      </w:r>
      <w:r w:rsidRPr="0059660E">
        <w:rPr>
          <w:rFonts w:asciiTheme="minorHAnsi" w:eastAsia="Calibri" w:hAnsiTheme="minorHAnsi" w:cs="Calibri"/>
          <w:color w:val="auto"/>
          <w:sz w:val="20"/>
          <w:szCs w:val="20"/>
        </w:rPr>
        <w:t xml:space="preserve">the Group’s </w:t>
      </w:r>
      <w:r w:rsidR="0066253D" w:rsidRPr="00A56D6B">
        <w:rPr>
          <w:rFonts w:asciiTheme="minorHAnsi" w:eastAsia="Calibri" w:hAnsiTheme="minorHAnsi" w:cs="Calibri"/>
          <w:color w:val="auto"/>
          <w:sz w:val="20"/>
          <w:szCs w:val="20"/>
        </w:rPr>
        <w:t>Tier 1</w:t>
      </w:r>
      <w:r w:rsidRPr="0059660E">
        <w:rPr>
          <w:rFonts w:asciiTheme="minorHAnsi" w:eastAsia="Calibri" w:hAnsiTheme="minorHAnsi" w:cs="Calibri"/>
          <w:color w:val="auto"/>
          <w:sz w:val="20"/>
          <w:szCs w:val="20"/>
        </w:rPr>
        <w:t xml:space="preserve"> ratio was </w:t>
      </w:r>
      <w:r w:rsidR="00165C8A" w:rsidRPr="00A56D6B">
        <w:rPr>
          <w:rFonts w:asciiTheme="minorHAnsi" w:eastAsia="Calibri" w:hAnsiTheme="minorHAnsi" w:cs="Calibri"/>
          <w:color w:val="auto"/>
          <w:sz w:val="20"/>
          <w:szCs w:val="20"/>
        </w:rPr>
        <w:t>19.8</w:t>
      </w:r>
      <w:r w:rsidRPr="00A56D6B">
        <w:rPr>
          <w:rFonts w:asciiTheme="minorHAnsi" w:eastAsia="Calibri" w:hAnsiTheme="minorHAnsi" w:cs="Calibri"/>
          <w:color w:val="auto"/>
          <w:sz w:val="20"/>
          <w:szCs w:val="20"/>
        </w:rPr>
        <w:t>%</w:t>
      </w:r>
      <w:r w:rsidRPr="0059660E">
        <w:rPr>
          <w:rFonts w:asciiTheme="minorHAnsi" w:eastAsia="Calibri" w:hAnsiTheme="minorHAnsi" w:cs="Calibri"/>
          <w:color w:val="auto"/>
          <w:sz w:val="20"/>
          <w:szCs w:val="20"/>
        </w:rPr>
        <w:t xml:space="preserve"> (</w:t>
      </w:r>
      <w:r w:rsidR="00A72064">
        <w:rPr>
          <w:rFonts w:asciiTheme="minorHAnsi" w:eastAsia="Calibri" w:hAnsiTheme="minorHAnsi" w:cs="Calibri"/>
          <w:color w:val="auto"/>
          <w:sz w:val="20"/>
          <w:szCs w:val="20"/>
        </w:rPr>
        <w:t>1H</w:t>
      </w:r>
      <w:r w:rsidR="00EC7117" w:rsidRPr="0059660E">
        <w:rPr>
          <w:rFonts w:asciiTheme="minorHAnsi" w:eastAsia="Calibri" w:hAnsiTheme="minorHAnsi" w:cs="Calibri"/>
          <w:color w:val="auto"/>
          <w:sz w:val="20"/>
          <w:szCs w:val="20"/>
        </w:rPr>
        <w:t>2</w:t>
      </w:r>
      <w:r w:rsidR="006D1A6A">
        <w:rPr>
          <w:rFonts w:asciiTheme="minorHAnsi" w:eastAsia="Calibri" w:hAnsiTheme="minorHAnsi" w:cs="Calibri"/>
          <w:color w:val="auto"/>
          <w:sz w:val="20"/>
          <w:szCs w:val="20"/>
        </w:rPr>
        <w:t>3</w:t>
      </w:r>
      <w:r w:rsidRPr="0059660E">
        <w:rPr>
          <w:rFonts w:asciiTheme="minorHAnsi" w:eastAsia="Calibri" w:hAnsiTheme="minorHAnsi" w:cs="Calibri"/>
          <w:color w:val="auto"/>
          <w:sz w:val="20"/>
          <w:szCs w:val="20"/>
        </w:rPr>
        <w:t xml:space="preserve">: </w:t>
      </w:r>
      <w:r w:rsidR="00E431D8" w:rsidRPr="0059660E">
        <w:rPr>
          <w:rFonts w:asciiTheme="minorHAnsi" w:eastAsia="Calibri" w:hAnsiTheme="minorHAnsi" w:cs="Calibri"/>
          <w:color w:val="auto"/>
          <w:sz w:val="20"/>
          <w:szCs w:val="20"/>
        </w:rPr>
        <w:t>2</w:t>
      </w:r>
      <w:r w:rsidR="006D1A6A">
        <w:rPr>
          <w:rFonts w:asciiTheme="minorHAnsi" w:eastAsia="Calibri" w:hAnsiTheme="minorHAnsi" w:cs="Calibri"/>
          <w:color w:val="auto"/>
          <w:sz w:val="20"/>
          <w:szCs w:val="20"/>
        </w:rPr>
        <w:t>1.</w:t>
      </w:r>
      <w:r w:rsidR="00B97A5B">
        <w:rPr>
          <w:rFonts w:asciiTheme="minorHAnsi" w:eastAsia="Calibri" w:hAnsiTheme="minorHAnsi" w:cs="Calibri"/>
          <w:color w:val="auto"/>
          <w:sz w:val="20"/>
          <w:szCs w:val="20"/>
        </w:rPr>
        <w:t>1</w:t>
      </w:r>
      <w:r w:rsidRPr="0059660E">
        <w:rPr>
          <w:rFonts w:asciiTheme="minorHAnsi" w:eastAsia="Calibri" w:hAnsiTheme="minorHAnsi" w:cs="Calibri"/>
          <w:color w:val="auto"/>
          <w:sz w:val="20"/>
          <w:szCs w:val="20"/>
        </w:rPr>
        <w:t xml:space="preserve">%) and the Total Capital Ratio was </w:t>
      </w:r>
      <w:r w:rsidR="00FD2B49" w:rsidRPr="007A3C42">
        <w:rPr>
          <w:rFonts w:asciiTheme="minorHAnsi" w:eastAsia="Calibri" w:hAnsiTheme="minorHAnsi" w:cs="Calibri"/>
          <w:color w:val="auto"/>
          <w:sz w:val="20"/>
          <w:szCs w:val="20"/>
        </w:rPr>
        <w:t>3</w:t>
      </w:r>
      <w:r w:rsidR="00165C8A" w:rsidRPr="007A3C42">
        <w:rPr>
          <w:rFonts w:asciiTheme="minorHAnsi" w:eastAsia="Calibri" w:hAnsiTheme="minorHAnsi" w:cs="Calibri"/>
          <w:color w:val="auto"/>
          <w:sz w:val="20"/>
          <w:szCs w:val="20"/>
        </w:rPr>
        <w:t>0.8</w:t>
      </w:r>
      <w:r w:rsidRPr="007A3C42">
        <w:rPr>
          <w:rFonts w:asciiTheme="minorHAnsi" w:eastAsia="Calibri" w:hAnsiTheme="minorHAnsi" w:cs="Calibri"/>
          <w:color w:val="auto"/>
          <w:sz w:val="20"/>
          <w:szCs w:val="20"/>
        </w:rPr>
        <w:t>% (</w:t>
      </w:r>
      <w:r w:rsidR="00A72064" w:rsidRPr="007A3C42">
        <w:rPr>
          <w:rFonts w:asciiTheme="minorHAnsi" w:eastAsia="Calibri" w:hAnsiTheme="minorHAnsi" w:cs="Calibri"/>
          <w:color w:val="auto"/>
          <w:sz w:val="20"/>
          <w:szCs w:val="20"/>
        </w:rPr>
        <w:t>1H</w:t>
      </w:r>
      <w:r w:rsidR="00EC7117" w:rsidRPr="007A3C42">
        <w:rPr>
          <w:rFonts w:asciiTheme="minorHAnsi" w:eastAsia="Calibri" w:hAnsiTheme="minorHAnsi" w:cs="Calibri"/>
          <w:color w:val="auto"/>
          <w:sz w:val="20"/>
          <w:szCs w:val="20"/>
        </w:rPr>
        <w:t>2</w:t>
      </w:r>
      <w:r w:rsidR="006D1A6A" w:rsidRPr="007A3C42">
        <w:rPr>
          <w:rFonts w:asciiTheme="minorHAnsi" w:eastAsia="Calibri" w:hAnsiTheme="minorHAnsi" w:cs="Calibri"/>
          <w:color w:val="auto"/>
          <w:sz w:val="20"/>
          <w:szCs w:val="20"/>
        </w:rPr>
        <w:t>3</w:t>
      </w:r>
      <w:r w:rsidRPr="007A3C42">
        <w:rPr>
          <w:rFonts w:asciiTheme="minorHAnsi" w:eastAsia="Calibri" w:hAnsiTheme="minorHAnsi" w:cs="Calibri"/>
          <w:color w:val="auto"/>
          <w:sz w:val="20"/>
          <w:szCs w:val="20"/>
        </w:rPr>
        <w:t xml:space="preserve">: </w:t>
      </w:r>
      <w:r w:rsidR="006D1A6A" w:rsidRPr="007A3C42">
        <w:rPr>
          <w:rFonts w:asciiTheme="minorHAnsi" w:eastAsia="Calibri" w:hAnsiTheme="minorHAnsi" w:cs="Calibri"/>
          <w:color w:val="auto"/>
          <w:sz w:val="20"/>
          <w:szCs w:val="20"/>
        </w:rPr>
        <w:t>31.</w:t>
      </w:r>
      <w:r w:rsidR="00765CB9">
        <w:rPr>
          <w:rFonts w:asciiTheme="minorHAnsi" w:eastAsia="Calibri" w:hAnsiTheme="minorHAnsi" w:cs="Calibri"/>
          <w:color w:val="auto"/>
          <w:sz w:val="20"/>
          <w:szCs w:val="20"/>
        </w:rPr>
        <w:t>4</w:t>
      </w:r>
      <w:r w:rsidRPr="0059660E">
        <w:rPr>
          <w:rFonts w:asciiTheme="minorHAnsi" w:eastAsia="Calibri" w:hAnsiTheme="minorHAnsi" w:cs="Calibri"/>
          <w:color w:val="auto"/>
          <w:sz w:val="20"/>
          <w:szCs w:val="20"/>
        </w:rPr>
        <w:t>%). CET1 decreased from £</w:t>
      </w:r>
      <w:r w:rsidR="00AB70C4" w:rsidRPr="0059660E">
        <w:rPr>
          <w:rFonts w:asciiTheme="minorHAnsi" w:eastAsia="Calibri" w:hAnsiTheme="minorHAnsi" w:cs="Calibri"/>
          <w:color w:val="auto"/>
          <w:sz w:val="20"/>
          <w:szCs w:val="20"/>
        </w:rPr>
        <w:t>4</w:t>
      </w:r>
      <w:r w:rsidR="00F4514E">
        <w:rPr>
          <w:rFonts w:asciiTheme="minorHAnsi" w:eastAsia="Calibri" w:hAnsiTheme="minorHAnsi" w:cs="Calibri"/>
          <w:color w:val="auto"/>
          <w:sz w:val="20"/>
          <w:szCs w:val="20"/>
        </w:rPr>
        <w:t>10</w:t>
      </w:r>
      <w:r w:rsidRPr="0059660E">
        <w:rPr>
          <w:rFonts w:asciiTheme="minorHAnsi" w:eastAsia="Calibri" w:hAnsiTheme="minorHAnsi" w:cs="Calibri"/>
          <w:color w:val="auto"/>
          <w:sz w:val="20"/>
          <w:szCs w:val="20"/>
        </w:rPr>
        <w:t>m to £</w:t>
      </w:r>
      <w:r w:rsidR="2C282FF7" w:rsidRPr="7B6BA942">
        <w:rPr>
          <w:rFonts w:asciiTheme="minorHAnsi" w:eastAsia="Calibri" w:hAnsiTheme="minorHAnsi" w:cs="Calibri"/>
          <w:color w:val="auto"/>
          <w:sz w:val="20"/>
          <w:szCs w:val="20"/>
        </w:rPr>
        <w:t>3</w:t>
      </w:r>
      <w:r w:rsidR="42906ECB" w:rsidRPr="7B6BA942">
        <w:rPr>
          <w:rFonts w:asciiTheme="minorHAnsi" w:eastAsia="Calibri" w:hAnsiTheme="minorHAnsi" w:cs="Calibri"/>
          <w:color w:val="auto"/>
          <w:sz w:val="20"/>
          <w:szCs w:val="20"/>
        </w:rPr>
        <w:t>59</w:t>
      </w:r>
      <w:r w:rsidR="1C5B886D" w:rsidRPr="7B6BA942">
        <w:rPr>
          <w:rFonts w:asciiTheme="minorHAnsi" w:eastAsia="Calibri" w:hAnsiTheme="minorHAnsi" w:cs="Calibri"/>
          <w:color w:val="auto"/>
          <w:sz w:val="20"/>
          <w:szCs w:val="20"/>
        </w:rPr>
        <w:t>m</w:t>
      </w:r>
      <w:r w:rsidRPr="0059660E">
        <w:rPr>
          <w:rFonts w:asciiTheme="minorHAnsi" w:eastAsia="Calibri" w:hAnsiTheme="minorHAnsi" w:cs="Calibri"/>
          <w:color w:val="auto"/>
          <w:sz w:val="20"/>
          <w:szCs w:val="20"/>
        </w:rPr>
        <w:t xml:space="preserve"> </w:t>
      </w:r>
      <w:r w:rsidR="00F724E5">
        <w:rPr>
          <w:rFonts w:asciiTheme="minorHAnsi" w:eastAsia="Calibri" w:hAnsiTheme="minorHAnsi" w:cs="Calibri"/>
          <w:color w:val="auto"/>
          <w:sz w:val="20"/>
          <w:szCs w:val="20"/>
        </w:rPr>
        <w:t xml:space="preserve">since </w:t>
      </w:r>
      <w:r w:rsidR="00A72064">
        <w:rPr>
          <w:rFonts w:asciiTheme="minorHAnsi" w:eastAsia="Calibri" w:hAnsiTheme="minorHAnsi" w:cs="Calibri"/>
          <w:color w:val="auto"/>
          <w:sz w:val="20"/>
          <w:szCs w:val="20"/>
        </w:rPr>
        <w:t>1H</w:t>
      </w:r>
      <w:r w:rsidR="00F724E5">
        <w:rPr>
          <w:rFonts w:asciiTheme="minorHAnsi" w:eastAsia="Calibri" w:hAnsiTheme="minorHAnsi" w:cs="Calibri"/>
          <w:color w:val="auto"/>
          <w:sz w:val="20"/>
          <w:szCs w:val="20"/>
        </w:rPr>
        <w:t>2</w:t>
      </w:r>
      <w:r w:rsidR="00B74BD4">
        <w:rPr>
          <w:rFonts w:asciiTheme="minorHAnsi" w:eastAsia="Calibri" w:hAnsiTheme="minorHAnsi" w:cs="Calibri"/>
          <w:color w:val="auto"/>
          <w:sz w:val="20"/>
          <w:szCs w:val="20"/>
        </w:rPr>
        <w:t>3</w:t>
      </w:r>
      <w:r w:rsidRPr="0059660E">
        <w:rPr>
          <w:rFonts w:asciiTheme="minorHAnsi" w:eastAsia="Calibri" w:hAnsiTheme="minorHAnsi" w:cs="Calibri"/>
          <w:color w:val="auto"/>
          <w:sz w:val="20"/>
          <w:szCs w:val="20"/>
        </w:rPr>
        <w:t xml:space="preserve"> </w:t>
      </w:r>
      <w:r w:rsidR="00CF6982" w:rsidRPr="0059660E">
        <w:rPr>
          <w:rFonts w:asciiTheme="minorHAnsi" w:eastAsia="Calibri" w:hAnsiTheme="minorHAnsi" w:cs="Calibri"/>
          <w:color w:val="auto"/>
          <w:sz w:val="20"/>
          <w:szCs w:val="20"/>
        </w:rPr>
        <w:t>and</w:t>
      </w:r>
      <w:r w:rsidRPr="0059660E">
        <w:rPr>
          <w:rFonts w:asciiTheme="minorHAnsi" w:eastAsia="Calibri" w:hAnsiTheme="minorHAnsi" w:cs="Calibri"/>
          <w:color w:val="auto"/>
          <w:sz w:val="20"/>
          <w:szCs w:val="20"/>
        </w:rPr>
        <w:t xml:space="preserve"> total </w:t>
      </w:r>
      <w:r w:rsidR="00CF6982" w:rsidRPr="0059660E">
        <w:rPr>
          <w:rFonts w:asciiTheme="minorHAnsi" w:eastAsia="Calibri" w:hAnsiTheme="minorHAnsi" w:cs="Calibri"/>
          <w:color w:val="auto"/>
          <w:sz w:val="20"/>
          <w:szCs w:val="20"/>
        </w:rPr>
        <w:t>own funds decreased</w:t>
      </w:r>
      <w:r w:rsidRPr="0059660E">
        <w:rPr>
          <w:rFonts w:asciiTheme="minorHAnsi" w:eastAsia="Calibri" w:hAnsiTheme="minorHAnsi" w:cs="Calibri"/>
          <w:color w:val="auto"/>
          <w:sz w:val="20"/>
          <w:szCs w:val="20"/>
        </w:rPr>
        <w:t xml:space="preserve"> from </w:t>
      </w:r>
      <w:r w:rsidR="00DC71D8" w:rsidRPr="0059660E">
        <w:rPr>
          <w:rFonts w:asciiTheme="minorHAnsi" w:eastAsia="Calibri" w:hAnsiTheme="minorHAnsi" w:cs="Calibri"/>
          <w:color w:val="auto"/>
          <w:sz w:val="20"/>
          <w:szCs w:val="20"/>
        </w:rPr>
        <w:t>£</w:t>
      </w:r>
      <w:r w:rsidR="00A218C6">
        <w:rPr>
          <w:rFonts w:asciiTheme="minorHAnsi" w:eastAsia="Calibri" w:hAnsiTheme="minorHAnsi" w:cs="Calibri"/>
          <w:color w:val="auto"/>
          <w:sz w:val="20"/>
          <w:szCs w:val="20"/>
        </w:rPr>
        <w:t>610</w:t>
      </w:r>
      <w:r w:rsidR="00F96296" w:rsidRPr="0059660E">
        <w:rPr>
          <w:rFonts w:asciiTheme="minorHAnsi" w:eastAsia="Calibri" w:hAnsiTheme="minorHAnsi" w:cs="Calibri"/>
          <w:color w:val="auto"/>
          <w:sz w:val="20"/>
          <w:szCs w:val="20"/>
        </w:rPr>
        <w:t xml:space="preserve">m </w:t>
      </w:r>
      <w:r w:rsidR="00CF6982" w:rsidRPr="0059660E">
        <w:rPr>
          <w:rFonts w:asciiTheme="minorHAnsi" w:eastAsia="Calibri" w:hAnsiTheme="minorHAnsi" w:cs="Calibri"/>
          <w:color w:val="auto"/>
          <w:sz w:val="20"/>
          <w:szCs w:val="20"/>
        </w:rPr>
        <w:t>to £</w:t>
      </w:r>
      <w:r w:rsidR="7CFD1C6B" w:rsidRPr="7B6BA942">
        <w:rPr>
          <w:rFonts w:asciiTheme="minorHAnsi" w:eastAsia="Calibri" w:hAnsiTheme="minorHAnsi" w:cs="Calibri"/>
          <w:color w:val="auto"/>
          <w:sz w:val="20"/>
          <w:szCs w:val="20"/>
        </w:rPr>
        <w:t>5</w:t>
      </w:r>
      <w:r w:rsidR="3FCB9B01" w:rsidRPr="7B6BA942">
        <w:rPr>
          <w:rFonts w:asciiTheme="minorHAnsi" w:eastAsia="Calibri" w:hAnsiTheme="minorHAnsi" w:cs="Calibri"/>
          <w:color w:val="auto"/>
          <w:sz w:val="20"/>
          <w:szCs w:val="20"/>
        </w:rPr>
        <w:t>59</w:t>
      </w:r>
      <w:r w:rsidR="1A4E38AE" w:rsidRPr="7B6BA942">
        <w:rPr>
          <w:rFonts w:asciiTheme="minorHAnsi" w:eastAsia="Calibri" w:hAnsiTheme="minorHAnsi" w:cs="Calibri"/>
          <w:color w:val="auto"/>
          <w:sz w:val="20"/>
          <w:szCs w:val="20"/>
        </w:rPr>
        <w:t>m</w:t>
      </w:r>
      <w:r w:rsidR="1C5B886D" w:rsidRPr="7B6BA942">
        <w:rPr>
          <w:rFonts w:asciiTheme="minorHAnsi" w:eastAsia="Calibri" w:hAnsiTheme="minorHAnsi" w:cs="Calibri"/>
          <w:color w:val="auto"/>
          <w:sz w:val="20"/>
          <w:szCs w:val="20"/>
        </w:rPr>
        <w:t>.</w:t>
      </w:r>
      <w:r w:rsidRPr="0059660E">
        <w:rPr>
          <w:rFonts w:asciiTheme="minorHAnsi" w:eastAsia="Calibri" w:hAnsiTheme="minorHAnsi" w:cs="Calibri"/>
          <w:color w:val="auto"/>
          <w:sz w:val="20"/>
          <w:szCs w:val="20"/>
        </w:rPr>
        <w:t xml:space="preserve"> The regulatory capital headroom above the minimum </w:t>
      </w:r>
      <w:r w:rsidR="00F81CDC" w:rsidRPr="00A56D6B">
        <w:rPr>
          <w:rFonts w:asciiTheme="minorHAnsi" w:eastAsia="Calibri" w:hAnsiTheme="minorHAnsi" w:cs="Calibri"/>
          <w:color w:val="auto"/>
          <w:sz w:val="20"/>
          <w:szCs w:val="20"/>
        </w:rPr>
        <w:t xml:space="preserve">total </w:t>
      </w:r>
      <w:r w:rsidRPr="0059660E">
        <w:rPr>
          <w:rFonts w:asciiTheme="minorHAnsi" w:eastAsia="Calibri" w:hAnsiTheme="minorHAnsi" w:cs="Calibri"/>
          <w:color w:val="auto"/>
          <w:sz w:val="20"/>
          <w:szCs w:val="20"/>
        </w:rPr>
        <w:t xml:space="preserve">regulatory requirement of </w:t>
      </w:r>
      <w:r w:rsidR="007733BE" w:rsidRPr="0059660E">
        <w:rPr>
          <w:rFonts w:asciiTheme="minorHAnsi" w:eastAsia="Calibri" w:hAnsiTheme="minorHAnsi" w:cs="Calibri"/>
          <w:color w:val="auto"/>
          <w:sz w:val="20"/>
          <w:szCs w:val="20"/>
        </w:rPr>
        <w:t>1</w:t>
      </w:r>
      <w:r w:rsidR="00FD19E5">
        <w:rPr>
          <w:rFonts w:asciiTheme="minorHAnsi" w:eastAsia="Calibri" w:hAnsiTheme="minorHAnsi" w:cs="Calibri"/>
          <w:color w:val="auto"/>
          <w:sz w:val="20"/>
          <w:szCs w:val="20"/>
        </w:rPr>
        <w:t>6</w:t>
      </w:r>
      <w:r w:rsidR="007733BE" w:rsidRPr="0059660E">
        <w:rPr>
          <w:rFonts w:asciiTheme="minorHAnsi" w:eastAsia="Calibri" w:hAnsiTheme="minorHAnsi" w:cs="Calibri"/>
          <w:color w:val="auto"/>
          <w:sz w:val="20"/>
          <w:szCs w:val="20"/>
        </w:rPr>
        <w:t>.4%</w:t>
      </w:r>
      <w:r w:rsidRPr="0059660E">
        <w:rPr>
          <w:rFonts w:asciiTheme="minorHAnsi" w:eastAsia="Calibri" w:hAnsiTheme="minorHAnsi" w:cs="Calibri"/>
          <w:color w:val="auto"/>
          <w:sz w:val="20"/>
          <w:szCs w:val="20"/>
        </w:rPr>
        <w:t xml:space="preserve"> was </w:t>
      </w:r>
      <w:r w:rsidR="00EE70EB" w:rsidRPr="00A56D6B">
        <w:rPr>
          <w:rFonts w:asciiTheme="minorHAnsi" w:eastAsia="Calibri" w:hAnsiTheme="minorHAnsi" w:cs="Calibri"/>
          <w:color w:val="auto"/>
          <w:sz w:val="20"/>
          <w:szCs w:val="20"/>
        </w:rPr>
        <w:t>£</w:t>
      </w:r>
      <w:r w:rsidR="1CF87665" w:rsidRPr="7B6BA942">
        <w:rPr>
          <w:rFonts w:asciiTheme="minorHAnsi" w:eastAsia="Calibri" w:hAnsiTheme="minorHAnsi" w:cs="Calibri"/>
          <w:color w:val="auto"/>
          <w:sz w:val="20"/>
          <w:szCs w:val="20"/>
        </w:rPr>
        <w:t>26</w:t>
      </w:r>
      <w:r w:rsidR="00A218C6">
        <w:rPr>
          <w:rFonts w:asciiTheme="minorHAnsi" w:eastAsia="Calibri" w:hAnsiTheme="minorHAnsi" w:cs="Calibri"/>
          <w:color w:val="auto"/>
          <w:sz w:val="20"/>
          <w:szCs w:val="20"/>
        </w:rPr>
        <w:t>3</w:t>
      </w:r>
      <w:r w:rsidR="3E667354" w:rsidRPr="7B6BA942">
        <w:rPr>
          <w:rFonts w:asciiTheme="minorHAnsi" w:eastAsia="Calibri" w:hAnsiTheme="minorHAnsi" w:cs="Calibri"/>
          <w:color w:val="auto"/>
          <w:sz w:val="20"/>
          <w:szCs w:val="20"/>
        </w:rPr>
        <w:t>m</w:t>
      </w:r>
      <w:r w:rsidRPr="0059660E">
        <w:rPr>
          <w:rFonts w:asciiTheme="minorHAnsi" w:eastAsia="Calibri" w:hAnsiTheme="minorHAnsi" w:cs="Calibri"/>
          <w:color w:val="auto"/>
          <w:sz w:val="20"/>
          <w:szCs w:val="20"/>
        </w:rPr>
        <w:t xml:space="preserve"> at the period end. </w:t>
      </w:r>
      <w:r w:rsidRPr="00A56D6B">
        <w:rPr>
          <w:rFonts w:asciiTheme="minorHAnsi" w:eastAsia="Calibri" w:hAnsiTheme="minorHAnsi" w:cs="Calibri"/>
          <w:color w:val="auto"/>
          <w:sz w:val="20"/>
          <w:szCs w:val="20"/>
        </w:rPr>
        <w:t xml:space="preserve">The </w:t>
      </w:r>
      <w:r w:rsidR="00742772" w:rsidRPr="00A56D6B">
        <w:rPr>
          <w:rFonts w:asciiTheme="minorHAnsi" w:eastAsia="Calibri" w:hAnsiTheme="minorHAnsi" w:cs="Calibri"/>
          <w:color w:val="auto"/>
          <w:sz w:val="20"/>
          <w:szCs w:val="20"/>
        </w:rPr>
        <w:t>de</w:t>
      </w:r>
      <w:r w:rsidR="00093106" w:rsidRPr="00A56D6B">
        <w:rPr>
          <w:rFonts w:asciiTheme="minorHAnsi" w:eastAsia="Calibri" w:hAnsiTheme="minorHAnsi" w:cs="Calibri"/>
          <w:color w:val="auto"/>
          <w:sz w:val="20"/>
          <w:szCs w:val="20"/>
        </w:rPr>
        <w:t>crease</w:t>
      </w:r>
      <w:r w:rsidRPr="00A56D6B">
        <w:rPr>
          <w:rFonts w:asciiTheme="minorHAnsi" w:eastAsia="Calibri" w:hAnsiTheme="minorHAnsi" w:cs="Calibri"/>
          <w:color w:val="auto"/>
          <w:sz w:val="20"/>
          <w:szCs w:val="20"/>
        </w:rPr>
        <w:t xml:space="preserve"> </w:t>
      </w:r>
      <w:r w:rsidRPr="00A56D6B">
        <w:rPr>
          <w:rFonts w:asciiTheme="minorHAnsi" w:eastAsia="Calibri" w:hAnsiTheme="minorHAnsi" w:cs="Calibri"/>
          <w:color w:val="auto"/>
          <w:sz w:val="20"/>
          <w:szCs w:val="20"/>
        </w:rPr>
        <w:lastRenderedPageBreak/>
        <w:t>in headroom from £</w:t>
      </w:r>
      <w:r w:rsidR="00FD19E5" w:rsidRPr="00A56D6B">
        <w:rPr>
          <w:rFonts w:asciiTheme="minorHAnsi" w:eastAsia="Calibri" w:hAnsiTheme="minorHAnsi" w:cs="Calibri"/>
          <w:color w:val="auto"/>
          <w:sz w:val="20"/>
          <w:szCs w:val="20"/>
        </w:rPr>
        <w:t>3</w:t>
      </w:r>
      <w:r w:rsidR="00563EFF">
        <w:rPr>
          <w:rFonts w:asciiTheme="minorHAnsi" w:eastAsia="Calibri" w:hAnsiTheme="minorHAnsi" w:cs="Calibri"/>
          <w:color w:val="auto"/>
          <w:sz w:val="20"/>
          <w:szCs w:val="20"/>
        </w:rPr>
        <w:t>12</w:t>
      </w:r>
      <w:r w:rsidRPr="00A56D6B">
        <w:rPr>
          <w:rFonts w:asciiTheme="minorHAnsi" w:eastAsia="Calibri" w:hAnsiTheme="minorHAnsi" w:cs="Calibri"/>
          <w:color w:val="auto"/>
          <w:sz w:val="20"/>
          <w:szCs w:val="20"/>
        </w:rPr>
        <w:t xml:space="preserve">m at </w:t>
      </w:r>
      <w:r w:rsidR="006A42D1" w:rsidRPr="00A56D6B">
        <w:rPr>
          <w:rFonts w:asciiTheme="minorHAnsi" w:eastAsia="Calibri" w:hAnsiTheme="minorHAnsi" w:cs="Calibri"/>
          <w:color w:val="auto"/>
          <w:sz w:val="20"/>
          <w:szCs w:val="20"/>
        </w:rPr>
        <w:t>30 June 202</w:t>
      </w:r>
      <w:r w:rsidR="00FD19E5" w:rsidRPr="00A56D6B">
        <w:rPr>
          <w:rFonts w:asciiTheme="minorHAnsi" w:eastAsia="Calibri" w:hAnsiTheme="minorHAnsi" w:cs="Calibri"/>
          <w:color w:val="auto"/>
          <w:sz w:val="20"/>
          <w:szCs w:val="20"/>
        </w:rPr>
        <w:t>3</w:t>
      </w:r>
      <w:r w:rsidRPr="00A56D6B">
        <w:rPr>
          <w:rFonts w:asciiTheme="minorHAnsi" w:eastAsia="Calibri" w:hAnsiTheme="minorHAnsi" w:cs="Calibri"/>
          <w:color w:val="auto"/>
          <w:sz w:val="20"/>
          <w:szCs w:val="20"/>
        </w:rPr>
        <w:t xml:space="preserve"> (versus the </w:t>
      </w:r>
      <w:r w:rsidR="00E56FD5" w:rsidRPr="00A56D6B">
        <w:rPr>
          <w:rFonts w:asciiTheme="minorHAnsi" w:eastAsia="Calibri" w:hAnsiTheme="minorHAnsi" w:cs="Calibri"/>
          <w:color w:val="auto"/>
          <w:sz w:val="20"/>
          <w:szCs w:val="20"/>
        </w:rPr>
        <w:t>TCR and combined buffer</w:t>
      </w:r>
      <w:r w:rsidRPr="00A56D6B">
        <w:rPr>
          <w:rFonts w:asciiTheme="minorHAnsi" w:eastAsia="Calibri" w:hAnsiTheme="minorHAnsi" w:cs="Calibri"/>
          <w:color w:val="auto"/>
          <w:sz w:val="20"/>
          <w:szCs w:val="20"/>
        </w:rPr>
        <w:t>) predominantly reflects</w:t>
      </w:r>
      <w:r w:rsidR="00220E99">
        <w:rPr>
          <w:rFonts w:asciiTheme="minorHAnsi" w:eastAsia="Calibri" w:hAnsiTheme="minorHAnsi" w:cs="Calibri"/>
          <w:color w:val="auto"/>
          <w:sz w:val="20"/>
          <w:szCs w:val="20"/>
        </w:rPr>
        <w:t xml:space="preserve"> the increase in the UK countercyclical </w:t>
      </w:r>
      <w:r w:rsidR="00FF4718">
        <w:rPr>
          <w:rFonts w:asciiTheme="minorHAnsi" w:eastAsia="Calibri" w:hAnsiTheme="minorHAnsi" w:cs="Calibri"/>
          <w:color w:val="auto"/>
          <w:sz w:val="20"/>
          <w:szCs w:val="20"/>
        </w:rPr>
        <w:t xml:space="preserve">buffer  from 1% to </w:t>
      </w:r>
      <w:r w:rsidR="00C75811">
        <w:rPr>
          <w:rFonts w:asciiTheme="minorHAnsi" w:eastAsia="Calibri" w:hAnsiTheme="minorHAnsi" w:cs="Calibri"/>
          <w:color w:val="auto"/>
          <w:sz w:val="20"/>
          <w:szCs w:val="20"/>
        </w:rPr>
        <w:t>2%</w:t>
      </w:r>
      <w:r w:rsidR="00B35898">
        <w:rPr>
          <w:rFonts w:asciiTheme="minorHAnsi" w:eastAsia="Calibri" w:hAnsiTheme="minorHAnsi" w:cs="Calibri"/>
          <w:color w:val="auto"/>
          <w:sz w:val="20"/>
          <w:szCs w:val="20"/>
        </w:rPr>
        <w:t xml:space="preserve"> </w:t>
      </w:r>
      <w:r w:rsidR="00D14003">
        <w:rPr>
          <w:rFonts w:asciiTheme="minorHAnsi" w:eastAsia="Calibri" w:hAnsiTheme="minorHAnsi" w:cs="Calibri"/>
          <w:color w:val="auto"/>
          <w:sz w:val="20"/>
          <w:szCs w:val="20"/>
        </w:rPr>
        <w:t>in 2H23</w:t>
      </w:r>
      <w:r w:rsidR="00B13240">
        <w:rPr>
          <w:rFonts w:asciiTheme="minorHAnsi" w:eastAsia="Calibri" w:hAnsiTheme="minorHAnsi" w:cs="Calibri"/>
          <w:color w:val="auto"/>
          <w:sz w:val="20"/>
          <w:szCs w:val="20"/>
        </w:rPr>
        <w:t>,</w:t>
      </w:r>
      <w:r w:rsidR="0075389A" w:rsidRPr="00A56D6B">
        <w:rPr>
          <w:rFonts w:asciiTheme="minorHAnsi" w:eastAsia="Calibri" w:hAnsiTheme="minorHAnsi" w:cs="Calibri"/>
          <w:color w:val="auto"/>
          <w:sz w:val="20"/>
          <w:szCs w:val="20"/>
        </w:rPr>
        <w:t xml:space="preserve"> the </w:t>
      </w:r>
      <w:r w:rsidR="00772C45" w:rsidRPr="00A56D6B">
        <w:rPr>
          <w:rFonts w:asciiTheme="minorHAnsi" w:eastAsia="Calibri" w:hAnsiTheme="minorHAnsi" w:cs="Calibri"/>
          <w:color w:val="auto"/>
          <w:sz w:val="20"/>
          <w:szCs w:val="20"/>
        </w:rPr>
        <w:t xml:space="preserve">statutory losses incurred in the period from June 2023 to June 2024 (including </w:t>
      </w:r>
      <w:r w:rsidR="00263E0D" w:rsidRPr="00A56D6B">
        <w:rPr>
          <w:rFonts w:asciiTheme="minorHAnsi" w:eastAsia="Calibri" w:hAnsiTheme="minorHAnsi" w:cs="Calibri"/>
          <w:color w:val="auto"/>
          <w:sz w:val="20"/>
          <w:szCs w:val="20"/>
        </w:rPr>
        <w:t>one-off items)</w:t>
      </w:r>
      <w:r w:rsidR="0076786F" w:rsidRPr="00A56D6B">
        <w:rPr>
          <w:rFonts w:asciiTheme="minorHAnsi" w:eastAsia="Calibri" w:hAnsiTheme="minorHAnsi" w:cs="Calibri"/>
          <w:color w:val="auto"/>
          <w:sz w:val="20"/>
          <w:szCs w:val="20"/>
        </w:rPr>
        <w:t>, offset by a reduct</w:t>
      </w:r>
      <w:r w:rsidR="00B069DD" w:rsidRPr="00A56D6B">
        <w:rPr>
          <w:rFonts w:asciiTheme="minorHAnsi" w:eastAsia="Calibri" w:hAnsiTheme="minorHAnsi" w:cs="Calibri"/>
          <w:color w:val="auto"/>
          <w:sz w:val="20"/>
          <w:szCs w:val="20"/>
        </w:rPr>
        <w:t>ion</w:t>
      </w:r>
      <w:r w:rsidR="0076786F" w:rsidRPr="00A56D6B">
        <w:rPr>
          <w:rFonts w:asciiTheme="minorHAnsi" w:eastAsia="Calibri" w:hAnsiTheme="minorHAnsi" w:cs="Calibri"/>
          <w:color w:val="auto"/>
          <w:sz w:val="20"/>
          <w:szCs w:val="20"/>
        </w:rPr>
        <w:t xml:space="preserve"> in </w:t>
      </w:r>
      <w:r w:rsidR="00A56D6B" w:rsidRPr="00A56D6B">
        <w:rPr>
          <w:rFonts w:asciiTheme="minorHAnsi" w:eastAsia="Calibri" w:hAnsiTheme="minorHAnsi" w:cs="Calibri"/>
          <w:color w:val="auto"/>
          <w:sz w:val="20"/>
          <w:szCs w:val="20"/>
        </w:rPr>
        <w:t>r</w:t>
      </w:r>
      <w:r w:rsidR="00566F9E" w:rsidRPr="00A56D6B">
        <w:rPr>
          <w:rFonts w:asciiTheme="minorHAnsi" w:eastAsia="Calibri" w:hAnsiTheme="minorHAnsi" w:cs="Calibri"/>
          <w:color w:val="auto"/>
          <w:sz w:val="20"/>
          <w:szCs w:val="20"/>
        </w:rPr>
        <w:t>isk-</w:t>
      </w:r>
      <w:r w:rsidR="00A56D6B" w:rsidRPr="00A56D6B">
        <w:rPr>
          <w:rFonts w:asciiTheme="minorHAnsi" w:eastAsia="Calibri" w:hAnsiTheme="minorHAnsi" w:cs="Calibri"/>
          <w:color w:val="auto"/>
          <w:sz w:val="20"/>
          <w:szCs w:val="20"/>
        </w:rPr>
        <w:t>w</w:t>
      </w:r>
      <w:r w:rsidR="00566F9E" w:rsidRPr="00A56D6B">
        <w:rPr>
          <w:rFonts w:asciiTheme="minorHAnsi" w:eastAsia="Calibri" w:hAnsiTheme="minorHAnsi" w:cs="Calibri"/>
          <w:color w:val="auto"/>
          <w:sz w:val="20"/>
          <w:szCs w:val="20"/>
        </w:rPr>
        <w:t xml:space="preserve">eighted </w:t>
      </w:r>
      <w:r w:rsidR="000F7068">
        <w:rPr>
          <w:rFonts w:asciiTheme="minorHAnsi" w:eastAsia="Calibri" w:hAnsiTheme="minorHAnsi" w:cs="Calibri"/>
          <w:color w:val="auto"/>
          <w:sz w:val="20"/>
          <w:szCs w:val="20"/>
        </w:rPr>
        <w:t>e</w:t>
      </w:r>
      <w:r w:rsidR="00566F9E" w:rsidRPr="00A56D6B">
        <w:rPr>
          <w:rFonts w:asciiTheme="minorHAnsi" w:eastAsia="Calibri" w:hAnsiTheme="minorHAnsi" w:cs="Calibri"/>
          <w:color w:val="auto"/>
          <w:sz w:val="20"/>
          <w:szCs w:val="20"/>
        </w:rPr>
        <w:t>xposures to £1,</w:t>
      </w:r>
      <w:r w:rsidR="7E387D1C" w:rsidRPr="7B6BA942">
        <w:rPr>
          <w:rFonts w:asciiTheme="minorHAnsi" w:eastAsia="Calibri" w:hAnsiTheme="minorHAnsi" w:cs="Calibri"/>
          <w:color w:val="auto"/>
          <w:sz w:val="20"/>
          <w:szCs w:val="20"/>
        </w:rPr>
        <w:t>8</w:t>
      </w:r>
      <w:r w:rsidR="76295EDE" w:rsidRPr="7B6BA942">
        <w:rPr>
          <w:rFonts w:asciiTheme="minorHAnsi" w:eastAsia="Calibri" w:hAnsiTheme="minorHAnsi" w:cs="Calibri"/>
          <w:color w:val="auto"/>
          <w:sz w:val="20"/>
          <w:szCs w:val="20"/>
        </w:rPr>
        <w:t>13</w:t>
      </w:r>
      <w:r w:rsidR="7E387D1C" w:rsidRPr="7B6BA942">
        <w:rPr>
          <w:rFonts w:asciiTheme="minorHAnsi" w:eastAsia="Calibri" w:hAnsiTheme="minorHAnsi" w:cs="Calibri"/>
          <w:color w:val="auto"/>
          <w:sz w:val="20"/>
          <w:szCs w:val="20"/>
        </w:rPr>
        <w:t>m</w:t>
      </w:r>
      <w:r w:rsidR="00566F9E" w:rsidRPr="00A56D6B">
        <w:rPr>
          <w:rFonts w:asciiTheme="minorHAnsi" w:eastAsia="Calibri" w:hAnsiTheme="minorHAnsi" w:cs="Calibri"/>
          <w:color w:val="auto"/>
          <w:sz w:val="20"/>
          <w:szCs w:val="20"/>
        </w:rPr>
        <w:t xml:space="preserve"> (1H23: £1,94</w:t>
      </w:r>
      <w:r w:rsidR="00A828AD">
        <w:rPr>
          <w:rFonts w:asciiTheme="minorHAnsi" w:eastAsia="Calibri" w:hAnsiTheme="minorHAnsi" w:cs="Calibri"/>
          <w:color w:val="auto"/>
          <w:sz w:val="20"/>
          <w:szCs w:val="20"/>
        </w:rPr>
        <w:t>0</w:t>
      </w:r>
      <w:r w:rsidR="00566F9E" w:rsidRPr="00A56D6B">
        <w:rPr>
          <w:rFonts w:asciiTheme="minorHAnsi" w:eastAsia="Calibri" w:hAnsiTheme="minorHAnsi" w:cs="Calibri"/>
          <w:color w:val="auto"/>
          <w:sz w:val="20"/>
          <w:szCs w:val="20"/>
        </w:rPr>
        <w:t>m)</w:t>
      </w:r>
      <w:r w:rsidR="00AA2BB5" w:rsidRPr="00A56D6B">
        <w:rPr>
          <w:rFonts w:asciiTheme="minorHAnsi" w:eastAsia="Calibri" w:hAnsiTheme="minorHAnsi" w:cs="Calibri"/>
          <w:color w:val="auto"/>
          <w:sz w:val="20"/>
          <w:szCs w:val="20"/>
        </w:rPr>
        <w:t>, which was predominantly attribut</w:t>
      </w:r>
      <w:r w:rsidR="00CB230C" w:rsidRPr="00A56D6B">
        <w:rPr>
          <w:rFonts w:asciiTheme="minorHAnsi" w:eastAsia="Calibri" w:hAnsiTheme="minorHAnsi" w:cs="Calibri"/>
          <w:color w:val="auto"/>
          <w:sz w:val="20"/>
          <w:szCs w:val="20"/>
        </w:rPr>
        <w:t xml:space="preserve">able to risk-weighted lending assets. </w:t>
      </w:r>
      <w:r w:rsidR="00B069DD" w:rsidRPr="00A56D6B">
        <w:rPr>
          <w:rFonts w:asciiTheme="minorHAnsi" w:eastAsia="Calibri" w:hAnsiTheme="minorHAnsi" w:cs="Calibri"/>
          <w:color w:val="auto"/>
          <w:sz w:val="20"/>
          <w:szCs w:val="20"/>
        </w:rPr>
        <w:t xml:space="preserve"> </w:t>
      </w:r>
    </w:p>
    <w:p w14:paraId="03210C89" w14:textId="77777777" w:rsidR="000377BA" w:rsidRPr="00701439" w:rsidRDefault="000377BA" w:rsidP="000377BA">
      <w:pPr>
        <w:pStyle w:val="Body"/>
        <w:jc w:val="both"/>
        <w:rPr>
          <w:rFonts w:asciiTheme="minorHAnsi" w:eastAsia="Calibri" w:hAnsiTheme="minorHAnsi" w:cs="Calibri"/>
          <w:color w:val="auto"/>
          <w:sz w:val="20"/>
          <w:szCs w:val="20"/>
        </w:rPr>
      </w:pPr>
    </w:p>
    <w:p w14:paraId="00C8C87A" w14:textId="77777777" w:rsidR="004D531C" w:rsidRDefault="00E12496" w:rsidP="00E12496">
      <w:pPr>
        <w:pStyle w:val="Body"/>
        <w:jc w:val="both"/>
        <w:rPr>
          <w:rFonts w:asciiTheme="minorHAnsi" w:eastAsia="Calibri" w:hAnsiTheme="minorHAnsi" w:cs="Calibri"/>
          <w:sz w:val="20"/>
          <w:szCs w:val="20"/>
          <w:lang w:val="en-GB"/>
        </w:rPr>
      </w:pPr>
      <w:r w:rsidRPr="00701439">
        <w:rPr>
          <w:rFonts w:asciiTheme="minorHAnsi" w:eastAsia="Calibri" w:hAnsiTheme="minorHAnsi" w:cs="Calibri"/>
          <w:sz w:val="20"/>
          <w:szCs w:val="20"/>
          <w:lang w:val="en-GB"/>
        </w:rPr>
        <w:t xml:space="preserve">The Group has in place a Capital Principal Risk Policy, which sets out the framework in which the Group aims to maintain a secure funding and capital structure and establishes defined capital risk appetite. Adherence to the policy ensures that the Group maintains minimum capital levels and that the capital held at business division levels is adequate to support the businesses’ underlying requirements and is sufficient to support growth in that business. Internal capital is allocated to business lines and risk categories, calibrated to maximise return on equity while remaining within the risk appetite. </w:t>
      </w:r>
    </w:p>
    <w:p w14:paraId="2872E40B" w14:textId="77777777" w:rsidR="005D5E19" w:rsidRDefault="005D5E19" w:rsidP="00E12496">
      <w:pPr>
        <w:pStyle w:val="Body"/>
        <w:jc w:val="both"/>
        <w:rPr>
          <w:rFonts w:asciiTheme="minorHAnsi" w:eastAsia="Calibri" w:hAnsiTheme="minorHAnsi" w:cs="Calibri"/>
          <w:sz w:val="20"/>
          <w:szCs w:val="20"/>
          <w:lang w:val="en-GB"/>
        </w:rPr>
      </w:pPr>
    </w:p>
    <w:p w14:paraId="7701B280" w14:textId="4C08DD0C" w:rsidR="00E12496" w:rsidRPr="00701439" w:rsidRDefault="00E12496" w:rsidP="00E12496">
      <w:pPr>
        <w:pStyle w:val="Body"/>
        <w:jc w:val="both"/>
        <w:rPr>
          <w:rFonts w:asciiTheme="minorHAnsi" w:eastAsia="Calibri" w:hAnsiTheme="minorHAnsi" w:cs="Calibri"/>
          <w:sz w:val="20"/>
          <w:szCs w:val="20"/>
          <w:lang w:val="en-GB"/>
        </w:rPr>
      </w:pPr>
      <w:r w:rsidRPr="00701439">
        <w:rPr>
          <w:rFonts w:asciiTheme="minorHAnsi" w:eastAsia="Calibri" w:hAnsiTheme="minorHAnsi" w:cs="Calibri"/>
          <w:sz w:val="20"/>
          <w:szCs w:val="20"/>
          <w:lang w:val="en-GB"/>
        </w:rPr>
        <w:t>The distribution of dividends is aligned with the Group’s growth targets, whilst continuing to meet the required capital levels in line with regulatory requirements and internal risk appetite.</w:t>
      </w:r>
      <w:r w:rsidRPr="00701439">
        <w:t xml:space="preserve"> </w:t>
      </w:r>
      <w:r w:rsidRPr="00701439">
        <w:rPr>
          <w:rFonts w:asciiTheme="minorHAnsi" w:eastAsia="Calibri" w:hAnsiTheme="minorHAnsi" w:cs="Calibri"/>
          <w:sz w:val="20"/>
          <w:szCs w:val="20"/>
          <w:lang w:val="en-GB"/>
        </w:rPr>
        <w:t>The policy requires subsidiaries, including Vanquis Bank, to maintain sufficient capital to meet regulatory requirements, manage for 12 months growth and investment whilst maintaining a management buffer. Thereafter and where applicable Vanquis Bank is required to distribute a dividend to the Group.</w:t>
      </w:r>
    </w:p>
    <w:p w14:paraId="00B53F8F" w14:textId="6AC3A24D" w:rsidR="009A4692" w:rsidRDefault="009A4692" w:rsidP="00E534C5">
      <w:pPr>
        <w:pStyle w:val="NoSpacing"/>
        <w:jc w:val="both"/>
        <w:rPr>
          <w:rStyle w:val="Strong"/>
          <w:sz w:val="20"/>
          <w:szCs w:val="20"/>
        </w:rPr>
      </w:pPr>
      <w:bookmarkStart w:id="7" w:name="_Hlk98307553"/>
    </w:p>
    <w:bookmarkEnd w:id="7"/>
    <w:p w14:paraId="190CCBE5" w14:textId="55B9D5D7" w:rsidR="000071DB" w:rsidRPr="00701439" w:rsidRDefault="000071DB" w:rsidP="00E534C5">
      <w:pPr>
        <w:pStyle w:val="NoSpacing"/>
        <w:jc w:val="both"/>
        <w:rPr>
          <w:b/>
          <w:color w:val="4747FF"/>
        </w:rPr>
      </w:pPr>
      <w:r w:rsidRPr="3D2F9822">
        <w:rPr>
          <w:b/>
          <w:color w:val="4747FF"/>
        </w:rPr>
        <w:t xml:space="preserve">Principal </w:t>
      </w:r>
      <w:r w:rsidR="00396E2F" w:rsidRPr="3D2F9822">
        <w:rPr>
          <w:b/>
          <w:color w:val="4747FF"/>
        </w:rPr>
        <w:t xml:space="preserve">risks </w:t>
      </w:r>
      <w:r w:rsidRPr="3D2F9822">
        <w:rPr>
          <w:b/>
          <w:color w:val="4747FF"/>
        </w:rPr>
        <w:t xml:space="preserve">and </w:t>
      </w:r>
      <w:r w:rsidR="00396E2F" w:rsidRPr="3D2F9822">
        <w:rPr>
          <w:b/>
          <w:color w:val="4747FF"/>
        </w:rPr>
        <w:t>uncertainties</w:t>
      </w:r>
    </w:p>
    <w:p w14:paraId="43A99869" w14:textId="77777777" w:rsidR="00D979EF" w:rsidRDefault="00D979EF" w:rsidP="00E534C5">
      <w:pPr>
        <w:pStyle w:val="NoSpacing"/>
        <w:jc w:val="both"/>
        <w:rPr>
          <w:b/>
          <w:color w:val="4747FF"/>
        </w:rPr>
      </w:pPr>
    </w:p>
    <w:p w14:paraId="04EF60C1" w14:textId="77777777" w:rsidR="00D979EF" w:rsidRDefault="00D979EF" w:rsidP="002868C1">
      <w:pPr>
        <w:jc w:val="both"/>
        <w:rPr>
          <w:rStyle w:val="aga"/>
          <w:rFonts w:ascii="Calibri" w:eastAsiaTheme="majorEastAsia" w:hAnsi="Calibri" w:cs="Calibri"/>
          <w:color w:val="000000"/>
          <w:sz w:val="20"/>
          <w:szCs w:val="20"/>
        </w:rPr>
      </w:pPr>
      <w:r>
        <w:rPr>
          <w:rStyle w:val="aga"/>
          <w:rFonts w:ascii="Calibri" w:eastAsiaTheme="majorEastAsia" w:hAnsi="Calibri" w:cs="Calibri"/>
          <w:color w:val="000000"/>
          <w:sz w:val="20"/>
          <w:szCs w:val="20"/>
        </w:rPr>
        <w:t xml:space="preserve">Effective management of </w:t>
      </w:r>
      <w:r w:rsidRPr="00F948DC">
        <w:rPr>
          <w:rStyle w:val="aga"/>
          <w:rFonts w:ascii="Calibri" w:eastAsiaTheme="majorEastAsia" w:hAnsi="Calibri" w:cs="Calibri"/>
          <w:color w:val="000000"/>
          <w:sz w:val="20"/>
          <w:szCs w:val="20"/>
        </w:rPr>
        <w:t>risk is critical to enable us to optimise our shareholder return whilst maximising our business opportunities and positive outcomes for all our key stakeholders, includ</w:t>
      </w:r>
      <w:r>
        <w:rPr>
          <w:rStyle w:val="aga"/>
          <w:rFonts w:ascii="Calibri" w:eastAsiaTheme="majorEastAsia" w:hAnsi="Calibri" w:cs="Calibri"/>
          <w:color w:val="000000"/>
          <w:sz w:val="20"/>
          <w:szCs w:val="20"/>
        </w:rPr>
        <w:t>ing</w:t>
      </w:r>
      <w:r w:rsidRPr="00F948DC">
        <w:rPr>
          <w:rStyle w:val="aga"/>
          <w:rFonts w:ascii="Calibri" w:eastAsiaTheme="majorEastAsia" w:hAnsi="Calibri" w:cs="Calibri"/>
          <w:color w:val="000000"/>
          <w:sz w:val="20"/>
          <w:szCs w:val="20"/>
        </w:rPr>
        <w:t xml:space="preserve"> shareholders, customers, colleagues and regulators.</w:t>
      </w:r>
    </w:p>
    <w:p w14:paraId="6E5F7386" w14:textId="77777777" w:rsidR="00D979EF" w:rsidRDefault="00D979EF" w:rsidP="002868C1">
      <w:pPr>
        <w:jc w:val="both"/>
        <w:rPr>
          <w:rStyle w:val="aga"/>
          <w:rFonts w:ascii="Calibri" w:eastAsiaTheme="majorEastAsia" w:hAnsi="Calibri" w:cs="Calibri"/>
          <w:color w:val="000000"/>
          <w:sz w:val="20"/>
          <w:szCs w:val="20"/>
        </w:rPr>
      </w:pPr>
    </w:p>
    <w:p w14:paraId="5EDFCA59" w14:textId="77777777" w:rsidR="00D979EF" w:rsidRDefault="00D979EF" w:rsidP="002868C1">
      <w:pPr>
        <w:jc w:val="both"/>
        <w:rPr>
          <w:rStyle w:val="aga"/>
          <w:rFonts w:ascii="Calibri" w:eastAsiaTheme="majorEastAsia" w:hAnsi="Calibri" w:cs="Calibri"/>
          <w:color w:val="000000"/>
          <w:sz w:val="20"/>
          <w:szCs w:val="20"/>
        </w:rPr>
      </w:pPr>
      <w:r>
        <w:rPr>
          <w:rStyle w:val="aga"/>
          <w:rFonts w:ascii="Calibri" w:eastAsiaTheme="majorEastAsia" w:hAnsi="Calibri" w:cs="Calibri"/>
          <w:color w:val="000000"/>
          <w:sz w:val="20"/>
          <w:szCs w:val="20"/>
        </w:rPr>
        <w:t>Our p</w:t>
      </w:r>
      <w:r w:rsidRPr="00702680">
        <w:rPr>
          <w:rStyle w:val="aga"/>
          <w:rFonts w:ascii="Calibri" w:eastAsiaTheme="majorEastAsia" w:hAnsi="Calibri" w:cs="Calibri"/>
          <w:color w:val="000000"/>
          <w:sz w:val="20"/>
          <w:szCs w:val="20"/>
        </w:rPr>
        <w:t>rincipal risks</w:t>
      </w:r>
      <w:r>
        <w:rPr>
          <w:rStyle w:val="aga"/>
          <w:rFonts w:ascii="Calibri" w:eastAsiaTheme="majorEastAsia" w:hAnsi="Calibri" w:cs="Calibri"/>
          <w:color w:val="000000"/>
          <w:sz w:val="20"/>
          <w:szCs w:val="20"/>
        </w:rPr>
        <w:t xml:space="preserve"> are the risks </w:t>
      </w:r>
      <w:r w:rsidRPr="00702680">
        <w:rPr>
          <w:rStyle w:val="aga"/>
          <w:rFonts w:ascii="Calibri" w:eastAsiaTheme="majorEastAsia" w:hAnsi="Calibri" w:cs="Calibri"/>
          <w:color w:val="000000"/>
          <w:sz w:val="20"/>
          <w:szCs w:val="20"/>
        </w:rPr>
        <w:t xml:space="preserve">most significant to </w:t>
      </w:r>
      <w:r>
        <w:rPr>
          <w:rStyle w:val="aga"/>
          <w:rFonts w:ascii="Calibri" w:eastAsiaTheme="majorEastAsia" w:hAnsi="Calibri" w:cs="Calibri"/>
          <w:color w:val="000000"/>
          <w:sz w:val="20"/>
          <w:szCs w:val="20"/>
        </w:rPr>
        <w:t>the</w:t>
      </w:r>
      <w:r w:rsidRPr="00702680">
        <w:rPr>
          <w:rStyle w:val="aga"/>
          <w:rFonts w:ascii="Calibri" w:eastAsiaTheme="majorEastAsia" w:hAnsi="Calibri" w:cs="Calibri"/>
          <w:color w:val="000000"/>
          <w:sz w:val="20"/>
          <w:szCs w:val="20"/>
        </w:rPr>
        <w:t xml:space="preserve"> Group’s strategy and business model and formally articulated</w:t>
      </w:r>
      <w:r>
        <w:rPr>
          <w:rStyle w:val="aga"/>
          <w:rFonts w:ascii="Calibri" w:eastAsiaTheme="majorEastAsia" w:hAnsi="Calibri" w:cs="Calibri"/>
          <w:color w:val="000000"/>
          <w:sz w:val="20"/>
          <w:szCs w:val="20"/>
        </w:rPr>
        <w:t xml:space="preserve"> within the Group’s Risk Management F</w:t>
      </w:r>
      <w:r w:rsidRPr="00702680">
        <w:rPr>
          <w:rStyle w:val="aga"/>
          <w:rFonts w:ascii="Calibri" w:eastAsiaTheme="majorEastAsia" w:hAnsi="Calibri" w:cs="Calibri"/>
          <w:color w:val="000000"/>
          <w:sz w:val="20"/>
          <w:szCs w:val="20"/>
        </w:rPr>
        <w:t>ramework</w:t>
      </w:r>
      <w:r>
        <w:rPr>
          <w:rStyle w:val="aga"/>
          <w:rFonts w:ascii="Calibri" w:eastAsiaTheme="majorEastAsia" w:hAnsi="Calibri" w:cs="Calibri"/>
          <w:color w:val="000000"/>
          <w:sz w:val="20"/>
          <w:szCs w:val="20"/>
        </w:rPr>
        <w:t xml:space="preserve"> (RMF)</w:t>
      </w:r>
      <w:r w:rsidRPr="00702680">
        <w:rPr>
          <w:rStyle w:val="aga"/>
          <w:rFonts w:ascii="Calibri" w:eastAsiaTheme="majorEastAsia" w:hAnsi="Calibri" w:cs="Calibri"/>
          <w:color w:val="000000"/>
          <w:sz w:val="20"/>
          <w:szCs w:val="20"/>
        </w:rPr>
        <w:t xml:space="preserve">. Principal risk categories and </w:t>
      </w:r>
      <w:r>
        <w:rPr>
          <w:rStyle w:val="aga"/>
          <w:rFonts w:ascii="Calibri" w:eastAsiaTheme="majorEastAsia" w:hAnsi="Calibri" w:cs="Calibri"/>
          <w:color w:val="000000"/>
          <w:sz w:val="20"/>
          <w:szCs w:val="20"/>
        </w:rPr>
        <w:t>their</w:t>
      </w:r>
      <w:r w:rsidRPr="00702680">
        <w:rPr>
          <w:rStyle w:val="aga"/>
          <w:rFonts w:ascii="Calibri" w:eastAsiaTheme="majorEastAsia" w:hAnsi="Calibri" w:cs="Calibri"/>
          <w:color w:val="000000"/>
          <w:sz w:val="20"/>
          <w:szCs w:val="20"/>
        </w:rPr>
        <w:t xml:space="preserve"> </w:t>
      </w:r>
      <w:r>
        <w:rPr>
          <w:rStyle w:val="aga"/>
          <w:rFonts w:ascii="Calibri" w:eastAsiaTheme="majorEastAsia" w:hAnsi="Calibri" w:cs="Calibri"/>
          <w:color w:val="000000"/>
          <w:sz w:val="20"/>
          <w:szCs w:val="20"/>
        </w:rPr>
        <w:t xml:space="preserve">supporting </w:t>
      </w:r>
      <w:r w:rsidRPr="00702680">
        <w:rPr>
          <w:rStyle w:val="aga"/>
          <w:rFonts w:ascii="Calibri" w:eastAsiaTheme="majorEastAsia" w:hAnsi="Calibri" w:cs="Calibri"/>
          <w:color w:val="000000"/>
          <w:sz w:val="20"/>
          <w:szCs w:val="20"/>
        </w:rPr>
        <w:t>risk appetite statements are reviewed and approved by the Board annual</w:t>
      </w:r>
      <w:r>
        <w:rPr>
          <w:rStyle w:val="aga"/>
          <w:rFonts w:ascii="Calibri" w:eastAsiaTheme="majorEastAsia" w:hAnsi="Calibri" w:cs="Calibri"/>
          <w:color w:val="000000"/>
          <w:sz w:val="20"/>
          <w:szCs w:val="20"/>
        </w:rPr>
        <w:t>ly.</w:t>
      </w:r>
      <w:r w:rsidRPr="00702680">
        <w:rPr>
          <w:rStyle w:val="aga"/>
          <w:rFonts w:ascii="Calibri" w:eastAsiaTheme="majorEastAsia" w:hAnsi="Calibri" w:cs="Calibri"/>
          <w:color w:val="000000"/>
          <w:sz w:val="20"/>
          <w:szCs w:val="20"/>
        </w:rPr>
        <w:t xml:space="preserve"> </w:t>
      </w:r>
      <w:r>
        <w:rPr>
          <w:rStyle w:val="aga"/>
          <w:rFonts w:ascii="Calibri" w:eastAsiaTheme="majorEastAsia" w:hAnsi="Calibri" w:cs="Calibri"/>
          <w:color w:val="000000"/>
          <w:sz w:val="20"/>
          <w:szCs w:val="20"/>
        </w:rPr>
        <w:t xml:space="preserve">These </w:t>
      </w:r>
      <w:r w:rsidRPr="00702680">
        <w:rPr>
          <w:rStyle w:val="aga"/>
          <w:rFonts w:ascii="Calibri" w:eastAsiaTheme="majorEastAsia" w:hAnsi="Calibri" w:cs="Calibri"/>
          <w:color w:val="000000"/>
          <w:sz w:val="20"/>
          <w:szCs w:val="20"/>
        </w:rPr>
        <w:t>defin</w:t>
      </w:r>
      <w:r>
        <w:rPr>
          <w:rStyle w:val="aga"/>
          <w:rFonts w:ascii="Calibri" w:eastAsiaTheme="majorEastAsia" w:hAnsi="Calibri" w:cs="Calibri"/>
          <w:color w:val="000000"/>
          <w:sz w:val="20"/>
          <w:szCs w:val="20"/>
        </w:rPr>
        <w:t>e</w:t>
      </w:r>
      <w:r w:rsidRPr="00702680">
        <w:rPr>
          <w:rStyle w:val="aga"/>
          <w:rFonts w:ascii="Calibri" w:eastAsiaTheme="majorEastAsia" w:hAnsi="Calibri" w:cs="Calibri"/>
          <w:color w:val="000000"/>
          <w:sz w:val="20"/>
          <w:szCs w:val="20"/>
        </w:rPr>
        <w:t xml:space="preserve"> the Group’s overall risk appetite and recognising</w:t>
      </w:r>
      <w:r>
        <w:rPr>
          <w:rStyle w:val="aga"/>
          <w:rFonts w:ascii="Calibri" w:eastAsiaTheme="majorEastAsia" w:hAnsi="Calibri" w:cs="Calibri"/>
          <w:color w:val="000000"/>
          <w:sz w:val="20"/>
          <w:szCs w:val="20"/>
        </w:rPr>
        <w:t xml:space="preserve"> changes to our risk profile. H</w:t>
      </w:r>
      <w:r w:rsidRPr="00702680">
        <w:rPr>
          <w:rStyle w:val="aga"/>
          <w:rFonts w:ascii="Calibri" w:eastAsiaTheme="majorEastAsia" w:hAnsi="Calibri" w:cs="Calibri"/>
          <w:color w:val="000000"/>
          <w:sz w:val="20"/>
          <w:szCs w:val="20"/>
        </w:rPr>
        <w:t xml:space="preserve">ow we manage </w:t>
      </w:r>
      <w:r>
        <w:rPr>
          <w:rStyle w:val="aga"/>
          <w:rFonts w:ascii="Calibri" w:eastAsiaTheme="majorEastAsia" w:hAnsi="Calibri" w:cs="Calibri"/>
          <w:color w:val="000000"/>
          <w:sz w:val="20"/>
          <w:szCs w:val="20"/>
        </w:rPr>
        <w:t xml:space="preserve">our principal risks are </w:t>
      </w:r>
      <w:r w:rsidRPr="00702680">
        <w:rPr>
          <w:rStyle w:val="aga"/>
          <w:rFonts w:ascii="Calibri" w:eastAsiaTheme="majorEastAsia" w:hAnsi="Calibri" w:cs="Calibri"/>
          <w:color w:val="000000"/>
          <w:sz w:val="20"/>
          <w:szCs w:val="20"/>
        </w:rPr>
        <w:t>set out below.</w:t>
      </w:r>
    </w:p>
    <w:p w14:paraId="4A629D1C" w14:textId="77777777" w:rsidR="00D979EF" w:rsidRDefault="00D979EF" w:rsidP="00D979EF">
      <w:pPr>
        <w:pStyle w:val="u"/>
        <w:spacing w:before="0" w:beforeAutospacing="0" w:after="0" w:afterAutospacing="0"/>
        <w:rPr>
          <w:rStyle w:val="aga"/>
          <w:rFonts w:ascii="Calibri" w:eastAsiaTheme="majorEastAsia" w:hAnsi="Calibri" w:cs="Calibri"/>
          <w:b/>
          <w:bCs/>
          <w:color w:val="000000"/>
          <w:sz w:val="20"/>
          <w:szCs w:val="20"/>
        </w:rPr>
      </w:pPr>
    </w:p>
    <w:p w14:paraId="0EC047FE" w14:textId="77777777" w:rsidR="00EF0312" w:rsidRDefault="00EF0312" w:rsidP="00D979EF">
      <w:pPr>
        <w:pStyle w:val="u"/>
        <w:spacing w:before="0" w:beforeAutospacing="0" w:after="0" w:afterAutospacing="0"/>
        <w:rPr>
          <w:rStyle w:val="aga"/>
          <w:rFonts w:ascii="Calibri" w:eastAsiaTheme="majorEastAsia" w:hAnsi="Calibri" w:cs="Calibri"/>
          <w:b/>
          <w:bCs/>
          <w:color w:val="000000"/>
          <w:sz w:val="20"/>
          <w:szCs w:val="20"/>
          <w:u w:val="single"/>
        </w:rPr>
      </w:pPr>
    </w:p>
    <w:p w14:paraId="443220C6" w14:textId="121D728D" w:rsidR="00D979EF" w:rsidRPr="000A047C" w:rsidRDefault="00D979EF" w:rsidP="00D979EF">
      <w:pPr>
        <w:pStyle w:val="u"/>
        <w:spacing w:before="0" w:beforeAutospacing="0" w:after="0" w:afterAutospacing="0"/>
        <w:rPr>
          <w:rStyle w:val="aga"/>
          <w:rFonts w:ascii="Calibri" w:eastAsiaTheme="majorEastAsia" w:hAnsi="Calibri" w:cs="Calibri"/>
          <w:b/>
          <w:bCs/>
          <w:color w:val="000000"/>
          <w:sz w:val="20"/>
          <w:szCs w:val="20"/>
          <w:u w:val="single"/>
        </w:rPr>
      </w:pPr>
      <w:r w:rsidRPr="000A047C">
        <w:rPr>
          <w:rStyle w:val="aga"/>
          <w:rFonts w:ascii="Calibri" w:eastAsiaTheme="majorEastAsia" w:hAnsi="Calibri" w:cs="Calibri"/>
          <w:b/>
          <w:bCs/>
          <w:color w:val="000000"/>
          <w:sz w:val="20"/>
          <w:szCs w:val="20"/>
          <w:u w:val="single"/>
        </w:rPr>
        <w:t xml:space="preserve">Risk Pillar 1: Customer and </w:t>
      </w:r>
      <w:r>
        <w:rPr>
          <w:rStyle w:val="aga"/>
          <w:rFonts w:ascii="Calibri" w:eastAsiaTheme="majorEastAsia" w:hAnsi="Calibri" w:cs="Calibri"/>
          <w:b/>
          <w:bCs/>
          <w:color w:val="000000"/>
          <w:sz w:val="20"/>
          <w:szCs w:val="20"/>
          <w:u w:val="single"/>
        </w:rPr>
        <w:t>C</w:t>
      </w:r>
      <w:r w:rsidRPr="000A047C">
        <w:rPr>
          <w:rStyle w:val="aga"/>
          <w:rFonts w:ascii="Calibri" w:eastAsiaTheme="majorEastAsia" w:hAnsi="Calibri" w:cs="Calibri"/>
          <w:b/>
          <w:bCs/>
          <w:color w:val="000000"/>
          <w:sz w:val="20"/>
          <w:szCs w:val="20"/>
          <w:u w:val="single"/>
        </w:rPr>
        <w:t xml:space="preserve">onduct </w:t>
      </w:r>
    </w:p>
    <w:p w14:paraId="52203175" w14:textId="77777777" w:rsidR="00D979EF" w:rsidRDefault="00D979EF" w:rsidP="002868C1">
      <w:pPr>
        <w:pStyle w:val="agf"/>
        <w:spacing w:before="0" w:beforeAutospacing="0" w:after="0" w:afterAutospacing="0"/>
        <w:jc w:val="both"/>
        <w:rPr>
          <w:rFonts w:ascii="Calibri" w:eastAsiaTheme="majorEastAsia" w:hAnsi="Calibri" w:cs="Calibri"/>
          <w:color w:val="000000"/>
          <w:sz w:val="20"/>
          <w:szCs w:val="20"/>
        </w:rPr>
      </w:pPr>
      <w:r w:rsidRPr="004551B4">
        <w:rPr>
          <w:rStyle w:val="aga"/>
          <w:rFonts w:ascii="Calibri" w:eastAsiaTheme="majorEastAsia" w:hAnsi="Calibri" w:cs="Calibri"/>
          <w:b/>
          <w:bCs/>
          <w:color w:val="000000"/>
          <w:sz w:val="20"/>
          <w:szCs w:val="20"/>
        </w:rPr>
        <w:t>P1 – Customer:</w:t>
      </w:r>
      <w:r>
        <w:rPr>
          <w:rStyle w:val="aga"/>
          <w:rFonts w:ascii="Calibri" w:eastAsiaTheme="majorEastAsia" w:hAnsi="Calibri" w:cs="Calibri"/>
          <w:color w:val="000000"/>
          <w:sz w:val="20"/>
          <w:szCs w:val="20"/>
        </w:rPr>
        <w:t xml:space="preserve"> </w:t>
      </w:r>
      <w:r>
        <w:rPr>
          <w:rFonts w:ascii="Calibri" w:eastAsiaTheme="majorEastAsia" w:hAnsi="Calibri" w:cs="Calibri"/>
          <w:color w:val="000000"/>
          <w:sz w:val="20"/>
          <w:szCs w:val="20"/>
        </w:rPr>
        <w:t>R</w:t>
      </w:r>
      <w:r w:rsidRPr="00A01ACD">
        <w:rPr>
          <w:rFonts w:ascii="Calibri" w:eastAsiaTheme="majorEastAsia" w:hAnsi="Calibri" w:cs="Calibri"/>
          <w:color w:val="000000"/>
          <w:sz w:val="20"/>
          <w:szCs w:val="20"/>
        </w:rPr>
        <w:t>obust practices to support responsible lending for borrowers under financial pressure and provide appropriate solutions to meet our customers’ needs</w:t>
      </w:r>
      <w:r>
        <w:rPr>
          <w:rFonts w:ascii="Calibri" w:eastAsiaTheme="majorEastAsia" w:hAnsi="Calibri" w:cs="Calibri"/>
          <w:color w:val="000000"/>
          <w:sz w:val="20"/>
          <w:szCs w:val="20"/>
        </w:rPr>
        <w:t xml:space="preserve"> are in place</w:t>
      </w:r>
      <w:r w:rsidRPr="00A01ACD">
        <w:rPr>
          <w:rFonts w:ascii="Calibri" w:eastAsiaTheme="majorEastAsia" w:hAnsi="Calibri" w:cs="Calibri"/>
          <w:color w:val="000000"/>
          <w:sz w:val="20"/>
          <w:szCs w:val="20"/>
        </w:rPr>
        <w:t xml:space="preserve">. We continually seek improvement to our product governance processes and customer outcome monitoring activity </w:t>
      </w:r>
      <w:r>
        <w:rPr>
          <w:rFonts w:ascii="Calibri" w:eastAsiaTheme="majorEastAsia" w:hAnsi="Calibri" w:cs="Calibri"/>
          <w:color w:val="000000"/>
          <w:sz w:val="20"/>
          <w:szCs w:val="20"/>
        </w:rPr>
        <w:t xml:space="preserve">through the </w:t>
      </w:r>
      <w:r w:rsidRPr="003B2B75">
        <w:rPr>
          <w:rFonts w:ascii="Calibri" w:eastAsiaTheme="majorEastAsia" w:hAnsi="Calibri" w:cs="Calibri"/>
          <w:color w:val="000000"/>
          <w:sz w:val="20"/>
          <w:szCs w:val="20"/>
        </w:rPr>
        <w:t>Board-approved conduct risk framewor</w:t>
      </w:r>
      <w:r>
        <w:rPr>
          <w:rFonts w:ascii="Calibri" w:eastAsiaTheme="majorEastAsia" w:hAnsi="Calibri" w:cs="Calibri"/>
          <w:color w:val="000000"/>
          <w:sz w:val="20"/>
          <w:szCs w:val="20"/>
        </w:rPr>
        <w:t xml:space="preserve">k.  </w:t>
      </w:r>
      <w:r>
        <w:rPr>
          <w:rFonts w:ascii="Calibri" w:hAnsi="Calibri" w:cs="Calibri"/>
          <w:sz w:val="20"/>
          <w:szCs w:val="20"/>
        </w:rPr>
        <w:t xml:space="preserve">We met our Consumer Duty Day Two requirements and now focus on </w:t>
      </w:r>
      <w:r>
        <w:rPr>
          <w:rFonts w:ascii="Calibri" w:eastAsiaTheme="majorEastAsia" w:hAnsi="Calibri" w:cs="Calibri"/>
          <w:color w:val="000000"/>
          <w:sz w:val="20"/>
          <w:szCs w:val="20"/>
        </w:rPr>
        <w:t>continuing to embed it and enhance our governance and accountability.</w:t>
      </w:r>
    </w:p>
    <w:p w14:paraId="38163410" w14:textId="77777777" w:rsidR="00D979EF" w:rsidRDefault="00D979EF" w:rsidP="002868C1">
      <w:pPr>
        <w:jc w:val="both"/>
        <w:rPr>
          <w:rStyle w:val="aga"/>
          <w:rFonts w:ascii="Calibri" w:eastAsiaTheme="majorEastAsia" w:hAnsi="Calibri" w:cs="Calibri"/>
          <w:b/>
          <w:bCs/>
          <w:color w:val="000000"/>
          <w:sz w:val="20"/>
          <w:szCs w:val="20"/>
        </w:rPr>
      </w:pPr>
    </w:p>
    <w:p w14:paraId="46D82C7E" w14:textId="77777777" w:rsidR="00D979EF" w:rsidRDefault="00D979EF" w:rsidP="002868C1">
      <w:pPr>
        <w:jc w:val="both"/>
        <w:rPr>
          <w:rFonts w:ascii="Calibri" w:eastAsiaTheme="majorEastAsia" w:hAnsi="Calibri" w:cs="Calibri"/>
          <w:color w:val="000000"/>
          <w:sz w:val="20"/>
          <w:szCs w:val="20"/>
        </w:rPr>
      </w:pPr>
      <w:r w:rsidRPr="004551B4">
        <w:rPr>
          <w:rStyle w:val="aga"/>
          <w:rFonts w:ascii="Calibri" w:eastAsiaTheme="majorEastAsia" w:hAnsi="Calibri" w:cs="Calibri"/>
          <w:b/>
          <w:bCs/>
          <w:color w:val="000000"/>
          <w:sz w:val="20"/>
          <w:szCs w:val="20"/>
        </w:rPr>
        <w:t>P2 – Regulatory:</w:t>
      </w:r>
      <w:r>
        <w:rPr>
          <w:rFonts w:ascii="Calibri" w:eastAsiaTheme="majorEastAsia" w:hAnsi="Calibri" w:cs="Calibri"/>
          <w:color w:val="000000"/>
          <w:sz w:val="20"/>
          <w:szCs w:val="20"/>
        </w:rPr>
        <w:t xml:space="preserve"> A</w:t>
      </w:r>
      <w:r w:rsidRPr="007D0E61">
        <w:rPr>
          <w:rFonts w:ascii="Calibri" w:eastAsiaTheme="majorEastAsia" w:hAnsi="Calibri" w:cs="Calibri"/>
          <w:color w:val="000000"/>
          <w:sz w:val="20"/>
          <w:szCs w:val="20"/>
        </w:rPr>
        <w:t xml:space="preserve">s a dual regulated firm, we need to adapt to the regulatory environment as it continues to develop to ensure our lending is sustainable, suitable and affordable. </w:t>
      </w:r>
      <w:r>
        <w:rPr>
          <w:rFonts w:ascii="Calibri" w:eastAsiaTheme="majorEastAsia" w:hAnsi="Calibri" w:cs="Calibri"/>
          <w:color w:val="000000"/>
          <w:sz w:val="20"/>
          <w:szCs w:val="20"/>
        </w:rPr>
        <w:t xml:space="preserve"> We regularly undertake horizon scanning to keep abreast of new regulation and </w:t>
      </w:r>
      <w:r>
        <w:rPr>
          <w:rStyle w:val="cf01"/>
          <w:rFonts w:eastAsiaTheme="majorEastAsia"/>
        </w:rPr>
        <w:t>assess the impact to the business and delivery to plan.</w:t>
      </w:r>
      <w:r>
        <w:rPr>
          <w:rFonts w:ascii="Calibri" w:eastAsiaTheme="majorEastAsia" w:hAnsi="Calibri" w:cs="Calibri"/>
          <w:color w:val="000000"/>
          <w:sz w:val="20"/>
          <w:szCs w:val="20"/>
        </w:rPr>
        <w:t xml:space="preserve">  SMCR responsibilities are aligned to the RMF </w:t>
      </w:r>
      <w:r w:rsidRPr="008E5762">
        <w:rPr>
          <w:rFonts w:ascii="Calibri" w:eastAsiaTheme="majorEastAsia" w:hAnsi="Calibri" w:cs="Calibri"/>
          <w:color w:val="000000"/>
          <w:sz w:val="20"/>
          <w:szCs w:val="20"/>
        </w:rPr>
        <w:t>and Group Delegated Authorities Manual (GDAM)</w:t>
      </w:r>
      <w:r>
        <w:rPr>
          <w:rFonts w:ascii="Calibri" w:eastAsiaTheme="majorEastAsia" w:hAnsi="Calibri" w:cs="Calibri"/>
          <w:color w:val="000000"/>
          <w:sz w:val="20"/>
          <w:szCs w:val="20"/>
        </w:rPr>
        <w:t xml:space="preserve">. Each SMF has clear ownership of the processes, risks and controls they are accountable for, which are recorded within </w:t>
      </w:r>
      <w:r w:rsidRPr="008F04BF">
        <w:rPr>
          <w:rFonts w:ascii="Calibri" w:eastAsiaTheme="majorEastAsia" w:hAnsi="Calibri" w:cs="Calibri"/>
          <w:color w:val="000000"/>
          <w:sz w:val="20"/>
          <w:szCs w:val="20"/>
        </w:rPr>
        <w:t xml:space="preserve">the </w:t>
      </w:r>
      <w:r>
        <w:rPr>
          <w:rFonts w:ascii="Calibri" w:eastAsiaTheme="majorEastAsia" w:hAnsi="Calibri" w:cs="Calibri"/>
          <w:color w:val="000000"/>
          <w:sz w:val="20"/>
          <w:szCs w:val="20"/>
        </w:rPr>
        <w:t xml:space="preserve">Group’s </w:t>
      </w:r>
      <w:r w:rsidRPr="00445A1B">
        <w:rPr>
          <w:rFonts w:ascii="Calibri" w:eastAsiaTheme="majorEastAsia" w:hAnsi="Calibri" w:cs="Calibri"/>
          <w:color w:val="000000"/>
          <w:sz w:val="20"/>
          <w:szCs w:val="20"/>
        </w:rPr>
        <w:t>integrated</w:t>
      </w:r>
      <w:r w:rsidRPr="008F04BF" w:rsidDel="00344B12">
        <w:rPr>
          <w:rFonts w:ascii="Calibri" w:eastAsiaTheme="majorEastAsia" w:hAnsi="Calibri" w:cs="Calibri"/>
          <w:color w:val="000000"/>
          <w:sz w:val="20"/>
          <w:szCs w:val="20"/>
        </w:rPr>
        <w:t xml:space="preserve"> </w:t>
      </w:r>
      <w:r w:rsidRPr="008F04BF">
        <w:rPr>
          <w:rFonts w:ascii="Calibri" w:eastAsiaTheme="majorEastAsia" w:hAnsi="Calibri" w:cs="Calibri"/>
          <w:color w:val="000000"/>
          <w:sz w:val="20"/>
          <w:szCs w:val="20"/>
        </w:rPr>
        <w:t>risk management system</w:t>
      </w:r>
      <w:r>
        <w:rPr>
          <w:rFonts w:ascii="Calibri" w:eastAsiaTheme="majorEastAsia" w:hAnsi="Calibri" w:cs="Calibri"/>
          <w:color w:val="000000"/>
          <w:sz w:val="20"/>
          <w:szCs w:val="20"/>
        </w:rPr>
        <w:t>, Riskonnect</w:t>
      </w:r>
      <w:r w:rsidRPr="008F04BF">
        <w:rPr>
          <w:rFonts w:ascii="Calibri" w:eastAsiaTheme="majorEastAsia" w:hAnsi="Calibri" w:cs="Calibri"/>
          <w:color w:val="000000"/>
          <w:sz w:val="20"/>
          <w:szCs w:val="20"/>
        </w:rPr>
        <w:t>.</w:t>
      </w:r>
    </w:p>
    <w:p w14:paraId="6E2FC014" w14:textId="77777777" w:rsidR="00D979EF" w:rsidRDefault="00D979EF" w:rsidP="002868C1">
      <w:pPr>
        <w:jc w:val="both"/>
        <w:rPr>
          <w:rFonts w:ascii="Calibri" w:eastAsiaTheme="majorEastAsia" w:hAnsi="Calibri" w:cs="Calibri"/>
          <w:color w:val="000000"/>
          <w:sz w:val="20"/>
          <w:szCs w:val="20"/>
        </w:rPr>
      </w:pPr>
    </w:p>
    <w:p w14:paraId="38E8A518" w14:textId="77777777" w:rsidR="00D979EF" w:rsidRDefault="00D979EF" w:rsidP="002868C1">
      <w:pPr>
        <w:jc w:val="both"/>
        <w:rPr>
          <w:rFonts w:ascii="Calibri" w:eastAsiaTheme="majorEastAsia" w:hAnsi="Calibri" w:cs="Calibri"/>
          <w:color w:val="000000"/>
          <w:sz w:val="20"/>
          <w:szCs w:val="20"/>
        </w:rPr>
      </w:pPr>
      <w:r w:rsidRPr="004551B4">
        <w:rPr>
          <w:rStyle w:val="aga"/>
          <w:rFonts w:ascii="Calibri" w:eastAsiaTheme="majorEastAsia" w:hAnsi="Calibri" w:cs="Calibri"/>
          <w:b/>
          <w:bCs/>
          <w:color w:val="000000"/>
          <w:sz w:val="20"/>
          <w:szCs w:val="20"/>
        </w:rPr>
        <w:t>P3 – Financial Crime:</w:t>
      </w:r>
      <w:r>
        <w:rPr>
          <w:rStyle w:val="aga"/>
          <w:rFonts w:ascii="Calibri" w:eastAsiaTheme="majorEastAsia" w:hAnsi="Calibri" w:cs="Calibri"/>
          <w:color w:val="000000"/>
          <w:sz w:val="20"/>
          <w:szCs w:val="20"/>
        </w:rPr>
        <w:t xml:space="preserve"> </w:t>
      </w:r>
      <w:r>
        <w:rPr>
          <w:rFonts w:ascii="Calibri" w:eastAsiaTheme="majorEastAsia" w:hAnsi="Calibri" w:cs="Calibri"/>
          <w:color w:val="000000"/>
          <w:sz w:val="20"/>
          <w:szCs w:val="20"/>
        </w:rPr>
        <w:t>I</w:t>
      </w:r>
      <w:r w:rsidRPr="00987569">
        <w:rPr>
          <w:rFonts w:ascii="Calibri" w:eastAsiaTheme="majorEastAsia" w:hAnsi="Calibri" w:cs="Calibri"/>
          <w:color w:val="000000"/>
          <w:sz w:val="20"/>
          <w:szCs w:val="20"/>
        </w:rPr>
        <w:t>ndustry-standard prevention and detection systems are in place covering fraudulent transactions, suspicious activity, customer screening and application fraud. These are regularly reviewed and refined to ensure effectiveness.</w:t>
      </w:r>
      <w:r>
        <w:rPr>
          <w:rFonts w:ascii="Calibri" w:eastAsiaTheme="majorEastAsia" w:hAnsi="Calibri" w:cs="Calibri"/>
          <w:color w:val="000000"/>
          <w:sz w:val="20"/>
          <w:szCs w:val="20"/>
        </w:rPr>
        <w:t xml:space="preserve">  A </w:t>
      </w:r>
      <w:r w:rsidRPr="000E6B6D">
        <w:rPr>
          <w:rFonts w:ascii="Calibri" w:eastAsiaTheme="majorEastAsia" w:hAnsi="Calibri" w:cs="Calibri"/>
          <w:color w:val="000000"/>
          <w:sz w:val="20"/>
          <w:szCs w:val="20"/>
        </w:rPr>
        <w:t>detailed business-wide financial crime risk assessment is in place to measure financial crime risk consistently and effectively</w:t>
      </w:r>
      <w:r>
        <w:rPr>
          <w:rFonts w:ascii="Calibri" w:eastAsiaTheme="majorEastAsia" w:hAnsi="Calibri" w:cs="Calibri"/>
          <w:color w:val="000000"/>
          <w:sz w:val="20"/>
          <w:szCs w:val="20"/>
        </w:rPr>
        <w:t xml:space="preserve"> across all new and existing products.  </w:t>
      </w:r>
      <w:r w:rsidRPr="00305D5C">
        <w:rPr>
          <w:rFonts w:ascii="Calibri" w:eastAsiaTheme="majorEastAsia" w:hAnsi="Calibri" w:cs="Calibri"/>
          <w:color w:val="000000"/>
          <w:sz w:val="20"/>
          <w:szCs w:val="20"/>
        </w:rPr>
        <w:t>The Financial Crime Risk Forum provides oversight and challenge on the Group’s financial crime risk systems and controls. The Group MLRO provides twice-annual updates to the</w:t>
      </w:r>
      <w:r>
        <w:rPr>
          <w:rFonts w:ascii="Calibri" w:eastAsiaTheme="majorEastAsia" w:hAnsi="Calibri" w:cs="Calibri"/>
          <w:color w:val="000000"/>
          <w:sz w:val="20"/>
          <w:szCs w:val="20"/>
        </w:rPr>
        <w:t xml:space="preserve"> </w:t>
      </w:r>
      <w:r w:rsidRPr="00305D5C">
        <w:rPr>
          <w:rFonts w:ascii="Calibri" w:eastAsiaTheme="majorEastAsia" w:hAnsi="Calibri" w:cs="Calibri"/>
          <w:color w:val="000000"/>
          <w:sz w:val="20"/>
          <w:szCs w:val="20"/>
        </w:rPr>
        <w:t>Risk Committee</w:t>
      </w:r>
      <w:r>
        <w:rPr>
          <w:rFonts w:ascii="Calibri" w:eastAsiaTheme="majorEastAsia" w:hAnsi="Calibri" w:cs="Calibri"/>
          <w:color w:val="000000"/>
          <w:sz w:val="20"/>
          <w:szCs w:val="20"/>
        </w:rPr>
        <w:t>.</w:t>
      </w:r>
    </w:p>
    <w:p w14:paraId="6E41632B" w14:textId="77777777" w:rsidR="00D979EF" w:rsidRPr="00701439" w:rsidRDefault="00D979EF" w:rsidP="00E534C5">
      <w:pPr>
        <w:pStyle w:val="NoSpacing"/>
        <w:jc w:val="both"/>
        <w:rPr>
          <w:b/>
          <w:color w:val="4747FF"/>
        </w:rPr>
      </w:pPr>
    </w:p>
    <w:p w14:paraId="6D730C62" w14:textId="77777777" w:rsidR="00600DB8" w:rsidRPr="000A047C" w:rsidRDefault="00600DB8" w:rsidP="002868C1">
      <w:pPr>
        <w:pStyle w:val="u"/>
        <w:spacing w:before="0" w:beforeAutospacing="0" w:after="0" w:afterAutospacing="0"/>
        <w:jc w:val="both"/>
        <w:rPr>
          <w:rStyle w:val="aga"/>
          <w:rFonts w:ascii="Calibri" w:eastAsiaTheme="majorEastAsia" w:hAnsi="Calibri" w:cs="Calibri"/>
          <w:b/>
          <w:bCs/>
          <w:color w:val="000000"/>
          <w:sz w:val="20"/>
          <w:szCs w:val="20"/>
          <w:u w:val="single"/>
        </w:rPr>
      </w:pPr>
      <w:r w:rsidRPr="000A047C">
        <w:rPr>
          <w:rStyle w:val="aga"/>
          <w:rFonts w:ascii="Calibri" w:eastAsiaTheme="majorEastAsia" w:hAnsi="Calibri" w:cs="Calibri"/>
          <w:b/>
          <w:bCs/>
          <w:color w:val="000000"/>
          <w:sz w:val="20"/>
          <w:szCs w:val="20"/>
          <w:u w:val="single"/>
        </w:rPr>
        <w:t>Risk Pillar 2: Financial</w:t>
      </w:r>
    </w:p>
    <w:p w14:paraId="5EA2C58B" w14:textId="77777777" w:rsidR="00CD4A35" w:rsidRPr="000A047C" w:rsidRDefault="00CD4A35" w:rsidP="002868C1">
      <w:pPr>
        <w:pStyle w:val="u"/>
        <w:spacing w:before="0" w:beforeAutospacing="0" w:after="0" w:afterAutospacing="0"/>
        <w:jc w:val="both"/>
        <w:rPr>
          <w:rStyle w:val="aga"/>
          <w:rFonts w:ascii="Calibri" w:eastAsiaTheme="majorEastAsia" w:hAnsi="Calibri" w:cs="Calibri"/>
          <w:b/>
          <w:bCs/>
          <w:color w:val="000000"/>
          <w:sz w:val="20"/>
          <w:szCs w:val="20"/>
          <w:u w:val="single"/>
        </w:rPr>
      </w:pPr>
    </w:p>
    <w:p w14:paraId="71AF0F2C" w14:textId="41CCC0D0" w:rsidR="00600DB8" w:rsidRDefault="00600DB8" w:rsidP="002868C1">
      <w:pPr>
        <w:jc w:val="both"/>
        <w:rPr>
          <w:rStyle w:val="aga"/>
          <w:rFonts w:ascii="Calibri" w:eastAsiaTheme="majorEastAsia" w:hAnsi="Calibri" w:cs="Calibri"/>
          <w:color w:val="000000"/>
          <w:sz w:val="20"/>
          <w:szCs w:val="20"/>
        </w:rPr>
      </w:pPr>
      <w:r w:rsidRPr="004551B4">
        <w:rPr>
          <w:rStyle w:val="aga"/>
          <w:rFonts w:ascii="Calibri" w:eastAsiaTheme="majorEastAsia" w:hAnsi="Calibri" w:cs="Calibri"/>
          <w:b/>
          <w:bCs/>
          <w:color w:val="000000"/>
          <w:sz w:val="20"/>
          <w:szCs w:val="20"/>
        </w:rPr>
        <w:t>P4 – Capital:</w:t>
      </w:r>
      <w:bookmarkStart w:id="8" w:name="_Hlk172636802"/>
      <w:r>
        <w:rPr>
          <w:rStyle w:val="aga"/>
          <w:rFonts w:ascii="Calibri" w:eastAsiaTheme="majorEastAsia" w:hAnsi="Calibri" w:cs="Calibri"/>
          <w:color w:val="000000"/>
          <w:sz w:val="20"/>
          <w:szCs w:val="20"/>
        </w:rPr>
        <w:t xml:space="preserve"> </w:t>
      </w:r>
      <w:r w:rsidRPr="00672897">
        <w:rPr>
          <w:rStyle w:val="aga"/>
          <w:rFonts w:ascii="Calibri" w:eastAsiaTheme="majorEastAsia" w:hAnsi="Calibri" w:cs="Calibri"/>
          <w:color w:val="000000"/>
          <w:sz w:val="20"/>
          <w:szCs w:val="20"/>
        </w:rPr>
        <w:t xml:space="preserve">The Group and Bank operate within a defined capital risk appetite, with thresholds reported to and monitored by the Board, Risk Committee and Assets and Liabilities Committee (ALCO).  On 16 July, the Group announced that following a comprehensive review of </w:t>
      </w:r>
      <w:r>
        <w:rPr>
          <w:rStyle w:val="aga"/>
          <w:rFonts w:ascii="Calibri" w:eastAsiaTheme="majorEastAsia" w:hAnsi="Calibri" w:cs="Calibri"/>
          <w:color w:val="000000"/>
          <w:sz w:val="20"/>
          <w:szCs w:val="20"/>
        </w:rPr>
        <w:t>it</w:t>
      </w:r>
      <w:r w:rsidRPr="00672897">
        <w:rPr>
          <w:rStyle w:val="aga"/>
          <w:rFonts w:ascii="Calibri" w:eastAsiaTheme="majorEastAsia" w:hAnsi="Calibri" w:cs="Calibri"/>
          <w:color w:val="000000"/>
          <w:sz w:val="20"/>
          <w:szCs w:val="20"/>
        </w:rPr>
        <w:t>s balance sheet, several one-off revaluations</w:t>
      </w:r>
      <w:r>
        <w:rPr>
          <w:rStyle w:val="aga"/>
          <w:rFonts w:ascii="Calibri" w:eastAsiaTheme="majorEastAsia" w:hAnsi="Calibri" w:cs="Calibri"/>
          <w:color w:val="000000"/>
          <w:sz w:val="20"/>
          <w:szCs w:val="20"/>
        </w:rPr>
        <w:t xml:space="preserve"> totalling </w:t>
      </w:r>
      <w:r w:rsidR="0063006C">
        <w:rPr>
          <w:rStyle w:val="aga"/>
          <w:rFonts w:ascii="Calibri" w:eastAsiaTheme="majorEastAsia" w:hAnsi="Calibri" w:cs="Calibri"/>
          <w:color w:val="000000"/>
          <w:sz w:val="20"/>
          <w:szCs w:val="20"/>
        </w:rPr>
        <w:t>c.</w:t>
      </w:r>
      <w:r>
        <w:rPr>
          <w:rStyle w:val="aga"/>
          <w:rFonts w:ascii="Calibri" w:eastAsiaTheme="majorEastAsia" w:hAnsi="Calibri" w:cs="Calibri"/>
          <w:color w:val="000000"/>
          <w:sz w:val="20"/>
          <w:szCs w:val="20"/>
        </w:rPr>
        <w:t>£40m</w:t>
      </w:r>
      <w:r w:rsidRPr="00672897">
        <w:rPr>
          <w:rStyle w:val="aga"/>
          <w:rFonts w:ascii="Calibri" w:eastAsiaTheme="majorEastAsia" w:hAnsi="Calibri" w:cs="Calibri"/>
          <w:color w:val="000000"/>
          <w:sz w:val="20"/>
          <w:szCs w:val="20"/>
        </w:rPr>
        <w:t xml:space="preserve"> have been made</w:t>
      </w:r>
      <w:r>
        <w:rPr>
          <w:rStyle w:val="aga"/>
          <w:rFonts w:ascii="Calibri" w:eastAsiaTheme="majorEastAsia" w:hAnsi="Calibri" w:cs="Calibri"/>
          <w:color w:val="000000"/>
          <w:sz w:val="20"/>
          <w:szCs w:val="20"/>
        </w:rPr>
        <w:t>.  This resulted</w:t>
      </w:r>
      <w:r w:rsidRPr="00672897">
        <w:rPr>
          <w:rStyle w:val="aga"/>
          <w:rFonts w:ascii="Calibri" w:eastAsiaTheme="majorEastAsia" w:hAnsi="Calibri" w:cs="Calibri"/>
          <w:color w:val="000000"/>
          <w:sz w:val="20"/>
          <w:szCs w:val="20"/>
        </w:rPr>
        <w:t xml:space="preserve"> in the Group’s Tier 1 ratio reducing to 19.</w:t>
      </w:r>
      <w:r>
        <w:rPr>
          <w:rStyle w:val="aga"/>
          <w:rFonts w:ascii="Calibri" w:eastAsiaTheme="majorEastAsia" w:hAnsi="Calibri" w:cs="Calibri"/>
          <w:color w:val="000000"/>
          <w:sz w:val="20"/>
          <w:szCs w:val="20"/>
        </w:rPr>
        <w:t>8</w:t>
      </w:r>
      <w:r w:rsidRPr="00672897">
        <w:rPr>
          <w:rStyle w:val="aga"/>
          <w:rFonts w:ascii="Calibri" w:eastAsiaTheme="majorEastAsia" w:hAnsi="Calibri" w:cs="Calibri"/>
          <w:color w:val="000000"/>
          <w:sz w:val="20"/>
          <w:szCs w:val="20"/>
        </w:rPr>
        <w:t>% as at the 30 June</w:t>
      </w:r>
      <w:r w:rsidRPr="004544D1">
        <w:rPr>
          <w:rStyle w:val="aga"/>
          <w:rFonts w:ascii="Calibri" w:eastAsiaTheme="majorEastAsia" w:hAnsi="Calibri" w:cs="Calibri"/>
          <w:color w:val="000000"/>
          <w:sz w:val="20"/>
          <w:szCs w:val="20"/>
        </w:rPr>
        <w:t>.</w:t>
      </w:r>
      <w:r>
        <w:rPr>
          <w:rStyle w:val="aga"/>
          <w:rFonts w:ascii="Calibri" w:eastAsiaTheme="majorEastAsia" w:hAnsi="Calibri" w:cs="Calibri"/>
          <w:color w:val="000000"/>
          <w:sz w:val="20"/>
          <w:szCs w:val="20"/>
        </w:rPr>
        <w:t xml:space="preserve"> </w:t>
      </w:r>
      <w:r w:rsidRPr="004544D1">
        <w:rPr>
          <w:rStyle w:val="aga"/>
          <w:rFonts w:ascii="Calibri" w:eastAsiaTheme="majorEastAsia" w:hAnsi="Calibri" w:cs="Calibri"/>
          <w:color w:val="000000"/>
          <w:sz w:val="20"/>
          <w:szCs w:val="20"/>
        </w:rPr>
        <w:t xml:space="preserve"> </w:t>
      </w:r>
      <w:r w:rsidRPr="00672897">
        <w:rPr>
          <w:rStyle w:val="aga"/>
          <w:rFonts w:ascii="Calibri" w:eastAsiaTheme="majorEastAsia" w:hAnsi="Calibri" w:cs="Calibri"/>
          <w:color w:val="000000"/>
          <w:sz w:val="20"/>
          <w:szCs w:val="20"/>
        </w:rPr>
        <w:t xml:space="preserve">The Group is currently reforecasting to assess the impact on </w:t>
      </w:r>
      <w:r>
        <w:rPr>
          <w:rStyle w:val="aga"/>
          <w:rFonts w:ascii="Calibri" w:eastAsiaTheme="majorEastAsia" w:hAnsi="Calibri" w:cs="Calibri"/>
          <w:color w:val="000000"/>
          <w:sz w:val="20"/>
          <w:szCs w:val="20"/>
        </w:rPr>
        <w:t>its</w:t>
      </w:r>
      <w:r w:rsidRPr="00672897">
        <w:rPr>
          <w:rStyle w:val="aga"/>
          <w:rFonts w:ascii="Calibri" w:eastAsiaTheme="majorEastAsia" w:hAnsi="Calibri" w:cs="Calibri"/>
          <w:color w:val="000000"/>
          <w:sz w:val="20"/>
          <w:szCs w:val="20"/>
        </w:rPr>
        <w:t xml:space="preserve"> strategy and considering appropriate mitigati</w:t>
      </w:r>
      <w:r>
        <w:rPr>
          <w:rStyle w:val="aga"/>
          <w:rFonts w:ascii="Calibri" w:eastAsiaTheme="majorEastAsia" w:hAnsi="Calibri" w:cs="Calibri"/>
          <w:color w:val="000000"/>
          <w:sz w:val="20"/>
          <w:szCs w:val="20"/>
        </w:rPr>
        <w:t>ng</w:t>
      </w:r>
      <w:r w:rsidRPr="00672897">
        <w:rPr>
          <w:rStyle w:val="aga"/>
          <w:rFonts w:ascii="Calibri" w:eastAsiaTheme="majorEastAsia" w:hAnsi="Calibri" w:cs="Calibri"/>
          <w:color w:val="000000"/>
          <w:sz w:val="20"/>
          <w:szCs w:val="20"/>
        </w:rPr>
        <w:t xml:space="preserve"> action</w:t>
      </w:r>
      <w:r>
        <w:rPr>
          <w:rStyle w:val="aga"/>
          <w:rFonts w:ascii="Calibri" w:eastAsiaTheme="majorEastAsia" w:hAnsi="Calibri" w:cs="Calibri"/>
          <w:color w:val="000000"/>
          <w:sz w:val="20"/>
          <w:szCs w:val="20"/>
        </w:rPr>
        <w:t>s to ensure</w:t>
      </w:r>
      <w:r w:rsidRPr="00672897">
        <w:rPr>
          <w:rStyle w:val="aga"/>
          <w:rFonts w:ascii="Calibri" w:eastAsiaTheme="majorEastAsia" w:hAnsi="Calibri" w:cs="Calibri"/>
          <w:color w:val="000000"/>
          <w:sz w:val="20"/>
          <w:szCs w:val="20"/>
        </w:rPr>
        <w:t xml:space="preserve"> capital is utilised in the most efficient and effective way.  </w:t>
      </w:r>
    </w:p>
    <w:p w14:paraId="63E609B0" w14:textId="77777777" w:rsidR="00600DB8" w:rsidRDefault="00600DB8" w:rsidP="002868C1">
      <w:pPr>
        <w:jc w:val="both"/>
        <w:rPr>
          <w:rStyle w:val="aga"/>
          <w:rFonts w:ascii="Calibri" w:eastAsiaTheme="majorEastAsia" w:hAnsi="Calibri" w:cs="Calibri"/>
          <w:color w:val="000000"/>
          <w:sz w:val="20"/>
          <w:szCs w:val="20"/>
        </w:rPr>
      </w:pPr>
    </w:p>
    <w:p w14:paraId="0B0E84C6" w14:textId="77777777" w:rsidR="00600DB8" w:rsidRDefault="00600DB8" w:rsidP="002868C1">
      <w:pPr>
        <w:jc w:val="both"/>
        <w:rPr>
          <w:rStyle w:val="aga"/>
          <w:rFonts w:ascii="Calibri" w:eastAsiaTheme="majorEastAsia" w:hAnsi="Calibri" w:cs="Calibri"/>
          <w:color w:val="000000"/>
          <w:sz w:val="20"/>
          <w:szCs w:val="20"/>
        </w:rPr>
      </w:pPr>
      <w:r w:rsidRPr="003A3ABE">
        <w:rPr>
          <w:rStyle w:val="aga"/>
          <w:rFonts w:ascii="Calibri" w:eastAsiaTheme="majorEastAsia" w:hAnsi="Calibri" w:cs="Calibri"/>
          <w:color w:val="000000"/>
          <w:sz w:val="20"/>
          <w:szCs w:val="20"/>
        </w:rPr>
        <w:lastRenderedPageBreak/>
        <w:t>The capital framework is reviewed</w:t>
      </w:r>
      <w:r>
        <w:rPr>
          <w:rStyle w:val="aga"/>
          <w:rFonts w:ascii="Calibri" w:eastAsiaTheme="majorEastAsia" w:hAnsi="Calibri" w:cs="Calibri"/>
          <w:color w:val="000000"/>
          <w:sz w:val="20"/>
          <w:szCs w:val="20"/>
        </w:rPr>
        <w:t xml:space="preserve"> </w:t>
      </w:r>
      <w:r w:rsidRPr="003A3ABE">
        <w:rPr>
          <w:rStyle w:val="aga"/>
          <w:rFonts w:ascii="Calibri" w:eastAsiaTheme="majorEastAsia" w:hAnsi="Calibri" w:cs="Calibri"/>
          <w:color w:val="000000"/>
          <w:sz w:val="20"/>
          <w:szCs w:val="20"/>
        </w:rPr>
        <w:t>by the Board as part of the annual</w:t>
      </w:r>
      <w:r>
        <w:rPr>
          <w:rStyle w:val="aga"/>
          <w:rFonts w:ascii="Calibri" w:eastAsiaTheme="majorEastAsia" w:hAnsi="Calibri" w:cs="Calibri"/>
          <w:color w:val="000000"/>
          <w:sz w:val="20"/>
          <w:szCs w:val="20"/>
        </w:rPr>
        <w:t xml:space="preserve"> </w:t>
      </w:r>
      <w:r w:rsidRPr="003A3ABE">
        <w:rPr>
          <w:rStyle w:val="aga"/>
          <w:rFonts w:ascii="Calibri" w:eastAsiaTheme="majorEastAsia" w:hAnsi="Calibri" w:cs="Calibri"/>
          <w:color w:val="000000"/>
          <w:sz w:val="20"/>
          <w:szCs w:val="20"/>
        </w:rPr>
        <w:t>ICAAP.</w:t>
      </w:r>
      <w:r>
        <w:rPr>
          <w:rStyle w:val="aga"/>
          <w:rFonts w:ascii="Calibri" w:eastAsiaTheme="majorEastAsia" w:hAnsi="Calibri" w:cs="Calibri"/>
          <w:color w:val="000000"/>
          <w:sz w:val="20"/>
          <w:szCs w:val="20"/>
        </w:rPr>
        <w:t xml:space="preserve"> </w:t>
      </w:r>
      <w:r>
        <w:t xml:space="preserve"> </w:t>
      </w:r>
      <w:r w:rsidRPr="004631CA">
        <w:rPr>
          <w:rStyle w:val="aga"/>
          <w:rFonts w:ascii="Calibri" w:eastAsiaTheme="majorEastAsia" w:hAnsi="Calibri" w:cs="Calibri"/>
          <w:color w:val="000000"/>
          <w:sz w:val="20"/>
          <w:szCs w:val="20"/>
        </w:rPr>
        <w:t>Capital is held to meet Pillar 1 requirements, the most significant elements for the Group and Bank being credit and operational risks.</w:t>
      </w:r>
      <w:r>
        <w:rPr>
          <w:rStyle w:val="aga"/>
          <w:rFonts w:ascii="Calibri" w:eastAsiaTheme="majorEastAsia" w:hAnsi="Calibri" w:cs="Calibri"/>
          <w:color w:val="000000"/>
          <w:sz w:val="20"/>
          <w:szCs w:val="20"/>
        </w:rPr>
        <w:t xml:space="preserve">  We also hold capital to meet Pillar 2A requirements, as assessed in the ICAAP.</w:t>
      </w:r>
    </w:p>
    <w:bookmarkEnd w:id="8"/>
    <w:p w14:paraId="47085F9E" w14:textId="77777777" w:rsidR="00600DB8" w:rsidRDefault="00600DB8" w:rsidP="002868C1">
      <w:pPr>
        <w:jc w:val="both"/>
        <w:rPr>
          <w:rStyle w:val="aga"/>
          <w:rFonts w:ascii="Calibri" w:eastAsiaTheme="majorEastAsia" w:hAnsi="Calibri" w:cs="Calibri"/>
          <w:color w:val="000000"/>
          <w:sz w:val="20"/>
          <w:szCs w:val="20"/>
        </w:rPr>
      </w:pPr>
    </w:p>
    <w:p w14:paraId="27491960" w14:textId="77777777" w:rsidR="00600DB8" w:rsidRDefault="00600DB8" w:rsidP="002868C1">
      <w:pPr>
        <w:pStyle w:val="agf"/>
        <w:spacing w:before="0" w:beforeAutospacing="0" w:after="0" w:afterAutospacing="0"/>
        <w:jc w:val="both"/>
        <w:rPr>
          <w:rStyle w:val="aga"/>
          <w:rFonts w:ascii="Calibri" w:eastAsiaTheme="majorEastAsia" w:hAnsi="Calibri" w:cs="Calibri"/>
          <w:color w:val="000000"/>
          <w:sz w:val="20"/>
          <w:szCs w:val="20"/>
        </w:rPr>
      </w:pPr>
      <w:r w:rsidRPr="00D64ADE">
        <w:rPr>
          <w:rStyle w:val="aga"/>
          <w:rFonts w:ascii="Calibri" w:eastAsiaTheme="majorEastAsia" w:hAnsi="Calibri" w:cs="Calibri"/>
          <w:b/>
          <w:bCs/>
          <w:color w:val="000000"/>
          <w:sz w:val="20"/>
          <w:szCs w:val="20"/>
        </w:rPr>
        <w:t>P5 – Funding and Liquidity:</w:t>
      </w:r>
      <w:r>
        <w:rPr>
          <w:rStyle w:val="aga"/>
          <w:rFonts w:ascii="Calibri" w:eastAsiaTheme="majorEastAsia" w:hAnsi="Calibri" w:cs="Calibri"/>
          <w:color w:val="000000"/>
          <w:sz w:val="20"/>
          <w:szCs w:val="20"/>
        </w:rPr>
        <w:t xml:space="preserve"> </w:t>
      </w:r>
      <w:r w:rsidRPr="009922C4">
        <w:rPr>
          <w:rStyle w:val="aga"/>
          <w:rFonts w:ascii="Calibri" w:eastAsiaTheme="majorEastAsia" w:hAnsi="Calibri" w:cs="Calibri"/>
          <w:color w:val="000000"/>
          <w:sz w:val="20"/>
          <w:szCs w:val="20"/>
        </w:rPr>
        <w:t>The Group and the Bank maintain sufficient liquid assets</w:t>
      </w:r>
      <w:r>
        <w:rPr>
          <w:rStyle w:val="aga"/>
          <w:rFonts w:ascii="Calibri" w:eastAsiaTheme="majorEastAsia" w:hAnsi="Calibri" w:cs="Calibri"/>
          <w:color w:val="000000"/>
          <w:sz w:val="20"/>
          <w:szCs w:val="20"/>
        </w:rPr>
        <w:t>,</w:t>
      </w:r>
      <w:r w:rsidRPr="009922C4">
        <w:rPr>
          <w:rStyle w:val="aga"/>
          <w:rFonts w:ascii="Calibri" w:eastAsiaTheme="majorEastAsia" w:hAnsi="Calibri" w:cs="Calibri"/>
          <w:color w:val="000000"/>
          <w:sz w:val="20"/>
          <w:szCs w:val="20"/>
        </w:rPr>
        <w:t xml:space="preserve"> both in terms of amount and quality, to meet daily cash flow needs and stressed scenarios driven by the Group’s own risk assessment and regulatory requirements. Liquid assets solely comprise of reserves held with the Bank of England</w:t>
      </w:r>
      <w:r>
        <w:rPr>
          <w:rStyle w:val="aga"/>
          <w:rFonts w:ascii="Calibri" w:eastAsiaTheme="majorEastAsia" w:hAnsi="Calibri" w:cs="Calibri"/>
          <w:color w:val="000000"/>
          <w:sz w:val="20"/>
          <w:szCs w:val="20"/>
        </w:rPr>
        <w:t xml:space="preserve">.  </w:t>
      </w:r>
      <w:r w:rsidRPr="006E7CFF">
        <w:rPr>
          <w:rStyle w:val="aga"/>
          <w:rFonts w:ascii="Calibri" w:eastAsiaTheme="majorEastAsia" w:hAnsi="Calibri" w:cs="Calibri"/>
          <w:color w:val="000000"/>
          <w:sz w:val="20"/>
          <w:szCs w:val="20"/>
        </w:rPr>
        <w:t>Funding and liquidity metrics are monitored through daily liquidity reporting, reported monthly at ALCO meetings and quarterly to the Risk Committee and Board.</w:t>
      </w:r>
      <w:r>
        <w:rPr>
          <w:rStyle w:val="aga"/>
          <w:rFonts w:ascii="Calibri" w:eastAsiaTheme="majorEastAsia" w:hAnsi="Calibri" w:cs="Calibri"/>
          <w:color w:val="000000"/>
          <w:sz w:val="20"/>
          <w:szCs w:val="20"/>
        </w:rPr>
        <w:t xml:space="preserve">  The Group maintains access to diversified sources of retail deposits funding, in addition to the securitisation of the cards and vehicle finance books and contingent liquidity at the Bank of England.  </w:t>
      </w:r>
      <w:r w:rsidRPr="00140643">
        <w:rPr>
          <w:rStyle w:val="aga"/>
          <w:rFonts w:ascii="Calibri" w:eastAsiaTheme="majorEastAsia" w:hAnsi="Calibri" w:cs="Calibri"/>
          <w:color w:val="000000"/>
          <w:sz w:val="20"/>
          <w:szCs w:val="20"/>
        </w:rPr>
        <w:t>Throughout 2024, the Group and Bank have maintained funding and liquidity ratios in excess of regulatory requirements</w:t>
      </w:r>
      <w:r>
        <w:rPr>
          <w:rStyle w:val="aga"/>
          <w:rFonts w:ascii="Calibri" w:eastAsiaTheme="majorEastAsia" w:hAnsi="Calibri" w:cs="Calibri"/>
          <w:color w:val="000000"/>
          <w:sz w:val="20"/>
          <w:szCs w:val="20"/>
        </w:rPr>
        <w:t>.</w:t>
      </w:r>
    </w:p>
    <w:p w14:paraId="3A5F3DB5" w14:textId="77777777" w:rsidR="00600DB8" w:rsidRDefault="00600DB8" w:rsidP="002868C1">
      <w:pPr>
        <w:pStyle w:val="agf"/>
        <w:spacing w:before="0" w:beforeAutospacing="0" w:after="0" w:afterAutospacing="0"/>
        <w:jc w:val="both"/>
        <w:rPr>
          <w:rStyle w:val="aga"/>
          <w:rFonts w:ascii="Calibri" w:eastAsiaTheme="majorEastAsia" w:hAnsi="Calibri" w:cs="Calibri"/>
          <w:color w:val="000000"/>
          <w:sz w:val="20"/>
          <w:szCs w:val="20"/>
        </w:rPr>
      </w:pPr>
    </w:p>
    <w:p w14:paraId="72CF2DAE" w14:textId="77777777" w:rsidR="00600DB8" w:rsidRDefault="00600DB8" w:rsidP="002868C1">
      <w:pPr>
        <w:pStyle w:val="agf"/>
        <w:spacing w:before="0" w:beforeAutospacing="0" w:after="0" w:afterAutospacing="0"/>
        <w:jc w:val="both"/>
        <w:rPr>
          <w:rStyle w:val="aga"/>
          <w:rFonts w:ascii="Calibri" w:eastAsiaTheme="majorEastAsia" w:hAnsi="Calibri" w:cs="Calibri"/>
          <w:color w:val="000000"/>
          <w:sz w:val="20"/>
          <w:szCs w:val="20"/>
        </w:rPr>
      </w:pPr>
      <w:r>
        <w:rPr>
          <w:rStyle w:val="aga"/>
          <w:rFonts w:ascii="Calibri" w:eastAsiaTheme="majorEastAsia" w:hAnsi="Calibri" w:cs="Calibri"/>
          <w:color w:val="000000"/>
          <w:sz w:val="20"/>
          <w:szCs w:val="20"/>
        </w:rPr>
        <w:t>T</w:t>
      </w:r>
      <w:r w:rsidRPr="00D96FC2">
        <w:rPr>
          <w:rStyle w:val="aga"/>
          <w:rFonts w:ascii="Calibri" w:eastAsiaTheme="majorEastAsia" w:hAnsi="Calibri" w:cs="Calibri"/>
          <w:color w:val="000000"/>
          <w:sz w:val="20"/>
          <w:szCs w:val="20"/>
        </w:rPr>
        <w:t xml:space="preserve">he funding and liquidity framework is reviewed by the Board as part of the annual ILAAP. </w:t>
      </w:r>
      <w:r>
        <w:rPr>
          <w:rStyle w:val="aga"/>
          <w:rFonts w:ascii="Calibri" w:eastAsiaTheme="majorEastAsia" w:hAnsi="Calibri" w:cs="Calibri"/>
          <w:color w:val="000000"/>
          <w:sz w:val="20"/>
          <w:szCs w:val="20"/>
        </w:rPr>
        <w:t xml:space="preserve"> </w:t>
      </w:r>
      <w:r w:rsidRPr="00D96FC2">
        <w:rPr>
          <w:rStyle w:val="aga"/>
          <w:rFonts w:ascii="Calibri" w:eastAsiaTheme="majorEastAsia" w:hAnsi="Calibri" w:cs="Calibri"/>
          <w:color w:val="000000"/>
          <w:sz w:val="20"/>
          <w:szCs w:val="20"/>
        </w:rPr>
        <w:t>ALCO is responsible for managing the balance sheet structure, including the funding plan and its risks.</w:t>
      </w:r>
    </w:p>
    <w:p w14:paraId="11185FC1" w14:textId="77777777" w:rsidR="00600DB8" w:rsidRDefault="00600DB8" w:rsidP="002868C1">
      <w:pPr>
        <w:pStyle w:val="agf"/>
        <w:spacing w:before="0" w:beforeAutospacing="0" w:after="0" w:afterAutospacing="0"/>
        <w:jc w:val="both"/>
        <w:rPr>
          <w:rStyle w:val="aga"/>
          <w:rFonts w:ascii="Calibri" w:eastAsiaTheme="majorEastAsia" w:hAnsi="Calibri" w:cs="Calibri"/>
          <w:color w:val="000000"/>
          <w:sz w:val="20"/>
          <w:szCs w:val="20"/>
        </w:rPr>
      </w:pPr>
    </w:p>
    <w:p w14:paraId="6F1E262F" w14:textId="77777777" w:rsidR="00600DB8" w:rsidRDefault="00600DB8" w:rsidP="002868C1">
      <w:pPr>
        <w:pStyle w:val="agf"/>
        <w:spacing w:before="0" w:beforeAutospacing="0" w:after="0" w:afterAutospacing="0"/>
        <w:jc w:val="both"/>
        <w:rPr>
          <w:rStyle w:val="aga"/>
          <w:rFonts w:ascii="Calibri" w:eastAsiaTheme="majorEastAsia" w:hAnsi="Calibri" w:cs="Calibri"/>
          <w:color w:val="000000"/>
          <w:sz w:val="20"/>
          <w:szCs w:val="20"/>
        </w:rPr>
      </w:pPr>
      <w:r w:rsidRPr="0025711D">
        <w:rPr>
          <w:rStyle w:val="aga"/>
          <w:rFonts w:ascii="Calibri" w:eastAsiaTheme="majorEastAsia" w:hAnsi="Calibri" w:cs="Calibri"/>
          <w:b/>
          <w:bCs/>
          <w:color w:val="000000"/>
          <w:sz w:val="20"/>
          <w:szCs w:val="20"/>
        </w:rPr>
        <w:t>P6 – Market:</w:t>
      </w:r>
      <w:r>
        <w:rPr>
          <w:rStyle w:val="aga"/>
          <w:rFonts w:ascii="Calibri" w:eastAsiaTheme="majorEastAsia" w:hAnsi="Calibri" w:cs="Calibri"/>
          <w:color w:val="000000"/>
          <w:sz w:val="20"/>
          <w:szCs w:val="20"/>
        </w:rPr>
        <w:t xml:space="preserve"> T</w:t>
      </w:r>
      <w:r w:rsidRPr="00380C07">
        <w:rPr>
          <w:rStyle w:val="aga"/>
          <w:rFonts w:ascii="Calibri" w:eastAsiaTheme="majorEastAsia" w:hAnsi="Calibri" w:cs="Calibri"/>
          <w:color w:val="000000"/>
          <w:sz w:val="20"/>
          <w:szCs w:val="20"/>
        </w:rPr>
        <w:t xml:space="preserve">he Group and the Bank do not take significant unmatched positions and do not operate trading books. Some financial assets and liabilities are linked to an underlying index, such as Sterling Overnight Index Average (SONIA) or Bank of England base rate. The principal market risks </w:t>
      </w:r>
      <w:r>
        <w:rPr>
          <w:rStyle w:val="aga"/>
          <w:rFonts w:ascii="Calibri" w:eastAsiaTheme="majorEastAsia" w:hAnsi="Calibri" w:cs="Calibri"/>
          <w:color w:val="000000"/>
          <w:sz w:val="20"/>
          <w:szCs w:val="20"/>
        </w:rPr>
        <w:t xml:space="preserve">that </w:t>
      </w:r>
      <w:r w:rsidRPr="00380C07">
        <w:rPr>
          <w:rStyle w:val="aga"/>
          <w:rFonts w:ascii="Calibri" w:eastAsiaTheme="majorEastAsia" w:hAnsi="Calibri" w:cs="Calibri"/>
          <w:color w:val="000000"/>
          <w:sz w:val="20"/>
          <w:szCs w:val="20"/>
        </w:rPr>
        <w:t>the Group and Bank are exposed to are interest rate risk and basis risk</w:t>
      </w:r>
      <w:r>
        <w:rPr>
          <w:rStyle w:val="aga"/>
          <w:rFonts w:ascii="Calibri" w:eastAsiaTheme="majorEastAsia" w:hAnsi="Calibri" w:cs="Calibri"/>
          <w:color w:val="000000"/>
          <w:sz w:val="20"/>
          <w:szCs w:val="20"/>
        </w:rPr>
        <w:t xml:space="preserve">.  </w:t>
      </w:r>
      <w:r w:rsidRPr="00144373">
        <w:rPr>
          <w:rStyle w:val="aga"/>
          <w:rFonts w:ascii="Calibri" w:eastAsiaTheme="majorEastAsia" w:hAnsi="Calibri" w:cs="Calibri"/>
          <w:color w:val="000000"/>
          <w:sz w:val="20"/>
          <w:szCs w:val="20"/>
        </w:rPr>
        <w:t>The market risk position is reported monthly to ALCO</w:t>
      </w:r>
      <w:r>
        <w:rPr>
          <w:rStyle w:val="aga"/>
          <w:rFonts w:ascii="Calibri" w:eastAsiaTheme="majorEastAsia" w:hAnsi="Calibri" w:cs="Calibri"/>
          <w:color w:val="000000"/>
          <w:sz w:val="20"/>
          <w:szCs w:val="20"/>
        </w:rPr>
        <w:t>.</w:t>
      </w:r>
    </w:p>
    <w:p w14:paraId="72ABC651" w14:textId="77777777" w:rsidR="00600DB8" w:rsidRDefault="00600DB8" w:rsidP="002868C1">
      <w:pPr>
        <w:pStyle w:val="agf"/>
        <w:spacing w:before="0" w:beforeAutospacing="0" w:after="0" w:afterAutospacing="0"/>
        <w:jc w:val="both"/>
        <w:rPr>
          <w:rStyle w:val="aga"/>
          <w:rFonts w:ascii="Calibri" w:eastAsiaTheme="majorEastAsia" w:hAnsi="Calibri" w:cs="Calibri"/>
          <w:color w:val="000000"/>
          <w:sz w:val="20"/>
          <w:szCs w:val="20"/>
        </w:rPr>
      </w:pPr>
    </w:p>
    <w:p w14:paraId="42E40B56" w14:textId="2F25A30E" w:rsidR="00600DB8" w:rsidRDefault="00600DB8" w:rsidP="002868C1">
      <w:pPr>
        <w:pStyle w:val="agf"/>
        <w:spacing w:before="0" w:beforeAutospacing="0" w:after="0" w:afterAutospacing="0"/>
        <w:jc w:val="both"/>
        <w:rPr>
          <w:rFonts w:ascii="Calibri" w:eastAsiaTheme="majorEastAsia" w:hAnsi="Calibri" w:cs="Calibri"/>
          <w:color w:val="000000"/>
          <w:sz w:val="20"/>
          <w:szCs w:val="20"/>
        </w:rPr>
      </w:pPr>
      <w:r w:rsidRPr="6A7632AC">
        <w:rPr>
          <w:rStyle w:val="aga"/>
          <w:rFonts w:ascii="Calibri" w:eastAsiaTheme="majorEastAsia" w:hAnsi="Calibri" w:cs="Calibri"/>
          <w:b/>
          <w:color w:val="000000" w:themeColor="text1"/>
          <w:sz w:val="20"/>
          <w:szCs w:val="20"/>
        </w:rPr>
        <w:t>P7 – Credit:</w:t>
      </w:r>
      <w:r w:rsidRPr="6A7632AC">
        <w:rPr>
          <w:rFonts w:ascii="Calibri" w:eastAsiaTheme="majorEastAsia" w:hAnsi="Calibri" w:cs="Calibri"/>
          <w:color w:val="000000" w:themeColor="text1"/>
          <w:sz w:val="20"/>
          <w:szCs w:val="20"/>
        </w:rPr>
        <w:t xml:space="preserve"> The Group’s credit quality remains stable.  We continue to enhance our strategies to maintain this asset quality during a challenging economic environment from the cost-of-living crisis.  Affordability strategies have been adjusted to account for increased cost-of-living and expected inflation.  Work is ongoing to redevelop the credit scorecards and lending strategies to enable growth whilst maintaining or improving credit loss rates. These enhancements are expected to roll-out over the next 6-9 months across the portfolios.</w:t>
      </w:r>
    </w:p>
    <w:p w14:paraId="62223920" w14:textId="7A504B71" w:rsidR="00FD7573" w:rsidRDefault="00FD7573" w:rsidP="6A7632AC">
      <w:pPr>
        <w:pStyle w:val="agf"/>
        <w:spacing w:before="0" w:beforeAutospacing="0" w:after="0" w:afterAutospacing="0"/>
        <w:jc w:val="both"/>
        <w:rPr>
          <w:rFonts w:ascii="Calibri" w:eastAsiaTheme="majorEastAsia" w:hAnsi="Calibri" w:cs="Calibri"/>
          <w:color w:val="000000"/>
          <w:sz w:val="20"/>
          <w:szCs w:val="20"/>
        </w:rPr>
      </w:pPr>
    </w:p>
    <w:p w14:paraId="68E4E2C9" w14:textId="122FC274" w:rsidR="00FD7573" w:rsidRDefault="00FD7573" w:rsidP="6A7632AC">
      <w:pPr>
        <w:pStyle w:val="agf"/>
        <w:spacing w:before="0" w:beforeAutospacing="0" w:after="0" w:afterAutospacing="0"/>
        <w:jc w:val="both"/>
        <w:rPr>
          <w:rFonts w:ascii="Calibri" w:eastAsiaTheme="majorEastAsia" w:hAnsi="Calibri" w:cs="Calibri"/>
          <w:color w:val="000000"/>
          <w:sz w:val="20"/>
          <w:szCs w:val="20"/>
        </w:rPr>
      </w:pPr>
    </w:p>
    <w:p w14:paraId="52B88A99" w14:textId="6AA4C324" w:rsidR="00FD7573" w:rsidRDefault="00FD7573" w:rsidP="6A7632AC">
      <w:pPr>
        <w:pStyle w:val="agf"/>
        <w:spacing w:before="0" w:beforeAutospacing="0" w:after="0" w:afterAutospacing="0"/>
        <w:jc w:val="both"/>
        <w:rPr>
          <w:rFonts w:ascii="Calibri" w:eastAsiaTheme="majorEastAsia" w:hAnsi="Calibri" w:cs="Calibri"/>
          <w:color w:val="000000"/>
          <w:sz w:val="20"/>
          <w:szCs w:val="20"/>
        </w:rPr>
      </w:pPr>
    </w:p>
    <w:p w14:paraId="321343CA" w14:textId="77777777" w:rsidR="00CC288B" w:rsidRPr="000A047C" w:rsidRDefault="3BA119FB" w:rsidP="002868C1">
      <w:pPr>
        <w:pStyle w:val="u"/>
        <w:spacing w:before="0" w:beforeAutospacing="0" w:after="0" w:afterAutospacing="0"/>
        <w:jc w:val="both"/>
        <w:rPr>
          <w:rStyle w:val="aga"/>
          <w:rFonts w:ascii="Calibri" w:eastAsiaTheme="majorEastAsia" w:hAnsi="Calibri" w:cs="Calibri"/>
          <w:b/>
          <w:color w:val="000000"/>
          <w:sz w:val="20"/>
          <w:szCs w:val="20"/>
          <w:u w:val="single"/>
        </w:rPr>
      </w:pPr>
      <w:r w:rsidRPr="000A047C">
        <w:rPr>
          <w:rStyle w:val="aga"/>
          <w:rFonts w:ascii="Calibri" w:eastAsiaTheme="majorEastAsia" w:hAnsi="Calibri" w:cs="Calibri"/>
          <w:b/>
          <w:color w:val="000000"/>
          <w:sz w:val="20"/>
          <w:szCs w:val="20"/>
          <w:u w:val="single"/>
        </w:rPr>
        <w:t>Risk Pillar 3: Operational</w:t>
      </w:r>
    </w:p>
    <w:p w14:paraId="38DAE383" w14:textId="77777777" w:rsidR="00CD4A35" w:rsidRPr="000A047C" w:rsidRDefault="00CD4A35" w:rsidP="002868C1">
      <w:pPr>
        <w:pStyle w:val="u"/>
        <w:spacing w:before="0" w:beforeAutospacing="0" w:after="0" w:afterAutospacing="0"/>
        <w:jc w:val="both"/>
        <w:rPr>
          <w:rStyle w:val="aga"/>
          <w:rFonts w:ascii="Calibri" w:eastAsiaTheme="majorEastAsia" w:hAnsi="Calibri" w:cs="Calibri"/>
          <w:b/>
          <w:color w:val="000000"/>
          <w:sz w:val="20"/>
          <w:szCs w:val="20"/>
          <w:u w:val="single"/>
        </w:rPr>
      </w:pPr>
    </w:p>
    <w:p w14:paraId="281C5E2C" w14:textId="77777777" w:rsidR="009A6B82" w:rsidRDefault="009A6B82" w:rsidP="002868C1">
      <w:pPr>
        <w:pStyle w:val="agf"/>
        <w:spacing w:before="0" w:beforeAutospacing="0" w:after="0" w:afterAutospacing="0"/>
        <w:jc w:val="both"/>
        <w:rPr>
          <w:rFonts w:ascii="Calibri" w:eastAsiaTheme="majorEastAsia" w:hAnsi="Calibri" w:cs="Calibri"/>
          <w:color w:val="000000"/>
          <w:sz w:val="20"/>
          <w:szCs w:val="20"/>
        </w:rPr>
      </w:pPr>
      <w:r w:rsidRPr="00E54DE7">
        <w:rPr>
          <w:rFonts w:ascii="Calibri" w:eastAsiaTheme="majorEastAsia" w:hAnsi="Calibri" w:cs="Calibri"/>
          <w:b/>
          <w:bCs/>
          <w:color w:val="000000"/>
          <w:sz w:val="20"/>
          <w:szCs w:val="20"/>
        </w:rPr>
        <w:t>P8 – Operational:</w:t>
      </w:r>
      <w:r>
        <w:rPr>
          <w:rFonts w:ascii="Calibri" w:eastAsiaTheme="majorEastAsia" w:hAnsi="Calibri" w:cs="Calibri"/>
          <w:color w:val="000000"/>
          <w:sz w:val="20"/>
          <w:szCs w:val="20"/>
        </w:rPr>
        <w:t xml:space="preserve"> </w:t>
      </w:r>
      <w:r w:rsidRPr="00856E0C">
        <w:rPr>
          <w:rFonts w:ascii="Calibri" w:eastAsiaTheme="majorEastAsia" w:hAnsi="Calibri" w:cs="Calibri"/>
          <w:color w:val="000000"/>
          <w:sz w:val="20"/>
          <w:szCs w:val="20"/>
        </w:rPr>
        <w:t xml:space="preserve">The </w:t>
      </w:r>
      <w:r>
        <w:rPr>
          <w:rFonts w:ascii="Calibri" w:eastAsiaTheme="majorEastAsia" w:hAnsi="Calibri" w:cs="Calibri"/>
          <w:color w:val="000000"/>
          <w:sz w:val="20"/>
          <w:szCs w:val="20"/>
        </w:rPr>
        <w:t xml:space="preserve">Group’s </w:t>
      </w:r>
      <w:r w:rsidRPr="00856E0C">
        <w:rPr>
          <w:rFonts w:ascii="Calibri" w:eastAsiaTheme="majorEastAsia" w:hAnsi="Calibri" w:cs="Calibri"/>
          <w:color w:val="000000"/>
          <w:sz w:val="20"/>
          <w:szCs w:val="20"/>
        </w:rPr>
        <w:t xml:space="preserve">three lines of defence model ensures clear lines of accountability between management </w:t>
      </w:r>
      <w:r>
        <w:rPr>
          <w:rFonts w:ascii="Calibri" w:eastAsiaTheme="majorEastAsia" w:hAnsi="Calibri" w:cs="Calibri"/>
          <w:color w:val="000000"/>
          <w:sz w:val="20"/>
          <w:szCs w:val="20"/>
        </w:rPr>
        <w:t xml:space="preserve">as </w:t>
      </w:r>
      <w:r w:rsidRPr="00856E0C">
        <w:rPr>
          <w:rFonts w:ascii="Calibri" w:eastAsiaTheme="majorEastAsia" w:hAnsi="Calibri" w:cs="Calibri"/>
          <w:color w:val="000000"/>
          <w:sz w:val="20"/>
          <w:szCs w:val="20"/>
        </w:rPr>
        <w:t>risk</w:t>
      </w:r>
      <w:r>
        <w:rPr>
          <w:rFonts w:ascii="Calibri" w:eastAsiaTheme="majorEastAsia" w:hAnsi="Calibri" w:cs="Calibri"/>
          <w:color w:val="000000"/>
          <w:sz w:val="20"/>
          <w:szCs w:val="20"/>
        </w:rPr>
        <w:t xml:space="preserve"> owner</w:t>
      </w:r>
      <w:r w:rsidRPr="00856E0C">
        <w:rPr>
          <w:rFonts w:ascii="Calibri" w:eastAsiaTheme="majorEastAsia" w:hAnsi="Calibri" w:cs="Calibri"/>
          <w:color w:val="000000"/>
          <w:sz w:val="20"/>
          <w:szCs w:val="20"/>
        </w:rPr>
        <w:t xml:space="preserve">s, oversight by the </w:t>
      </w:r>
      <w:r>
        <w:rPr>
          <w:rFonts w:ascii="Calibri" w:eastAsiaTheme="majorEastAsia" w:hAnsi="Calibri" w:cs="Calibri"/>
          <w:color w:val="000000"/>
          <w:sz w:val="20"/>
          <w:szCs w:val="20"/>
        </w:rPr>
        <w:t>R</w:t>
      </w:r>
      <w:r w:rsidRPr="00856E0C">
        <w:rPr>
          <w:rFonts w:ascii="Calibri" w:eastAsiaTheme="majorEastAsia" w:hAnsi="Calibri" w:cs="Calibri"/>
          <w:color w:val="000000"/>
          <w:sz w:val="20"/>
          <w:szCs w:val="20"/>
        </w:rPr>
        <w:t>isk function and independent assurance provided by Internal Audit.</w:t>
      </w:r>
      <w:r>
        <w:rPr>
          <w:rFonts w:ascii="Calibri" w:eastAsiaTheme="majorEastAsia" w:hAnsi="Calibri" w:cs="Calibri"/>
          <w:color w:val="000000"/>
          <w:sz w:val="20"/>
          <w:szCs w:val="20"/>
        </w:rPr>
        <w:t xml:space="preserve">  T</w:t>
      </w:r>
      <w:r w:rsidRPr="00445A1B">
        <w:rPr>
          <w:rFonts w:ascii="Calibri" w:eastAsiaTheme="majorEastAsia" w:hAnsi="Calibri" w:cs="Calibri"/>
          <w:color w:val="000000"/>
          <w:sz w:val="20"/>
          <w:szCs w:val="20"/>
        </w:rPr>
        <w:t>he model</w:t>
      </w:r>
      <w:r>
        <w:rPr>
          <w:rFonts w:ascii="Calibri" w:eastAsiaTheme="majorEastAsia" w:hAnsi="Calibri" w:cs="Calibri"/>
          <w:color w:val="000000"/>
          <w:sz w:val="20"/>
          <w:szCs w:val="20"/>
        </w:rPr>
        <w:t>, supported by the RMF,</w:t>
      </w:r>
      <w:r w:rsidRPr="00445A1B">
        <w:rPr>
          <w:rFonts w:ascii="Calibri" w:eastAsiaTheme="majorEastAsia" w:hAnsi="Calibri" w:cs="Calibri"/>
          <w:color w:val="000000"/>
          <w:sz w:val="20"/>
          <w:szCs w:val="20"/>
        </w:rPr>
        <w:t xml:space="preserve"> provides continuous integrated assurance over the effectiveness of key controls and swift response and remediation to issues if they arise, </w:t>
      </w:r>
      <w:r>
        <w:rPr>
          <w:rFonts w:ascii="Calibri" w:eastAsiaTheme="majorEastAsia" w:hAnsi="Calibri" w:cs="Calibri"/>
          <w:color w:val="000000"/>
          <w:sz w:val="20"/>
          <w:szCs w:val="20"/>
        </w:rPr>
        <w:t>facilitated through Riskonnect.</w:t>
      </w:r>
    </w:p>
    <w:p w14:paraId="635583E4" w14:textId="77777777" w:rsidR="009A6B82" w:rsidRDefault="009A6B82" w:rsidP="002868C1">
      <w:pPr>
        <w:pStyle w:val="agf"/>
        <w:spacing w:before="0" w:beforeAutospacing="0" w:after="0" w:afterAutospacing="0"/>
        <w:jc w:val="both"/>
        <w:rPr>
          <w:rStyle w:val="aga"/>
          <w:rFonts w:ascii="Calibri" w:eastAsiaTheme="majorEastAsia" w:hAnsi="Calibri" w:cs="Calibri"/>
          <w:color w:val="000000"/>
          <w:sz w:val="20"/>
          <w:szCs w:val="20"/>
        </w:rPr>
      </w:pPr>
    </w:p>
    <w:p w14:paraId="62B1ADB9" w14:textId="77777777" w:rsidR="009A6B82" w:rsidRDefault="009A6B82" w:rsidP="002868C1">
      <w:pPr>
        <w:pStyle w:val="agf"/>
        <w:spacing w:before="0" w:beforeAutospacing="0" w:after="0" w:afterAutospacing="0"/>
        <w:jc w:val="both"/>
        <w:rPr>
          <w:rFonts w:ascii="Calibri" w:eastAsiaTheme="majorEastAsia" w:hAnsi="Calibri" w:cs="Calibri"/>
          <w:color w:val="000000"/>
          <w:sz w:val="20"/>
          <w:szCs w:val="20"/>
        </w:rPr>
      </w:pPr>
      <w:r>
        <w:rPr>
          <w:rFonts w:ascii="Calibri" w:eastAsiaTheme="majorEastAsia" w:hAnsi="Calibri" w:cs="Calibri"/>
          <w:color w:val="000000"/>
          <w:sz w:val="20"/>
          <w:szCs w:val="20"/>
        </w:rPr>
        <w:t>The</w:t>
      </w:r>
      <w:r w:rsidRPr="00B55838">
        <w:rPr>
          <w:rFonts w:ascii="Calibri" w:eastAsiaTheme="majorEastAsia" w:hAnsi="Calibri" w:cs="Calibri"/>
          <w:color w:val="000000"/>
          <w:sz w:val="20"/>
          <w:szCs w:val="20"/>
        </w:rPr>
        <w:t xml:space="preserve"> Operational Resilience programme </w:t>
      </w:r>
      <w:r>
        <w:rPr>
          <w:rFonts w:ascii="Calibri" w:eastAsiaTheme="majorEastAsia" w:hAnsi="Calibri" w:cs="Calibri"/>
          <w:color w:val="000000"/>
          <w:sz w:val="20"/>
          <w:szCs w:val="20"/>
        </w:rPr>
        <w:t xml:space="preserve">is on </w:t>
      </w:r>
      <w:r w:rsidRPr="00B55838">
        <w:rPr>
          <w:rFonts w:ascii="Calibri" w:eastAsiaTheme="majorEastAsia" w:hAnsi="Calibri" w:cs="Calibri"/>
          <w:color w:val="000000"/>
          <w:sz w:val="20"/>
          <w:szCs w:val="20"/>
        </w:rPr>
        <w:t xml:space="preserve">track for regulatory deadlines and continues to test against important business services impacting scenarios. </w:t>
      </w:r>
      <w:r>
        <w:rPr>
          <w:rFonts w:ascii="Calibri" w:eastAsiaTheme="majorEastAsia" w:hAnsi="Calibri" w:cs="Calibri"/>
          <w:color w:val="000000"/>
          <w:sz w:val="20"/>
          <w:szCs w:val="20"/>
        </w:rPr>
        <w:t xml:space="preserve">The </w:t>
      </w:r>
      <w:r w:rsidRPr="00B55838">
        <w:rPr>
          <w:rFonts w:ascii="Calibri" w:eastAsiaTheme="majorEastAsia" w:hAnsi="Calibri" w:cs="Calibri"/>
          <w:color w:val="000000"/>
          <w:sz w:val="20"/>
          <w:szCs w:val="20"/>
        </w:rPr>
        <w:t xml:space="preserve">supplier management model </w:t>
      </w:r>
      <w:r>
        <w:rPr>
          <w:rFonts w:ascii="Calibri" w:eastAsiaTheme="majorEastAsia" w:hAnsi="Calibri" w:cs="Calibri"/>
          <w:color w:val="000000"/>
          <w:sz w:val="20"/>
          <w:szCs w:val="20"/>
        </w:rPr>
        <w:t xml:space="preserve">and </w:t>
      </w:r>
      <w:r w:rsidRPr="00B55838">
        <w:rPr>
          <w:rFonts w:ascii="Calibri" w:eastAsiaTheme="majorEastAsia" w:hAnsi="Calibri" w:cs="Calibri"/>
          <w:color w:val="000000"/>
          <w:sz w:val="20"/>
          <w:szCs w:val="20"/>
        </w:rPr>
        <w:t xml:space="preserve">third-party risk management framework </w:t>
      </w:r>
      <w:r>
        <w:rPr>
          <w:rFonts w:ascii="Calibri" w:eastAsiaTheme="majorEastAsia" w:hAnsi="Calibri" w:cs="Calibri"/>
          <w:color w:val="000000"/>
          <w:sz w:val="20"/>
          <w:szCs w:val="20"/>
        </w:rPr>
        <w:t>continue to be</w:t>
      </w:r>
      <w:r w:rsidRPr="00B55838">
        <w:rPr>
          <w:rFonts w:ascii="Calibri" w:eastAsiaTheme="majorEastAsia" w:hAnsi="Calibri" w:cs="Calibri"/>
          <w:color w:val="000000"/>
          <w:sz w:val="20"/>
          <w:szCs w:val="20"/>
        </w:rPr>
        <w:t xml:space="preserve"> embedded</w:t>
      </w:r>
      <w:r>
        <w:rPr>
          <w:rFonts w:ascii="Calibri" w:eastAsiaTheme="majorEastAsia" w:hAnsi="Calibri" w:cs="Calibri"/>
          <w:color w:val="000000"/>
          <w:sz w:val="20"/>
          <w:szCs w:val="20"/>
        </w:rPr>
        <w:t>.</w:t>
      </w:r>
    </w:p>
    <w:p w14:paraId="556281A0" w14:textId="77777777" w:rsidR="009A6B82" w:rsidRDefault="009A6B82" w:rsidP="002868C1">
      <w:pPr>
        <w:pStyle w:val="agf"/>
        <w:spacing w:before="0" w:beforeAutospacing="0" w:after="0" w:afterAutospacing="0"/>
        <w:jc w:val="both"/>
        <w:rPr>
          <w:rFonts w:ascii="Calibri" w:eastAsiaTheme="majorEastAsia" w:hAnsi="Calibri" w:cs="Calibri"/>
          <w:color w:val="000000"/>
          <w:sz w:val="20"/>
          <w:szCs w:val="20"/>
        </w:rPr>
      </w:pPr>
    </w:p>
    <w:p w14:paraId="3F13B4C9" w14:textId="77777777" w:rsidR="009A6B82" w:rsidRDefault="009A6B82" w:rsidP="002868C1">
      <w:pPr>
        <w:pStyle w:val="agf"/>
        <w:spacing w:before="0" w:beforeAutospacing="0" w:after="0" w:afterAutospacing="0"/>
        <w:jc w:val="both"/>
        <w:rPr>
          <w:rFonts w:ascii="Calibri" w:eastAsiaTheme="majorEastAsia" w:hAnsi="Calibri" w:cs="Calibri"/>
          <w:color w:val="000000"/>
          <w:sz w:val="20"/>
          <w:szCs w:val="20"/>
        </w:rPr>
      </w:pPr>
      <w:r w:rsidRPr="00010B9C">
        <w:rPr>
          <w:rFonts w:ascii="Calibri" w:eastAsiaTheme="majorEastAsia" w:hAnsi="Calibri" w:cs="Calibri"/>
          <w:b/>
          <w:bCs/>
          <w:color w:val="000000"/>
          <w:sz w:val="20"/>
          <w:szCs w:val="20"/>
        </w:rPr>
        <w:t>P9 – Technology and Information Security:</w:t>
      </w:r>
      <w:r>
        <w:rPr>
          <w:rFonts w:ascii="Calibri" w:eastAsiaTheme="majorEastAsia" w:hAnsi="Calibri" w:cs="Calibri"/>
          <w:color w:val="000000"/>
          <w:sz w:val="20"/>
          <w:szCs w:val="20"/>
        </w:rPr>
        <w:t xml:space="preserve"> </w:t>
      </w:r>
      <w:r w:rsidRPr="0021682E">
        <w:rPr>
          <w:rFonts w:ascii="Calibri" w:eastAsiaTheme="majorEastAsia" w:hAnsi="Calibri" w:cs="Calibri"/>
          <w:color w:val="000000"/>
          <w:sz w:val="20"/>
          <w:szCs w:val="20"/>
        </w:rPr>
        <w:t>The Group continues to operate on legacy IT architecture</w:t>
      </w:r>
      <w:r>
        <w:rPr>
          <w:rFonts w:ascii="Calibri" w:eastAsiaTheme="majorEastAsia" w:hAnsi="Calibri" w:cs="Calibri"/>
          <w:color w:val="000000"/>
          <w:sz w:val="20"/>
          <w:szCs w:val="20"/>
        </w:rPr>
        <w:t>.  This</w:t>
      </w:r>
      <w:r w:rsidRPr="0021682E">
        <w:rPr>
          <w:rFonts w:ascii="Calibri" w:eastAsiaTheme="majorEastAsia" w:hAnsi="Calibri" w:cs="Calibri"/>
          <w:color w:val="000000"/>
          <w:sz w:val="20"/>
          <w:szCs w:val="20"/>
        </w:rPr>
        <w:t xml:space="preserve"> is being addressed by </w:t>
      </w:r>
      <w:r>
        <w:rPr>
          <w:rFonts w:ascii="Calibri" w:eastAsiaTheme="majorEastAsia" w:hAnsi="Calibri" w:cs="Calibri"/>
          <w:color w:val="000000"/>
          <w:sz w:val="20"/>
          <w:szCs w:val="20"/>
        </w:rPr>
        <w:t>the</w:t>
      </w:r>
      <w:r w:rsidRPr="0021682E">
        <w:rPr>
          <w:rFonts w:ascii="Calibri" w:eastAsiaTheme="majorEastAsia" w:hAnsi="Calibri" w:cs="Calibri"/>
          <w:color w:val="000000"/>
          <w:sz w:val="20"/>
          <w:szCs w:val="20"/>
        </w:rPr>
        <w:t xml:space="preserve"> strategic IT transformation programme</w:t>
      </w:r>
      <w:r>
        <w:rPr>
          <w:rFonts w:ascii="Calibri" w:eastAsiaTheme="majorEastAsia" w:hAnsi="Calibri" w:cs="Calibri"/>
          <w:color w:val="000000"/>
          <w:sz w:val="20"/>
          <w:szCs w:val="20"/>
        </w:rPr>
        <w:t xml:space="preserve">, </w:t>
      </w:r>
      <w:r w:rsidRPr="00142226">
        <w:rPr>
          <w:rFonts w:ascii="Calibri" w:eastAsiaTheme="majorEastAsia" w:hAnsi="Calibri" w:cs="Calibri"/>
          <w:color w:val="000000"/>
          <w:sz w:val="20"/>
          <w:szCs w:val="20"/>
        </w:rPr>
        <w:t>which is progressing in line with expectations and continues to support the</w:t>
      </w:r>
      <w:r>
        <w:rPr>
          <w:rFonts w:ascii="Calibri" w:eastAsiaTheme="majorEastAsia" w:hAnsi="Calibri" w:cs="Calibri"/>
          <w:color w:val="000000"/>
          <w:sz w:val="20"/>
          <w:szCs w:val="20"/>
        </w:rPr>
        <w:t xml:space="preserve"> Group’s</w:t>
      </w:r>
      <w:r w:rsidRPr="00142226">
        <w:rPr>
          <w:rFonts w:ascii="Calibri" w:eastAsiaTheme="majorEastAsia" w:hAnsi="Calibri" w:cs="Calibri"/>
          <w:color w:val="000000"/>
          <w:sz w:val="20"/>
          <w:szCs w:val="20"/>
        </w:rPr>
        <w:t xml:space="preserve"> </w:t>
      </w:r>
      <w:r>
        <w:rPr>
          <w:rFonts w:ascii="Calibri" w:eastAsiaTheme="majorEastAsia" w:hAnsi="Calibri" w:cs="Calibri"/>
          <w:color w:val="000000"/>
          <w:sz w:val="20"/>
          <w:szCs w:val="20"/>
        </w:rPr>
        <w:t>overall strategy</w:t>
      </w:r>
      <w:r w:rsidRPr="0021682E">
        <w:rPr>
          <w:rFonts w:ascii="Calibri" w:eastAsiaTheme="majorEastAsia" w:hAnsi="Calibri" w:cs="Calibri"/>
          <w:color w:val="000000"/>
          <w:sz w:val="20"/>
          <w:szCs w:val="20"/>
        </w:rPr>
        <w:t xml:space="preserve">. </w:t>
      </w:r>
      <w:r>
        <w:rPr>
          <w:rFonts w:ascii="Calibri" w:eastAsiaTheme="majorEastAsia" w:hAnsi="Calibri" w:cs="Calibri"/>
          <w:color w:val="000000"/>
          <w:sz w:val="20"/>
          <w:szCs w:val="20"/>
        </w:rPr>
        <w:t xml:space="preserve"> </w:t>
      </w:r>
      <w:r w:rsidRPr="0021682E">
        <w:rPr>
          <w:rFonts w:ascii="Calibri" w:eastAsiaTheme="majorEastAsia" w:hAnsi="Calibri" w:cs="Calibri"/>
          <w:color w:val="000000"/>
          <w:sz w:val="20"/>
          <w:szCs w:val="20"/>
        </w:rPr>
        <w:t xml:space="preserve">The Group is also progressing its delivery of key security improvement initiatives against the overall cyber security strategy, </w:t>
      </w:r>
      <w:r w:rsidRPr="00262445">
        <w:rPr>
          <w:rFonts w:ascii="Calibri" w:eastAsiaTheme="majorEastAsia" w:hAnsi="Calibri" w:cs="Calibri"/>
          <w:color w:val="000000"/>
          <w:sz w:val="20"/>
          <w:szCs w:val="20"/>
        </w:rPr>
        <w:t>with current focus on delivery of our Zero Trust/E5 Programme and Red Test action plan</w:t>
      </w:r>
      <w:r>
        <w:rPr>
          <w:rFonts w:ascii="Calibri" w:eastAsiaTheme="majorEastAsia" w:hAnsi="Calibri" w:cs="Calibri"/>
          <w:color w:val="000000"/>
          <w:sz w:val="20"/>
          <w:szCs w:val="20"/>
        </w:rPr>
        <w:t>, both of which will substantially</w:t>
      </w:r>
      <w:r w:rsidRPr="0021682E">
        <w:rPr>
          <w:rFonts w:ascii="Calibri" w:eastAsiaTheme="majorEastAsia" w:hAnsi="Calibri" w:cs="Calibri"/>
          <w:color w:val="000000"/>
          <w:sz w:val="20"/>
          <w:szCs w:val="20"/>
        </w:rPr>
        <w:t xml:space="preserve"> improve </w:t>
      </w:r>
      <w:r>
        <w:rPr>
          <w:rFonts w:ascii="Calibri" w:eastAsiaTheme="majorEastAsia" w:hAnsi="Calibri" w:cs="Calibri"/>
          <w:color w:val="000000"/>
          <w:sz w:val="20"/>
          <w:szCs w:val="20"/>
        </w:rPr>
        <w:t>our</w:t>
      </w:r>
      <w:r w:rsidRPr="0021682E">
        <w:rPr>
          <w:rFonts w:ascii="Calibri" w:eastAsiaTheme="majorEastAsia" w:hAnsi="Calibri" w:cs="Calibri"/>
          <w:color w:val="000000"/>
          <w:sz w:val="20"/>
          <w:szCs w:val="20"/>
        </w:rPr>
        <w:t xml:space="preserve"> overall security posture</w:t>
      </w:r>
      <w:r>
        <w:rPr>
          <w:rFonts w:ascii="Calibri" w:eastAsiaTheme="majorEastAsia" w:hAnsi="Calibri" w:cs="Calibri"/>
          <w:color w:val="000000"/>
          <w:sz w:val="20"/>
          <w:szCs w:val="20"/>
        </w:rPr>
        <w:t xml:space="preserve"> and materially reduce our risk exposure.</w:t>
      </w:r>
    </w:p>
    <w:p w14:paraId="720B5ECE" w14:textId="77777777" w:rsidR="009A6B82" w:rsidRDefault="009A6B82" w:rsidP="002868C1">
      <w:pPr>
        <w:pStyle w:val="agf"/>
        <w:spacing w:before="0" w:beforeAutospacing="0" w:after="0" w:afterAutospacing="0"/>
        <w:jc w:val="both"/>
        <w:rPr>
          <w:rFonts w:ascii="Calibri" w:eastAsiaTheme="majorEastAsia" w:hAnsi="Calibri" w:cs="Calibri"/>
          <w:color w:val="000000"/>
          <w:sz w:val="20"/>
          <w:szCs w:val="20"/>
        </w:rPr>
      </w:pPr>
    </w:p>
    <w:p w14:paraId="3940F23B" w14:textId="15CD1747" w:rsidR="009A6B82" w:rsidRDefault="009A6B82" w:rsidP="002868C1">
      <w:pPr>
        <w:pStyle w:val="agf"/>
        <w:spacing w:before="0" w:beforeAutospacing="0" w:after="0" w:afterAutospacing="0"/>
        <w:jc w:val="both"/>
        <w:rPr>
          <w:rStyle w:val="aga"/>
          <w:rFonts w:ascii="Calibri" w:eastAsiaTheme="majorEastAsia" w:hAnsi="Calibri" w:cs="Calibri"/>
          <w:color w:val="000000"/>
          <w:sz w:val="20"/>
          <w:szCs w:val="20"/>
        </w:rPr>
      </w:pPr>
      <w:r w:rsidRPr="00EB51F7">
        <w:rPr>
          <w:rFonts w:ascii="Calibri" w:eastAsiaTheme="majorEastAsia" w:hAnsi="Calibri" w:cs="Calibri"/>
          <w:b/>
          <w:bCs/>
          <w:color w:val="000000"/>
          <w:sz w:val="20"/>
          <w:szCs w:val="20"/>
        </w:rPr>
        <w:t>P10 – People:</w:t>
      </w:r>
      <w:r>
        <w:rPr>
          <w:rFonts w:ascii="Calibri" w:eastAsiaTheme="majorEastAsia" w:hAnsi="Calibri" w:cs="Calibri"/>
          <w:color w:val="000000"/>
          <w:sz w:val="20"/>
          <w:szCs w:val="20"/>
        </w:rPr>
        <w:t xml:space="preserve"> </w:t>
      </w:r>
      <w:r>
        <w:rPr>
          <w:rStyle w:val="aga"/>
          <w:rFonts w:ascii="Calibri" w:eastAsiaTheme="majorEastAsia" w:hAnsi="Calibri" w:cs="Calibri"/>
          <w:color w:val="000000"/>
          <w:sz w:val="20"/>
          <w:szCs w:val="20"/>
        </w:rPr>
        <w:t xml:space="preserve">During 2024, we have continued to extend our offshore </w:t>
      </w:r>
      <w:r w:rsidR="00C30A2A">
        <w:rPr>
          <w:rStyle w:val="aga"/>
          <w:rFonts w:ascii="Calibri" w:eastAsiaTheme="majorEastAsia" w:hAnsi="Calibri" w:cs="Calibri"/>
          <w:color w:val="000000"/>
          <w:sz w:val="20"/>
          <w:szCs w:val="20"/>
        </w:rPr>
        <w:t>outsourcing</w:t>
      </w:r>
      <w:r>
        <w:rPr>
          <w:rStyle w:val="aga"/>
          <w:rFonts w:ascii="Calibri" w:eastAsiaTheme="majorEastAsia" w:hAnsi="Calibri" w:cs="Calibri"/>
          <w:color w:val="000000"/>
          <w:sz w:val="20"/>
          <w:szCs w:val="20"/>
        </w:rPr>
        <w:t xml:space="preserve"> capability, which has reduced the headcount overall to become leaner and more efficient and effective in serving our customers.  </w:t>
      </w:r>
      <w:r w:rsidRPr="00152048">
        <w:rPr>
          <w:rStyle w:val="aga"/>
          <w:rFonts w:ascii="Calibri" w:eastAsiaTheme="majorEastAsia" w:hAnsi="Calibri" w:cs="Calibri"/>
          <w:color w:val="000000"/>
          <w:sz w:val="20"/>
          <w:szCs w:val="20"/>
        </w:rPr>
        <w:t xml:space="preserve">Changes to our operating model are subject to a structured programme of risk management and governance </w:t>
      </w:r>
      <w:r>
        <w:rPr>
          <w:rStyle w:val="aga"/>
          <w:rFonts w:ascii="Calibri" w:eastAsiaTheme="majorEastAsia" w:hAnsi="Calibri" w:cs="Calibri"/>
          <w:color w:val="000000"/>
          <w:sz w:val="20"/>
          <w:szCs w:val="20"/>
        </w:rPr>
        <w:t>t</w:t>
      </w:r>
      <w:r w:rsidRPr="00152048">
        <w:rPr>
          <w:rStyle w:val="aga"/>
          <w:rFonts w:ascii="Calibri" w:eastAsiaTheme="majorEastAsia" w:hAnsi="Calibri" w:cs="Calibri"/>
          <w:color w:val="000000"/>
          <w:sz w:val="20"/>
          <w:szCs w:val="20"/>
        </w:rPr>
        <w:t>o minimise operational disruption and promote colleague wellbeing.</w:t>
      </w:r>
      <w:r>
        <w:rPr>
          <w:rStyle w:val="aga"/>
          <w:rFonts w:ascii="Calibri" w:eastAsiaTheme="majorEastAsia" w:hAnsi="Calibri" w:cs="Calibri"/>
          <w:color w:val="000000"/>
          <w:sz w:val="20"/>
          <w:szCs w:val="20"/>
        </w:rPr>
        <w:t xml:space="preserve">  We are committed to being a great place to work, which is a key focus for our strategy, and continuous improvement based on regular feedback and engagement from colleagues.</w:t>
      </w:r>
    </w:p>
    <w:p w14:paraId="41B2ADE3" w14:textId="6D49845C" w:rsidR="00CC288B" w:rsidRPr="00701439" w:rsidRDefault="3BA119FB" w:rsidP="005C2976">
      <w:pPr>
        <w:jc w:val="both"/>
      </w:pPr>
      <w:r w:rsidRPr="69F01B83">
        <w:rPr>
          <w:rFonts w:ascii="Calibri" w:eastAsia="Calibri" w:hAnsi="Calibri" w:cs="Calibri"/>
          <w:color w:val="000000" w:themeColor="text1"/>
          <w:sz w:val="20"/>
          <w:szCs w:val="20"/>
        </w:rPr>
        <w:t xml:space="preserve"> </w:t>
      </w:r>
    </w:p>
    <w:p w14:paraId="787AD960" w14:textId="77777777" w:rsidR="00CC288B" w:rsidRPr="000A047C" w:rsidRDefault="3BA119FB" w:rsidP="002868C1">
      <w:pPr>
        <w:pStyle w:val="u"/>
        <w:spacing w:before="0" w:beforeAutospacing="0" w:after="0" w:afterAutospacing="0"/>
        <w:jc w:val="both"/>
        <w:rPr>
          <w:rStyle w:val="aga"/>
          <w:rFonts w:ascii="Calibri" w:eastAsiaTheme="majorEastAsia" w:hAnsi="Calibri" w:cs="Calibri"/>
          <w:b/>
          <w:color w:val="000000"/>
          <w:sz w:val="20"/>
          <w:szCs w:val="20"/>
          <w:u w:val="single"/>
        </w:rPr>
      </w:pPr>
      <w:r w:rsidRPr="000A047C">
        <w:rPr>
          <w:rStyle w:val="aga"/>
          <w:rFonts w:ascii="Calibri" w:eastAsiaTheme="majorEastAsia" w:hAnsi="Calibri" w:cs="Calibri"/>
          <w:b/>
          <w:color w:val="000000"/>
          <w:sz w:val="20"/>
          <w:szCs w:val="20"/>
          <w:u w:val="single"/>
        </w:rPr>
        <w:t>Risk Pillar 4: Strategic</w:t>
      </w:r>
    </w:p>
    <w:p w14:paraId="6E5A060B" w14:textId="77777777" w:rsidR="00CD4A35" w:rsidRDefault="00CD4A35" w:rsidP="002868C1">
      <w:pPr>
        <w:pStyle w:val="agf"/>
        <w:spacing w:before="0" w:beforeAutospacing="0" w:after="0" w:afterAutospacing="0"/>
        <w:jc w:val="both"/>
        <w:rPr>
          <w:rFonts w:ascii="Calibri" w:eastAsiaTheme="majorEastAsia" w:hAnsi="Calibri" w:cs="Calibri"/>
          <w:b/>
          <w:bCs/>
          <w:color w:val="000000"/>
          <w:sz w:val="20"/>
          <w:szCs w:val="20"/>
        </w:rPr>
      </w:pPr>
    </w:p>
    <w:p w14:paraId="1BF236BB" w14:textId="0ECD203A" w:rsidR="000D4B36" w:rsidRPr="009943FD" w:rsidRDefault="000D4B36" w:rsidP="002868C1">
      <w:pPr>
        <w:pStyle w:val="agf"/>
        <w:spacing w:before="0" w:beforeAutospacing="0" w:after="0" w:afterAutospacing="0"/>
        <w:jc w:val="both"/>
        <w:rPr>
          <w:rFonts w:ascii="Calibri" w:eastAsiaTheme="majorEastAsia" w:hAnsi="Calibri" w:cs="Calibri"/>
          <w:color w:val="000000"/>
          <w:sz w:val="20"/>
          <w:szCs w:val="20"/>
        </w:rPr>
      </w:pPr>
      <w:r w:rsidRPr="00D46BA0">
        <w:rPr>
          <w:rFonts w:ascii="Calibri" w:eastAsiaTheme="majorEastAsia" w:hAnsi="Calibri" w:cs="Calibri"/>
          <w:b/>
          <w:bCs/>
          <w:color w:val="000000"/>
          <w:sz w:val="20"/>
          <w:szCs w:val="20"/>
        </w:rPr>
        <w:t>P11 – Strategic Performance:</w:t>
      </w:r>
      <w:r>
        <w:rPr>
          <w:rFonts w:ascii="Calibri" w:eastAsiaTheme="majorEastAsia" w:hAnsi="Calibri" w:cs="Calibri"/>
          <w:color w:val="000000"/>
          <w:sz w:val="20"/>
          <w:szCs w:val="20"/>
        </w:rPr>
        <w:t xml:space="preserve"> </w:t>
      </w:r>
      <w:r w:rsidRPr="005F4629">
        <w:rPr>
          <w:rFonts w:ascii="Calibri" w:eastAsiaTheme="majorEastAsia" w:hAnsi="Calibri" w:cs="Calibri"/>
          <w:color w:val="000000"/>
          <w:sz w:val="20"/>
          <w:szCs w:val="20"/>
        </w:rPr>
        <w:t xml:space="preserve">The Group </w:t>
      </w:r>
      <w:r>
        <w:rPr>
          <w:rFonts w:ascii="Calibri" w:eastAsiaTheme="majorEastAsia" w:hAnsi="Calibri" w:cs="Calibri"/>
          <w:color w:val="000000"/>
          <w:sz w:val="20"/>
          <w:szCs w:val="20"/>
        </w:rPr>
        <w:t xml:space="preserve">launched a new strategy in Q1 to reset, </w:t>
      </w:r>
      <w:r w:rsidRPr="005F4629">
        <w:rPr>
          <w:rFonts w:ascii="Calibri" w:eastAsiaTheme="majorEastAsia" w:hAnsi="Calibri" w:cs="Calibri"/>
          <w:color w:val="000000"/>
          <w:sz w:val="20"/>
          <w:szCs w:val="20"/>
        </w:rPr>
        <w:t xml:space="preserve">strengthen and grow the business in an effective and sustainable manner. </w:t>
      </w:r>
      <w:r>
        <w:rPr>
          <w:rFonts w:ascii="Calibri" w:eastAsiaTheme="majorEastAsia" w:hAnsi="Calibri" w:cs="Calibri"/>
          <w:color w:val="000000"/>
          <w:sz w:val="20"/>
          <w:szCs w:val="20"/>
        </w:rPr>
        <w:t xml:space="preserve"> </w:t>
      </w:r>
      <w:r w:rsidRPr="005F4629">
        <w:rPr>
          <w:rFonts w:ascii="Calibri" w:eastAsiaTheme="majorEastAsia" w:hAnsi="Calibri" w:cs="Calibri"/>
          <w:color w:val="000000"/>
          <w:sz w:val="20"/>
          <w:szCs w:val="20"/>
        </w:rPr>
        <w:t xml:space="preserve">Effective risk management is critical to </w:t>
      </w:r>
      <w:r>
        <w:rPr>
          <w:rFonts w:ascii="Calibri" w:eastAsiaTheme="majorEastAsia" w:hAnsi="Calibri" w:cs="Calibri"/>
          <w:color w:val="000000"/>
          <w:sz w:val="20"/>
          <w:szCs w:val="20"/>
        </w:rPr>
        <w:t>its</w:t>
      </w:r>
      <w:r w:rsidRPr="005F4629">
        <w:rPr>
          <w:rFonts w:ascii="Calibri" w:eastAsiaTheme="majorEastAsia" w:hAnsi="Calibri" w:cs="Calibri"/>
          <w:color w:val="000000"/>
          <w:sz w:val="20"/>
          <w:szCs w:val="20"/>
        </w:rPr>
        <w:t xml:space="preserve"> delivery and maintaining our existing commitments in a safe and controlled way</w:t>
      </w:r>
      <w:r>
        <w:rPr>
          <w:rFonts w:ascii="Calibri" w:eastAsiaTheme="majorEastAsia" w:hAnsi="Calibri" w:cs="Calibri"/>
          <w:color w:val="000000"/>
          <w:sz w:val="20"/>
          <w:szCs w:val="20"/>
        </w:rPr>
        <w:t xml:space="preserve">.  </w:t>
      </w:r>
      <w:r w:rsidRPr="008477F5">
        <w:rPr>
          <w:rFonts w:ascii="Calibri" w:eastAsiaTheme="majorEastAsia" w:hAnsi="Calibri" w:cs="Calibri"/>
          <w:color w:val="000000"/>
          <w:sz w:val="20"/>
          <w:szCs w:val="20"/>
        </w:rPr>
        <w:t>The Board and its sub-committees make risk-based decisions in the formulation of their business strategy, in line with the GDAM and risk appetite framework and subject to independent oversight from the Risk function</w:t>
      </w:r>
      <w:r>
        <w:rPr>
          <w:rFonts w:ascii="Calibri" w:eastAsiaTheme="majorEastAsia" w:hAnsi="Calibri" w:cs="Calibri"/>
          <w:color w:val="000000"/>
          <w:sz w:val="20"/>
          <w:szCs w:val="20"/>
        </w:rPr>
        <w:t>.</w:t>
      </w:r>
      <w:r>
        <w:rPr>
          <w:rStyle w:val="aga"/>
          <w:rFonts w:ascii="Calibri" w:eastAsiaTheme="majorEastAsia" w:hAnsi="Calibri" w:cs="Calibri"/>
          <w:color w:val="000000"/>
          <w:sz w:val="20"/>
          <w:szCs w:val="20"/>
        </w:rPr>
        <w:t xml:space="preserve">  Performance against our strategic and </w:t>
      </w:r>
      <w:r w:rsidRPr="00B3303C">
        <w:rPr>
          <w:rStyle w:val="aga"/>
          <w:rFonts w:ascii="Calibri" w:eastAsiaTheme="majorEastAsia" w:hAnsi="Calibri" w:cs="Calibri"/>
          <w:color w:val="000000"/>
          <w:sz w:val="20"/>
          <w:szCs w:val="20"/>
        </w:rPr>
        <w:t xml:space="preserve">emerging risks </w:t>
      </w:r>
      <w:r>
        <w:rPr>
          <w:rStyle w:val="aga"/>
          <w:rFonts w:ascii="Calibri" w:eastAsiaTheme="majorEastAsia" w:hAnsi="Calibri" w:cs="Calibri"/>
          <w:color w:val="000000"/>
          <w:sz w:val="20"/>
          <w:szCs w:val="20"/>
        </w:rPr>
        <w:t xml:space="preserve">is </w:t>
      </w:r>
      <w:r w:rsidRPr="00B3303C">
        <w:rPr>
          <w:rStyle w:val="aga"/>
          <w:rFonts w:ascii="Calibri" w:eastAsiaTheme="majorEastAsia" w:hAnsi="Calibri" w:cs="Calibri"/>
          <w:color w:val="000000"/>
          <w:sz w:val="20"/>
          <w:szCs w:val="20"/>
        </w:rPr>
        <w:t xml:space="preserve">reported to the Risk Committee </w:t>
      </w:r>
      <w:r w:rsidRPr="00B3303C">
        <w:rPr>
          <w:rStyle w:val="aga"/>
          <w:rFonts w:ascii="Calibri" w:eastAsiaTheme="majorEastAsia" w:hAnsi="Calibri" w:cs="Calibri"/>
          <w:color w:val="000000"/>
          <w:sz w:val="20"/>
          <w:szCs w:val="20"/>
        </w:rPr>
        <w:lastRenderedPageBreak/>
        <w:t>and Board</w:t>
      </w:r>
      <w:r>
        <w:rPr>
          <w:rStyle w:val="aga"/>
          <w:rFonts w:ascii="Calibri" w:eastAsiaTheme="majorEastAsia" w:hAnsi="Calibri" w:cs="Calibri"/>
          <w:color w:val="000000"/>
          <w:sz w:val="20"/>
          <w:szCs w:val="20"/>
        </w:rPr>
        <w:t>.</w:t>
      </w:r>
      <w:r>
        <w:rPr>
          <w:rStyle w:val="aga"/>
          <w:rFonts w:ascii="Calibri" w:eastAsiaTheme="majorEastAsia" w:hAnsi="Calibri" w:cs="Calibri"/>
          <w:color w:val="000000"/>
        </w:rPr>
        <w:t xml:space="preserve">  </w:t>
      </w:r>
      <w:r>
        <w:rPr>
          <w:rStyle w:val="aga"/>
          <w:rFonts w:ascii="Calibri" w:eastAsiaTheme="majorEastAsia" w:hAnsi="Calibri" w:cs="Calibri"/>
          <w:color w:val="000000"/>
          <w:sz w:val="20"/>
          <w:szCs w:val="20"/>
        </w:rPr>
        <w:t xml:space="preserve">We have established an Executive Risk Committee to strengthen the coordination, review and delivery of risk management activity. </w:t>
      </w:r>
    </w:p>
    <w:p w14:paraId="362A6B57" w14:textId="77777777" w:rsidR="000D4B36" w:rsidRDefault="000D4B36" w:rsidP="002868C1">
      <w:pPr>
        <w:pStyle w:val="agf"/>
        <w:spacing w:before="0" w:beforeAutospacing="0" w:after="0" w:afterAutospacing="0"/>
        <w:jc w:val="both"/>
        <w:rPr>
          <w:rFonts w:ascii="Calibri" w:eastAsiaTheme="majorEastAsia" w:hAnsi="Calibri" w:cs="Calibri"/>
          <w:color w:val="000000"/>
          <w:sz w:val="20"/>
          <w:szCs w:val="20"/>
        </w:rPr>
      </w:pPr>
    </w:p>
    <w:p w14:paraId="1464C66B" w14:textId="22C312B5" w:rsidR="000D4B36" w:rsidRDefault="000D4B36" w:rsidP="002868C1">
      <w:pPr>
        <w:jc w:val="both"/>
        <w:rPr>
          <w:rStyle w:val="aga"/>
          <w:rFonts w:ascii="Calibri" w:eastAsiaTheme="majorEastAsia" w:hAnsi="Calibri" w:cs="Calibri"/>
          <w:color w:val="000000"/>
          <w:sz w:val="20"/>
          <w:szCs w:val="20"/>
        </w:rPr>
      </w:pPr>
      <w:r w:rsidRPr="000A047C">
        <w:rPr>
          <w:rFonts w:ascii="Calibri" w:eastAsiaTheme="majorEastAsia" w:hAnsi="Calibri" w:cs="Calibri"/>
          <w:b/>
          <w:bCs/>
          <w:color w:val="000000"/>
          <w:sz w:val="20"/>
          <w:szCs w:val="20"/>
        </w:rPr>
        <w:t>P12 – Model:</w:t>
      </w:r>
      <w:r>
        <w:rPr>
          <w:rFonts w:ascii="Calibri" w:eastAsiaTheme="majorEastAsia" w:hAnsi="Calibri" w:cs="Calibri"/>
          <w:color w:val="000000"/>
          <w:sz w:val="20"/>
          <w:szCs w:val="20"/>
        </w:rPr>
        <w:t xml:space="preserve"> M</w:t>
      </w:r>
      <w:r w:rsidRPr="00251E22">
        <w:rPr>
          <w:rFonts w:ascii="Calibri" w:eastAsiaTheme="majorEastAsia" w:hAnsi="Calibri" w:cs="Calibri"/>
          <w:color w:val="000000"/>
          <w:sz w:val="20"/>
          <w:szCs w:val="20"/>
        </w:rPr>
        <w:t xml:space="preserve">odels are widely used across the Group and play an important role in helping achieve key business decisions, risk management and strategic objectives. </w:t>
      </w:r>
      <w:r>
        <w:rPr>
          <w:rFonts w:ascii="Calibri" w:eastAsiaTheme="majorEastAsia" w:hAnsi="Calibri" w:cs="Calibri"/>
          <w:color w:val="000000"/>
          <w:sz w:val="20"/>
          <w:szCs w:val="20"/>
        </w:rPr>
        <w:t xml:space="preserve"> </w:t>
      </w:r>
      <w:r w:rsidRPr="002B291E">
        <w:rPr>
          <w:rFonts w:ascii="Calibri" w:eastAsiaTheme="majorEastAsia" w:hAnsi="Calibri" w:cs="Calibri"/>
          <w:color w:val="000000"/>
          <w:sz w:val="20"/>
          <w:szCs w:val="20"/>
        </w:rPr>
        <w:t xml:space="preserve">A </w:t>
      </w:r>
      <w:r>
        <w:rPr>
          <w:rFonts w:ascii="Calibri" w:eastAsiaTheme="majorEastAsia" w:hAnsi="Calibri" w:cs="Calibri"/>
          <w:color w:val="000000"/>
          <w:sz w:val="20"/>
          <w:szCs w:val="20"/>
        </w:rPr>
        <w:t>M</w:t>
      </w:r>
      <w:r w:rsidRPr="002B291E">
        <w:rPr>
          <w:rFonts w:ascii="Calibri" w:eastAsiaTheme="majorEastAsia" w:hAnsi="Calibri" w:cs="Calibri"/>
          <w:color w:val="000000"/>
          <w:sz w:val="20"/>
          <w:szCs w:val="20"/>
        </w:rPr>
        <w:t xml:space="preserve">odel </w:t>
      </w:r>
      <w:r>
        <w:rPr>
          <w:rFonts w:ascii="Calibri" w:eastAsiaTheme="majorEastAsia" w:hAnsi="Calibri" w:cs="Calibri"/>
          <w:color w:val="000000"/>
          <w:sz w:val="20"/>
          <w:szCs w:val="20"/>
        </w:rPr>
        <w:t>R</w:t>
      </w:r>
      <w:r w:rsidRPr="002B291E">
        <w:rPr>
          <w:rFonts w:ascii="Calibri" w:eastAsiaTheme="majorEastAsia" w:hAnsi="Calibri" w:cs="Calibri"/>
          <w:color w:val="000000"/>
          <w:sz w:val="20"/>
          <w:szCs w:val="20"/>
        </w:rPr>
        <w:t xml:space="preserve">isk </w:t>
      </w:r>
      <w:r>
        <w:rPr>
          <w:rFonts w:ascii="Calibri" w:eastAsiaTheme="majorEastAsia" w:hAnsi="Calibri" w:cs="Calibri"/>
          <w:color w:val="000000"/>
          <w:sz w:val="20"/>
          <w:szCs w:val="20"/>
        </w:rPr>
        <w:t>M</w:t>
      </w:r>
      <w:r w:rsidRPr="002B291E">
        <w:rPr>
          <w:rFonts w:ascii="Calibri" w:eastAsiaTheme="majorEastAsia" w:hAnsi="Calibri" w:cs="Calibri"/>
          <w:color w:val="000000"/>
          <w:sz w:val="20"/>
          <w:szCs w:val="20"/>
        </w:rPr>
        <w:t xml:space="preserve">anagement </w:t>
      </w:r>
      <w:r>
        <w:rPr>
          <w:rFonts w:ascii="Calibri" w:eastAsiaTheme="majorEastAsia" w:hAnsi="Calibri" w:cs="Calibri"/>
          <w:color w:val="000000"/>
          <w:sz w:val="20"/>
          <w:szCs w:val="20"/>
        </w:rPr>
        <w:t>F</w:t>
      </w:r>
      <w:r w:rsidRPr="002B291E">
        <w:rPr>
          <w:rFonts w:ascii="Calibri" w:eastAsiaTheme="majorEastAsia" w:hAnsi="Calibri" w:cs="Calibri"/>
          <w:color w:val="000000"/>
          <w:sz w:val="20"/>
          <w:szCs w:val="20"/>
        </w:rPr>
        <w:t>ramework</w:t>
      </w:r>
      <w:r>
        <w:rPr>
          <w:rFonts w:ascii="Calibri" w:eastAsiaTheme="majorEastAsia" w:hAnsi="Calibri" w:cs="Calibri"/>
          <w:color w:val="000000"/>
          <w:sz w:val="20"/>
          <w:szCs w:val="20"/>
        </w:rPr>
        <w:t xml:space="preserve"> is</w:t>
      </w:r>
      <w:r w:rsidRPr="002B291E">
        <w:rPr>
          <w:rFonts w:ascii="Calibri" w:eastAsiaTheme="majorEastAsia" w:hAnsi="Calibri" w:cs="Calibri"/>
          <w:color w:val="000000"/>
          <w:sz w:val="20"/>
          <w:szCs w:val="20"/>
        </w:rPr>
        <w:t xml:space="preserve"> in place, </w:t>
      </w:r>
      <w:r w:rsidRPr="008513D4">
        <w:rPr>
          <w:rFonts w:ascii="Calibri" w:eastAsiaTheme="majorEastAsia" w:hAnsi="Calibri" w:cs="Calibri"/>
          <w:color w:val="000000"/>
          <w:sz w:val="20"/>
          <w:szCs w:val="20"/>
        </w:rPr>
        <w:t xml:space="preserve">supported by </w:t>
      </w:r>
      <w:r>
        <w:rPr>
          <w:rFonts w:ascii="Calibri" w:eastAsiaTheme="majorEastAsia" w:hAnsi="Calibri" w:cs="Calibri"/>
          <w:color w:val="000000"/>
          <w:sz w:val="20"/>
          <w:szCs w:val="20"/>
        </w:rPr>
        <w:t xml:space="preserve">an </w:t>
      </w:r>
      <w:r w:rsidRPr="008513D4">
        <w:rPr>
          <w:rFonts w:ascii="Calibri" w:eastAsiaTheme="majorEastAsia" w:hAnsi="Calibri" w:cs="Calibri"/>
          <w:color w:val="000000"/>
          <w:sz w:val="20"/>
          <w:szCs w:val="20"/>
        </w:rPr>
        <w:t>independent model validation function and</w:t>
      </w:r>
      <w:r>
        <w:rPr>
          <w:rFonts w:ascii="Calibri" w:eastAsiaTheme="majorEastAsia" w:hAnsi="Calibri" w:cs="Calibri"/>
          <w:color w:val="000000"/>
          <w:sz w:val="20"/>
          <w:szCs w:val="20"/>
        </w:rPr>
        <w:t xml:space="preserve"> </w:t>
      </w:r>
      <w:r w:rsidRPr="008513D4">
        <w:rPr>
          <w:rFonts w:ascii="Calibri" w:eastAsiaTheme="majorEastAsia" w:hAnsi="Calibri" w:cs="Calibri"/>
          <w:color w:val="000000"/>
          <w:sz w:val="20"/>
          <w:szCs w:val="20"/>
        </w:rPr>
        <w:t>Model Risk Committee that provide effective model governance and oversight.</w:t>
      </w:r>
      <w:r>
        <w:rPr>
          <w:rFonts w:ascii="Calibri" w:eastAsiaTheme="majorEastAsia" w:hAnsi="Calibri" w:cs="Calibri"/>
          <w:color w:val="000000"/>
          <w:sz w:val="20"/>
          <w:szCs w:val="20"/>
        </w:rPr>
        <w:t xml:space="preserve">  The IFRS9 models were redeveloped and implemented in H1.  Key focus for H2 is to enhance existing credit risk scorecards and pricing models </w:t>
      </w:r>
      <w:r w:rsidRPr="002B291E">
        <w:rPr>
          <w:rFonts w:ascii="Calibri" w:eastAsiaTheme="majorEastAsia" w:hAnsi="Calibri" w:cs="Calibri"/>
          <w:color w:val="000000"/>
          <w:sz w:val="20"/>
          <w:szCs w:val="20"/>
        </w:rPr>
        <w:t>a</w:t>
      </w:r>
      <w:r>
        <w:rPr>
          <w:rFonts w:ascii="Calibri" w:eastAsiaTheme="majorEastAsia" w:hAnsi="Calibri" w:cs="Calibri"/>
          <w:color w:val="000000"/>
          <w:sz w:val="20"/>
          <w:szCs w:val="20"/>
        </w:rPr>
        <w:t>cross the Group.</w:t>
      </w:r>
    </w:p>
    <w:p w14:paraId="505F7F68" w14:textId="4B1AC41A" w:rsidR="00CC288B" w:rsidRPr="00701439" w:rsidRDefault="00CC288B" w:rsidP="002868C1">
      <w:pPr>
        <w:jc w:val="both"/>
      </w:pPr>
    </w:p>
    <w:p w14:paraId="54415B48" w14:textId="7B8E1901" w:rsidR="00CC288B" w:rsidRPr="00701439" w:rsidRDefault="00CC288B" w:rsidP="00CC288B">
      <w:pPr>
        <w:pStyle w:val="NoSpacing"/>
        <w:rPr>
          <w:bCs/>
          <w:sz w:val="20"/>
          <w:szCs w:val="20"/>
        </w:rPr>
      </w:pPr>
    </w:p>
    <w:p w14:paraId="0E1001EE" w14:textId="7DC0B761" w:rsidR="00607E22" w:rsidRPr="00701439" w:rsidRDefault="00607E22" w:rsidP="00607E22">
      <w:pPr>
        <w:jc w:val="both"/>
        <w:rPr>
          <w:rFonts w:asciiTheme="minorHAnsi" w:hAnsiTheme="minorHAnsi" w:cs="Arial"/>
          <w:b/>
          <w:color w:val="4747FF"/>
          <w:sz w:val="22"/>
          <w:szCs w:val="22"/>
        </w:rPr>
      </w:pPr>
      <w:r w:rsidRPr="00701439">
        <w:rPr>
          <w:rFonts w:asciiTheme="minorHAnsi" w:hAnsiTheme="minorHAnsi" w:cs="Arial"/>
          <w:b/>
          <w:color w:val="4747FF"/>
          <w:sz w:val="22"/>
          <w:szCs w:val="22"/>
        </w:rPr>
        <w:t>Consolidated financial statements</w:t>
      </w:r>
    </w:p>
    <w:p w14:paraId="1726B685" w14:textId="77777777" w:rsidR="00607E22" w:rsidRPr="00701439" w:rsidRDefault="00607E22" w:rsidP="00607E22">
      <w:pPr>
        <w:jc w:val="both"/>
        <w:rPr>
          <w:rFonts w:asciiTheme="minorHAnsi" w:hAnsiTheme="minorHAnsi" w:cs="Arial"/>
          <w:b/>
          <w:sz w:val="20"/>
          <w:szCs w:val="20"/>
          <w:u w:val="single"/>
        </w:rPr>
      </w:pPr>
    </w:p>
    <w:p w14:paraId="1F59E36D" w14:textId="63FB706F" w:rsidR="00A3021A" w:rsidRDefault="00A3021A" w:rsidP="00A3021A">
      <w:pPr>
        <w:rPr>
          <w:rFonts w:asciiTheme="minorHAnsi" w:hAnsiTheme="minorHAnsi" w:cs="Arial"/>
          <w:b/>
          <w:color w:val="4747FF"/>
          <w:sz w:val="22"/>
          <w:szCs w:val="22"/>
        </w:rPr>
      </w:pPr>
      <w:r w:rsidRPr="00701439">
        <w:rPr>
          <w:rFonts w:asciiTheme="minorHAnsi" w:hAnsiTheme="minorHAnsi" w:cs="Arial"/>
          <w:b/>
          <w:color w:val="4747FF"/>
          <w:sz w:val="22"/>
          <w:szCs w:val="22"/>
        </w:rPr>
        <w:t xml:space="preserve">Consolidated income statement for the </w:t>
      </w:r>
      <w:r w:rsidR="0053090B">
        <w:rPr>
          <w:rFonts w:asciiTheme="minorHAnsi" w:hAnsiTheme="minorHAnsi" w:cs="Arial"/>
          <w:b/>
          <w:color w:val="4747FF"/>
          <w:sz w:val="22"/>
          <w:szCs w:val="22"/>
        </w:rPr>
        <w:t>six months ended 30 June</w:t>
      </w:r>
    </w:p>
    <w:p w14:paraId="51485162" w14:textId="77777777" w:rsidR="00FF65FC" w:rsidRDefault="00FF65FC" w:rsidP="00A3021A">
      <w:pPr>
        <w:rPr>
          <w:rFonts w:asciiTheme="minorHAnsi" w:hAnsiTheme="minorHAnsi" w:cs="Arial"/>
          <w:b/>
          <w:color w:val="4747FF"/>
          <w:sz w:val="22"/>
          <w:szCs w:val="22"/>
        </w:rPr>
      </w:pPr>
    </w:p>
    <w:tbl>
      <w:tblPr>
        <w:tblW w:w="9923" w:type="dxa"/>
        <w:tblLayout w:type="fixed"/>
        <w:tblLook w:val="0000" w:firstRow="0" w:lastRow="0" w:firstColumn="0" w:lastColumn="0" w:noHBand="0" w:noVBand="0"/>
      </w:tblPr>
      <w:tblGrid>
        <w:gridCol w:w="6938"/>
        <w:gridCol w:w="631"/>
        <w:gridCol w:w="1177"/>
        <w:gridCol w:w="1177"/>
      </w:tblGrid>
      <w:tr w:rsidR="00FF65FC" w:rsidRPr="00701439" w14:paraId="5AE3948B" w14:textId="77777777" w:rsidTr="00AF5A74">
        <w:tc>
          <w:tcPr>
            <w:tcW w:w="6938" w:type="dxa"/>
          </w:tcPr>
          <w:p w14:paraId="160CD6A6" w14:textId="77777777" w:rsidR="00FF65FC" w:rsidRPr="00701439" w:rsidRDefault="00FF65FC" w:rsidP="00AF5A74">
            <w:pPr>
              <w:rPr>
                <w:rFonts w:asciiTheme="minorHAnsi" w:hAnsiTheme="minorHAnsi" w:cs="Arial"/>
                <w:sz w:val="20"/>
                <w:szCs w:val="20"/>
              </w:rPr>
            </w:pPr>
          </w:p>
        </w:tc>
        <w:tc>
          <w:tcPr>
            <w:tcW w:w="631" w:type="dxa"/>
          </w:tcPr>
          <w:p w14:paraId="05935D9F" w14:textId="77777777" w:rsidR="00FF65FC" w:rsidRPr="00701439" w:rsidRDefault="00FF65FC" w:rsidP="00AF5A74">
            <w:pPr>
              <w:jc w:val="right"/>
              <w:rPr>
                <w:rFonts w:asciiTheme="minorHAnsi" w:hAnsiTheme="minorHAnsi" w:cs="Arial"/>
                <w:sz w:val="20"/>
                <w:szCs w:val="20"/>
              </w:rPr>
            </w:pPr>
            <w:r w:rsidRPr="00701439">
              <w:rPr>
                <w:rFonts w:asciiTheme="minorHAnsi" w:hAnsiTheme="minorHAnsi" w:cs="Arial"/>
                <w:sz w:val="20"/>
                <w:szCs w:val="20"/>
              </w:rPr>
              <w:t>Note</w:t>
            </w:r>
          </w:p>
        </w:tc>
        <w:tc>
          <w:tcPr>
            <w:tcW w:w="1177" w:type="dxa"/>
            <w:shd w:val="clear" w:color="auto" w:fill="F2F2F2" w:themeFill="background1" w:themeFillShade="F2"/>
          </w:tcPr>
          <w:p w14:paraId="017B62E6" w14:textId="2603F97D" w:rsidR="00FF65FC" w:rsidRPr="00502543" w:rsidRDefault="00FF65FC" w:rsidP="00AF5A74">
            <w:pPr>
              <w:jc w:val="right"/>
              <w:rPr>
                <w:rFonts w:asciiTheme="minorHAnsi" w:hAnsiTheme="minorHAnsi" w:cs="Arial"/>
                <w:b/>
                <w:sz w:val="20"/>
                <w:szCs w:val="20"/>
              </w:rPr>
            </w:pPr>
            <w:r w:rsidRPr="00502543">
              <w:rPr>
                <w:rFonts w:asciiTheme="minorHAnsi" w:hAnsiTheme="minorHAnsi" w:cs="Arial"/>
                <w:b/>
                <w:sz w:val="20"/>
                <w:szCs w:val="20"/>
              </w:rPr>
              <w:t>202</w:t>
            </w:r>
            <w:r>
              <w:rPr>
                <w:rFonts w:asciiTheme="minorHAnsi" w:hAnsiTheme="minorHAnsi" w:cs="Arial"/>
                <w:b/>
                <w:sz w:val="20"/>
                <w:szCs w:val="20"/>
              </w:rPr>
              <w:t>4</w:t>
            </w:r>
            <w:r w:rsidRPr="00502543">
              <w:rPr>
                <w:rFonts w:asciiTheme="minorHAnsi" w:hAnsiTheme="minorHAnsi" w:cs="Arial"/>
                <w:b/>
                <w:sz w:val="20"/>
                <w:szCs w:val="20"/>
              </w:rPr>
              <w:t> </w:t>
            </w:r>
          </w:p>
        </w:tc>
        <w:tc>
          <w:tcPr>
            <w:tcW w:w="1177" w:type="dxa"/>
          </w:tcPr>
          <w:p w14:paraId="000B2763" w14:textId="77777777" w:rsidR="00FF65FC" w:rsidRDefault="00FF65FC" w:rsidP="00AF5A74">
            <w:pPr>
              <w:jc w:val="right"/>
              <w:rPr>
                <w:rFonts w:asciiTheme="minorHAnsi" w:hAnsiTheme="minorHAnsi" w:cs="Arial"/>
                <w:sz w:val="20"/>
                <w:szCs w:val="20"/>
              </w:rPr>
            </w:pPr>
            <w:r w:rsidRPr="00701439">
              <w:rPr>
                <w:rFonts w:asciiTheme="minorHAnsi" w:hAnsiTheme="minorHAnsi" w:cs="Arial"/>
                <w:sz w:val="20"/>
                <w:szCs w:val="20"/>
              </w:rPr>
              <w:t>202</w:t>
            </w:r>
            <w:r>
              <w:rPr>
                <w:rFonts w:asciiTheme="minorHAnsi" w:hAnsiTheme="minorHAnsi" w:cs="Arial"/>
                <w:sz w:val="20"/>
                <w:szCs w:val="20"/>
              </w:rPr>
              <w:t>3</w:t>
            </w:r>
          </w:p>
          <w:p w14:paraId="758DC5A0" w14:textId="41AD47C6" w:rsidR="00470F70" w:rsidRPr="00701439" w:rsidRDefault="00470F70" w:rsidP="00AF5A74">
            <w:pPr>
              <w:jc w:val="right"/>
              <w:rPr>
                <w:rFonts w:asciiTheme="minorHAnsi" w:hAnsiTheme="minorHAnsi" w:cs="Arial"/>
                <w:sz w:val="20"/>
                <w:szCs w:val="20"/>
              </w:rPr>
            </w:pPr>
            <w:r>
              <w:rPr>
                <w:rFonts w:asciiTheme="minorHAnsi" w:hAnsiTheme="minorHAnsi" w:cs="Arial"/>
                <w:sz w:val="20"/>
                <w:szCs w:val="20"/>
              </w:rPr>
              <w:t>(restated)</w:t>
            </w:r>
            <w:r w:rsidR="00BE36B1" w:rsidRPr="00BE36B1">
              <w:rPr>
                <w:rFonts w:asciiTheme="minorHAnsi" w:hAnsiTheme="minorHAnsi" w:cs="Arial"/>
                <w:sz w:val="20"/>
                <w:szCs w:val="20"/>
                <w:vertAlign w:val="superscript"/>
              </w:rPr>
              <w:t>1</w:t>
            </w:r>
          </w:p>
        </w:tc>
      </w:tr>
      <w:tr w:rsidR="00FF65FC" w:rsidRPr="00701439" w14:paraId="69515616" w14:textId="77777777" w:rsidTr="00AF5A74">
        <w:tc>
          <w:tcPr>
            <w:tcW w:w="6938" w:type="dxa"/>
          </w:tcPr>
          <w:p w14:paraId="67C682D1" w14:textId="0E639E7E" w:rsidR="00FF65FC" w:rsidRPr="00701439" w:rsidRDefault="00FF65FC" w:rsidP="00AF5A74">
            <w:pPr>
              <w:rPr>
                <w:rFonts w:asciiTheme="minorHAnsi" w:hAnsiTheme="minorHAnsi" w:cs="Arial"/>
                <w:b/>
                <w:sz w:val="20"/>
                <w:szCs w:val="20"/>
              </w:rPr>
            </w:pPr>
          </w:p>
        </w:tc>
        <w:tc>
          <w:tcPr>
            <w:tcW w:w="631" w:type="dxa"/>
          </w:tcPr>
          <w:p w14:paraId="45958276" w14:textId="77777777" w:rsidR="00FF65FC" w:rsidRPr="00701439" w:rsidRDefault="00FF65FC" w:rsidP="00AF5A74">
            <w:pPr>
              <w:jc w:val="right"/>
              <w:rPr>
                <w:rFonts w:asciiTheme="minorHAnsi" w:hAnsiTheme="minorHAnsi" w:cs="Arial"/>
                <w:sz w:val="20"/>
                <w:szCs w:val="20"/>
              </w:rPr>
            </w:pPr>
          </w:p>
        </w:tc>
        <w:tc>
          <w:tcPr>
            <w:tcW w:w="1177" w:type="dxa"/>
            <w:tcBorders>
              <w:top w:val="nil"/>
              <w:left w:val="nil"/>
              <w:right w:val="nil"/>
            </w:tcBorders>
            <w:shd w:val="clear" w:color="auto" w:fill="F2F2F2" w:themeFill="background1" w:themeFillShade="F2"/>
          </w:tcPr>
          <w:p w14:paraId="13BAD059" w14:textId="77777777" w:rsidR="00FF65FC" w:rsidRPr="00502543" w:rsidRDefault="00FF65FC" w:rsidP="00AF5A74">
            <w:pPr>
              <w:jc w:val="right"/>
              <w:rPr>
                <w:rFonts w:asciiTheme="minorHAnsi" w:hAnsiTheme="minorHAnsi" w:cs="Arial"/>
                <w:b/>
                <w:sz w:val="20"/>
                <w:szCs w:val="20"/>
              </w:rPr>
            </w:pPr>
            <w:r w:rsidRPr="00502543">
              <w:rPr>
                <w:rFonts w:asciiTheme="minorHAnsi" w:hAnsiTheme="minorHAnsi" w:cs="Arial"/>
                <w:b/>
                <w:sz w:val="20"/>
                <w:szCs w:val="20"/>
              </w:rPr>
              <w:t>£m </w:t>
            </w:r>
          </w:p>
        </w:tc>
        <w:tc>
          <w:tcPr>
            <w:tcW w:w="1177" w:type="dxa"/>
            <w:tcBorders>
              <w:top w:val="nil"/>
              <w:left w:val="nil"/>
              <w:right w:val="nil"/>
            </w:tcBorders>
          </w:tcPr>
          <w:p w14:paraId="00D793E5" w14:textId="77777777" w:rsidR="00FF65FC" w:rsidRPr="00701439" w:rsidRDefault="00FF65FC" w:rsidP="00AF5A74">
            <w:pPr>
              <w:jc w:val="right"/>
              <w:rPr>
                <w:rFonts w:asciiTheme="minorHAnsi" w:hAnsiTheme="minorHAnsi" w:cs="Arial"/>
                <w:sz w:val="20"/>
                <w:szCs w:val="20"/>
              </w:rPr>
            </w:pPr>
            <w:r w:rsidRPr="00701439">
              <w:rPr>
                <w:rFonts w:asciiTheme="minorHAnsi" w:hAnsiTheme="minorHAnsi" w:cs="Arial"/>
                <w:sz w:val="20"/>
                <w:szCs w:val="20"/>
              </w:rPr>
              <w:t>£m </w:t>
            </w:r>
          </w:p>
        </w:tc>
      </w:tr>
      <w:tr w:rsidR="00FF65FC" w:rsidRPr="00701439" w14:paraId="2425B411" w14:textId="77777777" w:rsidTr="00AF5A74">
        <w:tc>
          <w:tcPr>
            <w:tcW w:w="6938" w:type="dxa"/>
            <w:vAlign w:val="bottom"/>
          </w:tcPr>
          <w:p w14:paraId="7060760A" w14:textId="77777777" w:rsidR="00FF65FC" w:rsidRPr="00701439" w:rsidRDefault="00FF65FC" w:rsidP="00AF5A74">
            <w:pPr>
              <w:rPr>
                <w:rFonts w:asciiTheme="minorHAnsi" w:hAnsiTheme="minorHAnsi" w:cs="Arial"/>
                <w:sz w:val="20"/>
                <w:szCs w:val="20"/>
              </w:rPr>
            </w:pPr>
            <w:r w:rsidRPr="00701439">
              <w:rPr>
                <w:rFonts w:asciiTheme="minorHAnsi" w:hAnsiTheme="minorHAnsi" w:cs="Arial"/>
                <w:sz w:val="20"/>
                <w:szCs w:val="20"/>
              </w:rPr>
              <w:t>Interest income</w:t>
            </w:r>
          </w:p>
        </w:tc>
        <w:tc>
          <w:tcPr>
            <w:tcW w:w="631" w:type="dxa"/>
            <w:vAlign w:val="bottom"/>
          </w:tcPr>
          <w:p w14:paraId="3F9D4017" w14:textId="77777777" w:rsidR="00FF65FC" w:rsidRPr="00701439" w:rsidRDefault="00FF65FC" w:rsidP="00AF5A74">
            <w:pPr>
              <w:jc w:val="right"/>
              <w:rPr>
                <w:rFonts w:asciiTheme="minorHAnsi" w:hAnsiTheme="minorHAnsi" w:cs="Arial"/>
                <w:sz w:val="20"/>
                <w:szCs w:val="20"/>
              </w:rPr>
            </w:pPr>
            <w:r w:rsidRPr="00BA7A12">
              <w:rPr>
                <w:rFonts w:asciiTheme="minorHAnsi" w:hAnsiTheme="minorHAnsi" w:cs="Arial"/>
                <w:sz w:val="20"/>
                <w:szCs w:val="20"/>
              </w:rPr>
              <w:t>3</w:t>
            </w:r>
          </w:p>
        </w:tc>
        <w:tc>
          <w:tcPr>
            <w:tcW w:w="1177" w:type="dxa"/>
            <w:tcBorders>
              <w:top w:val="nil"/>
              <w:left w:val="nil"/>
              <w:right w:val="nil"/>
            </w:tcBorders>
            <w:shd w:val="clear" w:color="auto" w:fill="F2F2F2" w:themeFill="background1" w:themeFillShade="F2"/>
            <w:vAlign w:val="bottom"/>
          </w:tcPr>
          <w:p w14:paraId="0EB07FE9" w14:textId="3D198E45" w:rsidR="00FF65FC" w:rsidRPr="00BA7A12" w:rsidRDefault="00237D64" w:rsidP="00AF5A74">
            <w:pPr>
              <w:jc w:val="right"/>
              <w:rPr>
                <w:rFonts w:asciiTheme="minorHAnsi" w:hAnsiTheme="minorHAnsi" w:cs="Arial"/>
                <w:b/>
                <w:sz w:val="20"/>
                <w:szCs w:val="20"/>
              </w:rPr>
            </w:pPr>
            <w:r w:rsidRPr="00BA7A12">
              <w:rPr>
                <w:rFonts w:asciiTheme="minorHAnsi" w:hAnsiTheme="minorHAnsi" w:cs="Arial"/>
                <w:b/>
                <w:sz w:val="20"/>
                <w:szCs w:val="20"/>
              </w:rPr>
              <w:t>285.2</w:t>
            </w:r>
          </w:p>
        </w:tc>
        <w:tc>
          <w:tcPr>
            <w:tcW w:w="1177" w:type="dxa"/>
            <w:tcBorders>
              <w:top w:val="nil"/>
              <w:left w:val="nil"/>
              <w:right w:val="nil"/>
            </w:tcBorders>
            <w:shd w:val="clear" w:color="auto" w:fill="auto"/>
            <w:vAlign w:val="bottom"/>
          </w:tcPr>
          <w:p w14:paraId="2427C10C" w14:textId="3AA554E5" w:rsidR="00FF65FC" w:rsidRPr="00BA7A12" w:rsidRDefault="00C929AD" w:rsidP="00AF5A74">
            <w:pPr>
              <w:jc w:val="right"/>
              <w:rPr>
                <w:rFonts w:asciiTheme="minorHAnsi" w:hAnsiTheme="minorHAnsi" w:cs="Arial"/>
                <w:sz w:val="20"/>
                <w:szCs w:val="20"/>
              </w:rPr>
            </w:pPr>
            <w:r w:rsidRPr="00BA7A12">
              <w:rPr>
                <w:rFonts w:asciiTheme="minorHAnsi" w:hAnsiTheme="minorHAnsi" w:cs="Arial"/>
                <w:sz w:val="20"/>
                <w:szCs w:val="20"/>
              </w:rPr>
              <w:t>2</w:t>
            </w:r>
            <w:r w:rsidR="0082634B" w:rsidRPr="00BA7A12">
              <w:rPr>
                <w:rFonts w:asciiTheme="minorHAnsi" w:hAnsiTheme="minorHAnsi" w:cs="Arial"/>
                <w:sz w:val="20"/>
                <w:szCs w:val="20"/>
              </w:rPr>
              <w:t>64.8</w:t>
            </w:r>
          </w:p>
        </w:tc>
      </w:tr>
      <w:tr w:rsidR="00FF65FC" w:rsidRPr="00701439" w14:paraId="0EA4541F" w14:textId="77777777" w:rsidTr="00AF5A74">
        <w:tc>
          <w:tcPr>
            <w:tcW w:w="6938" w:type="dxa"/>
            <w:vAlign w:val="bottom"/>
          </w:tcPr>
          <w:p w14:paraId="5579A752" w14:textId="77777777" w:rsidR="00FF65FC" w:rsidRPr="00701439" w:rsidRDefault="00FF65FC" w:rsidP="00AF5A74">
            <w:pPr>
              <w:rPr>
                <w:rFonts w:asciiTheme="minorHAnsi" w:hAnsiTheme="minorHAnsi" w:cs="Arial"/>
                <w:sz w:val="20"/>
                <w:szCs w:val="20"/>
              </w:rPr>
            </w:pPr>
            <w:r w:rsidRPr="00701439">
              <w:rPr>
                <w:rFonts w:asciiTheme="minorHAnsi" w:hAnsiTheme="minorHAnsi" w:cs="Arial"/>
                <w:sz w:val="20"/>
                <w:szCs w:val="20"/>
              </w:rPr>
              <w:t>Interest expense</w:t>
            </w:r>
          </w:p>
        </w:tc>
        <w:tc>
          <w:tcPr>
            <w:tcW w:w="631" w:type="dxa"/>
            <w:vAlign w:val="bottom"/>
          </w:tcPr>
          <w:p w14:paraId="3714E901" w14:textId="77777777" w:rsidR="00FF65FC" w:rsidRPr="00701439" w:rsidRDefault="00FF65FC" w:rsidP="00AF5A74">
            <w:pPr>
              <w:jc w:val="right"/>
              <w:rPr>
                <w:rFonts w:asciiTheme="minorHAnsi" w:hAnsiTheme="minorHAnsi" w:cs="Arial"/>
                <w:sz w:val="20"/>
                <w:szCs w:val="20"/>
              </w:rPr>
            </w:pPr>
          </w:p>
        </w:tc>
        <w:tc>
          <w:tcPr>
            <w:tcW w:w="1177" w:type="dxa"/>
            <w:tcBorders>
              <w:top w:val="nil"/>
              <w:left w:val="nil"/>
              <w:bottom w:val="single" w:sz="4" w:space="0" w:color="auto"/>
              <w:right w:val="nil"/>
            </w:tcBorders>
            <w:shd w:val="clear" w:color="auto" w:fill="F2F2F2" w:themeFill="background1" w:themeFillShade="F2"/>
            <w:vAlign w:val="bottom"/>
          </w:tcPr>
          <w:p w14:paraId="383B9AA3" w14:textId="6599A473" w:rsidR="00FF65FC" w:rsidRPr="00BA7A12" w:rsidRDefault="00FF65FC" w:rsidP="00AF5A74">
            <w:pPr>
              <w:jc w:val="right"/>
              <w:rPr>
                <w:rFonts w:asciiTheme="minorHAnsi" w:hAnsiTheme="minorHAnsi" w:cs="Arial"/>
                <w:b/>
                <w:sz w:val="20"/>
                <w:szCs w:val="20"/>
              </w:rPr>
            </w:pPr>
            <w:r w:rsidRPr="00BA7A12">
              <w:rPr>
                <w:rFonts w:asciiTheme="minorHAnsi" w:hAnsiTheme="minorHAnsi" w:cs="Arial"/>
                <w:b/>
                <w:sz w:val="20"/>
                <w:szCs w:val="20"/>
              </w:rPr>
              <w:t>(</w:t>
            </w:r>
            <w:r w:rsidR="00237D64" w:rsidRPr="00BA7A12">
              <w:rPr>
                <w:rFonts w:asciiTheme="minorHAnsi" w:hAnsiTheme="minorHAnsi" w:cs="Arial"/>
                <w:b/>
                <w:sz w:val="20"/>
                <w:szCs w:val="20"/>
              </w:rPr>
              <w:t>70.7</w:t>
            </w:r>
            <w:r w:rsidRPr="00BA7A12">
              <w:rPr>
                <w:rFonts w:asciiTheme="minorHAnsi" w:hAnsiTheme="minorHAnsi" w:cs="Arial"/>
                <w:b/>
                <w:sz w:val="20"/>
                <w:szCs w:val="20"/>
              </w:rPr>
              <w:t>)</w:t>
            </w:r>
          </w:p>
        </w:tc>
        <w:tc>
          <w:tcPr>
            <w:tcW w:w="1177" w:type="dxa"/>
            <w:tcBorders>
              <w:top w:val="nil"/>
              <w:left w:val="nil"/>
              <w:bottom w:val="single" w:sz="4" w:space="0" w:color="auto"/>
              <w:right w:val="nil"/>
            </w:tcBorders>
            <w:shd w:val="clear" w:color="auto" w:fill="auto"/>
            <w:vAlign w:val="bottom"/>
          </w:tcPr>
          <w:p w14:paraId="61A83FCC" w14:textId="7F833DD8" w:rsidR="00FF65FC" w:rsidRPr="00BA7A12" w:rsidRDefault="00FF65FC" w:rsidP="00AF5A74">
            <w:pPr>
              <w:jc w:val="right"/>
              <w:rPr>
                <w:rFonts w:asciiTheme="minorHAnsi" w:hAnsiTheme="minorHAnsi" w:cs="Arial"/>
                <w:sz w:val="20"/>
                <w:szCs w:val="20"/>
              </w:rPr>
            </w:pPr>
            <w:r w:rsidRPr="00BA7A12">
              <w:rPr>
                <w:rFonts w:asciiTheme="minorHAnsi" w:hAnsiTheme="minorHAnsi" w:cs="Arial"/>
                <w:sz w:val="20"/>
                <w:szCs w:val="20"/>
              </w:rPr>
              <w:t>(</w:t>
            </w:r>
            <w:r w:rsidR="0082634B" w:rsidRPr="00BA7A12">
              <w:rPr>
                <w:rFonts w:asciiTheme="minorHAnsi" w:hAnsiTheme="minorHAnsi" w:cs="Arial"/>
                <w:sz w:val="20"/>
                <w:szCs w:val="20"/>
              </w:rPr>
              <w:t>50.3</w:t>
            </w:r>
            <w:r w:rsidRPr="00BA7A12">
              <w:rPr>
                <w:rFonts w:asciiTheme="minorHAnsi" w:hAnsiTheme="minorHAnsi" w:cs="Arial"/>
                <w:sz w:val="20"/>
                <w:szCs w:val="20"/>
              </w:rPr>
              <w:t>)</w:t>
            </w:r>
          </w:p>
        </w:tc>
      </w:tr>
      <w:tr w:rsidR="00FF65FC" w:rsidRPr="00701439" w14:paraId="752D9F84" w14:textId="77777777" w:rsidTr="00AF5A74">
        <w:tc>
          <w:tcPr>
            <w:tcW w:w="6938" w:type="dxa"/>
            <w:vAlign w:val="bottom"/>
          </w:tcPr>
          <w:p w14:paraId="513BE906" w14:textId="77777777" w:rsidR="00FF65FC" w:rsidRPr="00701439" w:rsidRDefault="00FF65FC" w:rsidP="00AF5A74">
            <w:pPr>
              <w:rPr>
                <w:rFonts w:asciiTheme="minorHAnsi" w:hAnsiTheme="minorHAnsi" w:cs="Arial"/>
                <w:b/>
                <w:bCs/>
                <w:sz w:val="20"/>
                <w:szCs w:val="20"/>
              </w:rPr>
            </w:pPr>
            <w:r w:rsidRPr="00701439">
              <w:rPr>
                <w:rFonts w:asciiTheme="minorHAnsi" w:hAnsiTheme="minorHAnsi" w:cs="Arial"/>
                <w:b/>
                <w:bCs/>
                <w:sz w:val="20"/>
                <w:szCs w:val="20"/>
              </w:rPr>
              <w:t>Net interest income</w:t>
            </w:r>
          </w:p>
        </w:tc>
        <w:tc>
          <w:tcPr>
            <w:tcW w:w="631" w:type="dxa"/>
            <w:vAlign w:val="bottom"/>
          </w:tcPr>
          <w:p w14:paraId="02677B20" w14:textId="77777777" w:rsidR="00FF65FC" w:rsidRPr="00701439" w:rsidRDefault="00FF65FC" w:rsidP="00AF5A74">
            <w:pPr>
              <w:jc w:val="right"/>
              <w:rPr>
                <w:rFonts w:asciiTheme="minorHAnsi" w:hAnsiTheme="minorHAnsi" w:cs="Arial"/>
                <w:sz w:val="20"/>
                <w:szCs w:val="20"/>
              </w:rPr>
            </w:pPr>
          </w:p>
        </w:tc>
        <w:tc>
          <w:tcPr>
            <w:tcW w:w="1177" w:type="dxa"/>
            <w:tcBorders>
              <w:top w:val="single" w:sz="4" w:space="0" w:color="auto"/>
              <w:left w:val="nil"/>
              <w:bottom w:val="single" w:sz="4" w:space="0" w:color="auto"/>
              <w:right w:val="nil"/>
            </w:tcBorders>
            <w:shd w:val="clear" w:color="auto" w:fill="F2F2F2" w:themeFill="background1" w:themeFillShade="F2"/>
            <w:vAlign w:val="bottom"/>
          </w:tcPr>
          <w:p w14:paraId="56EB3C56" w14:textId="2CD9882C" w:rsidR="00FF65FC" w:rsidRPr="00BA7A12" w:rsidRDefault="00237D64" w:rsidP="00AF5A74">
            <w:pPr>
              <w:jc w:val="right"/>
              <w:rPr>
                <w:rFonts w:asciiTheme="minorHAnsi" w:hAnsiTheme="minorHAnsi" w:cs="Arial"/>
                <w:b/>
                <w:sz w:val="20"/>
                <w:szCs w:val="20"/>
              </w:rPr>
            </w:pPr>
            <w:r w:rsidRPr="00BA7A12">
              <w:rPr>
                <w:rFonts w:asciiTheme="minorHAnsi" w:hAnsiTheme="minorHAnsi" w:cs="Arial"/>
                <w:b/>
                <w:sz w:val="20"/>
                <w:szCs w:val="20"/>
              </w:rPr>
              <w:t>214.</w:t>
            </w:r>
            <w:r w:rsidR="00914C50" w:rsidRPr="00BA7A12">
              <w:rPr>
                <w:rFonts w:asciiTheme="minorHAnsi" w:hAnsiTheme="minorHAnsi" w:cs="Arial"/>
                <w:b/>
                <w:sz w:val="20"/>
                <w:szCs w:val="20"/>
              </w:rPr>
              <w:t>5</w:t>
            </w:r>
          </w:p>
        </w:tc>
        <w:tc>
          <w:tcPr>
            <w:tcW w:w="1177" w:type="dxa"/>
            <w:tcBorders>
              <w:top w:val="single" w:sz="4" w:space="0" w:color="auto"/>
              <w:left w:val="nil"/>
              <w:bottom w:val="single" w:sz="4" w:space="0" w:color="auto"/>
              <w:right w:val="nil"/>
            </w:tcBorders>
            <w:shd w:val="clear" w:color="auto" w:fill="auto"/>
            <w:vAlign w:val="bottom"/>
          </w:tcPr>
          <w:p w14:paraId="1976948D" w14:textId="488DF102" w:rsidR="00FF65FC" w:rsidRPr="00BA7A12" w:rsidRDefault="00C929AD" w:rsidP="00AF5A74">
            <w:pPr>
              <w:jc w:val="right"/>
              <w:rPr>
                <w:rFonts w:asciiTheme="minorHAnsi" w:hAnsiTheme="minorHAnsi" w:cs="Arial"/>
                <w:sz w:val="20"/>
                <w:szCs w:val="20"/>
              </w:rPr>
            </w:pPr>
            <w:r w:rsidRPr="00BA7A12">
              <w:rPr>
                <w:rFonts w:asciiTheme="minorHAnsi" w:hAnsiTheme="minorHAnsi" w:cs="Arial"/>
                <w:sz w:val="20"/>
                <w:szCs w:val="20"/>
              </w:rPr>
              <w:t>2</w:t>
            </w:r>
            <w:r w:rsidR="00743A63" w:rsidRPr="00BA7A12">
              <w:rPr>
                <w:rFonts w:asciiTheme="minorHAnsi" w:hAnsiTheme="minorHAnsi" w:cs="Arial"/>
                <w:sz w:val="20"/>
                <w:szCs w:val="20"/>
              </w:rPr>
              <w:t>14.5</w:t>
            </w:r>
          </w:p>
        </w:tc>
      </w:tr>
      <w:tr w:rsidR="00FF65FC" w:rsidRPr="00701439" w14:paraId="3F4C494D" w14:textId="77777777" w:rsidTr="00AF5A74">
        <w:tc>
          <w:tcPr>
            <w:tcW w:w="6938" w:type="dxa"/>
            <w:vAlign w:val="bottom"/>
          </w:tcPr>
          <w:p w14:paraId="724D70EE" w14:textId="77777777" w:rsidR="00FF65FC" w:rsidRPr="00701439" w:rsidRDefault="00FF65FC" w:rsidP="00AF5A74">
            <w:pPr>
              <w:rPr>
                <w:rFonts w:asciiTheme="minorHAnsi" w:hAnsiTheme="minorHAnsi" w:cs="Arial"/>
                <w:sz w:val="20"/>
                <w:szCs w:val="20"/>
              </w:rPr>
            </w:pPr>
            <w:r w:rsidRPr="00701439">
              <w:rPr>
                <w:rFonts w:asciiTheme="minorHAnsi" w:hAnsiTheme="minorHAnsi" w:cs="Arial"/>
                <w:sz w:val="20"/>
                <w:szCs w:val="20"/>
              </w:rPr>
              <w:t>Fee and commission income</w:t>
            </w:r>
          </w:p>
        </w:tc>
        <w:tc>
          <w:tcPr>
            <w:tcW w:w="631" w:type="dxa"/>
            <w:vAlign w:val="bottom"/>
          </w:tcPr>
          <w:p w14:paraId="1FF23C8B" w14:textId="77777777" w:rsidR="00FF65FC" w:rsidRPr="00701439" w:rsidRDefault="00FF65FC" w:rsidP="00AF5A74">
            <w:pPr>
              <w:jc w:val="right"/>
              <w:rPr>
                <w:rFonts w:asciiTheme="minorHAnsi" w:hAnsiTheme="minorHAnsi" w:cs="Arial"/>
                <w:sz w:val="20"/>
                <w:szCs w:val="20"/>
              </w:rPr>
            </w:pPr>
            <w:r w:rsidRPr="00BA7A12">
              <w:rPr>
                <w:rFonts w:asciiTheme="minorHAnsi" w:hAnsiTheme="minorHAnsi" w:cs="Arial"/>
                <w:sz w:val="20"/>
                <w:szCs w:val="20"/>
              </w:rPr>
              <w:t>4</w:t>
            </w:r>
          </w:p>
        </w:tc>
        <w:tc>
          <w:tcPr>
            <w:tcW w:w="1177" w:type="dxa"/>
            <w:tcBorders>
              <w:top w:val="single" w:sz="4" w:space="0" w:color="auto"/>
              <w:left w:val="nil"/>
              <w:right w:val="nil"/>
            </w:tcBorders>
            <w:shd w:val="clear" w:color="auto" w:fill="F2F2F2" w:themeFill="background1" w:themeFillShade="F2"/>
            <w:vAlign w:val="bottom"/>
          </w:tcPr>
          <w:p w14:paraId="2B09717F" w14:textId="1A99D410" w:rsidR="00FF65FC" w:rsidRPr="00BA7A12" w:rsidRDefault="00237D64" w:rsidP="00AF5A74">
            <w:pPr>
              <w:jc w:val="right"/>
              <w:rPr>
                <w:rFonts w:asciiTheme="minorHAnsi" w:hAnsiTheme="minorHAnsi" w:cs="Arial"/>
                <w:b/>
                <w:sz w:val="20"/>
                <w:szCs w:val="20"/>
              </w:rPr>
            </w:pPr>
            <w:r w:rsidRPr="00BA7A12">
              <w:rPr>
                <w:rFonts w:asciiTheme="minorHAnsi" w:hAnsiTheme="minorHAnsi" w:cs="Arial"/>
                <w:b/>
                <w:sz w:val="20"/>
                <w:szCs w:val="20"/>
              </w:rPr>
              <w:t>20.1</w:t>
            </w:r>
          </w:p>
        </w:tc>
        <w:tc>
          <w:tcPr>
            <w:tcW w:w="1177" w:type="dxa"/>
            <w:tcBorders>
              <w:top w:val="single" w:sz="4" w:space="0" w:color="auto"/>
              <w:left w:val="nil"/>
              <w:right w:val="nil"/>
            </w:tcBorders>
            <w:shd w:val="clear" w:color="auto" w:fill="auto"/>
            <w:vAlign w:val="bottom"/>
          </w:tcPr>
          <w:p w14:paraId="2453D62D" w14:textId="42A6D284" w:rsidR="00FF65FC" w:rsidRPr="00BA7A12" w:rsidRDefault="00FA4D81" w:rsidP="00AF5A74">
            <w:pPr>
              <w:jc w:val="right"/>
              <w:rPr>
                <w:rFonts w:asciiTheme="minorHAnsi" w:hAnsiTheme="minorHAnsi" w:cs="Arial"/>
                <w:sz w:val="20"/>
                <w:szCs w:val="20"/>
              </w:rPr>
            </w:pPr>
            <w:r w:rsidRPr="00BA7A12">
              <w:rPr>
                <w:rFonts w:asciiTheme="minorHAnsi" w:hAnsiTheme="minorHAnsi" w:cs="Arial"/>
                <w:sz w:val="20"/>
                <w:szCs w:val="20"/>
              </w:rPr>
              <w:t>21.5</w:t>
            </w:r>
          </w:p>
        </w:tc>
      </w:tr>
      <w:tr w:rsidR="00FF65FC" w:rsidRPr="00701439" w14:paraId="1484756E" w14:textId="77777777" w:rsidTr="00AF5A74">
        <w:tc>
          <w:tcPr>
            <w:tcW w:w="6938" w:type="dxa"/>
            <w:vAlign w:val="bottom"/>
          </w:tcPr>
          <w:p w14:paraId="6CA4D75A" w14:textId="77777777" w:rsidR="00FF65FC" w:rsidRPr="00701439" w:rsidRDefault="00FF65FC" w:rsidP="00AF5A74">
            <w:pPr>
              <w:rPr>
                <w:rFonts w:asciiTheme="minorHAnsi" w:hAnsiTheme="minorHAnsi" w:cs="Arial"/>
                <w:sz w:val="20"/>
                <w:szCs w:val="20"/>
              </w:rPr>
            </w:pPr>
            <w:r w:rsidRPr="00701439">
              <w:rPr>
                <w:rFonts w:asciiTheme="minorHAnsi" w:hAnsiTheme="minorHAnsi" w:cs="Arial"/>
                <w:sz w:val="20"/>
                <w:szCs w:val="20"/>
              </w:rPr>
              <w:t>Fee and commission expense</w:t>
            </w:r>
          </w:p>
        </w:tc>
        <w:tc>
          <w:tcPr>
            <w:tcW w:w="631" w:type="dxa"/>
            <w:vAlign w:val="bottom"/>
          </w:tcPr>
          <w:p w14:paraId="0AE6835F" w14:textId="77777777" w:rsidR="00FF65FC" w:rsidRPr="00701439" w:rsidRDefault="00FF65FC" w:rsidP="00AF5A74">
            <w:pPr>
              <w:jc w:val="right"/>
              <w:rPr>
                <w:rFonts w:asciiTheme="minorHAnsi" w:hAnsiTheme="minorHAnsi" w:cs="Arial"/>
                <w:sz w:val="20"/>
                <w:szCs w:val="20"/>
              </w:rPr>
            </w:pPr>
          </w:p>
        </w:tc>
        <w:tc>
          <w:tcPr>
            <w:tcW w:w="1177" w:type="dxa"/>
            <w:tcBorders>
              <w:left w:val="nil"/>
              <w:bottom w:val="single" w:sz="4" w:space="0" w:color="auto"/>
              <w:right w:val="nil"/>
            </w:tcBorders>
            <w:shd w:val="clear" w:color="auto" w:fill="F2F2F2" w:themeFill="background1" w:themeFillShade="F2"/>
            <w:vAlign w:val="bottom"/>
          </w:tcPr>
          <w:p w14:paraId="484A87BD" w14:textId="5994912C" w:rsidR="00FF65FC" w:rsidRPr="00BA7A12" w:rsidRDefault="00FF65FC" w:rsidP="00AF5A74">
            <w:pPr>
              <w:jc w:val="right"/>
              <w:rPr>
                <w:rFonts w:asciiTheme="minorHAnsi" w:hAnsiTheme="minorHAnsi" w:cs="Arial"/>
                <w:b/>
                <w:sz w:val="20"/>
                <w:szCs w:val="20"/>
              </w:rPr>
            </w:pPr>
            <w:r w:rsidRPr="00BA7A12">
              <w:rPr>
                <w:rFonts w:asciiTheme="minorHAnsi" w:hAnsiTheme="minorHAnsi" w:cs="Arial"/>
                <w:b/>
                <w:sz w:val="20"/>
                <w:szCs w:val="20"/>
              </w:rPr>
              <w:t>(</w:t>
            </w:r>
            <w:r w:rsidR="00237D64" w:rsidRPr="00BA7A12">
              <w:rPr>
                <w:rFonts w:asciiTheme="minorHAnsi" w:hAnsiTheme="minorHAnsi" w:cs="Arial"/>
                <w:b/>
                <w:sz w:val="20"/>
                <w:szCs w:val="20"/>
              </w:rPr>
              <w:t>0.8</w:t>
            </w:r>
            <w:r w:rsidRPr="00BA7A12">
              <w:rPr>
                <w:rFonts w:asciiTheme="minorHAnsi" w:hAnsiTheme="minorHAnsi" w:cs="Arial"/>
                <w:b/>
                <w:sz w:val="20"/>
                <w:szCs w:val="20"/>
              </w:rPr>
              <w:t>)</w:t>
            </w:r>
          </w:p>
        </w:tc>
        <w:tc>
          <w:tcPr>
            <w:tcW w:w="1177" w:type="dxa"/>
            <w:tcBorders>
              <w:left w:val="nil"/>
              <w:bottom w:val="single" w:sz="4" w:space="0" w:color="auto"/>
              <w:right w:val="nil"/>
            </w:tcBorders>
            <w:shd w:val="clear" w:color="auto" w:fill="auto"/>
            <w:vAlign w:val="bottom"/>
          </w:tcPr>
          <w:p w14:paraId="6E462849" w14:textId="0C66B390" w:rsidR="00FF65FC" w:rsidRPr="00BA7A12" w:rsidRDefault="00FF65FC" w:rsidP="00AF5A74">
            <w:pPr>
              <w:jc w:val="right"/>
              <w:rPr>
                <w:rFonts w:asciiTheme="minorHAnsi" w:hAnsiTheme="minorHAnsi" w:cs="Arial"/>
                <w:sz w:val="20"/>
                <w:szCs w:val="20"/>
              </w:rPr>
            </w:pPr>
            <w:r w:rsidRPr="00BA7A12">
              <w:rPr>
                <w:rFonts w:asciiTheme="minorHAnsi" w:hAnsiTheme="minorHAnsi" w:cs="Arial"/>
                <w:sz w:val="20"/>
                <w:szCs w:val="20"/>
              </w:rPr>
              <w:t>(</w:t>
            </w:r>
            <w:r w:rsidR="00FA4D81" w:rsidRPr="00BA7A12">
              <w:rPr>
                <w:rFonts w:asciiTheme="minorHAnsi" w:hAnsiTheme="minorHAnsi" w:cs="Arial"/>
                <w:sz w:val="20"/>
                <w:szCs w:val="20"/>
              </w:rPr>
              <w:t>0.7</w:t>
            </w:r>
            <w:r w:rsidRPr="00BA7A12">
              <w:rPr>
                <w:rFonts w:asciiTheme="minorHAnsi" w:hAnsiTheme="minorHAnsi" w:cs="Arial"/>
                <w:sz w:val="20"/>
                <w:szCs w:val="20"/>
              </w:rPr>
              <w:t>)</w:t>
            </w:r>
          </w:p>
        </w:tc>
      </w:tr>
      <w:tr w:rsidR="00FF65FC" w:rsidRPr="00701439" w14:paraId="4075CBA1" w14:textId="77777777" w:rsidTr="00AF5A74">
        <w:trPr>
          <w:trHeight w:val="195"/>
        </w:trPr>
        <w:tc>
          <w:tcPr>
            <w:tcW w:w="6938" w:type="dxa"/>
            <w:vAlign w:val="bottom"/>
          </w:tcPr>
          <w:p w14:paraId="3899A8A5" w14:textId="77777777" w:rsidR="00FF65FC" w:rsidRPr="00701439" w:rsidRDefault="00FF65FC" w:rsidP="00AF5A74">
            <w:pPr>
              <w:rPr>
                <w:rFonts w:asciiTheme="minorHAnsi" w:hAnsiTheme="minorHAnsi" w:cs="Arial"/>
                <w:b/>
                <w:bCs/>
                <w:sz w:val="20"/>
                <w:szCs w:val="20"/>
              </w:rPr>
            </w:pPr>
            <w:r w:rsidRPr="00701439">
              <w:rPr>
                <w:rFonts w:asciiTheme="minorHAnsi" w:hAnsiTheme="minorHAnsi" w:cs="Arial"/>
                <w:b/>
                <w:bCs/>
                <w:sz w:val="20"/>
                <w:szCs w:val="20"/>
              </w:rPr>
              <w:t>Net fee and commission income</w:t>
            </w:r>
          </w:p>
        </w:tc>
        <w:tc>
          <w:tcPr>
            <w:tcW w:w="631" w:type="dxa"/>
            <w:vAlign w:val="bottom"/>
          </w:tcPr>
          <w:p w14:paraId="79E797CE" w14:textId="77777777" w:rsidR="00FF65FC" w:rsidRPr="00701439" w:rsidRDefault="00FF65FC" w:rsidP="00AF5A74">
            <w:pPr>
              <w:jc w:val="right"/>
              <w:rPr>
                <w:rFonts w:asciiTheme="minorHAnsi" w:hAnsiTheme="minorHAnsi" w:cs="Arial"/>
                <w:sz w:val="20"/>
                <w:szCs w:val="20"/>
              </w:rPr>
            </w:pPr>
          </w:p>
        </w:tc>
        <w:tc>
          <w:tcPr>
            <w:tcW w:w="1177" w:type="dxa"/>
            <w:tcBorders>
              <w:top w:val="single" w:sz="4" w:space="0" w:color="auto"/>
              <w:left w:val="nil"/>
              <w:bottom w:val="single" w:sz="4" w:space="0" w:color="auto"/>
              <w:right w:val="nil"/>
            </w:tcBorders>
            <w:shd w:val="clear" w:color="auto" w:fill="F2F2F2" w:themeFill="background1" w:themeFillShade="F2"/>
            <w:vAlign w:val="bottom"/>
          </w:tcPr>
          <w:p w14:paraId="44B7C02F" w14:textId="14347A69" w:rsidR="00FF65FC" w:rsidRPr="00BA7A12" w:rsidRDefault="00237D64" w:rsidP="00AF5A74">
            <w:pPr>
              <w:jc w:val="right"/>
              <w:rPr>
                <w:rFonts w:asciiTheme="minorHAnsi" w:hAnsiTheme="minorHAnsi" w:cs="Arial"/>
                <w:b/>
                <w:sz w:val="20"/>
                <w:szCs w:val="20"/>
              </w:rPr>
            </w:pPr>
            <w:r w:rsidRPr="00BA7A12">
              <w:rPr>
                <w:rFonts w:asciiTheme="minorHAnsi" w:hAnsiTheme="minorHAnsi" w:cs="Arial"/>
                <w:b/>
                <w:sz w:val="20"/>
                <w:szCs w:val="20"/>
              </w:rPr>
              <w:t>19.3</w:t>
            </w:r>
          </w:p>
        </w:tc>
        <w:tc>
          <w:tcPr>
            <w:tcW w:w="1177" w:type="dxa"/>
            <w:tcBorders>
              <w:top w:val="single" w:sz="4" w:space="0" w:color="auto"/>
              <w:left w:val="nil"/>
              <w:bottom w:val="single" w:sz="4" w:space="0" w:color="auto"/>
              <w:right w:val="nil"/>
            </w:tcBorders>
            <w:shd w:val="clear" w:color="auto" w:fill="auto"/>
            <w:vAlign w:val="bottom"/>
          </w:tcPr>
          <w:p w14:paraId="585498C6" w14:textId="01BA6498" w:rsidR="00FF65FC" w:rsidRPr="00BA7A12" w:rsidRDefault="00FA4D81" w:rsidP="00AF5A74">
            <w:pPr>
              <w:jc w:val="right"/>
              <w:rPr>
                <w:rFonts w:asciiTheme="minorHAnsi" w:hAnsiTheme="minorHAnsi" w:cs="Arial"/>
                <w:sz w:val="20"/>
                <w:szCs w:val="20"/>
              </w:rPr>
            </w:pPr>
            <w:r w:rsidRPr="00BA7A12">
              <w:rPr>
                <w:rFonts w:asciiTheme="minorHAnsi" w:hAnsiTheme="minorHAnsi" w:cs="Arial"/>
                <w:sz w:val="20"/>
                <w:szCs w:val="20"/>
              </w:rPr>
              <w:t>20.8</w:t>
            </w:r>
          </w:p>
        </w:tc>
      </w:tr>
      <w:tr w:rsidR="00FF65FC" w:rsidRPr="00701439" w14:paraId="57F8225F" w14:textId="77777777" w:rsidTr="00AF5A74">
        <w:trPr>
          <w:trHeight w:val="195"/>
        </w:trPr>
        <w:tc>
          <w:tcPr>
            <w:tcW w:w="6938" w:type="dxa"/>
            <w:vAlign w:val="bottom"/>
          </w:tcPr>
          <w:p w14:paraId="0211C851" w14:textId="77777777" w:rsidR="00FF65FC" w:rsidRPr="00701439" w:rsidRDefault="00FF65FC" w:rsidP="00AF5A74">
            <w:pPr>
              <w:rPr>
                <w:rFonts w:asciiTheme="minorHAnsi" w:hAnsiTheme="minorHAnsi" w:cs="Arial"/>
                <w:sz w:val="20"/>
                <w:szCs w:val="20"/>
              </w:rPr>
            </w:pPr>
            <w:r w:rsidRPr="00701439">
              <w:rPr>
                <w:rFonts w:asciiTheme="minorHAnsi" w:hAnsiTheme="minorHAnsi" w:cs="Arial"/>
                <w:sz w:val="20"/>
                <w:szCs w:val="20"/>
              </w:rPr>
              <w:t>Other income and net fair value gains</w:t>
            </w:r>
          </w:p>
        </w:tc>
        <w:tc>
          <w:tcPr>
            <w:tcW w:w="631" w:type="dxa"/>
            <w:vAlign w:val="bottom"/>
          </w:tcPr>
          <w:p w14:paraId="7F3E8352" w14:textId="77777777" w:rsidR="00FF65FC" w:rsidRPr="00701439" w:rsidRDefault="00FF65FC" w:rsidP="00AF5A74">
            <w:pPr>
              <w:jc w:val="right"/>
              <w:rPr>
                <w:rFonts w:asciiTheme="minorHAnsi" w:hAnsiTheme="minorHAnsi" w:cs="Arial"/>
                <w:sz w:val="20"/>
                <w:szCs w:val="20"/>
              </w:rPr>
            </w:pPr>
          </w:p>
        </w:tc>
        <w:tc>
          <w:tcPr>
            <w:tcW w:w="1177" w:type="dxa"/>
            <w:tcBorders>
              <w:top w:val="single" w:sz="4" w:space="0" w:color="auto"/>
              <w:left w:val="nil"/>
              <w:right w:val="nil"/>
            </w:tcBorders>
            <w:shd w:val="clear" w:color="auto" w:fill="F2F2F2" w:themeFill="background1" w:themeFillShade="F2"/>
            <w:vAlign w:val="bottom"/>
          </w:tcPr>
          <w:p w14:paraId="1C40CDF7" w14:textId="09E2F150" w:rsidR="00FF65FC" w:rsidRPr="00BA7A12" w:rsidRDefault="00237D64" w:rsidP="00AF5A74">
            <w:pPr>
              <w:jc w:val="right"/>
              <w:rPr>
                <w:rFonts w:asciiTheme="minorHAnsi" w:hAnsiTheme="minorHAnsi" w:cs="Arial"/>
                <w:b/>
                <w:sz w:val="20"/>
                <w:szCs w:val="20"/>
              </w:rPr>
            </w:pPr>
            <w:r w:rsidRPr="00BA7A12">
              <w:rPr>
                <w:rFonts w:asciiTheme="minorHAnsi" w:hAnsiTheme="minorHAnsi" w:cs="Arial"/>
                <w:b/>
                <w:sz w:val="20"/>
                <w:szCs w:val="20"/>
              </w:rPr>
              <w:t>0.2</w:t>
            </w:r>
          </w:p>
        </w:tc>
        <w:tc>
          <w:tcPr>
            <w:tcW w:w="1177" w:type="dxa"/>
            <w:tcBorders>
              <w:top w:val="single" w:sz="4" w:space="0" w:color="auto"/>
              <w:left w:val="nil"/>
              <w:right w:val="nil"/>
            </w:tcBorders>
            <w:shd w:val="clear" w:color="auto" w:fill="auto"/>
            <w:vAlign w:val="bottom"/>
          </w:tcPr>
          <w:p w14:paraId="7D2A39CB" w14:textId="5AECA948" w:rsidR="00FF65FC" w:rsidRPr="00BA7A12" w:rsidRDefault="00743A63" w:rsidP="00AF5A74">
            <w:pPr>
              <w:jc w:val="right"/>
              <w:rPr>
                <w:rFonts w:asciiTheme="minorHAnsi" w:hAnsiTheme="minorHAnsi" w:cs="Arial"/>
                <w:sz w:val="20"/>
                <w:szCs w:val="20"/>
              </w:rPr>
            </w:pPr>
            <w:r w:rsidRPr="00BA7A12">
              <w:rPr>
                <w:rFonts w:asciiTheme="minorHAnsi" w:hAnsiTheme="minorHAnsi" w:cs="Arial"/>
                <w:sz w:val="20"/>
                <w:szCs w:val="20"/>
              </w:rPr>
              <w:t>1.8</w:t>
            </w:r>
          </w:p>
        </w:tc>
      </w:tr>
      <w:tr w:rsidR="00FF65FC" w:rsidRPr="00701439" w14:paraId="0B478FEF" w14:textId="77777777" w:rsidTr="00AF5A74">
        <w:trPr>
          <w:trHeight w:val="195"/>
        </w:trPr>
        <w:tc>
          <w:tcPr>
            <w:tcW w:w="6938" w:type="dxa"/>
            <w:vAlign w:val="bottom"/>
          </w:tcPr>
          <w:p w14:paraId="654B79A4" w14:textId="77777777" w:rsidR="00FF65FC" w:rsidRPr="00701439" w:rsidRDefault="00FF65FC" w:rsidP="00AF5A74">
            <w:pPr>
              <w:rPr>
                <w:rFonts w:asciiTheme="minorHAnsi" w:hAnsiTheme="minorHAnsi" w:cs="Arial"/>
                <w:b/>
                <w:bCs/>
                <w:sz w:val="20"/>
                <w:szCs w:val="20"/>
              </w:rPr>
            </w:pPr>
            <w:r w:rsidRPr="00701439">
              <w:rPr>
                <w:rFonts w:asciiTheme="minorHAnsi" w:hAnsiTheme="minorHAnsi" w:cs="Arial"/>
                <w:b/>
                <w:bCs/>
                <w:sz w:val="20"/>
                <w:szCs w:val="20"/>
              </w:rPr>
              <w:t>Total income</w:t>
            </w:r>
          </w:p>
        </w:tc>
        <w:tc>
          <w:tcPr>
            <w:tcW w:w="631" w:type="dxa"/>
            <w:vAlign w:val="bottom"/>
          </w:tcPr>
          <w:p w14:paraId="1B866E55" w14:textId="77777777" w:rsidR="00FF65FC" w:rsidRPr="00701439" w:rsidRDefault="00FF65FC" w:rsidP="00AF5A74">
            <w:pPr>
              <w:jc w:val="right"/>
              <w:rPr>
                <w:rFonts w:asciiTheme="minorHAnsi" w:hAnsiTheme="minorHAnsi" w:cs="Arial"/>
                <w:sz w:val="20"/>
                <w:szCs w:val="20"/>
              </w:rPr>
            </w:pPr>
          </w:p>
        </w:tc>
        <w:tc>
          <w:tcPr>
            <w:tcW w:w="1177" w:type="dxa"/>
            <w:tcBorders>
              <w:top w:val="single" w:sz="4" w:space="0" w:color="auto"/>
              <w:left w:val="nil"/>
              <w:right w:val="nil"/>
            </w:tcBorders>
            <w:shd w:val="clear" w:color="auto" w:fill="F2F2F2" w:themeFill="background1" w:themeFillShade="F2"/>
            <w:vAlign w:val="bottom"/>
          </w:tcPr>
          <w:p w14:paraId="0F437FFC" w14:textId="12F6FDD9" w:rsidR="00FF65FC" w:rsidRPr="00BA7A12" w:rsidRDefault="00237D64" w:rsidP="00AF5A74">
            <w:pPr>
              <w:jc w:val="right"/>
              <w:rPr>
                <w:rFonts w:asciiTheme="minorHAnsi" w:hAnsiTheme="minorHAnsi" w:cs="Arial"/>
                <w:b/>
                <w:sz w:val="20"/>
                <w:szCs w:val="20"/>
              </w:rPr>
            </w:pPr>
            <w:r w:rsidRPr="00BA7A12">
              <w:rPr>
                <w:rFonts w:asciiTheme="minorHAnsi" w:hAnsiTheme="minorHAnsi" w:cs="Arial"/>
                <w:b/>
                <w:sz w:val="20"/>
                <w:szCs w:val="20"/>
              </w:rPr>
              <w:t>23</w:t>
            </w:r>
            <w:r w:rsidR="00491CD5" w:rsidRPr="00BA7A12">
              <w:rPr>
                <w:rFonts w:asciiTheme="minorHAnsi" w:hAnsiTheme="minorHAnsi" w:cs="Arial"/>
                <w:b/>
                <w:sz w:val="20"/>
                <w:szCs w:val="20"/>
              </w:rPr>
              <w:t>4.0</w:t>
            </w:r>
          </w:p>
        </w:tc>
        <w:tc>
          <w:tcPr>
            <w:tcW w:w="1177" w:type="dxa"/>
            <w:tcBorders>
              <w:top w:val="single" w:sz="4" w:space="0" w:color="auto"/>
              <w:left w:val="nil"/>
              <w:right w:val="nil"/>
            </w:tcBorders>
            <w:shd w:val="clear" w:color="auto" w:fill="auto"/>
            <w:vAlign w:val="bottom"/>
          </w:tcPr>
          <w:p w14:paraId="2B919681" w14:textId="7CD2D316" w:rsidR="00FF65FC" w:rsidRPr="00BA7A12" w:rsidRDefault="0083108B" w:rsidP="00AF5A74">
            <w:pPr>
              <w:jc w:val="right"/>
              <w:rPr>
                <w:rFonts w:asciiTheme="minorHAnsi" w:hAnsiTheme="minorHAnsi" w:cs="Arial"/>
                <w:sz w:val="20"/>
                <w:szCs w:val="20"/>
              </w:rPr>
            </w:pPr>
            <w:r w:rsidRPr="00BA7A12">
              <w:rPr>
                <w:rFonts w:asciiTheme="minorHAnsi" w:hAnsiTheme="minorHAnsi" w:cs="Arial"/>
                <w:sz w:val="20"/>
                <w:szCs w:val="20"/>
              </w:rPr>
              <w:t>237.1</w:t>
            </w:r>
          </w:p>
        </w:tc>
      </w:tr>
      <w:tr w:rsidR="00FF65FC" w:rsidRPr="00701439" w14:paraId="6E7EAB92" w14:textId="77777777" w:rsidTr="00AF5A74">
        <w:tc>
          <w:tcPr>
            <w:tcW w:w="6938" w:type="dxa"/>
            <w:vAlign w:val="bottom"/>
          </w:tcPr>
          <w:p w14:paraId="536978B9" w14:textId="77777777" w:rsidR="00FF65FC" w:rsidRPr="00701439" w:rsidRDefault="00FF65FC" w:rsidP="00AF5A74">
            <w:pPr>
              <w:rPr>
                <w:rFonts w:asciiTheme="minorHAnsi" w:hAnsiTheme="minorHAnsi" w:cs="Arial"/>
                <w:sz w:val="20"/>
                <w:szCs w:val="20"/>
              </w:rPr>
            </w:pPr>
            <w:r w:rsidRPr="00701439">
              <w:rPr>
                <w:rFonts w:asciiTheme="minorHAnsi" w:hAnsiTheme="minorHAnsi" w:cs="Arial"/>
                <w:sz w:val="20"/>
                <w:szCs w:val="20"/>
              </w:rPr>
              <w:t>Impairment charges</w:t>
            </w:r>
          </w:p>
        </w:tc>
        <w:tc>
          <w:tcPr>
            <w:tcW w:w="631" w:type="dxa"/>
            <w:vAlign w:val="bottom"/>
          </w:tcPr>
          <w:p w14:paraId="10493431" w14:textId="4524B714" w:rsidR="00FF65FC" w:rsidRPr="00701439" w:rsidRDefault="00416D89" w:rsidP="00AF5A74">
            <w:pPr>
              <w:jc w:val="right"/>
              <w:rPr>
                <w:rFonts w:asciiTheme="minorHAnsi" w:hAnsiTheme="minorHAnsi" w:cs="Arial"/>
                <w:sz w:val="20"/>
                <w:szCs w:val="20"/>
              </w:rPr>
            </w:pPr>
            <w:r w:rsidRPr="00BA7A12">
              <w:rPr>
                <w:rFonts w:asciiTheme="minorHAnsi" w:hAnsiTheme="minorHAnsi" w:cs="Arial"/>
                <w:sz w:val="20"/>
                <w:szCs w:val="20"/>
              </w:rPr>
              <w:t>4</w:t>
            </w:r>
          </w:p>
        </w:tc>
        <w:tc>
          <w:tcPr>
            <w:tcW w:w="1177" w:type="dxa"/>
            <w:tcBorders>
              <w:bottom w:val="single" w:sz="4" w:space="0" w:color="auto"/>
            </w:tcBorders>
            <w:shd w:val="clear" w:color="auto" w:fill="F2F2F2" w:themeFill="background1" w:themeFillShade="F2"/>
            <w:vAlign w:val="bottom"/>
          </w:tcPr>
          <w:p w14:paraId="6363ED40" w14:textId="7882B595" w:rsidR="00FF65FC" w:rsidRPr="00BA7A12" w:rsidRDefault="00FF65FC" w:rsidP="00AF5A74">
            <w:pPr>
              <w:jc w:val="right"/>
              <w:rPr>
                <w:rFonts w:asciiTheme="minorHAnsi" w:hAnsiTheme="minorHAnsi" w:cs="Arial"/>
                <w:b/>
                <w:sz w:val="20"/>
                <w:szCs w:val="20"/>
              </w:rPr>
            </w:pPr>
            <w:r w:rsidRPr="00BA7A12">
              <w:rPr>
                <w:rFonts w:asciiTheme="minorHAnsi" w:hAnsiTheme="minorHAnsi" w:cs="Arial"/>
                <w:b/>
                <w:sz w:val="20"/>
                <w:szCs w:val="20"/>
              </w:rPr>
              <w:t>(</w:t>
            </w:r>
            <w:r w:rsidR="00237D64" w:rsidRPr="00BA7A12">
              <w:rPr>
                <w:rFonts w:asciiTheme="minorHAnsi" w:hAnsiTheme="minorHAnsi" w:cs="Arial"/>
                <w:b/>
                <w:sz w:val="20"/>
                <w:szCs w:val="20"/>
              </w:rPr>
              <w:t>1</w:t>
            </w:r>
            <w:r w:rsidR="00491CD5" w:rsidRPr="00BA7A12">
              <w:rPr>
                <w:rFonts w:asciiTheme="minorHAnsi" w:hAnsiTheme="minorHAnsi" w:cs="Arial"/>
                <w:b/>
                <w:sz w:val="20"/>
                <w:szCs w:val="20"/>
              </w:rPr>
              <w:t>01.3</w:t>
            </w:r>
            <w:r w:rsidRPr="00BA7A12">
              <w:rPr>
                <w:rFonts w:asciiTheme="minorHAnsi" w:hAnsiTheme="minorHAnsi" w:cs="Arial"/>
                <w:b/>
                <w:sz w:val="20"/>
                <w:szCs w:val="20"/>
              </w:rPr>
              <w:t>)</w:t>
            </w:r>
          </w:p>
        </w:tc>
        <w:tc>
          <w:tcPr>
            <w:tcW w:w="1177" w:type="dxa"/>
            <w:tcBorders>
              <w:bottom w:val="single" w:sz="4" w:space="0" w:color="auto"/>
            </w:tcBorders>
            <w:shd w:val="clear" w:color="auto" w:fill="auto"/>
            <w:vAlign w:val="bottom"/>
          </w:tcPr>
          <w:p w14:paraId="0B91ABF6" w14:textId="6EFC723E" w:rsidR="00FF65FC" w:rsidRPr="00BA7A12" w:rsidRDefault="00FF65FC" w:rsidP="00AF5A74">
            <w:pPr>
              <w:jc w:val="right"/>
              <w:rPr>
                <w:rFonts w:asciiTheme="minorHAnsi" w:hAnsiTheme="minorHAnsi" w:cs="Arial"/>
                <w:sz w:val="20"/>
                <w:szCs w:val="20"/>
              </w:rPr>
            </w:pPr>
            <w:r w:rsidRPr="00BA7A12">
              <w:rPr>
                <w:rFonts w:asciiTheme="minorHAnsi" w:hAnsiTheme="minorHAnsi" w:cs="Arial"/>
                <w:sz w:val="20"/>
                <w:szCs w:val="20"/>
              </w:rPr>
              <w:t>(</w:t>
            </w:r>
            <w:r w:rsidR="009F7256">
              <w:rPr>
                <w:rFonts w:asciiTheme="minorHAnsi" w:hAnsiTheme="minorHAnsi" w:cs="Arial"/>
                <w:sz w:val="20"/>
                <w:szCs w:val="20"/>
              </w:rPr>
              <w:t>93.0</w:t>
            </w:r>
            <w:r w:rsidRPr="00BA7A12">
              <w:rPr>
                <w:rFonts w:asciiTheme="minorHAnsi" w:hAnsiTheme="minorHAnsi" w:cs="Arial"/>
                <w:sz w:val="20"/>
                <w:szCs w:val="20"/>
              </w:rPr>
              <w:t>)</w:t>
            </w:r>
          </w:p>
        </w:tc>
      </w:tr>
      <w:tr w:rsidR="00FF65FC" w:rsidRPr="00701439" w14:paraId="731ECA82" w14:textId="77777777" w:rsidTr="00AF5A74">
        <w:tc>
          <w:tcPr>
            <w:tcW w:w="6938" w:type="dxa"/>
            <w:vAlign w:val="bottom"/>
          </w:tcPr>
          <w:p w14:paraId="0C88EA84" w14:textId="77777777" w:rsidR="00FF65FC" w:rsidRPr="00701439" w:rsidRDefault="00FF65FC" w:rsidP="00AF5A74">
            <w:pPr>
              <w:rPr>
                <w:rFonts w:asciiTheme="minorHAnsi" w:hAnsiTheme="minorHAnsi" w:cs="Arial"/>
                <w:b/>
                <w:bCs/>
                <w:sz w:val="20"/>
                <w:szCs w:val="20"/>
              </w:rPr>
            </w:pPr>
            <w:r w:rsidRPr="00701439">
              <w:rPr>
                <w:rFonts w:asciiTheme="minorHAnsi" w:hAnsiTheme="minorHAnsi" w:cs="Arial"/>
                <w:b/>
                <w:bCs/>
                <w:sz w:val="20"/>
                <w:szCs w:val="20"/>
              </w:rPr>
              <w:t>Risk-adjusted income</w:t>
            </w:r>
          </w:p>
        </w:tc>
        <w:tc>
          <w:tcPr>
            <w:tcW w:w="631" w:type="dxa"/>
            <w:vAlign w:val="bottom"/>
          </w:tcPr>
          <w:p w14:paraId="7B9981C5" w14:textId="77777777" w:rsidR="00FF65FC" w:rsidRPr="00701439" w:rsidRDefault="00FF65FC" w:rsidP="00AF5A74">
            <w:pPr>
              <w:jc w:val="right"/>
              <w:rPr>
                <w:rFonts w:asciiTheme="minorHAnsi" w:hAnsiTheme="minorHAnsi" w:cs="Arial"/>
                <w:sz w:val="20"/>
                <w:szCs w:val="20"/>
              </w:rPr>
            </w:pPr>
          </w:p>
        </w:tc>
        <w:tc>
          <w:tcPr>
            <w:tcW w:w="1177" w:type="dxa"/>
            <w:tcBorders>
              <w:top w:val="single" w:sz="4" w:space="0" w:color="auto"/>
            </w:tcBorders>
            <w:shd w:val="clear" w:color="auto" w:fill="F2F2F2" w:themeFill="background1" w:themeFillShade="F2"/>
            <w:vAlign w:val="bottom"/>
          </w:tcPr>
          <w:p w14:paraId="4B146F22" w14:textId="2CBA40AF" w:rsidR="00FF65FC" w:rsidRPr="00BA7A12" w:rsidRDefault="00237D64" w:rsidP="00AF5A74">
            <w:pPr>
              <w:jc w:val="right"/>
              <w:rPr>
                <w:rFonts w:asciiTheme="minorHAnsi" w:hAnsiTheme="minorHAnsi" w:cs="Arial"/>
                <w:b/>
                <w:sz w:val="20"/>
                <w:szCs w:val="20"/>
              </w:rPr>
            </w:pPr>
            <w:r w:rsidRPr="00BA7A12">
              <w:rPr>
                <w:rFonts w:asciiTheme="minorHAnsi" w:hAnsiTheme="minorHAnsi" w:cs="Arial"/>
                <w:b/>
                <w:sz w:val="20"/>
                <w:szCs w:val="20"/>
              </w:rPr>
              <w:t>1</w:t>
            </w:r>
            <w:r w:rsidR="00491CD5" w:rsidRPr="00BA7A12">
              <w:rPr>
                <w:rFonts w:asciiTheme="minorHAnsi" w:hAnsiTheme="minorHAnsi" w:cs="Arial"/>
                <w:b/>
                <w:sz w:val="20"/>
                <w:szCs w:val="20"/>
              </w:rPr>
              <w:t>32.7</w:t>
            </w:r>
          </w:p>
        </w:tc>
        <w:tc>
          <w:tcPr>
            <w:tcW w:w="1177" w:type="dxa"/>
            <w:tcBorders>
              <w:top w:val="single" w:sz="4" w:space="0" w:color="auto"/>
            </w:tcBorders>
            <w:shd w:val="clear" w:color="auto" w:fill="auto"/>
            <w:vAlign w:val="bottom"/>
          </w:tcPr>
          <w:p w14:paraId="69F83BE6" w14:textId="1CF949BC" w:rsidR="00FF65FC" w:rsidRPr="00BA7A12" w:rsidRDefault="00840120" w:rsidP="00AF5A74">
            <w:pPr>
              <w:jc w:val="right"/>
              <w:rPr>
                <w:rFonts w:asciiTheme="minorHAnsi" w:hAnsiTheme="minorHAnsi" w:cs="Arial"/>
                <w:sz w:val="20"/>
                <w:szCs w:val="20"/>
              </w:rPr>
            </w:pPr>
            <w:r w:rsidRPr="00BA7A12">
              <w:rPr>
                <w:rFonts w:asciiTheme="minorHAnsi" w:hAnsiTheme="minorHAnsi" w:cs="Arial"/>
                <w:sz w:val="20"/>
                <w:szCs w:val="20"/>
              </w:rPr>
              <w:t>1</w:t>
            </w:r>
            <w:r w:rsidR="00163308" w:rsidRPr="00BA7A12">
              <w:rPr>
                <w:rFonts w:asciiTheme="minorHAnsi" w:hAnsiTheme="minorHAnsi" w:cs="Arial"/>
                <w:sz w:val="20"/>
                <w:szCs w:val="20"/>
              </w:rPr>
              <w:t>4</w:t>
            </w:r>
            <w:r w:rsidR="009F7256">
              <w:rPr>
                <w:rFonts w:asciiTheme="minorHAnsi" w:hAnsiTheme="minorHAnsi" w:cs="Arial"/>
                <w:sz w:val="20"/>
                <w:szCs w:val="20"/>
              </w:rPr>
              <w:t>4.1</w:t>
            </w:r>
          </w:p>
        </w:tc>
      </w:tr>
      <w:tr w:rsidR="00FF65FC" w:rsidRPr="00701439" w14:paraId="0F4440FA" w14:textId="77777777" w:rsidTr="00AF5A74">
        <w:tc>
          <w:tcPr>
            <w:tcW w:w="6938" w:type="dxa"/>
            <w:vAlign w:val="bottom"/>
          </w:tcPr>
          <w:p w14:paraId="7F4BC2E7" w14:textId="77777777" w:rsidR="00FF65FC" w:rsidRPr="009B20CE" w:rsidRDefault="00FF65FC" w:rsidP="00AF5A74">
            <w:pPr>
              <w:rPr>
                <w:rFonts w:asciiTheme="minorHAnsi" w:hAnsiTheme="minorHAnsi" w:cs="Arial"/>
                <w:sz w:val="20"/>
                <w:szCs w:val="20"/>
              </w:rPr>
            </w:pPr>
            <w:r w:rsidRPr="009B20CE">
              <w:rPr>
                <w:rFonts w:asciiTheme="minorHAnsi" w:hAnsiTheme="minorHAnsi" w:cs="Arial"/>
                <w:sz w:val="20"/>
                <w:szCs w:val="20"/>
              </w:rPr>
              <w:t>Operating costs</w:t>
            </w:r>
          </w:p>
        </w:tc>
        <w:tc>
          <w:tcPr>
            <w:tcW w:w="631" w:type="dxa"/>
            <w:vAlign w:val="bottom"/>
          </w:tcPr>
          <w:p w14:paraId="1881047E" w14:textId="77777777" w:rsidR="00FF65FC" w:rsidRPr="00701439" w:rsidRDefault="00FF65FC" w:rsidP="00AF5A74">
            <w:pPr>
              <w:jc w:val="right"/>
              <w:rPr>
                <w:rFonts w:asciiTheme="minorHAnsi" w:hAnsiTheme="minorHAnsi" w:cs="Arial"/>
                <w:sz w:val="20"/>
                <w:szCs w:val="20"/>
              </w:rPr>
            </w:pPr>
          </w:p>
        </w:tc>
        <w:tc>
          <w:tcPr>
            <w:tcW w:w="1177" w:type="dxa"/>
            <w:tcBorders>
              <w:top w:val="nil"/>
              <w:left w:val="nil"/>
              <w:bottom w:val="single" w:sz="4" w:space="0" w:color="auto"/>
              <w:right w:val="nil"/>
            </w:tcBorders>
            <w:shd w:val="clear" w:color="auto" w:fill="F2F2F2" w:themeFill="background1" w:themeFillShade="F2"/>
            <w:vAlign w:val="bottom"/>
          </w:tcPr>
          <w:p w14:paraId="289610E5" w14:textId="41875152" w:rsidR="00FF65FC" w:rsidRPr="00BA7A12" w:rsidRDefault="00FF65FC" w:rsidP="00AF5A74">
            <w:pPr>
              <w:jc w:val="right"/>
              <w:rPr>
                <w:rFonts w:asciiTheme="minorHAnsi" w:hAnsiTheme="minorHAnsi" w:cs="Arial"/>
                <w:b/>
                <w:sz w:val="20"/>
                <w:szCs w:val="20"/>
              </w:rPr>
            </w:pPr>
            <w:r w:rsidRPr="00BA7A12">
              <w:rPr>
                <w:rFonts w:asciiTheme="minorHAnsi" w:hAnsiTheme="minorHAnsi" w:cs="Arial"/>
                <w:b/>
                <w:sz w:val="20"/>
                <w:szCs w:val="20"/>
              </w:rPr>
              <w:t>(</w:t>
            </w:r>
            <w:r w:rsidR="001B6961" w:rsidRPr="00BA7A12">
              <w:rPr>
                <w:rFonts w:asciiTheme="minorHAnsi" w:hAnsiTheme="minorHAnsi" w:cs="Arial"/>
                <w:b/>
                <w:sz w:val="20"/>
                <w:szCs w:val="20"/>
              </w:rPr>
              <w:t>1</w:t>
            </w:r>
            <w:r w:rsidR="00491CD5" w:rsidRPr="00BA7A12">
              <w:rPr>
                <w:rFonts w:asciiTheme="minorHAnsi" w:hAnsiTheme="minorHAnsi" w:cs="Arial"/>
                <w:b/>
                <w:sz w:val="20"/>
                <w:szCs w:val="20"/>
              </w:rPr>
              <w:t>79.2</w:t>
            </w:r>
            <w:r w:rsidRPr="00BA7A12">
              <w:rPr>
                <w:rFonts w:asciiTheme="minorHAnsi" w:hAnsiTheme="minorHAnsi" w:cs="Arial"/>
                <w:b/>
                <w:sz w:val="20"/>
                <w:szCs w:val="20"/>
              </w:rPr>
              <w:t>)</w:t>
            </w:r>
          </w:p>
        </w:tc>
        <w:tc>
          <w:tcPr>
            <w:tcW w:w="1177" w:type="dxa"/>
            <w:tcBorders>
              <w:top w:val="nil"/>
              <w:left w:val="nil"/>
              <w:bottom w:val="single" w:sz="4" w:space="0" w:color="auto"/>
              <w:right w:val="nil"/>
            </w:tcBorders>
            <w:shd w:val="clear" w:color="auto" w:fill="auto"/>
            <w:vAlign w:val="bottom"/>
          </w:tcPr>
          <w:p w14:paraId="2012E0BC" w14:textId="7AF1F632" w:rsidR="00FF65FC" w:rsidRPr="00BA7A12" w:rsidRDefault="00FF65FC" w:rsidP="00AF5A74">
            <w:pPr>
              <w:jc w:val="right"/>
              <w:rPr>
                <w:rFonts w:asciiTheme="minorHAnsi" w:hAnsiTheme="minorHAnsi" w:cs="Arial"/>
                <w:sz w:val="20"/>
                <w:szCs w:val="20"/>
              </w:rPr>
            </w:pPr>
            <w:r w:rsidRPr="00BA7A12">
              <w:rPr>
                <w:rFonts w:asciiTheme="minorHAnsi" w:hAnsiTheme="minorHAnsi" w:cs="Arial"/>
                <w:sz w:val="20"/>
                <w:szCs w:val="20"/>
              </w:rPr>
              <w:t>(</w:t>
            </w:r>
            <w:r w:rsidR="00155133" w:rsidRPr="00BA7A12">
              <w:rPr>
                <w:rFonts w:asciiTheme="minorHAnsi" w:hAnsiTheme="minorHAnsi" w:cs="Arial"/>
                <w:sz w:val="20"/>
                <w:szCs w:val="20"/>
              </w:rPr>
              <w:t>1</w:t>
            </w:r>
            <w:r w:rsidR="00E801DB" w:rsidRPr="00BA7A12">
              <w:rPr>
                <w:rFonts w:asciiTheme="minorHAnsi" w:hAnsiTheme="minorHAnsi" w:cs="Arial"/>
                <w:sz w:val="20"/>
                <w:szCs w:val="20"/>
              </w:rPr>
              <w:t>66.0</w:t>
            </w:r>
            <w:r w:rsidRPr="00BA7A12">
              <w:rPr>
                <w:rFonts w:asciiTheme="minorHAnsi" w:hAnsiTheme="minorHAnsi" w:cs="Arial"/>
                <w:sz w:val="20"/>
                <w:szCs w:val="20"/>
              </w:rPr>
              <w:t>)</w:t>
            </w:r>
          </w:p>
        </w:tc>
      </w:tr>
      <w:tr w:rsidR="00FF65FC" w:rsidRPr="00701439" w14:paraId="435895D0" w14:textId="77777777" w:rsidTr="00AF5A74">
        <w:tc>
          <w:tcPr>
            <w:tcW w:w="6938" w:type="dxa"/>
            <w:vAlign w:val="bottom"/>
          </w:tcPr>
          <w:p w14:paraId="487D5E88" w14:textId="0CE9FF2D" w:rsidR="00FF65FC" w:rsidRPr="009B20CE" w:rsidRDefault="00FF65FC" w:rsidP="00AF5A74">
            <w:pPr>
              <w:rPr>
                <w:rFonts w:asciiTheme="minorHAnsi" w:hAnsiTheme="minorHAnsi" w:cs="Arial"/>
                <w:b/>
                <w:bCs/>
                <w:sz w:val="20"/>
                <w:szCs w:val="20"/>
              </w:rPr>
            </w:pPr>
            <w:r w:rsidRPr="009B20CE">
              <w:rPr>
                <w:rFonts w:asciiTheme="minorHAnsi" w:hAnsiTheme="minorHAnsi" w:cs="Arial"/>
                <w:b/>
                <w:bCs/>
                <w:sz w:val="20"/>
                <w:szCs w:val="20"/>
              </w:rPr>
              <w:t>Statutory loss before taxation</w:t>
            </w:r>
          </w:p>
        </w:tc>
        <w:tc>
          <w:tcPr>
            <w:tcW w:w="631" w:type="dxa"/>
            <w:vAlign w:val="bottom"/>
          </w:tcPr>
          <w:p w14:paraId="0CA06B97" w14:textId="77777777" w:rsidR="00FF65FC" w:rsidRPr="00701439" w:rsidRDefault="00FF65FC" w:rsidP="00AF5A74">
            <w:pPr>
              <w:jc w:val="right"/>
              <w:rPr>
                <w:rFonts w:asciiTheme="minorHAnsi" w:hAnsiTheme="minorHAnsi" w:cs="Arial"/>
                <w:sz w:val="20"/>
                <w:szCs w:val="20"/>
              </w:rPr>
            </w:pPr>
            <w:r w:rsidRPr="00BA7A12">
              <w:rPr>
                <w:rFonts w:asciiTheme="minorHAnsi" w:hAnsiTheme="minorHAnsi" w:cs="Arial"/>
                <w:sz w:val="20"/>
                <w:szCs w:val="20"/>
              </w:rPr>
              <w:t>4</w:t>
            </w:r>
          </w:p>
        </w:tc>
        <w:tc>
          <w:tcPr>
            <w:tcW w:w="1177" w:type="dxa"/>
            <w:tcBorders>
              <w:top w:val="single" w:sz="4" w:space="0" w:color="auto"/>
              <w:left w:val="nil"/>
              <w:right w:val="nil"/>
            </w:tcBorders>
            <w:shd w:val="clear" w:color="auto" w:fill="F2F2F2" w:themeFill="background1" w:themeFillShade="F2"/>
            <w:vAlign w:val="bottom"/>
          </w:tcPr>
          <w:p w14:paraId="014C2DB7" w14:textId="00F87C33" w:rsidR="00FF65FC" w:rsidRPr="00BA7A12" w:rsidRDefault="00FF65FC" w:rsidP="00AF5A74">
            <w:pPr>
              <w:jc w:val="right"/>
              <w:rPr>
                <w:rFonts w:asciiTheme="minorHAnsi" w:hAnsiTheme="minorHAnsi" w:cs="Arial"/>
                <w:b/>
                <w:sz w:val="20"/>
                <w:szCs w:val="20"/>
              </w:rPr>
            </w:pPr>
            <w:r w:rsidRPr="00BA7A12">
              <w:rPr>
                <w:rFonts w:asciiTheme="minorHAnsi" w:hAnsiTheme="minorHAnsi" w:cs="Arial"/>
                <w:b/>
                <w:sz w:val="20"/>
                <w:szCs w:val="20"/>
              </w:rPr>
              <w:t>(</w:t>
            </w:r>
            <w:r w:rsidR="00E54A2A" w:rsidRPr="00BA7A12">
              <w:rPr>
                <w:rFonts w:asciiTheme="minorHAnsi" w:hAnsiTheme="minorHAnsi" w:cs="Arial"/>
                <w:b/>
                <w:sz w:val="20"/>
                <w:szCs w:val="20"/>
              </w:rPr>
              <w:t>46.5</w:t>
            </w:r>
            <w:r w:rsidRPr="00BA7A12">
              <w:rPr>
                <w:rFonts w:asciiTheme="minorHAnsi" w:hAnsiTheme="minorHAnsi" w:cs="Arial"/>
                <w:b/>
                <w:sz w:val="20"/>
                <w:szCs w:val="20"/>
              </w:rPr>
              <w:t>)</w:t>
            </w:r>
          </w:p>
        </w:tc>
        <w:tc>
          <w:tcPr>
            <w:tcW w:w="1177" w:type="dxa"/>
            <w:tcBorders>
              <w:top w:val="single" w:sz="4" w:space="0" w:color="auto"/>
              <w:left w:val="nil"/>
              <w:right w:val="nil"/>
            </w:tcBorders>
            <w:shd w:val="clear" w:color="auto" w:fill="auto"/>
            <w:vAlign w:val="bottom"/>
          </w:tcPr>
          <w:p w14:paraId="62827F40" w14:textId="3C0E2FD4" w:rsidR="00FF65FC" w:rsidRPr="00BA7A12" w:rsidRDefault="00E801DB" w:rsidP="00AF5A74">
            <w:pPr>
              <w:jc w:val="right"/>
              <w:rPr>
                <w:rFonts w:asciiTheme="minorHAnsi" w:hAnsiTheme="minorHAnsi" w:cs="Arial"/>
                <w:sz w:val="20"/>
                <w:szCs w:val="20"/>
              </w:rPr>
            </w:pPr>
            <w:r w:rsidRPr="00BA7A12">
              <w:rPr>
                <w:rFonts w:asciiTheme="minorHAnsi" w:hAnsiTheme="minorHAnsi" w:cs="Arial"/>
                <w:sz w:val="20"/>
                <w:szCs w:val="20"/>
              </w:rPr>
              <w:t>(</w:t>
            </w:r>
            <w:r w:rsidR="009F7256">
              <w:rPr>
                <w:rFonts w:asciiTheme="minorHAnsi" w:hAnsiTheme="minorHAnsi" w:cs="Arial"/>
                <w:sz w:val="20"/>
                <w:szCs w:val="20"/>
              </w:rPr>
              <w:t>21.9</w:t>
            </w:r>
            <w:r w:rsidRPr="00BA7A12">
              <w:rPr>
                <w:rFonts w:asciiTheme="minorHAnsi" w:hAnsiTheme="minorHAnsi" w:cs="Arial"/>
                <w:sz w:val="20"/>
                <w:szCs w:val="20"/>
              </w:rPr>
              <w:t>)</w:t>
            </w:r>
          </w:p>
        </w:tc>
      </w:tr>
      <w:tr w:rsidR="00FF65FC" w:rsidRPr="00701439" w14:paraId="3910AC9A" w14:textId="77777777" w:rsidTr="00AF5A74">
        <w:tc>
          <w:tcPr>
            <w:tcW w:w="6938" w:type="dxa"/>
            <w:vAlign w:val="bottom"/>
          </w:tcPr>
          <w:p w14:paraId="38783085" w14:textId="7568B501" w:rsidR="00FF65FC" w:rsidRPr="009B20CE" w:rsidRDefault="00FF65FC" w:rsidP="00AF5A74">
            <w:pPr>
              <w:rPr>
                <w:rFonts w:asciiTheme="minorHAnsi" w:hAnsiTheme="minorHAnsi" w:cs="Arial"/>
                <w:b/>
                <w:bCs/>
                <w:sz w:val="20"/>
                <w:szCs w:val="20"/>
              </w:rPr>
            </w:pPr>
            <w:r w:rsidRPr="009B20CE">
              <w:rPr>
                <w:rFonts w:asciiTheme="minorHAnsi" w:hAnsiTheme="minorHAnsi" w:cs="Arial"/>
                <w:sz w:val="20"/>
                <w:szCs w:val="20"/>
              </w:rPr>
              <w:t xml:space="preserve">Tax </w:t>
            </w:r>
            <w:r w:rsidRPr="00701439">
              <w:rPr>
                <w:rFonts w:asciiTheme="minorHAnsi" w:hAnsiTheme="minorHAnsi" w:cs="Arial"/>
                <w:sz w:val="20"/>
                <w:szCs w:val="20"/>
              </w:rPr>
              <w:t>c</w:t>
            </w:r>
            <w:r w:rsidR="007D4150">
              <w:rPr>
                <w:rFonts w:asciiTheme="minorHAnsi" w:hAnsiTheme="minorHAnsi" w:cs="Arial"/>
                <w:sz w:val="20"/>
                <w:szCs w:val="20"/>
              </w:rPr>
              <w:t>redit</w:t>
            </w:r>
          </w:p>
        </w:tc>
        <w:tc>
          <w:tcPr>
            <w:tcW w:w="631" w:type="dxa"/>
            <w:vAlign w:val="bottom"/>
          </w:tcPr>
          <w:p w14:paraId="75EA1DA1" w14:textId="77777777" w:rsidR="00FF65FC" w:rsidRPr="00701439" w:rsidRDefault="00FF65FC" w:rsidP="00AF5A74">
            <w:pPr>
              <w:jc w:val="right"/>
              <w:rPr>
                <w:rFonts w:asciiTheme="minorHAnsi" w:hAnsiTheme="minorHAnsi" w:cs="Arial"/>
                <w:sz w:val="20"/>
                <w:szCs w:val="20"/>
              </w:rPr>
            </w:pPr>
          </w:p>
        </w:tc>
        <w:tc>
          <w:tcPr>
            <w:tcW w:w="1177" w:type="dxa"/>
            <w:tcBorders>
              <w:left w:val="nil"/>
              <w:bottom w:val="single" w:sz="4" w:space="0" w:color="auto"/>
              <w:right w:val="nil"/>
            </w:tcBorders>
            <w:shd w:val="clear" w:color="auto" w:fill="F2F2F2" w:themeFill="background1" w:themeFillShade="F2"/>
            <w:vAlign w:val="bottom"/>
          </w:tcPr>
          <w:p w14:paraId="317F95FC" w14:textId="3F45AA8C" w:rsidR="00FF65FC" w:rsidRPr="00BA7A12" w:rsidRDefault="001001B5" w:rsidP="00AF5A74">
            <w:pPr>
              <w:jc w:val="right"/>
              <w:rPr>
                <w:rFonts w:asciiTheme="minorHAnsi" w:hAnsiTheme="minorHAnsi" w:cs="Arial"/>
                <w:b/>
                <w:sz w:val="20"/>
                <w:szCs w:val="20"/>
              </w:rPr>
            </w:pPr>
            <w:r w:rsidRPr="00BA7A12">
              <w:rPr>
                <w:rFonts w:asciiTheme="minorHAnsi" w:hAnsiTheme="minorHAnsi" w:cs="Arial"/>
                <w:b/>
                <w:sz w:val="20"/>
                <w:szCs w:val="20"/>
              </w:rPr>
              <w:t>10.7</w:t>
            </w:r>
          </w:p>
        </w:tc>
        <w:tc>
          <w:tcPr>
            <w:tcW w:w="1177" w:type="dxa"/>
            <w:tcBorders>
              <w:left w:val="nil"/>
              <w:bottom w:val="single" w:sz="4" w:space="0" w:color="auto"/>
              <w:right w:val="nil"/>
            </w:tcBorders>
            <w:shd w:val="clear" w:color="auto" w:fill="auto"/>
            <w:vAlign w:val="bottom"/>
          </w:tcPr>
          <w:p w14:paraId="06A9BEFD" w14:textId="78832731" w:rsidR="00FF65FC" w:rsidRPr="00BA7A12" w:rsidRDefault="00585F1F" w:rsidP="00AF5A74">
            <w:pPr>
              <w:jc w:val="right"/>
              <w:rPr>
                <w:rFonts w:asciiTheme="minorHAnsi" w:hAnsiTheme="minorHAnsi" w:cs="Arial"/>
                <w:sz w:val="20"/>
                <w:szCs w:val="20"/>
              </w:rPr>
            </w:pPr>
            <w:r>
              <w:rPr>
                <w:rFonts w:asciiTheme="minorHAnsi" w:hAnsiTheme="minorHAnsi" w:cs="Arial"/>
                <w:sz w:val="20"/>
                <w:szCs w:val="20"/>
              </w:rPr>
              <w:t>6.0</w:t>
            </w:r>
          </w:p>
        </w:tc>
      </w:tr>
      <w:tr w:rsidR="00FF65FC" w:rsidRPr="00701439" w14:paraId="3547BBD5" w14:textId="77777777" w:rsidTr="00AF5A74">
        <w:tc>
          <w:tcPr>
            <w:tcW w:w="6938" w:type="dxa"/>
            <w:vAlign w:val="bottom"/>
          </w:tcPr>
          <w:p w14:paraId="647DAE96" w14:textId="1E93E627" w:rsidR="00FF65FC" w:rsidRPr="009B20CE" w:rsidRDefault="00FF65FC" w:rsidP="00AF5A74">
            <w:pPr>
              <w:rPr>
                <w:rFonts w:asciiTheme="minorHAnsi" w:hAnsiTheme="minorHAnsi" w:cs="Arial"/>
                <w:b/>
                <w:bCs/>
                <w:sz w:val="20"/>
                <w:szCs w:val="20"/>
                <w:lang w:val="en-US"/>
              </w:rPr>
            </w:pPr>
            <w:r w:rsidRPr="009B20CE">
              <w:rPr>
                <w:rFonts w:asciiTheme="minorHAnsi" w:hAnsiTheme="minorHAnsi" w:cs="Arial"/>
                <w:b/>
                <w:bCs/>
                <w:sz w:val="20"/>
                <w:szCs w:val="20"/>
                <w:lang w:val="en-US"/>
              </w:rPr>
              <w:t xml:space="preserve">Statutory loss for the </w:t>
            </w:r>
            <w:r w:rsidR="00094BA7" w:rsidRPr="009B20CE">
              <w:rPr>
                <w:rFonts w:asciiTheme="minorHAnsi" w:hAnsiTheme="minorHAnsi" w:cs="Arial"/>
                <w:b/>
                <w:bCs/>
                <w:sz w:val="20"/>
                <w:szCs w:val="20"/>
                <w:lang w:val="en-US"/>
              </w:rPr>
              <w:t>period</w:t>
            </w:r>
            <w:r w:rsidRPr="009B20CE">
              <w:rPr>
                <w:rFonts w:asciiTheme="minorHAnsi" w:hAnsiTheme="minorHAnsi" w:cs="Arial"/>
                <w:b/>
                <w:bCs/>
                <w:sz w:val="20"/>
                <w:szCs w:val="20"/>
                <w:lang w:val="en-US"/>
              </w:rPr>
              <w:t xml:space="preserve"> attributable to equity shareholders</w:t>
            </w:r>
          </w:p>
        </w:tc>
        <w:tc>
          <w:tcPr>
            <w:tcW w:w="631" w:type="dxa"/>
            <w:vAlign w:val="bottom"/>
          </w:tcPr>
          <w:p w14:paraId="449FAF7F" w14:textId="77777777" w:rsidR="00FF65FC" w:rsidRPr="00701439" w:rsidRDefault="00FF65FC" w:rsidP="00AF5A74">
            <w:pPr>
              <w:jc w:val="right"/>
              <w:rPr>
                <w:rFonts w:asciiTheme="minorHAnsi" w:hAnsiTheme="minorHAnsi" w:cs="Arial"/>
                <w:sz w:val="20"/>
                <w:szCs w:val="20"/>
                <w:lang w:val="en-US"/>
              </w:rPr>
            </w:pPr>
          </w:p>
        </w:tc>
        <w:tc>
          <w:tcPr>
            <w:tcW w:w="1177" w:type="dxa"/>
            <w:tcBorders>
              <w:top w:val="single" w:sz="4" w:space="0" w:color="auto"/>
              <w:left w:val="nil"/>
              <w:bottom w:val="single" w:sz="12" w:space="0" w:color="auto"/>
              <w:right w:val="nil"/>
            </w:tcBorders>
            <w:shd w:val="clear" w:color="auto" w:fill="F2F2F2" w:themeFill="background1" w:themeFillShade="F2"/>
            <w:vAlign w:val="bottom"/>
          </w:tcPr>
          <w:p w14:paraId="3D1C7068" w14:textId="60904CF3" w:rsidR="00FF65FC" w:rsidRPr="00BA7A12" w:rsidRDefault="00FF65FC" w:rsidP="00AF5A74">
            <w:pPr>
              <w:jc w:val="right"/>
              <w:rPr>
                <w:rFonts w:asciiTheme="minorHAnsi" w:hAnsiTheme="minorHAnsi" w:cs="Arial"/>
                <w:b/>
                <w:sz w:val="20"/>
                <w:szCs w:val="20"/>
                <w:lang w:val="en-US"/>
              </w:rPr>
            </w:pPr>
            <w:r w:rsidRPr="00BA7A12">
              <w:rPr>
                <w:rFonts w:asciiTheme="minorHAnsi" w:hAnsiTheme="minorHAnsi" w:cs="Arial"/>
                <w:b/>
                <w:sz w:val="20"/>
                <w:szCs w:val="20"/>
                <w:lang w:val="en-US"/>
              </w:rPr>
              <w:t>(</w:t>
            </w:r>
            <w:r w:rsidR="001001B5" w:rsidRPr="00BA7A12">
              <w:rPr>
                <w:rFonts w:asciiTheme="minorHAnsi" w:hAnsiTheme="minorHAnsi" w:cs="Arial"/>
                <w:b/>
                <w:sz w:val="20"/>
                <w:szCs w:val="20"/>
                <w:lang w:val="en-US"/>
              </w:rPr>
              <w:t>35</w:t>
            </w:r>
            <w:r w:rsidR="00187929" w:rsidRPr="00BA7A12">
              <w:rPr>
                <w:rFonts w:asciiTheme="minorHAnsi" w:hAnsiTheme="minorHAnsi" w:cs="Arial"/>
                <w:b/>
                <w:sz w:val="20"/>
                <w:szCs w:val="20"/>
                <w:lang w:val="en-US"/>
              </w:rPr>
              <w:t>.8</w:t>
            </w:r>
            <w:r w:rsidRPr="00BA7A12">
              <w:rPr>
                <w:rFonts w:asciiTheme="minorHAnsi" w:hAnsiTheme="minorHAnsi" w:cs="Arial"/>
                <w:b/>
                <w:sz w:val="20"/>
                <w:szCs w:val="20"/>
                <w:lang w:val="en-US"/>
              </w:rPr>
              <w:t>)</w:t>
            </w:r>
          </w:p>
        </w:tc>
        <w:tc>
          <w:tcPr>
            <w:tcW w:w="1177" w:type="dxa"/>
            <w:tcBorders>
              <w:top w:val="single" w:sz="4" w:space="0" w:color="auto"/>
              <w:left w:val="nil"/>
              <w:bottom w:val="single" w:sz="12" w:space="0" w:color="auto"/>
              <w:right w:val="nil"/>
            </w:tcBorders>
            <w:vAlign w:val="bottom"/>
          </w:tcPr>
          <w:p w14:paraId="07111463" w14:textId="6FD519DC" w:rsidR="00FF65FC" w:rsidRPr="00BA7A12" w:rsidRDefault="001D4C28" w:rsidP="006B2477">
            <w:pPr>
              <w:jc w:val="right"/>
              <w:rPr>
                <w:rFonts w:asciiTheme="minorHAnsi" w:hAnsiTheme="minorHAnsi" w:cs="Arial"/>
                <w:sz w:val="20"/>
                <w:szCs w:val="20"/>
                <w:lang w:val="en-US"/>
              </w:rPr>
            </w:pPr>
            <w:r w:rsidRPr="00BA7A12">
              <w:rPr>
                <w:rFonts w:asciiTheme="minorHAnsi" w:hAnsiTheme="minorHAnsi" w:cs="Arial"/>
                <w:sz w:val="20"/>
                <w:szCs w:val="20"/>
                <w:lang w:val="en-US"/>
              </w:rPr>
              <w:t>(1</w:t>
            </w:r>
            <w:r w:rsidR="00585F1F">
              <w:rPr>
                <w:rFonts w:asciiTheme="minorHAnsi" w:hAnsiTheme="minorHAnsi" w:cs="Arial"/>
                <w:sz w:val="20"/>
                <w:szCs w:val="20"/>
                <w:lang w:val="en-US"/>
              </w:rPr>
              <w:t>5.9</w:t>
            </w:r>
            <w:r w:rsidRPr="00BA7A12">
              <w:rPr>
                <w:rFonts w:asciiTheme="minorHAnsi" w:hAnsiTheme="minorHAnsi" w:cs="Arial"/>
                <w:sz w:val="20"/>
                <w:szCs w:val="20"/>
                <w:lang w:val="en-US"/>
              </w:rPr>
              <w:t>)</w:t>
            </w:r>
          </w:p>
        </w:tc>
      </w:tr>
      <w:tr w:rsidR="00FF65FC" w:rsidRPr="00701439" w14:paraId="49A5977A" w14:textId="77777777" w:rsidTr="00AF5A74">
        <w:tc>
          <w:tcPr>
            <w:tcW w:w="6938" w:type="dxa"/>
            <w:vAlign w:val="bottom"/>
          </w:tcPr>
          <w:p w14:paraId="1BFDB81E" w14:textId="77777777" w:rsidR="00FF65FC" w:rsidRPr="009B20CE" w:rsidRDefault="00FF65FC" w:rsidP="00AF5A74">
            <w:pPr>
              <w:rPr>
                <w:rFonts w:asciiTheme="minorHAnsi" w:hAnsiTheme="minorHAnsi" w:cs="Arial"/>
                <w:sz w:val="20"/>
                <w:szCs w:val="20"/>
                <w:lang w:val="en-US"/>
              </w:rPr>
            </w:pPr>
            <w:r w:rsidRPr="009B20CE">
              <w:rPr>
                <w:rFonts w:asciiTheme="minorHAnsi" w:hAnsiTheme="minorHAnsi" w:cs="Arial"/>
                <w:sz w:val="20"/>
                <w:szCs w:val="20"/>
                <w:lang w:val="en-US"/>
              </w:rPr>
              <w:t>Add back:</w:t>
            </w:r>
          </w:p>
        </w:tc>
        <w:tc>
          <w:tcPr>
            <w:tcW w:w="631" w:type="dxa"/>
            <w:vAlign w:val="bottom"/>
          </w:tcPr>
          <w:p w14:paraId="6F8D134A" w14:textId="77777777" w:rsidR="00FF65FC" w:rsidRPr="00701439" w:rsidRDefault="00FF65FC" w:rsidP="00AF5A74">
            <w:pPr>
              <w:jc w:val="right"/>
              <w:rPr>
                <w:rFonts w:asciiTheme="minorHAnsi" w:hAnsiTheme="minorHAnsi" w:cs="Arial"/>
                <w:sz w:val="20"/>
                <w:szCs w:val="20"/>
                <w:lang w:val="en-US"/>
              </w:rPr>
            </w:pPr>
          </w:p>
        </w:tc>
        <w:tc>
          <w:tcPr>
            <w:tcW w:w="1177" w:type="dxa"/>
            <w:tcBorders>
              <w:top w:val="single" w:sz="12" w:space="0" w:color="auto"/>
              <w:left w:val="nil"/>
              <w:right w:val="nil"/>
            </w:tcBorders>
            <w:shd w:val="clear" w:color="auto" w:fill="auto"/>
            <w:vAlign w:val="bottom"/>
          </w:tcPr>
          <w:p w14:paraId="1229E729" w14:textId="77777777" w:rsidR="00FF65FC" w:rsidRPr="00BA7A12" w:rsidRDefault="00FF65FC" w:rsidP="00AF5A74">
            <w:pPr>
              <w:jc w:val="right"/>
              <w:rPr>
                <w:rFonts w:asciiTheme="minorHAnsi" w:hAnsiTheme="minorHAnsi" w:cs="Arial"/>
                <w:b/>
                <w:sz w:val="20"/>
                <w:szCs w:val="20"/>
                <w:lang w:val="en-US"/>
              </w:rPr>
            </w:pPr>
          </w:p>
        </w:tc>
        <w:tc>
          <w:tcPr>
            <w:tcW w:w="1177" w:type="dxa"/>
            <w:tcBorders>
              <w:top w:val="single" w:sz="12" w:space="0" w:color="auto"/>
              <w:left w:val="nil"/>
              <w:right w:val="nil"/>
            </w:tcBorders>
            <w:shd w:val="clear" w:color="auto" w:fill="auto"/>
            <w:vAlign w:val="bottom"/>
          </w:tcPr>
          <w:p w14:paraId="6C95CB4F" w14:textId="77777777" w:rsidR="00FF65FC" w:rsidRPr="00BA7A12" w:rsidRDefault="00FF65FC" w:rsidP="00AF5A74">
            <w:pPr>
              <w:jc w:val="right"/>
              <w:rPr>
                <w:rFonts w:asciiTheme="minorHAnsi" w:hAnsiTheme="minorHAnsi" w:cs="Arial"/>
                <w:sz w:val="20"/>
                <w:szCs w:val="20"/>
                <w:lang w:val="en-US"/>
              </w:rPr>
            </w:pPr>
          </w:p>
        </w:tc>
      </w:tr>
      <w:tr w:rsidR="00FF65FC" w:rsidRPr="00701439" w14:paraId="7CAFB0AC" w14:textId="77777777" w:rsidTr="00AF5A74">
        <w:tc>
          <w:tcPr>
            <w:tcW w:w="6938" w:type="dxa"/>
            <w:vAlign w:val="bottom"/>
          </w:tcPr>
          <w:p w14:paraId="70B0EDDF" w14:textId="6CB1ED19" w:rsidR="00FF65FC" w:rsidRPr="009B20CE" w:rsidRDefault="00FF65FC" w:rsidP="00AF5A74">
            <w:pPr>
              <w:rPr>
                <w:rFonts w:asciiTheme="minorHAnsi" w:hAnsiTheme="minorHAnsi" w:cs="Arial"/>
                <w:sz w:val="20"/>
                <w:szCs w:val="20"/>
                <w:lang w:val="en-US"/>
              </w:rPr>
            </w:pPr>
            <w:r w:rsidRPr="009B20CE">
              <w:rPr>
                <w:rFonts w:asciiTheme="minorHAnsi" w:hAnsiTheme="minorHAnsi" w:cs="Arial"/>
                <w:sz w:val="20"/>
                <w:szCs w:val="20"/>
                <w:lang w:val="en-US"/>
              </w:rPr>
              <w:t>Tax</w:t>
            </w:r>
            <w:r w:rsidR="00B74252" w:rsidRPr="009B20CE">
              <w:rPr>
                <w:rFonts w:asciiTheme="minorHAnsi" w:hAnsiTheme="minorHAnsi" w:cs="Arial"/>
                <w:sz w:val="20"/>
                <w:szCs w:val="20"/>
                <w:lang w:val="en-US"/>
              </w:rPr>
              <w:t xml:space="preserve"> credit</w:t>
            </w:r>
          </w:p>
        </w:tc>
        <w:tc>
          <w:tcPr>
            <w:tcW w:w="631" w:type="dxa"/>
            <w:vAlign w:val="bottom"/>
          </w:tcPr>
          <w:p w14:paraId="4EA279F3" w14:textId="77777777" w:rsidR="00FF65FC" w:rsidRPr="00701439" w:rsidRDefault="00FF65FC" w:rsidP="00AF5A74">
            <w:pPr>
              <w:jc w:val="right"/>
              <w:rPr>
                <w:rFonts w:asciiTheme="minorHAnsi" w:hAnsiTheme="minorHAnsi" w:cs="Arial"/>
                <w:sz w:val="20"/>
                <w:szCs w:val="20"/>
                <w:lang w:val="en-US"/>
              </w:rPr>
            </w:pPr>
          </w:p>
        </w:tc>
        <w:tc>
          <w:tcPr>
            <w:tcW w:w="1177" w:type="dxa"/>
            <w:tcBorders>
              <w:left w:val="nil"/>
              <w:right w:val="nil"/>
            </w:tcBorders>
            <w:shd w:val="clear" w:color="auto" w:fill="F2F2F2" w:themeFill="background1" w:themeFillShade="F2"/>
            <w:vAlign w:val="bottom"/>
          </w:tcPr>
          <w:p w14:paraId="4A2D3585" w14:textId="713D65FF" w:rsidR="00FF65FC" w:rsidRPr="00BA7A12" w:rsidRDefault="00187929" w:rsidP="00AF5A74">
            <w:pPr>
              <w:jc w:val="right"/>
              <w:rPr>
                <w:rFonts w:asciiTheme="minorHAnsi" w:hAnsiTheme="minorHAnsi" w:cs="Arial"/>
                <w:b/>
                <w:sz w:val="20"/>
                <w:szCs w:val="20"/>
                <w:lang w:val="en-US"/>
              </w:rPr>
            </w:pPr>
            <w:r w:rsidRPr="00BA7A12">
              <w:rPr>
                <w:rFonts w:asciiTheme="minorHAnsi" w:hAnsiTheme="minorHAnsi" w:cs="Arial"/>
                <w:b/>
                <w:sz w:val="20"/>
                <w:szCs w:val="20"/>
                <w:lang w:val="en-US"/>
              </w:rPr>
              <w:t>(1</w:t>
            </w:r>
            <w:r w:rsidR="00280D65" w:rsidRPr="00BA7A12">
              <w:rPr>
                <w:rFonts w:asciiTheme="minorHAnsi" w:hAnsiTheme="minorHAnsi" w:cs="Arial"/>
                <w:b/>
                <w:sz w:val="20"/>
                <w:szCs w:val="20"/>
                <w:lang w:val="en-US"/>
              </w:rPr>
              <w:t>0.7</w:t>
            </w:r>
            <w:r w:rsidRPr="00BA7A12">
              <w:rPr>
                <w:rFonts w:asciiTheme="minorHAnsi" w:hAnsiTheme="minorHAnsi" w:cs="Arial"/>
                <w:b/>
                <w:sz w:val="20"/>
                <w:szCs w:val="20"/>
                <w:lang w:val="en-US"/>
              </w:rPr>
              <w:t>)</w:t>
            </w:r>
          </w:p>
        </w:tc>
        <w:tc>
          <w:tcPr>
            <w:tcW w:w="1177" w:type="dxa"/>
            <w:tcBorders>
              <w:left w:val="nil"/>
              <w:right w:val="nil"/>
            </w:tcBorders>
            <w:vAlign w:val="bottom"/>
          </w:tcPr>
          <w:p w14:paraId="436B0BC7" w14:textId="6A26F3A7" w:rsidR="00FF65FC" w:rsidRPr="00BA7A12" w:rsidRDefault="00C41217" w:rsidP="00AF5A74">
            <w:pPr>
              <w:jc w:val="right"/>
              <w:rPr>
                <w:rFonts w:asciiTheme="minorHAnsi" w:hAnsiTheme="minorHAnsi" w:cs="Arial"/>
                <w:sz w:val="20"/>
                <w:szCs w:val="20"/>
                <w:lang w:val="en-US"/>
              </w:rPr>
            </w:pPr>
            <w:r w:rsidRPr="00BA7A12">
              <w:rPr>
                <w:rFonts w:asciiTheme="minorHAnsi" w:hAnsiTheme="minorHAnsi" w:cs="Arial"/>
                <w:sz w:val="20"/>
                <w:szCs w:val="20"/>
                <w:lang w:val="en-US"/>
              </w:rPr>
              <w:t>(</w:t>
            </w:r>
            <w:r w:rsidR="001F1248">
              <w:rPr>
                <w:rFonts w:asciiTheme="minorHAnsi" w:hAnsiTheme="minorHAnsi" w:cs="Arial"/>
                <w:sz w:val="20"/>
                <w:szCs w:val="20"/>
                <w:lang w:val="en-US"/>
              </w:rPr>
              <w:t>6.0</w:t>
            </w:r>
            <w:r w:rsidRPr="00BA7A12">
              <w:rPr>
                <w:rFonts w:asciiTheme="minorHAnsi" w:hAnsiTheme="minorHAnsi" w:cs="Arial"/>
                <w:sz w:val="20"/>
                <w:szCs w:val="20"/>
                <w:lang w:val="en-US"/>
              </w:rPr>
              <w:t>)</w:t>
            </w:r>
          </w:p>
        </w:tc>
      </w:tr>
      <w:tr w:rsidR="00FF65FC" w:rsidRPr="00701439" w14:paraId="1C9C1C73" w14:textId="77777777" w:rsidTr="00AF5A74">
        <w:tc>
          <w:tcPr>
            <w:tcW w:w="6938" w:type="dxa"/>
            <w:vAlign w:val="bottom"/>
          </w:tcPr>
          <w:p w14:paraId="7B19BF73" w14:textId="77777777" w:rsidR="00FF65FC" w:rsidRPr="009B20CE" w:rsidRDefault="00FF65FC" w:rsidP="00AF5A74">
            <w:pPr>
              <w:rPr>
                <w:rFonts w:asciiTheme="minorHAnsi" w:hAnsiTheme="minorHAnsi" w:cs="Arial"/>
                <w:sz w:val="20"/>
                <w:szCs w:val="20"/>
                <w:lang w:val="en-US"/>
              </w:rPr>
            </w:pPr>
            <w:proofErr w:type="spellStart"/>
            <w:r w:rsidRPr="009B20CE">
              <w:rPr>
                <w:rFonts w:asciiTheme="minorHAnsi" w:hAnsiTheme="minorHAnsi" w:cs="Arial"/>
                <w:sz w:val="20"/>
                <w:szCs w:val="20"/>
                <w:lang w:val="en-US"/>
              </w:rPr>
              <w:t>Amortisation</w:t>
            </w:r>
            <w:proofErr w:type="spellEnd"/>
            <w:r w:rsidRPr="009B20CE">
              <w:rPr>
                <w:rFonts w:asciiTheme="minorHAnsi" w:hAnsiTheme="minorHAnsi" w:cs="Arial"/>
                <w:sz w:val="20"/>
                <w:szCs w:val="20"/>
                <w:lang w:val="en-US"/>
              </w:rPr>
              <w:t xml:space="preserve"> of acquisition intangibles</w:t>
            </w:r>
          </w:p>
        </w:tc>
        <w:tc>
          <w:tcPr>
            <w:tcW w:w="631" w:type="dxa"/>
            <w:vAlign w:val="bottom"/>
          </w:tcPr>
          <w:p w14:paraId="25D2A07B" w14:textId="77777777" w:rsidR="00FF65FC" w:rsidRPr="00701439" w:rsidRDefault="00FF65FC" w:rsidP="00AF5A74">
            <w:pPr>
              <w:jc w:val="right"/>
              <w:rPr>
                <w:rFonts w:asciiTheme="minorHAnsi" w:hAnsiTheme="minorHAnsi" w:cs="Arial"/>
                <w:sz w:val="20"/>
                <w:szCs w:val="20"/>
                <w:lang w:val="en-US"/>
              </w:rPr>
            </w:pPr>
          </w:p>
        </w:tc>
        <w:tc>
          <w:tcPr>
            <w:tcW w:w="1177" w:type="dxa"/>
            <w:tcBorders>
              <w:left w:val="nil"/>
              <w:right w:val="nil"/>
            </w:tcBorders>
            <w:shd w:val="clear" w:color="auto" w:fill="F2F2F2" w:themeFill="background1" w:themeFillShade="F2"/>
            <w:vAlign w:val="bottom"/>
          </w:tcPr>
          <w:p w14:paraId="1C635259" w14:textId="47743874" w:rsidR="00FF65FC" w:rsidRPr="00BA7A12" w:rsidRDefault="00187929" w:rsidP="00AF5A74">
            <w:pPr>
              <w:jc w:val="right"/>
              <w:rPr>
                <w:rFonts w:asciiTheme="minorHAnsi" w:hAnsiTheme="minorHAnsi" w:cs="Arial"/>
                <w:b/>
                <w:sz w:val="20"/>
                <w:szCs w:val="20"/>
                <w:lang w:val="en-US"/>
              </w:rPr>
            </w:pPr>
            <w:r w:rsidRPr="00BA7A12">
              <w:rPr>
                <w:rFonts w:asciiTheme="minorHAnsi" w:hAnsiTheme="minorHAnsi" w:cs="Arial"/>
                <w:b/>
                <w:sz w:val="20"/>
                <w:szCs w:val="20"/>
                <w:lang w:val="en-US"/>
              </w:rPr>
              <w:t>4.2</w:t>
            </w:r>
          </w:p>
        </w:tc>
        <w:tc>
          <w:tcPr>
            <w:tcW w:w="1177" w:type="dxa"/>
            <w:tcBorders>
              <w:left w:val="nil"/>
              <w:right w:val="nil"/>
            </w:tcBorders>
            <w:vAlign w:val="bottom"/>
          </w:tcPr>
          <w:p w14:paraId="295AD4A2" w14:textId="231B57DD" w:rsidR="00FF65FC" w:rsidRPr="00BA7A12" w:rsidRDefault="00795076" w:rsidP="00AF5A74">
            <w:pPr>
              <w:jc w:val="right"/>
              <w:rPr>
                <w:rFonts w:asciiTheme="minorHAnsi" w:hAnsiTheme="minorHAnsi" w:cs="Arial"/>
                <w:sz w:val="20"/>
                <w:szCs w:val="20"/>
                <w:lang w:val="en-US"/>
              </w:rPr>
            </w:pPr>
            <w:r w:rsidRPr="00BA7A12">
              <w:rPr>
                <w:rFonts w:asciiTheme="minorHAnsi" w:hAnsiTheme="minorHAnsi" w:cs="Arial"/>
                <w:sz w:val="20"/>
                <w:szCs w:val="20"/>
                <w:lang w:val="en-US"/>
              </w:rPr>
              <w:t>3.7</w:t>
            </w:r>
          </w:p>
        </w:tc>
      </w:tr>
      <w:tr w:rsidR="00FF65FC" w:rsidRPr="00701439" w14:paraId="4A392929" w14:textId="77777777" w:rsidTr="009B20CE">
        <w:trPr>
          <w:trHeight w:val="80"/>
        </w:trPr>
        <w:tc>
          <w:tcPr>
            <w:tcW w:w="6938" w:type="dxa"/>
            <w:vAlign w:val="bottom"/>
          </w:tcPr>
          <w:p w14:paraId="2BFC3A33" w14:textId="77777777" w:rsidR="00FF65FC" w:rsidRPr="009B20CE" w:rsidRDefault="00FF65FC" w:rsidP="00AF5A74">
            <w:pPr>
              <w:rPr>
                <w:rFonts w:asciiTheme="minorHAnsi" w:hAnsiTheme="minorHAnsi" w:cs="Arial"/>
                <w:sz w:val="20"/>
                <w:szCs w:val="20"/>
                <w:lang w:val="en-US"/>
              </w:rPr>
            </w:pPr>
            <w:r w:rsidRPr="009B20CE">
              <w:rPr>
                <w:rFonts w:asciiTheme="minorHAnsi" w:hAnsiTheme="minorHAnsi" w:cs="Arial"/>
                <w:sz w:val="20"/>
                <w:szCs w:val="20"/>
                <w:lang w:val="en-US"/>
              </w:rPr>
              <w:t>Exceptional items</w:t>
            </w:r>
          </w:p>
        </w:tc>
        <w:tc>
          <w:tcPr>
            <w:tcW w:w="631" w:type="dxa"/>
            <w:vAlign w:val="bottom"/>
          </w:tcPr>
          <w:p w14:paraId="065188E1" w14:textId="5E093116" w:rsidR="00FF65FC" w:rsidRPr="00701439" w:rsidRDefault="0099123C" w:rsidP="00AF5A74">
            <w:pPr>
              <w:jc w:val="right"/>
              <w:rPr>
                <w:rFonts w:asciiTheme="minorHAnsi" w:hAnsiTheme="minorHAnsi" w:cs="Arial"/>
                <w:sz w:val="20"/>
                <w:szCs w:val="20"/>
                <w:lang w:val="en-US"/>
              </w:rPr>
            </w:pPr>
            <w:r>
              <w:rPr>
                <w:rFonts w:asciiTheme="minorHAnsi" w:hAnsiTheme="minorHAnsi" w:cs="Arial"/>
                <w:sz w:val="20"/>
                <w:szCs w:val="20"/>
                <w:lang w:val="en-US"/>
              </w:rPr>
              <w:t>4</w:t>
            </w:r>
          </w:p>
        </w:tc>
        <w:tc>
          <w:tcPr>
            <w:tcW w:w="1177" w:type="dxa"/>
            <w:tcBorders>
              <w:left w:val="nil"/>
              <w:right w:val="nil"/>
            </w:tcBorders>
            <w:shd w:val="clear" w:color="auto" w:fill="F2F2F2" w:themeFill="background1" w:themeFillShade="F2"/>
            <w:vAlign w:val="bottom"/>
          </w:tcPr>
          <w:p w14:paraId="00FCC4C2" w14:textId="0A66FEEE" w:rsidR="00FF65FC" w:rsidRPr="00BA7A12" w:rsidRDefault="00187929" w:rsidP="00AF5A74">
            <w:pPr>
              <w:jc w:val="right"/>
              <w:rPr>
                <w:rFonts w:asciiTheme="minorHAnsi" w:hAnsiTheme="minorHAnsi" w:cs="Arial"/>
                <w:b/>
                <w:sz w:val="20"/>
                <w:szCs w:val="20"/>
                <w:lang w:val="en-US"/>
              </w:rPr>
            </w:pPr>
            <w:r w:rsidRPr="00BA7A12">
              <w:rPr>
                <w:rFonts w:asciiTheme="minorHAnsi" w:hAnsiTheme="minorHAnsi" w:cs="Arial"/>
                <w:b/>
                <w:sz w:val="20"/>
                <w:szCs w:val="20"/>
                <w:lang w:val="en-US"/>
              </w:rPr>
              <w:t>1</w:t>
            </w:r>
            <w:r w:rsidR="00B47B2D" w:rsidRPr="00BA7A12">
              <w:rPr>
                <w:rFonts w:asciiTheme="minorHAnsi" w:hAnsiTheme="minorHAnsi" w:cs="Arial"/>
                <w:b/>
                <w:sz w:val="20"/>
                <w:szCs w:val="20"/>
                <w:lang w:val="en-US"/>
              </w:rPr>
              <w:t>5</w:t>
            </w:r>
            <w:r w:rsidRPr="00BA7A12">
              <w:rPr>
                <w:rFonts w:asciiTheme="minorHAnsi" w:hAnsiTheme="minorHAnsi" w:cs="Arial"/>
                <w:b/>
                <w:sz w:val="20"/>
                <w:szCs w:val="20"/>
                <w:lang w:val="en-US"/>
              </w:rPr>
              <w:t>.5</w:t>
            </w:r>
          </w:p>
        </w:tc>
        <w:tc>
          <w:tcPr>
            <w:tcW w:w="1177" w:type="dxa"/>
            <w:tcBorders>
              <w:left w:val="nil"/>
              <w:right w:val="nil"/>
            </w:tcBorders>
            <w:vAlign w:val="bottom"/>
          </w:tcPr>
          <w:p w14:paraId="7C14EF9C" w14:textId="70A6E516" w:rsidR="00FF65FC" w:rsidRPr="00BA7A12" w:rsidRDefault="00F26746" w:rsidP="00AF5A74">
            <w:pPr>
              <w:jc w:val="right"/>
              <w:rPr>
                <w:rFonts w:asciiTheme="minorHAnsi" w:hAnsiTheme="minorHAnsi" w:cs="Arial"/>
                <w:sz w:val="20"/>
                <w:szCs w:val="20"/>
                <w:lang w:val="en-US"/>
              </w:rPr>
            </w:pPr>
            <w:r w:rsidRPr="00BA7A12">
              <w:rPr>
                <w:rFonts w:asciiTheme="minorHAnsi" w:hAnsiTheme="minorHAnsi" w:cs="Arial"/>
                <w:sz w:val="20"/>
                <w:szCs w:val="20"/>
                <w:lang w:val="en-US"/>
              </w:rPr>
              <w:t>5.3</w:t>
            </w:r>
          </w:p>
        </w:tc>
      </w:tr>
      <w:tr w:rsidR="00FF65FC" w:rsidRPr="00701439" w14:paraId="3A82526B" w14:textId="77777777" w:rsidTr="00AF5A74">
        <w:tc>
          <w:tcPr>
            <w:tcW w:w="6938" w:type="dxa"/>
            <w:vAlign w:val="bottom"/>
          </w:tcPr>
          <w:p w14:paraId="25DC02B4" w14:textId="55F22BE0" w:rsidR="00FF65FC" w:rsidRPr="009B20CE" w:rsidRDefault="00FF65FC" w:rsidP="00AF5A74">
            <w:pPr>
              <w:rPr>
                <w:rFonts w:asciiTheme="minorHAnsi" w:hAnsiTheme="minorHAnsi" w:cs="Arial"/>
                <w:b/>
                <w:bCs/>
                <w:sz w:val="20"/>
                <w:szCs w:val="20"/>
                <w:lang w:val="en-US"/>
              </w:rPr>
            </w:pPr>
            <w:r w:rsidRPr="009B20CE">
              <w:rPr>
                <w:rFonts w:asciiTheme="minorHAnsi" w:hAnsiTheme="minorHAnsi" w:cs="Arial"/>
                <w:b/>
                <w:bCs/>
                <w:sz w:val="20"/>
                <w:szCs w:val="20"/>
                <w:lang w:val="en-US"/>
              </w:rPr>
              <w:t>Adjusted</w:t>
            </w:r>
            <w:r w:rsidR="009B20CE" w:rsidRPr="009B20CE">
              <w:rPr>
                <w:rFonts w:asciiTheme="minorHAnsi" w:hAnsiTheme="minorHAnsi" w:cs="Arial"/>
                <w:b/>
                <w:bCs/>
                <w:sz w:val="20"/>
                <w:szCs w:val="20"/>
                <w:lang w:val="en-US"/>
              </w:rPr>
              <w:t xml:space="preserve"> loss</w:t>
            </w:r>
            <w:r w:rsidRPr="009B20CE">
              <w:rPr>
                <w:rFonts w:asciiTheme="minorHAnsi" w:hAnsiTheme="minorHAnsi" w:cs="Arial"/>
                <w:b/>
                <w:bCs/>
                <w:sz w:val="20"/>
                <w:szCs w:val="20"/>
                <w:lang w:val="en-US"/>
              </w:rPr>
              <w:t xml:space="preserve"> before tax</w:t>
            </w:r>
          </w:p>
        </w:tc>
        <w:tc>
          <w:tcPr>
            <w:tcW w:w="631" w:type="dxa"/>
            <w:vAlign w:val="bottom"/>
          </w:tcPr>
          <w:p w14:paraId="04606E70" w14:textId="77777777" w:rsidR="00FF65FC" w:rsidRPr="00701439" w:rsidRDefault="00FF65FC" w:rsidP="00AF5A74">
            <w:pPr>
              <w:jc w:val="right"/>
              <w:rPr>
                <w:rFonts w:asciiTheme="minorHAnsi" w:hAnsiTheme="minorHAnsi" w:cs="Arial"/>
                <w:sz w:val="20"/>
                <w:szCs w:val="20"/>
                <w:lang w:val="en-US"/>
              </w:rPr>
            </w:pPr>
          </w:p>
        </w:tc>
        <w:tc>
          <w:tcPr>
            <w:tcW w:w="1177" w:type="dxa"/>
            <w:tcBorders>
              <w:top w:val="single" w:sz="4" w:space="0" w:color="auto"/>
              <w:left w:val="nil"/>
              <w:bottom w:val="single" w:sz="12" w:space="0" w:color="auto"/>
              <w:right w:val="nil"/>
            </w:tcBorders>
            <w:shd w:val="clear" w:color="auto" w:fill="F2F2F2" w:themeFill="background1" w:themeFillShade="F2"/>
            <w:vAlign w:val="bottom"/>
          </w:tcPr>
          <w:p w14:paraId="02797743" w14:textId="38E4360E" w:rsidR="00FF65FC" w:rsidRPr="00BA7A12" w:rsidRDefault="007D4150" w:rsidP="00AF5A74">
            <w:pPr>
              <w:jc w:val="right"/>
              <w:rPr>
                <w:rFonts w:asciiTheme="minorHAnsi" w:hAnsiTheme="minorHAnsi" w:cs="Arial"/>
                <w:b/>
                <w:sz w:val="20"/>
                <w:szCs w:val="20"/>
                <w:lang w:val="en-US"/>
              </w:rPr>
            </w:pPr>
            <w:r w:rsidRPr="00BA7A12">
              <w:rPr>
                <w:rFonts w:asciiTheme="minorHAnsi" w:hAnsiTheme="minorHAnsi" w:cs="Arial"/>
                <w:b/>
                <w:sz w:val="20"/>
                <w:szCs w:val="20"/>
                <w:lang w:val="en-US"/>
              </w:rPr>
              <w:t>(</w:t>
            </w:r>
            <w:r w:rsidR="00B47B2D" w:rsidRPr="00BA7A12">
              <w:rPr>
                <w:rFonts w:asciiTheme="minorHAnsi" w:hAnsiTheme="minorHAnsi" w:cs="Arial"/>
                <w:b/>
                <w:sz w:val="20"/>
                <w:szCs w:val="20"/>
                <w:lang w:val="en-US"/>
              </w:rPr>
              <w:t>26.8</w:t>
            </w:r>
            <w:r w:rsidRPr="00BA7A12">
              <w:rPr>
                <w:rFonts w:asciiTheme="minorHAnsi" w:hAnsiTheme="minorHAnsi" w:cs="Arial"/>
                <w:b/>
                <w:sz w:val="20"/>
                <w:szCs w:val="20"/>
                <w:lang w:val="en-US"/>
              </w:rPr>
              <w:t>)</w:t>
            </w:r>
          </w:p>
        </w:tc>
        <w:tc>
          <w:tcPr>
            <w:tcW w:w="1177" w:type="dxa"/>
            <w:tcBorders>
              <w:top w:val="single" w:sz="4" w:space="0" w:color="auto"/>
              <w:left w:val="nil"/>
              <w:bottom w:val="single" w:sz="12" w:space="0" w:color="auto"/>
              <w:right w:val="nil"/>
            </w:tcBorders>
            <w:vAlign w:val="bottom"/>
          </w:tcPr>
          <w:p w14:paraId="08E0FE24" w14:textId="197EE021" w:rsidR="00FF65FC" w:rsidRPr="00BA7A12" w:rsidRDefault="00EC1832" w:rsidP="00AF5A74">
            <w:pPr>
              <w:jc w:val="right"/>
              <w:rPr>
                <w:rFonts w:asciiTheme="minorHAnsi" w:hAnsiTheme="minorHAnsi" w:cs="Arial"/>
                <w:sz w:val="20"/>
                <w:szCs w:val="20"/>
                <w:lang w:val="en-US"/>
              </w:rPr>
            </w:pPr>
            <w:r w:rsidRPr="00BA7A12">
              <w:rPr>
                <w:rFonts w:asciiTheme="minorHAnsi" w:hAnsiTheme="minorHAnsi" w:cs="Arial"/>
                <w:sz w:val="20"/>
                <w:szCs w:val="20"/>
                <w:lang w:val="en-US"/>
              </w:rPr>
              <w:t>(</w:t>
            </w:r>
            <w:r w:rsidR="00444926">
              <w:rPr>
                <w:rFonts w:asciiTheme="minorHAnsi" w:hAnsiTheme="minorHAnsi" w:cs="Arial"/>
                <w:sz w:val="20"/>
                <w:szCs w:val="20"/>
                <w:lang w:val="en-US"/>
              </w:rPr>
              <w:t>12.</w:t>
            </w:r>
            <w:r w:rsidR="005E1450" w:rsidRPr="00BA7A12">
              <w:rPr>
                <w:rFonts w:asciiTheme="minorHAnsi" w:hAnsiTheme="minorHAnsi" w:cs="Arial"/>
                <w:sz w:val="20"/>
                <w:szCs w:val="20"/>
                <w:lang w:val="en-US"/>
              </w:rPr>
              <w:t>9</w:t>
            </w:r>
            <w:r w:rsidRPr="00BA7A12">
              <w:rPr>
                <w:rFonts w:asciiTheme="minorHAnsi" w:hAnsiTheme="minorHAnsi" w:cs="Arial"/>
                <w:sz w:val="20"/>
                <w:szCs w:val="20"/>
                <w:lang w:val="en-US"/>
              </w:rPr>
              <w:t>)</w:t>
            </w:r>
          </w:p>
        </w:tc>
      </w:tr>
    </w:tbl>
    <w:p w14:paraId="6908583E" w14:textId="77777777" w:rsidR="0035789B" w:rsidRDefault="0035789B" w:rsidP="00A3021A">
      <w:pPr>
        <w:rPr>
          <w:rFonts w:asciiTheme="minorHAnsi" w:hAnsiTheme="minorHAnsi" w:cs="Arial"/>
          <w:b/>
          <w:color w:val="4747FF"/>
          <w:sz w:val="22"/>
          <w:szCs w:val="22"/>
        </w:rPr>
      </w:pPr>
    </w:p>
    <w:p w14:paraId="4AD744C6" w14:textId="28874900" w:rsidR="00A3021A" w:rsidRPr="0059660E" w:rsidRDefault="00A3021A" w:rsidP="00A3021A">
      <w:pPr>
        <w:rPr>
          <w:rFonts w:asciiTheme="minorHAnsi" w:hAnsiTheme="minorHAnsi" w:cs="Arial"/>
          <w:b/>
          <w:color w:val="4747FF"/>
          <w:sz w:val="22"/>
          <w:szCs w:val="22"/>
        </w:rPr>
      </w:pPr>
      <w:r w:rsidRPr="0059660E">
        <w:rPr>
          <w:rFonts w:asciiTheme="minorHAnsi" w:hAnsiTheme="minorHAnsi" w:cs="Arial"/>
          <w:b/>
          <w:color w:val="4747FF"/>
          <w:sz w:val="22"/>
          <w:szCs w:val="22"/>
        </w:rPr>
        <w:t xml:space="preserve">Consolidated statement of comprehensive income for the </w:t>
      </w:r>
      <w:r w:rsidR="00A67F92" w:rsidRPr="0059660E">
        <w:rPr>
          <w:rFonts w:asciiTheme="minorHAnsi" w:hAnsiTheme="minorHAnsi" w:cs="Arial"/>
          <w:b/>
          <w:color w:val="4747FF"/>
          <w:sz w:val="22"/>
          <w:szCs w:val="22"/>
        </w:rPr>
        <w:t xml:space="preserve">six months </w:t>
      </w:r>
      <w:r w:rsidRPr="0059660E">
        <w:rPr>
          <w:rFonts w:asciiTheme="minorHAnsi" w:hAnsiTheme="minorHAnsi" w:cs="Arial"/>
          <w:b/>
          <w:color w:val="4747FF"/>
          <w:sz w:val="22"/>
          <w:szCs w:val="22"/>
        </w:rPr>
        <w:t xml:space="preserve">ended </w:t>
      </w:r>
      <w:r w:rsidR="00A67F92" w:rsidRPr="0059660E">
        <w:rPr>
          <w:rFonts w:asciiTheme="minorHAnsi" w:hAnsiTheme="minorHAnsi" w:cs="Arial"/>
          <w:b/>
          <w:color w:val="4747FF"/>
          <w:sz w:val="22"/>
          <w:szCs w:val="22"/>
        </w:rPr>
        <w:t>30 June</w:t>
      </w:r>
    </w:p>
    <w:tbl>
      <w:tblPr>
        <w:tblW w:w="9923" w:type="dxa"/>
        <w:tblLayout w:type="fixed"/>
        <w:tblLook w:val="0000" w:firstRow="0" w:lastRow="0" w:firstColumn="0" w:lastColumn="0" w:noHBand="0" w:noVBand="0"/>
      </w:tblPr>
      <w:tblGrid>
        <w:gridCol w:w="6892"/>
        <w:gridCol w:w="621"/>
        <w:gridCol w:w="1205"/>
        <w:gridCol w:w="1205"/>
      </w:tblGrid>
      <w:tr w:rsidR="00A3021A" w:rsidRPr="0059660E" w14:paraId="76ABF32E" w14:textId="77777777" w:rsidTr="004D1179">
        <w:tc>
          <w:tcPr>
            <w:tcW w:w="6892" w:type="dxa"/>
            <w:vAlign w:val="bottom"/>
          </w:tcPr>
          <w:p w14:paraId="3F764250" w14:textId="77777777" w:rsidR="00A3021A" w:rsidRPr="0059660E" w:rsidRDefault="00A3021A">
            <w:pPr>
              <w:rPr>
                <w:rFonts w:asciiTheme="minorHAnsi" w:hAnsiTheme="minorHAnsi" w:cs="Arial"/>
                <w:sz w:val="20"/>
                <w:szCs w:val="20"/>
              </w:rPr>
            </w:pPr>
          </w:p>
        </w:tc>
        <w:tc>
          <w:tcPr>
            <w:tcW w:w="621" w:type="dxa"/>
            <w:vAlign w:val="bottom"/>
          </w:tcPr>
          <w:p w14:paraId="36DABD7F" w14:textId="77777777" w:rsidR="00A3021A" w:rsidRPr="0059660E" w:rsidRDefault="00A3021A">
            <w:pPr>
              <w:jc w:val="right"/>
              <w:rPr>
                <w:rFonts w:asciiTheme="minorHAnsi" w:hAnsiTheme="minorHAnsi" w:cs="Arial"/>
                <w:sz w:val="20"/>
                <w:szCs w:val="20"/>
              </w:rPr>
            </w:pPr>
          </w:p>
          <w:p w14:paraId="00A48117" w14:textId="77777777" w:rsidR="00A3021A" w:rsidRPr="0059660E" w:rsidRDefault="00A3021A">
            <w:pPr>
              <w:jc w:val="center"/>
              <w:rPr>
                <w:rFonts w:asciiTheme="minorHAnsi" w:hAnsiTheme="minorHAnsi" w:cs="Arial"/>
                <w:sz w:val="20"/>
                <w:szCs w:val="20"/>
              </w:rPr>
            </w:pPr>
            <w:r w:rsidRPr="0059660E">
              <w:rPr>
                <w:rFonts w:asciiTheme="minorHAnsi" w:hAnsiTheme="minorHAnsi" w:cs="Arial"/>
                <w:sz w:val="20"/>
                <w:szCs w:val="20"/>
              </w:rPr>
              <w:t>Note</w:t>
            </w:r>
          </w:p>
        </w:tc>
        <w:tc>
          <w:tcPr>
            <w:tcW w:w="1205" w:type="dxa"/>
            <w:shd w:val="clear" w:color="auto" w:fill="F2F2F2" w:themeFill="background1" w:themeFillShade="F2"/>
            <w:vAlign w:val="bottom"/>
          </w:tcPr>
          <w:p w14:paraId="78B84FC9" w14:textId="77777777" w:rsidR="00687E61" w:rsidRPr="005E6504" w:rsidRDefault="00A3021A">
            <w:pPr>
              <w:jc w:val="right"/>
              <w:rPr>
                <w:rFonts w:asciiTheme="minorHAnsi" w:hAnsiTheme="minorHAnsi" w:cs="Arial"/>
                <w:b/>
                <w:sz w:val="20"/>
                <w:szCs w:val="20"/>
              </w:rPr>
            </w:pPr>
            <w:r w:rsidRPr="005E6504">
              <w:rPr>
                <w:rFonts w:asciiTheme="minorHAnsi" w:hAnsiTheme="minorHAnsi" w:cs="Arial"/>
                <w:b/>
                <w:sz w:val="20"/>
                <w:szCs w:val="20"/>
              </w:rPr>
              <w:t>202</w:t>
            </w:r>
            <w:r w:rsidR="006E2727" w:rsidRPr="005E6504">
              <w:rPr>
                <w:rFonts w:asciiTheme="minorHAnsi" w:hAnsiTheme="minorHAnsi" w:cs="Arial"/>
                <w:b/>
                <w:sz w:val="20"/>
                <w:szCs w:val="20"/>
              </w:rPr>
              <w:t>4</w:t>
            </w:r>
          </w:p>
          <w:p w14:paraId="41F8FB90" w14:textId="23185D19" w:rsidR="00A3021A" w:rsidRPr="005E6504" w:rsidRDefault="00A3021A">
            <w:pPr>
              <w:jc w:val="right"/>
              <w:rPr>
                <w:rFonts w:asciiTheme="minorHAnsi" w:hAnsiTheme="minorHAnsi" w:cs="Arial"/>
                <w:b/>
                <w:sz w:val="20"/>
                <w:szCs w:val="20"/>
              </w:rPr>
            </w:pPr>
            <w:r w:rsidRPr="005E6504">
              <w:rPr>
                <w:rFonts w:asciiTheme="minorHAnsi" w:hAnsiTheme="minorHAnsi" w:cs="Arial"/>
                <w:b/>
                <w:sz w:val="20"/>
                <w:szCs w:val="20"/>
              </w:rPr>
              <w:t>  </w:t>
            </w:r>
          </w:p>
        </w:tc>
        <w:tc>
          <w:tcPr>
            <w:tcW w:w="1205" w:type="dxa"/>
            <w:vAlign w:val="bottom"/>
          </w:tcPr>
          <w:p w14:paraId="6BD2F58A" w14:textId="77777777" w:rsidR="00A3021A" w:rsidRDefault="00A3021A">
            <w:pPr>
              <w:jc w:val="right"/>
              <w:rPr>
                <w:rFonts w:asciiTheme="minorHAnsi" w:hAnsiTheme="minorHAnsi" w:cs="Arial"/>
                <w:sz w:val="20"/>
                <w:szCs w:val="20"/>
              </w:rPr>
            </w:pPr>
            <w:r w:rsidRPr="0059660E">
              <w:rPr>
                <w:rFonts w:asciiTheme="minorHAnsi" w:hAnsiTheme="minorHAnsi" w:cs="Arial"/>
                <w:sz w:val="20"/>
                <w:szCs w:val="20"/>
              </w:rPr>
              <w:t>202</w:t>
            </w:r>
            <w:r w:rsidR="006E2727">
              <w:rPr>
                <w:rFonts w:asciiTheme="minorHAnsi" w:hAnsiTheme="minorHAnsi" w:cs="Arial"/>
                <w:sz w:val="20"/>
                <w:szCs w:val="20"/>
              </w:rPr>
              <w:t>3</w:t>
            </w:r>
          </w:p>
          <w:p w14:paraId="07D7A39A" w14:textId="5E5FE091" w:rsidR="005E1450" w:rsidRPr="0059660E" w:rsidRDefault="005E1450">
            <w:pPr>
              <w:jc w:val="right"/>
              <w:rPr>
                <w:rFonts w:asciiTheme="minorHAnsi" w:hAnsiTheme="minorHAnsi" w:cs="Arial"/>
                <w:sz w:val="20"/>
                <w:szCs w:val="20"/>
              </w:rPr>
            </w:pPr>
            <w:r>
              <w:rPr>
                <w:rFonts w:asciiTheme="minorHAnsi" w:hAnsiTheme="minorHAnsi" w:cs="Arial"/>
                <w:sz w:val="20"/>
                <w:szCs w:val="20"/>
              </w:rPr>
              <w:t>(restated)</w:t>
            </w:r>
            <w:r w:rsidR="00B34713" w:rsidRPr="00B34713">
              <w:rPr>
                <w:rFonts w:asciiTheme="minorHAnsi" w:hAnsiTheme="minorHAnsi" w:cs="Arial"/>
                <w:sz w:val="20"/>
                <w:szCs w:val="20"/>
                <w:vertAlign w:val="superscript"/>
              </w:rPr>
              <w:t>1</w:t>
            </w:r>
          </w:p>
        </w:tc>
      </w:tr>
      <w:tr w:rsidR="00A3021A" w:rsidRPr="0059660E" w14:paraId="76EA9B05" w14:textId="77777777" w:rsidTr="004D1179">
        <w:tc>
          <w:tcPr>
            <w:tcW w:w="6892" w:type="dxa"/>
            <w:vAlign w:val="bottom"/>
          </w:tcPr>
          <w:p w14:paraId="3D9D1A4E" w14:textId="77777777" w:rsidR="00A3021A" w:rsidRPr="0059660E" w:rsidRDefault="00A3021A">
            <w:pPr>
              <w:rPr>
                <w:rFonts w:asciiTheme="minorHAnsi" w:hAnsiTheme="minorHAnsi" w:cs="Arial"/>
                <w:sz w:val="20"/>
                <w:szCs w:val="20"/>
              </w:rPr>
            </w:pPr>
          </w:p>
        </w:tc>
        <w:tc>
          <w:tcPr>
            <w:tcW w:w="621" w:type="dxa"/>
            <w:vAlign w:val="bottom"/>
          </w:tcPr>
          <w:p w14:paraId="4F070012" w14:textId="77777777" w:rsidR="00A3021A" w:rsidRPr="0059660E" w:rsidRDefault="00A3021A">
            <w:pPr>
              <w:jc w:val="right"/>
              <w:rPr>
                <w:rFonts w:asciiTheme="minorHAnsi" w:hAnsiTheme="minorHAnsi" w:cs="Arial"/>
                <w:sz w:val="20"/>
                <w:szCs w:val="20"/>
              </w:rPr>
            </w:pPr>
          </w:p>
        </w:tc>
        <w:tc>
          <w:tcPr>
            <w:tcW w:w="1205" w:type="dxa"/>
            <w:tcBorders>
              <w:top w:val="nil"/>
              <w:left w:val="nil"/>
              <w:bottom w:val="single" w:sz="4" w:space="0" w:color="auto"/>
              <w:right w:val="nil"/>
            </w:tcBorders>
            <w:shd w:val="clear" w:color="auto" w:fill="F2F2F2" w:themeFill="background1" w:themeFillShade="F2"/>
            <w:vAlign w:val="bottom"/>
          </w:tcPr>
          <w:p w14:paraId="5A9A954B" w14:textId="77777777" w:rsidR="00A3021A" w:rsidRPr="005E6504" w:rsidRDefault="00A3021A">
            <w:pPr>
              <w:jc w:val="right"/>
              <w:rPr>
                <w:rFonts w:asciiTheme="minorHAnsi" w:hAnsiTheme="minorHAnsi" w:cs="Arial"/>
                <w:b/>
                <w:sz w:val="20"/>
                <w:szCs w:val="20"/>
              </w:rPr>
            </w:pPr>
            <w:r w:rsidRPr="005E6504">
              <w:rPr>
                <w:rFonts w:asciiTheme="minorHAnsi" w:hAnsiTheme="minorHAnsi" w:cs="Arial"/>
                <w:b/>
                <w:sz w:val="20"/>
                <w:szCs w:val="20"/>
              </w:rPr>
              <w:t>£m </w:t>
            </w:r>
          </w:p>
        </w:tc>
        <w:tc>
          <w:tcPr>
            <w:tcW w:w="1205" w:type="dxa"/>
            <w:tcBorders>
              <w:top w:val="nil"/>
              <w:left w:val="nil"/>
              <w:bottom w:val="single" w:sz="4" w:space="0" w:color="auto"/>
              <w:right w:val="nil"/>
            </w:tcBorders>
            <w:vAlign w:val="bottom"/>
          </w:tcPr>
          <w:p w14:paraId="775E4784" w14:textId="77777777" w:rsidR="00A3021A" w:rsidRPr="0059660E" w:rsidRDefault="00A3021A">
            <w:pPr>
              <w:jc w:val="right"/>
              <w:rPr>
                <w:rFonts w:asciiTheme="minorHAnsi" w:hAnsiTheme="minorHAnsi" w:cs="Arial"/>
                <w:sz w:val="20"/>
                <w:szCs w:val="20"/>
              </w:rPr>
            </w:pPr>
            <w:r w:rsidRPr="0059660E">
              <w:rPr>
                <w:rFonts w:asciiTheme="minorHAnsi" w:hAnsiTheme="minorHAnsi" w:cs="Arial"/>
                <w:sz w:val="20"/>
                <w:szCs w:val="20"/>
              </w:rPr>
              <w:t>£m </w:t>
            </w:r>
          </w:p>
        </w:tc>
      </w:tr>
      <w:tr w:rsidR="00A3021A" w:rsidRPr="0059660E" w14:paraId="1B05527E" w14:textId="77777777" w:rsidTr="004D1179">
        <w:tc>
          <w:tcPr>
            <w:tcW w:w="6892" w:type="dxa"/>
            <w:vAlign w:val="bottom"/>
          </w:tcPr>
          <w:p w14:paraId="214A09A0" w14:textId="2CFCE744" w:rsidR="00A3021A" w:rsidRPr="009E29F0" w:rsidRDefault="00267AC6">
            <w:pPr>
              <w:rPr>
                <w:rFonts w:asciiTheme="minorHAnsi" w:hAnsiTheme="minorHAnsi" w:cs="Arial"/>
                <w:b/>
                <w:bCs/>
                <w:sz w:val="20"/>
                <w:szCs w:val="20"/>
              </w:rPr>
            </w:pPr>
            <w:r w:rsidRPr="009E29F0">
              <w:rPr>
                <w:rFonts w:asciiTheme="minorHAnsi" w:hAnsiTheme="minorHAnsi" w:cs="Arial"/>
                <w:b/>
                <w:bCs/>
                <w:sz w:val="20"/>
                <w:szCs w:val="20"/>
              </w:rPr>
              <w:t>L</w:t>
            </w:r>
            <w:r w:rsidR="00A3021A" w:rsidRPr="009E29F0">
              <w:rPr>
                <w:rFonts w:asciiTheme="minorHAnsi" w:hAnsiTheme="minorHAnsi" w:cs="Arial"/>
                <w:b/>
                <w:bCs/>
                <w:sz w:val="20"/>
                <w:szCs w:val="20"/>
              </w:rPr>
              <w:t xml:space="preserve">oss for the </w:t>
            </w:r>
            <w:r w:rsidR="00CE5EF5" w:rsidRPr="009E29F0">
              <w:rPr>
                <w:rFonts w:asciiTheme="minorHAnsi" w:hAnsiTheme="minorHAnsi" w:cs="Arial"/>
                <w:b/>
                <w:bCs/>
                <w:sz w:val="20"/>
                <w:szCs w:val="20"/>
              </w:rPr>
              <w:t>period</w:t>
            </w:r>
            <w:r w:rsidR="00A3021A" w:rsidRPr="009E29F0">
              <w:rPr>
                <w:rFonts w:asciiTheme="minorHAnsi" w:hAnsiTheme="minorHAnsi" w:cs="Arial"/>
                <w:b/>
                <w:bCs/>
                <w:sz w:val="20"/>
                <w:szCs w:val="20"/>
              </w:rPr>
              <w:t xml:space="preserve"> attributable to equity shareholders</w:t>
            </w:r>
          </w:p>
        </w:tc>
        <w:tc>
          <w:tcPr>
            <w:tcW w:w="621" w:type="dxa"/>
            <w:vAlign w:val="bottom"/>
          </w:tcPr>
          <w:p w14:paraId="30600DE0" w14:textId="77777777" w:rsidR="00A3021A" w:rsidRPr="0059660E" w:rsidRDefault="00A3021A">
            <w:pPr>
              <w:jc w:val="right"/>
              <w:rPr>
                <w:rFonts w:asciiTheme="minorHAnsi" w:hAnsiTheme="minorHAnsi" w:cs="Arial"/>
                <w:sz w:val="20"/>
                <w:szCs w:val="20"/>
              </w:rPr>
            </w:pPr>
          </w:p>
        </w:tc>
        <w:tc>
          <w:tcPr>
            <w:tcW w:w="1205" w:type="dxa"/>
            <w:tcBorders>
              <w:top w:val="single" w:sz="4" w:space="0" w:color="auto"/>
              <w:left w:val="nil"/>
              <w:bottom w:val="single" w:sz="4" w:space="0" w:color="auto"/>
              <w:right w:val="nil"/>
            </w:tcBorders>
            <w:shd w:val="clear" w:color="auto" w:fill="F2F2F2" w:themeFill="background1" w:themeFillShade="F2"/>
            <w:vAlign w:val="bottom"/>
          </w:tcPr>
          <w:p w14:paraId="7001208A" w14:textId="55FBF8F9" w:rsidR="00A3021A" w:rsidRPr="005E6504" w:rsidRDefault="00267AC6">
            <w:pPr>
              <w:jc w:val="right"/>
              <w:rPr>
                <w:rFonts w:asciiTheme="minorHAnsi" w:hAnsiTheme="minorHAnsi" w:cs="Arial"/>
                <w:b/>
                <w:sz w:val="20"/>
                <w:szCs w:val="20"/>
              </w:rPr>
            </w:pPr>
            <w:r w:rsidRPr="005E6504">
              <w:rPr>
                <w:rFonts w:asciiTheme="minorHAnsi" w:hAnsiTheme="minorHAnsi" w:cs="Arial"/>
                <w:b/>
                <w:sz w:val="20"/>
                <w:szCs w:val="20"/>
              </w:rPr>
              <w:t>(</w:t>
            </w:r>
            <w:r w:rsidR="00AC38AA" w:rsidRPr="005E6504">
              <w:rPr>
                <w:rFonts w:asciiTheme="minorHAnsi" w:hAnsiTheme="minorHAnsi" w:cs="Arial"/>
                <w:b/>
                <w:sz w:val="20"/>
                <w:szCs w:val="20"/>
              </w:rPr>
              <w:t>35</w:t>
            </w:r>
            <w:r w:rsidR="00094BA7" w:rsidRPr="005E6504">
              <w:rPr>
                <w:rFonts w:asciiTheme="minorHAnsi" w:hAnsiTheme="minorHAnsi" w:cs="Arial"/>
                <w:b/>
                <w:sz w:val="20"/>
                <w:szCs w:val="20"/>
              </w:rPr>
              <w:t>.8</w:t>
            </w:r>
            <w:r w:rsidRPr="005E6504">
              <w:rPr>
                <w:rFonts w:asciiTheme="minorHAnsi" w:hAnsiTheme="minorHAnsi" w:cs="Arial"/>
                <w:b/>
                <w:sz w:val="20"/>
                <w:szCs w:val="20"/>
              </w:rPr>
              <w:t>)</w:t>
            </w:r>
          </w:p>
        </w:tc>
        <w:tc>
          <w:tcPr>
            <w:tcW w:w="1205" w:type="dxa"/>
            <w:tcBorders>
              <w:top w:val="single" w:sz="4" w:space="0" w:color="auto"/>
              <w:left w:val="nil"/>
              <w:bottom w:val="single" w:sz="4" w:space="0" w:color="auto"/>
              <w:right w:val="nil"/>
            </w:tcBorders>
            <w:vAlign w:val="bottom"/>
          </w:tcPr>
          <w:p w14:paraId="764A49FC" w14:textId="77060D94" w:rsidR="00A3021A" w:rsidRPr="006D4208" w:rsidRDefault="005B4D58">
            <w:pPr>
              <w:jc w:val="right"/>
              <w:rPr>
                <w:rFonts w:asciiTheme="minorHAnsi" w:hAnsiTheme="minorHAnsi" w:cs="Arial"/>
                <w:sz w:val="20"/>
                <w:szCs w:val="20"/>
              </w:rPr>
            </w:pPr>
            <w:r w:rsidRPr="006D4208">
              <w:rPr>
                <w:rFonts w:asciiTheme="minorHAnsi" w:hAnsiTheme="minorHAnsi" w:cs="Arial"/>
                <w:sz w:val="20"/>
                <w:szCs w:val="20"/>
              </w:rPr>
              <w:t>(1</w:t>
            </w:r>
            <w:r w:rsidR="00444926">
              <w:rPr>
                <w:rFonts w:asciiTheme="minorHAnsi" w:hAnsiTheme="minorHAnsi" w:cs="Arial"/>
                <w:sz w:val="20"/>
                <w:szCs w:val="20"/>
              </w:rPr>
              <w:t>5.9</w:t>
            </w:r>
            <w:r w:rsidRPr="006D4208">
              <w:rPr>
                <w:rFonts w:asciiTheme="minorHAnsi" w:hAnsiTheme="minorHAnsi" w:cs="Arial"/>
                <w:sz w:val="20"/>
                <w:szCs w:val="20"/>
              </w:rPr>
              <w:t>)</w:t>
            </w:r>
          </w:p>
        </w:tc>
      </w:tr>
      <w:tr w:rsidR="00A3021A" w:rsidRPr="0059660E" w14:paraId="3FBEFFD5" w14:textId="77777777" w:rsidTr="004D1179">
        <w:tc>
          <w:tcPr>
            <w:tcW w:w="6892" w:type="dxa"/>
            <w:vAlign w:val="bottom"/>
          </w:tcPr>
          <w:p w14:paraId="363A6EAF" w14:textId="77777777" w:rsidR="00A3021A" w:rsidRPr="0059660E" w:rsidRDefault="00A3021A">
            <w:pPr>
              <w:rPr>
                <w:rFonts w:asciiTheme="minorHAnsi" w:hAnsiTheme="minorHAnsi" w:cs="Arial"/>
                <w:sz w:val="20"/>
                <w:szCs w:val="20"/>
              </w:rPr>
            </w:pPr>
            <w:r w:rsidRPr="0059660E">
              <w:rPr>
                <w:rFonts w:asciiTheme="minorHAnsi" w:hAnsiTheme="minorHAnsi" w:cs="Arial"/>
                <w:sz w:val="20"/>
                <w:szCs w:val="20"/>
              </w:rPr>
              <w:t>Items that will not be reclassified subsequently to the income statement:</w:t>
            </w:r>
          </w:p>
        </w:tc>
        <w:tc>
          <w:tcPr>
            <w:tcW w:w="621" w:type="dxa"/>
            <w:vAlign w:val="bottom"/>
          </w:tcPr>
          <w:p w14:paraId="7AB51147" w14:textId="77777777" w:rsidR="00A3021A" w:rsidRPr="0059660E" w:rsidRDefault="00A3021A">
            <w:pPr>
              <w:jc w:val="right"/>
              <w:rPr>
                <w:rFonts w:asciiTheme="minorHAnsi" w:hAnsiTheme="minorHAnsi" w:cs="Arial"/>
                <w:sz w:val="20"/>
                <w:szCs w:val="20"/>
              </w:rPr>
            </w:pPr>
          </w:p>
        </w:tc>
        <w:tc>
          <w:tcPr>
            <w:tcW w:w="1205" w:type="dxa"/>
            <w:shd w:val="clear" w:color="auto" w:fill="F2F2F2" w:themeFill="background1" w:themeFillShade="F2"/>
            <w:vAlign w:val="bottom"/>
          </w:tcPr>
          <w:p w14:paraId="0F64CB9B" w14:textId="77777777" w:rsidR="00A3021A" w:rsidRPr="005E6504" w:rsidRDefault="00A3021A">
            <w:pPr>
              <w:jc w:val="right"/>
              <w:rPr>
                <w:rFonts w:asciiTheme="minorHAnsi" w:hAnsiTheme="minorHAnsi" w:cs="Arial"/>
                <w:b/>
                <w:sz w:val="20"/>
                <w:szCs w:val="20"/>
              </w:rPr>
            </w:pPr>
          </w:p>
        </w:tc>
        <w:tc>
          <w:tcPr>
            <w:tcW w:w="1205" w:type="dxa"/>
            <w:vAlign w:val="bottom"/>
          </w:tcPr>
          <w:p w14:paraId="28E3A1B2" w14:textId="77777777" w:rsidR="00A3021A" w:rsidRPr="006D4208" w:rsidRDefault="00A3021A">
            <w:pPr>
              <w:jc w:val="right"/>
              <w:rPr>
                <w:rFonts w:asciiTheme="minorHAnsi" w:hAnsiTheme="minorHAnsi" w:cs="Arial"/>
                <w:sz w:val="20"/>
                <w:szCs w:val="20"/>
              </w:rPr>
            </w:pPr>
          </w:p>
        </w:tc>
      </w:tr>
      <w:tr w:rsidR="00A3021A" w:rsidRPr="0059660E" w14:paraId="6EE300E2" w14:textId="77777777" w:rsidTr="004D1179">
        <w:tc>
          <w:tcPr>
            <w:tcW w:w="6892" w:type="dxa"/>
            <w:vAlign w:val="bottom"/>
          </w:tcPr>
          <w:p w14:paraId="1D6963E0" w14:textId="77777777" w:rsidR="00A3021A" w:rsidRPr="0059660E" w:rsidRDefault="00A3021A">
            <w:pPr>
              <w:rPr>
                <w:rFonts w:asciiTheme="minorHAnsi" w:hAnsiTheme="minorHAnsi" w:cs="Arial"/>
                <w:sz w:val="20"/>
                <w:szCs w:val="20"/>
              </w:rPr>
            </w:pPr>
            <w:r w:rsidRPr="0059660E">
              <w:rPr>
                <w:rFonts w:asciiTheme="minorHAnsi" w:hAnsiTheme="minorHAnsi" w:cs="Arial"/>
                <w:sz w:val="20"/>
                <w:szCs w:val="20"/>
              </w:rPr>
              <w:t>– actuarial movements on retirement benefit asset</w:t>
            </w:r>
          </w:p>
        </w:tc>
        <w:tc>
          <w:tcPr>
            <w:tcW w:w="621" w:type="dxa"/>
            <w:vAlign w:val="bottom"/>
          </w:tcPr>
          <w:p w14:paraId="6F294584" w14:textId="44B6AC46" w:rsidR="00A3021A" w:rsidRPr="0059660E" w:rsidRDefault="00A3021A">
            <w:pPr>
              <w:jc w:val="right"/>
              <w:rPr>
                <w:rFonts w:asciiTheme="minorHAnsi" w:hAnsiTheme="minorHAnsi" w:cs="Arial"/>
                <w:sz w:val="20"/>
                <w:szCs w:val="20"/>
              </w:rPr>
            </w:pPr>
            <w:r w:rsidRPr="006D4208">
              <w:rPr>
                <w:rFonts w:asciiTheme="minorHAnsi" w:hAnsiTheme="minorHAnsi" w:cs="Arial"/>
                <w:sz w:val="20"/>
                <w:szCs w:val="20"/>
              </w:rPr>
              <w:t>1</w:t>
            </w:r>
            <w:r w:rsidR="00200D93" w:rsidRPr="006D4208">
              <w:rPr>
                <w:rFonts w:asciiTheme="minorHAnsi" w:hAnsiTheme="minorHAnsi" w:cs="Arial"/>
                <w:sz w:val="20"/>
                <w:szCs w:val="20"/>
              </w:rPr>
              <w:t>1</w:t>
            </w:r>
          </w:p>
        </w:tc>
        <w:tc>
          <w:tcPr>
            <w:tcW w:w="1205" w:type="dxa"/>
            <w:shd w:val="clear" w:color="auto" w:fill="F2F2F2" w:themeFill="background1" w:themeFillShade="F2"/>
            <w:vAlign w:val="bottom"/>
          </w:tcPr>
          <w:p w14:paraId="1D5CBB30" w14:textId="3FBF4121" w:rsidR="00A3021A" w:rsidRPr="005E6504" w:rsidRDefault="00A048C4">
            <w:pPr>
              <w:jc w:val="right"/>
              <w:rPr>
                <w:rFonts w:asciiTheme="minorHAnsi" w:hAnsiTheme="minorHAnsi" w:cs="Arial"/>
                <w:b/>
                <w:sz w:val="20"/>
                <w:szCs w:val="20"/>
              </w:rPr>
            </w:pPr>
            <w:r w:rsidRPr="005E6504">
              <w:rPr>
                <w:rFonts w:asciiTheme="minorHAnsi" w:hAnsiTheme="minorHAnsi" w:cs="Arial"/>
                <w:b/>
                <w:sz w:val="20"/>
                <w:szCs w:val="20"/>
              </w:rPr>
              <w:t>(</w:t>
            </w:r>
            <w:r w:rsidR="004E5B5D" w:rsidRPr="005E6504">
              <w:rPr>
                <w:rFonts w:asciiTheme="minorHAnsi" w:hAnsiTheme="minorHAnsi" w:cs="Arial"/>
                <w:b/>
                <w:sz w:val="20"/>
                <w:szCs w:val="20"/>
              </w:rPr>
              <w:t>4.5</w:t>
            </w:r>
            <w:r w:rsidRPr="005E6504">
              <w:rPr>
                <w:rFonts w:asciiTheme="minorHAnsi" w:hAnsiTheme="minorHAnsi" w:cs="Arial"/>
                <w:b/>
                <w:sz w:val="20"/>
                <w:szCs w:val="20"/>
              </w:rPr>
              <w:t>)</w:t>
            </w:r>
          </w:p>
        </w:tc>
        <w:tc>
          <w:tcPr>
            <w:tcW w:w="1205" w:type="dxa"/>
            <w:vAlign w:val="bottom"/>
          </w:tcPr>
          <w:p w14:paraId="0985D903" w14:textId="5C7E97FE" w:rsidR="00A3021A" w:rsidRPr="006D4208" w:rsidRDefault="0051100B">
            <w:pPr>
              <w:jc w:val="right"/>
              <w:rPr>
                <w:rFonts w:asciiTheme="minorHAnsi" w:hAnsiTheme="minorHAnsi" w:cs="Arial"/>
                <w:sz w:val="20"/>
                <w:szCs w:val="20"/>
              </w:rPr>
            </w:pPr>
            <w:r w:rsidRPr="006D4208">
              <w:rPr>
                <w:rFonts w:asciiTheme="minorHAnsi" w:hAnsiTheme="minorHAnsi" w:cs="Arial"/>
                <w:sz w:val="20"/>
                <w:szCs w:val="20"/>
              </w:rPr>
              <w:t>5.5</w:t>
            </w:r>
          </w:p>
        </w:tc>
      </w:tr>
      <w:tr w:rsidR="00A3021A" w:rsidRPr="0059660E" w14:paraId="4939B1B1" w14:textId="77777777" w:rsidTr="004D1179">
        <w:tc>
          <w:tcPr>
            <w:tcW w:w="6892" w:type="dxa"/>
            <w:vAlign w:val="bottom"/>
          </w:tcPr>
          <w:p w14:paraId="541A8BBE" w14:textId="77777777" w:rsidR="00A3021A" w:rsidRPr="0059660E" w:rsidRDefault="00A3021A">
            <w:pPr>
              <w:rPr>
                <w:rFonts w:asciiTheme="minorHAnsi" w:hAnsiTheme="minorHAnsi" w:cs="Arial"/>
                <w:sz w:val="20"/>
                <w:szCs w:val="20"/>
              </w:rPr>
            </w:pPr>
            <w:r w:rsidRPr="0059660E">
              <w:rPr>
                <w:rFonts w:asciiTheme="minorHAnsi" w:hAnsiTheme="minorHAnsi" w:cs="Arial"/>
                <w:sz w:val="20"/>
                <w:szCs w:val="20"/>
              </w:rPr>
              <w:t>– tax on items taken directly to other comprehensive income</w:t>
            </w:r>
          </w:p>
        </w:tc>
        <w:tc>
          <w:tcPr>
            <w:tcW w:w="621" w:type="dxa"/>
            <w:vAlign w:val="bottom"/>
          </w:tcPr>
          <w:p w14:paraId="196FC7C0" w14:textId="3D297D7E" w:rsidR="00A3021A" w:rsidRPr="0059660E" w:rsidRDefault="00A3021A">
            <w:pPr>
              <w:jc w:val="right"/>
              <w:rPr>
                <w:rFonts w:asciiTheme="minorHAnsi" w:hAnsiTheme="minorHAnsi" w:cs="Arial"/>
                <w:sz w:val="20"/>
                <w:szCs w:val="20"/>
              </w:rPr>
            </w:pPr>
          </w:p>
        </w:tc>
        <w:tc>
          <w:tcPr>
            <w:tcW w:w="1205" w:type="dxa"/>
            <w:shd w:val="clear" w:color="auto" w:fill="F2F2F2" w:themeFill="background1" w:themeFillShade="F2"/>
            <w:vAlign w:val="bottom"/>
          </w:tcPr>
          <w:p w14:paraId="704ECE6A" w14:textId="2902E65E" w:rsidR="00A3021A" w:rsidRPr="005E6504" w:rsidRDefault="00A048C4">
            <w:pPr>
              <w:jc w:val="right"/>
              <w:rPr>
                <w:rFonts w:asciiTheme="minorHAnsi" w:hAnsiTheme="minorHAnsi" w:cs="Arial"/>
                <w:b/>
                <w:sz w:val="20"/>
                <w:szCs w:val="20"/>
              </w:rPr>
            </w:pPr>
            <w:r w:rsidRPr="005E6504">
              <w:rPr>
                <w:rFonts w:asciiTheme="minorHAnsi" w:hAnsiTheme="minorHAnsi" w:cs="Arial"/>
                <w:b/>
                <w:sz w:val="20"/>
                <w:szCs w:val="20"/>
              </w:rPr>
              <w:t>1.1</w:t>
            </w:r>
          </w:p>
        </w:tc>
        <w:tc>
          <w:tcPr>
            <w:tcW w:w="1205" w:type="dxa"/>
            <w:vAlign w:val="bottom"/>
          </w:tcPr>
          <w:p w14:paraId="1A51A528" w14:textId="4C5A8AB2" w:rsidR="00A3021A" w:rsidRPr="006D4208" w:rsidRDefault="005D3030">
            <w:pPr>
              <w:jc w:val="right"/>
              <w:rPr>
                <w:rFonts w:asciiTheme="minorHAnsi" w:hAnsiTheme="minorHAnsi" w:cs="Arial"/>
                <w:sz w:val="20"/>
                <w:szCs w:val="20"/>
              </w:rPr>
            </w:pPr>
            <w:r w:rsidRPr="006D4208">
              <w:rPr>
                <w:rFonts w:asciiTheme="minorHAnsi" w:hAnsiTheme="minorHAnsi" w:cs="Arial"/>
                <w:sz w:val="20"/>
                <w:szCs w:val="20"/>
              </w:rPr>
              <w:t>(1.3)</w:t>
            </w:r>
          </w:p>
        </w:tc>
      </w:tr>
      <w:tr w:rsidR="00A3021A" w:rsidRPr="0059660E" w14:paraId="37148F85" w14:textId="77777777" w:rsidTr="004D1179">
        <w:tc>
          <w:tcPr>
            <w:tcW w:w="6892" w:type="dxa"/>
            <w:vAlign w:val="bottom"/>
          </w:tcPr>
          <w:p w14:paraId="4562BC0D" w14:textId="77777777" w:rsidR="00A3021A" w:rsidRPr="0059660E" w:rsidRDefault="00A3021A">
            <w:pPr>
              <w:ind w:left="147" w:hanging="147"/>
              <w:rPr>
                <w:rFonts w:asciiTheme="minorHAnsi" w:hAnsiTheme="minorHAnsi" w:cs="Arial"/>
                <w:sz w:val="20"/>
                <w:szCs w:val="20"/>
              </w:rPr>
            </w:pPr>
            <w:r w:rsidRPr="0059660E">
              <w:rPr>
                <w:rFonts w:asciiTheme="minorHAnsi" w:hAnsiTheme="minorHAnsi" w:cs="Arial"/>
                <w:sz w:val="20"/>
                <w:szCs w:val="20"/>
              </w:rPr>
              <w:t>– impact of change in UK tax rate on items in other comprehensive income</w:t>
            </w:r>
          </w:p>
        </w:tc>
        <w:tc>
          <w:tcPr>
            <w:tcW w:w="621" w:type="dxa"/>
            <w:vAlign w:val="bottom"/>
          </w:tcPr>
          <w:p w14:paraId="77D51603" w14:textId="7BC021FD" w:rsidR="00A3021A" w:rsidRPr="0059660E" w:rsidRDefault="00A3021A">
            <w:pPr>
              <w:jc w:val="right"/>
              <w:rPr>
                <w:rFonts w:asciiTheme="minorHAnsi" w:hAnsiTheme="minorHAnsi" w:cs="Arial"/>
                <w:sz w:val="20"/>
                <w:szCs w:val="20"/>
              </w:rPr>
            </w:pPr>
          </w:p>
        </w:tc>
        <w:tc>
          <w:tcPr>
            <w:tcW w:w="1205" w:type="dxa"/>
            <w:shd w:val="clear" w:color="auto" w:fill="F2F2F2" w:themeFill="background1" w:themeFillShade="F2"/>
            <w:vAlign w:val="bottom"/>
          </w:tcPr>
          <w:p w14:paraId="44BA6262" w14:textId="374E7B10" w:rsidR="00A3021A" w:rsidRPr="005E6504" w:rsidRDefault="00A048C4">
            <w:pPr>
              <w:jc w:val="right"/>
              <w:rPr>
                <w:rFonts w:asciiTheme="minorHAnsi" w:hAnsiTheme="minorHAnsi" w:cs="Arial"/>
                <w:b/>
                <w:sz w:val="20"/>
                <w:szCs w:val="20"/>
              </w:rPr>
            </w:pPr>
            <w:r w:rsidRPr="005E6504">
              <w:rPr>
                <w:rFonts w:asciiTheme="minorHAnsi" w:hAnsiTheme="minorHAnsi" w:cs="Arial"/>
                <w:b/>
                <w:sz w:val="20"/>
                <w:szCs w:val="20"/>
              </w:rPr>
              <w:t>-</w:t>
            </w:r>
          </w:p>
        </w:tc>
        <w:tc>
          <w:tcPr>
            <w:tcW w:w="1205" w:type="dxa"/>
            <w:vAlign w:val="bottom"/>
          </w:tcPr>
          <w:p w14:paraId="3D5D15A7" w14:textId="104D4EFF" w:rsidR="00A3021A" w:rsidRPr="006D4208" w:rsidRDefault="005D3030">
            <w:pPr>
              <w:jc w:val="right"/>
              <w:rPr>
                <w:rFonts w:asciiTheme="minorHAnsi" w:hAnsiTheme="minorHAnsi" w:cs="Arial"/>
                <w:sz w:val="20"/>
                <w:szCs w:val="20"/>
              </w:rPr>
            </w:pPr>
            <w:r w:rsidRPr="006D4208">
              <w:rPr>
                <w:rFonts w:asciiTheme="minorHAnsi" w:hAnsiTheme="minorHAnsi" w:cs="Arial"/>
                <w:sz w:val="20"/>
                <w:szCs w:val="20"/>
              </w:rPr>
              <w:t>(0.1)</w:t>
            </w:r>
          </w:p>
        </w:tc>
      </w:tr>
      <w:tr w:rsidR="00A3021A" w:rsidRPr="0059660E" w14:paraId="558511BB" w14:textId="77777777" w:rsidTr="004D1179">
        <w:tc>
          <w:tcPr>
            <w:tcW w:w="6892" w:type="dxa"/>
            <w:vAlign w:val="bottom"/>
          </w:tcPr>
          <w:p w14:paraId="2AD2B1B7" w14:textId="4D7214D7" w:rsidR="00A3021A" w:rsidRPr="006E2883" w:rsidRDefault="00A3021A">
            <w:pPr>
              <w:rPr>
                <w:rFonts w:asciiTheme="minorHAnsi" w:hAnsiTheme="minorHAnsi" w:cs="Arial"/>
                <w:bCs/>
                <w:sz w:val="20"/>
                <w:szCs w:val="20"/>
              </w:rPr>
            </w:pPr>
            <w:r w:rsidRPr="006E2883">
              <w:rPr>
                <w:rFonts w:asciiTheme="minorHAnsi" w:hAnsiTheme="minorHAnsi" w:cs="Arial"/>
                <w:sz w:val="20"/>
                <w:szCs w:val="20"/>
              </w:rPr>
              <w:t xml:space="preserve">Other comprehensive </w:t>
            </w:r>
            <w:r w:rsidR="00886941" w:rsidRPr="006E2883">
              <w:rPr>
                <w:rFonts w:asciiTheme="minorHAnsi" w:hAnsiTheme="minorHAnsi" w:cs="Arial"/>
                <w:sz w:val="20"/>
                <w:szCs w:val="20"/>
              </w:rPr>
              <w:t>(expense</w:t>
            </w:r>
            <w:r w:rsidR="00214043" w:rsidRPr="006E2883">
              <w:rPr>
                <w:rFonts w:asciiTheme="minorHAnsi" w:hAnsiTheme="minorHAnsi" w:cs="Arial"/>
                <w:sz w:val="20"/>
                <w:szCs w:val="20"/>
              </w:rPr>
              <w:t>)/i</w:t>
            </w:r>
            <w:r w:rsidR="006E2883" w:rsidRPr="006E2883">
              <w:rPr>
                <w:rFonts w:asciiTheme="minorHAnsi" w:hAnsiTheme="minorHAnsi" w:cs="Arial"/>
                <w:sz w:val="20"/>
                <w:szCs w:val="20"/>
              </w:rPr>
              <w:t>ncome</w:t>
            </w:r>
            <w:r w:rsidRPr="006E2883">
              <w:rPr>
                <w:rFonts w:asciiTheme="minorHAnsi" w:hAnsiTheme="minorHAnsi" w:cs="Arial"/>
                <w:sz w:val="20"/>
                <w:szCs w:val="20"/>
              </w:rPr>
              <w:t xml:space="preserve"> for the </w:t>
            </w:r>
            <w:r w:rsidR="00D92459" w:rsidRPr="006E2883">
              <w:rPr>
                <w:rFonts w:asciiTheme="minorHAnsi" w:hAnsiTheme="minorHAnsi" w:cs="Arial"/>
                <w:sz w:val="20"/>
                <w:szCs w:val="20"/>
              </w:rPr>
              <w:t>period</w:t>
            </w:r>
          </w:p>
        </w:tc>
        <w:tc>
          <w:tcPr>
            <w:tcW w:w="621" w:type="dxa"/>
            <w:vAlign w:val="bottom"/>
          </w:tcPr>
          <w:p w14:paraId="6FF88F7F" w14:textId="77777777" w:rsidR="00A3021A" w:rsidRPr="0059660E" w:rsidRDefault="00A3021A">
            <w:pPr>
              <w:jc w:val="right"/>
              <w:rPr>
                <w:rFonts w:asciiTheme="minorHAnsi" w:hAnsiTheme="minorHAnsi" w:cs="Arial"/>
                <w:sz w:val="20"/>
                <w:szCs w:val="20"/>
              </w:rPr>
            </w:pPr>
          </w:p>
        </w:tc>
        <w:tc>
          <w:tcPr>
            <w:tcW w:w="1205" w:type="dxa"/>
            <w:tcBorders>
              <w:top w:val="single" w:sz="4" w:space="0" w:color="auto"/>
              <w:left w:val="nil"/>
              <w:bottom w:val="nil"/>
              <w:right w:val="nil"/>
            </w:tcBorders>
            <w:shd w:val="clear" w:color="auto" w:fill="F2F2F2" w:themeFill="background1" w:themeFillShade="F2"/>
            <w:vAlign w:val="bottom"/>
          </w:tcPr>
          <w:p w14:paraId="2DA5E90F" w14:textId="04A29A1C" w:rsidR="00A3021A" w:rsidRPr="005E6504" w:rsidRDefault="00E7010F">
            <w:pPr>
              <w:jc w:val="right"/>
              <w:rPr>
                <w:rFonts w:asciiTheme="minorHAnsi" w:hAnsiTheme="minorHAnsi" w:cs="Arial"/>
                <w:b/>
                <w:sz w:val="20"/>
                <w:szCs w:val="20"/>
              </w:rPr>
            </w:pPr>
            <w:r w:rsidRPr="005E6504">
              <w:rPr>
                <w:rFonts w:asciiTheme="minorHAnsi" w:hAnsiTheme="minorHAnsi" w:cs="Arial"/>
                <w:b/>
                <w:sz w:val="20"/>
                <w:szCs w:val="20"/>
              </w:rPr>
              <w:t>(3.4)</w:t>
            </w:r>
          </w:p>
        </w:tc>
        <w:tc>
          <w:tcPr>
            <w:tcW w:w="1205" w:type="dxa"/>
            <w:tcBorders>
              <w:top w:val="single" w:sz="4" w:space="0" w:color="auto"/>
              <w:left w:val="nil"/>
              <w:bottom w:val="nil"/>
              <w:right w:val="nil"/>
            </w:tcBorders>
            <w:vAlign w:val="bottom"/>
          </w:tcPr>
          <w:p w14:paraId="50EAA9E8" w14:textId="7F89699F" w:rsidR="00A3021A" w:rsidRPr="006D4208" w:rsidRDefault="005D3030">
            <w:pPr>
              <w:jc w:val="right"/>
              <w:rPr>
                <w:rFonts w:asciiTheme="minorHAnsi" w:hAnsiTheme="minorHAnsi" w:cs="Arial"/>
                <w:sz w:val="20"/>
                <w:szCs w:val="20"/>
              </w:rPr>
            </w:pPr>
            <w:r w:rsidRPr="006D4208">
              <w:rPr>
                <w:rFonts w:asciiTheme="minorHAnsi" w:hAnsiTheme="minorHAnsi" w:cs="Arial"/>
                <w:sz w:val="20"/>
                <w:szCs w:val="20"/>
              </w:rPr>
              <w:t>4.1</w:t>
            </w:r>
          </w:p>
        </w:tc>
      </w:tr>
      <w:tr w:rsidR="00A3021A" w:rsidRPr="0059660E" w14:paraId="5BC1939C" w14:textId="77777777" w:rsidTr="004D1179">
        <w:tc>
          <w:tcPr>
            <w:tcW w:w="6892" w:type="dxa"/>
            <w:vAlign w:val="bottom"/>
          </w:tcPr>
          <w:p w14:paraId="6D0614B6" w14:textId="58302011" w:rsidR="00A3021A" w:rsidRPr="006E2883" w:rsidRDefault="00A3021A">
            <w:pPr>
              <w:rPr>
                <w:rFonts w:asciiTheme="minorHAnsi" w:hAnsiTheme="minorHAnsi" w:cs="Arial"/>
                <w:b/>
                <w:bCs/>
                <w:sz w:val="20"/>
                <w:szCs w:val="20"/>
              </w:rPr>
            </w:pPr>
            <w:r w:rsidRPr="006E2883">
              <w:rPr>
                <w:rFonts w:asciiTheme="minorHAnsi" w:hAnsiTheme="minorHAnsi" w:cs="Arial"/>
                <w:b/>
                <w:bCs/>
                <w:sz w:val="20"/>
                <w:szCs w:val="20"/>
              </w:rPr>
              <w:t xml:space="preserve">Total comprehensive expense for the </w:t>
            </w:r>
            <w:r w:rsidR="00D92459" w:rsidRPr="006E2883">
              <w:rPr>
                <w:rFonts w:asciiTheme="minorHAnsi" w:hAnsiTheme="minorHAnsi" w:cs="Arial"/>
                <w:b/>
                <w:bCs/>
                <w:sz w:val="20"/>
                <w:szCs w:val="20"/>
              </w:rPr>
              <w:t>period</w:t>
            </w:r>
          </w:p>
        </w:tc>
        <w:tc>
          <w:tcPr>
            <w:tcW w:w="621" w:type="dxa"/>
            <w:vAlign w:val="bottom"/>
          </w:tcPr>
          <w:p w14:paraId="1D558BE5" w14:textId="77777777" w:rsidR="00A3021A" w:rsidRPr="0059660E" w:rsidRDefault="00A3021A">
            <w:pPr>
              <w:jc w:val="right"/>
              <w:rPr>
                <w:rFonts w:asciiTheme="minorHAnsi" w:hAnsiTheme="minorHAnsi" w:cs="Arial"/>
                <w:sz w:val="20"/>
                <w:szCs w:val="20"/>
                <w:lang w:val="en-US"/>
              </w:rPr>
            </w:pPr>
          </w:p>
        </w:tc>
        <w:tc>
          <w:tcPr>
            <w:tcW w:w="1205" w:type="dxa"/>
            <w:tcBorders>
              <w:top w:val="single" w:sz="4" w:space="0" w:color="auto"/>
              <w:left w:val="nil"/>
              <w:bottom w:val="single" w:sz="12" w:space="0" w:color="auto"/>
              <w:right w:val="nil"/>
            </w:tcBorders>
            <w:shd w:val="clear" w:color="auto" w:fill="F2F2F2" w:themeFill="background1" w:themeFillShade="F2"/>
            <w:vAlign w:val="bottom"/>
          </w:tcPr>
          <w:p w14:paraId="75E49ABE" w14:textId="121E3421" w:rsidR="00A3021A" w:rsidRPr="005E6504" w:rsidRDefault="00CE63F1">
            <w:pPr>
              <w:jc w:val="right"/>
              <w:rPr>
                <w:rFonts w:asciiTheme="minorHAnsi" w:hAnsiTheme="minorHAnsi" w:cs="Arial"/>
                <w:b/>
                <w:sz w:val="20"/>
                <w:szCs w:val="20"/>
                <w:lang w:val="en-US"/>
              </w:rPr>
            </w:pPr>
            <w:r w:rsidRPr="005E6504">
              <w:rPr>
                <w:rFonts w:asciiTheme="minorHAnsi" w:hAnsiTheme="minorHAnsi" w:cs="Arial"/>
                <w:b/>
                <w:sz w:val="20"/>
                <w:szCs w:val="20"/>
                <w:lang w:val="en-US"/>
              </w:rPr>
              <w:t>(</w:t>
            </w:r>
            <w:r w:rsidR="005D12EA" w:rsidRPr="005E6504">
              <w:rPr>
                <w:rFonts w:asciiTheme="minorHAnsi" w:hAnsiTheme="minorHAnsi" w:cs="Arial"/>
                <w:b/>
                <w:sz w:val="20"/>
                <w:szCs w:val="20"/>
                <w:lang w:val="en-US"/>
              </w:rPr>
              <w:t>39.2</w:t>
            </w:r>
            <w:r w:rsidRPr="005E6504">
              <w:rPr>
                <w:rFonts w:asciiTheme="minorHAnsi" w:hAnsiTheme="minorHAnsi" w:cs="Arial"/>
                <w:b/>
                <w:sz w:val="20"/>
                <w:szCs w:val="20"/>
                <w:lang w:val="en-US"/>
              </w:rPr>
              <w:t>)</w:t>
            </w:r>
          </w:p>
        </w:tc>
        <w:tc>
          <w:tcPr>
            <w:tcW w:w="1205" w:type="dxa"/>
            <w:tcBorders>
              <w:top w:val="single" w:sz="4" w:space="0" w:color="auto"/>
              <w:left w:val="nil"/>
              <w:bottom w:val="single" w:sz="12" w:space="0" w:color="auto"/>
              <w:right w:val="nil"/>
            </w:tcBorders>
            <w:vAlign w:val="bottom"/>
          </w:tcPr>
          <w:p w14:paraId="5E1160F6" w14:textId="36FC229D" w:rsidR="00A3021A" w:rsidRPr="006D4208" w:rsidRDefault="00A3021A">
            <w:pPr>
              <w:jc w:val="right"/>
              <w:rPr>
                <w:rFonts w:asciiTheme="minorHAnsi" w:hAnsiTheme="minorHAnsi" w:cs="Arial"/>
                <w:sz w:val="20"/>
                <w:szCs w:val="20"/>
                <w:lang w:val="en-US"/>
              </w:rPr>
            </w:pPr>
            <w:r w:rsidRPr="006D4208">
              <w:rPr>
                <w:rFonts w:asciiTheme="minorHAnsi" w:hAnsiTheme="minorHAnsi" w:cs="Arial"/>
                <w:sz w:val="20"/>
                <w:szCs w:val="20"/>
                <w:lang w:val="en-US"/>
              </w:rPr>
              <w:t>(</w:t>
            </w:r>
            <w:r w:rsidR="00A9457F">
              <w:rPr>
                <w:rFonts w:asciiTheme="minorHAnsi" w:hAnsiTheme="minorHAnsi" w:cs="Arial"/>
                <w:sz w:val="20"/>
                <w:szCs w:val="20"/>
                <w:lang w:val="en-US"/>
              </w:rPr>
              <w:t>11.8</w:t>
            </w:r>
            <w:r w:rsidRPr="006D4208">
              <w:rPr>
                <w:rFonts w:asciiTheme="minorHAnsi" w:hAnsiTheme="minorHAnsi" w:cs="Arial"/>
                <w:sz w:val="20"/>
                <w:szCs w:val="20"/>
                <w:lang w:val="en-US"/>
              </w:rPr>
              <w:t>)</w:t>
            </w:r>
          </w:p>
        </w:tc>
      </w:tr>
    </w:tbl>
    <w:p w14:paraId="2C48A423" w14:textId="77777777" w:rsidR="00A3021A" w:rsidRPr="0059660E" w:rsidRDefault="00A3021A" w:rsidP="00A3021A">
      <w:pPr>
        <w:rPr>
          <w:rFonts w:asciiTheme="minorHAnsi" w:hAnsiTheme="minorHAnsi" w:cs="Arial"/>
          <w:b/>
          <w:sz w:val="20"/>
          <w:szCs w:val="20"/>
        </w:rPr>
      </w:pPr>
    </w:p>
    <w:p w14:paraId="79CD8BBB" w14:textId="63970172" w:rsidR="00A3021A" w:rsidRPr="0059660E" w:rsidRDefault="00565C20" w:rsidP="00A3021A">
      <w:pPr>
        <w:rPr>
          <w:rFonts w:asciiTheme="minorHAnsi" w:hAnsiTheme="minorHAnsi" w:cs="Arial"/>
          <w:b/>
          <w:color w:val="4747FF"/>
          <w:sz w:val="22"/>
          <w:szCs w:val="22"/>
        </w:rPr>
      </w:pPr>
      <w:r w:rsidRPr="0059660E">
        <w:rPr>
          <w:rFonts w:asciiTheme="minorHAnsi" w:hAnsiTheme="minorHAnsi" w:cs="Arial"/>
          <w:b/>
          <w:color w:val="4747FF"/>
          <w:sz w:val="22"/>
          <w:szCs w:val="22"/>
        </w:rPr>
        <w:t>L</w:t>
      </w:r>
      <w:r w:rsidR="00A3021A" w:rsidRPr="0059660E">
        <w:rPr>
          <w:rFonts w:asciiTheme="minorHAnsi" w:hAnsiTheme="minorHAnsi" w:cs="Arial"/>
          <w:b/>
          <w:color w:val="4747FF"/>
          <w:sz w:val="22"/>
          <w:szCs w:val="22"/>
        </w:rPr>
        <w:t>oss per share</w:t>
      </w:r>
    </w:p>
    <w:tbl>
      <w:tblPr>
        <w:tblW w:w="9923" w:type="dxa"/>
        <w:tblLook w:val="0000" w:firstRow="0" w:lastRow="0" w:firstColumn="0" w:lastColumn="0" w:noHBand="0" w:noVBand="0"/>
      </w:tblPr>
      <w:tblGrid>
        <w:gridCol w:w="6494"/>
        <w:gridCol w:w="1085"/>
        <w:gridCol w:w="1172"/>
        <w:gridCol w:w="1172"/>
      </w:tblGrid>
      <w:tr w:rsidR="00A3021A" w:rsidRPr="0059660E" w14:paraId="230A8372" w14:textId="77777777" w:rsidTr="004D1179">
        <w:tc>
          <w:tcPr>
            <w:tcW w:w="6494" w:type="dxa"/>
          </w:tcPr>
          <w:p w14:paraId="5D768DE7" w14:textId="77777777" w:rsidR="00A3021A" w:rsidRPr="0059660E" w:rsidRDefault="00A3021A">
            <w:pPr>
              <w:rPr>
                <w:rFonts w:asciiTheme="minorHAnsi" w:hAnsiTheme="minorHAnsi" w:cs="Arial"/>
                <w:b/>
                <w:sz w:val="20"/>
                <w:szCs w:val="20"/>
              </w:rPr>
            </w:pPr>
          </w:p>
        </w:tc>
        <w:tc>
          <w:tcPr>
            <w:tcW w:w="1085" w:type="dxa"/>
          </w:tcPr>
          <w:p w14:paraId="282EB242" w14:textId="77777777" w:rsidR="00A3021A" w:rsidRPr="0059660E" w:rsidRDefault="00A3021A">
            <w:pPr>
              <w:jc w:val="right"/>
              <w:rPr>
                <w:rFonts w:asciiTheme="minorHAnsi" w:hAnsiTheme="minorHAnsi" w:cs="Arial"/>
                <w:sz w:val="20"/>
                <w:szCs w:val="20"/>
              </w:rPr>
            </w:pPr>
            <w:r w:rsidRPr="0059660E">
              <w:rPr>
                <w:rFonts w:asciiTheme="minorHAnsi" w:hAnsiTheme="minorHAnsi" w:cs="Arial"/>
                <w:sz w:val="20"/>
                <w:szCs w:val="20"/>
              </w:rPr>
              <w:t>Note</w:t>
            </w:r>
          </w:p>
        </w:tc>
        <w:tc>
          <w:tcPr>
            <w:tcW w:w="1172" w:type="dxa"/>
            <w:shd w:val="clear" w:color="auto" w:fill="F2F2F2" w:themeFill="background1" w:themeFillShade="F2"/>
          </w:tcPr>
          <w:p w14:paraId="22795190" w14:textId="39F83405" w:rsidR="00A3021A" w:rsidRPr="005E6504" w:rsidRDefault="00A3021A">
            <w:pPr>
              <w:jc w:val="right"/>
              <w:rPr>
                <w:rFonts w:asciiTheme="minorHAnsi" w:hAnsiTheme="minorHAnsi" w:cs="Arial"/>
                <w:b/>
                <w:sz w:val="20"/>
                <w:szCs w:val="20"/>
              </w:rPr>
            </w:pPr>
            <w:r w:rsidRPr="005E6504">
              <w:rPr>
                <w:rFonts w:asciiTheme="minorHAnsi" w:hAnsiTheme="minorHAnsi" w:cs="Arial"/>
                <w:b/>
                <w:sz w:val="20"/>
                <w:szCs w:val="20"/>
              </w:rPr>
              <w:t>202</w:t>
            </w:r>
            <w:r w:rsidR="006E2727" w:rsidRPr="005E6504">
              <w:rPr>
                <w:rFonts w:asciiTheme="minorHAnsi" w:hAnsiTheme="minorHAnsi" w:cs="Arial"/>
                <w:b/>
                <w:sz w:val="20"/>
                <w:szCs w:val="20"/>
              </w:rPr>
              <w:t>4</w:t>
            </w:r>
            <w:r w:rsidRPr="005E6504">
              <w:rPr>
                <w:rFonts w:asciiTheme="minorHAnsi" w:hAnsiTheme="minorHAnsi" w:cs="Arial"/>
                <w:b/>
                <w:sz w:val="20"/>
                <w:szCs w:val="20"/>
              </w:rPr>
              <w:t> </w:t>
            </w:r>
          </w:p>
        </w:tc>
        <w:tc>
          <w:tcPr>
            <w:tcW w:w="1172" w:type="dxa"/>
          </w:tcPr>
          <w:p w14:paraId="3A508488" w14:textId="77777777" w:rsidR="005F3F31" w:rsidRDefault="00A3021A">
            <w:pPr>
              <w:jc w:val="right"/>
              <w:rPr>
                <w:rFonts w:asciiTheme="minorHAnsi" w:hAnsiTheme="minorHAnsi" w:cs="Arial"/>
                <w:sz w:val="20"/>
                <w:szCs w:val="20"/>
              </w:rPr>
            </w:pPr>
            <w:r w:rsidRPr="0059660E">
              <w:rPr>
                <w:rFonts w:asciiTheme="minorHAnsi" w:hAnsiTheme="minorHAnsi" w:cs="Arial"/>
                <w:sz w:val="20"/>
                <w:szCs w:val="20"/>
              </w:rPr>
              <w:t>202</w:t>
            </w:r>
            <w:r w:rsidR="006E2727">
              <w:rPr>
                <w:rFonts w:asciiTheme="minorHAnsi" w:hAnsiTheme="minorHAnsi" w:cs="Arial"/>
                <w:sz w:val="20"/>
                <w:szCs w:val="20"/>
              </w:rPr>
              <w:t>3</w:t>
            </w:r>
          </w:p>
          <w:p w14:paraId="233AD502" w14:textId="1F370B25" w:rsidR="00A3021A" w:rsidRPr="0059660E" w:rsidRDefault="005F3F31">
            <w:pPr>
              <w:jc w:val="right"/>
              <w:rPr>
                <w:rFonts w:asciiTheme="minorHAnsi" w:hAnsiTheme="minorHAnsi" w:cs="Arial"/>
                <w:sz w:val="20"/>
                <w:szCs w:val="20"/>
              </w:rPr>
            </w:pPr>
            <w:r>
              <w:rPr>
                <w:rFonts w:asciiTheme="minorHAnsi" w:hAnsiTheme="minorHAnsi" w:cs="Arial"/>
                <w:sz w:val="20"/>
                <w:szCs w:val="20"/>
              </w:rPr>
              <w:t>(restated)</w:t>
            </w:r>
            <w:r w:rsidR="00B34713" w:rsidRPr="00B34713">
              <w:rPr>
                <w:rFonts w:asciiTheme="minorHAnsi" w:hAnsiTheme="minorHAnsi" w:cs="Arial"/>
                <w:sz w:val="20"/>
                <w:szCs w:val="20"/>
                <w:vertAlign w:val="superscript"/>
              </w:rPr>
              <w:t>1</w:t>
            </w:r>
            <w:r w:rsidR="00A3021A" w:rsidRPr="0059660E">
              <w:rPr>
                <w:rFonts w:asciiTheme="minorHAnsi" w:hAnsiTheme="minorHAnsi" w:cs="Arial"/>
                <w:sz w:val="20"/>
                <w:szCs w:val="20"/>
              </w:rPr>
              <w:t> </w:t>
            </w:r>
          </w:p>
        </w:tc>
      </w:tr>
      <w:tr w:rsidR="00A3021A" w:rsidRPr="0059660E" w14:paraId="713F9263" w14:textId="77777777" w:rsidTr="004D1179">
        <w:tc>
          <w:tcPr>
            <w:tcW w:w="6494" w:type="dxa"/>
          </w:tcPr>
          <w:p w14:paraId="65617E75" w14:textId="77777777" w:rsidR="00A3021A" w:rsidRPr="0059660E" w:rsidRDefault="00A3021A">
            <w:pPr>
              <w:rPr>
                <w:rFonts w:asciiTheme="minorHAnsi" w:hAnsiTheme="minorHAnsi" w:cs="Arial"/>
                <w:b/>
                <w:sz w:val="20"/>
                <w:szCs w:val="20"/>
              </w:rPr>
            </w:pPr>
          </w:p>
        </w:tc>
        <w:tc>
          <w:tcPr>
            <w:tcW w:w="1085" w:type="dxa"/>
          </w:tcPr>
          <w:p w14:paraId="683D4ABC" w14:textId="77777777" w:rsidR="00A3021A" w:rsidRPr="0059660E" w:rsidRDefault="00A3021A">
            <w:pPr>
              <w:jc w:val="right"/>
              <w:rPr>
                <w:rFonts w:asciiTheme="minorHAnsi" w:hAnsiTheme="minorHAnsi" w:cs="Arial"/>
                <w:sz w:val="20"/>
                <w:szCs w:val="20"/>
              </w:rPr>
            </w:pPr>
          </w:p>
        </w:tc>
        <w:tc>
          <w:tcPr>
            <w:tcW w:w="1172" w:type="dxa"/>
            <w:tcBorders>
              <w:top w:val="nil"/>
              <w:left w:val="nil"/>
              <w:bottom w:val="single" w:sz="4" w:space="0" w:color="auto"/>
              <w:right w:val="nil"/>
            </w:tcBorders>
            <w:shd w:val="clear" w:color="auto" w:fill="F2F2F2" w:themeFill="background1" w:themeFillShade="F2"/>
          </w:tcPr>
          <w:p w14:paraId="1268EE48" w14:textId="77777777" w:rsidR="00A3021A" w:rsidRPr="005E6504" w:rsidRDefault="00A3021A">
            <w:pPr>
              <w:jc w:val="right"/>
              <w:rPr>
                <w:rFonts w:asciiTheme="minorHAnsi" w:hAnsiTheme="minorHAnsi" w:cs="Arial"/>
                <w:b/>
                <w:sz w:val="20"/>
                <w:szCs w:val="20"/>
              </w:rPr>
            </w:pPr>
            <w:r w:rsidRPr="005E6504">
              <w:rPr>
                <w:rFonts w:asciiTheme="minorHAnsi" w:hAnsiTheme="minorHAnsi" w:cs="Arial"/>
                <w:b/>
                <w:sz w:val="20"/>
                <w:szCs w:val="20"/>
              </w:rPr>
              <w:t>pence </w:t>
            </w:r>
          </w:p>
        </w:tc>
        <w:tc>
          <w:tcPr>
            <w:tcW w:w="1172" w:type="dxa"/>
            <w:tcBorders>
              <w:top w:val="nil"/>
              <w:left w:val="nil"/>
              <w:bottom w:val="single" w:sz="4" w:space="0" w:color="auto"/>
              <w:right w:val="nil"/>
            </w:tcBorders>
          </w:tcPr>
          <w:p w14:paraId="5E8A0DC8" w14:textId="77777777" w:rsidR="00A3021A" w:rsidRPr="0059660E" w:rsidRDefault="00A3021A">
            <w:pPr>
              <w:jc w:val="right"/>
              <w:rPr>
                <w:rFonts w:asciiTheme="minorHAnsi" w:hAnsiTheme="minorHAnsi" w:cs="Arial"/>
                <w:sz w:val="20"/>
                <w:szCs w:val="20"/>
              </w:rPr>
            </w:pPr>
            <w:r w:rsidRPr="0059660E">
              <w:rPr>
                <w:rFonts w:asciiTheme="minorHAnsi" w:hAnsiTheme="minorHAnsi" w:cs="Arial"/>
                <w:sz w:val="20"/>
                <w:szCs w:val="20"/>
              </w:rPr>
              <w:t>pence </w:t>
            </w:r>
          </w:p>
        </w:tc>
      </w:tr>
      <w:tr w:rsidR="00A3021A" w:rsidRPr="0059660E" w14:paraId="7A4C0960" w14:textId="77777777" w:rsidTr="004D1179">
        <w:tc>
          <w:tcPr>
            <w:tcW w:w="6494" w:type="dxa"/>
            <w:vAlign w:val="bottom"/>
          </w:tcPr>
          <w:p w14:paraId="2EDFCCE9" w14:textId="77777777" w:rsidR="00A3021A" w:rsidRPr="0059660E" w:rsidRDefault="00A3021A">
            <w:pPr>
              <w:rPr>
                <w:rFonts w:asciiTheme="minorHAnsi" w:hAnsiTheme="minorHAnsi" w:cs="Arial"/>
                <w:sz w:val="20"/>
                <w:szCs w:val="20"/>
              </w:rPr>
            </w:pPr>
            <w:r w:rsidRPr="0059660E">
              <w:rPr>
                <w:rFonts w:asciiTheme="minorHAnsi" w:hAnsiTheme="minorHAnsi" w:cs="Arial"/>
                <w:sz w:val="20"/>
                <w:szCs w:val="20"/>
              </w:rPr>
              <w:t>Basic</w:t>
            </w:r>
          </w:p>
        </w:tc>
        <w:tc>
          <w:tcPr>
            <w:tcW w:w="1085" w:type="dxa"/>
            <w:vAlign w:val="bottom"/>
          </w:tcPr>
          <w:p w14:paraId="5AC4E4AE" w14:textId="1391A6D6" w:rsidR="00A3021A" w:rsidRPr="0059660E" w:rsidRDefault="00200D93">
            <w:pPr>
              <w:jc w:val="right"/>
              <w:rPr>
                <w:rFonts w:asciiTheme="minorHAnsi" w:hAnsiTheme="minorHAnsi" w:cs="Arial"/>
                <w:sz w:val="20"/>
                <w:szCs w:val="20"/>
              </w:rPr>
            </w:pPr>
            <w:r w:rsidRPr="006D4208">
              <w:rPr>
                <w:rFonts w:asciiTheme="minorHAnsi" w:hAnsiTheme="minorHAnsi" w:cs="Arial"/>
                <w:sz w:val="20"/>
                <w:szCs w:val="20"/>
              </w:rPr>
              <w:t>6</w:t>
            </w:r>
          </w:p>
        </w:tc>
        <w:tc>
          <w:tcPr>
            <w:tcW w:w="1172" w:type="dxa"/>
            <w:tcBorders>
              <w:top w:val="nil"/>
              <w:left w:val="nil"/>
              <w:bottom w:val="single" w:sz="12" w:space="0" w:color="auto"/>
              <w:right w:val="nil"/>
            </w:tcBorders>
            <w:shd w:val="clear" w:color="auto" w:fill="F2F2F2" w:themeFill="background1" w:themeFillShade="F2"/>
            <w:vAlign w:val="bottom"/>
          </w:tcPr>
          <w:p w14:paraId="4E85BF7A" w14:textId="07FB3634" w:rsidR="00A3021A" w:rsidRPr="005E6504" w:rsidRDefault="00207370">
            <w:pPr>
              <w:jc w:val="right"/>
              <w:rPr>
                <w:rFonts w:asciiTheme="minorHAnsi" w:hAnsiTheme="minorHAnsi" w:cs="Arial"/>
                <w:b/>
                <w:sz w:val="20"/>
                <w:szCs w:val="20"/>
              </w:rPr>
            </w:pPr>
            <w:r w:rsidRPr="005E6504">
              <w:rPr>
                <w:rFonts w:asciiTheme="minorHAnsi" w:hAnsiTheme="minorHAnsi" w:cs="Arial"/>
                <w:b/>
                <w:sz w:val="20"/>
                <w:szCs w:val="20"/>
              </w:rPr>
              <w:t>(</w:t>
            </w:r>
            <w:r w:rsidR="00841C56" w:rsidRPr="005E6504">
              <w:rPr>
                <w:rFonts w:asciiTheme="minorHAnsi" w:hAnsiTheme="minorHAnsi" w:cs="Arial"/>
                <w:b/>
                <w:sz w:val="20"/>
                <w:szCs w:val="20"/>
              </w:rPr>
              <w:t>14.1</w:t>
            </w:r>
            <w:r w:rsidRPr="005E6504">
              <w:rPr>
                <w:rFonts w:asciiTheme="minorHAnsi" w:hAnsiTheme="minorHAnsi" w:cs="Arial"/>
                <w:b/>
                <w:sz w:val="20"/>
                <w:szCs w:val="20"/>
              </w:rPr>
              <w:t>)</w:t>
            </w:r>
          </w:p>
        </w:tc>
        <w:tc>
          <w:tcPr>
            <w:tcW w:w="1172" w:type="dxa"/>
            <w:tcBorders>
              <w:top w:val="nil"/>
              <w:left w:val="nil"/>
              <w:bottom w:val="single" w:sz="12" w:space="0" w:color="auto"/>
              <w:right w:val="nil"/>
            </w:tcBorders>
            <w:vAlign w:val="bottom"/>
          </w:tcPr>
          <w:p w14:paraId="7C0F841B" w14:textId="0C580BEA" w:rsidR="00A3021A" w:rsidRPr="006D4208" w:rsidRDefault="00366BB2">
            <w:pPr>
              <w:jc w:val="right"/>
              <w:rPr>
                <w:rFonts w:asciiTheme="minorHAnsi" w:hAnsiTheme="minorHAnsi" w:cs="Arial"/>
                <w:sz w:val="20"/>
                <w:szCs w:val="20"/>
              </w:rPr>
            </w:pPr>
            <w:r w:rsidRPr="006D4208">
              <w:rPr>
                <w:rFonts w:asciiTheme="minorHAnsi" w:hAnsiTheme="minorHAnsi" w:cs="Arial"/>
                <w:sz w:val="20"/>
                <w:szCs w:val="20"/>
              </w:rPr>
              <w:t>(</w:t>
            </w:r>
            <w:r w:rsidR="0066583C">
              <w:rPr>
                <w:rFonts w:asciiTheme="minorHAnsi" w:hAnsiTheme="minorHAnsi" w:cs="Arial"/>
                <w:sz w:val="20"/>
                <w:szCs w:val="20"/>
              </w:rPr>
              <w:t>6.</w:t>
            </w:r>
            <w:r w:rsidR="00E23162">
              <w:rPr>
                <w:rFonts w:asciiTheme="minorHAnsi" w:hAnsiTheme="minorHAnsi" w:cs="Arial"/>
                <w:sz w:val="20"/>
                <w:szCs w:val="20"/>
              </w:rPr>
              <w:t>3</w:t>
            </w:r>
            <w:r w:rsidRPr="006D4208">
              <w:rPr>
                <w:rFonts w:asciiTheme="minorHAnsi" w:hAnsiTheme="minorHAnsi" w:cs="Arial"/>
                <w:sz w:val="20"/>
                <w:szCs w:val="20"/>
              </w:rPr>
              <w:t>)</w:t>
            </w:r>
          </w:p>
        </w:tc>
      </w:tr>
      <w:tr w:rsidR="00A3021A" w:rsidRPr="0059660E" w14:paraId="07FF274B" w14:textId="77777777" w:rsidTr="004D1179">
        <w:tc>
          <w:tcPr>
            <w:tcW w:w="6494" w:type="dxa"/>
            <w:vAlign w:val="bottom"/>
          </w:tcPr>
          <w:p w14:paraId="52109498" w14:textId="77777777" w:rsidR="00A3021A" w:rsidRPr="0059660E" w:rsidRDefault="00A3021A">
            <w:pPr>
              <w:rPr>
                <w:rFonts w:asciiTheme="minorHAnsi" w:hAnsiTheme="minorHAnsi" w:cs="Arial"/>
                <w:sz w:val="20"/>
                <w:szCs w:val="20"/>
              </w:rPr>
            </w:pPr>
            <w:r w:rsidRPr="0059660E">
              <w:rPr>
                <w:rFonts w:asciiTheme="minorHAnsi" w:hAnsiTheme="minorHAnsi" w:cs="Arial"/>
                <w:sz w:val="20"/>
                <w:szCs w:val="20"/>
              </w:rPr>
              <w:t xml:space="preserve">Diluted                                                       </w:t>
            </w:r>
          </w:p>
        </w:tc>
        <w:tc>
          <w:tcPr>
            <w:tcW w:w="1085" w:type="dxa"/>
            <w:vAlign w:val="bottom"/>
          </w:tcPr>
          <w:p w14:paraId="61217AA3" w14:textId="5EFE9753" w:rsidR="00A3021A" w:rsidRPr="0059660E" w:rsidRDefault="00200D93">
            <w:pPr>
              <w:jc w:val="right"/>
              <w:rPr>
                <w:rFonts w:asciiTheme="minorHAnsi" w:hAnsiTheme="minorHAnsi" w:cs="Arial"/>
                <w:sz w:val="20"/>
                <w:szCs w:val="20"/>
              </w:rPr>
            </w:pPr>
            <w:r w:rsidRPr="006D4208">
              <w:rPr>
                <w:rFonts w:asciiTheme="minorHAnsi" w:hAnsiTheme="minorHAnsi" w:cs="Arial"/>
                <w:sz w:val="20"/>
                <w:szCs w:val="20"/>
              </w:rPr>
              <w:t>6</w:t>
            </w:r>
          </w:p>
        </w:tc>
        <w:tc>
          <w:tcPr>
            <w:tcW w:w="1172" w:type="dxa"/>
            <w:tcBorders>
              <w:top w:val="single" w:sz="12" w:space="0" w:color="auto"/>
              <w:left w:val="nil"/>
              <w:bottom w:val="single" w:sz="12" w:space="0" w:color="auto"/>
              <w:right w:val="nil"/>
            </w:tcBorders>
            <w:shd w:val="clear" w:color="auto" w:fill="F2F2F2" w:themeFill="background1" w:themeFillShade="F2"/>
            <w:vAlign w:val="bottom"/>
          </w:tcPr>
          <w:p w14:paraId="5C6A9CE0" w14:textId="66022C7F" w:rsidR="00A3021A" w:rsidRPr="005E6504" w:rsidRDefault="00207370">
            <w:pPr>
              <w:jc w:val="right"/>
              <w:rPr>
                <w:rFonts w:asciiTheme="minorHAnsi" w:hAnsiTheme="minorHAnsi" w:cs="Arial"/>
                <w:b/>
                <w:sz w:val="20"/>
                <w:szCs w:val="20"/>
              </w:rPr>
            </w:pPr>
            <w:r w:rsidRPr="005E6504">
              <w:rPr>
                <w:rFonts w:asciiTheme="minorHAnsi" w:hAnsiTheme="minorHAnsi" w:cs="Arial"/>
                <w:b/>
                <w:sz w:val="20"/>
                <w:szCs w:val="20"/>
              </w:rPr>
              <w:t>(</w:t>
            </w:r>
            <w:r w:rsidR="00841C56" w:rsidRPr="005E6504">
              <w:rPr>
                <w:rFonts w:asciiTheme="minorHAnsi" w:hAnsiTheme="minorHAnsi" w:cs="Arial"/>
                <w:b/>
                <w:sz w:val="20"/>
                <w:szCs w:val="20"/>
              </w:rPr>
              <w:t>14.1</w:t>
            </w:r>
            <w:r w:rsidRPr="005E6504">
              <w:rPr>
                <w:rFonts w:asciiTheme="minorHAnsi" w:hAnsiTheme="minorHAnsi" w:cs="Arial"/>
                <w:b/>
                <w:sz w:val="20"/>
                <w:szCs w:val="20"/>
              </w:rPr>
              <w:t>)</w:t>
            </w:r>
          </w:p>
        </w:tc>
        <w:tc>
          <w:tcPr>
            <w:tcW w:w="1172" w:type="dxa"/>
            <w:tcBorders>
              <w:top w:val="single" w:sz="12" w:space="0" w:color="auto"/>
              <w:left w:val="nil"/>
              <w:bottom w:val="single" w:sz="12" w:space="0" w:color="auto"/>
              <w:right w:val="nil"/>
            </w:tcBorders>
            <w:vAlign w:val="bottom"/>
          </w:tcPr>
          <w:p w14:paraId="0111192B" w14:textId="28CDB83F" w:rsidR="00A3021A" w:rsidRPr="006D4208" w:rsidRDefault="00366BB2">
            <w:pPr>
              <w:jc w:val="right"/>
              <w:rPr>
                <w:rFonts w:asciiTheme="minorHAnsi" w:hAnsiTheme="minorHAnsi" w:cs="Arial"/>
                <w:sz w:val="20"/>
                <w:szCs w:val="20"/>
              </w:rPr>
            </w:pPr>
            <w:r w:rsidRPr="006D4208">
              <w:rPr>
                <w:rFonts w:asciiTheme="minorHAnsi" w:hAnsiTheme="minorHAnsi" w:cs="Arial"/>
                <w:sz w:val="20"/>
                <w:szCs w:val="20"/>
              </w:rPr>
              <w:t>(</w:t>
            </w:r>
            <w:r w:rsidR="0066583C">
              <w:rPr>
                <w:rFonts w:asciiTheme="minorHAnsi" w:hAnsiTheme="minorHAnsi" w:cs="Arial"/>
                <w:sz w:val="20"/>
                <w:szCs w:val="20"/>
              </w:rPr>
              <w:t>6.</w:t>
            </w:r>
            <w:r w:rsidR="00E23162">
              <w:rPr>
                <w:rFonts w:asciiTheme="minorHAnsi" w:hAnsiTheme="minorHAnsi" w:cs="Arial"/>
                <w:sz w:val="20"/>
                <w:szCs w:val="20"/>
              </w:rPr>
              <w:t>3</w:t>
            </w:r>
            <w:r w:rsidRPr="006D4208">
              <w:rPr>
                <w:rFonts w:asciiTheme="minorHAnsi" w:hAnsiTheme="minorHAnsi" w:cs="Arial"/>
                <w:sz w:val="20"/>
                <w:szCs w:val="20"/>
              </w:rPr>
              <w:t>)</w:t>
            </w:r>
          </w:p>
        </w:tc>
      </w:tr>
    </w:tbl>
    <w:p w14:paraId="62932337" w14:textId="77777777" w:rsidR="00A3021A" w:rsidRPr="0059660E" w:rsidRDefault="00A3021A" w:rsidP="00A3021A">
      <w:pPr>
        <w:rPr>
          <w:rFonts w:asciiTheme="minorHAnsi" w:hAnsiTheme="minorHAnsi" w:cs="Poppins-Light"/>
          <w:sz w:val="20"/>
          <w:szCs w:val="20"/>
        </w:rPr>
      </w:pPr>
    </w:p>
    <w:p w14:paraId="2A59E6B7" w14:textId="77777777" w:rsidR="00366BB2" w:rsidRDefault="00366BB2" w:rsidP="00A3021A">
      <w:pPr>
        <w:rPr>
          <w:rFonts w:asciiTheme="minorHAnsi" w:hAnsiTheme="minorHAnsi" w:cs="Poppins-Light"/>
          <w:sz w:val="20"/>
          <w:szCs w:val="20"/>
        </w:rPr>
      </w:pPr>
    </w:p>
    <w:p w14:paraId="1F36B0C6" w14:textId="77777777" w:rsidR="00A3021A" w:rsidRPr="00701439" w:rsidRDefault="00A3021A" w:rsidP="00A3021A">
      <w:pPr>
        <w:rPr>
          <w:rFonts w:asciiTheme="minorHAnsi" w:hAnsiTheme="minorHAnsi" w:cs="Arial"/>
          <w:b/>
          <w:bCs/>
          <w:color w:val="4747FF"/>
          <w:sz w:val="22"/>
          <w:szCs w:val="22"/>
          <w:lang w:val="en-US"/>
        </w:rPr>
      </w:pPr>
      <w:r w:rsidRPr="00701439">
        <w:rPr>
          <w:rFonts w:asciiTheme="minorHAnsi" w:hAnsiTheme="minorHAnsi" w:cs="Arial"/>
          <w:b/>
          <w:bCs/>
          <w:color w:val="4747FF"/>
          <w:sz w:val="22"/>
          <w:szCs w:val="22"/>
          <w:lang w:val="en-US"/>
        </w:rPr>
        <w:t>Dividends per share</w:t>
      </w:r>
    </w:p>
    <w:tbl>
      <w:tblPr>
        <w:tblW w:w="9923" w:type="dxa"/>
        <w:tblLook w:val="0000" w:firstRow="0" w:lastRow="0" w:firstColumn="0" w:lastColumn="0" w:noHBand="0" w:noVBand="0"/>
      </w:tblPr>
      <w:tblGrid>
        <w:gridCol w:w="6494"/>
        <w:gridCol w:w="1085"/>
        <w:gridCol w:w="1172"/>
        <w:gridCol w:w="1172"/>
      </w:tblGrid>
      <w:tr w:rsidR="00A3021A" w:rsidRPr="00701439" w14:paraId="1EE9DF2D" w14:textId="77777777" w:rsidTr="005E6504">
        <w:tc>
          <w:tcPr>
            <w:tcW w:w="6494" w:type="dxa"/>
            <w:vAlign w:val="bottom"/>
          </w:tcPr>
          <w:p w14:paraId="102862D1" w14:textId="77777777" w:rsidR="00A3021A" w:rsidRPr="00701439" w:rsidRDefault="00A3021A">
            <w:pPr>
              <w:rPr>
                <w:rFonts w:asciiTheme="minorHAnsi" w:hAnsiTheme="minorHAnsi" w:cs="Arial"/>
                <w:b/>
                <w:sz w:val="20"/>
                <w:szCs w:val="20"/>
              </w:rPr>
            </w:pPr>
          </w:p>
        </w:tc>
        <w:tc>
          <w:tcPr>
            <w:tcW w:w="1085" w:type="dxa"/>
            <w:vAlign w:val="bottom"/>
          </w:tcPr>
          <w:p w14:paraId="786398F4" w14:textId="77777777" w:rsidR="00A3021A" w:rsidRPr="00701439" w:rsidRDefault="00A3021A">
            <w:pPr>
              <w:jc w:val="right"/>
              <w:rPr>
                <w:rFonts w:asciiTheme="minorHAnsi" w:hAnsiTheme="minorHAnsi" w:cs="Arial"/>
                <w:sz w:val="20"/>
                <w:szCs w:val="20"/>
              </w:rPr>
            </w:pPr>
            <w:r w:rsidRPr="00701439">
              <w:rPr>
                <w:rFonts w:asciiTheme="minorHAnsi" w:hAnsiTheme="minorHAnsi" w:cs="Arial"/>
                <w:sz w:val="20"/>
                <w:szCs w:val="20"/>
              </w:rPr>
              <w:t>Note</w:t>
            </w:r>
          </w:p>
        </w:tc>
        <w:tc>
          <w:tcPr>
            <w:tcW w:w="1172" w:type="dxa"/>
            <w:shd w:val="clear" w:color="auto" w:fill="F2F2F2" w:themeFill="background1" w:themeFillShade="F2"/>
          </w:tcPr>
          <w:p w14:paraId="1FEFCF37" w14:textId="10D275E0" w:rsidR="00A3021A" w:rsidRPr="005E6504" w:rsidRDefault="00A3021A">
            <w:pPr>
              <w:jc w:val="right"/>
              <w:rPr>
                <w:rFonts w:asciiTheme="minorHAnsi" w:hAnsiTheme="minorHAnsi" w:cs="Arial"/>
                <w:b/>
                <w:sz w:val="20"/>
                <w:szCs w:val="20"/>
              </w:rPr>
            </w:pPr>
            <w:r w:rsidRPr="005E6504">
              <w:rPr>
                <w:rFonts w:asciiTheme="minorHAnsi" w:hAnsiTheme="minorHAnsi" w:cs="Arial"/>
                <w:b/>
                <w:sz w:val="20"/>
                <w:szCs w:val="20"/>
              </w:rPr>
              <w:t>202</w:t>
            </w:r>
            <w:r w:rsidR="006E2727" w:rsidRPr="005E6504">
              <w:rPr>
                <w:rFonts w:asciiTheme="minorHAnsi" w:hAnsiTheme="minorHAnsi" w:cs="Arial"/>
                <w:b/>
                <w:sz w:val="20"/>
                <w:szCs w:val="20"/>
              </w:rPr>
              <w:t>4</w:t>
            </w:r>
            <w:r w:rsidRPr="005E6504">
              <w:rPr>
                <w:rFonts w:asciiTheme="minorHAnsi" w:hAnsiTheme="minorHAnsi" w:cs="Arial"/>
                <w:b/>
                <w:sz w:val="20"/>
                <w:szCs w:val="20"/>
              </w:rPr>
              <w:t> </w:t>
            </w:r>
          </w:p>
        </w:tc>
        <w:tc>
          <w:tcPr>
            <w:tcW w:w="1172" w:type="dxa"/>
          </w:tcPr>
          <w:p w14:paraId="4DED2D26" w14:textId="39F52AE5" w:rsidR="00A3021A" w:rsidRPr="00701439" w:rsidRDefault="00A3021A">
            <w:pPr>
              <w:jc w:val="right"/>
              <w:rPr>
                <w:rFonts w:asciiTheme="minorHAnsi" w:hAnsiTheme="minorHAnsi" w:cs="Arial"/>
                <w:sz w:val="20"/>
                <w:szCs w:val="20"/>
              </w:rPr>
            </w:pPr>
            <w:r w:rsidRPr="00701439">
              <w:rPr>
                <w:rFonts w:asciiTheme="minorHAnsi" w:hAnsiTheme="minorHAnsi" w:cs="Arial"/>
                <w:sz w:val="20"/>
                <w:szCs w:val="20"/>
              </w:rPr>
              <w:t>202</w:t>
            </w:r>
            <w:r w:rsidR="006E2727">
              <w:rPr>
                <w:rFonts w:asciiTheme="minorHAnsi" w:hAnsiTheme="minorHAnsi" w:cs="Arial"/>
                <w:sz w:val="20"/>
                <w:szCs w:val="20"/>
              </w:rPr>
              <w:t>3</w:t>
            </w:r>
          </w:p>
        </w:tc>
      </w:tr>
      <w:tr w:rsidR="00A3021A" w:rsidRPr="00701439" w14:paraId="67CAB996" w14:textId="77777777" w:rsidTr="005E6504">
        <w:tc>
          <w:tcPr>
            <w:tcW w:w="6494" w:type="dxa"/>
            <w:vAlign w:val="bottom"/>
          </w:tcPr>
          <w:p w14:paraId="0D23890F" w14:textId="77777777" w:rsidR="00A3021A" w:rsidRPr="00701439" w:rsidRDefault="00A3021A">
            <w:pPr>
              <w:rPr>
                <w:rFonts w:asciiTheme="minorHAnsi" w:hAnsiTheme="minorHAnsi" w:cs="Arial"/>
                <w:b/>
                <w:sz w:val="20"/>
                <w:szCs w:val="20"/>
              </w:rPr>
            </w:pPr>
          </w:p>
        </w:tc>
        <w:tc>
          <w:tcPr>
            <w:tcW w:w="1085" w:type="dxa"/>
            <w:vAlign w:val="bottom"/>
          </w:tcPr>
          <w:p w14:paraId="274DB168" w14:textId="77777777" w:rsidR="00A3021A" w:rsidRPr="00701439" w:rsidRDefault="00A3021A">
            <w:pPr>
              <w:jc w:val="right"/>
              <w:rPr>
                <w:rFonts w:asciiTheme="minorHAnsi" w:hAnsiTheme="minorHAnsi" w:cs="Arial"/>
                <w:sz w:val="20"/>
                <w:szCs w:val="20"/>
              </w:rPr>
            </w:pPr>
          </w:p>
        </w:tc>
        <w:tc>
          <w:tcPr>
            <w:tcW w:w="1172" w:type="dxa"/>
            <w:tcBorders>
              <w:bottom w:val="single" w:sz="4" w:space="0" w:color="auto"/>
            </w:tcBorders>
            <w:shd w:val="clear" w:color="auto" w:fill="F2F2F2" w:themeFill="background1" w:themeFillShade="F2"/>
          </w:tcPr>
          <w:p w14:paraId="6A9BBC05" w14:textId="77777777" w:rsidR="00A3021A" w:rsidRPr="005E6504" w:rsidRDefault="00A3021A">
            <w:pPr>
              <w:jc w:val="right"/>
              <w:rPr>
                <w:rFonts w:asciiTheme="minorHAnsi" w:hAnsiTheme="minorHAnsi" w:cs="Arial"/>
                <w:b/>
                <w:sz w:val="20"/>
                <w:szCs w:val="20"/>
              </w:rPr>
            </w:pPr>
            <w:r w:rsidRPr="005E6504">
              <w:rPr>
                <w:rFonts w:asciiTheme="minorHAnsi" w:hAnsiTheme="minorHAnsi" w:cs="Arial"/>
                <w:b/>
                <w:sz w:val="20"/>
                <w:szCs w:val="20"/>
              </w:rPr>
              <w:t>pence </w:t>
            </w:r>
          </w:p>
        </w:tc>
        <w:tc>
          <w:tcPr>
            <w:tcW w:w="1172" w:type="dxa"/>
            <w:tcBorders>
              <w:bottom w:val="single" w:sz="4" w:space="0" w:color="auto"/>
            </w:tcBorders>
          </w:tcPr>
          <w:p w14:paraId="7388F277" w14:textId="77777777" w:rsidR="00A3021A" w:rsidRPr="00701439" w:rsidRDefault="00A3021A">
            <w:pPr>
              <w:jc w:val="right"/>
              <w:rPr>
                <w:rFonts w:asciiTheme="minorHAnsi" w:hAnsiTheme="minorHAnsi" w:cs="Arial"/>
                <w:sz w:val="20"/>
                <w:szCs w:val="20"/>
              </w:rPr>
            </w:pPr>
            <w:r w:rsidRPr="00701439">
              <w:rPr>
                <w:rFonts w:asciiTheme="minorHAnsi" w:hAnsiTheme="minorHAnsi" w:cs="Arial"/>
                <w:sz w:val="20"/>
                <w:szCs w:val="20"/>
              </w:rPr>
              <w:t>pence </w:t>
            </w:r>
          </w:p>
        </w:tc>
      </w:tr>
      <w:tr w:rsidR="00A3021A" w:rsidRPr="00701439" w14:paraId="1C8F276F" w14:textId="77777777" w:rsidTr="005E6504">
        <w:tc>
          <w:tcPr>
            <w:tcW w:w="6494" w:type="dxa"/>
            <w:vAlign w:val="bottom"/>
          </w:tcPr>
          <w:p w14:paraId="673EA128" w14:textId="77777777" w:rsidR="00A3021A" w:rsidRPr="00701439" w:rsidRDefault="00A3021A">
            <w:pPr>
              <w:rPr>
                <w:rFonts w:asciiTheme="minorHAnsi" w:hAnsiTheme="minorHAnsi" w:cs="Arial"/>
                <w:sz w:val="20"/>
                <w:szCs w:val="20"/>
              </w:rPr>
            </w:pPr>
            <w:r w:rsidRPr="00701439">
              <w:rPr>
                <w:rFonts w:asciiTheme="minorHAnsi" w:hAnsiTheme="minorHAnsi" w:cs="Arial"/>
                <w:sz w:val="20"/>
                <w:szCs w:val="20"/>
              </w:rPr>
              <w:t xml:space="preserve">Interim dividend                                    </w:t>
            </w:r>
          </w:p>
        </w:tc>
        <w:tc>
          <w:tcPr>
            <w:tcW w:w="1085" w:type="dxa"/>
            <w:vAlign w:val="bottom"/>
          </w:tcPr>
          <w:p w14:paraId="68B96A6C" w14:textId="2FB3D69D" w:rsidR="00A3021A" w:rsidRPr="00701439" w:rsidRDefault="00240EA8">
            <w:pPr>
              <w:jc w:val="right"/>
              <w:rPr>
                <w:rFonts w:asciiTheme="minorHAnsi" w:hAnsiTheme="minorHAnsi" w:cs="Arial"/>
                <w:sz w:val="20"/>
                <w:szCs w:val="20"/>
              </w:rPr>
            </w:pPr>
            <w:r w:rsidRPr="006D4208">
              <w:rPr>
                <w:rFonts w:asciiTheme="minorHAnsi" w:hAnsiTheme="minorHAnsi" w:cs="Arial"/>
                <w:sz w:val="20"/>
                <w:szCs w:val="20"/>
              </w:rPr>
              <w:t>7</w:t>
            </w:r>
          </w:p>
        </w:tc>
        <w:tc>
          <w:tcPr>
            <w:tcW w:w="1172" w:type="dxa"/>
            <w:tcBorders>
              <w:top w:val="single" w:sz="4" w:space="0" w:color="auto"/>
              <w:left w:val="nil"/>
              <w:bottom w:val="single" w:sz="12" w:space="0" w:color="auto"/>
              <w:right w:val="nil"/>
            </w:tcBorders>
            <w:shd w:val="clear" w:color="auto" w:fill="F2F2F2" w:themeFill="background1" w:themeFillShade="F2"/>
            <w:vAlign w:val="bottom"/>
          </w:tcPr>
          <w:p w14:paraId="2C34AAD8" w14:textId="70F789A2" w:rsidR="00A3021A" w:rsidRPr="005E6504" w:rsidRDefault="002566EC">
            <w:pPr>
              <w:jc w:val="right"/>
              <w:rPr>
                <w:rFonts w:asciiTheme="minorHAnsi" w:hAnsiTheme="minorHAnsi" w:cs="Arial"/>
                <w:b/>
                <w:sz w:val="20"/>
                <w:szCs w:val="20"/>
                <w:highlight w:val="yellow"/>
              </w:rPr>
            </w:pPr>
            <w:r>
              <w:rPr>
                <w:rFonts w:asciiTheme="minorHAnsi" w:hAnsiTheme="minorHAnsi" w:cs="Arial"/>
                <w:b/>
                <w:sz w:val="20"/>
                <w:szCs w:val="20"/>
              </w:rPr>
              <w:t>-</w:t>
            </w:r>
          </w:p>
        </w:tc>
        <w:tc>
          <w:tcPr>
            <w:tcW w:w="1172" w:type="dxa"/>
            <w:tcBorders>
              <w:top w:val="single" w:sz="4" w:space="0" w:color="auto"/>
              <w:left w:val="nil"/>
              <w:bottom w:val="single" w:sz="12" w:space="0" w:color="auto"/>
              <w:right w:val="nil"/>
            </w:tcBorders>
            <w:vAlign w:val="bottom"/>
          </w:tcPr>
          <w:p w14:paraId="7B8AF2BD" w14:textId="0113D928" w:rsidR="00A3021A" w:rsidRPr="006D4208" w:rsidRDefault="00B31E85">
            <w:pPr>
              <w:jc w:val="right"/>
              <w:rPr>
                <w:rFonts w:asciiTheme="minorHAnsi" w:hAnsiTheme="minorHAnsi" w:cs="Arial"/>
                <w:sz w:val="20"/>
                <w:szCs w:val="20"/>
              </w:rPr>
            </w:pPr>
            <w:r w:rsidRPr="006D4208">
              <w:rPr>
                <w:rFonts w:asciiTheme="minorHAnsi" w:hAnsiTheme="minorHAnsi" w:cs="Arial"/>
                <w:sz w:val="20"/>
                <w:szCs w:val="20"/>
              </w:rPr>
              <w:t>5.0</w:t>
            </w:r>
          </w:p>
        </w:tc>
      </w:tr>
      <w:tr w:rsidR="00AE1E16" w:rsidRPr="00701439" w14:paraId="1E41B1BB" w14:textId="77777777" w:rsidTr="005E6504">
        <w:tc>
          <w:tcPr>
            <w:tcW w:w="6494" w:type="dxa"/>
            <w:vAlign w:val="bottom"/>
          </w:tcPr>
          <w:p w14:paraId="3AE8A105" w14:textId="040CE780" w:rsidR="00AE1E16" w:rsidRPr="00701439" w:rsidRDefault="00AE1E16" w:rsidP="00AE1E16">
            <w:pPr>
              <w:rPr>
                <w:rFonts w:asciiTheme="minorHAnsi" w:hAnsiTheme="minorHAnsi" w:cs="Arial"/>
                <w:sz w:val="20"/>
                <w:szCs w:val="20"/>
              </w:rPr>
            </w:pPr>
            <w:r w:rsidRPr="0098172C">
              <w:rPr>
                <w:rFonts w:asciiTheme="minorHAnsi" w:hAnsiTheme="minorHAnsi" w:cs="Arial"/>
                <w:sz w:val="20"/>
                <w:szCs w:val="20"/>
              </w:rPr>
              <w:t>Paid in the period</w:t>
            </w:r>
            <w:r w:rsidR="00B34713" w:rsidRPr="00B34713">
              <w:rPr>
                <w:rFonts w:asciiTheme="minorHAnsi" w:hAnsiTheme="minorHAnsi" w:cs="Arial"/>
                <w:sz w:val="20"/>
                <w:szCs w:val="20"/>
                <w:vertAlign w:val="superscript"/>
              </w:rPr>
              <w:t>2</w:t>
            </w:r>
            <w:r w:rsidRPr="00B34713">
              <w:rPr>
                <w:rFonts w:asciiTheme="minorHAnsi" w:hAnsiTheme="minorHAnsi" w:cs="Arial"/>
                <w:sz w:val="20"/>
                <w:szCs w:val="20"/>
                <w:vertAlign w:val="superscript"/>
              </w:rPr>
              <w:t xml:space="preserve"> </w:t>
            </w:r>
          </w:p>
        </w:tc>
        <w:tc>
          <w:tcPr>
            <w:tcW w:w="1085" w:type="dxa"/>
            <w:vAlign w:val="bottom"/>
          </w:tcPr>
          <w:p w14:paraId="0976128A" w14:textId="3D277377" w:rsidR="00AE1E16" w:rsidRPr="00701439" w:rsidRDefault="00240EA8" w:rsidP="00AE1E16">
            <w:pPr>
              <w:jc w:val="right"/>
              <w:rPr>
                <w:rFonts w:asciiTheme="minorHAnsi" w:hAnsiTheme="minorHAnsi" w:cs="Arial"/>
                <w:sz w:val="20"/>
                <w:szCs w:val="20"/>
              </w:rPr>
            </w:pPr>
            <w:r w:rsidRPr="006D4208">
              <w:rPr>
                <w:rFonts w:asciiTheme="minorHAnsi" w:hAnsiTheme="minorHAnsi" w:cs="Arial"/>
                <w:sz w:val="20"/>
                <w:szCs w:val="20"/>
              </w:rPr>
              <w:t>7</w:t>
            </w:r>
          </w:p>
        </w:tc>
        <w:tc>
          <w:tcPr>
            <w:tcW w:w="1172" w:type="dxa"/>
            <w:tcBorders>
              <w:top w:val="single" w:sz="12" w:space="0" w:color="auto"/>
              <w:left w:val="nil"/>
              <w:bottom w:val="single" w:sz="12" w:space="0" w:color="auto"/>
              <w:right w:val="nil"/>
            </w:tcBorders>
            <w:shd w:val="clear" w:color="auto" w:fill="F2F2F2" w:themeFill="background1" w:themeFillShade="F2"/>
            <w:vAlign w:val="bottom"/>
          </w:tcPr>
          <w:p w14:paraId="11B1E3D2" w14:textId="7E10FE58" w:rsidR="00AE1E16" w:rsidRPr="005E6504" w:rsidRDefault="00035C8E" w:rsidP="00AE1E16">
            <w:pPr>
              <w:jc w:val="right"/>
              <w:rPr>
                <w:rFonts w:asciiTheme="minorHAnsi" w:hAnsiTheme="minorHAnsi" w:cs="Arial"/>
                <w:b/>
                <w:sz w:val="20"/>
                <w:szCs w:val="20"/>
                <w:highlight w:val="yellow"/>
              </w:rPr>
            </w:pPr>
            <w:r w:rsidRPr="002C3733">
              <w:rPr>
                <w:rFonts w:asciiTheme="minorHAnsi" w:hAnsiTheme="minorHAnsi" w:cs="Arial"/>
                <w:b/>
                <w:sz w:val="20"/>
                <w:szCs w:val="20"/>
              </w:rPr>
              <w:t>1.0</w:t>
            </w:r>
          </w:p>
        </w:tc>
        <w:tc>
          <w:tcPr>
            <w:tcW w:w="1172" w:type="dxa"/>
            <w:tcBorders>
              <w:top w:val="single" w:sz="12" w:space="0" w:color="auto"/>
              <w:left w:val="nil"/>
              <w:bottom w:val="single" w:sz="12" w:space="0" w:color="auto"/>
              <w:right w:val="nil"/>
            </w:tcBorders>
            <w:vAlign w:val="bottom"/>
          </w:tcPr>
          <w:p w14:paraId="707D9ECA" w14:textId="75A4C096" w:rsidR="00AE1E16" w:rsidRPr="006D4208" w:rsidRDefault="004B17F0" w:rsidP="00AE1E16">
            <w:pPr>
              <w:jc w:val="right"/>
              <w:rPr>
                <w:rFonts w:asciiTheme="minorHAnsi" w:hAnsiTheme="minorHAnsi" w:cs="Arial"/>
                <w:sz w:val="20"/>
                <w:szCs w:val="20"/>
              </w:rPr>
            </w:pPr>
            <w:r w:rsidRPr="006D4208">
              <w:rPr>
                <w:rFonts w:asciiTheme="minorHAnsi" w:hAnsiTheme="minorHAnsi" w:cs="Arial"/>
                <w:sz w:val="20"/>
                <w:szCs w:val="20"/>
              </w:rPr>
              <w:t>1</w:t>
            </w:r>
            <w:r w:rsidR="00366BB2" w:rsidRPr="006D4208">
              <w:rPr>
                <w:rFonts w:asciiTheme="minorHAnsi" w:hAnsiTheme="minorHAnsi" w:cs="Arial"/>
                <w:sz w:val="20"/>
                <w:szCs w:val="20"/>
              </w:rPr>
              <w:t>0.3</w:t>
            </w:r>
          </w:p>
        </w:tc>
      </w:tr>
    </w:tbl>
    <w:p w14:paraId="594C20A2" w14:textId="77777777" w:rsidR="00A3021A" w:rsidRPr="00701439" w:rsidRDefault="00A3021A" w:rsidP="00A3021A">
      <w:pPr>
        <w:rPr>
          <w:rFonts w:asciiTheme="minorHAnsi" w:hAnsiTheme="minorHAnsi" w:cs="Arial"/>
          <w:bCs/>
          <w:sz w:val="20"/>
          <w:szCs w:val="20"/>
          <w:lang w:val="en-US"/>
        </w:rPr>
      </w:pPr>
    </w:p>
    <w:p w14:paraId="49EDB7A7" w14:textId="4B87E466" w:rsidR="00B34713" w:rsidRPr="00B34713" w:rsidRDefault="00B34713" w:rsidP="006B0AB4">
      <w:pPr>
        <w:rPr>
          <w:rFonts w:asciiTheme="minorHAnsi" w:hAnsiTheme="minorHAnsi" w:cs="Arial"/>
          <w:b/>
          <w:i/>
          <w:color w:val="4747FF"/>
          <w:sz w:val="22"/>
          <w:szCs w:val="22"/>
        </w:rPr>
      </w:pPr>
      <w:r w:rsidRPr="44C4D505">
        <w:rPr>
          <w:rFonts w:asciiTheme="minorHAnsi" w:hAnsiTheme="minorHAnsi" w:cs="Arial"/>
          <w:i/>
          <w:sz w:val="20"/>
          <w:szCs w:val="20"/>
          <w:vertAlign w:val="superscript"/>
        </w:rPr>
        <w:t>1</w:t>
      </w:r>
      <w:r w:rsidRPr="44C4D505">
        <w:rPr>
          <w:rFonts w:asciiTheme="minorHAnsi" w:hAnsiTheme="minorHAnsi" w:cs="Arial"/>
          <w:i/>
          <w:sz w:val="20"/>
          <w:szCs w:val="20"/>
        </w:rPr>
        <w:t xml:space="preserve"> Refer to note 2 for details of restatement.</w:t>
      </w:r>
    </w:p>
    <w:p w14:paraId="73CE7874" w14:textId="3D283107" w:rsidR="006B0AB4" w:rsidRPr="0098172C" w:rsidRDefault="00B34713" w:rsidP="006B0AB4">
      <w:pPr>
        <w:rPr>
          <w:rFonts w:asciiTheme="minorHAnsi" w:hAnsiTheme="minorHAnsi" w:cs="Arial"/>
          <w:i/>
          <w:sz w:val="20"/>
          <w:szCs w:val="20"/>
          <w:lang w:val="en-US"/>
        </w:rPr>
      </w:pPr>
      <w:r w:rsidRPr="44C4D505">
        <w:rPr>
          <w:rFonts w:asciiTheme="minorHAnsi" w:hAnsiTheme="minorHAnsi" w:cs="Arial"/>
          <w:i/>
          <w:sz w:val="20"/>
          <w:szCs w:val="20"/>
          <w:vertAlign w:val="superscript"/>
          <w:lang w:val="en-US"/>
        </w:rPr>
        <w:t>2</w:t>
      </w:r>
      <w:r w:rsidR="006B0AB4" w:rsidRPr="44C4D505">
        <w:rPr>
          <w:rFonts w:asciiTheme="minorHAnsi" w:hAnsiTheme="minorHAnsi" w:cs="Arial"/>
          <w:i/>
          <w:sz w:val="20"/>
          <w:szCs w:val="20"/>
          <w:lang w:val="en-US"/>
        </w:rPr>
        <w:t xml:space="preserve"> Dividends paid in the period were £</w:t>
      </w:r>
      <w:r w:rsidR="00EF4258" w:rsidRPr="44C4D505">
        <w:rPr>
          <w:rFonts w:asciiTheme="minorHAnsi" w:hAnsiTheme="minorHAnsi" w:cs="Arial"/>
          <w:i/>
          <w:sz w:val="20"/>
          <w:szCs w:val="20"/>
          <w:lang w:val="en-US"/>
        </w:rPr>
        <w:t>2.5</w:t>
      </w:r>
      <w:r w:rsidR="006B0AB4" w:rsidRPr="44C4D505">
        <w:rPr>
          <w:rFonts w:asciiTheme="minorHAnsi" w:hAnsiTheme="minorHAnsi" w:cs="Arial"/>
          <w:i/>
          <w:sz w:val="20"/>
          <w:szCs w:val="20"/>
          <w:lang w:val="en-US"/>
        </w:rPr>
        <w:t>m (</w:t>
      </w:r>
      <w:r w:rsidR="00B60841" w:rsidRPr="44C4D505">
        <w:rPr>
          <w:rFonts w:asciiTheme="minorHAnsi" w:hAnsiTheme="minorHAnsi" w:cs="Arial"/>
          <w:i/>
          <w:sz w:val="20"/>
          <w:szCs w:val="20"/>
          <w:lang w:val="en-US"/>
        </w:rPr>
        <w:t>1H23</w:t>
      </w:r>
      <w:r w:rsidR="006B0AB4" w:rsidRPr="44C4D505">
        <w:rPr>
          <w:rFonts w:asciiTheme="minorHAnsi" w:hAnsiTheme="minorHAnsi" w:cs="Arial"/>
          <w:i/>
          <w:sz w:val="20"/>
          <w:szCs w:val="20"/>
          <w:lang w:val="en-US"/>
        </w:rPr>
        <w:t>: £</w:t>
      </w:r>
      <w:r w:rsidR="006E2727" w:rsidRPr="44C4D505">
        <w:rPr>
          <w:rFonts w:asciiTheme="minorHAnsi" w:hAnsiTheme="minorHAnsi" w:cs="Arial"/>
          <w:i/>
          <w:sz w:val="20"/>
          <w:szCs w:val="20"/>
          <w:lang w:val="en-US"/>
        </w:rPr>
        <w:t>25.9</w:t>
      </w:r>
      <w:r w:rsidR="004217A9" w:rsidRPr="44C4D505">
        <w:rPr>
          <w:rFonts w:asciiTheme="minorHAnsi" w:hAnsiTheme="minorHAnsi" w:cs="Arial"/>
          <w:i/>
          <w:sz w:val="20"/>
          <w:szCs w:val="20"/>
          <w:lang w:val="en-US"/>
        </w:rPr>
        <w:t>m</w:t>
      </w:r>
      <w:r w:rsidR="006B0AB4" w:rsidRPr="44C4D505">
        <w:rPr>
          <w:rFonts w:asciiTheme="minorHAnsi" w:hAnsiTheme="minorHAnsi" w:cs="Arial"/>
          <w:i/>
          <w:sz w:val="20"/>
          <w:szCs w:val="20"/>
          <w:lang w:val="en-US"/>
        </w:rPr>
        <w:t>).</w:t>
      </w:r>
    </w:p>
    <w:p w14:paraId="2CDCE00D" w14:textId="77777777" w:rsidR="00A3021A" w:rsidRPr="00701439" w:rsidRDefault="00A3021A" w:rsidP="00A3021A">
      <w:pPr>
        <w:jc w:val="both"/>
        <w:rPr>
          <w:rFonts w:asciiTheme="minorHAnsi" w:hAnsiTheme="minorHAnsi" w:cs="Arial"/>
          <w:bCs/>
          <w:sz w:val="20"/>
          <w:szCs w:val="20"/>
        </w:rPr>
      </w:pPr>
    </w:p>
    <w:p w14:paraId="7CC691D9" w14:textId="0D2548FB" w:rsidR="00A3021A" w:rsidRPr="00701439" w:rsidRDefault="00A3021A" w:rsidP="00A3021A">
      <w:pPr>
        <w:rPr>
          <w:rFonts w:asciiTheme="minorHAnsi" w:hAnsiTheme="minorHAnsi" w:cs="Arial"/>
          <w:b/>
          <w:color w:val="4747FF"/>
          <w:sz w:val="22"/>
          <w:szCs w:val="22"/>
        </w:rPr>
      </w:pPr>
      <w:r w:rsidRPr="00701439">
        <w:rPr>
          <w:rFonts w:asciiTheme="minorHAnsi" w:hAnsiTheme="minorHAnsi" w:cs="Arial"/>
          <w:b/>
          <w:color w:val="4747FF"/>
          <w:sz w:val="22"/>
          <w:szCs w:val="22"/>
        </w:rPr>
        <w:t>Consolidated balance sheets</w:t>
      </w:r>
    </w:p>
    <w:p w14:paraId="07AC97B5" w14:textId="77777777" w:rsidR="006312D3" w:rsidRPr="00701439" w:rsidRDefault="006312D3" w:rsidP="00A3021A">
      <w:pPr>
        <w:rPr>
          <w:rFonts w:asciiTheme="minorHAnsi" w:hAnsiTheme="minorHAnsi" w:cs="Arial"/>
          <w:b/>
          <w:color w:val="4747FF"/>
          <w:sz w:val="22"/>
          <w:szCs w:val="22"/>
        </w:rPr>
      </w:pPr>
    </w:p>
    <w:tbl>
      <w:tblPr>
        <w:tblW w:w="9809" w:type="dxa"/>
        <w:tblLook w:val="0000" w:firstRow="0" w:lastRow="0" w:firstColumn="0" w:lastColumn="0" w:noHBand="0" w:noVBand="0"/>
      </w:tblPr>
      <w:tblGrid>
        <w:gridCol w:w="4536"/>
        <w:gridCol w:w="618"/>
        <w:gridCol w:w="1028"/>
        <w:gridCol w:w="1341"/>
        <w:gridCol w:w="1086"/>
        <w:gridCol w:w="1200"/>
      </w:tblGrid>
      <w:tr w:rsidR="00AD4339" w:rsidRPr="00701439" w14:paraId="797D075F" w14:textId="4DAF0818" w:rsidTr="002725AC">
        <w:trPr>
          <w:trHeight w:val="142"/>
        </w:trPr>
        <w:tc>
          <w:tcPr>
            <w:tcW w:w="4536" w:type="dxa"/>
          </w:tcPr>
          <w:p w14:paraId="79001AFB" w14:textId="77777777" w:rsidR="00AD4339" w:rsidRPr="00701439" w:rsidRDefault="00AD4339" w:rsidP="00AD4339">
            <w:pPr>
              <w:rPr>
                <w:rFonts w:asciiTheme="minorHAnsi" w:hAnsiTheme="minorHAnsi" w:cs="Arial"/>
                <w:sz w:val="20"/>
                <w:szCs w:val="20"/>
              </w:rPr>
            </w:pPr>
          </w:p>
        </w:tc>
        <w:tc>
          <w:tcPr>
            <w:tcW w:w="618" w:type="dxa"/>
          </w:tcPr>
          <w:p w14:paraId="141808B8" w14:textId="77777777" w:rsidR="00AD4339" w:rsidRPr="00701439" w:rsidRDefault="00AD4339" w:rsidP="00AD4339">
            <w:pPr>
              <w:jc w:val="right"/>
              <w:rPr>
                <w:rFonts w:asciiTheme="minorHAnsi" w:hAnsiTheme="minorHAnsi" w:cs="Arial"/>
                <w:sz w:val="20"/>
                <w:szCs w:val="20"/>
              </w:rPr>
            </w:pPr>
            <w:r w:rsidRPr="00701439">
              <w:rPr>
                <w:rFonts w:asciiTheme="minorHAnsi" w:hAnsiTheme="minorHAnsi" w:cs="Arial"/>
                <w:sz w:val="20"/>
                <w:szCs w:val="20"/>
              </w:rPr>
              <w:t>Note</w:t>
            </w:r>
          </w:p>
        </w:tc>
        <w:tc>
          <w:tcPr>
            <w:tcW w:w="1028" w:type="dxa"/>
            <w:shd w:val="clear" w:color="auto" w:fill="F2F2F2" w:themeFill="background1" w:themeFillShade="F2"/>
          </w:tcPr>
          <w:p w14:paraId="7913464B" w14:textId="6FA9C6A6" w:rsidR="00AD4339" w:rsidRPr="005E6504" w:rsidRDefault="00AD4339" w:rsidP="00AD4339">
            <w:pPr>
              <w:jc w:val="right"/>
              <w:rPr>
                <w:rFonts w:asciiTheme="minorHAnsi" w:hAnsiTheme="minorHAnsi" w:cs="Arial"/>
                <w:b/>
                <w:sz w:val="20"/>
                <w:szCs w:val="20"/>
                <w:lang w:val="fr-FR"/>
              </w:rPr>
            </w:pPr>
            <w:r w:rsidRPr="005E6504">
              <w:rPr>
                <w:rFonts w:asciiTheme="minorHAnsi" w:hAnsiTheme="minorHAnsi" w:cs="Arial"/>
                <w:b/>
                <w:sz w:val="20"/>
                <w:szCs w:val="20"/>
                <w:lang w:val="fr-FR"/>
              </w:rPr>
              <w:t>30 June</w:t>
            </w:r>
          </w:p>
          <w:p w14:paraId="737CA813" w14:textId="195309B9" w:rsidR="00AD4339" w:rsidRPr="005E6504" w:rsidRDefault="00AD4339" w:rsidP="00AD4339">
            <w:pPr>
              <w:jc w:val="right"/>
              <w:rPr>
                <w:rFonts w:asciiTheme="minorHAnsi" w:hAnsiTheme="minorHAnsi" w:cs="Arial"/>
                <w:b/>
                <w:sz w:val="20"/>
                <w:szCs w:val="20"/>
                <w:lang w:val="fr-FR"/>
              </w:rPr>
            </w:pPr>
            <w:r w:rsidRPr="005E6504">
              <w:rPr>
                <w:rFonts w:asciiTheme="minorHAnsi" w:hAnsiTheme="minorHAnsi" w:cs="Arial"/>
                <w:b/>
                <w:sz w:val="20"/>
                <w:szCs w:val="20"/>
                <w:lang w:val="fr-FR"/>
              </w:rPr>
              <w:t>202</w:t>
            </w:r>
            <w:r w:rsidR="00842CCE" w:rsidRPr="005E6504">
              <w:rPr>
                <w:rFonts w:asciiTheme="minorHAnsi" w:hAnsiTheme="minorHAnsi" w:cs="Arial"/>
                <w:b/>
                <w:sz w:val="20"/>
                <w:szCs w:val="20"/>
                <w:lang w:val="fr-FR"/>
              </w:rPr>
              <w:t>4</w:t>
            </w:r>
          </w:p>
        </w:tc>
        <w:tc>
          <w:tcPr>
            <w:tcW w:w="1341" w:type="dxa"/>
          </w:tcPr>
          <w:p w14:paraId="61F5876F" w14:textId="77777777" w:rsidR="00AD4339" w:rsidRPr="0098172C" w:rsidRDefault="00AD4339" w:rsidP="00AD4339">
            <w:pPr>
              <w:jc w:val="right"/>
              <w:rPr>
                <w:rFonts w:asciiTheme="minorHAnsi" w:hAnsiTheme="minorHAnsi" w:cs="Arial"/>
                <w:sz w:val="20"/>
                <w:szCs w:val="20"/>
                <w:lang w:val="fr-FR"/>
              </w:rPr>
            </w:pPr>
            <w:r w:rsidRPr="0098172C">
              <w:rPr>
                <w:rFonts w:asciiTheme="minorHAnsi" w:hAnsiTheme="minorHAnsi" w:cs="Arial"/>
                <w:sz w:val="20"/>
                <w:szCs w:val="20"/>
                <w:lang w:val="fr-FR"/>
              </w:rPr>
              <w:t xml:space="preserve">31 </w:t>
            </w:r>
            <w:proofErr w:type="spellStart"/>
            <w:r w:rsidRPr="0098172C">
              <w:rPr>
                <w:rFonts w:asciiTheme="minorHAnsi" w:hAnsiTheme="minorHAnsi" w:cs="Arial"/>
                <w:sz w:val="20"/>
                <w:szCs w:val="20"/>
                <w:lang w:val="fr-FR"/>
              </w:rPr>
              <w:t>December</w:t>
            </w:r>
            <w:proofErr w:type="spellEnd"/>
          </w:p>
          <w:p w14:paraId="25E6FC0E" w14:textId="77777777" w:rsidR="00AD4339" w:rsidRDefault="00AD4339" w:rsidP="00AD4339">
            <w:pPr>
              <w:jc w:val="right"/>
              <w:rPr>
                <w:rFonts w:asciiTheme="minorHAnsi" w:hAnsiTheme="minorHAnsi" w:cs="Arial"/>
                <w:sz w:val="20"/>
                <w:szCs w:val="20"/>
                <w:lang w:val="fr-FR"/>
              </w:rPr>
            </w:pPr>
            <w:r w:rsidRPr="0098172C">
              <w:rPr>
                <w:rFonts w:asciiTheme="minorHAnsi" w:hAnsiTheme="minorHAnsi" w:cs="Arial"/>
                <w:sz w:val="20"/>
                <w:szCs w:val="20"/>
                <w:lang w:val="fr-FR"/>
              </w:rPr>
              <w:t>202</w:t>
            </w:r>
            <w:r w:rsidR="00842CCE">
              <w:rPr>
                <w:rFonts w:asciiTheme="minorHAnsi" w:hAnsiTheme="minorHAnsi" w:cs="Arial"/>
                <w:sz w:val="20"/>
                <w:szCs w:val="20"/>
                <w:lang w:val="fr-FR"/>
              </w:rPr>
              <w:t>3</w:t>
            </w:r>
          </w:p>
          <w:p w14:paraId="300AB6AE" w14:textId="3EA833E3" w:rsidR="00BD1727" w:rsidRPr="00701439" w:rsidRDefault="00BD1727" w:rsidP="00AD4339">
            <w:pPr>
              <w:jc w:val="right"/>
              <w:rPr>
                <w:rFonts w:asciiTheme="minorHAnsi" w:hAnsiTheme="minorHAnsi" w:cs="Arial"/>
                <w:sz w:val="20"/>
                <w:szCs w:val="20"/>
                <w:lang w:val="fr-FR"/>
              </w:rPr>
            </w:pPr>
            <w:r>
              <w:rPr>
                <w:rFonts w:asciiTheme="minorHAnsi" w:hAnsiTheme="minorHAnsi" w:cs="Arial"/>
                <w:sz w:val="20"/>
                <w:szCs w:val="20"/>
                <w:lang w:val="fr-FR"/>
              </w:rPr>
              <w:t>(</w:t>
            </w:r>
            <w:proofErr w:type="spellStart"/>
            <w:r>
              <w:rPr>
                <w:rFonts w:asciiTheme="minorHAnsi" w:hAnsiTheme="minorHAnsi" w:cs="Arial"/>
                <w:sz w:val="20"/>
                <w:szCs w:val="20"/>
                <w:lang w:val="fr-FR"/>
              </w:rPr>
              <w:t>restated</w:t>
            </w:r>
            <w:proofErr w:type="spellEnd"/>
            <w:r>
              <w:rPr>
                <w:rFonts w:asciiTheme="minorHAnsi" w:hAnsiTheme="minorHAnsi" w:cs="Arial"/>
                <w:sz w:val="20"/>
                <w:szCs w:val="20"/>
                <w:lang w:val="fr-FR"/>
              </w:rPr>
              <w:t>)</w:t>
            </w:r>
            <w:r w:rsidR="005B77BE" w:rsidRPr="005B77BE">
              <w:rPr>
                <w:rFonts w:asciiTheme="minorHAnsi" w:hAnsiTheme="minorHAnsi" w:cs="Arial"/>
                <w:sz w:val="18"/>
                <w:szCs w:val="18"/>
                <w:vertAlign w:val="superscript"/>
                <w:lang w:val="fr-FR"/>
              </w:rPr>
              <w:t>1</w:t>
            </w:r>
          </w:p>
        </w:tc>
        <w:tc>
          <w:tcPr>
            <w:tcW w:w="1086" w:type="dxa"/>
          </w:tcPr>
          <w:p w14:paraId="1048D26C" w14:textId="54DF4013" w:rsidR="00AD4339" w:rsidRPr="00701439" w:rsidRDefault="00AD4339" w:rsidP="00AD4339">
            <w:pPr>
              <w:jc w:val="right"/>
              <w:rPr>
                <w:rFonts w:asciiTheme="minorHAnsi" w:hAnsiTheme="minorHAnsi" w:cs="Arial"/>
                <w:sz w:val="20"/>
                <w:szCs w:val="20"/>
                <w:lang w:val="fr-FR"/>
              </w:rPr>
            </w:pPr>
            <w:r>
              <w:rPr>
                <w:rFonts w:asciiTheme="minorHAnsi" w:hAnsiTheme="minorHAnsi" w:cs="Arial"/>
                <w:sz w:val="20"/>
                <w:szCs w:val="20"/>
                <w:lang w:val="fr-FR"/>
              </w:rPr>
              <w:t>30 June</w:t>
            </w:r>
          </w:p>
          <w:p w14:paraId="3F8FA3EB" w14:textId="77777777" w:rsidR="00BD1727" w:rsidRDefault="00AD4339" w:rsidP="00AD4339">
            <w:pPr>
              <w:jc w:val="right"/>
              <w:rPr>
                <w:rFonts w:asciiTheme="minorHAnsi" w:hAnsiTheme="minorHAnsi" w:cs="Arial"/>
                <w:sz w:val="20"/>
                <w:szCs w:val="20"/>
                <w:lang w:val="fr-FR"/>
              </w:rPr>
            </w:pPr>
            <w:r w:rsidRPr="00701439">
              <w:rPr>
                <w:rFonts w:asciiTheme="minorHAnsi" w:hAnsiTheme="minorHAnsi" w:cs="Arial"/>
                <w:sz w:val="20"/>
                <w:szCs w:val="20"/>
                <w:lang w:val="fr-FR"/>
              </w:rPr>
              <w:t>202</w:t>
            </w:r>
            <w:r w:rsidR="00842CCE">
              <w:rPr>
                <w:rFonts w:asciiTheme="minorHAnsi" w:hAnsiTheme="minorHAnsi" w:cs="Arial"/>
                <w:sz w:val="20"/>
                <w:szCs w:val="20"/>
                <w:lang w:val="fr-FR"/>
              </w:rPr>
              <w:t>3</w:t>
            </w:r>
          </w:p>
          <w:p w14:paraId="54BD33E7" w14:textId="3D17D4DD" w:rsidR="00AD4339" w:rsidRPr="00701439" w:rsidRDefault="00BD1727" w:rsidP="00AD4339">
            <w:pPr>
              <w:jc w:val="right"/>
              <w:rPr>
                <w:rFonts w:asciiTheme="minorHAnsi" w:hAnsiTheme="minorHAnsi" w:cs="Arial"/>
                <w:sz w:val="20"/>
                <w:szCs w:val="20"/>
                <w:lang w:val="fr-FR"/>
              </w:rPr>
            </w:pPr>
            <w:r>
              <w:rPr>
                <w:rFonts w:asciiTheme="minorHAnsi" w:hAnsiTheme="minorHAnsi" w:cs="Arial"/>
                <w:sz w:val="20"/>
                <w:szCs w:val="20"/>
                <w:lang w:val="fr-FR"/>
              </w:rPr>
              <w:t>(</w:t>
            </w:r>
            <w:proofErr w:type="spellStart"/>
            <w:r>
              <w:rPr>
                <w:rFonts w:asciiTheme="minorHAnsi" w:hAnsiTheme="minorHAnsi" w:cs="Arial"/>
                <w:sz w:val="20"/>
                <w:szCs w:val="20"/>
                <w:lang w:val="fr-FR"/>
              </w:rPr>
              <w:t>restated</w:t>
            </w:r>
            <w:proofErr w:type="spellEnd"/>
            <w:r>
              <w:rPr>
                <w:rFonts w:asciiTheme="minorHAnsi" w:hAnsiTheme="minorHAnsi" w:cs="Arial"/>
                <w:sz w:val="20"/>
                <w:szCs w:val="20"/>
                <w:lang w:val="fr-FR"/>
              </w:rPr>
              <w:t>)</w:t>
            </w:r>
            <w:r w:rsidR="001815BD" w:rsidRPr="001815BD">
              <w:rPr>
                <w:rFonts w:asciiTheme="minorHAnsi" w:hAnsiTheme="minorHAnsi" w:cs="Arial"/>
                <w:sz w:val="20"/>
                <w:szCs w:val="20"/>
                <w:vertAlign w:val="superscript"/>
                <w:lang w:val="fr-FR"/>
              </w:rPr>
              <w:t>1</w:t>
            </w:r>
            <w:r w:rsidR="0013014F">
              <w:rPr>
                <w:rFonts w:asciiTheme="minorHAnsi" w:hAnsiTheme="minorHAnsi" w:cs="Arial"/>
                <w:sz w:val="20"/>
                <w:szCs w:val="20"/>
                <w:lang w:val="fr-FR"/>
              </w:rPr>
              <w:t xml:space="preserve"> </w:t>
            </w:r>
          </w:p>
        </w:tc>
        <w:tc>
          <w:tcPr>
            <w:tcW w:w="1200" w:type="dxa"/>
          </w:tcPr>
          <w:p w14:paraId="54362E64" w14:textId="77777777" w:rsidR="00964780" w:rsidRPr="00641671" w:rsidRDefault="00411F98" w:rsidP="00AD4339">
            <w:pPr>
              <w:jc w:val="right"/>
              <w:rPr>
                <w:rFonts w:asciiTheme="minorHAnsi" w:hAnsiTheme="minorHAnsi" w:cs="Arial"/>
                <w:sz w:val="20"/>
                <w:szCs w:val="20"/>
                <w:lang w:val="fr-FR"/>
              </w:rPr>
            </w:pPr>
            <w:r w:rsidRPr="00641671">
              <w:rPr>
                <w:rFonts w:asciiTheme="minorHAnsi" w:hAnsiTheme="minorHAnsi" w:cs="Arial"/>
                <w:sz w:val="20"/>
                <w:szCs w:val="20"/>
                <w:lang w:val="fr-FR"/>
              </w:rPr>
              <w:t xml:space="preserve">1 </w:t>
            </w:r>
            <w:proofErr w:type="spellStart"/>
            <w:r w:rsidR="00691F8A" w:rsidRPr="00641671">
              <w:rPr>
                <w:rFonts w:asciiTheme="minorHAnsi" w:hAnsiTheme="minorHAnsi" w:cs="Arial"/>
                <w:sz w:val="20"/>
                <w:szCs w:val="20"/>
                <w:lang w:val="fr-FR"/>
              </w:rPr>
              <w:t>January</w:t>
            </w:r>
            <w:proofErr w:type="spellEnd"/>
            <w:r w:rsidR="00691F8A" w:rsidRPr="00641671">
              <w:rPr>
                <w:rFonts w:asciiTheme="minorHAnsi" w:hAnsiTheme="minorHAnsi" w:cs="Arial"/>
                <w:sz w:val="20"/>
                <w:szCs w:val="20"/>
                <w:lang w:val="fr-FR"/>
              </w:rPr>
              <w:t xml:space="preserve"> </w:t>
            </w:r>
          </w:p>
          <w:p w14:paraId="20365427" w14:textId="36C239F5" w:rsidR="00411F98" w:rsidRPr="004A5BE4" w:rsidRDefault="00411F98" w:rsidP="00AD4339">
            <w:pPr>
              <w:jc w:val="right"/>
              <w:rPr>
                <w:rFonts w:asciiTheme="minorHAnsi" w:hAnsiTheme="minorHAnsi" w:cs="Arial"/>
                <w:i/>
                <w:sz w:val="20"/>
                <w:szCs w:val="20"/>
                <w:lang w:val="fr-FR"/>
              </w:rPr>
            </w:pPr>
            <w:r w:rsidRPr="00641671">
              <w:rPr>
                <w:rFonts w:asciiTheme="minorHAnsi" w:hAnsiTheme="minorHAnsi" w:cs="Arial"/>
                <w:sz w:val="20"/>
                <w:szCs w:val="20"/>
                <w:lang w:val="fr-FR"/>
              </w:rPr>
              <w:t xml:space="preserve"> 2023</w:t>
            </w:r>
            <w:r w:rsidRPr="004A5BE4">
              <w:rPr>
                <w:rFonts w:asciiTheme="minorHAnsi" w:hAnsiTheme="minorHAnsi" w:cs="Arial"/>
                <w:i/>
                <w:sz w:val="20"/>
                <w:szCs w:val="20"/>
                <w:lang w:val="fr-FR"/>
              </w:rPr>
              <w:t xml:space="preserve"> </w:t>
            </w:r>
            <w:r w:rsidR="0056295B">
              <w:rPr>
                <w:rFonts w:asciiTheme="minorHAnsi" w:hAnsiTheme="minorHAnsi" w:cs="Arial"/>
                <w:i/>
                <w:iCs/>
                <w:sz w:val="20"/>
                <w:szCs w:val="20"/>
                <w:lang w:val="fr-FR"/>
              </w:rPr>
              <w:t xml:space="preserve"> </w:t>
            </w:r>
            <w:r w:rsidRPr="002725AC">
              <w:rPr>
                <w:rFonts w:asciiTheme="minorHAnsi" w:hAnsiTheme="minorHAnsi" w:cs="Arial"/>
                <w:iCs/>
                <w:sz w:val="20"/>
                <w:szCs w:val="20"/>
                <w:lang w:val="fr-FR"/>
              </w:rPr>
              <w:t>(</w:t>
            </w:r>
            <w:proofErr w:type="spellStart"/>
            <w:r w:rsidRPr="002725AC">
              <w:rPr>
                <w:rFonts w:asciiTheme="minorHAnsi" w:hAnsiTheme="minorHAnsi" w:cs="Arial"/>
                <w:iCs/>
                <w:sz w:val="20"/>
                <w:szCs w:val="20"/>
                <w:lang w:val="fr-FR"/>
              </w:rPr>
              <w:t>restated</w:t>
            </w:r>
            <w:proofErr w:type="spellEnd"/>
            <w:r w:rsidRPr="002725AC">
              <w:rPr>
                <w:rFonts w:asciiTheme="minorHAnsi" w:hAnsiTheme="minorHAnsi" w:cs="Arial"/>
                <w:iCs/>
                <w:sz w:val="20"/>
                <w:szCs w:val="20"/>
                <w:lang w:val="fr-FR"/>
              </w:rPr>
              <w:t>)</w:t>
            </w:r>
            <w:r w:rsidRPr="002725AC">
              <w:rPr>
                <w:rFonts w:asciiTheme="minorHAnsi" w:hAnsiTheme="minorHAnsi" w:cs="Arial"/>
                <w:iCs/>
                <w:sz w:val="20"/>
                <w:szCs w:val="20"/>
                <w:vertAlign w:val="superscript"/>
                <w:lang w:val="fr-FR"/>
              </w:rPr>
              <w:t>1</w:t>
            </w:r>
          </w:p>
        </w:tc>
      </w:tr>
      <w:tr w:rsidR="00AD4339" w:rsidRPr="00701439" w14:paraId="1442A50D" w14:textId="2ED207B8" w:rsidTr="002725AC">
        <w:trPr>
          <w:trHeight w:val="142"/>
        </w:trPr>
        <w:tc>
          <w:tcPr>
            <w:tcW w:w="4536" w:type="dxa"/>
          </w:tcPr>
          <w:p w14:paraId="4C90BB47" w14:textId="77777777" w:rsidR="00AD4339" w:rsidRPr="00701439" w:rsidRDefault="00AD4339" w:rsidP="00AD4339">
            <w:pPr>
              <w:rPr>
                <w:rFonts w:asciiTheme="minorHAnsi" w:hAnsiTheme="minorHAnsi" w:cs="Arial"/>
                <w:sz w:val="20"/>
                <w:szCs w:val="20"/>
                <w:lang w:val="fr-FR"/>
              </w:rPr>
            </w:pPr>
          </w:p>
        </w:tc>
        <w:tc>
          <w:tcPr>
            <w:tcW w:w="618" w:type="dxa"/>
          </w:tcPr>
          <w:p w14:paraId="676D5EB1" w14:textId="77777777" w:rsidR="00AD4339" w:rsidRPr="00701439" w:rsidRDefault="00AD4339" w:rsidP="00AD4339">
            <w:pPr>
              <w:jc w:val="right"/>
              <w:rPr>
                <w:rFonts w:asciiTheme="minorHAnsi" w:hAnsiTheme="minorHAnsi" w:cs="Arial"/>
                <w:sz w:val="20"/>
                <w:szCs w:val="20"/>
                <w:lang w:val="fr-FR"/>
              </w:rPr>
            </w:pPr>
          </w:p>
        </w:tc>
        <w:tc>
          <w:tcPr>
            <w:tcW w:w="1028" w:type="dxa"/>
            <w:tcBorders>
              <w:top w:val="nil"/>
              <w:left w:val="nil"/>
              <w:bottom w:val="single" w:sz="4" w:space="0" w:color="auto"/>
              <w:right w:val="nil"/>
            </w:tcBorders>
            <w:shd w:val="clear" w:color="auto" w:fill="F2F2F2" w:themeFill="background1" w:themeFillShade="F2"/>
          </w:tcPr>
          <w:p w14:paraId="69D6AC93" w14:textId="77777777" w:rsidR="00AD4339" w:rsidRPr="005E6504" w:rsidRDefault="00AD4339" w:rsidP="00AD4339">
            <w:pPr>
              <w:jc w:val="right"/>
              <w:rPr>
                <w:rFonts w:asciiTheme="minorHAnsi" w:hAnsiTheme="minorHAnsi" w:cs="Arial"/>
                <w:b/>
                <w:sz w:val="20"/>
                <w:szCs w:val="20"/>
                <w:lang w:val="fr-FR"/>
              </w:rPr>
            </w:pPr>
            <w:r w:rsidRPr="005E6504">
              <w:rPr>
                <w:rFonts w:asciiTheme="minorHAnsi" w:hAnsiTheme="minorHAnsi" w:cs="Arial"/>
                <w:b/>
                <w:sz w:val="20"/>
                <w:szCs w:val="20"/>
                <w:lang w:val="fr-FR"/>
              </w:rPr>
              <w:t>£m </w:t>
            </w:r>
          </w:p>
        </w:tc>
        <w:tc>
          <w:tcPr>
            <w:tcW w:w="1341" w:type="dxa"/>
            <w:tcBorders>
              <w:top w:val="nil"/>
              <w:left w:val="nil"/>
              <w:bottom w:val="single" w:sz="4" w:space="0" w:color="auto"/>
              <w:right w:val="nil"/>
            </w:tcBorders>
          </w:tcPr>
          <w:p w14:paraId="3BC96E44" w14:textId="42012A1D" w:rsidR="00AD4339" w:rsidRPr="00701439" w:rsidRDefault="00AD4339" w:rsidP="00AD4339">
            <w:pPr>
              <w:jc w:val="right"/>
              <w:rPr>
                <w:rFonts w:asciiTheme="minorHAnsi" w:hAnsiTheme="minorHAnsi" w:cs="Arial"/>
                <w:sz w:val="20"/>
                <w:szCs w:val="20"/>
                <w:lang w:val="fr-FR"/>
              </w:rPr>
            </w:pPr>
            <w:r w:rsidRPr="0098172C">
              <w:rPr>
                <w:rFonts w:asciiTheme="minorHAnsi" w:hAnsiTheme="minorHAnsi" w:cs="Arial"/>
                <w:sz w:val="20"/>
                <w:szCs w:val="20"/>
                <w:lang w:val="fr-FR"/>
              </w:rPr>
              <w:t>£m </w:t>
            </w:r>
          </w:p>
        </w:tc>
        <w:tc>
          <w:tcPr>
            <w:tcW w:w="1086" w:type="dxa"/>
            <w:tcBorders>
              <w:top w:val="nil"/>
              <w:left w:val="nil"/>
              <w:bottom w:val="single" w:sz="4" w:space="0" w:color="auto"/>
              <w:right w:val="nil"/>
            </w:tcBorders>
          </w:tcPr>
          <w:p w14:paraId="6BA78267" w14:textId="15B78080" w:rsidR="00AD4339" w:rsidRPr="00701439" w:rsidRDefault="00AD4339" w:rsidP="00AD4339">
            <w:pPr>
              <w:jc w:val="right"/>
              <w:rPr>
                <w:rFonts w:asciiTheme="minorHAnsi" w:hAnsiTheme="minorHAnsi" w:cs="Arial"/>
                <w:sz w:val="20"/>
                <w:szCs w:val="20"/>
                <w:lang w:val="fr-FR"/>
              </w:rPr>
            </w:pPr>
            <w:r w:rsidRPr="00701439">
              <w:rPr>
                <w:rFonts w:asciiTheme="minorHAnsi" w:hAnsiTheme="minorHAnsi" w:cs="Arial"/>
                <w:sz w:val="20"/>
                <w:szCs w:val="20"/>
                <w:lang w:val="fr-FR"/>
              </w:rPr>
              <w:t>£m </w:t>
            </w:r>
          </w:p>
        </w:tc>
        <w:tc>
          <w:tcPr>
            <w:tcW w:w="1200" w:type="dxa"/>
            <w:tcBorders>
              <w:top w:val="nil"/>
              <w:left w:val="nil"/>
              <w:bottom w:val="single" w:sz="4" w:space="0" w:color="auto"/>
              <w:right w:val="nil"/>
            </w:tcBorders>
          </w:tcPr>
          <w:p w14:paraId="63A3C958" w14:textId="33A04F4D" w:rsidR="00411F98" w:rsidRPr="00701439" w:rsidRDefault="00411F98" w:rsidP="00AD4339">
            <w:pPr>
              <w:jc w:val="right"/>
              <w:rPr>
                <w:rFonts w:asciiTheme="minorHAnsi" w:hAnsiTheme="minorHAnsi" w:cs="Arial"/>
                <w:sz w:val="20"/>
                <w:szCs w:val="20"/>
                <w:lang w:val="fr-FR"/>
              </w:rPr>
            </w:pPr>
            <w:r w:rsidRPr="00701439">
              <w:rPr>
                <w:rFonts w:asciiTheme="minorHAnsi" w:hAnsiTheme="minorHAnsi" w:cs="Arial"/>
                <w:sz w:val="20"/>
                <w:szCs w:val="20"/>
                <w:lang w:val="fr-FR"/>
              </w:rPr>
              <w:t>£m</w:t>
            </w:r>
          </w:p>
        </w:tc>
      </w:tr>
      <w:tr w:rsidR="00AD4339" w:rsidRPr="00701439" w14:paraId="09997EA7" w14:textId="2D1D8842" w:rsidTr="002725AC">
        <w:trPr>
          <w:trHeight w:val="142"/>
        </w:trPr>
        <w:tc>
          <w:tcPr>
            <w:tcW w:w="4536" w:type="dxa"/>
            <w:vAlign w:val="bottom"/>
          </w:tcPr>
          <w:p w14:paraId="5BC2B279" w14:textId="77777777" w:rsidR="00AD4339" w:rsidRPr="00701439" w:rsidRDefault="00AD4339" w:rsidP="00AD4339">
            <w:pPr>
              <w:rPr>
                <w:rFonts w:asciiTheme="minorHAnsi" w:hAnsiTheme="minorHAnsi" w:cs="Arial"/>
                <w:b/>
                <w:sz w:val="20"/>
                <w:szCs w:val="20"/>
                <w:lang w:val="fr-FR"/>
              </w:rPr>
            </w:pPr>
            <w:r w:rsidRPr="00701439">
              <w:rPr>
                <w:rFonts w:asciiTheme="minorHAnsi" w:hAnsiTheme="minorHAnsi" w:cs="Arial"/>
                <w:b/>
                <w:sz w:val="20"/>
                <w:szCs w:val="20"/>
              </w:rPr>
              <w:t>ASSETS</w:t>
            </w:r>
          </w:p>
        </w:tc>
        <w:tc>
          <w:tcPr>
            <w:tcW w:w="618" w:type="dxa"/>
          </w:tcPr>
          <w:p w14:paraId="5745A220" w14:textId="77777777" w:rsidR="00AD4339" w:rsidRPr="00701439" w:rsidRDefault="00AD4339" w:rsidP="00AD4339">
            <w:pPr>
              <w:jc w:val="right"/>
              <w:rPr>
                <w:rFonts w:asciiTheme="minorHAnsi" w:hAnsiTheme="minorHAnsi" w:cs="Arial"/>
                <w:sz w:val="20"/>
                <w:szCs w:val="20"/>
                <w:lang w:val="fr-FR"/>
              </w:rPr>
            </w:pPr>
          </w:p>
        </w:tc>
        <w:tc>
          <w:tcPr>
            <w:tcW w:w="1028" w:type="dxa"/>
            <w:tcBorders>
              <w:top w:val="single" w:sz="4" w:space="0" w:color="auto"/>
              <w:left w:val="nil"/>
              <w:bottom w:val="nil"/>
              <w:right w:val="nil"/>
            </w:tcBorders>
            <w:shd w:val="clear" w:color="auto" w:fill="F2F2F2" w:themeFill="background1" w:themeFillShade="F2"/>
          </w:tcPr>
          <w:p w14:paraId="25697B1F" w14:textId="77777777" w:rsidR="00AD4339" w:rsidRPr="005E6504" w:rsidRDefault="00AD4339" w:rsidP="00AD4339">
            <w:pPr>
              <w:jc w:val="right"/>
              <w:rPr>
                <w:rFonts w:asciiTheme="minorHAnsi" w:hAnsiTheme="minorHAnsi" w:cs="Arial"/>
                <w:b/>
                <w:sz w:val="20"/>
                <w:szCs w:val="20"/>
                <w:lang w:val="fr-FR"/>
              </w:rPr>
            </w:pPr>
          </w:p>
        </w:tc>
        <w:tc>
          <w:tcPr>
            <w:tcW w:w="1341" w:type="dxa"/>
            <w:tcBorders>
              <w:top w:val="single" w:sz="4" w:space="0" w:color="auto"/>
              <w:left w:val="nil"/>
              <w:bottom w:val="nil"/>
              <w:right w:val="nil"/>
            </w:tcBorders>
          </w:tcPr>
          <w:p w14:paraId="6172DA50" w14:textId="77777777" w:rsidR="00AD4339" w:rsidRPr="00701439" w:rsidRDefault="00AD4339" w:rsidP="00AD4339">
            <w:pPr>
              <w:jc w:val="right"/>
              <w:rPr>
                <w:rFonts w:asciiTheme="minorHAnsi" w:hAnsiTheme="minorHAnsi" w:cs="Arial"/>
                <w:sz w:val="20"/>
                <w:szCs w:val="20"/>
                <w:lang w:val="fr-FR"/>
              </w:rPr>
            </w:pPr>
          </w:p>
        </w:tc>
        <w:tc>
          <w:tcPr>
            <w:tcW w:w="1086" w:type="dxa"/>
            <w:tcBorders>
              <w:top w:val="single" w:sz="4" w:space="0" w:color="auto"/>
              <w:left w:val="nil"/>
              <w:bottom w:val="nil"/>
              <w:right w:val="nil"/>
            </w:tcBorders>
          </w:tcPr>
          <w:p w14:paraId="5AA51167" w14:textId="6B98D6BC" w:rsidR="00AD4339" w:rsidRPr="00701439" w:rsidRDefault="00AD4339" w:rsidP="00AD4339">
            <w:pPr>
              <w:jc w:val="right"/>
              <w:rPr>
                <w:rFonts w:asciiTheme="minorHAnsi" w:hAnsiTheme="minorHAnsi" w:cs="Arial"/>
                <w:sz w:val="20"/>
                <w:szCs w:val="20"/>
                <w:lang w:val="fr-FR"/>
              </w:rPr>
            </w:pPr>
          </w:p>
        </w:tc>
        <w:tc>
          <w:tcPr>
            <w:tcW w:w="1200" w:type="dxa"/>
            <w:tcBorders>
              <w:top w:val="single" w:sz="4" w:space="0" w:color="auto"/>
              <w:left w:val="nil"/>
              <w:bottom w:val="nil"/>
              <w:right w:val="nil"/>
            </w:tcBorders>
          </w:tcPr>
          <w:p w14:paraId="4C180378" w14:textId="77777777" w:rsidR="00411F98" w:rsidRPr="00701439" w:rsidRDefault="00411F98" w:rsidP="00AD4339">
            <w:pPr>
              <w:jc w:val="right"/>
              <w:rPr>
                <w:rFonts w:asciiTheme="minorHAnsi" w:hAnsiTheme="minorHAnsi" w:cs="Arial"/>
                <w:sz w:val="20"/>
                <w:szCs w:val="20"/>
                <w:lang w:val="fr-FR"/>
              </w:rPr>
            </w:pPr>
          </w:p>
        </w:tc>
      </w:tr>
      <w:tr w:rsidR="007B3733" w:rsidRPr="00701439" w14:paraId="42E02DB4" w14:textId="323EE1B0" w:rsidTr="002725AC">
        <w:trPr>
          <w:trHeight w:val="124"/>
        </w:trPr>
        <w:tc>
          <w:tcPr>
            <w:tcW w:w="4536" w:type="dxa"/>
            <w:vAlign w:val="bottom"/>
          </w:tcPr>
          <w:p w14:paraId="609C852A" w14:textId="77777777" w:rsidR="007B3733" w:rsidRPr="00701439" w:rsidRDefault="007B3733" w:rsidP="007B3733">
            <w:pPr>
              <w:rPr>
                <w:rFonts w:asciiTheme="minorHAnsi" w:hAnsiTheme="minorHAnsi" w:cs="Arial"/>
                <w:b/>
                <w:sz w:val="20"/>
                <w:szCs w:val="20"/>
                <w:lang w:val="fr-FR"/>
              </w:rPr>
            </w:pPr>
            <w:r w:rsidRPr="00701439">
              <w:rPr>
                <w:rFonts w:asciiTheme="minorHAnsi" w:hAnsiTheme="minorHAnsi" w:cs="Arial"/>
                <w:sz w:val="20"/>
                <w:szCs w:val="20"/>
              </w:rPr>
              <w:t>Cash and cash equivalents</w:t>
            </w:r>
          </w:p>
        </w:tc>
        <w:tc>
          <w:tcPr>
            <w:tcW w:w="618" w:type="dxa"/>
            <w:vAlign w:val="bottom"/>
          </w:tcPr>
          <w:p w14:paraId="6FAD7472" w14:textId="77777777" w:rsidR="007B3733" w:rsidRPr="00701439" w:rsidRDefault="007B3733" w:rsidP="007B3733">
            <w:pPr>
              <w:jc w:val="right"/>
              <w:rPr>
                <w:rFonts w:asciiTheme="minorHAnsi" w:hAnsiTheme="minorHAnsi" w:cs="Arial"/>
                <w:sz w:val="20"/>
                <w:szCs w:val="20"/>
                <w:lang w:val="fr-FR"/>
              </w:rPr>
            </w:pPr>
          </w:p>
        </w:tc>
        <w:tc>
          <w:tcPr>
            <w:tcW w:w="1028" w:type="dxa"/>
            <w:shd w:val="clear" w:color="auto" w:fill="F2F2F2" w:themeFill="background1" w:themeFillShade="F2"/>
            <w:vAlign w:val="bottom"/>
          </w:tcPr>
          <w:p w14:paraId="6C593199" w14:textId="2B75B33F" w:rsidR="007B3733" w:rsidRPr="005E6504" w:rsidRDefault="003237A2" w:rsidP="007B3733">
            <w:pPr>
              <w:jc w:val="right"/>
              <w:rPr>
                <w:rFonts w:asciiTheme="minorHAnsi" w:hAnsiTheme="minorHAnsi" w:cs="Arial"/>
                <w:b/>
                <w:sz w:val="20"/>
                <w:szCs w:val="20"/>
                <w:lang w:val="fr-FR"/>
              </w:rPr>
            </w:pPr>
            <w:r w:rsidRPr="005E6504">
              <w:rPr>
                <w:rFonts w:asciiTheme="minorHAnsi" w:hAnsiTheme="minorHAnsi" w:cs="Arial"/>
                <w:b/>
                <w:sz w:val="20"/>
                <w:szCs w:val="20"/>
                <w:lang w:val="fr-FR"/>
              </w:rPr>
              <w:t>772.8</w:t>
            </w:r>
          </w:p>
        </w:tc>
        <w:tc>
          <w:tcPr>
            <w:tcW w:w="1341" w:type="dxa"/>
            <w:vAlign w:val="bottom"/>
          </w:tcPr>
          <w:p w14:paraId="6715D9B2" w14:textId="6098E984" w:rsidR="007B3733" w:rsidRPr="006D4208" w:rsidRDefault="002C3071" w:rsidP="007B3733">
            <w:pPr>
              <w:jc w:val="right"/>
              <w:rPr>
                <w:rFonts w:asciiTheme="minorHAnsi" w:hAnsiTheme="minorHAnsi" w:cs="Arial"/>
                <w:sz w:val="20"/>
                <w:szCs w:val="20"/>
                <w:lang w:val="fr-FR"/>
              </w:rPr>
            </w:pPr>
            <w:r w:rsidRPr="006D4208">
              <w:rPr>
                <w:rFonts w:asciiTheme="minorHAnsi" w:hAnsiTheme="minorHAnsi" w:cs="Arial"/>
                <w:sz w:val="20"/>
                <w:szCs w:val="20"/>
                <w:lang w:val="fr-FR"/>
              </w:rPr>
              <w:t>743.3</w:t>
            </w:r>
          </w:p>
        </w:tc>
        <w:tc>
          <w:tcPr>
            <w:tcW w:w="1086" w:type="dxa"/>
            <w:vAlign w:val="bottom"/>
          </w:tcPr>
          <w:p w14:paraId="34D0A1E9" w14:textId="0149AFD2" w:rsidR="007B3733" w:rsidRPr="006D4208" w:rsidRDefault="001A68BA" w:rsidP="007B3733">
            <w:pPr>
              <w:jc w:val="right"/>
              <w:rPr>
                <w:rFonts w:asciiTheme="minorHAnsi" w:hAnsiTheme="minorHAnsi" w:cs="Arial"/>
                <w:sz w:val="20"/>
                <w:szCs w:val="20"/>
                <w:lang w:val="fr-FR"/>
              </w:rPr>
            </w:pPr>
            <w:r w:rsidRPr="006D4208">
              <w:rPr>
                <w:rFonts w:asciiTheme="minorHAnsi" w:hAnsiTheme="minorHAnsi" w:cs="Arial"/>
                <w:sz w:val="20"/>
                <w:szCs w:val="20"/>
                <w:lang w:val="fr-FR"/>
              </w:rPr>
              <w:t>447.3</w:t>
            </w:r>
          </w:p>
        </w:tc>
        <w:tc>
          <w:tcPr>
            <w:tcW w:w="1200" w:type="dxa"/>
          </w:tcPr>
          <w:p w14:paraId="4E30CA81" w14:textId="7F4EB159" w:rsidR="003439B4" w:rsidRDefault="003439B4" w:rsidP="007B3733">
            <w:pPr>
              <w:jc w:val="right"/>
              <w:rPr>
                <w:rFonts w:asciiTheme="minorHAnsi" w:hAnsiTheme="minorHAnsi" w:cs="Arial"/>
                <w:sz w:val="20"/>
                <w:szCs w:val="20"/>
                <w:lang w:val="fr-FR"/>
              </w:rPr>
            </w:pPr>
            <w:r>
              <w:rPr>
                <w:rFonts w:asciiTheme="minorHAnsi" w:hAnsiTheme="minorHAnsi" w:cs="Arial"/>
                <w:sz w:val="20"/>
                <w:szCs w:val="20"/>
                <w:lang w:val="fr-FR"/>
              </w:rPr>
              <w:t>464.9</w:t>
            </w:r>
          </w:p>
        </w:tc>
      </w:tr>
      <w:tr w:rsidR="007B3733" w:rsidRPr="00701439" w14:paraId="4BE2A580" w14:textId="3C93E223" w:rsidTr="002725AC">
        <w:trPr>
          <w:trHeight w:val="155"/>
        </w:trPr>
        <w:tc>
          <w:tcPr>
            <w:tcW w:w="4536" w:type="dxa"/>
            <w:vAlign w:val="bottom"/>
          </w:tcPr>
          <w:p w14:paraId="2D4625DD" w14:textId="5DE4602D" w:rsidR="007B3733" w:rsidRPr="00701439" w:rsidRDefault="007B3733" w:rsidP="007B3733">
            <w:pPr>
              <w:rPr>
                <w:rFonts w:asciiTheme="minorHAnsi" w:hAnsiTheme="minorHAnsi" w:cs="Arial"/>
                <w:b/>
                <w:sz w:val="20"/>
                <w:szCs w:val="20"/>
                <w:lang w:val="fr-FR"/>
              </w:rPr>
            </w:pPr>
            <w:r w:rsidRPr="00701439">
              <w:rPr>
                <w:rFonts w:asciiTheme="minorHAnsi" w:hAnsiTheme="minorHAnsi" w:cs="Arial"/>
                <w:sz w:val="20"/>
                <w:szCs w:val="20"/>
              </w:rPr>
              <w:t>Amounts receivable from customers</w:t>
            </w:r>
          </w:p>
        </w:tc>
        <w:tc>
          <w:tcPr>
            <w:tcW w:w="618" w:type="dxa"/>
            <w:vAlign w:val="bottom"/>
          </w:tcPr>
          <w:p w14:paraId="77275018" w14:textId="75571377" w:rsidR="007B3733" w:rsidRPr="00701439" w:rsidRDefault="00240EA8" w:rsidP="007B3733">
            <w:pPr>
              <w:jc w:val="right"/>
              <w:rPr>
                <w:rFonts w:asciiTheme="minorHAnsi" w:hAnsiTheme="minorHAnsi" w:cs="Arial"/>
                <w:sz w:val="20"/>
                <w:szCs w:val="20"/>
                <w:lang w:val="fr-FR"/>
              </w:rPr>
            </w:pPr>
            <w:r w:rsidRPr="006D4208">
              <w:rPr>
                <w:rFonts w:asciiTheme="minorHAnsi" w:hAnsiTheme="minorHAnsi" w:cs="Arial"/>
                <w:sz w:val="20"/>
                <w:szCs w:val="20"/>
                <w:lang w:val="fr-FR"/>
              </w:rPr>
              <w:t>8</w:t>
            </w:r>
          </w:p>
        </w:tc>
        <w:tc>
          <w:tcPr>
            <w:tcW w:w="1028" w:type="dxa"/>
            <w:shd w:val="clear" w:color="auto" w:fill="F2F2F2" w:themeFill="background1" w:themeFillShade="F2"/>
            <w:vAlign w:val="bottom"/>
          </w:tcPr>
          <w:p w14:paraId="3A38AD7E" w14:textId="00B5B05A" w:rsidR="007B3733" w:rsidRPr="005E6504" w:rsidRDefault="00F1367A" w:rsidP="007B3733">
            <w:pPr>
              <w:jc w:val="right"/>
              <w:rPr>
                <w:rFonts w:asciiTheme="minorHAnsi" w:hAnsiTheme="minorHAnsi" w:cs="Arial"/>
                <w:b/>
                <w:sz w:val="20"/>
                <w:szCs w:val="20"/>
                <w:lang w:val="fr-FR"/>
              </w:rPr>
            </w:pPr>
            <w:r w:rsidRPr="005E6504">
              <w:rPr>
                <w:rFonts w:asciiTheme="minorHAnsi" w:hAnsiTheme="minorHAnsi" w:cs="Arial"/>
                <w:b/>
                <w:sz w:val="20"/>
                <w:szCs w:val="20"/>
                <w:lang w:val="fr-FR"/>
              </w:rPr>
              <w:t>2,008.5</w:t>
            </w:r>
          </w:p>
        </w:tc>
        <w:tc>
          <w:tcPr>
            <w:tcW w:w="1341" w:type="dxa"/>
            <w:vAlign w:val="bottom"/>
          </w:tcPr>
          <w:p w14:paraId="705A0784" w14:textId="17A0F40D" w:rsidR="007B3733" w:rsidRPr="006D4208" w:rsidRDefault="002C3071" w:rsidP="007B3733">
            <w:pPr>
              <w:jc w:val="right"/>
              <w:rPr>
                <w:rFonts w:asciiTheme="minorHAnsi" w:hAnsiTheme="minorHAnsi" w:cs="Arial"/>
                <w:sz w:val="20"/>
                <w:szCs w:val="20"/>
                <w:lang w:val="fr-FR"/>
              </w:rPr>
            </w:pPr>
            <w:r w:rsidRPr="006D4208">
              <w:rPr>
                <w:rFonts w:asciiTheme="minorHAnsi" w:hAnsiTheme="minorHAnsi" w:cs="Arial"/>
                <w:sz w:val="20"/>
                <w:szCs w:val="20"/>
                <w:lang w:val="fr-FR"/>
              </w:rPr>
              <w:t>2,1</w:t>
            </w:r>
            <w:r w:rsidR="005D7A68" w:rsidRPr="006D4208">
              <w:rPr>
                <w:rFonts w:asciiTheme="minorHAnsi" w:hAnsiTheme="minorHAnsi" w:cs="Arial"/>
                <w:sz w:val="20"/>
                <w:szCs w:val="20"/>
                <w:lang w:val="fr-FR"/>
              </w:rPr>
              <w:t>55.8</w:t>
            </w:r>
          </w:p>
        </w:tc>
        <w:tc>
          <w:tcPr>
            <w:tcW w:w="1086" w:type="dxa"/>
            <w:vAlign w:val="bottom"/>
          </w:tcPr>
          <w:p w14:paraId="2B648F85" w14:textId="133A1021" w:rsidR="007B3733" w:rsidRPr="006D4208" w:rsidRDefault="001A68BA" w:rsidP="007B3733">
            <w:pPr>
              <w:jc w:val="right"/>
              <w:rPr>
                <w:rFonts w:asciiTheme="minorHAnsi" w:hAnsiTheme="minorHAnsi" w:cs="Arial"/>
                <w:sz w:val="20"/>
                <w:szCs w:val="20"/>
                <w:lang w:val="fr-FR"/>
              </w:rPr>
            </w:pPr>
            <w:r w:rsidRPr="006D4208">
              <w:rPr>
                <w:rFonts w:asciiTheme="minorHAnsi" w:hAnsiTheme="minorHAnsi" w:cs="Arial"/>
                <w:sz w:val="20"/>
                <w:szCs w:val="20"/>
                <w:lang w:val="fr-FR"/>
              </w:rPr>
              <w:t>2,</w:t>
            </w:r>
            <w:r w:rsidR="004A3A46">
              <w:rPr>
                <w:rFonts w:asciiTheme="minorHAnsi" w:hAnsiTheme="minorHAnsi" w:cs="Arial"/>
                <w:sz w:val="20"/>
                <w:szCs w:val="20"/>
                <w:lang w:val="fr-FR"/>
              </w:rPr>
              <w:t>096.4</w:t>
            </w:r>
            <w:r w:rsidR="002A0790">
              <w:rPr>
                <w:rFonts w:asciiTheme="minorHAnsi" w:hAnsiTheme="minorHAnsi" w:cs="Arial"/>
                <w:sz w:val="20"/>
                <w:szCs w:val="20"/>
                <w:lang w:val="fr-FR"/>
              </w:rPr>
              <w:t xml:space="preserve">  </w:t>
            </w:r>
          </w:p>
        </w:tc>
        <w:tc>
          <w:tcPr>
            <w:tcW w:w="1200" w:type="dxa"/>
          </w:tcPr>
          <w:p w14:paraId="03EF3C22" w14:textId="7BA484CA" w:rsidR="00F135FA" w:rsidRDefault="00F135FA" w:rsidP="007B3733">
            <w:pPr>
              <w:jc w:val="right"/>
              <w:rPr>
                <w:rFonts w:asciiTheme="minorHAnsi" w:hAnsiTheme="minorHAnsi" w:cs="Arial"/>
                <w:sz w:val="20"/>
                <w:szCs w:val="20"/>
                <w:lang w:val="fr-FR"/>
              </w:rPr>
            </w:pPr>
            <w:r>
              <w:rPr>
                <w:rFonts w:asciiTheme="minorHAnsi" w:hAnsiTheme="minorHAnsi" w:cs="Arial"/>
                <w:sz w:val="20"/>
                <w:szCs w:val="20"/>
                <w:lang w:val="fr-FR"/>
              </w:rPr>
              <w:t>1</w:t>
            </w:r>
            <w:r w:rsidR="008E5A8D">
              <w:rPr>
                <w:rFonts w:asciiTheme="minorHAnsi" w:hAnsiTheme="minorHAnsi" w:cs="Arial"/>
                <w:sz w:val="20"/>
                <w:szCs w:val="20"/>
                <w:lang w:val="fr-FR"/>
              </w:rPr>
              <w:t>,</w:t>
            </w:r>
            <w:r>
              <w:rPr>
                <w:rFonts w:asciiTheme="minorHAnsi" w:hAnsiTheme="minorHAnsi" w:cs="Arial"/>
                <w:sz w:val="20"/>
                <w:szCs w:val="20"/>
                <w:lang w:val="fr-FR"/>
              </w:rPr>
              <w:t>896.9</w:t>
            </w:r>
          </w:p>
        </w:tc>
      </w:tr>
      <w:tr w:rsidR="007B3733" w:rsidRPr="00701439" w14:paraId="41731113" w14:textId="181E933D" w:rsidTr="002725AC">
        <w:trPr>
          <w:trHeight w:val="142"/>
        </w:trPr>
        <w:tc>
          <w:tcPr>
            <w:tcW w:w="4536" w:type="dxa"/>
            <w:vAlign w:val="bottom"/>
          </w:tcPr>
          <w:p w14:paraId="50F40494" w14:textId="77777777" w:rsidR="007B3733" w:rsidRPr="00701439" w:rsidRDefault="007B3733" w:rsidP="007B3733">
            <w:pPr>
              <w:rPr>
                <w:rFonts w:asciiTheme="minorHAnsi" w:hAnsiTheme="minorHAnsi" w:cs="Arial"/>
                <w:b/>
                <w:sz w:val="20"/>
                <w:szCs w:val="20"/>
                <w:lang w:val="fr-FR"/>
              </w:rPr>
            </w:pPr>
            <w:r w:rsidRPr="00701439">
              <w:rPr>
                <w:rFonts w:asciiTheme="minorHAnsi" w:hAnsiTheme="minorHAnsi" w:cs="Arial"/>
                <w:sz w:val="20"/>
                <w:szCs w:val="20"/>
              </w:rPr>
              <w:t>Trade and other receivables</w:t>
            </w:r>
          </w:p>
        </w:tc>
        <w:tc>
          <w:tcPr>
            <w:tcW w:w="618" w:type="dxa"/>
            <w:vAlign w:val="bottom"/>
          </w:tcPr>
          <w:p w14:paraId="3C607CE1" w14:textId="77777777" w:rsidR="007B3733" w:rsidRPr="00701439" w:rsidRDefault="007B3733" w:rsidP="007B3733">
            <w:pPr>
              <w:jc w:val="right"/>
              <w:rPr>
                <w:rFonts w:asciiTheme="minorHAnsi" w:hAnsiTheme="minorHAnsi" w:cs="Arial"/>
                <w:sz w:val="20"/>
                <w:szCs w:val="20"/>
                <w:lang w:val="fr-FR"/>
              </w:rPr>
            </w:pPr>
          </w:p>
        </w:tc>
        <w:tc>
          <w:tcPr>
            <w:tcW w:w="1028" w:type="dxa"/>
            <w:shd w:val="clear" w:color="auto" w:fill="F2F2F2" w:themeFill="background1" w:themeFillShade="F2"/>
            <w:vAlign w:val="bottom"/>
          </w:tcPr>
          <w:p w14:paraId="5CA398C8" w14:textId="44919B1E" w:rsidR="007B3733" w:rsidRPr="005E6504" w:rsidRDefault="00F1367A" w:rsidP="007B3733">
            <w:pPr>
              <w:jc w:val="right"/>
              <w:rPr>
                <w:rFonts w:asciiTheme="minorHAnsi" w:hAnsiTheme="minorHAnsi" w:cs="Arial"/>
                <w:b/>
                <w:sz w:val="20"/>
                <w:szCs w:val="20"/>
                <w:lang w:val="fr-FR"/>
              </w:rPr>
            </w:pPr>
            <w:r w:rsidRPr="005E6504">
              <w:rPr>
                <w:rFonts w:asciiTheme="minorHAnsi" w:hAnsiTheme="minorHAnsi" w:cs="Arial"/>
                <w:b/>
                <w:sz w:val="20"/>
                <w:szCs w:val="20"/>
                <w:lang w:val="fr-FR"/>
              </w:rPr>
              <w:t>82.7</w:t>
            </w:r>
          </w:p>
        </w:tc>
        <w:tc>
          <w:tcPr>
            <w:tcW w:w="1341" w:type="dxa"/>
            <w:vAlign w:val="bottom"/>
          </w:tcPr>
          <w:p w14:paraId="44EE71BB" w14:textId="6B7C667C" w:rsidR="007B3733" w:rsidRPr="006D4208" w:rsidRDefault="007B3733" w:rsidP="007B3733">
            <w:pPr>
              <w:jc w:val="right"/>
              <w:rPr>
                <w:rFonts w:asciiTheme="minorHAnsi" w:hAnsiTheme="minorHAnsi" w:cs="Arial"/>
                <w:sz w:val="20"/>
                <w:szCs w:val="20"/>
                <w:lang w:val="fr-FR"/>
              </w:rPr>
            </w:pPr>
            <w:r w:rsidRPr="006D4208">
              <w:rPr>
                <w:rFonts w:asciiTheme="minorHAnsi" w:hAnsiTheme="minorHAnsi" w:cs="Arial"/>
                <w:sz w:val="20"/>
                <w:szCs w:val="20"/>
                <w:lang w:val="fr-FR"/>
              </w:rPr>
              <w:t>5</w:t>
            </w:r>
            <w:r w:rsidR="002C3071" w:rsidRPr="006D4208">
              <w:rPr>
                <w:rFonts w:asciiTheme="minorHAnsi" w:hAnsiTheme="minorHAnsi" w:cs="Arial"/>
                <w:sz w:val="20"/>
                <w:szCs w:val="20"/>
                <w:lang w:val="fr-FR"/>
              </w:rPr>
              <w:t>5.9</w:t>
            </w:r>
          </w:p>
        </w:tc>
        <w:tc>
          <w:tcPr>
            <w:tcW w:w="1086" w:type="dxa"/>
            <w:vAlign w:val="bottom"/>
          </w:tcPr>
          <w:p w14:paraId="0B2910B8" w14:textId="56FB46D5" w:rsidR="007B3733" w:rsidRPr="006D4208" w:rsidRDefault="001A68BA" w:rsidP="007B3733">
            <w:pPr>
              <w:jc w:val="right"/>
              <w:rPr>
                <w:rFonts w:asciiTheme="minorHAnsi" w:hAnsiTheme="minorHAnsi" w:cs="Arial"/>
                <w:sz w:val="20"/>
                <w:szCs w:val="20"/>
                <w:lang w:val="fr-FR"/>
              </w:rPr>
            </w:pPr>
            <w:r w:rsidRPr="006D4208">
              <w:rPr>
                <w:rFonts w:asciiTheme="minorHAnsi" w:hAnsiTheme="minorHAnsi" w:cs="Arial"/>
                <w:sz w:val="20"/>
                <w:szCs w:val="20"/>
                <w:lang w:val="fr-FR"/>
              </w:rPr>
              <w:t>72.7</w:t>
            </w:r>
          </w:p>
        </w:tc>
        <w:tc>
          <w:tcPr>
            <w:tcW w:w="1200" w:type="dxa"/>
          </w:tcPr>
          <w:p w14:paraId="58B48D19" w14:textId="2640A5BD" w:rsidR="00475139" w:rsidRDefault="00475139" w:rsidP="007B3733">
            <w:pPr>
              <w:jc w:val="right"/>
              <w:rPr>
                <w:rFonts w:asciiTheme="minorHAnsi" w:hAnsiTheme="minorHAnsi" w:cs="Arial"/>
                <w:sz w:val="20"/>
                <w:szCs w:val="20"/>
                <w:lang w:val="fr-FR"/>
              </w:rPr>
            </w:pPr>
            <w:r>
              <w:rPr>
                <w:rFonts w:asciiTheme="minorHAnsi" w:hAnsiTheme="minorHAnsi" w:cs="Arial"/>
                <w:sz w:val="20"/>
                <w:szCs w:val="20"/>
                <w:lang w:val="fr-FR"/>
              </w:rPr>
              <w:t>50.6</w:t>
            </w:r>
          </w:p>
        </w:tc>
      </w:tr>
      <w:tr w:rsidR="007B3733" w:rsidRPr="00701439" w14:paraId="1957F55C" w14:textId="69D17434" w:rsidTr="002725AC">
        <w:trPr>
          <w:trHeight w:val="142"/>
        </w:trPr>
        <w:tc>
          <w:tcPr>
            <w:tcW w:w="4536" w:type="dxa"/>
            <w:vAlign w:val="bottom"/>
          </w:tcPr>
          <w:p w14:paraId="7662E283" w14:textId="77777777" w:rsidR="007B3733" w:rsidRPr="00701439" w:rsidRDefault="007B3733" w:rsidP="007B3733">
            <w:pPr>
              <w:rPr>
                <w:rFonts w:asciiTheme="minorHAnsi" w:hAnsiTheme="minorHAnsi" w:cs="Arial"/>
                <w:b/>
                <w:sz w:val="20"/>
                <w:szCs w:val="20"/>
                <w:lang w:val="en-US"/>
              </w:rPr>
            </w:pPr>
            <w:r w:rsidRPr="00701439">
              <w:rPr>
                <w:rFonts w:asciiTheme="minorHAnsi" w:hAnsiTheme="minorHAnsi" w:cs="Arial"/>
                <w:color w:val="000000" w:themeColor="text1"/>
                <w:sz w:val="20"/>
                <w:szCs w:val="20"/>
              </w:rPr>
              <w:t>Investments held at fair value through profit and loss</w:t>
            </w:r>
          </w:p>
        </w:tc>
        <w:tc>
          <w:tcPr>
            <w:tcW w:w="618" w:type="dxa"/>
            <w:vAlign w:val="bottom"/>
          </w:tcPr>
          <w:p w14:paraId="4A98A8E9" w14:textId="6BADB954" w:rsidR="007B3733" w:rsidRPr="00701439" w:rsidRDefault="00240EA8" w:rsidP="007B3733">
            <w:pPr>
              <w:jc w:val="right"/>
              <w:rPr>
                <w:rFonts w:asciiTheme="minorHAnsi" w:hAnsiTheme="minorHAnsi" w:cs="Arial"/>
                <w:sz w:val="20"/>
                <w:szCs w:val="20"/>
                <w:lang w:val="fr-FR"/>
              </w:rPr>
            </w:pPr>
            <w:r w:rsidRPr="006D4208">
              <w:rPr>
                <w:rFonts w:asciiTheme="minorHAnsi" w:hAnsiTheme="minorHAnsi" w:cs="Arial"/>
                <w:sz w:val="20"/>
                <w:szCs w:val="20"/>
                <w:lang w:val="fr-FR"/>
              </w:rPr>
              <w:t>9</w:t>
            </w:r>
          </w:p>
        </w:tc>
        <w:tc>
          <w:tcPr>
            <w:tcW w:w="1028" w:type="dxa"/>
            <w:shd w:val="clear" w:color="auto" w:fill="F2F2F2" w:themeFill="background1" w:themeFillShade="F2"/>
            <w:vAlign w:val="bottom"/>
          </w:tcPr>
          <w:p w14:paraId="5D94CD15" w14:textId="14CD258A" w:rsidR="007B3733" w:rsidRPr="005E6504" w:rsidRDefault="00F1367A" w:rsidP="007B3733">
            <w:pPr>
              <w:jc w:val="right"/>
              <w:rPr>
                <w:rFonts w:asciiTheme="minorHAnsi" w:hAnsiTheme="minorHAnsi" w:cs="Arial"/>
                <w:b/>
                <w:sz w:val="20"/>
                <w:szCs w:val="20"/>
                <w:lang w:val="fr-FR"/>
              </w:rPr>
            </w:pPr>
            <w:r w:rsidRPr="005E6504">
              <w:rPr>
                <w:rFonts w:asciiTheme="minorHAnsi" w:hAnsiTheme="minorHAnsi" w:cs="Arial"/>
                <w:b/>
                <w:sz w:val="20"/>
                <w:szCs w:val="20"/>
                <w:lang w:val="fr-FR"/>
              </w:rPr>
              <w:t>5.1</w:t>
            </w:r>
          </w:p>
        </w:tc>
        <w:tc>
          <w:tcPr>
            <w:tcW w:w="1341" w:type="dxa"/>
            <w:vAlign w:val="bottom"/>
          </w:tcPr>
          <w:p w14:paraId="68C5CB85" w14:textId="39974136" w:rsidR="007B3733" w:rsidRPr="006D4208" w:rsidRDefault="00086180" w:rsidP="007B3733">
            <w:pPr>
              <w:jc w:val="right"/>
              <w:rPr>
                <w:rFonts w:asciiTheme="minorHAnsi" w:hAnsiTheme="minorHAnsi" w:cs="Arial"/>
                <w:sz w:val="20"/>
                <w:szCs w:val="20"/>
                <w:lang w:val="fr-FR"/>
              </w:rPr>
            </w:pPr>
            <w:r w:rsidRPr="006D4208">
              <w:rPr>
                <w:rFonts w:asciiTheme="minorHAnsi" w:hAnsiTheme="minorHAnsi" w:cs="Arial"/>
                <w:sz w:val="20"/>
                <w:szCs w:val="20"/>
                <w:lang w:val="fr-FR"/>
              </w:rPr>
              <w:t>5.4</w:t>
            </w:r>
          </w:p>
        </w:tc>
        <w:tc>
          <w:tcPr>
            <w:tcW w:w="1086" w:type="dxa"/>
            <w:vAlign w:val="bottom"/>
          </w:tcPr>
          <w:p w14:paraId="308C81AF" w14:textId="532DC8EF" w:rsidR="007B3733" w:rsidRPr="006D4208" w:rsidRDefault="001A68BA" w:rsidP="007B3733">
            <w:pPr>
              <w:jc w:val="right"/>
              <w:rPr>
                <w:rFonts w:asciiTheme="minorHAnsi" w:hAnsiTheme="minorHAnsi" w:cs="Arial"/>
                <w:sz w:val="20"/>
                <w:szCs w:val="20"/>
                <w:lang w:val="fr-FR"/>
              </w:rPr>
            </w:pPr>
            <w:r w:rsidRPr="006D4208">
              <w:rPr>
                <w:rFonts w:asciiTheme="minorHAnsi" w:hAnsiTheme="minorHAnsi" w:cs="Arial"/>
                <w:sz w:val="20"/>
                <w:szCs w:val="20"/>
                <w:lang w:val="fr-FR"/>
              </w:rPr>
              <w:t>4.9</w:t>
            </w:r>
          </w:p>
        </w:tc>
        <w:tc>
          <w:tcPr>
            <w:tcW w:w="1200" w:type="dxa"/>
          </w:tcPr>
          <w:p w14:paraId="58F0C5BB" w14:textId="77777777" w:rsidR="00945899" w:rsidRDefault="00945899" w:rsidP="007B3733">
            <w:pPr>
              <w:jc w:val="right"/>
              <w:rPr>
                <w:rFonts w:asciiTheme="minorHAnsi" w:hAnsiTheme="minorHAnsi" w:cs="Arial"/>
                <w:sz w:val="20"/>
                <w:szCs w:val="20"/>
                <w:lang w:val="fr-FR"/>
              </w:rPr>
            </w:pPr>
          </w:p>
          <w:p w14:paraId="3C56DDCD" w14:textId="2648FBCE" w:rsidR="00945899" w:rsidRDefault="0011682E" w:rsidP="007B3733">
            <w:pPr>
              <w:jc w:val="right"/>
              <w:rPr>
                <w:rFonts w:asciiTheme="minorHAnsi" w:hAnsiTheme="minorHAnsi" w:cs="Arial"/>
                <w:sz w:val="20"/>
                <w:szCs w:val="20"/>
                <w:lang w:val="fr-FR"/>
              </w:rPr>
            </w:pPr>
            <w:r>
              <w:rPr>
                <w:rFonts w:asciiTheme="minorHAnsi" w:hAnsiTheme="minorHAnsi" w:cs="Arial"/>
                <w:sz w:val="20"/>
                <w:szCs w:val="20"/>
                <w:lang w:val="fr-FR"/>
              </w:rPr>
              <w:t>10.7</w:t>
            </w:r>
          </w:p>
        </w:tc>
      </w:tr>
      <w:tr w:rsidR="007B3733" w:rsidRPr="00701439" w14:paraId="64BC9EF7" w14:textId="45543009" w:rsidTr="002725AC">
        <w:trPr>
          <w:trHeight w:val="142"/>
        </w:trPr>
        <w:tc>
          <w:tcPr>
            <w:tcW w:w="4536" w:type="dxa"/>
            <w:vAlign w:val="bottom"/>
          </w:tcPr>
          <w:p w14:paraId="5E6C9BA5" w14:textId="77777777" w:rsidR="007B3733" w:rsidRPr="00701439" w:rsidRDefault="007B3733" w:rsidP="007B3733">
            <w:pPr>
              <w:rPr>
                <w:rFonts w:asciiTheme="minorHAnsi" w:hAnsiTheme="minorHAnsi" w:cs="Arial"/>
                <w:sz w:val="20"/>
                <w:szCs w:val="20"/>
              </w:rPr>
            </w:pPr>
            <w:r w:rsidRPr="00701439">
              <w:rPr>
                <w:rFonts w:asciiTheme="minorHAnsi" w:hAnsiTheme="minorHAnsi" w:cs="Arial"/>
                <w:sz w:val="20"/>
                <w:szCs w:val="20"/>
              </w:rPr>
              <w:t>Current tax asset</w:t>
            </w:r>
          </w:p>
        </w:tc>
        <w:tc>
          <w:tcPr>
            <w:tcW w:w="618" w:type="dxa"/>
            <w:vAlign w:val="bottom"/>
          </w:tcPr>
          <w:p w14:paraId="079BDEE3" w14:textId="77777777" w:rsidR="007B3733" w:rsidRPr="00701439" w:rsidRDefault="007B3733" w:rsidP="007B3733">
            <w:pPr>
              <w:jc w:val="right"/>
              <w:rPr>
                <w:rFonts w:asciiTheme="minorHAnsi" w:hAnsiTheme="minorHAnsi" w:cs="Arial"/>
                <w:sz w:val="20"/>
                <w:szCs w:val="20"/>
                <w:lang w:val="fr-FR"/>
              </w:rPr>
            </w:pPr>
          </w:p>
        </w:tc>
        <w:tc>
          <w:tcPr>
            <w:tcW w:w="1028" w:type="dxa"/>
            <w:shd w:val="clear" w:color="auto" w:fill="F2F2F2" w:themeFill="background1" w:themeFillShade="F2"/>
            <w:vAlign w:val="bottom"/>
          </w:tcPr>
          <w:p w14:paraId="01C26B0F" w14:textId="755D597C" w:rsidR="007B3733" w:rsidRPr="005E6504" w:rsidRDefault="00A941A1" w:rsidP="007B3733">
            <w:pPr>
              <w:jc w:val="right"/>
              <w:rPr>
                <w:rFonts w:asciiTheme="minorHAnsi" w:hAnsiTheme="minorHAnsi" w:cs="Arial"/>
                <w:b/>
                <w:sz w:val="20"/>
                <w:szCs w:val="20"/>
                <w:lang w:val="fr-FR"/>
              </w:rPr>
            </w:pPr>
            <w:r>
              <w:rPr>
                <w:rFonts w:asciiTheme="minorHAnsi" w:hAnsiTheme="minorHAnsi" w:cs="Arial"/>
                <w:b/>
                <w:sz w:val="20"/>
                <w:szCs w:val="20"/>
                <w:lang w:val="fr-FR"/>
              </w:rPr>
              <w:t>-</w:t>
            </w:r>
          </w:p>
        </w:tc>
        <w:tc>
          <w:tcPr>
            <w:tcW w:w="1341" w:type="dxa"/>
            <w:vAlign w:val="bottom"/>
          </w:tcPr>
          <w:p w14:paraId="1A28CA6D" w14:textId="418C699F" w:rsidR="007B3733" w:rsidRPr="006D4208" w:rsidRDefault="003E2BEF" w:rsidP="007B3733">
            <w:pPr>
              <w:jc w:val="right"/>
              <w:rPr>
                <w:rFonts w:asciiTheme="minorHAnsi" w:hAnsiTheme="minorHAnsi" w:cs="Arial"/>
                <w:sz w:val="20"/>
                <w:szCs w:val="20"/>
                <w:lang w:val="fr-FR"/>
              </w:rPr>
            </w:pPr>
            <w:r>
              <w:rPr>
                <w:rFonts w:asciiTheme="minorHAnsi" w:hAnsiTheme="minorHAnsi" w:cs="Arial"/>
                <w:sz w:val="20"/>
                <w:szCs w:val="20"/>
                <w:lang w:val="fr-FR"/>
              </w:rPr>
              <w:t>8.</w:t>
            </w:r>
            <w:r w:rsidR="003B53B0">
              <w:rPr>
                <w:rFonts w:asciiTheme="minorHAnsi" w:hAnsiTheme="minorHAnsi" w:cs="Arial"/>
                <w:sz w:val="20"/>
                <w:szCs w:val="20"/>
                <w:lang w:val="fr-FR"/>
              </w:rPr>
              <w:t>3</w:t>
            </w:r>
          </w:p>
        </w:tc>
        <w:tc>
          <w:tcPr>
            <w:tcW w:w="1086" w:type="dxa"/>
            <w:vAlign w:val="bottom"/>
          </w:tcPr>
          <w:p w14:paraId="1A91C198" w14:textId="51F1B1BE" w:rsidR="007B3733" w:rsidRPr="006D4208" w:rsidRDefault="005C493F" w:rsidP="007B3733">
            <w:pPr>
              <w:jc w:val="right"/>
              <w:rPr>
                <w:rFonts w:asciiTheme="minorHAnsi" w:hAnsiTheme="minorHAnsi" w:cs="Arial"/>
                <w:sz w:val="20"/>
                <w:szCs w:val="20"/>
                <w:lang w:val="fr-FR"/>
              </w:rPr>
            </w:pPr>
            <w:r>
              <w:rPr>
                <w:rFonts w:asciiTheme="minorHAnsi" w:hAnsiTheme="minorHAnsi" w:cs="Arial"/>
                <w:sz w:val="20"/>
                <w:szCs w:val="20"/>
                <w:lang w:val="fr-FR"/>
              </w:rPr>
              <w:t>8.7</w:t>
            </w:r>
          </w:p>
        </w:tc>
        <w:tc>
          <w:tcPr>
            <w:tcW w:w="1200" w:type="dxa"/>
          </w:tcPr>
          <w:p w14:paraId="10EE0C3D" w14:textId="5F435238" w:rsidR="00283EF4" w:rsidRDefault="00B30FDF" w:rsidP="007B3733">
            <w:pPr>
              <w:jc w:val="right"/>
              <w:rPr>
                <w:rFonts w:asciiTheme="minorHAnsi" w:hAnsiTheme="minorHAnsi" w:cs="Arial"/>
                <w:sz w:val="20"/>
                <w:szCs w:val="20"/>
                <w:lang w:val="fr-FR"/>
              </w:rPr>
            </w:pPr>
            <w:r>
              <w:rPr>
                <w:rFonts w:asciiTheme="minorHAnsi" w:hAnsiTheme="minorHAnsi" w:cs="Arial"/>
                <w:sz w:val="20"/>
                <w:szCs w:val="20"/>
                <w:lang w:val="fr-FR"/>
              </w:rPr>
              <w:t>0.2</w:t>
            </w:r>
          </w:p>
        </w:tc>
      </w:tr>
      <w:tr w:rsidR="007B3733" w:rsidRPr="00701439" w14:paraId="4DF8BD00" w14:textId="49D63F85" w:rsidTr="002725AC">
        <w:trPr>
          <w:trHeight w:val="142"/>
        </w:trPr>
        <w:tc>
          <w:tcPr>
            <w:tcW w:w="4536" w:type="dxa"/>
            <w:vAlign w:val="bottom"/>
          </w:tcPr>
          <w:p w14:paraId="332B43CC" w14:textId="77777777" w:rsidR="007B3733" w:rsidRPr="00701439" w:rsidRDefault="007B3733" w:rsidP="007B3733">
            <w:pPr>
              <w:rPr>
                <w:rFonts w:asciiTheme="minorHAnsi" w:hAnsiTheme="minorHAnsi" w:cs="Arial"/>
                <w:sz w:val="20"/>
                <w:szCs w:val="20"/>
              </w:rPr>
            </w:pPr>
            <w:r w:rsidRPr="00701439">
              <w:rPr>
                <w:rFonts w:asciiTheme="minorHAnsi" w:hAnsiTheme="minorHAnsi" w:cs="Arial"/>
                <w:sz w:val="20"/>
                <w:szCs w:val="20"/>
              </w:rPr>
              <w:t>Property, plant and equipment</w:t>
            </w:r>
          </w:p>
        </w:tc>
        <w:tc>
          <w:tcPr>
            <w:tcW w:w="618" w:type="dxa"/>
            <w:vAlign w:val="bottom"/>
          </w:tcPr>
          <w:p w14:paraId="1DD4A953" w14:textId="77777777" w:rsidR="007B3733" w:rsidRPr="00701439" w:rsidRDefault="007B3733" w:rsidP="007B3733">
            <w:pPr>
              <w:jc w:val="right"/>
              <w:rPr>
                <w:rFonts w:asciiTheme="minorHAnsi" w:hAnsiTheme="minorHAnsi" w:cs="Arial"/>
                <w:sz w:val="20"/>
                <w:szCs w:val="20"/>
                <w:lang w:val="fr-FR"/>
              </w:rPr>
            </w:pPr>
          </w:p>
        </w:tc>
        <w:tc>
          <w:tcPr>
            <w:tcW w:w="1028" w:type="dxa"/>
            <w:shd w:val="clear" w:color="auto" w:fill="F2F2F2" w:themeFill="background1" w:themeFillShade="F2"/>
            <w:vAlign w:val="bottom"/>
          </w:tcPr>
          <w:p w14:paraId="0270A22F" w14:textId="3D9E3865" w:rsidR="007B3733" w:rsidRPr="005E6504" w:rsidRDefault="009F62A8" w:rsidP="007B3733">
            <w:pPr>
              <w:jc w:val="right"/>
              <w:rPr>
                <w:rFonts w:asciiTheme="minorHAnsi" w:hAnsiTheme="minorHAnsi" w:cs="Arial"/>
                <w:b/>
                <w:sz w:val="20"/>
                <w:szCs w:val="20"/>
                <w:lang w:val="fr-FR"/>
              </w:rPr>
            </w:pPr>
            <w:r w:rsidRPr="005E6504">
              <w:rPr>
                <w:rFonts w:asciiTheme="minorHAnsi" w:hAnsiTheme="minorHAnsi" w:cs="Arial"/>
                <w:b/>
                <w:sz w:val="20"/>
                <w:szCs w:val="20"/>
                <w:lang w:val="fr-FR"/>
              </w:rPr>
              <w:t>7.</w:t>
            </w:r>
            <w:r w:rsidR="000133E1" w:rsidRPr="005E6504">
              <w:rPr>
                <w:rFonts w:asciiTheme="minorHAnsi" w:hAnsiTheme="minorHAnsi" w:cs="Arial"/>
                <w:b/>
                <w:sz w:val="20"/>
                <w:szCs w:val="20"/>
                <w:lang w:val="fr-FR"/>
              </w:rPr>
              <w:t>4</w:t>
            </w:r>
          </w:p>
        </w:tc>
        <w:tc>
          <w:tcPr>
            <w:tcW w:w="1341" w:type="dxa"/>
            <w:vAlign w:val="bottom"/>
          </w:tcPr>
          <w:p w14:paraId="2E8FE629" w14:textId="79B9D188" w:rsidR="007B3733" w:rsidRPr="006D4208" w:rsidRDefault="007B3733" w:rsidP="007B3733">
            <w:pPr>
              <w:jc w:val="right"/>
              <w:rPr>
                <w:rFonts w:asciiTheme="minorHAnsi" w:hAnsiTheme="minorHAnsi" w:cs="Arial"/>
                <w:sz w:val="20"/>
                <w:szCs w:val="20"/>
                <w:lang w:val="fr-FR"/>
              </w:rPr>
            </w:pPr>
            <w:r w:rsidRPr="006D4208">
              <w:rPr>
                <w:rFonts w:asciiTheme="minorHAnsi" w:hAnsiTheme="minorHAnsi" w:cs="Arial"/>
                <w:sz w:val="20"/>
                <w:szCs w:val="20"/>
                <w:lang w:val="fr-FR"/>
              </w:rPr>
              <w:t>8.</w:t>
            </w:r>
            <w:r w:rsidR="001E0653" w:rsidRPr="006D4208">
              <w:rPr>
                <w:rFonts w:asciiTheme="minorHAnsi" w:hAnsiTheme="minorHAnsi" w:cs="Arial"/>
                <w:sz w:val="20"/>
                <w:szCs w:val="20"/>
                <w:lang w:val="fr-FR"/>
              </w:rPr>
              <w:t>1</w:t>
            </w:r>
          </w:p>
        </w:tc>
        <w:tc>
          <w:tcPr>
            <w:tcW w:w="1086" w:type="dxa"/>
            <w:vAlign w:val="bottom"/>
          </w:tcPr>
          <w:p w14:paraId="360A8E10" w14:textId="0A4E6BE0" w:rsidR="007B3733" w:rsidRPr="006D4208" w:rsidRDefault="001A68BA" w:rsidP="007B3733">
            <w:pPr>
              <w:jc w:val="right"/>
              <w:rPr>
                <w:rFonts w:asciiTheme="minorHAnsi" w:hAnsiTheme="minorHAnsi" w:cs="Arial"/>
                <w:sz w:val="20"/>
                <w:szCs w:val="20"/>
              </w:rPr>
            </w:pPr>
            <w:r w:rsidRPr="006D4208">
              <w:rPr>
                <w:rFonts w:asciiTheme="minorHAnsi" w:hAnsiTheme="minorHAnsi" w:cs="Arial"/>
                <w:sz w:val="20"/>
                <w:szCs w:val="20"/>
                <w:lang w:val="fr-FR"/>
              </w:rPr>
              <w:t>7</w:t>
            </w:r>
            <w:r w:rsidR="007B3733" w:rsidRPr="006D4208">
              <w:rPr>
                <w:rFonts w:asciiTheme="minorHAnsi" w:hAnsiTheme="minorHAnsi" w:cs="Arial"/>
                <w:sz w:val="20"/>
                <w:szCs w:val="20"/>
                <w:lang w:val="fr-FR"/>
              </w:rPr>
              <w:t>.2</w:t>
            </w:r>
          </w:p>
        </w:tc>
        <w:tc>
          <w:tcPr>
            <w:tcW w:w="1200" w:type="dxa"/>
          </w:tcPr>
          <w:p w14:paraId="7E21C672" w14:textId="63DBF239" w:rsidR="001F0D01" w:rsidRDefault="001F0D01" w:rsidP="007B3733">
            <w:pPr>
              <w:jc w:val="right"/>
              <w:rPr>
                <w:rFonts w:asciiTheme="minorHAnsi" w:hAnsiTheme="minorHAnsi" w:cs="Arial"/>
                <w:sz w:val="20"/>
                <w:szCs w:val="20"/>
                <w:lang w:val="fr-FR"/>
              </w:rPr>
            </w:pPr>
            <w:r>
              <w:rPr>
                <w:rFonts w:asciiTheme="minorHAnsi" w:hAnsiTheme="minorHAnsi" w:cs="Arial"/>
                <w:sz w:val="20"/>
                <w:szCs w:val="20"/>
                <w:lang w:val="fr-FR"/>
              </w:rPr>
              <w:t>8.3</w:t>
            </w:r>
          </w:p>
        </w:tc>
      </w:tr>
      <w:tr w:rsidR="007B3733" w:rsidRPr="00701439" w14:paraId="4F98AEAC" w14:textId="4F8FC5A6" w:rsidTr="002725AC">
        <w:trPr>
          <w:trHeight w:val="142"/>
        </w:trPr>
        <w:tc>
          <w:tcPr>
            <w:tcW w:w="4536" w:type="dxa"/>
            <w:vAlign w:val="bottom"/>
          </w:tcPr>
          <w:p w14:paraId="5A779AE4" w14:textId="77777777" w:rsidR="007B3733" w:rsidRPr="00701439" w:rsidRDefault="007B3733" w:rsidP="007B3733">
            <w:pPr>
              <w:rPr>
                <w:rFonts w:asciiTheme="minorHAnsi" w:hAnsiTheme="minorHAnsi" w:cs="Arial"/>
                <w:b/>
                <w:sz w:val="20"/>
                <w:szCs w:val="20"/>
                <w:lang w:val="fr-FR"/>
              </w:rPr>
            </w:pPr>
            <w:r w:rsidRPr="00701439">
              <w:rPr>
                <w:rFonts w:asciiTheme="minorHAnsi" w:hAnsiTheme="minorHAnsi" w:cs="Arial"/>
                <w:sz w:val="20"/>
                <w:szCs w:val="20"/>
              </w:rPr>
              <w:t>Right of use assets</w:t>
            </w:r>
          </w:p>
        </w:tc>
        <w:tc>
          <w:tcPr>
            <w:tcW w:w="618" w:type="dxa"/>
            <w:vAlign w:val="bottom"/>
          </w:tcPr>
          <w:p w14:paraId="397DFA44" w14:textId="77777777" w:rsidR="007B3733" w:rsidRPr="00701439" w:rsidRDefault="007B3733" w:rsidP="007B3733">
            <w:pPr>
              <w:jc w:val="right"/>
              <w:rPr>
                <w:rFonts w:asciiTheme="minorHAnsi" w:hAnsiTheme="minorHAnsi" w:cs="Arial"/>
                <w:sz w:val="20"/>
                <w:szCs w:val="20"/>
                <w:lang w:val="fr-FR"/>
              </w:rPr>
            </w:pPr>
          </w:p>
        </w:tc>
        <w:tc>
          <w:tcPr>
            <w:tcW w:w="1028" w:type="dxa"/>
            <w:shd w:val="clear" w:color="auto" w:fill="F2F2F2" w:themeFill="background1" w:themeFillShade="F2"/>
            <w:vAlign w:val="bottom"/>
          </w:tcPr>
          <w:p w14:paraId="30F6C996" w14:textId="2D3F7286" w:rsidR="007B3733" w:rsidRPr="005E6504" w:rsidRDefault="00754D02" w:rsidP="007B3733">
            <w:pPr>
              <w:jc w:val="right"/>
              <w:rPr>
                <w:rFonts w:asciiTheme="minorHAnsi" w:hAnsiTheme="minorHAnsi" w:cs="Arial"/>
                <w:b/>
                <w:sz w:val="20"/>
                <w:szCs w:val="20"/>
                <w:lang w:val="fr-FR"/>
              </w:rPr>
            </w:pPr>
            <w:r w:rsidRPr="005E6504">
              <w:rPr>
                <w:rFonts w:asciiTheme="minorHAnsi" w:hAnsiTheme="minorHAnsi" w:cs="Arial"/>
                <w:b/>
                <w:sz w:val="20"/>
                <w:szCs w:val="20"/>
                <w:lang w:val="fr-FR"/>
              </w:rPr>
              <w:t>18.9</w:t>
            </w:r>
          </w:p>
        </w:tc>
        <w:tc>
          <w:tcPr>
            <w:tcW w:w="1341" w:type="dxa"/>
            <w:vAlign w:val="bottom"/>
          </w:tcPr>
          <w:p w14:paraId="29C0B396" w14:textId="6B575ABC" w:rsidR="007B3733" w:rsidRPr="006D4208" w:rsidRDefault="0049592C" w:rsidP="007B3733">
            <w:pPr>
              <w:jc w:val="right"/>
              <w:rPr>
                <w:rFonts w:asciiTheme="minorHAnsi" w:hAnsiTheme="minorHAnsi" w:cs="Arial"/>
                <w:sz w:val="20"/>
                <w:szCs w:val="20"/>
                <w:lang w:val="fr-FR"/>
              </w:rPr>
            </w:pPr>
            <w:r w:rsidRPr="006D4208">
              <w:rPr>
                <w:rFonts w:asciiTheme="minorHAnsi" w:hAnsiTheme="minorHAnsi" w:cs="Arial"/>
                <w:sz w:val="20"/>
                <w:szCs w:val="20"/>
                <w:lang w:val="fr-FR"/>
              </w:rPr>
              <w:t>23.2</w:t>
            </w:r>
          </w:p>
        </w:tc>
        <w:tc>
          <w:tcPr>
            <w:tcW w:w="1086" w:type="dxa"/>
            <w:vAlign w:val="bottom"/>
          </w:tcPr>
          <w:p w14:paraId="06A052E4" w14:textId="43408105" w:rsidR="007B3733" w:rsidRPr="006D4208" w:rsidRDefault="00D9476E" w:rsidP="007B3733">
            <w:pPr>
              <w:jc w:val="right"/>
              <w:rPr>
                <w:rFonts w:asciiTheme="minorHAnsi" w:hAnsiTheme="minorHAnsi" w:cs="Arial"/>
                <w:sz w:val="20"/>
                <w:szCs w:val="20"/>
                <w:lang w:val="fr-FR"/>
              </w:rPr>
            </w:pPr>
            <w:r w:rsidRPr="006D4208">
              <w:rPr>
                <w:rFonts w:asciiTheme="minorHAnsi" w:hAnsiTheme="minorHAnsi" w:cs="Arial"/>
                <w:sz w:val="20"/>
                <w:szCs w:val="20"/>
                <w:lang w:val="fr-FR"/>
              </w:rPr>
              <w:t>29.6</w:t>
            </w:r>
          </w:p>
        </w:tc>
        <w:tc>
          <w:tcPr>
            <w:tcW w:w="1200" w:type="dxa"/>
          </w:tcPr>
          <w:p w14:paraId="35971E16" w14:textId="1D83BB10" w:rsidR="005C0792" w:rsidRDefault="005C0792" w:rsidP="007B3733">
            <w:pPr>
              <w:jc w:val="right"/>
              <w:rPr>
                <w:rFonts w:asciiTheme="minorHAnsi" w:hAnsiTheme="minorHAnsi" w:cs="Arial"/>
                <w:sz w:val="20"/>
                <w:szCs w:val="20"/>
                <w:lang w:val="fr-FR"/>
              </w:rPr>
            </w:pPr>
            <w:r>
              <w:rPr>
                <w:rFonts w:asciiTheme="minorHAnsi" w:hAnsiTheme="minorHAnsi" w:cs="Arial"/>
                <w:sz w:val="20"/>
                <w:szCs w:val="20"/>
                <w:lang w:val="fr-FR"/>
              </w:rPr>
              <w:t>32.4</w:t>
            </w:r>
          </w:p>
        </w:tc>
      </w:tr>
      <w:tr w:rsidR="007B3733" w:rsidRPr="00701439" w14:paraId="66414443" w14:textId="7FDE14FF" w:rsidTr="002725AC">
        <w:trPr>
          <w:trHeight w:val="142"/>
        </w:trPr>
        <w:tc>
          <w:tcPr>
            <w:tcW w:w="4536" w:type="dxa"/>
            <w:vAlign w:val="bottom"/>
          </w:tcPr>
          <w:p w14:paraId="2F71DF04" w14:textId="77777777" w:rsidR="007B3733" w:rsidRPr="00701439" w:rsidRDefault="007B3733" w:rsidP="007B3733">
            <w:pPr>
              <w:rPr>
                <w:rFonts w:asciiTheme="minorHAnsi" w:hAnsiTheme="minorHAnsi" w:cs="Arial"/>
                <w:b/>
                <w:sz w:val="20"/>
                <w:szCs w:val="20"/>
                <w:lang w:val="fr-FR"/>
              </w:rPr>
            </w:pPr>
            <w:r w:rsidRPr="00701439">
              <w:rPr>
                <w:rFonts w:asciiTheme="minorHAnsi" w:hAnsiTheme="minorHAnsi" w:cs="Arial"/>
                <w:sz w:val="20"/>
                <w:szCs w:val="20"/>
              </w:rPr>
              <w:t>Goodwill</w:t>
            </w:r>
          </w:p>
        </w:tc>
        <w:tc>
          <w:tcPr>
            <w:tcW w:w="618" w:type="dxa"/>
            <w:vAlign w:val="bottom"/>
          </w:tcPr>
          <w:p w14:paraId="3E8570D3" w14:textId="77777777" w:rsidR="007B3733" w:rsidRPr="00701439" w:rsidRDefault="007B3733" w:rsidP="007B3733">
            <w:pPr>
              <w:jc w:val="right"/>
              <w:rPr>
                <w:rFonts w:asciiTheme="minorHAnsi" w:hAnsiTheme="minorHAnsi" w:cs="Arial"/>
                <w:sz w:val="20"/>
                <w:szCs w:val="20"/>
                <w:lang w:val="fr-FR"/>
              </w:rPr>
            </w:pPr>
          </w:p>
        </w:tc>
        <w:tc>
          <w:tcPr>
            <w:tcW w:w="1028" w:type="dxa"/>
            <w:shd w:val="clear" w:color="auto" w:fill="F2F2F2" w:themeFill="background1" w:themeFillShade="F2"/>
            <w:vAlign w:val="bottom"/>
          </w:tcPr>
          <w:p w14:paraId="2046165C" w14:textId="0B6A9689" w:rsidR="007B3733" w:rsidRPr="005E6504" w:rsidRDefault="00754D02" w:rsidP="007B3733">
            <w:pPr>
              <w:jc w:val="right"/>
              <w:rPr>
                <w:rFonts w:asciiTheme="minorHAnsi" w:hAnsiTheme="minorHAnsi" w:cs="Arial"/>
                <w:b/>
                <w:sz w:val="20"/>
                <w:szCs w:val="20"/>
                <w:lang w:val="fr-FR"/>
              </w:rPr>
            </w:pPr>
            <w:r w:rsidRPr="005E6504">
              <w:rPr>
                <w:rFonts w:asciiTheme="minorHAnsi" w:hAnsiTheme="minorHAnsi" w:cs="Arial"/>
                <w:b/>
                <w:sz w:val="20"/>
                <w:szCs w:val="20"/>
                <w:lang w:val="fr-FR"/>
              </w:rPr>
              <w:t>72.4</w:t>
            </w:r>
          </w:p>
        </w:tc>
        <w:tc>
          <w:tcPr>
            <w:tcW w:w="1341" w:type="dxa"/>
            <w:vAlign w:val="bottom"/>
          </w:tcPr>
          <w:p w14:paraId="172D6EAE" w14:textId="5DF21506" w:rsidR="007B3733" w:rsidRPr="006D4208" w:rsidRDefault="007B3733" w:rsidP="007B3733">
            <w:pPr>
              <w:jc w:val="right"/>
              <w:rPr>
                <w:rFonts w:asciiTheme="minorHAnsi" w:hAnsiTheme="minorHAnsi" w:cs="Arial"/>
                <w:sz w:val="20"/>
                <w:szCs w:val="20"/>
                <w:lang w:val="fr-FR"/>
              </w:rPr>
            </w:pPr>
            <w:r w:rsidRPr="006D4208">
              <w:rPr>
                <w:rFonts w:asciiTheme="minorHAnsi" w:hAnsiTheme="minorHAnsi" w:cs="Arial"/>
                <w:sz w:val="20"/>
                <w:szCs w:val="20"/>
                <w:lang w:val="fr-FR"/>
              </w:rPr>
              <w:t>7</w:t>
            </w:r>
            <w:r w:rsidR="0049592C" w:rsidRPr="006D4208">
              <w:rPr>
                <w:rFonts w:asciiTheme="minorHAnsi" w:hAnsiTheme="minorHAnsi" w:cs="Arial"/>
                <w:sz w:val="20"/>
                <w:szCs w:val="20"/>
                <w:lang w:val="fr-FR"/>
              </w:rPr>
              <w:t>2.4</w:t>
            </w:r>
          </w:p>
        </w:tc>
        <w:tc>
          <w:tcPr>
            <w:tcW w:w="1086" w:type="dxa"/>
            <w:vAlign w:val="bottom"/>
          </w:tcPr>
          <w:p w14:paraId="3BD49ABE" w14:textId="530D9025" w:rsidR="007B3733" w:rsidRPr="006D4208" w:rsidRDefault="007B3733" w:rsidP="007B3733">
            <w:pPr>
              <w:jc w:val="right"/>
              <w:rPr>
                <w:rFonts w:asciiTheme="minorHAnsi" w:hAnsiTheme="minorHAnsi" w:cs="Arial"/>
                <w:sz w:val="20"/>
                <w:szCs w:val="20"/>
                <w:lang w:val="fr-FR"/>
              </w:rPr>
            </w:pPr>
            <w:r w:rsidRPr="006D4208">
              <w:rPr>
                <w:rFonts w:asciiTheme="minorHAnsi" w:hAnsiTheme="minorHAnsi" w:cs="Arial"/>
                <w:sz w:val="20"/>
                <w:szCs w:val="20"/>
                <w:lang w:val="fr-FR"/>
              </w:rPr>
              <w:t>71.2</w:t>
            </w:r>
          </w:p>
        </w:tc>
        <w:tc>
          <w:tcPr>
            <w:tcW w:w="1200" w:type="dxa"/>
          </w:tcPr>
          <w:p w14:paraId="145E7D95" w14:textId="326D5306" w:rsidR="00D5625C" w:rsidRDefault="00D5625C" w:rsidP="007B3733">
            <w:pPr>
              <w:jc w:val="right"/>
              <w:rPr>
                <w:rFonts w:asciiTheme="minorHAnsi" w:hAnsiTheme="minorHAnsi" w:cs="Arial"/>
                <w:sz w:val="20"/>
                <w:szCs w:val="20"/>
                <w:lang w:val="fr-FR"/>
              </w:rPr>
            </w:pPr>
            <w:r>
              <w:rPr>
                <w:rFonts w:asciiTheme="minorHAnsi" w:hAnsiTheme="minorHAnsi" w:cs="Arial"/>
                <w:sz w:val="20"/>
                <w:szCs w:val="20"/>
                <w:lang w:val="fr-FR"/>
              </w:rPr>
              <w:t>71.2</w:t>
            </w:r>
          </w:p>
        </w:tc>
      </w:tr>
      <w:tr w:rsidR="007B3733" w:rsidRPr="00701439" w14:paraId="0CA5543F" w14:textId="0939D68B" w:rsidTr="002725AC">
        <w:trPr>
          <w:trHeight w:val="142"/>
        </w:trPr>
        <w:tc>
          <w:tcPr>
            <w:tcW w:w="4536" w:type="dxa"/>
            <w:vAlign w:val="bottom"/>
          </w:tcPr>
          <w:p w14:paraId="70E4A4FD" w14:textId="77777777" w:rsidR="007B3733" w:rsidRPr="00701439" w:rsidRDefault="007B3733" w:rsidP="007B3733">
            <w:pPr>
              <w:rPr>
                <w:rFonts w:asciiTheme="minorHAnsi" w:hAnsiTheme="minorHAnsi" w:cs="Arial"/>
                <w:b/>
                <w:sz w:val="20"/>
                <w:szCs w:val="20"/>
                <w:lang w:val="fr-FR"/>
              </w:rPr>
            </w:pPr>
            <w:r w:rsidRPr="00701439">
              <w:rPr>
                <w:rFonts w:asciiTheme="minorHAnsi" w:hAnsiTheme="minorHAnsi" w:cs="Arial"/>
                <w:sz w:val="20"/>
                <w:szCs w:val="20"/>
              </w:rPr>
              <w:t>Other intangible assets</w:t>
            </w:r>
          </w:p>
        </w:tc>
        <w:tc>
          <w:tcPr>
            <w:tcW w:w="618" w:type="dxa"/>
            <w:vAlign w:val="bottom"/>
          </w:tcPr>
          <w:p w14:paraId="0E9A7845" w14:textId="0264A24E" w:rsidR="007B3733" w:rsidRPr="006D4208" w:rsidRDefault="00EE540B" w:rsidP="007B3733">
            <w:pPr>
              <w:jc w:val="right"/>
              <w:rPr>
                <w:rFonts w:asciiTheme="minorHAnsi" w:hAnsiTheme="minorHAnsi" w:cs="Arial"/>
                <w:sz w:val="20"/>
                <w:szCs w:val="20"/>
                <w:lang w:val="fr-FR"/>
              </w:rPr>
            </w:pPr>
            <w:r w:rsidRPr="006D4208">
              <w:rPr>
                <w:rFonts w:asciiTheme="minorHAnsi" w:hAnsiTheme="minorHAnsi" w:cs="Arial"/>
                <w:sz w:val="20"/>
                <w:szCs w:val="20"/>
                <w:lang w:val="fr-FR"/>
              </w:rPr>
              <w:t>1</w:t>
            </w:r>
            <w:r w:rsidR="00F858B2" w:rsidRPr="006D4208">
              <w:rPr>
                <w:rFonts w:asciiTheme="minorHAnsi" w:hAnsiTheme="minorHAnsi" w:cs="Arial"/>
                <w:sz w:val="20"/>
                <w:szCs w:val="20"/>
                <w:lang w:val="fr-FR"/>
              </w:rPr>
              <w:t>0</w:t>
            </w:r>
          </w:p>
        </w:tc>
        <w:tc>
          <w:tcPr>
            <w:tcW w:w="1028" w:type="dxa"/>
            <w:shd w:val="clear" w:color="auto" w:fill="F2F2F2" w:themeFill="background1" w:themeFillShade="F2"/>
            <w:vAlign w:val="bottom"/>
          </w:tcPr>
          <w:p w14:paraId="5704BA5E" w14:textId="608C89A5" w:rsidR="007B3733" w:rsidRPr="005E6504" w:rsidRDefault="00DD1C01" w:rsidP="007B3733">
            <w:pPr>
              <w:jc w:val="right"/>
              <w:rPr>
                <w:rFonts w:asciiTheme="minorHAnsi" w:hAnsiTheme="minorHAnsi" w:cs="Arial"/>
                <w:b/>
                <w:sz w:val="20"/>
                <w:szCs w:val="20"/>
                <w:lang w:val="fr-FR"/>
              </w:rPr>
            </w:pPr>
            <w:r w:rsidRPr="005E6504">
              <w:rPr>
                <w:rFonts w:asciiTheme="minorHAnsi" w:hAnsiTheme="minorHAnsi" w:cs="Arial"/>
                <w:b/>
                <w:sz w:val="20"/>
                <w:szCs w:val="20"/>
                <w:lang w:val="fr-FR"/>
              </w:rPr>
              <w:t>60.2</w:t>
            </w:r>
          </w:p>
        </w:tc>
        <w:tc>
          <w:tcPr>
            <w:tcW w:w="1341" w:type="dxa"/>
            <w:vAlign w:val="bottom"/>
          </w:tcPr>
          <w:p w14:paraId="317AA488" w14:textId="6DE28213" w:rsidR="007B3733" w:rsidRPr="006D4208" w:rsidRDefault="0059158D" w:rsidP="007B3733">
            <w:pPr>
              <w:jc w:val="right"/>
              <w:rPr>
                <w:rFonts w:asciiTheme="minorHAnsi" w:hAnsiTheme="minorHAnsi" w:cs="Arial"/>
                <w:sz w:val="20"/>
                <w:szCs w:val="20"/>
                <w:lang w:val="fr-FR"/>
              </w:rPr>
            </w:pPr>
            <w:r w:rsidRPr="006D4208">
              <w:rPr>
                <w:rFonts w:asciiTheme="minorHAnsi" w:hAnsiTheme="minorHAnsi" w:cs="Arial"/>
                <w:sz w:val="20"/>
                <w:szCs w:val="20"/>
                <w:lang w:val="fr-FR"/>
              </w:rPr>
              <w:t>74.4</w:t>
            </w:r>
          </w:p>
        </w:tc>
        <w:tc>
          <w:tcPr>
            <w:tcW w:w="1086" w:type="dxa"/>
            <w:vAlign w:val="bottom"/>
          </w:tcPr>
          <w:p w14:paraId="6B6E970A" w14:textId="2A059F37" w:rsidR="007B3733" w:rsidRPr="006D4208" w:rsidRDefault="00D9476E" w:rsidP="007B3733">
            <w:pPr>
              <w:jc w:val="right"/>
              <w:rPr>
                <w:rFonts w:asciiTheme="minorHAnsi" w:hAnsiTheme="minorHAnsi" w:cs="Arial"/>
                <w:sz w:val="20"/>
                <w:szCs w:val="20"/>
                <w:lang w:val="fr-FR"/>
              </w:rPr>
            </w:pPr>
            <w:r w:rsidRPr="006D4208">
              <w:rPr>
                <w:rFonts w:asciiTheme="minorHAnsi" w:hAnsiTheme="minorHAnsi" w:cs="Arial"/>
                <w:sz w:val="20"/>
                <w:szCs w:val="20"/>
                <w:lang w:val="fr-FR"/>
              </w:rPr>
              <w:t>65.3</w:t>
            </w:r>
          </w:p>
        </w:tc>
        <w:tc>
          <w:tcPr>
            <w:tcW w:w="1200" w:type="dxa"/>
          </w:tcPr>
          <w:p w14:paraId="59C54367" w14:textId="22D5773B" w:rsidR="001F7E2F" w:rsidRDefault="001F7E2F" w:rsidP="007B3733">
            <w:pPr>
              <w:jc w:val="right"/>
              <w:rPr>
                <w:rFonts w:asciiTheme="minorHAnsi" w:hAnsiTheme="minorHAnsi" w:cs="Arial"/>
                <w:sz w:val="20"/>
                <w:szCs w:val="20"/>
                <w:lang w:val="fr-FR"/>
              </w:rPr>
            </w:pPr>
            <w:r>
              <w:rPr>
                <w:rFonts w:asciiTheme="minorHAnsi" w:hAnsiTheme="minorHAnsi" w:cs="Arial"/>
                <w:sz w:val="20"/>
                <w:szCs w:val="20"/>
                <w:lang w:val="fr-FR"/>
              </w:rPr>
              <w:t>63.3</w:t>
            </w:r>
          </w:p>
        </w:tc>
      </w:tr>
      <w:tr w:rsidR="007B3733" w:rsidRPr="00701439" w14:paraId="38140CBA" w14:textId="3524CFD4" w:rsidTr="002725AC">
        <w:trPr>
          <w:trHeight w:val="142"/>
        </w:trPr>
        <w:tc>
          <w:tcPr>
            <w:tcW w:w="4536" w:type="dxa"/>
            <w:vAlign w:val="bottom"/>
          </w:tcPr>
          <w:p w14:paraId="3D9DA0DF" w14:textId="77777777" w:rsidR="007B3733" w:rsidRPr="00701439" w:rsidRDefault="007B3733" w:rsidP="007B3733">
            <w:pPr>
              <w:rPr>
                <w:rFonts w:asciiTheme="minorHAnsi" w:hAnsiTheme="minorHAnsi" w:cs="Arial"/>
                <w:sz w:val="20"/>
                <w:szCs w:val="20"/>
              </w:rPr>
            </w:pPr>
            <w:r w:rsidRPr="00701439">
              <w:rPr>
                <w:rFonts w:asciiTheme="minorHAnsi" w:hAnsiTheme="minorHAnsi" w:cs="Arial"/>
                <w:sz w:val="20"/>
                <w:szCs w:val="20"/>
              </w:rPr>
              <w:t>Retirement benefit asset</w:t>
            </w:r>
          </w:p>
        </w:tc>
        <w:tc>
          <w:tcPr>
            <w:tcW w:w="618" w:type="dxa"/>
            <w:vAlign w:val="bottom"/>
          </w:tcPr>
          <w:p w14:paraId="63315663" w14:textId="1B713096" w:rsidR="007B3733" w:rsidRPr="006D4208" w:rsidRDefault="007B3733" w:rsidP="007B3733">
            <w:pPr>
              <w:jc w:val="right"/>
              <w:rPr>
                <w:rFonts w:asciiTheme="minorHAnsi" w:hAnsiTheme="minorHAnsi" w:cs="Arial"/>
                <w:sz w:val="20"/>
                <w:szCs w:val="20"/>
                <w:lang w:val="fr-FR"/>
              </w:rPr>
            </w:pPr>
            <w:r w:rsidRPr="006D4208">
              <w:rPr>
                <w:rFonts w:asciiTheme="minorHAnsi" w:hAnsiTheme="minorHAnsi" w:cs="Arial"/>
                <w:sz w:val="20"/>
                <w:szCs w:val="20"/>
                <w:lang w:val="fr-FR"/>
              </w:rPr>
              <w:t>1</w:t>
            </w:r>
            <w:r w:rsidR="00F858B2" w:rsidRPr="006D4208">
              <w:rPr>
                <w:rFonts w:asciiTheme="minorHAnsi" w:hAnsiTheme="minorHAnsi" w:cs="Arial"/>
                <w:sz w:val="20"/>
                <w:szCs w:val="20"/>
                <w:lang w:val="fr-FR"/>
              </w:rPr>
              <w:t>1</w:t>
            </w:r>
          </w:p>
        </w:tc>
        <w:tc>
          <w:tcPr>
            <w:tcW w:w="1028" w:type="dxa"/>
            <w:shd w:val="clear" w:color="auto" w:fill="F2F2F2" w:themeFill="background1" w:themeFillShade="F2"/>
            <w:vAlign w:val="bottom"/>
          </w:tcPr>
          <w:p w14:paraId="76CC09D3" w14:textId="1E31AFCB" w:rsidR="007B3733" w:rsidRPr="005E6504" w:rsidRDefault="00E71F27" w:rsidP="007B3733">
            <w:pPr>
              <w:jc w:val="right"/>
              <w:rPr>
                <w:rFonts w:asciiTheme="minorHAnsi" w:hAnsiTheme="minorHAnsi" w:cs="Arial"/>
                <w:b/>
                <w:sz w:val="20"/>
                <w:szCs w:val="20"/>
                <w:lang w:val="fr-FR"/>
              </w:rPr>
            </w:pPr>
            <w:r w:rsidRPr="005E6504">
              <w:rPr>
                <w:rFonts w:asciiTheme="minorHAnsi" w:hAnsiTheme="minorHAnsi" w:cs="Arial"/>
                <w:b/>
                <w:sz w:val="20"/>
                <w:szCs w:val="20"/>
                <w:lang w:val="fr-FR"/>
              </w:rPr>
              <w:t>34.4</w:t>
            </w:r>
          </w:p>
        </w:tc>
        <w:tc>
          <w:tcPr>
            <w:tcW w:w="1341" w:type="dxa"/>
            <w:vAlign w:val="bottom"/>
          </w:tcPr>
          <w:p w14:paraId="2E04FD61" w14:textId="1ABC4F2A" w:rsidR="007B3733" w:rsidRPr="006D4208" w:rsidRDefault="007B3733" w:rsidP="007B3733">
            <w:pPr>
              <w:jc w:val="right"/>
              <w:rPr>
                <w:rFonts w:asciiTheme="minorHAnsi" w:hAnsiTheme="minorHAnsi" w:cs="Arial"/>
                <w:sz w:val="20"/>
                <w:szCs w:val="20"/>
                <w:lang w:val="fr-FR"/>
              </w:rPr>
            </w:pPr>
            <w:r w:rsidRPr="006D4208">
              <w:rPr>
                <w:rFonts w:asciiTheme="minorHAnsi" w:hAnsiTheme="minorHAnsi" w:cs="Arial"/>
                <w:sz w:val="20"/>
                <w:szCs w:val="20"/>
                <w:lang w:val="fr-FR"/>
              </w:rPr>
              <w:t>3</w:t>
            </w:r>
            <w:r w:rsidR="00286C61" w:rsidRPr="006D4208">
              <w:rPr>
                <w:rFonts w:asciiTheme="minorHAnsi" w:hAnsiTheme="minorHAnsi" w:cs="Arial"/>
                <w:sz w:val="20"/>
                <w:szCs w:val="20"/>
                <w:lang w:val="fr-FR"/>
              </w:rPr>
              <w:t>8.2</w:t>
            </w:r>
          </w:p>
        </w:tc>
        <w:tc>
          <w:tcPr>
            <w:tcW w:w="1086" w:type="dxa"/>
            <w:vAlign w:val="bottom"/>
          </w:tcPr>
          <w:p w14:paraId="0CA1D925" w14:textId="07E2230F" w:rsidR="007B3733" w:rsidRPr="006D4208" w:rsidRDefault="00D9476E" w:rsidP="007B3733">
            <w:pPr>
              <w:jc w:val="right"/>
              <w:rPr>
                <w:rFonts w:asciiTheme="minorHAnsi" w:hAnsiTheme="minorHAnsi" w:cs="Arial"/>
                <w:sz w:val="20"/>
                <w:szCs w:val="20"/>
                <w:lang w:val="fr-FR"/>
              </w:rPr>
            </w:pPr>
            <w:r w:rsidRPr="006D4208">
              <w:rPr>
                <w:rFonts w:asciiTheme="minorHAnsi" w:hAnsiTheme="minorHAnsi" w:cs="Arial"/>
                <w:sz w:val="20"/>
                <w:szCs w:val="20"/>
                <w:lang w:val="fr-FR"/>
              </w:rPr>
              <w:t>36.8</w:t>
            </w:r>
          </w:p>
        </w:tc>
        <w:tc>
          <w:tcPr>
            <w:tcW w:w="1200" w:type="dxa"/>
          </w:tcPr>
          <w:p w14:paraId="7A6BAD25" w14:textId="1E1E7F74" w:rsidR="00650967" w:rsidRDefault="00650967" w:rsidP="007B3733">
            <w:pPr>
              <w:jc w:val="right"/>
              <w:rPr>
                <w:rFonts w:asciiTheme="minorHAnsi" w:hAnsiTheme="minorHAnsi" w:cs="Arial"/>
                <w:sz w:val="20"/>
                <w:szCs w:val="20"/>
                <w:lang w:val="fr-FR"/>
              </w:rPr>
            </w:pPr>
            <w:r>
              <w:rPr>
                <w:rFonts w:asciiTheme="minorHAnsi" w:hAnsiTheme="minorHAnsi" w:cs="Arial"/>
                <w:sz w:val="20"/>
                <w:szCs w:val="20"/>
                <w:lang w:val="fr-FR"/>
              </w:rPr>
              <w:t>30.7</w:t>
            </w:r>
          </w:p>
        </w:tc>
      </w:tr>
      <w:tr w:rsidR="007B3733" w:rsidRPr="00701439" w14:paraId="033A4C71" w14:textId="017FCA7A" w:rsidTr="002725AC">
        <w:trPr>
          <w:trHeight w:val="142"/>
        </w:trPr>
        <w:tc>
          <w:tcPr>
            <w:tcW w:w="4536" w:type="dxa"/>
            <w:vAlign w:val="bottom"/>
          </w:tcPr>
          <w:p w14:paraId="7438FC75" w14:textId="77777777" w:rsidR="007B3733" w:rsidRPr="00701439" w:rsidRDefault="007B3733" w:rsidP="007B3733">
            <w:pPr>
              <w:rPr>
                <w:rFonts w:asciiTheme="minorHAnsi" w:hAnsiTheme="minorHAnsi" w:cs="Arial"/>
                <w:sz w:val="20"/>
                <w:szCs w:val="20"/>
                <w:lang w:val="fr-FR"/>
              </w:rPr>
            </w:pPr>
            <w:proofErr w:type="spellStart"/>
            <w:r w:rsidRPr="00701439">
              <w:rPr>
                <w:rFonts w:asciiTheme="minorHAnsi" w:hAnsiTheme="minorHAnsi" w:cs="Arial"/>
                <w:sz w:val="20"/>
                <w:szCs w:val="20"/>
                <w:lang w:val="fr-FR"/>
              </w:rPr>
              <w:t>Derivative</w:t>
            </w:r>
            <w:proofErr w:type="spellEnd"/>
            <w:r w:rsidRPr="00701439">
              <w:rPr>
                <w:rFonts w:asciiTheme="minorHAnsi" w:hAnsiTheme="minorHAnsi" w:cs="Arial"/>
                <w:sz w:val="20"/>
                <w:szCs w:val="20"/>
                <w:lang w:val="fr-FR"/>
              </w:rPr>
              <w:t xml:space="preserve"> </w:t>
            </w:r>
            <w:proofErr w:type="spellStart"/>
            <w:r w:rsidRPr="00701439">
              <w:rPr>
                <w:rFonts w:asciiTheme="minorHAnsi" w:hAnsiTheme="minorHAnsi" w:cs="Arial"/>
                <w:sz w:val="20"/>
                <w:szCs w:val="20"/>
                <w:lang w:val="fr-FR"/>
              </w:rPr>
              <w:t>financial</w:t>
            </w:r>
            <w:proofErr w:type="spellEnd"/>
            <w:r w:rsidRPr="00701439">
              <w:rPr>
                <w:rFonts w:asciiTheme="minorHAnsi" w:hAnsiTheme="minorHAnsi" w:cs="Arial"/>
                <w:sz w:val="20"/>
                <w:szCs w:val="20"/>
                <w:lang w:val="fr-FR"/>
              </w:rPr>
              <w:t xml:space="preserve"> instruments</w:t>
            </w:r>
          </w:p>
        </w:tc>
        <w:tc>
          <w:tcPr>
            <w:tcW w:w="618" w:type="dxa"/>
            <w:vAlign w:val="bottom"/>
          </w:tcPr>
          <w:p w14:paraId="4939F9E2" w14:textId="1D0158BE" w:rsidR="007B3733" w:rsidRPr="006D4208" w:rsidRDefault="00C5115A" w:rsidP="007B3733">
            <w:pPr>
              <w:jc w:val="right"/>
              <w:rPr>
                <w:rFonts w:asciiTheme="minorHAnsi" w:hAnsiTheme="minorHAnsi" w:cs="Arial"/>
                <w:sz w:val="20"/>
                <w:szCs w:val="20"/>
                <w:lang w:val="fr-FR"/>
              </w:rPr>
            </w:pPr>
            <w:r w:rsidRPr="006D4208">
              <w:rPr>
                <w:rFonts w:asciiTheme="minorHAnsi" w:hAnsiTheme="minorHAnsi" w:cs="Arial"/>
                <w:sz w:val="20"/>
                <w:szCs w:val="20"/>
                <w:lang w:val="fr-FR"/>
              </w:rPr>
              <w:t>1</w:t>
            </w:r>
            <w:r w:rsidR="00F858B2" w:rsidRPr="006D4208">
              <w:rPr>
                <w:rFonts w:asciiTheme="minorHAnsi" w:hAnsiTheme="minorHAnsi" w:cs="Arial"/>
                <w:sz w:val="20"/>
                <w:szCs w:val="20"/>
                <w:lang w:val="fr-FR"/>
              </w:rPr>
              <w:t>2</w:t>
            </w:r>
          </w:p>
        </w:tc>
        <w:tc>
          <w:tcPr>
            <w:tcW w:w="1028" w:type="dxa"/>
            <w:shd w:val="clear" w:color="auto" w:fill="F2F2F2" w:themeFill="background1" w:themeFillShade="F2"/>
            <w:vAlign w:val="bottom"/>
          </w:tcPr>
          <w:p w14:paraId="503423CC" w14:textId="3E601CB5" w:rsidR="007B3733" w:rsidRPr="005E6504" w:rsidRDefault="00304F36" w:rsidP="007B3733">
            <w:pPr>
              <w:jc w:val="right"/>
              <w:rPr>
                <w:rFonts w:asciiTheme="minorHAnsi" w:hAnsiTheme="minorHAnsi" w:cs="Arial"/>
                <w:b/>
                <w:sz w:val="20"/>
                <w:szCs w:val="20"/>
                <w:lang w:val="fr-FR"/>
              </w:rPr>
            </w:pPr>
            <w:r w:rsidRPr="005E6504">
              <w:rPr>
                <w:rFonts w:asciiTheme="minorHAnsi" w:hAnsiTheme="minorHAnsi" w:cs="Arial"/>
                <w:b/>
                <w:sz w:val="20"/>
                <w:szCs w:val="20"/>
                <w:lang w:val="fr-FR"/>
              </w:rPr>
              <w:t>1.</w:t>
            </w:r>
            <w:r w:rsidR="003D63CD" w:rsidRPr="005E6504">
              <w:rPr>
                <w:rFonts w:asciiTheme="minorHAnsi" w:hAnsiTheme="minorHAnsi" w:cs="Arial"/>
                <w:b/>
                <w:sz w:val="20"/>
                <w:szCs w:val="20"/>
                <w:lang w:val="fr-FR"/>
              </w:rPr>
              <w:t>1</w:t>
            </w:r>
          </w:p>
        </w:tc>
        <w:tc>
          <w:tcPr>
            <w:tcW w:w="1341" w:type="dxa"/>
            <w:vAlign w:val="bottom"/>
          </w:tcPr>
          <w:p w14:paraId="79612691" w14:textId="53111BB8" w:rsidR="007B3733" w:rsidRPr="006D4208" w:rsidRDefault="007B3733" w:rsidP="007B3733">
            <w:pPr>
              <w:jc w:val="right"/>
              <w:rPr>
                <w:rFonts w:asciiTheme="minorHAnsi" w:hAnsiTheme="minorHAnsi" w:cs="Arial"/>
                <w:sz w:val="20"/>
                <w:szCs w:val="20"/>
                <w:lang w:val="fr-FR"/>
              </w:rPr>
            </w:pPr>
            <w:r w:rsidRPr="006D4208">
              <w:rPr>
                <w:rFonts w:asciiTheme="minorHAnsi" w:hAnsiTheme="minorHAnsi" w:cs="Arial"/>
                <w:sz w:val="20"/>
                <w:szCs w:val="20"/>
                <w:lang w:val="fr-FR"/>
              </w:rPr>
              <w:t>1</w:t>
            </w:r>
            <w:r w:rsidR="00857A18" w:rsidRPr="006D4208">
              <w:rPr>
                <w:rFonts w:asciiTheme="minorHAnsi" w:hAnsiTheme="minorHAnsi" w:cs="Arial"/>
                <w:sz w:val="20"/>
                <w:szCs w:val="20"/>
                <w:lang w:val="fr-FR"/>
              </w:rPr>
              <w:t>.3</w:t>
            </w:r>
          </w:p>
        </w:tc>
        <w:tc>
          <w:tcPr>
            <w:tcW w:w="1086" w:type="dxa"/>
            <w:vAlign w:val="bottom"/>
          </w:tcPr>
          <w:p w14:paraId="7B4E3AFF" w14:textId="12A7AF77" w:rsidR="007B3733" w:rsidRPr="006D4208" w:rsidRDefault="00D9476E" w:rsidP="007B3733">
            <w:pPr>
              <w:jc w:val="right"/>
              <w:rPr>
                <w:rFonts w:asciiTheme="minorHAnsi" w:hAnsiTheme="minorHAnsi" w:cs="Arial"/>
                <w:sz w:val="20"/>
                <w:szCs w:val="20"/>
                <w:lang w:val="fr-FR"/>
              </w:rPr>
            </w:pPr>
            <w:r w:rsidRPr="006D4208">
              <w:rPr>
                <w:rFonts w:asciiTheme="minorHAnsi" w:hAnsiTheme="minorHAnsi" w:cs="Arial"/>
                <w:sz w:val="20"/>
                <w:szCs w:val="20"/>
                <w:lang w:val="fr-FR"/>
              </w:rPr>
              <w:t>13.4</w:t>
            </w:r>
          </w:p>
        </w:tc>
        <w:tc>
          <w:tcPr>
            <w:tcW w:w="1200" w:type="dxa"/>
          </w:tcPr>
          <w:p w14:paraId="546A5A8A" w14:textId="5B7D91FF" w:rsidR="00167A7F" w:rsidRDefault="00167A7F" w:rsidP="007B3733">
            <w:pPr>
              <w:jc w:val="right"/>
              <w:rPr>
                <w:rFonts w:asciiTheme="minorHAnsi" w:hAnsiTheme="minorHAnsi" w:cs="Arial"/>
                <w:sz w:val="20"/>
                <w:szCs w:val="20"/>
                <w:lang w:val="fr-FR"/>
              </w:rPr>
            </w:pPr>
            <w:r>
              <w:rPr>
                <w:rFonts w:asciiTheme="minorHAnsi" w:hAnsiTheme="minorHAnsi" w:cs="Arial"/>
                <w:sz w:val="20"/>
                <w:szCs w:val="20"/>
                <w:lang w:val="fr-FR"/>
              </w:rPr>
              <w:t>11.</w:t>
            </w:r>
            <w:r w:rsidR="004902DE">
              <w:rPr>
                <w:rFonts w:asciiTheme="minorHAnsi" w:hAnsiTheme="minorHAnsi" w:cs="Arial"/>
                <w:sz w:val="20"/>
                <w:szCs w:val="20"/>
                <w:lang w:val="fr-FR"/>
              </w:rPr>
              <w:t>3</w:t>
            </w:r>
          </w:p>
        </w:tc>
      </w:tr>
      <w:tr w:rsidR="007B3733" w:rsidRPr="00701439" w14:paraId="07761141" w14:textId="2764F3DD" w:rsidTr="002725AC">
        <w:trPr>
          <w:trHeight w:val="142"/>
        </w:trPr>
        <w:tc>
          <w:tcPr>
            <w:tcW w:w="4536" w:type="dxa"/>
            <w:vAlign w:val="bottom"/>
          </w:tcPr>
          <w:p w14:paraId="6E932BA4" w14:textId="77777777" w:rsidR="007B3733" w:rsidRPr="00701439" w:rsidRDefault="007B3733" w:rsidP="007B3733">
            <w:pPr>
              <w:rPr>
                <w:rFonts w:asciiTheme="minorHAnsi" w:hAnsiTheme="minorHAnsi" w:cs="Arial"/>
                <w:b/>
                <w:sz w:val="20"/>
                <w:szCs w:val="20"/>
                <w:lang w:val="fr-FR"/>
              </w:rPr>
            </w:pPr>
            <w:r w:rsidRPr="00701439">
              <w:rPr>
                <w:rFonts w:asciiTheme="minorHAnsi" w:hAnsiTheme="minorHAnsi" w:cs="Arial"/>
                <w:sz w:val="20"/>
                <w:szCs w:val="20"/>
              </w:rPr>
              <w:t>Deferred tax assets</w:t>
            </w:r>
          </w:p>
        </w:tc>
        <w:tc>
          <w:tcPr>
            <w:tcW w:w="618" w:type="dxa"/>
            <w:vAlign w:val="bottom"/>
          </w:tcPr>
          <w:p w14:paraId="1EFE334F" w14:textId="01A0344E" w:rsidR="007B3733" w:rsidRPr="006D4208" w:rsidRDefault="00F858B2" w:rsidP="007B3733">
            <w:pPr>
              <w:jc w:val="right"/>
              <w:rPr>
                <w:rFonts w:asciiTheme="minorHAnsi" w:hAnsiTheme="minorHAnsi" w:cs="Arial"/>
                <w:sz w:val="20"/>
                <w:szCs w:val="20"/>
                <w:lang w:val="fr-FR"/>
              </w:rPr>
            </w:pPr>
            <w:r w:rsidRPr="006D4208">
              <w:rPr>
                <w:rFonts w:asciiTheme="minorHAnsi" w:hAnsiTheme="minorHAnsi" w:cs="Arial"/>
                <w:sz w:val="20"/>
                <w:szCs w:val="20"/>
                <w:lang w:val="fr-FR"/>
              </w:rPr>
              <w:t>5</w:t>
            </w:r>
          </w:p>
        </w:tc>
        <w:tc>
          <w:tcPr>
            <w:tcW w:w="1028" w:type="dxa"/>
            <w:shd w:val="clear" w:color="auto" w:fill="F2F2F2" w:themeFill="background1" w:themeFillShade="F2"/>
            <w:vAlign w:val="bottom"/>
          </w:tcPr>
          <w:p w14:paraId="19032A81" w14:textId="18A4BA56" w:rsidR="007B3733" w:rsidRPr="005E6504" w:rsidRDefault="00905D99" w:rsidP="007B3733">
            <w:pPr>
              <w:jc w:val="right"/>
              <w:rPr>
                <w:rFonts w:asciiTheme="minorHAnsi" w:hAnsiTheme="minorHAnsi" w:cs="Arial"/>
                <w:b/>
                <w:sz w:val="20"/>
                <w:szCs w:val="20"/>
                <w:lang w:val="fr-FR"/>
              </w:rPr>
            </w:pPr>
            <w:r w:rsidRPr="005E6504">
              <w:rPr>
                <w:rFonts w:asciiTheme="minorHAnsi" w:hAnsiTheme="minorHAnsi" w:cs="Arial"/>
                <w:b/>
                <w:sz w:val="20"/>
                <w:szCs w:val="20"/>
                <w:lang w:val="fr-FR"/>
              </w:rPr>
              <w:t>21.6</w:t>
            </w:r>
          </w:p>
        </w:tc>
        <w:tc>
          <w:tcPr>
            <w:tcW w:w="1341" w:type="dxa"/>
            <w:vAlign w:val="bottom"/>
          </w:tcPr>
          <w:p w14:paraId="448296AE" w14:textId="68C3A320" w:rsidR="007B3733" w:rsidRPr="006D4208" w:rsidRDefault="005D7A68" w:rsidP="007B3733">
            <w:pPr>
              <w:jc w:val="right"/>
              <w:rPr>
                <w:rFonts w:asciiTheme="minorHAnsi" w:hAnsiTheme="minorHAnsi" w:cs="Arial"/>
                <w:sz w:val="20"/>
                <w:szCs w:val="20"/>
                <w:lang w:val="fr-FR"/>
              </w:rPr>
            </w:pPr>
            <w:r w:rsidRPr="006D4208">
              <w:rPr>
                <w:rFonts w:asciiTheme="minorHAnsi" w:hAnsiTheme="minorHAnsi" w:cs="Arial"/>
                <w:sz w:val="20"/>
                <w:szCs w:val="20"/>
                <w:lang w:val="fr-FR"/>
              </w:rPr>
              <w:t>8.4</w:t>
            </w:r>
          </w:p>
        </w:tc>
        <w:tc>
          <w:tcPr>
            <w:tcW w:w="1086" w:type="dxa"/>
            <w:vAlign w:val="bottom"/>
          </w:tcPr>
          <w:p w14:paraId="2982514F" w14:textId="26C6F836" w:rsidR="007B3733" w:rsidRPr="006D4208" w:rsidRDefault="00D9476E" w:rsidP="007B3733">
            <w:pPr>
              <w:jc w:val="right"/>
              <w:rPr>
                <w:rFonts w:asciiTheme="minorHAnsi" w:hAnsiTheme="minorHAnsi" w:cs="Arial"/>
                <w:sz w:val="20"/>
                <w:szCs w:val="20"/>
                <w:lang w:val="fr-FR"/>
              </w:rPr>
            </w:pPr>
            <w:r w:rsidRPr="006D4208">
              <w:rPr>
                <w:rFonts w:asciiTheme="minorHAnsi" w:hAnsiTheme="minorHAnsi" w:cs="Arial"/>
                <w:sz w:val="20"/>
                <w:szCs w:val="20"/>
                <w:lang w:val="fr-FR"/>
              </w:rPr>
              <w:t>1</w:t>
            </w:r>
            <w:r w:rsidR="00764574">
              <w:rPr>
                <w:rFonts w:asciiTheme="minorHAnsi" w:hAnsiTheme="minorHAnsi" w:cs="Arial"/>
                <w:sz w:val="20"/>
                <w:szCs w:val="20"/>
                <w:lang w:val="fr-FR"/>
              </w:rPr>
              <w:t>6.7</w:t>
            </w:r>
          </w:p>
        </w:tc>
        <w:tc>
          <w:tcPr>
            <w:tcW w:w="1200" w:type="dxa"/>
          </w:tcPr>
          <w:p w14:paraId="06159A18" w14:textId="6DF2F6F2" w:rsidR="00CC2BE3" w:rsidRDefault="00CC2BE3" w:rsidP="007B3733">
            <w:pPr>
              <w:jc w:val="right"/>
              <w:rPr>
                <w:rFonts w:asciiTheme="minorHAnsi" w:hAnsiTheme="minorHAnsi" w:cs="Arial"/>
                <w:sz w:val="20"/>
                <w:szCs w:val="20"/>
                <w:lang w:val="fr-FR"/>
              </w:rPr>
            </w:pPr>
            <w:r>
              <w:rPr>
                <w:rFonts w:asciiTheme="minorHAnsi" w:hAnsiTheme="minorHAnsi" w:cs="Arial"/>
                <w:sz w:val="20"/>
                <w:szCs w:val="20"/>
                <w:lang w:val="fr-FR"/>
              </w:rPr>
              <w:t>14.5</w:t>
            </w:r>
          </w:p>
        </w:tc>
      </w:tr>
      <w:tr w:rsidR="007B3733" w:rsidRPr="00701439" w14:paraId="3FAFC92E" w14:textId="7D4E5064" w:rsidTr="002725AC">
        <w:trPr>
          <w:trHeight w:val="142"/>
        </w:trPr>
        <w:tc>
          <w:tcPr>
            <w:tcW w:w="4536" w:type="dxa"/>
            <w:vAlign w:val="bottom"/>
          </w:tcPr>
          <w:p w14:paraId="57809E03" w14:textId="77777777" w:rsidR="007B3733" w:rsidRPr="00701439" w:rsidRDefault="007B3733" w:rsidP="007B3733">
            <w:pPr>
              <w:rPr>
                <w:rFonts w:asciiTheme="minorHAnsi" w:hAnsiTheme="minorHAnsi" w:cs="Arial"/>
                <w:b/>
                <w:sz w:val="20"/>
                <w:szCs w:val="20"/>
                <w:lang w:val="fr-FR"/>
              </w:rPr>
            </w:pPr>
            <w:r w:rsidRPr="00701439">
              <w:rPr>
                <w:rFonts w:asciiTheme="minorHAnsi" w:hAnsiTheme="minorHAnsi" w:cs="Arial"/>
                <w:b/>
                <w:sz w:val="20"/>
                <w:szCs w:val="20"/>
                <w:lang w:val="fr-FR"/>
              </w:rPr>
              <w:t>TOTAL ASSETS</w:t>
            </w:r>
          </w:p>
        </w:tc>
        <w:tc>
          <w:tcPr>
            <w:tcW w:w="618" w:type="dxa"/>
            <w:vAlign w:val="bottom"/>
          </w:tcPr>
          <w:p w14:paraId="7C3ACA27" w14:textId="099F71FA" w:rsidR="007B3733" w:rsidRPr="00701439" w:rsidRDefault="00B336BE" w:rsidP="007B3733">
            <w:pPr>
              <w:jc w:val="right"/>
              <w:rPr>
                <w:rFonts w:asciiTheme="minorHAnsi" w:hAnsiTheme="minorHAnsi" w:cs="Arial"/>
                <w:sz w:val="20"/>
                <w:szCs w:val="20"/>
                <w:lang w:val="fr-FR"/>
              </w:rPr>
            </w:pPr>
            <w:r w:rsidRPr="006D4208">
              <w:rPr>
                <w:rFonts w:asciiTheme="minorHAnsi" w:hAnsiTheme="minorHAnsi" w:cs="Arial"/>
                <w:sz w:val="20"/>
                <w:szCs w:val="20"/>
                <w:lang w:val="fr-FR"/>
              </w:rPr>
              <w:t>4</w:t>
            </w:r>
          </w:p>
        </w:tc>
        <w:tc>
          <w:tcPr>
            <w:tcW w:w="1028" w:type="dxa"/>
            <w:tcBorders>
              <w:top w:val="single" w:sz="4" w:space="0" w:color="auto"/>
              <w:left w:val="nil"/>
              <w:bottom w:val="single" w:sz="4" w:space="0" w:color="auto"/>
              <w:right w:val="nil"/>
            </w:tcBorders>
            <w:shd w:val="clear" w:color="auto" w:fill="F2F2F2" w:themeFill="background1" w:themeFillShade="F2"/>
            <w:vAlign w:val="bottom"/>
          </w:tcPr>
          <w:p w14:paraId="766A3E0A" w14:textId="21E9A256" w:rsidR="007B3733" w:rsidRPr="005E6504" w:rsidRDefault="00905D99" w:rsidP="007B3733">
            <w:pPr>
              <w:jc w:val="right"/>
              <w:rPr>
                <w:rFonts w:asciiTheme="minorHAnsi" w:hAnsiTheme="minorHAnsi" w:cs="Arial"/>
                <w:b/>
                <w:sz w:val="20"/>
                <w:szCs w:val="20"/>
              </w:rPr>
            </w:pPr>
            <w:r w:rsidRPr="005E6504">
              <w:rPr>
                <w:rFonts w:asciiTheme="minorHAnsi" w:hAnsiTheme="minorHAnsi" w:cs="Arial"/>
                <w:b/>
                <w:sz w:val="20"/>
                <w:szCs w:val="20"/>
              </w:rPr>
              <w:t>3,085.</w:t>
            </w:r>
            <w:r w:rsidR="00AD6541">
              <w:rPr>
                <w:rFonts w:asciiTheme="minorHAnsi" w:hAnsiTheme="minorHAnsi" w:cs="Arial"/>
                <w:b/>
                <w:sz w:val="20"/>
                <w:szCs w:val="20"/>
              </w:rPr>
              <w:t>1</w:t>
            </w:r>
          </w:p>
        </w:tc>
        <w:tc>
          <w:tcPr>
            <w:tcW w:w="1341" w:type="dxa"/>
            <w:tcBorders>
              <w:top w:val="single" w:sz="4" w:space="0" w:color="auto"/>
              <w:left w:val="nil"/>
              <w:bottom w:val="single" w:sz="4" w:space="0" w:color="auto"/>
              <w:right w:val="nil"/>
            </w:tcBorders>
            <w:vAlign w:val="bottom"/>
          </w:tcPr>
          <w:p w14:paraId="6020A907" w14:textId="1298CF95" w:rsidR="007B3733" w:rsidRPr="006D4208" w:rsidRDefault="00857A18" w:rsidP="007B3733">
            <w:pPr>
              <w:jc w:val="right"/>
              <w:rPr>
                <w:rFonts w:asciiTheme="minorHAnsi" w:hAnsiTheme="minorHAnsi" w:cs="Arial"/>
                <w:sz w:val="20"/>
                <w:szCs w:val="20"/>
              </w:rPr>
            </w:pPr>
            <w:r w:rsidRPr="006D4208">
              <w:rPr>
                <w:rFonts w:asciiTheme="minorHAnsi" w:hAnsiTheme="minorHAnsi" w:cs="Arial"/>
                <w:sz w:val="20"/>
                <w:szCs w:val="20"/>
              </w:rPr>
              <w:t>3,</w:t>
            </w:r>
            <w:r w:rsidR="00CC034D">
              <w:rPr>
                <w:rFonts w:asciiTheme="minorHAnsi" w:hAnsiTheme="minorHAnsi" w:cs="Arial"/>
                <w:sz w:val="20"/>
                <w:szCs w:val="20"/>
              </w:rPr>
              <w:t>194.7</w:t>
            </w:r>
          </w:p>
        </w:tc>
        <w:tc>
          <w:tcPr>
            <w:tcW w:w="1086" w:type="dxa"/>
            <w:tcBorders>
              <w:top w:val="single" w:sz="4" w:space="0" w:color="auto"/>
              <w:left w:val="nil"/>
              <w:bottom w:val="single" w:sz="4" w:space="0" w:color="auto"/>
              <w:right w:val="nil"/>
            </w:tcBorders>
            <w:vAlign w:val="bottom"/>
          </w:tcPr>
          <w:p w14:paraId="64DAF9D8" w14:textId="08A6C439" w:rsidR="007B3733" w:rsidRPr="006D4208" w:rsidRDefault="007B3733" w:rsidP="007B3733">
            <w:pPr>
              <w:jc w:val="right"/>
              <w:rPr>
                <w:rFonts w:asciiTheme="minorHAnsi" w:hAnsiTheme="minorHAnsi" w:cs="Arial"/>
                <w:sz w:val="20"/>
                <w:szCs w:val="20"/>
              </w:rPr>
            </w:pPr>
            <w:r w:rsidRPr="006D4208">
              <w:rPr>
                <w:rFonts w:asciiTheme="minorHAnsi" w:hAnsiTheme="minorHAnsi" w:cs="Arial"/>
                <w:sz w:val="20"/>
                <w:szCs w:val="20"/>
              </w:rPr>
              <w:t>2,</w:t>
            </w:r>
            <w:r w:rsidR="00D9476E" w:rsidRPr="006D4208">
              <w:rPr>
                <w:rFonts w:asciiTheme="minorHAnsi" w:hAnsiTheme="minorHAnsi" w:cs="Arial"/>
                <w:sz w:val="20"/>
                <w:szCs w:val="20"/>
              </w:rPr>
              <w:t>8</w:t>
            </w:r>
            <w:r w:rsidR="005D7A68" w:rsidRPr="006D4208">
              <w:rPr>
                <w:rFonts w:asciiTheme="minorHAnsi" w:hAnsiTheme="minorHAnsi" w:cs="Arial"/>
                <w:sz w:val="20"/>
                <w:szCs w:val="20"/>
              </w:rPr>
              <w:t>7</w:t>
            </w:r>
            <w:r w:rsidR="000E7650">
              <w:rPr>
                <w:rFonts w:asciiTheme="minorHAnsi" w:hAnsiTheme="minorHAnsi" w:cs="Arial"/>
                <w:sz w:val="20"/>
                <w:szCs w:val="20"/>
              </w:rPr>
              <w:t>0.2</w:t>
            </w:r>
          </w:p>
        </w:tc>
        <w:tc>
          <w:tcPr>
            <w:tcW w:w="1200" w:type="dxa"/>
            <w:tcBorders>
              <w:top w:val="single" w:sz="4" w:space="0" w:color="auto"/>
              <w:left w:val="nil"/>
              <w:bottom w:val="single" w:sz="4" w:space="0" w:color="auto"/>
              <w:right w:val="nil"/>
            </w:tcBorders>
          </w:tcPr>
          <w:p w14:paraId="5500E57D" w14:textId="2FA44D98" w:rsidR="008917C7" w:rsidRPr="006A0B83" w:rsidRDefault="008917C7" w:rsidP="007B3733">
            <w:pPr>
              <w:jc w:val="right"/>
              <w:rPr>
                <w:rFonts w:asciiTheme="minorHAnsi" w:hAnsiTheme="minorHAnsi" w:cs="Arial"/>
                <w:sz w:val="20"/>
                <w:szCs w:val="20"/>
                <w:lang w:val="fr-FR"/>
              </w:rPr>
            </w:pPr>
            <w:r w:rsidRPr="006A0B83">
              <w:rPr>
                <w:rFonts w:asciiTheme="minorHAnsi" w:hAnsiTheme="minorHAnsi" w:cs="Arial"/>
                <w:sz w:val="20"/>
                <w:szCs w:val="20"/>
                <w:lang w:val="fr-FR"/>
              </w:rPr>
              <w:t>2</w:t>
            </w:r>
            <w:r w:rsidR="00964780">
              <w:rPr>
                <w:rFonts w:asciiTheme="minorHAnsi" w:hAnsiTheme="minorHAnsi" w:cs="Arial"/>
                <w:sz w:val="20"/>
                <w:szCs w:val="20"/>
                <w:lang w:val="fr-FR"/>
              </w:rPr>
              <w:t>,</w:t>
            </w:r>
            <w:r w:rsidRPr="006A0B83">
              <w:rPr>
                <w:rFonts w:asciiTheme="minorHAnsi" w:hAnsiTheme="minorHAnsi" w:cs="Arial"/>
                <w:sz w:val="20"/>
                <w:szCs w:val="20"/>
                <w:lang w:val="fr-FR"/>
              </w:rPr>
              <w:t>6</w:t>
            </w:r>
            <w:r w:rsidR="00DB45ED">
              <w:rPr>
                <w:rFonts w:asciiTheme="minorHAnsi" w:hAnsiTheme="minorHAnsi" w:cs="Arial"/>
                <w:sz w:val="20"/>
                <w:szCs w:val="20"/>
                <w:lang w:val="fr-FR"/>
              </w:rPr>
              <w:t>55.</w:t>
            </w:r>
            <w:r w:rsidR="00AD7BB4">
              <w:rPr>
                <w:rFonts w:asciiTheme="minorHAnsi" w:hAnsiTheme="minorHAnsi" w:cs="Arial"/>
                <w:sz w:val="20"/>
                <w:szCs w:val="20"/>
                <w:lang w:val="fr-FR"/>
              </w:rPr>
              <w:t>0</w:t>
            </w:r>
          </w:p>
        </w:tc>
      </w:tr>
      <w:tr w:rsidR="007B3733" w:rsidRPr="00701439" w14:paraId="6590A456" w14:textId="0DD07F9A" w:rsidTr="002725AC">
        <w:trPr>
          <w:trHeight w:val="142"/>
        </w:trPr>
        <w:tc>
          <w:tcPr>
            <w:tcW w:w="4536" w:type="dxa"/>
            <w:vAlign w:val="bottom"/>
          </w:tcPr>
          <w:p w14:paraId="55C5D143" w14:textId="77777777" w:rsidR="007B3733" w:rsidRPr="00701439" w:rsidRDefault="007B3733" w:rsidP="007B3733">
            <w:pPr>
              <w:rPr>
                <w:rFonts w:asciiTheme="minorHAnsi" w:hAnsiTheme="minorHAnsi" w:cs="Arial"/>
                <w:b/>
                <w:sz w:val="20"/>
                <w:szCs w:val="20"/>
              </w:rPr>
            </w:pPr>
            <w:r w:rsidRPr="00701439">
              <w:rPr>
                <w:rFonts w:asciiTheme="minorHAnsi" w:hAnsiTheme="minorHAnsi" w:cs="Arial"/>
                <w:b/>
                <w:sz w:val="20"/>
                <w:szCs w:val="20"/>
              </w:rPr>
              <w:t>LIABILITIES AND EQUITY</w:t>
            </w:r>
          </w:p>
        </w:tc>
        <w:tc>
          <w:tcPr>
            <w:tcW w:w="618" w:type="dxa"/>
            <w:vAlign w:val="bottom"/>
          </w:tcPr>
          <w:p w14:paraId="20F9D23B" w14:textId="77777777" w:rsidR="007B3733" w:rsidRPr="00701439" w:rsidRDefault="007B3733" w:rsidP="007B3733">
            <w:pPr>
              <w:jc w:val="right"/>
              <w:rPr>
                <w:rFonts w:asciiTheme="minorHAnsi" w:hAnsiTheme="minorHAnsi" w:cs="Arial"/>
                <w:sz w:val="20"/>
                <w:szCs w:val="20"/>
              </w:rPr>
            </w:pPr>
          </w:p>
        </w:tc>
        <w:tc>
          <w:tcPr>
            <w:tcW w:w="1028" w:type="dxa"/>
            <w:shd w:val="clear" w:color="auto" w:fill="F2F2F2" w:themeFill="background1" w:themeFillShade="F2"/>
            <w:vAlign w:val="bottom"/>
          </w:tcPr>
          <w:p w14:paraId="2B02E193" w14:textId="77777777" w:rsidR="007B3733" w:rsidRPr="005E6504" w:rsidRDefault="007B3733" w:rsidP="007B3733">
            <w:pPr>
              <w:jc w:val="right"/>
              <w:rPr>
                <w:rFonts w:asciiTheme="minorHAnsi" w:hAnsiTheme="minorHAnsi" w:cs="Arial"/>
                <w:b/>
                <w:sz w:val="20"/>
                <w:szCs w:val="20"/>
              </w:rPr>
            </w:pPr>
          </w:p>
        </w:tc>
        <w:tc>
          <w:tcPr>
            <w:tcW w:w="1341" w:type="dxa"/>
          </w:tcPr>
          <w:p w14:paraId="79EBE429" w14:textId="77777777" w:rsidR="007B3733" w:rsidRPr="006D4208" w:rsidRDefault="007B3733" w:rsidP="007B3733">
            <w:pPr>
              <w:jc w:val="right"/>
              <w:rPr>
                <w:rFonts w:asciiTheme="minorHAnsi" w:hAnsiTheme="minorHAnsi" w:cs="Arial"/>
                <w:sz w:val="20"/>
                <w:szCs w:val="20"/>
              </w:rPr>
            </w:pPr>
          </w:p>
        </w:tc>
        <w:tc>
          <w:tcPr>
            <w:tcW w:w="1086" w:type="dxa"/>
            <w:vAlign w:val="bottom"/>
          </w:tcPr>
          <w:p w14:paraId="28948A76" w14:textId="0E414B21" w:rsidR="007B3733" w:rsidRPr="00565803" w:rsidRDefault="007B3733" w:rsidP="007B3733">
            <w:pPr>
              <w:jc w:val="right"/>
              <w:rPr>
                <w:rFonts w:asciiTheme="minorHAnsi" w:hAnsiTheme="minorHAnsi" w:cs="Arial"/>
                <w:sz w:val="20"/>
                <w:szCs w:val="20"/>
              </w:rPr>
            </w:pPr>
          </w:p>
        </w:tc>
        <w:tc>
          <w:tcPr>
            <w:tcW w:w="1200" w:type="dxa"/>
          </w:tcPr>
          <w:p w14:paraId="6DCC01CC" w14:textId="77777777" w:rsidR="00411F98" w:rsidRPr="006A0B83" w:rsidRDefault="00411F98" w:rsidP="007B3733">
            <w:pPr>
              <w:jc w:val="right"/>
              <w:rPr>
                <w:rFonts w:asciiTheme="minorHAnsi" w:hAnsiTheme="minorHAnsi" w:cs="Arial"/>
                <w:sz w:val="20"/>
                <w:szCs w:val="20"/>
                <w:lang w:val="fr-FR"/>
              </w:rPr>
            </w:pPr>
          </w:p>
        </w:tc>
      </w:tr>
      <w:tr w:rsidR="007B3733" w:rsidRPr="00701439" w14:paraId="13B8B3AD" w14:textId="7FFD72E1" w:rsidTr="002725AC">
        <w:trPr>
          <w:trHeight w:val="142"/>
        </w:trPr>
        <w:tc>
          <w:tcPr>
            <w:tcW w:w="4536" w:type="dxa"/>
            <w:vAlign w:val="bottom"/>
          </w:tcPr>
          <w:p w14:paraId="78FD5E6A" w14:textId="77777777" w:rsidR="007B3733" w:rsidRPr="00701439" w:rsidRDefault="007B3733" w:rsidP="007B3733">
            <w:pPr>
              <w:rPr>
                <w:rFonts w:asciiTheme="minorHAnsi" w:hAnsiTheme="minorHAnsi" w:cs="Arial"/>
                <w:b/>
                <w:sz w:val="20"/>
                <w:szCs w:val="20"/>
              </w:rPr>
            </w:pPr>
            <w:r w:rsidRPr="00701439">
              <w:rPr>
                <w:rFonts w:asciiTheme="minorHAnsi" w:hAnsiTheme="minorHAnsi" w:cs="Arial"/>
                <w:b/>
                <w:sz w:val="20"/>
                <w:szCs w:val="20"/>
              </w:rPr>
              <w:t>Liabilities</w:t>
            </w:r>
          </w:p>
        </w:tc>
        <w:tc>
          <w:tcPr>
            <w:tcW w:w="618" w:type="dxa"/>
            <w:vAlign w:val="bottom"/>
          </w:tcPr>
          <w:p w14:paraId="2B1C0D48" w14:textId="77777777" w:rsidR="007B3733" w:rsidRPr="00701439" w:rsidRDefault="007B3733" w:rsidP="007B3733">
            <w:pPr>
              <w:jc w:val="right"/>
              <w:rPr>
                <w:rFonts w:asciiTheme="minorHAnsi" w:hAnsiTheme="minorHAnsi" w:cs="Arial"/>
                <w:sz w:val="20"/>
                <w:szCs w:val="20"/>
              </w:rPr>
            </w:pPr>
          </w:p>
        </w:tc>
        <w:tc>
          <w:tcPr>
            <w:tcW w:w="1028" w:type="dxa"/>
            <w:shd w:val="clear" w:color="auto" w:fill="F2F2F2" w:themeFill="background1" w:themeFillShade="F2"/>
            <w:vAlign w:val="bottom"/>
          </w:tcPr>
          <w:p w14:paraId="6E3657E6" w14:textId="77777777" w:rsidR="007B3733" w:rsidRPr="005E6504" w:rsidRDefault="007B3733" w:rsidP="007B3733">
            <w:pPr>
              <w:jc w:val="right"/>
              <w:rPr>
                <w:rFonts w:asciiTheme="minorHAnsi" w:hAnsiTheme="minorHAnsi" w:cs="Arial"/>
                <w:b/>
                <w:sz w:val="20"/>
                <w:szCs w:val="20"/>
              </w:rPr>
            </w:pPr>
          </w:p>
        </w:tc>
        <w:tc>
          <w:tcPr>
            <w:tcW w:w="1341" w:type="dxa"/>
          </w:tcPr>
          <w:p w14:paraId="473F2B28" w14:textId="77777777" w:rsidR="007B3733" w:rsidRPr="006D4208" w:rsidRDefault="007B3733" w:rsidP="007B3733">
            <w:pPr>
              <w:jc w:val="right"/>
              <w:rPr>
                <w:rFonts w:asciiTheme="minorHAnsi" w:hAnsiTheme="minorHAnsi" w:cs="Arial"/>
                <w:sz w:val="20"/>
                <w:szCs w:val="20"/>
              </w:rPr>
            </w:pPr>
          </w:p>
        </w:tc>
        <w:tc>
          <w:tcPr>
            <w:tcW w:w="1086" w:type="dxa"/>
            <w:vAlign w:val="bottom"/>
          </w:tcPr>
          <w:p w14:paraId="35D6FD1B" w14:textId="572F28DB" w:rsidR="007B3733" w:rsidRPr="00565803" w:rsidRDefault="007B3733" w:rsidP="007B3733">
            <w:pPr>
              <w:jc w:val="right"/>
              <w:rPr>
                <w:rFonts w:asciiTheme="minorHAnsi" w:hAnsiTheme="minorHAnsi" w:cs="Arial"/>
                <w:sz w:val="20"/>
                <w:szCs w:val="20"/>
              </w:rPr>
            </w:pPr>
          </w:p>
        </w:tc>
        <w:tc>
          <w:tcPr>
            <w:tcW w:w="1200" w:type="dxa"/>
          </w:tcPr>
          <w:p w14:paraId="58831299" w14:textId="77777777" w:rsidR="00411F98" w:rsidRPr="006A0B83" w:rsidRDefault="00411F98" w:rsidP="007B3733">
            <w:pPr>
              <w:jc w:val="right"/>
              <w:rPr>
                <w:rFonts w:asciiTheme="minorHAnsi" w:hAnsiTheme="minorHAnsi" w:cs="Arial"/>
                <w:sz w:val="20"/>
                <w:szCs w:val="20"/>
                <w:lang w:val="fr-FR"/>
              </w:rPr>
            </w:pPr>
          </w:p>
        </w:tc>
      </w:tr>
      <w:tr w:rsidR="00F8386C" w:rsidRPr="00701439" w14:paraId="223B165E" w14:textId="3B7F9CEB" w:rsidTr="002725AC">
        <w:trPr>
          <w:trHeight w:val="142"/>
        </w:trPr>
        <w:tc>
          <w:tcPr>
            <w:tcW w:w="4536" w:type="dxa"/>
            <w:vAlign w:val="bottom"/>
          </w:tcPr>
          <w:p w14:paraId="2FD1B689" w14:textId="77777777" w:rsidR="00F8386C" w:rsidRPr="00701439" w:rsidRDefault="00F8386C" w:rsidP="00F8386C">
            <w:pPr>
              <w:rPr>
                <w:rFonts w:asciiTheme="minorHAnsi" w:hAnsiTheme="minorHAnsi" w:cs="Arial"/>
                <w:b/>
                <w:sz w:val="20"/>
                <w:szCs w:val="20"/>
              </w:rPr>
            </w:pPr>
            <w:r w:rsidRPr="00701439">
              <w:rPr>
                <w:rFonts w:asciiTheme="minorHAnsi" w:hAnsiTheme="minorHAnsi" w:cs="Arial"/>
                <w:sz w:val="20"/>
                <w:szCs w:val="20"/>
                <w:lang w:val="en-US"/>
              </w:rPr>
              <w:t>Trade and other payables</w:t>
            </w:r>
          </w:p>
        </w:tc>
        <w:tc>
          <w:tcPr>
            <w:tcW w:w="618" w:type="dxa"/>
            <w:vAlign w:val="bottom"/>
          </w:tcPr>
          <w:p w14:paraId="1B547293" w14:textId="77777777" w:rsidR="00F8386C" w:rsidRPr="00701439" w:rsidRDefault="00F8386C" w:rsidP="00F8386C">
            <w:pPr>
              <w:jc w:val="right"/>
              <w:rPr>
                <w:rFonts w:asciiTheme="minorHAnsi" w:hAnsiTheme="minorHAnsi" w:cs="Arial"/>
                <w:sz w:val="20"/>
                <w:szCs w:val="20"/>
              </w:rPr>
            </w:pPr>
          </w:p>
        </w:tc>
        <w:tc>
          <w:tcPr>
            <w:tcW w:w="1028" w:type="dxa"/>
            <w:shd w:val="clear" w:color="auto" w:fill="F2F2F2" w:themeFill="background1" w:themeFillShade="F2"/>
            <w:vAlign w:val="bottom"/>
          </w:tcPr>
          <w:p w14:paraId="11BC2BD9" w14:textId="50A9E472" w:rsidR="00F8386C" w:rsidRPr="005E6504" w:rsidRDefault="00CF36F8" w:rsidP="00F8386C">
            <w:pPr>
              <w:jc w:val="right"/>
              <w:rPr>
                <w:rFonts w:asciiTheme="minorHAnsi" w:hAnsiTheme="minorHAnsi" w:cs="Arial"/>
                <w:b/>
                <w:sz w:val="20"/>
                <w:szCs w:val="20"/>
              </w:rPr>
            </w:pPr>
            <w:r>
              <w:rPr>
                <w:rFonts w:asciiTheme="minorHAnsi" w:hAnsiTheme="minorHAnsi" w:cs="Arial"/>
                <w:b/>
                <w:sz w:val="20"/>
                <w:szCs w:val="20"/>
              </w:rPr>
              <w:t>49</w:t>
            </w:r>
            <w:r w:rsidR="00080AFA" w:rsidRPr="005E6504">
              <w:rPr>
                <w:rFonts w:asciiTheme="minorHAnsi" w:hAnsiTheme="minorHAnsi" w:cs="Arial"/>
                <w:b/>
                <w:sz w:val="20"/>
                <w:szCs w:val="20"/>
              </w:rPr>
              <w:t>.</w:t>
            </w:r>
            <w:r w:rsidR="00B30F36" w:rsidRPr="005E6504">
              <w:rPr>
                <w:rFonts w:asciiTheme="minorHAnsi" w:hAnsiTheme="minorHAnsi" w:cs="Arial"/>
                <w:b/>
                <w:sz w:val="20"/>
                <w:szCs w:val="20"/>
              </w:rPr>
              <w:t>6</w:t>
            </w:r>
          </w:p>
        </w:tc>
        <w:tc>
          <w:tcPr>
            <w:tcW w:w="1341" w:type="dxa"/>
            <w:vAlign w:val="bottom"/>
          </w:tcPr>
          <w:p w14:paraId="0F3EC463" w14:textId="5B82DD65" w:rsidR="00F8386C" w:rsidRPr="006D4208" w:rsidRDefault="00FF6482" w:rsidP="00F8386C">
            <w:pPr>
              <w:jc w:val="right"/>
              <w:rPr>
                <w:rFonts w:asciiTheme="minorHAnsi" w:hAnsiTheme="minorHAnsi" w:cs="Arial"/>
                <w:sz w:val="20"/>
                <w:szCs w:val="20"/>
              </w:rPr>
            </w:pPr>
            <w:r w:rsidRPr="006D4208">
              <w:rPr>
                <w:rFonts w:asciiTheme="minorHAnsi" w:hAnsiTheme="minorHAnsi" w:cs="Arial"/>
                <w:sz w:val="20"/>
                <w:szCs w:val="20"/>
              </w:rPr>
              <w:t>44.1</w:t>
            </w:r>
          </w:p>
        </w:tc>
        <w:tc>
          <w:tcPr>
            <w:tcW w:w="1086" w:type="dxa"/>
            <w:vAlign w:val="bottom"/>
          </w:tcPr>
          <w:p w14:paraId="7AEAF161" w14:textId="186BE98D" w:rsidR="00F8386C" w:rsidRPr="006D4208" w:rsidRDefault="00F8386C" w:rsidP="00F8386C">
            <w:pPr>
              <w:jc w:val="right"/>
              <w:rPr>
                <w:rFonts w:asciiTheme="minorHAnsi" w:hAnsiTheme="minorHAnsi" w:cs="Arial"/>
                <w:sz w:val="20"/>
                <w:szCs w:val="20"/>
              </w:rPr>
            </w:pPr>
            <w:r w:rsidRPr="006D4208">
              <w:rPr>
                <w:rFonts w:asciiTheme="minorHAnsi" w:hAnsiTheme="minorHAnsi" w:cs="Arial"/>
                <w:sz w:val="20"/>
                <w:szCs w:val="20"/>
              </w:rPr>
              <w:t>6</w:t>
            </w:r>
            <w:r w:rsidR="00AA0076" w:rsidRPr="006D4208">
              <w:rPr>
                <w:rFonts w:asciiTheme="minorHAnsi" w:hAnsiTheme="minorHAnsi" w:cs="Arial"/>
                <w:sz w:val="20"/>
                <w:szCs w:val="20"/>
              </w:rPr>
              <w:t>4.0</w:t>
            </w:r>
          </w:p>
        </w:tc>
        <w:tc>
          <w:tcPr>
            <w:tcW w:w="1200" w:type="dxa"/>
          </w:tcPr>
          <w:p w14:paraId="586F7224" w14:textId="57420139" w:rsidR="00C11D79" w:rsidRPr="006A0B83" w:rsidRDefault="00C11D79" w:rsidP="00F8386C">
            <w:pPr>
              <w:jc w:val="right"/>
              <w:rPr>
                <w:rFonts w:asciiTheme="minorHAnsi" w:hAnsiTheme="minorHAnsi" w:cs="Arial"/>
                <w:sz w:val="20"/>
                <w:szCs w:val="20"/>
                <w:lang w:val="fr-FR"/>
              </w:rPr>
            </w:pPr>
            <w:r w:rsidRPr="006A0B83">
              <w:rPr>
                <w:rFonts w:asciiTheme="minorHAnsi" w:hAnsiTheme="minorHAnsi" w:cs="Arial"/>
                <w:sz w:val="20"/>
                <w:szCs w:val="20"/>
                <w:lang w:val="fr-FR"/>
              </w:rPr>
              <w:t>62.8</w:t>
            </w:r>
          </w:p>
        </w:tc>
      </w:tr>
      <w:tr w:rsidR="00F8386C" w:rsidRPr="00701439" w14:paraId="3E69D980" w14:textId="69F5D6DF" w:rsidTr="002725AC">
        <w:trPr>
          <w:trHeight w:val="142"/>
        </w:trPr>
        <w:tc>
          <w:tcPr>
            <w:tcW w:w="4536" w:type="dxa"/>
            <w:vAlign w:val="bottom"/>
          </w:tcPr>
          <w:p w14:paraId="5040CF03" w14:textId="77777777" w:rsidR="00F8386C" w:rsidRPr="00701439" w:rsidRDefault="00F8386C" w:rsidP="00F8386C">
            <w:pPr>
              <w:rPr>
                <w:rFonts w:asciiTheme="minorHAnsi" w:hAnsiTheme="minorHAnsi" w:cs="Arial"/>
                <w:sz w:val="20"/>
                <w:szCs w:val="20"/>
                <w:lang w:val="fr-FR"/>
              </w:rPr>
            </w:pPr>
            <w:r w:rsidRPr="00701439">
              <w:rPr>
                <w:rFonts w:asciiTheme="minorHAnsi" w:hAnsiTheme="minorHAnsi" w:cs="Arial"/>
                <w:sz w:val="20"/>
                <w:szCs w:val="20"/>
                <w:lang w:val="fr-FR"/>
              </w:rPr>
              <w:t>Provisions</w:t>
            </w:r>
          </w:p>
        </w:tc>
        <w:tc>
          <w:tcPr>
            <w:tcW w:w="618" w:type="dxa"/>
            <w:vAlign w:val="bottom"/>
          </w:tcPr>
          <w:p w14:paraId="615296EE" w14:textId="6B73A1E5" w:rsidR="00F8386C" w:rsidRPr="00701439" w:rsidRDefault="00F8386C" w:rsidP="00F8386C">
            <w:pPr>
              <w:jc w:val="right"/>
              <w:rPr>
                <w:rFonts w:asciiTheme="minorHAnsi" w:hAnsiTheme="minorHAnsi" w:cs="Arial"/>
                <w:sz w:val="20"/>
                <w:szCs w:val="20"/>
              </w:rPr>
            </w:pPr>
            <w:r w:rsidRPr="006D4208">
              <w:rPr>
                <w:rFonts w:asciiTheme="minorHAnsi" w:hAnsiTheme="minorHAnsi" w:cs="Arial"/>
                <w:sz w:val="20"/>
                <w:szCs w:val="20"/>
              </w:rPr>
              <w:t>1</w:t>
            </w:r>
            <w:r w:rsidR="00F858B2" w:rsidRPr="006D4208">
              <w:rPr>
                <w:rFonts w:asciiTheme="minorHAnsi" w:hAnsiTheme="minorHAnsi" w:cs="Arial"/>
                <w:sz w:val="20"/>
                <w:szCs w:val="20"/>
              </w:rPr>
              <w:t>3</w:t>
            </w:r>
          </w:p>
        </w:tc>
        <w:tc>
          <w:tcPr>
            <w:tcW w:w="1028" w:type="dxa"/>
            <w:shd w:val="clear" w:color="auto" w:fill="F2F2F2" w:themeFill="background1" w:themeFillShade="F2"/>
            <w:vAlign w:val="bottom"/>
          </w:tcPr>
          <w:p w14:paraId="3875176E" w14:textId="7CF3AD94" w:rsidR="00F8386C" w:rsidRPr="005E6504" w:rsidRDefault="006D706F" w:rsidP="00F8386C">
            <w:pPr>
              <w:jc w:val="right"/>
              <w:rPr>
                <w:rFonts w:asciiTheme="minorHAnsi" w:hAnsiTheme="minorHAnsi" w:cs="Arial"/>
                <w:b/>
                <w:sz w:val="20"/>
                <w:szCs w:val="20"/>
              </w:rPr>
            </w:pPr>
            <w:r>
              <w:rPr>
                <w:rFonts w:asciiTheme="minorHAnsi" w:hAnsiTheme="minorHAnsi" w:cs="Arial"/>
                <w:b/>
                <w:sz w:val="20"/>
                <w:szCs w:val="20"/>
              </w:rPr>
              <w:t>16</w:t>
            </w:r>
            <w:r w:rsidR="0038290E" w:rsidRPr="005E6504">
              <w:rPr>
                <w:rFonts w:asciiTheme="minorHAnsi" w:hAnsiTheme="minorHAnsi" w:cs="Arial"/>
                <w:b/>
                <w:sz w:val="20"/>
                <w:szCs w:val="20"/>
              </w:rPr>
              <w:t>.3</w:t>
            </w:r>
          </w:p>
        </w:tc>
        <w:tc>
          <w:tcPr>
            <w:tcW w:w="1341" w:type="dxa"/>
            <w:vAlign w:val="bottom"/>
          </w:tcPr>
          <w:p w14:paraId="7538A1B9" w14:textId="43EDAD96" w:rsidR="00F8386C" w:rsidRPr="006D4208" w:rsidRDefault="004959E6" w:rsidP="00F8386C">
            <w:pPr>
              <w:jc w:val="right"/>
              <w:rPr>
                <w:rFonts w:asciiTheme="minorHAnsi" w:hAnsiTheme="minorHAnsi" w:cs="Arial"/>
                <w:sz w:val="20"/>
                <w:szCs w:val="20"/>
              </w:rPr>
            </w:pPr>
            <w:r w:rsidRPr="006D4208">
              <w:rPr>
                <w:rFonts w:asciiTheme="minorHAnsi" w:hAnsiTheme="minorHAnsi" w:cs="Arial"/>
                <w:sz w:val="20"/>
                <w:szCs w:val="20"/>
              </w:rPr>
              <w:t>5.8</w:t>
            </w:r>
          </w:p>
        </w:tc>
        <w:tc>
          <w:tcPr>
            <w:tcW w:w="1086" w:type="dxa"/>
            <w:vAlign w:val="bottom"/>
          </w:tcPr>
          <w:p w14:paraId="7F10B12C" w14:textId="079F1F2D" w:rsidR="00F8386C" w:rsidRPr="006D4208" w:rsidRDefault="00AA0076" w:rsidP="00F8386C">
            <w:pPr>
              <w:jc w:val="right"/>
              <w:rPr>
                <w:rFonts w:asciiTheme="minorHAnsi" w:hAnsiTheme="minorHAnsi" w:cs="Arial"/>
                <w:sz w:val="20"/>
                <w:szCs w:val="20"/>
              </w:rPr>
            </w:pPr>
            <w:r w:rsidRPr="006D4208">
              <w:rPr>
                <w:rFonts w:asciiTheme="minorHAnsi" w:hAnsiTheme="minorHAnsi" w:cs="Arial"/>
                <w:sz w:val="20"/>
                <w:szCs w:val="20"/>
              </w:rPr>
              <w:t>9.6</w:t>
            </w:r>
          </w:p>
        </w:tc>
        <w:tc>
          <w:tcPr>
            <w:tcW w:w="1200" w:type="dxa"/>
          </w:tcPr>
          <w:p w14:paraId="04754BD2" w14:textId="1D3C2369" w:rsidR="00D86481" w:rsidRPr="006A0B83" w:rsidRDefault="00D86481" w:rsidP="00F8386C">
            <w:pPr>
              <w:jc w:val="right"/>
              <w:rPr>
                <w:rFonts w:asciiTheme="minorHAnsi" w:hAnsiTheme="minorHAnsi" w:cs="Arial"/>
                <w:sz w:val="20"/>
                <w:szCs w:val="20"/>
                <w:lang w:val="fr-FR"/>
              </w:rPr>
            </w:pPr>
            <w:r w:rsidRPr="006A0B83">
              <w:rPr>
                <w:rFonts w:asciiTheme="minorHAnsi" w:hAnsiTheme="minorHAnsi" w:cs="Arial"/>
                <w:sz w:val="20"/>
                <w:szCs w:val="20"/>
                <w:lang w:val="fr-FR"/>
              </w:rPr>
              <w:t>5.2</w:t>
            </w:r>
          </w:p>
        </w:tc>
      </w:tr>
      <w:tr w:rsidR="00F8386C" w:rsidRPr="00701439" w14:paraId="25314831" w14:textId="422B522D" w:rsidTr="002725AC">
        <w:trPr>
          <w:trHeight w:val="142"/>
        </w:trPr>
        <w:tc>
          <w:tcPr>
            <w:tcW w:w="4536" w:type="dxa"/>
            <w:vAlign w:val="bottom"/>
          </w:tcPr>
          <w:p w14:paraId="7DC9C85B" w14:textId="77777777" w:rsidR="00F8386C" w:rsidRPr="00701439" w:rsidRDefault="00F8386C" w:rsidP="00F8386C">
            <w:pPr>
              <w:rPr>
                <w:rFonts w:asciiTheme="minorHAnsi" w:hAnsiTheme="minorHAnsi" w:cs="Arial"/>
                <w:sz w:val="20"/>
                <w:szCs w:val="20"/>
                <w:lang w:val="fr-FR"/>
              </w:rPr>
            </w:pPr>
            <w:r w:rsidRPr="00701439">
              <w:rPr>
                <w:rFonts w:asciiTheme="minorHAnsi" w:hAnsiTheme="minorHAnsi" w:cs="Arial"/>
                <w:sz w:val="20"/>
                <w:szCs w:val="20"/>
                <w:lang w:val="en-US"/>
              </w:rPr>
              <w:t>Lease liabilities</w:t>
            </w:r>
          </w:p>
        </w:tc>
        <w:tc>
          <w:tcPr>
            <w:tcW w:w="618" w:type="dxa"/>
            <w:vAlign w:val="bottom"/>
          </w:tcPr>
          <w:p w14:paraId="4118487D" w14:textId="77777777" w:rsidR="00F8386C" w:rsidRPr="00701439" w:rsidRDefault="00F8386C" w:rsidP="00F8386C">
            <w:pPr>
              <w:jc w:val="right"/>
              <w:rPr>
                <w:rFonts w:asciiTheme="minorHAnsi" w:hAnsiTheme="minorHAnsi" w:cs="Arial"/>
                <w:sz w:val="20"/>
                <w:szCs w:val="20"/>
              </w:rPr>
            </w:pPr>
          </w:p>
        </w:tc>
        <w:tc>
          <w:tcPr>
            <w:tcW w:w="1028" w:type="dxa"/>
            <w:shd w:val="clear" w:color="auto" w:fill="F2F2F2" w:themeFill="background1" w:themeFillShade="F2"/>
            <w:vAlign w:val="bottom"/>
          </w:tcPr>
          <w:p w14:paraId="5BA1BFF2" w14:textId="52712007" w:rsidR="00F8386C" w:rsidRPr="005E6504" w:rsidRDefault="00217E44" w:rsidP="00F8386C">
            <w:pPr>
              <w:jc w:val="right"/>
              <w:rPr>
                <w:rFonts w:asciiTheme="minorHAnsi" w:hAnsiTheme="minorHAnsi" w:cs="Arial"/>
                <w:b/>
                <w:sz w:val="20"/>
                <w:szCs w:val="20"/>
              </w:rPr>
            </w:pPr>
            <w:r w:rsidRPr="005E6504">
              <w:rPr>
                <w:rFonts w:asciiTheme="minorHAnsi" w:hAnsiTheme="minorHAnsi" w:cs="Arial"/>
                <w:b/>
                <w:sz w:val="20"/>
                <w:szCs w:val="20"/>
              </w:rPr>
              <w:t>37.1</w:t>
            </w:r>
          </w:p>
        </w:tc>
        <w:tc>
          <w:tcPr>
            <w:tcW w:w="1341" w:type="dxa"/>
            <w:vAlign w:val="bottom"/>
          </w:tcPr>
          <w:p w14:paraId="27AA7157" w14:textId="7AE48674" w:rsidR="00F8386C" w:rsidRPr="006D4208" w:rsidRDefault="00F47D68" w:rsidP="00F8386C">
            <w:pPr>
              <w:jc w:val="right"/>
              <w:rPr>
                <w:rFonts w:asciiTheme="minorHAnsi" w:hAnsiTheme="minorHAnsi" w:cs="Arial"/>
                <w:sz w:val="20"/>
                <w:szCs w:val="20"/>
              </w:rPr>
            </w:pPr>
            <w:r w:rsidRPr="006D4208">
              <w:rPr>
                <w:rFonts w:asciiTheme="minorHAnsi" w:hAnsiTheme="minorHAnsi" w:cs="Arial"/>
                <w:sz w:val="20"/>
                <w:szCs w:val="20"/>
              </w:rPr>
              <w:t>40.9</w:t>
            </w:r>
          </w:p>
        </w:tc>
        <w:tc>
          <w:tcPr>
            <w:tcW w:w="1086" w:type="dxa"/>
            <w:vAlign w:val="bottom"/>
          </w:tcPr>
          <w:p w14:paraId="674D8D44" w14:textId="486A5339" w:rsidR="00F8386C" w:rsidRPr="006D4208" w:rsidRDefault="00AA0076" w:rsidP="00F8386C">
            <w:pPr>
              <w:jc w:val="right"/>
              <w:rPr>
                <w:rFonts w:asciiTheme="minorHAnsi" w:hAnsiTheme="minorHAnsi" w:cs="Arial"/>
                <w:sz w:val="20"/>
                <w:szCs w:val="20"/>
              </w:rPr>
            </w:pPr>
            <w:r w:rsidRPr="006D4208">
              <w:rPr>
                <w:rFonts w:asciiTheme="minorHAnsi" w:hAnsiTheme="minorHAnsi" w:cs="Arial"/>
                <w:sz w:val="20"/>
                <w:szCs w:val="20"/>
              </w:rPr>
              <w:t>44.9</w:t>
            </w:r>
          </w:p>
        </w:tc>
        <w:tc>
          <w:tcPr>
            <w:tcW w:w="1200" w:type="dxa"/>
          </w:tcPr>
          <w:p w14:paraId="0E875510" w14:textId="62F4AEC6" w:rsidR="00CF25AD" w:rsidRPr="006A0B83" w:rsidRDefault="00CF25AD" w:rsidP="00F8386C">
            <w:pPr>
              <w:jc w:val="right"/>
              <w:rPr>
                <w:rFonts w:asciiTheme="minorHAnsi" w:hAnsiTheme="minorHAnsi" w:cs="Arial"/>
                <w:sz w:val="20"/>
                <w:szCs w:val="20"/>
                <w:lang w:val="fr-FR"/>
              </w:rPr>
            </w:pPr>
            <w:r w:rsidRPr="006A0B83">
              <w:rPr>
                <w:rFonts w:asciiTheme="minorHAnsi" w:hAnsiTheme="minorHAnsi" w:cs="Arial"/>
                <w:sz w:val="20"/>
                <w:szCs w:val="20"/>
                <w:lang w:val="fr-FR"/>
              </w:rPr>
              <w:t>49.3</w:t>
            </w:r>
          </w:p>
        </w:tc>
      </w:tr>
      <w:tr w:rsidR="00F720D5" w:rsidRPr="00701439" w14:paraId="69F6EE26" w14:textId="77777777" w:rsidTr="002725AC">
        <w:trPr>
          <w:trHeight w:val="142"/>
        </w:trPr>
        <w:tc>
          <w:tcPr>
            <w:tcW w:w="4536" w:type="dxa"/>
            <w:vAlign w:val="bottom"/>
          </w:tcPr>
          <w:p w14:paraId="7310823D" w14:textId="56F19E14" w:rsidR="00F720D5" w:rsidRPr="00701439" w:rsidRDefault="00F720D5" w:rsidP="00F8386C">
            <w:pPr>
              <w:rPr>
                <w:rFonts w:asciiTheme="minorHAnsi" w:hAnsiTheme="minorHAnsi" w:cs="Arial"/>
                <w:sz w:val="20"/>
                <w:szCs w:val="20"/>
              </w:rPr>
            </w:pPr>
            <w:r w:rsidRPr="00701439">
              <w:rPr>
                <w:rFonts w:asciiTheme="minorHAnsi" w:hAnsiTheme="minorHAnsi" w:cs="Arial"/>
                <w:sz w:val="20"/>
                <w:szCs w:val="20"/>
              </w:rPr>
              <w:t xml:space="preserve">Current tax </w:t>
            </w:r>
            <w:r>
              <w:rPr>
                <w:rFonts w:asciiTheme="minorHAnsi" w:hAnsiTheme="minorHAnsi" w:cs="Arial"/>
                <w:sz w:val="20"/>
                <w:szCs w:val="20"/>
              </w:rPr>
              <w:t>liability</w:t>
            </w:r>
          </w:p>
        </w:tc>
        <w:tc>
          <w:tcPr>
            <w:tcW w:w="618" w:type="dxa"/>
            <w:vAlign w:val="bottom"/>
          </w:tcPr>
          <w:p w14:paraId="5B61663B" w14:textId="77777777" w:rsidR="00F720D5" w:rsidRPr="00701439" w:rsidRDefault="00F720D5" w:rsidP="00F8386C">
            <w:pPr>
              <w:jc w:val="right"/>
              <w:rPr>
                <w:rFonts w:asciiTheme="minorHAnsi" w:hAnsiTheme="minorHAnsi" w:cs="Arial"/>
                <w:sz w:val="20"/>
                <w:szCs w:val="20"/>
              </w:rPr>
            </w:pPr>
          </w:p>
        </w:tc>
        <w:tc>
          <w:tcPr>
            <w:tcW w:w="1028" w:type="dxa"/>
            <w:shd w:val="clear" w:color="auto" w:fill="F2F2F2" w:themeFill="background1" w:themeFillShade="F2"/>
            <w:vAlign w:val="bottom"/>
          </w:tcPr>
          <w:p w14:paraId="429BB9E1" w14:textId="131A8227" w:rsidR="00F720D5" w:rsidRPr="005E6504" w:rsidRDefault="00F720D5" w:rsidP="00F8386C">
            <w:pPr>
              <w:jc w:val="right"/>
              <w:rPr>
                <w:rFonts w:asciiTheme="minorHAnsi" w:hAnsiTheme="minorHAnsi" w:cs="Arial"/>
                <w:b/>
                <w:sz w:val="20"/>
                <w:szCs w:val="20"/>
              </w:rPr>
            </w:pPr>
            <w:r>
              <w:rPr>
                <w:rFonts w:asciiTheme="minorHAnsi" w:hAnsiTheme="minorHAnsi" w:cs="Arial"/>
                <w:b/>
                <w:sz w:val="20"/>
                <w:szCs w:val="20"/>
              </w:rPr>
              <w:t>1.2</w:t>
            </w:r>
          </w:p>
        </w:tc>
        <w:tc>
          <w:tcPr>
            <w:tcW w:w="1341" w:type="dxa"/>
            <w:vAlign w:val="bottom"/>
          </w:tcPr>
          <w:p w14:paraId="6B36BB69" w14:textId="7AFFD91F" w:rsidR="00F720D5" w:rsidRPr="006D4208" w:rsidRDefault="00F720D5" w:rsidP="00F8386C">
            <w:pPr>
              <w:jc w:val="right"/>
              <w:rPr>
                <w:rFonts w:asciiTheme="minorHAnsi" w:hAnsiTheme="minorHAnsi" w:cs="Arial"/>
                <w:sz w:val="20"/>
                <w:szCs w:val="20"/>
              </w:rPr>
            </w:pPr>
            <w:r>
              <w:rPr>
                <w:rFonts w:asciiTheme="minorHAnsi" w:hAnsiTheme="minorHAnsi" w:cs="Arial"/>
                <w:sz w:val="20"/>
                <w:szCs w:val="20"/>
              </w:rPr>
              <w:t>-</w:t>
            </w:r>
          </w:p>
        </w:tc>
        <w:tc>
          <w:tcPr>
            <w:tcW w:w="1086" w:type="dxa"/>
            <w:vAlign w:val="bottom"/>
          </w:tcPr>
          <w:p w14:paraId="2DC0A0B5" w14:textId="44397AFD" w:rsidR="00F720D5" w:rsidRPr="006D4208" w:rsidRDefault="00F720D5" w:rsidP="00F8386C">
            <w:pPr>
              <w:jc w:val="right"/>
              <w:rPr>
                <w:rFonts w:asciiTheme="minorHAnsi" w:hAnsiTheme="minorHAnsi" w:cs="Arial"/>
                <w:sz w:val="20"/>
                <w:szCs w:val="20"/>
              </w:rPr>
            </w:pPr>
            <w:r>
              <w:rPr>
                <w:rFonts w:asciiTheme="minorHAnsi" w:hAnsiTheme="minorHAnsi" w:cs="Arial"/>
                <w:sz w:val="20"/>
                <w:szCs w:val="20"/>
              </w:rPr>
              <w:t>-</w:t>
            </w:r>
          </w:p>
        </w:tc>
        <w:tc>
          <w:tcPr>
            <w:tcW w:w="1200" w:type="dxa"/>
          </w:tcPr>
          <w:p w14:paraId="51E21971" w14:textId="6C301825" w:rsidR="00F720D5" w:rsidRPr="006A0B83" w:rsidRDefault="00F720D5" w:rsidP="00F8386C">
            <w:pPr>
              <w:jc w:val="right"/>
              <w:rPr>
                <w:rFonts w:asciiTheme="minorHAnsi" w:hAnsiTheme="minorHAnsi" w:cs="Arial"/>
                <w:sz w:val="20"/>
                <w:szCs w:val="20"/>
                <w:lang w:val="fr-FR"/>
              </w:rPr>
            </w:pPr>
            <w:r>
              <w:rPr>
                <w:rFonts w:asciiTheme="minorHAnsi" w:hAnsiTheme="minorHAnsi" w:cs="Arial"/>
                <w:sz w:val="20"/>
                <w:szCs w:val="20"/>
                <w:lang w:val="fr-FR"/>
              </w:rPr>
              <w:t>-</w:t>
            </w:r>
          </w:p>
        </w:tc>
      </w:tr>
      <w:tr w:rsidR="00F8386C" w:rsidRPr="00701439" w14:paraId="24162EC8" w14:textId="291F7D03" w:rsidTr="002725AC">
        <w:trPr>
          <w:trHeight w:val="142"/>
        </w:trPr>
        <w:tc>
          <w:tcPr>
            <w:tcW w:w="4536" w:type="dxa"/>
            <w:vAlign w:val="bottom"/>
          </w:tcPr>
          <w:p w14:paraId="6EAB3526" w14:textId="77777777" w:rsidR="00F8386C" w:rsidRPr="00701439" w:rsidRDefault="00F8386C" w:rsidP="00F8386C">
            <w:pPr>
              <w:rPr>
                <w:rFonts w:asciiTheme="minorHAnsi" w:hAnsiTheme="minorHAnsi" w:cs="Arial"/>
                <w:sz w:val="20"/>
                <w:szCs w:val="20"/>
              </w:rPr>
            </w:pPr>
            <w:r w:rsidRPr="00701439">
              <w:rPr>
                <w:rFonts w:asciiTheme="minorHAnsi" w:hAnsiTheme="minorHAnsi" w:cs="Arial"/>
                <w:sz w:val="20"/>
                <w:szCs w:val="20"/>
              </w:rPr>
              <w:t>Retail deposits</w:t>
            </w:r>
          </w:p>
        </w:tc>
        <w:tc>
          <w:tcPr>
            <w:tcW w:w="618" w:type="dxa"/>
            <w:vAlign w:val="bottom"/>
          </w:tcPr>
          <w:p w14:paraId="3922D93B" w14:textId="77777777" w:rsidR="00F8386C" w:rsidRPr="00701439" w:rsidRDefault="00F8386C" w:rsidP="00F8386C">
            <w:pPr>
              <w:jc w:val="right"/>
              <w:rPr>
                <w:rFonts w:asciiTheme="minorHAnsi" w:hAnsiTheme="minorHAnsi" w:cs="Arial"/>
                <w:sz w:val="20"/>
                <w:szCs w:val="20"/>
              </w:rPr>
            </w:pPr>
          </w:p>
        </w:tc>
        <w:tc>
          <w:tcPr>
            <w:tcW w:w="1028" w:type="dxa"/>
            <w:shd w:val="clear" w:color="auto" w:fill="F2F2F2" w:themeFill="background1" w:themeFillShade="F2"/>
            <w:vAlign w:val="bottom"/>
          </w:tcPr>
          <w:p w14:paraId="08F491F7" w14:textId="5F669B4C" w:rsidR="00F8386C" w:rsidRPr="005E6504" w:rsidRDefault="00217E44" w:rsidP="00F8386C">
            <w:pPr>
              <w:jc w:val="right"/>
              <w:rPr>
                <w:rFonts w:asciiTheme="minorHAnsi" w:hAnsiTheme="minorHAnsi" w:cs="Arial"/>
                <w:b/>
                <w:sz w:val="20"/>
                <w:szCs w:val="20"/>
              </w:rPr>
            </w:pPr>
            <w:r w:rsidRPr="005E6504">
              <w:rPr>
                <w:rFonts w:asciiTheme="minorHAnsi" w:hAnsiTheme="minorHAnsi" w:cs="Arial"/>
                <w:b/>
                <w:sz w:val="20"/>
                <w:szCs w:val="20"/>
              </w:rPr>
              <w:t>1,937.5</w:t>
            </w:r>
          </w:p>
        </w:tc>
        <w:tc>
          <w:tcPr>
            <w:tcW w:w="1341" w:type="dxa"/>
            <w:vAlign w:val="bottom"/>
          </w:tcPr>
          <w:p w14:paraId="377BDA24" w14:textId="1EE0E26F" w:rsidR="00F8386C" w:rsidRPr="006D4208" w:rsidRDefault="00A069A5" w:rsidP="00F8386C">
            <w:pPr>
              <w:jc w:val="right"/>
              <w:rPr>
                <w:rFonts w:asciiTheme="minorHAnsi" w:hAnsiTheme="minorHAnsi" w:cs="Arial"/>
                <w:sz w:val="20"/>
                <w:szCs w:val="20"/>
              </w:rPr>
            </w:pPr>
            <w:r w:rsidRPr="006D4208">
              <w:rPr>
                <w:rFonts w:asciiTheme="minorHAnsi" w:hAnsiTheme="minorHAnsi" w:cs="Arial"/>
                <w:sz w:val="20"/>
                <w:szCs w:val="20"/>
              </w:rPr>
              <w:t>1,950.5</w:t>
            </w:r>
          </w:p>
        </w:tc>
        <w:tc>
          <w:tcPr>
            <w:tcW w:w="1086" w:type="dxa"/>
            <w:vAlign w:val="bottom"/>
          </w:tcPr>
          <w:p w14:paraId="299068EE" w14:textId="709B72AE" w:rsidR="00F8386C" w:rsidRPr="006D4208" w:rsidRDefault="00AA0076" w:rsidP="00F8386C">
            <w:pPr>
              <w:jc w:val="right"/>
              <w:rPr>
                <w:rFonts w:asciiTheme="minorHAnsi" w:hAnsiTheme="minorHAnsi" w:cs="Arial"/>
                <w:sz w:val="20"/>
                <w:szCs w:val="20"/>
              </w:rPr>
            </w:pPr>
            <w:r w:rsidRPr="006D4208">
              <w:rPr>
                <w:rFonts w:asciiTheme="minorHAnsi" w:hAnsiTheme="minorHAnsi" w:cs="Arial"/>
                <w:sz w:val="20"/>
                <w:szCs w:val="20"/>
              </w:rPr>
              <w:t>1,445.3</w:t>
            </w:r>
          </w:p>
        </w:tc>
        <w:tc>
          <w:tcPr>
            <w:tcW w:w="1200" w:type="dxa"/>
          </w:tcPr>
          <w:p w14:paraId="7164171E" w14:textId="5A1C796C" w:rsidR="00CA09A7" w:rsidRPr="006A0B83" w:rsidRDefault="00CA09A7" w:rsidP="00F8386C">
            <w:pPr>
              <w:jc w:val="right"/>
              <w:rPr>
                <w:rFonts w:asciiTheme="minorHAnsi" w:hAnsiTheme="minorHAnsi" w:cs="Arial"/>
                <w:sz w:val="20"/>
                <w:szCs w:val="20"/>
                <w:lang w:val="fr-FR"/>
              </w:rPr>
            </w:pPr>
            <w:r w:rsidRPr="006A0B83">
              <w:rPr>
                <w:rFonts w:asciiTheme="minorHAnsi" w:hAnsiTheme="minorHAnsi" w:cs="Arial"/>
                <w:sz w:val="20"/>
                <w:szCs w:val="20"/>
                <w:lang w:val="fr-FR"/>
              </w:rPr>
              <w:t>1</w:t>
            </w:r>
            <w:r w:rsidR="00C6606F">
              <w:rPr>
                <w:rFonts w:asciiTheme="minorHAnsi" w:hAnsiTheme="minorHAnsi" w:cs="Arial"/>
                <w:sz w:val="20"/>
                <w:szCs w:val="20"/>
                <w:lang w:val="fr-FR"/>
              </w:rPr>
              <w:t>,</w:t>
            </w:r>
            <w:r w:rsidRPr="006A0B83">
              <w:rPr>
                <w:rFonts w:asciiTheme="minorHAnsi" w:hAnsiTheme="minorHAnsi" w:cs="Arial"/>
                <w:sz w:val="20"/>
                <w:szCs w:val="20"/>
                <w:lang w:val="fr-FR"/>
              </w:rPr>
              <w:t>100.6</w:t>
            </w:r>
          </w:p>
        </w:tc>
      </w:tr>
      <w:tr w:rsidR="00F8386C" w:rsidRPr="00701439" w14:paraId="256EA373" w14:textId="79A25F2A" w:rsidTr="002725AC">
        <w:trPr>
          <w:trHeight w:val="142"/>
        </w:trPr>
        <w:tc>
          <w:tcPr>
            <w:tcW w:w="4536" w:type="dxa"/>
            <w:vAlign w:val="bottom"/>
          </w:tcPr>
          <w:p w14:paraId="020D6A9A" w14:textId="77777777" w:rsidR="00F8386C" w:rsidRPr="00701439" w:rsidRDefault="00F8386C" w:rsidP="00F8386C">
            <w:pPr>
              <w:rPr>
                <w:rFonts w:asciiTheme="minorHAnsi" w:hAnsiTheme="minorHAnsi" w:cs="Arial"/>
                <w:sz w:val="20"/>
                <w:szCs w:val="20"/>
              </w:rPr>
            </w:pPr>
            <w:r w:rsidRPr="00701439">
              <w:rPr>
                <w:rFonts w:asciiTheme="minorHAnsi" w:hAnsiTheme="minorHAnsi" w:cs="Arial"/>
                <w:sz w:val="20"/>
                <w:szCs w:val="20"/>
              </w:rPr>
              <w:t>Bank and other borrowings</w:t>
            </w:r>
          </w:p>
        </w:tc>
        <w:tc>
          <w:tcPr>
            <w:tcW w:w="618" w:type="dxa"/>
            <w:vAlign w:val="bottom"/>
          </w:tcPr>
          <w:p w14:paraId="57BF5569" w14:textId="77777777" w:rsidR="00F8386C" w:rsidRPr="00701439" w:rsidRDefault="00F8386C" w:rsidP="00F8386C">
            <w:pPr>
              <w:jc w:val="right"/>
              <w:rPr>
                <w:rFonts w:asciiTheme="minorHAnsi" w:hAnsiTheme="minorHAnsi" w:cs="Arial"/>
                <w:sz w:val="20"/>
                <w:szCs w:val="20"/>
              </w:rPr>
            </w:pPr>
          </w:p>
        </w:tc>
        <w:tc>
          <w:tcPr>
            <w:tcW w:w="1028" w:type="dxa"/>
            <w:shd w:val="clear" w:color="auto" w:fill="F2F2F2" w:themeFill="background1" w:themeFillShade="F2"/>
            <w:vAlign w:val="bottom"/>
          </w:tcPr>
          <w:p w14:paraId="623C7137" w14:textId="0105D446" w:rsidR="00F8386C" w:rsidRPr="005E6504" w:rsidRDefault="000D2FF1" w:rsidP="00F8386C">
            <w:pPr>
              <w:jc w:val="right"/>
              <w:rPr>
                <w:rFonts w:asciiTheme="minorHAnsi" w:hAnsiTheme="minorHAnsi" w:cs="Arial"/>
                <w:b/>
                <w:sz w:val="20"/>
                <w:szCs w:val="20"/>
              </w:rPr>
            </w:pPr>
            <w:r w:rsidRPr="005E6504">
              <w:rPr>
                <w:rFonts w:asciiTheme="minorHAnsi" w:hAnsiTheme="minorHAnsi" w:cs="Arial"/>
                <w:b/>
                <w:sz w:val="20"/>
                <w:szCs w:val="20"/>
              </w:rPr>
              <w:t>504.1</w:t>
            </w:r>
          </w:p>
        </w:tc>
        <w:tc>
          <w:tcPr>
            <w:tcW w:w="1341" w:type="dxa"/>
            <w:vAlign w:val="bottom"/>
          </w:tcPr>
          <w:p w14:paraId="7B02324A" w14:textId="33093F2E" w:rsidR="00F8386C" w:rsidRPr="006D4208" w:rsidRDefault="006A25F1" w:rsidP="00F8386C">
            <w:pPr>
              <w:jc w:val="right"/>
              <w:rPr>
                <w:rFonts w:asciiTheme="minorHAnsi" w:hAnsiTheme="minorHAnsi" w:cs="Arial"/>
                <w:sz w:val="20"/>
                <w:szCs w:val="20"/>
              </w:rPr>
            </w:pPr>
            <w:r w:rsidRPr="006D4208">
              <w:rPr>
                <w:rFonts w:asciiTheme="minorHAnsi" w:hAnsiTheme="minorHAnsi" w:cs="Arial"/>
                <w:sz w:val="20"/>
                <w:szCs w:val="20"/>
              </w:rPr>
              <w:t>582.5</w:t>
            </w:r>
          </w:p>
        </w:tc>
        <w:tc>
          <w:tcPr>
            <w:tcW w:w="1086" w:type="dxa"/>
            <w:vAlign w:val="bottom"/>
          </w:tcPr>
          <w:p w14:paraId="43D0342E" w14:textId="2C68A5CB" w:rsidR="00F8386C" w:rsidRPr="006D4208" w:rsidRDefault="00AA0076" w:rsidP="00F8386C">
            <w:pPr>
              <w:jc w:val="right"/>
              <w:rPr>
                <w:rFonts w:asciiTheme="minorHAnsi" w:hAnsiTheme="minorHAnsi" w:cs="Arial"/>
                <w:sz w:val="20"/>
                <w:szCs w:val="20"/>
              </w:rPr>
            </w:pPr>
            <w:r w:rsidRPr="006D4208">
              <w:rPr>
                <w:rFonts w:asciiTheme="minorHAnsi" w:hAnsiTheme="minorHAnsi" w:cs="Arial"/>
                <w:sz w:val="20"/>
                <w:szCs w:val="20"/>
              </w:rPr>
              <w:t>706.6</w:t>
            </w:r>
          </w:p>
        </w:tc>
        <w:tc>
          <w:tcPr>
            <w:tcW w:w="1200" w:type="dxa"/>
          </w:tcPr>
          <w:p w14:paraId="4D20079A" w14:textId="0992E657" w:rsidR="00EB64D7" w:rsidRPr="006A0B83" w:rsidRDefault="00EB64D7" w:rsidP="00F8386C">
            <w:pPr>
              <w:jc w:val="right"/>
              <w:rPr>
                <w:rFonts w:asciiTheme="minorHAnsi" w:hAnsiTheme="minorHAnsi" w:cs="Arial"/>
                <w:sz w:val="20"/>
                <w:szCs w:val="20"/>
                <w:lang w:val="fr-FR"/>
              </w:rPr>
            </w:pPr>
            <w:r w:rsidRPr="006A0B83">
              <w:rPr>
                <w:rFonts w:asciiTheme="minorHAnsi" w:hAnsiTheme="minorHAnsi" w:cs="Arial"/>
                <w:sz w:val="20"/>
                <w:szCs w:val="20"/>
                <w:lang w:val="fr-FR"/>
              </w:rPr>
              <w:t>815.4</w:t>
            </w:r>
          </w:p>
        </w:tc>
      </w:tr>
      <w:tr w:rsidR="00F8386C" w:rsidRPr="00701439" w14:paraId="71C9206A" w14:textId="379AA88B" w:rsidTr="002725AC">
        <w:trPr>
          <w:trHeight w:val="142"/>
        </w:trPr>
        <w:tc>
          <w:tcPr>
            <w:tcW w:w="4536" w:type="dxa"/>
            <w:vAlign w:val="bottom"/>
          </w:tcPr>
          <w:p w14:paraId="20814B58" w14:textId="77777777" w:rsidR="00F8386C" w:rsidRPr="00701439" w:rsidRDefault="00F8386C" w:rsidP="00F8386C">
            <w:pPr>
              <w:rPr>
                <w:rFonts w:asciiTheme="minorHAnsi" w:hAnsiTheme="minorHAnsi" w:cs="Arial"/>
                <w:sz w:val="20"/>
                <w:szCs w:val="20"/>
                <w:lang w:val="en-US"/>
              </w:rPr>
            </w:pPr>
            <w:r w:rsidRPr="00701439">
              <w:rPr>
                <w:rFonts w:asciiTheme="minorHAnsi" w:hAnsiTheme="minorHAnsi" w:cs="Arial"/>
                <w:sz w:val="20"/>
                <w:szCs w:val="20"/>
                <w:lang w:val="en-US"/>
              </w:rPr>
              <w:t>Derivative financial instruments</w:t>
            </w:r>
          </w:p>
        </w:tc>
        <w:tc>
          <w:tcPr>
            <w:tcW w:w="618" w:type="dxa"/>
            <w:vAlign w:val="bottom"/>
          </w:tcPr>
          <w:p w14:paraId="1B343D45" w14:textId="5C2108A0" w:rsidR="00F8386C" w:rsidRPr="00701439" w:rsidRDefault="008F586D" w:rsidP="00F8386C">
            <w:pPr>
              <w:jc w:val="right"/>
              <w:rPr>
                <w:rFonts w:asciiTheme="minorHAnsi" w:hAnsiTheme="minorHAnsi" w:cs="Arial"/>
                <w:sz w:val="20"/>
                <w:szCs w:val="20"/>
              </w:rPr>
            </w:pPr>
            <w:r w:rsidRPr="006D4208">
              <w:rPr>
                <w:rFonts w:asciiTheme="minorHAnsi" w:hAnsiTheme="minorHAnsi" w:cs="Arial"/>
                <w:sz w:val="20"/>
                <w:szCs w:val="20"/>
              </w:rPr>
              <w:t>1</w:t>
            </w:r>
            <w:r w:rsidR="00F858B2" w:rsidRPr="006D4208">
              <w:rPr>
                <w:rFonts w:asciiTheme="minorHAnsi" w:hAnsiTheme="minorHAnsi" w:cs="Arial"/>
                <w:sz w:val="20"/>
                <w:szCs w:val="20"/>
              </w:rPr>
              <w:t>2</w:t>
            </w:r>
          </w:p>
        </w:tc>
        <w:tc>
          <w:tcPr>
            <w:tcW w:w="1028" w:type="dxa"/>
            <w:shd w:val="clear" w:color="auto" w:fill="F2F2F2" w:themeFill="background1" w:themeFillShade="F2"/>
            <w:vAlign w:val="bottom"/>
          </w:tcPr>
          <w:p w14:paraId="3E1F52CA" w14:textId="54D8454F" w:rsidR="00F8386C" w:rsidRPr="005E6504" w:rsidRDefault="00103C73" w:rsidP="00F8386C">
            <w:pPr>
              <w:jc w:val="right"/>
              <w:rPr>
                <w:rFonts w:asciiTheme="minorHAnsi" w:hAnsiTheme="minorHAnsi" w:cs="Arial"/>
                <w:b/>
                <w:sz w:val="20"/>
                <w:szCs w:val="20"/>
              </w:rPr>
            </w:pPr>
            <w:r w:rsidRPr="005E6504">
              <w:rPr>
                <w:rFonts w:asciiTheme="minorHAnsi" w:hAnsiTheme="minorHAnsi" w:cs="Arial"/>
                <w:b/>
                <w:sz w:val="20"/>
                <w:szCs w:val="20"/>
              </w:rPr>
              <w:t>9.</w:t>
            </w:r>
            <w:r w:rsidR="003D63CD" w:rsidRPr="005E6504">
              <w:rPr>
                <w:rFonts w:asciiTheme="minorHAnsi" w:hAnsiTheme="minorHAnsi" w:cs="Arial"/>
                <w:b/>
                <w:sz w:val="20"/>
                <w:szCs w:val="20"/>
              </w:rPr>
              <w:t>6</w:t>
            </w:r>
          </w:p>
        </w:tc>
        <w:tc>
          <w:tcPr>
            <w:tcW w:w="1341" w:type="dxa"/>
            <w:vAlign w:val="bottom"/>
          </w:tcPr>
          <w:p w14:paraId="3ED76BE1" w14:textId="680BC320" w:rsidR="00F8386C" w:rsidRPr="006D4208" w:rsidRDefault="00A069A5" w:rsidP="00F8386C">
            <w:pPr>
              <w:jc w:val="right"/>
              <w:rPr>
                <w:rFonts w:asciiTheme="minorHAnsi" w:hAnsiTheme="minorHAnsi" w:cs="Arial"/>
                <w:sz w:val="20"/>
                <w:szCs w:val="20"/>
              </w:rPr>
            </w:pPr>
            <w:r w:rsidRPr="006D4208">
              <w:rPr>
                <w:rFonts w:asciiTheme="minorHAnsi" w:hAnsiTheme="minorHAnsi" w:cs="Arial"/>
                <w:sz w:val="20"/>
                <w:szCs w:val="20"/>
              </w:rPr>
              <w:t>1.8</w:t>
            </w:r>
          </w:p>
        </w:tc>
        <w:tc>
          <w:tcPr>
            <w:tcW w:w="1086" w:type="dxa"/>
            <w:vAlign w:val="bottom"/>
          </w:tcPr>
          <w:p w14:paraId="52B7D73D" w14:textId="2188A9D8" w:rsidR="00F8386C" w:rsidRPr="006D4208" w:rsidRDefault="00AA0076" w:rsidP="00F8386C">
            <w:pPr>
              <w:jc w:val="right"/>
              <w:rPr>
                <w:rFonts w:asciiTheme="minorHAnsi" w:hAnsiTheme="minorHAnsi" w:cs="Arial"/>
                <w:sz w:val="20"/>
                <w:szCs w:val="20"/>
              </w:rPr>
            </w:pPr>
            <w:r w:rsidRPr="006D4208">
              <w:rPr>
                <w:rFonts w:asciiTheme="minorHAnsi" w:hAnsiTheme="minorHAnsi" w:cs="Arial"/>
                <w:sz w:val="20"/>
                <w:szCs w:val="20"/>
              </w:rPr>
              <w:t>27.8</w:t>
            </w:r>
          </w:p>
        </w:tc>
        <w:tc>
          <w:tcPr>
            <w:tcW w:w="1200" w:type="dxa"/>
          </w:tcPr>
          <w:p w14:paraId="66271D12" w14:textId="6EAB0C2F" w:rsidR="00FB5F9A" w:rsidRPr="006A0B83" w:rsidRDefault="00FB5F9A" w:rsidP="00F8386C">
            <w:pPr>
              <w:jc w:val="right"/>
              <w:rPr>
                <w:rFonts w:asciiTheme="minorHAnsi" w:hAnsiTheme="minorHAnsi" w:cs="Arial"/>
                <w:sz w:val="20"/>
                <w:szCs w:val="20"/>
                <w:lang w:val="fr-FR"/>
              </w:rPr>
            </w:pPr>
            <w:r w:rsidRPr="006A0B83">
              <w:rPr>
                <w:rFonts w:asciiTheme="minorHAnsi" w:hAnsiTheme="minorHAnsi" w:cs="Arial"/>
                <w:sz w:val="20"/>
                <w:szCs w:val="20"/>
                <w:lang w:val="fr-FR"/>
              </w:rPr>
              <w:t>15.3</w:t>
            </w:r>
          </w:p>
        </w:tc>
      </w:tr>
      <w:tr w:rsidR="006B01E8" w:rsidRPr="0020390F" w14:paraId="63BC49F1" w14:textId="6F0FED4A" w:rsidTr="002725AC">
        <w:trPr>
          <w:trHeight w:val="142"/>
        </w:trPr>
        <w:tc>
          <w:tcPr>
            <w:tcW w:w="4536" w:type="dxa"/>
            <w:vAlign w:val="bottom"/>
          </w:tcPr>
          <w:p w14:paraId="4BED79DE" w14:textId="77777777" w:rsidR="006B01E8" w:rsidRPr="00701439" w:rsidRDefault="006B01E8" w:rsidP="006B01E8">
            <w:pPr>
              <w:rPr>
                <w:rFonts w:asciiTheme="minorHAnsi" w:hAnsiTheme="minorHAnsi" w:cs="Arial"/>
                <w:b/>
                <w:sz w:val="20"/>
                <w:szCs w:val="20"/>
              </w:rPr>
            </w:pPr>
            <w:r w:rsidRPr="00701439">
              <w:rPr>
                <w:rFonts w:asciiTheme="minorHAnsi" w:hAnsiTheme="minorHAnsi" w:cs="Arial"/>
                <w:b/>
                <w:sz w:val="20"/>
                <w:szCs w:val="20"/>
              </w:rPr>
              <w:t>Total liabilities</w:t>
            </w:r>
          </w:p>
        </w:tc>
        <w:tc>
          <w:tcPr>
            <w:tcW w:w="618" w:type="dxa"/>
            <w:vAlign w:val="bottom"/>
          </w:tcPr>
          <w:p w14:paraId="7069211F" w14:textId="77777777" w:rsidR="006B01E8" w:rsidRPr="00701439" w:rsidRDefault="006B01E8" w:rsidP="006B01E8">
            <w:pPr>
              <w:jc w:val="right"/>
              <w:rPr>
                <w:rFonts w:asciiTheme="minorHAnsi" w:hAnsiTheme="minorHAnsi" w:cs="Arial"/>
                <w:sz w:val="20"/>
                <w:szCs w:val="20"/>
              </w:rPr>
            </w:pPr>
          </w:p>
        </w:tc>
        <w:tc>
          <w:tcPr>
            <w:tcW w:w="1028" w:type="dxa"/>
            <w:tcBorders>
              <w:top w:val="single" w:sz="4" w:space="0" w:color="auto"/>
              <w:left w:val="nil"/>
              <w:bottom w:val="single" w:sz="4" w:space="0" w:color="auto"/>
              <w:right w:val="nil"/>
            </w:tcBorders>
            <w:shd w:val="clear" w:color="auto" w:fill="F2F2F2" w:themeFill="background1" w:themeFillShade="F2"/>
            <w:vAlign w:val="bottom"/>
          </w:tcPr>
          <w:p w14:paraId="0C289C8C" w14:textId="0FBBDFA4" w:rsidR="006B01E8" w:rsidRPr="005E6504" w:rsidRDefault="002B7C3C" w:rsidP="006B01E8">
            <w:pPr>
              <w:jc w:val="right"/>
              <w:rPr>
                <w:rFonts w:asciiTheme="minorHAnsi" w:hAnsiTheme="minorHAnsi" w:cs="Arial"/>
                <w:b/>
                <w:sz w:val="20"/>
                <w:szCs w:val="20"/>
              </w:rPr>
            </w:pPr>
            <w:r w:rsidRPr="005E6504">
              <w:rPr>
                <w:rFonts w:asciiTheme="minorHAnsi" w:hAnsiTheme="minorHAnsi" w:cs="Arial"/>
                <w:b/>
                <w:sz w:val="20"/>
                <w:szCs w:val="20"/>
              </w:rPr>
              <w:t>2,55</w:t>
            </w:r>
            <w:r w:rsidR="001C7C71">
              <w:rPr>
                <w:rFonts w:asciiTheme="minorHAnsi" w:hAnsiTheme="minorHAnsi" w:cs="Arial"/>
                <w:b/>
                <w:sz w:val="20"/>
                <w:szCs w:val="20"/>
              </w:rPr>
              <w:t>5</w:t>
            </w:r>
            <w:r w:rsidRPr="005E6504">
              <w:rPr>
                <w:rFonts w:asciiTheme="minorHAnsi" w:hAnsiTheme="minorHAnsi" w:cs="Arial"/>
                <w:b/>
                <w:sz w:val="20"/>
                <w:szCs w:val="20"/>
              </w:rPr>
              <w:t>.</w:t>
            </w:r>
            <w:r w:rsidR="001C7C71">
              <w:rPr>
                <w:rFonts w:asciiTheme="minorHAnsi" w:hAnsiTheme="minorHAnsi" w:cs="Arial"/>
                <w:b/>
                <w:sz w:val="20"/>
                <w:szCs w:val="20"/>
              </w:rPr>
              <w:t>4</w:t>
            </w:r>
          </w:p>
        </w:tc>
        <w:tc>
          <w:tcPr>
            <w:tcW w:w="1341" w:type="dxa"/>
            <w:tcBorders>
              <w:top w:val="single" w:sz="4" w:space="0" w:color="auto"/>
              <w:left w:val="nil"/>
              <w:bottom w:val="single" w:sz="4" w:space="0" w:color="auto"/>
              <w:right w:val="nil"/>
            </w:tcBorders>
            <w:vAlign w:val="bottom"/>
          </w:tcPr>
          <w:p w14:paraId="23C7A869" w14:textId="3DB1E4DC" w:rsidR="006B01E8" w:rsidRPr="006D4208" w:rsidRDefault="006B01E8" w:rsidP="006B01E8">
            <w:pPr>
              <w:jc w:val="right"/>
              <w:rPr>
                <w:rFonts w:asciiTheme="minorHAnsi" w:hAnsiTheme="minorHAnsi" w:cs="Arial"/>
                <w:sz w:val="20"/>
                <w:szCs w:val="20"/>
              </w:rPr>
            </w:pPr>
            <w:r w:rsidRPr="006D4208">
              <w:rPr>
                <w:rFonts w:asciiTheme="minorHAnsi" w:hAnsiTheme="minorHAnsi" w:cs="Arial"/>
                <w:sz w:val="20"/>
                <w:szCs w:val="20"/>
              </w:rPr>
              <w:t>2,</w:t>
            </w:r>
            <w:r w:rsidR="00A069A5" w:rsidRPr="006D4208">
              <w:rPr>
                <w:rFonts w:asciiTheme="minorHAnsi" w:hAnsiTheme="minorHAnsi" w:cs="Arial"/>
                <w:sz w:val="20"/>
                <w:szCs w:val="20"/>
              </w:rPr>
              <w:t>625.6</w:t>
            </w:r>
          </w:p>
        </w:tc>
        <w:tc>
          <w:tcPr>
            <w:tcW w:w="1086" w:type="dxa"/>
            <w:tcBorders>
              <w:top w:val="single" w:sz="4" w:space="0" w:color="auto"/>
              <w:left w:val="nil"/>
              <w:bottom w:val="single" w:sz="4" w:space="0" w:color="auto"/>
              <w:right w:val="nil"/>
            </w:tcBorders>
            <w:vAlign w:val="bottom"/>
          </w:tcPr>
          <w:p w14:paraId="0D0A6B1F" w14:textId="3D9EF6C2" w:rsidR="006B01E8" w:rsidRPr="006D4208" w:rsidRDefault="00AA0076" w:rsidP="006B01E8">
            <w:pPr>
              <w:jc w:val="right"/>
              <w:rPr>
                <w:rFonts w:asciiTheme="minorHAnsi" w:hAnsiTheme="minorHAnsi" w:cs="Arial"/>
                <w:sz w:val="20"/>
                <w:szCs w:val="20"/>
              </w:rPr>
            </w:pPr>
            <w:r w:rsidRPr="006D4208">
              <w:rPr>
                <w:rFonts w:asciiTheme="minorHAnsi" w:hAnsiTheme="minorHAnsi" w:cs="Arial"/>
                <w:sz w:val="20"/>
                <w:szCs w:val="20"/>
              </w:rPr>
              <w:t>2,298.2</w:t>
            </w:r>
          </w:p>
        </w:tc>
        <w:tc>
          <w:tcPr>
            <w:tcW w:w="1200" w:type="dxa"/>
            <w:tcBorders>
              <w:top w:val="single" w:sz="4" w:space="0" w:color="auto"/>
              <w:left w:val="nil"/>
              <w:bottom w:val="single" w:sz="4" w:space="0" w:color="auto"/>
              <w:right w:val="nil"/>
            </w:tcBorders>
          </w:tcPr>
          <w:p w14:paraId="073DA50C" w14:textId="061263B2" w:rsidR="00C53C22" w:rsidRPr="006A0B83" w:rsidRDefault="00C53C22" w:rsidP="006B01E8">
            <w:pPr>
              <w:jc w:val="right"/>
              <w:rPr>
                <w:rFonts w:asciiTheme="minorHAnsi" w:hAnsiTheme="minorHAnsi" w:cs="Arial"/>
                <w:sz w:val="20"/>
                <w:szCs w:val="20"/>
                <w:lang w:val="fr-FR"/>
              </w:rPr>
            </w:pPr>
            <w:r w:rsidRPr="006A0B83">
              <w:rPr>
                <w:rFonts w:asciiTheme="minorHAnsi" w:hAnsiTheme="minorHAnsi" w:cs="Arial"/>
                <w:sz w:val="20"/>
                <w:szCs w:val="20"/>
                <w:lang w:val="fr-FR"/>
              </w:rPr>
              <w:t>2</w:t>
            </w:r>
            <w:r w:rsidR="00964780">
              <w:rPr>
                <w:rFonts w:asciiTheme="minorHAnsi" w:hAnsiTheme="minorHAnsi" w:cs="Arial"/>
                <w:sz w:val="20"/>
                <w:szCs w:val="20"/>
                <w:lang w:val="fr-FR"/>
              </w:rPr>
              <w:t>,</w:t>
            </w:r>
            <w:r w:rsidRPr="006A0B83">
              <w:rPr>
                <w:rFonts w:asciiTheme="minorHAnsi" w:hAnsiTheme="minorHAnsi" w:cs="Arial"/>
                <w:sz w:val="20"/>
                <w:szCs w:val="20"/>
                <w:lang w:val="fr-FR"/>
              </w:rPr>
              <w:t>048.6</w:t>
            </w:r>
          </w:p>
        </w:tc>
      </w:tr>
      <w:tr w:rsidR="006B01E8" w:rsidRPr="00701439" w14:paraId="0411DD3F" w14:textId="3CD1EEA6" w:rsidTr="002725AC">
        <w:trPr>
          <w:trHeight w:val="142"/>
        </w:trPr>
        <w:tc>
          <w:tcPr>
            <w:tcW w:w="4536" w:type="dxa"/>
            <w:vAlign w:val="bottom"/>
          </w:tcPr>
          <w:p w14:paraId="496D9FE8" w14:textId="77777777" w:rsidR="006B01E8" w:rsidRPr="00701439" w:rsidRDefault="006B01E8" w:rsidP="006B01E8">
            <w:pPr>
              <w:rPr>
                <w:rFonts w:asciiTheme="minorHAnsi" w:hAnsiTheme="minorHAnsi" w:cs="Arial"/>
                <w:b/>
                <w:sz w:val="20"/>
                <w:szCs w:val="20"/>
              </w:rPr>
            </w:pPr>
            <w:r w:rsidRPr="00701439">
              <w:rPr>
                <w:rFonts w:asciiTheme="minorHAnsi" w:hAnsiTheme="minorHAnsi" w:cs="Arial"/>
                <w:b/>
                <w:sz w:val="20"/>
                <w:szCs w:val="20"/>
              </w:rPr>
              <w:t>Equity attributable to owners of the parent</w:t>
            </w:r>
          </w:p>
        </w:tc>
        <w:tc>
          <w:tcPr>
            <w:tcW w:w="618" w:type="dxa"/>
            <w:vAlign w:val="bottom"/>
          </w:tcPr>
          <w:p w14:paraId="0D9C5CB4" w14:textId="77777777" w:rsidR="006B01E8" w:rsidRPr="00701439" w:rsidRDefault="006B01E8" w:rsidP="006B01E8">
            <w:pPr>
              <w:jc w:val="right"/>
              <w:rPr>
                <w:rFonts w:asciiTheme="minorHAnsi" w:hAnsiTheme="minorHAnsi" w:cs="Arial"/>
                <w:sz w:val="20"/>
                <w:szCs w:val="20"/>
              </w:rPr>
            </w:pPr>
          </w:p>
        </w:tc>
        <w:tc>
          <w:tcPr>
            <w:tcW w:w="1028" w:type="dxa"/>
            <w:shd w:val="clear" w:color="auto" w:fill="F2F2F2" w:themeFill="background1" w:themeFillShade="F2"/>
            <w:vAlign w:val="bottom"/>
          </w:tcPr>
          <w:p w14:paraId="429D1B90" w14:textId="77777777" w:rsidR="006B01E8" w:rsidRPr="005E6504" w:rsidRDefault="006B01E8" w:rsidP="006B01E8">
            <w:pPr>
              <w:jc w:val="right"/>
              <w:rPr>
                <w:rFonts w:asciiTheme="minorHAnsi" w:hAnsiTheme="minorHAnsi" w:cs="Arial"/>
                <w:b/>
                <w:sz w:val="20"/>
                <w:szCs w:val="20"/>
                <w:highlight w:val="magenta"/>
              </w:rPr>
            </w:pPr>
          </w:p>
        </w:tc>
        <w:tc>
          <w:tcPr>
            <w:tcW w:w="1341" w:type="dxa"/>
          </w:tcPr>
          <w:p w14:paraId="209AD1DB" w14:textId="77777777" w:rsidR="006B01E8" w:rsidRPr="00350E4B" w:rsidRDefault="006B01E8" w:rsidP="006B01E8">
            <w:pPr>
              <w:jc w:val="right"/>
              <w:rPr>
                <w:rFonts w:asciiTheme="minorHAnsi" w:hAnsiTheme="minorHAnsi" w:cs="Arial"/>
                <w:sz w:val="20"/>
                <w:szCs w:val="20"/>
                <w:highlight w:val="magenta"/>
              </w:rPr>
            </w:pPr>
          </w:p>
        </w:tc>
        <w:tc>
          <w:tcPr>
            <w:tcW w:w="1086" w:type="dxa"/>
            <w:vAlign w:val="bottom"/>
          </w:tcPr>
          <w:p w14:paraId="203749AB" w14:textId="70CDC210" w:rsidR="006B01E8" w:rsidRPr="00350E4B" w:rsidRDefault="006B01E8" w:rsidP="006B01E8">
            <w:pPr>
              <w:jc w:val="right"/>
              <w:rPr>
                <w:rFonts w:asciiTheme="minorHAnsi" w:hAnsiTheme="minorHAnsi" w:cs="Arial"/>
                <w:sz w:val="20"/>
                <w:szCs w:val="20"/>
                <w:highlight w:val="magenta"/>
              </w:rPr>
            </w:pPr>
          </w:p>
        </w:tc>
        <w:tc>
          <w:tcPr>
            <w:tcW w:w="1200" w:type="dxa"/>
          </w:tcPr>
          <w:p w14:paraId="0B47AA46" w14:textId="77777777" w:rsidR="00411F98" w:rsidRPr="006A0B83" w:rsidRDefault="00411F98" w:rsidP="006B01E8">
            <w:pPr>
              <w:jc w:val="right"/>
              <w:rPr>
                <w:rFonts w:asciiTheme="minorHAnsi" w:hAnsiTheme="minorHAnsi" w:cs="Arial"/>
                <w:sz w:val="20"/>
                <w:szCs w:val="20"/>
                <w:lang w:val="fr-FR"/>
              </w:rPr>
            </w:pPr>
          </w:p>
        </w:tc>
      </w:tr>
      <w:tr w:rsidR="004C3F54" w:rsidRPr="00701439" w14:paraId="56B41650" w14:textId="7A444257" w:rsidTr="002725AC">
        <w:trPr>
          <w:trHeight w:val="142"/>
        </w:trPr>
        <w:tc>
          <w:tcPr>
            <w:tcW w:w="4536" w:type="dxa"/>
            <w:vAlign w:val="bottom"/>
          </w:tcPr>
          <w:p w14:paraId="3C616F3C" w14:textId="77777777" w:rsidR="004C3F54" w:rsidRPr="00701439" w:rsidRDefault="004C3F54" w:rsidP="004C3F54">
            <w:pPr>
              <w:rPr>
                <w:rFonts w:asciiTheme="minorHAnsi" w:hAnsiTheme="minorHAnsi" w:cs="Arial"/>
                <w:sz w:val="20"/>
                <w:szCs w:val="20"/>
              </w:rPr>
            </w:pPr>
            <w:r w:rsidRPr="00701439">
              <w:rPr>
                <w:rFonts w:asciiTheme="minorHAnsi" w:hAnsiTheme="minorHAnsi" w:cs="Arial"/>
                <w:sz w:val="20"/>
                <w:szCs w:val="20"/>
              </w:rPr>
              <w:t>Share capital</w:t>
            </w:r>
          </w:p>
        </w:tc>
        <w:tc>
          <w:tcPr>
            <w:tcW w:w="618" w:type="dxa"/>
            <w:vAlign w:val="bottom"/>
          </w:tcPr>
          <w:p w14:paraId="00F5373A" w14:textId="77777777" w:rsidR="004C3F54" w:rsidRPr="00701439" w:rsidRDefault="004C3F54" w:rsidP="004C3F54">
            <w:pPr>
              <w:jc w:val="right"/>
              <w:rPr>
                <w:rFonts w:asciiTheme="minorHAnsi" w:hAnsiTheme="minorHAnsi" w:cs="Arial"/>
                <w:sz w:val="20"/>
                <w:szCs w:val="20"/>
              </w:rPr>
            </w:pPr>
          </w:p>
        </w:tc>
        <w:tc>
          <w:tcPr>
            <w:tcW w:w="1028" w:type="dxa"/>
            <w:shd w:val="clear" w:color="auto" w:fill="F2F2F2" w:themeFill="background1" w:themeFillShade="F2"/>
            <w:vAlign w:val="bottom"/>
          </w:tcPr>
          <w:p w14:paraId="5A546B29" w14:textId="7CCD7EAE" w:rsidR="004C3F54" w:rsidRPr="005E6504" w:rsidRDefault="00E91A0B" w:rsidP="004C3F54">
            <w:pPr>
              <w:jc w:val="right"/>
              <w:rPr>
                <w:rFonts w:asciiTheme="minorHAnsi" w:hAnsiTheme="minorHAnsi" w:cs="Arial"/>
                <w:b/>
                <w:sz w:val="20"/>
                <w:szCs w:val="20"/>
              </w:rPr>
            </w:pPr>
            <w:r w:rsidRPr="005E6504">
              <w:rPr>
                <w:rFonts w:asciiTheme="minorHAnsi" w:hAnsiTheme="minorHAnsi" w:cs="Arial"/>
                <w:b/>
                <w:sz w:val="20"/>
                <w:szCs w:val="20"/>
              </w:rPr>
              <w:t>53.2</w:t>
            </w:r>
          </w:p>
        </w:tc>
        <w:tc>
          <w:tcPr>
            <w:tcW w:w="1341" w:type="dxa"/>
            <w:vAlign w:val="bottom"/>
          </w:tcPr>
          <w:p w14:paraId="13462D60" w14:textId="21E022EF" w:rsidR="004C3F54" w:rsidRPr="006D4208" w:rsidRDefault="0007658F" w:rsidP="004C3F54">
            <w:pPr>
              <w:jc w:val="right"/>
              <w:rPr>
                <w:rFonts w:asciiTheme="minorHAnsi" w:hAnsiTheme="minorHAnsi" w:cs="Arial"/>
                <w:sz w:val="20"/>
                <w:szCs w:val="20"/>
              </w:rPr>
            </w:pPr>
            <w:r w:rsidRPr="006D4208">
              <w:rPr>
                <w:rFonts w:asciiTheme="minorHAnsi" w:hAnsiTheme="minorHAnsi" w:cs="Arial"/>
                <w:sz w:val="20"/>
                <w:szCs w:val="20"/>
              </w:rPr>
              <w:t>53.2</w:t>
            </w:r>
          </w:p>
        </w:tc>
        <w:tc>
          <w:tcPr>
            <w:tcW w:w="1086" w:type="dxa"/>
            <w:vAlign w:val="bottom"/>
          </w:tcPr>
          <w:p w14:paraId="739FDB7C" w14:textId="6A56F3D9" w:rsidR="004C3F54" w:rsidRPr="006D4208" w:rsidRDefault="004C3F54" w:rsidP="004C3F54">
            <w:pPr>
              <w:jc w:val="right"/>
              <w:rPr>
                <w:rFonts w:asciiTheme="minorHAnsi" w:hAnsiTheme="minorHAnsi" w:cs="Arial"/>
                <w:sz w:val="20"/>
                <w:szCs w:val="20"/>
              </w:rPr>
            </w:pPr>
            <w:r w:rsidRPr="006D4208">
              <w:rPr>
                <w:rFonts w:asciiTheme="minorHAnsi" w:hAnsiTheme="minorHAnsi" w:cs="Arial"/>
                <w:sz w:val="20"/>
                <w:szCs w:val="20"/>
              </w:rPr>
              <w:t>52.6</w:t>
            </w:r>
          </w:p>
        </w:tc>
        <w:tc>
          <w:tcPr>
            <w:tcW w:w="1200" w:type="dxa"/>
          </w:tcPr>
          <w:p w14:paraId="6F88D276" w14:textId="36D98E87" w:rsidR="003A5381" w:rsidRPr="006A0B83" w:rsidRDefault="003A5381" w:rsidP="004C3F54">
            <w:pPr>
              <w:jc w:val="right"/>
              <w:rPr>
                <w:rFonts w:asciiTheme="minorHAnsi" w:hAnsiTheme="minorHAnsi" w:cs="Arial"/>
                <w:sz w:val="20"/>
                <w:szCs w:val="20"/>
                <w:lang w:val="fr-FR"/>
              </w:rPr>
            </w:pPr>
            <w:r w:rsidRPr="006A0B83">
              <w:rPr>
                <w:rFonts w:asciiTheme="minorHAnsi" w:hAnsiTheme="minorHAnsi" w:cs="Arial"/>
                <w:sz w:val="20"/>
                <w:szCs w:val="20"/>
                <w:lang w:val="fr-FR"/>
              </w:rPr>
              <w:t>52.6</w:t>
            </w:r>
          </w:p>
        </w:tc>
      </w:tr>
      <w:tr w:rsidR="004C3F54" w:rsidRPr="00701439" w14:paraId="3C94BF07" w14:textId="621994B9" w:rsidTr="002725AC">
        <w:trPr>
          <w:trHeight w:val="142"/>
        </w:trPr>
        <w:tc>
          <w:tcPr>
            <w:tcW w:w="4536" w:type="dxa"/>
            <w:vAlign w:val="bottom"/>
          </w:tcPr>
          <w:p w14:paraId="55C8D50D" w14:textId="77777777" w:rsidR="004C3F54" w:rsidRPr="00701439" w:rsidRDefault="004C3F54" w:rsidP="004C3F54">
            <w:pPr>
              <w:rPr>
                <w:rFonts w:asciiTheme="minorHAnsi" w:hAnsiTheme="minorHAnsi" w:cs="Arial"/>
                <w:sz w:val="20"/>
                <w:szCs w:val="20"/>
              </w:rPr>
            </w:pPr>
            <w:r w:rsidRPr="00701439">
              <w:rPr>
                <w:rFonts w:asciiTheme="minorHAnsi" w:hAnsiTheme="minorHAnsi" w:cs="Arial"/>
                <w:sz w:val="20"/>
                <w:szCs w:val="20"/>
              </w:rPr>
              <w:t>Share premium</w:t>
            </w:r>
          </w:p>
        </w:tc>
        <w:tc>
          <w:tcPr>
            <w:tcW w:w="618" w:type="dxa"/>
            <w:vAlign w:val="bottom"/>
          </w:tcPr>
          <w:p w14:paraId="14A23356" w14:textId="77777777" w:rsidR="004C3F54" w:rsidRPr="00701439" w:rsidRDefault="004C3F54" w:rsidP="004C3F54">
            <w:pPr>
              <w:jc w:val="right"/>
              <w:rPr>
                <w:rFonts w:asciiTheme="minorHAnsi" w:hAnsiTheme="minorHAnsi" w:cs="Arial"/>
                <w:sz w:val="20"/>
                <w:szCs w:val="20"/>
              </w:rPr>
            </w:pPr>
          </w:p>
        </w:tc>
        <w:tc>
          <w:tcPr>
            <w:tcW w:w="1028" w:type="dxa"/>
            <w:shd w:val="clear" w:color="auto" w:fill="F2F2F2" w:themeFill="background1" w:themeFillShade="F2"/>
            <w:vAlign w:val="bottom"/>
          </w:tcPr>
          <w:p w14:paraId="2D981507" w14:textId="3899FA96" w:rsidR="004C3F54" w:rsidRPr="005E6504" w:rsidRDefault="00E91A0B" w:rsidP="004C3F54">
            <w:pPr>
              <w:jc w:val="right"/>
              <w:rPr>
                <w:rFonts w:asciiTheme="minorHAnsi" w:hAnsiTheme="minorHAnsi" w:cs="Arial"/>
                <w:b/>
                <w:sz w:val="20"/>
                <w:szCs w:val="20"/>
              </w:rPr>
            </w:pPr>
            <w:r w:rsidRPr="005E6504">
              <w:rPr>
                <w:rFonts w:asciiTheme="minorHAnsi" w:hAnsiTheme="minorHAnsi" w:cs="Arial"/>
                <w:b/>
                <w:sz w:val="20"/>
                <w:szCs w:val="20"/>
              </w:rPr>
              <w:t>276.3</w:t>
            </w:r>
          </w:p>
        </w:tc>
        <w:tc>
          <w:tcPr>
            <w:tcW w:w="1341" w:type="dxa"/>
            <w:vAlign w:val="bottom"/>
          </w:tcPr>
          <w:p w14:paraId="242F3EE3" w14:textId="5F5D47E4" w:rsidR="004C3F54" w:rsidRPr="006D4208" w:rsidRDefault="004C3F54" w:rsidP="004C3F54">
            <w:pPr>
              <w:jc w:val="right"/>
              <w:rPr>
                <w:rFonts w:asciiTheme="minorHAnsi" w:hAnsiTheme="minorHAnsi" w:cs="Arial"/>
                <w:sz w:val="20"/>
                <w:szCs w:val="20"/>
              </w:rPr>
            </w:pPr>
            <w:r w:rsidRPr="006D4208">
              <w:rPr>
                <w:rFonts w:asciiTheme="minorHAnsi" w:hAnsiTheme="minorHAnsi" w:cs="Arial"/>
                <w:sz w:val="20"/>
                <w:szCs w:val="20"/>
              </w:rPr>
              <w:t>27</w:t>
            </w:r>
            <w:r w:rsidR="0007658F" w:rsidRPr="006D4208">
              <w:rPr>
                <w:rFonts w:asciiTheme="minorHAnsi" w:hAnsiTheme="minorHAnsi" w:cs="Arial"/>
                <w:sz w:val="20"/>
                <w:szCs w:val="20"/>
              </w:rPr>
              <w:t>6.3</w:t>
            </w:r>
          </w:p>
        </w:tc>
        <w:tc>
          <w:tcPr>
            <w:tcW w:w="1086" w:type="dxa"/>
            <w:vAlign w:val="bottom"/>
          </w:tcPr>
          <w:p w14:paraId="3E6B7C85" w14:textId="6A0DEDE7" w:rsidR="004C3F54" w:rsidRPr="006D4208" w:rsidRDefault="004C3F54" w:rsidP="004C3F54">
            <w:pPr>
              <w:jc w:val="right"/>
              <w:rPr>
                <w:rFonts w:asciiTheme="minorHAnsi" w:hAnsiTheme="minorHAnsi" w:cs="Arial"/>
                <w:sz w:val="20"/>
                <w:szCs w:val="20"/>
              </w:rPr>
            </w:pPr>
            <w:r w:rsidRPr="006D4208">
              <w:rPr>
                <w:rFonts w:asciiTheme="minorHAnsi" w:hAnsiTheme="minorHAnsi" w:cs="Arial"/>
                <w:sz w:val="20"/>
                <w:szCs w:val="20"/>
              </w:rPr>
              <w:t>273.</w:t>
            </w:r>
            <w:r w:rsidR="00891E1B" w:rsidRPr="006D4208">
              <w:rPr>
                <w:rFonts w:asciiTheme="minorHAnsi" w:hAnsiTheme="minorHAnsi" w:cs="Arial"/>
                <w:sz w:val="20"/>
                <w:szCs w:val="20"/>
              </w:rPr>
              <w:t>6</w:t>
            </w:r>
          </w:p>
        </w:tc>
        <w:tc>
          <w:tcPr>
            <w:tcW w:w="1200" w:type="dxa"/>
          </w:tcPr>
          <w:p w14:paraId="0F1404C0" w14:textId="71FA13F6" w:rsidR="00E20A72" w:rsidRPr="006A0B83" w:rsidRDefault="00E20A72" w:rsidP="004C3F54">
            <w:pPr>
              <w:jc w:val="right"/>
              <w:rPr>
                <w:rFonts w:asciiTheme="minorHAnsi" w:hAnsiTheme="minorHAnsi" w:cs="Arial"/>
                <w:sz w:val="20"/>
                <w:szCs w:val="20"/>
                <w:lang w:val="fr-FR"/>
              </w:rPr>
            </w:pPr>
            <w:r w:rsidRPr="006A0B83">
              <w:rPr>
                <w:rFonts w:asciiTheme="minorHAnsi" w:hAnsiTheme="minorHAnsi" w:cs="Arial"/>
                <w:sz w:val="20"/>
                <w:szCs w:val="20"/>
                <w:lang w:val="fr-FR"/>
              </w:rPr>
              <w:t>273.5</w:t>
            </w:r>
          </w:p>
        </w:tc>
      </w:tr>
      <w:tr w:rsidR="004C3F54" w:rsidRPr="00701439" w14:paraId="5D64D14E" w14:textId="7AC45D5B" w:rsidTr="002725AC">
        <w:trPr>
          <w:trHeight w:val="142"/>
        </w:trPr>
        <w:tc>
          <w:tcPr>
            <w:tcW w:w="4536" w:type="dxa"/>
            <w:vAlign w:val="bottom"/>
          </w:tcPr>
          <w:p w14:paraId="2F8661ED" w14:textId="5A8594A1" w:rsidR="004C3F54" w:rsidRPr="00701439" w:rsidRDefault="004C3F54" w:rsidP="004C3F54">
            <w:pPr>
              <w:rPr>
                <w:rFonts w:asciiTheme="minorHAnsi" w:hAnsiTheme="minorHAnsi" w:cs="Arial"/>
                <w:sz w:val="20"/>
                <w:szCs w:val="20"/>
              </w:rPr>
            </w:pPr>
            <w:r>
              <w:rPr>
                <w:rFonts w:asciiTheme="minorHAnsi" w:hAnsiTheme="minorHAnsi" w:cs="Arial"/>
                <w:sz w:val="20"/>
                <w:szCs w:val="20"/>
              </w:rPr>
              <w:t>Merger reserves</w:t>
            </w:r>
          </w:p>
        </w:tc>
        <w:tc>
          <w:tcPr>
            <w:tcW w:w="618" w:type="dxa"/>
            <w:vAlign w:val="bottom"/>
          </w:tcPr>
          <w:p w14:paraId="51678488" w14:textId="77777777" w:rsidR="004C3F54" w:rsidRPr="00701439" w:rsidRDefault="004C3F54" w:rsidP="004C3F54">
            <w:pPr>
              <w:jc w:val="right"/>
              <w:rPr>
                <w:rFonts w:asciiTheme="minorHAnsi" w:hAnsiTheme="minorHAnsi" w:cs="Arial"/>
                <w:sz w:val="20"/>
                <w:szCs w:val="20"/>
              </w:rPr>
            </w:pPr>
          </w:p>
        </w:tc>
        <w:tc>
          <w:tcPr>
            <w:tcW w:w="1028" w:type="dxa"/>
            <w:shd w:val="clear" w:color="auto" w:fill="F2F2F2" w:themeFill="background1" w:themeFillShade="F2"/>
            <w:vAlign w:val="bottom"/>
          </w:tcPr>
          <w:p w14:paraId="0B544188" w14:textId="672744E6" w:rsidR="004C3F54" w:rsidRPr="005E6504" w:rsidRDefault="00B740C9" w:rsidP="004C3F54">
            <w:pPr>
              <w:jc w:val="right"/>
              <w:rPr>
                <w:rFonts w:asciiTheme="minorHAnsi" w:hAnsiTheme="minorHAnsi" w:cs="Arial"/>
                <w:b/>
                <w:sz w:val="20"/>
                <w:szCs w:val="20"/>
              </w:rPr>
            </w:pPr>
            <w:r w:rsidRPr="005E6504">
              <w:rPr>
                <w:rFonts w:asciiTheme="minorHAnsi" w:hAnsiTheme="minorHAnsi" w:cs="Arial"/>
                <w:b/>
                <w:sz w:val="20"/>
                <w:szCs w:val="20"/>
              </w:rPr>
              <w:t>278.2</w:t>
            </w:r>
          </w:p>
        </w:tc>
        <w:tc>
          <w:tcPr>
            <w:tcW w:w="1341" w:type="dxa"/>
            <w:vAlign w:val="bottom"/>
          </w:tcPr>
          <w:p w14:paraId="3A62B601" w14:textId="4262AF3C" w:rsidR="004C3F54" w:rsidRPr="006D4208" w:rsidRDefault="004C3F54" w:rsidP="004C3F54">
            <w:pPr>
              <w:jc w:val="right"/>
              <w:rPr>
                <w:rFonts w:asciiTheme="minorHAnsi" w:hAnsiTheme="minorHAnsi" w:cs="Arial"/>
                <w:sz w:val="20"/>
                <w:szCs w:val="20"/>
              </w:rPr>
            </w:pPr>
            <w:r w:rsidRPr="006D4208">
              <w:rPr>
                <w:rFonts w:asciiTheme="minorHAnsi" w:hAnsiTheme="minorHAnsi" w:cs="Arial"/>
                <w:sz w:val="20"/>
                <w:szCs w:val="20"/>
              </w:rPr>
              <w:t>278.2</w:t>
            </w:r>
          </w:p>
        </w:tc>
        <w:tc>
          <w:tcPr>
            <w:tcW w:w="1086" w:type="dxa"/>
            <w:vAlign w:val="bottom"/>
          </w:tcPr>
          <w:p w14:paraId="77ED15A8" w14:textId="56B16FF4" w:rsidR="004C3F54" w:rsidRPr="006D4208" w:rsidRDefault="004C3F54" w:rsidP="004C3F54">
            <w:pPr>
              <w:jc w:val="right"/>
              <w:rPr>
                <w:rFonts w:asciiTheme="minorHAnsi" w:hAnsiTheme="minorHAnsi" w:cs="Arial"/>
                <w:sz w:val="20"/>
                <w:szCs w:val="20"/>
              </w:rPr>
            </w:pPr>
            <w:r w:rsidRPr="006D4208">
              <w:rPr>
                <w:rFonts w:asciiTheme="minorHAnsi" w:hAnsiTheme="minorHAnsi" w:cs="Arial"/>
                <w:sz w:val="20"/>
                <w:szCs w:val="20"/>
              </w:rPr>
              <w:t>278.2</w:t>
            </w:r>
          </w:p>
        </w:tc>
        <w:tc>
          <w:tcPr>
            <w:tcW w:w="1200" w:type="dxa"/>
          </w:tcPr>
          <w:p w14:paraId="500D8D67" w14:textId="69C38E95" w:rsidR="00BB439D" w:rsidRPr="006A0B83" w:rsidRDefault="00BB439D" w:rsidP="004C3F54">
            <w:pPr>
              <w:jc w:val="right"/>
              <w:rPr>
                <w:rFonts w:asciiTheme="minorHAnsi" w:hAnsiTheme="minorHAnsi" w:cs="Arial"/>
                <w:sz w:val="20"/>
                <w:szCs w:val="20"/>
                <w:lang w:val="fr-FR"/>
              </w:rPr>
            </w:pPr>
            <w:r w:rsidRPr="006A0B83">
              <w:rPr>
                <w:rFonts w:asciiTheme="minorHAnsi" w:hAnsiTheme="minorHAnsi" w:cs="Arial"/>
                <w:sz w:val="20"/>
                <w:szCs w:val="20"/>
                <w:lang w:val="fr-FR"/>
              </w:rPr>
              <w:t>278.2</w:t>
            </w:r>
          </w:p>
        </w:tc>
      </w:tr>
      <w:tr w:rsidR="00D3780A" w:rsidRPr="00701439" w14:paraId="50C469C2" w14:textId="2E53C2D1" w:rsidTr="002725AC">
        <w:trPr>
          <w:trHeight w:val="142"/>
        </w:trPr>
        <w:tc>
          <w:tcPr>
            <w:tcW w:w="4536" w:type="dxa"/>
            <w:vAlign w:val="bottom"/>
          </w:tcPr>
          <w:p w14:paraId="06A8949A" w14:textId="77777777" w:rsidR="00D3780A" w:rsidRPr="00701439" w:rsidRDefault="00D3780A" w:rsidP="00D3780A">
            <w:pPr>
              <w:rPr>
                <w:rFonts w:asciiTheme="minorHAnsi" w:hAnsiTheme="minorHAnsi" w:cs="Arial"/>
                <w:sz w:val="20"/>
                <w:szCs w:val="20"/>
              </w:rPr>
            </w:pPr>
            <w:r w:rsidRPr="00701439">
              <w:rPr>
                <w:rFonts w:asciiTheme="minorHAnsi" w:hAnsiTheme="minorHAnsi" w:cs="Arial"/>
                <w:sz w:val="20"/>
                <w:szCs w:val="20"/>
              </w:rPr>
              <w:t>Other reserves</w:t>
            </w:r>
          </w:p>
        </w:tc>
        <w:tc>
          <w:tcPr>
            <w:tcW w:w="618" w:type="dxa"/>
            <w:vAlign w:val="bottom"/>
          </w:tcPr>
          <w:p w14:paraId="0C598761" w14:textId="77777777" w:rsidR="00D3780A" w:rsidRPr="00701439" w:rsidRDefault="00D3780A" w:rsidP="00D3780A">
            <w:pPr>
              <w:jc w:val="right"/>
              <w:rPr>
                <w:rFonts w:asciiTheme="minorHAnsi" w:hAnsiTheme="minorHAnsi" w:cs="Arial"/>
                <w:sz w:val="20"/>
                <w:szCs w:val="20"/>
              </w:rPr>
            </w:pPr>
          </w:p>
        </w:tc>
        <w:tc>
          <w:tcPr>
            <w:tcW w:w="1028" w:type="dxa"/>
            <w:shd w:val="clear" w:color="auto" w:fill="F2F2F2" w:themeFill="background1" w:themeFillShade="F2"/>
            <w:vAlign w:val="bottom"/>
          </w:tcPr>
          <w:p w14:paraId="61AB46E3" w14:textId="010739DF" w:rsidR="00D3780A" w:rsidRPr="005E6504" w:rsidRDefault="002A0101" w:rsidP="00D3780A">
            <w:pPr>
              <w:jc w:val="right"/>
              <w:rPr>
                <w:rFonts w:asciiTheme="minorHAnsi" w:hAnsiTheme="minorHAnsi" w:cs="Arial"/>
                <w:b/>
                <w:sz w:val="20"/>
                <w:szCs w:val="20"/>
              </w:rPr>
            </w:pPr>
            <w:r w:rsidRPr="005E6504">
              <w:rPr>
                <w:rFonts w:asciiTheme="minorHAnsi" w:hAnsiTheme="minorHAnsi" w:cs="Arial"/>
                <w:b/>
                <w:sz w:val="20"/>
                <w:szCs w:val="20"/>
              </w:rPr>
              <w:t>14.5</w:t>
            </w:r>
          </w:p>
        </w:tc>
        <w:tc>
          <w:tcPr>
            <w:tcW w:w="1341" w:type="dxa"/>
            <w:vAlign w:val="bottom"/>
          </w:tcPr>
          <w:p w14:paraId="69FF592E" w14:textId="7853E500" w:rsidR="00D3780A" w:rsidRPr="006D4208" w:rsidRDefault="00456EAC" w:rsidP="00D3780A">
            <w:pPr>
              <w:jc w:val="right"/>
              <w:rPr>
                <w:rFonts w:asciiTheme="minorHAnsi" w:hAnsiTheme="minorHAnsi" w:cs="Arial"/>
                <w:sz w:val="20"/>
                <w:szCs w:val="20"/>
              </w:rPr>
            </w:pPr>
            <w:r w:rsidRPr="006D4208">
              <w:rPr>
                <w:rFonts w:asciiTheme="minorHAnsi" w:hAnsiTheme="minorHAnsi" w:cs="Arial"/>
                <w:sz w:val="20"/>
                <w:szCs w:val="20"/>
              </w:rPr>
              <w:t>12.</w:t>
            </w:r>
            <w:r w:rsidR="00745456" w:rsidRPr="006D4208">
              <w:rPr>
                <w:rFonts w:asciiTheme="minorHAnsi" w:hAnsiTheme="minorHAnsi" w:cs="Arial"/>
                <w:sz w:val="20"/>
                <w:szCs w:val="20"/>
              </w:rPr>
              <w:t>1</w:t>
            </w:r>
          </w:p>
        </w:tc>
        <w:tc>
          <w:tcPr>
            <w:tcW w:w="1086" w:type="dxa"/>
            <w:vAlign w:val="bottom"/>
          </w:tcPr>
          <w:p w14:paraId="02CB6A94" w14:textId="45C291DE" w:rsidR="00D3780A" w:rsidRPr="006D4208" w:rsidRDefault="005C0D14" w:rsidP="00D3780A">
            <w:pPr>
              <w:jc w:val="right"/>
              <w:rPr>
                <w:rFonts w:asciiTheme="minorHAnsi" w:hAnsiTheme="minorHAnsi" w:cs="Arial"/>
                <w:sz w:val="20"/>
                <w:szCs w:val="20"/>
              </w:rPr>
            </w:pPr>
            <w:r w:rsidRPr="006D4208">
              <w:rPr>
                <w:rFonts w:asciiTheme="minorHAnsi" w:hAnsiTheme="minorHAnsi" w:cs="Arial"/>
                <w:sz w:val="20"/>
                <w:szCs w:val="20"/>
              </w:rPr>
              <w:t>1</w:t>
            </w:r>
            <w:r w:rsidR="00AA0076" w:rsidRPr="006D4208">
              <w:rPr>
                <w:rFonts w:asciiTheme="minorHAnsi" w:hAnsiTheme="minorHAnsi" w:cs="Arial"/>
                <w:sz w:val="20"/>
                <w:szCs w:val="20"/>
              </w:rPr>
              <w:t>3.5</w:t>
            </w:r>
          </w:p>
        </w:tc>
        <w:tc>
          <w:tcPr>
            <w:tcW w:w="1200" w:type="dxa"/>
          </w:tcPr>
          <w:p w14:paraId="1BF0A305" w14:textId="75840616" w:rsidR="004A2DA4" w:rsidRPr="006A0B83" w:rsidRDefault="004A2DA4" w:rsidP="00D3780A">
            <w:pPr>
              <w:jc w:val="right"/>
              <w:rPr>
                <w:rFonts w:asciiTheme="minorHAnsi" w:hAnsiTheme="minorHAnsi" w:cs="Arial"/>
                <w:sz w:val="20"/>
                <w:szCs w:val="20"/>
                <w:lang w:val="fr-FR"/>
              </w:rPr>
            </w:pPr>
            <w:r w:rsidRPr="006A0B83">
              <w:rPr>
                <w:rFonts w:asciiTheme="minorHAnsi" w:hAnsiTheme="minorHAnsi" w:cs="Arial"/>
                <w:sz w:val="20"/>
                <w:szCs w:val="20"/>
                <w:lang w:val="fr-FR"/>
              </w:rPr>
              <w:t>12.4</w:t>
            </w:r>
          </w:p>
        </w:tc>
      </w:tr>
      <w:tr w:rsidR="00D3780A" w:rsidRPr="00701439" w14:paraId="1D7C0842" w14:textId="180241F0" w:rsidTr="002725AC">
        <w:trPr>
          <w:trHeight w:val="142"/>
        </w:trPr>
        <w:tc>
          <w:tcPr>
            <w:tcW w:w="4536" w:type="dxa"/>
            <w:vAlign w:val="bottom"/>
          </w:tcPr>
          <w:p w14:paraId="1A1A27F3" w14:textId="77777777" w:rsidR="00D3780A" w:rsidRPr="00701439" w:rsidRDefault="00D3780A" w:rsidP="00D3780A">
            <w:pPr>
              <w:rPr>
                <w:rFonts w:asciiTheme="minorHAnsi" w:hAnsiTheme="minorHAnsi" w:cs="Arial"/>
                <w:sz w:val="20"/>
                <w:szCs w:val="20"/>
              </w:rPr>
            </w:pPr>
            <w:r w:rsidRPr="00701439">
              <w:rPr>
                <w:rFonts w:asciiTheme="minorHAnsi" w:hAnsiTheme="minorHAnsi" w:cs="Arial"/>
                <w:sz w:val="20"/>
                <w:szCs w:val="20"/>
              </w:rPr>
              <w:t>Retained earnings</w:t>
            </w:r>
          </w:p>
        </w:tc>
        <w:tc>
          <w:tcPr>
            <w:tcW w:w="618" w:type="dxa"/>
            <w:vAlign w:val="bottom"/>
          </w:tcPr>
          <w:p w14:paraId="787B520B" w14:textId="77777777" w:rsidR="00D3780A" w:rsidRPr="00701439" w:rsidRDefault="00D3780A" w:rsidP="00D3780A">
            <w:pPr>
              <w:jc w:val="right"/>
              <w:rPr>
                <w:rFonts w:asciiTheme="minorHAnsi" w:hAnsiTheme="minorHAnsi" w:cs="Arial"/>
                <w:sz w:val="20"/>
                <w:szCs w:val="20"/>
              </w:rPr>
            </w:pPr>
          </w:p>
        </w:tc>
        <w:tc>
          <w:tcPr>
            <w:tcW w:w="1028" w:type="dxa"/>
            <w:tcBorders>
              <w:top w:val="nil"/>
              <w:left w:val="nil"/>
              <w:bottom w:val="single" w:sz="4" w:space="0" w:color="auto"/>
              <w:right w:val="nil"/>
            </w:tcBorders>
            <w:shd w:val="clear" w:color="auto" w:fill="F2F2F2" w:themeFill="background1" w:themeFillShade="F2"/>
            <w:vAlign w:val="bottom"/>
          </w:tcPr>
          <w:p w14:paraId="2E0755C0" w14:textId="0B3BF176" w:rsidR="00D3780A" w:rsidRPr="005E6504" w:rsidRDefault="00D3780A" w:rsidP="00D3780A">
            <w:pPr>
              <w:jc w:val="right"/>
              <w:rPr>
                <w:rFonts w:asciiTheme="minorHAnsi" w:hAnsiTheme="minorHAnsi" w:cs="Arial"/>
                <w:b/>
                <w:sz w:val="20"/>
                <w:szCs w:val="20"/>
              </w:rPr>
            </w:pPr>
            <w:r w:rsidRPr="005E6504">
              <w:rPr>
                <w:rFonts w:asciiTheme="minorHAnsi" w:hAnsiTheme="minorHAnsi" w:cs="Arial"/>
                <w:b/>
                <w:sz w:val="20"/>
                <w:szCs w:val="20"/>
              </w:rPr>
              <w:t>(</w:t>
            </w:r>
            <w:r w:rsidR="00FA0312" w:rsidRPr="005E6504">
              <w:rPr>
                <w:rFonts w:asciiTheme="minorHAnsi" w:hAnsiTheme="minorHAnsi" w:cs="Arial"/>
                <w:b/>
                <w:sz w:val="20"/>
                <w:szCs w:val="20"/>
              </w:rPr>
              <w:t>9</w:t>
            </w:r>
            <w:r w:rsidR="001C7C71">
              <w:rPr>
                <w:rFonts w:asciiTheme="minorHAnsi" w:hAnsiTheme="minorHAnsi" w:cs="Arial"/>
                <w:b/>
                <w:sz w:val="20"/>
                <w:szCs w:val="20"/>
              </w:rPr>
              <w:t>2.5</w:t>
            </w:r>
            <w:r w:rsidRPr="005E6504">
              <w:rPr>
                <w:rFonts w:asciiTheme="minorHAnsi" w:hAnsiTheme="minorHAnsi" w:cs="Arial"/>
                <w:b/>
                <w:sz w:val="20"/>
                <w:szCs w:val="20"/>
              </w:rPr>
              <w:t>)</w:t>
            </w:r>
          </w:p>
        </w:tc>
        <w:tc>
          <w:tcPr>
            <w:tcW w:w="1341" w:type="dxa"/>
            <w:tcBorders>
              <w:top w:val="nil"/>
              <w:left w:val="nil"/>
              <w:bottom w:val="single" w:sz="4" w:space="0" w:color="auto"/>
              <w:right w:val="nil"/>
            </w:tcBorders>
            <w:vAlign w:val="bottom"/>
          </w:tcPr>
          <w:p w14:paraId="3BD14B0D" w14:textId="2425B0F8" w:rsidR="00D3780A" w:rsidRPr="006D4208" w:rsidRDefault="00EF21D3" w:rsidP="00D3780A">
            <w:pPr>
              <w:jc w:val="right"/>
              <w:rPr>
                <w:rFonts w:asciiTheme="minorHAnsi" w:hAnsiTheme="minorHAnsi" w:cs="Arial"/>
                <w:sz w:val="20"/>
                <w:szCs w:val="20"/>
              </w:rPr>
            </w:pPr>
            <w:r w:rsidRPr="006D4208">
              <w:rPr>
                <w:rFonts w:asciiTheme="minorHAnsi" w:hAnsiTheme="minorHAnsi" w:cs="Arial"/>
                <w:sz w:val="20"/>
                <w:szCs w:val="20"/>
              </w:rPr>
              <w:t>(</w:t>
            </w:r>
            <w:r w:rsidR="00B446DF">
              <w:rPr>
                <w:rFonts w:asciiTheme="minorHAnsi" w:hAnsiTheme="minorHAnsi" w:cs="Arial"/>
                <w:sz w:val="20"/>
                <w:szCs w:val="20"/>
              </w:rPr>
              <w:t>50.7</w:t>
            </w:r>
            <w:r w:rsidRPr="006D4208">
              <w:rPr>
                <w:rFonts w:asciiTheme="minorHAnsi" w:hAnsiTheme="minorHAnsi" w:cs="Arial"/>
                <w:sz w:val="20"/>
                <w:szCs w:val="20"/>
              </w:rPr>
              <w:t>)</w:t>
            </w:r>
          </w:p>
        </w:tc>
        <w:tc>
          <w:tcPr>
            <w:tcW w:w="1086" w:type="dxa"/>
            <w:tcBorders>
              <w:top w:val="nil"/>
              <w:left w:val="nil"/>
              <w:bottom w:val="single" w:sz="4" w:space="0" w:color="auto"/>
              <w:right w:val="nil"/>
            </w:tcBorders>
            <w:vAlign w:val="bottom"/>
          </w:tcPr>
          <w:p w14:paraId="6A717400" w14:textId="6343779D" w:rsidR="00D3780A" w:rsidRPr="006D4208" w:rsidRDefault="00A83BA5" w:rsidP="00D3780A">
            <w:pPr>
              <w:jc w:val="right"/>
              <w:rPr>
                <w:rFonts w:asciiTheme="minorHAnsi" w:hAnsiTheme="minorHAnsi" w:cs="Arial"/>
                <w:sz w:val="20"/>
                <w:szCs w:val="20"/>
              </w:rPr>
            </w:pPr>
            <w:r w:rsidRPr="006D4208">
              <w:rPr>
                <w:rFonts w:asciiTheme="minorHAnsi" w:hAnsiTheme="minorHAnsi" w:cs="Arial"/>
                <w:sz w:val="20"/>
                <w:szCs w:val="20"/>
              </w:rPr>
              <w:t>(</w:t>
            </w:r>
            <w:r w:rsidR="00C965D7" w:rsidRPr="006D4208">
              <w:rPr>
                <w:rFonts w:asciiTheme="minorHAnsi" w:hAnsiTheme="minorHAnsi" w:cs="Arial"/>
                <w:sz w:val="20"/>
                <w:szCs w:val="20"/>
              </w:rPr>
              <w:t>4</w:t>
            </w:r>
            <w:r w:rsidR="00FB5498">
              <w:rPr>
                <w:rFonts w:asciiTheme="minorHAnsi" w:hAnsiTheme="minorHAnsi" w:cs="Arial"/>
                <w:sz w:val="20"/>
                <w:szCs w:val="20"/>
              </w:rPr>
              <w:t>5.9</w:t>
            </w:r>
            <w:r w:rsidRPr="006D4208">
              <w:rPr>
                <w:rFonts w:asciiTheme="minorHAnsi" w:hAnsiTheme="minorHAnsi" w:cs="Arial"/>
                <w:sz w:val="20"/>
                <w:szCs w:val="20"/>
              </w:rPr>
              <w:t>)</w:t>
            </w:r>
          </w:p>
        </w:tc>
        <w:tc>
          <w:tcPr>
            <w:tcW w:w="1200" w:type="dxa"/>
            <w:tcBorders>
              <w:top w:val="nil"/>
              <w:left w:val="nil"/>
              <w:bottom w:val="single" w:sz="4" w:space="0" w:color="auto"/>
              <w:right w:val="nil"/>
            </w:tcBorders>
          </w:tcPr>
          <w:p w14:paraId="115B085C" w14:textId="10EC0AC1" w:rsidR="00B427D8" w:rsidRPr="006A0B83" w:rsidRDefault="00B427D8" w:rsidP="00D3780A">
            <w:pPr>
              <w:jc w:val="right"/>
              <w:rPr>
                <w:rFonts w:asciiTheme="minorHAnsi" w:hAnsiTheme="minorHAnsi" w:cs="Arial"/>
                <w:sz w:val="20"/>
                <w:szCs w:val="20"/>
                <w:lang w:val="fr-FR"/>
              </w:rPr>
            </w:pPr>
            <w:r w:rsidRPr="006A0B83">
              <w:rPr>
                <w:rFonts w:asciiTheme="minorHAnsi" w:hAnsiTheme="minorHAnsi" w:cs="Arial"/>
                <w:sz w:val="20"/>
                <w:szCs w:val="20"/>
                <w:lang w:val="fr-FR"/>
              </w:rPr>
              <w:t>(</w:t>
            </w:r>
            <w:r w:rsidR="00DE322E">
              <w:rPr>
                <w:rFonts w:asciiTheme="minorHAnsi" w:hAnsiTheme="minorHAnsi" w:cs="Arial"/>
                <w:sz w:val="20"/>
                <w:szCs w:val="20"/>
                <w:lang w:val="fr-FR"/>
              </w:rPr>
              <w:t>10.3</w:t>
            </w:r>
            <w:r w:rsidRPr="006A0B83">
              <w:rPr>
                <w:rFonts w:asciiTheme="minorHAnsi" w:hAnsiTheme="minorHAnsi" w:cs="Arial"/>
                <w:sz w:val="20"/>
                <w:szCs w:val="20"/>
                <w:lang w:val="fr-FR"/>
              </w:rPr>
              <w:t>)</w:t>
            </w:r>
          </w:p>
        </w:tc>
      </w:tr>
      <w:tr w:rsidR="00D3780A" w:rsidRPr="00701439" w14:paraId="263B0CEA" w14:textId="0D3B631C" w:rsidTr="002725AC">
        <w:trPr>
          <w:trHeight w:val="142"/>
        </w:trPr>
        <w:tc>
          <w:tcPr>
            <w:tcW w:w="4536" w:type="dxa"/>
            <w:vAlign w:val="bottom"/>
          </w:tcPr>
          <w:p w14:paraId="3A5580CD" w14:textId="77777777" w:rsidR="00D3780A" w:rsidRPr="00701439" w:rsidRDefault="00D3780A" w:rsidP="00D3780A">
            <w:pPr>
              <w:rPr>
                <w:rFonts w:asciiTheme="minorHAnsi" w:hAnsiTheme="minorHAnsi" w:cs="Arial"/>
                <w:b/>
                <w:sz w:val="20"/>
                <w:szCs w:val="20"/>
              </w:rPr>
            </w:pPr>
            <w:r w:rsidRPr="00701439">
              <w:rPr>
                <w:rFonts w:asciiTheme="minorHAnsi" w:hAnsiTheme="minorHAnsi" w:cs="Arial"/>
                <w:b/>
                <w:sz w:val="20"/>
                <w:szCs w:val="20"/>
              </w:rPr>
              <w:t>Total equity</w:t>
            </w:r>
          </w:p>
        </w:tc>
        <w:tc>
          <w:tcPr>
            <w:tcW w:w="618" w:type="dxa"/>
            <w:vAlign w:val="bottom"/>
          </w:tcPr>
          <w:p w14:paraId="7D3B147B" w14:textId="52B3B293" w:rsidR="00D3780A" w:rsidRPr="00701439" w:rsidRDefault="00B336BE" w:rsidP="00D3780A">
            <w:pPr>
              <w:jc w:val="right"/>
              <w:rPr>
                <w:rFonts w:asciiTheme="minorHAnsi" w:hAnsiTheme="minorHAnsi" w:cs="Arial"/>
                <w:sz w:val="20"/>
                <w:szCs w:val="20"/>
              </w:rPr>
            </w:pPr>
            <w:r w:rsidRPr="006D4208">
              <w:rPr>
                <w:rFonts w:asciiTheme="minorHAnsi" w:hAnsiTheme="minorHAnsi" w:cs="Arial"/>
                <w:sz w:val="20"/>
                <w:szCs w:val="20"/>
              </w:rPr>
              <w:t>4</w:t>
            </w:r>
          </w:p>
        </w:tc>
        <w:tc>
          <w:tcPr>
            <w:tcW w:w="1028" w:type="dxa"/>
            <w:tcBorders>
              <w:left w:val="nil"/>
              <w:bottom w:val="single" w:sz="4" w:space="0" w:color="auto"/>
              <w:right w:val="nil"/>
            </w:tcBorders>
            <w:shd w:val="clear" w:color="auto" w:fill="F2F2F2" w:themeFill="background1" w:themeFillShade="F2"/>
            <w:vAlign w:val="bottom"/>
          </w:tcPr>
          <w:p w14:paraId="5E8DB4FB" w14:textId="15C55D0A" w:rsidR="00D3780A" w:rsidRPr="005E6504" w:rsidRDefault="000E2335" w:rsidP="00D3780A">
            <w:pPr>
              <w:jc w:val="right"/>
              <w:rPr>
                <w:rFonts w:asciiTheme="minorHAnsi" w:hAnsiTheme="minorHAnsi" w:cs="Arial"/>
                <w:b/>
                <w:sz w:val="20"/>
                <w:szCs w:val="20"/>
              </w:rPr>
            </w:pPr>
            <w:r w:rsidRPr="005E6504">
              <w:rPr>
                <w:rFonts w:asciiTheme="minorHAnsi" w:hAnsiTheme="minorHAnsi" w:cs="Arial"/>
                <w:b/>
                <w:sz w:val="20"/>
                <w:szCs w:val="20"/>
              </w:rPr>
              <w:t>5</w:t>
            </w:r>
            <w:r w:rsidR="001C7C71">
              <w:rPr>
                <w:rFonts w:asciiTheme="minorHAnsi" w:hAnsiTheme="minorHAnsi" w:cs="Arial"/>
                <w:b/>
                <w:sz w:val="20"/>
                <w:szCs w:val="20"/>
              </w:rPr>
              <w:t>29.7</w:t>
            </w:r>
          </w:p>
        </w:tc>
        <w:tc>
          <w:tcPr>
            <w:tcW w:w="1341" w:type="dxa"/>
            <w:tcBorders>
              <w:left w:val="nil"/>
              <w:bottom w:val="single" w:sz="4" w:space="0" w:color="auto"/>
              <w:right w:val="nil"/>
            </w:tcBorders>
            <w:vAlign w:val="bottom"/>
          </w:tcPr>
          <w:p w14:paraId="731891BE" w14:textId="2837F2D9" w:rsidR="00D3780A" w:rsidRPr="006D4208" w:rsidRDefault="00F10A75" w:rsidP="00D3780A">
            <w:pPr>
              <w:jc w:val="right"/>
              <w:rPr>
                <w:rFonts w:asciiTheme="minorHAnsi" w:hAnsiTheme="minorHAnsi" w:cs="Arial"/>
                <w:sz w:val="20"/>
                <w:szCs w:val="20"/>
              </w:rPr>
            </w:pPr>
            <w:r w:rsidRPr="006D4208">
              <w:rPr>
                <w:rFonts w:asciiTheme="minorHAnsi" w:hAnsiTheme="minorHAnsi" w:cs="Arial"/>
                <w:sz w:val="20"/>
                <w:szCs w:val="20"/>
              </w:rPr>
              <w:t>5</w:t>
            </w:r>
            <w:r w:rsidR="00B446DF">
              <w:rPr>
                <w:rFonts w:asciiTheme="minorHAnsi" w:hAnsiTheme="minorHAnsi" w:cs="Arial"/>
                <w:sz w:val="20"/>
                <w:szCs w:val="20"/>
              </w:rPr>
              <w:t>69.1</w:t>
            </w:r>
          </w:p>
        </w:tc>
        <w:tc>
          <w:tcPr>
            <w:tcW w:w="1086" w:type="dxa"/>
            <w:tcBorders>
              <w:left w:val="nil"/>
              <w:bottom w:val="single" w:sz="4" w:space="0" w:color="auto"/>
              <w:right w:val="nil"/>
            </w:tcBorders>
            <w:vAlign w:val="bottom"/>
          </w:tcPr>
          <w:p w14:paraId="7D64FC96" w14:textId="7C82283A" w:rsidR="00D3780A" w:rsidRPr="006D4208" w:rsidRDefault="00AA0076" w:rsidP="00D3780A">
            <w:pPr>
              <w:jc w:val="right"/>
              <w:rPr>
                <w:rFonts w:asciiTheme="minorHAnsi" w:hAnsiTheme="minorHAnsi" w:cs="Arial"/>
                <w:sz w:val="20"/>
                <w:szCs w:val="20"/>
              </w:rPr>
            </w:pPr>
            <w:r w:rsidRPr="006D4208">
              <w:rPr>
                <w:rFonts w:asciiTheme="minorHAnsi" w:hAnsiTheme="minorHAnsi" w:cs="Arial"/>
                <w:sz w:val="20"/>
                <w:szCs w:val="20"/>
              </w:rPr>
              <w:t>5</w:t>
            </w:r>
            <w:r w:rsidR="00C965D7" w:rsidRPr="006D4208">
              <w:rPr>
                <w:rFonts w:asciiTheme="minorHAnsi" w:hAnsiTheme="minorHAnsi" w:cs="Arial"/>
                <w:sz w:val="20"/>
                <w:szCs w:val="20"/>
              </w:rPr>
              <w:t>7</w:t>
            </w:r>
            <w:r w:rsidR="00FB5498">
              <w:rPr>
                <w:rFonts w:asciiTheme="minorHAnsi" w:hAnsiTheme="minorHAnsi" w:cs="Arial"/>
                <w:sz w:val="20"/>
                <w:szCs w:val="20"/>
              </w:rPr>
              <w:t>2.0</w:t>
            </w:r>
          </w:p>
        </w:tc>
        <w:tc>
          <w:tcPr>
            <w:tcW w:w="1200" w:type="dxa"/>
            <w:tcBorders>
              <w:left w:val="nil"/>
              <w:bottom w:val="single" w:sz="4" w:space="0" w:color="auto"/>
              <w:right w:val="nil"/>
            </w:tcBorders>
          </w:tcPr>
          <w:p w14:paraId="11B4CBCD" w14:textId="58294C46" w:rsidR="00B26180" w:rsidRPr="006A0B83" w:rsidRDefault="00B26180" w:rsidP="00D3780A">
            <w:pPr>
              <w:jc w:val="right"/>
              <w:rPr>
                <w:rFonts w:asciiTheme="minorHAnsi" w:hAnsiTheme="minorHAnsi" w:cs="Arial"/>
                <w:sz w:val="20"/>
                <w:szCs w:val="20"/>
                <w:lang w:val="fr-FR"/>
              </w:rPr>
            </w:pPr>
            <w:r w:rsidRPr="006A0B83">
              <w:rPr>
                <w:rFonts w:asciiTheme="minorHAnsi" w:hAnsiTheme="minorHAnsi" w:cs="Arial"/>
                <w:sz w:val="20"/>
                <w:szCs w:val="20"/>
                <w:lang w:val="fr-FR"/>
              </w:rPr>
              <w:t>60</w:t>
            </w:r>
            <w:r w:rsidR="00DE322E">
              <w:rPr>
                <w:rFonts w:asciiTheme="minorHAnsi" w:hAnsiTheme="minorHAnsi" w:cs="Arial"/>
                <w:sz w:val="20"/>
                <w:szCs w:val="20"/>
                <w:lang w:val="fr-FR"/>
              </w:rPr>
              <w:t>6.4</w:t>
            </w:r>
          </w:p>
        </w:tc>
      </w:tr>
      <w:tr w:rsidR="00D3780A" w:rsidRPr="00701439" w14:paraId="60513FC4" w14:textId="5078492D" w:rsidTr="002725AC">
        <w:trPr>
          <w:trHeight w:val="142"/>
        </w:trPr>
        <w:tc>
          <w:tcPr>
            <w:tcW w:w="4536" w:type="dxa"/>
            <w:vAlign w:val="bottom"/>
          </w:tcPr>
          <w:p w14:paraId="426B41C0" w14:textId="77777777" w:rsidR="00D3780A" w:rsidRPr="00701439" w:rsidRDefault="00D3780A" w:rsidP="00D3780A">
            <w:pPr>
              <w:rPr>
                <w:rFonts w:asciiTheme="minorHAnsi" w:hAnsiTheme="minorHAnsi" w:cs="Arial"/>
                <w:b/>
                <w:sz w:val="20"/>
                <w:szCs w:val="20"/>
              </w:rPr>
            </w:pPr>
            <w:r w:rsidRPr="00701439">
              <w:rPr>
                <w:rFonts w:asciiTheme="minorHAnsi" w:hAnsiTheme="minorHAnsi" w:cs="Arial"/>
                <w:b/>
                <w:sz w:val="20"/>
                <w:szCs w:val="20"/>
              </w:rPr>
              <w:t>TOTAL LIABILITIES AND EQUITY</w:t>
            </w:r>
          </w:p>
        </w:tc>
        <w:tc>
          <w:tcPr>
            <w:tcW w:w="618" w:type="dxa"/>
            <w:vAlign w:val="bottom"/>
          </w:tcPr>
          <w:p w14:paraId="27C64D4D" w14:textId="77777777" w:rsidR="00D3780A" w:rsidRPr="00701439" w:rsidRDefault="00D3780A" w:rsidP="00D3780A">
            <w:pPr>
              <w:jc w:val="right"/>
              <w:rPr>
                <w:rFonts w:asciiTheme="minorHAnsi" w:hAnsiTheme="minorHAnsi" w:cs="Arial"/>
                <w:sz w:val="20"/>
                <w:szCs w:val="20"/>
              </w:rPr>
            </w:pPr>
          </w:p>
        </w:tc>
        <w:tc>
          <w:tcPr>
            <w:tcW w:w="1028" w:type="dxa"/>
            <w:tcBorders>
              <w:top w:val="single" w:sz="4" w:space="0" w:color="auto"/>
              <w:left w:val="nil"/>
              <w:bottom w:val="single" w:sz="4" w:space="0" w:color="auto"/>
              <w:right w:val="nil"/>
            </w:tcBorders>
            <w:shd w:val="clear" w:color="auto" w:fill="F2F2F2" w:themeFill="background1" w:themeFillShade="F2"/>
            <w:vAlign w:val="bottom"/>
          </w:tcPr>
          <w:p w14:paraId="7D9041AF" w14:textId="3FAF3EC1" w:rsidR="00D3780A" w:rsidRPr="005E6504" w:rsidRDefault="00C07DA4" w:rsidP="00D3780A">
            <w:pPr>
              <w:jc w:val="right"/>
              <w:rPr>
                <w:rFonts w:asciiTheme="minorHAnsi" w:hAnsiTheme="minorHAnsi" w:cs="Arial"/>
                <w:b/>
                <w:sz w:val="20"/>
                <w:szCs w:val="20"/>
              </w:rPr>
            </w:pPr>
            <w:r w:rsidRPr="005E6504">
              <w:rPr>
                <w:rFonts w:asciiTheme="minorHAnsi" w:hAnsiTheme="minorHAnsi" w:cs="Arial"/>
                <w:b/>
                <w:sz w:val="20"/>
                <w:szCs w:val="20"/>
              </w:rPr>
              <w:t>3,085.</w:t>
            </w:r>
            <w:r w:rsidR="00331F07">
              <w:rPr>
                <w:rFonts w:asciiTheme="minorHAnsi" w:hAnsiTheme="minorHAnsi" w:cs="Arial"/>
                <w:b/>
                <w:sz w:val="20"/>
                <w:szCs w:val="20"/>
              </w:rPr>
              <w:t>1</w:t>
            </w:r>
          </w:p>
        </w:tc>
        <w:tc>
          <w:tcPr>
            <w:tcW w:w="1341" w:type="dxa"/>
            <w:tcBorders>
              <w:top w:val="single" w:sz="4" w:space="0" w:color="auto"/>
              <w:left w:val="nil"/>
              <w:bottom w:val="single" w:sz="4" w:space="0" w:color="auto"/>
              <w:right w:val="nil"/>
            </w:tcBorders>
            <w:vAlign w:val="bottom"/>
          </w:tcPr>
          <w:p w14:paraId="2FCBDE76" w14:textId="07CBB46F" w:rsidR="00D3780A" w:rsidRPr="006D4208" w:rsidRDefault="00F10A75" w:rsidP="00D3780A">
            <w:pPr>
              <w:jc w:val="right"/>
              <w:rPr>
                <w:rFonts w:asciiTheme="minorHAnsi" w:hAnsiTheme="minorHAnsi" w:cs="Arial"/>
                <w:sz w:val="20"/>
                <w:szCs w:val="20"/>
              </w:rPr>
            </w:pPr>
            <w:r w:rsidRPr="006D4208">
              <w:rPr>
                <w:rFonts w:asciiTheme="minorHAnsi" w:hAnsiTheme="minorHAnsi" w:cs="Arial"/>
                <w:sz w:val="20"/>
                <w:szCs w:val="20"/>
              </w:rPr>
              <w:t>3,</w:t>
            </w:r>
            <w:r w:rsidR="006A25F1" w:rsidRPr="006D4208">
              <w:rPr>
                <w:rFonts w:asciiTheme="minorHAnsi" w:hAnsiTheme="minorHAnsi" w:cs="Arial"/>
                <w:sz w:val="20"/>
                <w:szCs w:val="20"/>
              </w:rPr>
              <w:t>19</w:t>
            </w:r>
            <w:r w:rsidR="00B446DF">
              <w:rPr>
                <w:rFonts w:asciiTheme="minorHAnsi" w:hAnsiTheme="minorHAnsi" w:cs="Arial"/>
                <w:sz w:val="20"/>
                <w:szCs w:val="20"/>
              </w:rPr>
              <w:t>4</w:t>
            </w:r>
            <w:r w:rsidR="006A25F1" w:rsidRPr="006D4208">
              <w:rPr>
                <w:rFonts w:asciiTheme="minorHAnsi" w:hAnsiTheme="minorHAnsi" w:cs="Arial"/>
                <w:sz w:val="20"/>
                <w:szCs w:val="20"/>
              </w:rPr>
              <w:t>.</w:t>
            </w:r>
            <w:r w:rsidR="00B446DF">
              <w:rPr>
                <w:rFonts w:asciiTheme="minorHAnsi" w:hAnsiTheme="minorHAnsi" w:cs="Arial"/>
                <w:sz w:val="20"/>
                <w:szCs w:val="20"/>
              </w:rPr>
              <w:t>7</w:t>
            </w:r>
          </w:p>
        </w:tc>
        <w:tc>
          <w:tcPr>
            <w:tcW w:w="1086" w:type="dxa"/>
            <w:tcBorders>
              <w:top w:val="single" w:sz="4" w:space="0" w:color="auto"/>
              <w:left w:val="nil"/>
              <w:bottom w:val="single" w:sz="4" w:space="0" w:color="auto"/>
              <w:right w:val="nil"/>
            </w:tcBorders>
            <w:vAlign w:val="bottom"/>
          </w:tcPr>
          <w:p w14:paraId="2234D80D" w14:textId="29817187" w:rsidR="00D3780A" w:rsidRPr="006D4208" w:rsidRDefault="00D3780A" w:rsidP="00D3780A">
            <w:pPr>
              <w:jc w:val="right"/>
              <w:rPr>
                <w:rFonts w:asciiTheme="minorHAnsi" w:hAnsiTheme="minorHAnsi" w:cs="Arial"/>
                <w:sz w:val="20"/>
                <w:szCs w:val="20"/>
              </w:rPr>
            </w:pPr>
            <w:r w:rsidRPr="006D4208">
              <w:rPr>
                <w:rFonts w:asciiTheme="minorHAnsi" w:hAnsiTheme="minorHAnsi" w:cs="Arial"/>
                <w:sz w:val="20"/>
                <w:szCs w:val="20"/>
              </w:rPr>
              <w:t>2,</w:t>
            </w:r>
            <w:r w:rsidR="00AA0076" w:rsidRPr="006D4208">
              <w:rPr>
                <w:rFonts w:asciiTheme="minorHAnsi" w:hAnsiTheme="minorHAnsi" w:cs="Arial"/>
                <w:sz w:val="20"/>
                <w:szCs w:val="20"/>
              </w:rPr>
              <w:t>8</w:t>
            </w:r>
            <w:r w:rsidR="00DE3567">
              <w:rPr>
                <w:rFonts w:asciiTheme="minorHAnsi" w:hAnsiTheme="minorHAnsi" w:cs="Arial"/>
                <w:sz w:val="20"/>
                <w:szCs w:val="20"/>
              </w:rPr>
              <w:t>70.2</w:t>
            </w:r>
          </w:p>
        </w:tc>
        <w:tc>
          <w:tcPr>
            <w:tcW w:w="1200" w:type="dxa"/>
            <w:tcBorders>
              <w:top w:val="single" w:sz="4" w:space="0" w:color="auto"/>
              <w:left w:val="nil"/>
              <w:bottom w:val="single" w:sz="4" w:space="0" w:color="auto"/>
              <w:right w:val="nil"/>
            </w:tcBorders>
          </w:tcPr>
          <w:p w14:paraId="2DFB195A" w14:textId="701F3174" w:rsidR="00261ECC" w:rsidRPr="006A0B83" w:rsidRDefault="00261ECC" w:rsidP="00D3780A">
            <w:pPr>
              <w:jc w:val="right"/>
              <w:rPr>
                <w:rFonts w:asciiTheme="minorHAnsi" w:hAnsiTheme="minorHAnsi" w:cs="Arial"/>
                <w:sz w:val="20"/>
                <w:szCs w:val="20"/>
                <w:lang w:val="fr-FR"/>
              </w:rPr>
            </w:pPr>
            <w:r w:rsidRPr="006A0B83">
              <w:rPr>
                <w:rFonts w:asciiTheme="minorHAnsi" w:hAnsiTheme="minorHAnsi" w:cs="Arial"/>
                <w:sz w:val="20"/>
                <w:szCs w:val="20"/>
                <w:lang w:val="fr-FR"/>
              </w:rPr>
              <w:t>2</w:t>
            </w:r>
            <w:r w:rsidR="00964780">
              <w:rPr>
                <w:rFonts w:asciiTheme="minorHAnsi" w:hAnsiTheme="minorHAnsi" w:cs="Arial"/>
                <w:sz w:val="20"/>
                <w:szCs w:val="20"/>
                <w:lang w:val="fr-FR"/>
              </w:rPr>
              <w:t>,</w:t>
            </w:r>
            <w:r w:rsidRPr="006A0B83">
              <w:rPr>
                <w:rFonts w:asciiTheme="minorHAnsi" w:hAnsiTheme="minorHAnsi" w:cs="Arial"/>
                <w:sz w:val="20"/>
                <w:szCs w:val="20"/>
                <w:lang w:val="fr-FR"/>
              </w:rPr>
              <w:t>65</w:t>
            </w:r>
            <w:r w:rsidR="004D2232">
              <w:rPr>
                <w:rFonts w:asciiTheme="minorHAnsi" w:hAnsiTheme="minorHAnsi" w:cs="Arial"/>
                <w:sz w:val="20"/>
                <w:szCs w:val="20"/>
                <w:lang w:val="fr-FR"/>
              </w:rPr>
              <w:t>5.</w:t>
            </w:r>
            <w:r w:rsidR="00025A22">
              <w:rPr>
                <w:rFonts w:asciiTheme="minorHAnsi" w:hAnsiTheme="minorHAnsi" w:cs="Arial"/>
                <w:sz w:val="20"/>
                <w:szCs w:val="20"/>
                <w:lang w:val="fr-FR"/>
              </w:rPr>
              <w:t>0</w:t>
            </w:r>
          </w:p>
        </w:tc>
      </w:tr>
    </w:tbl>
    <w:p w14:paraId="54D86B6F" w14:textId="77777777" w:rsidR="00D74D59" w:rsidRDefault="00D74D59" w:rsidP="00C5118C">
      <w:pPr>
        <w:rPr>
          <w:rFonts w:asciiTheme="minorHAnsi" w:hAnsiTheme="minorHAnsi" w:cs="Arial"/>
          <w:i/>
          <w:sz w:val="20"/>
          <w:szCs w:val="20"/>
          <w:vertAlign w:val="superscript"/>
        </w:rPr>
      </w:pPr>
    </w:p>
    <w:p w14:paraId="6A4814A7" w14:textId="264F8CC7" w:rsidR="00C5118C" w:rsidRDefault="00C5118C" w:rsidP="00C5118C">
      <w:pPr>
        <w:rPr>
          <w:rFonts w:asciiTheme="minorHAnsi" w:hAnsiTheme="minorHAnsi" w:cs="Arial"/>
          <w:sz w:val="20"/>
          <w:szCs w:val="20"/>
        </w:rPr>
      </w:pPr>
      <w:r w:rsidRPr="38CC98DE">
        <w:rPr>
          <w:rFonts w:asciiTheme="minorHAnsi" w:hAnsiTheme="minorHAnsi" w:cs="Arial"/>
          <w:i/>
          <w:sz w:val="20"/>
          <w:szCs w:val="20"/>
          <w:vertAlign w:val="superscript"/>
        </w:rPr>
        <w:t>1</w:t>
      </w:r>
      <w:r w:rsidRPr="38CC98DE">
        <w:rPr>
          <w:rFonts w:asciiTheme="minorHAnsi" w:hAnsiTheme="minorHAnsi" w:cs="Arial"/>
          <w:i/>
          <w:sz w:val="20"/>
          <w:szCs w:val="20"/>
        </w:rPr>
        <w:t xml:space="preserve"> Refer to note 2 for details of restatement</w:t>
      </w:r>
      <w:r w:rsidRPr="00306AF1">
        <w:rPr>
          <w:rFonts w:asciiTheme="minorHAnsi" w:hAnsiTheme="minorHAnsi" w:cs="Arial"/>
          <w:sz w:val="20"/>
          <w:szCs w:val="20"/>
        </w:rPr>
        <w:t>.</w:t>
      </w:r>
    </w:p>
    <w:p w14:paraId="5B1738EF" w14:textId="6ADADA5F" w:rsidR="00A3021A" w:rsidRPr="00701439" w:rsidRDefault="00A3021A" w:rsidP="00A3021A">
      <w:pPr>
        <w:tabs>
          <w:tab w:val="left" w:pos="5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color w:val="4747FF"/>
          <w:sz w:val="22"/>
          <w:szCs w:val="22"/>
        </w:rPr>
      </w:pPr>
      <w:r w:rsidRPr="00701439">
        <w:rPr>
          <w:rFonts w:asciiTheme="minorHAnsi" w:hAnsiTheme="minorHAnsi" w:cs="Arial"/>
          <w:b/>
          <w:color w:val="4747FF"/>
          <w:sz w:val="22"/>
          <w:szCs w:val="22"/>
        </w:rPr>
        <w:t>Consolidated statement of changes in shareholders’ equity</w:t>
      </w:r>
    </w:p>
    <w:p w14:paraId="24F00570" w14:textId="77777777" w:rsidR="00A3021A" w:rsidRPr="00701439" w:rsidRDefault="00A3021A" w:rsidP="00A3021A">
      <w:pPr>
        <w:tabs>
          <w:tab w:val="left" w:pos="5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sz w:val="20"/>
          <w:szCs w:val="20"/>
        </w:rPr>
      </w:pPr>
    </w:p>
    <w:tbl>
      <w:tblPr>
        <w:tblW w:w="9646" w:type="dxa"/>
        <w:tblLayout w:type="fixed"/>
        <w:tblLook w:val="0000" w:firstRow="0" w:lastRow="0" w:firstColumn="0" w:lastColumn="0" w:noHBand="0" w:noVBand="0"/>
      </w:tblPr>
      <w:tblGrid>
        <w:gridCol w:w="4009"/>
        <w:gridCol w:w="890"/>
        <w:gridCol w:w="1038"/>
        <w:gridCol w:w="891"/>
        <w:gridCol w:w="1038"/>
        <w:gridCol w:w="1038"/>
        <w:gridCol w:w="742"/>
      </w:tblGrid>
      <w:tr w:rsidR="00A3021A" w:rsidRPr="00701439" w14:paraId="1D4F864C" w14:textId="77777777" w:rsidTr="00AF2B57">
        <w:trPr>
          <w:trHeight w:val="979"/>
        </w:trPr>
        <w:tc>
          <w:tcPr>
            <w:tcW w:w="4009" w:type="dxa"/>
          </w:tcPr>
          <w:p w14:paraId="270D60A5" w14:textId="196F111C" w:rsidR="00A3021A" w:rsidRPr="00701439" w:rsidRDefault="00A3021A">
            <w:pPr>
              <w:rPr>
                <w:rFonts w:asciiTheme="minorHAnsi" w:hAnsiTheme="minorHAnsi" w:cs="Arial"/>
                <w:sz w:val="20"/>
                <w:szCs w:val="20"/>
              </w:rPr>
            </w:pPr>
          </w:p>
        </w:tc>
        <w:tc>
          <w:tcPr>
            <w:tcW w:w="890" w:type="dxa"/>
            <w:tcBorders>
              <w:top w:val="nil"/>
              <w:left w:val="nil"/>
              <w:bottom w:val="single" w:sz="4" w:space="0" w:color="auto"/>
              <w:right w:val="nil"/>
            </w:tcBorders>
          </w:tcPr>
          <w:p w14:paraId="4741744E" w14:textId="3A920658" w:rsidR="00A3021A" w:rsidRPr="00701439" w:rsidRDefault="00A3021A">
            <w:pPr>
              <w:jc w:val="right"/>
              <w:rPr>
                <w:rFonts w:asciiTheme="minorHAnsi" w:hAnsiTheme="minorHAnsi" w:cs="Arial"/>
                <w:sz w:val="20"/>
                <w:szCs w:val="20"/>
              </w:rPr>
            </w:pPr>
            <w:r w:rsidRPr="00701439">
              <w:rPr>
                <w:rFonts w:asciiTheme="minorHAnsi" w:hAnsiTheme="minorHAnsi" w:cs="Arial"/>
                <w:sz w:val="20"/>
                <w:szCs w:val="20"/>
              </w:rPr>
              <w:t>Share</w:t>
            </w:r>
          </w:p>
          <w:p w14:paraId="3517B06C" w14:textId="0F0A40A7" w:rsidR="00A3021A" w:rsidRPr="00701439" w:rsidRDefault="00A3021A">
            <w:pPr>
              <w:jc w:val="right"/>
              <w:rPr>
                <w:rFonts w:asciiTheme="minorHAnsi" w:hAnsiTheme="minorHAnsi" w:cs="Arial"/>
                <w:sz w:val="20"/>
                <w:szCs w:val="20"/>
              </w:rPr>
            </w:pPr>
            <w:r w:rsidRPr="00701439">
              <w:rPr>
                <w:rFonts w:asciiTheme="minorHAnsi" w:hAnsiTheme="minorHAnsi" w:cs="Arial"/>
                <w:sz w:val="20"/>
                <w:szCs w:val="20"/>
              </w:rPr>
              <w:t>capital</w:t>
            </w:r>
          </w:p>
          <w:p w14:paraId="41D6EFED" w14:textId="175F029D" w:rsidR="00A3021A" w:rsidRPr="00701439" w:rsidRDefault="00A3021A">
            <w:pPr>
              <w:jc w:val="right"/>
              <w:rPr>
                <w:rFonts w:asciiTheme="minorHAnsi" w:hAnsiTheme="minorHAnsi" w:cs="Arial"/>
                <w:sz w:val="20"/>
                <w:szCs w:val="20"/>
              </w:rPr>
            </w:pPr>
            <w:r w:rsidRPr="00701439">
              <w:rPr>
                <w:rFonts w:asciiTheme="minorHAnsi" w:hAnsiTheme="minorHAnsi" w:cs="Arial"/>
                <w:sz w:val="20"/>
                <w:szCs w:val="20"/>
              </w:rPr>
              <w:t>£m</w:t>
            </w:r>
          </w:p>
        </w:tc>
        <w:tc>
          <w:tcPr>
            <w:tcW w:w="1038" w:type="dxa"/>
            <w:tcBorders>
              <w:top w:val="nil"/>
              <w:left w:val="nil"/>
              <w:bottom w:val="single" w:sz="4" w:space="0" w:color="auto"/>
              <w:right w:val="nil"/>
            </w:tcBorders>
          </w:tcPr>
          <w:p w14:paraId="6DBF308F" w14:textId="32F40080" w:rsidR="00A3021A" w:rsidRPr="00701439" w:rsidRDefault="00A3021A">
            <w:pPr>
              <w:jc w:val="right"/>
              <w:rPr>
                <w:rFonts w:asciiTheme="minorHAnsi" w:hAnsiTheme="minorHAnsi" w:cs="Arial"/>
                <w:sz w:val="20"/>
                <w:szCs w:val="20"/>
              </w:rPr>
            </w:pPr>
            <w:r w:rsidRPr="00701439">
              <w:rPr>
                <w:rFonts w:asciiTheme="minorHAnsi" w:hAnsiTheme="minorHAnsi" w:cs="Arial"/>
                <w:sz w:val="20"/>
                <w:szCs w:val="20"/>
              </w:rPr>
              <w:t>Share</w:t>
            </w:r>
          </w:p>
          <w:p w14:paraId="33C317EF" w14:textId="55C40292" w:rsidR="00A3021A" w:rsidRPr="00701439" w:rsidRDefault="00A3021A" w:rsidP="00893D8F">
            <w:pPr>
              <w:jc w:val="right"/>
              <w:rPr>
                <w:rFonts w:asciiTheme="minorHAnsi" w:hAnsiTheme="minorHAnsi" w:cs="Arial"/>
                <w:sz w:val="20"/>
                <w:szCs w:val="20"/>
              </w:rPr>
            </w:pPr>
            <w:r w:rsidRPr="00701439">
              <w:rPr>
                <w:rFonts w:asciiTheme="minorHAnsi" w:hAnsiTheme="minorHAnsi" w:cs="Arial"/>
                <w:sz w:val="20"/>
                <w:szCs w:val="20"/>
              </w:rPr>
              <w:t>premium £m</w:t>
            </w:r>
          </w:p>
        </w:tc>
        <w:tc>
          <w:tcPr>
            <w:tcW w:w="891" w:type="dxa"/>
            <w:tcBorders>
              <w:top w:val="nil"/>
              <w:left w:val="nil"/>
              <w:bottom w:val="single" w:sz="4" w:space="0" w:color="auto"/>
              <w:right w:val="nil"/>
            </w:tcBorders>
          </w:tcPr>
          <w:p w14:paraId="5E79FF25" w14:textId="77777777" w:rsidR="00A3021A" w:rsidRPr="00701439" w:rsidRDefault="00A3021A">
            <w:pPr>
              <w:jc w:val="right"/>
              <w:rPr>
                <w:rFonts w:asciiTheme="minorHAnsi" w:hAnsiTheme="minorHAnsi" w:cs="Arial"/>
                <w:sz w:val="20"/>
                <w:szCs w:val="20"/>
              </w:rPr>
            </w:pPr>
            <w:r w:rsidRPr="00701439">
              <w:rPr>
                <w:rFonts w:asciiTheme="minorHAnsi" w:hAnsiTheme="minorHAnsi" w:cs="Arial"/>
                <w:sz w:val="20"/>
                <w:szCs w:val="20"/>
              </w:rPr>
              <w:t>Merger reserve</w:t>
            </w:r>
          </w:p>
          <w:p w14:paraId="2BB984DD" w14:textId="5BA36D3C" w:rsidR="00A3021A" w:rsidRPr="00701439" w:rsidRDefault="00A3021A" w:rsidP="00893D8F">
            <w:pPr>
              <w:jc w:val="right"/>
              <w:rPr>
                <w:rFonts w:asciiTheme="minorHAnsi" w:hAnsiTheme="minorHAnsi" w:cs="Arial"/>
                <w:sz w:val="20"/>
                <w:szCs w:val="20"/>
              </w:rPr>
            </w:pPr>
            <w:r w:rsidRPr="00701439">
              <w:rPr>
                <w:rFonts w:asciiTheme="minorHAnsi" w:hAnsiTheme="minorHAnsi" w:cs="Arial"/>
                <w:sz w:val="20"/>
                <w:szCs w:val="20"/>
              </w:rPr>
              <w:t>£m</w:t>
            </w:r>
          </w:p>
        </w:tc>
        <w:tc>
          <w:tcPr>
            <w:tcW w:w="1038" w:type="dxa"/>
            <w:tcBorders>
              <w:top w:val="nil"/>
              <w:left w:val="nil"/>
              <w:bottom w:val="single" w:sz="4" w:space="0" w:color="auto"/>
              <w:right w:val="nil"/>
            </w:tcBorders>
          </w:tcPr>
          <w:p w14:paraId="072AE649" w14:textId="27A27A9A" w:rsidR="00A3021A" w:rsidRPr="00701439" w:rsidRDefault="00A3021A">
            <w:pPr>
              <w:jc w:val="right"/>
              <w:rPr>
                <w:rFonts w:asciiTheme="minorHAnsi" w:hAnsiTheme="minorHAnsi" w:cs="Arial"/>
                <w:sz w:val="20"/>
                <w:szCs w:val="20"/>
              </w:rPr>
            </w:pPr>
            <w:r w:rsidRPr="00701439">
              <w:rPr>
                <w:rFonts w:asciiTheme="minorHAnsi" w:hAnsiTheme="minorHAnsi" w:cs="Arial"/>
                <w:sz w:val="20"/>
                <w:szCs w:val="20"/>
              </w:rPr>
              <w:t>Other</w:t>
            </w:r>
          </w:p>
          <w:p w14:paraId="13D12363" w14:textId="1F463DB0" w:rsidR="00A3021A" w:rsidRPr="00701439" w:rsidRDefault="00A3021A">
            <w:pPr>
              <w:jc w:val="right"/>
              <w:rPr>
                <w:rFonts w:asciiTheme="minorHAnsi" w:hAnsiTheme="minorHAnsi" w:cs="Arial"/>
                <w:sz w:val="20"/>
                <w:szCs w:val="20"/>
              </w:rPr>
            </w:pPr>
            <w:r w:rsidRPr="00701439">
              <w:rPr>
                <w:rFonts w:asciiTheme="minorHAnsi" w:hAnsiTheme="minorHAnsi" w:cs="Arial"/>
                <w:sz w:val="20"/>
                <w:szCs w:val="20"/>
              </w:rPr>
              <w:t>reserves</w:t>
            </w:r>
          </w:p>
          <w:p w14:paraId="1F9C6869" w14:textId="64B95750" w:rsidR="00A3021A" w:rsidRPr="00701439" w:rsidRDefault="00A3021A">
            <w:pPr>
              <w:jc w:val="right"/>
              <w:rPr>
                <w:rFonts w:asciiTheme="minorHAnsi" w:hAnsiTheme="minorHAnsi" w:cs="Arial"/>
                <w:sz w:val="20"/>
                <w:szCs w:val="20"/>
              </w:rPr>
            </w:pPr>
            <w:r w:rsidRPr="00701439">
              <w:rPr>
                <w:rFonts w:asciiTheme="minorHAnsi" w:hAnsiTheme="minorHAnsi" w:cs="Arial"/>
                <w:sz w:val="20"/>
                <w:szCs w:val="20"/>
              </w:rPr>
              <w:t>£m</w:t>
            </w:r>
          </w:p>
        </w:tc>
        <w:tc>
          <w:tcPr>
            <w:tcW w:w="1038" w:type="dxa"/>
            <w:tcBorders>
              <w:top w:val="nil"/>
              <w:left w:val="nil"/>
              <w:bottom w:val="single" w:sz="4" w:space="0" w:color="auto"/>
              <w:right w:val="nil"/>
            </w:tcBorders>
          </w:tcPr>
          <w:p w14:paraId="4E5E560A" w14:textId="355771C1" w:rsidR="00A3021A" w:rsidRPr="00A00C8A" w:rsidRDefault="00A3021A" w:rsidP="00893D8F">
            <w:pPr>
              <w:jc w:val="right"/>
              <w:rPr>
                <w:rFonts w:asciiTheme="minorHAnsi" w:hAnsiTheme="minorHAnsi" w:cs="Arial"/>
                <w:sz w:val="18"/>
                <w:szCs w:val="18"/>
              </w:rPr>
            </w:pPr>
            <w:r w:rsidRPr="00A00C8A">
              <w:rPr>
                <w:rFonts w:asciiTheme="minorHAnsi" w:hAnsiTheme="minorHAnsi" w:cs="Arial"/>
                <w:sz w:val="18"/>
                <w:szCs w:val="18"/>
              </w:rPr>
              <w:t>Retained</w:t>
            </w:r>
          </w:p>
          <w:p w14:paraId="3CABCD80" w14:textId="2F23FAD7" w:rsidR="00E63F15" w:rsidRPr="00701439" w:rsidRDefault="00A75A56" w:rsidP="00893D8F">
            <w:pPr>
              <w:jc w:val="right"/>
              <w:rPr>
                <w:rFonts w:asciiTheme="minorHAnsi" w:hAnsiTheme="minorHAnsi" w:cs="Arial"/>
                <w:sz w:val="20"/>
                <w:szCs w:val="20"/>
              </w:rPr>
            </w:pPr>
            <w:r w:rsidRPr="00A00C8A">
              <w:rPr>
                <w:rFonts w:asciiTheme="minorHAnsi" w:hAnsiTheme="minorHAnsi" w:cs="Arial"/>
                <w:sz w:val="18"/>
                <w:szCs w:val="18"/>
              </w:rPr>
              <w:t>E</w:t>
            </w:r>
            <w:r w:rsidR="00A3021A" w:rsidRPr="00A00C8A">
              <w:rPr>
                <w:rFonts w:asciiTheme="minorHAnsi" w:hAnsiTheme="minorHAnsi" w:cs="Arial"/>
                <w:sz w:val="18"/>
                <w:szCs w:val="18"/>
              </w:rPr>
              <w:t>arnings</w:t>
            </w:r>
          </w:p>
          <w:p w14:paraId="008CBC08" w14:textId="772D5550" w:rsidR="00A3021A" w:rsidRPr="00701439" w:rsidRDefault="00E63F15" w:rsidP="00893D8F">
            <w:pPr>
              <w:rPr>
                <w:rFonts w:asciiTheme="minorHAnsi" w:hAnsiTheme="minorHAnsi" w:cs="Arial"/>
                <w:sz w:val="20"/>
                <w:szCs w:val="20"/>
              </w:rPr>
            </w:pPr>
            <w:r>
              <w:rPr>
                <w:rFonts w:asciiTheme="minorHAnsi" w:hAnsiTheme="minorHAnsi" w:cs="Arial"/>
                <w:sz w:val="20"/>
                <w:szCs w:val="20"/>
              </w:rPr>
              <w:t xml:space="preserve">        </w:t>
            </w:r>
            <w:r w:rsidR="00AF2B57">
              <w:rPr>
                <w:rFonts w:asciiTheme="minorHAnsi" w:hAnsiTheme="minorHAnsi" w:cs="Arial"/>
                <w:sz w:val="20"/>
                <w:szCs w:val="20"/>
              </w:rPr>
              <w:t xml:space="preserve">   </w:t>
            </w:r>
            <w:r w:rsidR="00A3021A" w:rsidRPr="00701439">
              <w:rPr>
                <w:rFonts w:asciiTheme="minorHAnsi" w:hAnsiTheme="minorHAnsi" w:cs="Arial"/>
                <w:sz w:val="20"/>
                <w:szCs w:val="20"/>
              </w:rPr>
              <w:t>£m</w:t>
            </w:r>
          </w:p>
        </w:tc>
        <w:tc>
          <w:tcPr>
            <w:tcW w:w="742" w:type="dxa"/>
            <w:tcBorders>
              <w:top w:val="nil"/>
              <w:left w:val="nil"/>
              <w:bottom w:val="single" w:sz="4" w:space="0" w:color="auto"/>
              <w:right w:val="nil"/>
            </w:tcBorders>
          </w:tcPr>
          <w:p w14:paraId="32164078" w14:textId="77777777" w:rsidR="00A3021A" w:rsidRPr="00701439" w:rsidRDefault="00A3021A">
            <w:pPr>
              <w:jc w:val="right"/>
              <w:rPr>
                <w:rFonts w:asciiTheme="minorHAnsi" w:hAnsiTheme="minorHAnsi" w:cs="Arial"/>
                <w:sz w:val="20"/>
                <w:szCs w:val="20"/>
              </w:rPr>
            </w:pPr>
          </w:p>
          <w:p w14:paraId="3482E9C9" w14:textId="60AB4CC8" w:rsidR="00A3021A" w:rsidRPr="00701439" w:rsidRDefault="00A3021A">
            <w:pPr>
              <w:jc w:val="right"/>
              <w:rPr>
                <w:rFonts w:asciiTheme="minorHAnsi" w:hAnsiTheme="minorHAnsi" w:cs="Arial"/>
                <w:sz w:val="20"/>
                <w:szCs w:val="20"/>
              </w:rPr>
            </w:pPr>
            <w:r w:rsidRPr="00701439">
              <w:rPr>
                <w:rFonts w:asciiTheme="minorHAnsi" w:hAnsiTheme="minorHAnsi" w:cs="Arial"/>
                <w:sz w:val="20"/>
                <w:szCs w:val="20"/>
              </w:rPr>
              <w:t>Total £m</w:t>
            </w:r>
          </w:p>
        </w:tc>
      </w:tr>
      <w:tr w:rsidR="00875814" w:rsidRPr="003C093B" w14:paraId="1E59F0AF" w14:textId="77777777" w:rsidTr="00AF2B57">
        <w:trPr>
          <w:trHeight w:val="241"/>
        </w:trPr>
        <w:tc>
          <w:tcPr>
            <w:tcW w:w="4009" w:type="dxa"/>
            <w:vAlign w:val="bottom"/>
          </w:tcPr>
          <w:p w14:paraId="0EDFCB45" w14:textId="3BA718A3" w:rsidR="00875814" w:rsidRPr="00565803" w:rsidRDefault="00875814" w:rsidP="00875814">
            <w:pPr>
              <w:rPr>
                <w:rFonts w:asciiTheme="minorHAnsi" w:hAnsiTheme="minorHAnsi" w:cs="Arial"/>
                <w:b/>
                <w:sz w:val="20"/>
                <w:szCs w:val="20"/>
              </w:rPr>
            </w:pPr>
            <w:r w:rsidRPr="00565803">
              <w:rPr>
                <w:rFonts w:asciiTheme="minorHAnsi" w:hAnsiTheme="minorHAnsi" w:cs="Arial"/>
                <w:b/>
                <w:sz w:val="20"/>
                <w:szCs w:val="20"/>
              </w:rPr>
              <w:lastRenderedPageBreak/>
              <w:t xml:space="preserve">At </w:t>
            </w:r>
            <w:r w:rsidR="00FC3919" w:rsidRPr="00565803">
              <w:rPr>
                <w:rFonts w:asciiTheme="minorHAnsi" w:hAnsiTheme="minorHAnsi" w:cs="Arial"/>
                <w:b/>
                <w:sz w:val="20"/>
                <w:szCs w:val="20"/>
              </w:rPr>
              <w:t>31 December 202</w:t>
            </w:r>
            <w:r w:rsidR="003C093B">
              <w:rPr>
                <w:rFonts w:asciiTheme="minorHAnsi" w:hAnsiTheme="minorHAnsi" w:cs="Arial"/>
                <w:b/>
                <w:sz w:val="20"/>
                <w:szCs w:val="20"/>
              </w:rPr>
              <w:t>2</w:t>
            </w:r>
          </w:p>
        </w:tc>
        <w:tc>
          <w:tcPr>
            <w:tcW w:w="890" w:type="dxa"/>
            <w:tcBorders>
              <w:top w:val="single" w:sz="4" w:space="0" w:color="auto"/>
              <w:left w:val="nil"/>
              <w:bottom w:val="single" w:sz="4" w:space="0" w:color="auto"/>
              <w:right w:val="nil"/>
            </w:tcBorders>
            <w:vAlign w:val="bottom"/>
          </w:tcPr>
          <w:p w14:paraId="3A85D3FF" w14:textId="39A2A529" w:rsidR="00875814" w:rsidRPr="006D4208" w:rsidRDefault="00875814" w:rsidP="00875814">
            <w:pPr>
              <w:jc w:val="right"/>
              <w:rPr>
                <w:rFonts w:asciiTheme="minorHAnsi" w:hAnsiTheme="minorHAnsi" w:cs="Arial"/>
                <w:sz w:val="20"/>
                <w:szCs w:val="20"/>
              </w:rPr>
            </w:pPr>
            <w:r w:rsidRPr="006D4208">
              <w:rPr>
                <w:rFonts w:asciiTheme="minorHAnsi" w:hAnsiTheme="minorHAnsi" w:cs="Arial"/>
                <w:sz w:val="20"/>
                <w:szCs w:val="20"/>
              </w:rPr>
              <w:t>52.6 </w:t>
            </w:r>
          </w:p>
        </w:tc>
        <w:tc>
          <w:tcPr>
            <w:tcW w:w="1038" w:type="dxa"/>
            <w:tcBorders>
              <w:top w:val="single" w:sz="4" w:space="0" w:color="auto"/>
              <w:left w:val="nil"/>
              <w:bottom w:val="single" w:sz="4" w:space="0" w:color="auto"/>
              <w:right w:val="nil"/>
            </w:tcBorders>
            <w:vAlign w:val="bottom"/>
          </w:tcPr>
          <w:p w14:paraId="3B22A921" w14:textId="4D98A45F" w:rsidR="00875814" w:rsidRPr="006D4208" w:rsidRDefault="00875814" w:rsidP="00875814">
            <w:pPr>
              <w:jc w:val="right"/>
              <w:rPr>
                <w:rFonts w:asciiTheme="minorHAnsi" w:hAnsiTheme="minorHAnsi" w:cs="Arial"/>
                <w:sz w:val="20"/>
                <w:szCs w:val="20"/>
              </w:rPr>
            </w:pPr>
            <w:r w:rsidRPr="006D4208">
              <w:rPr>
                <w:rFonts w:asciiTheme="minorHAnsi" w:hAnsiTheme="minorHAnsi" w:cs="Arial"/>
                <w:sz w:val="20"/>
                <w:szCs w:val="20"/>
              </w:rPr>
              <w:t>273.</w:t>
            </w:r>
            <w:r w:rsidR="003C093B" w:rsidRPr="006D4208">
              <w:rPr>
                <w:rFonts w:asciiTheme="minorHAnsi" w:hAnsiTheme="minorHAnsi" w:cs="Arial"/>
                <w:sz w:val="20"/>
                <w:szCs w:val="20"/>
              </w:rPr>
              <w:t>5</w:t>
            </w:r>
            <w:r w:rsidRPr="006D4208">
              <w:rPr>
                <w:rFonts w:asciiTheme="minorHAnsi" w:hAnsiTheme="minorHAnsi" w:cs="Arial"/>
                <w:sz w:val="20"/>
                <w:szCs w:val="20"/>
              </w:rPr>
              <w:t> </w:t>
            </w:r>
          </w:p>
        </w:tc>
        <w:tc>
          <w:tcPr>
            <w:tcW w:w="891" w:type="dxa"/>
            <w:tcBorders>
              <w:top w:val="single" w:sz="4" w:space="0" w:color="auto"/>
              <w:left w:val="nil"/>
              <w:bottom w:val="single" w:sz="4" w:space="0" w:color="auto"/>
              <w:right w:val="nil"/>
            </w:tcBorders>
          </w:tcPr>
          <w:p w14:paraId="3BBF1DB9" w14:textId="324D90B6" w:rsidR="00875814" w:rsidRPr="006D4208" w:rsidRDefault="00875814" w:rsidP="00875814">
            <w:pPr>
              <w:jc w:val="right"/>
              <w:rPr>
                <w:rFonts w:asciiTheme="minorHAnsi" w:hAnsiTheme="minorHAnsi" w:cs="Arial"/>
                <w:sz w:val="20"/>
                <w:szCs w:val="20"/>
              </w:rPr>
            </w:pPr>
            <w:r w:rsidRPr="006D4208">
              <w:rPr>
                <w:rFonts w:asciiTheme="minorHAnsi" w:hAnsiTheme="minorHAnsi" w:cs="Arial"/>
                <w:sz w:val="20"/>
                <w:szCs w:val="20"/>
              </w:rPr>
              <w:t>278.2</w:t>
            </w:r>
          </w:p>
        </w:tc>
        <w:tc>
          <w:tcPr>
            <w:tcW w:w="1038" w:type="dxa"/>
            <w:tcBorders>
              <w:top w:val="single" w:sz="4" w:space="0" w:color="auto"/>
              <w:left w:val="nil"/>
              <w:bottom w:val="single" w:sz="4" w:space="0" w:color="auto"/>
              <w:right w:val="nil"/>
            </w:tcBorders>
            <w:vAlign w:val="bottom"/>
          </w:tcPr>
          <w:p w14:paraId="2DE407AB" w14:textId="60041CD4" w:rsidR="00875814" w:rsidRPr="006D4208" w:rsidRDefault="003C093B" w:rsidP="00875814">
            <w:pPr>
              <w:jc w:val="right"/>
              <w:rPr>
                <w:rFonts w:asciiTheme="minorHAnsi" w:hAnsiTheme="minorHAnsi" w:cs="Arial"/>
                <w:sz w:val="20"/>
                <w:szCs w:val="20"/>
              </w:rPr>
            </w:pPr>
            <w:r w:rsidRPr="006D4208">
              <w:rPr>
                <w:rFonts w:asciiTheme="minorHAnsi" w:hAnsiTheme="minorHAnsi" w:cs="Arial"/>
                <w:sz w:val="20"/>
                <w:szCs w:val="20"/>
              </w:rPr>
              <w:t>12.4</w:t>
            </w:r>
          </w:p>
        </w:tc>
        <w:tc>
          <w:tcPr>
            <w:tcW w:w="1038" w:type="dxa"/>
            <w:tcBorders>
              <w:top w:val="single" w:sz="4" w:space="0" w:color="auto"/>
              <w:left w:val="nil"/>
              <w:bottom w:val="single" w:sz="4" w:space="0" w:color="auto"/>
              <w:right w:val="nil"/>
            </w:tcBorders>
            <w:vAlign w:val="bottom"/>
          </w:tcPr>
          <w:p w14:paraId="2006ED36" w14:textId="25775581" w:rsidR="00875814" w:rsidRPr="006D4208" w:rsidRDefault="003C093B" w:rsidP="00875814">
            <w:pPr>
              <w:jc w:val="right"/>
              <w:rPr>
                <w:rFonts w:asciiTheme="minorHAnsi" w:hAnsiTheme="minorHAnsi" w:cs="Arial"/>
                <w:sz w:val="20"/>
                <w:szCs w:val="20"/>
              </w:rPr>
            </w:pPr>
            <w:r w:rsidRPr="006D4208">
              <w:rPr>
                <w:rFonts w:asciiTheme="minorHAnsi" w:hAnsiTheme="minorHAnsi" w:cs="Arial"/>
                <w:sz w:val="20"/>
                <w:szCs w:val="20"/>
              </w:rPr>
              <w:t>(2.0)</w:t>
            </w:r>
            <w:r w:rsidR="00875814" w:rsidRPr="006D4208">
              <w:rPr>
                <w:rFonts w:asciiTheme="minorHAnsi" w:hAnsiTheme="minorHAnsi" w:cs="Arial"/>
                <w:sz w:val="20"/>
                <w:szCs w:val="20"/>
              </w:rPr>
              <w:t> </w:t>
            </w:r>
          </w:p>
        </w:tc>
        <w:tc>
          <w:tcPr>
            <w:tcW w:w="742" w:type="dxa"/>
            <w:tcBorders>
              <w:top w:val="single" w:sz="4" w:space="0" w:color="auto"/>
              <w:left w:val="nil"/>
              <w:bottom w:val="single" w:sz="4" w:space="0" w:color="auto"/>
              <w:right w:val="nil"/>
            </w:tcBorders>
            <w:vAlign w:val="bottom"/>
          </w:tcPr>
          <w:p w14:paraId="44C6EC09" w14:textId="7AC74196" w:rsidR="00875814" w:rsidRPr="006D4208" w:rsidRDefault="00875814" w:rsidP="00875814">
            <w:pPr>
              <w:jc w:val="right"/>
              <w:rPr>
                <w:rFonts w:asciiTheme="minorHAnsi" w:hAnsiTheme="minorHAnsi" w:cs="Arial"/>
                <w:sz w:val="20"/>
                <w:szCs w:val="20"/>
              </w:rPr>
            </w:pPr>
            <w:r w:rsidRPr="006D4208">
              <w:rPr>
                <w:rFonts w:asciiTheme="minorHAnsi" w:hAnsiTheme="minorHAnsi" w:cs="Arial"/>
                <w:sz w:val="20"/>
                <w:szCs w:val="20"/>
              </w:rPr>
              <w:t>6</w:t>
            </w:r>
            <w:r w:rsidR="003C093B" w:rsidRPr="006D4208">
              <w:rPr>
                <w:rFonts w:asciiTheme="minorHAnsi" w:hAnsiTheme="minorHAnsi" w:cs="Arial"/>
                <w:sz w:val="20"/>
                <w:szCs w:val="20"/>
              </w:rPr>
              <w:t>14.7</w:t>
            </w:r>
            <w:r w:rsidRPr="006D4208">
              <w:rPr>
                <w:rFonts w:asciiTheme="minorHAnsi" w:hAnsiTheme="minorHAnsi" w:cs="Arial"/>
                <w:sz w:val="20"/>
                <w:szCs w:val="20"/>
              </w:rPr>
              <w:t> </w:t>
            </w:r>
          </w:p>
        </w:tc>
      </w:tr>
      <w:tr w:rsidR="00C965D7" w:rsidRPr="00565803" w14:paraId="778056F5" w14:textId="77777777" w:rsidTr="00AF2B57">
        <w:trPr>
          <w:trHeight w:val="241"/>
        </w:trPr>
        <w:tc>
          <w:tcPr>
            <w:tcW w:w="4009" w:type="dxa"/>
            <w:vAlign w:val="bottom"/>
          </w:tcPr>
          <w:p w14:paraId="4AAE3F00" w14:textId="43644970" w:rsidR="00C965D7" w:rsidRPr="00565803" w:rsidRDefault="00C965D7" w:rsidP="00875814">
            <w:pPr>
              <w:rPr>
                <w:rFonts w:asciiTheme="minorHAnsi" w:hAnsiTheme="minorHAnsi" w:cs="Arial"/>
                <w:b/>
                <w:sz w:val="20"/>
                <w:szCs w:val="20"/>
              </w:rPr>
            </w:pPr>
            <w:r>
              <w:rPr>
                <w:rFonts w:asciiTheme="minorHAnsi" w:hAnsiTheme="minorHAnsi" w:cs="Arial"/>
                <w:b/>
                <w:sz w:val="20"/>
                <w:szCs w:val="20"/>
              </w:rPr>
              <w:t>Prior period restatement</w:t>
            </w:r>
            <w:r w:rsidR="00B21E62" w:rsidRPr="00B21E62">
              <w:rPr>
                <w:rFonts w:asciiTheme="minorHAnsi" w:hAnsiTheme="minorHAnsi" w:cs="Arial"/>
                <w:b/>
                <w:sz w:val="20"/>
                <w:szCs w:val="20"/>
                <w:vertAlign w:val="superscript"/>
              </w:rPr>
              <w:t>1</w:t>
            </w:r>
          </w:p>
        </w:tc>
        <w:tc>
          <w:tcPr>
            <w:tcW w:w="890" w:type="dxa"/>
            <w:tcBorders>
              <w:top w:val="single" w:sz="4" w:space="0" w:color="auto"/>
              <w:left w:val="nil"/>
              <w:bottom w:val="single" w:sz="4" w:space="0" w:color="auto"/>
              <w:right w:val="nil"/>
            </w:tcBorders>
            <w:vAlign w:val="bottom"/>
          </w:tcPr>
          <w:p w14:paraId="19B3D305" w14:textId="5182AE42" w:rsidR="00C965D7" w:rsidRPr="006D4208" w:rsidRDefault="00C965D7" w:rsidP="00875814">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top w:val="single" w:sz="4" w:space="0" w:color="auto"/>
              <w:left w:val="nil"/>
              <w:bottom w:val="single" w:sz="4" w:space="0" w:color="auto"/>
              <w:right w:val="nil"/>
            </w:tcBorders>
            <w:vAlign w:val="bottom"/>
          </w:tcPr>
          <w:p w14:paraId="22B32F80" w14:textId="1D640A4C" w:rsidR="00C965D7" w:rsidRPr="006D4208" w:rsidRDefault="00C965D7" w:rsidP="00875814">
            <w:pPr>
              <w:jc w:val="right"/>
              <w:rPr>
                <w:rFonts w:asciiTheme="minorHAnsi" w:hAnsiTheme="minorHAnsi" w:cs="Arial"/>
                <w:sz w:val="20"/>
                <w:szCs w:val="20"/>
              </w:rPr>
            </w:pPr>
            <w:r w:rsidRPr="006D4208">
              <w:rPr>
                <w:rFonts w:asciiTheme="minorHAnsi" w:hAnsiTheme="minorHAnsi" w:cs="Arial"/>
                <w:sz w:val="20"/>
                <w:szCs w:val="20"/>
              </w:rPr>
              <w:t>-</w:t>
            </w:r>
          </w:p>
        </w:tc>
        <w:tc>
          <w:tcPr>
            <w:tcW w:w="891" w:type="dxa"/>
            <w:tcBorders>
              <w:top w:val="single" w:sz="4" w:space="0" w:color="auto"/>
              <w:left w:val="nil"/>
              <w:bottom w:val="single" w:sz="4" w:space="0" w:color="auto"/>
              <w:right w:val="nil"/>
            </w:tcBorders>
          </w:tcPr>
          <w:p w14:paraId="4F31FC51" w14:textId="21EBC3CD" w:rsidR="00C965D7" w:rsidRPr="006D4208" w:rsidRDefault="00C965D7" w:rsidP="00875814">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top w:val="single" w:sz="4" w:space="0" w:color="auto"/>
              <w:left w:val="nil"/>
              <w:bottom w:val="single" w:sz="4" w:space="0" w:color="auto"/>
              <w:right w:val="nil"/>
            </w:tcBorders>
            <w:vAlign w:val="bottom"/>
          </w:tcPr>
          <w:p w14:paraId="4BA99FD1" w14:textId="6CC3602B" w:rsidR="00C965D7" w:rsidRPr="006D4208" w:rsidRDefault="00C965D7" w:rsidP="00875814">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top w:val="single" w:sz="4" w:space="0" w:color="auto"/>
              <w:left w:val="nil"/>
              <w:bottom w:val="single" w:sz="4" w:space="0" w:color="auto"/>
              <w:right w:val="nil"/>
            </w:tcBorders>
            <w:vAlign w:val="bottom"/>
          </w:tcPr>
          <w:p w14:paraId="45650073" w14:textId="07D365C4" w:rsidR="00C965D7" w:rsidRPr="006D4208" w:rsidRDefault="00C965D7" w:rsidP="00875814">
            <w:pPr>
              <w:jc w:val="right"/>
              <w:rPr>
                <w:rFonts w:asciiTheme="minorHAnsi" w:hAnsiTheme="minorHAnsi" w:cs="Arial"/>
                <w:sz w:val="20"/>
                <w:szCs w:val="20"/>
              </w:rPr>
            </w:pPr>
            <w:r w:rsidRPr="006D4208">
              <w:rPr>
                <w:rFonts w:asciiTheme="minorHAnsi" w:hAnsiTheme="minorHAnsi" w:cs="Arial"/>
                <w:sz w:val="20"/>
                <w:szCs w:val="20"/>
              </w:rPr>
              <w:t>(</w:t>
            </w:r>
            <w:r w:rsidR="00517E1E">
              <w:rPr>
                <w:rFonts w:asciiTheme="minorHAnsi" w:hAnsiTheme="minorHAnsi" w:cs="Arial"/>
                <w:sz w:val="20"/>
                <w:szCs w:val="20"/>
              </w:rPr>
              <w:t>8.3</w:t>
            </w:r>
            <w:r w:rsidRPr="006D4208">
              <w:rPr>
                <w:rFonts w:asciiTheme="minorHAnsi" w:hAnsiTheme="minorHAnsi" w:cs="Arial"/>
                <w:sz w:val="20"/>
                <w:szCs w:val="20"/>
              </w:rPr>
              <w:t>)</w:t>
            </w:r>
          </w:p>
        </w:tc>
        <w:tc>
          <w:tcPr>
            <w:tcW w:w="742" w:type="dxa"/>
            <w:tcBorders>
              <w:top w:val="single" w:sz="4" w:space="0" w:color="auto"/>
              <w:left w:val="nil"/>
              <w:bottom w:val="single" w:sz="4" w:space="0" w:color="auto"/>
              <w:right w:val="nil"/>
            </w:tcBorders>
            <w:vAlign w:val="bottom"/>
          </w:tcPr>
          <w:p w14:paraId="4ECF085A" w14:textId="3BAF64D1" w:rsidR="00C965D7" w:rsidRPr="006D4208" w:rsidRDefault="00C965D7" w:rsidP="00875814">
            <w:pPr>
              <w:jc w:val="right"/>
              <w:rPr>
                <w:rFonts w:asciiTheme="minorHAnsi" w:hAnsiTheme="minorHAnsi" w:cs="Arial"/>
                <w:sz w:val="20"/>
                <w:szCs w:val="20"/>
              </w:rPr>
            </w:pPr>
            <w:r w:rsidRPr="006D4208">
              <w:rPr>
                <w:rFonts w:asciiTheme="minorHAnsi" w:hAnsiTheme="minorHAnsi" w:cs="Arial"/>
                <w:sz w:val="20"/>
                <w:szCs w:val="20"/>
              </w:rPr>
              <w:t>(</w:t>
            </w:r>
            <w:r w:rsidR="00517E1E">
              <w:rPr>
                <w:rFonts w:asciiTheme="minorHAnsi" w:hAnsiTheme="minorHAnsi" w:cs="Arial"/>
                <w:sz w:val="20"/>
                <w:szCs w:val="20"/>
              </w:rPr>
              <w:t>8.3</w:t>
            </w:r>
            <w:r w:rsidRPr="006D4208">
              <w:rPr>
                <w:rFonts w:asciiTheme="minorHAnsi" w:hAnsiTheme="minorHAnsi" w:cs="Arial"/>
                <w:sz w:val="20"/>
                <w:szCs w:val="20"/>
              </w:rPr>
              <w:t>)</w:t>
            </w:r>
          </w:p>
        </w:tc>
      </w:tr>
      <w:tr w:rsidR="006B25DB" w:rsidRPr="00565803" w14:paraId="131D9D2E" w14:textId="77777777" w:rsidTr="00AF2B57">
        <w:trPr>
          <w:trHeight w:val="241"/>
        </w:trPr>
        <w:tc>
          <w:tcPr>
            <w:tcW w:w="4009" w:type="dxa"/>
            <w:vAlign w:val="bottom"/>
          </w:tcPr>
          <w:p w14:paraId="301B4159" w14:textId="3473E3A2" w:rsidR="006B25DB" w:rsidRPr="00565803" w:rsidRDefault="006B25DB" w:rsidP="00875814">
            <w:pPr>
              <w:rPr>
                <w:rFonts w:asciiTheme="minorHAnsi" w:hAnsiTheme="minorHAnsi" w:cs="Arial"/>
                <w:b/>
                <w:sz w:val="20"/>
                <w:szCs w:val="20"/>
              </w:rPr>
            </w:pPr>
            <w:r w:rsidRPr="00565803">
              <w:rPr>
                <w:rFonts w:asciiTheme="minorHAnsi" w:hAnsiTheme="minorHAnsi" w:cs="Arial"/>
                <w:b/>
                <w:sz w:val="20"/>
                <w:szCs w:val="20"/>
              </w:rPr>
              <w:t xml:space="preserve">At 1 January </w:t>
            </w:r>
            <w:r w:rsidR="002771BD" w:rsidRPr="00565803">
              <w:rPr>
                <w:rFonts w:asciiTheme="minorHAnsi" w:hAnsiTheme="minorHAnsi" w:cs="Arial"/>
                <w:b/>
                <w:sz w:val="20"/>
                <w:szCs w:val="20"/>
              </w:rPr>
              <w:t>202</w:t>
            </w:r>
            <w:r w:rsidR="00C323C5">
              <w:rPr>
                <w:rFonts w:asciiTheme="minorHAnsi" w:hAnsiTheme="minorHAnsi" w:cs="Arial"/>
                <w:b/>
                <w:sz w:val="20"/>
                <w:szCs w:val="20"/>
              </w:rPr>
              <w:t>3</w:t>
            </w:r>
          </w:p>
        </w:tc>
        <w:tc>
          <w:tcPr>
            <w:tcW w:w="890" w:type="dxa"/>
            <w:tcBorders>
              <w:top w:val="single" w:sz="4" w:space="0" w:color="auto"/>
              <w:left w:val="nil"/>
              <w:bottom w:val="single" w:sz="4" w:space="0" w:color="auto"/>
              <w:right w:val="nil"/>
            </w:tcBorders>
            <w:vAlign w:val="bottom"/>
          </w:tcPr>
          <w:p w14:paraId="20A6B3B3" w14:textId="0B78FFEF" w:rsidR="006B25DB" w:rsidRPr="006D4208" w:rsidRDefault="002771BD" w:rsidP="00875814">
            <w:pPr>
              <w:jc w:val="right"/>
              <w:rPr>
                <w:rFonts w:asciiTheme="minorHAnsi" w:hAnsiTheme="minorHAnsi" w:cs="Arial"/>
                <w:sz w:val="20"/>
                <w:szCs w:val="20"/>
              </w:rPr>
            </w:pPr>
            <w:r w:rsidRPr="006D4208">
              <w:rPr>
                <w:rFonts w:asciiTheme="minorHAnsi" w:hAnsiTheme="minorHAnsi" w:cs="Arial"/>
                <w:sz w:val="20"/>
                <w:szCs w:val="20"/>
              </w:rPr>
              <w:t>52.6</w:t>
            </w:r>
          </w:p>
        </w:tc>
        <w:tc>
          <w:tcPr>
            <w:tcW w:w="1038" w:type="dxa"/>
            <w:tcBorders>
              <w:top w:val="single" w:sz="4" w:space="0" w:color="auto"/>
              <w:left w:val="nil"/>
              <w:bottom w:val="single" w:sz="4" w:space="0" w:color="auto"/>
              <w:right w:val="nil"/>
            </w:tcBorders>
            <w:vAlign w:val="bottom"/>
          </w:tcPr>
          <w:p w14:paraId="36488EA1" w14:textId="65E80EDE" w:rsidR="006B25DB" w:rsidRPr="006D4208" w:rsidRDefault="002771BD" w:rsidP="00875814">
            <w:pPr>
              <w:jc w:val="right"/>
              <w:rPr>
                <w:rFonts w:asciiTheme="minorHAnsi" w:hAnsiTheme="minorHAnsi" w:cs="Arial"/>
                <w:sz w:val="20"/>
                <w:szCs w:val="20"/>
              </w:rPr>
            </w:pPr>
            <w:r w:rsidRPr="006D4208">
              <w:rPr>
                <w:rFonts w:asciiTheme="minorHAnsi" w:hAnsiTheme="minorHAnsi" w:cs="Arial"/>
                <w:sz w:val="20"/>
                <w:szCs w:val="20"/>
              </w:rPr>
              <w:t>273.</w:t>
            </w:r>
            <w:r w:rsidR="00415552" w:rsidRPr="006D4208">
              <w:rPr>
                <w:rFonts w:asciiTheme="minorHAnsi" w:hAnsiTheme="minorHAnsi" w:cs="Arial"/>
                <w:sz w:val="20"/>
                <w:szCs w:val="20"/>
              </w:rPr>
              <w:t>5</w:t>
            </w:r>
          </w:p>
        </w:tc>
        <w:tc>
          <w:tcPr>
            <w:tcW w:w="891" w:type="dxa"/>
            <w:tcBorders>
              <w:top w:val="single" w:sz="4" w:space="0" w:color="auto"/>
              <w:left w:val="nil"/>
              <w:bottom w:val="single" w:sz="4" w:space="0" w:color="auto"/>
              <w:right w:val="nil"/>
            </w:tcBorders>
          </w:tcPr>
          <w:p w14:paraId="18947D99" w14:textId="759E3778" w:rsidR="006B25DB" w:rsidRPr="006D4208" w:rsidRDefault="002771BD" w:rsidP="00875814">
            <w:pPr>
              <w:jc w:val="right"/>
              <w:rPr>
                <w:rFonts w:asciiTheme="minorHAnsi" w:hAnsiTheme="minorHAnsi" w:cs="Arial"/>
                <w:sz w:val="20"/>
                <w:szCs w:val="20"/>
              </w:rPr>
            </w:pPr>
            <w:r w:rsidRPr="006D4208">
              <w:rPr>
                <w:rFonts w:asciiTheme="minorHAnsi" w:hAnsiTheme="minorHAnsi" w:cs="Arial"/>
                <w:sz w:val="20"/>
                <w:szCs w:val="20"/>
              </w:rPr>
              <w:t>278.2</w:t>
            </w:r>
          </w:p>
        </w:tc>
        <w:tc>
          <w:tcPr>
            <w:tcW w:w="1038" w:type="dxa"/>
            <w:tcBorders>
              <w:top w:val="single" w:sz="4" w:space="0" w:color="auto"/>
              <w:left w:val="nil"/>
              <w:bottom w:val="single" w:sz="4" w:space="0" w:color="auto"/>
              <w:right w:val="nil"/>
            </w:tcBorders>
            <w:vAlign w:val="bottom"/>
          </w:tcPr>
          <w:p w14:paraId="13A31886" w14:textId="3CE0A772" w:rsidR="006B25DB" w:rsidRPr="006D4208" w:rsidRDefault="00C323C5" w:rsidP="00875814">
            <w:pPr>
              <w:jc w:val="right"/>
              <w:rPr>
                <w:rFonts w:asciiTheme="minorHAnsi" w:hAnsiTheme="minorHAnsi" w:cs="Arial"/>
                <w:sz w:val="20"/>
                <w:szCs w:val="20"/>
              </w:rPr>
            </w:pPr>
            <w:r w:rsidRPr="006D4208">
              <w:rPr>
                <w:rFonts w:asciiTheme="minorHAnsi" w:hAnsiTheme="minorHAnsi" w:cs="Arial"/>
                <w:sz w:val="20"/>
                <w:szCs w:val="20"/>
              </w:rPr>
              <w:t>12.4</w:t>
            </w:r>
          </w:p>
        </w:tc>
        <w:tc>
          <w:tcPr>
            <w:tcW w:w="1038" w:type="dxa"/>
            <w:tcBorders>
              <w:top w:val="single" w:sz="4" w:space="0" w:color="auto"/>
              <w:left w:val="nil"/>
              <w:bottom w:val="single" w:sz="4" w:space="0" w:color="auto"/>
              <w:right w:val="nil"/>
            </w:tcBorders>
            <w:vAlign w:val="bottom"/>
          </w:tcPr>
          <w:p w14:paraId="72F07A29" w14:textId="36A499E9" w:rsidR="006B25DB" w:rsidRPr="006D4208" w:rsidRDefault="00C323C5" w:rsidP="00875814">
            <w:pPr>
              <w:jc w:val="right"/>
              <w:rPr>
                <w:rFonts w:asciiTheme="minorHAnsi" w:hAnsiTheme="minorHAnsi" w:cs="Arial"/>
                <w:sz w:val="20"/>
                <w:szCs w:val="20"/>
              </w:rPr>
            </w:pPr>
            <w:r w:rsidRPr="006D4208">
              <w:rPr>
                <w:rFonts w:asciiTheme="minorHAnsi" w:hAnsiTheme="minorHAnsi" w:cs="Arial"/>
                <w:sz w:val="20"/>
                <w:szCs w:val="20"/>
              </w:rPr>
              <w:t>(</w:t>
            </w:r>
            <w:r w:rsidR="00527718">
              <w:rPr>
                <w:rFonts w:asciiTheme="minorHAnsi" w:hAnsiTheme="minorHAnsi" w:cs="Arial"/>
                <w:sz w:val="20"/>
                <w:szCs w:val="20"/>
              </w:rPr>
              <w:t>10.3</w:t>
            </w:r>
            <w:r w:rsidRPr="006D4208">
              <w:rPr>
                <w:rFonts w:asciiTheme="minorHAnsi" w:hAnsiTheme="minorHAnsi" w:cs="Arial"/>
                <w:sz w:val="20"/>
                <w:szCs w:val="20"/>
              </w:rPr>
              <w:t>)</w:t>
            </w:r>
          </w:p>
        </w:tc>
        <w:tc>
          <w:tcPr>
            <w:tcW w:w="742" w:type="dxa"/>
            <w:tcBorders>
              <w:top w:val="single" w:sz="4" w:space="0" w:color="auto"/>
              <w:left w:val="nil"/>
              <w:bottom w:val="single" w:sz="4" w:space="0" w:color="auto"/>
              <w:right w:val="nil"/>
            </w:tcBorders>
            <w:vAlign w:val="bottom"/>
          </w:tcPr>
          <w:p w14:paraId="0E8B5A8D" w14:textId="7DF093B5" w:rsidR="006B25DB" w:rsidRPr="006D4208" w:rsidRDefault="00C323C5" w:rsidP="00875814">
            <w:pPr>
              <w:jc w:val="right"/>
              <w:rPr>
                <w:rFonts w:asciiTheme="minorHAnsi" w:hAnsiTheme="minorHAnsi" w:cs="Arial"/>
                <w:sz w:val="20"/>
                <w:szCs w:val="20"/>
              </w:rPr>
            </w:pPr>
            <w:r w:rsidRPr="006D4208">
              <w:rPr>
                <w:rFonts w:asciiTheme="minorHAnsi" w:hAnsiTheme="minorHAnsi" w:cs="Arial"/>
                <w:sz w:val="20"/>
                <w:szCs w:val="20"/>
              </w:rPr>
              <w:t>6</w:t>
            </w:r>
            <w:r w:rsidR="00AC112D" w:rsidRPr="006D4208">
              <w:rPr>
                <w:rFonts w:asciiTheme="minorHAnsi" w:hAnsiTheme="minorHAnsi" w:cs="Arial"/>
                <w:sz w:val="20"/>
                <w:szCs w:val="20"/>
              </w:rPr>
              <w:t>0</w:t>
            </w:r>
            <w:r w:rsidR="003B6AC7">
              <w:rPr>
                <w:rFonts w:asciiTheme="minorHAnsi" w:hAnsiTheme="minorHAnsi" w:cs="Arial"/>
                <w:sz w:val="20"/>
                <w:szCs w:val="20"/>
              </w:rPr>
              <w:t>6</w:t>
            </w:r>
            <w:r w:rsidR="00AC112D" w:rsidRPr="006D4208">
              <w:rPr>
                <w:rFonts w:asciiTheme="minorHAnsi" w:hAnsiTheme="minorHAnsi" w:cs="Arial"/>
                <w:sz w:val="20"/>
                <w:szCs w:val="20"/>
              </w:rPr>
              <w:t>.</w:t>
            </w:r>
            <w:r w:rsidR="003B6AC7">
              <w:rPr>
                <w:rFonts w:asciiTheme="minorHAnsi" w:hAnsiTheme="minorHAnsi" w:cs="Arial"/>
                <w:sz w:val="20"/>
                <w:szCs w:val="20"/>
              </w:rPr>
              <w:t>4</w:t>
            </w:r>
          </w:p>
        </w:tc>
      </w:tr>
      <w:tr w:rsidR="00A3021A" w:rsidRPr="00565803" w14:paraId="7B812499" w14:textId="77777777" w:rsidTr="00AF2B57">
        <w:trPr>
          <w:trHeight w:val="241"/>
        </w:trPr>
        <w:tc>
          <w:tcPr>
            <w:tcW w:w="4009" w:type="dxa"/>
            <w:vAlign w:val="bottom"/>
          </w:tcPr>
          <w:p w14:paraId="7B733420" w14:textId="6066B543" w:rsidR="00A3021A" w:rsidRPr="00565803" w:rsidRDefault="004052C3">
            <w:pPr>
              <w:rPr>
                <w:rFonts w:asciiTheme="minorHAnsi" w:hAnsiTheme="minorHAnsi" w:cs="Arial"/>
                <w:b/>
                <w:sz w:val="20"/>
                <w:szCs w:val="20"/>
              </w:rPr>
            </w:pPr>
            <w:r>
              <w:rPr>
                <w:rFonts w:asciiTheme="minorHAnsi" w:hAnsiTheme="minorHAnsi" w:cs="Arial"/>
                <w:sz w:val="20"/>
                <w:szCs w:val="20"/>
              </w:rPr>
              <w:t>Loss</w:t>
            </w:r>
            <w:r w:rsidR="00F72F16" w:rsidRPr="00565803">
              <w:rPr>
                <w:rFonts w:asciiTheme="minorHAnsi" w:hAnsiTheme="minorHAnsi" w:cs="Arial"/>
                <w:sz w:val="20"/>
                <w:szCs w:val="20"/>
              </w:rPr>
              <w:t xml:space="preserve"> for the period</w:t>
            </w:r>
            <w:r w:rsidR="007A2372">
              <w:rPr>
                <w:rFonts w:asciiTheme="minorHAnsi" w:hAnsiTheme="minorHAnsi" w:cs="Arial"/>
                <w:sz w:val="20"/>
                <w:szCs w:val="20"/>
              </w:rPr>
              <w:t xml:space="preserve"> (restated)</w:t>
            </w:r>
            <w:r w:rsidR="00872EE2" w:rsidRPr="00872EE2">
              <w:rPr>
                <w:rFonts w:asciiTheme="minorHAnsi" w:hAnsiTheme="minorHAnsi" w:cs="Arial"/>
                <w:sz w:val="20"/>
                <w:szCs w:val="20"/>
                <w:vertAlign w:val="superscript"/>
              </w:rPr>
              <w:t>1</w:t>
            </w:r>
          </w:p>
        </w:tc>
        <w:tc>
          <w:tcPr>
            <w:tcW w:w="890" w:type="dxa"/>
            <w:tcBorders>
              <w:top w:val="single" w:sz="4" w:space="0" w:color="auto"/>
              <w:left w:val="nil"/>
              <w:bottom w:val="single" w:sz="4" w:space="0" w:color="auto"/>
              <w:right w:val="nil"/>
            </w:tcBorders>
            <w:vAlign w:val="bottom"/>
          </w:tcPr>
          <w:p w14:paraId="0DA3A591"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 </w:t>
            </w:r>
          </w:p>
        </w:tc>
        <w:tc>
          <w:tcPr>
            <w:tcW w:w="1038" w:type="dxa"/>
            <w:tcBorders>
              <w:top w:val="single" w:sz="4" w:space="0" w:color="auto"/>
              <w:left w:val="nil"/>
              <w:bottom w:val="single" w:sz="4" w:space="0" w:color="auto"/>
              <w:right w:val="nil"/>
            </w:tcBorders>
            <w:vAlign w:val="bottom"/>
          </w:tcPr>
          <w:p w14:paraId="5A135B8E"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 </w:t>
            </w:r>
          </w:p>
        </w:tc>
        <w:tc>
          <w:tcPr>
            <w:tcW w:w="891" w:type="dxa"/>
            <w:tcBorders>
              <w:top w:val="single" w:sz="4" w:space="0" w:color="auto"/>
              <w:left w:val="nil"/>
              <w:bottom w:val="single" w:sz="4" w:space="0" w:color="auto"/>
              <w:right w:val="nil"/>
            </w:tcBorders>
          </w:tcPr>
          <w:p w14:paraId="33AC330C"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top w:val="single" w:sz="4" w:space="0" w:color="auto"/>
              <w:left w:val="nil"/>
              <w:bottom w:val="single" w:sz="4" w:space="0" w:color="auto"/>
              <w:right w:val="nil"/>
            </w:tcBorders>
            <w:vAlign w:val="bottom"/>
          </w:tcPr>
          <w:p w14:paraId="702F32BE"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 </w:t>
            </w:r>
          </w:p>
        </w:tc>
        <w:tc>
          <w:tcPr>
            <w:tcW w:w="1038" w:type="dxa"/>
            <w:tcBorders>
              <w:top w:val="single" w:sz="4" w:space="0" w:color="auto"/>
              <w:left w:val="nil"/>
              <w:bottom w:val="single" w:sz="4" w:space="0" w:color="auto"/>
              <w:right w:val="nil"/>
            </w:tcBorders>
            <w:vAlign w:val="bottom"/>
          </w:tcPr>
          <w:p w14:paraId="5DBA85A1" w14:textId="4A2F73F8" w:rsidR="00A3021A" w:rsidRPr="006D4208" w:rsidRDefault="004052C3">
            <w:pPr>
              <w:jc w:val="right"/>
              <w:rPr>
                <w:rFonts w:asciiTheme="minorHAnsi" w:hAnsiTheme="minorHAnsi" w:cs="Arial"/>
                <w:sz w:val="20"/>
                <w:szCs w:val="20"/>
              </w:rPr>
            </w:pPr>
            <w:r w:rsidRPr="006D4208">
              <w:rPr>
                <w:rFonts w:asciiTheme="minorHAnsi" w:hAnsiTheme="minorHAnsi" w:cs="Arial"/>
                <w:sz w:val="20"/>
                <w:szCs w:val="20"/>
              </w:rPr>
              <w:t>(1</w:t>
            </w:r>
            <w:r w:rsidR="00AF3005">
              <w:rPr>
                <w:rFonts w:asciiTheme="minorHAnsi" w:hAnsiTheme="minorHAnsi" w:cs="Arial"/>
                <w:sz w:val="20"/>
                <w:szCs w:val="20"/>
              </w:rPr>
              <w:t>5.9</w:t>
            </w:r>
            <w:r w:rsidRPr="006D4208">
              <w:rPr>
                <w:rFonts w:asciiTheme="minorHAnsi" w:hAnsiTheme="minorHAnsi" w:cs="Arial"/>
                <w:sz w:val="20"/>
                <w:szCs w:val="20"/>
              </w:rPr>
              <w:t>)</w:t>
            </w:r>
          </w:p>
        </w:tc>
        <w:tc>
          <w:tcPr>
            <w:tcW w:w="742" w:type="dxa"/>
            <w:tcBorders>
              <w:top w:val="single" w:sz="4" w:space="0" w:color="auto"/>
              <w:left w:val="nil"/>
              <w:bottom w:val="single" w:sz="4" w:space="0" w:color="auto"/>
              <w:right w:val="nil"/>
            </w:tcBorders>
            <w:vAlign w:val="bottom"/>
          </w:tcPr>
          <w:p w14:paraId="57A54CD3" w14:textId="43F91F65" w:rsidR="00A3021A" w:rsidRPr="006D4208" w:rsidRDefault="004052C3">
            <w:pPr>
              <w:jc w:val="right"/>
              <w:rPr>
                <w:rFonts w:asciiTheme="minorHAnsi" w:hAnsiTheme="minorHAnsi" w:cs="Arial"/>
                <w:sz w:val="20"/>
                <w:szCs w:val="20"/>
              </w:rPr>
            </w:pPr>
            <w:r w:rsidRPr="006D4208">
              <w:rPr>
                <w:rFonts w:asciiTheme="minorHAnsi" w:hAnsiTheme="minorHAnsi" w:cs="Arial"/>
                <w:sz w:val="20"/>
                <w:szCs w:val="20"/>
              </w:rPr>
              <w:t>(1</w:t>
            </w:r>
            <w:r w:rsidR="00AF3005">
              <w:rPr>
                <w:rFonts w:asciiTheme="minorHAnsi" w:hAnsiTheme="minorHAnsi" w:cs="Arial"/>
                <w:sz w:val="20"/>
                <w:szCs w:val="20"/>
              </w:rPr>
              <w:t>5.9</w:t>
            </w:r>
            <w:r w:rsidRPr="006D4208">
              <w:rPr>
                <w:rFonts w:asciiTheme="minorHAnsi" w:hAnsiTheme="minorHAnsi" w:cs="Arial"/>
                <w:sz w:val="20"/>
                <w:szCs w:val="20"/>
              </w:rPr>
              <w:t>)</w:t>
            </w:r>
          </w:p>
        </w:tc>
      </w:tr>
      <w:tr w:rsidR="00A3021A" w:rsidRPr="00565803" w14:paraId="59DD2EA6" w14:textId="77777777" w:rsidTr="00AF2B57">
        <w:trPr>
          <w:trHeight w:val="241"/>
        </w:trPr>
        <w:tc>
          <w:tcPr>
            <w:tcW w:w="4009" w:type="dxa"/>
            <w:vAlign w:val="bottom"/>
          </w:tcPr>
          <w:p w14:paraId="2465FBA4" w14:textId="77777777" w:rsidR="00A3021A" w:rsidRPr="00565803" w:rsidRDefault="00A3021A">
            <w:pPr>
              <w:rPr>
                <w:rFonts w:asciiTheme="minorHAnsi" w:hAnsiTheme="minorHAnsi" w:cs="Arial"/>
                <w:sz w:val="20"/>
                <w:szCs w:val="20"/>
              </w:rPr>
            </w:pPr>
            <w:r w:rsidRPr="00565803">
              <w:rPr>
                <w:rFonts w:asciiTheme="minorHAnsi" w:hAnsiTheme="minorHAnsi" w:cs="Arial"/>
                <w:sz w:val="20"/>
                <w:szCs w:val="20"/>
              </w:rPr>
              <w:t>Other comprehensive income/(expense):</w:t>
            </w:r>
          </w:p>
        </w:tc>
        <w:tc>
          <w:tcPr>
            <w:tcW w:w="890" w:type="dxa"/>
            <w:tcBorders>
              <w:top w:val="single" w:sz="4" w:space="0" w:color="auto"/>
              <w:left w:val="nil"/>
              <w:right w:val="nil"/>
            </w:tcBorders>
            <w:vAlign w:val="bottom"/>
          </w:tcPr>
          <w:p w14:paraId="7773985E" w14:textId="77777777" w:rsidR="00A3021A" w:rsidRPr="006D4208" w:rsidRDefault="00A3021A">
            <w:pPr>
              <w:jc w:val="right"/>
              <w:rPr>
                <w:rFonts w:asciiTheme="minorHAnsi" w:hAnsiTheme="minorHAnsi" w:cs="Arial"/>
                <w:sz w:val="20"/>
                <w:szCs w:val="20"/>
              </w:rPr>
            </w:pPr>
          </w:p>
        </w:tc>
        <w:tc>
          <w:tcPr>
            <w:tcW w:w="1038" w:type="dxa"/>
            <w:tcBorders>
              <w:top w:val="single" w:sz="4" w:space="0" w:color="auto"/>
              <w:left w:val="nil"/>
              <w:right w:val="nil"/>
            </w:tcBorders>
            <w:vAlign w:val="bottom"/>
          </w:tcPr>
          <w:p w14:paraId="28A94D87" w14:textId="77777777" w:rsidR="00A3021A" w:rsidRPr="006D4208" w:rsidRDefault="00A3021A">
            <w:pPr>
              <w:jc w:val="right"/>
              <w:rPr>
                <w:rFonts w:asciiTheme="minorHAnsi" w:hAnsiTheme="minorHAnsi" w:cs="Arial"/>
                <w:sz w:val="20"/>
                <w:szCs w:val="20"/>
              </w:rPr>
            </w:pPr>
          </w:p>
        </w:tc>
        <w:tc>
          <w:tcPr>
            <w:tcW w:w="891" w:type="dxa"/>
            <w:tcBorders>
              <w:top w:val="single" w:sz="4" w:space="0" w:color="auto"/>
              <w:left w:val="nil"/>
              <w:right w:val="nil"/>
            </w:tcBorders>
          </w:tcPr>
          <w:p w14:paraId="021005CB" w14:textId="77777777" w:rsidR="00A3021A" w:rsidRPr="006D4208" w:rsidRDefault="00A3021A">
            <w:pPr>
              <w:jc w:val="right"/>
              <w:rPr>
                <w:rFonts w:asciiTheme="minorHAnsi" w:hAnsiTheme="minorHAnsi" w:cs="Arial"/>
                <w:sz w:val="20"/>
                <w:szCs w:val="20"/>
              </w:rPr>
            </w:pPr>
          </w:p>
        </w:tc>
        <w:tc>
          <w:tcPr>
            <w:tcW w:w="1038" w:type="dxa"/>
            <w:tcBorders>
              <w:top w:val="single" w:sz="4" w:space="0" w:color="auto"/>
              <w:left w:val="nil"/>
              <w:right w:val="nil"/>
            </w:tcBorders>
            <w:vAlign w:val="bottom"/>
          </w:tcPr>
          <w:p w14:paraId="3BBAF6BE" w14:textId="77777777" w:rsidR="00A3021A" w:rsidRPr="006D4208" w:rsidRDefault="00A3021A">
            <w:pPr>
              <w:jc w:val="right"/>
              <w:rPr>
                <w:rFonts w:asciiTheme="minorHAnsi" w:hAnsiTheme="minorHAnsi" w:cs="Arial"/>
                <w:sz w:val="20"/>
                <w:szCs w:val="20"/>
              </w:rPr>
            </w:pPr>
          </w:p>
        </w:tc>
        <w:tc>
          <w:tcPr>
            <w:tcW w:w="1038" w:type="dxa"/>
            <w:tcBorders>
              <w:top w:val="single" w:sz="4" w:space="0" w:color="auto"/>
              <w:left w:val="nil"/>
              <w:right w:val="nil"/>
            </w:tcBorders>
            <w:vAlign w:val="bottom"/>
          </w:tcPr>
          <w:p w14:paraId="0E98A122" w14:textId="77777777" w:rsidR="00A3021A" w:rsidRPr="006D4208" w:rsidRDefault="00A3021A">
            <w:pPr>
              <w:jc w:val="right"/>
              <w:rPr>
                <w:rFonts w:asciiTheme="minorHAnsi" w:hAnsiTheme="minorHAnsi" w:cs="Arial"/>
                <w:sz w:val="20"/>
                <w:szCs w:val="20"/>
              </w:rPr>
            </w:pPr>
          </w:p>
        </w:tc>
        <w:tc>
          <w:tcPr>
            <w:tcW w:w="742" w:type="dxa"/>
            <w:tcBorders>
              <w:top w:val="single" w:sz="4" w:space="0" w:color="auto"/>
              <w:left w:val="nil"/>
              <w:right w:val="nil"/>
            </w:tcBorders>
            <w:vAlign w:val="bottom"/>
          </w:tcPr>
          <w:p w14:paraId="106A521F" w14:textId="77777777" w:rsidR="00A3021A" w:rsidRPr="006D4208" w:rsidRDefault="00A3021A">
            <w:pPr>
              <w:jc w:val="right"/>
              <w:rPr>
                <w:rFonts w:asciiTheme="minorHAnsi" w:hAnsiTheme="minorHAnsi" w:cs="Arial"/>
                <w:sz w:val="20"/>
                <w:szCs w:val="20"/>
              </w:rPr>
            </w:pPr>
          </w:p>
        </w:tc>
      </w:tr>
      <w:tr w:rsidR="00A3021A" w:rsidRPr="00565803" w14:paraId="72C29DCB" w14:textId="77777777" w:rsidTr="00AF2B57">
        <w:trPr>
          <w:trHeight w:val="241"/>
        </w:trPr>
        <w:tc>
          <w:tcPr>
            <w:tcW w:w="4009" w:type="dxa"/>
            <w:vAlign w:val="bottom"/>
          </w:tcPr>
          <w:p w14:paraId="155389C6" w14:textId="01D3C300" w:rsidR="00A3021A" w:rsidRPr="00565803" w:rsidRDefault="00A3021A">
            <w:pPr>
              <w:rPr>
                <w:rFonts w:asciiTheme="minorHAnsi" w:hAnsiTheme="minorHAnsi" w:cs="Arial"/>
                <w:sz w:val="20"/>
                <w:szCs w:val="20"/>
              </w:rPr>
            </w:pPr>
            <w:r w:rsidRPr="00565803">
              <w:rPr>
                <w:rFonts w:asciiTheme="minorHAnsi" w:hAnsiTheme="minorHAnsi" w:cs="Arial"/>
                <w:sz w:val="20"/>
                <w:szCs w:val="20"/>
              </w:rPr>
              <w:t>– actuarial movements on retirement benefit asset (note 1</w:t>
            </w:r>
            <w:r w:rsidR="00A05054" w:rsidRPr="00565803">
              <w:rPr>
                <w:rFonts w:asciiTheme="minorHAnsi" w:hAnsiTheme="minorHAnsi" w:cs="Arial"/>
                <w:sz w:val="20"/>
                <w:szCs w:val="20"/>
              </w:rPr>
              <w:t>0</w:t>
            </w:r>
            <w:r w:rsidRPr="00565803">
              <w:rPr>
                <w:rFonts w:asciiTheme="minorHAnsi" w:hAnsiTheme="minorHAnsi" w:cs="Arial"/>
                <w:sz w:val="20"/>
                <w:szCs w:val="20"/>
              </w:rPr>
              <w:t>)</w:t>
            </w:r>
          </w:p>
        </w:tc>
        <w:tc>
          <w:tcPr>
            <w:tcW w:w="890" w:type="dxa"/>
            <w:tcBorders>
              <w:left w:val="nil"/>
              <w:right w:val="nil"/>
            </w:tcBorders>
            <w:vAlign w:val="bottom"/>
          </w:tcPr>
          <w:p w14:paraId="40D920E2"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 </w:t>
            </w:r>
          </w:p>
        </w:tc>
        <w:tc>
          <w:tcPr>
            <w:tcW w:w="1038" w:type="dxa"/>
            <w:tcBorders>
              <w:left w:val="nil"/>
              <w:right w:val="nil"/>
            </w:tcBorders>
            <w:vAlign w:val="bottom"/>
          </w:tcPr>
          <w:p w14:paraId="64CF6188"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 </w:t>
            </w:r>
          </w:p>
        </w:tc>
        <w:tc>
          <w:tcPr>
            <w:tcW w:w="891" w:type="dxa"/>
            <w:tcBorders>
              <w:left w:val="nil"/>
              <w:right w:val="nil"/>
            </w:tcBorders>
          </w:tcPr>
          <w:p w14:paraId="681970E5" w14:textId="77777777" w:rsidR="007657EF" w:rsidRDefault="007657EF">
            <w:pPr>
              <w:jc w:val="right"/>
              <w:rPr>
                <w:rFonts w:asciiTheme="minorHAnsi" w:hAnsiTheme="minorHAnsi" w:cs="Arial"/>
                <w:sz w:val="20"/>
                <w:szCs w:val="20"/>
              </w:rPr>
            </w:pPr>
          </w:p>
          <w:p w14:paraId="0591781B" w14:textId="291D678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left w:val="nil"/>
              <w:right w:val="nil"/>
            </w:tcBorders>
            <w:vAlign w:val="bottom"/>
          </w:tcPr>
          <w:p w14:paraId="38B95544"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 </w:t>
            </w:r>
          </w:p>
        </w:tc>
        <w:tc>
          <w:tcPr>
            <w:tcW w:w="1038" w:type="dxa"/>
            <w:tcBorders>
              <w:left w:val="nil"/>
              <w:right w:val="nil"/>
            </w:tcBorders>
            <w:vAlign w:val="bottom"/>
          </w:tcPr>
          <w:p w14:paraId="3908D7AD" w14:textId="4F029EF2" w:rsidR="00A3021A" w:rsidRPr="006D4208" w:rsidRDefault="00053280">
            <w:pPr>
              <w:jc w:val="right"/>
              <w:rPr>
                <w:rFonts w:asciiTheme="minorHAnsi" w:hAnsiTheme="minorHAnsi" w:cs="Arial"/>
                <w:sz w:val="20"/>
                <w:szCs w:val="20"/>
              </w:rPr>
            </w:pPr>
            <w:r w:rsidRPr="006D4208">
              <w:rPr>
                <w:rFonts w:asciiTheme="minorHAnsi" w:hAnsiTheme="minorHAnsi" w:cs="Arial"/>
                <w:sz w:val="20"/>
                <w:szCs w:val="20"/>
              </w:rPr>
              <w:t>5.5</w:t>
            </w:r>
          </w:p>
        </w:tc>
        <w:tc>
          <w:tcPr>
            <w:tcW w:w="742" w:type="dxa"/>
            <w:tcBorders>
              <w:left w:val="nil"/>
              <w:right w:val="nil"/>
            </w:tcBorders>
            <w:vAlign w:val="bottom"/>
          </w:tcPr>
          <w:p w14:paraId="2346EB6E" w14:textId="72D582D3" w:rsidR="00A3021A" w:rsidRPr="006D4208" w:rsidRDefault="00053280">
            <w:pPr>
              <w:jc w:val="right"/>
              <w:rPr>
                <w:rFonts w:asciiTheme="minorHAnsi" w:hAnsiTheme="minorHAnsi" w:cs="Arial"/>
                <w:sz w:val="20"/>
                <w:szCs w:val="20"/>
              </w:rPr>
            </w:pPr>
            <w:r w:rsidRPr="006D4208">
              <w:rPr>
                <w:rFonts w:asciiTheme="minorHAnsi" w:hAnsiTheme="minorHAnsi" w:cs="Arial"/>
                <w:sz w:val="20"/>
                <w:szCs w:val="20"/>
              </w:rPr>
              <w:t>5.5</w:t>
            </w:r>
          </w:p>
        </w:tc>
      </w:tr>
      <w:tr w:rsidR="00A3021A" w:rsidRPr="00565803" w14:paraId="43BCB8BB" w14:textId="77777777" w:rsidTr="00AF2B57">
        <w:trPr>
          <w:trHeight w:val="241"/>
        </w:trPr>
        <w:tc>
          <w:tcPr>
            <w:tcW w:w="4009" w:type="dxa"/>
            <w:vAlign w:val="bottom"/>
          </w:tcPr>
          <w:p w14:paraId="2092CBBF" w14:textId="77777777" w:rsidR="00A3021A" w:rsidRPr="00565803" w:rsidRDefault="00A3021A">
            <w:pPr>
              <w:autoSpaceDE w:val="0"/>
              <w:autoSpaceDN w:val="0"/>
              <w:adjustRightInd w:val="0"/>
              <w:rPr>
                <w:rFonts w:ascii="Calibri" w:hAnsi="Calibri" w:cs="Poppins-Light"/>
                <w:sz w:val="20"/>
                <w:szCs w:val="20"/>
              </w:rPr>
            </w:pPr>
            <w:r w:rsidRPr="00565803">
              <w:rPr>
                <w:rFonts w:ascii="Calibri" w:hAnsi="Calibri" w:cs="Arial"/>
                <w:sz w:val="20"/>
                <w:szCs w:val="20"/>
              </w:rPr>
              <w:t xml:space="preserve">–  </w:t>
            </w:r>
            <w:r w:rsidRPr="00565803">
              <w:rPr>
                <w:rFonts w:ascii="Calibri" w:hAnsi="Calibri" w:cs="Poppins-Light"/>
                <w:sz w:val="20"/>
                <w:szCs w:val="20"/>
              </w:rPr>
              <w:t>tax on items taken directly to other</w:t>
            </w:r>
          </w:p>
          <w:p w14:paraId="3A9F32D5" w14:textId="75C080D9" w:rsidR="00A3021A" w:rsidRPr="00565803" w:rsidRDefault="00A3021A">
            <w:pPr>
              <w:rPr>
                <w:rFonts w:asciiTheme="minorHAnsi" w:hAnsiTheme="minorHAnsi" w:cs="Arial"/>
                <w:sz w:val="20"/>
                <w:szCs w:val="20"/>
              </w:rPr>
            </w:pPr>
            <w:r w:rsidRPr="00565803">
              <w:rPr>
                <w:rFonts w:ascii="Calibri" w:hAnsi="Calibri" w:cs="Poppins-Light"/>
                <w:sz w:val="20"/>
                <w:szCs w:val="20"/>
              </w:rPr>
              <w:t>comprehensive income</w:t>
            </w:r>
          </w:p>
        </w:tc>
        <w:tc>
          <w:tcPr>
            <w:tcW w:w="890" w:type="dxa"/>
            <w:tcBorders>
              <w:left w:val="nil"/>
              <w:right w:val="nil"/>
            </w:tcBorders>
            <w:vAlign w:val="bottom"/>
          </w:tcPr>
          <w:p w14:paraId="086DE40F"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left w:val="nil"/>
              <w:right w:val="nil"/>
            </w:tcBorders>
            <w:vAlign w:val="bottom"/>
          </w:tcPr>
          <w:p w14:paraId="7AD2BC48"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891" w:type="dxa"/>
            <w:tcBorders>
              <w:left w:val="nil"/>
              <w:right w:val="nil"/>
            </w:tcBorders>
          </w:tcPr>
          <w:p w14:paraId="018E1623" w14:textId="77777777" w:rsidR="00A3021A" w:rsidRPr="006D4208" w:rsidRDefault="00A3021A">
            <w:pPr>
              <w:jc w:val="right"/>
              <w:rPr>
                <w:rFonts w:asciiTheme="minorHAnsi" w:hAnsiTheme="minorHAnsi" w:cs="Arial"/>
                <w:sz w:val="20"/>
                <w:szCs w:val="20"/>
              </w:rPr>
            </w:pPr>
          </w:p>
          <w:p w14:paraId="42F3F97B"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left w:val="nil"/>
              <w:right w:val="nil"/>
            </w:tcBorders>
            <w:vAlign w:val="bottom"/>
          </w:tcPr>
          <w:p w14:paraId="24B6C970" w14:textId="1C262E10" w:rsidR="00A3021A" w:rsidRPr="006D4208" w:rsidRDefault="000E053E">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left w:val="nil"/>
              <w:right w:val="nil"/>
            </w:tcBorders>
            <w:vAlign w:val="bottom"/>
          </w:tcPr>
          <w:p w14:paraId="135AA641" w14:textId="545EA34E" w:rsidR="00A3021A" w:rsidRPr="006D4208" w:rsidRDefault="00A46679">
            <w:pPr>
              <w:jc w:val="right"/>
              <w:rPr>
                <w:rFonts w:asciiTheme="minorHAnsi" w:hAnsiTheme="minorHAnsi" w:cs="Arial"/>
                <w:sz w:val="20"/>
                <w:szCs w:val="20"/>
              </w:rPr>
            </w:pPr>
            <w:r w:rsidRPr="006D4208">
              <w:rPr>
                <w:rFonts w:asciiTheme="minorHAnsi" w:hAnsiTheme="minorHAnsi" w:cs="Arial"/>
                <w:sz w:val="20"/>
                <w:szCs w:val="20"/>
              </w:rPr>
              <w:t>(1.3)</w:t>
            </w:r>
          </w:p>
        </w:tc>
        <w:tc>
          <w:tcPr>
            <w:tcW w:w="742" w:type="dxa"/>
            <w:tcBorders>
              <w:left w:val="nil"/>
              <w:right w:val="nil"/>
            </w:tcBorders>
            <w:vAlign w:val="bottom"/>
          </w:tcPr>
          <w:p w14:paraId="17A8D9EB" w14:textId="4F98F1DD" w:rsidR="00A3021A" w:rsidRPr="006D4208" w:rsidRDefault="00A46679">
            <w:pPr>
              <w:jc w:val="right"/>
              <w:rPr>
                <w:rFonts w:asciiTheme="minorHAnsi" w:hAnsiTheme="minorHAnsi" w:cs="Arial"/>
                <w:sz w:val="20"/>
                <w:szCs w:val="20"/>
              </w:rPr>
            </w:pPr>
            <w:r w:rsidRPr="006D4208">
              <w:rPr>
                <w:rFonts w:asciiTheme="minorHAnsi" w:hAnsiTheme="minorHAnsi" w:cs="Arial"/>
                <w:sz w:val="20"/>
                <w:szCs w:val="20"/>
              </w:rPr>
              <w:t>(1.3)</w:t>
            </w:r>
          </w:p>
        </w:tc>
      </w:tr>
      <w:tr w:rsidR="00A3021A" w:rsidRPr="00565803" w14:paraId="38963D1B" w14:textId="77777777" w:rsidTr="00AF2B57">
        <w:trPr>
          <w:trHeight w:val="241"/>
        </w:trPr>
        <w:tc>
          <w:tcPr>
            <w:tcW w:w="4009" w:type="dxa"/>
            <w:vAlign w:val="bottom"/>
          </w:tcPr>
          <w:p w14:paraId="3A07A5CA" w14:textId="6C27D567" w:rsidR="00A3021A" w:rsidRPr="00565803" w:rsidRDefault="00A3021A">
            <w:pPr>
              <w:autoSpaceDE w:val="0"/>
              <w:autoSpaceDN w:val="0"/>
              <w:adjustRightInd w:val="0"/>
              <w:rPr>
                <w:rFonts w:ascii="Calibri" w:hAnsi="Calibri" w:cs="Arial"/>
                <w:sz w:val="20"/>
                <w:szCs w:val="20"/>
              </w:rPr>
            </w:pPr>
            <w:r w:rsidRPr="00565803">
              <w:rPr>
                <w:rFonts w:asciiTheme="minorHAnsi" w:hAnsiTheme="minorHAnsi" w:cs="Arial"/>
                <w:sz w:val="20"/>
                <w:szCs w:val="20"/>
              </w:rPr>
              <w:t>– impact of change in UK tax rate</w:t>
            </w:r>
          </w:p>
        </w:tc>
        <w:tc>
          <w:tcPr>
            <w:tcW w:w="890" w:type="dxa"/>
            <w:tcBorders>
              <w:left w:val="nil"/>
              <w:right w:val="nil"/>
            </w:tcBorders>
            <w:vAlign w:val="bottom"/>
          </w:tcPr>
          <w:p w14:paraId="527017A4"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 </w:t>
            </w:r>
          </w:p>
        </w:tc>
        <w:tc>
          <w:tcPr>
            <w:tcW w:w="1038" w:type="dxa"/>
            <w:tcBorders>
              <w:left w:val="nil"/>
              <w:right w:val="nil"/>
            </w:tcBorders>
            <w:vAlign w:val="bottom"/>
          </w:tcPr>
          <w:p w14:paraId="3147BF94"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 </w:t>
            </w:r>
          </w:p>
        </w:tc>
        <w:tc>
          <w:tcPr>
            <w:tcW w:w="891" w:type="dxa"/>
            <w:tcBorders>
              <w:left w:val="nil"/>
              <w:right w:val="nil"/>
            </w:tcBorders>
          </w:tcPr>
          <w:p w14:paraId="288D51CE"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left w:val="nil"/>
              <w:right w:val="nil"/>
            </w:tcBorders>
            <w:vAlign w:val="bottom"/>
          </w:tcPr>
          <w:p w14:paraId="508818C9"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left w:val="nil"/>
              <w:right w:val="nil"/>
            </w:tcBorders>
            <w:vAlign w:val="bottom"/>
          </w:tcPr>
          <w:p w14:paraId="102BC5C4" w14:textId="3352290A" w:rsidR="00A3021A" w:rsidRPr="006D4208" w:rsidRDefault="00A46679">
            <w:pPr>
              <w:jc w:val="right"/>
              <w:rPr>
                <w:rFonts w:asciiTheme="minorHAnsi" w:hAnsiTheme="minorHAnsi" w:cs="Arial"/>
                <w:sz w:val="20"/>
                <w:szCs w:val="20"/>
              </w:rPr>
            </w:pPr>
            <w:r w:rsidRPr="006D4208">
              <w:rPr>
                <w:rFonts w:asciiTheme="minorHAnsi" w:hAnsiTheme="minorHAnsi" w:cs="Arial"/>
                <w:sz w:val="20"/>
                <w:szCs w:val="20"/>
              </w:rPr>
              <w:t>(0.1)</w:t>
            </w:r>
          </w:p>
        </w:tc>
        <w:tc>
          <w:tcPr>
            <w:tcW w:w="742" w:type="dxa"/>
            <w:tcBorders>
              <w:left w:val="nil"/>
              <w:right w:val="nil"/>
            </w:tcBorders>
            <w:vAlign w:val="bottom"/>
          </w:tcPr>
          <w:p w14:paraId="7A4EB582" w14:textId="7C102285" w:rsidR="00A3021A" w:rsidRPr="006D4208" w:rsidRDefault="00A46679">
            <w:pPr>
              <w:jc w:val="right"/>
              <w:rPr>
                <w:rFonts w:asciiTheme="minorHAnsi" w:hAnsiTheme="minorHAnsi" w:cs="Arial"/>
                <w:sz w:val="20"/>
                <w:szCs w:val="20"/>
              </w:rPr>
            </w:pPr>
            <w:r w:rsidRPr="006D4208">
              <w:rPr>
                <w:rFonts w:asciiTheme="minorHAnsi" w:hAnsiTheme="minorHAnsi" w:cs="Arial"/>
                <w:sz w:val="20"/>
                <w:szCs w:val="20"/>
              </w:rPr>
              <w:t>(0.1)</w:t>
            </w:r>
          </w:p>
        </w:tc>
      </w:tr>
      <w:tr w:rsidR="00A3021A" w:rsidRPr="00565803" w14:paraId="07D22F9A" w14:textId="77777777" w:rsidTr="00AF2B57">
        <w:trPr>
          <w:trHeight w:val="241"/>
        </w:trPr>
        <w:tc>
          <w:tcPr>
            <w:tcW w:w="4009" w:type="dxa"/>
            <w:vAlign w:val="bottom"/>
          </w:tcPr>
          <w:p w14:paraId="76B2F877" w14:textId="6FF869EE" w:rsidR="00A3021A" w:rsidRPr="00565803" w:rsidRDefault="00A3021A">
            <w:pPr>
              <w:autoSpaceDE w:val="0"/>
              <w:autoSpaceDN w:val="0"/>
              <w:adjustRightInd w:val="0"/>
              <w:rPr>
                <w:rFonts w:ascii="Calibri" w:hAnsi="Calibri" w:cs="Arial"/>
                <w:sz w:val="20"/>
                <w:szCs w:val="20"/>
              </w:rPr>
            </w:pPr>
            <w:r w:rsidRPr="00565803">
              <w:rPr>
                <w:rFonts w:asciiTheme="minorHAnsi" w:hAnsiTheme="minorHAnsi" w:cs="Arial"/>
                <w:sz w:val="20"/>
                <w:szCs w:val="20"/>
              </w:rPr>
              <w:t xml:space="preserve">Other comprehensive </w:t>
            </w:r>
            <w:r w:rsidR="00294014">
              <w:rPr>
                <w:rFonts w:asciiTheme="minorHAnsi" w:hAnsiTheme="minorHAnsi" w:cs="Arial"/>
                <w:sz w:val="20"/>
                <w:szCs w:val="20"/>
              </w:rPr>
              <w:t>income</w:t>
            </w:r>
            <w:r w:rsidRPr="00565803">
              <w:rPr>
                <w:rFonts w:asciiTheme="minorHAnsi" w:hAnsiTheme="minorHAnsi" w:cs="Arial"/>
                <w:sz w:val="20"/>
                <w:szCs w:val="20"/>
              </w:rPr>
              <w:t xml:space="preserve"> for the </w:t>
            </w:r>
            <w:r w:rsidR="00CA1123" w:rsidRPr="00565803">
              <w:rPr>
                <w:rFonts w:asciiTheme="minorHAnsi" w:hAnsiTheme="minorHAnsi" w:cs="Arial"/>
                <w:sz w:val="20"/>
                <w:szCs w:val="20"/>
              </w:rPr>
              <w:t>period</w:t>
            </w:r>
          </w:p>
        </w:tc>
        <w:tc>
          <w:tcPr>
            <w:tcW w:w="890" w:type="dxa"/>
            <w:tcBorders>
              <w:top w:val="single" w:sz="4" w:space="0" w:color="auto"/>
              <w:left w:val="nil"/>
              <w:bottom w:val="single" w:sz="4" w:space="0" w:color="auto"/>
              <w:right w:val="nil"/>
            </w:tcBorders>
            <w:vAlign w:val="bottom"/>
          </w:tcPr>
          <w:p w14:paraId="4AF2EE42"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 </w:t>
            </w:r>
          </w:p>
        </w:tc>
        <w:tc>
          <w:tcPr>
            <w:tcW w:w="1038" w:type="dxa"/>
            <w:tcBorders>
              <w:top w:val="single" w:sz="4" w:space="0" w:color="auto"/>
              <w:left w:val="nil"/>
              <w:bottom w:val="single" w:sz="4" w:space="0" w:color="auto"/>
              <w:right w:val="nil"/>
            </w:tcBorders>
            <w:vAlign w:val="bottom"/>
          </w:tcPr>
          <w:p w14:paraId="64AB2BB9"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 </w:t>
            </w:r>
          </w:p>
        </w:tc>
        <w:tc>
          <w:tcPr>
            <w:tcW w:w="891" w:type="dxa"/>
            <w:tcBorders>
              <w:top w:val="single" w:sz="4" w:space="0" w:color="auto"/>
              <w:left w:val="nil"/>
              <w:bottom w:val="single" w:sz="4" w:space="0" w:color="auto"/>
              <w:right w:val="nil"/>
            </w:tcBorders>
          </w:tcPr>
          <w:p w14:paraId="15B93891"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top w:val="single" w:sz="4" w:space="0" w:color="auto"/>
              <w:left w:val="nil"/>
              <w:bottom w:val="single" w:sz="4" w:space="0" w:color="auto"/>
              <w:right w:val="nil"/>
            </w:tcBorders>
            <w:vAlign w:val="bottom"/>
          </w:tcPr>
          <w:p w14:paraId="7DBBDCC7" w14:textId="006E47BF" w:rsidR="00A3021A" w:rsidRPr="006D4208" w:rsidRDefault="00053CA8">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top w:val="single" w:sz="4" w:space="0" w:color="auto"/>
              <w:left w:val="nil"/>
              <w:bottom w:val="single" w:sz="4" w:space="0" w:color="auto"/>
              <w:right w:val="nil"/>
            </w:tcBorders>
            <w:vAlign w:val="bottom"/>
          </w:tcPr>
          <w:p w14:paraId="2B11B0C9" w14:textId="1A088B39" w:rsidR="00A3021A" w:rsidRPr="006D4208" w:rsidRDefault="00A46679">
            <w:pPr>
              <w:jc w:val="right"/>
              <w:rPr>
                <w:rFonts w:asciiTheme="minorHAnsi" w:hAnsiTheme="minorHAnsi" w:cs="Arial"/>
                <w:sz w:val="20"/>
                <w:szCs w:val="20"/>
              </w:rPr>
            </w:pPr>
            <w:r w:rsidRPr="006D4208">
              <w:rPr>
                <w:rFonts w:asciiTheme="minorHAnsi" w:hAnsiTheme="minorHAnsi" w:cs="Arial"/>
                <w:sz w:val="20"/>
                <w:szCs w:val="20"/>
              </w:rPr>
              <w:t>4.1</w:t>
            </w:r>
          </w:p>
        </w:tc>
        <w:tc>
          <w:tcPr>
            <w:tcW w:w="742" w:type="dxa"/>
            <w:tcBorders>
              <w:top w:val="single" w:sz="4" w:space="0" w:color="auto"/>
              <w:left w:val="nil"/>
              <w:bottom w:val="single" w:sz="4" w:space="0" w:color="auto"/>
              <w:right w:val="nil"/>
            </w:tcBorders>
            <w:vAlign w:val="bottom"/>
          </w:tcPr>
          <w:p w14:paraId="60B7D779" w14:textId="5DCE8228" w:rsidR="00A3021A" w:rsidRPr="006D4208" w:rsidRDefault="00A46679">
            <w:pPr>
              <w:jc w:val="right"/>
              <w:rPr>
                <w:rFonts w:asciiTheme="minorHAnsi" w:hAnsiTheme="minorHAnsi" w:cs="Arial"/>
                <w:sz w:val="20"/>
                <w:szCs w:val="20"/>
              </w:rPr>
            </w:pPr>
            <w:r w:rsidRPr="006D4208">
              <w:rPr>
                <w:rFonts w:asciiTheme="minorHAnsi" w:hAnsiTheme="minorHAnsi" w:cs="Arial"/>
                <w:sz w:val="20"/>
                <w:szCs w:val="20"/>
              </w:rPr>
              <w:t>4.1</w:t>
            </w:r>
          </w:p>
        </w:tc>
      </w:tr>
      <w:tr w:rsidR="00A3021A" w:rsidRPr="00565803" w14:paraId="2BB6C3B2" w14:textId="77777777" w:rsidTr="00AF2B57">
        <w:trPr>
          <w:trHeight w:val="241"/>
        </w:trPr>
        <w:tc>
          <w:tcPr>
            <w:tcW w:w="4009" w:type="dxa"/>
            <w:vAlign w:val="bottom"/>
          </w:tcPr>
          <w:p w14:paraId="2578D6FA" w14:textId="7679C0BE" w:rsidR="00A3021A" w:rsidRPr="00565803" w:rsidRDefault="00A3021A">
            <w:pPr>
              <w:autoSpaceDE w:val="0"/>
              <w:autoSpaceDN w:val="0"/>
              <w:adjustRightInd w:val="0"/>
              <w:rPr>
                <w:rFonts w:asciiTheme="minorHAnsi" w:hAnsiTheme="minorHAnsi" w:cs="Arial"/>
                <w:sz w:val="20"/>
                <w:szCs w:val="20"/>
              </w:rPr>
            </w:pPr>
            <w:r w:rsidRPr="00565803">
              <w:rPr>
                <w:rFonts w:asciiTheme="minorHAnsi" w:hAnsiTheme="minorHAnsi" w:cs="Arial"/>
                <w:sz w:val="20"/>
                <w:szCs w:val="20"/>
              </w:rPr>
              <w:t xml:space="preserve">Total comprehensive expense for the </w:t>
            </w:r>
            <w:r w:rsidR="00CA1123" w:rsidRPr="00565803">
              <w:rPr>
                <w:rFonts w:asciiTheme="minorHAnsi" w:hAnsiTheme="minorHAnsi" w:cs="Arial"/>
                <w:sz w:val="20"/>
                <w:szCs w:val="20"/>
              </w:rPr>
              <w:t>period</w:t>
            </w:r>
          </w:p>
        </w:tc>
        <w:tc>
          <w:tcPr>
            <w:tcW w:w="890" w:type="dxa"/>
            <w:tcBorders>
              <w:top w:val="single" w:sz="4" w:space="0" w:color="auto"/>
              <w:left w:val="nil"/>
              <w:bottom w:val="single" w:sz="4" w:space="0" w:color="auto"/>
              <w:right w:val="nil"/>
            </w:tcBorders>
            <w:vAlign w:val="bottom"/>
          </w:tcPr>
          <w:p w14:paraId="27DBF8DB"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 </w:t>
            </w:r>
          </w:p>
        </w:tc>
        <w:tc>
          <w:tcPr>
            <w:tcW w:w="1038" w:type="dxa"/>
            <w:tcBorders>
              <w:top w:val="single" w:sz="4" w:space="0" w:color="auto"/>
              <w:left w:val="nil"/>
              <w:bottom w:val="single" w:sz="4" w:space="0" w:color="auto"/>
              <w:right w:val="nil"/>
            </w:tcBorders>
            <w:vAlign w:val="bottom"/>
          </w:tcPr>
          <w:p w14:paraId="3CE6C0B3"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 </w:t>
            </w:r>
          </w:p>
        </w:tc>
        <w:tc>
          <w:tcPr>
            <w:tcW w:w="891" w:type="dxa"/>
            <w:tcBorders>
              <w:top w:val="single" w:sz="4" w:space="0" w:color="auto"/>
              <w:left w:val="nil"/>
              <w:bottom w:val="single" w:sz="4" w:space="0" w:color="auto"/>
              <w:right w:val="nil"/>
            </w:tcBorders>
          </w:tcPr>
          <w:p w14:paraId="7B7B7661"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top w:val="single" w:sz="4" w:space="0" w:color="auto"/>
              <w:left w:val="nil"/>
              <w:bottom w:val="single" w:sz="4" w:space="0" w:color="auto"/>
              <w:right w:val="nil"/>
            </w:tcBorders>
            <w:vAlign w:val="bottom"/>
          </w:tcPr>
          <w:p w14:paraId="4A7961E5" w14:textId="37E43AA6" w:rsidR="00A3021A" w:rsidRPr="006D4208" w:rsidRDefault="00AC1E01">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top w:val="single" w:sz="4" w:space="0" w:color="auto"/>
              <w:left w:val="nil"/>
              <w:bottom w:val="single" w:sz="4" w:space="0" w:color="auto"/>
              <w:right w:val="nil"/>
            </w:tcBorders>
            <w:vAlign w:val="bottom"/>
          </w:tcPr>
          <w:p w14:paraId="2DAD755E" w14:textId="74D79CDE" w:rsidR="00A3021A" w:rsidRPr="006D4208" w:rsidRDefault="00010584">
            <w:pPr>
              <w:jc w:val="right"/>
              <w:rPr>
                <w:rFonts w:asciiTheme="minorHAnsi" w:hAnsiTheme="minorHAnsi" w:cs="Arial"/>
                <w:sz w:val="20"/>
                <w:szCs w:val="20"/>
              </w:rPr>
            </w:pPr>
            <w:r w:rsidRPr="006D4208">
              <w:rPr>
                <w:rFonts w:asciiTheme="minorHAnsi" w:hAnsiTheme="minorHAnsi" w:cs="Arial"/>
                <w:sz w:val="20"/>
                <w:szCs w:val="20"/>
              </w:rPr>
              <w:t>(</w:t>
            </w:r>
            <w:r w:rsidR="00B75AFD">
              <w:rPr>
                <w:rFonts w:asciiTheme="minorHAnsi" w:hAnsiTheme="minorHAnsi" w:cs="Arial"/>
                <w:sz w:val="20"/>
                <w:szCs w:val="20"/>
              </w:rPr>
              <w:t>11.</w:t>
            </w:r>
            <w:r w:rsidR="00690CEC">
              <w:rPr>
                <w:rFonts w:asciiTheme="minorHAnsi" w:hAnsiTheme="minorHAnsi" w:cs="Arial"/>
                <w:sz w:val="20"/>
                <w:szCs w:val="20"/>
              </w:rPr>
              <w:t>8</w:t>
            </w:r>
            <w:r w:rsidRPr="006D4208">
              <w:rPr>
                <w:rFonts w:asciiTheme="minorHAnsi" w:hAnsiTheme="minorHAnsi" w:cs="Arial"/>
                <w:sz w:val="20"/>
                <w:szCs w:val="20"/>
              </w:rPr>
              <w:t>)</w:t>
            </w:r>
          </w:p>
        </w:tc>
        <w:tc>
          <w:tcPr>
            <w:tcW w:w="742" w:type="dxa"/>
            <w:tcBorders>
              <w:top w:val="single" w:sz="4" w:space="0" w:color="auto"/>
              <w:left w:val="nil"/>
              <w:bottom w:val="single" w:sz="4" w:space="0" w:color="auto"/>
              <w:right w:val="nil"/>
            </w:tcBorders>
            <w:vAlign w:val="bottom"/>
          </w:tcPr>
          <w:p w14:paraId="727C758E" w14:textId="2997E0CA" w:rsidR="00A3021A" w:rsidRPr="006D4208" w:rsidRDefault="00010584">
            <w:pPr>
              <w:jc w:val="right"/>
              <w:rPr>
                <w:rFonts w:asciiTheme="minorHAnsi" w:hAnsiTheme="minorHAnsi" w:cs="Arial"/>
                <w:sz w:val="20"/>
                <w:szCs w:val="20"/>
              </w:rPr>
            </w:pPr>
            <w:r w:rsidRPr="006D4208">
              <w:rPr>
                <w:rFonts w:asciiTheme="minorHAnsi" w:hAnsiTheme="minorHAnsi" w:cs="Arial"/>
                <w:sz w:val="20"/>
                <w:szCs w:val="20"/>
              </w:rPr>
              <w:t>(</w:t>
            </w:r>
            <w:r w:rsidR="00B75AFD">
              <w:rPr>
                <w:rFonts w:asciiTheme="minorHAnsi" w:hAnsiTheme="minorHAnsi" w:cs="Arial"/>
                <w:sz w:val="20"/>
                <w:szCs w:val="20"/>
              </w:rPr>
              <w:t>11.</w:t>
            </w:r>
            <w:r w:rsidR="00690CEC">
              <w:rPr>
                <w:rFonts w:asciiTheme="minorHAnsi" w:hAnsiTheme="minorHAnsi" w:cs="Arial"/>
                <w:sz w:val="20"/>
                <w:szCs w:val="20"/>
              </w:rPr>
              <w:t>8</w:t>
            </w:r>
            <w:r w:rsidRPr="006D4208">
              <w:rPr>
                <w:rFonts w:asciiTheme="minorHAnsi" w:hAnsiTheme="minorHAnsi" w:cs="Arial"/>
                <w:sz w:val="20"/>
                <w:szCs w:val="20"/>
              </w:rPr>
              <w:t>)</w:t>
            </w:r>
          </w:p>
        </w:tc>
      </w:tr>
      <w:tr w:rsidR="00A3021A" w:rsidRPr="00565803" w14:paraId="6CAEA95A" w14:textId="77777777" w:rsidTr="00AF2B57">
        <w:trPr>
          <w:trHeight w:val="241"/>
        </w:trPr>
        <w:tc>
          <w:tcPr>
            <w:tcW w:w="4009" w:type="dxa"/>
            <w:vAlign w:val="bottom"/>
          </w:tcPr>
          <w:p w14:paraId="1D7E47ED" w14:textId="385C715E" w:rsidR="00A3021A" w:rsidRPr="00565803" w:rsidRDefault="00CF2180">
            <w:pPr>
              <w:autoSpaceDE w:val="0"/>
              <w:autoSpaceDN w:val="0"/>
              <w:adjustRightInd w:val="0"/>
              <w:rPr>
                <w:rFonts w:asciiTheme="minorHAnsi" w:hAnsiTheme="minorHAnsi" w:cs="Poppins-Light"/>
                <w:sz w:val="20"/>
                <w:szCs w:val="20"/>
              </w:rPr>
            </w:pPr>
            <w:r w:rsidRPr="00565803">
              <w:rPr>
                <w:rFonts w:asciiTheme="minorHAnsi" w:hAnsiTheme="minorHAnsi" w:cs="Poppins-Light"/>
                <w:sz w:val="20"/>
                <w:szCs w:val="20"/>
              </w:rPr>
              <w:t>Increase in share premium</w:t>
            </w:r>
          </w:p>
        </w:tc>
        <w:tc>
          <w:tcPr>
            <w:tcW w:w="890" w:type="dxa"/>
            <w:tcBorders>
              <w:left w:val="nil"/>
              <w:right w:val="nil"/>
            </w:tcBorders>
            <w:vAlign w:val="bottom"/>
          </w:tcPr>
          <w:p w14:paraId="109A14C9"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left w:val="nil"/>
              <w:right w:val="nil"/>
            </w:tcBorders>
            <w:vAlign w:val="bottom"/>
          </w:tcPr>
          <w:p w14:paraId="021C13A7" w14:textId="53BF42E5" w:rsidR="00A3021A" w:rsidRPr="006D4208" w:rsidRDefault="00E6197B">
            <w:pPr>
              <w:jc w:val="right"/>
              <w:rPr>
                <w:rFonts w:asciiTheme="minorHAnsi" w:hAnsiTheme="minorHAnsi" w:cs="Arial"/>
                <w:sz w:val="20"/>
                <w:szCs w:val="20"/>
              </w:rPr>
            </w:pPr>
            <w:r w:rsidRPr="006D4208">
              <w:rPr>
                <w:rFonts w:asciiTheme="minorHAnsi" w:hAnsiTheme="minorHAnsi" w:cs="Arial"/>
                <w:sz w:val="20"/>
                <w:szCs w:val="20"/>
              </w:rPr>
              <w:t>0.</w:t>
            </w:r>
            <w:r w:rsidR="00A46679" w:rsidRPr="006D4208">
              <w:rPr>
                <w:rFonts w:asciiTheme="minorHAnsi" w:hAnsiTheme="minorHAnsi" w:cs="Arial"/>
                <w:sz w:val="20"/>
                <w:szCs w:val="20"/>
              </w:rPr>
              <w:t>1</w:t>
            </w:r>
          </w:p>
        </w:tc>
        <w:tc>
          <w:tcPr>
            <w:tcW w:w="891" w:type="dxa"/>
            <w:tcBorders>
              <w:left w:val="nil"/>
              <w:right w:val="nil"/>
            </w:tcBorders>
          </w:tcPr>
          <w:p w14:paraId="0A2A9CBA"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left w:val="nil"/>
              <w:right w:val="nil"/>
            </w:tcBorders>
            <w:vAlign w:val="bottom"/>
          </w:tcPr>
          <w:p w14:paraId="1FCB41C0"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left w:val="nil"/>
              <w:right w:val="nil"/>
            </w:tcBorders>
            <w:vAlign w:val="bottom"/>
          </w:tcPr>
          <w:p w14:paraId="53A6135E"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742" w:type="dxa"/>
            <w:tcBorders>
              <w:left w:val="nil"/>
              <w:right w:val="nil"/>
            </w:tcBorders>
            <w:vAlign w:val="bottom"/>
          </w:tcPr>
          <w:p w14:paraId="2541E9AF" w14:textId="30F878BD" w:rsidR="00A3021A" w:rsidRPr="006D4208" w:rsidRDefault="00EE5183">
            <w:pPr>
              <w:jc w:val="right"/>
              <w:rPr>
                <w:rFonts w:asciiTheme="minorHAnsi" w:hAnsiTheme="minorHAnsi" w:cs="Arial"/>
                <w:sz w:val="20"/>
                <w:szCs w:val="20"/>
              </w:rPr>
            </w:pPr>
            <w:r w:rsidRPr="006D4208">
              <w:rPr>
                <w:rFonts w:asciiTheme="minorHAnsi" w:hAnsiTheme="minorHAnsi" w:cs="Arial"/>
                <w:sz w:val="20"/>
                <w:szCs w:val="20"/>
              </w:rPr>
              <w:t>0.</w:t>
            </w:r>
            <w:r w:rsidR="00A46679" w:rsidRPr="006D4208">
              <w:rPr>
                <w:rFonts w:asciiTheme="minorHAnsi" w:hAnsiTheme="minorHAnsi" w:cs="Arial"/>
                <w:sz w:val="20"/>
                <w:szCs w:val="20"/>
              </w:rPr>
              <w:t>1</w:t>
            </w:r>
          </w:p>
        </w:tc>
      </w:tr>
      <w:tr w:rsidR="00A3021A" w:rsidRPr="00565803" w14:paraId="008481E2" w14:textId="77777777" w:rsidTr="00AF2B57">
        <w:trPr>
          <w:trHeight w:val="241"/>
        </w:trPr>
        <w:tc>
          <w:tcPr>
            <w:tcW w:w="4009" w:type="dxa"/>
            <w:vAlign w:val="bottom"/>
          </w:tcPr>
          <w:p w14:paraId="03A3C62E" w14:textId="77777777" w:rsidR="00A3021A" w:rsidRPr="00565803" w:rsidRDefault="00A3021A">
            <w:pPr>
              <w:autoSpaceDE w:val="0"/>
              <w:autoSpaceDN w:val="0"/>
              <w:adjustRightInd w:val="0"/>
              <w:rPr>
                <w:rFonts w:asciiTheme="minorHAnsi" w:hAnsiTheme="minorHAnsi" w:cs="Poppins-Light"/>
                <w:sz w:val="20"/>
                <w:szCs w:val="20"/>
              </w:rPr>
            </w:pPr>
            <w:r w:rsidRPr="00565803">
              <w:rPr>
                <w:rFonts w:asciiTheme="minorHAnsi" w:hAnsiTheme="minorHAnsi" w:cs="Arial"/>
                <w:sz w:val="20"/>
                <w:szCs w:val="20"/>
              </w:rPr>
              <w:t>Share-based payment charge</w:t>
            </w:r>
          </w:p>
        </w:tc>
        <w:tc>
          <w:tcPr>
            <w:tcW w:w="890" w:type="dxa"/>
            <w:tcBorders>
              <w:left w:val="nil"/>
              <w:right w:val="nil"/>
            </w:tcBorders>
            <w:vAlign w:val="bottom"/>
          </w:tcPr>
          <w:p w14:paraId="3CF67627"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 </w:t>
            </w:r>
          </w:p>
        </w:tc>
        <w:tc>
          <w:tcPr>
            <w:tcW w:w="1038" w:type="dxa"/>
            <w:tcBorders>
              <w:left w:val="nil"/>
              <w:right w:val="nil"/>
            </w:tcBorders>
            <w:vAlign w:val="bottom"/>
          </w:tcPr>
          <w:p w14:paraId="561F8CC9"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 </w:t>
            </w:r>
          </w:p>
        </w:tc>
        <w:tc>
          <w:tcPr>
            <w:tcW w:w="891" w:type="dxa"/>
            <w:tcBorders>
              <w:left w:val="nil"/>
              <w:right w:val="nil"/>
            </w:tcBorders>
          </w:tcPr>
          <w:p w14:paraId="1368D3F6"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left w:val="nil"/>
              <w:right w:val="nil"/>
            </w:tcBorders>
            <w:vAlign w:val="bottom"/>
          </w:tcPr>
          <w:p w14:paraId="37984F25" w14:textId="017EF1D9" w:rsidR="00A3021A" w:rsidRPr="006D4208" w:rsidRDefault="00D917AC">
            <w:pPr>
              <w:jc w:val="right"/>
              <w:rPr>
                <w:rFonts w:asciiTheme="minorHAnsi" w:hAnsiTheme="minorHAnsi" w:cs="Arial"/>
                <w:sz w:val="20"/>
                <w:szCs w:val="20"/>
              </w:rPr>
            </w:pPr>
            <w:r w:rsidRPr="006D4208">
              <w:rPr>
                <w:rFonts w:asciiTheme="minorHAnsi" w:hAnsiTheme="minorHAnsi" w:cs="Arial"/>
                <w:sz w:val="20"/>
                <w:szCs w:val="20"/>
              </w:rPr>
              <w:t>3.</w:t>
            </w:r>
            <w:r w:rsidR="00A46679" w:rsidRPr="006D4208">
              <w:rPr>
                <w:rFonts w:asciiTheme="minorHAnsi" w:hAnsiTheme="minorHAnsi" w:cs="Arial"/>
                <w:sz w:val="20"/>
                <w:szCs w:val="20"/>
              </w:rPr>
              <w:t>2</w:t>
            </w:r>
          </w:p>
        </w:tc>
        <w:tc>
          <w:tcPr>
            <w:tcW w:w="1038" w:type="dxa"/>
            <w:tcBorders>
              <w:left w:val="nil"/>
              <w:right w:val="nil"/>
            </w:tcBorders>
            <w:vAlign w:val="bottom"/>
          </w:tcPr>
          <w:p w14:paraId="692122EB"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742" w:type="dxa"/>
            <w:tcBorders>
              <w:left w:val="nil"/>
              <w:right w:val="nil"/>
            </w:tcBorders>
            <w:vAlign w:val="bottom"/>
          </w:tcPr>
          <w:p w14:paraId="37458177" w14:textId="64BEB5C0" w:rsidR="00A3021A" w:rsidRPr="006D4208" w:rsidRDefault="00D917AC">
            <w:pPr>
              <w:jc w:val="right"/>
              <w:rPr>
                <w:rFonts w:asciiTheme="minorHAnsi" w:hAnsiTheme="minorHAnsi" w:cs="Arial"/>
                <w:sz w:val="20"/>
                <w:szCs w:val="20"/>
              </w:rPr>
            </w:pPr>
            <w:r w:rsidRPr="006D4208">
              <w:rPr>
                <w:rFonts w:asciiTheme="minorHAnsi" w:hAnsiTheme="minorHAnsi" w:cs="Arial"/>
                <w:sz w:val="20"/>
                <w:szCs w:val="20"/>
              </w:rPr>
              <w:t>3.</w:t>
            </w:r>
            <w:r w:rsidR="00A46679" w:rsidRPr="006D4208">
              <w:rPr>
                <w:rFonts w:asciiTheme="minorHAnsi" w:hAnsiTheme="minorHAnsi" w:cs="Arial"/>
                <w:sz w:val="20"/>
                <w:szCs w:val="20"/>
              </w:rPr>
              <w:t>2</w:t>
            </w:r>
          </w:p>
        </w:tc>
      </w:tr>
      <w:tr w:rsidR="00A3021A" w:rsidRPr="00565803" w14:paraId="3C54CF7D" w14:textId="77777777" w:rsidTr="00AF2B57">
        <w:trPr>
          <w:trHeight w:val="241"/>
        </w:trPr>
        <w:tc>
          <w:tcPr>
            <w:tcW w:w="4009" w:type="dxa"/>
            <w:vAlign w:val="bottom"/>
          </w:tcPr>
          <w:p w14:paraId="767771CC" w14:textId="77777777" w:rsidR="00A3021A" w:rsidRPr="00565803" w:rsidRDefault="00A3021A">
            <w:pPr>
              <w:autoSpaceDE w:val="0"/>
              <w:autoSpaceDN w:val="0"/>
              <w:adjustRightInd w:val="0"/>
              <w:rPr>
                <w:rFonts w:asciiTheme="minorHAnsi" w:hAnsiTheme="minorHAnsi" w:cs="Arial"/>
                <w:sz w:val="20"/>
                <w:szCs w:val="20"/>
              </w:rPr>
            </w:pPr>
            <w:r w:rsidRPr="00565803">
              <w:rPr>
                <w:rFonts w:asciiTheme="minorHAnsi" w:hAnsiTheme="minorHAnsi" w:cs="Arial"/>
                <w:sz w:val="20"/>
                <w:szCs w:val="20"/>
              </w:rPr>
              <w:t>Transfer of share-based payment reserve on vesting of share awards</w:t>
            </w:r>
          </w:p>
        </w:tc>
        <w:tc>
          <w:tcPr>
            <w:tcW w:w="890" w:type="dxa"/>
            <w:tcBorders>
              <w:left w:val="nil"/>
              <w:right w:val="nil"/>
            </w:tcBorders>
            <w:vAlign w:val="bottom"/>
          </w:tcPr>
          <w:p w14:paraId="5F558FE0"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 </w:t>
            </w:r>
          </w:p>
        </w:tc>
        <w:tc>
          <w:tcPr>
            <w:tcW w:w="1038" w:type="dxa"/>
            <w:tcBorders>
              <w:left w:val="nil"/>
              <w:right w:val="nil"/>
            </w:tcBorders>
            <w:vAlign w:val="bottom"/>
          </w:tcPr>
          <w:p w14:paraId="707D77FD"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 </w:t>
            </w:r>
          </w:p>
        </w:tc>
        <w:tc>
          <w:tcPr>
            <w:tcW w:w="891" w:type="dxa"/>
            <w:tcBorders>
              <w:left w:val="nil"/>
              <w:right w:val="nil"/>
            </w:tcBorders>
          </w:tcPr>
          <w:p w14:paraId="1871092B" w14:textId="77777777" w:rsidR="00A3021A" w:rsidRPr="006D4208" w:rsidRDefault="00A3021A">
            <w:pPr>
              <w:jc w:val="right"/>
              <w:rPr>
                <w:rFonts w:asciiTheme="minorHAnsi" w:hAnsiTheme="minorHAnsi" w:cs="Arial"/>
                <w:sz w:val="20"/>
                <w:szCs w:val="20"/>
              </w:rPr>
            </w:pPr>
          </w:p>
          <w:p w14:paraId="43796B98"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left w:val="nil"/>
              <w:right w:val="nil"/>
            </w:tcBorders>
            <w:vAlign w:val="bottom"/>
          </w:tcPr>
          <w:p w14:paraId="2421902B" w14:textId="2E5FE3E9" w:rsidR="00A3021A" w:rsidRPr="006D4208" w:rsidRDefault="00DD3C30">
            <w:pPr>
              <w:jc w:val="right"/>
              <w:rPr>
                <w:rFonts w:asciiTheme="minorHAnsi" w:hAnsiTheme="minorHAnsi" w:cs="Arial"/>
                <w:sz w:val="20"/>
                <w:szCs w:val="20"/>
              </w:rPr>
            </w:pPr>
            <w:r w:rsidRPr="006D4208">
              <w:rPr>
                <w:rFonts w:asciiTheme="minorHAnsi" w:hAnsiTheme="minorHAnsi" w:cs="Arial"/>
                <w:sz w:val="20"/>
                <w:szCs w:val="20"/>
              </w:rPr>
              <w:t>(</w:t>
            </w:r>
            <w:r w:rsidR="00A46679" w:rsidRPr="006D4208">
              <w:rPr>
                <w:rFonts w:asciiTheme="minorHAnsi" w:hAnsiTheme="minorHAnsi" w:cs="Arial"/>
                <w:sz w:val="20"/>
                <w:szCs w:val="20"/>
              </w:rPr>
              <w:t>2.1</w:t>
            </w:r>
            <w:r w:rsidRPr="006D4208">
              <w:rPr>
                <w:rFonts w:asciiTheme="minorHAnsi" w:hAnsiTheme="minorHAnsi" w:cs="Arial"/>
                <w:sz w:val="20"/>
                <w:szCs w:val="20"/>
              </w:rPr>
              <w:t>)</w:t>
            </w:r>
          </w:p>
        </w:tc>
        <w:tc>
          <w:tcPr>
            <w:tcW w:w="1038" w:type="dxa"/>
            <w:tcBorders>
              <w:left w:val="nil"/>
              <w:right w:val="nil"/>
            </w:tcBorders>
            <w:vAlign w:val="bottom"/>
          </w:tcPr>
          <w:p w14:paraId="36A49551" w14:textId="25466041" w:rsidR="00A3021A" w:rsidRPr="006D4208" w:rsidRDefault="00A46679">
            <w:pPr>
              <w:jc w:val="right"/>
              <w:rPr>
                <w:rFonts w:asciiTheme="minorHAnsi" w:hAnsiTheme="minorHAnsi" w:cs="Arial"/>
                <w:sz w:val="20"/>
                <w:szCs w:val="20"/>
              </w:rPr>
            </w:pPr>
            <w:r w:rsidRPr="006D4208">
              <w:rPr>
                <w:rFonts w:asciiTheme="minorHAnsi" w:hAnsiTheme="minorHAnsi" w:cs="Arial"/>
                <w:sz w:val="20"/>
                <w:szCs w:val="20"/>
              </w:rPr>
              <w:t>2.1</w:t>
            </w:r>
          </w:p>
        </w:tc>
        <w:tc>
          <w:tcPr>
            <w:tcW w:w="742" w:type="dxa"/>
            <w:tcBorders>
              <w:left w:val="nil"/>
              <w:right w:val="nil"/>
            </w:tcBorders>
            <w:vAlign w:val="bottom"/>
          </w:tcPr>
          <w:p w14:paraId="63011A24"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r>
      <w:tr w:rsidR="001407B0" w:rsidRPr="00565803" w14:paraId="5CB53018" w14:textId="77777777" w:rsidTr="00AF2B57">
        <w:trPr>
          <w:trHeight w:val="241"/>
        </w:trPr>
        <w:tc>
          <w:tcPr>
            <w:tcW w:w="4009" w:type="dxa"/>
            <w:vAlign w:val="bottom"/>
          </w:tcPr>
          <w:p w14:paraId="6EF66D1B" w14:textId="73605699" w:rsidR="001407B0" w:rsidRPr="00565803" w:rsidRDefault="00F540AB">
            <w:pPr>
              <w:autoSpaceDE w:val="0"/>
              <w:autoSpaceDN w:val="0"/>
              <w:adjustRightInd w:val="0"/>
              <w:rPr>
                <w:rFonts w:asciiTheme="minorHAnsi" w:hAnsiTheme="minorHAnsi" w:cs="Poppins-Light"/>
                <w:sz w:val="20"/>
                <w:szCs w:val="20"/>
              </w:rPr>
            </w:pPr>
            <w:r w:rsidRPr="00565803">
              <w:rPr>
                <w:rFonts w:asciiTheme="minorHAnsi" w:hAnsiTheme="minorHAnsi" w:cs="Arial"/>
                <w:sz w:val="20"/>
                <w:szCs w:val="20"/>
              </w:rPr>
              <w:t>Dividends</w:t>
            </w:r>
          </w:p>
        </w:tc>
        <w:tc>
          <w:tcPr>
            <w:tcW w:w="890" w:type="dxa"/>
            <w:tcBorders>
              <w:left w:val="nil"/>
              <w:right w:val="nil"/>
            </w:tcBorders>
            <w:vAlign w:val="bottom"/>
          </w:tcPr>
          <w:p w14:paraId="7EC4A3BC" w14:textId="77777777" w:rsidR="001407B0" w:rsidRPr="006D4208" w:rsidRDefault="001407B0">
            <w:pPr>
              <w:jc w:val="right"/>
              <w:rPr>
                <w:rFonts w:asciiTheme="minorHAnsi" w:hAnsiTheme="minorHAnsi" w:cs="Arial"/>
                <w:sz w:val="20"/>
                <w:szCs w:val="20"/>
              </w:rPr>
            </w:pPr>
            <w:r w:rsidRPr="006D4208">
              <w:rPr>
                <w:rFonts w:asciiTheme="minorHAnsi" w:hAnsiTheme="minorHAnsi" w:cs="Arial"/>
                <w:sz w:val="20"/>
                <w:szCs w:val="20"/>
              </w:rPr>
              <w:t>- </w:t>
            </w:r>
          </w:p>
        </w:tc>
        <w:tc>
          <w:tcPr>
            <w:tcW w:w="1038" w:type="dxa"/>
            <w:tcBorders>
              <w:left w:val="nil"/>
              <w:right w:val="nil"/>
            </w:tcBorders>
            <w:vAlign w:val="bottom"/>
          </w:tcPr>
          <w:p w14:paraId="58CA581C" w14:textId="77777777" w:rsidR="001407B0" w:rsidRPr="006D4208" w:rsidRDefault="001407B0">
            <w:pPr>
              <w:jc w:val="right"/>
              <w:rPr>
                <w:rFonts w:asciiTheme="minorHAnsi" w:hAnsiTheme="minorHAnsi" w:cs="Arial"/>
                <w:sz w:val="20"/>
                <w:szCs w:val="20"/>
              </w:rPr>
            </w:pPr>
            <w:r w:rsidRPr="006D4208">
              <w:rPr>
                <w:rFonts w:asciiTheme="minorHAnsi" w:hAnsiTheme="minorHAnsi" w:cs="Arial"/>
                <w:sz w:val="20"/>
                <w:szCs w:val="20"/>
              </w:rPr>
              <w:t>- </w:t>
            </w:r>
          </w:p>
        </w:tc>
        <w:tc>
          <w:tcPr>
            <w:tcW w:w="891" w:type="dxa"/>
            <w:tcBorders>
              <w:left w:val="nil"/>
              <w:right w:val="nil"/>
            </w:tcBorders>
          </w:tcPr>
          <w:p w14:paraId="65A30AE7" w14:textId="77777777" w:rsidR="001407B0" w:rsidRPr="006D4208" w:rsidRDefault="001407B0">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left w:val="nil"/>
              <w:right w:val="nil"/>
            </w:tcBorders>
            <w:vAlign w:val="bottom"/>
          </w:tcPr>
          <w:p w14:paraId="3AE62CDD" w14:textId="49ED184B" w:rsidR="001407B0" w:rsidRPr="006D4208" w:rsidRDefault="009F7F27">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left w:val="nil"/>
              <w:right w:val="nil"/>
            </w:tcBorders>
            <w:vAlign w:val="bottom"/>
          </w:tcPr>
          <w:p w14:paraId="2B53F82C" w14:textId="5F9B5CF8" w:rsidR="001407B0" w:rsidRPr="006D4208" w:rsidRDefault="004D7E30">
            <w:pPr>
              <w:jc w:val="right"/>
              <w:rPr>
                <w:rFonts w:asciiTheme="minorHAnsi" w:hAnsiTheme="minorHAnsi" w:cs="Arial"/>
                <w:sz w:val="20"/>
                <w:szCs w:val="20"/>
              </w:rPr>
            </w:pPr>
            <w:r w:rsidRPr="006D4208">
              <w:rPr>
                <w:rFonts w:asciiTheme="minorHAnsi" w:hAnsiTheme="minorHAnsi" w:cs="Arial"/>
                <w:sz w:val="20"/>
                <w:szCs w:val="20"/>
              </w:rPr>
              <w:t>(</w:t>
            </w:r>
            <w:r w:rsidR="0040035C" w:rsidRPr="006D4208">
              <w:rPr>
                <w:rFonts w:asciiTheme="minorHAnsi" w:hAnsiTheme="minorHAnsi" w:cs="Arial"/>
                <w:sz w:val="20"/>
                <w:szCs w:val="20"/>
              </w:rPr>
              <w:t>25.9</w:t>
            </w:r>
            <w:r w:rsidRPr="006D4208">
              <w:rPr>
                <w:rFonts w:asciiTheme="minorHAnsi" w:hAnsiTheme="minorHAnsi" w:cs="Arial"/>
                <w:sz w:val="20"/>
                <w:szCs w:val="20"/>
              </w:rPr>
              <w:t>)</w:t>
            </w:r>
          </w:p>
        </w:tc>
        <w:tc>
          <w:tcPr>
            <w:tcW w:w="742" w:type="dxa"/>
            <w:tcBorders>
              <w:left w:val="nil"/>
              <w:right w:val="nil"/>
            </w:tcBorders>
            <w:vAlign w:val="bottom"/>
          </w:tcPr>
          <w:p w14:paraId="4F647A50" w14:textId="21403E53" w:rsidR="001407B0" w:rsidRPr="006D4208" w:rsidRDefault="004D7E30">
            <w:pPr>
              <w:jc w:val="right"/>
              <w:rPr>
                <w:rFonts w:asciiTheme="minorHAnsi" w:hAnsiTheme="minorHAnsi" w:cs="Arial"/>
                <w:sz w:val="20"/>
                <w:szCs w:val="20"/>
              </w:rPr>
            </w:pPr>
            <w:r w:rsidRPr="006D4208">
              <w:rPr>
                <w:rFonts w:asciiTheme="minorHAnsi" w:hAnsiTheme="minorHAnsi" w:cs="Arial"/>
                <w:sz w:val="20"/>
                <w:szCs w:val="20"/>
              </w:rPr>
              <w:t>(</w:t>
            </w:r>
            <w:r w:rsidR="0040035C" w:rsidRPr="006D4208">
              <w:rPr>
                <w:rFonts w:asciiTheme="minorHAnsi" w:hAnsiTheme="minorHAnsi" w:cs="Arial"/>
                <w:sz w:val="20"/>
                <w:szCs w:val="20"/>
              </w:rPr>
              <w:t>25.9</w:t>
            </w:r>
            <w:r w:rsidRPr="006D4208">
              <w:rPr>
                <w:rFonts w:asciiTheme="minorHAnsi" w:hAnsiTheme="minorHAnsi" w:cs="Arial"/>
                <w:sz w:val="20"/>
                <w:szCs w:val="20"/>
              </w:rPr>
              <w:t>)</w:t>
            </w:r>
          </w:p>
        </w:tc>
      </w:tr>
      <w:tr w:rsidR="00C16608" w:rsidRPr="00565803" w14:paraId="1F558DBC" w14:textId="77777777" w:rsidTr="00AF2B57">
        <w:trPr>
          <w:trHeight w:val="241"/>
        </w:trPr>
        <w:tc>
          <w:tcPr>
            <w:tcW w:w="4009" w:type="dxa"/>
            <w:vAlign w:val="bottom"/>
          </w:tcPr>
          <w:p w14:paraId="1CA8C448" w14:textId="1EE597D8" w:rsidR="00C16608" w:rsidRPr="00565803" w:rsidRDefault="00C16608" w:rsidP="00C16608">
            <w:pPr>
              <w:autoSpaceDE w:val="0"/>
              <w:autoSpaceDN w:val="0"/>
              <w:adjustRightInd w:val="0"/>
              <w:rPr>
                <w:rFonts w:asciiTheme="minorHAnsi" w:hAnsiTheme="minorHAnsi" w:cs="Poppins-Light"/>
                <w:sz w:val="20"/>
                <w:szCs w:val="20"/>
              </w:rPr>
            </w:pPr>
            <w:r w:rsidRPr="00565803">
              <w:rPr>
                <w:rFonts w:asciiTheme="minorHAnsi" w:hAnsiTheme="minorHAnsi" w:cs="Arial"/>
                <w:b/>
                <w:sz w:val="20"/>
                <w:szCs w:val="20"/>
              </w:rPr>
              <w:t>At 30 June 202</w:t>
            </w:r>
            <w:r w:rsidR="00FC219D">
              <w:rPr>
                <w:rFonts w:asciiTheme="minorHAnsi" w:hAnsiTheme="minorHAnsi" w:cs="Arial"/>
                <w:b/>
                <w:sz w:val="20"/>
                <w:szCs w:val="20"/>
              </w:rPr>
              <w:t>3</w:t>
            </w:r>
            <w:r w:rsidRPr="00565803">
              <w:rPr>
                <w:rFonts w:asciiTheme="minorHAnsi" w:hAnsiTheme="minorHAnsi" w:cs="Arial"/>
                <w:b/>
                <w:sz w:val="20"/>
                <w:szCs w:val="20"/>
              </w:rPr>
              <w:t xml:space="preserve"> and 1 July 202</w:t>
            </w:r>
            <w:r w:rsidR="00FC219D">
              <w:rPr>
                <w:rFonts w:asciiTheme="minorHAnsi" w:hAnsiTheme="minorHAnsi" w:cs="Arial"/>
                <w:b/>
                <w:sz w:val="20"/>
                <w:szCs w:val="20"/>
              </w:rPr>
              <w:t>3</w:t>
            </w:r>
          </w:p>
        </w:tc>
        <w:tc>
          <w:tcPr>
            <w:tcW w:w="890" w:type="dxa"/>
            <w:tcBorders>
              <w:top w:val="single" w:sz="4" w:space="0" w:color="auto"/>
              <w:left w:val="nil"/>
              <w:bottom w:val="single" w:sz="4" w:space="0" w:color="auto"/>
              <w:right w:val="nil"/>
            </w:tcBorders>
            <w:vAlign w:val="bottom"/>
          </w:tcPr>
          <w:p w14:paraId="117EB7C7" w14:textId="595221A5" w:rsidR="00C16608" w:rsidRPr="006D4208" w:rsidRDefault="00C16608" w:rsidP="00C16608">
            <w:pPr>
              <w:jc w:val="right"/>
              <w:rPr>
                <w:rFonts w:asciiTheme="minorHAnsi" w:hAnsiTheme="minorHAnsi" w:cs="Arial"/>
                <w:sz w:val="20"/>
                <w:szCs w:val="20"/>
              </w:rPr>
            </w:pPr>
            <w:r w:rsidRPr="006D4208">
              <w:rPr>
                <w:rFonts w:asciiTheme="minorHAnsi" w:hAnsiTheme="minorHAnsi" w:cs="Arial"/>
                <w:sz w:val="20"/>
                <w:szCs w:val="20"/>
              </w:rPr>
              <w:t>52.6</w:t>
            </w:r>
          </w:p>
        </w:tc>
        <w:tc>
          <w:tcPr>
            <w:tcW w:w="1038" w:type="dxa"/>
            <w:tcBorders>
              <w:top w:val="single" w:sz="4" w:space="0" w:color="auto"/>
              <w:left w:val="nil"/>
              <w:bottom w:val="single" w:sz="4" w:space="0" w:color="auto"/>
              <w:right w:val="nil"/>
            </w:tcBorders>
            <w:vAlign w:val="bottom"/>
          </w:tcPr>
          <w:p w14:paraId="455D1AEB" w14:textId="7B3EE52E" w:rsidR="00C16608" w:rsidRPr="006D4208" w:rsidRDefault="00C16608" w:rsidP="00C16608">
            <w:pPr>
              <w:jc w:val="right"/>
              <w:rPr>
                <w:rFonts w:asciiTheme="minorHAnsi" w:hAnsiTheme="minorHAnsi" w:cs="Arial"/>
                <w:sz w:val="20"/>
                <w:szCs w:val="20"/>
              </w:rPr>
            </w:pPr>
            <w:r w:rsidRPr="006D4208">
              <w:rPr>
                <w:rFonts w:asciiTheme="minorHAnsi" w:hAnsiTheme="minorHAnsi" w:cs="Arial"/>
                <w:sz w:val="20"/>
                <w:szCs w:val="20"/>
              </w:rPr>
              <w:t>273.</w:t>
            </w:r>
            <w:r w:rsidR="0040035C" w:rsidRPr="006D4208">
              <w:rPr>
                <w:rFonts w:asciiTheme="minorHAnsi" w:hAnsiTheme="minorHAnsi" w:cs="Arial"/>
                <w:sz w:val="20"/>
                <w:szCs w:val="20"/>
              </w:rPr>
              <w:t>6</w:t>
            </w:r>
          </w:p>
        </w:tc>
        <w:tc>
          <w:tcPr>
            <w:tcW w:w="891" w:type="dxa"/>
            <w:tcBorders>
              <w:top w:val="single" w:sz="4" w:space="0" w:color="auto"/>
              <w:left w:val="nil"/>
              <w:bottom w:val="single" w:sz="4" w:space="0" w:color="auto"/>
              <w:right w:val="nil"/>
            </w:tcBorders>
          </w:tcPr>
          <w:p w14:paraId="1FDE8A1B" w14:textId="6E81DA11" w:rsidR="00C16608" w:rsidRPr="006D4208" w:rsidRDefault="00C16608" w:rsidP="00C16608">
            <w:pPr>
              <w:jc w:val="right"/>
              <w:rPr>
                <w:rFonts w:asciiTheme="minorHAnsi" w:hAnsiTheme="minorHAnsi" w:cs="Arial"/>
                <w:sz w:val="20"/>
                <w:szCs w:val="20"/>
              </w:rPr>
            </w:pPr>
            <w:r w:rsidRPr="006D4208">
              <w:rPr>
                <w:rFonts w:asciiTheme="minorHAnsi" w:hAnsiTheme="minorHAnsi" w:cs="Arial"/>
                <w:sz w:val="20"/>
                <w:szCs w:val="20"/>
              </w:rPr>
              <w:t>278.2</w:t>
            </w:r>
          </w:p>
        </w:tc>
        <w:tc>
          <w:tcPr>
            <w:tcW w:w="1038" w:type="dxa"/>
            <w:tcBorders>
              <w:top w:val="single" w:sz="4" w:space="0" w:color="auto"/>
              <w:left w:val="nil"/>
              <w:bottom w:val="single" w:sz="4" w:space="0" w:color="auto"/>
              <w:right w:val="nil"/>
            </w:tcBorders>
            <w:vAlign w:val="bottom"/>
          </w:tcPr>
          <w:p w14:paraId="3764F464" w14:textId="38485EA7" w:rsidR="00C16608" w:rsidRPr="006D4208" w:rsidRDefault="00C16608" w:rsidP="00C16608">
            <w:pPr>
              <w:jc w:val="right"/>
              <w:rPr>
                <w:rFonts w:asciiTheme="minorHAnsi" w:hAnsiTheme="minorHAnsi" w:cs="Arial"/>
                <w:sz w:val="20"/>
                <w:szCs w:val="20"/>
              </w:rPr>
            </w:pPr>
            <w:r w:rsidRPr="006D4208">
              <w:rPr>
                <w:rFonts w:asciiTheme="minorHAnsi" w:hAnsiTheme="minorHAnsi" w:cs="Arial"/>
                <w:sz w:val="20"/>
                <w:szCs w:val="20"/>
              </w:rPr>
              <w:t>1</w:t>
            </w:r>
            <w:r w:rsidR="0040035C" w:rsidRPr="006D4208">
              <w:rPr>
                <w:rFonts w:asciiTheme="minorHAnsi" w:hAnsiTheme="minorHAnsi" w:cs="Arial"/>
                <w:sz w:val="20"/>
                <w:szCs w:val="20"/>
              </w:rPr>
              <w:t>3.5</w:t>
            </w:r>
          </w:p>
        </w:tc>
        <w:tc>
          <w:tcPr>
            <w:tcW w:w="1038" w:type="dxa"/>
            <w:tcBorders>
              <w:top w:val="single" w:sz="4" w:space="0" w:color="auto"/>
              <w:left w:val="nil"/>
              <w:bottom w:val="single" w:sz="4" w:space="0" w:color="auto"/>
              <w:right w:val="nil"/>
            </w:tcBorders>
            <w:vAlign w:val="bottom"/>
          </w:tcPr>
          <w:p w14:paraId="37007E37" w14:textId="5D44A73A" w:rsidR="00C16608" w:rsidRPr="006D4208" w:rsidRDefault="00C16608" w:rsidP="00C16608">
            <w:pPr>
              <w:jc w:val="right"/>
              <w:rPr>
                <w:rFonts w:asciiTheme="minorHAnsi" w:hAnsiTheme="minorHAnsi" w:cs="Arial"/>
                <w:sz w:val="20"/>
                <w:szCs w:val="20"/>
              </w:rPr>
            </w:pPr>
            <w:r w:rsidRPr="006D4208">
              <w:rPr>
                <w:rFonts w:asciiTheme="minorHAnsi" w:hAnsiTheme="minorHAnsi" w:cs="Arial"/>
                <w:sz w:val="20"/>
                <w:szCs w:val="20"/>
              </w:rPr>
              <w:t>(</w:t>
            </w:r>
            <w:r w:rsidR="00FD191A">
              <w:rPr>
                <w:rFonts w:asciiTheme="minorHAnsi" w:hAnsiTheme="minorHAnsi" w:cs="Arial"/>
                <w:sz w:val="20"/>
                <w:szCs w:val="20"/>
              </w:rPr>
              <w:t>45.9</w:t>
            </w:r>
            <w:r w:rsidRPr="006D4208">
              <w:rPr>
                <w:rFonts w:asciiTheme="minorHAnsi" w:hAnsiTheme="minorHAnsi" w:cs="Arial"/>
                <w:sz w:val="20"/>
                <w:szCs w:val="20"/>
              </w:rPr>
              <w:t>)</w:t>
            </w:r>
          </w:p>
        </w:tc>
        <w:tc>
          <w:tcPr>
            <w:tcW w:w="742" w:type="dxa"/>
            <w:tcBorders>
              <w:top w:val="single" w:sz="4" w:space="0" w:color="auto"/>
              <w:left w:val="nil"/>
              <w:bottom w:val="single" w:sz="4" w:space="0" w:color="auto"/>
              <w:right w:val="nil"/>
            </w:tcBorders>
            <w:vAlign w:val="bottom"/>
          </w:tcPr>
          <w:p w14:paraId="28F6CE50" w14:textId="7BA492D4" w:rsidR="00C16608" w:rsidRPr="006D4208" w:rsidRDefault="0040035C" w:rsidP="00C16608">
            <w:pPr>
              <w:jc w:val="right"/>
              <w:rPr>
                <w:rFonts w:asciiTheme="minorHAnsi" w:hAnsiTheme="minorHAnsi" w:cs="Arial"/>
                <w:sz w:val="20"/>
                <w:szCs w:val="20"/>
              </w:rPr>
            </w:pPr>
            <w:r w:rsidRPr="006D4208">
              <w:rPr>
                <w:rFonts w:asciiTheme="minorHAnsi" w:hAnsiTheme="minorHAnsi" w:cs="Arial"/>
                <w:sz w:val="20"/>
                <w:szCs w:val="20"/>
              </w:rPr>
              <w:t>5</w:t>
            </w:r>
            <w:r w:rsidR="00047193" w:rsidRPr="006D4208">
              <w:rPr>
                <w:rFonts w:asciiTheme="minorHAnsi" w:hAnsiTheme="minorHAnsi" w:cs="Arial"/>
                <w:sz w:val="20"/>
                <w:szCs w:val="20"/>
              </w:rPr>
              <w:t>7</w:t>
            </w:r>
            <w:r w:rsidR="00FE3E8E">
              <w:rPr>
                <w:rFonts w:asciiTheme="minorHAnsi" w:hAnsiTheme="minorHAnsi" w:cs="Arial"/>
                <w:sz w:val="20"/>
                <w:szCs w:val="20"/>
              </w:rPr>
              <w:t>2.0</w:t>
            </w:r>
          </w:p>
        </w:tc>
      </w:tr>
      <w:tr w:rsidR="00A3021A" w:rsidRPr="00565803" w14:paraId="5F8C7C7E" w14:textId="77777777" w:rsidTr="00AF2B57">
        <w:trPr>
          <w:trHeight w:val="241"/>
        </w:trPr>
        <w:tc>
          <w:tcPr>
            <w:tcW w:w="4009" w:type="dxa"/>
            <w:vAlign w:val="bottom"/>
          </w:tcPr>
          <w:p w14:paraId="117FE9FC" w14:textId="5F44A494" w:rsidR="00A3021A" w:rsidRPr="00565803" w:rsidRDefault="00A3021A">
            <w:pPr>
              <w:autoSpaceDE w:val="0"/>
              <w:autoSpaceDN w:val="0"/>
              <w:adjustRightInd w:val="0"/>
              <w:rPr>
                <w:rFonts w:asciiTheme="minorHAnsi" w:hAnsiTheme="minorHAnsi" w:cs="Arial"/>
                <w:bCs/>
                <w:sz w:val="20"/>
                <w:szCs w:val="20"/>
              </w:rPr>
            </w:pPr>
            <w:r w:rsidRPr="00565803">
              <w:rPr>
                <w:rFonts w:asciiTheme="minorHAnsi" w:hAnsiTheme="minorHAnsi" w:cs="Arial"/>
                <w:bCs/>
                <w:sz w:val="20"/>
                <w:szCs w:val="20"/>
              </w:rPr>
              <w:t xml:space="preserve">Profit for the </w:t>
            </w:r>
            <w:r w:rsidR="00734497" w:rsidRPr="00565803">
              <w:rPr>
                <w:rFonts w:asciiTheme="minorHAnsi" w:hAnsiTheme="minorHAnsi" w:cs="Arial"/>
                <w:bCs/>
                <w:sz w:val="20"/>
                <w:szCs w:val="20"/>
              </w:rPr>
              <w:t>period</w:t>
            </w:r>
            <w:r w:rsidR="007A2372">
              <w:rPr>
                <w:rFonts w:asciiTheme="minorHAnsi" w:hAnsiTheme="minorHAnsi" w:cs="Arial"/>
                <w:bCs/>
                <w:sz w:val="20"/>
                <w:szCs w:val="20"/>
              </w:rPr>
              <w:t xml:space="preserve"> (restated)</w:t>
            </w:r>
            <w:r w:rsidR="00872EE2" w:rsidRPr="00872EE2">
              <w:rPr>
                <w:rFonts w:asciiTheme="minorHAnsi" w:hAnsiTheme="minorHAnsi" w:cs="Arial"/>
                <w:bCs/>
                <w:sz w:val="20"/>
                <w:szCs w:val="20"/>
                <w:vertAlign w:val="superscript"/>
              </w:rPr>
              <w:t>1</w:t>
            </w:r>
          </w:p>
        </w:tc>
        <w:tc>
          <w:tcPr>
            <w:tcW w:w="890" w:type="dxa"/>
            <w:tcBorders>
              <w:top w:val="single" w:sz="4" w:space="0" w:color="auto"/>
              <w:left w:val="nil"/>
              <w:bottom w:val="single" w:sz="4" w:space="0" w:color="auto"/>
              <w:right w:val="nil"/>
            </w:tcBorders>
            <w:vAlign w:val="bottom"/>
          </w:tcPr>
          <w:p w14:paraId="7340144D"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top w:val="single" w:sz="4" w:space="0" w:color="auto"/>
              <w:left w:val="nil"/>
              <w:bottom w:val="single" w:sz="4" w:space="0" w:color="auto"/>
              <w:right w:val="nil"/>
            </w:tcBorders>
            <w:vAlign w:val="bottom"/>
          </w:tcPr>
          <w:p w14:paraId="7C57D12B"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891" w:type="dxa"/>
            <w:tcBorders>
              <w:top w:val="single" w:sz="4" w:space="0" w:color="auto"/>
              <w:left w:val="nil"/>
              <w:bottom w:val="single" w:sz="4" w:space="0" w:color="auto"/>
              <w:right w:val="nil"/>
            </w:tcBorders>
          </w:tcPr>
          <w:p w14:paraId="500060EC"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top w:val="single" w:sz="4" w:space="0" w:color="auto"/>
              <w:left w:val="nil"/>
              <w:bottom w:val="single" w:sz="4" w:space="0" w:color="auto"/>
              <w:right w:val="nil"/>
            </w:tcBorders>
            <w:vAlign w:val="bottom"/>
          </w:tcPr>
          <w:p w14:paraId="399312C7"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top w:val="single" w:sz="4" w:space="0" w:color="auto"/>
              <w:left w:val="nil"/>
              <w:bottom w:val="single" w:sz="4" w:space="0" w:color="auto"/>
              <w:right w:val="nil"/>
            </w:tcBorders>
            <w:vAlign w:val="bottom"/>
          </w:tcPr>
          <w:p w14:paraId="5A443C5A" w14:textId="605A503D" w:rsidR="00A3021A" w:rsidRPr="006D4208" w:rsidRDefault="00466A3F">
            <w:pPr>
              <w:jc w:val="right"/>
              <w:rPr>
                <w:rFonts w:asciiTheme="minorHAnsi" w:hAnsiTheme="minorHAnsi" w:cs="Arial"/>
                <w:sz w:val="20"/>
                <w:szCs w:val="20"/>
              </w:rPr>
            </w:pPr>
            <w:r>
              <w:rPr>
                <w:rFonts w:asciiTheme="minorHAnsi" w:hAnsiTheme="minorHAnsi" w:cs="Arial"/>
                <w:sz w:val="20"/>
                <w:szCs w:val="20"/>
              </w:rPr>
              <w:t>4.</w:t>
            </w:r>
            <w:r w:rsidR="00116223">
              <w:rPr>
                <w:rFonts w:asciiTheme="minorHAnsi" w:hAnsiTheme="minorHAnsi" w:cs="Arial"/>
                <w:sz w:val="20"/>
                <w:szCs w:val="20"/>
              </w:rPr>
              <w:t>2</w:t>
            </w:r>
          </w:p>
        </w:tc>
        <w:tc>
          <w:tcPr>
            <w:tcW w:w="742" w:type="dxa"/>
            <w:tcBorders>
              <w:top w:val="single" w:sz="4" w:space="0" w:color="auto"/>
              <w:left w:val="nil"/>
              <w:bottom w:val="single" w:sz="4" w:space="0" w:color="auto"/>
              <w:right w:val="nil"/>
            </w:tcBorders>
            <w:vAlign w:val="bottom"/>
          </w:tcPr>
          <w:p w14:paraId="06CC1D4B" w14:textId="47533BE7" w:rsidR="00A3021A" w:rsidRPr="006D4208" w:rsidRDefault="00466A3F">
            <w:pPr>
              <w:jc w:val="right"/>
              <w:rPr>
                <w:rFonts w:asciiTheme="minorHAnsi" w:hAnsiTheme="minorHAnsi" w:cs="Arial"/>
                <w:sz w:val="20"/>
                <w:szCs w:val="20"/>
              </w:rPr>
            </w:pPr>
            <w:r>
              <w:rPr>
                <w:rFonts w:asciiTheme="minorHAnsi" w:hAnsiTheme="minorHAnsi" w:cs="Arial"/>
                <w:sz w:val="20"/>
                <w:szCs w:val="20"/>
              </w:rPr>
              <w:t>4.</w:t>
            </w:r>
            <w:r w:rsidR="00116223">
              <w:rPr>
                <w:rFonts w:asciiTheme="minorHAnsi" w:hAnsiTheme="minorHAnsi" w:cs="Arial"/>
                <w:sz w:val="20"/>
                <w:szCs w:val="20"/>
              </w:rPr>
              <w:t>2</w:t>
            </w:r>
          </w:p>
        </w:tc>
      </w:tr>
      <w:tr w:rsidR="00A3021A" w:rsidRPr="00565803" w14:paraId="53C2C7DD" w14:textId="77777777" w:rsidTr="00AF2B57">
        <w:trPr>
          <w:trHeight w:val="241"/>
        </w:trPr>
        <w:tc>
          <w:tcPr>
            <w:tcW w:w="4009" w:type="dxa"/>
            <w:vAlign w:val="bottom"/>
          </w:tcPr>
          <w:p w14:paraId="2B90DB18" w14:textId="22434AB9" w:rsidR="00A3021A" w:rsidRPr="00565803" w:rsidRDefault="00A3021A">
            <w:pPr>
              <w:autoSpaceDE w:val="0"/>
              <w:autoSpaceDN w:val="0"/>
              <w:adjustRightInd w:val="0"/>
              <w:rPr>
                <w:rFonts w:asciiTheme="minorHAnsi" w:hAnsiTheme="minorHAnsi" w:cs="Arial"/>
                <w:bCs/>
                <w:sz w:val="20"/>
                <w:szCs w:val="20"/>
              </w:rPr>
            </w:pPr>
            <w:r w:rsidRPr="00565803">
              <w:rPr>
                <w:rFonts w:asciiTheme="minorHAnsi" w:hAnsiTheme="minorHAnsi" w:cs="Arial"/>
                <w:bCs/>
                <w:sz w:val="20"/>
                <w:szCs w:val="20"/>
              </w:rPr>
              <w:t xml:space="preserve">Other comprehensive </w:t>
            </w:r>
            <w:r w:rsidR="00746AA4">
              <w:rPr>
                <w:rFonts w:asciiTheme="minorHAnsi" w:hAnsiTheme="minorHAnsi" w:cs="Arial"/>
                <w:bCs/>
                <w:sz w:val="20"/>
                <w:szCs w:val="20"/>
              </w:rPr>
              <w:t>income/(</w:t>
            </w:r>
            <w:r w:rsidRPr="00565803">
              <w:rPr>
                <w:rFonts w:asciiTheme="minorHAnsi" w:hAnsiTheme="minorHAnsi" w:cs="Arial"/>
                <w:bCs/>
                <w:sz w:val="20"/>
                <w:szCs w:val="20"/>
              </w:rPr>
              <w:t>expense</w:t>
            </w:r>
            <w:r w:rsidR="00746AA4">
              <w:rPr>
                <w:rFonts w:asciiTheme="minorHAnsi" w:hAnsiTheme="minorHAnsi" w:cs="Arial"/>
                <w:bCs/>
                <w:sz w:val="20"/>
                <w:szCs w:val="20"/>
              </w:rPr>
              <w:t>)</w:t>
            </w:r>
            <w:r w:rsidRPr="00565803">
              <w:rPr>
                <w:rFonts w:asciiTheme="minorHAnsi" w:hAnsiTheme="minorHAnsi" w:cs="Arial"/>
                <w:bCs/>
                <w:sz w:val="20"/>
                <w:szCs w:val="20"/>
              </w:rPr>
              <w:t>:</w:t>
            </w:r>
          </w:p>
        </w:tc>
        <w:tc>
          <w:tcPr>
            <w:tcW w:w="890" w:type="dxa"/>
            <w:tcBorders>
              <w:top w:val="single" w:sz="4" w:space="0" w:color="auto"/>
              <w:left w:val="nil"/>
              <w:right w:val="nil"/>
            </w:tcBorders>
            <w:vAlign w:val="bottom"/>
          </w:tcPr>
          <w:p w14:paraId="6F320214" w14:textId="77777777" w:rsidR="00A3021A" w:rsidRPr="006D4208" w:rsidRDefault="00A3021A">
            <w:pPr>
              <w:jc w:val="right"/>
              <w:rPr>
                <w:rFonts w:asciiTheme="minorHAnsi" w:hAnsiTheme="minorHAnsi" w:cs="Arial"/>
                <w:sz w:val="20"/>
                <w:szCs w:val="20"/>
              </w:rPr>
            </w:pPr>
          </w:p>
        </w:tc>
        <w:tc>
          <w:tcPr>
            <w:tcW w:w="1038" w:type="dxa"/>
            <w:tcBorders>
              <w:top w:val="single" w:sz="4" w:space="0" w:color="auto"/>
              <w:left w:val="nil"/>
              <w:right w:val="nil"/>
            </w:tcBorders>
            <w:vAlign w:val="bottom"/>
          </w:tcPr>
          <w:p w14:paraId="6C86BBB7" w14:textId="77777777" w:rsidR="00A3021A" w:rsidRPr="006D4208" w:rsidRDefault="00A3021A">
            <w:pPr>
              <w:jc w:val="right"/>
              <w:rPr>
                <w:rFonts w:asciiTheme="minorHAnsi" w:hAnsiTheme="minorHAnsi" w:cs="Arial"/>
                <w:sz w:val="20"/>
                <w:szCs w:val="20"/>
              </w:rPr>
            </w:pPr>
          </w:p>
        </w:tc>
        <w:tc>
          <w:tcPr>
            <w:tcW w:w="891" w:type="dxa"/>
            <w:tcBorders>
              <w:top w:val="single" w:sz="4" w:space="0" w:color="auto"/>
              <w:left w:val="nil"/>
              <w:right w:val="nil"/>
            </w:tcBorders>
            <w:vAlign w:val="bottom"/>
          </w:tcPr>
          <w:p w14:paraId="07DC3E77" w14:textId="77777777" w:rsidR="00A3021A" w:rsidRPr="006D4208" w:rsidRDefault="00A3021A">
            <w:pPr>
              <w:jc w:val="right"/>
              <w:rPr>
                <w:rFonts w:asciiTheme="minorHAnsi" w:hAnsiTheme="minorHAnsi" w:cs="Arial"/>
                <w:sz w:val="20"/>
                <w:szCs w:val="20"/>
              </w:rPr>
            </w:pPr>
          </w:p>
        </w:tc>
        <w:tc>
          <w:tcPr>
            <w:tcW w:w="1038" w:type="dxa"/>
            <w:tcBorders>
              <w:top w:val="single" w:sz="4" w:space="0" w:color="auto"/>
              <w:left w:val="nil"/>
              <w:right w:val="nil"/>
            </w:tcBorders>
            <w:vAlign w:val="bottom"/>
          </w:tcPr>
          <w:p w14:paraId="27550CC3" w14:textId="77777777" w:rsidR="00A3021A" w:rsidRPr="006D4208" w:rsidRDefault="00A3021A">
            <w:pPr>
              <w:jc w:val="right"/>
              <w:rPr>
                <w:rFonts w:asciiTheme="minorHAnsi" w:hAnsiTheme="minorHAnsi" w:cs="Arial"/>
                <w:sz w:val="20"/>
                <w:szCs w:val="20"/>
              </w:rPr>
            </w:pPr>
          </w:p>
        </w:tc>
        <w:tc>
          <w:tcPr>
            <w:tcW w:w="1038" w:type="dxa"/>
            <w:tcBorders>
              <w:top w:val="single" w:sz="4" w:space="0" w:color="auto"/>
              <w:left w:val="nil"/>
              <w:right w:val="nil"/>
            </w:tcBorders>
            <w:vAlign w:val="bottom"/>
          </w:tcPr>
          <w:p w14:paraId="04D74ACB" w14:textId="77777777" w:rsidR="00A3021A" w:rsidRPr="006D4208" w:rsidRDefault="00A3021A">
            <w:pPr>
              <w:jc w:val="right"/>
              <w:rPr>
                <w:rFonts w:asciiTheme="minorHAnsi" w:hAnsiTheme="minorHAnsi" w:cs="Arial"/>
                <w:sz w:val="20"/>
                <w:szCs w:val="20"/>
              </w:rPr>
            </w:pPr>
          </w:p>
        </w:tc>
        <w:tc>
          <w:tcPr>
            <w:tcW w:w="742" w:type="dxa"/>
            <w:tcBorders>
              <w:top w:val="single" w:sz="4" w:space="0" w:color="auto"/>
              <w:left w:val="nil"/>
              <w:right w:val="nil"/>
            </w:tcBorders>
            <w:vAlign w:val="bottom"/>
          </w:tcPr>
          <w:p w14:paraId="525CF8D4" w14:textId="77777777" w:rsidR="00A3021A" w:rsidRPr="006D4208" w:rsidRDefault="00A3021A">
            <w:pPr>
              <w:jc w:val="right"/>
              <w:rPr>
                <w:rFonts w:asciiTheme="minorHAnsi" w:hAnsiTheme="minorHAnsi" w:cs="Arial"/>
                <w:sz w:val="20"/>
                <w:szCs w:val="20"/>
              </w:rPr>
            </w:pPr>
          </w:p>
        </w:tc>
      </w:tr>
      <w:tr w:rsidR="00A3021A" w:rsidRPr="00565803" w14:paraId="1DE9B069" w14:textId="77777777" w:rsidTr="00AF2B57">
        <w:trPr>
          <w:trHeight w:val="241"/>
        </w:trPr>
        <w:tc>
          <w:tcPr>
            <w:tcW w:w="4009" w:type="dxa"/>
            <w:vAlign w:val="bottom"/>
          </w:tcPr>
          <w:p w14:paraId="727A43DF" w14:textId="15C28DE7" w:rsidR="00A3021A" w:rsidRPr="00565803" w:rsidRDefault="00A3021A">
            <w:pPr>
              <w:autoSpaceDE w:val="0"/>
              <w:autoSpaceDN w:val="0"/>
              <w:adjustRightInd w:val="0"/>
              <w:rPr>
                <w:rFonts w:asciiTheme="minorHAnsi" w:hAnsiTheme="minorHAnsi" w:cs="Arial"/>
                <w:bCs/>
                <w:sz w:val="20"/>
                <w:szCs w:val="20"/>
              </w:rPr>
            </w:pPr>
            <w:r w:rsidRPr="00565803">
              <w:rPr>
                <w:rFonts w:asciiTheme="minorHAnsi" w:hAnsiTheme="minorHAnsi" w:cs="Arial"/>
                <w:bCs/>
                <w:sz w:val="20"/>
                <w:szCs w:val="20"/>
              </w:rPr>
              <w:t xml:space="preserve">– actuarial movements on retirement benefit asset </w:t>
            </w:r>
            <w:r w:rsidRPr="00565803">
              <w:rPr>
                <w:rFonts w:asciiTheme="minorHAnsi" w:hAnsiTheme="minorHAnsi" w:cs="Arial"/>
                <w:sz w:val="20"/>
                <w:szCs w:val="20"/>
              </w:rPr>
              <w:t>(note 1</w:t>
            </w:r>
            <w:r w:rsidR="00A05054" w:rsidRPr="00565803">
              <w:rPr>
                <w:rFonts w:asciiTheme="minorHAnsi" w:hAnsiTheme="minorHAnsi" w:cs="Arial"/>
                <w:sz w:val="20"/>
                <w:szCs w:val="20"/>
              </w:rPr>
              <w:t>0</w:t>
            </w:r>
            <w:r w:rsidRPr="00565803">
              <w:rPr>
                <w:rFonts w:asciiTheme="minorHAnsi" w:hAnsiTheme="minorHAnsi" w:cs="Arial"/>
                <w:sz w:val="20"/>
                <w:szCs w:val="20"/>
              </w:rPr>
              <w:t>)</w:t>
            </w:r>
          </w:p>
        </w:tc>
        <w:tc>
          <w:tcPr>
            <w:tcW w:w="890" w:type="dxa"/>
            <w:tcBorders>
              <w:left w:val="nil"/>
              <w:right w:val="nil"/>
            </w:tcBorders>
            <w:vAlign w:val="bottom"/>
          </w:tcPr>
          <w:p w14:paraId="578AB301"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left w:val="nil"/>
              <w:right w:val="nil"/>
            </w:tcBorders>
            <w:vAlign w:val="bottom"/>
          </w:tcPr>
          <w:p w14:paraId="7F0203E7"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891" w:type="dxa"/>
            <w:tcBorders>
              <w:left w:val="nil"/>
              <w:right w:val="nil"/>
            </w:tcBorders>
            <w:vAlign w:val="bottom"/>
          </w:tcPr>
          <w:p w14:paraId="0B5CAD42"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left w:val="nil"/>
              <w:right w:val="nil"/>
            </w:tcBorders>
            <w:vAlign w:val="bottom"/>
          </w:tcPr>
          <w:p w14:paraId="7D6F65A9"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left w:val="nil"/>
              <w:right w:val="nil"/>
            </w:tcBorders>
            <w:vAlign w:val="bottom"/>
          </w:tcPr>
          <w:p w14:paraId="359BF670" w14:textId="00C3A624" w:rsidR="00A3021A" w:rsidRPr="006D4208" w:rsidRDefault="00572A37">
            <w:pPr>
              <w:jc w:val="right"/>
              <w:rPr>
                <w:rFonts w:asciiTheme="minorHAnsi" w:hAnsiTheme="minorHAnsi" w:cs="Arial"/>
                <w:sz w:val="20"/>
                <w:szCs w:val="20"/>
              </w:rPr>
            </w:pPr>
            <w:r w:rsidRPr="006D4208">
              <w:rPr>
                <w:rFonts w:asciiTheme="minorHAnsi" w:hAnsiTheme="minorHAnsi" w:cs="Arial"/>
                <w:sz w:val="20"/>
                <w:szCs w:val="20"/>
              </w:rPr>
              <w:t>0.9</w:t>
            </w:r>
          </w:p>
        </w:tc>
        <w:tc>
          <w:tcPr>
            <w:tcW w:w="742" w:type="dxa"/>
            <w:tcBorders>
              <w:left w:val="nil"/>
              <w:right w:val="nil"/>
            </w:tcBorders>
            <w:vAlign w:val="bottom"/>
          </w:tcPr>
          <w:p w14:paraId="3B49EBD9" w14:textId="3399A30A" w:rsidR="00A3021A" w:rsidRPr="006D4208" w:rsidRDefault="00572A37">
            <w:pPr>
              <w:jc w:val="right"/>
              <w:rPr>
                <w:rFonts w:asciiTheme="minorHAnsi" w:hAnsiTheme="minorHAnsi" w:cs="Arial"/>
                <w:sz w:val="20"/>
                <w:szCs w:val="20"/>
              </w:rPr>
            </w:pPr>
            <w:r w:rsidRPr="006D4208">
              <w:rPr>
                <w:rFonts w:asciiTheme="minorHAnsi" w:hAnsiTheme="minorHAnsi" w:cs="Arial"/>
                <w:sz w:val="20"/>
                <w:szCs w:val="20"/>
              </w:rPr>
              <w:t>0.9</w:t>
            </w:r>
          </w:p>
        </w:tc>
      </w:tr>
      <w:tr w:rsidR="00A3021A" w:rsidRPr="00565803" w14:paraId="7A49C896" w14:textId="77777777" w:rsidTr="00AF2B57">
        <w:trPr>
          <w:trHeight w:val="241"/>
        </w:trPr>
        <w:tc>
          <w:tcPr>
            <w:tcW w:w="4009" w:type="dxa"/>
            <w:vAlign w:val="bottom"/>
          </w:tcPr>
          <w:p w14:paraId="2921780C" w14:textId="77777777" w:rsidR="00A3021A" w:rsidRPr="00565803" w:rsidRDefault="00A3021A">
            <w:pPr>
              <w:autoSpaceDE w:val="0"/>
              <w:autoSpaceDN w:val="0"/>
              <w:adjustRightInd w:val="0"/>
              <w:rPr>
                <w:rFonts w:asciiTheme="minorHAnsi" w:hAnsiTheme="minorHAnsi" w:cs="Arial"/>
                <w:bCs/>
                <w:sz w:val="20"/>
                <w:szCs w:val="20"/>
              </w:rPr>
            </w:pPr>
            <w:r w:rsidRPr="00565803">
              <w:rPr>
                <w:rFonts w:asciiTheme="minorHAnsi" w:hAnsiTheme="minorHAnsi" w:cs="Arial"/>
                <w:bCs/>
                <w:sz w:val="20"/>
                <w:szCs w:val="20"/>
              </w:rPr>
              <w:t>–  tax on items taken directly to other</w:t>
            </w:r>
          </w:p>
          <w:p w14:paraId="04073E47" w14:textId="49225D53" w:rsidR="00A3021A" w:rsidRPr="00565803" w:rsidRDefault="00A3021A">
            <w:pPr>
              <w:autoSpaceDE w:val="0"/>
              <w:autoSpaceDN w:val="0"/>
              <w:adjustRightInd w:val="0"/>
              <w:rPr>
                <w:rFonts w:asciiTheme="minorHAnsi" w:hAnsiTheme="minorHAnsi" w:cs="Arial"/>
                <w:bCs/>
                <w:sz w:val="20"/>
                <w:szCs w:val="20"/>
              </w:rPr>
            </w:pPr>
            <w:r w:rsidRPr="00565803">
              <w:rPr>
                <w:rFonts w:asciiTheme="minorHAnsi" w:hAnsiTheme="minorHAnsi" w:cs="Arial"/>
                <w:bCs/>
                <w:sz w:val="20"/>
                <w:szCs w:val="20"/>
              </w:rPr>
              <w:t>comprehensive income</w:t>
            </w:r>
          </w:p>
        </w:tc>
        <w:tc>
          <w:tcPr>
            <w:tcW w:w="890" w:type="dxa"/>
            <w:tcBorders>
              <w:left w:val="nil"/>
              <w:right w:val="nil"/>
            </w:tcBorders>
            <w:vAlign w:val="bottom"/>
          </w:tcPr>
          <w:p w14:paraId="24ECDC12"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left w:val="nil"/>
              <w:right w:val="nil"/>
            </w:tcBorders>
            <w:vAlign w:val="bottom"/>
          </w:tcPr>
          <w:p w14:paraId="2DC373CF"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891" w:type="dxa"/>
            <w:tcBorders>
              <w:left w:val="nil"/>
              <w:right w:val="nil"/>
            </w:tcBorders>
            <w:vAlign w:val="bottom"/>
          </w:tcPr>
          <w:p w14:paraId="3E3E9ACD"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left w:val="nil"/>
              <w:right w:val="nil"/>
            </w:tcBorders>
            <w:vAlign w:val="bottom"/>
          </w:tcPr>
          <w:p w14:paraId="02C572B5"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left w:val="nil"/>
              <w:right w:val="nil"/>
            </w:tcBorders>
            <w:vAlign w:val="bottom"/>
          </w:tcPr>
          <w:p w14:paraId="6BCE4120" w14:textId="62B98068" w:rsidR="00A3021A" w:rsidRPr="006D4208" w:rsidRDefault="00DB5614">
            <w:pPr>
              <w:jc w:val="right"/>
              <w:rPr>
                <w:rFonts w:asciiTheme="minorHAnsi" w:hAnsiTheme="minorHAnsi" w:cs="Arial"/>
                <w:sz w:val="20"/>
                <w:szCs w:val="20"/>
              </w:rPr>
            </w:pPr>
            <w:r w:rsidRPr="006D4208">
              <w:rPr>
                <w:rFonts w:asciiTheme="minorHAnsi" w:hAnsiTheme="minorHAnsi" w:cs="Arial"/>
                <w:sz w:val="20"/>
                <w:szCs w:val="20"/>
              </w:rPr>
              <w:t>(0.2)</w:t>
            </w:r>
          </w:p>
        </w:tc>
        <w:tc>
          <w:tcPr>
            <w:tcW w:w="742" w:type="dxa"/>
            <w:tcBorders>
              <w:left w:val="nil"/>
              <w:right w:val="nil"/>
            </w:tcBorders>
            <w:vAlign w:val="bottom"/>
          </w:tcPr>
          <w:p w14:paraId="62A54B62" w14:textId="1F4EBFAA" w:rsidR="00A3021A" w:rsidRPr="006D4208" w:rsidRDefault="00DB5614">
            <w:pPr>
              <w:jc w:val="right"/>
              <w:rPr>
                <w:rFonts w:asciiTheme="minorHAnsi" w:hAnsiTheme="minorHAnsi" w:cs="Arial"/>
                <w:sz w:val="20"/>
                <w:szCs w:val="20"/>
              </w:rPr>
            </w:pPr>
            <w:r w:rsidRPr="006D4208">
              <w:rPr>
                <w:rFonts w:asciiTheme="minorHAnsi" w:hAnsiTheme="minorHAnsi" w:cs="Arial"/>
                <w:sz w:val="20"/>
                <w:szCs w:val="20"/>
              </w:rPr>
              <w:t>(0.2)</w:t>
            </w:r>
          </w:p>
        </w:tc>
      </w:tr>
      <w:tr w:rsidR="00A3021A" w:rsidRPr="00565803" w14:paraId="759B115C" w14:textId="77777777" w:rsidTr="00AF2B57">
        <w:trPr>
          <w:trHeight w:val="241"/>
        </w:trPr>
        <w:tc>
          <w:tcPr>
            <w:tcW w:w="4009" w:type="dxa"/>
            <w:vAlign w:val="bottom"/>
          </w:tcPr>
          <w:p w14:paraId="7BA12876" w14:textId="4D0E89EB" w:rsidR="00A3021A" w:rsidRPr="00565803" w:rsidRDefault="00A3021A">
            <w:pPr>
              <w:autoSpaceDE w:val="0"/>
              <w:autoSpaceDN w:val="0"/>
              <w:adjustRightInd w:val="0"/>
              <w:rPr>
                <w:rFonts w:asciiTheme="minorHAnsi" w:hAnsiTheme="minorHAnsi" w:cs="Arial"/>
                <w:bCs/>
                <w:sz w:val="20"/>
                <w:szCs w:val="20"/>
              </w:rPr>
            </w:pPr>
            <w:r w:rsidRPr="00565803">
              <w:rPr>
                <w:rFonts w:asciiTheme="minorHAnsi" w:hAnsiTheme="minorHAnsi" w:cs="Arial"/>
                <w:bCs/>
                <w:sz w:val="20"/>
                <w:szCs w:val="20"/>
              </w:rPr>
              <w:t>– impact of change in UK tax rate</w:t>
            </w:r>
          </w:p>
        </w:tc>
        <w:tc>
          <w:tcPr>
            <w:tcW w:w="890" w:type="dxa"/>
            <w:tcBorders>
              <w:left w:val="nil"/>
              <w:bottom w:val="single" w:sz="4" w:space="0" w:color="auto"/>
              <w:right w:val="nil"/>
            </w:tcBorders>
            <w:vAlign w:val="bottom"/>
          </w:tcPr>
          <w:p w14:paraId="709A2E60"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left w:val="nil"/>
              <w:bottom w:val="single" w:sz="4" w:space="0" w:color="auto"/>
              <w:right w:val="nil"/>
            </w:tcBorders>
            <w:vAlign w:val="bottom"/>
          </w:tcPr>
          <w:p w14:paraId="65F20E49"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891" w:type="dxa"/>
            <w:tcBorders>
              <w:left w:val="nil"/>
              <w:bottom w:val="single" w:sz="4" w:space="0" w:color="auto"/>
              <w:right w:val="nil"/>
            </w:tcBorders>
          </w:tcPr>
          <w:p w14:paraId="121AF8A3"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left w:val="nil"/>
              <w:bottom w:val="single" w:sz="4" w:space="0" w:color="auto"/>
              <w:right w:val="nil"/>
            </w:tcBorders>
            <w:vAlign w:val="bottom"/>
          </w:tcPr>
          <w:p w14:paraId="2FC15132"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left w:val="nil"/>
              <w:bottom w:val="single" w:sz="4" w:space="0" w:color="auto"/>
              <w:right w:val="nil"/>
            </w:tcBorders>
          </w:tcPr>
          <w:p w14:paraId="2654A5AF" w14:textId="1D159124" w:rsidR="00A3021A" w:rsidRPr="006D4208" w:rsidRDefault="00C940FA">
            <w:pPr>
              <w:jc w:val="right"/>
              <w:rPr>
                <w:rFonts w:asciiTheme="minorHAnsi" w:hAnsiTheme="minorHAnsi" w:cs="Arial"/>
                <w:sz w:val="20"/>
                <w:szCs w:val="20"/>
              </w:rPr>
            </w:pPr>
            <w:r w:rsidRPr="006D4208">
              <w:rPr>
                <w:rFonts w:asciiTheme="minorHAnsi" w:hAnsiTheme="minorHAnsi" w:cs="Arial"/>
                <w:sz w:val="20"/>
                <w:szCs w:val="20"/>
              </w:rPr>
              <w:t>-</w:t>
            </w:r>
          </w:p>
        </w:tc>
        <w:tc>
          <w:tcPr>
            <w:tcW w:w="742" w:type="dxa"/>
            <w:tcBorders>
              <w:left w:val="nil"/>
              <w:bottom w:val="single" w:sz="4" w:space="0" w:color="auto"/>
              <w:right w:val="nil"/>
            </w:tcBorders>
          </w:tcPr>
          <w:p w14:paraId="1864FF19" w14:textId="12829BC7" w:rsidR="00A3021A" w:rsidRPr="006D4208" w:rsidRDefault="00C940FA">
            <w:pPr>
              <w:jc w:val="right"/>
              <w:rPr>
                <w:rFonts w:asciiTheme="minorHAnsi" w:hAnsiTheme="minorHAnsi" w:cs="Arial"/>
                <w:sz w:val="20"/>
                <w:szCs w:val="20"/>
              </w:rPr>
            </w:pPr>
            <w:r w:rsidRPr="006D4208">
              <w:rPr>
                <w:rFonts w:asciiTheme="minorHAnsi" w:hAnsiTheme="minorHAnsi" w:cs="Arial"/>
                <w:sz w:val="20"/>
                <w:szCs w:val="20"/>
              </w:rPr>
              <w:t>-</w:t>
            </w:r>
          </w:p>
        </w:tc>
      </w:tr>
      <w:tr w:rsidR="00A3021A" w:rsidRPr="00565803" w14:paraId="3D93E5BA" w14:textId="77777777" w:rsidTr="00AF2B57">
        <w:trPr>
          <w:trHeight w:val="241"/>
        </w:trPr>
        <w:tc>
          <w:tcPr>
            <w:tcW w:w="4009" w:type="dxa"/>
            <w:vAlign w:val="bottom"/>
          </w:tcPr>
          <w:p w14:paraId="58F5E7DD" w14:textId="72A84DE3" w:rsidR="00A3021A" w:rsidRPr="00565803" w:rsidRDefault="00A3021A">
            <w:pPr>
              <w:autoSpaceDE w:val="0"/>
              <w:autoSpaceDN w:val="0"/>
              <w:adjustRightInd w:val="0"/>
              <w:rPr>
                <w:rFonts w:asciiTheme="minorHAnsi" w:hAnsiTheme="minorHAnsi" w:cs="Arial"/>
                <w:bCs/>
                <w:sz w:val="20"/>
                <w:szCs w:val="20"/>
              </w:rPr>
            </w:pPr>
            <w:r w:rsidRPr="00565803">
              <w:rPr>
                <w:rFonts w:asciiTheme="minorHAnsi" w:hAnsiTheme="minorHAnsi" w:cs="Arial"/>
                <w:bCs/>
                <w:sz w:val="20"/>
                <w:szCs w:val="20"/>
              </w:rPr>
              <w:t xml:space="preserve">Other comprehensive </w:t>
            </w:r>
            <w:r w:rsidR="00902501">
              <w:rPr>
                <w:rFonts w:asciiTheme="minorHAnsi" w:hAnsiTheme="minorHAnsi" w:cs="Arial"/>
                <w:bCs/>
                <w:sz w:val="20"/>
                <w:szCs w:val="20"/>
              </w:rPr>
              <w:t>income</w:t>
            </w:r>
            <w:r w:rsidRPr="00565803">
              <w:rPr>
                <w:rFonts w:asciiTheme="minorHAnsi" w:hAnsiTheme="minorHAnsi" w:cs="Arial"/>
                <w:bCs/>
                <w:sz w:val="20"/>
                <w:szCs w:val="20"/>
              </w:rPr>
              <w:t xml:space="preserve"> for the </w:t>
            </w:r>
            <w:r w:rsidR="00CA1123" w:rsidRPr="00565803">
              <w:rPr>
                <w:rFonts w:asciiTheme="minorHAnsi" w:hAnsiTheme="minorHAnsi" w:cs="Arial"/>
                <w:bCs/>
                <w:sz w:val="20"/>
                <w:szCs w:val="20"/>
              </w:rPr>
              <w:t>period</w:t>
            </w:r>
          </w:p>
        </w:tc>
        <w:tc>
          <w:tcPr>
            <w:tcW w:w="890" w:type="dxa"/>
            <w:tcBorders>
              <w:top w:val="single" w:sz="4" w:space="0" w:color="auto"/>
              <w:left w:val="nil"/>
              <w:bottom w:val="single" w:sz="4" w:space="0" w:color="auto"/>
              <w:right w:val="nil"/>
            </w:tcBorders>
            <w:vAlign w:val="bottom"/>
          </w:tcPr>
          <w:p w14:paraId="6CCCE36C"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top w:val="single" w:sz="4" w:space="0" w:color="auto"/>
              <w:left w:val="nil"/>
              <w:bottom w:val="single" w:sz="4" w:space="0" w:color="auto"/>
              <w:right w:val="nil"/>
            </w:tcBorders>
            <w:vAlign w:val="bottom"/>
          </w:tcPr>
          <w:p w14:paraId="0B3D93C8"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891" w:type="dxa"/>
            <w:tcBorders>
              <w:top w:val="single" w:sz="4" w:space="0" w:color="auto"/>
              <w:left w:val="nil"/>
              <w:bottom w:val="single" w:sz="4" w:space="0" w:color="auto"/>
              <w:right w:val="nil"/>
            </w:tcBorders>
          </w:tcPr>
          <w:p w14:paraId="545B28B6"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top w:val="single" w:sz="4" w:space="0" w:color="auto"/>
              <w:left w:val="nil"/>
              <w:bottom w:val="single" w:sz="4" w:space="0" w:color="auto"/>
              <w:right w:val="nil"/>
            </w:tcBorders>
            <w:vAlign w:val="bottom"/>
          </w:tcPr>
          <w:p w14:paraId="4835ABC7"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top w:val="single" w:sz="4" w:space="0" w:color="auto"/>
              <w:left w:val="nil"/>
              <w:bottom w:val="single" w:sz="4" w:space="0" w:color="auto"/>
              <w:right w:val="nil"/>
            </w:tcBorders>
            <w:vAlign w:val="bottom"/>
          </w:tcPr>
          <w:p w14:paraId="4E0BCD14" w14:textId="77BE2FE9" w:rsidR="00A3021A" w:rsidRPr="006D4208" w:rsidRDefault="00003CF3">
            <w:pPr>
              <w:jc w:val="right"/>
              <w:rPr>
                <w:rFonts w:asciiTheme="minorHAnsi" w:hAnsiTheme="minorHAnsi" w:cs="Arial"/>
                <w:sz w:val="20"/>
                <w:szCs w:val="20"/>
              </w:rPr>
            </w:pPr>
            <w:r w:rsidRPr="006D4208">
              <w:rPr>
                <w:rFonts w:asciiTheme="minorHAnsi" w:hAnsiTheme="minorHAnsi" w:cs="Arial"/>
                <w:sz w:val="20"/>
                <w:szCs w:val="20"/>
              </w:rPr>
              <w:t>0</w:t>
            </w:r>
            <w:r w:rsidR="006167A2" w:rsidRPr="006D4208">
              <w:rPr>
                <w:rFonts w:asciiTheme="minorHAnsi" w:hAnsiTheme="minorHAnsi" w:cs="Arial"/>
                <w:sz w:val="20"/>
                <w:szCs w:val="20"/>
              </w:rPr>
              <w:t>.7</w:t>
            </w:r>
          </w:p>
        </w:tc>
        <w:tc>
          <w:tcPr>
            <w:tcW w:w="742" w:type="dxa"/>
            <w:tcBorders>
              <w:top w:val="single" w:sz="4" w:space="0" w:color="auto"/>
              <w:left w:val="nil"/>
              <w:bottom w:val="single" w:sz="4" w:space="0" w:color="auto"/>
              <w:right w:val="nil"/>
            </w:tcBorders>
            <w:vAlign w:val="bottom"/>
          </w:tcPr>
          <w:p w14:paraId="35C765A9" w14:textId="6F97F75D" w:rsidR="00A3021A" w:rsidRPr="006D4208" w:rsidRDefault="00003CF3">
            <w:pPr>
              <w:jc w:val="right"/>
              <w:rPr>
                <w:rFonts w:asciiTheme="minorHAnsi" w:hAnsiTheme="minorHAnsi" w:cs="Arial"/>
                <w:sz w:val="20"/>
                <w:szCs w:val="20"/>
              </w:rPr>
            </w:pPr>
            <w:r w:rsidRPr="006D4208">
              <w:rPr>
                <w:rFonts w:asciiTheme="minorHAnsi" w:hAnsiTheme="minorHAnsi" w:cs="Arial"/>
                <w:sz w:val="20"/>
                <w:szCs w:val="20"/>
              </w:rPr>
              <w:t>0</w:t>
            </w:r>
            <w:r w:rsidR="006167A2" w:rsidRPr="006D4208">
              <w:rPr>
                <w:rFonts w:asciiTheme="minorHAnsi" w:hAnsiTheme="minorHAnsi" w:cs="Arial"/>
                <w:sz w:val="20"/>
                <w:szCs w:val="20"/>
              </w:rPr>
              <w:t>.</w:t>
            </w:r>
            <w:r w:rsidR="00116223">
              <w:rPr>
                <w:rFonts w:asciiTheme="minorHAnsi" w:hAnsiTheme="minorHAnsi" w:cs="Arial"/>
                <w:sz w:val="20"/>
                <w:szCs w:val="20"/>
              </w:rPr>
              <w:t>7</w:t>
            </w:r>
          </w:p>
        </w:tc>
      </w:tr>
      <w:tr w:rsidR="00A3021A" w:rsidRPr="00565803" w14:paraId="40D2DAEF" w14:textId="77777777" w:rsidTr="00AF2B57">
        <w:trPr>
          <w:trHeight w:val="241"/>
        </w:trPr>
        <w:tc>
          <w:tcPr>
            <w:tcW w:w="4009" w:type="dxa"/>
            <w:vAlign w:val="bottom"/>
          </w:tcPr>
          <w:p w14:paraId="6DE0E889" w14:textId="3EAD35D5" w:rsidR="00A3021A" w:rsidRPr="00565803" w:rsidRDefault="00A3021A">
            <w:pPr>
              <w:autoSpaceDE w:val="0"/>
              <w:autoSpaceDN w:val="0"/>
              <w:adjustRightInd w:val="0"/>
              <w:rPr>
                <w:rFonts w:asciiTheme="minorHAnsi" w:hAnsiTheme="minorHAnsi" w:cs="Arial"/>
                <w:bCs/>
                <w:sz w:val="20"/>
                <w:szCs w:val="20"/>
              </w:rPr>
            </w:pPr>
            <w:r w:rsidRPr="00565803">
              <w:rPr>
                <w:rFonts w:asciiTheme="minorHAnsi" w:hAnsiTheme="minorHAnsi" w:cs="Arial"/>
                <w:bCs/>
                <w:sz w:val="20"/>
                <w:szCs w:val="20"/>
              </w:rPr>
              <w:t xml:space="preserve">Total comprehensive income for the </w:t>
            </w:r>
            <w:r w:rsidR="00CA1123" w:rsidRPr="00565803">
              <w:rPr>
                <w:rFonts w:asciiTheme="minorHAnsi" w:hAnsiTheme="minorHAnsi" w:cs="Arial"/>
                <w:bCs/>
                <w:sz w:val="20"/>
                <w:szCs w:val="20"/>
              </w:rPr>
              <w:t>period</w:t>
            </w:r>
          </w:p>
        </w:tc>
        <w:tc>
          <w:tcPr>
            <w:tcW w:w="890" w:type="dxa"/>
            <w:tcBorders>
              <w:top w:val="single" w:sz="4" w:space="0" w:color="auto"/>
              <w:left w:val="nil"/>
              <w:bottom w:val="single" w:sz="4" w:space="0" w:color="auto"/>
              <w:right w:val="nil"/>
            </w:tcBorders>
            <w:vAlign w:val="bottom"/>
          </w:tcPr>
          <w:p w14:paraId="6845B30C"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top w:val="single" w:sz="4" w:space="0" w:color="auto"/>
              <w:left w:val="nil"/>
              <w:bottom w:val="single" w:sz="4" w:space="0" w:color="auto"/>
              <w:right w:val="nil"/>
            </w:tcBorders>
            <w:vAlign w:val="bottom"/>
          </w:tcPr>
          <w:p w14:paraId="54F2C71F"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891" w:type="dxa"/>
            <w:tcBorders>
              <w:top w:val="single" w:sz="4" w:space="0" w:color="auto"/>
              <w:left w:val="nil"/>
              <w:bottom w:val="single" w:sz="4" w:space="0" w:color="auto"/>
              <w:right w:val="nil"/>
            </w:tcBorders>
          </w:tcPr>
          <w:p w14:paraId="00CDE275"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top w:val="single" w:sz="4" w:space="0" w:color="auto"/>
              <w:left w:val="nil"/>
              <w:bottom w:val="single" w:sz="4" w:space="0" w:color="auto"/>
              <w:right w:val="nil"/>
            </w:tcBorders>
            <w:vAlign w:val="bottom"/>
          </w:tcPr>
          <w:p w14:paraId="75754F15"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top w:val="single" w:sz="4" w:space="0" w:color="auto"/>
              <w:left w:val="nil"/>
              <w:bottom w:val="single" w:sz="4" w:space="0" w:color="auto"/>
              <w:right w:val="nil"/>
            </w:tcBorders>
            <w:vAlign w:val="bottom"/>
          </w:tcPr>
          <w:p w14:paraId="3067DBC2" w14:textId="350C4B76" w:rsidR="00A3021A" w:rsidRPr="006D4208" w:rsidRDefault="003F5C7B">
            <w:pPr>
              <w:jc w:val="right"/>
              <w:rPr>
                <w:rFonts w:asciiTheme="minorHAnsi" w:hAnsiTheme="minorHAnsi" w:cs="Arial"/>
                <w:sz w:val="20"/>
                <w:szCs w:val="20"/>
              </w:rPr>
            </w:pPr>
            <w:r>
              <w:rPr>
                <w:rFonts w:asciiTheme="minorHAnsi" w:hAnsiTheme="minorHAnsi" w:cs="Arial"/>
                <w:sz w:val="20"/>
                <w:szCs w:val="20"/>
              </w:rPr>
              <w:t>4.9</w:t>
            </w:r>
          </w:p>
        </w:tc>
        <w:tc>
          <w:tcPr>
            <w:tcW w:w="742" w:type="dxa"/>
            <w:tcBorders>
              <w:top w:val="single" w:sz="4" w:space="0" w:color="auto"/>
              <w:left w:val="nil"/>
              <w:bottom w:val="single" w:sz="4" w:space="0" w:color="auto"/>
              <w:right w:val="nil"/>
            </w:tcBorders>
            <w:vAlign w:val="bottom"/>
          </w:tcPr>
          <w:p w14:paraId="1B665B8C" w14:textId="34C7AE81" w:rsidR="00A3021A" w:rsidRPr="006D4208" w:rsidRDefault="003F5C7B">
            <w:pPr>
              <w:jc w:val="right"/>
              <w:rPr>
                <w:rFonts w:asciiTheme="minorHAnsi" w:hAnsiTheme="minorHAnsi" w:cs="Arial"/>
                <w:sz w:val="20"/>
                <w:szCs w:val="20"/>
              </w:rPr>
            </w:pPr>
            <w:r>
              <w:rPr>
                <w:rFonts w:asciiTheme="minorHAnsi" w:hAnsiTheme="minorHAnsi" w:cs="Arial"/>
                <w:sz w:val="20"/>
                <w:szCs w:val="20"/>
              </w:rPr>
              <w:t>4.9</w:t>
            </w:r>
          </w:p>
        </w:tc>
      </w:tr>
      <w:tr w:rsidR="00A3021A" w:rsidRPr="00565803" w14:paraId="4B7003F3" w14:textId="77777777" w:rsidTr="00AF2B57">
        <w:trPr>
          <w:trHeight w:val="241"/>
        </w:trPr>
        <w:tc>
          <w:tcPr>
            <w:tcW w:w="4009" w:type="dxa"/>
            <w:vAlign w:val="bottom"/>
          </w:tcPr>
          <w:p w14:paraId="7425CAD4" w14:textId="77777777" w:rsidR="00A3021A" w:rsidRPr="00565803" w:rsidRDefault="00A3021A">
            <w:pPr>
              <w:autoSpaceDE w:val="0"/>
              <w:autoSpaceDN w:val="0"/>
              <w:adjustRightInd w:val="0"/>
              <w:rPr>
                <w:rFonts w:asciiTheme="minorHAnsi" w:hAnsiTheme="minorHAnsi" w:cs="Arial"/>
                <w:bCs/>
                <w:sz w:val="20"/>
                <w:szCs w:val="20"/>
              </w:rPr>
            </w:pPr>
            <w:r w:rsidRPr="00565803">
              <w:rPr>
                <w:rFonts w:asciiTheme="minorHAnsi" w:hAnsiTheme="minorHAnsi" w:cs="Arial"/>
                <w:bCs/>
                <w:sz w:val="20"/>
                <w:szCs w:val="20"/>
              </w:rPr>
              <w:t>Dividends</w:t>
            </w:r>
          </w:p>
        </w:tc>
        <w:tc>
          <w:tcPr>
            <w:tcW w:w="890" w:type="dxa"/>
            <w:tcBorders>
              <w:top w:val="single" w:sz="4" w:space="0" w:color="auto"/>
              <w:left w:val="nil"/>
              <w:right w:val="nil"/>
            </w:tcBorders>
            <w:vAlign w:val="bottom"/>
          </w:tcPr>
          <w:p w14:paraId="68E31635"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top w:val="single" w:sz="4" w:space="0" w:color="auto"/>
              <w:left w:val="nil"/>
              <w:right w:val="nil"/>
            </w:tcBorders>
            <w:vAlign w:val="bottom"/>
          </w:tcPr>
          <w:p w14:paraId="6AD7DE5F"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891" w:type="dxa"/>
            <w:tcBorders>
              <w:top w:val="single" w:sz="4" w:space="0" w:color="auto"/>
              <w:left w:val="nil"/>
              <w:right w:val="nil"/>
            </w:tcBorders>
          </w:tcPr>
          <w:p w14:paraId="767ACAA9"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top w:val="single" w:sz="4" w:space="0" w:color="auto"/>
              <w:left w:val="nil"/>
              <w:right w:val="nil"/>
            </w:tcBorders>
            <w:vAlign w:val="bottom"/>
          </w:tcPr>
          <w:p w14:paraId="5FBDA1D0"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top w:val="single" w:sz="4" w:space="0" w:color="auto"/>
              <w:left w:val="nil"/>
              <w:right w:val="nil"/>
            </w:tcBorders>
            <w:vAlign w:val="bottom"/>
          </w:tcPr>
          <w:p w14:paraId="08F5A279" w14:textId="5F4DD075"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r w:rsidR="00091845" w:rsidRPr="006D4208">
              <w:rPr>
                <w:rFonts w:asciiTheme="minorHAnsi" w:hAnsiTheme="minorHAnsi" w:cs="Arial"/>
                <w:sz w:val="20"/>
                <w:szCs w:val="20"/>
              </w:rPr>
              <w:t>1</w:t>
            </w:r>
            <w:r w:rsidRPr="006D4208">
              <w:rPr>
                <w:rFonts w:asciiTheme="minorHAnsi" w:hAnsiTheme="minorHAnsi" w:cs="Arial"/>
                <w:sz w:val="20"/>
                <w:szCs w:val="20"/>
              </w:rPr>
              <w:t>2.</w:t>
            </w:r>
            <w:r w:rsidR="00A732CD" w:rsidRPr="006D4208">
              <w:rPr>
                <w:rFonts w:asciiTheme="minorHAnsi" w:hAnsiTheme="minorHAnsi" w:cs="Arial"/>
                <w:sz w:val="20"/>
                <w:szCs w:val="20"/>
              </w:rPr>
              <w:t>5</w:t>
            </w:r>
            <w:r w:rsidRPr="006D4208">
              <w:rPr>
                <w:rFonts w:asciiTheme="minorHAnsi" w:hAnsiTheme="minorHAnsi" w:cs="Arial"/>
                <w:sz w:val="20"/>
                <w:szCs w:val="20"/>
              </w:rPr>
              <w:t>)</w:t>
            </w:r>
          </w:p>
        </w:tc>
        <w:tc>
          <w:tcPr>
            <w:tcW w:w="742" w:type="dxa"/>
            <w:tcBorders>
              <w:top w:val="single" w:sz="4" w:space="0" w:color="auto"/>
              <w:left w:val="nil"/>
              <w:right w:val="nil"/>
            </w:tcBorders>
            <w:vAlign w:val="bottom"/>
          </w:tcPr>
          <w:p w14:paraId="5266C3BD" w14:textId="6E29EDB5"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r w:rsidR="00091845" w:rsidRPr="006D4208">
              <w:rPr>
                <w:rFonts w:asciiTheme="minorHAnsi" w:hAnsiTheme="minorHAnsi" w:cs="Arial"/>
                <w:sz w:val="20"/>
                <w:szCs w:val="20"/>
              </w:rPr>
              <w:t>1</w:t>
            </w:r>
            <w:r w:rsidRPr="006D4208">
              <w:rPr>
                <w:rFonts w:asciiTheme="minorHAnsi" w:hAnsiTheme="minorHAnsi" w:cs="Arial"/>
                <w:sz w:val="20"/>
                <w:szCs w:val="20"/>
              </w:rPr>
              <w:t>2.</w:t>
            </w:r>
            <w:r w:rsidR="00A732CD" w:rsidRPr="006D4208">
              <w:rPr>
                <w:rFonts w:asciiTheme="minorHAnsi" w:hAnsiTheme="minorHAnsi" w:cs="Arial"/>
                <w:sz w:val="20"/>
                <w:szCs w:val="20"/>
              </w:rPr>
              <w:t>5</w:t>
            </w:r>
            <w:r w:rsidRPr="006D4208">
              <w:rPr>
                <w:rFonts w:asciiTheme="minorHAnsi" w:hAnsiTheme="minorHAnsi" w:cs="Arial"/>
                <w:sz w:val="20"/>
                <w:szCs w:val="20"/>
              </w:rPr>
              <w:t>)</w:t>
            </w:r>
          </w:p>
        </w:tc>
      </w:tr>
      <w:tr w:rsidR="00A3021A" w:rsidRPr="00565803" w14:paraId="39600973" w14:textId="77777777" w:rsidTr="00AF2B57">
        <w:trPr>
          <w:trHeight w:val="241"/>
        </w:trPr>
        <w:tc>
          <w:tcPr>
            <w:tcW w:w="4009" w:type="dxa"/>
            <w:vAlign w:val="bottom"/>
          </w:tcPr>
          <w:p w14:paraId="23545666" w14:textId="36588D3F" w:rsidR="00A3021A" w:rsidRPr="00565803" w:rsidRDefault="009E1489">
            <w:pPr>
              <w:autoSpaceDE w:val="0"/>
              <w:autoSpaceDN w:val="0"/>
              <w:adjustRightInd w:val="0"/>
              <w:rPr>
                <w:rFonts w:asciiTheme="minorHAnsi" w:hAnsiTheme="minorHAnsi" w:cs="Arial"/>
                <w:bCs/>
                <w:sz w:val="20"/>
                <w:szCs w:val="20"/>
              </w:rPr>
            </w:pPr>
            <w:r>
              <w:rPr>
                <w:rFonts w:asciiTheme="minorHAnsi" w:hAnsiTheme="minorHAnsi" w:cs="Arial"/>
                <w:bCs/>
                <w:sz w:val="20"/>
                <w:szCs w:val="20"/>
              </w:rPr>
              <w:t>Issue of share capital</w:t>
            </w:r>
          </w:p>
        </w:tc>
        <w:tc>
          <w:tcPr>
            <w:tcW w:w="890" w:type="dxa"/>
            <w:tcBorders>
              <w:left w:val="nil"/>
              <w:right w:val="nil"/>
            </w:tcBorders>
            <w:vAlign w:val="bottom"/>
          </w:tcPr>
          <w:p w14:paraId="758347B7" w14:textId="613510BD" w:rsidR="00A3021A" w:rsidRPr="006D4208" w:rsidRDefault="009E1489">
            <w:pPr>
              <w:jc w:val="right"/>
              <w:rPr>
                <w:rFonts w:asciiTheme="minorHAnsi" w:hAnsiTheme="minorHAnsi" w:cs="Arial"/>
                <w:sz w:val="20"/>
                <w:szCs w:val="20"/>
              </w:rPr>
            </w:pPr>
            <w:r w:rsidRPr="006D4208">
              <w:rPr>
                <w:rFonts w:asciiTheme="minorHAnsi" w:hAnsiTheme="minorHAnsi" w:cs="Arial"/>
                <w:sz w:val="20"/>
                <w:szCs w:val="20"/>
              </w:rPr>
              <w:t>0.6</w:t>
            </w:r>
          </w:p>
        </w:tc>
        <w:tc>
          <w:tcPr>
            <w:tcW w:w="1038" w:type="dxa"/>
            <w:tcBorders>
              <w:left w:val="nil"/>
              <w:right w:val="nil"/>
            </w:tcBorders>
            <w:vAlign w:val="bottom"/>
          </w:tcPr>
          <w:p w14:paraId="48632E51" w14:textId="280BD219" w:rsidR="00A3021A" w:rsidRPr="006D4208" w:rsidRDefault="00075F4F">
            <w:pPr>
              <w:jc w:val="right"/>
              <w:rPr>
                <w:rFonts w:asciiTheme="minorHAnsi" w:hAnsiTheme="minorHAnsi" w:cs="Arial"/>
                <w:sz w:val="20"/>
                <w:szCs w:val="20"/>
              </w:rPr>
            </w:pPr>
            <w:r w:rsidRPr="006D4208">
              <w:rPr>
                <w:rFonts w:asciiTheme="minorHAnsi" w:hAnsiTheme="minorHAnsi" w:cs="Arial"/>
                <w:sz w:val="20"/>
                <w:szCs w:val="20"/>
              </w:rPr>
              <w:t>2.7</w:t>
            </w:r>
          </w:p>
        </w:tc>
        <w:tc>
          <w:tcPr>
            <w:tcW w:w="891" w:type="dxa"/>
            <w:tcBorders>
              <w:left w:val="nil"/>
              <w:right w:val="nil"/>
            </w:tcBorders>
          </w:tcPr>
          <w:p w14:paraId="1FF4B690"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left w:val="nil"/>
              <w:right w:val="nil"/>
            </w:tcBorders>
            <w:vAlign w:val="bottom"/>
          </w:tcPr>
          <w:p w14:paraId="0A0C83B0"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left w:val="nil"/>
              <w:right w:val="nil"/>
            </w:tcBorders>
            <w:vAlign w:val="bottom"/>
          </w:tcPr>
          <w:p w14:paraId="1D24B475" w14:textId="14AB06F9" w:rsidR="00A3021A" w:rsidRPr="006D4208" w:rsidRDefault="00F86460">
            <w:pPr>
              <w:jc w:val="right"/>
              <w:rPr>
                <w:rFonts w:asciiTheme="minorHAnsi" w:hAnsiTheme="minorHAnsi" w:cs="Arial"/>
                <w:sz w:val="20"/>
                <w:szCs w:val="20"/>
              </w:rPr>
            </w:pPr>
            <w:r w:rsidRPr="006D4208">
              <w:rPr>
                <w:rFonts w:asciiTheme="minorHAnsi" w:hAnsiTheme="minorHAnsi" w:cs="Arial"/>
                <w:sz w:val="20"/>
                <w:szCs w:val="20"/>
              </w:rPr>
              <w:t>-</w:t>
            </w:r>
          </w:p>
        </w:tc>
        <w:tc>
          <w:tcPr>
            <w:tcW w:w="742" w:type="dxa"/>
            <w:tcBorders>
              <w:left w:val="nil"/>
              <w:right w:val="nil"/>
            </w:tcBorders>
            <w:vAlign w:val="bottom"/>
          </w:tcPr>
          <w:p w14:paraId="242BA4DA" w14:textId="13B10E5A" w:rsidR="00A3021A" w:rsidRPr="006D4208" w:rsidRDefault="00F86460">
            <w:pPr>
              <w:jc w:val="right"/>
              <w:rPr>
                <w:rFonts w:asciiTheme="minorHAnsi" w:hAnsiTheme="minorHAnsi" w:cs="Arial"/>
                <w:sz w:val="20"/>
                <w:szCs w:val="20"/>
              </w:rPr>
            </w:pPr>
            <w:r w:rsidRPr="006D4208">
              <w:rPr>
                <w:rFonts w:asciiTheme="minorHAnsi" w:hAnsiTheme="minorHAnsi" w:cs="Arial"/>
                <w:sz w:val="20"/>
                <w:szCs w:val="20"/>
              </w:rPr>
              <w:t>3.3</w:t>
            </w:r>
          </w:p>
        </w:tc>
      </w:tr>
      <w:tr w:rsidR="00A3021A" w:rsidRPr="00565803" w14:paraId="3BE9607F" w14:textId="77777777" w:rsidTr="00AF2B57">
        <w:trPr>
          <w:trHeight w:val="241"/>
        </w:trPr>
        <w:tc>
          <w:tcPr>
            <w:tcW w:w="4009" w:type="dxa"/>
            <w:vAlign w:val="bottom"/>
          </w:tcPr>
          <w:p w14:paraId="7974C32F" w14:textId="77777777" w:rsidR="00A3021A" w:rsidRPr="00565803" w:rsidRDefault="00A3021A">
            <w:pPr>
              <w:autoSpaceDE w:val="0"/>
              <w:autoSpaceDN w:val="0"/>
              <w:adjustRightInd w:val="0"/>
              <w:rPr>
                <w:rFonts w:asciiTheme="minorHAnsi" w:hAnsiTheme="minorHAnsi" w:cs="Arial"/>
                <w:bCs/>
                <w:sz w:val="20"/>
                <w:szCs w:val="20"/>
              </w:rPr>
            </w:pPr>
            <w:r w:rsidRPr="00565803">
              <w:rPr>
                <w:rFonts w:asciiTheme="minorHAnsi" w:hAnsiTheme="minorHAnsi" w:cs="Arial"/>
                <w:bCs/>
                <w:sz w:val="20"/>
                <w:szCs w:val="20"/>
              </w:rPr>
              <w:t>Share-based payment charge</w:t>
            </w:r>
          </w:p>
        </w:tc>
        <w:tc>
          <w:tcPr>
            <w:tcW w:w="890" w:type="dxa"/>
            <w:tcBorders>
              <w:left w:val="nil"/>
              <w:right w:val="nil"/>
            </w:tcBorders>
            <w:vAlign w:val="bottom"/>
          </w:tcPr>
          <w:p w14:paraId="0F70C941"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left w:val="nil"/>
              <w:right w:val="nil"/>
            </w:tcBorders>
            <w:vAlign w:val="bottom"/>
          </w:tcPr>
          <w:p w14:paraId="74E57ABB"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891" w:type="dxa"/>
            <w:tcBorders>
              <w:left w:val="nil"/>
              <w:right w:val="nil"/>
            </w:tcBorders>
            <w:vAlign w:val="bottom"/>
          </w:tcPr>
          <w:p w14:paraId="22A25A03"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left w:val="nil"/>
              <w:right w:val="nil"/>
            </w:tcBorders>
            <w:vAlign w:val="bottom"/>
          </w:tcPr>
          <w:p w14:paraId="4963E527" w14:textId="18C1F672"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1</w:t>
            </w:r>
            <w:r w:rsidR="00685297" w:rsidRPr="006D4208">
              <w:rPr>
                <w:rFonts w:asciiTheme="minorHAnsi" w:hAnsiTheme="minorHAnsi" w:cs="Arial"/>
                <w:sz w:val="20"/>
                <w:szCs w:val="20"/>
              </w:rPr>
              <w:t>.4</w:t>
            </w:r>
          </w:p>
        </w:tc>
        <w:tc>
          <w:tcPr>
            <w:tcW w:w="1038" w:type="dxa"/>
            <w:tcBorders>
              <w:left w:val="nil"/>
              <w:right w:val="nil"/>
            </w:tcBorders>
            <w:vAlign w:val="bottom"/>
          </w:tcPr>
          <w:p w14:paraId="185AEEA0"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742" w:type="dxa"/>
            <w:tcBorders>
              <w:left w:val="nil"/>
              <w:right w:val="nil"/>
            </w:tcBorders>
            <w:vAlign w:val="bottom"/>
          </w:tcPr>
          <w:p w14:paraId="7381215A" w14:textId="48A51452" w:rsidR="00A3021A" w:rsidRPr="006D4208" w:rsidRDefault="00CB77FD">
            <w:pPr>
              <w:jc w:val="right"/>
              <w:rPr>
                <w:rFonts w:asciiTheme="minorHAnsi" w:hAnsiTheme="minorHAnsi" w:cs="Arial"/>
                <w:sz w:val="20"/>
                <w:szCs w:val="20"/>
              </w:rPr>
            </w:pPr>
            <w:r w:rsidRPr="006D4208">
              <w:rPr>
                <w:rFonts w:asciiTheme="minorHAnsi" w:hAnsiTheme="minorHAnsi" w:cs="Arial"/>
                <w:sz w:val="20"/>
                <w:szCs w:val="20"/>
              </w:rPr>
              <w:t>1</w:t>
            </w:r>
            <w:r w:rsidR="00685297" w:rsidRPr="006D4208">
              <w:rPr>
                <w:rFonts w:asciiTheme="minorHAnsi" w:hAnsiTheme="minorHAnsi" w:cs="Arial"/>
                <w:sz w:val="20"/>
                <w:szCs w:val="20"/>
              </w:rPr>
              <w:t>.4</w:t>
            </w:r>
          </w:p>
        </w:tc>
      </w:tr>
      <w:tr w:rsidR="00A3021A" w:rsidRPr="00565803" w14:paraId="621B4AAC" w14:textId="77777777" w:rsidTr="00AF2B57">
        <w:trPr>
          <w:trHeight w:val="241"/>
        </w:trPr>
        <w:tc>
          <w:tcPr>
            <w:tcW w:w="4009" w:type="dxa"/>
            <w:vAlign w:val="bottom"/>
          </w:tcPr>
          <w:p w14:paraId="0327CA12" w14:textId="77777777" w:rsidR="00A3021A" w:rsidRPr="00565803" w:rsidRDefault="00A3021A">
            <w:pPr>
              <w:autoSpaceDE w:val="0"/>
              <w:autoSpaceDN w:val="0"/>
              <w:adjustRightInd w:val="0"/>
              <w:rPr>
                <w:rFonts w:asciiTheme="minorHAnsi" w:hAnsiTheme="minorHAnsi" w:cs="Arial"/>
                <w:bCs/>
                <w:sz w:val="20"/>
                <w:szCs w:val="20"/>
              </w:rPr>
            </w:pPr>
            <w:r w:rsidRPr="00565803">
              <w:rPr>
                <w:rFonts w:asciiTheme="minorHAnsi" w:hAnsiTheme="minorHAnsi" w:cs="Arial"/>
                <w:bCs/>
                <w:sz w:val="20"/>
                <w:szCs w:val="20"/>
              </w:rPr>
              <w:t>Transfer of share-based payment reserve on vesting of share awards</w:t>
            </w:r>
          </w:p>
        </w:tc>
        <w:tc>
          <w:tcPr>
            <w:tcW w:w="890" w:type="dxa"/>
            <w:tcBorders>
              <w:left w:val="nil"/>
              <w:bottom w:val="single" w:sz="4" w:space="0" w:color="auto"/>
              <w:right w:val="nil"/>
            </w:tcBorders>
            <w:vAlign w:val="bottom"/>
          </w:tcPr>
          <w:p w14:paraId="287FD787"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left w:val="nil"/>
              <w:bottom w:val="single" w:sz="4" w:space="0" w:color="auto"/>
              <w:right w:val="nil"/>
            </w:tcBorders>
            <w:vAlign w:val="bottom"/>
          </w:tcPr>
          <w:p w14:paraId="4B7C185B"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891" w:type="dxa"/>
            <w:tcBorders>
              <w:left w:val="nil"/>
              <w:bottom w:val="single" w:sz="4" w:space="0" w:color="auto"/>
              <w:right w:val="nil"/>
            </w:tcBorders>
            <w:vAlign w:val="bottom"/>
          </w:tcPr>
          <w:p w14:paraId="72BF4262"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c>
          <w:tcPr>
            <w:tcW w:w="1038" w:type="dxa"/>
            <w:tcBorders>
              <w:left w:val="nil"/>
              <w:bottom w:val="single" w:sz="4" w:space="0" w:color="auto"/>
              <w:right w:val="nil"/>
            </w:tcBorders>
            <w:vAlign w:val="bottom"/>
          </w:tcPr>
          <w:p w14:paraId="2E6295F3" w14:textId="17CA1300"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r w:rsidR="00F53827" w:rsidRPr="006D4208">
              <w:rPr>
                <w:rFonts w:asciiTheme="minorHAnsi" w:hAnsiTheme="minorHAnsi" w:cs="Arial"/>
                <w:sz w:val="20"/>
                <w:szCs w:val="20"/>
              </w:rPr>
              <w:t>2.8</w:t>
            </w:r>
            <w:r w:rsidRPr="006D4208">
              <w:rPr>
                <w:rFonts w:asciiTheme="minorHAnsi" w:hAnsiTheme="minorHAnsi" w:cs="Arial"/>
                <w:sz w:val="20"/>
                <w:szCs w:val="20"/>
              </w:rPr>
              <w:t>)</w:t>
            </w:r>
          </w:p>
        </w:tc>
        <w:tc>
          <w:tcPr>
            <w:tcW w:w="1038" w:type="dxa"/>
            <w:tcBorders>
              <w:left w:val="nil"/>
              <w:bottom w:val="single" w:sz="4" w:space="0" w:color="auto"/>
              <w:right w:val="nil"/>
            </w:tcBorders>
            <w:vAlign w:val="bottom"/>
          </w:tcPr>
          <w:p w14:paraId="171F57EF" w14:textId="094FDEFE" w:rsidR="00A3021A" w:rsidRPr="006D4208" w:rsidRDefault="00241524">
            <w:pPr>
              <w:jc w:val="right"/>
              <w:rPr>
                <w:rFonts w:asciiTheme="minorHAnsi" w:hAnsiTheme="minorHAnsi" w:cs="Arial"/>
                <w:sz w:val="20"/>
                <w:szCs w:val="20"/>
              </w:rPr>
            </w:pPr>
            <w:r w:rsidRPr="006D4208">
              <w:rPr>
                <w:rFonts w:asciiTheme="minorHAnsi" w:hAnsiTheme="minorHAnsi" w:cs="Arial"/>
                <w:sz w:val="20"/>
                <w:szCs w:val="20"/>
              </w:rPr>
              <w:t>2.8</w:t>
            </w:r>
          </w:p>
        </w:tc>
        <w:tc>
          <w:tcPr>
            <w:tcW w:w="742" w:type="dxa"/>
            <w:tcBorders>
              <w:left w:val="nil"/>
              <w:bottom w:val="single" w:sz="4" w:space="0" w:color="auto"/>
              <w:right w:val="nil"/>
            </w:tcBorders>
            <w:vAlign w:val="bottom"/>
          </w:tcPr>
          <w:p w14:paraId="287D1855" w14:textId="77777777" w:rsidR="00A3021A" w:rsidRPr="006D4208" w:rsidRDefault="00A3021A">
            <w:pPr>
              <w:jc w:val="right"/>
              <w:rPr>
                <w:rFonts w:asciiTheme="minorHAnsi" w:hAnsiTheme="minorHAnsi" w:cs="Arial"/>
                <w:sz w:val="20"/>
                <w:szCs w:val="20"/>
              </w:rPr>
            </w:pPr>
            <w:r w:rsidRPr="006D4208">
              <w:rPr>
                <w:rFonts w:asciiTheme="minorHAnsi" w:hAnsiTheme="minorHAnsi" w:cs="Arial"/>
                <w:sz w:val="20"/>
                <w:szCs w:val="20"/>
              </w:rPr>
              <w:t>-</w:t>
            </w:r>
          </w:p>
        </w:tc>
      </w:tr>
      <w:tr w:rsidR="00AE00E1" w:rsidRPr="00565803" w14:paraId="2E020D36" w14:textId="77777777" w:rsidTr="00AF2B57">
        <w:trPr>
          <w:trHeight w:val="241"/>
        </w:trPr>
        <w:tc>
          <w:tcPr>
            <w:tcW w:w="4009" w:type="dxa"/>
            <w:vAlign w:val="bottom"/>
          </w:tcPr>
          <w:p w14:paraId="4C0C8180" w14:textId="18F6F904" w:rsidR="00AE00E1" w:rsidRPr="00565803" w:rsidRDefault="00AE00E1" w:rsidP="00AE00E1">
            <w:pPr>
              <w:autoSpaceDE w:val="0"/>
              <w:autoSpaceDN w:val="0"/>
              <w:adjustRightInd w:val="0"/>
              <w:rPr>
                <w:rFonts w:asciiTheme="minorHAnsi" w:hAnsiTheme="minorHAnsi" w:cs="Arial"/>
                <w:bCs/>
                <w:sz w:val="20"/>
                <w:szCs w:val="20"/>
              </w:rPr>
            </w:pPr>
            <w:r w:rsidRPr="00565803">
              <w:rPr>
                <w:rFonts w:asciiTheme="minorHAnsi" w:hAnsiTheme="minorHAnsi" w:cs="Arial"/>
                <w:b/>
                <w:sz w:val="20"/>
                <w:szCs w:val="20"/>
              </w:rPr>
              <w:t>At 31 December 202</w:t>
            </w:r>
            <w:r w:rsidR="00FC219D">
              <w:rPr>
                <w:rFonts w:asciiTheme="minorHAnsi" w:hAnsiTheme="minorHAnsi" w:cs="Arial"/>
                <w:b/>
                <w:sz w:val="20"/>
                <w:szCs w:val="20"/>
              </w:rPr>
              <w:t>3</w:t>
            </w:r>
          </w:p>
        </w:tc>
        <w:tc>
          <w:tcPr>
            <w:tcW w:w="890" w:type="dxa"/>
            <w:tcBorders>
              <w:top w:val="single" w:sz="4" w:space="0" w:color="auto"/>
              <w:left w:val="nil"/>
              <w:bottom w:val="single" w:sz="4" w:space="0" w:color="auto"/>
              <w:right w:val="nil"/>
            </w:tcBorders>
            <w:vAlign w:val="bottom"/>
          </w:tcPr>
          <w:p w14:paraId="16D0DD40" w14:textId="492B2FE8" w:rsidR="00AE00E1" w:rsidRPr="006D4208" w:rsidRDefault="00AE00E1" w:rsidP="00AE00E1">
            <w:pPr>
              <w:jc w:val="right"/>
              <w:rPr>
                <w:rFonts w:asciiTheme="minorHAnsi" w:hAnsiTheme="minorHAnsi" w:cs="Arial"/>
                <w:sz w:val="20"/>
                <w:szCs w:val="20"/>
              </w:rPr>
            </w:pPr>
            <w:r w:rsidRPr="006D4208">
              <w:rPr>
                <w:rFonts w:asciiTheme="minorHAnsi" w:hAnsiTheme="minorHAnsi" w:cs="Arial"/>
                <w:sz w:val="20"/>
                <w:szCs w:val="20"/>
              </w:rPr>
              <w:t>5</w:t>
            </w:r>
            <w:r w:rsidR="00234D2D" w:rsidRPr="006D4208">
              <w:rPr>
                <w:rFonts w:asciiTheme="minorHAnsi" w:hAnsiTheme="minorHAnsi" w:cs="Arial"/>
                <w:sz w:val="20"/>
                <w:szCs w:val="20"/>
              </w:rPr>
              <w:t>3.2</w:t>
            </w:r>
          </w:p>
        </w:tc>
        <w:tc>
          <w:tcPr>
            <w:tcW w:w="1038" w:type="dxa"/>
            <w:tcBorders>
              <w:top w:val="single" w:sz="4" w:space="0" w:color="auto"/>
              <w:left w:val="nil"/>
              <w:bottom w:val="single" w:sz="4" w:space="0" w:color="auto"/>
              <w:right w:val="nil"/>
            </w:tcBorders>
            <w:vAlign w:val="bottom"/>
          </w:tcPr>
          <w:p w14:paraId="65C49A3E" w14:textId="14DFB412" w:rsidR="00AE00E1" w:rsidRPr="006D4208" w:rsidRDefault="00AE00E1" w:rsidP="00AE00E1">
            <w:pPr>
              <w:jc w:val="right"/>
              <w:rPr>
                <w:rFonts w:asciiTheme="minorHAnsi" w:hAnsiTheme="minorHAnsi" w:cs="Arial"/>
                <w:sz w:val="20"/>
                <w:szCs w:val="20"/>
              </w:rPr>
            </w:pPr>
            <w:r w:rsidRPr="006D4208">
              <w:rPr>
                <w:rFonts w:asciiTheme="minorHAnsi" w:hAnsiTheme="minorHAnsi" w:cs="Arial"/>
                <w:sz w:val="20"/>
                <w:szCs w:val="20"/>
              </w:rPr>
              <w:t>27</w:t>
            </w:r>
            <w:r w:rsidR="00B75E02" w:rsidRPr="006D4208">
              <w:rPr>
                <w:rFonts w:asciiTheme="minorHAnsi" w:hAnsiTheme="minorHAnsi" w:cs="Arial"/>
                <w:sz w:val="20"/>
                <w:szCs w:val="20"/>
              </w:rPr>
              <w:t>6.3</w:t>
            </w:r>
          </w:p>
        </w:tc>
        <w:tc>
          <w:tcPr>
            <w:tcW w:w="891" w:type="dxa"/>
            <w:tcBorders>
              <w:top w:val="single" w:sz="4" w:space="0" w:color="auto"/>
              <w:left w:val="nil"/>
              <w:bottom w:val="single" w:sz="4" w:space="0" w:color="auto"/>
              <w:right w:val="nil"/>
            </w:tcBorders>
          </w:tcPr>
          <w:p w14:paraId="425E2CFE" w14:textId="7D2A571E" w:rsidR="00AE00E1" w:rsidRPr="006D4208" w:rsidRDefault="00AE00E1" w:rsidP="00AE00E1">
            <w:pPr>
              <w:jc w:val="right"/>
              <w:rPr>
                <w:rFonts w:asciiTheme="minorHAnsi" w:hAnsiTheme="minorHAnsi" w:cs="Arial"/>
                <w:sz w:val="20"/>
                <w:szCs w:val="20"/>
              </w:rPr>
            </w:pPr>
            <w:r w:rsidRPr="006D4208">
              <w:rPr>
                <w:rFonts w:asciiTheme="minorHAnsi" w:hAnsiTheme="minorHAnsi" w:cs="Arial"/>
                <w:sz w:val="20"/>
                <w:szCs w:val="20"/>
              </w:rPr>
              <w:t>278.2</w:t>
            </w:r>
          </w:p>
        </w:tc>
        <w:tc>
          <w:tcPr>
            <w:tcW w:w="1038" w:type="dxa"/>
            <w:tcBorders>
              <w:top w:val="single" w:sz="4" w:space="0" w:color="auto"/>
              <w:left w:val="nil"/>
              <w:bottom w:val="single" w:sz="4" w:space="0" w:color="auto"/>
              <w:right w:val="nil"/>
            </w:tcBorders>
            <w:vAlign w:val="bottom"/>
          </w:tcPr>
          <w:p w14:paraId="31F0D867" w14:textId="13C1658E" w:rsidR="00AE00E1" w:rsidRPr="006D4208" w:rsidRDefault="00AE00E1" w:rsidP="00AE00E1">
            <w:pPr>
              <w:jc w:val="right"/>
              <w:rPr>
                <w:rFonts w:asciiTheme="minorHAnsi" w:hAnsiTheme="minorHAnsi" w:cs="Arial"/>
                <w:sz w:val="20"/>
                <w:szCs w:val="20"/>
              </w:rPr>
            </w:pPr>
            <w:r w:rsidRPr="006D4208">
              <w:rPr>
                <w:rFonts w:asciiTheme="minorHAnsi" w:hAnsiTheme="minorHAnsi" w:cs="Arial"/>
                <w:sz w:val="20"/>
                <w:szCs w:val="20"/>
              </w:rPr>
              <w:t>12.</w:t>
            </w:r>
            <w:r w:rsidR="00B75E02" w:rsidRPr="006D4208">
              <w:rPr>
                <w:rFonts w:asciiTheme="minorHAnsi" w:hAnsiTheme="minorHAnsi" w:cs="Arial"/>
                <w:sz w:val="20"/>
                <w:szCs w:val="20"/>
              </w:rPr>
              <w:t>1</w:t>
            </w:r>
          </w:p>
        </w:tc>
        <w:tc>
          <w:tcPr>
            <w:tcW w:w="1038" w:type="dxa"/>
            <w:tcBorders>
              <w:top w:val="single" w:sz="4" w:space="0" w:color="auto"/>
              <w:left w:val="nil"/>
              <w:bottom w:val="single" w:sz="4" w:space="0" w:color="auto"/>
              <w:right w:val="nil"/>
            </w:tcBorders>
            <w:vAlign w:val="bottom"/>
          </w:tcPr>
          <w:p w14:paraId="7FAAAFDF" w14:textId="2AE9551B" w:rsidR="00AE00E1" w:rsidRPr="006D4208" w:rsidRDefault="00AE00E1" w:rsidP="00AE00E1">
            <w:pPr>
              <w:jc w:val="right"/>
              <w:rPr>
                <w:rFonts w:asciiTheme="minorHAnsi" w:hAnsiTheme="minorHAnsi" w:cs="Arial"/>
                <w:sz w:val="20"/>
                <w:szCs w:val="20"/>
              </w:rPr>
            </w:pPr>
            <w:r w:rsidRPr="006D4208">
              <w:rPr>
                <w:rFonts w:asciiTheme="minorHAnsi" w:hAnsiTheme="minorHAnsi" w:cs="Arial"/>
                <w:sz w:val="20"/>
                <w:szCs w:val="20"/>
              </w:rPr>
              <w:t>(</w:t>
            </w:r>
            <w:r w:rsidR="001B0284">
              <w:rPr>
                <w:rFonts w:asciiTheme="minorHAnsi" w:hAnsiTheme="minorHAnsi" w:cs="Arial"/>
                <w:sz w:val="20"/>
                <w:szCs w:val="20"/>
              </w:rPr>
              <w:t>50.7</w:t>
            </w:r>
            <w:r w:rsidR="007A2372" w:rsidRPr="006D4208">
              <w:rPr>
                <w:rFonts w:asciiTheme="minorHAnsi" w:hAnsiTheme="minorHAnsi" w:cs="Arial"/>
                <w:sz w:val="20"/>
                <w:szCs w:val="20"/>
              </w:rPr>
              <w:t>)</w:t>
            </w:r>
          </w:p>
        </w:tc>
        <w:tc>
          <w:tcPr>
            <w:tcW w:w="742" w:type="dxa"/>
            <w:tcBorders>
              <w:top w:val="single" w:sz="4" w:space="0" w:color="auto"/>
              <w:left w:val="nil"/>
              <w:bottom w:val="single" w:sz="4" w:space="0" w:color="auto"/>
              <w:right w:val="nil"/>
            </w:tcBorders>
            <w:vAlign w:val="bottom"/>
          </w:tcPr>
          <w:p w14:paraId="5229F0A7" w14:textId="2771B4A8" w:rsidR="00AE00E1" w:rsidRPr="006D4208" w:rsidRDefault="00B75E02" w:rsidP="00AE00E1">
            <w:pPr>
              <w:jc w:val="right"/>
              <w:rPr>
                <w:rFonts w:asciiTheme="minorHAnsi" w:hAnsiTheme="minorHAnsi" w:cs="Arial"/>
                <w:sz w:val="20"/>
                <w:szCs w:val="20"/>
              </w:rPr>
            </w:pPr>
            <w:r w:rsidRPr="006D4208">
              <w:rPr>
                <w:rFonts w:asciiTheme="minorHAnsi" w:hAnsiTheme="minorHAnsi" w:cs="Arial"/>
                <w:sz w:val="20"/>
                <w:szCs w:val="20"/>
              </w:rPr>
              <w:t>5</w:t>
            </w:r>
            <w:r w:rsidR="004249B6">
              <w:rPr>
                <w:rFonts w:asciiTheme="minorHAnsi" w:hAnsiTheme="minorHAnsi" w:cs="Arial"/>
                <w:sz w:val="20"/>
                <w:szCs w:val="20"/>
              </w:rPr>
              <w:t>69.1</w:t>
            </w:r>
          </w:p>
        </w:tc>
      </w:tr>
      <w:tr w:rsidR="00334CBF" w:rsidRPr="00565803" w14:paraId="5A0CFCB4" w14:textId="77777777" w:rsidTr="00AF2B57">
        <w:trPr>
          <w:trHeight w:val="241"/>
        </w:trPr>
        <w:tc>
          <w:tcPr>
            <w:tcW w:w="4009" w:type="dxa"/>
            <w:vAlign w:val="bottom"/>
          </w:tcPr>
          <w:p w14:paraId="115219F0" w14:textId="225E72DB" w:rsidR="00334CBF" w:rsidRPr="00565803" w:rsidRDefault="00334CBF" w:rsidP="00334CBF">
            <w:pPr>
              <w:autoSpaceDE w:val="0"/>
              <w:autoSpaceDN w:val="0"/>
              <w:adjustRightInd w:val="0"/>
              <w:rPr>
                <w:rFonts w:asciiTheme="minorHAnsi" w:hAnsiTheme="minorHAnsi" w:cs="Arial"/>
                <w:b/>
                <w:sz w:val="20"/>
                <w:szCs w:val="20"/>
              </w:rPr>
            </w:pPr>
            <w:r w:rsidRPr="00565803">
              <w:rPr>
                <w:rFonts w:asciiTheme="minorHAnsi" w:hAnsiTheme="minorHAnsi" w:cs="Arial"/>
                <w:b/>
                <w:sz w:val="20"/>
                <w:szCs w:val="20"/>
              </w:rPr>
              <w:t>At 1 January 202</w:t>
            </w:r>
            <w:r w:rsidR="00FC219D">
              <w:rPr>
                <w:rFonts w:asciiTheme="minorHAnsi" w:hAnsiTheme="minorHAnsi" w:cs="Arial"/>
                <w:b/>
                <w:sz w:val="20"/>
                <w:szCs w:val="20"/>
              </w:rPr>
              <w:t>4</w:t>
            </w:r>
          </w:p>
        </w:tc>
        <w:tc>
          <w:tcPr>
            <w:tcW w:w="890" w:type="dxa"/>
            <w:tcBorders>
              <w:top w:val="single" w:sz="4" w:space="0" w:color="auto"/>
              <w:left w:val="nil"/>
              <w:bottom w:val="single" w:sz="4" w:space="0" w:color="auto"/>
              <w:right w:val="nil"/>
            </w:tcBorders>
            <w:shd w:val="clear" w:color="auto" w:fill="F2F2F2" w:themeFill="background1" w:themeFillShade="F2"/>
            <w:vAlign w:val="bottom"/>
          </w:tcPr>
          <w:p w14:paraId="15B9C356" w14:textId="47902A24" w:rsidR="00334CBF" w:rsidRPr="00AE2A5D" w:rsidRDefault="00B75E02" w:rsidP="00334CBF">
            <w:pPr>
              <w:jc w:val="right"/>
              <w:rPr>
                <w:rFonts w:asciiTheme="minorHAnsi" w:hAnsiTheme="minorHAnsi" w:cs="Arial"/>
                <w:b/>
                <w:sz w:val="20"/>
                <w:szCs w:val="20"/>
              </w:rPr>
            </w:pPr>
            <w:r w:rsidRPr="00AE2A5D">
              <w:rPr>
                <w:rFonts w:asciiTheme="minorHAnsi" w:hAnsiTheme="minorHAnsi" w:cs="Arial"/>
                <w:b/>
                <w:sz w:val="20"/>
                <w:szCs w:val="20"/>
              </w:rPr>
              <w:t>53.2</w:t>
            </w:r>
          </w:p>
        </w:tc>
        <w:tc>
          <w:tcPr>
            <w:tcW w:w="1038" w:type="dxa"/>
            <w:tcBorders>
              <w:top w:val="single" w:sz="4" w:space="0" w:color="auto"/>
              <w:left w:val="nil"/>
              <w:bottom w:val="single" w:sz="4" w:space="0" w:color="auto"/>
              <w:right w:val="nil"/>
            </w:tcBorders>
            <w:shd w:val="clear" w:color="auto" w:fill="F2F2F2" w:themeFill="background1" w:themeFillShade="F2"/>
            <w:vAlign w:val="bottom"/>
          </w:tcPr>
          <w:p w14:paraId="12878819" w14:textId="1A5FF2BF" w:rsidR="00334CBF" w:rsidRPr="00AE2A5D" w:rsidRDefault="00B75E02" w:rsidP="00334CBF">
            <w:pPr>
              <w:jc w:val="right"/>
              <w:rPr>
                <w:rFonts w:asciiTheme="minorHAnsi" w:hAnsiTheme="minorHAnsi" w:cs="Arial"/>
                <w:b/>
                <w:sz w:val="20"/>
                <w:szCs w:val="20"/>
              </w:rPr>
            </w:pPr>
            <w:r w:rsidRPr="00AE2A5D">
              <w:rPr>
                <w:rFonts w:asciiTheme="minorHAnsi" w:hAnsiTheme="minorHAnsi" w:cs="Arial"/>
                <w:b/>
                <w:sz w:val="20"/>
                <w:szCs w:val="20"/>
              </w:rPr>
              <w:t>276.3</w:t>
            </w:r>
          </w:p>
        </w:tc>
        <w:tc>
          <w:tcPr>
            <w:tcW w:w="891" w:type="dxa"/>
            <w:tcBorders>
              <w:top w:val="single" w:sz="4" w:space="0" w:color="auto"/>
              <w:left w:val="nil"/>
              <w:bottom w:val="single" w:sz="4" w:space="0" w:color="auto"/>
              <w:right w:val="nil"/>
            </w:tcBorders>
            <w:shd w:val="clear" w:color="auto" w:fill="F2F2F2" w:themeFill="background1" w:themeFillShade="F2"/>
          </w:tcPr>
          <w:p w14:paraId="747CCFFD" w14:textId="349DE47C" w:rsidR="00334CBF" w:rsidRPr="00AE2A5D" w:rsidRDefault="00B75E02" w:rsidP="00334CBF">
            <w:pPr>
              <w:jc w:val="right"/>
              <w:rPr>
                <w:rFonts w:asciiTheme="minorHAnsi" w:hAnsiTheme="minorHAnsi" w:cs="Arial"/>
                <w:b/>
                <w:sz w:val="20"/>
                <w:szCs w:val="20"/>
              </w:rPr>
            </w:pPr>
            <w:r w:rsidRPr="00AE2A5D">
              <w:rPr>
                <w:rFonts w:asciiTheme="minorHAnsi" w:hAnsiTheme="minorHAnsi" w:cs="Arial"/>
                <w:b/>
                <w:sz w:val="20"/>
                <w:szCs w:val="20"/>
              </w:rPr>
              <w:t>278.2</w:t>
            </w:r>
          </w:p>
        </w:tc>
        <w:tc>
          <w:tcPr>
            <w:tcW w:w="1038" w:type="dxa"/>
            <w:tcBorders>
              <w:top w:val="single" w:sz="4" w:space="0" w:color="auto"/>
              <w:left w:val="nil"/>
              <w:bottom w:val="single" w:sz="4" w:space="0" w:color="auto"/>
              <w:right w:val="nil"/>
            </w:tcBorders>
            <w:shd w:val="clear" w:color="auto" w:fill="F2F2F2" w:themeFill="background1" w:themeFillShade="F2"/>
            <w:vAlign w:val="bottom"/>
          </w:tcPr>
          <w:p w14:paraId="734423DA" w14:textId="1CAA169B" w:rsidR="00334CBF" w:rsidRPr="00AE2A5D" w:rsidRDefault="00B75E02" w:rsidP="00334CBF">
            <w:pPr>
              <w:jc w:val="right"/>
              <w:rPr>
                <w:rFonts w:asciiTheme="minorHAnsi" w:hAnsiTheme="minorHAnsi" w:cs="Arial"/>
                <w:b/>
                <w:sz w:val="20"/>
                <w:szCs w:val="20"/>
              </w:rPr>
            </w:pPr>
            <w:r w:rsidRPr="00AE2A5D">
              <w:rPr>
                <w:rFonts w:asciiTheme="minorHAnsi" w:hAnsiTheme="minorHAnsi" w:cs="Arial"/>
                <w:b/>
                <w:sz w:val="20"/>
                <w:szCs w:val="20"/>
              </w:rPr>
              <w:t>12.1</w:t>
            </w:r>
          </w:p>
        </w:tc>
        <w:tc>
          <w:tcPr>
            <w:tcW w:w="1038" w:type="dxa"/>
            <w:tcBorders>
              <w:top w:val="single" w:sz="4" w:space="0" w:color="auto"/>
              <w:left w:val="nil"/>
              <w:bottom w:val="single" w:sz="4" w:space="0" w:color="auto"/>
              <w:right w:val="nil"/>
            </w:tcBorders>
            <w:shd w:val="clear" w:color="auto" w:fill="F2F2F2" w:themeFill="background1" w:themeFillShade="F2"/>
            <w:vAlign w:val="bottom"/>
          </w:tcPr>
          <w:p w14:paraId="182067A5" w14:textId="07F8ADC5" w:rsidR="00334CBF" w:rsidRPr="00AE2A5D" w:rsidRDefault="00334CBF" w:rsidP="00334CBF">
            <w:pPr>
              <w:jc w:val="right"/>
              <w:rPr>
                <w:rFonts w:asciiTheme="minorHAnsi" w:hAnsiTheme="minorHAnsi" w:cs="Arial"/>
                <w:b/>
                <w:sz w:val="20"/>
                <w:szCs w:val="20"/>
              </w:rPr>
            </w:pPr>
            <w:r w:rsidRPr="00AE2A5D">
              <w:rPr>
                <w:rFonts w:asciiTheme="minorHAnsi" w:hAnsiTheme="minorHAnsi" w:cs="Arial"/>
                <w:b/>
                <w:sz w:val="20"/>
                <w:szCs w:val="20"/>
              </w:rPr>
              <w:t>(</w:t>
            </w:r>
            <w:r w:rsidR="004249B6">
              <w:rPr>
                <w:rFonts w:asciiTheme="minorHAnsi" w:hAnsiTheme="minorHAnsi" w:cs="Arial"/>
                <w:b/>
                <w:sz w:val="20"/>
                <w:szCs w:val="20"/>
              </w:rPr>
              <w:t>50.7</w:t>
            </w:r>
            <w:r w:rsidRPr="00AE2A5D">
              <w:rPr>
                <w:rFonts w:asciiTheme="minorHAnsi" w:hAnsiTheme="minorHAnsi" w:cs="Arial"/>
                <w:b/>
                <w:sz w:val="20"/>
                <w:szCs w:val="20"/>
              </w:rPr>
              <w:t>)</w:t>
            </w:r>
          </w:p>
        </w:tc>
        <w:tc>
          <w:tcPr>
            <w:tcW w:w="742" w:type="dxa"/>
            <w:tcBorders>
              <w:top w:val="single" w:sz="4" w:space="0" w:color="auto"/>
              <w:left w:val="nil"/>
              <w:bottom w:val="single" w:sz="4" w:space="0" w:color="auto"/>
              <w:right w:val="nil"/>
            </w:tcBorders>
            <w:shd w:val="clear" w:color="auto" w:fill="F2F2F2" w:themeFill="background1" w:themeFillShade="F2"/>
            <w:vAlign w:val="bottom"/>
          </w:tcPr>
          <w:p w14:paraId="2E34EBC0" w14:textId="521C7C1F" w:rsidR="00334CBF" w:rsidRPr="00AE2A5D" w:rsidRDefault="00B75E02" w:rsidP="00334CBF">
            <w:pPr>
              <w:jc w:val="right"/>
              <w:rPr>
                <w:rFonts w:asciiTheme="minorHAnsi" w:hAnsiTheme="minorHAnsi" w:cs="Arial"/>
                <w:b/>
                <w:sz w:val="20"/>
                <w:szCs w:val="20"/>
              </w:rPr>
            </w:pPr>
            <w:r w:rsidRPr="00AE2A5D">
              <w:rPr>
                <w:rFonts w:asciiTheme="minorHAnsi" w:hAnsiTheme="minorHAnsi" w:cs="Arial"/>
                <w:b/>
                <w:sz w:val="20"/>
                <w:szCs w:val="20"/>
              </w:rPr>
              <w:t>5</w:t>
            </w:r>
            <w:r w:rsidR="004249B6">
              <w:rPr>
                <w:rFonts w:asciiTheme="minorHAnsi" w:hAnsiTheme="minorHAnsi" w:cs="Arial"/>
                <w:b/>
                <w:sz w:val="20"/>
                <w:szCs w:val="20"/>
              </w:rPr>
              <w:t>69.1</w:t>
            </w:r>
          </w:p>
        </w:tc>
      </w:tr>
      <w:tr w:rsidR="00AE67CB" w:rsidRPr="00565803" w14:paraId="264F09C2" w14:textId="77777777" w:rsidTr="00AF2B57">
        <w:trPr>
          <w:trHeight w:val="241"/>
        </w:trPr>
        <w:tc>
          <w:tcPr>
            <w:tcW w:w="4009" w:type="dxa"/>
            <w:vAlign w:val="bottom"/>
          </w:tcPr>
          <w:p w14:paraId="795E63F1" w14:textId="19D40358" w:rsidR="00AE67CB" w:rsidRPr="00565803" w:rsidRDefault="00FE1D70" w:rsidP="00AE67CB">
            <w:pPr>
              <w:autoSpaceDE w:val="0"/>
              <w:autoSpaceDN w:val="0"/>
              <w:adjustRightInd w:val="0"/>
              <w:rPr>
                <w:rFonts w:asciiTheme="minorHAnsi" w:hAnsiTheme="minorHAnsi" w:cs="Arial"/>
                <w:bCs/>
                <w:sz w:val="20"/>
                <w:szCs w:val="20"/>
              </w:rPr>
            </w:pPr>
            <w:r w:rsidRPr="00565803">
              <w:rPr>
                <w:rFonts w:asciiTheme="minorHAnsi" w:hAnsiTheme="minorHAnsi" w:cs="Arial"/>
                <w:bCs/>
                <w:sz w:val="20"/>
                <w:szCs w:val="20"/>
              </w:rPr>
              <w:t>Loss</w:t>
            </w:r>
            <w:r w:rsidR="00AE67CB" w:rsidRPr="00565803">
              <w:rPr>
                <w:rFonts w:asciiTheme="minorHAnsi" w:hAnsiTheme="minorHAnsi" w:cs="Arial"/>
                <w:bCs/>
                <w:sz w:val="20"/>
                <w:szCs w:val="20"/>
              </w:rPr>
              <w:t xml:space="preserve"> for the period</w:t>
            </w:r>
          </w:p>
        </w:tc>
        <w:tc>
          <w:tcPr>
            <w:tcW w:w="890" w:type="dxa"/>
            <w:tcBorders>
              <w:top w:val="single" w:sz="4" w:space="0" w:color="auto"/>
              <w:left w:val="nil"/>
              <w:bottom w:val="single" w:sz="4" w:space="0" w:color="auto"/>
              <w:right w:val="nil"/>
            </w:tcBorders>
            <w:shd w:val="clear" w:color="auto" w:fill="F2F2F2" w:themeFill="background1" w:themeFillShade="F2"/>
            <w:vAlign w:val="bottom"/>
          </w:tcPr>
          <w:p w14:paraId="352D1055" w14:textId="77777777" w:rsidR="00AE67CB" w:rsidRPr="00AE2A5D" w:rsidRDefault="00AE67CB" w:rsidP="00AE67CB">
            <w:pPr>
              <w:jc w:val="right"/>
              <w:rPr>
                <w:rFonts w:asciiTheme="minorHAnsi" w:hAnsiTheme="minorHAnsi" w:cs="Arial"/>
                <w:b/>
                <w:sz w:val="20"/>
                <w:szCs w:val="20"/>
              </w:rPr>
            </w:pPr>
            <w:r w:rsidRPr="00AE2A5D">
              <w:rPr>
                <w:rFonts w:asciiTheme="minorHAnsi" w:hAnsiTheme="minorHAnsi" w:cs="Arial"/>
                <w:b/>
                <w:sz w:val="20"/>
                <w:szCs w:val="20"/>
              </w:rPr>
              <w:t>-</w:t>
            </w:r>
          </w:p>
        </w:tc>
        <w:tc>
          <w:tcPr>
            <w:tcW w:w="1038" w:type="dxa"/>
            <w:tcBorders>
              <w:top w:val="single" w:sz="4" w:space="0" w:color="auto"/>
              <w:left w:val="nil"/>
              <w:bottom w:val="single" w:sz="4" w:space="0" w:color="auto"/>
              <w:right w:val="nil"/>
            </w:tcBorders>
            <w:shd w:val="clear" w:color="auto" w:fill="F2F2F2" w:themeFill="background1" w:themeFillShade="F2"/>
            <w:vAlign w:val="bottom"/>
          </w:tcPr>
          <w:p w14:paraId="1CD8696B" w14:textId="77777777" w:rsidR="00AE67CB" w:rsidRPr="00AE2A5D" w:rsidRDefault="00AE67CB" w:rsidP="00AE67CB">
            <w:pPr>
              <w:jc w:val="right"/>
              <w:rPr>
                <w:rFonts w:asciiTheme="minorHAnsi" w:hAnsiTheme="minorHAnsi" w:cs="Arial"/>
                <w:b/>
                <w:sz w:val="20"/>
                <w:szCs w:val="20"/>
              </w:rPr>
            </w:pPr>
            <w:r w:rsidRPr="00AE2A5D">
              <w:rPr>
                <w:rFonts w:asciiTheme="minorHAnsi" w:hAnsiTheme="minorHAnsi" w:cs="Arial"/>
                <w:b/>
                <w:sz w:val="20"/>
                <w:szCs w:val="20"/>
              </w:rPr>
              <w:t>-</w:t>
            </w:r>
          </w:p>
        </w:tc>
        <w:tc>
          <w:tcPr>
            <w:tcW w:w="891" w:type="dxa"/>
            <w:tcBorders>
              <w:top w:val="single" w:sz="4" w:space="0" w:color="auto"/>
              <w:left w:val="nil"/>
              <w:bottom w:val="single" w:sz="4" w:space="0" w:color="auto"/>
              <w:right w:val="nil"/>
            </w:tcBorders>
            <w:shd w:val="clear" w:color="auto" w:fill="F2F2F2" w:themeFill="background1" w:themeFillShade="F2"/>
          </w:tcPr>
          <w:p w14:paraId="3550EDDC" w14:textId="77777777" w:rsidR="00AE67CB" w:rsidRPr="00AE2A5D" w:rsidRDefault="00AE67CB" w:rsidP="00AE67CB">
            <w:pPr>
              <w:jc w:val="right"/>
              <w:rPr>
                <w:rFonts w:asciiTheme="minorHAnsi" w:hAnsiTheme="minorHAnsi" w:cs="Arial"/>
                <w:b/>
                <w:sz w:val="20"/>
                <w:szCs w:val="20"/>
              </w:rPr>
            </w:pPr>
            <w:r w:rsidRPr="00AE2A5D">
              <w:rPr>
                <w:rFonts w:asciiTheme="minorHAnsi" w:hAnsiTheme="minorHAnsi" w:cs="Arial"/>
                <w:b/>
                <w:sz w:val="20"/>
                <w:szCs w:val="20"/>
              </w:rPr>
              <w:t>-</w:t>
            </w:r>
          </w:p>
        </w:tc>
        <w:tc>
          <w:tcPr>
            <w:tcW w:w="1038" w:type="dxa"/>
            <w:tcBorders>
              <w:top w:val="single" w:sz="4" w:space="0" w:color="auto"/>
              <w:left w:val="nil"/>
              <w:bottom w:val="single" w:sz="4" w:space="0" w:color="auto"/>
              <w:right w:val="nil"/>
            </w:tcBorders>
            <w:shd w:val="clear" w:color="auto" w:fill="F2F2F2" w:themeFill="background1" w:themeFillShade="F2"/>
            <w:vAlign w:val="bottom"/>
          </w:tcPr>
          <w:p w14:paraId="7CC1EF67" w14:textId="77777777" w:rsidR="00AE67CB" w:rsidRPr="00AE2A5D" w:rsidRDefault="00AE67CB" w:rsidP="00AE67CB">
            <w:pPr>
              <w:jc w:val="right"/>
              <w:rPr>
                <w:rFonts w:asciiTheme="minorHAnsi" w:hAnsiTheme="minorHAnsi" w:cs="Arial"/>
                <w:b/>
                <w:sz w:val="20"/>
                <w:szCs w:val="20"/>
              </w:rPr>
            </w:pPr>
            <w:r w:rsidRPr="00AE2A5D">
              <w:rPr>
                <w:rFonts w:asciiTheme="minorHAnsi" w:hAnsiTheme="minorHAnsi" w:cs="Arial"/>
                <w:b/>
                <w:sz w:val="20"/>
                <w:szCs w:val="20"/>
              </w:rPr>
              <w:t>-</w:t>
            </w:r>
          </w:p>
        </w:tc>
        <w:tc>
          <w:tcPr>
            <w:tcW w:w="1038" w:type="dxa"/>
            <w:tcBorders>
              <w:top w:val="single" w:sz="4" w:space="0" w:color="auto"/>
              <w:left w:val="nil"/>
              <w:bottom w:val="single" w:sz="4" w:space="0" w:color="auto"/>
              <w:right w:val="nil"/>
            </w:tcBorders>
            <w:shd w:val="clear" w:color="auto" w:fill="F2F2F2" w:themeFill="background1" w:themeFillShade="F2"/>
            <w:vAlign w:val="bottom"/>
          </w:tcPr>
          <w:p w14:paraId="370A447F" w14:textId="0214EA1D" w:rsidR="00AE67CB" w:rsidRPr="00AE2A5D" w:rsidRDefault="000814BB" w:rsidP="00AE67CB">
            <w:pPr>
              <w:jc w:val="right"/>
              <w:rPr>
                <w:rFonts w:asciiTheme="minorHAnsi" w:hAnsiTheme="minorHAnsi" w:cs="Arial"/>
                <w:b/>
                <w:sz w:val="20"/>
                <w:szCs w:val="20"/>
              </w:rPr>
            </w:pPr>
            <w:r w:rsidRPr="00AE2A5D">
              <w:rPr>
                <w:rFonts w:asciiTheme="minorHAnsi" w:hAnsiTheme="minorHAnsi" w:cs="Arial"/>
                <w:b/>
                <w:sz w:val="20"/>
                <w:szCs w:val="20"/>
              </w:rPr>
              <w:t>(</w:t>
            </w:r>
            <w:r w:rsidR="00170129" w:rsidRPr="00AE2A5D">
              <w:rPr>
                <w:rFonts w:asciiTheme="minorHAnsi" w:hAnsiTheme="minorHAnsi" w:cs="Arial"/>
                <w:b/>
                <w:sz w:val="20"/>
                <w:szCs w:val="20"/>
              </w:rPr>
              <w:t>35.8</w:t>
            </w:r>
            <w:r w:rsidRPr="00AE2A5D">
              <w:rPr>
                <w:rFonts w:asciiTheme="minorHAnsi" w:hAnsiTheme="minorHAnsi" w:cs="Arial"/>
                <w:b/>
                <w:sz w:val="20"/>
                <w:szCs w:val="20"/>
              </w:rPr>
              <w:t>)</w:t>
            </w:r>
          </w:p>
        </w:tc>
        <w:tc>
          <w:tcPr>
            <w:tcW w:w="742" w:type="dxa"/>
            <w:tcBorders>
              <w:top w:val="single" w:sz="4" w:space="0" w:color="auto"/>
              <w:left w:val="nil"/>
              <w:bottom w:val="single" w:sz="4" w:space="0" w:color="auto"/>
              <w:right w:val="nil"/>
            </w:tcBorders>
            <w:shd w:val="clear" w:color="auto" w:fill="F2F2F2" w:themeFill="background1" w:themeFillShade="F2"/>
            <w:vAlign w:val="bottom"/>
          </w:tcPr>
          <w:p w14:paraId="1FF27C34" w14:textId="24A7AFE3" w:rsidR="00AE67CB" w:rsidRPr="00AE2A5D" w:rsidRDefault="000814BB" w:rsidP="00AE67CB">
            <w:pPr>
              <w:jc w:val="right"/>
              <w:rPr>
                <w:rFonts w:asciiTheme="minorHAnsi" w:hAnsiTheme="minorHAnsi" w:cs="Arial"/>
                <w:b/>
                <w:sz w:val="20"/>
                <w:szCs w:val="20"/>
              </w:rPr>
            </w:pPr>
            <w:r w:rsidRPr="00AE2A5D">
              <w:rPr>
                <w:rFonts w:asciiTheme="minorHAnsi" w:hAnsiTheme="minorHAnsi" w:cs="Arial"/>
                <w:b/>
                <w:sz w:val="20"/>
                <w:szCs w:val="20"/>
              </w:rPr>
              <w:t>(</w:t>
            </w:r>
            <w:r w:rsidR="00170129" w:rsidRPr="00AE2A5D">
              <w:rPr>
                <w:rFonts w:asciiTheme="minorHAnsi" w:hAnsiTheme="minorHAnsi" w:cs="Arial"/>
                <w:b/>
                <w:sz w:val="20"/>
                <w:szCs w:val="20"/>
              </w:rPr>
              <w:t>35.8</w:t>
            </w:r>
            <w:r w:rsidRPr="00AE2A5D">
              <w:rPr>
                <w:rFonts w:asciiTheme="minorHAnsi" w:hAnsiTheme="minorHAnsi" w:cs="Arial"/>
                <w:b/>
                <w:sz w:val="20"/>
                <w:szCs w:val="20"/>
              </w:rPr>
              <w:t>)</w:t>
            </w:r>
          </w:p>
        </w:tc>
      </w:tr>
      <w:tr w:rsidR="00AE67CB" w:rsidRPr="00565803" w14:paraId="1F92095B" w14:textId="77777777" w:rsidTr="00AF2B57">
        <w:trPr>
          <w:trHeight w:val="241"/>
        </w:trPr>
        <w:tc>
          <w:tcPr>
            <w:tcW w:w="4009" w:type="dxa"/>
            <w:vAlign w:val="bottom"/>
          </w:tcPr>
          <w:p w14:paraId="1CED95C7" w14:textId="67AE16E6" w:rsidR="00AE67CB" w:rsidRPr="00565803" w:rsidRDefault="00AE67CB" w:rsidP="00AE67CB">
            <w:pPr>
              <w:autoSpaceDE w:val="0"/>
              <w:autoSpaceDN w:val="0"/>
              <w:adjustRightInd w:val="0"/>
              <w:rPr>
                <w:rFonts w:asciiTheme="minorHAnsi" w:hAnsiTheme="minorHAnsi" w:cs="Arial"/>
                <w:bCs/>
                <w:sz w:val="20"/>
                <w:szCs w:val="20"/>
              </w:rPr>
            </w:pPr>
            <w:r w:rsidRPr="00565803">
              <w:rPr>
                <w:rFonts w:asciiTheme="minorHAnsi" w:hAnsiTheme="minorHAnsi" w:cs="Arial"/>
                <w:bCs/>
                <w:sz w:val="20"/>
                <w:szCs w:val="20"/>
              </w:rPr>
              <w:t xml:space="preserve">Other comprehensive </w:t>
            </w:r>
            <w:r w:rsidR="004E72DC">
              <w:rPr>
                <w:rFonts w:asciiTheme="minorHAnsi" w:hAnsiTheme="minorHAnsi" w:cs="Arial"/>
                <w:sz w:val="20"/>
                <w:szCs w:val="20"/>
              </w:rPr>
              <w:t>(expense)/</w:t>
            </w:r>
            <w:r>
              <w:rPr>
                <w:rFonts w:asciiTheme="minorHAnsi" w:hAnsiTheme="minorHAnsi" w:cs="Arial"/>
                <w:sz w:val="20"/>
                <w:szCs w:val="20"/>
              </w:rPr>
              <w:t>income</w:t>
            </w:r>
            <w:r w:rsidRPr="00565803">
              <w:rPr>
                <w:rFonts w:asciiTheme="minorHAnsi" w:hAnsiTheme="minorHAnsi" w:cs="Arial"/>
                <w:bCs/>
                <w:sz w:val="20"/>
                <w:szCs w:val="20"/>
              </w:rPr>
              <w:t>:</w:t>
            </w:r>
          </w:p>
        </w:tc>
        <w:tc>
          <w:tcPr>
            <w:tcW w:w="890" w:type="dxa"/>
            <w:tcBorders>
              <w:top w:val="single" w:sz="4" w:space="0" w:color="auto"/>
              <w:left w:val="nil"/>
              <w:right w:val="nil"/>
            </w:tcBorders>
            <w:shd w:val="clear" w:color="auto" w:fill="F2F2F2" w:themeFill="background1" w:themeFillShade="F2"/>
            <w:vAlign w:val="bottom"/>
          </w:tcPr>
          <w:p w14:paraId="6197B3BB" w14:textId="77777777" w:rsidR="00AE67CB" w:rsidRPr="00AE2A5D" w:rsidRDefault="00AE67CB">
            <w:pPr>
              <w:jc w:val="right"/>
              <w:rPr>
                <w:rFonts w:asciiTheme="minorHAnsi" w:hAnsiTheme="minorHAnsi" w:cs="Arial"/>
                <w:b/>
                <w:sz w:val="20"/>
                <w:szCs w:val="20"/>
              </w:rPr>
            </w:pPr>
          </w:p>
        </w:tc>
        <w:tc>
          <w:tcPr>
            <w:tcW w:w="1038" w:type="dxa"/>
            <w:tcBorders>
              <w:top w:val="single" w:sz="4" w:space="0" w:color="auto"/>
              <w:left w:val="nil"/>
              <w:right w:val="nil"/>
            </w:tcBorders>
            <w:shd w:val="clear" w:color="auto" w:fill="F2F2F2" w:themeFill="background1" w:themeFillShade="F2"/>
            <w:vAlign w:val="bottom"/>
          </w:tcPr>
          <w:p w14:paraId="13D6EEDE" w14:textId="77777777" w:rsidR="00AE67CB" w:rsidRPr="00AE2A5D" w:rsidRDefault="00AE67CB">
            <w:pPr>
              <w:jc w:val="right"/>
              <w:rPr>
                <w:rFonts w:asciiTheme="minorHAnsi" w:hAnsiTheme="minorHAnsi" w:cs="Arial"/>
                <w:b/>
                <w:sz w:val="20"/>
                <w:szCs w:val="20"/>
              </w:rPr>
            </w:pPr>
          </w:p>
        </w:tc>
        <w:tc>
          <w:tcPr>
            <w:tcW w:w="891" w:type="dxa"/>
            <w:tcBorders>
              <w:top w:val="single" w:sz="4" w:space="0" w:color="auto"/>
              <w:left w:val="nil"/>
              <w:right w:val="nil"/>
            </w:tcBorders>
            <w:shd w:val="clear" w:color="auto" w:fill="F2F2F2" w:themeFill="background1" w:themeFillShade="F2"/>
          </w:tcPr>
          <w:p w14:paraId="37967DA3" w14:textId="77777777" w:rsidR="00AE67CB" w:rsidRPr="00AE2A5D" w:rsidRDefault="00AE67CB">
            <w:pPr>
              <w:jc w:val="right"/>
              <w:rPr>
                <w:rFonts w:asciiTheme="minorHAnsi" w:hAnsiTheme="minorHAnsi" w:cs="Arial"/>
                <w:b/>
                <w:sz w:val="20"/>
                <w:szCs w:val="20"/>
              </w:rPr>
            </w:pPr>
          </w:p>
        </w:tc>
        <w:tc>
          <w:tcPr>
            <w:tcW w:w="1038" w:type="dxa"/>
            <w:tcBorders>
              <w:top w:val="single" w:sz="4" w:space="0" w:color="auto"/>
              <w:left w:val="nil"/>
              <w:right w:val="nil"/>
            </w:tcBorders>
            <w:shd w:val="clear" w:color="auto" w:fill="F2F2F2" w:themeFill="background1" w:themeFillShade="F2"/>
            <w:vAlign w:val="bottom"/>
          </w:tcPr>
          <w:p w14:paraId="235E9887" w14:textId="77777777" w:rsidR="00AE67CB" w:rsidRPr="00AE2A5D" w:rsidRDefault="00AE67CB">
            <w:pPr>
              <w:jc w:val="right"/>
              <w:rPr>
                <w:rFonts w:asciiTheme="minorHAnsi" w:hAnsiTheme="minorHAnsi" w:cs="Arial"/>
                <w:b/>
                <w:sz w:val="20"/>
                <w:szCs w:val="20"/>
              </w:rPr>
            </w:pPr>
          </w:p>
        </w:tc>
        <w:tc>
          <w:tcPr>
            <w:tcW w:w="1038" w:type="dxa"/>
            <w:tcBorders>
              <w:top w:val="single" w:sz="4" w:space="0" w:color="auto"/>
              <w:left w:val="nil"/>
              <w:right w:val="nil"/>
            </w:tcBorders>
            <w:shd w:val="clear" w:color="auto" w:fill="F2F2F2" w:themeFill="background1" w:themeFillShade="F2"/>
            <w:vAlign w:val="bottom"/>
          </w:tcPr>
          <w:p w14:paraId="7F0E435D" w14:textId="77777777" w:rsidR="00AE67CB" w:rsidRPr="00AE2A5D" w:rsidRDefault="00AE67CB">
            <w:pPr>
              <w:jc w:val="right"/>
              <w:rPr>
                <w:rFonts w:asciiTheme="minorHAnsi" w:hAnsiTheme="minorHAnsi" w:cs="Arial"/>
                <w:b/>
                <w:sz w:val="20"/>
                <w:szCs w:val="20"/>
              </w:rPr>
            </w:pPr>
          </w:p>
        </w:tc>
        <w:tc>
          <w:tcPr>
            <w:tcW w:w="742" w:type="dxa"/>
            <w:tcBorders>
              <w:top w:val="single" w:sz="4" w:space="0" w:color="auto"/>
              <w:left w:val="nil"/>
              <w:right w:val="nil"/>
            </w:tcBorders>
            <w:shd w:val="clear" w:color="auto" w:fill="F2F2F2" w:themeFill="background1" w:themeFillShade="F2"/>
            <w:vAlign w:val="bottom"/>
          </w:tcPr>
          <w:p w14:paraId="613B3C32" w14:textId="77777777" w:rsidR="00AE67CB" w:rsidRPr="00AE2A5D" w:rsidRDefault="00AE67CB">
            <w:pPr>
              <w:jc w:val="right"/>
              <w:rPr>
                <w:rFonts w:asciiTheme="minorHAnsi" w:hAnsiTheme="minorHAnsi" w:cs="Arial"/>
                <w:b/>
                <w:sz w:val="20"/>
                <w:szCs w:val="20"/>
              </w:rPr>
            </w:pPr>
          </w:p>
        </w:tc>
      </w:tr>
      <w:tr w:rsidR="00AE67CB" w:rsidRPr="00565803" w14:paraId="0F4F7C30" w14:textId="77777777" w:rsidTr="00AF2B57">
        <w:trPr>
          <w:trHeight w:val="241"/>
        </w:trPr>
        <w:tc>
          <w:tcPr>
            <w:tcW w:w="4009" w:type="dxa"/>
            <w:vAlign w:val="bottom"/>
          </w:tcPr>
          <w:p w14:paraId="50F26222" w14:textId="77777777" w:rsidR="00AE67CB" w:rsidRPr="00565803" w:rsidRDefault="00AE67CB" w:rsidP="00AE67CB">
            <w:pPr>
              <w:autoSpaceDE w:val="0"/>
              <w:autoSpaceDN w:val="0"/>
              <w:adjustRightInd w:val="0"/>
              <w:rPr>
                <w:rFonts w:asciiTheme="minorHAnsi" w:hAnsiTheme="minorHAnsi" w:cs="Arial"/>
                <w:bCs/>
                <w:sz w:val="20"/>
                <w:szCs w:val="20"/>
              </w:rPr>
            </w:pPr>
            <w:r w:rsidRPr="00565803">
              <w:rPr>
                <w:rFonts w:asciiTheme="minorHAnsi" w:hAnsiTheme="minorHAnsi" w:cs="Arial"/>
                <w:bCs/>
                <w:sz w:val="20"/>
                <w:szCs w:val="20"/>
              </w:rPr>
              <w:t>- actuarial movements on retirement benefit asset (note 10)</w:t>
            </w:r>
          </w:p>
        </w:tc>
        <w:tc>
          <w:tcPr>
            <w:tcW w:w="890" w:type="dxa"/>
            <w:tcBorders>
              <w:left w:val="nil"/>
              <w:right w:val="nil"/>
            </w:tcBorders>
            <w:shd w:val="clear" w:color="auto" w:fill="F2F2F2" w:themeFill="background1" w:themeFillShade="F2"/>
            <w:vAlign w:val="bottom"/>
          </w:tcPr>
          <w:p w14:paraId="7DAB933B" w14:textId="77777777" w:rsidR="00AE67CB" w:rsidRPr="00AE2A5D" w:rsidRDefault="00AE67CB" w:rsidP="00AE67CB">
            <w:pPr>
              <w:jc w:val="right"/>
              <w:rPr>
                <w:rFonts w:asciiTheme="minorHAnsi" w:hAnsiTheme="minorHAnsi" w:cs="Arial"/>
                <w:b/>
                <w:sz w:val="20"/>
                <w:szCs w:val="20"/>
              </w:rPr>
            </w:pPr>
            <w:r w:rsidRPr="00AE2A5D">
              <w:rPr>
                <w:rFonts w:asciiTheme="minorHAnsi" w:hAnsiTheme="minorHAnsi" w:cs="Arial"/>
                <w:b/>
                <w:sz w:val="20"/>
                <w:szCs w:val="20"/>
              </w:rPr>
              <w:t>-</w:t>
            </w:r>
          </w:p>
        </w:tc>
        <w:tc>
          <w:tcPr>
            <w:tcW w:w="1038" w:type="dxa"/>
            <w:tcBorders>
              <w:left w:val="nil"/>
              <w:right w:val="nil"/>
            </w:tcBorders>
            <w:shd w:val="clear" w:color="auto" w:fill="F2F2F2" w:themeFill="background1" w:themeFillShade="F2"/>
            <w:vAlign w:val="bottom"/>
          </w:tcPr>
          <w:p w14:paraId="3A3C3951" w14:textId="77777777" w:rsidR="00AE67CB" w:rsidRPr="00AE2A5D" w:rsidRDefault="00AE67CB" w:rsidP="00AE67CB">
            <w:pPr>
              <w:jc w:val="right"/>
              <w:rPr>
                <w:rFonts w:asciiTheme="minorHAnsi" w:hAnsiTheme="minorHAnsi" w:cs="Arial"/>
                <w:b/>
                <w:sz w:val="20"/>
                <w:szCs w:val="20"/>
              </w:rPr>
            </w:pPr>
            <w:r w:rsidRPr="00AE2A5D">
              <w:rPr>
                <w:rFonts w:asciiTheme="minorHAnsi" w:hAnsiTheme="minorHAnsi" w:cs="Arial"/>
                <w:b/>
                <w:sz w:val="20"/>
                <w:szCs w:val="20"/>
              </w:rPr>
              <w:t>-</w:t>
            </w:r>
          </w:p>
        </w:tc>
        <w:tc>
          <w:tcPr>
            <w:tcW w:w="891" w:type="dxa"/>
            <w:tcBorders>
              <w:left w:val="nil"/>
              <w:right w:val="nil"/>
            </w:tcBorders>
            <w:shd w:val="clear" w:color="auto" w:fill="F2F2F2" w:themeFill="background1" w:themeFillShade="F2"/>
          </w:tcPr>
          <w:p w14:paraId="1F562654" w14:textId="77777777" w:rsidR="00EB289D" w:rsidRPr="00AE2A5D" w:rsidRDefault="00EB289D" w:rsidP="00AE67CB">
            <w:pPr>
              <w:jc w:val="right"/>
              <w:rPr>
                <w:rFonts w:asciiTheme="minorHAnsi" w:hAnsiTheme="minorHAnsi" w:cs="Arial"/>
                <w:b/>
                <w:sz w:val="20"/>
                <w:szCs w:val="20"/>
              </w:rPr>
            </w:pPr>
          </w:p>
          <w:p w14:paraId="336FAE12" w14:textId="3E6E0F85" w:rsidR="00AE67CB" w:rsidRPr="00AE2A5D" w:rsidRDefault="00AE67CB" w:rsidP="00AE67CB">
            <w:pPr>
              <w:jc w:val="right"/>
              <w:rPr>
                <w:rFonts w:asciiTheme="minorHAnsi" w:hAnsiTheme="minorHAnsi" w:cs="Arial"/>
                <w:b/>
                <w:sz w:val="20"/>
                <w:szCs w:val="20"/>
              </w:rPr>
            </w:pPr>
            <w:r w:rsidRPr="00AE2A5D">
              <w:rPr>
                <w:rFonts w:asciiTheme="minorHAnsi" w:hAnsiTheme="minorHAnsi" w:cs="Arial"/>
                <w:b/>
                <w:sz w:val="20"/>
                <w:szCs w:val="20"/>
              </w:rPr>
              <w:t>-</w:t>
            </w:r>
          </w:p>
        </w:tc>
        <w:tc>
          <w:tcPr>
            <w:tcW w:w="1038" w:type="dxa"/>
            <w:tcBorders>
              <w:left w:val="nil"/>
              <w:right w:val="nil"/>
            </w:tcBorders>
            <w:shd w:val="clear" w:color="auto" w:fill="F2F2F2" w:themeFill="background1" w:themeFillShade="F2"/>
            <w:vAlign w:val="bottom"/>
          </w:tcPr>
          <w:p w14:paraId="5E75B39E" w14:textId="77777777" w:rsidR="00AE67CB" w:rsidRPr="00AE2A5D" w:rsidRDefault="00AE67CB" w:rsidP="00AE67CB">
            <w:pPr>
              <w:jc w:val="right"/>
              <w:rPr>
                <w:rFonts w:asciiTheme="minorHAnsi" w:hAnsiTheme="minorHAnsi" w:cs="Arial"/>
                <w:b/>
                <w:sz w:val="20"/>
                <w:szCs w:val="20"/>
              </w:rPr>
            </w:pPr>
            <w:r w:rsidRPr="00AE2A5D">
              <w:rPr>
                <w:rFonts w:asciiTheme="minorHAnsi" w:hAnsiTheme="minorHAnsi" w:cs="Arial"/>
                <w:b/>
                <w:sz w:val="20"/>
                <w:szCs w:val="20"/>
              </w:rPr>
              <w:t>-</w:t>
            </w:r>
          </w:p>
        </w:tc>
        <w:tc>
          <w:tcPr>
            <w:tcW w:w="1038" w:type="dxa"/>
            <w:tcBorders>
              <w:left w:val="nil"/>
              <w:right w:val="nil"/>
            </w:tcBorders>
            <w:shd w:val="clear" w:color="auto" w:fill="F2F2F2" w:themeFill="background1" w:themeFillShade="F2"/>
            <w:vAlign w:val="bottom"/>
          </w:tcPr>
          <w:p w14:paraId="64788E63" w14:textId="57D79A92" w:rsidR="00AE67CB" w:rsidRPr="00AE2A5D" w:rsidRDefault="008D656F" w:rsidP="00AE67CB">
            <w:pPr>
              <w:jc w:val="right"/>
              <w:rPr>
                <w:rFonts w:asciiTheme="minorHAnsi" w:hAnsiTheme="minorHAnsi" w:cs="Arial"/>
                <w:b/>
                <w:sz w:val="20"/>
                <w:szCs w:val="20"/>
              </w:rPr>
            </w:pPr>
            <w:r w:rsidRPr="00AE2A5D">
              <w:rPr>
                <w:rFonts w:asciiTheme="minorHAnsi" w:hAnsiTheme="minorHAnsi" w:cs="Arial"/>
                <w:b/>
                <w:sz w:val="20"/>
                <w:szCs w:val="20"/>
              </w:rPr>
              <w:t>(4.5)</w:t>
            </w:r>
          </w:p>
        </w:tc>
        <w:tc>
          <w:tcPr>
            <w:tcW w:w="742" w:type="dxa"/>
            <w:tcBorders>
              <w:left w:val="nil"/>
              <w:right w:val="nil"/>
            </w:tcBorders>
            <w:shd w:val="clear" w:color="auto" w:fill="F2F2F2" w:themeFill="background1" w:themeFillShade="F2"/>
            <w:vAlign w:val="bottom"/>
          </w:tcPr>
          <w:p w14:paraId="7FFB4B92" w14:textId="680C4027" w:rsidR="00AE67CB" w:rsidRPr="00AE2A5D" w:rsidRDefault="008D656F" w:rsidP="00AE67CB">
            <w:pPr>
              <w:jc w:val="right"/>
              <w:rPr>
                <w:rFonts w:asciiTheme="minorHAnsi" w:hAnsiTheme="minorHAnsi" w:cs="Arial"/>
                <w:b/>
                <w:sz w:val="20"/>
                <w:szCs w:val="20"/>
              </w:rPr>
            </w:pPr>
            <w:r w:rsidRPr="00AE2A5D">
              <w:rPr>
                <w:rFonts w:asciiTheme="minorHAnsi" w:hAnsiTheme="minorHAnsi" w:cs="Arial"/>
                <w:b/>
                <w:sz w:val="20"/>
                <w:szCs w:val="20"/>
              </w:rPr>
              <w:t>(4.5)</w:t>
            </w:r>
          </w:p>
        </w:tc>
      </w:tr>
      <w:tr w:rsidR="00AE67CB" w:rsidRPr="00565803" w14:paraId="0AC36CA1" w14:textId="77777777" w:rsidTr="00AF2B57">
        <w:trPr>
          <w:trHeight w:val="241"/>
        </w:trPr>
        <w:tc>
          <w:tcPr>
            <w:tcW w:w="4009" w:type="dxa"/>
            <w:vAlign w:val="bottom"/>
          </w:tcPr>
          <w:p w14:paraId="1A874B46" w14:textId="77777777" w:rsidR="00AE67CB" w:rsidRPr="00565803" w:rsidRDefault="00AE67CB" w:rsidP="00AE67CB">
            <w:pPr>
              <w:autoSpaceDE w:val="0"/>
              <w:autoSpaceDN w:val="0"/>
              <w:adjustRightInd w:val="0"/>
              <w:rPr>
                <w:rFonts w:asciiTheme="minorHAnsi" w:hAnsiTheme="minorHAnsi" w:cs="Arial"/>
                <w:bCs/>
                <w:sz w:val="20"/>
                <w:szCs w:val="20"/>
              </w:rPr>
            </w:pPr>
            <w:r w:rsidRPr="00565803">
              <w:rPr>
                <w:rFonts w:asciiTheme="minorHAnsi" w:hAnsiTheme="minorHAnsi" w:cs="Arial"/>
                <w:bCs/>
                <w:sz w:val="20"/>
                <w:szCs w:val="20"/>
              </w:rPr>
              <w:t>- tax on items taken directly to OCI</w:t>
            </w:r>
          </w:p>
        </w:tc>
        <w:tc>
          <w:tcPr>
            <w:tcW w:w="890" w:type="dxa"/>
            <w:tcBorders>
              <w:left w:val="nil"/>
              <w:right w:val="nil"/>
            </w:tcBorders>
            <w:shd w:val="clear" w:color="auto" w:fill="F2F2F2" w:themeFill="background1" w:themeFillShade="F2"/>
            <w:vAlign w:val="bottom"/>
          </w:tcPr>
          <w:p w14:paraId="535F881B" w14:textId="77777777" w:rsidR="00AE67CB" w:rsidRPr="00AE2A5D" w:rsidRDefault="00AE67CB" w:rsidP="00AE67CB">
            <w:pPr>
              <w:jc w:val="right"/>
              <w:rPr>
                <w:rFonts w:asciiTheme="minorHAnsi" w:hAnsiTheme="minorHAnsi" w:cs="Arial"/>
                <w:b/>
                <w:sz w:val="20"/>
                <w:szCs w:val="20"/>
              </w:rPr>
            </w:pPr>
            <w:r w:rsidRPr="00AE2A5D">
              <w:rPr>
                <w:rFonts w:asciiTheme="minorHAnsi" w:hAnsiTheme="minorHAnsi" w:cs="Arial"/>
                <w:b/>
                <w:sz w:val="20"/>
                <w:szCs w:val="20"/>
              </w:rPr>
              <w:t>-</w:t>
            </w:r>
          </w:p>
        </w:tc>
        <w:tc>
          <w:tcPr>
            <w:tcW w:w="1038" w:type="dxa"/>
            <w:tcBorders>
              <w:left w:val="nil"/>
              <w:right w:val="nil"/>
            </w:tcBorders>
            <w:shd w:val="clear" w:color="auto" w:fill="F2F2F2" w:themeFill="background1" w:themeFillShade="F2"/>
            <w:vAlign w:val="bottom"/>
          </w:tcPr>
          <w:p w14:paraId="12F55F2F" w14:textId="77777777" w:rsidR="00AE67CB" w:rsidRPr="00AE2A5D" w:rsidRDefault="00AE67CB" w:rsidP="00AE67CB">
            <w:pPr>
              <w:jc w:val="right"/>
              <w:rPr>
                <w:rFonts w:asciiTheme="minorHAnsi" w:hAnsiTheme="minorHAnsi" w:cs="Arial"/>
                <w:b/>
                <w:sz w:val="20"/>
                <w:szCs w:val="20"/>
              </w:rPr>
            </w:pPr>
            <w:r w:rsidRPr="00AE2A5D">
              <w:rPr>
                <w:rFonts w:asciiTheme="minorHAnsi" w:hAnsiTheme="minorHAnsi" w:cs="Arial"/>
                <w:b/>
                <w:sz w:val="20"/>
                <w:szCs w:val="20"/>
              </w:rPr>
              <w:t>-</w:t>
            </w:r>
          </w:p>
        </w:tc>
        <w:tc>
          <w:tcPr>
            <w:tcW w:w="891" w:type="dxa"/>
            <w:tcBorders>
              <w:left w:val="nil"/>
              <w:right w:val="nil"/>
            </w:tcBorders>
            <w:shd w:val="clear" w:color="auto" w:fill="F2F2F2" w:themeFill="background1" w:themeFillShade="F2"/>
          </w:tcPr>
          <w:p w14:paraId="6A514CB6" w14:textId="77777777" w:rsidR="00AE67CB" w:rsidRPr="00AE2A5D" w:rsidRDefault="00AE67CB" w:rsidP="00AE67CB">
            <w:pPr>
              <w:jc w:val="right"/>
              <w:rPr>
                <w:rFonts w:asciiTheme="minorHAnsi" w:hAnsiTheme="minorHAnsi" w:cs="Arial"/>
                <w:b/>
                <w:sz w:val="20"/>
                <w:szCs w:val="20"/>
              </w:rPr>
            </w:pPr>
            <w:r w:rsidRPr="00AE2A5D">
              <w:rPr>
                <w:rFonts w:asciiTheme="minorHAnsi" w:hAnsiTheme="minorHAnsi" w:cs="Arial"/>
                <w:b/>
                <w:sz w:val="20"/>
                <w:szCs w:val="20"/>
              </w:rPr>
              <w:t>-</w:t>
            </w:r>
          </w:p>
        </w:tc>
        <w:tc>
          <w:tcPr>
            <w:tcW w:w="1038" w:type="dxa"/>
            <w:tcBorders>
              <w:left w:val="nil"/>
              <w:right w:val="nil"/>
            </w:tcBorders>
            <w:shd w:val="clear" w:color="auto" w:fill="F2F2F2" w:themeFill="background1" w:themeFillShade="F2"/>
            <w:vAlign w:val="bottom"/>
          </w:tcPr>
          <w:p w14:paraId="4BF8DCA0" w14:textId="77777777" w:rsidR="00AE67CB" w:rsidRPr="00AE2A5D" w:rsidRDefault="00AE67CB" w:rsidP="00AE67CB">
            <w:pPr>
              <w:jc w:val="right"/>
              <w:rPr>
                <w:rFonts w:asciiTheme="minorHAnsi" w:hAnsiTheme="minorHAnsi" w:cs="Arial"/>
                <w:b/>
                <w:sz w:val="20"/>
                <w:szCs w:val="20"/>
              </w:rPr>
            </w:pPr>
            <w:r w:rsidRPr="00AE2A5D">
              <w:rPr>
                <w:rFonts w:asciiTheme="minorHAnsi" w:hAnsiTheme="minorHAnsi" w:cs="Arial"/>
                <w:b/>
                <w:sz w:val="20"/>
                <w:szCs w:val="20"/>
              </w:rPr>
              <w:t>-</w:t>
            </w:r>
          </w:p>
        </w:tc>
        <w:tc>
          <w:tcPr>
            <w:tcW w:w="1038" w:type="dxa"/>
            <w:tcBorders>
              <w:left w:val="nil"/>
              <w:right w:val="nil"/>
            </w:tcBorders>
            <w:shd w:val="clear" w:color="auto" w:fill="F2F2F2" w:themeFill="background1" w:themeFillShade="F2"/>
            <w:vAlign w:val="bottom"/>
          </w:tcPr>
          <w:p w14:paraId="2534BF4B" w14:textId="2DCFB57A" w:rsidR="00AE67CB" w:rsidRPr="00AE2A5D" w:rsidRDefault="008D656F" w:rsidP="00AE67CB">
            <w:pPr>
              <w:jc w:val="right"/>
              <w:rPr>
                <w:rFonts w:asciiTheme="minorHAnsi" w:hAnsiTheme="minorHAnsi" w:cs="Arial"/>
                <w:b/>
                <w:sz w:val="20"/>
                <w:szCs w:val="20"/>
              </w:rPr>
            </w:pPr>
            <w:r w:rsidRPr="00AE2A5D">
              <w:rPr>
                <w:rFonts w:asciiTheme="minorHAnsi" w:hAnsiTheme="minorHAnsi" w:cs="Arial"/>
                <w:b/>
                <w:sz w:val="20"/>
                <w:szCs w:val="20"/>
              </w:rPr>
              <w:t>1.1</w:t>
            </w:r>
          </w:p>
        </w:tc>
        <w:tc>
          <w:tcPr>
            <w:tcW w:w="742" w:type="dxa"/>
            <w:tcBorders>
              <w:left w:val="nil"/>
              <w:right w:val="nil"/>
            </w:tcBorders>
            <w:shd w:val="clear" w:color="auto" w:fill="F2F2F2" w:themeFill="background1" w:themeFillShade="F2"/>
            <w:vAlign w:val="bottom"/>
          </w:tcPr>
          <w:p w14:paraId="739B5990" w14:textId="38B8B2A6" w:rsidR="00AE67CB" w:rsidRPr="00AE2A5D" w:rsidRDefault="008D656F" w:rsidP="00AE67CB">
            <w:pPr>
              <w:jc w:val="right"/>
              <w:rPr>
                <w:rFonts w:asciiTheme="minorHAnsi" w:hAnsiTheme="minorHAnsi" w:cs="Arial"/>
                <w:b/>
                <w:sz w:val="20"/>
                <w:szCs w:val="20"/>
              </w:rPr>
            </w:pPr>
            <w:r w:rsidRPr="00AE2A5D">
              <w:rPr>
                <w:rFonts w:asciiTheme="minorHAnsi" w:hAnsiTheme="minorHAnsi" w:cs="Arial"/>
                <w:b/>
                <w:sz w:val="20"/>
                <w:szCs w:val="20"/>
              </w:rPr>
              <w:t>1.1</w:t>
            </w:r>
          </w:p>
        </w:tc>
      </w:tr>
      <w:tr w:rsidR="00AE67CB" w:rsidRPr="00565803" w14:paraId="0D678A20" w14:textId="77777777" w:rsidTr="00AF2B57">
        <w:trPr>
          <w:trHeight w:val="241"/>
        </w:trPr>
        <w:tc>
          <w:tcPr>
            <w:tcW w:w="4009" w:type="dxa"/>
            <w:vAlign w:val="bottom"/>
          </w:tcPr>
          <w:p w14:paraId="1477DB82" w14:textId="146E6AEC" w:rsidR="00AE67CB" w:rsidRPr="00565803" w:rsidRDefault="00AE67CB" w:rsidP="00AE67CB">
            <w:pPr>
              <w:autoSpaceDE w:val="0"/>
              <w:autoSpaceDN w:val="0"/>
              <w:adjustRightInd w:val="0"/>
              <w:rPr>
                <w:rFonts w:asciiTheme="minorHAnsi" w:hAnsiTheme="minorHAnsi" w:cs="Arial"/>
                <w:bCs/>
                <w:sz w:val="20"/>
                <w:szCs w:val="20"/>
              </w:rPr>
            </w:pPr>
            <w:r w:rsidRPr="00565803">
              <w:rPr>
                <w:rFonts w:asciiTheme="minorHAnsi" w:hAnsiTheme="minorHAnsi" w:cs="Arial"/>
                <w:bCs/>
                <w:sz w:val="20"/>
                <w:szCs w:val="20"/>
              </w:rPr>
              <w:t xml:space="preserve">Other </w:t>
            </w:r>
            <w:r w:rsidRPr="004E72DC">
              <w:rPr>
                <w:rFonts w:asciiTheme="minorHAnsi" w:hAnsiTheme="minorHAnsi" w:cs="Arial"/>
                <w:sz w:val="20"/>
                <w:szCs w:val="20"/>
              </w:rPr>
              <w:t xml:space="preserve">comprehensive </w:t>
            </w:r>
            <w:r w:rsidR="004E72DC" w:rsidRPr="004E72DC">
              <w:rPr>
                <w:rFonts w:asciiTheme="minorHAnsi" w:hAnsiTheme="minorHAnsi" w:cs="Arial"/>
                <w:sz w:val="20"/>
                <w:szCs w:val="20"/>
              </w:rPr>
              <w:t>expense</w:t>
            </w:r>
            <w:r w:rsidRPr="004E72DC">
              <w:rPr>
                <w:rFonts w:asciiTheme="minorHAnsi" w:hAnsiTheme="minorHAnsi" w:cs="Arial"/>
                <w:sz w:val="20"/>
                <w:szCs w:val="20"/>
              </w:rPr>
              <w:t xml:space="preserve"> </w:t>
            </w:r>
            <w:r w:rsidRPr="00565803">
              <w:rPr>
                <w:rFonts w:asciiTheme="minorHAnsi" w:hAnsiTheme="minorHAnsi" w:cs="Arial"/>
                <w:bCs/>
                <w:sz w:val="20"/>
                <w:szCs w:val="20"/>
              </w:rPr>
              <w:t>for the period</w:t>
            </w:r>
          </w:p>
        </w:tc>
        <w:tc>
          <w:tcPr>
            <w:tcW w:w="890" w:type="dxa"/>
            <w:tcBorders>
              <w:top w:val="single" w:sz="4" w:space="0" w:color="auto"/>
              <w:left w:val="nil"/>
              <w:bottom w:val="single" w:sz="4" w:space="0" w:color="auto"/>
              <w:right w:val="nil"/>
            </w:tcBorders>
            <w:shd w:val="clear" w:color="auto" w:fill="F2F2F2" w:themeFill="background1" w:themeFillShade="F2"/>
            <w:vAlign w:val="bottom"/>
          </w:tcPr>
          <w:p w14:paraId="552CB8C2" w14:textId="77777777" w:rsidR="00AE67CB" w:rsidRPr="00AE2A5D" w:rsidRDefault="00AE67CB" w:rsidP="00AE67CB">
            <w:pPr>
              <w:jc w:val="right"/>
              <w:rPr>
                <w:rFonts w:asciiTheme="minorHAnsi" w:hAnsiTheme="minorHAnsi" w:cs="Arial"/>
                <w:b/>
                <w:sz w:val="20"/>
                <w:szCs w:val="20"/>
              </w:rPr>
            </w:pPr>
            <w:r w:rsidRPr="00AE2A5D">
              <w:rPr>
                <w:rFonts w:asciiTheme="minorHAnsi" w:hAnsiTheme="minorHAnsi" w:cs="Arial"/>
                <w:b/>
                <w:sz w:val="20"/>
                <w:szCs w:val="20"/>
              </w:rPr>
              <w:t>-</w:t>
            </w:r>
          </w:p>
        </w:tc>
        <w:tc>
          <w:tcPr>
            <w:tcW w:w="1038" w:type="dxa"/>
            <w:tcBorders>
              <w:top w:val="single" w:sz="4" w:space="0" w:color="auto"/>
              <w:left w:val="nil"/>
              <w:bottom w:val="single" w:sz="4" w:space="0" w:color="auto"/>
              <w:right w:val="nil"/>
            </w:tcBorders>
            <w:shd w:val="clear" w:color="auto" w:fill="F2F2F2" w:themeFill="background1" w:themeFillShade="F2"/>
            <w:vAlign w:val="bottom"/>
          </w:tcPr>
          <w:p w14:paraId="2FB8BC99" w14:textId="77777777" w:rsidR="00AE67CB" w:rsidRPr="00AE2A5D" w:rsidRDefault="00AE67CB" w:rsidP="00AE67CB">
            <w:pPr>
              <w:jc w:val="right"/>
              <w:rPr>
                <w:rFonts w:asciiTheme="minorHAnsi" w:hAnsiTheme="minorHAnsi" w:cs="Arial"/>
                <w:b/>
                <w:sz w:val="20"/>
                <w:szCs w:val="20"/>
              </w:rPr>
            </w:pPr>
            <w:r w:rsidRPr="00AE2A5D">
              <w:rPr>
                <w:rFonts w:asciiTheme="minorHAnsi" w:hAnsiTheme="minorHAnsi" w:cs="Arial"/>
                <w:b/>
                <w:sz w:val="20"/>
                <w:szCs w:val="20"/>
              </w:rPr>
              <w:t>-</w:t>
            </w:r>
          </w:p>
        </w:tc>
        <w:tc>
          <w:tcPr>
            <w:tcW w:w="891" w:type="dxa"/>
            <w:tcBorders>
              <w:top w:val="single" w:sz="4" w:space="0" w:color="auto"/>
              <w:left w:val="nil"/>
              <w:bottom w:val="single" w:sz="4" w:space="0" w:color="auto"/>
              <w:right w:val="nil"/>
            </w:tcBorders>
            <w:shd w:val="clear" w:color="auto" w:fill="F2F2F2" w:themeFill="background1" w:themeFillShade="F2"/>
          </w:tcPr>
          <w:p w14:paraId="5D28166B" w14:textId="77777777" w:rsidR="00AE67CB" w:rsidRPr="00AE2A5D" w:rsidRDefault="00AE67CB" w:rsidP="00AE67CB">
            <w:pPr>
              <w:jc w:val="right"/>
              <w:rPr>
                <w:rFonts w:asciiTheme="minorHAnsi" w:hAnsiTheme="minorHAnsi" w:cs="Arial"/>
                <w:b/>
                <w:sz w:val="20"/>
                <w:szCs w:val="20"/>
              </w:rPr>
            </w:pPr>
            <w:r w:rsidRPr="00AE2A5D">
              <w:rPr>
                <w:rFonts w:asciiTheme="minorHAnsi" w:hAnsiTheme="minorHAnsi" w:cs="Arial"/>
                <w:b/>
                <w:sz w:val="20"/>
                <w:szCs w:val="20"/>
              </w:rPr>
              <w:t>-</w:t>
            </w:r>
          </w:p>
        </w:tc>
        <w:tc>
          <w:tcPr>
            <w:tcW w:w="1038" w:type="dxa"/>
            <w:tcBorders>
              <w:top w:val="single" w:sz="4" w:space="0" w:color="auto"/>
              <w:left w:val="nil"/>
              <w:bottom w:val="single" w:sz="4" w:space="0" w:color="auto"/>
              <w:right w:val="nil"/>
            </w:tcBorders>
            <w:shd w:val="clear" w:color="auto" w:fill="F2F2F2" w:themeFill="background1" w:themeFillShade="F2"/>
            <w:vAlign w:val="bottom"/>
          </w:tcPr>
          <w:p w14:paraId="65F0E2BB" w14:textId="77777777" w:rsidR="00AE67CB" w:rsidRPr="00AE2A5D" w:rsidRDefault="00AE67CB" w:rsidP="00AE67CB">
            <w:pPr>
              <w:jc w:val="right"/>
              <w:rPr>
                <w:rFonts w:asciiTheme="minorHAnsi" w:hAnsiTheme="minorHAnsi" w:cs="Arial"/>
                <w:b/>
                <w:sz w:val="20"/>
                <w:szCs w:val="20"/>
              </w:rPr>
            </w:pPr>
            <w:r w:rsidRPr="00AE2A5D">
              <w:rPr>
                <w:rFonts w:asciiTheme="minorHAnsi" w:hAnsiTheme="minorHAnsi" w:cs="Arial"/>
                <w:b/>
                <w:sz w:val="20"/>
                <w:szCs w:val="20"/>
              </w:rPr>
              <w:t>-</w:t>
            </w:r>
          </w:p>
        </w:tc>
        <w:tc>
          <w:tcPr>
            <w:tcW w:w="1038" w:type="dxa"/>
            <w:tcBorders>
              <w:top w:val="single" w:sz="4" w:space="0" w:color="auto"/>
              <w:left w:val="nil"/>
              <w:bottom w:val="single" w:sz="4" w:space="0" w:color="auto"/>
              <w:right w:val="nil"/>
            </w:tcBorders>
            <w:shd w:val="clear" w:color="auto" w:fill="F2F2F2" w:themeFill="background1" w:themeFillShade="F2"/>
            <w:vAlign w:val="bottom"/>
          </w:tcPr>
          <w:p w14:paraId="6537144C" w14:textId="25744150" w:rsidR="00AE67CB" w:rsidRPr="00AE2A5D" w:rsidRDefault="00F01AE6" w:rsidP="00AE67CB">
            <w:pPr>
              <w:jc w:val="right"/>
              <w:rPr>
                <w:rFonts w:asciiTheme="minorHAnsi" w:hAnsiTheme="minorHAnsi" w:cs="Arial"/>
                <w:b/>
                <w:sz w:val="20"/>
                <w:szCs w:val="20"/>
              </w:rPr>
            </w:pPr>
            <w:r w:rsidRPr="00AE2A5D">
              <w:rPr>
                <w:rFonts w:asciiTheme="minorHAnsi" w:hAnsiTheme="minorHAnsi" w:cs="Arial"/>
                <w:b/>
                <w:sz w:val="20"/>
                <w:szCs w:val="20"/>
              </w:rPr>
              <w:t>(3.4)</w:t>
            </w:r>
          </w:p>
        </w:tc>
        <w:tc>
          <w:tcPr>
            <w:tcW w:w="742" w:type="dxa"/>
            <w:tcBorders>
              <w:top w:val="single" w:sz="4" w:space="0" w:color="auto"/>
              <w:left w:val="nil"/>
              <w:bottom w:val="single" w:sz="4" w:space="0" w:color="auto"/>
              <w:right w:val="nil"/>
            </w:tcBorders>
            <w:shd w:val="clear" w:color="auto" w:fill="F2F2F2" w:themeFill="background1" w:themeFillShade="F2"/>
            <w:vAlign w:val="bottom"/>
          </w:tcPr>
          <w:p w14:paraId="0D1284D3" w14:textId="398CC51F" w:rsidR="00AE67CB" w:rsidRPr="00AE2A5D" w:rsidRDefault="00F01AE6" w:rsidP="00AE67CB">
            <w:pPr>
              <w:jc w:val="right"/>
              <w:rPr>
                <w:rFonts w:asciiTheme="minorHAnsi" w:hAnsiTheme="minorHAnsi" w:cs="Arial"/>
                <w:b/>
                <w:sz w:val="20"/>
                <w:szCs w:val="20"/>
              </w:rPr>
            </w:pPr>
            <w:r w:rsidRPr="00AE2A5D">
              <w:rPr>
                <w:rFonts w:asciiTheme="minorHAnsi" w:hAnsiTheme="minorHAnsi" w:cs="Arial"/>
                <w:b/>
                <w:sz w:val="20"/>
                <w:szCs w:val="20"/>
              </w:rPr>
              <w:t>(3.4)</w:t>
            </w:r>
          </w:p>
        </w:tc>
      </w:tr>
      <w:tr w:rsidR="00AE67CB" w:rsidRPr="00565803" w14:paraId="6C166C6C" w14:textId="77777777" w:rsidTr="00AF2B57">
        <w:trPr>
          <w:trHeight w:val="198"/>
        </w:trPr>
        <w:tc>
          <w:tcPr>
            <w:tcW w:w="4009" w:type="dxa"/>
            <w:vAlign w:val="bottom"/>
          </w:tcPr>
          <w:p w14:paraId="791BB43E" w14:textId="3044E63A" w:rsidR="00AE67CB" w:rsidRPr="00565803" w:rsidRDefault="00AE67CB" w:rsidP="00AE67CB">
            <w:pPr>
              <w:autoSpaceDE w:val="0"/>
              <w:autoSpaceDN w:val="0"/>
              <w:adjustRightInd w:val="0"/>
              <w:rPr>
                <w:rFonts w:asciiTheme="minorHAnsi" w:hAnsiTheme="minorHAnsi" w:cs="Arial"/>
                <w:bCs/>
                <w:sz w:val="20"/>
                <w:szCs w:val="20"/>
              </w:rPr>
            </w:pPr>
            <w:r w:rsidRPr="00565803">
              <w:rPr>
                <w:rFonts w:asciiTheme="minorHAnsi" w:hAnsiTheme="minorHAnsi" w:cs="Arial"/>
                <w:bCs/>
                <w:sz w:val="20"/>
                <w:szCs w:val="20"/>
              </w:rPr>
              <w:t xml:space="preserve">Total </w:t>
            </w:r>
            <w:r w:rsidRPr="004E72DC">
              <w:rPr>
                <w:rFonts w:asciiTheme="minorHAnsi" w:hAnsiTheme="minorHAnsi" w:cs="Arial"/>
                <w:sz w:val="20"/>
                <w:szCs w:val="20"/>
              </w:rPr>
              <w:t xml:space="preserve">comprehensive </w:t>
            </w:r>
            <w:r w:rsidR="004E72DC" w:rsidRPr="004E72DC">
              <w:rPr>
                <w:rFonts w:asciiTheme="minorHAnsi" w:hAnsiTheme="minorHAnsi" w:cs="Arial"/>
                <w:sz w:val="20"/>
                <w:szCs w:val="20"/>
              </w:rPr>
              <w:t>expense</w:t>
            </w:r>
            <w:r w:rsidRPr="004E72DC">
              <w:rPr>
                <w:rFonts w:asciiTheme="minorHAnsi" w:hAnsiTheme="minorHAnsi" w:cs="Arial"/>
                <w:sz w:val="20"/>
                <w:szCs w:val="20"/>
              </w:rPr>
              <w:t xml:space="preserve"> </w:t>
            </w:r>
            <w:r w:rsidRPr="00565803">
              <w:rPr>
                <w:rFonts w:asciiTheme="minorHAnsi" w:hAnsiTheme="minorHAnsi" w:cs="Arial"/>
                <w:bCs/>
                <w:sz w:val="20"/>
                <w:szCs w:val="20"/>
              </w:rPr>
              <w:t>for the period</w:t>
            </w:r>
          </w:p>
        </w:tc>
        <w:tc>
          <w:tcPr>
            <w:tcW w:w="890" w:type="dxa"/>
            <w:tcBorders>
              <w:top w:val="single" w:sz="4" w:space="0" w:color="auto"/>
              <w:left w:val="nil"/>
              <w:bottom w:val="single" w:sz="4" w:space="0" w:color="auto"/>
              <w:right w:val="nil"/>
            </w:tcBorders>
            <w:shd w:val="clear" w:color="auto" w:fill="F2F2F2" w:themeFill="background1" w:themeFillShade="F2"/>
            <w:vAlign w:val="bottom"/>
          </w:tcPr>
          <w:p w14:paraId="36DEB3F9" w14:textId="77777777" w:rsidR="00AE67CB" w:rsidRPr="00AE2A5D" w:rsidRDefault="00AE67CB" w:rsidP="00AE67CB">
            <w:pPr>
              <w:jc w:val="right"/>
              <w:rPr>
                <w:rFonts w:asciiTheme="minorHAnsi" w:hAnsiTheme="minorHAnsi" w:cs="Arial"/>
                <w:b/>
                <w:sz w:val="20"/>
                <w:szCs w:val="20"/>
              </w:rPr>
            </w:pPr>
            <w:r w:rsidRPr="00AE2A5D">
              <w:rPr>
                <w:rFonts w:asciiTheme="minorHAnsi" w:hAnsiTheme="minorHAnsi" w:cs="Arial"/>
                <w:b/>
                <w:sz w:val="20"/>
                <w:szCs w:val="20"/>
              </w:rPr>
              <w:t>-</w:t>
            </w:r>
          </w:p>
        </w:tc>
        <w:tc>
          <w:tcPr>
            <w:tcW w:w="1038" w:type="dxa"/>
            <w:tcBorders>
              <w:top w:val="single" w:sz="4" w:space="0" w:color="auto"/>
              <w:left w:val="nil"/>
              <w:bottom w:val="single" w:sz="4" w:space="0" w:color="auto"/>
              <w:right w:val="nil"/>
            </w:tcBorders>
            <w:shd w:val="clear" w:color="auto" w:fill="F2F2F2" w:themeFill="background1" w:themeFillShade="F2"/>
            <w:vAlign w:val="bottom"/>
          </w:tcPr>
          <w:p w14:paraId="18AB1E44" w14:textId="77777777" w:rsidR="00AE67CB" w:rsidRPr="00AE2A5D" w:rsidRDefault="00AE67CB" w:rsidP="00AE67CB">
            <w:pPr>
              <w:jc w:val="right"/>
              <w:rPr>
                <w:rFonts w:asciiTheme="minorHAnsi" w:hAnsiTheme="minorHAnsi" w:cs="Arial"/>
                <w:b/>
                <w:sz w:val="20"/>
                <w:szCs w:val="20"/>
              </w:rPr>
            </w:pPr>
            <w:r w:rsidRPr="00AE2A5D">
              <w:rPr>
                <w:rFonts w:asciiTheme="minorHAnsi" w:hAnsiTheme="minorHAnsi" w:cs="Arial"/>
                <w:b/>
                <w:sz w:val="20"/>
                <w:szCs w:val="20"/>
              </w:rPr>
              <w:t>-</w:t>
            </w:r>
          </w:p>
        </w:tc>
        <w:tc>
          <w:tcPr>
            <w:tcW w:w="891" w:type="dxa"/>
            <w:tcBorders>
              <w:top w:val="single" w:sz="4" w:space="0" w:color="auto"/>
              <w:left w:val="nil"/>
              <w:bottom w:val="single" w:sz="4" w:space="0" w:color="auto"/>
              <w:right w:val="nil"/>
            </w:tcBorders>
            <w:shd w:val="clear" w:color="auto" w:fill="F2F2F2" w:themeFill="background1" w:themeFillShade="F2"/>
          </w:tcPr>
          <w:p w14:paraId="717A4D51" w14:textId="77777777" w:rsidR="00AE67CB" w:rsidRPr="00AE2A5D" w:rsidRDefault="00AE67CB" w:rsidP="00AE67CB">
            <w:pPr>
              <w:jc w:val="right"/>
              <w:rPr>
                <w:rFonts w:asciiTheme="minorHAnsi" w:hAnsiTheme="minorHAnsi" w:cs="Arial"/>
                <w:b/>
                <w:sz w:val="20"/>
                <w:szCs w:val="20"/>
              </w:rPr>
            </w:pPr>
            <w:r w:rsidRPr="00AE2A5D">
              <w:rPr>
                <w:rFonts w:asciiTheme="minorHAnsi" w:hAnsiTheme="minorHAnsi" w:cs="Arial"/>
                <w:b/>
                <w:sz w:val="20"/>
                <w:szCs w:val="20"/>
              </w:rPr>
              <w:t xml:space="preserve">-    </w:t>
            </w:r>
          </w:p>
        </w:tc>
        <w:tc>
          <w:tcPr>
            <w:tcW w:w="1038" w:type="dxa"/>
            <w:tcBorders>
              <w:top w:val="single" w:sz="4" w:space="0" w:color="auto"/>
              <w:left w:val="nil"/>
              <w:bottom w:val="single" w:sz="4" w:space="0" w:color="auto"/>
              <w:right w:val="nil"/>
            </w:tcBorders>
            <w:shd w:val="clear" w:color="auto" w:fill="F2F2F2" w:themeFill="background1" w:themeFillShade="F2"/>
            <w:vAlign w:val="bottom"/>
          </w:tcPr>
          <w:p w14:paraId="7BF4FEA7" w14:textId="77777777" w:rsidR="00AE67CB" w:rsidRPr="00AE2A5D" w:rsidRDefault="00AE67CB" w:rsidP="00AE67CB">
            <w:pPr>
              <w:jc w:val="right"/>
              <w:rPr>
                <w:rFonts w:asciiTheme="minorHAnsi" w:hAnsiTheme="minorHAnsi" w:cs="Arial"/>
                <w:b/>
                <w:sz w:val="20"/>
                <w:szCs w:val="20"/>
              </w:rPr>
            </w:pPr>
            <w:r w:rsidRPr="00AE2A5D">
              <w:rPr>
                <w:rFonts w:asciiTheme="minorHAnsi" w:hAnsiTheme="minorHAnsi" w:cs="Arial"/>
                <w:b/>
                <w:sz w:val="20"/>
                <w:szCs w:val="20"/>
              </w:rPr>
              <w:t>-</w:t>
            </w:r>
          </w:p>
        </w:tc>
        <w:tc>
          <w:tcPr>
            <w:tcW w:w="1038" w:type="dxa"/>
            <w:tcBorders>
              <w:top w:val="single" w:sz="4" w:space="0" w:color="auto"/>
              <w:left w:val="nil"/>
              <w:bottom w:val="single" w:sz="4" w:space="0" w:color="auto"/>
              <w:right w:val="nil"/>
            </w:tcBorders>
            <w:shd w:val="clear" w:color="auto" w:fill="F2F2F2" w:themeFill="background1" w:themeFillShade="F2"/>
            <w:vAlign w:val="bottom"/>
          </w:tcPr>
          <w:p w14:paraId="00DA51F8" w14:textId="41C68AFF" w:rsidR="00AE67CB" w:rsidRPr="00AE2A5D" w:rsidRDefault="00CE1347" w:rsidP="00AE67CB">
            <w:pPr>
              <w:jc w:val="right"/>
              <w:rPr>
                <w:rFonts w:asciiTheme="minorHAnsi" w:hAnsiTheme="minorHAnsi" w:cs="Arial"/>
                <w:b/>
                <w:sz w:val="20"/>
                <w:szCs w:val="20"/>
              </w:rPr>
            </w:pPr>
            <w:r w:rsidRPr="00AE2A5D">
              <w:rPr>
                <w:rFonts w:asciiTheme="minorHAnsi" w:hAnsiTheme="minorHAnsi" w:cs="Arial"/>
                <w:b/>
                <w:sz w:val="20"/>
                <w:szCs w:val="20"/>
              </w:rPr>
              <w:t>(39.2)</w:t>
            </w:r>
          </w:p>
        </w:tc>
        <w:tc>
          <w:tcPr>
            <w:tcW w:w="742" w:type="dxa"/>
            <w:tcBorders>
              <w:top w:val="single" w:sz="4" w:space="0" w:color="auto"/>
              <w:left w:val="nil"/>
              <w:bottom w:val="single" w:sz="4" w:space="0" w:color="auto"/>
              <w:right w:val="nil"/>
            </w:tcBorders>
            <w:shd w:val="clear" w:color="auto" w:fill="F2F2F2" w:themeFill="background1" w:themeFillShade="F2"/>
            <w:vAlign w:val="bottom"/>
          </w:tcPr>
          <w:p w14:paraId="52874FF7" w14:textId="610814A9" w:rsidR="00AE67CB" w:rsidRPr="00AE2A5D" w:rsidRDefault="00CE1347" w:rsidP="00AE67CB">
            <w:pPr>
              <w:jc w:val="right"/>
              <w:rPr>
                <w:rFonts w:asciiTheme="minorHAnsi" w:hAnsiTheme="minorHAnsi" w:cs="Arial"/>
                <w:b/>
                <w:sz w:val="20"/>
                <w:szCs w:val="20"/>
              </w:rPr>
            </w:pPr>
            <w:r w:rsidRPr="00AE2A5D">
              <w:rPr>
                <w:rFonts w:asciiTheme="minorHAnsi" w:hAnsiTheme="minorHAnsi" w:cs="Arial"/>
                <w:b/>
                <w:sz w:val="20"/>
                <w:szCs w:val="20"/>
              </w:rPr>
              <w:t>(39.2)</w:t>
            </w:r>
          </w:p>
        </w:tc>
      </w:tr>
      <w:tr w:rsidR="00AE67CB" w:rsidRPr="00565803" w14:paraId="17A4308D" w14:textId="77777777" w:rsidTr="00AF2B57">
        <w:trPr>
          <w:trHeight w:val="241"/>
        </w:trPr>
        <w:tc>
          <w:tcPr>
            <w:tcW w:w="4009" w:type="dxa"/>
            <w:vAlign w:val="bottom"/>
          </w:tcPr>
          <w:p w14:paraId="55CBFD29" w14:textId="77777777" w:rsidR="00AE67CB" w:rsidRPr="00565803" w:rsidRDefault="00AE67CB" w:rsidP="00AE67CB">
            <w:pPr>
              <w:autoSpaceDE w:val="0"/>
              <w:autoSpaceDN w:val="0"/>
              <w:adjustRightInd w:val="0"/>
              <w:rPr>
                <w:rFonts w:asciiTheme="minorHAnsi" w:hAnsiTheme="minorHAnsi" w:cs="Arial"/>
                <w:bCs/>
                <w:sz w:val="20"/>
                <w:szCs w:val="20"/>
              </w:rPr>
            </w:pPr>
            <w:r w:rsidRPr="00565803">
              <w:rPr>
                <w:rFonts w:asciiTheme="minorHAnsi" w:hAnsiTheme="minorHAnsi" w:cs="Arial"/>
                <w:bCs/>
                <w:sz w:val="20"/>
                <w:szCs w:val="20"/>
              </w:rPr>
              <w:t>Share-based payment charge</w:t>
            </w:r>
          </w:p>
        </w:tc>
        <w:tc>
          <w:tcPr>
            <w:tcW w:w="890" w:type="dxa"/>
            <w:tcBorders>
              <w:left w:val="nil"/>
              <w:right w:val="nil"/>
            </w:tcBorders>
            <w:shd w:val="clear" w:color="auto" w:fill="F2F2F2" w:themeFill="background1" w:themeFillShade="F2"/>
            <w:vAlign w:val="bottom"/>
          </w:tcPr>
          <w:p w14:paraId="0DBC01E3" w14:textId="77777777" w:rsidR="00AE67CB" w:rsidRPr="00AE2A5D" w:rsidRDefault="00AE67CB" w:rsidP="00AE67CB">
            <w:pPr>
              <w:jc w:val="right"/>
              <w:rPr>
                <w:rFonts w:asciiTheme="minorHAnsi" w:hAnsiTheme="minorHAnsi" w:cs="Arial"/>
                <w:b/>
                <w:sz w:val="20"/>
                <w:szCs w:val="20"/>
              </w:rPr>
            </w:pPr>
            <w:r w:rsidRPr="00AE2A5D">
              <w:rPr>
                <w:rFonts w:asciiTheme="minorHAnsi" w:hAnsiTheme="minorHAnsi" w:cs="Arial"/>
                <w:b/>
                <w:sz w:val="20"/>
                <w:szCs w:val="20"/>
              </w:rPr>
              <w:t>-</w:t>
            </w:r>
          </w:p>
        </w:tc>
        <w:tc>
          <w:tcPr>
            <w:tcW w:w="1038" w:type="dxa"/>
            <w:tcBorders>
              <w:left w:val="nil"/>
              <w:right w:val="nil"/>
            </w:tcBorders>
            <w:shd w:val="clear" w:color="auto" w:fill="F2F2F2" w:themeFill="background1" w:themeFillShade="F2"/>
            <w:vAlign w:val="bottom"/>
          </w:tcPr>
          <w:p w14:paraId="00A11BD7" w14:textId="77777777" w:rsidR="00AE67CB" w:rsidRPr="00AE2A5D" w:rsidRDefault="00AE67CB" w:rsidP="00AE67CB">
            <w:pPr>
              <w:jc w:val="right"/>
              <w:rPr>
                <w:rFonts w:asciiTheme="minorHAnsi" w:hAnsiTheme="minorHAnsi" w:cs="Arial"/>
                <w:b/>
                <w:sz w:val="20"/>
                <w:szCs w:val="20"/>
              </w:rPr>
            </w:pPr>
            <w:r w:rsidRPr="00AE2A5D">
              <w:rPr>
                <w:rFonts w:asciiTheme="minorHAnsi" w:hAnsiTheme="minorHAnsi" w:cs="Arial"/>
                <w:b/>
                <w:sz w:val="20"/>
                <w:szCs w:val="20"/>
              </w:rPr>
              <w:t>-</w:t>
            </w:r>
          </w:p>
        </w:tc>
        <w:tc>
          <w:tcPr>
            <w:tcW w:w="891" w:type="dxa"/>
            <w:tcBorders>
              <w:left w:val="nil"/>
              <w:right w:val="nil"/>
            </w:tcBorders>
            <w:shd w:val="clear" w:color="auto" w:fill="F2F2F2" w:themeFill="background1" w:themeFillShade="F2"/>
          </w:tcPr>
          <w:p w14:paraId="3FB5A753" w14:textId="77777777" w:rsidR="00AE67CB" w:rsidRPr="00AE2A5D" w:rsidRDefault="00AE67CB" w:rsidP="00AE67CB">
            <w:pPr>
              <w:jc w:val="right"/>
              <w:rPr>
                <w:rFonts w:asciiTheme="minorHAnsi" w:hAnsiTheme="minorHAnsi" w:cs="Arial"/>
                <w:b/>
                <w:sz w:val="20"/>
                <w:szCs w:val="20"/>
              </w:rPr>
            </w:pPr>
            <w:r w:rsidRPr="00AE2A5D">
              <w:rPr>
                <w:rFonts w:asciiTheme="minorHAnsi" w:hAnsiTheme="minorHAnsi" w:cs="Arial"/>
                <w:b/>
                <w:sz w:val="20"/>
                <w:szCs w:val="20"/>
              </w:rPr>
              <w:t>-</w:t>
            </w:r>
          </w:p>
        </w:tc>
        <w:tc>
          <w:tcPr>
            <w:tcW w:w="1038" w:type="dxa"/>
            <w:tcBorders>
              <w:left w:val="nil"/>
              <w:right w:val="nil"/>
            </w:tcBorders>
            <w:shd w:val="clear" w:color="auto" w:fill="F2F2F2" w:themeFill="background1" w:themeFillShade="F2"/>
            <w:vAlign w:val="bottom"/>
          </w:tcPr>
          <w:p w14:paraId="36E0F90A" w14:textId="031434CC" w:rsidR="00AE67CB" w:rsidRPr="00AE2A5D" w:rsidRDefault="006716BE" w:rsidP="00AE67CB">
            <w:pPr>
              <w:jc w:val="right"/>
              <w:rPr>
                <w:rFonts w:asciiTheme="minorHAnsi" w:hAnsiTheme="minorHAnsi" w:cs="Arial"/>
                <w:b/>
                <w:sz w:val="20"/>
                <w:szCs w:val="20"/>
              </w:rPr>
            </w:pPr>
            <w:r w:rsidRPr="00AE2A5D">
              <w:rPr>
                <w:rFonts w:asciiTheme="minorHAnsi" w:hAnsiTheme="minorHAnsi" w:cs="Arial"/>
                <w:b/>
                <w:sz w:val="20"/>
                <w:szCs w:val="20"/>
              </w:rPr>
              <w:t>2.4</w:t>
            </w:r>
          </w:p>
        </w:tc>
        <w:tc>
          <w:tcPr>
            <w:tcW w:w="1038" w:type="dxa"/>
            <w:tcBorders>
              <w:left w:val="nil"/>
              <w:right w:val="nil"/>
            </w:tcBorders>
            <w:shd w:val="clear" w:color="auto" w:fill="F2F2F2" w:themeFill="background1" w:themeFillShade="F2"/>
            <w:vAlign w:val="bottom"/>
          </w:tcPr>
          <w:p w14:paraId="6FBECA6C" w14:textId="77777777" w:rsidR="00AE67CB" w:rsidRPr="00AE2A5D" w:rsidRDefault="00AE67CB" w:rsidP="00AE67CB">
            <w:pPr>
              <w:jc w:val="right"/>
              <w:rPr>
                <w:rFonts w:asciiTheme="minorHAnsi" w:hAnsiTheme="minorHAnsi" w:cs="Arial"/>
                <w:b/>
                <w:sz w:val="20"/>
                <w:szCs w:val="20"/>
              </w:rPr>
            </w:pPr>
            <w:r w:rsidRPr="00AE2A5D">
              <w:rPr>
                <w:rFonts w:asciiTheme="minorHAnsi" w:hAnsiTheme="minorHAnsi" w:cs="Arial"/>
                <w:b/>
                <w:sz w:val="20"/>
                <w:szCs w:val="20"/>
              </w:rPr>
              <w:t>-</w:t>
            </w:r>
          </w:p>
        </w:tc>
        <w:tc>
          <w:tcPr>
            <w:tcW w:w="742" w:type="dxa"/>
            <w:tcBorders>
              <w:left w:val="nil"/>
              <w:right w:val="nil"/>
            </w:tcBorders>
            <w:shd w:val="clear" w:color="auto" w:fill="F2F2F2" w:themeFill="background1" w:themeFillShade="F2"/>
            <w:vAlign w:val="bottom"/>
          </w:tcPr>
          <w:p w14:paraId="0568909E" w14:textId="238CD1DB" w:rsidR="00AE67CB" w:rsidRPr="00AE2A5D" w:rsidRDefault="006716BE" w:rsidP="00AE67CB">
            <w:pPr>
              <w:jc w:val="right"/>
              <w:rPr>
                <w:rFonts w:asciiTheme="minorHAnsi" w:hAnsiTheme="minorHAnsi" w:cs="Arial"/>
                <w:b/>
                <w:sz w:val="20"/>
                <w:szCs w:val="20"/>
              </w:rPr>
            </w:pPr>
            <w:r w:rsidRPr="00AE2A5D">
              <w:rPr>
                <w:rFonts w:asciiTheme="minorHAnsi" w:hAnsiTheme="minorHAnsi" w:cs="Arial"/>
                <w:b/>
                <w:sz w:val="20"/>
                <w:szCs w:val="20"/>
              </w:rPr>
              <w:t>2.4</w:t>
            </w:r>
          </w:p>
        </w:tc>
      </w:tr>
      <w:tr w:rsidR="006D6E44" w:rsidRPr="00565803" w14:paraId="6A3C0CB2" w14:textId="77777777" w:rsidTr="00AF2B57">
        <w:trPr>
          <w:trHeight w:val="241"/>
        </w:trPr>
        <w:tc>
          <w:tcPr>
            <w:tcW w:w="4009" w:type="dxa"/>
            <w:vAlign w:val="bottom"/>
          </w:tcPr>
          <w:p w14:paraId="0FFBFF2B" w14:textId="73BE0559" w:rsidR="006D6E44" w:rsidRPr="00565803" w:rsidRDefault="00B17AC2" w:rsidP="00AE67CB">
            <w:pPr>
              <w:autoSpaceDE w:val="0"/>
              <w:autoSpaceDN w:val="0"/>
              <w:adjustRightInd w:val="0"/>
              <w:rPr>
                <w:rFonts w:asciiTheme="minorHAnsi" w:hAnsiTheme="minorHAnsi" w:cs="Arial"/>
                <w:bCs/>
                <w:sz w:val="20"/>
                <w:szCs w:val="20"/>
              </w:rPr>
            </w:pPr>
            <w:r>
              <w:rPr>
                <w:rFonts w:asciiTheme="minorHAnsi" w:hAnsiTheme="minorHAnsi" w:cs="Arial"/>
                <w:bCs/>
                <w:sz w:val="20"/>
                <w:szCs w:val="20"/>
              </w:rPr>
              <w:t>Purchase of shares for share award</w:t>
            </w:r>
            <w:r w:rsidR="006F1096">
              <w:rPr>
                <w:rFonts w:asciiTheme="minorHAnsi" w:hAnsiTheme="minorHAnsi" w:cs="Arial"/>
                <w:bCs/>
                <w:sz w:val="20"/>
                <w:szCs w:val="20"/>
              </w:rPr>
              <w:t>s</w:t>
            </w:r>
          </w:p>
        </w:tc>
        <w:tc>
          <w:tcPr>
            <w:tcW w:w="890" w:type="dxa"/>
            <w:tcBorders>
              <w:left w:val="nil"/>
              <w:right w:val="nil"/>
            </w:tcBorders>
            <w:shd w:val="clear" w:color="auto" w:fill="F2F2F2" w:themeFill="background1" w:themeFillShade="F2"/>
            <w:vAlign w:val="bottom"/>
          </w:tcPr>
          <w:p w14:paraId="5178DC7A" w14:textId="79FB7401" w:rsidR="006D6E44" w:rsidRPr="00AE2A5D" w:rsidRDefault="00CD3114">
            <w:pPr>
              <w:jc w:val="right"/>
              <w:rPr>
                <w:rFonts w:asciiTheme="minorHAnsi" w:hAnsiTheme="minorHAnsi" w:cs="Arial"/>
                <w:b/>
                <w:sz w:val="20"/>
                <w:szCs w:val="20"/>
              </w:rPr>
            </w:pPr>
            <w:r>
              <w:rPr>
                <w:rFonts w:asciiTheme="minorHAnsi" w:hAnsiTheme="minorHAnsi" w:cs="Arial"/>
                <w:b/>
                <w:sz w:val="20"/>
                <w:szCs w:val="20"/>
              </w:rPr>
              <w:t>-</w:t>
            </w:r>
          </w:p>
        </w:tc>
        <w:tc>
          <w:tcPr>
            <w:tcW w:w="1038" w:type="dxa"/>
            <w:tcBorders>
              <w:left w:val="nil"/>
              <w:right w:val="nil"/>
            </w:tcBorders>
            <w:shd w:val="clear" w:color="auto" w:fill="F2F2F2" w:themeFill="background1" w:themeFillShade="F2"/>
            <w:vAlign w:val="bottom"/>
          </w:tcPr>
          <w:p w14:paraId="24AF1594" w14:textId="12D9655D" w:rsidR="006D6E44" w:rsidRPr="00AE2A5D" w:rsidRDefault="00CD3114">
            <w:pPr>
              <w:jc w:val="right"/>
              <w:rPr>
                <w:rFonts w:asciiTheme="minorHAnsi" w:hAnsiTheme="minorHAnsi" w:cs="Arial"/>
                <w:b/>
                <w:sz w:val="20"/>
                <w:szCs w:val="20"/>
              </w:rPr>
            </w:pPr>
            <w:r>
              <w:rPr>
                <w:rFonts w:asciiTheme="minorHAnsi" w:hAnsiTheme="minorHAnsi" w:cs="Arial"/>
                <w:b/>
                <w:sz w:val="20"/>
                <w:szCs w:val="20"/>
              </w:rPr>
              <w:t>-</w:t>
            </w:r>
          </w:p>
        </w:tc>
        <w:tc>
          <w:tcPr>
            <w:tcW w:w="891" w:type="dxa"/>
            <w:tcBorders>
              <w:left w:val="nil"/>
              <w:right w:val="nil"/>
            </w:tcBorders>
            <w:shd w:val="clear" w:color="auto" w:fill="F2F2F2" w:themeFill="background1" w:themeFillShade="F2"/>
          </w:tcPr>
          <w:p w14:paraId="6BDB9FC3" w14:textId="4689A63E" w:rsidR="006D6E44" w:rsidRPr="00AE2A5D" w:rsidRDefault="00CD3114">
            <w:pPr>
              <w:jc w:val="right"/>
              <w:rPr>
                <w:rFonts w:asciiTheme="minorHAnsi" w:hAnsiTheme="minorHAnsi" w:cs="Arial"/>
                <w:b/>
                <w:sz w:val="20"/>
                <w:szCs w:val="20"/>
              </w:rPr>
            </w:pPr>
            <w:r>
              <w:rPr>
                <w:rFonts w:asciiTheme="minorHAnsi" w:hAnsiTheme="minorHAnsi" w:cs="Arial"/>
                <w:b/>
                <w:sz w:val="20"/>
                <w:szCs w:val="20"/>
              </w:rPr>
              <w:t>-</w:t>
            </w:r>
          </w:p>
        </w:tc>
        <w:tc>
          <w:tcPr>
            <w:tcW w:w="1038" w:type="dxa"/>
            <w:tcBorders>
              <w:left w:val="nil"/>
              <w:right w:val="nil"/>
            </w:tcBorders>
            <w:shd w:val="clear" w:color="auto" w:fill="F2F2F2" w:themeFill="background1" w:themeFillShade="F2"/>
            <w:vAlign w:val="bottom"/>
          </w:tcPr>
          <w:p w14:paraId="638CE33D" w14:textId="37B640D5" w:rsidR="006D6E44" w:rsidRPr="00AE2A5D" w:rsidRDefault="00CD3114">
            <w:pPr>
              <w:jc w:val="right"/>
              <w:rPr>
                <w:rFonts w:asciiTheme="minorHAnsi" w:hAnsiTheme="minorHAnsi" w:cs="Arial"/>
                <w:b/>
                <w:sz w:val="20"/>
                <w:szCs w:val="20"/>
              </w:rPr>
            </w:pPr>
            <w:r>
              <w:rPr>
                <w:rFonts w:asciiTheme="minorHAnsi" w:hAnsiTheme="minorHAnsi" w:cs="Arial"/>
                <w:b/>
                <w:sz w:val="20"/>
                <w:szCs w:val="20"/>
              </w:rPr>
              <w:t>-</w:t>
            </w:r>
          </w:p>
        </w:tc>
        <w:tc>
          <w:tcPr>
            <w:tcW w:w="1038" w:type="dxa"/>
            <w:tcBorders>
              <w:left w:val="nil"/>
              <w:right w:val="nil"/>
            </w:tcBorders>
            <w:shd w:val="clear" w:color="auto" w:fill="F2F2F2" w:themeFill="background1" w:themeFillShade="F2"/>
            <w:vAlign w:val="bottom"/>
          </w:tcPr>
          <w:p w14:paraId="2EF68E7A" w14:textId="16D21D7B" w:rsidR="006D6E44" w:rsidRPr="00AE2A5D" w:rsidRDefault="006D6E44">
            <w:pPr>
              <w:jc w:val="right"/>
              <w:rPr>
                <w:rFonts w:asciiTheme="minorHAnsi" w:hAnsiTheme="minorHAnsi" w:cs="Arial"/>
                <w:b/>
                <w:sz w:val="20"/>
                <w:szCs w:val="20"/>
              </w:rPr>
            </w:pPr>
            <w:r w:rsidRPr="00AE2A5D">
              <w:rPr>
                <w:rFonts w:asciiTheme="minorHAnsi" w:hAnsiTheme="minorHAnsi" w:cs="Arial"/>
                <w:b/>
                <w:sz w:val="20"/>
                <w:szCs w:val="20"/>
              </w:rPr>
              <w:t>(0.1)</w:t>
            </w:r>
          </w:p>
        </w:tc>
        <w:tc>
          <w:tcPr>
            <w:tcW w:w="742" w:type="dxa"/>
            <w:tcBorders>
              <w:left w:val="nil"/>
              <w:right w:val="nil"/>
            </w:tcBorders>
            <w:shd w:val="clear" w:color="auto" w:fill="F2F2F2" w:themeFill="background1" w:themeFillShade="F2"/>
            <w:vAlign w:val="bottom"/>
          </w:tcPr>
          <w:p w14:paraId="43C4A6B3" w14:textId="2EA10450" w:rsidR="006D6E44" w:rsidRPr="00AE2A5D" w:rsidRDefault="006D6E44">
            <w:pPr>
              <w:jc w:val="right"/>
              <w:rPr>
                <w:rFonts w:asciiTheme="minorHAnsi" w:hAnsiTheme="minorHAnsi" w:cs="Arial"/>
                <w:b/>
                <w:sz w:val="20"/>
                <w:szCs w:val="20"/>
              </w:rPr>
            </w:pPr>
            <w:r w:rsidRPr="00AE2A5D">
              <w:rPr>
                <w:rFonts w:asciiTheme="minorHAnsi" w:hAnsiTheme="minorHAnsi" w:cs="Arial"/>
                <w:b/>
                <w:sz w:val="20"/>
                <w:szCs w:val="20"/>
              </w:rPr>
              <w:t>(0.1)</w:t>
            </w:r>
          </w:p>
        </w:tc>
      </w:tr>
      <w:tr w:rsidR="00AE67CB" w:rsidRPr="00565803" w14:paraId="1F54DA72" w14:textId="77777777" w:rsidTr="00AF2B57">
        <w:trPr>
          <w:trHeight w:val="241"/>
        </w:trPr>
        <w:tc>
          <w:tcPr>
            <w:tcW w:w="4009" w:type="dxa"/>
            <w:vAlign w:val="bottom"/>
          </w:tcPr>
          <w:p w14:paraId="11DF6EB6" w14:textId="77777777" w:rsidR="00AE67CB" w:rsidRPr="00565803" w:rsidRDefault="00AE67CB" w:rsidP="00AE67CB">
            <w:pPr>
              <w:autoSpaceDE w:val="0"/>
              <w:autoSpaceDN w:val="0"/>
              <w:adjustRightInd w:val="0"/>
              <w:rPr>
                <w:rFonts w:asciiTheme="minorHAnsi" w:hAnsiTheme="minorHAnsi" w:cs="Arial"/>
                <w:bCs/>
                <w:sz w:val="20"/>
                <w:szCs w:val="20"/>
              </w:rPr>
            </w:pPr>
            <w:r w:rsidRPr="00565803">
              <w:rPr>
                <w:rFonts w:asciiTheme="minorHAnsi" w:hAnsiTheme="minorHAnsi" w:cs="Arial"/>
                <w:bCs/>
                <w:sz w:val="20"/>
                <w:szCs w:val="20"/>
              </w:rPr>
              <w:t xml:space="preserve">Dividends </w:t>
            </w:r>
          </w:p>
        </w:tc>
        <w:tc>
          <w:tcPr>
            <w:tcW w:w="890" w:type="dxa"/>
            <w:tcBorders>
              <w:left w:val="nil"/>
              <w:bottom w:val="single" w:sz="4" w:space="0" w:color="auto"/>
              <w:right w:val="nil"/>
            </w:tcBorders>
            <w:shd w:val="clear" w:color="auto" w:fill="F2F2F2" w:themeFill="background1" w:themeFillShade="F2"/>
            <w:vAlign w:val="bottom"/>
          </w:tcPr>
          <w:p w14:paraId="43A6EA0C" w14:textId="77777777" w:rsidR="00AE67CB" w:rsidRPr="00AE2A5D" w:rsidRDefault="00AE67CB">
            <w:pPr>
              <w:jc w:val="right"/>
              <w:rPr>
                <w:rFonts w:asciiTheme="minorHAnsi" w:hAnsiTheme="minorHAnsi" w:cs="Arial"/>
                <w:b/>
                <w:sz w:val="20"/>
                <w:szCs w:val="20"/>
              </w:rPr>
            </w:pPr>
            <w:r w:rsidRPr="00AE2A5D">
              <w:rPr>
                <w:rFonts w:asciiTheme="minorHAnsi" w:hAnsiTheme="minorHAnsi" w:cs="Arial"/>
                <w:b/>
                <w:sz w:val="20"/>
                <w:szCs w:val="20"/>
              </w:rPr>
              <w:t>-</w:t>
            </w:r>
          </w:p>
        </w:tc>
        <w:tc>
          <w:tcPr>
            <w:tcW w:w="1038" w:type="dxa"/>
            <w:tcBorders>
              <w:left w:val="nil"/>
              <w:bottom w:val="single" w:sz="4" w:space="0" w:color="auto"/>
              <w:right w:val="nil"/>
            </w:tcBorders>
            <w:shd w:val="clear" w:color="auto" w:fill="F2F2F2" w:themeFill="background1" w:themeFillShade="F2"/>
            <w:vAlign w:val="bottom"/>
          </w:tcPr>
          <w:p w14:paraId="756DB575" w14:textId="77777777" w:rsidR="00AE67CB" w:rsidRPr="00AE2A5D" w:rsidRDefault="00AE67CB">
            <w:pPr>
              <w:jc w:val="right"/>
              <w:rPr>
                <w:rFonts w:asciiTheme="minorHAnsi" w:hAnsiTheme="minorHAnsi" w:cs="Arial"/>
                <w:b/>
                <w:sz w:val="20"/>
                <w:szCs w:val="20"/>
              </w:rPr>
            </w:pPr>
            <w:r w:rsidRPr="00AE2A5D">
              <w:rPr>
                <w:rFonts w:asciiTheme="minorHAnsi" w:hAnsiTheme="minorHAnsi" w:cs="Arial"/>
                <w:b/>
                <w:sz w:val="20"/>
                <w:szCs w:val="20"/>
              </w:rPr>
              <w:t>-</w:t>
            </w:r>
          </w:p>
        </w:tc>
        <w:tc>
          <w:tcPr>
            <w:tcW w:w="891" w:type="dxa"/>
            <w:tcBorders>
              <w:left w:val="nil"/>
              <w:bottom w:val="single" w:sz="4" w:space="0" w:color="auto"/>
              <w:right w:val="nil"/>
            </w:tcBorders>
            <w:shd w:val="clear" w:color="auto" w:fill="F2F2F2" w:themeFill="background1" w:themeFillShade="F2"/>
          </w:tcPr>
          <w:p w14:paraId="0CD74750" w14:textId="77777777" w:rsidR="00AE67CB" w:rsidRPr="00AE2A5D" w:rsidRDefault="00AE67CB">
            <w:pPr>
              <w:jc w:val="right"/>
              <w:rPr>
                <w:rFonts w:asciiTheme="minorHAnsi" w:hAnsiTheme="minorHAnsi" w:cs="Arial"/>
                <w:b/>
                <w:sz w:val="20"/>
                <w:szCs w:val="20"/>
              </w:rPr>
            </w:pPr>
            <w:r w:rsidRPr="00AE2A5D">
              <w:rPr>
                <w:rFonts w:asciiTheme="minorHAnsi" w:hAnsiTheme="minorHAnsi" w:cs="Arial"/>
                <w:b/>
                <w:sz w:val="20"/>
                <w:szCs w:val="20"/>
              </w:rPr>
              <w:t>-</w:t>
            </w:r>
          </w:p>
        </w:tc>
        <w:tc>
          <w:tcPr>
            <w:tcW w:w="1038" w:type="dxa"/>
            <w:tcBorders>
              <w:left w:val="nil"/>
              <w:bottom w:val="single" w:sz="4" w:space="0" w:color="auto"/>
              <w:right w:val="nil"/>
            </w:tcBorders>
            <w:shd w:val="clear" w:color="auto" w:fill="F2F2F2" w:themeFill="background1" w:themeFillShade="F2"/>
            <w:vAlign w:val="bottom"/>
          </w:tcPr>
          <w:p w14:paraId="39D77AA4" w14:textId="77777777" w:rsidR="00AE67CB" w:rsidRPr="00AE2A5D" w:rsidRDefault="00AE67CB">
            <w:pPr>
              <w:jc w:val="right"/>
              <w:rPr>
                <w:rFonts w:asciiTheme="minorHAnsi" w:hAnsiTheme="minorHAnsi" w:cs="Arial"/>
                <w:b/>
                <w:sz w:val="20"/>
                <w:szCs w:val="20"/>
              </w:rPr>
            </w:pPr>
            <w:r w:rsidRPr="00AE2A5D">
              <w:rPr>
                <w:rFonts w:asciiTheme="minorHAnsi" w:hAnsiTheme="minorHAnsi" w:cs="Arial"/>
                <w:b/>
                <w:sz w:val="20"/>
                <w:szCs w:val="20"/>
              </w:rPr>
              <w:t>-</w:t>
            </w:r>
          </w:p>
        </w:tc>
        <w:tc>
          <w:tcPr>
            <w:tcW w:w="1038" w:type="dxa"/>
            <w:tcBorders>
              <w:left w:val="nil"/>
              <w:bottom w:val="single" w:sz="4" w:space="0" w:color="auto"/>
              <w:right w:val="nil"/>
            </w:tcBorders>
            <w:shd w:val="clear" w:color="auto" w:fill="F2F2F2" w:themeFill="background1" w:themeFillShade="F2"/>
            <w:vAlign w:val="bottom"/>
          </w:tcPr>
          <w:p w14:paraId="1A88B05C" w14:textId="3295719F" w:rsidR="00AE67CB" w:rsidRPr="00AE2A5D" w:rsidRDefault="00AE67CB">
            <w:pPr>
              <w:jc w:val="right"/>
              <w:rPr>
                <w:rFonts w:asciiTheme="minorHAnsi" w:hAnsiTheme="minorHAnsi" w:cs="Arial"/>
                <w:b/>
                <w:sz w:val="20"/>
                <w:szCs w:val="20"/>
              </w:rPr>
            </w:pPr>
            <w:r w:rsidRPr="00AE2A5D">
              <w:rPr>
                <w:rFonts w:asciiTheme="minorHAnsi" w:hAnsiTheme="minorHAnsi" w:cs="Arial"/>
                <w:b/>
                <w:sz w:val="20"/>
                <w:szCs w:val="20"/>
              </w:rPr>
              <w:t>(</w:t>
            </w:r>
            <w:r w:rsidR="00E3105F" w:rsidRPr="00AE2A5D">
              <w:rPr>
                <w:rFonts w:asciiTheme="minorHAnsi" w:hAnsiTheme="minorHAnsi" w:cs="Arial"/>
                <w:b/>
                <w:sz w:val="20"/>
                <w:szCs w:val="20"/>
              </w:rPr>
              <w:t>2.5</w:t>
            </w:r>
            <w:r w:rsidRPr="00AE2A5D">
              <w:rPr>
                <w:rFonts w:asciiTheme="minorHAnsi" w:hAnsiTheme="minorHAnsi" w:cs="Arial"/>
                <w:b/>
                <w:sz w:val="20"/>
                <w:szCs w:val="20"/>
              </w:rPr>
              <w:t>)</w:t>
            </w:r>
          </w:p>
        </w:tc>
        <w:tc>
          <w:tcPr>
            <w:tcW w:w="742" w:type="dxa"/>
            <w:tcBorders>
              <w:left w:val="nil"/>
              <w:bottom w:val="single" w:sz="4" w:space="0" w:color="auto"/>
              <w:right w:val="nil"/>
            </w:tcBorders>
            <w:shd w:val="clear" w:color="auto" w:fill="F2F2F2" w:themeFill="background1" w:themeFillShade="F2"/>
            <w:vAlign w:val="bottom"/>
          </w:tcPr>
          <w:p w14:paraId="08E2778B" w14:textId="18A90521" w:rsidR="00AE67CB" w:rsidRPr="00AE2A5D" w:rsidRDefault="00AE67CB">
            <w:pPr>
              <w:jc w:val="right"/>
              <w:rPr>
                <w:rFonts w:asciiTheme="minorHAnsi" w:hAnsiTheme="minorHAnsi" w:cs="Arial"/>
                <w:b/>
                <w:sz w:val="20"/>
                <w:szCs w:val="20"/>
              </w:rPr>
            </w:pPr>
            <w:r w:rsidRPr="00AE2A5D">
              <w:rPr>
                <w:rFonts w:asciiTheme="minorHAnsi" w:hAnsiTheme="minorHAnsi" w:cs="Arial"/>
                <w:b/>
                <w:sz w:val="20"/>
                <w:szCs w:val="20"/>
              </w:rPr>
              <w:t>(</w:t>
            </w:r>
            <w:r w:rsidR="00E3105F" w:rsidRPr="00AE2A5D">
              <w:rPr>
                <w:rFonts w:asciiTheme="minorHAnsi" w:hAnsiTheme="minorHAnsi" w:cs="Arial"/>
                <w:b/>
                <w:sz w:val="20"/>
                <w:szCs w:val="20"/>
              </w:rPr>
              <w:t>2.5</w:t>
            </w:r>
            <w:r w:rsidRPr="00AE2A5D">
              <w:rPr>
                <w:rFonts w:asciiTheme="minorHAnsi" w:hAnsiTheme="minorHAnsi" w:cs="Arial"/>
                <w:b/>
                <w:sz w:val="20"/>
                <w:szCs w:val="20"/>
              </w:rPr>
              <w:t>)</w:t>
            </w:r>
          </w:p>
        </w:tc>
      </w:tr>
      <w:tr w:rsidR="00AE67CB" w:rsidRPr="00565803" w14:paraId="6AB049AC" w14:textId="77777777" w:rsidTr="00AF2B57">
        <w:trPr>
          <w:trHeight w:val="241"/>
        </w:trPr>
        <w:tc>
          <w:tcPr>
            <w:tcW w:w="4009" w:type="dxa"/>
            <w:vAlign w:val="bottom"/>
          </w:tcPr>
          <w:p w14:paraId="62AA97EF" w14:textId="4F2ADB0D" w:rsidR="00AE67CB" w:rsidRPr="00565803" w:rsidRDefault="00AE67CB" w:rsidP="00AE67CB">
            <w:pPr>
              <w:autoSpaceDE w:val="0"/>
              <w:autoSpaceDN w:val="0"/>
              <w:adjustRightInd w:val="0"/>
              <w:rPr>
                <w:rFonts w:asciiTheme="minorHAnsi" w:hAnsiTheme="minorHAnsi" w:cs="Arial"/>
                <w:b/>
                <w:sz w:val="20"/>
                <w:szCs w:val="20"/>
              </w:rPr>
            </w:pPr>
            <w:r w:rsidRPr="00565803">
              <w:rPr>
                <w:rFonts w:asciiTheme="minorHAnsi" w:hAnsiTheme="minorHAnsi" w:cs="Arial"/>
                <w:b/>
                <w:sz w:val="20"/>
                <w:szCs w:val="20"/>
              </w:rPr>
              <w:t>At 30 June 202</w:t>
            </w:r>
            <w:r w:rsidR="00AB08E3">
              <w:rPr>
                <w:rFonts w:asciiTheme="minorHAnsi" w:hAnsiTheme="minorHAnsi" w:cs="Arial"/>
                <w:b/>
                <w:sz w:val="20"/>
                <w:szCs w:val="20"/>
              </w:rPr>
              <w:t>4</w:t>
            </w:r>
          </w:p>
        </w:tc>
        <w:tc>
          <w:tcPr>
            <w:tcW w:w="890" w:type="dxa"/>
            <w:tcBorders>
              <w:top w:val="single" w:sz="4" w:space="0" w:color="auto"/>
              <w:left w:val="nil"/>
              <w:bottom w:val="single" w:sz="4" w:space="0" w:color="auto"/>
              <w:right w:val="nil"/>
            </w:tcBorders>
            <w:shd w:val="clear" w:color="auto" w:fill="F2F2F2" w:themeFill="background1" w:themeFillShade="F2"/>
            <w:vAlign w:val="bottom"/>
          </w:tcPr>
          <w:p w14:paraId="459388F6" w14:textId="6F0E919B" w:rsidR="00AE67CB" w:rsidRPr="00AE2A5D" w:rsidRDefault="00893E07">
            <w:pPr>
              <w:jc w:val="right"/>
              <w:rPr>
                <w:rFonts w:asciiTheme="minorHAnsi" w:hAnsiTheme="minorHAnsi" w:cs="Arial"/>
                <w:b/>
                <w:sz w:val="20"/>
                <w:szCs w:val="20"/>
              </w:rPr>
            </w:pPr>
            <w:r w:rsidRPr="00AE2A5D">
              <w:rPr>
                <w:rFonts w:asciiTheme="minorHAnsi" w:hAnsiTheme="minorHAnsi" w:cs="Arial"/>
                <w:b/>
                <w:sz w:val="20"/>
                <w:szCs w:val="20"/>
              </w:rPr>
              <w:t>53.2</w:t>
            </w:r>
          </w:p>
        </w:tc>
        <w:tc>
          <w:tcPr>
            <w:tcW w:w="1038" w:type="dxa"/>
            <w:tcBorders>
              <w:top w:val="single" w:sz="4" w:space="0" w:color="auto"/>
              <w:left w:val="nil"/>
              <w:bottom w:val="single" w:sz="4" w:space="0" w:color="auto"/>
              <w:right w:val="nil"/>
            </w:tcBorders>
            <w:shd w:val="clear" w:color="auto" w:fill="F2F2F2" w:themeFill="background1" w:themeFillShade="F2"/>
            <w:vAlign w:val="bottom"/>
          </w:tcPr>
          <w:p w14:paraId="47FA16BD" w14:textId="3E8B5280" w:rsidR="00AE67CB" w:rsidRPr="00AE2A5D" w:rsidRDefault="006407B3" w:rsidP="00AE67CB">
            <w:pPr>
              <w:jc w:val="right"/>
              <w:rPr>
                <w:rFonts w:asciiTheme="minorHAnsi" w:hAnsiTheme="minorHAnsi" w:cs="Arial"/>
                <w:b/>
                <w:sz w:val="20"/>
                <w:szCs w:val="20"/>
              </w:rPr>
            </w:pPr>
            <w:r w:rsidRPr="00AE2A5D">
              <w:rPr>
                <w:rFonts w:asciiTheme="minorHAnsi" w:hAnsiTheme="minorHAnsi" w:cs="Arial"/>
                <w:b/>
                <w:sz w:val="20"/>
                <w:szCs w:val="20"/>
              </w:rPr>
              <w:t>276.3</w:t>
            </w:r>
          </w:p>
        </w:tc>
        <w:tc>
          <w:tcPr>
            <w:tcW w:w="891" w:type="dxa"/>
            <w:tcBorders>
              <w:top w:val="single" w:sz="4" w:space="0" w:color="auto"/>
              <w:left w:val="nil"/>
              <w:bottom w:val="single" w:sz="4" w:space="0" w:color="auto"/>
              <w:right w:val="nil"/>
            </w:tcBorders>
            <w:shd w:val="clear" w:color="auto" w:fill="F2F2F2" w:themeFill="background1" w:themeFillShade="F2"/>
          </w:tcPr>
          <w:p w14:paraId="6047348A" w14:textId="5104F914" w:rsidR="00AE67CB" w:rsidRPr="00AE2A5D" w:rsidRDefault="006407B3" w:rsidP="00AE67CB">
            <w:pPr>
              <w:jc w:val="right"/>
              <w:rPr>
                <w:rFonts w:asciiTheme="minorHAnsi" w:hAnsiTheme="minorHAnsi" w:cs="Arial"/>
                <w:b/>
                <w:sz w:val="20"/>
                <w:szCs w:val="20"/>
              </w:rPr>
            </w:pPr>
            <w:r w:rsidRPr="00AE2A5D">
              <w:rPr>
                <w:rFonts w:asciiTheme="minorHAnsi" w:hAnsiTheme="minorHAnsi" w:cs="Arial"/>
                <w:b/>
                <w:sz w:val="20"/>
                <w:szCs w:val="20"/>
              </w:rPr>
              <w:t>278.2</w:t>
            </w:r>
          </w:p>
        </w:tc>
        <w:tc>
          <w:tcPr>
            <w:tcW w:w="1038" w:type="dxa"/>
            <w:tcBorders>
              <w:top w:val="single" w:sz="4" w:space="0" w:color="auto"/>
              <w:left w:val="nil"/>
              <w:bottom w:val="single" w:sz="4" w:space="0" w:color="auto"/>
              <w:right w:val="nil"/>
            </w:tcBorders>
            <w:shd w:val="clear" w:color="auto" w:fill="F2F2F2" w:themeFill="background1" w:themeFillShade="F2"/>
            <w:vAlign w:val="bottom"/>
          </w:tcPr>
          <w:p w14:paraId="26B770D8" w14:textId="41B73E3E" w:rsidR="00AE67CB" w:rsidRPr="00AE2A5D" w:rsidRDefault="00BE5DE3" w:rsidP="00AE67CB">
            <w:pPr>
              <w:jc w:val="right"/>
              <w:rPr>
                <w:rFonts w:asciiTheme="minorHAnsi" w:hAnsiTheme="minorHAnsi" w:cs="Arial"/>
                <w:b/>
                <w:sz w:val="20"/>
                <w:szCs w:val="20"/>
              </w:rPr>
            </w:pPr>
            <w:r w:rsidRPr="00AE2A5D">
              <w:rPr>
                <w:rFonts w:asciiTheme="minorHAnsi" w:hAnsiTheme="minorHAnsi" w:cs="Arial"/>
                <w:b/>
                <w:sz w:val="20"/>
                <w:szCs w:val="20"/>
              </w:rPr>
              <w:t>14.5</w:t>
            </w:r>
          </w:p>
        </w:tc>
        <w:tc>
          <w:tcPr>
            <w:tcW w:w="1038" w:type="dxa"/>
            <w:tcBorders>
              <w:top w:val="single" w:sz="4" w:space="0" w:color="auto"/>
              <w:left w:val="nil"/>
              <w:bottom w:val="single" w:sz="4" w:space="0" w:color="auto"/>
              <w:right w:val="nil"/>
            </w:tcBorders>
            <w:shd w:val="clear" w:color="auto" w:fill="F2F2F2" w:themeFill="background1" w:themeFillShade="F2"/>
            <w:vAlign w:val="bottom"/>
          </w:tcPr>
          <w:p w14:paraId="6670D8B8" w14:textId="4C2CE5BD" w:rsidR="00AE67CB" w:rsidRPr="00AE2A5D" w:rsidRDefault="00AE67CB" w:rsidP="00AE67CB">
            <w:pPr>
              <w:jc w:val="right"/>
              <w:rPr>
                <w:rFonts w:asciiTheme="minorHAnsi" w:hAnsiTheme="minorHAnsi" w:cs="Arial"/>
                <w:b/>
                <w:sz w:val="20"/>
                <w:szCs w:val="20"/>
              </w:rPr>
            </w:pPr>
            <w:r w:rsidRPr="00AE2A5D">
              <w:rPr>
                <w:rFonts w:asciiTheme="minorHAnsi" w:hAnsiTheme="minorHAnsi" w:cs="Arial"/>
                <w:b/>
                <w:sz w:val="20"/>
                <w:szCs w:val="20"/>
              </w:rPr>
              <w:t>(</w:t>
            </w:r>
            <w:r w:rsidR="00156373" w:rsidRPr="00AE2A5D">
              <w:rPr>
                <w:rFonts w:asciiTheme="minorHAnsi" w:hAnsiTheme="minorHAnsi" w:cs="Arial"/>
                <w:b/>
                <w:sz w:val="20"/>
                <w:szCs w:val="20"/>
              </w:rPr>
              <w:t>9</w:t>
            </w:r>
            <w:r w:rsidR="002631BC">
              <w:rPr>
                <w:rFonts w:asciiTheme="minorHAnsi" w:hAnsiTheme="minorHAnsi" w:cs="Arial"/>
                <w:b/>
                <w:sz w:val="20"/>
                <w:szCs w:val="20"/>
              </w:rPr>
              <w:t>2.5</w:t>
            </w:r>
            <w:r w:rsidRPr="00AE2A5D">
              <w:rPr>
                <w:rFonts w:asciiTheme="minorHAnsi" w:hAnsiTheme="minorHAnsi" w:cs="Arial"/>
                <w:b/>
                <w:sz w:val="20"/>
                <w:szCs w:val="20"/>
              </w:rPr>
              <w:t>)</w:t>
            </w:r>
          </w:p>
        </w:tc>
        <w:tc>
          <w:tcPr>
            <w:tcW w:w="742" w:type="dxa"/>
            <w:tcBorders>
              <w:top w:val="single" w:sz="4" w:space="0" w:color="auto"/>
              <w:left w:val="nil"/>
              <w:bottom w:val="single" w:sz="4" w:space="0" w:color="auto"/>
              <w:right w:val="nil"/>
            </w:tcBorders>
            <w:shd w:val="clear" w:color="auto" w:fill="F2F2F2" w:themeFill="background1" w:themeFillShade="F2"/>
            <w:vAlign w:val="bottom"/>
          </w:tcPr>
          <w:p w14:paraId="12370B46" w14:textId="5844C2A8" w:rsidR="00AE67CB" w:rsidRPr="00AE2A5D" w:rsidRDefault="00A77E35" w:rsidP="00AE67CB">
            <w:pPr>
              <w:jc w:val="right"/>
              <w:rPr>
                <w:rFonts w:asciiTheme="minorHAnsi" w:hAnsiTheme="minorHAnsi" w:cs="Arial"/>
                <w:b/>
                <w:sz w:val="20"/>
                <w:szCs w:val="20"/>
              </w:rPr>
            </w:pPr>
            <w:r w:rsidRPr="00AE2A5D">
              <w:rPr>
                <w:rFonts w:asciiTheme="minorHAnsi" w:hAnsiTheme="minorHAnsi" w:cs="Arial"/>
                <w:b/>
                <w:sz w:val="20"/>
                <w:szCs w:val="20"/>
              </w:rPr>
              <w:t>5</w:t>
            </w:r>
            <w:r w:rsidR="002631BC">
              <w:rPr>
                <w:rFonts w:asciiTheme="minorHAnsi" w:hAnsiTheme="minorHAnsi" w:cs="Arial"/>
                <w:b/>
                <w:sz w:val="20"/>
                <w:szCs w:val="20"/>
              </w:rPr>
              <w:t>29.7</w:t>
            </w:r>
          </w:p>
        </w:tc>
      </w:tr>
    </w:tbl>
    <w:p w14:paraId="105E1D73" w14:textId="77777777" w:rsidR="00D74D59" w:rsidRDefault="00D74D59" w:rsidP="00872EE2">
      <w:pPr>
        <w:rPr>
          <w:rFonts w:asciiTheme="minorHAnsi" w:hAnsiTheme="minorHAnsi" w:cs="Arial"/>
          <w:i/>
          <w:sz w:val="20"/>
          <w:szCs w:val="20"/>
          <w:vertAlign w:val="superscript"/>
        </w:rPr>
      </w:pPr>
    </w:p>
    <w:p w14:paraId="676AA86A" w14:textId="0D9E638F" w:rsidR="00872EE2" w:rsidRDefault="00872EE2" w:rsidP="00872EE2">
      <w:pPr>
        <w:rPr>
          <w:rFonts w:asciiTheme="minorHAnsi" w:hAnsiTheme="minorHAnsi" w:cs="Arial"/>
          <w:b/>
          <w:i/>
          <w:color w:val="4747FF"/>
          <w:sz w:val="22"/>
          <w:szCs w:val="22"/>
        </w:rPr>
      </w:pPr>
      <w:r w:rsidRPr="1663D3BE">
        <w:rPr>
          <w:rFonts w:asciiTheme="minorHAnsi" w:hAnsiTheme="minorHAnsi" w:cs="Arial"/>
          <w:i/>
          <w:sz w:val="20"/>
          <w:szCs w:val="20"/>
          <w:vertAlign w:val="superscript"/>
        </w:rPr>
        <w:t>1</w:t>
      </w:r>
      <w:r w:rsidRPr="1663D3BE">
        <w:rPr>
          <w:rFonts w:asciiTheme="minorHAnsi" w:hAnsiTheme="minorHAnsi" w:cs="Arial"/>
          <w:i/>
          <w:sz w:val="20"/>
          <w:szCs w:val="20"/>
        </w:rPr>
        <w:t xml:space="preserve"> Refer to note 2 for details of restatement.</w:t>
      </w:r>
    </w:p>
    <w:p w14:paraId="49B8DED2" w14:textId="6A790933" w:rsidR="00421EFB" w:rsidRDefault="00421EFB" w:rsidP="00A3021A">
      <w:pPr>
        <w:rPr>
          <w:rFonts w:asciiTheme="minorHAnsi" w:hAnsiTheme="minorHAnsi" w:cs="Arial"/>
          <w:b/>
          <w:color w:val="4747FF"/>
          <w:sz w:val="22"/>
          <w:szCs w:val="22"/>
        </w:rPr>
      </w:pPr>
    </w:p>
    <w:p w14:paraId="6BEC82F9" w14:textId="77777777" w:rsidR="0040155F" w:rsidRDefault="0040155F" w:rsidP="00A3021A">
      <w:pPr>
        <w:rPr>
          <w:rFonts w:asciiTheme="minorHAnsi" w:hAnsiTheme="minorHAnsi" w:cs="Arial"/>
          <w:b/>
          <w:color w:val="4747FF"/>
          <w:sz w:val="22"/>
          <w:szCs w:val="22"/>
        </w:rPr>
      </w:pPr>
    </w:p>
    <w:p w14:paraId="421A1BED" w14:textId="77777777" w:rsidR="006F1096" w:rsidRDefault="006F1096" w:rsidP="00A3021A">
      <w:pPr>
        <w:rPr>
          <w:rFonts w:asciiTheme="minorHAnsi" w:hAnsiTheme="minorHAnsi" w:cs="Arial"/>
          <w:b/>
          <w:color w:val="4747FF"/>
          <w:sz w:val="22"/>
          <w:szCs w:val="22"/>
        </w:rPr>
      </w:pPr>
    </w:p>
    <w:p w14:paraId="03D1D26C" w14:textId="77777777" w:rsidR="00F4387D" w:rsidRDefault="00F4387D" w:rsidP="00A3021A">
      <w:pPr>
        <w:rPr>
          <w:rFonts w:asciiTheme="minorHAnsi" w:hAnsiTheme="minorHAnsi" w:cs="Arial"/>
          <w:b/>
          <w:color w:val="4747FF"/>
          <w:sz w:val="22"/>
          <w:szCs w:val="22"/>
        </w:rPr>
      </w:pPr>
    </w:p>
    <w:p w14:paraId="561F5F51" w14:textId="4EF0B80E" w:rsidR="00A3021A" w:rsidRDefault="00A3021A" w:rsidP="00A3021A">
      <w:pPr>
        <w:rPr>
          <w:rFonts w:asciiTheme="minorHAnsi" w:hAnsiTheme="minorHAnsi" w:cs="Arial"/>
          <w:b/>
          <w:color w:val="4747FF"/>
          <w:sz w:val="22"/>
          <w:szCs w:val="22"/>
        </w:rPr>
      </w:pPr>
      <w:r w:rsidRPr="00565803">
        <w:rPr>
          <w:rFonts w:asciiTheme="minorHAnsi" w:hAnsiTheme="minorHAnsi" w:cs="Arial"/>
          <w:b/>
          <w:color w:val="4747FF"/>
          <w:sz w:val="22"/>
          <w:szCs w:val="22"/>
        </w:rPr>
        <w:t xml:space="preserve">Consolidated statement of cash flows for the </w:t>
      </w:r>
      <w:r w:rsidR="004B7D65" w:rsidRPr="00565803">
        <w:rPr>
          <w:rFonts w:asciiTheme="minorHAnsi" w:hAnsiTheme="minorHAnsi" w:cs="Arial"/>
          <w:b/>
          <w:color w:val="4747FF"/>
          <w:sz w:val="22"/>
          <w:szCs w:val="22"/>
        </w:rPr>
        <w:t xml:space="preserve">six months </w:t>
      </w:r>
      <w:r w:rsidRPr="00565803">
        <w:rPr>
          <w:rFonts w:asciiTheme="minorHAnsi" w:hAnsiTheme="minorHAnsi" w:cs="Arial"/>
          <w:b/>
          <w:color w:val="4747FF"/>
          <w:sz w:val="22"/>
          <w:szCs w:val="22"/>
        </w:rPr>
        <w:t xml:space="preserve">ended </w:t>
      </w:r>
      <w:r w:rsidR="004B7D65" w:rsidRPr="00565803">
        <w:rPr>
          <w:rFonts w:asciiTheme="minorHAnsi" w:hAnsiTheme="minorHAnsi" w:cs="Arial"/>
          <w:b/>
          <w:color w:val="4747FF"/>
          <w:sz w:val="22"/>
          <w:szCs w:val="22"/>
        </w:rPr>
        <w:t>30 June</w:t>
      </w:r>
    </w:p>
    <w:p w14:paraId="7CE57EB7" w14:textId="77777777" w:rsidR="006312D3" w:rsidRDefault="006312D3" w:rsidP="00A3021A">
      <w:pPr>
        <w:rPr>
          <w:rFonts w:asciiTheme="minorHAnsi" w:hAnsiTheme="minorHAnsi" w:cs="Arial"/>
          <w:b/>
          <w:color w:val="4747FF"/>
          <w:sz w:val="22"/>
          <w:szCs w:val="22"/>
        </w:rPr>
      </w:pPr>
    </w:p>
    <w:tbl>
      <w:tblPr>
        <w:tblW w:w="5000" w:type="pct"/>
        <w:tblLook w:val="0000" w:firstRow="0" w:lastRow="0" w:firstColumn="0" w:lastColumn="0" w:noHBand="0" w:noVBand="0"/>
      </w:tblPr>
      <w:tblGrid>
        <w:gridCol w:w="6026"/>
        <w:gridCol w:w="947"/>
        <w:gridCol w:w="1260"/>
        <w:gridCol w:w="1490"/>
      </w:tblGrid>
      <w:tr w:rsidR="0014103E" w:rsidRPr="00085AA2" w14:paraId="1384D77C" w14:textId="77777777" w:rsidTr="0014103E">
        <w:tc>
          <w:tcPr>
            <w:tcW w:w="3099" w:type="pct"/>
          </w:tcPr>
          <w:p w14:paraId="32601E02" w14:textId="77777777" w:rsidR="0014103E" w:rsidRPr="00701439" w:rsidRDefault="0014103E" w:rsidP="00AF5A74">
            <w:pPr>
              <w:jc w:val="right"/>
              <w:rPr>
                <w:rFonts w:asciiTheme="minorHAnsi" w:hAnsiTheme="minorHAnsi" w:cs="Arial"/>
                <w:sz w:val="20"/>
                <w:szCs w:val="20"/>
              </w:rPr>
            </w:pPr>
          </w:p>
        </w:tc>
        <w:tc>
          <w:tcPr>
            <w:tcW w:w="487" w:type="pct"/>
          </w:tcPr>
          <w:p w14:paraId="2C6C0885" w14:textId="77777777" w:rsidR="0014103E" w:rsidRPr="00085AA2" w:rsidRDefault="0014103E" w:rsidP="00AF5A74">
            <w:pPr>
              <w:jc w:val="right"/>
              <w:rPr>
                <w:rFonts w:asciiTheme="minorHAnsi" w:hAnsiTheme="minorHAnsi" w:cs="Arial"/>
                <w:sz w:val="20"/>
                <w:szCs w:val="20"/>
              </w:rPr>
            </w:pPr>
          </w:p>
        </w:tc>
        <w:tc>
          <w:tcPr>
            <w:tcW w:w="1414" w:type="pct"/>
            <w:gridSpan w:val="2"/>
            <w:shd w:val="clear" w:color="auto" w:fill="auto"/>
          </w:tcPr>
          <w:p w14:paraId="6E4621A0" w14:textId="18BC6259" w:rsidR="0014103E" w:rsidRPr="00085AA2" w:rsidRDefault="0014103E" w:rsidP="00AF5A74">
            <w:pPr>
              <w:jc w:val="right"/>
              <w:rPr>
                <w:rFonts w:asciiTheme="minorHAnsi" w:hAnsiTheme="minorHAnsi" w:cs="Arial"/>
                <w:sz w:val="20"/>
                <w:szCs w:val="20"/>
                <w:lang w:val="fr-FR"/>
              </w:rPr>
            </w:pPr>
            <w:r>
              <w:rPr>
                <w:rFonts w:asciiTheme="minorHAnsi" w:hAnsiTheme="minorHAnsi" w:cs="Arial"/>
                <w:sz w:val="20"/>
                <w:szCs w:val="20"/>
                <w:lang w:val="fr-FR"/>
              </w:rPr>
              <w:t xml:space="preserve">Six </w:t>
            </w:r>
            <w:proofErr w:type="spellStart"/>
            <w:r>
              <w:rPr>
                <w:rFonts w:asciiTheme="minorHAnsi" w:hAnsiTheme="minorHAnsi" w:cs="Arial"/>
                <w:sz w:val="20"/>
                <w:szCs w:val="20"/>
                <w:lang w:val="fr-FR"/>
              </w:rPr>
              <w:t>months</w:t>
            </w:r>
            <w:proofErr w:type="spellEnd"/>
            <w:r>
              <w:rPr>
                <w:rFonts w:asciiTheme="minorHAnsi" w:hAnsiTheme="minorHAnsi" w:cs="Arial"/>
                <w:sz w:val="20"/>
                <w:szCs w:val="20"/>
                <w:lang w:val="fr-FR"/>
              </w:rPr>
              <w:t xml:space="preserve"> </w:t>
            </w:r>
            <w:proofErr w:type="spellStart"/>
            <w:r>
              <w:rPr>
                <w:rFonts w:asciiTheme="minorHAnsi" w:hAnsiTheme="minorHAnsi" w:cs="Arial"/>
                <w:sz w:val="20"/>
                <w:szCs w:val="20"/>
                <w:lang w:val="fr-FR"/>
              </w:rPr>
              <w:t>ended</w:t>
            </w:r>
            <w:proofErr w:type="spellEnd"/>
            <w:r>
              <w:rPr>
                <w:rFonts w:asciiTheme="minorHAnsi" w:hAnsiTheme="minorHAnsi" w:cs="Arial"/>
                <w:sz w:val="20"/>
                <w:szCs w:val="20"/>
                <w:lang w:val="fr-FR"/>
              </w:rPr>
              <w:t xml:space="preserve"> 30 June</w:t>
            </w:r>
          </w:p>
        </w:tc>
      </w:tr>
      <w:tr w:rsidR="00927F88" w:rsidRPr="00085AA2" w14:paraId="47840F0C" w14:textId="77777777" w:rsidTr="0014103E">
        <w:tc>
          <w:tcPr>
            <w:tcW w:w="3099" w:type="pct"/>
          </w:tcPr>
          <w:p w14:paraId="5E40CD76" w14:textId="77777777" w:rsidR="00927F88" w:rsidRPr="00701439" w:rsidRDefault="00927F88" w:rsidP="00AF5A74">
            <w:pPr>
              <w:jc w:val="right"/>
              <w:rPr>
                <w:rFonts w:asciiTheme="minorHAnsi" w:hAnsiTheme="minorHAnsi" w:cs="Arial"/>
                <w:sz w:val="20"/>
                <w:szCs w:val="20"/>
              </w:rPr>
            </w:pPr>
          </w:p>
        </w:tc>
        <w:tc>
          <w:tcPr>
            <w:tcW w:w="487" w:type="pct"/>
          </w:tcPr>
          <w:p w14:paraId="77171A6E" w14:textId="77777777" w:rsidR="00927F88" w:rsidRPr="00085AA2" w:rsidRDefault="00927F88" w:rsidP="00AF5A74">
            <w:pPr>
              <w:jc w:val="right"/>
              <w:rPr>
                <w:rFonts w:asciiTheme="minorHAnsi" w:hAnsiTheme="minorHAnsi" w:cs="Arial"/>
                <w:sz w:val="20"/>
                <w:szCs w:val="20"/>
              </w:rPr>
            </w:pPr>
            <w:r w:rsidRPr="00085AA2">
              <w:rPr>
                <w:rFonts w:asciiTheme="minorHAnsi" w:hAnsiTheme="minorHAnsi" w:cs="Arial"/>
                <w:sz w:val="20"/>
                <w:szCs w:val="20"/>
              </w:rPr>
              <w:t>Note</w:t>
            </w:r>
          </w:p>
        </w:tc>
        <w:tc>
          <w:tcPr>
            <w:tcW w:w="648" w:type="pct"/>
            <w:shd w:val="clear" w:color="auto" w:fill="F2F2F2" w:themeFill="background1" w:themeFillShade="F2"/>
          </w:tcPr>
          <w:p w14:paraId="4C5DE3BF" w14:textId="766D9FBB" w:rsidR="00927F88" w:rsidRPr="00B916CD" w:rsidRDefault="00927F88" w:rsidP="00AF5A74">
            <w:pPr>
              <w:jc w:val="right"/>
              <w:rPr>
                <w:rFonts w:asciiTheme="minorHAnsi" w:hAnsiTheme="minorHAnsi" w:cs="Arial"/>
                <w:b/>
                <w:sz w:val="20"/>
                <w:szCs w:val="20"/>
                <w:lang w:val="fr-FR"/>
              </w:rPr>
            </w:pPr>
            <w:r w:rsidRPr="00B916CD">
              <w:rPr>
                <w:rFonts w:asciiTheme="minorHAnsi" w:hAnsiTheme="minorHAnsi" w:cs="Arial"/>
                <w:b/>
                <w:sz w:val="20"/>
                <w:szCs w:val="20"/>
                <w:lang w:val="fr-FR"/>
              </w:rPr>
              <w:t>202</w:t>
            </w:r>
            <w:r>
              <w:rPr>
                <w:rFonts w:asciiTheme="minorHAnsi" w:hAnsiTheme="minorHAnsi" w:cs="Arial"/>
                <w:b/>
                <w:sz w:val="20"/>
                <w:szCs w:val="20"/>
                <w:lang w:val="fr-FR"/>
              </w:rPr>
              <w:t>4</w:t>
            </w:r>
            <w:r w:rsidRPr="00B916CD">
              <w:rPr>
                <w:rFonts w:asciiTheme="minorHAnsi" w:hAnsiTheme="minorHAnsi" w:cs="Arial"/>
                <w:b/>
                <w:sz w:val="20"/>
                <w:szCs w:val="20"/>
                <w:lang w:val="fr-FR"/>
              </w:rPr>
              <w:t> </w:t>
            </w:r>
          </w:p>
        </w:tc>
        <w:tc>
          <w:tcPr>
            <w:tcW w:w="766" w:type="pct"/>
          </w:tcPr>
          <w:p w14:paraId="48F704E8" w14:textId="3EEF5E10" w:rsidR="00927F88" w:rsidRPr="00085AA2" w:rsidRDefault="00927F88" w:rsidP="00AF5A74">
            <w:pPr>
              <w:jc w:val="right"/>
              <w:rPr>
                <w:rFonts w:asciiTheme="minorHAnsi" w:hAnsiTheme="minorHAnsi" w:cs="Arial"/>
                <w:sz w:val="20"/>
                <w:szCs w:val="20"/>
              </w:rPr>
            </w:pPr>
            <w:r w:rsidRPr="00085AA2">
              <w:rPr>
                <w:rFonts w:asciiTheme="minorHAnsi" w:hAnsiTheme="minorHAnsi" w:cs="Arial"/>
                <w:sz w:val="20"/>
                <w:szCs w:val="20"/>
                <w:lang w:val="fr-FR"/>
              </w:rPr>
              <w:t>202</w:t>
            </w:r>
            <w:r>
              <w:rPr>
                <w:rFonts w:asciiTheme="minorHAnsi" w:hAnsiTheme="minorHAnsi" w:cs="Arial"/>
                <w:sz w:val="20"/>
                <w:szCs w:val="20"/>
                <w:lang w:val="fr-FR"/>
              </w:rPr>
              <w:t>3</w:t>
            </w:r>
            <w:r w:rsidRPr="00085AA2">
              <w:rPr>
                <w:rFonts w:asciiTheme="minorHAnsi" w:hAnsiTheme="minorHAnsi" w:cs="Arial"/>
                <w:sz w:val="20"/>
                <w:szCs w:val="20"/>
                <w:lang w:val="fr-FR"/>
              </w:rPr>
              <w:t> </w:t>
            </w:r>
          </w:p>
        </w:tc>
      </w:tr>
      <w:tr w:rsidR="00927F88" w:rsidRPr="00085AA2" w14:paraId="27A3A86A" w14:textId="77777777" w:rsidTr="0014103E">
        <w:tc>
          <w:tcPr>
            <w:tcW w:w="3099" w:type="pct"/>
          </w:tcPr>
          <w:p w14:paraId="3042263D" w14:textId="77777777" w:rsidR="00927F88" w:rsidRPr="00085AA2" w:rsidRDefault="00927F88" w:rsidP="00AF5A74">
            <w:pPr>
              <w:jc w:val="right"/>
              <w:rPr>
                <w:rFonts w:asciiTheme="minorHAnsi" w:hAnsiTheme="minorHAnsi" w:cs="Arial"/>
                <w:sz w:val="20"/>
                <w:szCs w:val="20"/>
              </w:rPr>
            </w:pPr>
          </w:p>
        </w:tc>
        <w:tc>
          <w:tcPr>
            <w:tcW w:w="487" w:type="pct"/>
          </w:tcPr>
          <w:p w14:paraId="74C1B4B2" w14:textId="77777777" w:rsidR="00927F88" w:rsidRPr="00085AA2" w:rsidRDefault="00927F88" w:rsidP="00AF5A74">
            <w:pPr>
              <w:jc w:val="right"/>
              <w:rPr>
                <w:rFonts w:asciiTheme="minorHAnsi" w:hAnsiTheme="minorHAnsi" w:cs="Arial"/>
                <w:sz w:val="20"/>
                <w:szCs w:val="20"/>
              </w:rPr>
            </w:pPr>
          </w:p>
        </w:tc>
        <w:tc>
          <w:tcPr>
            <w:tcW w:w="648" w:type="pct"/>
            <w:tcBorders>
              <w:top w:val="nil"/>
              <w:left w:val="nil"/>
              <w:bottom w:val="single" w:sz="4" w:space="0" w:color="auto"/>
              <w:right w:val="nil"/>
            </w:tcBorders>
            <w:shd w:val="clear" w:color="auto" w:fill="F2F2F2" w:themeFill="background1" w:themeFillShade="F2"/>
          </w:tcPr>
          <w:p w14:paraId="2008EFA0" w14:textId="131F946B" w:rsidR="7E6963D0" w:rsidRDefault="7E6963D0" w:rsidP="7E6963D0">
            <w:pPr>
              <w:jc w:val="right"/>
              <w:rPr>
                <w:rFonts w:asciiTheme="minorHAnsi" w:hAnsiTheme="minorHAnsi" w:cs="Arial"/>
                <w:b/>
                <w:bCs/>
                <w:sz w:val="20"/>
                <w:szCs w:val="20"/>
              </w:rPr>
            </w:pPr>
          </w:p>
          <w:p w14:paraId="463DF5E4" w14:textId="5CB569DB" w:rsidR="00927F88" w:rsidRPr="00B916CD" w:rsidRDefault="00927F88" w:rsidP="00AF5A74">
            <w:pPr>
              <w:jc w:val="right"/>
              <w:rPr>
                <w:rFonts w:asciiTheme="minorHAnsi" w:hAnsiTheme="minorHAnsi" w:cs="Arial"/>
                <w:b/>
                <w:sz w:val="20"/>
                <w:szCs w:val="20"/>
              </w:rPr>
            </w:pPr>
            <w:r w:rsidRPr="00B916CD">
              <w:rPr>
                <w:rFonts w:asciiTheme="minorHAnsi" w:hAnsiTheme="minorHAnsi" w:cs="Arial"/>
                <w:b/>
                <w:sz w:val="20"/>
                <w:szCs w:val="20"/>
              </w:rPr>
              <w:t>£m </w:t>
            </w:r>
          </w:p>
        </w:tc>
        <w:tc>
          <w:tcPr>
            <w:tcW w:w="766" w:type="pct"/>
            <w:tcBorders>
              <w:top w:val="nil"/>
              <w:left w:val="nil"/>
              <w:bottom w:val="single" w:sz="4" w:space="0" w:color="auto"/>
              <w:right w:val="nil"/>
            </w:tcBorders>
          </w:tcPr>
          <w:p w14:paraId="594AE8CA" w14:textId="0D312BC6" w:rsidR="495729E3" w:rsidRDefault="495729E3" w:rsidP="7E6963D0">
            <w:pPr>
              <w:jc w:val="right"/>
              <w:rPr>
                <w:rFonts w:asciiTheme="minorHAnsi" w:hAnsiTheme="minorHAnsi" w:cs="Arial"/>
                <w:sz w:val="20"/>
                <w:szCs w:val="20"/>
                <w:lang w:val="fr-FR"/>
              </w:rPr>
            </w:pPr>
            <w:r w:rsidRPr="7E6963D0">
              <w:rPr>
                <w:rFonts w:asciiTheme="minorHAnsi" w:hAnsiTheme="minorHAnsi" w:cs="Arial"/>
                <w:sz w:val="20"/>
                <w:szCs w:val="20"/>
                <w:lang w:val="fr-FR"/>
              </w:rPr>
              <w:t>(</w:t>
            </w:r>
            <w:proofErr w:type="spellStart"/>
            <w:r w:rsidRPr="7E6963D0">
              <w:rPr>
                <w:rFonts w:asciiTheme="minorHAnsi" w:hAnsiTheme="minorHAnsi" w:cs="Arial"/>
                <w:sz w:val="20"/>
                <w:szCs w:val="20"/>
                <w:lang w:val="fr-FR"/>
              </w:rPr>
              <w:t>restated</w:t>
            </w:r>
            <w:proofErr w:type="spellEnd"/>
            <w:r w:rsidRPr="7E6963D0">
              <w:rPr>
                <w:rFonts w:asciiTheme="minorHAnsi" w:hAnsiTheme="minorHAnsi" w:cs="Arial"/>
                <w:sz w:val="20"/>
                <w:szCs w:val="20"/>
                <w:lang w:val="fr-FR"/>
              </w:rPr>
              <w:t>)</w:t>
            </w:r>
            <w:r w:rsidRPr="7E6963D0">
              <w:rPr>
                <w:rFonts w:asciiTheme="minorHAnsi" w:hAnsiTheme="minorHAnsi" w:cs="Arial"/>
                <w:sz w:val="20"/>
                <w:szCs w:val="20"/>
                <w:vertAlign w:val="superscript"/>
                <w:lang w:val="fr-FR"/>
              </w:rPr>
              <w:t>1</w:t>
            </w:r>
          </w:p>
          <w:p w14:paraId="520F14F4" w14:textId="49AF795A" w:rsidR="00927F88" w:rsidRPr="00085AA2" w:rsidRDefault="00927F88" w:rsidP="00AF5A74">
            <w:pPr>
              <w:jc w:val="right"/>
              <w:rPr>
                <w:rFonts w:asciiTheme="minorHAnsi" w:hAnsiTheme="minorHAnsi" w:cs="Arial"/>
                <w:sz w:val="20"/>
                <w:szCs w:val="20"/>
              </w:rPr>
            </w:pPr>
            <w:r w:rsidRPr="00085AA2">
              <w:rPr>
                <w:rFonts w:asciiTheme="minorHAnsi" w:hAnsiTheme="minorHAnsi" w:cs="Arial"/>
                <w:sz w:val="20"/>
                <w:szCs w:val="20"/>
              </w:rPr>
              <w:t>£m </w:t>
            </w:r>
          </w:p>
        </w:tc>
      </w:tr>
      <w:tr w:rsidR="00927F88" w:rsidRPr="00085AA2" w14:paraId="2E488553" w14:textId="77777777" w:rsidTr="0014103E">
        <w:tc>
          <w:tcPr>
            <w:tcW w:w="3099" w:type="pct"/>
            <w:vAlign w:val="bottom"/>
          </w:tcPr>
          <w:p w14:paraId="4C80A0D5" w14:textId="77777777" w:rsidR="00927F88" w:rsidRPr="00085AA2" w:rsidRDefault="00927F88" w:rsidP="00AF5A74">
            <w:pPr>
              <w:rPr>
                <w:rFonts w:asciiTheme="minorHAnsi" w:hAnsiTheme="minorHAnsi" w:cs="Arial"/>
                <w:b/>
                <w:sz w:val="20"/>
                <w:szCs w:val="20"/>
              </w:rPr>
            </w:pPr>
            <w:r w:rsidRPr="00085AA2">
              <w:rPr>
                <w:rFonts w:asciiTheme="minorHAnsi" w:hAnsiTheme="minorHAnsi" w:cs="Arial"/>
                <w:b/>
                <w:sz w:val="20"/>
                <w:szCs w:val="20"/>
              </w:rPr>
              <w:lastRenderedPageBreak/>
              <w:t xml:space="preserve">Cash flows from operating activities </w:t>
            </w:r>
          </w:p>
        </w:tc>
        <w:tc>
          <w:tcPr>
            <w:tcW w:w="487" w:type="pct"/>
            <w:vAlign w:val="bottom"/>
          </w:tcPr>
          <w:p w14:paraId="7DA6D94D" w14:textId="77777777" w:rsidR="00927F88" w:rsidRPr="00BB3187" w:rsidRDefault="00927F88" w:rsidP="00AF5A74">
            <w:pPr>
              <w:jc w:val="right"/>
              <w:rPr>
                <w:rFonts w:asciiTheme="minorHAnsi" w:hAnsiTheme="minorHAnsi" w:cs="Arial"/>
                <w:sz w:val="20"/>
                <w:szCs w:val="20"/>
              </w:rPr>
            </w:pPr>
          </w:p>
        </w:tc>
        <w:tc>
          <w:tcPr>
            <w:tcW w:w="648" w:type="pct"/>
            <w:tcBorders>
              <w:top w:val="single" w:sz="4" w:space="0" w:color="auto"/>
              <w:left w:val="nil"/>
              <w:bottom w:val="nil"/>
              <w:right w:val="nil"/>
            </w:tcBorders>
            <w:shd w:val="clear" w:color="auto" w:fill="F2F2F2" w:themeFill="background1" w:themeFillShade="F2"/>
            <w:vAlign w:val="bottom"/>
          </w:tcPr>
          <w:p w14:paraId="04EB5B95" w14:textId="77777777" w:rsidR="00927F88" w:rsidRPr="00B916CD" w:rsidRDefault="00927F88" w:rsidP="00AF5A74">
            <w:pPr>
              <w:jc w:val="right"/>
              <w:rPr>
                <w:rFonts w:asciiTheme="minorHAnsi" w:hAnsiTheme="minorHAnsi" w:cs="Arial"/>
                <w:b/>
                <w:sz w:val="20"/>
                <w:szCs w:val="20"/>
              </w:rPr>
            </w:pPr>
          </w:p>
        </w:tc>
        <w:tc>
          <w:tcPr>
            <w:tcW w:w="766" w:type="pct"/>
            <w:tcBorders>
              <w:top w:val="single" w:sz="4" w:space="0" w:color="auto"/>
              <w:left w:val="nil"/>
              <w:bottom w:val="nil"/>
              <w:right w:val="nil"/>
            </w:tcBorders>
            <w:vAlign w:val="bottom"/>
          </w:tcPr>
          <w:p w14:paraId="5425194D" w14:textId="77777777" w:rsidR="00927F88" w:rsidRPr="00085AA2" w:rsidRDefault="00927F88" w:rsidP="00AF5A74">
            <w:pPr>
              <w:jc w:val="right"/>
              <w:rPr>
                <w:rFonts w:asciiTheme="minorHAnsi" w:hAnsiTheme="minorHAnsi" w:cs="Arial"/>
                <w:sz w:val="20"/>
                <w:szCs w:val="20"/>
              </w:rPr>
            </w:pPr>
          </w:p>
        </w:tc>
      </w:tr>
      <w:tr w:rsidR="00927F88" w:rsidRPr="00085AA2" w14:paraId="174232F2" w14:textId="77777777" w:rsidTr="0014103E">
        <w:tc>
          <w:tcPr>
            <w:tcW w:w="3099" w:type="pct"/>
            <w:vAlign w:val="bottom"/>
          </w:tcPr>
          <w:p w14:paraId="2F2F9FA3" w14:textId="5AE24FAF" w:rsidR="00927F88" w:rsidRPr="00085AA2" w:rsidRDefault="00927F88" w:rsidP="00AF5A74">
            <w:pPr>
              <w:rPr>
                <w:rFonts w:asciiTheme="minorHAnsi" w:hAnsiTheme="minorHAnsi" w:cs="Arial"/>
                <w:sz w:val="20"/>
                <w:szCs w:val="20"/>
              </w:rPr>
            </w:pPr>
            <w:r w:rsidRPr="00085AA2">
              <w:rPr>
                <w:rFonts w:asciiTheme="minorHAnsi" w:hAnsiTheme="minorHAnsi" w:cs="Arial"/>
                <w:sz w:val="20"/>
                <w:szCs w:val="20"/>
              </w:rPr>
              <w:t xml:space="preserve">Cash </w:t>
            </w:r>
            <w:r w:rsidRPr="00085AA2" w:rsidDel="00B609E2">
              <w:rPr>
                <w:rFonts w:asciiTheme="minorHAnsi" w:hAnsiTheme="minorHAnsi" w:cs="Arial"/>
                <w:sz w:val="20"/>
                <w:szCs w:val="20"/>
              </w:rPr>
              <w:t>generated from</w:t>
            </w:r>
            <w:r w:rsidR="003E3300">
              <w:rPr>
                <w:rFonts w:asciiTheme="minorHAnsi" w:hAnsiTheme="minorHAnsi" w:cs="Arial"/>
                <w:sz w:val="20"/>
                <w:szCs w:val="20"/>
              </w:rPr>
              <w:t>/(used in)</w:t>
            </w:r>
            <w:r w:rsidR="00C23216">
              <w:rPr>
                <w:rFonts w:asciiTheme="minorHAnsi" w:hAnsiTheme="minorHAnsi" w:cs="Arial"/>
                <w:sz w:val="20"/>
                <w:szCs w:val="20"/>
              </w:rPr>
              <w:t xml:space="preserve"> </w:t>
            </w:r>
            <w:r w:rsidRPr="00085AA2">
              <w:rPr>
                <w:rFonts w:asciiTheme="minorHAnsi" w:hAnsiTheme="minorHAnsi" w:cs="Arial"/>
                <w:sz w:val="20"/>
                <w:szCs w:val="20"/>
              </w:rPr>
              <w:t>operations</w:t>
            </w:r>
          </w:p>
        </w:tc>
        <w:tc>
          <w:tcPr>
            <w:tcW w:w="487" w:type="pct"/>
            <w:vAlign w:val="bottom"/>
          </w:tcPr>
          <w:p w14:paraId="510C0BED" w14:textId="6FEFEB5F" w:rsidR="00927F88" w:rsidRPr="00BB3187" w:rsidRDefault="00927F88" w:rsidP="00AF5A74">
            <w:pPr>
              <w:jc w:val="right"/>
              <w:rPr>
                <w:rFonts w:asciiTheme="minorHAnsi" w:hAnsiTheme="minorHAnsi" w:cs="Arial"/>
                <w:sz w:val="20"/>
                <w:szCs w:val="20"/>
              </w:rPr>
            </w:pPr>
            <w:r w:rsidRPr="001D6B1B">
              <w:rPr>
                <w:rFonts w:asciiTheme="minorHAnsi" w:hAnsiTheme="minorHAnsi" w:cs="Arial"/>
                <w:sz w:val="20"/>
                <w:szCs w:val="20"/>
              </w:rPr>
              <w:t>1</w:t>
            </w:r>
            <w:r w:rsidR="001D6B1B" w:rsidRPr="001D6B1B">
              <w:rPr>
                <w:rFonts w:asciiTheme="minorHAnsi" w:hAnsiTheme="minorHAnsi" w:cs="Arial"/>
                <w:sz w:val="20"/>
                <w:szCs w:val="20"/>
              </w:rPr>
              <w:t>4</w:t>
            </w:r>
          </w:p>
        </w:tc>
        <w:tc>
          <w:tcPr>
            <w:tcW w:w="648" w:type="pct"/>
            <w:shd w:val="clear" w:color="auto" w:fill="F2F2F2" w:themeFill="background1" w:themeFillShade="F2"/>
            <w:vAlign w:val="bottom"/>
          </w:tcPr>
          <w:p w14:paraId="56326986" w14:textId="6D4572DA" w:rsidR="00927F88" w:rsidRPr="008143A6" w:rsidRDefault="11380ACA" w:rsidP="00AF5A74">
            <w:pPr>
              <w:jc w:val="right"/>
              <w:rPr>
                <w:rFonts w:asciiTheme="minorHAnsi" w:hAnsiTheme="minorHAnsi" w:cs="Arial"/>
                <w:b/>
                <w:sz w:val="20"/>
                <w:szCs w:val="20"/>
              </w:rPr>
            </w:pPr>
            <w:r w:rsidRPr="3C57516D">
              <w:rPr>
                <w:rFonts w:asciiTheme="minorHAnsi" w:hAnsiTheme="minorHAnsi" w:cs="Arial"/>
                <w:b/>
                <w:bCs/>
                <w:sz w:val="20"/>
                <w:szCs w:val="20"/>
              </w:rPr>
              <w:t>1</w:t>
            </w:r>
            <w:r w:rsidR="00EC4B35">
              <w:rPr>
                <w:rFonts w:asciiTheme="minorHAnsi" w:hAnsiTheme="minorHAnsi" w:cs="Arial"/>
                <w:b/>
                <w:bCs/>
                <w:sz w:val="20"/>
                <w:szCs w:val="20"/>
              </w:rPr>
              <w:t>81.0</w:t>
            </w:r>
          </w:p>
        </w:tc>
        <w:tc>
          <w:tcPr>
            <w:tcW w:w="766" w:type="pct"/>
            <w:vAlign w:val="bottom"/>
          </w:tcPr>
          <w:p w14:paraId="67071F21" w14:textId="6E603F3D" w:rsidR="00927F88" w:rsidRPr="006D4208" w:rsidRDefault="00927F88" w:rsidP="00AF5A74">
            <w:pPr>
              <w:jc w:val="right"/>
              <w:rPr>
                <w:rFonts w:asciiTheme="minorHAnsi" w:hAnsiTheme="minorHAnsi" w:cs="Arial"/>
                <w:sz w:val="20"/>
                <w:szCs w:val="20"/>
              </w:rPr>
            </w:pPr>
            <w:r w:rsidRPr="006D4208">
              <w:rPr>
                <w:rFonts w:asciiTheme="minorHAnsi" w:hAnsiTheme="minorHAnsi" w:cs="Arial"/>
                <w:sz w:val="20"/>
                <w:szCs w:val="20"/>
              </w:rPr>
              <w:t>(1</w:t>
            </w:r>
            <w:r w:rsidR="00BA152E">
              <w:rPr>
                <w:rFonts w:asciiTheme="minorHAnsi" w:hAnsiTheme="minorHAnsi" w:cs="Arial"/>
                <w:sz w:val="20"/>
                <w:szCs w:val="20"/>
              </w:rPr>
              <w:t>69.</w:t>
            </w:r>
            <w:r w:rsidR="00FA608F">
              <w:rPr>
                <w:rFonts w:asciiTheme="minorHAnsi" w:hAnsiTheme="minorHAnsi" w:cs="Arial"/>
                <w:sz w:val="20"/>
                <w:szCs w:val="20"/>
              </w:rPr>
              <w:t>3</w:t>
            </w:r>
            <w:r w:rsidRPr="006D4208">
              <w:rPr>
                <w:rFonts w:asciiTheme="minorHAnsi" w:hAnsiTheme="minorHAnsi" w:cs="Arial"/>
                <w:sz w:val="20"/>
                <w:szCs w:val="20"/>
              </w:rPr>
              <w:t>)</w:t>
            </w:r>
          </w:p>
        </w:tc>
      </w:tr>
      <w:tr w:rsidR="00927F88" w:rsidRPr="00085AA2" w14:paraId="2109582D" w14:textId="77777777" w:rsidTr="0014103E">
        <w:tc>
          <w:tcPr>
            <w:tcW w:w="3099" w:type="pct"/>
            <w:vAlign w:val="bottom"/>
          </w:tcPr>
          <w:p w14:paraId="61A92E5A" w14:textId="77777777" w:rsidR="00927F88" w:rsidRPr="00085AA2" w:rsidRDefault="00927F88" w:rsidP="00AF5A74">
            <w:pPr>
              <w:rPr>
                <w:rFonts w:asciiTheme="minorHAnsi" w:hAnsiTheme="minorHAnsi" w:cs="Arial"/>
                <w:sz w:val="20"/>
                <w:szCs w:val="20"/>
              </w:rPr>
            </w:pPr>
            <w:r w:rsidRPr="00085AA2">
              <w:rPr>
                <w:rFonts w:asciiTheme="minorHAnsi" w:hAnsiTheme="minorHAnsi" w:cs="Arial"/>
                <w:sz w:val="20"/>
                <w:szCs w:val="20"/>
              </w:rPr>
              <w:t>Finance costs paid</w:t>
            </w:r>
          </w:p>
        </w:tc>
        <w:tc>
          <w:tcPr>
            <w:tcW w:w="487" w:type="pct"/>
            <w:vAlign w:val="bottom"/>
          </w:tcPr>
          <w:p w14:paraId="326414A1" w14:textId="77777777" w:rsidR="00927F88" w:rsidRPr="00BB3187" w:rsidRDefault="00927F88" w:rsidP="00AF5A74">
            <w:pPr>
              <w:jc w:val="right"/>
              <w:rPr>
                <w:rFonts w:asciiTheme="minorHAnsi" w:hAnsiTheme="minorHAnsi" w:cs="Arial"/>
                <w:sz w:val="20"/>
                <w:szCs w:val="20"/>
              </w:rPr>
            </w:pPr>
          </w:p>
        </w:tc>
        <w:tc>
          <w:tcPr>
            <w:tcW w:w="648" w:type="pct"/>
            <w:shd w:val="clear" w:color="auto" w:fill="F2F2F2" w:themeFill="background1" w:themeFillShade="F2"/>
          </w:tcPr>
          <w:p w14:paraId="44782779" w14:textId="1C53F568" w:rsidR="00927F88" w:rsidRPr="008143A6" w:rsidRDefault="00927F88" w:rsidP="00AF5A74">
            <w:pPr>
              <w:jc w:val="right"/>
              <w:rPr>
                <w:rFonts w:asciiTheme="minorHAnsi" w:hAnsiTheme="minorHAnsi" w:cs="Arial"/>
                <w:b/>
                <w:sz w:val="20"/>
                <w:szCs w:val="20"/>
              </w:rPr>
            </w:pPr>
            <w:r w:rsidRPr="008143A6">
              <w:rPr>
                <w:rFonts w:asciiTheme="minorHAnsi" w:hAnsiTheme="minorHAnsi" w:cs="Arial"/>
                <w:b/>
                <w:sz w:val="20"/>
                <w:szCs w:val="20"/>
              </w:rPr>
              <w:t>(</w:t>
            </w:r>
            <w:r w:rsidR="001133FE">
              <w:rPr>
                <w:rFonts w:asciiTheme="minorHAnsi" w:hAnsiTheme="minorHAnsi" w:cs="Arial"/>
                <w:b/>
                <w:sz w:val="20"/>
                <w:szCs w:val="20"/>
              </w:rPr>
              <w:t>46.5</w:t>
            </w:r>
            <w:r w:rsidRPr="008143A6">
              <w:rPr>
                <w:rFonts w:asciiTheme="minorHAnsi" w:hAnsiTheme="minorHAnsi" w:cs="Arial"/>
                <w:b/>
                <w:sz w:val="20"/>
                <w:szCs w:val="20"/>
              </w:rPr>
              <w:t>)</w:t>
            </w:r>
          </w:p>
        </w:tc>
        <w:tc>
          <w:tcPr>
            <w:tcW w:w="766" w:type="pct"/>
            <w:vAlign w:val="bottom"/>
          </w:tcPr>
          <w:p w14:paraId="508F35A2" w14:textId="403ADDF4" w:rsidR="00927F88" w:rsidRPr="006D4208" w:rsidRDefault="00927F88" w:rsidP="00AF5A74">
            <w:pPr>
              <w:jc w:val="right"/>
              <w:rPr>
                <w:rFonts w:asciiTheme="minorHAnsi" w:hAnsiTheme="minorHAnsi" w:cs="Arial"/>
                <w:sz w:val="20"/>
                <w:szCs w:val="20"/>
              </w:rPr>
            </w:pPr>
            <w:r w:rsidRPr="006D4208">
              <w:rPr>
                <w:rFonts w:asciiTheme="minorHAnsi" w:hAnsiTheme="minorHAnsi" w:cs="Arial"/>
                <w:sz w:val="20"/>
                <w:szCs w:val="20"/>
              </w:rPr>
              <w:t>(</w:t>
            </w:r>
            <w:r w:rsidR="005467E1">
              <w:rPr>
                <w:rFonts w:asciiTheme="minorHAnsi" w:hAnsiTheme="minorHAnsi" w:cs="Arial"/>
                <w:sz w:val="20"/>
                <w:szCs w:val="20"/>
              </w:rPr>
              <w:t>40.8</w:t>
            </w:r>
            <w:r w:rsidRPr="006D4208">
              <w:rPr>
                <w:rFonts w:asciiTheme="minorHAnsi" w:hAnsiTheme="minorHAnsi" w:cs="Arial"/>
                <w:sz w:val="20"/>
                <w:szCs w:val="20"/>
              </w:rPr>
              <w:t>)</w:t>
            </w:r>
          </w:p>
        </w:tc>
      </w:tr>
      <w:tr w:rsidR="00927F88" w:rsidRPr="00085AA2" w14:paraId="1FE904AF" w14:textId="77777777" w:rsidTr="0014103E">
        <w:tc>
          <w:tcPr>
            <w:tcW w:w="3099" w:type="pct"/>
            <w:vAlign w:val="bottom"/>
          </w:tcPr>
          <w:p w14:paraId="7E888565" w14:textId="77777777" w:rsidR="00927F88" w:rsidRPr="00085AA2" w:rsidRDefault="00927F88" w:rsidP="00AF5A74">
            <w:pPr>
              <w:rPr>
                <w:rFonts w:asciiTheme="minorHAnsi" w:hAnsiTheme="minorHAnsi" w:cs="Arial"/>
                <w:sz w:val="20"/>
                <w:szCs w:val="20"/>
              </w:rPr>
            </w:pPr>
            <w:r w:rsidRPr="00085AA2">
              <w:rPr>
                <w:rFonts w:asciiTheme="minorHAnsi" w:hAnsiTheme="minorHAnsi" w:cs="Arial"/>
                <w:sz w:val="20"/>
                <w:szCs w:val="20"/>
              </w:rPr>
              <w:t xml:space="preserve">Finance </w:t>
            </w:r>
            <w:r>
              <w:rPr>
                <w:rFonts w:asciiTheme="minorHAnsi" w:hAnsiTheme="minorHAnsi" w:cs="Arial"/>
                <w:sz w:val="20"/>
                <w:szCs w:val="20"/>
              </w:rPr>
              <w:t>income received</w:t>
            </w:r>
          </w:p>
        </w:tc>
        <w:tc>
          <w:tcPr>
            <w:tcW w:w="487" w:type="pct"/>
            <w:vAlign w:val="bottom"/>
          </w:tcPr>
          <w:p w14:paraId="567265BB" w14:textId="77777777" w:rsidR="00927F88" w:rsidRPr="00BB3187" w:rsidRDefault="00927F88" w:rsidP="00AF5A74">
            <w:pPr>
              <w:jc w:val="right"/>
              <w:rPr>
                <w:rFonts w:asciiTheme="minorHAnsi" w:hAnsiTheme="minorHAnsi" w:cs="Arial"/>
                <w:sz w:val="20"/>
                <w:szCs w:val="20"/>
              </w:rPr>
            </w:pPr>
          </w:p>
        </w:tc>
        <w:tc>
          <w:tcPr>
            <w:tcW w:w="648" w:type="pct"/>
            <w:shd w:val="clear" w:color="auto" w:fill="F2F2F2" w:themeFill="background1" w:themeFillShade="F2"/>
          </w:tcPr>
          <w:p w14:paraId="7DB5A274" w14:textId="6E357F82" w:rsidR="00927F88" w:rsidRPr="008143A6" w:rsidRDefault="006363AA" w:rsidP="00AF5A74">
            <w:pPr>
              <w:jc w:val="right"/>
              <w:rPr>
                <w:rFonts w:asciiTheme="minorHAnsi" w:hAnsiTheme="minorHAnsi" w:cs="Arial"/>
                <w:b/>
                <w:sz w:val="20"/>
                <w:szCs w:val="20"/>
              </w:rPr>
            </w:pPr>
            <w:r w:rsidRPr="008143A6">
              <w:rPr>
                <w:rFonts w:asciiTheme="minorHAnsi" w:hAnsiTheme="minorHAnsi" w:cs="Arial"/>
                <w:b/>
                <w:sz w:val="20"/>
                <w:szCs w:val="20"/>
              </w:rPr>
              <w:t>21.1</w:t>
            </w:r>
          </w:p>
        </w:tc>
        <w:tc>
          <w:tcPr>
            <w:tcW w:w="766" w:type="pct"/>
            <w:vAlign w:val="bottom"/>
          </w:tcPr>
          <w:p w14:paraId="3C262F15" w14:textId="034A2419" w:rsidR="00927F88" w:rsidRPr="006D4208" w:rsidRDefault="006363AA" w:rsidP="00AF5A74">
            <w:pPr>
              <w:jc w:val="right"/>
              <w:rPr>
                <w:rFonts w:asciiTheme="minorHAnsi" w:hAnsiTheme="minorHAnsi" w:cs="Arial"/>
                <w:sz w:val="20"/>
                <w:szCs w:val="20"/>
              </w:rPr>
            </w:pPr>
            <w:r>
              <w:rPr>
                <w:rFonts w:asciiTheme="minorHAnsi" w:hAnsiTheme="minorHAnsi" w:cs="Arial"/>
                <w:sz w:val="20"/>
                <w:szCs w:val="20"/>
              </w:rPr>
              <w:t>10.7</w:t>
            </w:r>
          </w:p>
        </w:tc>
      </w:tr>
      <w:tr w:rsidR="00927F88" w:rsidRPr="00085AA2" w14:paraId="0DC21751" w14:textId="77777777" w:rsidTr="0014103E">
        <w:tc>
          <w:tcPr>
            <w:tcW w:w="3099" w:type="pct"/>
            <w:vAlign w:val="bottom"/>
          </w:tcPr>
          <w:p w14:paraId="49656F10" w14:textId="44574F4C" w:rsidR="00927F88" w:rsidRPr="00085AA2" w:rsidRDefault="00927F88" w:rsidP="00AF5A74">
            <w:pPr>
              <w:rPr>
                <w:rFonts w:asciiTheme="minorHAnsi" w:hAnsiTheme="minorHAnsi" w:cs="Arial"/>
                <w:sz w:val="20"/>
                <w:szCs w:val="20"/>
              </w:rPr>
            </w:pPr>
            <w:r w:rsidRPr="00085AA2">
              <w:rPr>
                <w:rFonts w:asciiTheme="minorHAnsi" w:hAnsiTheme="minorHAnsi" w:cs="Arial"/>
                <w:sz w:val="20"/>
                <w:szCs w:val="20"/>
              </w:rPr>
              <w:t xml:space="preserve">Tax </w:t>
            </w:r>
            <w:r w:rsidR="007D33D2">
              <w:rPr>
                <w:rFonts w:asciiTheme="minorHAnsi" w:hAnsiTheme="minorHAnsi" w:cs="Arial"/>
                <w:sz w:val="20"/>
                <w:szCs w:val="20"/>
              </w:rPr>
              <w:t>refunde</w:t>
            </w:r>
            <w:r w:rsidR="007D7326">
              <w:rPr>
                <w:rFonts w:asciiTheme="minorHAnsi" w:hAnsiTheme="minorHAnsi" w:cs="Arial"/>
                <w:sz w:val="20"/>
                <w:szCs w:val="20"/>
              </w:rPr>
              <w:t>d/(</w:t>
            </w:r>
            <w:r w:rsidRPr="00085AA2">
              <w:rPr>
                <w:rFonts w:asciiTheme="minorHAnsi" w:hAnsiTheme="minorHAnsi" w:cs="Arial"/>
                <w:sz w:val="20"/>
                <w:szCs w:val="20"/>
              </w:rPr>
              <w:t>paid</w:t>
            </w:r>
            <w:r w:rsidR="007D7326">
              <w:rPr>
                <w:rFonts w:asciiTheme="minorHAnsi" w:hAnsiTheme="minorHAnsi" w:cs="Arial"/>
                <w:sz w:val="20"/>
                <w:szCs w:val="20"/>
              </w:rPr>
              <w:t>)</w:t>
            </w:r>
          </w:p>
        </w:tc>
        <w:tc>
          <w:tcPr>
            <w:tcW w:w="487" w:type="pct"/>
            <w:vAlign w:val="bottom"/>
          </w:tcPr>
          <w:p w14:paraId="53628936" w14:textId="77777777" w:rsidR="00927F88" w:rsidRPr="00BB3187" w:rsidRDefault="00927F88" w:rsidP="00AF5A74">
            <w:pPr>
              <w:jc w:val="right"/>
              <w:rPr>
                <w:rFonts w:asciiTheme="minorHAnsi" w:hAnsiTheme="minorHAnsi" w:cs="Arial"/>
                <w:sz w:val="20"/>
                <w:szCs w:val="20"/>
              </w:rPr>
            </w:pPr>
          </w:p>
        </w:tc>
        <w:tc>
          <w:tcPr>
            <w:tcW w:w="648" w:type="pct"/>
            <w:tcBorders>
              <w:left w:val="nil"/>
              <w:bottom w:val="single" w:sz="4" w:space="0" w:color="auto"/>
              <w:right w:val="nil"/>
            </w:tcBorders>
            <w:shd w:val="clear" w:color="auto" w:fill="F2F2F2" w:themeFill="background1" w:themeFillShade="F2"/>
          </w:tcPr>
          <w:p w14:paraId="0636B2A4" w14:textId="4CCB2C1C" w:rsidR="00927F88" w:rsidRPr="008143A6" w:rsidRDefault="00F107A2" w:rsidP="00AF5A74">
            <w:pPr>
              <w:jc w:val="right"/>
              <w:rPr>
                <w:rFonts w:asciiTheme="minorHAnsi" w:hAnsiTheme="minorHAnsi" w:cs="Arial"/>
                <w:b/>
                <w:sz w:val="20"/>
                <w:szCs w:val="20"/>
              </w:rPr>
            </w:pPr>
            <w:r w:rsidRPr="008143A6">
              <w:rPr>
                <w:rFonts w:asciiTheme="minorHAnsi" w:hAnsiTheme="minorHAnsi" w:cs="Arial"/>
                <w:b/>
                <w:sz w:val="20"/>
                <w:szCs w:val="20"/>
              </w:rPr>
              <w:t>8.1</w:t>
            </w:r>
          </w:p>
        </w:tc>
        <w:tc>
          <w:tcPr>
            <w:tcW w:w="766" w:type="pct"/>
            <w:tcBorders>
              <w:left w:val="nil"/>
              <w:bottom w:val="single" w:sz="4" w:space="0" w:color="auto"/>
              <w:right w:val="nil"/>
            </w:tcBorders>
            <w:vAlign w:val="bottom"/>
          </w:tcPr>
          <w:p w14:paraId="7B6FDEC5" w14:textId="68C87CC7" w:rsidR="00927F88" w:rsidRPr="006D4208" w:rsidRDefault="00927F88" w:rsidP="00AF5A74">
            <w:pPr>
              <w:jc w:val="right"/>
              <w:rPr>
                <w:rFonts w:asciiTheme="minorHAnsi" w:hAnsiTheme="minorHAnsi" w:cs="Arial"/>
                <w:sz w:val="20"/>
                <w:szCs w:val="20"/>
              </w:rPr>
            </w:pPr>
            <w:r w:rsidRPr="006D4208">
              <w:rPr>
                <w:rFonts w:asciiTheme="minorHAnsi" w:hAnsiTheme="minorHAnsi" w:cs="Arial"/>
                <w:sz w:val="20"/>
                <w:szCs w:val="20"/>
              </w:rPr>
              <w:t>(</w:t>
            </w:r>
            <w:r w:rsidR="0011746D" w:rsidRPr="006D4208">
              <w:rPr>
                <w:rFonts w:asciiTheme="minorHAnsi" w:hAnsiTheme="minorHAnsi" w:cs="Arial"/>
                <w:sz w:val="20"/>
                <w:szCs w:val="20"/>
              </w:rPr>
              <w:t>6.1</w:t>
            </w:r>
            <w:r w:rsidRPr="006D4208">
              <w:rPr>
                <w:rFonts w:asciiTheme="minorHAnsi" w:hAnsiTheme="minorHAnsi" w:cs="Arial"/>
                <w:sz w:val="20"/>
                <w:szCs w:val="20"/>
              </w:rPr>
              <w:t>)</w:t>
            </w:r>
          </w:p>
        </w:tc>
      </w:tr>
      <w:tr w:rsidR="00927F88" w:rsidRPr="00085AA2" w14:paraId="4F5D7BAA" w14:textId="77777777" w:rsidTr="0014103E">
        <w:tc>
          <w:tcPr>
            <w:tcW w:w="3099" w:type="pct"/>
            <w:vAlign w:val="bottom"/>
          </w:tcPr>
          <w:p w14:paraId="6A0539B1" w14:textId="47119CCC" w:rsidR="00927F88" w:rsidRPr="00085AA2" w:rsidRDefault="00927F88" w:rsidP="00AF5A74">
            <w:pPr>
              <w:rPr>
                <w:rFonts w:asciiTheme="minorHAnsi" w:hAnsiTheme="minorHAnsi" w:cs="Arial"/>
                <w:b/>
                <w:sz w:val="20"/>
                <w:szCs w:val="20"/>
              </w:rPr>
            </w:pPr>
            <w:r w:rsidRPr="00085AA2">
              <w:rPr>
                <w:rFonts w:asciiTheme="minorHAnsi" w:hAnsiTheme="minorHAnsi" w:cs="Arial"/>
                <w:b/>
                <w:sz w:val="20"/>
                <w:szCs w:val="20"/>
              </w:rPr>
              <w:t xml:space="preserve">Net cash </w:t>
            </w:r>
            <w:r w:rsidR="00BB0194">
              <w:rPr>
                <w:rFonts w:asciiTheme="minorHAnsi" w:hAnsiTheme="minorHAnsi" w:cs="Arial"/>
                <w:b/>
                <w:sz w:val="20"/>
                <w:szCs w:val="20"/>
              </w:rPr>
              <w:t xml:space="preserve">generated </w:t>
            </w:r>
            <w:r w:rsidR="00933C73">
              <w:rPr>
                <w:rFonts w:asciiTheme="minorHAnsi" w:hAnsiTheme="minorHAnsi" w:cs="Arial"/>
                <w:b/>
                <w:sz w:val="20"/>
                <w:szCs w:val="20"/>
              </w:rPr>
              <w:t>from</w:t>
            </w:r>
            <w:r w:rsidR="00BB0194">
              <w:rPr>
                <w:rFonts w:asciiTheme="minorHAnsi" w:hAnsiTheme="minorHAnsi" w:cs="Arial"/>
                <w:b/>
                <w:sz w:val="20"/>
                <w:szCs w:val="20"/>
              </w:rPr>
              <w:t>/</w:t>
            </w:r>
            <w:r w:rsidR="00933C73">
              <w:rPr>
                <w:rFonts w:asciiTheme="minorHAnsi" w:hAnsiTheme="minorHAnsi" w:cs="Arial"/>
                <w:b/>
                <w:sz w:val="20"/>
                <w:szCs w:val="20"/>
              </w:rPr>
              <w:t>(</w:t>
            </w:r>
            <w:r w:rsidRPr="00085AA2">
              <w:rPr>
                <w:rFonts w:asciiTheme="minorHAnsi" w:hAnsiTheme="minorHAnsi" w:cs="Arial"/>
                <w:b/>
                <w:sz w:val="20"/>
                <w:szCs w:val="20"/>
              </w:rPr>
              <w:t>used in</w:t>
            </w:r>
            <w:r w:rsidR="00933C73">
              <w:rPr>
                <w:rFonts w:asciiTheme="minorHAnsi" w:hAnsiTheme="minorHAnsi" w:cs="Arial"/>
                <w:b/>
                <w:sz w:val="20"/>
                <w:szCs w:val="20"/>
              </w:rPr>
              <w:t>)</w:t>
            </w:r>
            <w:r w:rsidRPr="00085AA2">
              <w:rPr>
                <w:rFonts w:asciiTheme="minorHAnsi" w:hAnsiTheme="minorHAnsi" w:cs="Arial"/>
                <w:b/>
                <w:sz w:val="20"/>
                <w:szCs w:val="20"/>
              </w:rPr>
              <w:t xml:space="preserve"> operating activities </w:t>
            </w:r>
          </w:p>
        </w:tc>
        <w:tc>
          <w:tcPr>
            <w:tcW w:w="487" w:type="pct"/>
            <w:vAlign w:val="bottom"/>
          </w:tcPr>
          <w:p w14:paraId="65832F23" w14:textId="77777777" w:rsidR="00927F88" w:rsidRPr="00BB3187" w:rsidRDefault="00927F88" w:rsidP="00AF5A74">
            <w:pPr>
              <w:jc w:val="right"/>
              <w:rPr>
                <w:rFonts w:asciiTheme="minorHAnsi" w:hAnsiTheme="minorHAnsi" w:cs="Arial"/>
                <w:sz w:val="20"/>
                <w:szCs w:val="20"/>
              </w:rPr>
            </w:pPr>
          </w:p>
        </w:tc>
        <w:tc>
          <w:tcPr>
            <w:tcW w:w="648" w:type="pct"/>
            <w:shd w:val="clear" w:color="auto" w:fill="F2F2F2" w:themeFill="background1" w:themeFillShade="F2"/>
          </w:tcPr>
          <w:p w14:paraId="74B44ADF" w14:textId="7F519002" w:rsidR="00927F88" w:rsidRPr="008143A6" w:rsidRDefault="736AEACF" w:rsidP="00AF5A74">
            <w:pPr>
              <w:jc w:val="right"/>
              <w:rPr>
                <w:rFonts w:asciiTheme="minorHAnsi" w:hAnsiTheme="minorHAnsi" w:cs="Arial"/>
                <w:b/>
                <w:sz w:val="20"/>
                <w:szCs w:val="20"/>
              </w:rPr>
            </w:pPr>
            <w:r w:rsidRPr="3C57516D">
              <w:rPr>
                <w:rFonts w:asciiTheme="minorHAnsi" w:hAnsiTheme="minorHAnsi" w:cs="Arial"/>
                <w:b/>
                <w:bCs/>
                <w:sz w:val="20"/>
                <w:szCs w:val="20"/>
              </w:rPr>
              <w:t>1</w:t>
            </w:r>
            <w:r w:rsidR="31C621C3" w:rsidRPr="3C57516D">
              <w:rPr>
                <w:rFonts w:asciiTheme="minorHAnsi" w:hAnsiTheme="minorHAnsi" w:cs="Arial"/>
                <w:b/>
                <w:bCs/>
                <w:sz w:val="20"/>
                <w:szCs w:val="20"/>
              </w:rPr>
              <w:t>63.</w:t>
            </w:r>
            <w:r w:rsidR="00E04043">
              <w:rPr>
                <w:rFonts w:asciiTheme="minorHAnsi" w:hAnsiTheme="minorHAnsi" w:cs="Arial"/>
                <w:b/>
                <w:bCs/>
                <w:sz w:val="20"/>
                <w:szCs w:val="20"/>
              </w:rPr>
              <w:t>7</w:t>
            </w:r>
          </w:p>
        </w:tc>
        <w:tc>
          <w:tcPr>
            <w:tcW w:w="766" w:type="pct"/>
            <w:vAlign w:val="bottom"/>
          </w:tcPr>
          <w:p w14:paraId="43A94233" w14:textId="591F9951" w:rsidR="00927F88" w:rsidRPr="006D4208" w:rsidRDefault="00927F88" w:rsidP="00AF5A74">
            <w:pPr>
              <w:jc w:val="right"/>
              <w:rPr>
                <w:rFonts w:asciiTheme="minorHAnsi" w:hAnsiTheme="minorHAnsi" w:cs="Arial"/>
                <w:sz w:val="20"/>
                <w:szCs w:val="20"/>
              </w:rPr>
            </w:pPr>
            <w:r w:rsidRPr="006D4208">
              <w:rPr>
                <w:rFonts w:asciiTheme="minorHAnsi" w:hAnsiTheme="minorHAnsi" w:cs="Arial"/>
                <w:sz w:val="20"/>
                <w:szCs w:val="20"/>
              </w:rPr>
              <w:t>(20</w:t>
            </w:r>
            <w:r w:rsidR="0011746D" w:rsidRPr="006D4208">
              <w:rPr>
                <w:rFonts w:asciiTheme="minorHAnsi" w:hAnsiTheme="minorHAnsi" w:cs="Arial"/>
                <w:sz w:val="20"/>
                <w:szCs w:val="20"/>
              </w:rPr>
              <w:t>5.</w:t>
            </w:r>
            <w:r w:rsidR="00E60CB0">
              <w:rPr>
                <w:rFonts w:asciiTheme="minorHAnsi" w:hAnsiTheme="minorHAnsi" w:cs="Arial"/>
                <w:sz w:val="20"/>
                <w:szCs w:val="20"/>
              </w:rPr>
              <w:t>5</w:t>
            </w:r>
            <w:r w:rsidRPr="006D4208">
              <w:rPr>
                <w:rFonts w:asciiTheme="minorHAnsi" w:hAnsiTheme="minorHAnsi" w:cs="Arial"/>
                <w:sz w:val="20"/>
                <w:szCs w:val="20"/>
              </w:rPr>
              <w:t>)</w:t>
            </w:r>
          </w:p>
        </w:tc>
      </w:tr>
      <w:tr w:rsidR="00927F88" w:rsidRPr="00085AA2" w14:paraId="1AC0EBEA" w14:textId="77777777" w:rsidTr="0014103E">
        <w:tc>
          <w:tcPr>
            <w:tcW w:w="3099" w:type="pct"/>
            <w:vAlign w:val="bottom"/>
          </w:tcPr>
          <w:p w14:paraId="505DFA21" w14:textId="77777777" w:rsidR="00927F88" w:rsidRPr="00085AA2" w:rsidRDefault="00927F88" w:rsidP="00AF5A74">
            <w:pPr>
              <w:rPr>
                <w:rFonts w:asciiTheme="minorHAnsi" w:hAnsiTheme="minorHAnsi" w:cs="Arial"/>
                <w:sz w:val="20"/>
                <w:szCs w:val="20"/>
              </w:rPr>
            </w:pPr>
          </w:p>
        </w:tc>
        <w:tc>
          <w:tcPr>
            <w:tcW w:w="487" w:type="pct"/>
            <w:vAlign w:val="bottom"/>
          </w:tcPr>
          <w:p w14:paraId="4051A7DE" w14:textId="77777777" w:rsidR="00927F88" w:rsidRPr="00BB3187" w:rsidRDefault="00927F88" w:rsidP="00AF5A74">
            <w:pPr>
              <w:jc w:val="right"/>
              <w:rPr>
                <w:rFonts w:asciiTheme="minorHAnsi" w:hAnsiTheme="minorHAnsi" w:cs="Arial"/>
                <w:sz w:val="20"/>
                <w:szCs w:val="20"/>
              </w:rPr>
            </w:pPr>
          </w:p>
        </w:tc>
        <w:tc>
          <w:tcPr>
            <w:tcW w:w="648" w:type="pct"/>
            <w:tcBorders>
              <w:top w:val="single" w:sz="4" w:space="0" w:color="auto"/>
              <w:left w:val="nil"/>
              <w:bottom w:val="nil"/>
              <w:right w:val="nil"/>
            </w:tcBorders>
            <w:shd w:val="clear" w:color="auto" w:fill="F2F2F2" w:themeFill="background1" w:themeFillShade="F2"/>
          </w:tcPr>
          <w:p w14:paraId="17A1CE5C" w14:textId="77777777" w:rsidR="00927F88" w:rsidRPr="00927F88" w:rsidRDefault="00927F88" w:rsidP="00AF5A74">
            <w:pPr>
              <w:jc w:val="right"/>
              <w:rPr>
                <w:rFonts w:asciiTheme="minorHAnsi" w:hAnsiTheme="minorHAnsi" w:cs="Arial"/>
                <w:b/>
                <w:sz w:val="20"/>
                <w:szCs w:val="20"/>
                <w:highlight w:val="yellow"/>
              </w:rPr>
            </w:pPr>
          </w:p>
        </w:tc>
        <w:tc>
          <w:tcPr>
            <w:tcW w:w="766" w:type="pct"/>
            <w:tcBorders>
              <w:top w:val="single" w:sz="4" w:space="0" w:color="auto"/>
              <w:left w:val="nil"/>
              <w:bottom w:val="nil"/>
              <w:right w:val="nil"/>
            </w:tcBorders>
            <w:vAlign w:val="bottom"/>
          </w:tcPr>
          <w:p w14:paraId="357669AD" w14:textId="77777777" w:rsidR="00927F88" w:rsidRPr="008074EE" w:rsidRDefault="00927F88" w:rsidP="00AF5A74">
            <w:pPr>
              <w:jc w:val="right"/>
              <w:rPr>
                <w:rFonts w:asciiTheme="minorHAnsi" w:hAnsiTheme="minorHAnsi" w:cs="Arial"/>
                <w:sz w:val="20"/>
                <w:szCs w:val="20"/>
                <w:highlight w:val="yellow"/>
              </w:rPr>
            </w:pPr>
          </w:p>
        </w:tc>
      </w:tr>
      <w:tr w:rsidR="00927F88" w:rsidRPr="00085AA2" w14:paraId="09DE2FAA" w14:textId="77777777" w:rsidTr="0014103E">
        <w:tc>
          <w:tcPr>
            <w:tcW w:w="3099" w:type="pct"/>
            <w:vAlign w:val="bottom"/>
          </w:tcPr>
          <w:p w14:paraId="76273038" w14:textId="77777777" w:rsidR="00927F88" w:rsidRPr="00085AA2" w:rsidRDefault="00927F88" w:rsidP="00AF5A74">
            <w:pPr>
              <w:rPr>
                <w:rFonts w:asciiTheme="minorHAnsi" w:hAnsiTheme="minorHAnsi" w:cs="Arial"/>
                <w:b/>
                <w:sz w:val="20"/>
                <w:szCs w:val="20"/>
              </w:rPr>
            </w:pPr>
            <w:r w:rsidRPr="00085AA2">
              <w:rPr>
                <w:rFonts w:asciiTheme="minorHAnsi" w:hAnsiTheme="minorHAnsi" w:cs="Arial"/>
                <w:b/>
                <w:sz w:val="20"/>
                <w:szCs w:val="20"/>
              </w:rPr>
              <w:t xml:space="preserve">Cash flows from investing activities </w:t>
            </w:r>
          </w:p>
        </w:tc>
        <w:tc>
          <w:tcPr>
            <w:tcW w:w="487" w:type="pct"/>
            <w:vAlign w:val="bottom"/>
          </w:tcPr>
          <w:p w14:paraId="5871C7BB" w14:textId="77777777" w:rsidR="00927F88" w:rsidRPr="00BB3187" w:rsidRDefault="00927F88" w:rsidP="00AF5A74">
            <w:pPr>
              <w:jc w:val="right"/>
              <w:rPr>
                <w:rFonts w:asciiTheme="minorHAnsi" w:hAnsiTheme="minorHAnsi" w:cs="Arial"/>
                <w:sz w:val="20"/>
                <w:szCs w:val="20"/>
              </w:rPr>
            </w:pPr>
          </w:p>
        </w:tc>
        <w:tc>
          <w:tcPr>
            <w:tcW w:w="648" w:type="pct"/>
            <w:shd w:val="clear" w:color="auto" w:fill="F2F2F2" w:themeFill="background1" w:themeFillShade="F2"/>
          </w:tcPr>
          <w:p w14:paraId="200846A6" w14:textId="77777777" w:rsidR="00927F88" w:rsidRPr="00927F88" w:rsidRDefault="00927F88" w:rsidP="00AF5A74">
            <w:pPr>
              <w:jc w:val="right"/>
              <w:rPr>
                <w:rFonts w:asciiTheme="minorHAnsi" w:hAnsiTheme="minorHAnsi" w:cs="Arial"/>
                <w:b/>
                <w:sz w:val="20"/>
                <w:szCs w:val="20"/>
                <w:highlight w:val="yellow"/>
              </w:rPr>
            </w:pPr>
          </w:p>
        </w:tc>
        <w:tc>
          <w:tcPr>
            <w:tcW w:w="766" w:type="pct"/>
            <w:vAlign w:val="bottom"/>
          </w:tcPr>
          <w:p w14:paraId="788B0F7D" w14:textId="77777777" w:rsidR="00927F88" w:rsidRPr="008074EE" w:rsidRDefault="00927F88" w:rsidP="00AF5A74">
            <w:pPr>
              <w:jc w:val="right"/>
              <w:rPr>
                <w:rFonts w:asciiTheme="minorHAnsi" w:hAnsiTheme="minorHAnsi" w:cs="Arial"/>
                <w:sz w:val="20"/>
                <w:szCs w:val="20"/>
                <w:highlight w:val="yellow"/>
              </w:rPr>
            </w:pPr>
          </w:p>
        </w:tc>
      </w:tr>
      <w:tr w:rsidR="00927F88" w:rsidRPr="00085AA2" w14:paraId="3239C85C" w14:textId="77777777" w:rsidTr="0014103E">
        <w:tc>
          <w:tcPr>
            <w:tcW w:w="3099" w:type="pct"/>
            <w:vAlign w:val="bottom"/>
          </w:tcPr>
          <w:p w14:paraId="2BD74CF9" w14:textId="77777777" w:rsidR="00927F88" w:rsidRPr="00085AA2" w:rsidRDefault="00927F88" w:rsidP="00AF5A74">
            <w:pPr>
              <w:rPr>
                <w:rFonts w:asciiTheme="minorHAnsi" w:hAnsiTheme="minorHAnsi" w:cs="Arial"/>
                <w:sz w:val="20"/>
                <w:szCs w:val="20"/>
              </w:rPr>
            </w:pPr>
            <w:r w:rsidRPr="00085AA2">
              <w:rPr>
                <w:rFonts w:asciiTheme="minorHAnsi" w:hAnsiTheme="minorHAnsi" w:cs="Arial"/>
                <w:sz w:val="20"/>
                <w:szCs w:val="20"/>
              </w:rPr>
              <w:t>Purchase of intangible assets</w:t>
            </w:r>
          </w:p>
        </w:tc>
        <w:tc>
          <w:tcPr>
            <w:tcW w:w="487" w:type="pct"/>
            <w:vAlign w:val="bottom"/>
          </w:tcPr>
          <w:p w14:paraId="7DB0B97B" w14:textId="5D486DA3" w:rsidR="00927F88" w:rsidRPr="00BB3187" w:rsidRDefault="00927F88" w:rsidP="00AF5A74">
            <w:pPr>
              <w:jc w:val="right"/>
              <w:rPr>
                <w:rFonts w:asciiTheme="minorHAnsi" w:hAnsiTheme="minorHAnsi" w:cs="Arial"/>
                <w:sz w:val="20"/>
                <w:szCs w:val="20"/>
              </w:rPr>
            </w:pPr>
            <w:r w:rsidRPr="009C12FE">
              <w:rPr>
                <w:rFonts w:asciiTheme="minorHAnsi" w:hAnsiTheme="minorHAnsi" w:cs="Arial"/>
                <w:sz w:val="20"/>
                <w:szCs w:val="20"/>
              </w:rPr>
              <w:t>1</w:t>
            </w:r>
            <w:r w:rsidR="009C12FE" w:rsidRPr="009C12FE">
              <w:rPr>
                <w:rFonts w:asciiTheme="minorHAnsi" w:hAnsiTheme="minorHAnsi" w:cs="Arial"/>
                <w:sz w:val="20"/>
                <w:szCs w:val="20"/>
              </w:rPr>
              <w:t>0</w:t>
            </w:r>
          </w:p>
        </w:tc>
        <w:tc>
          <w:tcPr>
            <w:tcW w:w="648" w:type="pct"/>
            <w:shd w:val="clear" w:color="auto" w:fill="F2F2F2" w:themeFill="background1" w:themeFillShade="F2"/>
          </w:tcPr>
          <w:p w14:paraId="7FC89964" w14:textId="770E9668" w:rsidR="00927F88" w:rsidRPr="00A31445" w:rsidRDefault="00927F88" w:rsidP="00AF5A74">
            <w:pPr>
              <w:jc w:val="right"/>
              <w:rPr>
                <w:rFonts w:asciiTheme="minorHAnsi" w:hAnsiTheme="minorHAnsi" w:cs="Arial"/>
                <w:b/>
                <w:sz w:val="20"/>
                <w:szCs w:val="20"/>
              </w:rPr>
            </w:pPr>
            <w:r w:rsidRPr="00A31445">
              <w:rPr>
                <w:rFonts w:asciiTheme="minorHAnsi" w:hAnsiTheme="minorHAnsi" w:cs="Arial"/>
                <w:b/>
                <w:sz w:val="20"/>
                <w:szCs w:val="20"/>
              </w:rPr>
              <w:t>(</w:t>
            </w:r>
            <w:r w:rsidR="7AE6C254" w:rsidRPr="3C57516D">
              <w:rPr>
                <w:rFonts w:asciiTheme="minorHAnsi" w:hAnsiTheme="minorHAnsi" w:cs="Arial"/>
                <w:b/>
                <w:bCs/>
                <w:sz w:val="20"/>
                <w:szCs w:val="20"/>
              </w:rPr>
              <w:t>5.7</w:t>
            </w:r>
            <w:r w:rsidRPr="00A31445">
              <w:rPr>
                <w:rFonts w:asciiTheme="minorHAnsi" w:hAnsiTheme="minorHAnsi" w:cs="Arial"/>
                <w:b/>
                <w:sz w:val="20"/>
                <w:szCs w:val="20"/>
              </w:rPr>
              <w:t>)</w:t>
            </w:r>
          </w:p>
        </w:tc>
        <w:tc>
          <w:tcPr>
            <w:tcW w:w="766" w:type="pct"/>
            <w:vAlign w:val="bottom"/>
          </w:tcPr>
          <w:p w14:paraId="4DB19F51" w14:textId="3F88956E" w:rsidR="00927F88" w:rsidRPr="006D4208" w:rsidRDefault="00927F88" w:rsidP="00AF5A74">
            <w:pPr>
              <w:jc w:val="right"/>
              <w:rPr>
                <w:rFonts w:asciiTheme="minorHAnsi" w:hAnsiTheme="minorHAnsi" w:cs="Arial"/>
                <w:sz w:val="20"/>
                <w:szCs w:val="20"/>
              </w:rPr>
            </w:pPr>
            <w:r w:rsidRPr="006D4208">
              <w:rPr>
                <w:rFonts w:asciiTheme="minorHAnsi" w:hAnsiTheme="minorHAnsi" w:cs="Arial"/>
                <w:sz w:val="20"/>
                <w:szCs w:val="20"/>
              </w:rPr>
              <w:t>(</w:t>
            </w:r>
            <w:r w:rsidR="00F070DC" w:rsidRPr="006D4208">
              <w:rPr>
                <w:rFonts w:asciiTheme="minorHAnsi" w:hAnsiTheme="minorHAnsi" w:cs="Arial"/>
                <w:sz w:val="20"/>
                <w:szCs w:val="20"/>
              </w:rPr>
              <w:t>11.3</w:t>
            </w:r>
            <w:r w:rsidRPr="006D4208">
              <w:rPr>
                <w:rFonts w:asciiTheme="minorHAnsi" w:hAnsiTheme="minorHAnsi" w:cs="Arial"/>
                <w:sz w:val="20"/>
                <w:szCs w:val="20"/>
              </w:rPr>
              <w:t>)</w:t>
            </w:r>
          </w:p>
        </w:tc>
      </w:tr>
      <w:tr w:rsidR="00927F88" w:rsidRPr="00085AA2" w14:paraId="31A787BF" w14:textId="77777777" w:rsidTr="0014103E">
        <w:tc>
          <w:tcPr>
            <w:tcW w:w="3099" w:type="pct"/>
            <w:vAlign w:val="bottom"/>
          </w:tcPr>
          <w:p w14:paraId="6DC83468" w14:textId="77777777" w:rsidR="00927F88" w:rsidRPr="00085AA2" w:rsidRDefault="00927F88" w:rsidP="00AF5A74">
            <w:pPr>
              <w:rPr>
                <w:rFonts w:ascii="Calibri" w:hAnsi="Calibri" w:cs="Arial"/>
                <w:sz w:val="20"/>
                <w:szCs w:val="20"/>
              </w:rPr>
            </w:pPr>
            <w:r w:rsidRPr="00085AA2">
              <w:rPr>
                <w:rFonts w:ascii="Calibri" w:hAnsi="Calibri" w:cs="Arial"/>
                <w:sz w:val="20"/>
                <w:szCs w:val="20"/>
              </w:rPr>
              <w:t>Purchase of property, plant and equipment</w:t>
            </w:r>
          </w:p>
        </w:tc>
        <w:tc>
          <w:tcPr>
            <w:tcW w:w="487" w:type="pct"/>
            <w:vAlign w:val="bottom"/>
          </w:tcPr>
          <w:p w14:paraId="348F6275" w14:textId="77777777" w:rsidR="00927F88" w:rsidRPr="00BB3187" w:rsidRDefault="00927F88" w:rsidP="00AF5A74">
            <w:pPr>
              <w:jc w:val="right"/>
              <w:rPr>
                <w:rFonts w:asciiTheme="minorHAnsi" w:hAnsiTheme="minorHAnsi" w:cs="Arial"/>
                <w:sz w:val="20"/>
                <w:szCs w:val="20"/>
              </w:rPr>
            </w:pPr>
          </w:p>
        </w:tc>
        <w:tc>
          <w:tcPr>
            <w:tcW w:w="648" w:type="pct"/>
            <w:shd w:val="clear" w:color="auto" w:fill="F2F2F2" w:themeFill="background1" w:themeFillShade="F2"/>
          </w:tcPr>
          <w:p w14:paraId="7BC0F2E6" w14:textId="5BCD7D54" w:rsidR="00927F88" w:rsidRPr="00A31445" w:rsidRDefault="00927F88" w:rsidP="00AF5A74">
            <w:pPr>
              <w:jc w:val="right"/>
              <w:rPr>
                <w:rFonts w:asciiTheme="minorHAnsi" w:hAnsiTheme="minorHAnsi" w:cs="Arial"/>
                <w:b/>
                <w:sz w:val="20"/>
                <w:szCs w:val="20"/>
              </w:rPr>
            </w:pPr>
            <w:r w:rsidRPr="00A31445">
              <w:rPr>
                <w:rFonts w:asciiTheme="minorHAnsi" w:hAnsiTheme="minorHAnsi" w:cs="Arial"/>
                <w:b/>
                <w:sz w:val="20"/>
                <w:szCs w:val="20"/>
              </w:rPr>
              <w:t>(</w:t>
            </w:r>
            <w:r w:rsidR="1FAA11A8" w:rsidRPr="3C57516D">
              <w:rPr>
                <w:rFonts w:asciiTheme="minorHAnsi" w:hAnsiTheme="minorHAnsi" w:cs="Arial"/>
                <w:b/>
                <w:bCs/>
                <w:sz w:val="20"/>
                <w:szCs w:val="20"/>
              </w:rPr>
              <w:t>4.5</w:t>
            </w:r>
            <w:r w:rsidRPr="00A31445">
              <w:rPr>
                <w:rFonts w:asciiTheme="minorHAnsi" w:hAnsiTheme="minorHAnsi" w:cs="Arial"/>
                <w:b/>
                <w:sz w:val="20"/>
                <w:szCs w:val="20"/>
              </w:rPr>
              <w:t>)</w:t>
            </w:r>
          </w:p>
        </w:tc>
        <w:tc>
          <w:tcPr>
            <w:tcW w:w="766" w:type="pct"/>
            <w:vAlign w:val="bottom"/>
          </w:tcPr>
          <w:p w14:paraId="34335DF0" w14:textId="32E33CD2" w:rsidR="00927F88" w:rsidRPr="006D4208" w:rsidRDefault="00927F88" w:rsidP="00AF5A74">
            <w:pPr>
              <w:jc w:val="right"/>
              <w:rPr>
                <w:rFonts w:asciiTheme="minorHAnsi" w:hAnsiTheme="minorHAnsi" w:cs="Arial"/>
                <w:sz w:val="20"/>
                <w:szCs w:val="20"/>
              </w:rPr>
            </w:pPr>
            <w:r w:rsidRPr="006D4208">
              <w:rPr>
                <w:rFonts w:asciiTheme="minorHAnsi" w:hAnsiTheme="minorHAnsi" w:cs="Arial"/>
                <w:sz w:val="20"/>
                <w:szCs w:val="20"/>
              </w:rPr>
              <w:t>(3.</w:t>
            </w:r>
            <w:r w:rsidR="00F070DC" w:rsidRPr="006D4208">
              <w:rPr>
                <w:rFonts w:asciiTheme="minorHAnsi" w:hAnsiTheme="minorHAnsi" w:cs="Arial"/>
                <w:sz w:val="20"/>
                <w:szCs w:val="20"/>
              </w:rPr>
              <w:t>0</w:t>
            </w:r>
            <w:r w:rsidRPr="006D4208">
              <w:rPr>
                <w:rFonts w:asciiTheme="minorHAnsi" w:hAnsiTheme="minorHAnsi" w:cs="Arial"/>
                <w:sz w:val="20"/>
                <w:szCs w:val="20"/>
              </w:rPr>
              <w:t>)</w:t>
            </w:r>
          </w:p>
        </w:tc>
      </w:tr>
      <w:tr w:rsidR="00927F88" w:rsidRPr="00085AA2" w14:paraId="73403BB4" w14:textId="77777777" w:rsidTr="0014103E">
        <w:tc>
          <w:tcPr>
            <w:tcW w:w="3099" w:type="pct"/>
            <w:vAlign w:val="bottom"/>
          </w:tcPr>
          <w:p w14:paraId="53392A81" w14:textId="77777777" w:rsidR="00927F88" w:rsidRPr="00085AA2" w:rsidRDefault="00927F88" w:rsidP="00AF5A74">
            <w:pPr>
              <w:rPr>
                <w:rFonts w:asciiTheme="minorHAnsi" w:hAnsiTheme="minorHAnsi" w:cs="Arial"/>
                <w:b/>
                <w:sz w:val="20"/>
                <w:szCs w:val="20"/>
              </w:rPr>
            </w:pPr>
            <w:r w:rsidRPr="00085AA2">
              <w:rPr>
                <w:rFonts w:asciiTheme="minorHAnsi" w:hAnsiTheme="minorHAnsi" w:cs="Arial"/>
                <w:b/>
                <w:sz w:val="20"/>
                <w:szCs w:val="20"/>
              </w:rPr>
              <w:t xml:space="preserve">Net cash used in investing activities </w:t>
            </w:r>
          </w:p>
        </w:tc>
        <w:tc>
          <w:tcPr>
            <w:tcW w:w="487" w:type="pct"/>
            <w:vAlign w:val="bottom"/>
          </w:tcPr>
          <w:p w14:paraId="53207B44" w14:textId="77777777" w:rsidR="00927F88" w:rsidRPr="00BB3187" w:rsidRDefault="00927F88" w:rsidP="00AF5A74">
            <w:pPr>
              <w:jc w:val="right"/>
              <w:rPr>
                <w:rFonts w:asciiTheme="minorHAnsi" w:hAnsiTheme="minorHAnsi" w:cs="Arial"/>
                <w:sz w:val="20"/>
                <w:szCs w:val="20"/>
              </w:rPr>
            </w:pPr>
          </w:p>
        </w:tc>
        <w:tc>
          <w:tcPr>
            <w:tcW w:w="648" w:type="pct"/>
            <w:tcBorders>
              <w:top w:val="single" w:sz="4" w:space="0" w:color="auto"/>
              <w:left w:val="nil"/>
              <w:bottom w:val="nil"/>
              <w:right w:val="nil"/>
            </w:tcBorders>
            <w:shd w:val="clear" w:color="auto" w:fill="F2F2F2" w:themeFill="background1" w:themeFillShade="F2"/>
          </w:tcPr>
          <w:p w14:paraId="2025C8D4" w14:textId="46C367CA" w:rsidR="00927F88" w:rsidRPr="00A31445" w:rsidRDefault="00927F88" w:rsidP="00AF5A74">
            <w:pPr>
              <w:jc w:val="right"/>
              <w:rPr>
                <w:rFonts w:asciiTheme="minorHAnsi" w:hAnsiTheme="minorHAnsi" w:cs="Arial"/>
                <w:b/>
                <w:sz w:val="20"/>
                <w:szCs w:val="20"/>
              </w:rPr>
            </w:pPr>
            <w:r w:rsidRPr="00A31445">
              <w:rPr>
                <w:rFonts w:asciiTheme="minorHAnsi" w:hAnsiTheme="minorHAnsi" w:cs="Arial"/>
                <w:b/>
                <w:sz w:val="20"/>
                <w:szCs w:val="20"/>
              </w:rPr>
              <w:t>(</w:t>
            </w:r>
            <w:r w:rsidR="55CDA6C1" w:rsidRPr="3C57516D">
              <w:rPr>
                <w:rFonts w:asciiTheme="minorHAnsi" w:hAnsiTheme="minorHAnsi" w:cs="Arial"/>
                <w:b/>
                <w:bCs/>
                <w:sz w:val="20"/>
                <w:szCs w:val="20"/>
              </w:rPr>
              <w:t>10.2</w:t>
            </w:r>
            <w:r w:rsidRPr="00A31445">
              <w:rPr>
                <w:rFonts w:asciiTheme="minorHAnsi" w:hAnsiTheme="minorHAnsi" w:cs="Arial"/>
                <w:b/>
                <w:sz w:val="20"/>
                <w:szCs w:val="20"/>
              </w:rPr>
              <w:t>)</w:t>
            </w:r>
          </w:p>
        </w:tc>
        <w:tc>
          <w:tcPr>
            <w:tcW w:w="766" w:type="pct"/>
            <w:tcBorders>
              <w:top w:val="single" w:sz="4" w:space="0" w:color="auto"/>
              <w:left w:val="nil"/>
              <w:bottom w:val="nil"/>
              <w:right w:val="nil"/>
            </w:tcBorders>
            <w:vAlign w:val="bottom"/>
          </w:tcPr>
          <w:p w14:paraId="649640C9" w14:textId="39576FEE" w:rsidR="00927F88" w:rsidRPr="006D4208" w:rsidRDefault="00927F88" w:rsidP="00AF5A74">
            <w:pPr>
              <w:jc w:val="right"/>
              <w:rPr>
                <w:rFonts w:asciiTheme="minorHAnsi" w:hAnsiTheme="minorHAnsi" w:cs="Arial"/>
                <w:sz w:val="20"/>
                <w:szCs w:val="20"/>
              </w:rPr>
            </w:pPr>
            <w:r w:rsidRPr="006D4208">
              <w:rPr>
                <w:rFonts w:asciiTheme="minorHAnsi" w:hAnsiTheme="minorHAnsi" w:cs="Arial"/>
                <w:sz w:val="20"/>
                <w:szCs w:val="20"/>
              </w:rPr>
              <w:t>(</w:t>
            </w:r>
            <w:r w:rsidR="00F070DC" w:rsidRPr="006D4208">
              <w:rPr>
                <w:rFonts w:asciiTheme="minorHAnsi" w:hAnsiTheme="minorHAnsi" w:cs="Arial"/>
                <w:sz w:val="20"/>
                <w:szCs w:val="20"/>
              </w:rPr>
              <w:t>14.3</w:t>
            </w:r>
            <w:r w:rsidRPr="006D4208">
              <w:rPr>
                <w:rFonts w:asciiTheme="minorHAnsi" w:hAnsiTheme="minorHAnsi" w:cs="Arial"/>
                <w:sz w:val="20"/>
                <w:szCs w:val="20"/>
              </w:rPr>
              <w:t>)</w:t>
            </w:r>
          </w:p>
        </w:tc>
      </w:tr>
      <w:tr w:rsidR="00927F88" w:rsidRPr="00085AA2" w14:paraId="7DBA8F6A" w14:textId="77777777" w:rsidTr="0014103E">
        <w:tc>
          <w:tcPr>
            <w:tcW w:w="3099" w:type="pct"/>
            <w:vAlign w:val="bottom"/>
          </w:tcPr>
          <w:p w14:paraId="023F5CAF" w14:textId="77777777" w:rsidR="00927F88" w:rsidRPr="00085AA2" w:rsidRDefault="00927F88" w:rsidP="00AF5A74">
            <w:pPr>
              <w:rPr>
                <w:rFonts w:asciiTheme="minorHAnsi" w:hAnsiTheme="minorHAnsi" w:cs="Arial"/>
                <w:sz w:val="20"/>
                <w:szCs w:val="20"/>
              </w:rPr>
            </w:pPr>
          </w:p>
        </w:tc>
        <w:tc>
          <w:tcPr>
            <w:tcW w:w="487" w:type="pct"/>
            <w:vAlign w:val="bottom"/>
          </w:tcPr>
          <w:p w14:paraId="53D35574" w14:textId="77777777" w:rsidR="00927F88" w:rsidRPr="00BB3187" w:rsidRDefault="00927F88" w:rsidP="00AF5A74">
            <w:pPr>
              <w:jc w:val="right"/>
              <w:rPr>
                <w:rFonts w:asciiTheme="minorHAnsi" w:hAnsiTheme="minorHAnsi" w:cs="Arial"/>
                <w:sz w:val="20"/>
                <w:szCs w:val="20"/>
              </w:rPr>
            </w:pPr>
          </w:p>
        </w:tc>
        <w:tc>
          <w:tcPr>
            <w:tcW w:w="648" w:type="pct"/>
            <w:tcBorders>
              <w:top w:val="single" w:sz="4" w:space="0" w:color="auto"/>
              <w:left w:val="nil"/>
              <w:bottom w:val="nil"/>
              <w:right w:val="nil"/>
            </w:tcBorders>
            <w:shd w:val="clear" w:color="auto" w:fill="F2F2F2" w:themeFill="background1" w:themeFillShade="F2"/>
          </w:tcPr>
          <w:p w14:paraId="6D821F9A" w14:textId="77777777" w:rsidR="00927F88" w:rsidRPr="00927F88" w:rsidRDefault="00927F88" w:rsidP="00AF5A74">
            <w:pPr>
              <w:jc w:val="right"/>
              <w:rPr>
                <w:rFonts w:asciiTheme="minorHAnsi" w:hAnsiTheme="minorHAnsi" w:cs="Arial"/>
                <w:b/>
                <w:sz w:val="20"/>
                <w:szCs w:val="20"/>
                <w:highlight w:val="yellow"/>
              </w:rPr>
            </w:pPr>
          </w:p>
        </w:tc>
        <w:tc>
          <w:tcPr>
            <w:tcW w:w="766" w:type="pct"/>
            <w:tcBorders>
              <w:top w:val="single" w:sz="4" w:space="0" w:color="auto"/>
              <w:left w:val="nil"/>
              <w:bottom w:val="nil"/>
              <w:right w:val="nil"/>
            </w:tcBorders>
            <w:vAlign w:val="bottom"/>
          </w:tcPr>
          <w:p w14:paraId="34034D55" w14:textId="77777777" w:rsidR="00927F88" w:rsidRPr="006D4208" w:rsidRDefault="00927F88" w:rsidP="00AF5A74">
            <w:pPr>
              <w:jc w:val="right"/>
              <w:rPr>
                <w:rFonts w:asciiTheme="minorHAnsi" w:hAnsiTheme="minorHAnsi" w:cs="Arial"/>
                <w:sz w:val="20"/>
                <w:szCs w:val="20"/>
              </w:rPr>
            </w:pPr>
          </w:p>
        </w:tc>
      </w:tr>
      <w:tr w:rsidR="00927F88" w:rsidRPr="00085AA2" w14:paraId="7EF42104" w14:textId="77777777" w:rsidTr="0014103E">
        <w:tc>
          <w:tcPr>
            <w:tcW w:w="3099" w:type="pct"/>
            <w:vAlign w:val="bottom"/>
          </w:tcPr>
          <w:p w14:paraId="791CD808" w14:textId="77777777" w:rsidR="00927F88" w:rsidRPr="00085AA2" w:rsidRDefault="00927F88" w:rsidP="00AF5A74">
            <w:pPr>
              <w:rPr>
                <w:rFonts w:asciiTheme="minorHAnsi" w:hAnsiTheme="minorHAnsi" w:cs="Arial"/>
                <w:b/>
                <w:sz w:val="20"/>
                <w:szCs w:val="20"/>
              </w:rPr>
            </w:pPr>
            <w:r w:rsidRPr="00085AA2">
              <w:rPr>
                <w:rFonts w:asciiTheme="minorHAnsi" w:hAnsiTheme="minorHAnsi" w:cs="Arial"/>
                <w:b/>
                <w:sz w:val="20"/>
                <w:szCs w:val="20"/>
              </w:rPr>
              <w:t xml:space="preserve">Cash flows from financing activities </w:t>
            </w:r>
          </w:p>
        </w:tc>
        <w:tc>
          <w:tcPr>
            <w:tcW w:w="487" w:type="pct"/>
            <w:vAlign w:val="bottom"/>
          </w:tcPr>
          <w:p w14:paraId="629894EE" w14:textId="77777777" w:rsidR="00927F88" w:rsidRPr="00BB3187" w:rsidRDefault="00927F88" w:rsidP="00AF5A74">
            <w:pPr>
              <w:jc w:val="right"/>
              <w:rPr>
                <w:rFonts w:asciiTheme="minorHAnsi" w:hAnsiTheme="minorHAnsi" w:cs="Arial"/>
                <w:sz w:val="20"/>
                <w:szCs w:val="20"/>
              </w:rPr>
            </w:pPr>
          </w:p>
        </w:tc>
        <w:tc>
          <w:tcPr>
            <w:tcW w:w="648" w:type="pct"/>
            <w:shd w:val="clear" w:color="auto" w:fill="F2F2F2" w:themeFill="background1" w:themeFillShade="F2"/>
          </w:tcPr>
          <w:p w14:paraId="12964934" w14:textId="77777777" w:rsidR="00927F88" w:rsidRPr="00927F88" w:rsidRDefault="00927F88" w:rsidP="00AF5A74">
            <w:pPr>
              <w:jc w:val="right"/>
              <w:rPr>
                <w:rFonts w:asciiTheme="minorHAnsi" w:hAnsiTheme="minorHAnsi" w:cs="Arial"/>
                <w:b/>
                <w:sz w:val="20"/>
                <w:szCs w:val="20"/>
                <w:highlight w:val="yellow"/>
              </w:rPr>
            </w:pPr>
          </w:p>
        </w:tc>
        <w:tc>
          <w:tcPr>
            <w:tcW w:w="766" w:type="pct"/>
            <w:vAlign w:val="bottom"/>
          </w:tcPr>
          <w:p w14:paraId="2A830218" w14:textId="77777777" w:rsidR="00927F88" w:rsidRPr="008074EE" w:rsidRDefault="00927F88" w:rsidP="00AF5A74">
            <w:pPr>
              <w:jc w:val="right"/>
              <w:rPr>
                <w:rFonts w:asciiTheme="minorHAnsi" w:hAnsiTheme="minorHAnsi" w:cs="Arial"/>
                <w:sz w:val="20"/>
                <w:szCs w:val="20"/>
                <w:highlight w:val="yellow"/>
              </w:rPr>
            </w:pPr>
          </w:p>
        </w:tc>
      </w:tr>
      <w:tr w:rsidR="00927F88" w:rsidRPr="00085AA2" w14:paraId="2F194390" w14:textId="77777777" w:rsidTr="0014103E">
        <w:tc>
          <w:tcPr>
            <w:tcW w:w="3099" w:type="pct"/>
            <w:vAlign w:val="bottom"/>
          </w:tcPr>
          <w:p w14:paraId="76A38F89" w14:textId="77777777" w:rsidR="00927F88" w:rsidRPr="00085AA2" w:rsidRDefault="00927F88" w:rsidP="00AF5A74">
            <w:pPr>
              <w:rPr>
                <w:rFonts w:ascii="Calibri" w:hAnsi="Calibri" w:cs="Arial"/>
                <w:sz w:val="20"/>
                <w:szCs w:val="20"/>
              </w:rPr>
            </w:pPr>
            <w:r w:rsidRPr="00085AA2">
              <w:rPr>
                <w:rFonts w:ascii="Calibri" w:hAnsi="Calibri" w:cs="Arial"/>
                <w:sz w:val="20"/>
                <w:szCs w:val="20"/>
              </w:rPr>
              <w:t xml:space="preserve">Proceeds from bank and other borrowings </w:t>
            </w:r>
          </w:p>
        </w:tc>
        <w:tc>
          <w:tcPr>
            <w:tcW w:w="487" w:type="pct"/>
            <w:vAlign w:val="bottom"/>
          </w:tcPr>
          <w:p w14:paraId="7BC668FC" w14:textId="77777777" w:rsidR="00927F88" w:rsidRPr="00BB3187" w:rsidRDefault="00927F88" w:rsidP="00AF5A74">
            <w:pPr>
              <w:jc w:val="right"/>
              <w:rPr>
                <w:rFonts w:asciiTheme="minorHAnsi" w:hAnsiTheme="minorHAnsi" w:cs="Arial"/>
                <w:sz w:val="20"/>
                <w:szCs w:val="20"/>
              </w:rPr>
            </w:pPr>
          </w:p>
        </w:tc>
        <w:tc>
          <w:tcPr>
            <w:tcW w:w="648" w:type="pct"/>
            <w:shd w:val="clear" w:color="auto" w:fill="F2F2F2" w:themeFill="background1" w:themeFillShade="F2"/>
          </w:tcPr>
          <w:p w14:paraId="05B6933F" w14:textId="00EDC191" w:rsidR="00927F88" w:rsidRPr="005E1319" w:rsidRDefault="00E033A5" w:rsidP="00AF5A74">
            <w:pPr>
              <w:jc w:val="right"/>
              <w:rPr>
                <w:rFonts w:asciiTheme="minorHAnsi" w:hAnsiTheme="minorHAnsi" w:cs="Arial"/>
                <w:b/>
                <w:sz w:val="20"/>
                <w:szCs w:val="20"/>
              </w:rPr>
            </w:pPr>
            <w:r w:rsidRPr="005E1319">
              <w:rPr>
                <w:rFonts w:asciiTheme="minorHAnsi" w:hAnsiTheme="minorHAnsi" w:cs="Arial"/>
                <w:b/>
                <w:sz w:val="20"/>
                <w:szCs w:val="20"/>
              </w:rPr>
              <w:t>264.8</w:t>
            </w:r>
          </w:p>
        </w:tc>
        <w:tc>
          <w:tcPr>
            <w:tcW w:w="766" w:type="pct"/>
            <w:vAlign w:val="bottom"/>
          </w:tcPr>
          <w:p w14:paraId="483B8990" w14:textId="07075779" w:rsidR="00927F88" w:rsidRPr="006D4208" w:rsidRDefault="00F070DC" w:rsidP="00AF5A74">
            <w:pPr>
              <w:jc w:val="right"/>
              <w:rPr>
                <w:rFonts w:asciiTheme="minorHAnsi" w:hAnsiTheme="minorHAnsi" w:cs="Arial"/>
                <w:sz w:val="20"/>
                <w:szCs w:val="20"/>
              </w:rPr>
            </w:pPr>
            <w:r w:rsidRPr="006D4208">
              <w:rPr>
                <w:rFonts w:asciiTheme="minorHAnsi" w:hAnsiTheme="minorHAnsi" w:cs="Arial"/>
                <w:sz w:val="20"/>
                <w:szCs w:val="20"/>
              </w:rPr>
              <w:t>658.9</w:t>
            </w:r>
          </w:p>
        </w:tc>
      </w:tr>
      <w:tr w:rsidR="00927F88" w:rsidRPr="00085AA2" w14:paraId="143E30A0" w14:textId="77777777" w:rsidTr="0014103E">
        <w:tc>
          <w:tcPr>
            <w:tcW w:w="3099" w:type="pct"/>
            <w:vAlign w:val="bottom"/>
          </w:tcPr>
          <w:p w14:paraId="7741B484" w14:textId="77777777" w:rsidR="00927F88" w:rsidRPr="00085AA2" w:rsidRDefault="00927F88" w:rsidP="00AF5A74">
            <w:pPr>
              <w:rPr>
                <w:rFonts w:ascii="Calibri" w:hAnsi="Calibri" w:cs="Arial"/>
                <w:sz w:val="20"/>
                <w:szCs w:val="20"/>
                <w:lang w:val="en-US"/>
              </w:rPr>
            </w:pPr>
            <w:r w:rsidRPr="00085AA2">
              <w:rPr>
                <w:rFonts w:ascii="Calibri" w:hAnsi="Calibri" w:cs="Arial"/>
                <w:sz w:val="20"/>
                <w:szCs w:val="20"/>
                <w:lang w:val="en-US"/>
              </w:rPr>
              <w:t>Repayment of bank and other borrowings</w:t>
            </w:r>
          </w:p>
        </w:tc>
        <w:tc>
          <w:tcPr>
            <w:tcW w:w="487" w:type="pct"/>
            <w:vAlign w:val="bottom"/>
          </w:tcPr>
          <w:p w14:paraId="2EB7178D" w14:textId="77777777" w:rsidR="00927F88" w:rsidRPr="00BB3187" w:rsidRDefault="00927F88" w:rsidP="00AF5A74">
            <w:pPr>
              <w:jc w:val="right"/>
              <w:rPr>
                <w:rFonts w:asciiTheme="minorHAnsi" w:hAnsiTheme="minorHAnsi" w:cs="Arial"/>
                <w:sz w:val="20"/>
                <w:szCs w:val="20"/>
              </w:rPr>
            </w:pPr>
          </w:p>
        </w:tc>
        <w:tc>
          <w:tcPr>
            <w:tcW w:w="648" w:type="pct"/>
            <w:shd w:val="clear" w:color="auto" w:fill="F2F2F2" w:themeFill="background1" w:themeFillShade="F2"/>
          </w:tcPr>
          <w:p w14:paraId="410F4FC5" w14:textId="1A182A7E" w:rsidR="00927F88" w:rsidRPr="005E1319" w:rsidRDefault="00927F88" w:rsidP="00AF5A74">
            <w:pPr>
              <w:jc w:val="right"/>
              <w:rPr>
                <w:rFonts w:asciiTheme="minorHAnsi" w:hAnsiTheme="minorHAnsi" w:cs="Arial"/>
                <w:b/>
                <w:sz w:val="20"/>
                <w:szCs w:val="20"/>
              </w:rPr>
            </w:pPr>
            <w:r w:rsidRPr="005E1319">
              <w:rPr>
                <w:rFonts w:asciiTheme="minorHAnsi" w:hAnsiTheme="minorHAnsi" w:cs="Arial"/>
                <w:b/>
                <w:sz w:val="20"/>
                <w:szCs w:val="20"/>
              </w:rPr>
              <w:t>(</w:t>
            </w:r>
            <w:r w:rsidR="0005088A" w:rsidRPr="005E1319">
              <w:rPr>
                <w:rFonts w:asciiTheme="minorHAnsi" w:hAnsiTheme="minorHAnsi" w:cs="Arial"/>
                <w:b/>
                <w:sz w:val="20"/>
                <w:szCs w:val="20"/>
              </w:rPr>
              <w:t>378.4</w:t>
            </w:r>
            <w:r w:rsidRPr="005E1319">
              <w:rPr>
                <w:rFonts w:asciiTheme="minorHAnsi" w:hAnsiTheme="minorHAnsi" w:cs="Arial"/>
                <w:b/>
                <w:sz w:val="20"/>
                <w:szCs w:val="20"/>
              </w:rPr>
              <w:t>)</w:t>
            </w:r>
          </w:p>
        </w:tc>
        <w:tc>
          <w:tcPr>
            <w:tcW w:w="766" w:type="pct"/>
            <w:vAlign w:val="bottom"/>
          </w:tcPr>
          <w:p w14:paraId="0374005A" w14:textId="47E62070" w:rsidR="00927F88" w:rsidRPr="006D4208" w:rsidRDefault="00927F88" w:rsidP="00AF5A74">
            <w:pPr>
              <w:jc w:val="right"/>
              <w:rPr>
                <w:rFonts w:asciiTheme="minorHAnsi" w:hAnsiTheme="minorHAnsi" w:cs="Arial"/>
                <w:sz w:val="20"/>
                <w:szCs w:val="20"/>
              </w:rPr>
            </w:pPr>
            <w:r w:rsidRPr="006D4208">
              <w:rPr>
                <w:rFonts w:asciiTheme="minorHAnsi" w:hAnsiTheme="minorHAnsi" w:cs="Arial"/>
                <w:sz w:val="20"/>
                <w:szCs w:val="20"/>
              </w:rPr>
              <w:t>(</w:t>
            </w:r>
            <w:r w:rsidR="00F070DC" w:rsidRPr="006D4208">
              <w:rPr>
                <w:rFonts w:asciiTheme="minorHAnsi" w:hAnsiTheme="minorHAnsi" w:cs="Arial"/>
                <w:sz w:val="20"/>
                <w:szCs w:val="20"/>
              </w:rPr>
              <w:t>425.3</w:t>
            </w:r>
            <w:r w:rsidRPr="006D4208">
              <w:rPr>
                <w:rFonts w:asciiTheme="minorHAnsi" w:hAnsiTheme="minorHAnsi" w:cs="Arial"/>
                <w:sz w:val="20"/>
                <w:szCs w:val="20"/>
              </w:rPr>
              <w:t>)</w:t>
            </w:r>
          </w:p>
        </w:tc>
      </w:tr>
      <w:tr w:rsidR="00927F88" w:rsidRPr="00085AA2" w14:paraId="629C6F2D" w14:textId="77777777" w:rsidTr="0014103E">
        <w:tc>
          <w:tcPr>
            <w:tcW w:w="3099" w:type="pct"/>
            <w:vAlign w:val="bottom"/>
          </w:tcPr>
          <w:p w14:paraId="30DC18E2" w14:textId="77777777" w:rsidR="00927F88" w:rsidRPr="00085AA2" w:rsidRDefault="00927F88" w:rsidP="00AF5A74">
            <w:pPr>
              <w:rPr>
                <w:rFonts w:ascii="Calibri" w:hAnsi="Calibri" w:cs="Arial"/>
                <w:sz w:val="20"/>
                <w:szCs w:val="20"/>
              </w:rPr>
            </w:pPr>
            <w:r w:rsidRPr="00085AA2">
              <w:rPr>
                <w:rFonts w:ascii="Calibri" w:hAnsi="Calibri" w:cs="Arial"/>
                <w:sz w:val="20"/>
                <w:szCs w:val="20"/>
              </w:rPr>
              <w:t>Payment of lease liabilities</w:t>
            </w:r>
          </w:p>
        </w:tc>
        <w:tc>
          <w:tcPr>
            <w:tcW w:w="487" w:type="pct"/>
            <w:vAlign w:val="bottom"/>
          </w:tcPr>
          <w:p w14:paraId="06B356C5" w14:textId="77777777" w:rsidR="00927F88" w:rsidRPr="00BB3187" w:rsidRDefault="00927F88" w:rsidP="00AF5A74">
            <w:pPr>
              <w:jc w:val="right"/>
              <w:rPr>
                <w:rFonts w:asciiTheme="minorHAnsi" w:hAnsiTheme="minorHAnsi" w:cs="Arial"/>
                <w:sz w:val="20"/>
                <w:szCs w:val="20"/>
              </w:rPr>
            </w:pPr>
          </w:p>
        </w:tc>
        <w:tc>
          <w:tcPr>
            <w:tcW w:w="648" w:type="pct"/>
            <w:shd w:val="clear" w:color="auto" w:fill="F2F2F2" w:themeFill="background1" w:themeFillShade="F2"/>
          </w:tcPr>
          <w:p w14:paraId="29146DAE" w14:textId="0AD5806F" w:rsidR="00927F88" w:rsidRPr="005E1319" w:rsidRDefault="00927F88" w:rsidP="00AF5A74">
            <w:pPr>
              <w:jc w:val="right"/>
              <w:rPr>
                <w:rFonts w:asciiTheme="minorHAnsi" w:hAnsiTheme="minorHAnsi" w:cs="Arial"/>
                <w:b/>
                <w:sz w:val="20"/>
                <w:szCs w:val="20"/>
              </w:rPr>
            </w:pPr>
            <w:r w:rsidRPr="005E1319">
              <w:rPr>
                <w:rFonts w:asciiTheme="minorHAnsi" w:hAnsiTheme="minorHAnsi" w:cs="Arial"/>
                <w:b/>
                <w:sz w:val="20"/>
                <w:szCs w:val="20"/>
              </w:rPr>
              <w:t>(</w:t>
            </w:r>
            <w:r w:rsidR="00E071D6" w:rsidRPr="005E1319">
              <w:rPr>
                <w:rFonts w:asciiTheme="minorHAnsi" w:hAnsiTheme="minorHAnsi" w:cs="Arial"/>
                <w:b/>
                <w:sz w:val="20"/>
                <w:szCs w:val="20"/>
              </w:rPr>
              <w:t>7.0</w:t>
            </w:r>
            <w:r w:rsidRPr="005E1319">
              <w:rPr>
                <w:rFonts w:asciiTheme="minorHAnsi" w:hAnsiTheme="minorHAnsi" w:cs="Arial"/>
                <w:b/>
                <w:sz w:val="20"/>
                <w:szCs w:val="20"/>
              </w:rPr>
              <w:t>)</w:t>
            </w:r>
          </w:p>
        </w:tc>
        <w:tc>
          <w:tcPr>
            <w:tcW w:w="766" w:type="pct"/>
            <w:vAlign w:val="bottom"/>
          </w:tcPr>
          <w:p w14:paraId="0FC062D6" w14:textId="451E7FED" w:rsidR="00927F88" w:rsidRPr="006D4208" w:rsidRDefault="00927F88" w:rsidP="00AF5A74">
            <w:pPr>
              <w:jc w:val="right"/>
              <w:rPr>
                <w:rFonts w:asciiTheme="minorHAnsi" w:hAnsiTheme="minorHAnsi" w:cs="Arial"/>
                <w:sz w:val="20"/>
                <w:szCs w:val="20"/>
              </w:rPr>
            </w:pPr>
            <w:r w:rsidRPr="006D4208">
              <w:rPr>
                <w:rFonts w:asciiTheme="minorHAnsi" w:hAnsiTheme="minorHAnsi" w:cs="Arial"/>
                <w:sz w:val="20"/>
                <w:szCs w:val="20"/>
              </w:rPr>
              <w:t>(</w:t>
            </w:r>
            <w:r w:rsidR="00F070DC" w:rsidRPr="006D4208">
              <w:rPr>
                <w:rFonts w:asciiTheme="minorHAnsi" w:hAnsiTheme="minorHAnsi" w:cs="Arial"/>
                <w:sz w:val="20"/>
                <w:szCs w:val="20"/>
              </w:rPr>
              <w:t>5.9</w:t>
            </w:r>
            <w:r w:rsidRPr="006D4208">
              <w:rPr>
                <w:rFonts w:asciiTheme="minorHAnsi" w:hAnsiTheme="minorHAnsi" w:cs="Arial"/>
                <w:sz w:val="20"/>
                <w:szCs w:val="20"/>
              </w:rPr>
              <w:t>)</w:t>
            </w:r>
          </w:p>
        </w:tc>
      </w:tr>
      <w:tr w:rsidR="00927F88" w:rsidRPr="00085AA2" w14:paraId="2B32E6EC" w14:textId="77777777" w:rsidTr="0014103E">
        <w:tc>
          <w:tcPr>
            <w:tcW w:w="3099" w:type="pct"/>
            <w:vAlign w:val="bottom"/>
          </w:tcPr>
          <w:p w14:paraId="2661FD79" w14:textId="77777777" w:rsidR="00927F88" w:rsidRPr="00085AA2" w:rsidRDefault="00927F88" w:rsidP="00AF5A74">
            <w:pPr>
              <w:rPr>
                <w:rFonts w:ascii="Calibri" w:hAnsi="Calibri" w:cs="Poppins-Light"/>
                <w:sz w:val="20"/>
                <w:szCs w:val="20"/>
              </w:rPr>
            </w:pPr>
            <w:r w:rsidRPr="00085AA2">
              <w:rPr>
                <w:rFonts w:ascii="Calibri" w:hAnsi="Calibri" w:cs="Poppins-Light"/>
                <w:sz w:val="20"/>
                <w:szCs w:val="20"/>
              </w:rPr>
              <w:t>Dividends paid to Company shareholders</w:t>
            </w:r>
          </w:p>
        </w:tc>
        <w:tc>
          <w:tcPr>
            <w:tcW w:w="487" w:type="pct"/>
            <w:vAlign w:val="bottom"/>
          </w:tcPr>
          <w:p w14:paraId="1845C28E" w14:textId="77777777" w:rsidR="00927F88" w:rsidRPr="00BB3187" w:rsidRDefault="00927F88" w:rsidP="00AF5A74">
            <w:pPr>
              <w:jc w:val="right"/>
              <w:rPr>
                <w:rFonts w:asciiTheme="minorHAnsi" w:hAnsiTheme="minorHAnsi" w:cs="Arial"/>
                <w:sz w:val="20"/>
                <w:szCs w:val="20"/>
              </w:rPr>
            </w:pPr>
          </w:p>
        </w:tc>
        <w:tc>
          <w:tcPr>
            <w:tcW w:w="648" w:type="pct"/>
            <w:shd w:val="clear" w:color="auto" w:fill="F2F2F2" w:themeFill="background1" w:themeFillShade="F2"/>
          </w:tcPr>
          <w:p w14:paraId="474592E2" w14:textId="1AC8432A" w:rsidR="00927F88" w:rsidRPr="005E1319" w:rsidRDefault="00927F88" w:rsidP="00AF5A74">
            <w:pPr>
              <w:jc w:val="right"/>
              <w:rPr>
                <w:rFonts w:asciiTheme="minorHAnsi" w:hAnsiTheme="minorHAnsi" w:cs="Arial"/>
                <w:b/>
                <w:sz w:val="20"/>
                <w:szCs w:val="20"/>
              </w:rPr>
            </w:pPr>
            <w:r w:rsidRPr="005E1319">
              <w:rPr>
                <w:rFonts w:asciiTheme="minorHAnsi" w:hAnsiTheme="minorHAnsi" w:cs="Arial"/>
                <w:b/>
                <w:sz w:val="20"/>
                <w:szCs w:val="20"/>
              </w:rPr>
              <w:t>(</w:t>
            </w:r>
            <w:r w:rsidR="00E071D6" w:rsidRPr="005E1319">
              <w:rPr>
                <w:rFonts w:asciiTheme="minorHAnsi" w:hAnsiTheme="minorHAnsi" w:cs="Arial"/>
                <w:b/>
                <w:sz w:val="20"/>
                <w:szCs w:val="20"/>
              </w:rPr>
              <w:t>2.5</w:t>
            </w:r>
            <w:r w:rsidRPr="005E1319">
              <w:rPr>
                <w:rFonts w:asciiTheme="minorHAnsi" w:hAnsiTheme="minorHAnsi" w:cs="Arial"/>
                <w:b/>
                <w:sz w:val="20"/>
                <w:szCs w:val="20"/>
              </w:rPr>
              <w:t>)</w:t>
            </w:r>
          </w:p>
        </w:tc>
        <w:tc>
          <w:tcPr>
            <w:tcW w:w="766" w:type="pct"/>
            <w:vAlign w:val="bottom"/>
          </w:tcPr>
          <w:p w14:paraId="5320C503" w14:textId="4C3A6C3D" w:rsidR="00927F88" w:rsidRPr="006D4208" w:rsidRDefault="00927F88" w:rsidP="00AF5A74">
            <w:pPr>
              <w:jc w:val="right"/>
              <w:rPr>
                <w:rFonts w:asciiTheme="minorHAnsi" w:hAnsiTheme="minorHAnsi" w:cs="Arial"/>
                <w:sz w:val="20"/>
                <w:szCs w:val="20"/>
              </w:rPr>
            </w:pPr>
            <w:r w:rsidRPr="006D4208">
              <w:rPr>
                <w:rFonts w:asciiTheme="minorHAnsi" w:hAnsiTheme="minorHAnsi" w:cs="Arial"/>
                <w:sz w:val="20"/>
                <w:szCs w:val="20"/>
              </w:rPr>
              <w:t>(</w:t>
            </w:r>
            <w:r w:rsidR="00F070DC" w:rsidRPr="006D4208">
              <w:rPr>
                <w:rFonts w:asciiTheme="minorHAnsi" w:hAnsiTheme="minorHAnsi" w:cs="Arial"/>
                <w:sz w:val="20"/>
                <w:szCs w:val="20"/>
              </w:rPr>
              <w:t>25.9</w:t>
            </w:r>
            <w:r w:rsidRPr="006D4208">
              <w:rPr>
                <w:rFonts w:asciiTheme="minorHAnsi" w:hAnsiTheme="minorHAnsi" w:cs="Arial"/>
                <w:sz w:val="20"/>
                <w:szCs w:val="20"/>
              </w:rPr>
              <w:t>)</w:t>
            </w:r>
          </w:p>
        </w:tc>
      </w:tr>
      <w:tr w:rsidR="00927F88" w:rsidRPr="00085AA2" w14:paraId="6C218F1C" w14:textId="77777777" w:rsidTr="0014103E">
        <w:tc>
          <w:tcPr>
            <w:tcW w:w="3099" w:type="pct"/>
            <w:vAlign w:val="bottom"/>
          </w:tcPr>
          <w:p w14:paraId="5AD1B59D" w14:textId="77777777" w:rsidR="00927F88" w:rsidRPr="00085AA2" w:rsidRDefault="00927F88" w:rsidP="00AF5A74">
            <w:pPr>
              <w:rPr>
                <w:rFonts w:ascii="Calibri" w:hAnsi="Calibri" w:cs="Arial"/>
                <w:sz w:val="20"/>
                <w:szCs w:val="20"/>
              </w:rPr>
            </w:pPr>
            <w:r w:rsidRPr="00085AA2">
              <w:rPr>
                <w:rFonts w:ascii="Calibri" w:hAnsi="Calibri" w:cs="Poppins-Light"/>
                <w:sz w:val="20"/>
                <w:szCs w:val="20"/>
              </w:rPr>
              <w:t>Purchase of shares for share awards</w:t>
            </w:r>
          </w:p>
        </w:tc>
        <w:tc>
          <w:tcPr>
            <w:tcW w:w="487" w:type="pct"/>
            <w:vAlign w:val="bottom"/>
          </w:tcPr>
          <w:p w14:paraId="3A31259F" w14:textId="77777777" w:rsidR="00927F88" w:rsidRPr="00BB3187" w:rsidRDefault="00927F88" w:rsidP="00AF5A74">
            <w:pPr>
              <w:jc w:val="right"/>
              <w:rPr>
                <w:rFonts w:asciiTheme="minorHAnsi" w:hAnsiTheme="minorHAnsi" w:cs="Arial"/>
                <w:sz w:val="20"/>
                <w:szCs w:val="20"/>
              </w:rPr>
            </w:pPr>
          </w:p>
        </w:tc>
        <w:tc>
          <w:tcPr>
            <w:tcW w:w="648" w:type="pct"/>
            <w:shd w:val="clear" w:color="auto" w:fill="F2F2F2" w:themeFill="background1" w:themeFillShade="F2"/>
          </w:tcPr>
          <w:p w14:paraId="0A7D1996" w14:textId="369A28F8" w:rsidR="00927F88" w:rsidRPr="005E1319" w:rsidRDefault="00EC39CB" w:rsidP="00AF5A74">
            <w:pPr>
              <w:jc w:val="right"/>
              <w:rPr>
                <w:rFonts w:asciiTheme="minorHAnsi" w:hAnsiTheme="minorHAnsi" w:cs="Arial"/>
                <w:b/>
                <w:sz w:val="20"/>
                <w:szCs w:val="20"/>
              </w:rPr>
            </w:pPr>
            <w:r w:rsidRPr="005E1319">
              <w:rPr>
                <w:rFonts w:asciiTheme="minorHAnsi" w:hAnsiTheme="minorHAnsi" w:cs="Arial"/>
                <w:b/>
                <w:sz w:val="20"/>
                <w:szCs w:val="20"/>
              </w:rPr>
              <w:t>(</w:t>
            </w:r>
            <w:r w:rsidR="00CC0992" w:rsidRPr="005E1319">
              <w:rPr>
                <w:rFonts w:asciiTheme="minorHAnsi" w:hAnsiTheme="minorHAnsi" w:cs="Arial"/>
                <w:b/>
                <w:sz w:val="20"/>
                <w:szCs w:val="20"/>
              </w:rPr>
              <w:t>0.1</w:t>
            </w:r>
            <w:r w:rsidRPr="005E1319">
              <w:rPr>
                <w:rFonts w:asciiTheme="minorHAnsi" w:hAnsiTheme="minorHAnsi" w:cs="Arial"/>
                <w:b/>
                <w:sz w:val="20"/>
                <w:szCs w:val="20"/>
              </w:rPr>
              <w:t>)</w:t>
            </w:r>
          </w:p>
        </w:tc>
        <w:tc>
          <w:tcPr>
            <w:tcW w:w="766" w:type="pct"/>
            <w:vAlign w:val="bottom"/>
          </w:tcPr>
          <w:p w14:paraId="7C4B3447" w14:textId="0BAD718E" w:rsidR="00927F88" w:rsidRPr="006D4208" w:rsidRDefault="00CD3F9E" w:rsidP="00AF5A74">
            <w:pPr>
              <w:jc w:val="right"/>
              <w:rPr>
                <w:rFonts w:asciiTheme="minorHAnsi" w:hAnsiTheme="minorHAnsi" w:cs="Arial"/>
                <w:sz w:val="20"/>
                <w:szCs w:val="20"/>
              </w:rPr>
            </w:pPr>
            <w:r w:rsidRPr="006D4208">
              <w:rPr>
                <w:rFonts w:asciiTheme="minorHAnsi" w:hAnsiTheme="minorHAnsi" w:cs="Arial"/>
                <w:sz w:val="20"/>
                <w:szCs w:val="20"/>
              </w:rPr>
              <w:t>-</w:t>
            </w:r>
          </w:p>
        </w:tc>
      </w:tr>
      <w:tr w:rsidR="00927F88" w:rsidRPr="007E49A5" w14:paraId="3518F322" w14:textId="77777777" w:rsidTr="0014103E">
        <w:tc>
          <w:tcPr>
            <w:tcW w:w="3099" w:type="pct"/>
            <w:vAlign w:val="bottom"/>
          </w:tcPr>
          <w:p w14:paraId="5E7C272C" w14:textId="77777777" w:rsidR="00927F88" w:rsidRPr="00085AA2" w:rsidRDefault="00927F88" w:rsidP="00AF5A74">
            <w:pPr>
              <w:rPr>
                <w:rFonts w:ascii="Calibri" w:hAnsi="Calibri" w:cs="Arial"/>
                <w:sz w:val="20"/>
                <w:szCs w:val="20"/>
              </w:rPr>
            </w:pPr>
            <w:r w:rsidRPr="00085AA2">
              <w:rPr>
                <w:rFonts w:ascii="Calibri" w:hAnsi="Calibri" w:cs="Poppins-Light"/>
                <w:sz w:val="20"/>
                <w:szCs w:val="20"/>
              </w:rPr>
              <w:t>Proceeds from issue of share capital</w:t>
            </w:r>
          </w:p>
        </w:tc>
        <w:tc>
          <w:tcPr>
            <w:tcW w:w="487" w:type="pct"/>
            <w:vAlign w:val="bottom"/>
          </w:tcPr>
          <w:p w14:paraId="5BF7A284" w14:textId="77777777" w:rsidR="00927F88" w:rsidRPr="00BB3187" w:rsidRDefault="00927F88" w:rsidP="00AF5A74">
            <w:pPr>
              <w:jc w:val="right"/>
              <w:rPr>
                <w:rFonts w:asciiTheme="minorHAnsi" w:hAnsiTheme="minorHAnsi" w:cs="Arial"/>
                <w:sz w:val="20"/>
                <w:szCs w:val="20"/>
              </w:rPr>
            </w:pPr>
          </w:p>
        </w:tc>
        <w:tc>
          <w:tcPr>
            <w:tcW w:w="648" w:type="pct"/>
            <w:shd w:val="clear" w:color="auto" w:fill="F2F2F2" w:themeFill="background1" w:themeFillShade="F2"/>
          </w:tcPr>
          <w:p w14:paraId="4622927F" w14:textId="07755BAF" w:rsidR="00927F88" w:rsidRPr="005E1319" w:rsidRDefault="0049283B" w:rsidP="00AF5A74">
            <w:pPr>
              <w:jc w:val="right"/>
              <w:rPr>
                <w:rFonts w:asciiTheme="minorHAnsi" w:hAnsiTheme="minorHAnsi" w:cs="Arial"/>
                <w:b/>
                <w:sz w:val="20"/>
                <w:szCs w:val="20"/>
              </w:rPr>
            </w:pPr>
            <w:r w:rsidRPr="005E1319">
              <w:rPr>
                <w:rFonts w:asciiTheme="minorHAnsi" w:hAnsiTheme="minorHAnsi" w:cs="Arial"/>
                <w:b/>
                <w:sz w:val="20"/>
                <w:szCs w:val="20"/>
              </w:rPr>
              <w:t>-</w:t>
            </w:r>
          </w:p>
        </w:tc>
        <w:tc>
          <w:tcPr>
            <w:tcW w:w="766" w:type="pct"/>
            <w:vAlign w:val="bottom"/>
          </w:tcPr>
          <w:p w14:paraId="375AE53C" w14:textId="232C8AD5" w:rsidR="00927F88" w:rsidRPr="006D4208" w:rsidRDefault="00927F88" w:rsidP="00AF5A74">
            <w:pPr>
              <w:jc w:val="right"/>
              <w:rPr>
                <w:rFonts w:asciiTheme="minorHAnsi" w:hAnsiTheme="minorHAnsi" w:cs="Arial"/>
                <w:sz w:val="20"/>
                <w:szCs w:val="20"/>
              </w:rPr>
            </w:pPr>
            <w:r w:rsidRPr="006D4208">
              <w:rPr>
                <w:rFonts w:asciiTheme="minorHAnsi" w:hAnsiTheme="minorHAnsi" w:cs="Arial"/>
                <w:sz w:val="20"/>
                <w:szCs w:val="20"/>
              </w:rPr>
              <w:t>0.</w:t>
            </w:r>
            <w:r w:rsidR="007E49A5" w:rsidRPr="006D4208">
              <w:rPr>
                <w:rFonts w:asciiTheme="minorHAnsi" w:hAnsiTheme="minorHAnsi" w:cs="Arial"/>
                <w:sz w:val="20"/>
                <w:szCs w:val="20"/>
              </w:rPr>
              <w:t>1</w:t>
            </w:r>
          </w:p>
        </w:tc>
      </w:tr>
      <w:tr w:rsidR="00927F88" w:rsidRPr="007E49A5" w14:paraId="7F05B14B" w14:textId="77777777" w:rsidTr="0014103E">
        <w:tc>
          <w:tcPr>
            <w:tcW w:w="3099" w:type="pct"/>
            <w:vAlign w:val="bottom"/>
          </w:tcPr>
          <w:p w14:paraId="19342C02" w14:textId="7D908F82" w:rsidR="00927F88" w:rsidRPr="00085AA2" w:rsidRDefault="00927F88" w:rsidP="00AF5A74">
            <w:pPr>
              <w:rPr>
                <w:rFonts w:asciiTheme="minorHAnsi" w:hAnsiTheme="minorHAnsi" w:cs="Arial"/>
                <w:b/>
                <w:sz w:val="20"/>
                <w:szCs w:val="20"/>
              </w:rPr>
            </w:pPr>
            <w:r w:rsidRPr="00085AA2">
              <w:rPr>
                <w:rFonts w:asciiTheme="minorHAnsi" w:hAnsiTheme="minorHAnsi" w:cs="Arial"/>
                <w:b/>
                <w:sz w:val="20"/>
                <w:szCs w:val="20"/>
              </w:rPr>
              <w:t>Net cash (used in)</w:t>
            </w:r>
            <w:r w:rsidR="00933C73">
              <w:rPr>
                <w:rFonts w:asciiTheme="minorHAnsi" w:hAnsiTheme="minorHAnsi" w:cs="Arial"/>
                <w:b/>
                <w:sz w:val="20"/>
                <w:szCs w:val="20"/>
              </w:rPr>
              <w:t>/</w:t>
            </w:r>
            <w:r w:rsidR="00BB0194">
              <w:rPr>
                <w:rFonts w:asciiTheme="minorHAnsi" w:hAnsiTheme="minorHAnsi" w:cs="Arial"/>
                <w:b/>
                <w:sz w:val="20"/>
                <w:szCs w:val="20"/>
              </w:rPr>
              <w:t xml:space="preserve"> </w:t>
            </w:r>
            <w:r w:rsidRPr="00085AA2">
              <w:rPr>
                <w:rFonts w:asciiTheme="minorHAnsi" w:hAnsiTheme="minorHAnsi" w:cs="Arial"/>
                <w:b/>
                <w:sz w:val="20"/>
                <w:szCs w:val="20"/>
              </w:rPr>
              <w:t xml:space="preserve">generated from financing activities </w:t>
            </w:r>
          </w:p>
        </w:tc>
        <w:tc>
          <w:tcPr>
            <w:tcW w:w="487" w:type="pct"/>
            <w:vAlign w:val="bottom"/>
          </w:tcPr>
          <w:p w14:paraId="0188F53D" w14:textId="77777777" w:rsidR="00927F88" w:rsidRPr="00BB3187" w:rsidRDefault="00927F88" w:rsidP="00AF5A74">
            <w:pPr>
              <w:jc w:val="right"/>
              <w:rPr>
                <w:rFonts w:asciiTheme="minorHAnsi" w:hAnsiTheme="minorHAnsi" w:cs="Arial"/>
                <w:sz w:val="20"/>
                <w:szCs w:val="20"/>
              </w:rPr>
            </w:pPr>
          </w:p>
        </w:tc>
        <w:tc>
          <w:tcPr>
            <w:tcW w:w="648" w:type="pct"/>
            <w:tcBorders>
              <w:top w:val="single" w:sz="4" w:space="0" w:color="auto"/>
              <w:left w:val="nil"/>
              <w:bottom w:val="nil"/>
              <w:right w:val="nil"/>
            </w:tcBorders>
            <w:shd w:val="clear" w:color="auto" w:fill="F2F2F2" w:themeFill="background1" w:themeFillShade="F2"/>
          </w:tcPr>
          <w:p w14:paraId="7E34D496" w14:textId="17255692" w:rsidR="00927F88" w:rsidRPr="005E1319" w:rsidRDefault="0049283B" w:rsidP="00AF5A74">
            <w:pPr>
              <w:jc w:val="right"/>
              <w:rPr>
                <w:rFonts w:asciiTheme="minorHAnsi" w:hAnsiTheme="minorHAnsi" w:cs="Arial"/>
                <w:b/>
                <w:sz w:val="20"/>
                <w:szCs w:val="20"/>
              </w:rPr>
            </w:pPr>
            <w:r w:rsidRPr="005E1319">
              <w:rPr>
                <w:rFonts w:asciiTheme="minorHAnsi" w:hAnsiTheme="minorHAnsi" w:cs="Arial"/>
                <w:b/>
                <w:sz w:val="20"/>
                <w:szCs w:val="20"/>
              </w:rPr>
              <w:t>(123.2)</w:t>
            </w:r>
          </w:p>
        </w:tc>
        <w:tc>
          <w:tcPr>
            <w:tcW w:w="766" w:type="pct"/>
            <w:tcBorders>
              <w:top w:val="single" w:sz="4" w:space="0" w:color="auto"/>
              <w:left w:val="nil"/>
              <w:bottom w:val="nil"/>
              <w:right w:val="nil"/>
            </w:tcBorders>
            <w:vAlign w:val="bottom"/>
          </w:tcPr>
          <w:p w14:paraId="4BCC7DDF" w14:textId="6529BFDF" w:rsidR="00927F88" w:rsidRPr="006D4208" w:rsidRDefault="007E49A5" w:rsidP="00AF5A74">
            <w:pPr>
              <w:jc w:val="right"/>
              <w:rPr>
                <w:rFonts w:asciiTheme="minorHAnsi" w:hAnsiTheme="minorHAnsi" w:cs="Arial"/>
                <w:sz w:val="20"/>
                <w:szCs w:val="20"/>
              </w:rPr>
            </w:pPr>
            <w:r w:rsidRPr="006D4208">
              <w:rPr>
                <w:rFonts w:asciiTheme="minorHAnsi" w:hAnsiTheme="minorHAnsi" w:cs="Arial"/>
                <w:sz w:val="20"/>
                <w:szCs w:val="20"/>
              </w:rPr>
              <w:t>201.9</w:t>
            </w:r>
          </w:p>
        </w:tc>
      </w:tr>
      <w:tr w:rsidR="00927F88" w:rsidRPr="00085AA2" w14:paraId="27D60586" w14:textId="77777777" w:rsidTr="0014103E">
        <w:tc>
          <w:tcPr>
            <w:tcW w:w="3099" w:type="pct"/>
            <w:vAlign w:val="bottom"/>
          </w:tcPr>
          <w:p w14:paraId="186F8FEC" w14:textId="77777777" w:rsidR="00927F88" w:rsidRPr="00085AA2" w:rsidRDefault="00927F88" w:rsidP="00AF5A74">
            <w:pPr>
              <w:rPr>
                <w:rFonts w:asciiTheme="minorHAnsi" w:hAnsiTheme="minorHAnsi" w:cs="Arial"/>
                <w:sz w:val="20"/>
                <w:szCs w:val="20"/>
              </w:rPr>
            </w:pPr>
          </w:p>
        </w:tc>
        <w:tc>
          <w:tcPr>
            <w:tcW w:w="487" w:type="pct"/>
            <w:vAlign w:val="bottom"/>
          </w:tcPr>
          <w:p w14:paraId="0AF10603" w14:textId="77777777" w:rsidR="00927F88" w:rsidRPr="00BB3187" w:rsidRDefault="00927F88" w:rsidP="00AF5A74">
            <w:pPr>
              <w:jc w:val="right"/>
              <w:rPr>
                <w:rFonts w:asciiTheme="minorHAnsi" w:hAnsiTheme="minorHAnsi" w:cs="Arial"/>
                <w:sz w:val="20"/>
                <w:szCs w:val="20"/>
              </w:rPr>
            </w:pPr>
          </w:p>
        </w:tc>
        <w:tc>
          <w:tcPr>
            <w:tcW w:w="648" w:type="pct"/>
            <w:tcBorders>
              <w:top w:val="single" w:sz="4" w:space="0" w:color="auto"/>
              <w:left w:val="nil"/>
              <w:bottom w:val="nil"/>
              <w:right w:val="nil"/>
            </w:tcBorders>
            <w:shd w:val="clear" w:color="auto" w:fill="F2F2F2" w:themeFill="background1" w:themeFillShade="F2"/>
          </w:tcPr>
          <w:p w14:paraId="5B805A2F" w14:textId="77777777" w:rsidR="00927F88" w:rsidRPr="00927F88" w:rsidRDefault="00927F88" w:rsidP="00AF5A74">
            <w:pPr>
              <w:jc w:val="right"/>
              <w:rPr>
                <w:rFonts w:asciiTheme="minorHAnsi" w:hAnsiTheme="minorHAnsi" w:cs="Arial"/>
                <w:b/>
                <w:sz w:val="20"/>
                <w:szCs w:val="20"/>
                <w:highlight w:val="yellow"/>
              </w:rPr>
            </w:pPr>
          </w:p>
        </w:tc>
        <w:tc>
          <w:tcPr>
            <w:tcW w:w="766" w:type="pct"/>
            <w:tcBorders>
              <w:top w:val="single" w:sz="4" w:space="0" w:color="auto"/>
              <w:left w:val="nil"/>
              <w:bottom w:val="nil"/>
              <w:right w:val="nil"/>
            </w:tcBorders>
            <w:vAlign w:val="bottom"/>
          </w:tcPr>
          <w:p w14:paraId="6610A6A5" w14:textId="77777777" w:rsidR="00927F88" w:rsidRPr="006D4208" w:rsidRDefault="00927F88" w:rsidP="00AF5A74">
            <w:pPr>
              <w:jc w:val="right"/>
              <w:rPr>
                <w:rFonts w:asciiTheme="minorHAnsi" w:hAnsiTheme="minorHAnsi" w:cs="Arial"/>
                <w:sz w:val="20"/>
                <w:szCs w:val="20"/>
              </w:rPr>
            </w:pPr>
          </w:p>
        </w:tc>
      </w:tr>
      <w:tr w:rsidR="00927F88" w:rsidRPr="00085AA2" w14:paraId="74A78588" w14:textId="77777777" w:rsidTr="0014103E">
        <w:tc>
          <w:tcPr>
            <w:tcW w:w="3099" w:type="pct"/>
            <w:vAlign w:val="bottom"/>
          </w:tcPr>
          <w:p w14:paraId="589EA9A3" w14:textId="77777777" w:rsidR="00927F88" w:rsidRPr="00085AA2" w:rsidRDefault="00927F88" w:rsidP="00AF5A74">
            <w:pPr>
              <w:rPr>
                <w:rFonts w:asciiTheme="minorHAnsi" w:hAnsiTheme="minorHAnsi" w:cs="Arial"/>
                <w:b/>
                <w:sz w:val="20"/>
                <w:szCs w:val="20"/>
              </w:rPr>
            </w:pPr>
            <w:r w:rsidRPr="00085AA2">
              <w:rPr>
                <w:rFonts w:asciiTheme="minorHAnsi" w:hAnsiTheme="minorHAnsi" w:cs="Arial"/>
                <w:b/>
                <w:sz w:val="20"/>
                <w:szCs w:val="20"/>
              </w:rPr>
              <w:t>Net increase/(decrease) in cash, cash equivalents and overdrafts</w:t>
            </w:r>
          </w:p>
        </w:tc>
        <w:tc>
          <w:tcPr>
            <w:tcW w:w="487" w:type="pct"/>
            <w:vAlign w:val="bottom"/>
          </w:tcPr>
          <w:p w14:paraId="59DEC8C0" w14:textId="77777777" w:rsidR="00927F88" w:rsidRPr="00BB3187" w:rsidRDefault="00927F88" w:rsidP="00AF5A74">
            <w:pPr>
              <w:jc w:val="right"/>
              <w:rPr>
                <w:rFonts w:asciiTheme="minorHAnsi" w:hAnsiTheme="minorHAnsi" w:cs="Arial"/>
                <w:sz w:val="20"/>
                <w:szCs w:val="20"/>
              </w:rPr>
            </w:pPr>
          </w:p>
        </w:tc>
        <w:tc>
          <w:tcPr>
            <w:tcW w:w="648" w:type="pct"/>
            <w:shd w:val="clear" w:color="auto" w:fill="F2F2F2" w:themeFill="background1" w:themeFillShade="F2"/>
          </w:tcPr>
          <w:p w14:paraId="52C8553A" w14:textId="7BDDD00A" w:rsidR="00927F88" w:rsidRPr="00E17341" w:rsidRDefault="00753C8E" w:rsidP="00AF5A74">
            <w:pPr>
              <w:jc w:val="right"/>
              <w:rPr>
                <w:rFonts w:asciiTheme="minorHAnsi" w:hAnsiTheme="minorHAnsi" w:cs="Arial"/>
                <w:b/>
                <w:sz w:val="20"/>
                <w:szCs w:val="20"/>
              </w:rPr>
            </w:pPr>
            <w:r w:rsidRPr="00E17341">
              <w:rPr>
                <w:rFonts w:asciiTheme="minorHAnsi" w:hAnsiTheme="minorHAnsi" w:cs="Arial"/>
                <w:b/>
                <w:sz w:val="20"/>
                <w:szCs w:val="20"/>
              </w:rPr>
              <w:t>3</w:t>
            </w:r>
            <w:r w:rsidR="004E1EA7">
              <w:rPr>
                <w:rFonts w:asciiTheme="minorHAnsi" w:hAnsiTheme="minorHAnsi" w:cs="Arial"/>
                <w:b/>
                <w:sz w:val="20"/>
                <w:szCs w:val="20"/>
              </w:rPr>
              <w:t>0.3</w:t>
            </w:r>
          </w:p>
        </w:tc>
        <w:tc>
          <w:tcPr>
            <w:tcW w:w="766" w:type="pct"/>
            <w:vAlign w:val="bottom"/>
          </w:tcPr>
          <w:p w14:paraId="6A7A65FD" w14:textId="1D140A13" w:rsidR="00927F88" w:rsidRPr="006D4208" w:rsidRDefault="00927F88" w:rsidP="00AF5A74">
            <w:pPr>
              <w:jc w:val="right"/>
              <w:rPr>
                <w:rFonts w:asciiTheme="minorHAnsi" w:hAnsiTheme="minorHAnsi" w:cs="Arial"/>
                <w:sz w:val="20"/>
                <w:szCs w:val="20"/>
              </w:rPr>
            </w:pPr>
            <w:r w:rsidRPr="006D4208">
              <w:rPr>
                <w:rFonts w:asciiTheme="minorHAnsi" w:hAnsiTheme="minorHAnsi" w:cs="Arial"/>
                <w:sz w:val="20"/>
                <w:szCs w:val="20"/>
              </w:rPr>
              <w:t>(</w:t>
            </w:r>
            <w:r w:rsidR="005F5F95" w:rsidRPr="006D4208">
              <w:rPr>
                <w:rFonts w:asciiTheme="minorHAnsi" w:hAnsiTheme="minorHAnsi" w:cs="Arial"/>
                <w:sz w:val="20"/>
                <w:szCs w:val="20"/>
              </w:rPr>
              <w:t>17.</w:t>
            </w:r>
            <w:r w:rsidR="004E4698">
              <w:rPr>
                <w:rFonts w:asciiTheme="minorHAnsi" w:hAnsiTheme="minorHAnsi" w:cs="Arial"/>
                <w:sz w:val="20"/>
                <w:szCs w:val="20"/>
              </w:rPr>
              <w:t>9</w:t>
            </w:r>
            <w:r w:rsidRPr="006D4208">
              <w:rPr>
                <w:rFonts w:asciiTheme="minorHAnsi" w:hAnsiTheme="minorHAnsi" w:cs="Arial"/>
                <w:sz w:val="20"/>
                <w:szCs w:val="20"/>
              </w:rPr>
              <w:t>)</w:t>
            </w:r>
          </w:p>
        </w:tc>
      </w:tr>
      <w:tr w:rsidR="00927F88" w:rsidRPr="00085AA2" w14:paraId="50B33634" w14:textId="77777777" w:rsidTr="0014103E">
        <w:tc>
          <w:tcPr>
            <w:tcW w:w="3099" w:type="pct"/>
            <w:vAlign w:val="bottom"/>
          </w:tcPr>
          <w:p w14:paraId="59BA9E74" w14:textId="5B863D74" w:rsidR="00927F88" w:rsidRPr="00085AA2" w:rsidRDefault="00927F88" w:rsidP="00AF5A74">
            <w:pPr>
              <w:rPr>
                <w:rFonts w:asciiTheme="minorHAnsi" w:hAnsiTheme="minorHAnsi" w:cs="Arial"/>
                <w:sz w:val="20"/>
                <w:szCs w:val="20"/>
              </w:rPr>
            </w:pPr>
            <w:r w:rsidRPr="00085AA2">
              <w:rPr>
                <w:rFonts w:asciiTheme="minorHAnsi" w:hAnsiTheme="minorHAnsi" w:cs="Arial"/>
                <w:sz w:val="20"/>
                <w:szCs w:val="20"/>
              </w:rPr>
              <w:t xml:space="preserve">Cash, cash equivalents and overdrafts at beginning of </w:t>
            </w:r>
            <w:r w:rsidR="00AB08E3">
              <w:rPr>
                <w:rFonts w:asciiTheme="minorHAnsi" w:hAnsiTheme="minorHAnsi" w:cs="Arial"/>
                <w:sz w:val="20"/>
                <w:szCs w:val="20"/>
              </w:rPr>
              <w:t>period</w:t>
            </w:r>
          </w:p>
        </w:tc>
        <w:tc>
          <w:tcPr>
            <w:tcW w:w="487" w:type="pct"/>
            <w:vAlign w:val="bottom"/>
          </w:tcPr>
          <w:p w14:paraId="675D9F48" w14:textId="77777777" w:rsidR="00927F88" w:rsidRPr="00BB3187" w:rsidRDefault="00927F88" w:rsidP="00AF5A74">
            <w:pPr>
              <w:jc w:val="right"/>
              <w:rPr>
                <w:rFonts w:asciiTheme="minorHAnsi" w:hAnsiTheme="minorHAnsi" w:cs="Arial"/>
                <w:sz w:val="20"/>
                <w:szCs w:val="20"/>
              </w:rPr>
            </w:pPr>
          </w:p>
        </w:tc>
        <w:tc>
          <w:tcPr>
            <w:tcW w:w="648" w:type="pct"/>
            <w:shd w:val="clear" w:color="auto" w:fill="F2F2F2" w:themeFill="background1" w:themeFillShade="F2"/>
          </w:tcPr>
          <w:p w14:paraId="0DB47084" w14:textId="44CD3B43" w:rsidR="00927F88" w:rsidRPr="00E17341" w:rsidRDefault="009D2D57" w:rsidP="00AF5A74">
            <w:pPr>
              <w:jc w:val="right"/>
              <w:rPr>
                <w:rFonts w:asciiTheme="minorHAnsi" w:hAnsiTheme="minorHAnsi" w:cs="Arial"/>
                <w:b/>
                <w:sz w:val="20"/>
                <w:szCs w:val="20"/>
              </w:rPr>
            </w:pPr>
            <w:r w:rsidRPr="00E17341">
              <w:rPr>
                <w:rFonts w:asciiTheme="minorHAnsi" w:hAnsiTheme="minorHAnsi" w:cs="Arial"/>
                <w:b/>
                <w:sz w:val="20"/>
                <w:szCs w:val="20"/>
              </w:rPr>
              <w:t>741.8</w:t>
            </w:r>
          </w:p>
        </w:tc>
        <w:tc>
          <w:tcPr>
            <w:tcW w:w="766" w:type="pct"/>
            <w:vAlign w:val="bottom"/>
          </w:tcPr>
          <w:p w14:paraId="5E4D25E2" w14:textId="3E94F1E8" w:rsidR="00927F88" w:rsidRPr="006D4208" w:rsidRDefault="00432224" w:rsidP="00AF5A74">
            <w:pPr>
              <w:jc w:val="right"/>
              <w:rPr>
                <w:rFonts w:asciiTheme="minorHAnsi" w:hAnsiTheme="minorHAnsi" w:cs="Arial"/>
                <w:sz w:val="20"/>
                <w:szCs w:val="20"/>
              </w:rPr>
            </w:pPr>
            <w:r w:rsidRPr="006D4208">
              <w:rPr>
                <w:rFonts w:asciiTheme="minorHAnsi" w:hAnsiTheme="minorHAnsi" w:cs="Arial"/>
                <w:sz w:val="20"/>
                <w:szCs w:val="20"/>
              </w:rPr>
              <w:t>463.9</w:t>
            </w:r>
          </w:p>
        </w:tc>
      </w:tr>
      <w:tr w:rsidR="00927F88" w:rsidRPr="00085AA2" w14:paraId="0E35F6B6" w14:textId="77777777" w:rsidTr="00071792">
        <w:tc>
          <w:tcPr>
            <w:tcW w:w="3099" w:type="pct"/>
            <w:vAlign w:val="bottom"/>
          </w:tcPr>
          <w:p w14:paraId="776A1D02" w14:textId="4B1CC554" w:rsidR="00927F88" w:rsidRPr="00085AA2" w:rsidRDefault="00927F88" w:rsidP="00AF5A74">
            <w:pPr>
              <w:rPr>
                <w:rFonts w:asciiTheme="minorHAnsi" w:hAnsiTheme="minorHAnsi" w:cs="Arial"/>
                <w:b/>
                <w:sz w:val="20"/>
                <w:szCs w:val="20"/>
              </w:rPr>
            </w:pPr>
            <w:r w:rsidRPr="00085AA2">
              <w:rPr>
                <w:rFonts w:asciiTheme="minorHAnsi" w:hAnsiTheme="minorHAnsi" w:cs="Arial"/>
                <w:b/>
                <w:sz w:val="20"/>
                <w:szCs w:val="20"/>
              </w:rPr>
              <w:t xml:space="preserve">Cash, cash equivalents and overdrafts at end of </w:t>
            </w:r>
            <w:r w:rsidR="00AB08E3">
              <w:rPr>
                <w:rFonts w:asciiTheme="minorHAnsi" w:hAnsiTheme="minorHAnsi" w:cs="Arial"/>
                <w:b/>
                <w:sz w:val="20"/>
                <w:szCs w:val="20"/>
              </w:rPr>
              <w:t>period</w:t>
            </w:r>
          </w:p>
        </w:tc>
        <w:tc>
          <w:tcPr>
            <w:tcW w:w="487" w:type="pct"/>
            <w:vAlign w:val="bottom"/>
          </w:tcPr>
          <w:p w14:paraId="3CE7C7C5" w14:textId="77777777" w:rsidR="00927F88" w:rsidRPr="00BB3187" w:rsidRDefault="00927F88" w:rsidP="00AF5A74">
            <w:pPr>
              <w:jc w:val="right"/>
              <w:rPr>
                <w:rFonts w:asciiTheme="minorHAnsi" w:hAnsiTheme="minorHAnsi" w:cs="Arial"/>
                <w:sz w:val="20"/>
                <w:szCs w:val="20"/>
              </w:rPr>
            </w:pPr>
          </w:p>
        </w:tc>
        <w:tc>
          <w:tcPr>
            <w:tcW w:w="648" w:type="pct"/>
            <w:tcBorders>
              <w:top w:val="single" w:sz="4" w:space="0" w:color="auto"/>
              <w:left w:val="nil"/>
              <w:bottom w:val="single" w:sz="12" w:space="0" w:color="auto"/>
              <w:right w:val="nil"/>
            </w:tcBorders>
            <w:shd w:val="clear" w:color="auto" w:fill="F2F2F2" w:themeFill="background1" w:themeFillShade="F2"/>
          </w:tcPr>
          <w:p w14:paraId="22E795BA" w14:textId="4803AD82" w:rsidR="00927F88" w:rsidRPr="00E17341" w:rsidRDefault="00D607E3" w:rsidP="00AF5A74">
            <w:pPr>
              <w:jc w:val="right"/>
              <w:rPr>
                <w:rFonts w:asciiTheme="minorHAnsi" w:hAnsiTheme="minorHAnsi" w:cs="Arial"/>
                <w:b/>
                <w:sz w:val="20"/>
                <w:szCs w:val="20"/>
              </w:rPr>
            </w:pPr>
            <w:r w:rsidRPr="00E17341">
              <w:rPr>
                <w:rFonts w:asciiTheme="minorHAnsi" w:hAnsiTheme="minorHAnsi" w:cs="Arial"/>
                <w:b/>
                <w:sz w:val="20"/>
                <w:szCs w:val="20"/>
              </w:rPr>
              <w:t>772.</w:t>
            </w:r>
            <w:r w:rsidR="004E1EA7">
              <w:rPr>
                <w:rFonts w:asciiTheme="minorHAnsi" w:hAnsiTheme="minorHAnsi" w:cs="Arial"/>
                <w:b/>
                <w:sz w:val="20"/>
                <w:szCs w:val="20"/>
              </w:rPr>
              <w:t>1</w:t>
            </w:r>
          </w:p>
        </w:tc>
        <w:tc>
          <w:tcPr>
            <w:tcW w:w="766" w:type="pct"/>
            <w:tcBorders>
              <w:top w:val="single" w:sz="4" w:space="0" w:color="auto"/>
              <w:left w:val="nil"/>
              <w:bottom w:val="single" w:sz="12" w:space="0" w:color="auto"/>
              <w:right w:val="nil"/>
            </w:tcBorders>
            <w:shd w:val="clear" w:color="auto" w:fill="auto"/>
            <w:vAlign w:val="bottom"/>
          </w:tcPr>
          <w:p w14:paraId="2967CD26" w14:textId="7B4A88C8" w:rsidR="00927F88" w:rsidRPr="006D4208" w:rsidRDefault="00F55EDE" w:rsidP="00AF5A74">
            <w:pPr>
              <w:jc w:val="right"/>
              <w:rPr>
                <w:rFonts w:asciiTheme="minorHAnsi" w:hAnsiTheme="minorHAnsi" w:cs="Arial"/>
                <w:sz w:val="20"/>
                <w:szCs w:val="20"/>
              </w:rPr>
            </w:pPr>
            <w:r w:rsidRPr="00071792">
              <w:rPr>
                <w:rFonts w:asciiTheme="minorHAnsi" w:hAnsiTheme="minorHAnsi" w:cs="Arial"/>
                <w:sz w:val="20"/>
                <w:szCs w:val="20"/>
              </w:rPr>
              <w:t>446.</w:t>
            </w:r>
            <w:r w:rsidR="00842CD3">
              <w:rPr>
                <w:rFonts w:asciiTheme="minorHAnsi" w:hAnsiTheme="minorHAnsi" w:cs="Arial"/>
                <w:sz w:val="20"/>
                <w:szCs w:val="20"/>
              </w:rPr>
              <w:t>0</w:t>
            </w:r>
          </w:p>
        </w:tc>
      </w:tr>
      <w:tr w:rsidR="00927F88" w:rsidRPr="00085AA2" w14:paraId="23A690FB" w14:textId="77777777" w:rsidTr="0014103E">
        <w:tc>
          <w:tcPr>
            <w:tcW w:w="3099" w:type="pct"/>
            <w:vAlign w:val="bottom"/>
          </w:tcPr>
          <w:p w14:paraId="474657AB" w14:textId="77777777" w:rsidR="00927F88" w:rsidRPr="00085AA2" w:rsidRDefault="00927F88" w:rsidP="00AF5A74">
            <w:pPr>
              <w:rPr>
                <w:rFonts w:asciiTheme="minorHAnsi" w:hAnsiTheme="minorHAnsi" w:cs="Arial"/>
                <w:sz w:val="20"/>
                <w:szCs w:val="20"/>
              </w:rPr>
            </w:pPr>
          </w:p>
        </w:tc>
        <w:tc>
          <w:tcPr>
            <w:tcW w:w="487" w:type="pct"/>
            <w:vAlign w:val="bottom"/>
          </w:tcPr>
          <w:p w14:paraId="709E13C2" w14:textId="77777777" w:rsidR="00927F88" w:rsidRPr="00BB3187" w:rsidRDefault="00927F88" w:rsidP="00AF5A74">
            <w:pPr>
              <w:jc w:val="right"/>
              <w:rPr>
                <w:rFonts w:asciiTheme="minorHAnsi" w:hAnsiTheme="minorHAnsi" w:cs="Arial"/>
                <w:sz w:val="20"/>
                <w:szCs w:val="20"/>
              </w:rPr>
            </w:pPr>
          </w:p>
        </w:tc>
        <w:tc>
          <w:tcPr>
            <w:tcW w:w="648" w:type="pct"/>
            <w:tcBorders>
              <w:top w:val="single" w:sz="12" w:space="0" w:color="auto"/>
              <w:left w:val="nil"/>
              <w:bottom w:val="nil"/>
              <w:right w:val="nil"/>
            </w:tcBorders>
            <w:shd w:val="clear" w:color="auto" w:fill="F2F2F2" w:themeFill="background1" w:themeFillShade="F2"/>
          </w:tcPr>
          <w:p w14:paraId="7B68F51B" w14:textId="77777777" w:rsidR="00927F88" w:rsidRPr="00927F88" w:rsidRDefault="00927F88" w:rsidP="00AF5A74">
            <w:pPr>
              <w:jc w:val="right"/>
              <w:rPr>
                <w:rFonts w:asciiTheme="minorHAnsi" w:hAnsiTheme="minorHAnsi" w:cs="Arial"/>
                <w:b/>
                <w:sz w:val="20"/>
                <w:szCs w:val="20"/>
                <w:highlight w:val="yellow"/>
              </w:rPr>
            </w:pPr>
          </w:p>
        </w:tc>
        <w:tc>
          <w:tcPr>
            <w:tcW w:w="766" w:type="pct"/>
            <w:tcBorders>
              <w:top w:val="single" w:sz="12" w:space="0" w:color="auto"/>
              <w:left w:val="nil"/>
              <w:bottom w:val="nil"/>
              <w:right w:val="nil"/>
            </w:tcBorders>
            <w:vAlign w:val="bottom"/>
          </w:tcPr>
          <w:p w14:paraId="049001ED" w14:textId="77777777" w:rsidR="00927F88" w:rsidRPr="006D4208" w:rsidRDefault="00927F88" w:rsidP="00AF5A74">
            <w:pPr>
              <w:jc w:val="right"/>
              <w:rPr>
                <w:rFonts w:asciiTheme="minorHAnsi" w:hAnsiTheme="minorHAnsi" w:cs="Arial"/>
                <w:sz w:val="20"/>
                <w:szCs w:val="20"/>
              </w:rPr>
            </w:pPr>
          </w:p>
        </w:tc>
      </w:tr>
      <w:tr w:rsidR="00927F88" w:rsidRPr="00085AA2" w14:paraId="6F6CE995" w14:textId="77777777" w:rsidTr="0014103E">
        <w:tc>
          <w:tcPr>
            <w:tcW w:w="3099" w:type="pct"/>
            <w:vAlign w:val="bottom"/>
          </w:tcPr>
          <w:p w14:paraId="4814A348" w14:textId="0285A75A" w:rsidR="00927F88" w:rsidRPr="00085AA2" w:rsidRDefault="00927F88" w:rsidP="00AF5A74">
            <w:pPr>
              <w:rPr>
                <w:rFonts w:asciiTheme="minorHAnsi" w:hAnsiTheme="minorHAnsi" w:cs="Arial"/>
                <w:b/>
                <w:sz w:val="20"/>
                <w:szCs w:val="20"/>
              </w:rPr>
            </w:pPr>
            <w:r w:rsidRPr="00085AA2">
              <w:rPr>
                <w:rFonts w:asciiTheme="minorHAnsi" w:hAnsiTheme="minorHAnsi" w:cs="Arial"/>
                <w:b/>
                <w:sz w:val="20"/>
                <w:szCs w:val="20"/>
              </w:rPr>
              <w:t xml:space="preserve">Cash, cash equivalents and overdrafts at end of </w:t>
            </w:r>
            <w:r w:rsidR="00AB08E3">
              <w:rPr>
                <w:rFonts w:asciiTheme="minorHAnsi" w:hAnsiTheme="minorHAnsi" w:cs="Arial"/>
                <w:b/>
                <w:sz w:val="20"/>
                <w:szCs w:val="20"/>
              </w:rPr>
              <w:t>period</w:t>
            </w:r>
            <w:r w:rsidRPr="00085AA2">
              <w:rPr>
                <w:rFonts w:asciiTheme="minorHAnsi" w:hAnsiTheme="minorHAnsi" w:cs="Arial"/>
                <w:b/>
                <w:sz w:val="20"/>
                <w:szCs w:val="20"/>
              </w:rPr>
              <w:t xml:space="preserve"> comprise:</w:t>
            </w:r>
          </w:p>
        </w:tc>
        <w:tc>
          <w:tcPr>
            <w:tcW w:w="487" w:type="pct"/>
            <w:vAlign w:val="bottom"/>
          </w:tcPr>
          <w:p w14:paraId="5AC8E08A" w14:textId="77777777" w:rsidR="00927F88" w:rsidRPr="00BB3187" w:rsidRDefault="00927F88" w:rsidP="00AF5A74">
            <w:pPr>
              <w:jc w:val="right"/>
              <w:rPr>
                <w:rFonts w:asciiTheme="minorHAnsi" w:hAnsiTheme="minorHAnsi" w:cs="Arial"/>
                <w:sz w:val="20"/>
                <w:szCs w:val="20"/>
              </w:rPr>
            </w:pPr>
          </w:p>
        </w:tc>
        <w:tc>
          <w:tcPr>
            <w:tcW w:w="648" w:type="pct"/>
            <w:shd w:val="clear" w:color="auto" w:fill="F2F2F2" w:themeFill="background1" w:themeFillShade="F2"/>
          </w:tcPr>
          <w:p w14:paraId="675AF0BD" w14:textId="77777777" w:rsidR="00927F88" w:rsidRPr="00927F88" w:rsidRDefault="00927F88" w:rsidP="00AF5A74">
            <w:pPr>
              <w:jc w:val="right"/>
              <w:rPr>
                <w:rFonts w:asciiTheme="minorHAnsi" w:hAnsiTheme="minorHAnsi" w:cs="Arial"/>
                <w:b/>
                <w:sz w:val="20"/>
                <w:szCs w:val="20"/>
                <w:highlight w:val="yellow"/>
              </w:rPr>
            </w:pPr>
          </w:p>
        </w:tc>
        <w:tc>
          <w:tcPr>
            <w:tcW w:w="766" w:type="pct"/>
            <w:vAlign w:val="bottom"/>
          </w:tcPr>
          <w:p w14:paraId="26D25E00" w14:textId="77777777" w:rsidR="00927F88" w:rsidRPr="006D4208" w:rsidRDefault="00927F88" w:rsidP="00AF5A74">
            <w:pPr>
              <w:jc w:val="right"/>
              <w:rPr>
                <w:rFonts w:asciiTheme="minorHAnsi" w:hAnsiTheme="minorHAnsi" w:cs="Arial"/>
                <w:sz w:val="20"/>
                <w:szCs w:val="20"/>
              </w:rPr>
            </w:pPr>
          </w:p>
        </w:tc>
      </w:tr>
      <w:tr w:rsidR="00927F88" w:rsidRPr="00085AA2" w14:paraId="10F1640A" w14:textId="77777777" w:rsidTr="0014103E">
        <w:tc>
          <w:tcPr>
            <w:tcW w:w="3099" w:type="pct"/>
            <w:vAlign w:val="bottom"/>
          </w:tcPr>
          <w:p w14:paraId="4049F330" w14:textId="77777777" w:rsidR="00927F88" w:rsidRPr="00085AA2" w:rsidRDefault="00927F88" w:rsidP="00AF5A74">
            <w:pPr>
              <w:rPr>
                <w:rFonts w:asciiTheme="minorHAnsi" w:hAnsiTheme="minorHAnsi" w:cs="Arial"/>
                <w:sz w:val="20"/>
                <w:szCs w:val="20"/>
              </w:rPr>
            </w:pPr>
            <w:r w:rsidRPr="00085AA2">
              <w:rPr>
                <w:rFonts w:asciiTheme="minorHAnsi" w:hAnsiTheme="minorHAnsi" w:cs="Arial"/>
                <w:sz w:val="20"/>
                <w:szCs w:val="20"/>
              </w:rPr>
              <w:t>Cash at bank and in hand</w:t>
            </w:r>
          </w:p>
        </w:tc>
        <w:tc>
          <w:tcPr>
            <w:tcW w:w="487" w:type="pct"/>
            <w:vAlign w:val="bottom"/>
          </w:tcPr>
          <w:p w14:paraId="70034E3A" w14:textId="77777777" w:rsidR="00927F88" w:rsidRPr="00BB3187" w:rsidRDefault="00927F88" w:rsidP="00AF5A74">
            <w:pPr>
              <w:jc w:val="right"/>
              <w:rPr>
                <w:rFonts w:asciiTheme="minorHAnsi" w:hAnsiTheme="minorHAnsi" w:cs="Arial"/>
                <w:sz w:val="20"/>
                <w:szCs w:val="20"/>
              </w:rPr>
            </w:pPr>
          </w:p>
        </w:tc>
        <w:tc>
          <w:tcPr>
            <w:tcW w:w="648" w:type="pct"/>
            <w:shd w:val="clear" w:color="auto" w:fill="F2F2F2" w:themeFill="background1" w:themeFillShade="F2"/>
          </w:tcPr>
          <w:p w14:paraId="49DD0673" w14:textId="79197299" w:rsidR="00927F88" w:rsidRPr="00FA5829" w:rsidRDefault="00E17341" w:rsidP="00AF5A74">
            <w:pPr>
              <w:jc w:val="right"/>
              <w:rPr>
                <w:rFonts w:asciiTheme="minorHAnsi" w:hAnsiTheme="minorHAnsi" w:cs="Arial"/>
                <w:b/>
                <w:sz w:val="20"/>
                <w:szCs w:val="20"/>
              </w:rPr>
            </w:pPr>
            <w:r w:rsidRPr="00FA5829">
              <w:rPr>
                <w:rFonts w:asciiTheme="minorHAnsi" w:hAnsiTheme="minorHAnsi" w:cs="Arial"/>
                <w:b/>
                <w:sz w:val="20"/>
                <w:szCs w:val="20"/>
              </w:rPr>
              <w:t>772.8</w:t>
            </w:r>
          </w:p>
        </w:tc>
        <w:tc>
          <w:tcPr>
            <w:tcW w:w="766" w:type="pct"/>
            <w:vAlign w:val="bottom"/>
          </w:tcPr>
          <w:p w14:paraId="3F4D3B86" w14:textId="558B3F52" w:rsidR="00927F88" w:rsidRPr="006D4208" w:rsidRDefault="00927F88" w:rsidP="00AF5A74">
            <w:pPr>
              <w:jc w:val="right"/>
              <w:rPr>
                <w:rFonts w:asciiTheme="minorHAnsi" w:hAnsiTheme="minorHAnsi" w:cs="Arial"/>
                <w:sz w:val="20"/>
                <w:szCs w:val="20"/>
              </w:rPr>
            </w:pPr>
            <w:r w:rsidRPr="006D4208">
              <w:rPr>
                <w:rFonts w:asciiTheme="minorHAnsi" w:hAnsiTheme="minorHAnsi" w:cs="Arial"/>
                <w:sz w:val="20"/>
                <w:szCs w:val="20"/>
              </w:rPr>
              <w:t>4</w:t>
            </w:r>
            <w:r w:rsidR="007967E2" w:rsidRPr="006D4208">
              <w:rPr>
                <w:rFonts w:asciiTheme="minorHAnsi" w:hAnsiTheme="minorHAnsi" w:cs="Arial"/>
                <w:sz w:val="20"/>
                <w:szCs w:val="20"/>
              </w:rPr>
              <w:t>47.3</w:t>
            </w:r>
          </w:p>
        </w:tc>
      </w:tr>
      <w:tr w:rsidR="00927F88" w:rsidRPr="00085AA2" w14:paraId="3DA3F1FF" w14:textId="77777777" w:rsidTr="0014103E">
        <w:tc>
          <w:tcPr>
            <w:tcW w:w="3099" w:type="pct"/>
            <w:vAlign w:val="bottom"/>
          </w:tcPr>
          <w:p w14:paraId="17979DBD" w14:textId="77777777" w:rsidR="00927F88" w:rsidRPr="00085AA2" w:rsidRDefault="00927F88" w:rsidP="00AF5A74">
            <w:pPr>
              <w:rPr>
                <w:rFonts w:asciiTheme="minorHAnsi" w:hAnsiTheme="minorHAnsi" w:cs="Arial"/>
                <w:sz w:val="20"/>
                <w:szCs w:val="20"/>
              </w:rPr>
            </w:pPr>
            <w:r w:rsidRPr="00085AA2">
              <w:rPr>
                <w:rFonts w:asciiTheme="minorHAnsi" w:hAnsiTheme="minorHAnsi" w:cs="Arial"/>
                <w:sz w:val="20"/>
                <w:szCs w:val="20"/>
              </w:rPr>
              <w:t>Overdrafts (held in bank and other borrowings)</w:t>
            </w:r>
          </w:p>
        </w:tc>
        <w:tc>
          <w:tcPr>
            <w:tcW w:w="487" w:type="pct"/>
            <w:vAlign w:val="bottom"/>
          </w:tcPr>
          <w:p w14:paraId="2E8B27CA" w14:textId="77777777" w:rsidR="00927F88" w:rsidRPr="00BB3187" w:rsidRDefault="00927F88" w:rsidP="00AF5A74">
            <w:pPr>
              <w:jc w:val="right"/>
              <w:rPr>
                <w:rFonts w:asciiTheme="minorHAnsi" w:hAnsiTheme="minorHAnsi" w:cs="Arial"/>
                <w:sz w:val="20"/>
                <w:szCs w:val="20"/>
              </w:rPr>
            </w:pPr>
          </w:p>
        </w:tc>
        <w:tc>
          <w:tcPr>
            <w:tcW w:w="648" w:type="pct"/>
            <w:tcBorders>
              <w:top w:val="nil"/>
              <w:left w:val="nil"/>
              <w:bottom w:val="single" w:sz="4" w:space="0" w:color="auto"/>
              <w:right w:val="nil"/>
            </w:tcBorders>
            <w:shd w:val="clear" w:color="auto" w:fill="F2F2F2" w:themeFill="background1" w:themeFillShade="F2"/>
          </w:tcPr>
          <w:p w14:paraId="2B8238D7" w14:textId="77C35C9B" w:rsidR="00927F88" w:rsidRPr="00FA5829" w:rsidRDefault="00927F88" w:rsidP="00AF5A74">
            <w:pPr>
              <w:jc w:val="right"/>
              <w:rPr>
                <w:rFonts w:asciiTheme="minorHAnsi" w:hAnsiTheme="minorHAnsi" w:cs="Arial"/>
                <w:b/>
                <w:sz w:val="20"/>
                <w:szCs w:val="20"/>
              </w:rPr>
            </w:pPr>
            <w:r w:rsidRPr="00FA5829">
              <w:rPr>
                <w:rFonts w:asciiTheme="minorHAnsi" w:hAnsiTheme="minorHAnsi" w:cs="Arial"/>
                <w:b/>
                <w:sz w:val="20"/>
                <w:szCs w:val="20"/>
              </w:rPr>
              <w:t>(</w:t>
            </w:r>
            <w:r w:rsidR="00E17341" w:rsidRPr="00FA5829">
              <w:rPr>
                <w:rFonts w:asciiTheme="minorHAnsi" w:hAnsiTheme="minorHAnsi" w:cs="Arial"/>
                <w:b/>
                <w:sz w:val="20"/>
                <w:szCs w:val="20"/>
              </w:rPr>
              <w:t>0.7</w:t>
            </w:r>
            <w:r w:rsidRPr="00FA5829">
              <w:rPr>
                <w:rFonts w:asciiTheme="minorHAnsi" w:hAnsiTheme="minorHAnsi" w:cs="Arial"/>
                <w:b/>
                <w:sz w:val="20"/>
                <w:szCs w:val="20"/>
              </w:rPr>
              <w:t>)</w:t>
            </w:r>
          </w:p>
        </w:tc>
        <w:tc>
          <w:tcPr>
            <w:tcW w:w="766" w:type="pct"/>
            <w:tcBorders>
              <w:top w:val="nil"/>
              <w:left w:val="nil"/>
              <w:bottom w:val="single" w:sz="4" w:space="0" w:color="auto"/>
              <w:right w:val="nil"/>
            </w:tcBorders>
            <w:vAlign w:val="bottom"/>
          </w:tcPr>
          <w:p w14:paraId="3DCB5C62" w14:textId="294449A9" w:rsidR="00927F88" w:rsidRPr="006D4208" w:rsidRDefault="00927F88" w:rsidP="00AF5A74">
            <w:pPr>
              <w:jc w:val="right"/>
              <w:rPr>
                <w:rFonts w:asciiTheme="minorHAnsi" w:hAnsiTheme="minorHAnsi" w:cs="Arial"/>
                <w:sz w:val="20"/>
                <w:szCs w:val="20"/>
              </w:rPr>
            </w:pPr>
            <w:r w:rsidRPr="006D4208">
              <w:rPr>
                <w:rFonts w:asciiTheme="minorHAnsi" w:hAnsiTheme="minorHAnsi" w:cs="Arial"/>
                <w:sz w:val="20"/>
                <w:szCs w:val="20"/>
              </w:rPr>
              <w:t>(1.</w:t>
            </w:r>
            <w:r w:rsidR="007967E2" w:rsidRPr="006D4208">
              <w:rPr>
                <w:rFonts w:asciiTheme="minorHAnsi" w:hAnsiTheme="minorHAnsi" w:cs="Arial"/>
                <w:sz w:val="20"/>
                <w:szCs w:val="20"/>
              </w:rPr>
              <w:t>3</w:t>
            </w:r>
            <w:r w:rsidRPr="006D4208">
              <w:rPr>
                <w:rFonts w:asciiTheme="minorHAnsi" w:hAnsiTheme="minorHAnsi" w:cs="Arial"/>
                <w:sz w:val="20"/>
                <w:szCs w:val="20"/>
              </w:rPr>
              <w:t>)</w:t>
            </w:r>
          </w:p>
        </w:tc>
      </w:tr>
      <w:tr w:rsidR="00927F88" w:rsidRPr="00085AA2" w14:paraId="57D324EC" w14:textId="77777777" w:rsidTr="0014103E">
        <w:tc>
          <w:tcPr>
            <w:tcW w:w="3099" w:type="pct"/>
            <w:vAlign w:val="bottom"/>
          </w:tcPr>
          <w:p w14:paraId="558787AC" w14:textId="1DB5C751" w:rsidR="00927F88" w:rsidRPr="00085AA2" w:rsidRDefault="00927F88" w:rsidP="00AF5A74">
            <w:pPr>
              <w:rPr>
                <w:rFonts w:asciiTheme="minorHAnsi" w:hAnsiTheme="minorHAnsi" w:cs="Arial"/>
                <w:b/>
                <w:sz w:val="20"/>
                <w:szCs w:val="20"/>
              </w:rPr>
            </w:pPr>
            <w:r w:rsidRPr="00085AA2">
              <w:rPr>
                <w:rFonts w:asciiTheme="minorHAnsi" w:hAnsiTheme="minorHAnsi" w:cs="Arial"/>
                <w:b/>
                <w:sz w:val="20"/>
                <w:szCs w:val="20"/>
              </w:rPr>
              <w:t>Total cash, cash equivalents and overdrafts</w:t>
            </w:r>
          </w:p>
        </w:tc>
        <w:tc>
          <w:tcPr>
            <w:tcW w:w="487" w:type="pct"/>
            <w:vAlign w:val="bottom"/>
          </w:tcPr>
          <w:p w14:paraId="4B6CA8A0" w14:textId="77777777" w:rsidR="00927F88" w:rsidRPr="00BB3187" w:rsidRDefault="00927F88" w:rsidP="00AF5A74">
            <w:pPr>
              <w:jc w:val="right"/>
              <w:rPr>
                <w:rFonts w:asciiTheme="minorHAnsi" w:hAnsiTheme="minorHAnsi" w:cs="Arial"/>
                <w:sz w:val="20"/>
                <w:szCs w:val="20"/>
              </w:rPr>
            </w:pPr>
          </w:p>
        </w:tc>
        <w:tc>
          <w:tcPr>
            <w:tcW w:w="648" w:type="pct"/>
            <w:tcBorders>
              <w:top w:val="single" w:sz="4" w:space="0" w:color="auto"/>
              <w:left w:val="nil"/>
              <w:bottom w:val="single" w:sz="12" w:space="0" w:color="auto"/>
              <w:right w:val="nil"/>
            </w:tcBorders>
            <w:shd w:val="clear" w:color="auto" w:fill="F2F2F2" w:themeFill="background1" w:themeFillShade="F2"/>
          </w:tcPr>
          <w:p w14:paraId="228DE57B" w14:textId="3CA0934F" w:rsidR="00927F88" w:rsidRPr="00FA5829" w:rsidRDefault="00E17341" w:rsidP="00AF5A74">
            <w:pPr>
              <w:jc w:val="right"/>
              <w:rPr>
                <w:rFonts w:asciiTheme="minorHAnsi" w:hAnsiTheme="minorHAnsi" w:cs="Arial"/>
                <w:b/>
                <w:sz w:val="20"/>
                <w:szCs w:val="20"/>
              </w:rPr>
            </w:pPr>
            <w:r w:rsidRPr="00FA5829">
              <w:rPr>
                <w:rFonts w:asciiTheme="minorHAnsi" w:hAnsiTheme="minorHAnsi" w:cs="Arial"/>
                <w:b/>
                <w:sz w:val="20"/>
                <w:szCs w:val="20"/>
              </w:rPr>
              <w:t>772.1</w:t>
            </w:r>
          </w:p>
        </w:tc>
        <w:tc>
          <w:tcPr>
            <w:tcW w:w="766" w:type="pct"/>
            <w:tcBorders>
              <w:top w:val="single" w:sz="4" w:space="0" w:color="auto"/>
              <w:left w:val="nil"/>
              <w:bottom w:val="single" w:sz="12" w:space="0" w:color="auto"/>
              <w:right w:val="nil"/>
            </w:tcBorders>
            <w:vAlign w:val="bottom"/>
          </w:tcPr>
          <w:p w14:paraId="38A973FB" w14:textId="3F284110" w:rsidR="00927F88" w:rsidRPr="006D4208" w:rsidRDefault="00927F88" w:rsidP="00AF5A74">
            <w:pPr>
              <w:jc w:val="right"/>
              <w:rPr>
                <w:rFonts w:asciiTheme="minorHAnsi" w:hAnsiTheme="minorHAnsi" w:cs="Arial"/>
                <w:sz w:val="20"/>
                <w:szCs w:val="20"/>
              </w:rPr>
            </w:pPr>
            <w:r w:rsidRPr="00842CD3">
              <w:rPr>
                <w:rFonts w:asciiTheme="minorHAnsi" w:hAnsiTheme="minorHAnsi" w:cs="Arial"/>
                <w:sz w:val="20"/>
                <w:szCs w:val="20"/>
              </w:rPr>
              <w:t>4</w:t>
            </w:r>
            <w:r w:rsidR="007967E2" w:rsidRPr="00842CD3">
              <w:rPr>
                <w:rFonts w:asciiTheme="minorHAnsi" w:hAnsiTheme="minorHAnsi" w:cs="Arial"/>
                <w:sz w:val="20"/>
                <w:szCs w:val="20"/>
              </w:rPr>
              <w:t>46.0</w:t>
            </w:r>
          </w:p>
        </w:tc>
      </w:tr>
    </w:tbl>
    <w:p w14:paraId="2500930E" w14:textId="77777777" w:rsidR="00A3174A" w:rsidRDefault="00A3174A" w:rsidP="00A3021A">
      <w:pPr>
        <w:rPr>
          <w:rFonts w:asciiTheme="minorHAnsi" w:hAnsiTheme="minorHAnsi" w:cs="Arial"/>
          <w:b/>
          <w:color w:val="4747FF"/>
          <w:sz w:val="22"/>
          <w:szCs w:val="22"/>
        </w:rPr>
      </w:pPr>
    </w:p>
    <w:p w14:paraId="1B53C99A" w14:textId="08CA4DC3" w:rsidR="0C404DDF" w:rsidRDefault="0C404DDF" w:rsidP="7E6963D0">
      <w:pPr>
        <w:rPr>
          <w:rFonts w:asciiTheme="minorHAnsi" w:hAnsiTheme="minorHAnsi" w:cs="Arial"/>
          <w:i/>
          <w:sz w:val="20"/>
          <w:szCs w:val="20"/>
        </w:rPr>
      </w:pPr>
      <w:r w:rsidRPr="7E6963D0">
        <w:rPr>
          <w:rFonts w:asciiTheme="minorHAnsi" w:hAnsiTheme="minorHAnsi" w:cs="Arial"/>
          <w:i/>
          <w:iCs/>
          <w:sz w:val="20"/>
          <w:szCs w:val="20"/>
          <w:vertAlign w:val="superscript"/>
        </w:rPr>
        <w:t>1</w:t>
      </w:r>
      <w:r w:rsidRPr="7E6963D0">
        <w:rPr>
          <w:rFonts w:asciiTheme="minorHAnsi" w:hAnsiTheme="minorHAnsi" w:cs="Arial"/>
          <w:i/>
          <w:iCs/>
          <w:sz w:val="20"/>
          <w:szCs w:val="20"/>
        </w:rPr>
        <w:t xml:space="preserve"> Refer to note 2 for details of restatement.</w:t>
      </w:r>
      <w:r w:rsidR="004E6EE1">
        <w:rPr>
          <w:rFonts w:asciiTheme="minorHAnsi" w:hAnsiTheme="minorHAnsi" w:cs="Arial"/>
          <w:i/>
          <w:iCs/>
          <w:sz w:val="20"/>
          <w:szCs w:val="20"/>
        </w:rPr>
        <w:t xml:space="preserve"> </w:t>
      </w:r>
      <w:r w:rsidR="00FB1518">
        <w:rPr>
          <w:rFonts w:asciiTheme="minorHAnsi" w:hAnsiTheme="minorHAnsi" w:cs="Arial"/>
          <w:i/>
          <w:iCs/>
          <w:sz w:val="20"/>
          <w:szCs w:val="20"/>
        </w:rPr>
        <w:t>2023 cash flow also represented</w:t>
      </w:r>
      <w:r w:rsidR="005D0811">
        <w:rPr>
          <w:rFonts w:asciiTheme="minorHAnsi" w:hAnsiTheme="minorHAnsi" w:cs="Arial"/>
          <w:i/>
          <w:iCs/>
          <w:sz w:val="20"/>
          <w:szCs w:val="20"/>
        </w:rPr>
        <w:t xml:space="preserve"> for interest income and interest expense to align to income statement representation</w:t>
      </w:r>
      <w:r w:rsidR="006A198A">
        <w:rPr>
          <w:rFonts w:asciiTheme="minorHAnsi" w:hAnsiTheme="minorHAnsi" w:cs="Arial"/>
          <w:i/>
          <w:iCs/>
          <w:sz w:val="20"/>
          <w:szCs w:val="20"/>
        </w:rPr>
        <w:t xml:space="preserve">. </w:t>
      </w:r>
    </w:p>
    <w:p w14:paraId="52DAEA4E" w14:textId="77777777" w:rsidR="00ED3FF3" w:rsidRDefault="00ED3FF3" w:rsidP="7E6963D0">
      <w:pPr>
        <w:rPr>
          <w:rFonts w:asciiTheme="minorHAnsi" w:hAnsiTheme="minorHAnsi" w:cs="Arial"/>
          <w:b/>
          <w:bCs/>
          <w:i/>
          <w:iCs/>
          <w:color w:val="4747FF"/>
          <w:sz w:val="22"/>
          <w:szCs w:val="22"/>
        </w:rPr>
      </w:pPr>
    </w:p>
    <w:p w14:paraId="7746207A" w14:textId="795E7877" w:rsidR="00421EFB" w:rsidRPr="00565803" w:rsidRDefault="00A3021A" w:rsidP="00A3021A">
      <w:pPr>
        <w:jc w:val="both"/>
        <w:rPr>
          <w:rFonts w:asciiTheme="minorHAnsi" w:hAnsiTheme="minorHAnsi" w:cs="Arial"/>
          <w:b/>
          <w:color w:val="4747FF"/>
          <w:sz w:val="22"/>
          <w:szCs w:val="22"/>
        </w:rPr>
      </w:pPr>
      <w:r w:rsidRPr="00565803">
        <w:rPr>
          <w:rFonts w:asciiTheme="minorHAnsi" w:hAnsiTheme="minorHAnsi" w:cs="Avenir-Light"/>
          <w:sz w:val="20"/>
          <w:szCs w:val="20"/>
          <w:lang w:val="en-US"/>
        </w:rPr>
        <w:t xml:space="preserve">Cash at bank and in hand includes </w:t>
      </w:r>
      <w:r w:rsidRPr="006D4208">
        <w:rPr>
          <w:rFonts w:asciiTheme="minorHAnsi" w:hAnsiTheme="minorHAnsi" w:cs="Avenir-Light"/>
          <w:sz w:val="20"/>
          <w:szCs w:val="20"/>
          <w:lang w:val="en-US"/>
        </w:rPr>
        <w:t>£</w:t>
      </w:r>
      <w:r w:rsidR="00972E19" w:rsidRPr="006D4208">
        <w:rPr>
          <w:rFonts w:asciiTheme="minorHAnsi" w:hAnsiTheme="minorHAnsi" w:cs="Avenir-Light"/>
          <w:sz w:val="20"/>
          <w:szCs w:val="20"/>
          <w:lang w:val="en-US"/>
        </w:rPr>
        <w:t>716.6</w:t>
      </w:r>
      <w:r w:rsidRPr="006D4208">
        <w:rPr>
          <w:rFonts w:asciiTheme="minorHAnsi" w:hAnsiTheme="minorHAnsi" w:cs="Avenir-Light"/>
          <w:sz w:val="20"/>
          <w:szCs w:val="20"/>
          <w:lang w:val="en-US"/>
        </w:rPr>
        <w:t>m</w:t>
      </w:r>
      <w:r w:rsidRPr="00565803">
        <w:rPr>
          <w:rFonts w:asciiTheme="minorHAnsi" w:hAnsiTheme="minorHAnsi" w:cs="Avenir-Light"/>
          <w:sz w:val="20"/>
          <w:szCs w:val="20"/>
          <w:lang w:val="en-US"/>
        </w:rPr>
        <w:t xml:space="preserve"> (</w:t>
      </w:r>
      <w:r w:rsidR="008F2EB1" w:rsidRPr="008F2EB1">
        <w:rPr>
          <w:rFonts w:asciiTheme="minorHAnsi" w:hAnsiTheme="minorHAnsi" w:cs="Avenir-Light"/>
          <w:sz w:val="20"/>
          <w:szCs w:val="20"/>
          <w:lang w:val="en-US"/>
        </w:rPr>
        <w:t>1H</w:t>
      </w:r>
      <w:r w:rsidRPr="008F2EB1">
        <w:rPr>
          <w:rFonts w:asciiTheme="minorHAnsi" w:hAnsiTheme="minorHAnsi" w:cs="Avenir-Light"/>
          <w:sz w:val="20"/>
          <w:szCs w:val="20"/>
          <w:lang w:val="en-US"/>
        </w:rPr>
        <w:t>2</w:t>
      </w:r>
      <w:r w:rsidR="004B6273" w:rsidRPr="008F2EB1">
        <w:rPr>
          <w:rFonts w:asciiTheme="minorHAnsi" w:hAnsiTheme="minorHAnsi" w:cs="Avenir-Light"/>
          <w:sz w:val="20"/>
          <w:szCs w:val="20"/>
          <w:lang w:val="en-US"/>
        </w:rPr>
        <w:t>3</w:t>
      </w:r>
      <w:r w:rsidRPr="008F2EB1">
        <w:rPr>
          <w:rFonts w:asciiTheme="minorHAnsi" w:hAnsiTheme="minorHAnsi" w:cs="Avenir-Light"/>
          <w:sz w:val="20"/>
          <w:szCs w:val="20"/>
          <w:lang w:val="en-US"/>
        </w:rPr>
        <w:t>: £</w:t>
      </w:r>
      <w:r w:rsidR="00CF5AAA" w:rsidRPr="008F2EB1">
        <w:rPr>
          <w:rFonts w:asciiTheme="minorHAnsi" w:hAnsiTheme="minorHAnsi" w:cs="Avenir-Light"/>
          <w:sz w:val="20"/>
          <w:szCs w:val="20"/>
          <w:lang w:val="en-US"/>
        </w:rPr>
        <w:t>386.5</w:t>
      </w:r>
      <w:r w:rsidRPr="008F2EB1">
        <w:rPr>
          <w:rFonts w:asciiTheme="minorHAnsi" w:hAnsiTheme="minorHAnsi" w:cs="Avenir-Light"/>
          <w:sz w:val="20"/>
          <w:szCs w:val="20"/>
          <w:lang w:val="en-US"/>
        </w:rPr>
        <w:t>m</w:t>
      </w:r>
      <w:r w:rsidRPr="00565803">
        <w:rPr>
          <w:rFonts w:asciiTheme="minorHAnsi" w:hAnsiTheme="minorHAnsi" w:cs="Avenir-Light"/>
          <w:sz w:val="20"/>
          <w:szCs w:val="20"/>
          <w:lang w:val="en-US"/>
        </w:rPr>
        <w:t>) in respect of the liquid assets buffer, including other liquidity</w:t>
      </w:r>
      <w:r w:rsidR="4BD0FADA" w:rsidRPr="63C3884C">
        <w:rPr>
          <w:rFonts w:asciiTheme="minorHAnsi" w:hAnsiTheme="minorHAnsi" w:cs="Avenir-Light"/>
          <w:sz w:val="20"/>
          <w:szCs w:val="20"/>
          <w:lang w:val="en-US"/>
        </w:rPr>
        <w:t xml:space="preserve"> </w:t>
      </w:r>
      <w:r w:rsidRPr="00565803">
        <w:rPr>
          <w:rFonts w:asciiTheme="minorHAnsi" w:hAnsiTheme="minorHAnsi" w:cs="Avenir-Light"/>
          <w:sz w:val="20"/>
          <w:szCs w:val="20"/>
          <w:lang w:val="en-US"/>
        </w:rPr>
        <w:t xml:space="preserve">resources, held by Vanquis Bank Limited in accordance with the PRA’s liquidity regime. </w:t>
      </w:r>
    </w:p>
    <w:p w14:paraId="703B5DB5" w14:textId="77777777" w:rsidR="000652AC" w:rsidRDefault="000652AC">
      <w:pPr>
        <w:rPr>
          <w:rFonts w:asciiTheme="minorHAnsi" w:hAnsiTheme="minorHAnsi" w:cs="Arial"/>
          <w:b/>
          <w:bCs/>
          <w:color w:val="4747FF"/>
          <w:sz w:val="22"/>
          <w:szCs w:val="22"/>
        </w:rPr>
      </w:pPr>
    </w:p>
    <w:p w14:paraId="3FEC300C" w14:textId="77777777" w:rsidR="000652AC" w:rsidRDefault="000652AC">
      <w:pPr>
        <w:rPr>
          <w:rFonts w:asciiTheme="minorHAnsi" w:hAnsiTheme="minorHAnsi" w:cs="Arial"/>
          <w:b/>
          <w:bCs/>
          <w:color w:val="4747FF"/>
          <w:sz w:val="22"/>
          <w:szCs w:val="22"/>
        </w:rPr>
      </w:pPr>
    </w:p>
    <w:p w14:paraId="4FBCF00E" w14:textId="62FC1C91" w:rsidR="00C846D0" w:rsidRDefault="00C846D0">
      <w:pPr>
        <w:rPr>
          <w:rFonts w:asciiTheme="minorHAnsi" w:hAnsiTheme="minorHAnsi" w:cs="Arial"/>
          <w:b/>
          <w:bCs/>
          <w:color w:val="4747FF"/>
          <w:sz w:val="22"/>
          <w:szCs w:val="22"/>
        </w:rPr>
      </w:pPr>
    </w:p>
    <w:p w14:paraId="091A1BB0" w14:textId="77257BB1" w:rsidR="00A3021A" w:rsidRPr="00565803" w:rsidRDefault="00A3021A" w:rsidP="00A3021A">
      <w:pPr>
        <w:jc w:val="both"/>
        <w:rPr>
          <w:rFonts w:asciiTheme="minorHAnsi" w:hAnsiTheme="minorHAnsi" w:cs="Arial"/>
          <w:bCs/>
          <w:color w:val="4747FF"/>
          <w:sz w:val="22"/>
          <w:szCs w:val="22"/>
        </w:rPr>
      </w:pPr>
      <w:r w:rsidRPr="00565803">
        <w:rPr>
          <w:rFonts w:asciiTheme="minorHAnsi" w:hAnsiTheme="minorHAnsi" w:cs="Arial"/>
          <w:b/>
          <w:bCs/>
          <w:color w:val="4747FF"/>
          <w:sz w:val="22"/>
          <w:szCs w:val="22"/>
        </w:rPr>
        <w:t>Notes to the financial information</w:t>
      </w:r>
    </w:p>
    <w:p w14:paraId="49A4EABB" w14:textId="77777777" w:rsidR="00A3021A" w:rsidRPr="00565803" w:rsidRDefault="00A3021A" w:rsidP="00A3021A">
      <w:pPr>
        <w:jc w:val="both"/>
        <w:rPr>
          <w:rFonts w:asciiTheme="minorHAnsi" w:hAnsiTheme="minorHAnsi" w:cs="Arial"/>
          <w:sz w:val="20"/>
          <w:szCs w:val="20"/>
        </w:rPr>
      </w:pPr>
    </w:p>
    <w:p w14:paraId="56CDDFD3" w14:textId="653FC1C4" w:rsidR="00A3021A" w:rsidRPr="00565803" w:rsidRDefault="00A3021A" w:rsidP="00A3021A">
      <w:pPr>
        <w:ind w:left="567" w:hanging="567"/>
        <w:jc w:val="both"/>
        <w:rPr>
          <w:rStyle w:val="bodycopynumber"/>
          <w:rFonts w:asciiTheme="minorHAnsi" w:hAnsiTheme="minorHAnsi" w:cs="Arial"/>
          <w:b/>
          <w:bCs/>
          <w:color w:val="4747FF"/>
          <w:sz w:val="22"/>
          <w:szCs w:val="22"/>
        </w:rPr>
      </w:pPr>
      <w:bookmarkStart w:id="9" w:name="_Hlk99455617"/>
      <w:r w:rsidRPr="00565803">
        <w:rPr>
          <w:rStyle w:val="bodycopynumber"/>
          <w:rFonts w:asciiTheme="minorHAnsi" w:hAnsiTheme="minorHAnsi" w:cs="Arial"/>
          <w:b/>
          <w:bCs/>
          <w:color w:val="4747FF"/>
          <w:sz w:val="22"/>
          <w:szCs w:val="22"/>
        </w:rPr>
        <w:t>1.</w:t>
      </w:r>
      <w:r w:rsidRPr="00565803">
        <w:rPr>
          <w:rStyle w:val="bodycopynumber"/>
          <w:rFonts w:asciiTheme="minorHAnsi" w:hAnsiTheme="minorHAnsi" w:cs="Arial"/>
          <w:b/>
          <w:bCs/>
          <w:color w:val="4747FF"/>
          <w:sz w:val="22"/>
          <w:szCs w:val="22"/>
        </w:rPr>
        <w:tab/>
      </w:r>
      <w:r w:rsidR="001074D4" w:rsidRPr="00565803">
        <w:rPr>
          <w:rStyle w:val="bodycopynumber"/>
          <w:rFonts w:asciiTheme="minorHAnsi" w:hAnsiTheme="minorHAnsi" w:cs="Arial"/>
          <w:b/>
          <w:bCs/>
          <w:color w:val="4747FF"/>
          <w:sz w:val="22"/>
          <w:szCs w:val="22"/>
        </w:rPr>
        <w:t>General information an</w:t>
      </w:r>
      <w:r w:rsidR="004E71E0" w:rsidRPr="00565803">
        <w:rPr>
          <w:rStyle w:val="bodycopynumber"/>
          <w:rFonts w:asciiTheme="minorHAnsi" w:hAnsiTheme="minorHAnsi" w:cs="Arial"/>
          <w:b/>
          <w:bCs/>
          <w:color w:val="4747FF"/>
          <w:sz w:val="22"/>
          <w:szCs w:val="22"/>
        </w:rPr>
        <w:t>d</w:t>
      </w:r>
      <w:r w:rsidR="001074D4" w:rsidRPr="00565803">
        <w:rPr>
          <w:rStyle w:val="bodycopynumber"/>
          <w:rFonts w:asciiTheme="minorHAnsi" w:hAnsiTheme="minorHAnsi" w:cs="Arial"/>
          <w:b/>
          <w:bCs/>
          <w:color w:val="4747FF"/>
          <w:sz w:val="22"/>
          <w:szCs w:val="22"/>
        </w:rPr>
        <w:t xml:space="preserve"> b</w:t>
      </w:r>
      <w:r w:rsidRPr="00565803">
        <w:rPr>
          <w:rStyle w:val="bodycopynumber"/>
          <w:rFonts w:asciiTheme="minorHAnsi" w:hAnsiTheme="minorHAnsi" w:cs="Arial"/>
          <w:b/>
          <w:bCs/>
          <w:color w:val="4747FF"/>
          <w:sz w:val="22"/>
          <w:szCs w:val="22"/>
        </w:rPr>
        <w:t>asis of preparation</w:t>
      </w:r>
    </w:p>
    <w:p w14:paraId="33107DF7" w14:textId="77777777" w:rsidR="00A3021A" w:rsidRPr="00565803" w:rsidRDefault="00A3021A" w:rsidP="00A3021A">
      <w:pPr>
        <w:autoSpaceDE w:val="0"/>
        <w:autoSpaceDN w:val="0"/>
        <w:adjustRightInd w:val="0"/>
        <w:jc w:val="both"/>
        <w:rPr>
          <w:rFonts w:asciiTheme="minorHAnsi" w:hAnsiTheme="minorHAnsi" w:cs="Poppins-Light"/>
          <w:sz w:val="20"/>
          <w:szCs w:val="20"/>
        </w:rPr>
      </w:pPr>
    </w:p>
    <w:p w14:paraId="7D93F990" w14:textId="77777777" w:rsidR="002967F1" w:rsidRPr="00565803" w:rsidRDefault="002967F1" w:rsidP="002967F1">
      <w:pPr>
        <w:jc w:val="both"/>
        <w:rPr>
          <w:rFonts w:asciiTheme="minorHAnsi" w:eastAsiaTheme="minorEastAsia" w:hAnsiTheme="minorHAnsi" w:cstheme="minorBidi"/>
          <w:sz w:val="20"/>
          <w:szCs w:val="20"/>
        </w:rPr>
      </w:pPr>
      <w:r w:rsidRPr="00565803">
        <w:rPr>
          <w:rFonts w:asciiTheme="minorHAnsi" w:hAnsiTheme="minorHAnsi"/>
          <w:sz w:val="20"/>
          <w:szCs w:val="20"/>
        </w:rPr>
        <w:t>T</w:t>
      </w:r>
      <w:r w:rsidRPr="7C903E2A">
        <w:rPr>
          <w:rFonts w:asciiTheme="minorHAnsi" w:eastAsiaTheme="minorEastAsia" w:hAnsiTheme="minorHAnsi" w:cstheme="minorBidi"/>
          <w:sz w:val="20"/>
          <w:szCs w:val="20"/>
        </w:rPr>
        <w:t>he company is a public limited company, incorporated and domiciled in the UK. The address of its registered office is No. 1 Godwin Street, Bradford, BD1 2SU. The company is listed on the London Stock Exchange.</w:t>
      </w:r>
    </w:p>
    <w:p w14:paraId="30DA0CAA" w14:textId="77777777" w:rsidR="002967F1" w:rsidRPr="00565803" w:rsidRDefault="002967F1" w:rsidP="002967F1">
      <w:pPr>
        <w:jc w:val="both"/>
        <w:rPr>
          <w:rFonts w:asciiTheme="minorHAnsi" w:eastAsiaTheme="minorEastAsia" w:hAnsiTheme="minorHAnsi" w:cstheme="minorBidi"/>
          <w:sz w:val="20"/>
          <w:szCs w:val="20"/>
        </w:rPr>
      </w:pPr>
    </w:p>
    <w:p w14:paraId="38249945" w14:textId="704B01F7" w:rsidR="002967F1" w:rsidRPr="002967F1" w:rsidRDefault="002967F1" w:rsidP="002967F1">
      <w:pPr>
        <w:jc w:val="both"/>
        <w:rPr>
          <w:rFonts w:asciiTheme="minorHAnsi" w:eastAsiaTheme="minorEastAsia" w:hAnsiTheme="minorHAnsi" w:cstheme="minorBidi"/>
          <w:sz w:val="20"/>
          <w:szCs w:val="20"/>
        </w:rPr>
      </w:pPr>
      <w:r w:rsidRPr="7C903E2A">
        <w:rPr>
          <w:rFonts w:asciiTheme="minorHAnsi" w:eastAsiaTheme="minorEastAsia" w:hAnsiTheme="minorHAnsi" w:cstheme="minorBidi"/>
          <w:sz w:val="20"/>
          <w:szCs w:val="20"/>
        </w:rPr>
        <w:t>The unaudited condensed interim financial statements do not constitute the statutory financial statements of the Group within the meaning of section 434 of the Companies Act 2006. The statutory financial statements for the year ended 31 December 202</w:t>
      </w:r>
      <w:r w:rsidR="00697CA1" w:rsidRPr="7C903E2A">
        <w:rPr>
          <w:rFonts w:asciiTheme="minorHAnsi" w:eastAsiaTheme="minorEastAsia" w:hAnsiTheme="minorHAnsi" w:cstheme="minorBidi"/>
          <w:sz w:val="20"/>
          <w:szCs w:val="20"/>
        </w:rPr>
        <w:t>3</w:t>
      </w:r>
      <w:r w:rsidRPr="7C903E2A">
        <w:rPr>
          <w:rFonts w:asciiTheme="minorHAnsi" w:eastAsiaTheme="minorEastAsia" w:hAnsiTheme="minorHAnsi" w:cstheme="minorBidi"/>
          <w:sz w:val="20"/>
          <w:szCs w:val="20"/>
        </w:rPr>
        <w:t xml:space="preserve"> were approved by the board of directors on </w:t>
      </w:r>
      <w:r w:rsidR="00A560F5" w:rsidRPr="7C903E2A">
        <w:rPr>
          <w:rFonts w:asciiTheme="minorHAnsi" w:eastAsiaTheme="minorEastAsia" w:hAnsiTheme="minorHAnsi" w:cstheme="minorBidi"/>
          <w:sz w:val="20"/>
          <w:szCs w:val="20"/>
        </w:rPr>
        <w:t>26</w:t>
      </w:r>
      <w:r w:rsidR="00B7263C" w:rsidRPr="7C903E2A">
        <w:rPr>
          <w:rFonts w:asciiTheme="minorHAnsi" w:eastAsiaTheme="minorEastAsia" w:hAnsiTheme="minorHAnsi" w:cstheme="minorBidi"/>
          <w:sz w:val="20"/>
          <w:szCs w:val="20"/>
        </w:rPr>
        <w:t xml:space="preserve"> March</w:t>
      </w:r>
      <w:r w:rsidRPr="7C903E2A">
        <w:rPr>
          <w:rFonts w:asciiTheme="minorHAnsi" w:eastAsiaTheme="minorEastAsia" w:hAnsiTheme="minorHAnsi" w:cstheme="minorBidi"/>
          <w:sz w:val="20"/>
          <w:szCs w:val="20"/>
        </w:rPr>
        <w:t xml:space="preserve"> 202</w:t>
      </w:r>
      <w:r w:rsidR="00A560F5" w:rsidRPr="7C903E2A">
        <w:rPr>
          <w:rFonts w:asciiTheme="minorHAnsi" w:eastAsiaTheme="minorEastAsia" w:hAnsiTheme="minorHAnsi" w:cstheme="minorBidi"/>
          <w:sz w:val="20"/>
          <w:szCs w:val="20"/>
        </w:rPr>
        <w:t>4</w:t>
      </w:r>
      <w:r w:rsidRPr="7C903E2A">
        <w:rPr>
          <w:rFonts w:asciiTheme="minorHAnsi" w:eastAsiaTheme="minorEastAsia" w:hAnsiTheme="minorHAnsi" w:cstheme="minorBidi"/>
          <w:sz w:val="20"/>
          <w:szCs w:val="20"/>
        </w:rPr>
        <w:t xml:space="preserve"> and have been delivered to the Registrar of Companies. The report of the auditor on those financial statements was unqualified, did not draw attention to any matters by way of emphasis and did not contain any statement under section 498(2) or (3) of the Companies Act 2006.   </w:t>
      </w:r>
    </w:p>
    <w:p w14:paraId="6F18B8CA" w14:textId="77777777" w:rsidR="002967F1" w:rsidRPr="002967F1" w:rsidRDefault="002967F1" w:rsidP="002967F1">
      <w:pPr>
        <w:jc w:val="both"/>
        <w:rPr>
          <w:rFonts w:asciiTheme="minorHAnsi" w:eastAsiaTheme="minorEastAsia" w:hAnsiTheme="minorHAnsi" w:cstheme="minorBidi"/>
          <w:sz w:val="20"/>
          <w:szCs w:val="20"/>
        </w:rPr>
      </w:pPr>
    </w:p>
    <w:p w14:paraId="69072F31" w14:textId="73CB41E3" w:rsidR="00A3021A" w:rsidRDefault="002967F1" w:rsidP="00A3021A">
      <w:pPr>
        <w:jc w:val="both"/>
        <w:rPr>
          <w:rFonts w:asciiTheme="minorHAnsi" w:eastAsiaTheme="minorEastAsia" w:hAnsiTheme="minorHAnsi" w:cstheme="minorBidi"/>
          <w:sz w:val="20"/>
          <w:szCs w:val="20"/>
        </w:rPr>
      </w:pPr>
      <w:r w:rsidRPr="7C903E2A">
        <w:rPr>
          <w:rFonts w:asciiTheme="minorHAnsi" w:eastAsiaTheme="minorEastAsia" w:hAnsiTheme="minorHAnsi" w:cstheme="minorBidi"/>
          <w:sz w:val="20"/>
          <w:szCs w:val="20"/>
        </w:rPr>
        <w:t>The unaudited condensed interim financial statements for the six months ended 30 June 202</w:t>
      </w:r>
      <w:r w:rsidR="00A560F5" w:rsidRPr="7C903E2A">
        <w:rPr>
          <w:rFonts w:asciiTheme="minorHAnsi" w:eastAsiaTheme="minorEastAsia" w:hAnsiTheme="minorHAnsi" w:cstheme="minorBidi"/>
          <w:sz w:val="20"/>
          <w:szCs w:val="20"/>
        </w:rPr>
        <w:t>4</w:t>
      </w:r>
      <w:r w:rsidRPr="7C903E2A">
        <w:rPr>
          <w:rFonts w:asciiTheme="minorHAnsi" w:eastAsiaTheme="minorEastAsia" w:hAnsiTheme="minorHAnsi" w:cstheme="minorBidi"/>
          <w:sz w:val="20"/>
          <w:szCs w:val="20"/>
        </w:rPr>
        <w:t xml:space="preserve"> have been reviewed, not audited, and were approved by the board of directors </w:t>
      </w:r>
      <w:r w:rsidRPr="00FE3707">
        <w:rPr>
          <w:rFonts w:asciiTheme="minorHAnsi" w:eastAsiaTheme="minorEastAsia" w:hAnsiTheme="minorHAnsi" w:cstheme="minorBidi"/>
          <w:sz w:val="20"/>
          <w:szCs w:val="20"/>
        </w:rPr>
        <w:t xml:space="preserve">on </w:t>
      </w:r>
      <w:r w:rsidR="001F03ED" w:rsidRPr="00CF66BE">
        <w:rPr>
          <w:rFonts w:asciiTheme="minorHAnsi" w:eastAsiaTheme="minorEastAsia" w:hAnsiTheme="minorHAnsi" w:cstheme="minorBidi"/>
          <w:sz w:val="20"/>
          <w:szCs w:val="20"/>
        </w:rPr>
        <w:t>31</w:t>
      </w:r>
      <w:r w:rsidRPr="00CF66BE">
        <w:rPr>
          <w:rFonts w:asciiTheme="minorHAnsi" w:eastAsiaTheme="minorEastAsia" w:hAnsiTheme="minorHAnsi" w:cstheme="minorBidi"/>
          <w:sz w:val="20"/>
          <w:szCs w:val="20"/>
        </w:rPr>
        <w:t xml:space="preserve"> July 202</w:t>
      </w:r>
      <w:r w:rsidR="00523EDB" w:rsidRPr="00CF66BE">
        <w:rPr>
          <w:rFonts w:asciiTheme="minorHAnsi" w:eastAsiaTheme="minorEastAsia" w:hAnsiTheme="minorHAnsi" w:cstheme="minorBidi"/>
          <w:sz w:val="20"/>
          <w:szCs w:val="20"/>
        </w:rPr>
        <w:t>4</w:t>
      </w:r>
      <w:r w:rsidRPr="00CF66BE">
        <w:rPr>
          <w:rFonts w:asciiTheme="minorHAnsi" w:eastAsiaTheme="minorEastAsia" w:hAnsiTheme="minorHAnsi" w:cstheme="minorBidi"/>
          <w:sz w:val="20"/>
          <w:szCs w:val="20"/>
        </w:rPr>
        <w:t>.</w:t>
      </w:r>
    </w:p>
    <w:p w14:paraId="1A8AA3E2" w14:textId="77777777" w:rsidR="002967F1" w:rsidRPr="004C03A7" w:rsidRDefault="002967F1" w:rsidP="002967F1">
      <w:pPr>
        <w:jc w:val="both"/>
        <w:rPr>
          <w:rFonts w:asciiTheme="minorHAnsi" w:eastAsiaTheme="minorEastAsia" w:hAnsiTheme="minorHAnsi" w:cstheme="minorBidi"/>
          <w:sz w:val="20"/>
          <w:szCs w:val="20"/>
          <w:highlight w:val="yellow"/>
        </w:rPr>
      </w:pPr>
    </w:p>
    <w:p w14:paraId="0A80D559" w14:textId="591E29DF" w:rsidR="00232F4C" w:rsidRDefault="00565BC2" w:rsidP="00E27302">
      <w:pPr>
        <w:pStyle w:val="Default"/>
        <w:jc w:val="both"/>
        <w:rPr>
          <w:rFonts w:asciiTheme="minorHAnsi" w:eastAsiaTheme="minorEastAsia" w:hAnsiTheme="minorHAnsi" w:cstheme="minorBidi"/>
          <w:color w:val="auto"/>
          <w:sz w:val="20"/>
          <w:szCs w:val="20"/>
          <w:lang w:eastAsia="en-GB"/>
        </w:rPr>
      </w:pPr>
      <w:r w:rsidRPr="7C903E2A">
        <w:rPr>
          <w:rFonts w:asciiTheme="minorHAnsi" w:eastAsiaTheme="minorEastAsia" w:hAnsiTheme="minorHAnsi" w:cstheme="minorBidi"/>
          <w:color w:val="auto"/>
          <w:sz w:val="20"/>
          <w:szCs w:val="20"/>
          <w:lang w:eastAsia="en-GB"/>
        </w:rPr>
        <w:t>The unaudited condensed interim financial statements for the six months ended 30 June 202</w:t>
      </w:r>
      <w:r w:rsidR="00523EDB" w:rsidRPr="7C903E2A">
        <w:rPr>
          <w:rFonts w:asciiTheme="minorHAnsi" w:eastAsiaTheme="minorEastAsia" w:hAnsiTheme="minorHAnsi" w:cstheme="minorBidi"/>
          <w:color w:val="auto"/>
          <w:sz w:val="20"/>
          <w:szCs w:val="20"/>
          <w:lang w:eastAsia="en-GB"/>
        </w:rPr>
        <w:t>4</w:t>
      </w:r>
      <w:r w:rsidRPr="7C903E2A">
        <w:rPr>
          <w:rFonts w:asciiTheme="minorHAnsi" w:eastAsiaTheme="minorEastAsia" w:hAnsiTheme="minorHAnsi" w:cstheme="minorBidi"/>
          <w:color w:val="auto"/>
          <w:sz w:val="20"/>
          <w:szCs w:val="20"/>
          <w:lang w:eastAsia="en-GB"/>
        </w:rPr>
        <w:t xml:space="preserve"> have been prepared in accordance with IAS 34 ‘Interim Financial Reporting’ as adopted by the UK. The unaudited condensed interim financial statements should be read in conjunction with the statutory financial statements for the year ended 31 December 202</w:t>
      </w:r>
      <w:r w:rsidR="00523EDB" w:rsidRPr="7C903E2A">
        <w:rPr>
          <w:rFonts w:asciiTheme="minorHAnsi" w:eastAsiaTheme="minorEastAsia" w:hAnsiTheme="minorHAnsi" w:cstheme="minorBidi"/>
          <w:color w:val="auto"/>
          <w:sz w:val="20"/>
          <w:szCs w:val="20"/>
          <w:lang w:eastAsia="en-GB"/>
        </w:rPr>
        <w:t>3</w:t>
      </w:r>
      <w:r w:rsidRPr="7C903E2A">
        <w:rPr>
          <w:rFonts w:asciiTheme="minorHAnsi" w:eastAsiaTheme="minorEastAsia" w:hAnsiTheme="minorHAnsi" w:cstheme="minorBidi"/>
          <w:color w:val="auto"/>
          <w:sz w:val="20"/>
          <w:szCs w:val="20"/>
          <w:lang w:eastAsia="en-GB"/>
        </w:rPr>
        <w:t>.</w:t>
      </w:r>
    </w:p>
    <w:p w14:paraId="16CFB127" w14:textId="77777777" w:rsidR="00565BC2" w:rsidRPr="004C03A7" w:rsidRDefault="00565BC2" w:rsidP="00E27302">
      <w:pPr>
        <w:pStyle w:val="Default"/>
        <w:jc w:val="both"/>
        <w:rPr>
          <w:rFonts w:asciiTheme="minorHAnsi" w:eastAsiaTheme="minorEastAsia" w:hAnsiTheme="minorHAnsi" w:cstheme="minorBidi"/>
          <w:sz w:val="20"/>
          <w:szCs w:val="20"/>
          <w:highlight w:val="yellow"/>
        </w:rPr>
      </w:pPr>
    </w:p>
    <w:bookmarkEnd w:id="9"/>
    <w:p w14:paraId="6A8DA40E" w14:textId="1C2B9CF8" w:rsidR="00E27302" w:rsidRPr="0098172C" w:rsidRDefault="00E27302" w:rsidP="00E27302">
      <w:pPr>
        <w:jc w:val="both"/>
        <w:rPr>
          <w:rFonts w:asciiTheme="minorHAnsi" w:eastAsiaTheme="minorEastAsia" w:hAnsiTheme="minorHAnsi" w:cstheme="minorBidi"/>
          <w:sz w:val="20"/>
          <w:szCs w:val="20"/>
        </w:rPr>
      </w:pPr>
      <w:r w:rsidRPr="7C903E2A">
        <w:rPr>
          <w:rFonts w:asciiTheme="minorHAnsi" w:eastAsiaTheme="minorEastAsia" w:hAnsiTheme="minorHAnsi" w:cstheme="minorBidi"/>
          <w:sz w:val="20"/>
          <w:szCs w:val="20"/>
        </w:rPr>
        <w:t>The interim financial statements have been prepared on a going concern basis under the historical cost convention</w:t>
      </w:r>
      <w:r w:rsidR="003621EC" w:rsidRPr="7C903E2A">
        <w:rPr>
          <w:rFonts w:asciiTheme="minorHAnsi" w:eastAsiaTheme="minorEastAsia" w:hAnsiTheme="minorHAnsi" w:cstheme="minorBidi"/>
          <w:sz w:val="20"/>
          <w:szCs w:val="20"/>
        </w:rPr>
        <w:t>, as modified by the revaluation of derivative financial instruments and investments held at fair value through profit and loss</w:t>
      </w:r>
      <w:r w:rsidRPr="7C903E2A">
        <w:rPr>
          <w:rFonts w:asciiTheme="minorHAnsi" w:eastAsiaTheme="minorEastAsia" w:hAnsiTheme="minorHAnsi" w:cstheme="minorBidi"/>
          <w:sz w:val="20"/>
          <w:szCs w:val="20"/>
        </w:rPr>
        <w:t>.</w:t>
      </w:r>
    </w:p>
    <w:p w14:paraId="537BF151" w14:textId="77777777" w:rsidR="009139A1" w:rsidRDefault="009139A1" w:rsidP="00232F4C">
      <w:pPr>
        <w:pStyle w:val="Pa2"/>
        <w:spacing w:after="100"/>
        <w:jc w:val="both"/>
        <w:rPr>
          <w:rFonts w:asciiTheme="minorHAnsi" w:eastAsiaTheme="minorEastAsia" w:hAnsiTheme="minorHAnsi" w:cstheme="minorBidi"/>
          <w:sz w:val="20"/>
          <w:szCs w:val="20"/>
        </w:rPr>
      </w:pPr>
    </w:p>
    <w:p w14:paraId="52202AA7" w14:textId="517198C2" w:rsidR="00BF738D" w:rsidRPr="00BF738D" w:rsidRDefault="00BF738D" w:rsidP="00BF738D">
      <w:pPr>
        <w:jc w:val="both"/>
        <w:rPr>
          <w:rFonts w:asciiTheme="minorHAnsi" w:eastAsiaTheme="minorEastAsia" w:hAnsiTheme="minorHAnsi" w:cstheme="minorBidi"/>
          <w:sz w:val="20"/>
          <w:szCs w:val="20"/>
        </w:rPr>
      </w:pPr>
      <w:r w:rsidRPr="00BF738D">
        <w:rPr>
          <w:rFonts w:asciiTheme="minorHAnsi" w:eastAsiaTheme="minorEastAsia" w:hAnsiTheme="minorHAnsi" w:cstheme="minorBidi"/>
          <w:sz w:val="20"/>
          <w:szCs w:val="20"/>
        </w:rPr>
        <w:t xml:space="preserve">In assessing whether the Group is a going concern, the directors have reviewed the Group’s corporate plan as approved in March 2024 and the latest 18 month forecast approved by Board in July 2024.  In doing so, the Board reviewed </w:t>
      </w:r>
      <w:r w:rsidR="00A71EB3">
        <w:rPr>
          <w:rFonts w:asciiTheme="minorHAnsi" w:eastAsiaTheme="minorEastAsia" w:hAnsiTheme="minorHAnsi" w:cstheme="minorBidi"/>
          <w:sz w:val="20"/>
          <w:szCs w:val="20"/>
        </w:rPr>
        <w:t xml:space="preserve">the </w:t>
      </w:r>
      <w:r w:rsidRPr="00BF738D">
        <w:rPr>
          <w:rFonts w:asciiTheme="minorHAnsi" w:eastAsiaTheme="minorEastAsia" w:hAnsiTheme="minorHAnsi" w:cstheme="minorBidi"/>
          <w:sz w:val="20"/>
          <w:szCs w:val="20"/>
        </w:rPr>
        <w:t xml:space="preserve">detailed budget for the three year period to December 2026 and the latest forecast to December 2025 </w:t>
      </w:r>
      <w:r w:rsidR="00007FF0" w:rsidRPr="002725AC" w:rsidDel="007C0E59">
        <w:rPr>
          <w:rFonts w:asciiTheme="minorHAnsi" w:eastAsiaTheme="minorEastAsia" w:hAnsiTheme="minorHAnsi" w:cstheme="minorBidi"/>
          <w:sz w:val="20"/>
          <w:szCs w:val="20"/>
        </w:rPr>
        <w:t>which included further streamlining to deliver additional cost savings and the introduction of further initiatives to improve profitability of revenue contracts</w:t>
      </w:r>
      <w:r w:rsidRPr="00BF738D" w:rsidDel="007C0E59">
        <w:rPr>
          <w:rFonts w:asciiTheme="minorHAnsi" w:eastAsiaTheme="minorEastAsia" w:hAnsiTheme="minorHAnsi" w:cstheme="minorBidi"/>
          <w:sz w:val="20"/>
          <w:szCs w:val="20"/>
        </w:rPr>
        <w:t xml:space="preserve">. </w:t>
      </w:r>
      <w:r w:rsidR="0029204D">
        <w:rPr>
          <w:rFonts w:asciiTheme="minorHAnsi" w:eastAsiaTheme="minorEastAsia" w:hAnsiTheme="minorHAnsi" w:cstheme="minorBidi"/>
          <w:sz w:val="20"/>
          <w:szCs w:val="20"/>
        </w:rPr>
        <w:t xml:space="preserve"> </w:t>
      </w:r>
      <w:r w:rsidRPr="00BF738D">
        <w:rPr>
          <w:rFonts w:asciiTheme="minorHAnsi" w:eastAsiaTheme="minorEastAsia" w:hAnsiTheme="minorHAnsi" w:cstheme="minorBidi"/>
          <w:sz w:val="20"/>
          <w:szCs w:val="20"/>
        </w:rPr>
        <w:t>The assessment included consideration of the Group’s principal risks and uncertainties, with a focus o</w:t>
      </w:r>
      <w:r w:rsidR="00182305">
        <w:rPr>
          <w:rFonts w:asciiTheme="minorHAnsi" w:eastAsiaTheme="minorEastAsia" w:hAnsiTheme="minorHAnsi" w:cstheme="minorBidi"/>
          <w:sz w:val="20"/>
          <w:szCs w:val="20"/>
        </w:rPr>
        <w:t>n</w:t>
      </w:r>
      <w:r w:rsidRPr="00BF738D">
        <w:rPr>
          <w:rFonts w:asciiTheme="minorHAnsi" w:eastAsiaTheme="minorEastAsia" w:hAnsiTheme="minorHAnsi" w:cstheme="minorBidi"/>
          <w:sz w:val="20"/>
          <w:szCs w:val="20"/>
        </w:rPr>
        <w:t xml:space="preserve"> capital and liquidity and the going concern assessment covers a period of 12 months from the accounts approval date. </w:t>
      </w:r>
    </w:p>
    <w:p w14:paraId="371127D4" w14:textId="77777777" w:rsidR="005E138C" w:rsidRPr="00BF738D" w:rsidRDefault="005E138C" w:rsidP="53EF174C">
      <w:pPr>
        <w:jc w:val="both"/>
        <w:rPr>
          <w:rFonts w:asciiTheme="minorHAnsi" w:eastAsiaTheme="minorEastAsia" w:hAnsiTheme="minorHAnsi" w:cstheme="minorBidi"/>
          <w:sz w:val="20"/>
          <w:szCs w:val="20"/>
        </w:rPr>
      </w:pPr>
    </w:p>
    <w:p w14:paraId="1B79C08C" w14:textId="618E75C6" w:rsidR="003621EC" w:rsidRDefault="00232F4C" w:rsidP="00B0220B">
      <w:pPr>
        <w:jc w:val="both"/>
        <w:rPr>
          <w:rFonts w:asciiTheme="minorHAnsi" w:eastAsiaTheme="minorEastAsia" w:hAnsiTheme="minorHAnsi" w:cstheme="minorBidi"/>
          <w:sz w:val="20"/>
          <w:szCs w:val="20"/>
        </w:rPr>
      </w:pPr>
      <w:r w:rsidRPr="00BF738D">
        <w:rPr>
          <w:rFonts w:asciiTheme="minorHAnsi" w:eastAsiaTheme="minorEastAsia" w:hAnsiTheme="minorHAnsi" w:cstheme="minorBidi"/>
          <w:sz w:val="20"/>
          <w:szCs w:val="20"/>
        </w:rPr>
        <w:t xml:space="preserve">The directors have also reviewed the Group’s stress testing projections which are based on a severe but plausible scenario. The stress test scenario envisages that the UK economy enters a period of stagflation in </w:t>
      </w:r>
      <w:r w:rsidR="00BF738D" w:rsidRPr="00BF738D">
        <w:rPr>
          <w:rFonts w:asciiTheme="minorHAnsi" w:eastAsiaTheme="minorEastAsia" w:hAnsiTheme="minorHAnsi" w:cstheme="minorBidi"/>
          <w:sz w:val="20"/>
          <w:szCs w:val="20"/>
        </w:rPr>
        <w:t>2024</w:t>
      </w:r>
      <w:r w:rsidRPr="00BF738D">
        <w:rPr>
          <w:rFonts w:asciiTheme="minorHAnsi" w:eastAsiaTheme="minorEastAsia" w:hAnsiTheme="minorHAnsi" w:cstheme="minorBidi"/>
          <w:sz w:val="20"/>
          <w:szCs w:val="20"/>
        </w:rPr>
        <w:t xml:space="preserve"> with inflation rising to approximately </w:t>
      </w:r>
      <w:r w:rsidR="00BF738D" w:rsidRPr="00BF738D">
        <w:rPr>
          <w:rFonts w:asciiTheme="minorHAnsi" w:eastAsiaTheme="minorEastAsia" w:hAnsiTheme="minorHAnsi" w:cstheme="minorBidi"/>
          <w:sz w:val="20"/>
          <w:szCs w:val="20"/>
        </w:rPr>
        <w:t>8.6</w:t>
      </w:r>
      <w:r w:rsidRPr="00BF738D">
        <w:rPr>
          <w:rFonts w:asciiTheme="minorHAnsi" w:eastAsiaTheme="minorEastAsia" w:hAnsiTheme="minorHAnsi" w:cstheme="minorBidi"/>
          <w:sz w:val="20"/>
          <w:szCs w:val="20"/>
        </w:rPr>
        <w:t>% and the UK Bank Rate rising to 6</w:t>
      </w:r>
      <w:r w:rsidR="00BF738D" w:rsidRPr="00BF738D">
        <w:rPr>
          <w:rFonts w:asciiTheme="minorHAnsi" w:eastAsiaTheme="minorEastAsia" w:hAnsiTheme="minorHAnsi" w:cstheme="minorBidi"/>
          <w:sz w:val="20"/>
          <w:szCs w:val="20"/>
        </w:rPr>
        <w:t>.75</w:t>
      </w:r>
      <w:r w:rsidRPr="00BF738D">
        <w:rPr>
          <w:rFonts w:asciiTheme="minorHAnsi" w:eastAsiaTheme="minorEastAsia" w:hAnsiTheme="minorHAnsi" w:cstheme="minorBidi"/>
          <w:sz w:val="20"/>
          <w:szCs w:val="20"/>
        </w:rPr>
        <w:t xml:space="preserve">%. As a result, the UK </w:t>
      </w:r>
      <w:r w:rsidR="00BF738D" w:rsidRPr="00BF738D">
        <w:rPr>
          <w:rFonts w:asciiTheme="minorHAnsi" w:eastAsiaTheme="minorEastAsia" w:hAnsiTheme="minorHAnsi" w:cstheme="minorBidi"/>
          <w:sz w:val="20"/>
          <w:szCs w:val="20"/>
        </w:rPr>
        <w:t>Unemployment</w:t>
      </w:r>
      <w:r w:rsidRPr="00BF738D">
        <w:rPr>
          <w:rFonts w:asciiTheme="minorHAnsi" w:eastAsiaTheme="minorEastAsia" w:hAnsiTheme="minorHAnsi" w:cstheme="minorBidi"/>
          <w:sz w:val="20"/>
          <w:szCs w:val="20"/>
        </w:rPr>
        <w:t xml:space="preserve"> rate rises to approximately 8.</w:t>
      </w:r>
      <w:r w:rsidR="00BF738D" w:rsidRPr="00BF738D">
        <w:rPr>
          <w:rFonts w:asciiTheme="minorHAnsi" w:eastAsiaTheme="minorEastAsia" w:hAnsiTheme="minorHAnsi" w:cstheme="minorBidi"/>
          <w:sz w:val="20"/>
          <w:szCs w:val="20"/>
        </w:rPr>
        <w:t>1%. The stress test scenario takes into account the availability and effectiveness of mitigating actions which could be taken by management to avoid or reduce the impact of the macroeconomic stress</w:t>
      </w:r>
      <w:r w:rsidR="00BF738D" w:rsidRPr="00CD5527">
        <w:rPr>
          <w:rFonts w:asciiTheme="minorHAnsi" w:eastAsiaTheme="minorEastAsia" w:hAnsiTheme="minorHAnsi" w:cstheme="minorBidi"/>
          <w:sz w:val="20"/>
          <w:szCs w:val="20"/>
        </w:rPr>
        <w:t xml:space="preserve">. These management actions </w:t>
      </w:r>
      <w:r w:rsidR="007C0E59">
        <w:rPr>
          <w:rFonts w:asciiTheme="minorHAnsi" w:eastAsiaTheme="minorEastAsia" w:hAnsiTheme="minorHAnsi" w:cstheme="minorBidi"/>
          <w:sz w:val="20"/>
          <w:szCs w:val="20"/>
        </w:rPr>
        <w:t xml:space="preserve">include reducing lending </w:t>
      </w:r>
      <w:r w:rsidR="00CC6187">
        <w:rPr>
          <w:rFonts w:asciiTheme="minorHAnsi" w:eastAsiaTheme="minorEastAsia" w:hAnsiTheme="minorHAnsi" w:cstheme="minorBidi"/>
          <w:sz w:val="20"/>
          <w:szCs w:val="20"/>
        </w:rPr>
        <w:t>growth.</w:t>
      </w:r>
      <w:r w:rsidR="00BF738D">
        <w:rPr>
          <w:rFonts w:asciiTheme="minorHAnsi" w:eastAsiaTheme="minorEastAsia" w:hAnsiTheme="minorHAnsi" w:cstheme="minorBidi"/>
          <w:sz w:val="20"/>
          <w:szCs w:val="20"/>
        </w:rPr>
        <w:t xml:space="preserve"> </w:t>
      </w:r>
      <w:r w:rsidR="00BF738D" w:rsidRPr="00BF738D">
        <w:rPr>
          <w:rFonts w:asciiTheme="minorHAnsi" w:eastAsiaTheme="minorEastAsia" w:hAnsiTheme="minorHAnsi" w:cstheme="minorBidi"/>
          <w:sz w:val="20"/>
          <w:szCs w:val="20"/>
        </w:rPr>
        <w:t>This shows</w:t>
      </w:r>
      <w:r w:rsidRPr="00BF738D">
        <w:rPr>
          <w:rFonts w:asciiTheme="minorHAnsi" w:eastAsiaTheme="minorEastAsia" w:hAnsiTheme="minorHAnsi" w:cstheme="minorBidi"/>
          <w:sz w:val="20"/>
          <w:szCs w:val="20"/>
        </w:rPr>
        <w:t xml:space="preserve"> that the Group </w:t>
      </w:r>
      <w:r w:rsidR="00BF738D" w:rsidRPr="00BF738D">
        <w:rPr>
          <w:rFonts w:asciiTheme="minorHAnsi" w:eastAsiaTheme="minorEastAsia" w:hAnsiTheme="minorHAnsi" w:cstheme="minorBidi"/>
          <w:sz w:val="20"/>
          <w:szCs w:val="20"/>
        </w:rPr>
        <w:t>is able to maintain</w:t>
      </w:r>
      <w:r w:rsidRPr="00BF738D">
        <w:rPr>
          <w:rFonts w:asciiTheme="minorHAnsi" w:eastAsiaTheme="minorEastAsia" w:hAnsiTheme="minorHAnsi" w:cstheme="minorBidi"/>
          <w:sz w:val="20"/>
          <w:szCs w:val="20"/>
        </w:rPr>
        <w:t xml:space="preserve"> sufficient capital above </w:t>
      </w:r>
      <w:r w:rsidR="00BF738D" w:rsidRPr="00BF738D">
        <w:rPr>
          <w:rFonts w:asciiTheme="minorHAnsi" w:eastAsiaTheme="minorEastAsia" w:hAnsiTheme="minorHAnsi" w:cstheme="minorBidi"/>
          <w:sz w:val="20"/>
          <w:szCs w:val="20"/>
        </w:rPr>
        <w:t xml:space="preserve">the </w:t>
      </w:r>
      <w:r w:rsidRPr="00BF738D">
        <w:rPr>
          <w:rFonts w:asciiTheme="minorHAnsi" w:eastAsiaTheme="minorEastAsia" w:hAnsiTheme="minorHAnsi" w:cstheme="minorBidi"/>
          <w:sz w:val="20"/>
          <w:szCs w:val="20"/>
        </w:rPr>
        <w:t>minimum requirements. The directors have reviewed the Group’s reverse stress testing projections to the point of non-viability, which concluded that the Group’s viability only comes into question under an unprecedented macroeconomic scenario</w:t>
      </w:r>
      <w:r w:rsidR="007D576D" w:rsidRPr="00BF738D">
        <w:rPr>
          <w:rFonts w:asciiTheme="minorHAnsi" w:eastAsiaTheme="minorEastAsia" w:hAnsiTheme="minorHAnsi" w:cstheme="minorBidi"/>
          <w:sz w:val="20"/>
          <w:szCs w:val="20"/>
        </w:rPr>
        <w:t>.</w:t>
      </w:r>
      <w:bookmarkStart w:id="10" w:name="OLE_LINK15"/>
      <w:bookmarkStart w:id="11" w:name="OLE_LINK16"/>
    </w:p>
    <w:p w14:paraId="193D4694" w14:textId="77777777" w:rsidR="00BF738D" w:rsidRDefault="00BF738D" w:rsidP="00BF738D">
      <w:pPr>
        <w:jc w:val="both"/>
        <w:rPr>
          <w:rStyle w:val="bodycopynumber"/>
          <w:rFonts w:asciiTheme="minorHAnsi" w:hAnsiTheme="minorHAnsi" w:cs="Arial"/>
          <w:b/>
          <w:bCs/>
          <w:color w:val="4747FF"/>
          <w:sz w:val="22"/>
          <w:szCs w:val="22"/>
        </w:rPr>
      </w:pPr>
    </w:p>
    <w:p w14:paraId="1BAF7177" w14:textId="17D672F5" w:rsidR="00A3021A" w:rsidRPr="00701439" w:rsidRDefault="00A3021A" w:rsidP="00A3021A">
      <w:pPr>
        <w:jc w:val="both"/>
        <w:rPr>
          <w:rStyle w:val="bodycopynumber"/>
          <w:rFonts w:asciiTheme="minorHAnsi" w:hAnsiTheme="minorHAnsi" w:cs="Arial"/>
          <w:b/>
          <w:bCs/>
          <w:color w:val="4747FF"/>
          <w:sz w:val="22"/>
          <w:szCs w:val="22"/>
        </w:rPr>
      </w:pPr>
      <w:r w:rsidRPr="00701439">
        <w:rPr>
          <w:rStyle w:val="bodycopynumber"/>
          <w:rFonts w:asciiTheme="minorHAnsi" w:hAnsiTheme="minorHAnsi" w:cs="Arial"/>
          <w:b/>
          <w:bCs/>
          <w:color w:val="4747FF"/>
          <w:sz w:val="22"/>
          <w:szCs w:val="22"/>
        </w:rPr>
        <w:t>2.</w:t>
      </w:r>
      <w:r w:rsidRPr="00701439">
        <w:rPr>
          <w:rStyle w:val="bodycopynumber"/>
          <w:rFonts w:asciiTheme="minorHAnsi" w:hAnsiTheme="minorHAnsi" w:cs="Arial"/>
          <w:b/>
          <w:bCs/>
          <w:color w:val="4747FF"/>
          <w:sz w:val="22"/>
          <w:szCs w:val="22"/>
        </w:rPr>
        <w:tab/>
        <w:t>Accounting policies</w:t>
      </w:r>
    </w:p>
    <w:p w14:paraId="34A0A61E" w14:textId="77777777" w:rsidR="00A3021A" w:rsidRPr="00701439" w:rsidRDefault="00A3021A"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1211961B" w14:textId="57C39514" w:rsidR="00A3021A" w:rsidRPr="00701439" w:rsidRDefault="00A3021A" w:rsidP="00A3021A">
      <w:pPr>
        <w:autoSpaceDE w:val="0"/>
        <w:autoSpaceDN w:val="0"/>
        <w:adjustRightInd w:val="0"/>
        <w:rPr>
          <w:rFonts w:asciiTheme="minorHAnsi" w:hAnsiTheme="minorHAnsi" w:cs="Poppins-Light"/>
          <w:sz w:val="20"/>
          <w:szCs w:val="20"/>
        </w:rPr>
      </w:pPr>
      <w:r w:rsidRPr="00701439">
        <w:rPr>
          <w:rFonts w:asciiTheme="minorHAnsi" w:hAnsiTheme="minorHAnsi" w:cs="Poppins-Light"/>
          <w:sz w:val="20"/>
          <w:szCs w:val="20"/>
        </w:rPr>
        <w:t xml:space="preserve">Group principal accounting policies under IFRS have been consistently applied to all the </w:t>
      </w:r>
      <w:r w:rsidR="00B752F6">
        <w:rPr>
          <w:rFonts w:asciiTheme="minorHAnsi" w:hAnsiTheme="minorHAnsi" w:cs="Poppins-Light"/>
          <w:sz w:val="20"/>
          <w:szCs w:val="20"/>
        </w:rPr>
        <w:t>periods</w:t>
      </w:r>
      <w:r w:rsidRPr="00701439">
        <w:rPr>
          <w:rFonts w:asciiTheme="minorHAnsi" w:hAnsiTheme="minorHAnsi" w:cs="Poppins-Light"/>
          <w:sz w:val="20"/>
          <w:szCs w:val="20"/>
        </w:rPr>
        <w:t xml:space="preserve"> presented.</w:t>
      </w:r>
    </w:p>
    <w:p w14:paraId="47B84F0B" w14:textId="77777777" w:rsidR="00A3021A" w:rsidRDefault="00A3021A" w:rsidP="00A3021A">
      <w:pPr>
        <w:autoSpaceDE w:val="0"/>
        <w:autoSpaceDN w:val="0"/>
        <w:adjustRightInd w:val="0"/>
        <w:rPr>
          <w:rFonts w:asciiTheme="minorHAnsi" w:hAnsiTheme="minorHAnsi" w:cs="Poppins-Light"/>
          <w:sz w:val="20"/>
          <w:szCs w:val="20"/>
        </w:rPr>
      </w:pPr>
    </w:p>
    <w:p w14:paraId="10D0CAA0" w14:textId="17A282D2" w:rsidR="003D748B" w:rsidRPr="003D748B" w:rsidRDefault="003D748B" w:rsidP="00A3021A">
      <w:pPr>
        <w:autoSpaceDE w:val="0"/>
        <w:autoSpaceDN w:val="0"/>
        <w:adjustRightInd w:val="0"/>
        <w:rPr>
          <w:rFonts w:asciiTheme="minorHAnsi" w:hAnsiTheme="minorHAnsi" w:cs="Poppins-Light"/>
          <w:b/>
          <w:bCs/>
          <w:sz w:val="20"/>
          <w:szCs w:val="20"/>
        </w:rPr>
      </w:pPr>
      <w:r w:rsidRPr="003D748B">
        <w:rPr>
          <w:rFonts w:asciiTheme="minorHAnsi" w:hAnsiTheme="minorHAnsi" w:cs="Poppins-Light"/>
          <w:b/>
          <w:bCs/>
          <w:sz w:val="20"/>
          <w:szCs w:val="20"/>
        </w:rPr>
        <w:t>Prior year restatement</w:t>
      </w:r>
    </w:p>
    <w:p w14:paraId="68FA6449" w14:textId="5E4CCEEB" w:rsidR="004144EB" w:rsidRDefault="00C2624B" w:rsidP="000D77E0">
      <w:pPr>
        <w:autoSpaceDE w:val="0"/>
        <w:autoSpaceDN w:val="0"/>
        <w:adjustRightInd w:val="0"/>
        <w:jc w:val="both"/>
        <w:rPr>
          <w:rStyle w:val="bodycopynumber"/>
          <w:rFonts w:asciiTheme="minorHAnsi" w:hAnsiTheme="minorHAnsi" w:cs="Poppins-Light"/>
          <w:color w:val="000000" w:themeColor="text1"/>
          <w:sz w:val="20"/>
          <w:szCs w:val="20"/>
        </w:rPr>
      </w:pPr>
      <w:r w:rsidRPr="32107A1C">
        <w:rPr>
          <w:rStyle w:val="bodycopynumber"/>
          <w:rFonts w:asciiTheme="minorHAnsi" w:hAnsiTheme="minorHAnsi" w:cs="Poppins-Light"/>
          <w:color w:val="000000" w:themeColor="text1"/>
          <w:sz w:val="20"/>
          <w:szCs w:val="20"/>
        </w:rPr>
        <w:t xml:space="preserve">In the current year, as part of the Group’s </w:t>
      </w:r>
      <w:r w:rsidR="005F6DAE" w:rsidRPr="32107A1C">
        <w:rPr>
          <w:rStyle w:val="bodycopynumber"/>
          <w:rFonts w:asciiTheme="minorHAnsi" w:hAnsiTheme="minorHAnsi" w:cs="Poppins-Light"/>
          <w:color w:val="000000" w:themeColor="text1"/>
          <w:sz w:val="20"/>
          <w:szCs w:val="20"/>
        </w:rPr>
        <w:t>review into Vehicle Finance Stage 3 assets</w:t>
      </w:r>
      <w:r w:rsidR="00F17A69" w:rsidRPr="32107A1C">
        <w:rPr>
          <w:rStyle w:val="bodycopynumber"/>
          <w:rFonts w:asciiTheme="minorHAnsi" w:hAnsiTheme="minorHAnsi" w:cs="Poppins-Light"/>
          <w:color w:val="000000" w:themeColor="text1"/>
          <w:sz w:val="20"/>
          <w:szCs w:val="20"/>
        </w:rPr>
        <w:t xml:space="preserve">, it was identified that cash flows </w:t>
      </w:r>
      <w:r w:rsidR="004144EB" w:rsidRPr="32107A1C">
        <w:rPr>
          <w:rStyle w:val="bodycopynumber"/>
          <w:rFonts w:asciiTheme="minorHAnsi" w:hAnsiTheme="minorHAnsi" w:cs="Poppins-Light"/>
          <w:color w:val="000000" w:themeColor="text1"/>
          <w:sz w:val="20"/>
          <w:szCs w:val="20"/>
        </w:rPr>
        <w:t xml:space="preserve">expected to be received from contracts </w:t>
      </w:r>
      <w:r w:rsidR="00F569AE">
        <w:rPr>
          <w:rStyle w:val="bodycopynumber"/>
          <w:rFonts w:asciiTheme="minorHAnsi" w:hAnsiTheme="minorHAnsi" w:cs="Poppins-Light"/>
          <w:color w:val="000000" w:themeColor="text1"/>
          <w:sz w:val="20"/>
          <w:szCs w:val="20"/>
        </w:rPr>
        <w:t>projected to</w:t>
      </w:r>
      <w:r w:rsidR="00670B58">
        <w:rPr>
          <w:rStyle w:val="bodycopynumber"/>
          <w:rFonts w:asciiTheme="minorHAnsi" w:hAnsiTheme="minorHAnsi" w:cs="Poppins-Light"/>
          <w:color w:val="000000" w:themeColor="text1"/>
          <w:sz w:val="20"/>
          <w:szCs w:val="20"/>
        </w:rPr>
        <w:t xml:space="preserve"> be </w:t>
      </w:r>
      <w:r w:rsidR="00C1563C">
        <w:rPr>
          <w:rStyle w:val="bodycopynumber"/>
          <w:rFonts w:asciiTheme="minorHAnsi" w:hAnsiTheme="minorHAnsi" w:cs="Poppins-Light"/>
          <w:color w:val="000000" w:themeColor="text1"/>
          <w:sz w:val="20"/>
          <w:szCs w:val="20"/>
        </w:rPr>
        <w:t>received from customers on</w:t>
      </w:r>
      <w:r w:rsidR="007051B1">
        <w:rPr>
          <w:rStyle w:val="bodycopynumber"/>
          <w:rFonts w:asciiTheme="minorHAnsi" w:hAnsiTheme="minorHAnsi" w:cs="Poppins-Light"/>
          <w:color w:val="000000" w:themeColor="text1"/>
          <w:sz w:val="20"/>
          <w:szCs w:val="20"/>
        </w:rPr>
        <w:t xml:space="preserve"> contracts</w:t>
      </w:r>
      <w:r w:rsidR="004144EB" w:rsidRPr="62308200">
        <w:rPr>
          <w:rStyle w:val="bodycopynumber"/>
          <w:rFonts w:asciiTheme="minorHAnsi" w:hAnsiTheme="minorHAnsi" w:cs="Poppins-Light"/>
          <w:color w:val="000000" w:themeColor="text1"/>
          <w:sz w:val="20"/>
          <w:szCs w:val="20"/>
        </w:rPr>
        <w:t xml:space="preserve"> </w:t>
      </w:r>
      <w:r w:rsidR="004144EB" w:rsidRPr="32107A1C">
        <w:rPr>
          <w:rStyle w:val="bodycopynumber"/>
          <w:rFonts w:asciiTheme="minorHAnsi" w:hAnsiTheme="minorHAnsi" w:cs="Poppins-Light"/>
          <w:color w:val="000000" w:themeColor="text1"/>
          <w:sz w:val="20"/>
          <w:szCs w:val="20"/>
        </w:rPr>
        <w:t xml:space="preserve">identified for debt sale were being included </w:t>
      </w:r>
      <w:r w:rsidR="002358C2">
        <w:rPr>
          <w:rStyle w:val="bodycopynumber"/>
          <w:rFonts w:asciiTheme="minorHAnsi" w:hAnsiTheme="minorHAnsi" w:cs="Poppins-Light"/>
          <w:color w:val="000000" w:themeColor="text1"/>
          <w:sz w:val="20"/>
          <w:szCs w:val="20"/>
        </w:rPr>
        <w:t xml:space="preserve">beyond the expected </w:t>
      </w:r>
      <w:r w:rsidR="007B14EC">
        <w:rPr>
          <w:rStyle w:val="bodycopynumber"/>
          <w:rFonts w:asciiTheme="minorHAnsi" w:hAnsiTheme="minorHAnsi" w:cs="Poppins-Light"/>
          <w:color w:val="000000" w:themeColor="text1"/>
          <w:sz w:val="20"/>
          <w:szCs w:val="20"/>
        </w:rPr>
        <w:t>sale date</w:t>
      </w:r>
      <w:r w:rsidR="00887200">
        <w:rPr>
          <w:rStyle w:val="bodycopynumber"/>
          <w:rFonts w:asciiTheme="minorHAnsi" w:hAnsiTheme="minorHAnsi" w:cs="Poppins-Light"/>
          <w:color w:val="000000" w:themeColor="text1"/>
          <w:sz w:val="20"/>
          <w:szCs w:val="20"/>
        </w:rPr>
        <w:t xml:space="preserve"> in addition to the </w:t>
      </w:r>
      <w:r w:rsidR="001C4F05">
        <w:rPr>
          <w:rStyle w:val="bodycopynumber"/>
          <w:rFonts w:asciiTheme="minorHAnsi" w:hAnsiTheme="minorHAnsi" w:cs="Poppins-Light"/>
          <w:color w:val="000000" w:themeColor="text1"/>
          <w:sz w:val="20"/>
          <w:szCs w:val="20"/>
        </w:rPr>
        <w:t xml:space="preserve">cash flows </w:t>
      </w:r>
      <w:r w:rsidR="004C0EF2">
        <w:rPr>
          <w:rStyle w:val="bodycopynumber"/>
          <w:rFonts w:asciiTheme="minorHAnsi" w:hAnsiTheme="minorHAnsi" w:cs="Poppins-Light"/>
          <w:color w:val="000000" w:themeColor="text1"/>
          <w:sz w:val="20"/>
          <w:szCs w:val="20"/>
        </w:rPr>
        <w:t>from the debt sale.</w:t>
      </w:r>
      <w:r w:rsidR="004144EB" w:rsidRPr="32107A1C">
        <w:rPr>
          <w:rStyle w:val="bodycopynumber"/>
          <w:rFonts w:asciiTheme="minorHAnsi" w:hAnsiTheme="minorHAnsi" w:cs="Poppins-Light"/>
          <w:color w:val="000000" w:themeColor="text1"/>
          <w:sz w:val="20"/>
          <w:szCs w:val="20"/>
        </w:rPr>
        <w:t xml:space="preserve"> This led to a lower </w:t>
      </w:r>
      <w:r w:rsidR="001676D5">
        <w:rPr>
          <w:rStyle w:val="bodycopynumber"/>
          <w:rFonts w:asciiTheme="minorHAnsi" w:hAnsiTheme="minorHAnsi" w:cs="Poppins-Light"/>
          <w:color w:val="000000" w:themeColor="text1"/>
          <w:sz w:val="20"/>
          <w:szCs w:val="20"/>
        </w:rPr>
        <w:t>ECL</w:t>
      </w:r>
      <w:r w:rsidR="004144EB" w:rsidRPr="32107A1C">
        <w:rPr>
          <w:rStyle w:val="bodycopynumber"/>
          <w:rFonts w:asciiTheme="minorHAnsi" w:hAnsiTheme="minorHAnsi" w:cs="Poppins-Light"/>
          <w:color w:val="000000" w:themeColor="text1"/>
          <w:sz w:val="20"/>
          <w:szCs w:val="20"/>
        </w:rPr>
        <w:t xml:space="preserve"> provision being recognised.  As a result, Management consider that a prior period restatement is appropriate and has retrospectively restated its results. </w:t>
      </w:r>
      <w:r w:rsidR="003A1901" w:rsidRPr="32107A1C">
        <w:rPr>
          <w:rStyle w:val="bodycopynumber"/>
          <w:rFonts w:asciiTheme="minorHAnsi" w:hAnsiTheme="minorHAnsi" w:cs="Poppins-Light"/>
          <w:color w:val="000000" w:themeColor="text1"/>
          <w:sz w:val="20"/>
          <w:szCs w:val="20"/>
        </w:rPr>
        <w:t xml:space="preserve">The impact of the restatement is set out below. </w:t>
      </w:r>
    </w:p>
    <w:p w14:paraId="396AF87A" w14:textId="77777777" w:rsidR="003B327B" w:rsidRDefault="003B327B" w:rsidP="000D77E0">
      <w:pPr>
        <w:autoSpaceDE w:val="0"/>
        <w:autoSpaceDN w:val="0"/>
        <w:adjustRightInd w:val="0"/>
        <w:jc w:val="both"/>
        <w:rPr>
          <w:rStyle w:val="bodycopynumber"/>
          <w:rFonts w:asciiTheme="minorHAnsi" w:hAnsiTheme="minorHAnsi" w:cs="Poppins-Light"/>
          <w:color w:val="000000" w:themeColor="text1"/>
          <w:sz w:val="20"/>
          <w:szCs w:val="20"/>
        </w:rPr>
      </w:pPr>
    </w:p>
    <w:p w14:paraId="6BD9C97B" w14:textId="77777777" w:rsidR="003B327B" w:rsidRDefault="003B327B" w:rsidP="000D77E0">
      <w:pPr>
        <w:autoSpaceDE w:val="0"/>
        <w:autoSpaceDN w:val="0"/>
        <w:adjustRightInd w:val="0"/>
        <w:jc w:val="both"/>
        <w:rPr>
          <w:rStyle w:val="bodycopynumber"/>
          <w:rFonts w:asciiTheme="minorHAnsi" w:hAnsiTheme="minorHAnsi" w:cs="Poppins-Light"/>
          <w:color w:val="000000" w:themeColor="text1"/>
          <w:sz w:val="20"/>
          <w:szCs w:val="20"/>
        </w:rPr>
      </w:pPr>
    </w:p>
    <w:p w14:paraId="5A1EF18A" w14:textId="77777777" w:rsidR="003B327B" w:rsidRDefault="003B327B" w:rsidP="000D77E0">
      <w:pPr>
        <w:autoSpaceDE w:val="0"/>
        <w:autoSpaceDN w:val="0"/>
        <w:adjustRightInd w:val="0"/>
        <w:jc w:val="both"/>
        <w:rPr>
          <w:rStyle w:val="bodycopynumber"/>
          <w:rFonts w:asciiTheme="minorHAnsi" w:hAnsiTheme="minorHAnsi" w:cs="Poppins-Light"/>
          <w:color w:val="000000" w:themeColor="text1"/>
          <w:sz w:val="20"/>
          <w:szCs w:val="20"/>
        </w:rPr>
      </w:pPr>
    </w:p>
    <w:p w14:paraId="045FB028" w14:textId="7CE0C934" w:rsidR="003B327B" w:rsidRDefault="003B327B" w:rsidP="00CF66BE">
      <w:pPr>
        <w:autoSpaceDE w:val="0"/>
        <w:autoSpaceDN w:val="0"/>
        <w:adjustRightInd w:val="0"/>
        <w:ind w:left="567" w:hanging="567"/>
        <w:jc w:val="both"/>
        <w:rPr>
          <w:rStyle w:val="bodycopynumber"/>
          <w:rFonts w:asciiTheme="minorHAnsi" w:hAnsiTheme="minorHAnsi" w:cs="Poppins-Light"/>
          <w:color w:val="000000" w:themeColor="text1"/>
          <w:sz w:val="20"/>
          <w:szCs w:val="20"/>
        </w:rPr>
      </w:pPr>
    </w:p>
    <w:tbl>
      <w:tblPr>
        <w:tblW w:w="5030" w:type="pct"/>
        <w:tblLook w:val="0000" w:firstRow="0" w:lastRow="0" w:firstColumn="0" w:lastColumn="0" w:noHBand="0" w:noVBand="0"/>
      </w:tblPr>
      <w:tblGrid>
        <w:gridCol w:w="6131"/>
        <w:gridCol w:w="18"/>
        <w:gridCol w:w="1062"/>
        <w:gridCol w:w="313"/>
        <w:gridCol w:w="921"/>
        <w:gridCol w:w="22"/>
        <w:gridCol w:w="156"/>
        <w:gridCol w:w="1158"/>
      </w:tblGrid>
      <w:tr w:rsidR="00286179" w:rsidRPr="008B3AA6" w14:paraId="460404F3" w14:textId="44DF022F" w:rsidTr="0040155F">
        <w:tc>
          <w:tcPr>
            <w:tcW w:w="3143" w:type="pct"/>
            <w:gridSpan w:val="2"/>
          </w:tcPr>
          <w:p w14:paraId="0EC859F6" w14:textId="77777777" w:rsidR="00286179" w:rsidRDefault="00286179">
            <w:pPr>
              <w:rPr>
                <w:rFonts w:asciiTheme="minorHAnsi" w:hAnsiTheme="minorHAnsi" w:cs="Arial"/>
                <w:sz w:val="20"/>
                <w:szCs w:val="20"/>
              </w:rPr>
            </w:pPr>
          </w:p>
        </w:tc>
        <w:tc>
          <w:tcPr>
            <w:tcW w:w="1185" w:type="pct"/>
            <w:gridSpan w:val="4"/>
            <w:shd w:val="clear" w:color="auto" w:fill="auto"/>
          </w:tcPr>
          <w:p w14:paraId="372FF62E" w14:textId="1F3B51AD" w:rsidR="00286179" w:rsidRPr="00F203CC" w:rsidRDefault="00286179">
            <w:pPr>
              <w:jc w:val="center"/>
              <w:rPr>
                <w:rFonts w:asciiTheme="minorHAnsi" w:hAnsiTheme="minorHAnsi" w:cs="Arial"/>
                <w:sz w:val="20"/>
                <w:szCs w:val="20"/>
              </w:rPr>
            </w:pPr>
          </w:p>
        </w:tc>
        <w:tc>
          <w:tcPr>
            <w:tcW w:w="672" w:type="pct"/>
            <w:gridSpan w:val="2"/>
          </w:tcPr>
          <w:p w14:paraId="3A638BE2" w14:textId="77777777" w:rsidR="00286179" w:rsidRPr="00F203CC" w:rsidRDefault="00286179">
            <w:pPr>
              <w:jc w:val="center"/>
              <w:rPr>
                <w:rFonts w:asciiTheme="minorHAnsi" w:hAnsiTheme="minorHAnsi" w:cs="Arial"/>
                <w:sz w:val="20"/>
                <w:szCs w:val="20"/>
              </w:rPr>
            </w:pPr>
          </w:p>
        </w:tc>
      </w:tr>
      <w:tr w:rsidR="00286179" w:rsidRPr="008B3AA6" w14:paraId="59635794" w14:textId="7B6C92AA" w:rsidTr="0040155F">
        <w:tc>
          <w:tcPr>
            <w:tcW w:w="3143" w:type="pct"/>
            <w:gridSpan w:val="2"/>
          </w:tcPr>
          <w:p w14:paraId="233EA7A2" w14:textId="2DD06F29" w:rsidR="00286179" w:rsidRPr="00701439" w:rsidRDefault="00D81E84">
            <w:pPr>
              <w:rPr>
                <w:rFonts w:asciiTheme="minorHAnsi" w:hAnsiTheme="minorHAnsi" w:cs="Arial"/>
                <w:sz w:val="20"/>
                <w:szCs w:val="20"/>
              </w:rPr>
            </w:pPr>
            <w:r w:rsidRPr="00D81E84">
              <w:rPr>
                <w:rStyle w:val="bodycopynumber"/>
                <w:rFonts w:asciiTheme="minorHAnsi" w:hAnsiTheme="minorHAnsi" w:cs="Poppins-Light"/>
                <w:color w:val="000000"/>
                <w:sz w:val="20"/>
              </w:rPr>
              <w:t>I</w:t>
            </w:r>
            <w:r w:rsidRPr="00D81E84">
              <w:rPr>
                <w:rStyle w:val="bodycopynumber"/>
                <w:rFonts w:asciiTheme="minorHAnsi" w:hAnsiTheme="minorHAnsi" w:cs="Poppins-Light"/>
                <w:color w:val="000000"/>
                <w:sz w:val="20"/>
                <w:szCs w:val="20"/>
              </w:rPr>
              <w:t>ncome statement impact</w:t>
            </w:r>
          </w:p>
        </w:tc>
        <w:tc>
          <w:tcPr>
            <w:tcW w:w="543" w:type="pct"/>
            <w:shd w:val="clear" w:color="auto" w:fill="auto"/>
          </w:tcPr>
          <w:p w14:paraId="35B1C506" w14:textId="1DF8F1EB" w:rsidR="00286179" w:rsidRPr="00911DEC" w:rsidRDefault="00286179">
            <w:pPr>
              <w:jc w:val="right"/>
              <w:rPr>
                <w:rFonts w:asciiTheme="minorHAnsi" w:hAnsiTheme="minorHAnsi" w:cs="Arial"/>
                <w:sz w:val="20"/>
                <w:szCs w:val="20"/>
              </w:rPr>
            </w:pPr>
            <w:r w:rsidRPr="00911DEC">
              <w:rPr>
                <w:rFonts w:asciiTheme="minorHAnsi" w:hAnsiTheme="minorHAnsi" w:cs="Arial"/>
                <w:sz w:val="20"/>
                <w:szCs w:val="20"/>
              </w:rPr>
              <w:t>1H2</w:t>
            </w:r>
            <w:r w:rsidR="0059393E" w:rsidRPr="00911DEC">
              <w:rPr>
                <w:rFonts w:asciiTheme="minorHAnsi" w:hAnsiTheme="minorHAnsi" w:cs="Arial"/>
                <w:sz w:val="20"/>
                <w:szCs w:val="20"/>
              </w:rPr>
              <w:t>3</w:t>
            </w:r>
            <w:r w:rsidRPr="00911DEC">
              <w:rPr>
                <w:rFonts w:asciiTheme="minorHAnsi" w:hAnsiTheme="minorHAnsi" w:cs="Arial"/>
                <w:sz w:val="20"/>
                <w:szCs w:val="20"/>
              </w:rPr>
              <w:t> </w:t>
            </w:r>
          </w:p>
        </w:tc>
        <w:tc>
          <w:tcPr>
            <w:tcW w:w="642" w:type="pct"/>
            <w:gridSpan w:val="3"/>
          </w:tcPr>
          <w:p w14:paraId="7FE0427B" w14:textId="3D5407BB" w:rsidR="00286179" w:rsidRPr="00F203CC" w:rsidRDefault="00286179">
            <w:pPr>
              <w:jc w:val="right"/>
              <w:rPr>
                <w:rFonts w:asciiTheme="minorHAnsi" w:hAnsiTheme="minorHAnsi" w:cs="Arial"/>
                <w:sz w:val="20"/>
                <w:szCs w:val="20"/>
              </w:rPr>
            </w:pPr>
            <w:r>
              <w:rPr>
                <w:rFonts w:asciiTheme="minorHAnsi" w:hAnsiTheme="minorHAnsi" w:cs="Arial"/>
                <w:sz w:val="20"/>
                <w:szCs w:val="20"/>
              </w:rPr>
              <w:t>2H2</w:t>
            </w:r>
            <w:r w:rsidR="0059393E">
              <w:rPr>
                <w:rFonts w:asciiTheme="minorHAnsi" w:hAnsiTheme="minorHAnsi" w:cs="Arial"/>
                <w:sz w:val="20"/>
                <w:szCs w:val="20"/>
              </w:rPr>
              <w:t>3</w:t>
            </w:r>
          </w:p>
        </w:tc>
        <w:tc>
          <w:tcPr>
            <w:tcW w:w="672" w:type="pct"/>
            <w:gridSpan w:val="2"/>
          </w:tcPr>
          <w:p w14:paraId="0F43822A" w14:textId="462F7B78" w:rsidR="00286179" w:rsidRDefault="0059393E">
            <w:pPr>
              <w:jc w:val="right"/>
              <w:rPr>
                <w:rFonts w:asciiTheme="minorHAnsi" w:hAnsiTheme="minorHAnsi" w:cs="Arial"/>
                <w:sz w:val="20"/>
                <w:szCs w:val="20"/>
              </w:rPr>
            </w:pPr>
            <w:r>
              <w:rPr>
                <w:rFonts w:asciiTheme="minorHAnsi" w:hAnsiTheme="minorHAnsi" w:cs="Arial"/>
                <w:sz w:val="20"/>
                <w:szCs w:val="20"/>
              </w:rPr>
              <w:t xml:space="preserve">FY </w:t>
            </w:r>
            <w:r w:rsidR="00286179">
              <w:rPr>
                <w:rFonts w:asciiTheme="minorHAnsi" w:hAnsiTheme="minorHAnsi" w:cs="Arial"/>
                <w:sz w:val="20"/>
                <w:szCs w:val="20"/>
              </w:rPr>
              <w:t>202</w:t>
            </w:r>
            <w:r>
              <w:rPr>
                <w:rFonts w:asciiTheme="minorHAnsi" w:hAnsiTheme="minorHAnsi" w:cs="Arial"/>
                <w:sz w:val="20"/>
                <w:szCs w:val="20"/>
              </w:rPr>
              <w:t>3</w:t>
            </w:r>
          </w:p>
        </w:tc>
      </w:tr>
      <w:tr w:rsidR="00286179" w:rsidRPr="008B3AA6" w14:paraId="746DEEC8" w14:textId="4C77E46E" w:rsidTr="0040155F">
        <w:tc>
          <w:tcPr>
            <w:tcW w:w="3143" w:type="pct"/>
            <w:gridSpan w:val="2"/>
          </w:tcPr>
          <w:p w14:paraId="53239C03" w14:textId="77777777" w:rsidR="00286179" w:rsidRPr="008B3AA6" w:rsidRDefault="00286179">
            <w:pPr>
              <w:rPr>
                <w:rFonts w:asciiTheme="minorHAnsi" w:hAnsiTheme="minorHAnsi" w:cs="Arial"/>
                <w:sz w:val="20"/>
                <w:szCs w:val="20"/>
                <w:highlight w:val="green"/>
              </w:rPr>
            </w:pPr>
          </w:p>
        </w:tc>
        <w:tc>
          <w:tcPr>
            <w:tcW w:w="543" w:type="pct"/>
            <w:tcBorders>
              <w:top w:val="nil"/>
              <w:left w:val="nil"/>
              <w:bottom w:val="single" w:sz="4" w:space="0" w:color="auto"/>
              <w:right w:val="nil"/>
            </w:tcBorders>
            <w:shd w:val="clear" w:color="auto" w:fill="auto"/>
          </w:tcPr>
          <w:p w14:paraId="1824F15D" w14:textId="77777777" w:rsidR="00286179" w:rsidRPr="00911DEC" w:rsidRDefault="00286179">
            <w:pPr>
              <w:jc w:val="right"/>
              <w:rPr>
                <w:rFonts w:asciiTheme="minorHAnsi" w:hAnsiTheme="minorHAnsi" w:cs="Arial"/>
                <w:sz w:val="20"/>
                <w:szCs w:val="20"/>
              </w:rPr>
            </w:pPr>
            <w:r w:rsidRPr="00911DEC">
              <w:rPr>
                <w:rFonts w:asciiTheme="minorHAnsi" w:hAnsiTheme="minorHAnsi" w:cs="Arial"/>
                <w:sz w:val="20"/>
                <w:szCs w:val="20"/>
              </w:rPr>
              <w:t>£m </w:t>
            </w:r>
          </w:p>
        </w:tc>
        <w:tc>
          <w:tcPr>
            <w:tcW w:w="642" w:type="pct"/>
            <w:gridSpan w:val="3"/>
            <w:tcBorders>
              <w:top w:val="nil"/>
              <w:left w:val="nil"/>
              <w:bottom w:val="single" w:sz="4" w:space="0" w:color="auto"/>
              <w:right w:val="nil"/>
            </w:tcBorders>
          </w:tcPr>
          <w:p w14:paraId="5C4C4131" w14:textId="77777777" w:rsidR="00286179" w:rsidRPr="00F203CC" w:rsidRDefault="00286179">
            <w:pPr>
              <w:jc w:val="right"/>
              <w:rPr>
                <w:rFonts w:asciiTheme="minorHAnsi" w:hAnsiTheme="minorHAnsi" w:cs="Arial"/>
                <w:sz w:val="20"/>
                <w:szCs w:val="20"/>
              </w:rPr>
            </w:pPr>
            <w:r w:rsidRPr="00F203CC">
              <w:rPr>
                <w:rFonts w:asciiTheme="minorHAnsi" w:hAnsiTheme="minorHAnsi" w:cs="Arial"/>
                <w:sz w:val="20"/>
                <w:szCs w:val="20"/>
              </w:rPr>
              <w:t>£m </w:t>
            </w:r>
          </w:p>
        </w:tc>
        <w:tc>
          <w:tcPr>
            <w:tcW w:w="672" w:type="pct"/>
            <w:gridSpan w:val="2"/>
            <w:tcBorders>
              <w:top w:val="nil"/>
              <w:left w:val="nil"/>
              <w:bottom w:val="single" w:sz="4" w:space="0" w:color="auto"/>
              <w:right w:val="nil"/>
            </w:tcBorders>
          </w:tcPr>
          <w:p w14:paraId="2E8323E2" w14:textId="5CB7F96D" w:rsidR="00286179" w:rsidRPr="00F203CC" w:rsidRDefault="0059393E">
            <w:pPr>
              <w:jc w:val="right"/>
              <w:rPr>
                <w:rFonts w:asciiTheme="minorHAnsi" w:hAnsiTheme="minorHAnsi" w:cs="Arial"/>
                <w:sz w:val="20"/>
                <w:szCs w:val="20"/>
              </w:rPr>
            </w:pPr>
            <w:r>
              <w:rPr>
                <w:rFonts w:asciiTheme="minorHAnsi" w:hAnsiTheme="minorHAnsi" w:cs="Arial"/>
                <w:sz w:val="20"/>
                <w:szCs w:val="20"/>
              </w:rPr>
              <w:t>£m</w:t>
            </w:r>
          </w:p>
        </w:tc>
      </w:tr>
      <w:tr w:rsidR="00286179" w:rsidRPr="008B3AA6" w14:paraId="6C6D51ED" w14:textId="42CF74BC" w:rsidTr="0040155F">
        <w:tc>
          <w:tcPr>
            <w:tcW w:w="3143" w:type="pct"/>
            <w:gridSpan w:val="2"/>
            <w:vAlign w:val="bottom"/>
          </w:tcPr>
          <w:p w14:paraId="386E63C5" w14:textId="19910604" w:rsidR="00286179" w:rsidRPr="000D77E0" w:rsidRDefault="002D7CDB">
            <w:pPr>
              <w:rPr>
                <w:rFonts w:asciiTheme="minorHAnsi" w:hAnsiTheme="minorHAnsi" w:cs="Arial"/>
                <w:bCs/>
                <w:sz w:val="20"/>
                <w:szCs w:val="20"/>
              </w:rPr>
            </w:pPr>
            <w:r w:rsidRPr="000D77E0">
              <w:rPr>
                <w:rFonts w:asciiTheme="minorHAnsi" w:hAnsiTheme="minorHAnsi" w:cs="Arial"/>
                <w:bCs/>
                <w:sz w:val="20"/>
                <w:szCs w:val="20"/>
              </w:rPr>
              <w:t>Impairment</w:t>
            </w:r>
          </w:p>
        </w:tc>
        <w:tc>
          <w:tcPr>
            <w:tcW w:w="543" w:type="pct"/>
            <w:shd w:val="clear" w:color="auto" w:fill="auto"/>
            <w:vAlign w:val="bottom"/>
          </w:tcPr>
          <w:p w14:paraId="7DF652CE" w14:textId="1CB76E60" w:rsidR="00286179" w:rsidRPr="00911DEC" w:rsidRDefault="00C32848">
            <w:pPr>
              <w:jc w:val="right"/>
              <w:rPr>
                <w:rFonts w:asciiTheme="minorHAnsi" w:hAnsiTheme="minorHAnsi" w:cs="Arial"/>
                <w:sz w:val="20"/>
                <w:szCs w:val="20"/>
              </w:rPr>
            </w:pPr>
            <w:r w:rsidRPr="00911DEC">
              <w:rPr>
                <w:rFonts w:asciiTheme="minorHAnsi" w:hAnsiTheme="minorHAnsi" w:cs="Arial"/>
                <w:sz w:val="20"/>
                <w:szCs w:val="20"/>
              </w:rPr>
              <w:t>(</w:t>
            </w:r>
            <w:r w:rsidR="00C337C7">
              <w:rPr>
                <w:rFonts w:asciiTheme="minorHAnsi" w:hAnsiTheme="minorHAnsi" w:cs="Arial"/>
                <w:sz w:val="20"/>
                <w:szCs w:val="20"/>
              </w:rPr>
              <w:t>7.</w:t>
            </w:r>
            <w:r w:rsidR="00070CAB">
              <w:rPr>
                <w:rFonts w:asciiTheme="minorHAnsi" w:hAnsiTheme="minorHAnsi" w:cs="Arial"/>
                <w:sz w:val="20"/>
                <w:szCs w:val="20"/>
              </w:rPr>
              <w:t>4</w:t>
            </w:r>
            <w:r w:rsidRPr="00911DEC">
              <w:rPr>
                <w:rFonts w:asciiTheme="minorHAnsi" w:hAnsiTheme="minorHAnsi" w:cs="Arial"/>
                <w:sz w:val="20"/>
                <w:szCs w:val="20"/>
              </w:rPr>
              <w:t>)</w:t>
            </w:r>
          </w:p>
        </w:tc>
        <w:tc>
          <w:tcPr>
            <w:tcW w:w="642" w:type="pct"/>
            <w:gridSpan w:val="3"/>
            <w:vAlign w:val="bottom"/>
          </w:tcPr>
          <w:p w14:paraId="6DD3ABA9" w14:textId="4D0052DA" w:rsidR="00286179" w:rsidRPr="00056CC2" w:rsidRDefault="00C32848">
            <w:pPr>
              <w:jc w:val="right"/>
              <w:rPr>
                <w:rFonts w:asciiTheme="minorHAnsi" w:hAnsiTheme="minorHAnsi" w:cs="Arial"/>
                <w:sz w:val="20"/>
                <w:szCs w:val="20"/>
              </w:rPr>
            </w:pPr>
            <w:r w:rsidRPr="00056CC2">
              <w:rPr>
                <w:rFonts w:asciiTheme="minorHAnsi" w:hAnsiTheme="minorHAnsi" w:cs="Arial"/>
                <w:sz w:val="20"/>
                <w:szCs w:val="20"/>
              </w:rPr>
              <w:t>(</w:t>
            </w:r>
            <w:r w:rsidR="00070CAB">
              <w:rPr>
                <w:rFonts w:asciiTheme="minorHAnsi" w:hAnsiTheme="minorHAnsi" w:cs="Arial"/>
                <w:sz w:val="20"/>
                <w:szCs w:val="20"/>
              </w:rPr>
              <w:t>0.2)</w:t>
            </w:r>
          </w:p>
        </w:tc>
        <w:tc>
          <w:tcPr>
            <w:tcW w:w="672" w:type="pct"/>
            <w:gridSpan w:val="2"/>
          </w:tcPr>
          <w:p w14:paraId="2BBE33A7" w14:textId="6845726B" w:rsidR="00286179" w:rsidRPr="00056CC2" w:rsidRDefault="00C32848">
            <w:pPr>
              <w:jc w:val="right"/>
              <w:rPr>
                <w:rFonts w:asciiTheme="minorHAnsi" w:hAnsiTheme="minorHAnsi" w:cs="Arial"/>
                <w:sz w:val="20"/>
                <w:szCs w:val="20"/>
              </w:rPr>
            </w:pPr>
            <w:r w:rsidRPr="00056CC2">
              <w:rPr>
                <w:rFonts w:asciiTheme="minorHAnsi" w:hAnsiTheme="minorHAnsi" w:cs="Arial"/>
                <w:sz w:val="20"/>
                <w:szCs w:val="20"/>
              </w:rPr>
              <w:t>(</w:t>
            </w:r>
            <w:r w:rsidR="006C1428" w:rsidRPr="00056CC2">
              <w:rPr>
                <w:rFonts w:asciiTheme="minorHAnsi" w:hAnsiTheme="minorHAnsi" w:cs="Arial"/>
                <w:sz w:val="20"/>
                <w:szCs w:val="20"/>
              </w:rPr>
              <w:t>7.6</w:t>
            </w:r>
            <w:r w:rsidRPr="00056CC2">
              <w:rPr>
                <w:rFonts w:asciiTheme="minorHAnsi" w:hAnsiTheme="minorHAnsi" w:cs="Arial"/>
                <w:sz w:val="20"/>
                <w:szCs w:val="20"/>
              </w:rPr>
              <w:t>)</w:t>
            </w:r>
          </w:p>
        </w:tc>
      </w:tr>
      <w:tr w:rsidR="00286179" w:rsidRPr="008B3AA6" w14:paraId="4E0E59F8" w14:textId="43843009" w:rsidTr="0040155F">
        <w:tc>
          <w:tcPr>
            <w:tcW w:w="3143" w:type="pct"/>
            <w:gridSpan w:val="2"/>
            <w:vAlign w:val="bottom"/>
          </w:tcPr>
          <w:p w14:paraId="38ECE1B7" w14:textId="6B5B6DF3" w:rsidR="00286179" w:rsidRPr="000D77E0" w:rsidRDefault="00DC04E2">
            <w:pPr>
              <w:rPr>
                <w:rFonts w:asciiTheme="minorHAnsi" w:hAnsiTheme="minorHAnsi" w:cs="Arial"/>
                <w:bCs/>
                <w:sz w:val="20"/>
                <w:szCs w:val="20"/>
              </w:rPr>
            </w:pPr>
            <w:r w:rsidRPr="000D77E0">
              <w:rPr>
                <w:rFonts w:asciiTheme="minorHAnsi" w:hAnsiTheme="minorHAnsi" w:cs="Arial"/>
                <w:bCs/>
                <w:sz w:val="20"/>
                <w:szCs w:val="20"/>
              </w:rPr>
              <w:t>Tax credit</w:t>
            </w:r>
          </w:p>
        </w:tc>
        <w:tc>
          <w:tcPr>
            <w:tcW w:w="543" w:type="pct"/>
            <w:shd w:val="clear" w:color="auto" w:fill="auto"/>
            <w:vAlign w:val="bottom"/>
          </w:tcPr>
          <w:p w14:paraId="729C039E" w14:textId="7CE4CED2" w:rsidR="00286179" w:rsidRPr="00911DEC" w:rsidRDefault="00EB6EF0">
            <w:pPr>
              <w:jc w:val="right"/>
              <w:rPr>
                <w:rFonts w:asciiTheme="minorHAnsi" w:eastAsiaTheme="minorEastAsia" w:hAnsiTheme="minorHAnsi" w:cstheme="minorBidi"/>
                <w:color w:val="000000"/>
                <w:sz w:val="20"/>
                <w:szCs w:val="20"/>
              </w:rPr>
            </w:pPr>
            <w:r w:rsidRPr="62308200">
              <w:rPr>
                <w:rFonts w:asciiTheme="minorHAnsi" w:eastAsiaTheme="minorEastAsia" w:hAnsiTheme="minorHAnsi" w:cstheme="minorBidi"/>
                <w:color w:val="000000" w:themeColor="text1"/>
                <w:sz w:val="20"/>
                <w:szCs w:val="20"/>
              </w:rPr>
              <w:t>1.</w:t>
            </w:r>
            <w:r w:rsidR="00C337C7">
              <w:rPr>
                <w:rFonts w:asciiTheme="minorHAnsi" w:eastAsiaTheme="minorEastAsia" w:hAnsiTheme="minorHAnsi" w:cstheme="minorBidi"/>
                <w:color w:val="000000" w:themeColor="text1"/>
                <w:sz w:val="20"/>
                <w:szCs w:val="20"/>
              </w:rPr>
              <w:t>9</w:t>
            </w:r>
          </w:p>
        </w:tc>
        <w:tc>
          <w:tcPr>
            <w:tcW w:w="642" w:type="pct"/>
            <w:gridSpan w:val="3"/>
            <w:vAlign w:val="bottom"/>
          </w:tcPr>
          <w:p w14:paraId="6643B1F1" w14:textId="38A5D5EC" w:rsidR="00286179" w:rsidRPr="00056CC2" w:rsidRDefault="00C337C7">
            <w:pPr>
              <w:jc w:val="right"/>
              <w:rPr>
                <w:rFonts w:asciiTheme="minorHAnsi" w:eastAsiaTheme="minorEastAsia" w:hAnsiTheme="minorHAnsi" w:cstheme="minorBidi"/>
                <w:sz w:val="20"/>
                <w:szCs w:val="20"/>
              </w:rPr>
            </w:pPr>
            <w:r>
              <w:rPr>
                <w:rFonts w:asciiTheme="minorHAnsi" w:eastAsiaTheme="minorEastAsia" w:hAnsiTheme="minorHAnsi" w:cstheme="minorBidi"/>
                <w:sz w:val="20"/>
                <w:szCs w:val="20"/>
              </w:rPr>
              <w:t>-</w:t>
            </w:r>
          </w:p>
        </w:tc>
        <w:tc>
          <w:tcPr>
            <w:tcW w:w="672" w:type="pct"/>
            <w:gridSpan w:val="2"/>
          </w:tcPr>
          <w:p w14:paraId="4133A222" w14:textId="75B0D0ED" w:rsidR="00286179" w:rsidRPr="00056CC2" w:rsidRDefault="002D7CDB">
            <w:pPr>
              <w:jc w:val="right"/>
              <w:rPr>
                <w:rFonts w:asciiTheme="minorHAnsi" w:eastAsiaTheme="minorEastAsia" w:hAnsiTheme="minorHAnsi" w:cstheme="minorBidi"/>
                <w:sz w:val="20"/>
                <w:szCs w:val="20"/>
              </w:rPr>
            </w:pPr>
            <w:r w:rsidRPr="62308200">
              <w:rPr>
                <w:rFonts w:asciiTheme="minorHAnsi" w:eastAsiaTheme="minorEastAsia" w:hAnsiTheme="minorHAnsi" w:cstheme="minorBidi"/>
                <w:sz w:val="20"/>
                <w:szCs w:val="20"/>
              </w:rPr>
              <w:t>1.9</w:t>
            </w:r>
          </w:p>
        </w:tc>
      </w:tr>
      <w:tr w:rsidR="00286179" w:rsidRPr="00A36F5C" w14:paraId="5A018CF5" w14:textId="5CB66AB3" w:rsidTr="0040155F">
        <w:tc>
          <w:tcPr>
            <w:tcW w:w="3143" w:type="pct"/>
            <w:gridSpan w:val="2"/>
            <w:vAlign w:val="bottom"/>
          </w:tcPr>
          <w:p w14:paraId="6DCDFAA3" w14:textId="5E03D5E6" w:rsidR="00286179" w:rsidRPr="00A36F5C" w:rsidRDefault="002D7CDB">
            <w:pPr>
              <w:rPr>
                <w:rFonts w:asciiTheme="minorHAnsi" w:hAnsiTheme="minorHAnsi" w:cs="Arial"/>
                <w:b/>
                <w:sz w:val="20"/>
                <w:szCs w:val="20"/>
              </w:rPr>
            </w:pPr>
            <w:r>
              <w:rPr>
                <w:rFonts w:asciiTheme="minorHAnsi" w:hAnsiTheme="minorHAnsi" w:cs="Arial"/>
                <w:b/>
                <w:sz w:val="20"/>
                <w:szCs w:val="20"/>
              </w:rPr>
              <w:t>Total income statement impact</w:t>
            </w:r>
          </w:p>
        </w:tc>
        <w:tc>
          <w:tcPr>
            <w:tcW w:w="543" w:type="pct"/>
            <w:tcBorders>
              <w:top w:val="single" w:sz="4" w:space="0" w:color="auto"/>
              <w:left w:val="nil"/>
              <w:bottom w:val="single" w:sz="12" w:space="0" w:color="auto"/>
              <w:right w:val="nil"/>
            </w:tcBorders>
            <w:shd w:val="clear" w:color="auto" w:fill="auto"/>
          </w:tcPr>
          <w:p w14:paraId="1215227F" w14:textId="7A701CFB" w:rsidR="00286179" w:rsidRPr="00911DEC" w:rsidRDefault="00C32848">
            <w:pPr>
              <w:jc w:val="right"/>
              <w:rPr>
                <w:rFonts w:asciiTheme="minorHAnsi" w:hAnsiTheme="minorHAnsi" w:cs="Arial"/>
                <w:sz w:val="20"/>
                <w:szCs w:val="20"/>
              </w:rPr>
            </w:pPr>
            <w:r w:rsidRPr="00911DEC">
              <w:rPr>
                <w:rFonts w:asciiTheme="minorHAnsi" w:hAnsiTheme="minorHAnsi" w:cs="Arial"/>
                <w:sz w:val="20"/>
                <w:szCs w:val="20"/>
              </w:rPr>
              <w:t>(</w:t>
            </w:r>
            <w:r w:rsidR="00AA75F3">
              <w:rPr>
                <w:rFonts w:asciiTheme="minorHAnsi" w:hAnsiTheme="minorHAnsi" w:cs="Arial"/>
                <w:sz w:val="20"/>
                <w:szCs w:val="20"/>
              </w:rPr>
              <w:t>5.7</w:t>
            </w:r>
            <w:r w:rsidRPr="00911DEC">
              <w:rPr>
                <w:rFonts w:asciiTheme="minorHAnsi" w:hAnsiTheme="minorHAnsi" w:cs="Arial"/>
                <w:sz w:val="20"/>
                <w:szCs w:val="20"/>
              </w:rPr>
              <w:t>)</w:t>
            </w:r>
          </w:p>
        </w:tc>
        <w:tc>
          <w:tcPr>
            <w:tcW w:w="642" w:type="pct"/>
            <w:gridSpan w:val="3"/>
            <w:tcBorders>
              <w:top w:val="single" w:sz="4" w:space="0" w:color="auto"/>
              <w:left w:val="nil"/>
              <w:bottom w:val="single" w:sz="12" w:space="0" w:color="auto"/>
              <w:right w:val="nil"/>
            </w:tcBorders>
            <w:vAlign w:val="bottom"/>
          </w:tcPr>
          <w:p w14:paraId="4FD92F89" w14:textId="10D2CAAB" w:rsidR="00286179" w:rsidRPr="00056CC2" w:rsidRDefault="00C337C7">
            <w:pPr>
              <w:jc w:val="right"/>
              <w:rPr>
                <w:rFonts w:asciiTheme="minorHAnsi" w:hAnsiTheme="minorHAnsi" w:cs="Arial"/>
                <w:sz w:val="20"/>
                <w:szCs w:val="20"/>
              </w:rPr>
            </w:pPr>
            <w:r>
              <w:rPr>
                <w:rFonts w:asciiTheme="minorHAnsi" w:hAnsiTheme="minorHAnsi" w:cs="Arial"/>
                <w:sz w:val="20"/>
                <w:szCs w:val="20"/>
              </w:rPr>
              <w:t>-</w:t>
            </w:r>
          </w:p>
        </w:tc>
        <w:tc>
          <w:tcPr>
            <w:tcW w:w="672" w:type="pct"/>
            <w:gridSpan w:val="2"/>
            <w:tcBorders>
              <w:top w:val="single" w:sz="4" w:space="0" w:color="auto"/>
              <w:left w:val="nil"/>
              <w:bottom w:val="single" w:sz="12" w:space="0" w:color="auto"/>
              <w:right w:val="nil"/>
            </w:tcBorders>
          </w:tcPr>
          <w:p w14:paraId="5D284DA9" w14:textId="4D8BE422" w:rsidR="00286179" w:rsidRPr="00056CC2" w:rsidRDefault="00C32848">
            <w:pPr>
              <w:jc w:val="right"/>
              <w:rPr>
                <w:rFonts w:asciiTheme="minorHAnsi" w:hAnsiTheme="minorHAnsi" w:cs="Arial"/>
                <w:sz w:val="20"/>
                <w:szCs w:val="20"/>
              </w:rPr>
            </w:pPr>
            <w:r w:rsidRPr="00056CC2">
              <w:rPr>
                <w:rFonts w:asciiTheme="minorHAnsi" w:hAnsiTheme="minorHAnsi" w:cs="Arial"/>
                <w:sz w:val="20"/>
                <w:szCs w:val="20"/>
              </w:rPr>
              <w:t>(</w:t>
            </w:r>
            <w:r w:rsidR="00D81E84" w:rsidRPr="00056CC2">
              <w:rPr>
                <w:rFonts w:asciiTheme="minorHAnsi" w:hAnsiTheme="minorHAnsi" w:cs="Arial"/>
                <w:sz w:val="20"/>
                <w:szCs w:val="20"/>
              </w:rPr>
              <w:t>5.7</w:t>
            </w:r>
            <w:r w:rsidRPr="00056CC2">
              <w:rPr>
                <w:rFonts w:asciiTheme="minorHAnsi" w:hAnsiTheme="minorHAnsi" w:cs="Arial"/>
                <w:sz w:val="20"/>
                <w:szCs w:val="20"/>
              </w:rPr>
              <w:t>)</w:t>
            </w:r>
          </w:p>
        </w:tc>
      </w:tr>
      <w:tr w:rsidR="00DD596D" w:rsidRPr="008B3AA6" w14:paraId="1BA5A41E" w14:textId="77777777" w:rsidTr="00845116">
        <w:trPr>
          <w:gridAfter w:val="3"/>
          <w:wAfter w:w="683" w:type="pct"/>
          <w:trHeight w:val="239"/>
        </w:trPr>
        <w:tc>
          <w:tcPr>
            <w:tcW w:w="3134" w:type="pct"/>
          </w:tcPr>
          <w:p w14:paraId="7EB96B9F" w14:textId="77777777" w:rsidR="00DD596D" w:rsidRDefault="00DD596D">
            <w:pPr>
              <w:rPr>
                <w:rFonts w:asciiTheme="minorHAnsi" w:hAnsiTheme="minorHAnsi" w:cs="Arial"/>
                <w:sz w:val="20"/>
                <w:szCs w:val="20"/>
              </w:rPr>
            </w:pPr>
          </w:p>
        </w:tc>
        <w:tc>
          <w:tcPr>
            <w:tcW w:w="712" w:type="pct"/>
            <w:gridSpan w:val="3"/>
          </w:tcPr>
          <w:p w14:paraId="5857D3D5" w14:textId="77777777" w:rsidR="00DD596D" w:rsidRPr="00F203CC" w:rsidRDefault="00DD596D">
            <w:pPr>
              <w:jc w:val="center"/>
              <w:rPr>
                <w:rFonts w:asciiTheme="minorHAnsi" w:hAnsiTheme="minorHAnsi" w:cs="Arial"/>
                <w:sz w:val="20"/>
                <w:szCs w:val="20"/>
              </w:rPr>
            </w:pPr>
          </w:p>
        </w:tc>
        <w:tc>
          <w:tcPr>
            <w:tcW w:w="471" w:type="pct"/>
          </w:tcPr>
          <w:p w14:paraId="7E689293" w14:textId="13A2670B" w:rsidR="00DD596D" w:rsidRPr="00F203CC" w:rsidRDefault="00DD596D">
            <w:pPr>
              <w:jc w:val="center"/>
              <w:rPr>
                <w:rFonts w:asciiTheme="minorHAnsi" w:hAnsiTheme="minorHAnsi" w:cs="Arial"/>
                <w:sz w:val="20"/>
                <w:szCs w:val="20"/>
              </w:rPr>
            </w:pPr>
          </w:p>
        </w:tc>
      </w:tr>
      <w:tr w:rsidR="001558B7" w:rsidRPr="008B3AA6" w14:paraId="6364B9E3" w14:textId="77777777" w:rsidTr="0040155F">
        <w:trPr>
          <w:trHeight w:val="305"/>
        </w:trPr>
        <w:tc>
          <w:tcPr>
            <w:tcW w:w="3134" w:type="pct"/>
          </w:tcPr>
          <w:p w14:paraId="09FD0C4E" w14:textId="77777777" w:rsidR="001558B7" w:rsidRDefault="001558B7" w:rsidP="0059393E">
            <w:pPr>
              <w:rPr>
                <w:rFonts w:asciiTheme="minorHAnsi" w:hAnsiTheme="minorHAnsi" w:cs="Arial"/>
                <w:sz w:val="20"/>
                <w:szCs w:val="20"/>
              </w:rPr>
            </w:pPr>
          </w:p>
        </w:tc>
        <w:tc>
          <w:tcPr>
            <w:tcW w:w="712" w:type="pct"/>
            <w:gridSpan w:val="3"/>
            <w:shd w:val="clear" w:color="auto" w:fill="auto"/>
          </w:tcPr>
          <w:p w14:paraId="4BCDCB5A" w14:textId="77777777" w:rsidR="001558B7" w:rsidRPr="00BC0FBC" w:rsidRDefault="001558B7" w:rsidP="0059393E">
            <w:pPr>
              <w:jc w:val="right"/>
              <w:rPr>
                <w:rFonts w:asciiTheme="minorHAnsi" w:hAnsiTheme="minorHAnsi" w:cs="Arial"/>
                <w:bCs/>
                <w:sz w:val="20"/>
                <w:szCs w:val="20"/>
              </w:rPr>
            </w:pPr>
          </w:p>
        </w:tc>
        <w:tc>
          <w:tcPr>
            <w:tcW w:w="562" w:type="pct"/>
            <w:gridSpan w:val="3"/>
            <w:shd w:val="clear" w:color="auto" w:fill="auto"/>
          </w:tcPr>
          <w:p w14:paraId="30FF0C52" w14:textId="77777777" w:rsidR="001558B7" w:rsidRPr="00BC0FBC" w:rsidRDefault="001558B7" w:rsidP="0059393E">
            <w:pPr>
              <w:jc w:val="right"/>
              <w:rPr>
                <w:rFonts w:asciiTheme="minorHAnsi" w:hAnsiTheme="minorHAnsi" w:cs="Arial"/>
                <w:bCs/>
                <w:sz w:val="20"/>
                <w:szCs w:val="20"/>
              </w:rPr>
            </w:pPr>
          </w:p>
        </w:tc>
        <w:tc>
          <w:tcPr>
            <w:tcW w:w="592" w:type="pct"/>
          </w:tcPr>
          <w:p w14:paraId="43886A59" w14:textId="77777777" w:rsidR="001558B7" w:rsidRPr="00BC0FBC" w:rsidRDefault="001558B7" w:rsidP="0059393E">
            <w:pPr>
              <w:jc w:val="right"/>
              <w:rPr>
                <w:rFonts w:asciiTheme="minorHAnsi" w:hAnsiTheme="minorHAnsi" w:cs="Arial"/>
                <w:bCs/>
                <w:sz w:val="20"/>
                <w:szCs w:val="20"/>
              </w:rPr>
            </w:pPr>
          </w:p>
        </w:tc>
      </w:tr>
      <w:tr w:rsidR="00DD596D" w:rsidRPr="008B3AA6" w14:paraId="22992122" w14:textId="77777777" w:rsidTr="0040155F">
        <w:trPr>
          <w:trHeight w:val="305"/>
        </w:trPr>
        <w:tc>
          <w:tcPr>
            <w:tcW w:w="3134" w:type="pct"/>
          </w:tcPr>
          <w:p w14:paraId="3C95DB81" w14:textId="4DDFD281" w:rsidR="00DD596D" w:rsidRPr="00701439" w:rsidRDefault="00DD596D" w:rsidP="0059393E">
            <w:pPr>
              <w:rPr>
                <w:rFonts w:asciiTheme="minorHAnsi" w:hAnsiTheme="minorHAnsi" w:cs="Arial"/>
                <w:sz w:val="20"/>
                <w:szCs w:val="20"/>
              </w:rPr>
            </w:pPr>
            <w:r>
              <w:rPr>
                <w:rFonts w:asciiTheme="minorHAnsi" w:hAnsiTheme="minorHAnsi" w:cs="Arial"/>
                <w:sz w:val="20"/>
                <w:szCs w:val="20"/>
              </w:rPr>
              <w:t>Balance sheet cumulative impact</w:t>
            </w:r>
          </w:p>
        </w:tc>
        <w:tc>
          <w:tcPr>
            <w:tcW w:w="712" w:type="pct"/>
            <w:gridSpan w:val="3"/>
            <w:shd w:val="clear" w:color="auto" w:fill="auto"/>
          </w:tcPr>
          <w:p w14:paraId="0274DB22" w14:textId="69CB942B" w:rsidR="00DD596D" w:rsidRPr="00BC0FBC" w:rsidRDefault="00DD596D" w:rsidP="0059393E">
            <w:pPr>
              <w:jc w:val="right"/>
              <w:rPr>
                <w:rFonts w:asciiTheme="minorHAnsi" w:hAnsiTheme="minorHAnsi" w:cs="Arial"/>
                <w:bCs/>
                <w:sz w:val="20"/>
                <w:szCs w:val="20"/>
              </w:rPr>
            </w:pPr>
            <w:r w:rsidRPr="00BC0FBC">
              <w:rPr>
                <w:rFonts w:asciiTheme="minorHAnsi" w:hAnsiTheme="minorHAnsi" w:cs="Arial"/>
                <w:bCs/>
                <w:sz w:val="20"/>
                <w:szCs w:val="20"/>
              </w:rPr>
              <w:t xml:space="preserve">2022 </w:t>
            </w:r>
            <w:r w:rsidR="00BC0FBC" w:rsidRPr="00BC0FBC">
              <w:rPr>
                <w:rFonts w:asciiTheme="minorHAnsi" w:hAnsiTheme="minorHAnsi" w:cs="Arial"/>
                <w:bCs/>
                <w:sz w:val="20"/>
                <w:szCs w:val="20"/>
              </w:rPr>
              <w:t>c</w:t>
            </w:r>
            <w:r w:rsidRPr="00BC0FBC">
              <w:rPr>
                <w:rFonts w:asciiTheme="minorHAnsi" w:hAnsiTheme="minorHAnsi" w:cs="Arial"/>
                <w:bCs/>
                <w:sz w:val="20"/>
                <w:szCs w:val="20"/>
              </w:rPr>
              <w:t>losing</w:t>
            </w:r>
            <w:r w:rsidR="00BC0FBC" w:rsidRPr="00BC0FBC">
              <w:rPr>
                <w:rFonts w:asciiTheme="minorHAnsi" w:hAnsiTheme="minorHAnsi" w:cs="Arial"/>
                <w:bCs/>
                <w:sz w:val="20"/>
                <w:szCs w:val="20"/>
              </w:rPr>
              <w:t xml:space="preserve"> balance sheet</w:t>
            </w:r>
            <w:r w:rsidR="00666910" w:rsidRPr="00BC0FBC">
              <w:rPr>
                <w:rFonts w:asciiTheme="minorHAnsi" w:hAnsiTheme="minorHAnsi" w:cs="Arial"/>
                <w:bCs/>
                <w:sz w:val="20"/>
                <w:szCs w:val="20"/>
              </w:rPr>
              <w:t xml:space="preserve"> </w:t>
            </w:r>
          </w:p>
        </w:tc>
        <w:tc>
          <w:tcPr>
            <w:tcW w:w="562" w:type="pct"/>
            <w:gridSpan w:val="3"/>
            <w:shd w:val="clear" w:color="auto" w:fill="auto"/>
          </w:tcPr>
          <w:p w14:paraId="5C12BE13" w14:textId="6139D387" w:rsidR="00DD596D" w:rsidRPr="00BC0FBC" w:rsidRDefault="00DD596D" w:rsidP="0059393E">
            <w:pPr>
              <w:jc w:val="right"/>
              <w:rPr>
                <w:rFonts w:asciiTheme="minorHAnsi" w:hAnsiTheme="minorHAnsi" w:cs="Arial"/>
                <w:bCs/>
                <w:sz w:val="20"/>
                <w:szCs w:val="20"/>
              </w:rPr>
            </w:pPr>
            <w:r w:rsidRPr="00BC0FBC">
              <w:rPr>
                <w:rFonts w:asciiTheme="minorHAnsi" w:hAnsiTheme="minorHAnsi" w:cs="Arial"/>
                <w:bCs/>
                <w:sz w:val="20"/>
                <w:szCs w:val="20"/>
              </w:rPr>
              <w:t>1H23 </w:t>
            </w:r>
          </w:p>
        </w:tc>
        <w:tc>
          <w:tcPr>
            <w:tcW w:w="592" w:type="pct"/>
          </w:tcPr>
          <w:p w14:paraId="70338DAC" w14:textId="387BE2FD" w:rsidR="00DD596D" w:rsidRPr="00BC0FBC" w:rsidRDefault="00DD596D" w:rsidP="0059393E">
            <w:pPr>
              <w:jc w:val="right"/>
              <w:rPr>
                <w:rFonts w:asciiTheme="minorHAnsi" w:hAnsiTheme="minorHAnsi" w:cs="Arial"/>
                <w:bCs/>
                <w:sz w:val="20"/>
                <w:szCs w:val="20"/>
              </w:rPr>
            </w:pPr>
            <w:r w:rsidRPr="00BC0FBC">
              <w:rPr>
                <w:rFonts w:asciiTheme="minorHAnsi" w:hAnsiTheme="minorHAnsi" w:cs="Arial"/>
                <w:bCs/>
                <w:sz w:val="20"/>
                <w:szCs w:val="20"/>
              </w:rPr>
              <w:t>FY23</w:t>
            </w:r>
          </w:p>
        </w:tc>
      </w:tr>
      <w:tr w:rsidR="00DD596D" w:rsidRPr="008B3AA6" w14:paraId="5F4E2F5B" w14:textId="77777777" w:rsidTr="00845116">
        <w:trPr>
          <w:trHeight w:val="64"/>
        </w:trPr>
        <w:tc>
          <w:tcPr>
            <w:tcW w:w="3134" w:type="pct"/>
          </w:tcPr>
          <w:p w14:paraId="6798CF7E" w14:textId="77777777" w:rsidR="00DD596D" w:rsidRPr="008B3AA6" w:rsidRDefault="00DD596D" w:rsidP="0059393E">
            <w:pPr>
              <w:rPr>
                <w:rFonts w:asciiTheme="minorHAnsi" w:hAnsiTheme="minorHAnsi" w:cs="Arial"/>
                <w:sz w:val="20"/>
                <w:szCs w:val="20"/>
                <w:highlight w:val="green"/>
              </w:rPr>
            </w:pPr>
          </w:p>
        </w:tc>
        <w:tc>
          <w:tcPr>
            <w:tcW w:w="712" w:type="pct"/>
            <w:gridSpan w:val="3"/>
            <w:tcBorders>
              <w:bottom w:val="single" w:sz="4" w:space="0" w:color="auto"/>
            </w:tcBorders>
            <w:shd w:val="clear" w:color="auto" w:fill="auto"/>
          </w:tcPr>
          <w:p w14:paraId="05EAE961" w14:textId="19DC9313" w:rsidR="00DD596D" w:rsidRPr="00BC0FBC" w:rsidRDefault="00DD596D" w:rsidP="0059393E">
            <w:pPr>
              <w:jc w:val="right"/>
              <w:rPr>
                <w:rFonts w:asciiTheme="minorHAnsi" w:hAnsiTheme="minorHAnsi" w:cs="Arial"/>
                <w:bCs/>
                <w:sz w:val="20"/>
                <w:szCs w:val="20"/>
              </w:rPr>
            </w:pPr>
            <w:r w:rsidRPr="00BC0FBC">
              <w:rPr>
                <w:rFonts w:asciiTheme="minorHAnsi" w:hAnsiTheme="minorHAnsi" w:cs="Arial"/>
                <w:bCs/>
                <w:sz w:val="20"/>
                <w:szCs w:val="20"/>
              </w:rPr>
              <w:t>£m</w:t>
            </w:r>
          </w:p>
        </w:tc>
        <w:tc>
          <w:tcPr>
            <w:tcW w:w="562" w:type="pct"/>
            <w:gridSpan w:val="3"/>
            <w:tcBorders>
              <w:top w:val="nil"/>
              <w:left w:val="nil"/>
              <w:bottom w:val="single" w:sz="4" w:space="0" w:color="auto"/>
              <w:right w:val="nil"/>
            </w:tcBorders>
            <w:shd w:val="clear" w:color="auto" w:fill="auto"/>
          </w:tcPr>
          <w:p w14:paraId="6C5D132D" w14:textId="67D23292" w:rsidR="00DD596D" w:rsidRPr="00BC0FBC" w:rsidRDefault="00DD596D" w:rsidP="0059393E">
            <w:pPr>
              <w:jc w:val="right"/>
              <w:rPr>
                <w:rFonts w:asciiTheme="minorHAnsi" w:hAnsiTheme="minorHAnsi" w:cs="Arial"/>
                <w:bCs/>
                <w:sz w:val="20"/>
                <w:szCs w:val="20"/>
              </w:rPr>
            </w:pPr>
            <w:r w:rsidRPr="00BC0FBC">
              <w:rPr>
                <w:rFonts w:asciiTheme="minorHAnsi" w:hAnsiTheme="minorHAnsi" w:cs="Arial"/>
                <w:bCs/>
                <w:sz w:val="20"/>
                <w:szCs w:val="20"/>
              </w:rPr>
              <w:t>£m </w:t>
            </w:r>
          </w:p>
        </w:tc>
        <w:tc>
          <w:tcPr>
            <w:tcW w:w="592" w:type="pct"/>
            <w:tcBorders>
              <w:top w:val="nil"/>
              <w:left w:val="nil"/>
              <w:bottom w:val="single" w:sz="4" w:space="0" w:color="auto"/>
              <w:right w:val="nil"/>
            </w:tcBorders>
          </w:tcPr>
          <w:p w14:paraId="190F9248" w14:textId="1943D19B" w:rsidR="00DD596D" w:rsidRPr="00BC0FBC" w:rsidRDefault="00DD596D" w:rsidP="0059393E">
            <w:pPr>
              <w:jc w:val="right"/>
              <w:rPr>
                <w:rFonts w:asciiTheme="minorHAnsi" w:hAnsiTheme="minorHAnsi" w:cs="Arial"/>
                <w:bCs/>
                <w:sz w:val="20"/>
                <w:szCs w:val="20"/>
              </w:rPr>
            </w:pPr>
            <w:r w:rsidRPr="00BC0FBC">
              <w:rPr>
                <w:rFonts w:asciiTheme="minorHAnsi" w:hAnsiTheme="minorHAnsi" w:cs="Arial"/>
                <w:bCs/>
                <w:sz w:val="20"/>
                <w:szCs w:val="20"/>
              </w:rPr>
              <w:t>£m </w:t>
            </w:r>
          </w:p>
        </w:tc>
      </w:tr>
      <w:tr w:rsidR="00DD596D" w:rsidRPr="008B3AA6" w14:paraId="5CA5DAD0" w14:textId="77777777" w:rsidTr="00845116">
        <w:trPr>
          <w:trHeight w:val="239"/>
        </w:trPr>
        <w:tc>
          <w:tcPr>
            <w:tcW w:w="3134" w:type="pct"/>
            <w:vAlign w:val="bottom"/>
          </w:tcPr>
          <w:p w14:paraId="557BA7B9" w14:textId="2EBACFC0" w:rsidR="00DD596D" w:rsidRPr="00056CC2" w:rsidRDefault="00DD596D" w:rsidP="0059393E">
            <w:pPr>
              <w:rPr>
                <w:rFonts w:asciiTheme="minorHAnsi" w:hAnsiTheme="minorHAnsi" w:cs="Arial"/>
                <w:bCs/>
                <w:sz w:val="20"/>
                <w:szCs w:val="20"/>
              </w:rPr>
            </w:pPr>
            <w:r w:rsidRPr="00056CC2">
              <w:rPr>
                <w:rFonts w:asciiTheme="minorHAnsi" w:hAnsiTheme="minorHAnsi" w:cs="Arial"/>
                <w:bCs/>
                <w:sz w:val="20"/>
                <w:szCs w:val="20"/>
              </w:rPr>
              <w:t>Receivables</w:t>
            </w:r>
          </w:p>
        </w:tc>
        <w:tc>
          <w:tcPr>
            <w:tcW w:w="712" w:type="pct"/>
            <w:gridSpan w:val="3"/>
            <w:tcBorders>
              <w:top w:val="single" w:sz="4" w:space="0" w:color="auto"/>
            </w:tcBorders>
            <w:shd w:val="clear" w:color="auto" w:fill="auto"/>
          </w:tcPr>
          <w:p w14:paraId="29822B88" w14:textId="298C13B6" w:rsidR="00DD596D" w:rsidRPr="00BC0FBC" w:rsidRDefault="00DD596D" w:rsidP="0059393E">
            <w:pPr>
              <w:jc w:val="right"/>
              <w:rPr>
                <w:rFonts w:asciiTheme="minorHAnsi" w:hAnsiTheme="minorHAnsi" w:cs="Arial"/>
                <w:bCs/>
                <w:sz w:val="20"/>
                <w:szCs w:val="20"/>
              </w:rPr>
            </w:pPr>
            <w:r w:rsidRPr="00BC0FBC">
              <w:rPr>
                <w:rFonts w:asciiTheme="minorHAnsi" w:hAnsiTheme="minorHAnsi" w:cs="Arial"/>
                <w:bCs/>
                <w:sz w:val="20"/>
                <w:szCs w:val="20"/>
              </w:rPr>
              <w:t>(8.5)</w:t>
            </w:r>
          </w:p>
        </w:tc>
        <w:tc>
          <w:tcPr>
            <w:tcW w:w="562" w:type="pct"/>
            <w:gridSpan w:val="3"/>
            <w:shd w:val="clear" w:color="auto" w:fill="auto"/>
            <w:vAlign w:val="bottom"/>
          </w:tcPr>
          <w:p w14:paraId="03DE531B" w14:textId="5E2A2E8B" w:rsidR="00DD596D" w:rsidRPr="00BC0FBC" w:rsidRDefault="00DD596D" w:rsidP="0059393E">
            <w:pPr>
              <w:jc w:val="right"/>
              <w:rPr>
                <w:rFonts w:asciiTheme="minorHAnsi" w:hAnsiTheme="minorHAnsi" w:cs="Arial"/>
                <w:bCs/>
                <w:sz w:val="20"/>
                <w:szCs w:val="20"/>
              </w:rPr>
            </w:pPr>
            <w:r w:rsidRPr="00BC0FBC">
              <w:rPr>
                <w:rFonts w:asciiTheme="minorHAnsi" w:hAnsiTheme="minorHAnsi" w:cs="Arial"/>
                <w:bCs/>
                <w:sz w:val="20"/>
                <w:szCs w:val="20"/>
              </w:rPr>
              <w:t>(1</w:t>
            </w:r>
            <w:r w:rsidR="00A134FA">
              <w:rPr>
                <w:rFonts w:asciiTheme="minorHAnsi" w:hAnsiTheme="minorHAnsi" w:cs="Arial"/>
                <w:bCs/>
                <w:sz w:val="20"/>
                <w:szCs w:val="20"/>
              </w:rPr>
              <w:t>5.9</w:t>
            </w:r>
            <w:r w:rsidRPr="00BC0FBC">
              <w:rPr>
                <w:rFonts w:asciiTheme="minorHAnsi" w:hAnsiTheme="minorHAnsi" w:cs="Arial"/>
                <w:bCs/>
                <w:sz w:val="20"/>
                <w:szCs w:val="20"/>
              </w:rPr>
              <w:t>)</w:t>
            </w:r>
          </w:p>
        </w:tc>
        <w:tc>
          <w:tcPr>
            <w:tcW w:w="592" w:type="pct"/>
            <w:vAlign w:val="bottom"/>
          </w:tcPr>
          <w:p w14:paraId="05FBB4FE" w14:textId="36D9D930" w:rsidR="00DD596D" w:rsidRPr="00BC0FBC" w:rsidRDefault="00DD596D" w:rsidP="0059393E">
            <w:pPr>
              <w:jc w:val="right"/>
              <w:rPr>
                <w:rFonts w:asciiTheme="minorHAnsi" w:hAnsiTheme="minorHAnsi" w:cs="Arial"/>
                <w:bCs/>
                <w:sz w:val="20"/>
                <w:szCs w:val="20"/>
              </w:rPr>
            </w:pPr>
            <w:r w:rsidRPr="00BC0FBC">
              <w:rPr>
                <w:rFonts w:asciiTheme="minorHAnsi" w:hAnsiTheme="minorHAnsi" w:cs="Arial"/>
                <w:bCs/>
                <w:sz w:val="20"/>
                <w:szCs w:val="20"/>
              </w:rPr>
              <w:t>(16.1)</w:t>
            </w:r>
          </w:p>
        </w:tc>
      </w:tr>
      <w:tr w:rsidR="00DD596D" w:rsidRPr="008B3AA6" w14:paraId="29F7514C" w14:textId="77777777" w:rsidTr="00845116">
        <w:trPr>
          <w:trHeight w:val="239"/>
        </w:trPr>
        <w:tc>
          <w:tcPr>
            <w:tcW w:w="3134" w:type="pct"/>
            <w:vAlign w:val="bottom"/>
          </w:tcPr>
          <w:p w14:paraId="75A7D889" w14:textId="0D75D42A" w:rsidR="00DD596D" w:rsidRPr="00056CC2" w:rsidRDefault="00DD596D" w:rsidP="0059393E">
            <w:pPr>
              <w:rPr>
                <w:rFonts w:asciiTheme="minorHAnsi" w:hAnsiTheme="minorHAnsi" w:cs="Arial"/>
                <w:bCs/>
                <w:sz w:val="20"/>
                <w:szCs w:val="20"/>
              </w:rPr>
            </w:pPr>
            <w:r w:rsidRPr="00056CC2">
              <w:rPr>
                <w:rFonts w:asciiTheme="minorHAnsi" w:hAnsiTheme="minorHAnsi" w:cs="Arial"/>
                <w:bCs/>
                <w:sz w:val="20"/>
                <w:szCs w:val="20"/>
              </w:rPr>
              <w:t>Current tax asset</w:t>
            </w:r>
          </w:p>
        </w:tc>
        <w:tc>
          <w:tcPr>
            <w:tcW w:w="712" w:type="pct"/>
            <w:gridSpan w:val="3"/>
            <w:shd w:val="clear" w:color="auto" w:fill="auto"/>
          </w:tcPr>
          <w:p w14:paraId="432AEBE4" w14:textId="5A861028" w:rsidR="00DD596D" w:rsidRPr="00BC0FBC" w:rsidRDefault="00071B00" w:rsidP="0059393E">
            <w:pPr>
              <w:jc w:val="right"/>
              <w:rPr>
                <w:rFonts w:asciiTheme="minorHAnsi" w:hAnsiTheme="minorHAnsi" w:cs="Arial"/>
                <w:bCs/>
                <w:sz w:val="20"/>
                <w:szCs w:val="20"/>
              </w:rPr>
            </w:pPr>
            <w:r>
              <w:rPr>
                <w:rFonts w:asciiTheme="minorHAnsi" w:hAnsiTheme="minorHAnsi" w:cs="Arial"/>
                <w:bCs/>
                <w:sz w:val="20"/>
                <w:szCs w:val="20"/>
              </w:rPr>
              <w:t>0.2</w:t>
            </w:r>
          </w:p>
        </w:tc>
        <w:tc>
          <w:tcPr>
            <w:tcW w:w="562" w:type="pct"/>
            <w:gridSpan w:val="3"/>
            <w:shd w:val="clear" w:color="auto" w:fill="auto"/>
            <w:vAlign w:val="bottom"/>
          </w:tcPr>
          <w:p w14:paraId="60A867DD" w14:textId="6A7390A6" w:rsidR="00DD596D" w:rsidRPr="00BC0FBC" w:rsidRDefault="00071B00" w:rsidP="0059393E">
            <w:pPr>
              <w:jc w:val="right"/>
              <w:rPr>
                <w:rFonts w:ascii="Calibri (Body)" w:hAnsi="Calibri (Body)" w:cs="Calibri"/>
                <w:bCs/>
                <w:color w:val="000000"/>
                <w:sz w:val="20"/>
                <w:szCs w:val="20"/>
              </w:rPr>
            </w:pPr>
            <w:r>
              <w:rPr>
                <w:rFonts w:ascii="Calibri (Body)" w:hAnsi="Calibri (Body)" w:cs="Calibri"/>
                <w:bCs/>
                <w:color w:val="000000"/>
                <w:sz w:val="20"/>
                <w:szCs w:val="20"/>
              </w:rPr>
              <w:t>0.2</w:t>
            </w:r>
          </w:p>
        </w:tc>
        <w:tc>
          <w:tcPr>
            <w:tcW w:w="592" w:type="pct"/>
            <w:vAlign w:val="bottom"/>
          </w:tcPr>
          <w:p w14:paraId="37A5618D" w14:textId="4D19F1DA" w:rsidR="00DD596D" w:rsidRPr="00BC0FBC" w:rsidRDefault="003877A8" w:rsidP="0059393E">
            <w:pPr>
              <w:jc w:val="right"/>
              <w:rPr>
                <w:rFonts w:asciiTheme="minorHAnsi" w:hAnsiTheme="minorHAnsi" w:cs="Arial"/>
                <w:bCs/>
                <w:sz w:val="20"/>
                <w:szCs w:val="20"/>
              </w:rPr>
            </w:pPr>
            <w:r>
              <w:rPr>
                <w:rFonts w:asciiTheme="minorHAnsi" w:hAnsiTheme="minorHAnsi" w:cs="Arial"/>
                <w:bCs/>
                <w:sz w:val="20"/>
                <w:szCs w:val="20"/>
              </w:rPr>
              <w:t>0.2</w:t>
            </w:r>
          </w:p>
        </w:tc>
      </w:tr>
      <w:tr w:rsidR="00DD596D" w:rsidRPr="008B3AA6" w14:paraId="461FB472" w14:textId="77777777" w:rsidTr="00845116">
        <w:trPr>
          <w:trHeight w:val="239"/>
        </w:trPr>
        <w:tc>
          <w:tcPr>
            <w:tcW w:w="3134" w:type="pct"/>
            <w:vAlign w:val="bottom"/>
          </w:tcPr>
          <w:p w14:paraId="61C8482D" w14:textId="7FEFB5AC" w:rsidR="00DD596D" w:rsidRPr="00056CC2" w:rsidRDefault="00DD596D" w:rsidP="0059393E">
            <w:pPr>
              <w:rPr>
                <w:rFonts w:asciiTheme="minorHAnsi" w:hAnsiTheme="minorHAnsi" w:cs="Arial"/>
                <w:sz w:val="20"/>
                <w:szCs w:val="20"/>
              </w:rPr>
            </w:pPr>
            <w:r w:rsidRPr="00056CC2">
              <w:rPr>
                <w:rFonts w:asciiTheme="minorHAnsi" w:hAnsiTheme="minorHAnsi" w:cs="Arial"/>
                <w:sz w:val="20"/>
                <w:szCs w:val="20"/>
              </w:rPr>
              <w:t>Deferred tax assets</w:t>
            </w:r>
          </w:p>
        </w:tc>
        <w:tc>
          <w:tcPr>
            <w:tcW w:w="712" w:type="pct"/>
            <w:gridSpan w:val="3"/>
            <w:tcBorders>
              <w:bottom w:val="single" w:sz="4" w:space="0" w:color="auto"/>
            </w:tcBorders>
            <w:shd w:val="clear" w:color="auto" w:fill="auto"/>
          </w:tcPr>
          <w:p w14:paraId="622DD100" w14:textId="3826425B" w:rsidR="00DD596D" w:rsidRPr="00BC0FBC" w:rsidRDefault="00DD596D" w:rsidP="0059393E">
            <w:pPr>
              <w:jc w:val="right"/>
              <w:rPr>
                <w:rFonts w:asciiTheme="minorHAnsi" w:hAnsiTheme="minorHAnsi" w:cs="Arial"/>
                <w:bCs/>
                <w:sz w:val="20"/>
                <w:szCs w:val="20"/>
              </w:rPr>
            </w:pPr>
            <w:r w:rsidRPr="00BC0FBC">
              <w:rPr>
                <w:rFonts w:asciiTheme="minorHAnsi" w:hAnsiTheme="minorHAnsi" w:cs="Arial"/>
                <w:bCs/>
                <w:sz w:val="20"/>
                <w:szCs w:val="20"/>
              </w:rPr>
              <w:t>-</w:t>
            </w:r>
          </w:p>
        </w:tc>
        <w:tc>
          <w:tcPr>
            <w:tcW w:w="562" w:type="pct"/>
            <w:gridSpan w:val="3"/>
            <w:shd w:val="clear" w:color="auto" w:fill="auto"/>
            <w:vAlign w:val="bottom"/>
          </w:tcPr>
          <w:p w14:paraId="5B85C31C" w14:textId="5D9C8DA0" w:rsidR="00DD596D" w:rsidRPr="00BC0FBC" w:rsidRDefault="00DD596D" w:rsidP="0059393E">
            <w:pPr>
              <w:jc w:val="right"/>
              <w:rPr>
                <w:rFonts w:ascii="Calibri (Body)" w:hAnsi="Calibri (Body)" w:cs="Calibri"/>
                <w:bCs/>
                <w:color w:val="000000"/>
                <w:sz w:val="20"/>
                <w:szCs w:val="20"/>
              </w:rPr>
            </w:pPr>
            <w:r w:rsidRPr="00BC0FBC">
              <w:rPr>
                <w:rFonts w:ascii="Calibri (Body)" w:hAnsi="Calibri (Body)" w:cs="Calibri"/>
                <w:bCs/>
                <w:color w:val="000000"/>
                <w:sz w:val="20"/>
                <w:szCs w:val="20"/>
              </w:rPr>
              <w:t>1.</w:t>
            </w:r>
            <w:r w:rsidR="00A134FA">
              <w:rPr>
                <w:rFonts w:ascii="Calibri (Body)" w:hAnsi="Calibri (Body)" w:cs="Calibri"/>
                <w:bCs/>
                <w:color w:val="000000"/>
                <w:sz w:val="20"/>
                <w:szCs w:val="20"/>
              </w:rPr>
              <w:t>9</w:t>
            </w:r>
          </w:p>
        </w:tc>
        <w:tc>
          <w:tcPr>
            <w:tcW w:w="592" w:type="pct"/>
            <w:vAlign w:val="bottom"/>
          </w:tcPr>
          <w:p w14:paraId="44C1BD8A" w14:textId="59D3FB47" w:rsidR="00DD596D" w:rsidRPr="00BC0FBC" w:rsidRDefault="00B641AE" w:rsidP="0059393E">
            <w:pPr>
              <w:jc w:val="right"/>
              <w:rPr>
                <w:rFonts w:asciiTheme="minorHAnsi" w:hAnsiTheme="minorHAnsi" w:cs="Arial"/>
                <w:bCs/>
                <w:sz w:val="20"/>
                <w:szCs w:val="20"/>
              </w:rPr>
            </w:pPr>
            <w:r w:rsidRPr="00BC0FBC">
              <w:rPr>
                <w:rFonts w:asciiTheme="minorHAnsi" w:hAnsiTheme="minorHAnsi" w:cs="Arial"/>
                <w:bCs/>
                <w:sz w:val="20"/>
                <w:szCs w:val="20"/>
              </w:rPr>
              <w:t>1</w:t>
            </w:r>
            <w:r w:rsidR="00DD596D" w:rsidRPr="00BC0FBC">
              <w:rPr>
                <w:rFonts w:asciiTheme="minorHAnsi" w:hAnsiTheme="minorHAnsi" w:cs="Arial"/>
                <w:bCs/>
                <w:sz w:val="20"/>
                <w:szCs w:val="20"/>
              </w:rPr>
              <w:t>.9</w:t>
            </w:r>
          </w:p>
        </w:tc>
      </w:tr>
      <w:tr w:rsidR="00DD596D" w:rsidRPr="00A36F5C" w14:paraId="2E2824BB" w14:textId="77777777" w:rsidTr="00845116">
        <w:trPr>
          <w:trHeight w:val="239"/>
        </w:trPr>
        <w:tc>
          <w:tcPr>
            <w:tcW w:w="3134" w:type="pct"/>
            <w:vAlign w:val="bottom"/>
          </w:tcPr>
          <w:p w14:paraId="495A5547" w14:textId="1C8B1D7A" w:rsidR="00DD596D" w:rsidRPr="00A36F5C" w:rsidRDefault="00DD596D" w:rsidP="0059393E">
            <w:pPr>
              <w:rPr>
                <w:rFonts w:asciiTheme="minorHAnsi" w:hAnsiTheme="minorHAnsi" w:cs="Arial"/>
                <w:b/>
                <w:sz w:val="20"/>
                <w:szCs w:val="20"/>
              </w:rPr>
            </w:pPr>
            <w:r>
              <w:rPr>
                <w:rFonts w:asciiTheme="minorHAnsi" w:hAnsiTheme="minorHAnsi" w:cs="Arial"/>
                <w:b/>
                <w:sz w:val="20"/>
                <w:szCs w:val="20"/>
              </w:rPr>
              <w:t>Retained earnings</w:t>
            </w:r>
          </w:p>
        </w:tc>
        <w:tc>
          <w:tcPr>
            <w:tcW w:w="712" w:type="pct"/>
            <w:gridSpan w:val="3"/>
            <w:tcBorders>
              <w:top w:val="single" w:sz="4" w:space="0" w:color="auto"/>
              <w:bottom w:val="single" w:sz="4" w:space="0" w:color="auto"/>
            </w:tcBorders>
            <w:shd w:val="clear" w:color="auto" w:fill="auto"/>
          </w:tcPr>
          <w:p w14:paraId="6A1B26EC" w14:textId="419B7928" w:rsidR="00DD596D" w:rsidRPr="00BC0FBC" w:rsidRDefault="00706314" w:rsidP="0059393E">
            <w:pPr>
              <w:jc w:val="right"/>
              <w:rPr>
                <w:rFonts w:asciiTheme="minorHAnsi" w:hAnsiTheme="minorHAnsi" w:cs="Arial"/>
                <w:bCs/>
                <w:sz w:val="20"/>
                <w:szCs w:val="20"/>
              </w:rPr>
            </w:pPr>
            <w:r w:rsidRPr="00BC0FBC">
              <w:rPr>
                <w:rFonts w:asciiTheme="minorHAnsi" w:hAnsiTheme="minorHAnsi" w:cs="Arial"/>
                <w:bCs/>
                <w:sz w:val="20"/>
                <w:szCs w:val="20"/>
              </w:rPr>
              <w:t>(</w:t>
            </w:r>
            <w:r w:rsidR="00071B00">
              <w:rPr>
                <w:rFonts w:asciiTheme="minorHAnsi" w:hAnsiTheme="minorHAnsi" w:cs="Arial"/>
                <w:bCs/>
                <w:sz w:val="20"/>
                <w:szCs w:val="20"/>
              </w:rPr>
              <w:t>8.3</w:t>
            </w:r>
            <w:r w:rsidRPr="00BC0FBC">
              <w:rPr>
                <w:rFonts w:asciiTheme="minorHAnsi" w:hAnsiTheme="minorHAnsi" w:cs="Arial"/>
                <w:bCs/>
                <w:sz w:val="20"/>
                <w:szCs w:val="20"/>
              </w:rPr>
              <w:t>)</w:t>
            </w:r>
          </w:p>
        </w:tc>
        <w:tc>
          <w:tcPr>
            <w:tcW w:w="562" w:type="pct"/>
            <w:gridSpan w:val="3"/>
            <w:tcBorders>
              <w:top w:val="single" w:sz="4" w:space="0" w:color="auto"/>
              <w:left w:val="nil"/>
              <w:bottom w:val="single" w:sz="4" w:space="0" w:color="auto"/>
              <w:right w:val="nil"/>
            </w:tcBorders>
            <w:shd w:val="clear" w:color="auto" w:fill="auto"/>
          </w:tcPr>
          <w:p w14:paraId="298652CC" w14:textId="724B6FB5" w:rsidR="00DD596D" w:rsidRPr="00BC0FBC" w:rsidRDefault="00706314" w:rsidP="0059393E">
            <w:pPr>
              <w:jc w:val="right"/>
              <w:rPr>
                <w:rFonts w:asciiTheme="minorHAnsi" w:hAnsiTheme="minorHAnsi" w:cs="Arial"/>
                <w:bCs/>
                <w:sz w:val="20"/>
                <w:szCs w:val="20"/>
              </w:rPr>
            </w:pPr>
            <w:r w:rsidRPr="00BC0FBC">
              <w:rPr>
                <w:rFonts w:asciiTheme="minorHAnsi" w:hAnsiTheme="minorHAnsi" w:cs="Arial"/>
                <w:bCs/>
                <w:sz w:val="20"/>
                <w:szCs w:val="20"/>
              </w:rPr>
              <w:t>(</w:t>
            </w:r>
            <w:r w:rsidR="003877A8">
              <w:rPr>
                <w:rFonts w:asciiTheme="minorHAnsi" w:hAnsiTheme="minorHAnsi" w:cs="Arial"/>
                <w:bCs/>
                <w:sz w:val="20"/>
                <w:szCs w:val="20"/>
              </w:rPr>
              <w:t>13.8</w:t>
            </w:r>
            <w:r w:rsidRPr="00BC0FBC">
              <w:rPr>
                <w:rFonts w:asciiTheme="minorHAnsi" w:hAnsiTheme="minorHAnsi" w:cs="Arial"/>
                <w:bCs/>
                <w:sz w:val="20"/>
                <w:szCs w:val="20"/>
              </w:rPr>
              <w:t>)</w:t>
            </w:r>
          </w:p>
        </w:tc>
        <w:tc>
          <w:tcPr>
            <w:tcW w:w="592" w:type="pct"/>
            <w:tcBorders>
              <w:top w:val="single" w:sz="4" w:space="0" w:color="auto"/>
              <w:left w:val="nil"/>
              <w:bottom w:val="single" w:sz="4" w:space="0" w:color="auto"/>
              <w:right w:val="nil"/>
            </w:tcBorders>
            <w:vAlign w:val="bottom"/>
          </w:tcPr>
          <w:p w14:paraId="0AB990EE" w14:textId="41DFC978" w:rsidR="00DD596D" w:rsidRPr="00BC0FBC" w:rsidRDefault="00706314" w:rsidP="0059393E">
            <w:pPr>
              <w:jc w:val="right"/>
              <w:rPr>
                <w:rFonts w:asciiTheme="minorHAnsi" w:hAnsiTheme="minorHAnsi" w:cs="Arial"/>
                <w:bCs/>
                <w:sz w:val="20"/>
                <w:szCs w:val="20"/>
              </w:rPr>
            </w:pPr>
            <w:r w:rsidRPr="00BC0FBC">
              <w:rPr>
                <w:rFonts w:asciiTheme="minorHAnsi" w:hAnsiTheme="minorHAnsi" w:cs="Arial"/>
                <w:bCs/>
                <w:sz w:val="20"/>
                <w:szCs w:val="20"/>
              </w:rPr>
              <w:t>(</w:t>
            </w:r>
            <w:r w:rsidR="00602FF4">
              <w:rPr>
                <w:rFonts w:asciiTheme="minorHAnsi" w:hAnsiTheme="minorHAnsi" w:cs="Arial"/>
                <w:bCs/>
                <w:sz w:val="20"/>
                <w:szCs w:val="20"/>
              </w:rPr>
              <w:t>14.0</w:t>
            </w:r>
            <w:r w:rsidRPr="00BC0FBC">
              <w:rPr>
                <w:rFonts w:asciiTheme="minorHAnsi" w:hAnsiTheme="minorHAnsi" w:cs="Arial"/>
                <w:bCs/>
                <w:sz w:val="20"/>
                <w:szCs w:val="20"/>
              </w:rPr>
              <w:t>)</w:t>
            </w:r>
          </w:p>
        </w:tc>
      </w:tr>
    </w:tbl>
    <w:p w14:paraId="32F3FADA" w14:textId="5B4B2D59" w:rsidR="001928C1" w:rsidRDefault="001928C1" w:rsidP="6A7632AC">
      <w:pPr>
        <w:autoSpaceDE w:val="0"/>
        <w:autoSpaceDN w:val="0"/>
        <w:adjustRightInd w:val="0"/>
        <w:jc w:val="both"/>
        <w:rPr>
          <w:rStyle w:val="bodycopynumber"/>
          <w:rFonts w:asciiTheme="minorHAnsi" w:hAnsiTheme="minorHAnsi" w:cs="Arial"/>
          <w:b/>
          <w:bCs/>
          <w:color w:val="4747FF"/>
          <w:sz w:val="22"/>
          <w:szCs w:val="22"/>
        </w:rPr>
      </w:pPr>
    </w:p>
    <w:p w14:paraId="19B5354D" w14:textId="51AF0E37" w:rsidR="00B7017D" w:rsidRPr="00445F94" w:rsidRDefault="00445F94" w:rsidP="0062672E">
      <w:pPr>
        <w:autoSpaceDE w:val="0"/>
        <w:autoSpaceDN w:val="0"/>
        <w:adjustRightInd w:val="0"/>
        <w:jc w:val="both"/>
        <w:rPr>
          <w:rFonts w:asciiTheme="minorHAnsi" w:hAnsiTheme="minorHAnsi" w:cs="Poppins-Light"/>
          <w:b/>
          <w:bCs/>
          <w:sz w:val="20"/>
          <w:szCs w:val="20"/>
        </w:rPr>
      </w:pPr>
      <w:r w:rsidRPr="00445F94">
        <w:rPr>
          <w:rFonts w:asciiTheme="minorHAnsi" w:hAnsiTheme="minorHAnsi" w:cs="Poppins-Light"/>
          <w:b/>
          <w:bCs/>
          <w:sz w:val="20"/>
          <w:szCs w:val="20"/>
        </w:rPr>
        <w:t>Change in presentation of income statement</w:t>
      </w:r>
    </w:p>
    <w:p w14:paraId="1307E142" w14:textId="752AF545" w:rsidR="00EA6BEA" w:rsidRDefault="00976C50" w:rsidP="00EA6BEA">
      <w:pPr>
        <w:autoSpaceDE w:val="0"/>
        <w:autoSpaceDN w:val="0"/>
        <w:adjustRightInd w:val="0"/>
        <w:jc w:val="both"/>
        <w:rPr>
          <w:rFonts w:asciiTheme="minorHAnsi" w:hAnsiTheme="minorHAnsi" w:cs="Poppins-Light"/>
          <w:sz w:val="20"/>
          <w:szCs w:val="20"/>
        </w:rPr>
      </w:pPr>
      <w:r>
        <w:rPr>
          <w:rFonts w:asciiTheme="minorHAnsi" w:hAnsiTheme="minorHAnsi" w:cs="Poppins-Light"/>
          <w:sz w:val="20"/>
          <w:szCs w:val="20"/>
        </w:rPr>
        <w:t xml:space="preserve">As part of the work performed on </w:t>
      </w:r>
      <w:r w:rsidR="00F171CC">
        <w:rPr>
          <w:rFonts w:asciiTheme="minorHAnsi" w:hAnsiTheme="minorHAnsi" w:cs="Poppins-Light"/>
          <w:sz w:val="20"/>
          <w:szCs w:val="20"/>
        </w:rPr>
        <w:t>the stage 3 assets</w:t>
      </w:r>
      <w:r w:rsidR="00856064">
        <w:rPr>
          <w:rFonts w:asciiTheme="minorHAnsi" w:hAnsiTheme="minorHAnsi" w:cs="Poppins-Light"/>
          <w:sz w:val="20"/>
          <w:szCs w:val="20"/>
        </w:rPr>
        <w:t xml:space="preserve"> </w:t>
      </w:r>
      <w:r w:rsidR="00856064" w:rsidRPr="00856064">
        <w:rPr>
          <w:rFonts w:asciiTheme="minorHAnsi" w:hAnsiTheme="minorHAnsi" w:cs="Poppins-Light"/>
          <w:sz w:val="20"/>
          <w:szCs w:val="20"/>
        </w:rPr>
        <w:t>and review of our internal management reporting</w:t>
      </w:r>
      <w:r w:rsidR="00704C1B">
        <w:rPr>
          <w:rFonts w:asciiTheme="minorHAnsi" w:hAnsiTheme="minorHAnsi" w:cs="Poppins-Light"/>
          <w:sz w:val="20"/>
          <w:szCs w:val="20"/>
        </w:rPr>
        <w:t>,</w:t>
      </w:r>
      <w:r w:rsidR="00EA6BEA" w:rsidRPr="00B7017D">
        <w:rPr>
          <w:rFonts w:asciiTheme="minorHAnsi" w:hAnsiTheme="minorHAnsi" w:cs="Poppins-Light"/>
          <w:sz w:val="20"/>
          <w:szCs w:val="20"/>
        </w:rPr>
        <w:t xml:space="preserve"> it was identified that </w:t>
      </w:r>
      <w:r w:rsidR="00411DF1">
        <w:rPr>
          <w:rFonts w:asciiTheme="minorHAnsi" w:hAnsiTheme="minorHAnsi" w:cs="Poppins-Light"/>
          <w:sz w:val="20"/>
          <w:szCs w:val="20"/>
        </w:rPr>
        <w:t>the presentation of</w:t>
      </w:r>
      <w:r w:rsidR="00EA6BEA" w:rsidRPr="00B7017D">
        <w:rPr>
          <w:rFonts w:asciiTheme="minorHAnsi" w:hAnsiTheme="minorHAnsi" w:cs="Poppins-Light"/>
          <w:sz w:val="20"/>
          <w:szCs w:val="20"/>
        </w:rPr>
        <w:t xml:space="preserve"> vehicle finance gross customer interest earning balances were being incorrectly reduced by £51.6m. KPIs using this metric have therefore been retrospectively represented for all periods presented in this report. There was no impact to </w:t>
      </w:r>
      <w:r w:rsidR="00463DB0" w:rsidRPr="6A7632AC">
        <w:rPr>
          <w:rFonts w:asciiTheme="minorHAnsi" w:hAnsiTheme="minorHAnsi" w:cs="Poppins-Light"/>
          <w:sz w:val="20"/>
          <w:szCs w:val="20"/>
        </w:rPr>
        <w:t>net</w:t>
      </w:r>
      <w:r w:rsidR="00EA6BEA" w:rsidRPr="00B7017D">
        <w:rPr>
          <w:rFonts w:asciiTheme="minorHAnsi" w:hAnsiTheme="minorHAnsi" w:cs="Poppins-Light"/>
          <w:sz w:val="20"/>
          <w:szCs w:val="20"/>
        </w:rPr>
        <w:t xml:space="preserve"> receivables or on the reported balance sheet or income statement numbers as a result of this change. </w:t>
      </w:r>
    </w:p>
    <w:p w14:paraId="41952DB9" w14:textId="77777777" w:rsidR="00EA6BEA" w:rsidRDefault="00EA6BEA" w:rsidP="004A6695">
      <w:pPr>
        <w:autoSpaceDE w:val="0"/>
        <w:autoSpaceDN w:val="0"/>
        <w:adjustRightInd w:val="0"/>
        <w:jc w:val="both"/>
        <w:rPr>
          <w:rFonts w:asciiTheme="minorHAnsi" w:hAnsiTheme="minorHAnsi" w:cs="Poppins-Light"/>
          <w:sz w:val="20"/>
          <w:szCs w:val="20"/>
        </w:rPr>
      </w:pPr>
    </w:p>
    <w:p w14:paraId="060827E9" w14:textId="35A95D07" w:rsidR="00FD6F75" w:rsidRPr="00565803" w:rsidRDefault="00916874" w:rsidP="004A6695">
      <w:pPr>
        <w:autoSpaceDE w:val="0"/>
        <w:autoSpaceDN w:val="0"/>
        <w:adjustRightInd w:val="0"/>
        <w:jc w:val="both"/>
        <w:rPr>
          <w:rFonts w:asciiTheme="minorHAnsi" w:hAnsiTheme="minorHAnsi" w:cs="Poppins-Light"/>
          <w:sz w:val="20"/>
          <w:szCs w:val="20"/>
        </w:rPr>
      </w:pPr>
      <w:r>
        <w:rPr>
          <w:rFonts w:asciiTheme="minorHAnsi" w:hAnsiTheme="minorHAnsi" w:cs="Poppins-Light"/>
          <w:sz w:val="20"/>
          <w:szCs w:val="20"/>
        </w:rPr>
        <w:t xml:space="preserve">In the </w:t>
      </w:r>
      <w:r w:rsidR="004A6695" w:rsidRPr="004A6695">
        <w:rPr>
          <w:rFonts w:asciiTheme="minorHAnsi" w:hAnsiTheme="minorHAnsi" w:cs="Poppins-Light"/>
          <w:sz w:val="20"/>
          <w:szCs w:val="20"/>
        </w:rPr>
        <w:t>Annual Report and Accounts for 31 December 202</w:t>
      </w:r>
      <w:r w:rsidR="00403915">
        <w:rPr>
          <w:rFonts w:asciiTheme="minorHAnsi" w:hAnsiTheme="minorHAnsi" w:cs="Poppins-Light"/>
          <w:sz w:val="20"/>
          <w:szCs w:val="20"/>
        </w:rPr>
        <w:t>3</w:t>
      </w:r>
      <w:r w:rsidR="004A6695" w:rsidRPr="004A6695">
        <w:rPr>
          <w:rFonts w:asciiTheme="minorHAnsi" w:hAnsiTheme="minorHAnsi" w:cs="Poppins-Light"/>
          <w:sz w:val="20"/>
          <w:szCs w:val="20"/>
        </w:rPr>
        <w:t>, interest received from Vanquis Bank Limited’s liquid asset buffer and net fair value gains recognised in relation to the Group’s derivative financial instruments previously reported in other income</w:t>
      </w:r>
      <w:r w:rsidR="00225A2F">
        <w:rPr>
          <w:rFonts w:asciiTheme="minorHAnsi" w:hAnsiTheme="minorHAnsi" w:cs="Poppins-Light"/>
          <w:sz w:val="20"/>
          <w:szCs w:val="20"/>
        </w:rPr>
        <w:t xml:space="preserve"> were rep</w:t>
      </w:r>
      <w:r w:rsidR="00B75863">
        <w:rPr>
          <w:rFonts w:asciiTheme="minorHAnsi" w:hAnsiTheme="minorHAnsi" w:cs="Poppins-Light"/>
          <w:sz w:val="20"/>
          <w:szCs w:val="20"/>
        </w:rPr>
        <w:t>resented to be</w:t>
      </w:r>
      <w:r w:rsidR="004A6695" w:rsidRPr="004A6695">
        <w:rPr>
          <w:rFonts w:asciiTheme="minorHAnsi" w:hAnsiTheme="minorHAnsi" w:cs="Poppins-Light"/>
          <w:sz w:val="20"/>
          <w:szCs w:val="20"/>
        </w:rPr>
        <w:t xml:space="preserve"> recognised within interest income, and certain elements of vehicle finance income which were previously reported in interest income </w:t>
      </w:r>
      <w:r w:rsidR="00B75863">
        <w:rPr>
          <w:rFonts w:asciiTheme="minorHAnsi" w:hAnsiTheme="minorHAnsi" w:cs="Poppins-Light"/>
          <w:sz w:val="20"/>
          <w:szCs w:val="20"/>
        </w:rPr>
        <w:t>were</w:t>
      </w:r>
      <w:r w:rsidR="004A6695" w:rsidRPr="004A6695">
        <w:rPr>
          <w:rFonts w:asciiTheme="minorHAnsi" w:hAnsiTheme="minorHAnsi" w:cs="Poppins-Light"/>
          <w:sz w:val="20"/>
          <w:szCs w:val="20"/>
        </w:rPr>
        <w:t xml:space="preserve"> recognised in other income.</w:t>
      </w:r>
      <w:r w:rsidR="00B75863">
        <w:rPr>
          <w:rFonts w:asciiTheme="minorHAnsi" w:hAnsiTheme="minorHAnsi" w:cs="Poppins-Light"/>
          <w:sz w:val="20"/>
          <w:szCs w:val="20"/>
        </w:rPr>
        <w:t xml:space="preserve"> The</w:t>
      </w:r>
      <w:r w:rsidR="000733A7">
        <w:rPr>
          <w:rFonts w:asciiTheme="minorHAnsi" w:hAnsiTheme="minorHAnsi" w:cs="Poppins-Light"/>
          <w:sz w:val="20"/>
          <w:szCs w:val="20"/>
        </w:rPr>
        <w:t xml:space="preserve"> 1H23 numbers presented in this report have been represented to reflect these changes.</w:t>
      </w:r>
      <w:r w:rsidR="009B4DBF">
        <w:rPr>
          <w:rFonts w:asciiTheme="minorHAnsi" w:hAnsiTheme="minorHAnsi" w:cs="Poppins-Light"/>
          <w:sz w:val="20"/>
          <w:szCs w:val="20"/>
        </w:rPr>
        <w:t xml:space="preserve"> </w:t>
      </w:r>
      <w:r w:rsidR="00AD7107">
        <w:rPr>
          <w:rFonts w:asciiTheme="minorHAnsi" w:hAnsiTheme="minorHAnsi" w:cs="Poppins-Light"/>
          <w:sz w:val="20"/>
          <w:szCs w:val="20"/>
        </w:rPr>
        <w:t>After further review</w:t>
      </w:r>
      <w:r w:rsidR="00D542B9">
        <w:rPr>
          <w:rFonts w:asciiTheme="minorHAnsi" w:hAnsiTheme="minorHAnsi" w:cs="Poppins-Light"/>
          <w:sz w:val="20"/>
          <w:szCs w:val="20"/>
        </w:rPr>
        <w:t xml:space="preserve"> in 1H24</w:t>
      </w:r>
      <w:r w:rsidR="00AD7107">
        <w:rPr>
          <w:rFonts w:asciiTheme="minorHAnsi" w:hAnsiTheme="minorHAnsi" w:cs="Poppins-Light"/>
          <w:sz w:val="20"/>
          <w:szCs w:val="20"/>
        </w:rPr>
        <w:t xml:space="preserve">, the </w:t>
      </w:r>
      <w:r w:rsidR="003D5F88">
        <w:rPr>
          <w:rFonts w:asciiTheme="minorHAnsi" w:hAnsiTheme="minorHAnsi" w:cs="Poppins-Light"/>
          <w:sz w:val="20"/>
          <w:szCs w:val="20"/>
        </w:rPr>
        <w:t>vehicle finance</w:t>
      </w:r>
      <w:r w:rsidR="00985B78">
        <w:rPr>
          <w:rFonts w:asciiTheme="minorHAnsi" w:hAnsiTheme="minorHAnsi" w:cs="Poppins-Light"/>
          <w:sz w:val="20"/>
          <w:szCs w:val="20"/>
        </w:rPr>
        <w:t xml:space="preserve"> other income </w:t>
      </w:r>
      <w:r w:rsidR="00D542B9">
        <w:rPr>
          <w:rFonts w:asciiTheme="minorHAnsi" w:hAnsiTheme="minorHAnsi" w:cs="Poppins-Light"/>
          <w:sz w:val="20"/>
          <w:szCs w:val="20"/>
        </w:rPr>
        <w:t>is now presented within interest income</w:t>
      </w:r>
      <w:r w:rsidR="00917818">
        <w:rPr>
          <w:rFonts w:asciiTheme="minorHAnsi" w:hAnsiTheme="minorHAnsi" w:cs="Poppins-Light"/>
          <w:sz w:val="20"/>
          <w:szCs w:val="20"/>
        </w:rPr>
        <w:t>.</w:t>
      </w:r>
      <w:r w:rsidR="00AB6669" w:rsidRPr="00AB6669">
        <w:t xml:space="preserve"> </w:t>
      </w:r>
      <w:r w:rsidR="00AB6669" w:rsidRPr="00AB6669">
        <w:rPr>
          <w:rFonts w:asciiTheme="minorHAnsi" w:hAnsiTheme="minorHAnsi" w:cs="Poppins-Light"/>
          <w:sz w:val="20"/>
          <w:szCs w:val="20"/>
        </w:rPr>
        <w:t>This change does not constitute a change in accounting policy and there is no impact on recognition, measurement or profit and loss in any period presented in this report</w:t>
      </w:r>
      <w:r w:rsidR="003E3300">
        <w:rPr>
          <w:rFonts w:asciiTheme="minorHAnsi" w:hAnsiTheme="minorHAnsi" w:cs="Poppins-Light"/>
          <w:sz w:val="20"/>
          <w:szCs w:val="20"/>
        </w:rPr>
        <w:t>.</w:t>
      </w:r>
    </w:p>
    <w:p w14:paraId="29B99B40" w14:textId="77777777" w:rsidR="00011104" w:rsidRPr="00565803" w:rsidRDefault="00011104" w:rsidP="0062672E">
      <w:pPr>
        <w:autoSpaceDE w:val="0"/>
        <w:autoSpaceDN w:val="0"/>
        <w:adjustRightInd w:val="0"/>
        <w:jc w:val="both"/>
        <w:rPr>
          <w:rFonts w:asciiTheme="minorHAnsi" w:hAnsiTheme="minorHAnsi" w:cs="Poppins-Light"/>
          <w:sz w:val="20"/>
          <w:szCs w:val="20"/>
        </w:rPr>
      </w:pPr>
    </w:p>
    <w:p w14:paraId="7AC7BB19" w14:textId="77777777" w:rsidR="00011104" w:rsidRPr="0012605F" w:rsidRDefault="00011104" w:rsidP="00011104">
      <w:pPr>
        <w:autoSpaceDE w:val="0"/>
        <w:autoSpaceDN w:val="0"/>
        <w:adjustRightInd w:val="0"/>
        <w:jc w:val="both"/>
        <w:rPr>
          <w:rStyle w:val="bodycopynumber"/>
          <w:rFonts w:asciiTheme="minorHAnsi" w:hAnsiTheme="minorHAnsi" w:cs="Poppins-Light"/>
          <w:b/>
          <w:bCs/>
          <w:color w:val="000000"/>
          <w:sz w:val="20"/>
          <w:szCs w:val="20"/>
        </w:rPr>
      </w:pPr>
      <w:r w:rsidRPr="0012605F">
        <w:rPr>
          <w:rStyle w:val="bodycopynumber"/>
          <w:rFonts w:asciiTheme="minorHAnsi" w:hAnsiTheme="minorHAnsi" w:cs="Poppins-Light"/>
          <w:b/>
          <w:bCs/>
          <w:color w:val="000000"/>
          <w:sz w:val="20"/>
          <w:szCs w:val="20"/>
        </w:rPr>
        <w:t>Critical accounting judgements and key sources of estimation uncertainty</w:t>
      </w:r>
    </w:p>
    <w:p w14:paraId="04F537F6" w14:textId="77777777" w:rsidR="00011104" w:rsidRPr="00565803" w:rsidRDefault="00011104" w:rsidP="00011104">
      <w:pPr>
        <w:autoSpaceDE w:val="0"/>
        <w:autoSpaceDN w:val="0"/>
        <w:adjustRightInd w:val="0"/>
        <w:jc w:val="both"/>
        <w:rPr>
          <w:rStyle w:val="bodycopynumber"/>
          <w:rFonts w:asciiTheme="minorHAnsi" w:hAnsiTheme="minorHAnsi" w:cs="Poppins-Light"/>
          <w:color w:val="000000"/>
          <w:sz w:val="20"/>
          <w:szCs w:val="20"/>
        </w:rPr>
      </w:pPr>
    </w:p>
    <w:p w14:paraId="5B61B9BF" w14:textId="77777777" w:rsidR="00011104" w:rsidRPr="00565803" w:rsidRDefault="00011104" w:rsidP="00011104">
      <w:pPr>
        <w:autoSpaceDE w:val="0"/>
        <w:autoSpaceDN w:val="0"/>
        <w:adjustRightInd w:val="0"/>
        <w:jc w:val="both"/>
        <w:rPr>
          <w:rStyle w:val="bodycopynumber"/>
          <w:rFonts w:asciiTheme="minorHAnsi" w:hAnsiTheme="minorHAnsi" w:cs="Poppins-Light"/>
          <w:color w:val="000000"/>
          <w:sz w:val="20"/>
          <w:szCs w:val="20"/>
        </w:rPr>
      </w:pPr>
      <w:r w:rsidRPr="00565803">
        <w:rPr>
          <w:rStyle w:val="bodycopynumber"/>
          <w:rFonts w:asciiTheme="minorHAnsi" w:hAnsiTheme="minorHAnsi" w:cs="Poppins-Light"/>
          <w:color w:val="000000"/>
          <w:sz w:val="20"/>
          <w:szCs w:val="20"/>
        </w:rPr>
        <w:t xml:space="preserve">The significant accounting judgements exercised by management and key sources of estimation uncertainty in the </w:t>
      </w:r>
    </w:p>
    <w:p w14:paraId="0B676AF5" w14:textId="10B1B2D1" w:rsidR="00833D8A" w:rsidRPr="00565803" w:rsidRDefault="00011104" w:rsidP="00011104">
      <w:pPr>
        <w:autoSpaceDE w:val="0"/>
        <w:autoSpaceDN w:val="0"/>
        <w:adjustRightInd w:val="0"/>
        <w:jc w:val="both"/>
        <w:rPr>
          <w:rStyle w:val="bodycopynumber"/>
          <w:rFonts w:asciiTheme="minorHAnsi" w:hAnsiTheme="minorHAnsi" w:cs="Poppins-Light"/>
          <w:color w:val="000000"/>
          <w:sz w:val="20"/>
          <w:szCs w:val="20"/>
        </w:rPr>
      </w:pPr>
      <w:r w:rsidRPr="7DBA5192">
        <w:rPr>
          <w:rStyle w:val="bodycopynumber"/>
          <w:rFonts w:asciiTheme="minorHAnsi" w:hAnsiTheme="minorHAnsi" w:cs="Poppins-Light"/>
          <w:color w:val="000000" w:themeColor="text1"/>
          <w:sz w:val="20"/>
          <w:szCs w:val="20"/>
        </w:rPr>
        <w:t>interim financial statements are consistent with those adopted in the statutory financial statements for the year ended 31 December 202</w:t>
      </w:r>
      <w:r w:rsidR="00176C76" w:rsidRPr="7DBA5192">
        <w:rPr>
          <w:rStyle w:val="bodycopynumber"/>
          <w:rFonts w:asciiTheme="minorHAnsi" w:hAnsiTheme="minorHAnsi" w:cs="Poppins-Light"/>
          <w:color w:val="000000" w:themeColor="text1"/>
          <w:sz w:val="20"/>
          <w:szCs w:val="20"/>
        </w:rPr>
        <w:t>3</w:t>
      </w:r>
      <w:r w:rsidRPr="7DBA5192">
        <w:rPr>
          <w:rStyle w:val="bodycopynumber"/>
          <w:rFonts w:asciiTheme="minorHAnsi" w:hAnsiTheme="minorHAnsi" w:cs="Poppins-Light"/>
          <w:color w:val="000000" w:themeColor="text1"/>
          <w:sz w:val="20"/>
          <w:szCs w:val="20"/>
        </w:rPr>
        <w:t>.</w:t>
      </w:r>
    </w:p>
    <w:bookmarkEnd w:id="10"/>
    <w:bookmarkEnd w:id="11"/>
    <w:p w14:paraId="17F64114" w14:textId="77777777" w:rsidR="006F6C3C" w:rsidRDefault="006F6C3C" w:rsidP="003F2B7C">
      <w:pPr>
        <w:autoSpaceDE w:val="0"/>
        <w:autoSpaceDN w:val="0"/>
        <w:adjustRightInd w:val="0"/>
        <w:rPr>
          <w:rFonts w:asciiTheme="minorHAnsi" w:hAnsiTheme="minorHAnsi" w:cs="Arial"/>
          <w:bCs/>
          <w:sz w:val="20"/>
          <w:szCs w:val="20"/>
          <w:u w:val="single"/>
        </w:rPr>
      </w:pPr>
    </w:p>
    <w:p w14:paraId="1DF5F9E3" w14:textId="17F5016C" w:rsidR="001928EF" w:rsidRPr="005F64C8" w:rsidRDefault="00167C47" w:rsidP="3441915A">
      <w:pPr>
        <w:autoSpaceDE w:val="0"/>
        <w:autoSpaceDN w:val="0"/>
        <w:adjustRightInd w:val="0"/>
        <w:jc w:val="both"/>
        <w:rPr>
          <w:rFonts w:asciiTheme="minorHAnsi" w:hAnsiTheme="minorHAnsi" w:cs="Arial"/>
          <w:sz w:val="20"/>
          <w:szCs w:val="20"/>
          <w:u w:val="single"/>
        </w:rPr>
      </w:pPr>
      <w:r w:rsidRPr="005F64C8">
        <w:rPr>
          <w:rFonts w:asciiTheme="minorHAnsi" w:hAnsiTheme="minorHAnsi" w:cs="Arial"/>
          <w:sz w:val="20"/>
          <w:szCs w:val="20"/>
          <w:u w:val="single"/>
        </w:rPr>
        <w:t>Amounts receivable from customers</w:t>
      </w:r>
      <w:r w:rsidR="2546FB84" w:rsidRPr="3441915A">
        <w:rPr>
          <w:rFonts w:asciiTheme="minorHAnsi" w:hAnsiTheme="minorHAnsi" w:cs="Arial"/>
          <w:sz w:val="20"/>
          <w:szCs w:val="20"/>
          <w:u w:val="single"/>
        </w:rPr>
        <w:t xml:space="preserve"> (note 8)</w:t>
      </w:r>
    </w:p>
    <w:p w14:paraId="19E494D3" w14:textId="0388461A" w:rsidR="003F2B7C" w:rsidRPr="00565803" w:rsidRDefault="003F2B7C" w:rsidP="0012605F">
      <w:pPr>
        <w:autoSpaceDE w:val="0"/>
        <w:autoSpaceDN w:val="0"/>
        <w:adjustRightInd w:val="0"/>
        <w:jc w:val="both"/>
        <w:rPr>
          <w:rFonts w:asciiTheme="minorHAnsi" w:hAnsiTheme="minorHAnsi" w:cs="Arial"/>
          <w:bCs/>
          <w:sz w:val="20"/>
          <w:szCs w:val="20"/>
        </w:rPr>
      </w:pPr>
      <w:r w:rsidRPr="005F64C8">
        <w:rPr>
          <w:rFonts w:asciiTheme="minorHAnsi" w:hAnsiTheme="minorHAnsi" w:cs="Arial"/>
          <w:sz w:val="20"/>
          <w:szCs w:val="20"/>
        </w:rPr>
        <w:t>The Group reviews amounts receivable from customers for impairment at each balance sheet date. For the purposes of assessing the impairment, customers are categorised into IFRS 9 stages and cohorts which are considered to be the most reliable indication of future payment performance. The determination of expected credit losses involves complex modelling techniques and requires management to apply significant judgements to calculate expected credit losses. The most critical judgements are outlined below.</w:t>
      </w:r>
      <w:r w:rsidRPr="00565803">
        <w:rPr>
          <w:rFonts w:asciiTheme="minorHAnsi" w:hAnsiTheme="minorHAnsi" w:cs="Arial"/>
          <w:bCs/>
          <w:sz w:val="20"/>
          <w:szCs w:val="20"/>
        </w:rPr>
        <w:t xml:space="preserve"> </w:t>
      </w:r>
    </w:p>
    <w:p w14:paraId="41014A7F" w14:textId="77777777" w:rsidR="005E5007" w:rsidRPr="00565803" w:rsidRDefault="005E5007" w:rsidP="0012605F">
      <w:pPr>
        <w:autoSpaceDE w:val="0"/>
        <w:autoSpaceDN w:val="0"/>
        <w:adjustRightInd w:val="0"/>
        <w:jc w:val="both"/>
        <w:rPr>
          <w:rFonts w:asciiTheme="minorHAnsi" w:hAnsiTheme="minorHAnsi" w:cs="Arial"/>
          <w:bCs/>
          <w:sz w:val="20"/>
          <w:szCs w:val="20"/>
        </w:rPr>
      </w:pPr>
    </w:p>
    <w:p w14:paraId="60DF13D5" w14:textId="0D88F96E" w:rsidR="005E5007" w:rsidRPr="005F64C8" w:rsidRDefault="003F2B7C" w:rsidP="0012605F">
      <w:pPr>
        <w:autoSpaceDE w:val="0"/>
        <w:autoSpaceDN w:val="0"/>
        <w:adjustRightInd w:val="0"/>
        <w:jc w:val="both"/>
        <w:rPr>
          <w:rFonts w:asciiTheme="minorHAnsi" w:hAnsiTheme="minorHAnsi" w:cs="Arial"/>
          <w:sz w:val="20"/>
          <w:szCs w:val="20"/>
        </w:rPr>
      </w:pPr>
      <w:r w:rsidRPr="005F64C8">
        <w:rPr>
          <w:rFonts w:asciiTheme="minorHAnsi" w:hAnsiTheme="minorHAnsi" w:cs="Arial"/>
          <w:sz w:val="20"/>
          <w:szCs w:val="20"/>
        </w:rPr>
        <w:t>The determination of the significant increase in credit risk (SICR) thresholds to be used in the models for credit card, vehicle finance and personal loans require management judgement to optimise the performance and therefore effectiveness of the staging methodology. Assessments are made to determine whether there is objective evidence of a SICR which indicates whether there has been an adverse effect on Probability of Default (PD). A SICR for customers is</w:t>
      </w:r>
      <w:r w:rsidR="005E5007" w:rsidRPr="005F64C8">
        <w:rPr>
          <w:rFonts w:asciiTheme="minorHAnsi" w:hAnsiTheme="minorHAnsi" w:cs="Arial"/>
          <w:sz w:val="20"/>
          <w:szCs w:val="20"/>
        </w:rPr>
        <w:t xml:space="preserve"> when there has been a significant increase in behavioural score or when one contractual monthly payment has been missed.</w:t>
      </w:r>
    </w:p>
    <w:p w14:paraId="6E417AA0" w14:textId="77777777" w:rsidR="005E5007" w:rsidRPr="005F64C8" w:rsidRDefault="005E5007" w:rsidP="003A38FB">
      <w:pPr>
        <w:autoSpaceDE w:val="0"/>
        <w:autoSpaceDN w:val="0"/>
        <w:adjustRightInd w:val="0"/>
        <w:jc w:val="both"/>
        <w:rPr>
          <w:rFonts w:asciiTheme="minorHAnsi" w:hAnsiTheme="minorHAnsi" w:cs="Arial"/>
          <w:sz w:val="20"/>
          <w:szCs w:val="20"/>
        </w:rPr>
      </w:pPr>
    </w:p>
    <w:p w14:paraId="7D7A7A0F" w14:textId="02C1D9D3" w:rsidR="005E5007" w:rsidRPr="005F64C8" w:rsidRDefault="005E5007" w:rsidP="0012605F">
      <w:pPr>
        <w:autoSpaceDE w:val="0"/>
        <w:autoSpaceDN w:val="0"/>
        <w:adjustRightInd w:val="0"/>
        <w:jc w:val="both"/>
        <w:rPr>
          <w:rFonts w:asciiTheme="minorHAnsi" w:hAnsiTheme="minorHAnsi" w:cs="Arial"/>
          <w:sz w:val="20"/>
          <w:szCs w:val="20"/>
        </w:rPr>
      </w:pPr>
      <w:r w:rsidRPr="005F64C8">
        <w:rPr>
          <w:rFonts w:asciiTheme="minorHAnsi" w:hAnsiTheme="minorHAnsi" w:cs="Arial"/>
          <w:sz w:val="20"/>
          <w:szCs w:val="20"/>
        </w:rPr>
        <w:t xml:space="preserve">For the purpose of IFRS 9, default is assumed when three contractual repayments have been missed. </w:t>
      </w:r>
    </w:p>
    <w:p w14:paraId="278BEC5B" w14:textId="20F57E4B" w:rsidR="005E5007" w:rsidRPr="005F64C8" w:rsidRDefault="005E5007" w:rsidP="3441915A">
      <w:pPr>
        <w:autoSpaceDE w:val="0"/>
        <w:autoSpaceDN w:val="0"/>
        <w:adjustRightInd w:val="0"/>
        <w:jc w:val="both"/>
        <w:rPr>
          <w:rFonts w:asciiTheme="minorHAnsi" w:hAnsiTheme="minorHAnsi" w:cs="Arial"/>
          <w:sz w:val="20"/>
          <w:szCs w:val="20"/>
        </w:rPr>
      </w:pPr>
    </w:p>
    <w:p w14:paraId="4A4C4CBB" w14:textId="3C39E516" w:rsidR="001558B7" w:rsidRDefault="005E5007" w:rsidP="6A7632AC">
      <w:pPr>
        <w:autoSpaceDE w:val="0"/>
        <w:autoSpaceDN w:val="0"/>
        <w:adjustRightInd w:val="0"/>
        <w:jc w:val="both"/>
        <w:rPr>
          <w:rFonts w:asciiTheme="minorHAnsi" w:hAnsiTheme="minorHAnsi" w:cs="Arial"/>
          <w:sz w:val="20"/>
          <w:szCs w:val="20"/>
        </w:rPr>
      </w:pPr>
      <w:r w:rsidRPr="005F64C8">
        <w:rPr>
          <w:rFonts w:asciiTheme="minorHAnsi" w:hAnsiTheme="minorHAnsi" w:cs="Arial"/>
          <w:sz w:val="20"/>
          <w:szCs w:val="20"/>
        </w:rPr>
        <w:t xml:space="preserve">The Group’s impairment models are subject to periodic monitoring, independent validation and back testing performed on model components (where appropriate), including probability of default, exposure at default and loss given default to ensure management judgements remain appropriate. Limitations in the Group’s impairment models or data inputs may be identified through the ongoing assessment and validation of the output of the models. In these circumstances, management makes appropriate adjustments to the Group’s allowance for impairment losses to ensure that the overall provision adequately reflects all material credit risks. These adjustments are determined by considering the particular attributes of exposures which have not been adequately captured by the impairment models and range from changes to model inputs and parameters, at account level, through to more qualitative post-model </w:t>
      </w:r>
      <w:r w:rsidR="0066133D" w:rsidRPr="005F64C8">
        <w:rPr>
          <w:rFonts w:asciiTheme="minorHAnsi" w:hAnsiTheme="minorHAnsi" w:cs="Arial"/>
          <w:sz w:val="20"/>
          <w:szCs w:val="20"/>
        </w:rPr>
        <w:t>adjustments</w:t>
      </w:r>
      <w:r w:rsidR="002944D6" w:rsidRPr="005F64C8">
        <w:rPr>
          <w:rFonts w:asciiTheme="minorHAnsi" w:hAnsiTheme="minorHAnsi" w:cs="Arial"/>
          <w:sz w:val="20"/>
          <w:szCs w:val="20"/>
        </w:rPr>
        <w:t xml:space="preserve"> that have a higher </w:t>
      </w:r>
    </w:p>
    <w:p w14:paraId="52E4C7EF" w14:textId="477CDDA1" w:rsidR="0066133D" w:rsidRPr="005F64C8" w:rsidRDefault="002944D6" w:rsidP="0012605F">
      <w:pPr>
        <w:autoSpaceDE w:val="0"/>
        <w:autoSpaceDN w:val="0"/>
        <w:adjustRightInd w:val="0"/>
        <w:jc w:val="both"/>
        <w:rPr>
          <w:rFonts w:asciiTheme="minorHAnsi" w:hAnsiTheme="minorHAnsi" w:cs="Arial"/>
          <w:sz w:val="20"/>
          <w:szCs w:val="20"/>
        </w:rPr>
      </w:pPr>
      <w:r w:rsidRPr="005F64C8">
        <w:rPr>
          <w:rFonts w:asciiTheme="minorHAnsi" w:hAnsiTheme="minorHAnsi" w:cs="Arial"/>
          <w:sz w:val="20"/>
          <w:szCs w:val="20"/>
        </w:rPr>
        <w:t>degree of management judgement</w:t>
      </w:r>
      <w:r w:rsidR="005E5007" w:rsidRPr="005F64C8">
        <w:rPr>
          <w:rFonts w:asciiTheme="minorHAnsi" w:hAnsiTheme="minorHAnsi" w:cs="Arial"/>
          <w:sz w:val="20"/>
          <w:szCs w:val="20"/>
        </w:rPr>
        <w:t>. All adjustments are reviewed quarterly and are subject to internal review and challenge to ensure that amounts are appropriately calculated.</w:t>
      </w:r>
    </w:p>
    <w:p w14:paraId="695A3118" w14:textId="2E6D835D" w:rsidR="003F2B7C" w:rsidRPr="00C4743E" w:rsidRDefault="003F2B7C" w:rsidP="0012605F">
      <w:pPr>
        <w:autoSpaceDE w:val="0"/>
        <w:autoSpaceDN w:val="0"/>
        <w:adjustRightInd w:val="0"/>
        <w:jc w:val="both"/>
        <w:rPr>
          <w:rFonts w:asciiTheme="minorHAnsi" w:hAnsiTheme="minorHAnsi" w:cs="Arial"/>
          <w:bCs/>
          <w:sz w:val="20"/>
          <w:szCs w:val="20"/>
          <w:highlight w:val="yellow"/>
        </w:rPr>
      </w:pPr>
    </w:p>
    <w:p w14:paraId="7938D063" w14:textId="3026BC99" w:rsidR="00E47E33" w:rsidRPr="005F64C8" w:rsidRDefault="00E47E33" w:rsidP="003A38FB">
      <w:pPr>
        <w:autoSpaceDE w:val="0"/>
        <w:autoSpaceDN w:val="0"/>
        <w:adjustRightInd w:val="0"/>
        <w:jc w:val="both"/>
        <w:rPr>
          <w:rFonts w:asciiTheme="minorHAnsi" w:hAnsiTheme="minorHAnsi" w:cs="Arial"/>
          <w:sz w:val="20"/>
          <w:szCs w:val="20"/>
        </w:rPr>
      </w:pPr>
      <w:r w:rsidRPr="005F64C8">
        <w:rPr>
          <w:rFonts w:asciiTheme="minorHAnsi" w:hAnsiTheme="minorHAnsi" w:cs="Arial"/>
          <w:sz w:val="20"/>
          <w:szCs w:val="20"/>
        </w:rPr>
        <w:t>A breakdown of the post-model adjustments is included within note 8.</w:t>
      </w:r>
    </w:p>
    <w:p w14:paraId="10B046DF" w14:textId="77777777" w:rsidR="0047570D" w:rsidRPr="005F64C8" w:rsidRDefault="0047570D" w:rsidP="003A38FB">
      <w:pPr>
        <w:autoSpaceDE w:val="0"/>
        <w:autoSpaceDN w:val="0"/>
        <w:adjustRightInd w:val="0"/>
        <w:jc w:val="both"/>
        <w:rPr>
          <w:rFonts w:asciiTheme="minorHAnsi" w:hAnsiTheme="minorHAnsi" w:cs="Arial"/>
          <w:sz w:val="20"/>
          <w:szCs w:val="20"/>
        </w:rPr>
      </w:pPr>
    </w:p>
    <w:p w14:paraId="6766DC7E" w14:textId="506636AA" w:rsidR="0047570D" w:rsidRPr="005F64C8" w:rsidRDefault="0047570D" w:rsidP="0012605F">
      <w:pPr>
        <w:autoSpaceDE w:val="0"/>
        <w:autoSpaceDN w:val="0"/>
        <w:adjustRightInd w:val="0"/>
        <w:jc w:val="both"/>
        <w:rPr>
          <w:rFonts w:asciiTheme="minorHAnsi" w:hAnsiTheme="minorHAnsi" w:cs="Arial"/>
          <w:sz w:val="20"/>
          <w:szCs w:val="20"/>
        </w:rPr>
      </w:pPr>
      <w:r w:rsidRPr="005F64C8">
        <w:rPr>
          <w:rFonts w:asciiTheme="minorHAnsi" w:hAnsiTheme="minorHAnsi" w:cs="Arial"/>
          <w:sz w:val="20"/>
          <w:szCs w:val="20"/>
        </w:rPr>
        <w:t>Macroeconomic impairment provision adjustments are recognised in the core model to reflect an increased PD based on future macroeconomic scenarios. These provisions reflect the potential for future changes in hazard rate, the number of people who were employed last month but who are unemployed the following month (derived from unemployment), and debt to income ratio. The provision reflects the potential for future changes under a range of forecasts, as analysis has clearly evidenced correlation between hazard rates, debt to income ratios and credit losses incurred.</w:t>
      </w:r>
    </w:p>
    <w:p w14:paraId="093C1DE4" w14:textId="77777777" w:rsidR="006C6804" w:rsidRDefault="006C6804" w:rsidP="0012605F">
      <w:pPr>
        <w:autoSpaceDE w:val="0"/>
        <w:autoSpaceDN w:val="0"/>
        <w:adjustRightInd w:val="0"/>
        <w:jc w:val="both"/>
        <w:rPr>
          <w:rFonts w:asciiTheme="minorHAnsi" w:hAnsiTheme="minorHAnsi" w:cs="Arial"/>
          <w:sz w:val="20"/>
          <w:szCs w:val="20"/>
        </w:rPr>
      </w:pPr>
    </w:p>
    <w:p w14:paraId="62B627F1" w14:textId="6CFC61E4" w:rsidR="00CC4EE5" w:rsidRPr="005F64C8" w:rsidRDefault="00CC4EE5" w:rsidP="6A7632AC">
      <w:pPr>
        <w:autoSpaceDE w:val="0"/>
        <w:autoSpaceDN w:val="0"/>
        <w:adjustRightInd w:val="0"/>
        <w:jc w:val="both"/>
        <w:rPr>
          <w:rFonts w:asciiTheme="minorHAnsi" w:hAnsiTheme="minorHAnsi" w:cs="Arial"/>
          <w:sz w:val="20"/>
          <w:szCs w:val="20"/>
        </w:rPr>
      </w:pPr>
      <w:r w:rsidRPr="00CC4EE5">
        <w:rPr>
          <w:rFonts w:asciiTheme="minorHAnsi" w:hAnsiTheme="minorHAnsi" w:cs="Arial"/>
          <w:sz w:val="20"/>
          <w:szCs w:val="20"/>
        </w:rPr>
        <w:t>Management judgement was required to determine the appropriate macroeconomic indicators to be used in the model by assessing their correlation with credit losses incurred by the business. Unemployment is judged to be a key macroeconomic indicator as analysis has clearly evidenced a correlation between changes in unemployment and credit losses incurred by the business.</w:t>
      </w:r>
    </w:p>
    <w:p w14:paraId="3ACB64C7" w14:textId="3554EC21" w:rsidR="0040155F" w:rsidRDefault="0040155F" w:rsidP="003A38FB">
      <w:pPr>
        <w:autoSpaceDE w:val="0"/>
        <w:autoSpaceDN w:val="0"/>
        <w:adjustRightInd w:val="0"/>
        <w:jc w:val="both"/>
        <w:rPr>
          <w:rFonts w:asciiTheme="minorHAnsi" w:hAnsiTheme="minorHAnsi" w:cs="Arial"/>
          <w:bCs/>
          <w:sz w:val="20"/>
          <w:szCs w:val="20"/>
        </w:rPr>
      </w:pPr>
    </w:p>
    <w:p w14:paraId="4CCDD62B" w14:textId="2A2F6D75" w:rsidR="005B1660" w:rsidRPr="00426620" w:rsidRDefault="005B1660" w:rsidP="003A38FB">
      <w:pPr>
        <w:autoSpaceDE w:val="0"/>
        <w:autoSpaceDN w:val="0"/>
        <w:adjustRightInd w:val="0"/>
        <w:jc w:val="both"/>
        <w:rPr>
          <w:rFonts w:asciiTheme="minorHAnsi" w:hAnsiTheme="minorHAnsi" w:cs="Arial"/>
          <w:b/>
          <w:sz w:val="20"/>
          <w:szCs w:val="20"/>
        </w:rPr>
      </w:pPr>
      <w:r w:rsidRPr="00426620">
        <w:rPr>
          <w:rFonts w:asciiTheme="minorHAnsi" w:hAnsiTheme="minorHAnsi" w:cs="Arial"/>
          <w:b/>
          <w:sz w:val="20"/>
          <w:szCs w:val="20"/>
        </w:rPr>
        <w:t xml:space="preserve">Key sources of estimation uncertainty </w:t>
      </w:r>
    </w:p>
    <w:p w14:paraId="7AE3C2AA" w14:textId="323CBCA8" w:rsidR="005B1660" w:rsidRPr="00565803" w:rsidRDefault="005B1660" w:rsidP="0012605F">
      <w:pPr>
        <w:autoSpaceDE w:val="0"/>
        <w:autoSpaceDN w:val="0"/>
        <w:adjustRightInd w:val="0"/>
        <w:jc w:val="both"/>
        <w:rPr>
          <w:rFonts w:asciiTheme="minorHAnsi" w:hAnsiTheme="minorHAnsi" w:cs="Arial"/>
          <w:bCs/>
          <w:sz w:val="20"/>
          <w:szCs w:val="20"/>
        </w:rPr>
      </w:pPr>
      <w:r w:rsidRPr="00426620">
        <w:rPr>
          <w:rFonts w:asciiTheme="minorHAnsi" w:hAnsiTheme="minorHAnsi" w:cs="Arial"/>
          <w:sz w:val="20"/>
          <w:szCs w:val="20"/>
        </w:rPr>
        <w:t>The level of impairment recognised is calculated using models which utilise historical payment performance to generate the estimated amount and timing of future cash flows from each cohort of customers in each arrears stage. The models</w:t>
      </w:r>
      <w:r w:rsidR="00857F7E" w:rsidRPr="00426620">
        <w:rPr>
          <w:rFonts w:asciiTheme="minorHAnsi" w:hAnsiTheme="minorHAnsi" w:cs="Arial"/>
          <w:sz w:val="20"/>
          <w:szCs w:val="20"/>
        </w:rPr>
        <w:t xml:space="preserve"> </w:t>
      </w:r>
      <w:r w:rsidRPr="00426620">
        <w:rPr>
          <w:rFonts w:asciiTheme="minorHAnsi" w:hAnsiTheme="minorHAnsi" w:cs="Arial"/>
          <w:sz w:val="20"/>
          <w:szCs w:val="20"/>
        </w:rPr>
        <w:t xml:space="preserve">are regularly tested to ensure they retain sufficient accuracy. Sensitivity analysis has been performed in note </w:t>
      </w:r>
      <w:r w:rsidR="00EF273C" w:rsidRPr="00426620">
        <w:rPr>
          <w:rFonts w:asciiTheme="minorHAnsi" w:hAnsiTheme="minorHAnsi" w:cs="Arial"/>
          <w:sz w:val="20"/>
          <w:szCs w:val="20"/>
        </w:rPr>
        <w:t>8</w:t>
      </w:r>
      <w:r w:rsidRPr="00426620">
        <w:rPr>
          <w:rFonts w:asciiTheme="minorHAnsi" w:hAnsiTheme="minorHAnsi" w:cs="Arial"/>
          <w:sz w:val="20"/>
          <w:szCs w:val="20"/>
        </w:rPr>
        <w:t xml:space="preserve"> which shows the impact of a 1% movement of gross exposure into stage 2 from stage 1 on the allowance accounts.</w:t>
      </w:r>
    </w:p>
    <w:p w14:paraId="32DD10DA" w14:textId="7ECFB535" w:rsidR="009A6F6A" w:rsidRPr="00565803" w:rsidRDefault="009A6F6A" w:rsidP="0012605F">
      <w:pPr>
        <w:autoSpaceDE w:val="0"/>
        <w:autoSpaceDN w:val="0"/>
        <w:adjustRightInd w:val="0"/>
        <w:jc w:val="both"/>
        <w:rPr>
          <w:rFonts w:asciiTheme="minorHAnsi" w:hAnsiTheme="minorHAnsi" w:cs="Arial"/>
          <w:bCs/>
          <w:sz w:val="20"/>
          <w:szCs w:val="20"/>
        </w:rPr>
      </w:pPr>
    </w:p>
    <w:p w14:paraId="42F5259C" w14:textId="22BEA86A" w:rsidR="003A38FB" w:rsidRDefault="003A38FB" w:rsidP="003A38FB">
      <w:pPr>
        <w:autoSpaceDE w:val="0"/>
        <w:autoSpaceDN w:val="0"/>
        <w:adjustRightInd w:val="0"/>
        <w:jc w:val="both"/>
        <w:rPr>
          <w:rFonts w:asciiTheme="minorHAnsi" w:hAnsiTheme="minorHAnsi" w:cs="Arial"/>
          <w:sz w:val="20"/>
          <w:szCs w:val="20"/>
        </w:rPr>
      </w:pPr>
      <w:r>
        <w:rPr>
          <w:rFonts w:asciiTheme="minorHAnsi" w:hAnsiTheme="minorHAnsi" w:cs="Arial"/>
          <w:bCs/>
          <w:sz w:val="20"/>
          <w:szCs w:val="20"/>
        </w:rPr>
        <w:t xml:space="preserve">During 1H24 a review was undertaken of the vehicle finance stage 3 assets as indicated during the strategy seminar held on 27 March 2024. Vehicle Finance has been exhibiting an ever growing stage 3 gross receivable balance with a corresponding large and increasing ECL provision being held. As part of the review, receivables eligible for a potential debt sale were fully charged off resulting in a post charge off asset </w:t>
      </w:r>
      <w:r w:rsidR="008136FA">
        <w:rPr>
          <w:rFonts w:asciiTheme="minorHAnsi" w:hAnsiTheme="minorHAnsi" w:cs="Arial"/>
          <w:bCs/>
          <w:sz w:val="20"/>
          <w:szCs w:val="20"/>
        </w:rPr>
        <w:t xml:space="preserve">(PCOA) </w:t>
      </w:r>
      <w:r>
        <w:rPr>
          <w:rFonts w:asciiTheme="minorHAnsi" w:hAnsiTheme="minorHAnsi" w:cs="Arial"/>
          <w:bCs/>
          <w:sz w:val="20"/>
          <w:szCs w:val="20"/>
        </w:rPr>
        <w:t xml:space="preserve">of £17.8m being recognised. The receivables </w:t>
      </w:r>
      <w:r w:rsidR="009E3772">
        <w:rPr>
          <w:rFonts w:asciiTheme="minorHAnsi" w:hAnsiTheme="minorHAnsi" w:cs="Arial"/>
          <w:bCs/>
          <w:sz w:val="20"/>
          <w:szCs w:val="20"/>
        </w:rPr>
        <w:t>within this PCOA</w:t>
      </w:r>
      <w:r>
        <w:rPr>
          <w:rFonts w:asciiTheme="minorHAnsi" w:hAnsiTheme="minorHAnsi" w:cs="Arial"/>
          <w:bCs/>
          <w:sz w:val="20"/>
          <w:szCs w:val="20"/>
        </w:rPr>
        <w:t xml:space="preserve"> have been split into several cohorts and an expected sale price determined for each cohort. Sensitivity analysis performed on the valuation indicates a 10% change in price would adjust the valuation by c.£1.6</w:t>
      </w:r>
      <w:r w:rsidRPr="00BF06C8">
        <w:rPr>
          <w:rFonts w:asciiTheme="minorHAnsi" w:hAnsiTheme="minorHAnsi" w:cs="Arial"/>
          <w:bCs/>
          <w:sz w:val="20"/>
          <w:szCs w:val="20"/>
        </w:rPr>
        <w:t>m.</w:t>
      </w:r>
    </w:p>
    <w:p w14:paraId="6B2CB6BD" w14:textId="77777777" w:rsidR="002155CF" w:rsidRDefault="002155CF" w:rsidP="003A38FB">
      <w:pPr>
        <w:autoSpaceDE w:val="0"/>
        <w:autoSpaceDN w:val="0"/>
        <w:adjustRightInd w:val="0"/>
        <w:jc w:val="both"/>
        <w:rPr>
          <w:rFonts w:asciiTheme="minorHAnsi" w:hAnsiTheme="minorHAnsi" w:cs="Arial"/>
          <w:bCs/>
          <w:sz w:val="20"/>
          <w:szCs w:val="20"/>
        </w:rPr>
      </w:pPr>
    </w:p>
    <w:p w14:paraId="0E1D7CBA" w14:textId="3C4FE60C" w:rsidR="002155CF" w:rsidRDefault="00ED7E4C" w:rsidP="003A38FB">
      <w:pPr>
        <w:autoSpaceDE w:val="0"/>
        <w:autoSpaceDN w:val="0"/>
        <w:adjustRightInd w:val="0"/>
        <w:jc w:val="both"/>
        <w:rPr>
          <w:rFonts w:asciiTheme="minorHAnsi" w:hAnsiTheme="minorHAnsi" w:cs="Arial"/>
          <w:bCs/>
          <w:sz w:val="20"/>
          <w:szCs w:val="20"/>
        </w:rPr>
      </w:pPr>
      <w:r>
        <w:rPr>
          <w:rFonts w:asciiTheme="minorHAnsi" w:hAnsiTheme="minorHAnsi" w:cs="Arial"/>
          <w:bCs/>
          <w:sz w:val="20"/>
          <w:szCs w:val="20"/>
        </w:rPr>
        <w:t xml:space="preserve">The charge </w:t>
      </w:r>
      <w:r w:rsidR="00C030BA">
        <w:rPr>
          <w:rFonts w:asciiTheme="minorHAnsi" w:hAnsiTheme="minorHAnsi" w:cs="Arial"/>
          <w:bCs/>
          <w:sz w:val="20"/>
          <w:szCs w:val="20"/>
        </w:rPr>
        <w:t>off process led to</w:t>
      </w:r>
      <w:r>
        <w:rPr>
          <w:rFonts w:asciiTheme="minorHAnsi" w:hAnsiTheme="minorHAnsi" w:cs="Arial"/>
          <w:bCs/>
          <w:sz w:val="20"/>
          <w:szCs w:val="20"/>
        </w:rPr>
        <w:t xml:space="preserve"> </w:t>
      </w:r>
      <w:r w:rsidR="002155CF">
        <w:rPr>
          <w:rFonts w:asciiTheme="minorHAnsi" w:hAnsiTheme="minorHAnsi" w:cs="Arial"/>
          <w:bCs/>
          <w:sz w:val="20"/>
          <w:szCs w:val="20"/>
        </w:rPr>
        <w:t xml:space="preserve">a </w:t>
      </w:r>
      <w:r w:rsidR="00534921">
        <w:rPr>
          <w:rFonts w:asciiTheme="minorHAnsi" w:hAnsiTheme="minorHAnsi" w:cs="Arial"/>
          <w:bCs/>
          <w:sz w:val="20"/>
          <w:szCs w:val="20"/>
        </w:rPr>
        <w:t>reduction in gross receivables</w:t>
      </w:r>
      <w:r w:rsidR="002155CF">
        <w:rPr>
          <w:rFonts w:asciiTheme="minorHAnsi" w:hAnsiTheme="minorHAnsi" w:cs="Arial"/>
          <w:bCs/>
          <w:sz w:val="20"/>
          <w:szCs w:val="20"/>
        </w:rPr>
        <w:t xml:space="preserve"> of </w:t>
      </w:r>
      <w:r w:rsidR="00534921">
        <w:rPr>
          <w:rFonts w:asciiTheme="minorHAnsi" w:hAnsiTheme="minorHAnsi" w:cs="Arial"/>
          <w:bCs/>
          <w:sz w:val="20"/>
          <w:szCs w:val="20"/>
        </w:rPr>
        <w:t>c</w:t>
      </w:r>
      <w:r w:rsidR="008509C6">
        <w:rPr>
          <w:rFonts w:asciiTheme="minorHAnsi" w:hAnsiTheme="minorHAnsi" w:cs="Arial"/>
          <w:bCs/>
          <w:sz w:val="20"/>
          <w:szCs w:val="20"/>
        </w:rPr>
        <w:t>.</w:t>
      </w:r>
      <w:r w:rsidR="00534921" w:rsidRPr="00F00D24">
        <w:rPr>
          <w:rFonts w:asciiTheme="minorHAnsi" w:hAnsiTheme="minorHAnsi" w:cs="Arial"/>
          <w:sz w:val="20"/>
          <w:szCs w:val="20"/>
        </w:rPr>
        <w:t>£26</w:t>
      </w:r>
      <w:r w:rsidR="005B505F">
        <w:rPr>
          <w:rFonts w:asciiTheme="minorHAnsi" w:hAnsiTheme="minorHAnsi" w:cs="Arial"/>
          <w:sz w:val="20"/>
          <w:szCs w:val="20"/>
        </w:rPr>
        <w:t>1</w:t>
      </w:r>
      <w:r w:rsidR="00534921" w:rsidRPr="00F00D24">
        <w:rPr>
          <w:rFonts w:asciiTheme="minorHAnsi" w:hAnsiTheme="minorHAnsi" w:cs="Arial"/>
          <w:sz w:val="20"/>
          <w:szCs w:val="20"/>
        </w:rPr>
        <w:t>m</w:t>
      </w:r>
      <w:r w:rsidR="00534921">
        <w:rPr>
          <w:rFonts w:asciiTheme="minorHAnsi" w:hAnsiTheme="minorHAnsi" w:cs="Arial"/>
          <w:bCs/>
          <w:sz w:val="20"/>
          <w:szCs w:val="20"/>
        </w:rPr>
        <w:t xml:space="preserve"> and a release</w:t>
      </w:r>
      <w:r w:rsidR="005F632B">
        <w:rPr>
          <w:rFonts w:asciiTheme="minorHAnsi" w:hAnsiTheme="minorHAnsi" w:cs="Arial"/>
          <w:bCs/>
          <w:sz w:val="20"/>
          <w:szCs w:val="20"/>
        </w:rPr>
        <w:t xml:space="preserve"> of </w:t>
      </w:r>
      <w:r w:rsidR="00534921">
        <w:rPr>
          <w:rFonts w:asciiTheme="minorHAnsi" w:hAnsiTheme="minorHAnsi" w:cs="Arial"/>
          <w:bCs/>
          <w:sz w:val="20"/>
          <w:szCs w:val="20"/>
        </w:rPr>
        <w:t xml:space="preserve">impairment provision </w:t>
      </w:r>
      <w:r w:rsidR="00534921" w:rsidRPr="00F00D24">
        <w:rPr>
          <w:rFonts w:asciiTheme="minorHAnsi" w:hAnsiTheme="minorHAnsi" w:cs="Arial"/>
          <w:sz w:val="20"/>
          <w:szCs w:val="20"/>
        </w:rPr>
        <w:t>of £237m</w:t>
      </w:r>
      <w:r w:rsidR="00534921">
        <w:rPr>
          <w:rFonts w:asciiTheme="minorHAnsi" w:hAnsiTheme="minorHAnsi" w:cs="Arial"/>
          <w:bCs/>
          <w:sz w:val="20"/>
          <w:szCs w:val="20"/>
        </w:rPr>
        <w:t xml:space="preserve">. </w:t>
      </w:r>
      <w:r w:rsidR="00EF6A58">
        <w:rPr>
          <w:rFonts w:asciiTheme="minorHAnsi" w:hAnsiTheme="minorHAnsi" w:cs="Arial"/>
          <w:bCs/>
          <w:sz w:val="20"/>
          <w:szCs w:val="20"/>
        </w:rPr>
        <w:t xml:space="preserve">In </w:t>
      </w:r>
      <w:r w:rsidR="00664B92">
        <w:rPr>
          <w:rFonts w:asciiTheme="minorHAnsi" w:hAnsiTheme="minorHAnsi" w:cs="Arial"/>
          <w:bCs/>
          <w:sz w:val="20"/>
          <w:szCs w:val="20"/>
        </w:rPr>
        <w:t xml:space="preserve">addition, </w:t>
      </w:r>
      <w:r w:rsidR="00A1550A">
        <w:rPr>
          <w:rFonts w:asciiTheme="minorHAnsi" w:hAnsiTheme="minorHAnsi" w:cs="Arial"/>
          <w:bCs/>
          <w:sz w:val="20"/>
          <w:szCs w:val="20"/>
        </w:rPr>
        <w:t xml:space="preserve">revised definition of default criteria </w:t>
      </w:r>
      <w:r w:rsidR="003969A4">
        <w:rPr>
          <w:rFonts w:asciiTheme="minorHAnsi" w:hAnsiTheme="minorHAnsi" w:cs="Arial"/>
          <w:bCs/>
          <w:sz w:val="20"/>
          <w:szCs w:val="20"/>
        </w:rPr>
        <w:t xml:space="preserve">implemented as part of the </w:t>
      </w:r>
      <w:r w:rsidR="00372B22">
        <w:rPr>
          <w:rFonts w:asciiTheme="minorHAnsi" w:hAnsiTheme="minorHAnsi" w:cs="Arial"/>
          <w:bCs/>
          <w:sz w:val="20"/>
          <w:szCs w:val="20"/>
        </w:rPr>
        <w:t xml:space="preserve">IFRS9 model </w:t>
      </w:r>
      <w:r w:rsidR="00671972">
        <w:rPr>
          <w:rFonts w:asciiTheme="minorHAnsi" w:hAnsiTheme="minorHAnsi" w:cs="Arial"/>
          <w:bCs/>
          <w:sz w:val="20"/>
          <w:szCs w:val="20"/>
        </w:rPr>
        <w:t xml:space="preserve">recalibration undertaken </w:t>
      </w:r>
      <w:r w:rsidR="0077434E">
        <w:rPr>
          <w:rFonts w:asciiTheme="minorHAnsi" w:hAnsiTheme="minorHAnsi" w:cs="Arial"/>
          <w:bCs/>
          <w:sz w:val="20"/>
          <w:szCs w:val="20"/>
        </w:rPr>
        <w:t>during 2023, resulted in</w:t>
      </w:r>
      <w:r w:rsidR="00E23225">
        <w:rPr>
          <w:rFonts w:asciiTheme="minorHAnsi" w:hAnsiTheme="minorHAnsi" w:cs="Arial"/>
          <w:bCs/>
          <w:sz w:val="20"/>
          <w:szCs w:val="20"/>
        </w:rPr>
        <w:t xml:space="preserve"> a re-classification of </w:t>
      </w:r>
      <w:r w:rsidR="00BB26A7">
        <w:rPr>
          <w:rFonts w:asciiTheme="minorHAnsi" w:hAnsiTheme="minorHAnsi" w:cs="Arial"/>
          <w:bCs/>
          <w:sz w:val="20"/>
          <w:szCs w:val="20"/>
        </w:rPr>
        <w:t>c.£127m</w:t>
      </w:r>
      <w:r w:rsidR="009279A3">
        <w:rPr>
          <w:rFonts w:asciiTheme="minorHAnsi" w:hAnsiTheme="minorHAnsi" w:cs="Arial"/>
          <w:bCs/>
          <w:sz w:val="20"/>
          <w:szCs w:val="20"/>
        </w:rPr>
        <w:t xml:space="preserve"> of receivables from Stage 3 into Stage 1, and a further</w:t>
      </w:r>
      <w:r w:rsidR="00930CD1">
        <w:rPr>
          <w:rFonts w:asciiTheme="minorHAnsi" w:hAnsiTheme="minorHAnsi" w:cs="Arial"/>
          <w:bCs/>
          <w:sz w:val="20"/>
          <w:szCs w:val="20"/>
        </w:rPr>
        <w:t xml:space="preserve"> c</w:t>
      </w:r>
      <w:r w:rsidR="009279A3">
        <w:rPr>
          <w:rFonts w:asciiTheme="minorHAnsi" w:hAnsiTheme="minorHAnsi" w:cs="Arial"/>
          <w:bCs/>
          <w:sz w:val="20"/>
          <w:szCs w:val="20"/>
        </w:rPr>
        <w:t>.£</w:t>
      </w:r>
      <w:r w:rsidR="00930CD1">
        <w:rPr>
          <w:rFonts w:asciiTheme="minorHAnsi" w:hAnsiTheme="minorHAnsi" w:cs="Arial"/>
          <w:bCs/>
          <w:sz w:val="20"/>
          <w:szCs w:val="20"/>
        </w:rPr>
        <w:t>73m from Stage 2 into Stage 1</w:t>
      </w:r>
      <w:r w:rsidR="00AA04F3">
        <w:rPr>
          <w:rFonts w:asciiTheme="minorHAnsi" w:hAnsiTheme="minorHAnsi" w:cs="Arial"/>
          <w:bCs/>
          <w:sz w:val="20"/>
          <w:szCs w:val="20"/>
        </w:rPr>
        <w:t xml:space="preserve"> in vehicle finance</w:t>
      </w:r>
      <w:r w:rsidR="001E65DE">
        <w:rPr>
          <w:rFonts w:asciiTheme="minorHAnsi" w:hAnsiTheme="minorHAnsi" w:cs="Arial"/>
          <w:bCs/>
          <w:sz w:val="20"/>
          <w:szCs w:val="20"/>
        </w:rPr>
        <w:t xml:space="preserve">.  </w:t>
      </w:r>
      <w:r w:rsidR="00114132">
        <w:rPr>
          <w:rFonts w:asciiTheme="minorHAnsi" w:hAnsiTheme="minorHAnsi" w:cs="Arial"/>
          <w:bCs/>
          <w:sz w:val="20"/>
          <w:szCs w:val="20"/>
        </w:rPr>
        <w:t>As a result, t</w:t>
      </w:r>
      <w:r w:rsidR="002155CF">
        <w:rPr>
          <w:rFonts w:asciiTheme="minorHAnsi" w:hAnsiTheme="minorHAnsi" w:cs="Arial"/>
          <w:bCs/>
          <w:sz w:val="20"/>
          <w:szCs w:val="20"/>
        </w:rPr>
        <w:t xml:space="preserve">he coverage ratios </w:t>
      </w:r>
      <w:r w:rsidR="005F632B">
        <w:rPr>
          <w:rFonts w:asciiTheme="minorHAnsi" w:hAnsiTheme="minorHAnsi" w:cs="Arial"/>
          <w:bCs/>
          <w:sz w:val="20"/>
          <w:szCs w:val="20"/>
        </w:rPr>
        <w:t xml:space="preserve">for vehicle finance assets has reduced from </w:t>
      </w:r>
      <w:r w:rsidR="008763DC">
        <w:rPr>
          <w:rFonts w:asciiTheme="minorHAnsi" w:hAnsiTheme="minorHAnsi" w:cs="Arial"/>
          <w:bCs/>
          <w:sz w:val="20"/>
          <w:szCs w:val="20"/>
        </w:rPr>
        <w:t xml:space="preserve">32% at FY23 (restated) to 17% at 1H24. </w:t>
      </w:r>
      <w:r w:rsidR="005F632B">
        <w:rPr>
          <w:rFonts w:asciiTheme="minorHAnsi" w:hAnsiTheme="minorHAnsi" w:cs="Arial"/>
          <w:bCs/>
          <w:sz w:val="20"/>
          <w:szCs w:val="20"/>
        </w:rPr>
        <w:t xml:space="preserve"> </w:t>
      </w:r>
    </w:p>
    <w:p w14:paraId="2D0B38A1" w14:textId="77777777" w:rsidR="00B4677F" w:rsidRPr="007D4183" w:rsidRDefault="00B4677F" w:rsidP="003A38FB">
      <w:pPr>
        <w:autoSpaceDE w:val="0"/>
        <w:autoSpaceDN w:val="0"/>
        <w:adjustRightInd w:val="0"/>
        <w:jc w:val="both"/>
        <w:rPr>
          <w:rFonts w:asciiTheme="minorHAnsi" w:hAnsiTheme="minorHAnsi" w:cs="Arial"/>
          <w:bCs/>
          <w:sz w:val="20"/>
          <w:szCs w:val="20"/>
          <w:highlight w:val="yellow"/>
        </w:rPr>
      </w:pPr>
    </w:p>
    <w:p w14:paraId="4A53050A" w14:textId="4552F2E4" w:rsidR="00151E57" w:rsidRPr="0012605F" w:rsidRDefault="00151E57" w:rsidP="3441915A">
      <w:pPr>
        <w:autoSpaceDE w:val="0"/>
        <w:autoSpaceDN w:val="0"/>
        <w:adjustRightInd w:val="0"/>
        <w:jc w:val="both"/>
        <w:rPr>
          <w:rFonts w:asciiTheme="minorHAnsi" w:hAnsiTheme="minorHAnsi" w:cs="Arial"/>
          <w:sz w:val="20"/>
          <w:szCs w:val="20"/>
          <w:u w:val="single"/>
        </w:rPr>
      </w:pPr>
      <w:r w:rsidRPr="0012605F">
        <w:rPr>
          <w:rFonts w:asciiTheme="minorHAnsi" w:hAnsiTheme="minorHAnsi" w:cs="Arial"/>
          <w:sz w:val="20"/>
          <w:szCs w:val="20"/>
          <w:u w:val="single"/>
        </w:rPr>
        <w:t xml:space="preserve">Retirement </w:t>
      </w:r>
      <w:r w:rsidR="00876FAD" w:rsidRPr="0012605F">
        <w:rPr>
          <w:rFonts w:asciiTheme="minorHAnsi" w:hAnsiTheme="minorHAnsi" w:cs="Arial"/>
          <w:sz w:val="20"/>
          <w:szCs w:val="20"/>
          <w:u w:val="single"/>
        </w:rPr>
        <w:t>benefit asset</w:t>
      </w:r>
      <w:r w:rsidR="5D68F584" w:rsidRPr="3441915A">
        <w:rPr>
          <w:rFonts w:asciiTheme="minorHAnsi" w:hAnsiTheme="minorHAnsi" w:cs="Arial"/>
          <w:sz w:val="20"/>
          <w:szCs w:val="20"/>
          <w:u w:val="single"/>
        </w:rPr>
        <w:t xml:space="preserve"> (note 11)</w:t>
      </w:r>
    </w:p>
    <w:p w14:paraId="65FDBA2E" w14:textId="50FF7CBB" w:rsidR="00AF73B9" w:rsidRPr="00565803" w:rsidRDefault="00AF73B9" w:rsidP="0012605F">
      <w:pPr>
        <w:autoSpaceDE w:val="0"/>
        <w:autoSpaceDN w:val="0"/>
        <w:adjustRightInd w:val="0"/>
        <w:jc w:val="both"/>
        <w:rPr>
          <w:rFonts w:asciiTheme="minorHAnsi" w:hAnsiTheme="minorHAnsi" w:cs="Arial"/>
          <w:bCs/>
          <w:sz w:val="20"/>
          <w:szCs w:val="20"/>
        </w:rPr>
      </w:pPr>
      <w:r w:rsidRPr="103F77E5">
        <w:rPr>
          <w:rFonts w:asciiTheme="minorHAnsi" w:hAnsiTheme="minorHAnsi" w:cs="Arial"/>
          <w:sz w:val="20"/>
          <w:szCs w:val="20"/>
        </w:rPr>
        <w:t>The valuation of the retirement benefit asset is dependent upon a series of assumptions, the key assumptions being mortality rates and the discount rate applied to liabilities. The most significant assumption which could lead to material adjustment is a change in discount rates.</w:t>
      </w:r>
    </w:p>
    <w:p w14:paraId="3585B349" w14:textId="5990B2C8" w:rsidR="5144899F" w:rsidRDefault="5144899F" w:rsidP="3441915A">
      <w:pPr>
        <w:autoSpaceDE w:val="0"/>
        <w:autoSpaceDN w:val="0"/>
        <w:adjustRightInd w:val="0"/>
        <w:jc w:val="both"/>
        <w:rPr>
          <w:rFonts w:asciiTheme="minorHAnsi" w:hAnsiTheme="minorHAnsi" w:cs="Arial"/>
          <w:sz w:val="20"/>
          <w:szCs w:val="20"/>
        </w:rPr>
      </w:pPr>
    </w:p>
    <w:p w14:paraId="0FBB67C8" w14:textId="5B125A53" w:rsidR="007C4D57" w:rsidRDefault="00AF73B9" w:rsidP="3441915A">
      <w:pPr>
        <w:jc w:val="both"/>
        <w:rPr>
          <w:rFonts w:asciiTheme="minorHAnsi" w:hAnsiTheme="minorHAnsi" w:cs="Arial"/>
          <w:bCs/>
          <w:sz w:val="20"/>
          <w:szCs w:val="20"/>
        </w:rPr>
      </w:pPr>
      <w:r w:rsidRPr="0012605F">
        <w:rPr>
          <w:rFonts w:asciiTheme="minorHAnsi" w:hAnsiTheme="minorHAnsi" w:cs="Arial"/>
          <w:bCs/>
          <w:sz w:val="20"/>
          <w:szCs w:val="20"/>
        </w:rPr>
        <w:t>Discount rates are based on the market yields of high-quality corporate bonds which have terms closely linked with the estimated term of the retirement benefit obligation. Mortality estimates are based on standard mortality tables, adjusted where appropriate to reflect the Group’s own expected experience.</w:t>
      </w:r>
      <w:r w:rsidR="00E966BD">
        <w:rPr>
          <w:rFonts w:asciiTheme="minorHAnsi" w:hAnsiTheme="minorHAnsi" w:cs="Arial"/>
          <w:bCs/>
          <w:sz w:val="20"/>
          <w:szCs w:val="20"/>
        </w:rPr>
        <w:t xml:space="preserve"> </w:t>
      </w:r>
      <w:r w:rsidR="007C4D57" w:rsidRPr="0012605F">
        <w:rPr>
          <w:rFonts w:asciiTheme="minorHAnsi" w:hAnsiTheme="minorHAnsi" w:cs="Arial"/>
          <w:bCs/>
          <w:sz w:val="20"/>
          <w:szCs w:val="20"/>
        </w:rPr>
        <w:t>Sensitivity analysis is performed in note</w:t>
      </w:r>
      <w:r w:rsidR="007C4D57" w:rsidRPr="00565803">
        <w:rPr>
          <w:rFonts w:asciiTheme="minorHAnsi" w:hAnsiTheme="minorHAnsi" w:cs="Arial"/>
          <w:bCs/>
          <w:sz w:val="20"/>
          <w:szCs w:val="20"/>
        </w:rPr>
        <w:t xml:space="preserve"> </w:t>
      </w:r>
      <w:r w:rsidR="003A38FB" w:rsidRPr="3441915A">
        <w:rPr>
          <w:rFonts w:asciiTheme="minorHAnsi" w:hAnsiTheme="minorHAnsi" w:cs="Arial"/>
          <w:sz w:val="20"/>
          <w:szCs w:val="20"/>
        </w:rPr>
        <w:t>1</w:t>
      </w:r>
      <w:r w:rsidR="724CD9CA" w:rsidRPr="3441915A">
        <w:rPr>
          <w:rFonts w:asciiTheme="minorHAnsi" w:hAnsiTheme="minorHAnsi" w:cs="Arial"/>
          <w:sz w:val="20"/>
          <w:szCs w:val="20"/>
        </w:rPr>
        <w:t>1</w:t>
      </w:r>
      <w:r w:rsidR="007C4D57" w:rsidRPr="00565803">
        <w:rPr>
          <w:rFonts w:asciiTheme="minorHAnsi" w:hAnsiTheme="minorHAnsi" w:cs="Arial"/>
          <w:bCs/>
          <w:sz w:val="20"/>
          <w:szCs w:val="20"/>
        </w:rPr>
        <w:t>.</w:t>
      </w:r>
    </w:p>
    <w:p w14:paraId="0FF078BF" w14:textId="6BAD2D95" w:rsidR="00040807" w:rsidRPr="009C1254" w:rsidRDefault="00040807" w:rsidP="003A38FB">
      <w:pPr>
        <w:jc w:val="both"/>
        <w:rPr>
          <w:rFonts w:asciiTheme="minorHAnsi" w:hAnsiTheme="minorHAnsi" w:cs="Arial"/>
          <w:sz w:val="20"/>
          <w:szCs w:val="20"/>
          <w:highlight w:val="green"/>
        </w:rPr>
      </w:pPr>
    </w:p>
    <w:p w14:paraId="1754F368" w14:textId="1B0F1196" w:rsidR="003A38FB" w:rsidRDefault="003A38FB" w:rsidP="003A38FB">
      <w:pPr>
        <w:jc w:val="both"/>
        <w:rPr>
          <w:rFonts w:asciiTheme="minorHAnsi" w:hAnsiTheme="minorHAnsi" w:cs="Arial"/>
          <w:b/>
          <w:sz w:val="20"/>
          <w:szCs w:val="20"/>
          <w:u w:val="single"/>
        </w:rPr>
      </w:pPr>
      <w:r w:rsidRPr="0046758B">
        <w:rPr>
          <w:rFonts w:asciiTheme="minorHAnsi" w:hAnsiTheme="minorHAnsi" w:cs="Arial"/>
          <w:b/>
          <w:sz w:val="20"/>
          <w:szCs w:val="20"/>
          <w:u w:val="single"/>
        </w:rPr>
        <w:t>Other accounting judgements</w:t>
      </w:r>
    </w:p>
    <w:p w14:paraId="2369A119" w14:textId="77777777" w:rsidR="00D2145B" w:rsidRPr="0046758B" w:rsidRDefault="00D2145B" w:rsidP="003A38FB">
      <w:pPr>
        <w:jc w:val="both"/>
        <w:rPr>
          <w:rFonts w:asciiTheme="minorHAnsi" w:hAnsiTheme="minorHAnsi" w:cs="Arial"/>
          <w:b/>
          <w:sz w:val="20"/>
          <w:szCs w:val="20"/>
          <w:u w:val="single"/>
        </w:rPr>
      </w:pPr>
    </w:p>
    <w:p w14:paraId="310AA337" w14:textId="4FE6DCA0" w:rsidR="003A38FB" w:rsidRPr="0046758B" w:rsidRDefault="003A38FB" w:rsidP="3441915A">
      <w:pPr>
        <w:pStyle w:val="Pa30"/>
        <w:spacing w:after="20"/>
        <w:jc w:val="both"/>
        <w:rPr>
          <w:rFonts w:asciiTheme="minorHAnsi" w:eastAsia="Times New Roman" w:hAnsiTheme="minorHAnsi" w:cs="Arial"/>
          <w:sz w:val="20"/>
          <w:szCs w:val="20"/>
          <w:u w:val="single"/>
          <w:lang w:eastAsia="en-GB"/>
          <w14:ligatures w14:val="none"/>
        </w:rPr>
      </w:pPr>
      <w:r w:rsidRPr="3441915A">
        <w:rPr>
          <w:rFonts w:asciiTheme="minorHAnsi" w:eastAsia="Times New Roman" w:hAnsiTheme="minorHAnsi" w:cs="Arial"/>
          <w:sz w:val="20"/>
          <w:szCs w:val="20"/>
          <w:u w:val="single"/>
          <w:lang w:eastAsia="en-GB"/>
          <w14:ligatures w14:val="none"/>
        </w:rPr>
        <w:t xml:space="preserve">Intangibles (note </w:t>
      </w:r>
      <w:r w:rsidR="46653FE9" w:rsidRPr="3441915A">
        <w:rPr>
          <w:rFonts w:asciiTheme="minorHAnsi" w:eastAsia="Times New Roman" w:hAnsiTheme="minorHAnsi" w:cs="Arial"/>
          <w:sz w:val="20"/>
          <w:szCs w:val="20"/>
          <w:u w:val="single"/>
          <w:lang w:eastAsia="en-GB"/>
          <w14:ligatures w14:val="none"/>
        </w:rPr>
        <w:t>10</w:t>
      </w:r>
      <w:r w:rsidRPr="3441915A">
        <w:rPr>
          <w:rFonts w:asciiTheme="minorHAnsi" w:eastAsia="Times New Roman" w:hAnsiTheme="minorHAnsi" w:cs="Arial"/>
          <w:sz w:val="20"/>
          <w:szCs w:val="20"/>
          <w:u w:val="single"/>
          <w:lang w:eastAsia="en-GB"/>
          <w14:ligatures w14:val="none"/>
        </w:rPr>
        <w:t>)</w:t>
      </w:r>
    </w:p>
    <w:p w14:paraId="002444EF" w14:textId="28AA5649" w:rsidR="003A38FB" w:rsidRPr="0046758B" w:rsidRDefault="003A38FB" w:rsidP="3441915A">
      <w:pPr>
        <w:pStyle w:val="Pa17"/>
        <w:spacing w:after="100"/>
        <w:jc w:val="both"/>
        <w:rPr>
          <w:rFonts w:asciiTheme="minorHAnsi" w:eastAsia="Times New Roman" w:hAnsiTheme="minorHAnsi" w:cs="Arial"/>
          <w:bCs/>
          <w:sz w:val="20"/>
          <w:szCs w:val="20"/>
          <w:lang w:eastAsia="en-GB"/>
          <w14:ligatures w14:val="none"/>
        </w:rPr>
      </w:pPr>
      <w:r w:rsidRPr="0046758B">
        <w:rPr>
          <w:rFonts w:asciiTheme="minorHAnsi" w:eastAsia="Times New Roman" w:hAnsiTheme="minorHAnsi" w:cs="Arial"/>
          <w:bCs/>
          <w:sz w:val="20"/>
          <w:szCs w:val="20"/>
          <w:lang w:eastAsia="en-GB"/>
          <w14:ligatures w14:val="none"/>
        </w:rPr>
        <w:t>All intangible assets have been reviewed for impairment under IAS 36</w:t>
      </w:r>
      <w:r>
        <w:rPr>
          <w:rFonts w:asciiTheme="minorHAnsi" w:eastAsia="Times New Roman" w:hAnsiTheme="minorHAnsi" w:cs="Arial"/>
          <w:bCs/>
          <w:sz w:val="20"/>
          <w:szCs w:val="20"/>
          <w:lang w:eastAsia="en-GB"/>
          <w14:ligatures w14:val="none"/>
        </w:rPr>
        <w:t>.  B</w:t>
      </w:r>
      <w:r w:rsidRPr="0046758B">
        <w:rPr>
          <w:rFonts w:asciiTheme="minorHAnsi" w:eastAsia="Times New Roman" w:hAnsiTheme="minorHAnsi" w:cs="Arial"/>
          <w:bCs/>
          <w:sz w:val="20"/>
          <w:szCs w:val="20"/>
          <w:lang w:eastAsia="en-GB"/>
          <w14:ligatures w14:val="none"/>
        </w:rPr>
        <w:t>ased on reviews during 1H24 it was ident</w:t>
      </w:r>
      <w:r>
        <w:rPr>
          <w:rFonts w:asciiTheme="minorHAnsi" w:eastAsia="Times New Roman" w:hAnsiTheme="minorHAnsi" w:cs="Arial"/>
          <w:bCs/>
          <w:sz w:val="20"/>
          <w:szCs w:val="20"/>
          <w:lang w:eastAsia="en-GB"/>
          <w14:ligatures w14:val="none"/>
        </w:rPr>
        <w:t>ifi</w:t>
      </w:r>
      <w:r w:rsidRPr="0046758B">
        <w:rPr>
          <w:rFonts w:asciiTheme="minorHAnsi" w:eastAsia="Times New Roman" w:hAnsiTheme="minorHAnsi" w:cs="Arial"/>
          <w:bCs/>
          <w:sz w:val="20"/>
          <w:szCs w:val="20"/>
          <w:lang w:eastAsia="en-GB"/>
          <w14:ligatures w14:val="none"/>
        </w:rPr>
        <w:t xml:space="preserve">ed that certain assets were no longer in use and have therefore been </w:t>
      </w:r>
      <w:r>
        <w:rPr>
          <w:rFonts w:asciiTheme="minorHAnsi" w:eastAsia="Times New Roman" w:hAnsiTheme="minorHAnsi" w:cs="Arial"/>
          <w:bCs/>
          <w:sz w:val="20"/>
          <w:szCs w:val="20"/>
          <w:lang w:eastAsia="en-GB"/>
          <w14:ligatures w14:val="none"/>
        </w:rPr>
        <w:t>written off</w:t>
      </w:r>
      <w:r w:rsidRPr="0046758B">
        <w:rPr>
          <w:rFonts w:asciiTheme="minorHAnsi" w:eastAsia="Times New Roman" w:hAnsiTheme="minorHAnsi" w:cs="Arial"/>
          <w:bCs/>
          <w:sz w:val="20"/>
          <w:szCs w:val="20"/>
          <w:lang w:eastAsia="en-GB"/>
          <w14:ligatures w14:val="none"/>
        </w:rPr>
        <w:t>. This includes the Credit Cards mobile app which has been written off in full as a decision was made to rebuild th</w:t>
      </w:r>
      <w:r>
        <w:rPr>
          <w:rFonts w:asciiTheme="minorHAnsi" w:eastAsia="Times New Roman" w:hAnsiTheme="minorHAnsi" w:cs="Arial"/>
          <w:bCs/>
          <w:sz w:val="20"/>
          <w:szCs w:val="20"/>
          <w:lang w:eastAsia="en-GB"/>
          <w14:ligatures w14:val="none"/>
        </w:rPr>
        <w:t>is functionality</w:t>
      </w:r>
      <w:r w:rsidRPr="0046758B">
        <w:rPr>
          <w:rFonts w:asciiTheme="minorHAnsi" w:eastAsia="Times New Roman" w:hAnsiTheme="minorHAnsi" w:cs="Arial"/>
          <w:bCs/>
          <w:sz w:val="20"/>
          <w:szCs w:val="20"/>
          <w:lang w:eastAsia="en-GB"/>
          <w14:ligatures w14:val="none"/>
        </w:rPr>
        <w:t xml:space="preserve"> using a more efficient design and build approach leading to an overall better customer experience. The resulted in a cost of £</w:t>
      </w:r>
      <w:r w:rsidRPr="008A0423">
        <w:rPr>
          <w:rFonts w:asciiTheme="minorHAnsi" w:eastAsia="Times New Roman" w:hAnsiTheme="minorHAnsi" w:cs="Arial"/>
          <w:sz w:val="20"/>
          <w:szCs w:val="20"/>
          <w:lang w:eastAsia="en-GB"/>
          <w14:ligatures w14:val="none"/>
        </w:rPr>
        <w:t>8.</w:t>
      </w:r>
      <w:r w:rsidR="00E77454">
        <w:rPr>
          <w:rFonts w:asciiTheme="minorHAnsi" w:eastAsia="Times New Roman" w:hAnsiTheme="minorHAnsi" w:cs="Arial"/>
          <w:bCs/>
          <w:sz w:val="20"/>
          <w:szCs w:val="20"/>
          <w:lang w:eastAsia="en-GB"/>
          <w14:ligatures w14:val="none"/>
        </w:rPr>
        <w:t>5</w:t>
      </w:r>
      <w:r w:rsidRPr="008A0423">
        <w:rPr>
          <w:rFonts w:asciiTheme="minorHAnsi" w:eastAsia="Times New Roman" w:hAnsiTheme="minorHAnsi" w:cs="Arial"/>
          <w:bCs/>
          <w:sz w:val="20"/>
          <w:szCs w:val="20"/>
          <w:lang w:eastAsia="en-GB"/>
          <w14:ligatures w14:val="none"/>
        </w:rPr>
        <w:t>m</w:t>
      </w:r>
      <w:r w:rsidRPr="0046758B">
        <w:rPr>
          <w:rFonts w:asciiTheme="minorHAnsi" w:eastAsia="Times New Roman" w:hAnsiTheme="minorHAnsi" w:cs="Arial"/>
          <w:bCs/>
          <w:sz w:val="20"/>
          <w:szCs w:val="20"/>
          <w:lang w:eastAsia="en-GB"/>
          <w14:ligatures w14:val="none"/>
        </w:rPr>
        <w:t xml:space="preserve"> </w:t>
      </w:r>
      <w:r>
        <w:rPr>
          <w:rFonts w:asciiTheme="minorHAnsi" w:eastAsia="Times New Roman" w:hAnsiTheme="minorHAnsi" w:cs="Arial"/>
          <w:bCs/>
          <w:sz w:val="20"/>
          <w:szCs w:val="20"/>
          <w:lang w:eastAsia="en-GB"/>
          <w14:ligatures w14:val="none"/>
        </w:rPr>
        <w:t xml:space="preserve">being recognised </w:t>
      </w:r>
      <w:r w:rsidRPr="0046758B">
        <w:rPr>
          <w:rFonts w:asciiTheme="minorHAnsi" w:eastAsia="Times New Roman" w:hAnsiTheme="minorHAnsi" w:cs="Arial"/>
          <w:bCs/>
          <w:sz w:val="20"/>
          <w:szCs w:val="20"/>
          <w:lang w:eastAsia="en-GB"/>
          <w14:ligatures w14:val="none"/>
        </w:rPr>
        <w:t>in 1H</w:t>
      </w:r>
      <w:r>
        <w:rPr>
          <w:rFonts w:asciiTheme="minorHAnsi" w:eastAsia="Times New Roman" w:hAnsiTheme="minorHAnsi" w:cs="Arial"/>
          <w:bCs/>
          <w:sz w:val="20"/>
          <w:szCs w:val="20"/>
          <w:lang w:eastAsia="en-GB"/>
          <w14:ligatures w14:val="none"/>
        </w:rPr>
        <w:t>24</w:t>
      </w:r>
      <w:r w:rsidRPr="0046758B">
        <w:rPr>
          <w:rFonts w:asciiTheme="minorHAnsi" w:eastAsia="Times New Roman" w:hAnsiTheme="minorHAnsi" w:cs="Arial"/>
          <w:bCs/>
          <w:sz w:val="20"/>
          <w:szCs w:val="20"/>
          <w:lang w:eastAsia="en-GB"/>
          <w14:ligatures w14:val="none"/>
        </w:rPr>
        <w:t xml:space="preserve"> results.</w:t>
      </w:r>
    </w:p>
    <w:p w14:paraId="2B06F5EE" w14:textId="77777777" w:rsidR="004B296B" w:rsidRDefault="004B296B" w:rsidP="3441915A">
      <w:pPr>
        <w:pStyle w:val="Pa17"/>
        <w:spacing w:after="100"/>
        <w:jc w:val="both"/>
        <w:rPr>
          <w:rFonts w:asciiTheme="minorHAnsi" w:eastAsia="Times New Roman" w:hAnsiTheme="minorHAnsi" w:cs="Arial"/>
          <w:bCs/>
          <w:sz w:val="20"/>
          <w:szCs w:val="20"/>
          <w:lang w:eastAsia="en-GB"/>
          <w14:ligatures w14:val="none"/>
        </w:rPr>
      </w:pPr>
    </w:p>
    <w:p w14:paraId="4CE6E031" w14:textId="2A020859" w:rsidR="003A38FB" w:rsidRDefault="003A38FB" w:rsidP="3441915A">
      <w:pPr>
        <w:pStyle w:val="Pa17"/>
        <w:spacing w:after="100"/>
        <w:jc w:val="both"/>
        <w:rPr>
          <w:rFonts w:asciiTheme="minorHAnsi" w:eastAsia="Times New Roman" w:hAnsiTheme="minorHAnsi" w:cs="Arial"/>
          <w:bCs/>
          <w:sz w:val="20"/>
          <w:szCs w:val="20"/>
          <w:lang w:eastAsia="en-GB"/>
          <w14:ligatures w14:val="none"/>
        </w:rPr>
      </w:pPr>
      <w:r w:rsidRPr="0046758B">
        <w:rPr>
          <w:rFonts w:asciiTheme="minorHAnsi" w:eastAsia="Times New Roman" w:hAnsiTheme="minorHAnsi" w:cs="Arial"/>
          <w:bCs/>
          <w:sz w:val="20"/>
          <w:szCs w:val="20"/>
          <w:lang w:eastAsia="en-GB"/>
          <w14:ligatures w14:val="none"/>
        </w:rPr>
        <w:t xml:space="preserve">In addition </w:t>
      </w:r>
      <w:r>
        <w:rPr>
          <w:rFonts w:asciiTheme="minorHAnsi" w:eastAsia="Times New Roman" w:hAnsiTheme="minorHAnsi" w:cs="Arial"/>
          <w:bCs/>
          <w:sz w:val="20"/>
          <w:szCs w:val="20"/>
          <w:lang w:eastAsia="en-GB"/>
          <w14:ligatures w14:val="none"/>
        </w:rPr>
        <w:t xml:space="preserve">assets expected to be replaced by the Gateway platform in 2026 have been reviewed: a small number of these assets have been written off, and </w:t>
      </w:r>
      <w:r w:rsidRPr="0046758B">
        <w:rPr>
          <w:rFonts w:asciiTheme="minorHAnsi" w:eastAsia="Times New Roman" w:hAnsiTheme="minorHAnsi" w:cs="Arial"/>
          <w:bCs/>
          <w:sz w:val="20"/>
          <w:szCs w:val="20"/>
          <w:lang w:eastAsia="en-GB"/>
          <w14:ligatures w14:val="none"/>
        </w:rPr>
        <w:t>the useful economic lives</w:t>
      </w:r>
      <w:r>
        <w:rPr>
          <w:rFonts w:asciiTheme="minorHAnsi" w:eastAsia="Times New Roman" w:hAnsiTheme="minorHAnsi" w:cs="Arial"/>
          <w:bCs/>
          <w:sz w:val="20"/>
          <w:szCs w:val="20"/>
          <w:lang w:eastAsia="en-GB"/>
          <w14:ligatures w14:val="none"/>
        </w:rPr>
        <w:t xml:space="preserve"> of other assets</w:t>
      </w:r>
      <w:r w:rsidRPr="0046758B">
        <w:rPr>
          <w:rFonts w:asciiTheme="minorHAnsi" w:eastAsia="Times New Roman" w:hAnsiTheme="minorHAnsi" w:cs="Arial"/>
          <w:bCs/>
          <w:sz w:val="20"/>
          <w:szCs w:val="20"/>
          <w:lang w:eastAsia="en-GB"/>
          <w14:ligatures w14:val="none"/>
        </w:rPr>
        <w:t xml:space="preserve"> w</w:t>
      </w:r>
      <w:r>
        <w:rPr>
          <w:rFonts w:asciiTheme="minorHAnsi" w:eastAsia="Times New Roman" w:hAnsiTheme="minorHAnsi" w:cs="Arial"/>
          <w:bCs/>
          <w:sz w:val="20"/>
          <w:szCs w:val="20"/>
          <w:lang w:eastAsia="en-GB"/>
          <w14:ligatures w14:val="none"/>
        </w:rPr>
        <w:t>ere</w:t>
      </w:r>
      <w:r w:rsidRPr="0046758B">
        <w:rPr>
          <w:rFonts w:asciiTheme="minorHAnsi" w:eastAsia="Times New Roman" w:hAnsiTheme="minorHAnsi" w:cs="Arial"/>
          <w:bCs/>
          <w:sz w:val="20"/>
          <w:szCs w:val="20"/>
          <w:lang w:eastAsia="en-GB"/>
          <w14:ligatures w14:val="none"/>
        </w:rPr>
        <w:t xml:space="preserve"> reassessed </w:t>
      </w:r>
      <w:r>
        <w:rPr>
          <w:rFonts w:asciiTheme="minorHAnsi" w:eastAsia="Times New Roman" w:hAnsiTheme="minorHAnsi" w:cs="Arial"/>
          <w:bCs/>
          <w:sz w:val="20"/>
          <w:szCs w:val="20"/>
          <w:lang w:eastAsia="en-GB"/>
          <w14:ligatures w14:val="none"/>
        </w:rPr>
        <w:t>in light of their expected retirement by the Gateway platform</w:t>
      </w:r>
      <w:r w:rsidRPr="0046758B">
        <w:rPr>
          <w:rFonts w:asciiTheme="minorHAnsi" w:eastAsia="Times New Roman" w:hAnsiTheme="minorHAnsi" w:cs="Arial"/>
          <w:bCs/>
          <w:sz w:val="20"/>
          <w:szCs w:val="20"/>
          <w:lang w:eastAsia="en-GB"/>
          <w14:ligatures w14:val="none"/>
        </w:rPr>
        <w:t xml:space="preserve">. The impact on the </w:t>
      </w:r>
      <w:r w:rsidRPr="3441915A">
        <w:rPr>
          <w:rFonts w:asciiTheme="minorHAnsi" w:eastAsia="Times New Roman" w:hAnsiTheme="minorHAnsi" w:cs="Arial"/>
          <w:sz w:val="20"/>
          <w:szCs w:val="20"/>
          <w:lang w:eastAsia="en-GB"/>
          <w14:ligatures w14:val="none"/>
        </w:rPr>
        <w:t>1</w:t>
      </w:r>
      <w:r w:rsidR="3356000D" w:rsidRPr="3441915A">
        <w:rPr>
          <w:rFonts w:asciiTheme="minorHAnsi" w:eastAsia="Times New Roman" w:hAnsiTheme="minorHAnsi" w:cs="Arial"/>
          <w:sz w:val="20"/>
          <w:szCs w:val="20"/>
          <w:lang w:eastAsia="en-GB"/>
          <w14:ligatures w14:val="none"/>
        </w:rPr>
        <w:t>H</w:t>
      </w:r>
      <w:r w:rsidRPr="3441915A">
        <w:rPr>
          <w:rFonts w:asciiTheme="minorHAnsi" w:eastAsia="Times New Roman" w:hAnsiTheme="minorHAnsi" w:cs="Arial"/>
          <w:sz w:val="20"/>
          <w:szCs w:val="20"/>
          <w:lang w:eastAsia="en-GB"/>
          <w14:ligatures w14:val="none"/>
        </w:rPr>
        <w:t>24</w:t>
      </w:r>
      <w:r w:rsidRPr="0046758B">
        <w:rPr>
          <w:rFonts w:asciiTheme="minorHAnsi" w:eastAsia="Times New Roman" w:hAnsiTheme="minorHAnsi" w:cs="Arial"/>
          <w:bCs/>
          <w:sz w:val="20"/>
          <w:szCs w:val="20"/>
          <w:lang w:eastAsia="en-GB"/>
          <w14:ligatures w14:val="none"/>
        </w:rPr>
        <w:t xml:space="preserve"> results was </w:t>
      </w:r>
      <w:r w:rsidRPr="004A26F5">
        <w:rPr>
          <w:rFonts w:asciiTheme="minorHAnsi" w:eastAsia="Times New Roman" w:hAnsiTheme="minorHAnsi" w:cs="Arial"/>
          <w:sz w:val="20"/>
          <w:szCs w:val="20"/>
          <w:lang w:eastAsia="en-GB"/>
          <w14:ligatures w14:val="none"/>
        </w:rPr>
        <w:t>£</w:t>
      </w:r>
      <w:r w:rsidR="004A26F5" w:rsidRPr="004A26F5">
        <w:rPr>
          <w:rFonts w:asciiTheme="minorHAnsi" w:eastAsia="Times New Roman" w:hAnsiTheme="minorHAnsi" w:cs="Arial"/>
          <w:bCs/>
          <w:sz w:val="20"/>
          <w:szCs w:val="20"/>
          <w:lang w:eastAsia="en-GB"/>
          <w14:ligatures w14:val="none"/>
        </w:rPr>
        <w:t>0.1</w:t>
      </w:r>
      <w:r w:rsidRPr="004A26F5">
        <w:rPr>
          <w:rFonts w:asciiTheme="minorHAnsi" w:eastAsia="Times New Roman" w:hAnsiTheme="minorHAnsi" w:cs="Arial"/>
          <w:bCs/>
          <w:sz w:val="20"/>
          <w:szCs w:val="20"/>
          <w:lang w:eastAsia="en-GB"/>
          <w14:ligatures w14:val="none"/>
        </w:rPr>
        <w:t>m</w:t>
      </w:r>
      <w:r w:rsidRPr="004A26F5">
        <w:rPr>
          <w:rFonts w:asciiTheme="minorHAnsi" w:eastAsia="Times New Roman" w:hAnsiTheme="minorHAnsi" w:cs="Arial"/>
          <w:sz w:val="20"/>
          <w:szCs w:val="20"/>
          <w:lang w:eastAsia="en-GB"/>
          <w14:ligatures w14:val="none"/>
        </w:rPr>
        <w:t>.</w:t>
      </w:r>
      <w:r>
        <w:rPr>
          <w:rFonts w:asciiTheme="minorHAnsi" w:eastAsia="Times New Roman" w:hAnsiTheme="minorHAnsi" w:cs="Arial"/>
          <w:bCs/>
          <w:sz w:val="20"/>
          <w:szCs w:val="20"/>
          <w:lang w:eastAsia="en-GB"/>
          <w14:ligatures w14:val="none"/>
        </w:rPr>
        <w:t xml:space="preserve">  </w:t>
      </w:r>
    </w:p>
    <w:p w14:paraId="545C99D2" w14:textId="77777777" w:rsidR="00667E84" w:rsidRDefault="00667E84" w:rsidP="3441915A">
      <w:pPr>
        <w:pStyle w:val="Pa30"/>
        <w:spacing w:after="20"/>
        <w:jc w:val="both"/>
        <w:rPr>
          <w:rFonts w:asciiTheme="minorHAnsi" w:eastAsia="Times New Roman" w:hAnsiTheme="minorHAnsi" w:cs="Arial"/>
          <w:sz w:val="20"/>
          <w:szCs w:val="20"/>
          <w:u w:val="single"/>
          <w:lang w:eastAsia="en-GB"/>
          <w14:ligatures w14:val="none"/>
        </w:rPr>
      </w:pPr>
    </w:p>
    <w:p w14:paraId="50338950" w14:textId="4D1FB481" w:rsidR="003A38FB" w:rsidRPr="005F64C8" w:rsidRDefault="003A38FB" w:rsidP="3441915A">
      <w:pPr>
        <w:pStyle w:val="Pa30"/>
        <w:spacing w:after="20"/>
        <w:jc w:val="both"/>
        <w:rPr>
          <w:rFonts w:asciiTheme="minorHAnsi" w:eastAsia="Times New Roman" w:hAnsiTheme="minorHAnsi" w:cs="Arial"/>
          <w:sz w:val="20"/>
          <w:szCs w:val="20"/>
          <w:u w:val="single"/>
          <w:lang w:eastAsia="en-GB"/>
          <w14:ligatures w14:val="none"/>
        </w:rPr>
      </w:pPr>
      <w:r w:rsidRPr="3441915A">
        <w:rPr>
          <w:rFonts w:asciiTheme="minorHAnsi" w:eastAsia="Times New Roman" w:hAnsiTheme="minorHAnsi" w:cs="Arial"/>
          <w:sz w:val="20"/>
          <w:szCs w:val="20"/>
          <w:u w:val="single"/>
          <w:lang w:eastAsia="en-GB"/>
          <w14:ligatures w14:val="none"/>
        </w:rPr>
        <w:t xml:space="preserve">Provisions: Customer remediation complaints (note </w:t>
      </w:r>
      <w:r w:rsidR="295F2FAA" w:rsidRPr="3441915A">
        <w:rPr>
          <w:rFonts w:asciiTheme="minorHAnsi" w:eastAsia="Times New Roman" w:hAnsiTheme="minorHAnsi" w:cs="Arial"/>
          <w:sz w:val="20"/>
          <w:szCs w:val="20"/>
          <w:u w:val="single"/>
          <w:lang w:eastAsia="en-GB"/>
          <w14:ligatures w14:val="none"/>
        </w:rPr>
        <w:t>13</w:t>
      </w:r>
      <w:r w:rsidRPr="3441915A">
        <w:rPr>
          <w:rFonts w:asciiTheme="minorHAnsi" w:eastAsia="Times New Roman" w:hAnsiTheme="minorHAnsi" w:cs="Arial"/>
          <w:sz w:val="20"/>
          <w:szCs w:val="20"/>
          <w:u w:val="single"/>
          <w:lang w:eastAsia="en-GB"/>
          <w14:ligatures w14:val="none"/>
        </w:rPr>
        <w:t xml:space="preserve">) </w:t>
      </w:r>
    </w:p>
    <w:p w14:paraId="6427A497" w14:textId="4CDA8796" w:rsidR="003A38FB" w:rsidRPr="005F64C8" w:rsidRDefault="003A38FB" w:rsidP="003A38FB">
      <w:pPr>
        <w:pStyle w:val="Pa17"/>
        <w:spacing w:after="100"/>
        <w:jc w:val="both"/>
        <w:rPr>
          <w:rFonts w:asciiTheme="minorHAnsi" w:eastAsia="Times New Roman" w:hAnsiTheme="minorHAnsi" w:cs="Arial"/>
          <w:bCs/>
          <w:sz w:val="20"/>
          <w:szCs w:val="20"/>
          <w:lang w:eastAsia="en-GB"/>
          <w14:ligatures w14:val="none"/>
        </w:rPr>
      </w:pPr>
      <w:r w:rsidRPr="005F64C8">
        <w:rPr>
          <w:rFonts w:asciiTheme="minorHAnsi" w:eastAsia="Times New Roman" w:hAnsiTheme="minorHAnsi" w:cs="Arial"/>
          <w:bCs/>
          <w:sz w:val="20"/>
          <w:szCs w:val="20"/>
          <w:lang w:eastAsia="en-GB"/>
          <w14:ligatures w14:val="none"/>
        </w:rPr>
        <w:t xml:space="preserve">During 2023 </w:t>
      </w:r>
      <w:r>
        <w:rPr>
          <w:rFonts w:asciiTheme="minorHAnsi" w:eastAsia="Times New Roman" w:hAnsiTheme="minorHAnsi" w:cs="Arial"/>
          <w:bCs/>
          <w:sz w:val="20"/>
          <w:szCs w:val="20"/>
          <w:lang w:eastAsia="en-GB"/>
          <w14:ligatures w14:val="none"/>
        </w:rPr>
        <w:t xml:space="preserve">and into 1H24 </w:t>
      </w:r>
      <w:r w:rsidRPr="005F64C8">
        <w:rPr>
          <w:rFonts w:asciiTheme="minorHAnsi" w:eastAsia="Times New Roman" w:hAnsiTheme="minorHAnsi" w:cs="Arial"/>
          <w:bCs/>
          <w:sz w:val="20"/>
          <w:szCs w:val="20"/>
          <w:lang w:eastAsia="en-GB"/>
          <w14:ligatures w14:val="none"/>
        </w:rPr>
        <w:t>the Group experienced elevated levels of customer compensation claims from claims management companies. The majority of these claims are speculative in nature, primarily driven by spurious CMC activity, and related to a wide range of different matters</w:t>
      </w:r>
      <w:r>
        <w:rPr>
          <w:rFonts w:asciiTheme="minorHAnsi" w:eastAsia="Times New Roman" w:hAnsiTheme="minorHAnsi" w:cs="Arial"/>
          <w:bCs/>
          <w:sz w:val="20"/>
          <w:szCs w:val="20"/>
          <w:lang w:eastAsia="en-GB"/>
          <w14:ligatures w14:val="none"/>
        </w:rPr>
        <w:t xml:space="preserve">, </w:t>
      </w:r>
      <w:r w:rsidR="00FE74A9">
        <w:rPr>
          <w:rFonts w:asciiTheme="minorHAnsi" w:eastAsia="Times New Roman" w:hAnsiTheme="minorHAnsi" w:cs="Arial"/>
          <w:bCs/>
          <w:sz w:val="20"/>
          <w:szCs w:val="20"/>
          <w:lang w:eastAsia="en-GB"/>
          <w14:ligatures w14:val="none"/>
        </w:rPr>
        <w:t xml:space="preserve">primarily </w:t>
      </w:r>
      <w:r w:rsidRPr="005F64C8">
        <w:rPr>
          <w:rFonts w:asciiTheme="minorHAnsi" w:eastAsia="Times New Roman" w:hAnsiTheme="minorHAnsi" w:cs="Arial"/>
          <w:bCs/>
          <w:sz w:val="20"/>
          <w:szCs w:val="20"/>
          <w:lang w:eastAsia="en-GB"/>
          <w14:ligatures w14:val="none"/>
        </w:rPr>
        <w:t>in respect of the lending process but with no common theme or systemic issue</w:t>
      </w:r>
      <w:r w:rsidR="004E1E84">
        <w:rPr>
          <w:rFonts w:asciiTheme="minorHAnsi" w:eastAsia="Times New Roman" w:hAnsiTheme="minorHAnsi" w:cs="Arial"/>
          <w:bCs/>
          <w:sz w:val="20"/>
          <w:szCs w:val="20"/>
          <w:lang w:eastAsia="en-GB"/>
          <w14:ligatures w14:val="none"/>
        </w:rPr>
        <w:t>.</w:t>
      </w:r>
      <w:r w:rsidRPr="005F64C8">
        <w:rPr>
          <w:rFonts w:asciiTheme="minorHAnsi" w:eastAsia="Times New Roman" w:hAnsiTheme="minorHAnsi" w:cs="Arial"/>
          <w:bCs/>
          <w:sz w:val="20"/>
          <w:szCs w:val="20"/>
          <w:lang w:eastAsia="en-GB"/>
          <w14:ligatures w14:val="none"/>
        </w:rPr>
        <w:t xml:space="preserve"> During the second half of 2023 this activity </w:t>
      </w:r>
      <w:r w:rsidR="00576A3D">
        <w:rPr>
          <w:rFonts w:asciiTheme="minorHAnsi" w:eastAsia="Times New Roman" w:hAnsiTheme="minorHAnsi" w:cs="Arial"/>
          <w:bCs/>
          <w:sz w:val="20"/>
          <w:szCs w:val="20"/>
          <w:lang w:eastAsia="en-GB"/>
          <w14:ligatures w14:val="none"/>
        </w:rPr>
        <w:t>began</w:t>
      </w:r>
      <w:r w:rsidRPr="005F64C8">
        <w:rPr>
          <w:rFonts w:asciiTheme="minorHAnsi" w:eastAsia="Times New Roman" w:hAnsiTheme="minorHAnsi" w:cs="Arial"/>
          <w:bCs/>
          <w:sz w:val="20"/>
          <w:szCs w:val="20"/>
          <w:lang w:eastAsia="en-GB"/>
          <w14:ligatures w14:val="none"/>
        </w:rPr>
        <w:t xml:space="preserve"> to stabilise within vehicle finance, with attention of the CMCs turning to the cards product. </w:t>
      </w:r>
      <w:r>
        <w:rPr>
          <w:rFonts w:asciiTheme="minorHAnsi" w:eastAsia="Times New Roman" w:hAnsiTheme="minorHAnsi" w:cs="Arial"/>
          <w:bCs/>
          <w:sz w:val="20"/>
          <w:szCs w:val="20"/>
          <w:lang w:eastAsia="en-GB"/>
          <w14:ligatures w14:val="none"/>
        </w:rPr>
        <w:t>In 1H24 the increase in costs and provision resulted from higher expected FOS fees for cases not upheld which are expected to subsequently be submitted to FOS for adjudication.</w:t>
      </w:r>
    </w:p>
    <w:p w14:paraId="0EB916A3" w14:textId="704E11CE" w:rsidR="003A38FB" w:rsidRDefault="003A38FB" w:rsidP="00BF06C8">
      <w:pPr>
        <w:jc w:val="both"/>
        <w:rPr>
          <w:rFonts w:asciiTheme="minorHAnsi" w:hAnsiTheme="minorHAnsi" w:cs="Arial"/>
          <w:bCs/>
          <w:sz w:val="20"/>
          <w:szCs w:val="20"/>
        </w:rPr>
      </w:pPr>
      <w:r w:rsidRPr="005F64C8">
        <w:rPr>
          <w:rFonts w:asciiTheme="minorHAnsi" w:hAnsiTheme="minorHAnsi" w:cs="Arial"/>
          <w:bCs/>
          <w:sz w:val="20"/>
          <w:szCs w:val="20"/>
        </w:rPr>
        <w:t xml:space="preserve">The cost </w:t>
      </w:r>
      <w:r>
        <w:rPr>
          <w:rFonts w:asciiTheme="minorHAnsi" w:hAnsiTheme="minorHAnsi" w:cs="Arial"/>
          <w:bCs/>
          <w:sz w:val="20"/>
          <w:szCs w:val="20"/>
        </w:rPr>
        <w:t>to</w:t>
      </w:r>
      <w:r w:rsidRPr="005F64C8">
        <w:rPr>
          <w:rFonts w:asciiTheme="minorHAnsi" w:hAnsiTheme="minorHAnsi" w:cs="Arial"/>
          <w:bCs/>
          <w:sz w:val="20"/>
          <w:szCs w:val="20"/>
        </w:rPr>
        <w:t xml:space="preserve"> the Group of customer remediation costs, which relate to a wide range of different matters, amounts to </w:t>
      </w:r>
      <w:r w:rsidRPr="00BB1B1A">
        <w:rPr>
          <w:rFonts w:asciiTheme="minorHAnsi" w:hAnsiTheme="minorHAnsi" w:cs="Arial"/>
          <w:bCs/>
          <w:sz w:val="20"/>
          <w:szCs w:val="20"/>
        </w:rPr>
        <w:t>£</w:t>
      </w:r>
      <w:r>
        <w:rPr>
          <w:rFonts w:asciiTheme="minorHAnsi" w:hAnsiTheme="minorHAnsi" w:cs="Arial"/>
          <w:bCs/>
          <w:sz w:val="20"/>
          <w:szCs w:val="20"/>
        </w:rPr>
        <w:t>7.3</w:t>
      </w:r>
      <w:r w:rsidRPr="00BB1B1A">
        <w:rPr>
          <w:rFonts w:asciiTheme="minorHAnsi" w:hAnsiTheme="minorHAnsi" w:cs="Arial"/>
          <w:bCs/>
          <w:sz w:val="20"/>
          <w:szCs w:val="20"/>
        </w:rPr>
        <w:t>m in 1H24 (1H23: £</w:t>
      </w:r>
      <w:r>
        <w:rPr>
          <w:rFonts w:asciiTheme="minorHAnsi" w:hAnsiTheme="minorHAnsi" w:cs="Arial"/>
          <w:bCs/>
          <w:sz w:val="20"/>
          <w:szCs w:val="20"/>
        </w:rPr>
        <w:t>6.3</w:t>
      </w:r>
      <w:r w:rsidRPr="00BB1B1A">
        <w:rPr>
          <w:rFonts w:asciiTheme="minorHAnsi" w:hAnsiTheme="minorHAnsi" w:cs="Arial"/>
          <w:bCs/>
          <w:sz w:val="20"/>
          <w:szCs w:val="20"/>
        </w:rPr>
        <w:t>m; FY23: £</w:t>
      </w:r>
      <w:r>
        <w:rPr>
          <w:rFonts w:asciiTheme="minorHAnsi" w:hAnsiTheme="minorHAnsi" w:cs="Arial"/>
          <w:bCs/>
          <w:sz w:val="20"/>
          <w:szCs w:val="20"/>
        </w:rPr>
        <w:t>11.7</w:t>
      </w:r>
      <w:r w:rsidRPr="00BB1B1A">
        <w:rPr>
          <w:rFonts w:asciiTheme="minorHAnsi" w:hAnsiTheme="minorHAnsi" w:cs="Arial"/>
          <w:bCs/>
          <w:sz w:val="20"/>
          <w:szCs w:val="20"/>
        </w:rPr>
        <w:t xml:space="preserve">m). </w:t>
      </w:r>
    </w:p>
    <w:p w14:paraId="5800EE3B" w14:textId="029E1EB5" w:rsidR="00BF06C8" w:rsidRPr="005F64C8" w:rsidRDefault="00BF06C8" w:rsidP="00BF06C8">
      <w:pPr>
        <w:jc w:val="both"/>
        <w:rPr>
          <w:rFonts w:asciiTheme="minorHAnsi" w:hAnsiTheme="minorHAnsi" w:cs="Arial"/>
          <w:bCs/>
          <w:sz w:val="20"/>
          <w:szCs w:val="20"/>
        </w:rPr>
      </w:pPr>
    </w:p>
    <w:p w14:paraId="67F5EA4B" w14:textId="73EB7206" w:rsidR="00BF06C8" w:rsidRDefault="003A38FB" w:rsidP="003A38FB">
      <w:pPr>
        <w:autoSpaceDE w:val="0"/>
        <w:autoSpaceDN w:val="0"/>
        <w:adjustRightInd w:val="0"/>
        <w:spacing w:after="100" w:line="151" w:lineRule="atLeast"/>
        <w:jc w:val="both"/>
        <w:rPr>
          <w:rFonts w:asciiTheme="minorHAnsi" w:hAnsiTheme="minorHAnsi" w:cs="Arial"/>
          <w:bCs/>
          <w:sz w:val="20"/>
          <w:szCs w:val="20"/>
        </w:rPr>
      </w:pPr>
      <w:r w:rsidRPr="005F64C8">
        <w:rPr>
          <w:rFonts w:asciiTheme="minorHAnsi" w:hAnsiTheme="minorHAnsi" w:cs="Arial"/>
          <w:bCs/>
          <w:sz w:val="20"/>
          <w:szCs w:val="20"/>
        </w:rPr>
        <w:t>A provision of £</w:t>
      </w:r>
      <w:r w:rsidR="006D005E" w:rsidRPr="6A7632AC">
        <w:rPr>
          <w:rFonts w:asciiTheme="minorHAnsi" w:hAnsiTheme="minorHAnsi" w:cs="Arial"/>
          <w:sz w:val="20"/>
          <w:szCs w:val="20"/>
        </w:rPr>
        <w:t>8</w:t>
      </w:r>
      <w:r w:rsidRPr="6A7632AC">
        <w:rPr>
          <w:rFonts w:asciiTheme="minorHAnsi" w:hAnsiTheme="minorHAnsi" w:cs="Arial"/>
          <w:sz w:val="20"/>
          <w:szCs w:val="20"/>
        </w:rPr>
        <w:t>.2m</w:t>
      </w:r>
      <w:r w:rsidRPr="005F64C8">
        <w:rPr>
          <w:rFonts w:asciiTheme="minorHAnsi" w:hAnsiTheme="minorHAnsi" w:cs="Arial"/>
          <w:bCs/>
          <w:sz w:val="20"/>
          <w:szCs w:val="20"/>
        </w:rPr>
        <w:t xml:space="preserve"> (</w:t>
      </w:r>
      <w:r w:rsidRPr="0046758B">
        <w:rPr>
          <w:rFonts w:asciiTheme="minorHAnsi" w:hAnsiTheme="minorHAnsi" w:cs="Arial"/>
          <w:bCs/>
          <w:sz w:val="20"/>
          <w:szCs w:val="20"/>
        </w:rPr>
        <w:t>1H23; £6.0m; FY23: £3.5m)</w:t>
      </w:r>
      <w:r w:rsidRPr="005F64C8">
        <w:rPr>
          <w:rFonts w:asciiTheme="minorHAnsi" w:hAnsiTheme="minorHAnsi" w:cs="Arial"/>
          <w:bCs/>
          <w:sz w:val="20"/>
          <w:szCs w:val="20"/>
        </w:rPr>
        <w:t xml:space="preserve"> is held </w:t>
      </w:r>
      <w:r>
        <w:rPr>
          <w:rFonts w:asciiTheme="minorHAnsi" w:hAnsiTheme="minorHAnsi" w:cs="Arial"/>
          <w:bCs/>
          <w:sz w:val="20"/>
          <w:szCs w:val="20"/>
        </w:rPr>
        <w:t xml:space="preserve">at the balance sheet date </w:t>
      </w:r>
      <w:r w:rsidRPr="005F64C8">
        <w:rPr>
          <w:rFonts w:asciiTheme="minorHAnsi" w:hAnsiTheme="minorHAnsi" w:cs="Arial"/>
          <w:bCs/>
          <w:sz w:val="20"/>
          <w:szCs w:val="20"/>
        </w:rPr>
        <w:t>for</w:t>
      </w:r>
      <w:r w:rsidR="008A682D">
        <w:rPr>
          <w:rFonts w:asciiTheme="minorHAnsi" w:hAnsiTheme="minorHAnsi" w:cs="Arial"/>
          <w:bCs/>
          <w:sz w:val="20"/>
          <w:szCs w:val="20"/>
        </w:rPr>
        <w:t>: (</w:t>
      </w:r>
      <w:proofErr w:type="spellStart"/>
      <w:r w:rsidR="008A682D">
        <w:rPr>
          <w:rFonts w:asciiTheme="minorHAnsi" w:hAnsiTheme="minorHAnsi" w:cs="Arial"/>
          <w:bCs/>
          <w:sz w:val="20"/>
          <w:szCs w:val="20"/>
        </w:rPr>
        <w:t>i</w:t>
      </w:r>
      <w:proofErr w:type="spellEnd"/>
      <w:r w:rsidR="008A682D">
        <w:rPr>
          <w:rFonts w:asciiTheme="minorHAnsi" w:hAnsiTheme="minorHAnsi" w:cs="Arial"/>
          <w:bCs/>
          <w:sz w:val="20"/>
          <w:szCs w:val="20"/>
        </w:rPr>
        <w:t>)</w:t>
      </w:r>
      <w:r w:rsidRPr="005F64C8">
        <w:rPr>
          <w:rFonts w:asciiTheme="minorHAnsi" w:hAnsiTheme="minorHAnsi" w:cs="Arial"/>
          <w:bCs/>
          <w:sz w:val="20"/>
          <w:szCs w:val="20"/>
        </w:rPr>
        <w:t xml:space="preserve"> customer compensation claims received where compensation may be paid but which have not yet been assessed, upheld or compensation amounts agreed</w:t>
      </w:r>
      <w:r w:rsidR="008A682D">
        <w:rPr>
          <w:rFonts w:asciiTheme="minorHAnsi" w:hAnsiTheme="minorHAnsi" w:cs="Arial"/>
          <w:bCs/>
          <w:sz w:val="20"/>
          <w:szCs w:val="20"/>
        </w:rPr>
        <w:t xml:space="preserve"> (£5.2m); and (ii) expected FOS fees for future claims which may be referred (£3.0m)</w:t>
      </w:r>
      <w:r w:rsidRPr="005F64C8">
        <w:rPr>
          <w:rFonts w:asciiTheme="minorHAnsi" w:hAnsiTheme="minorHAnsi" w:cs="Arial"/>
          <w:bCs/>
          <w:sz w:val="20"/>
          <w:szCs w:val="20"/>
        </w:rPr>
        <w:t xml:space="preserve">. The provision is determined based on the complaints volume pipeline at </w:t>
      </w:r>
      <w:r w:rsidRPr="0046758B">
        <w:rPr>
          <w:rFonts w:asciiTheme="minorHAnsi" w:hAnsiTheme="minorHAnsi" w:cs="Arial"/>
          <w:bCs/>
          <w:sz w:val="20"/>
          <w:szCs w:val="20"/>
        </w:rPr>
        <w:t>the period end</w:t>
      </w:r>
      <w:r w:rsidRPr="005F64C8">
        <w:rPr>
          <w:rFonts w:asciiTheme="minorHAnsi" w:hAnsiTheme="minorHAnsi" w:cs="Arial"/>
          <w:bCs/>
          <w:sz w:val="20"/>
          <w:szCs w:val="20"/>
        </w:rPr>
        <w:t xml:space="preserve">, estimated uphold complaint rates, and average compensation amounts for each complaint type based on historic data. </w:t>
      </w:r>
    </w:p>
    <w:p w14:paraId="18DD5603" w14:textId="2CDE9232" w:rsidR="003A38FB" w:rsidRPr="005F64C8" w:rsidRDefault="003A38FB" w:rsidP="003A38FB">
      <w:pPr>
        <w:autoSpaceDE w:val="0"/>
        <w:autoSpaceDN w:val="0"/>
        <w:adjustRightInd w:val="0"/>
        <w:spacing w:after="100" w:line="151" w:lineRule="atLeast"/>
        <w:jc w:val="both"/>
        <w:rPr>
          <w:rFonts w:asciiTheme="minorHAnsi" w:hAnsiTheme="minorHAnsi" w:cs="Arial"/>
          <w:bCs/>
          <w:sz w:val="20"/>
          <w:szCs w:val="20"/>
        </w:rPr>
      </w:pPr>
      <w:r w:rsidRPr="00BB1B1A">
        <w:rPr>
          <w:rFonts w:asciiTheme="minorHAnsi" w:hAnsiTheme="minorHAnsi" w:cs="Arial"/>
          <w:bCs/>
          <w:sz w:val="20"/>
          <w:szCs w:val="20"/>
        </w:rPr>
        <w:t xml:space="preserve">Financial Ombudsman Service </w:t>
      </w:r>
      <w:r>
        <w:rPr>
          <w:rFonts w:asciiTheme="minorHAnsi" w:hAnsiTheme="minorHAnsi" w:cs="Arial"/>
          <w:bCs/>
          <w:sz w:val="20"/>
          <w:szCs w:val="20"/>
        </w:rPr>
        <w:t>(</w:t>
      </w:r>
      <w:r w:rsidRPr="005F64C8">
        <w:rPr>
          <w:rFonts w:asciiTheme="minorHAnsi" w:hAnsiTheme="minorHAnsi" w:cs="Arial"/>
          <w:bCs/>
          <w:sz w:val="20"/>
          <w:szCs w:val="20"/>
        </w:rPr>
        <w:t>FOS</w:t>
      </w:r>
      <w:r>
        <w:rPr>
          <w:rFonts w:asciiTheme="minorHAnsi" w:hAnsiTheme="minorHAnsi" w:cs="Arial"/>
          <w:bCs/>
          <w:sz w:val="20"/>
          <w:szCs w:val="20"/>
        </w:rPr>
        <w:t>)</w:t>
      </w:r>
      <w:r w:rsidRPr="005F64C8">
        <w:rPr>
          <w:rFonts w:asciiTheme="minorHAnsi" w:hAnsiTheme="minorHAnsi" w:cs="Arial"/>
          <w:bCs/>
          <w:sz w:val="20"/>
          <w:szCs w:val="20"/>
        </w:rPr>
        <w:t xml:space="preserve"> case fees of £750 per case </w:t>
      </w:r>
      <w:r w:rsidRPr="0046758B">
        <w:rPr>
          <w:rFonts w:asciiTheme="minorHAnsi" w:hAnsiTheme="minorHAnsi" w:cs="Arial"/>
          <w:bCs/>
          <w:sz w:val="20"/>
          <w:szCs w:val="20"/>
        </w:rPr>
        <w:t xml:space="preserve">was reduced to £650 during 1H24 and </w:t>
      </w:r>
      <w:r w:rsidRPr="005F64C8">
        <w:rPr>
          <w:rFonts w:asciiTheme="minorHAnsi" w:hAnsiTheme="minorHAnsi" w:cs="Arial"/>
          <w:bCs/>
          <w:sz w:val="20"/>
          <w:szCs w:val="20"/>
        </w:rPr>
        <w:t xml:space="preserve">are payable on all cases referred to the FOS regardless of outcome. </w:t>
      </w:r>
      <w:r w:rsidRPr="00BB1B1A">
        <w:rPr>
          <w:rFonts w:asciiTheme="minorHAnsi" w:hAnsiTheme="minorHAnsi" w:cs="Arial"/>
          <w:bCs/>
          <w:sz w:val="20"/>
          <w:szCs w:val="20"/>
        </w:rPr>
        <w:t>FOS case fees and resource costs incurred in processing comp</w:t>
      </w:r>
      <w:r>
        <w:rPr>
          <w:rFonts w:asciiTheme="minorHAnsi" w:hAnsiTheme="minorHAnsi" w:cs="Arial"/>
          <w:bCs/>
          <w:sz w:val="20"/>
          <w:szCs w:val="20"/>
        </w:rPr>
        <w:t>laint</w:t>
      </w:r>
      <w:r w:rsidRPr="00BB1B1A">
        <w:rPr>
          <w:rFonts w:asciiTheme="minorHAnsi" w:hAnsiTheme="minorHAnsi" w:cs="Arial"/>
          <w:bCs/>
          <w:sz w:val="20"/>
          <w:szCs w:val="20"/>
        </w:rPr>
        <w:t xml:space="preserve"> submissions amount</w:t>
      </w:r>
      <w:r w:rsidRPr="005F64C8">
        <w:rPr>
          <w:rFonts w:asciiTheme="minorHAnsi" w:hAnsiTheme="minorHAnsi" w:cs="Arial"/>
          <w:bCs/>
          <w:sz w:val="20"/>
          <w:szCs w:val="20"/>
        </w:rPr>
        <w:t xml:space="preserve"> to £</w:t>
      </w:r>
      <w:r>
        <w:rPr>
          <w:rFonts w:asciiTheme="minorHAnsi" w:hAnsiTheme="minorHAnsi" w:cs="Arial"/>
          <w:bCs/>
          <w:sz w:val="20"/>
          <w:szCs w:val="20"/>
        </w:rPr>
        <w:t xml:space="preserve">17.1m (1H23: £7.6m; FY23: £16.8m).Total </w:t>
      </w:r>
      <w:r w:rsidRPr="005F64C8">
        <w:rPr>
          <w:rFonts w:asciiTheme="minorHAnsi" w:hAnsiTheme="minorHAnsi" w:cs="Arial"/>
          <w:bCs/>
          <w:sz w:val="20"/>
          <w:szCs w:val="20"/>
        </w:rPr>
        <w:t xml:space="preserve">FOS case fees </w:t>
      </w:r>
      <w:r>
        <w:rPr>
          <w:rFonts w:asciiTheme="minorHAnsi" w:hAnsiTheme="minorHAnsi" w:cs="Arial"/>
          <w:bCs/>
          <w:sz w:val="20"/>
          <w:szCs w:val="20"/>
        </w:rPr>
        <w:t xml:space="preserve">incurred by the Group </w:t>
      </w:r>
      <w:r w:rsidRPr="005F64C8">
        <w:rPr>
          <w:rFonts w:asciiTheme="minorHAnsi" w:hAnsiTheme="minorHAnsi" w:cs="Arial"/>
          <w:bCs/>
          <w:sz w:val="20"/>
          <w:szCs w:val="20"/>
        </w:rPr>
        <w:t xml:space="preserve">have increased reflecting the increase in total volumes referred to FOS; this increase is mainly due to the </w:t>
      </w:r>
      <w:r>
        <w:rPr>
          <w:rFonts w:asciiTheme="minorHAnsi" w:hAnsiTheme="minorHAnsi" w:cs="Arial"/>
          <w:bCs/>
          <w:sz w:val="20"/>
          <w:szCs w:val="20"/>
        </w:rPr>
        <w:t>elevated</w:t>
      </w:r>
      <w:r w:rsidRPr="005F64C8">
        <w:rPr>
          <w:rFonts w:asciiTheme="minorHAnsi" w:hAnsiTheme="minorHAnsi" w:cs="Arial"/>
          <w:bCs/>
          <w:sz w:val="20"/>
          <w:szCs w:val="20"/>
        </w:rPr>
        <w:t xml:space="preserve"> volumes submitted by CMC’s exceeding time bound service level agreements, and is not an indication of deteriorating underlying issues. These costs are based on complaints volume pipeline as at </w:t>
      </w:r>
      <w:r w:rsidRPr="0046758B">
        <w:rPr>
          <w:rFonts w:asciiTheme="minorHAnsi" w:hAnsiTheme="minorHAnsi" w:cs="Arial"/>
          <w:bCs/>
          <w:sz w:val="20"/>
          <w:szCs w:val="20"/>
        </w:rPr>
        <w:t>the period end</w:t>
      </w:r>
      <w:r w:rsidRPr="005F64C8">
        <w:rPr>
          <w:rFonts w:asciiTheme="minorHAnsi" w:hAnsiTheme="minorHAnsi" w:cs="Arial"/>
          <w:bCs/>
          <w:sz w:val="20"/>
          <w:szCs w:val="20"/>
        </w:rPr>
        <w:t>, in addition to further estimated referrals based on historic data</w:t>
      </w:r>
      <w:r>
        <w:rPr>
          <w:rFonts w:asciiTheme="minorHAnsi" w:hAnsiTheme="minorHAnsi" w:cs="Arial"/>
          <w:bCs/>
          <w:sz w:val="20"/>
          <w:szCs w:val="20"/>
        </w:rPr>
        <w:t>. At the period end</w:t>
      </w:r>
      <w:r w:rsidR="001321E9">
        <w:rPr>
          <w:rFonts w:asciiTheme="minorHAnsi" w:hAnsiTheme="minorHAnsi" w:cs="Arial"/>
          <w:bCs/>
          <w:sz w:val="20"/>
          <w:szCs w:val="20"/>
        </w:rPr>
        <w:t xml:space="preserve"> </w:t>
      </w:r>
      <w:r w:rsidRPr="005F3311">
        <w:rPr>
          <w:rFonts w:asciiTheme="minorHAnsi" w:hAnsiTheme="minorHAnsi" w:cs="Arial"/>
          <w:sz w:val="20"/>
          <w:szCs w:val="20"/>
        </w:rPr>
        <w:t>£</w:t>
      </w:r>
      <w:r w:rsidR="005D02C4" w:rsidRPr="005F3311">
        <w:rPr>
          <w:rFonts w:asciiTheme="minorHAnsi" w:hAnsiTheme="minorHAnsi" w:cs="Arial"/>
          <w:sz w:val="20"/>
          <w:szCs w:val="20"/>
        </w:rPr>
        <w:t>8</w:t>
      </w:r>
      <w:r w:rsidRPr="005F3311">
        <w:rPr>
          <w:rFonts w:asciiTheme="minorHAnsi" w:hAnsiTheme="minorHAnsi" w:cs="Arial"/>
          <w:sz w:val="20"/>
          <w:szCs w:val="20"/>
        </w:rPr>
        <w:t>.1m</w:t>
      </w:r>
      <w:r w:rsidRPr="005F64C8">
        <w:rPr>
          <w:rFonts w:asciiTheme="minorHAnsi" w:hAnsiTheme="minorHAnsi" w:cs="Arial"/>
          <w:bCs/>
          <w:sz w:val="20"/>
          <w:szCs w:val="20"/>
        </w:rPr>
        <w:t xml:space="preserve"> (</w:t>
      </w:r>
      <w:r w:rsidRPr="0046758B">
        <w:rPr>
          <w:rFonts w:asciiTheme="minorHAnsi" w:hAnsiTheme="minorHAnsi" w:cs="Arial"/>
          <w:bCs/>
          <w:sz w:val="20"/>
          <w:szCs w:val="20"/>
        </w:rPr>
        <w:t>1H23: £3.5m; FY23: £4.8m)</w:t>
      </w:r>
      <w:r w:rsidRPr="005F64C8">
        <w:rPr>
          <w:rFonts w:asciiTheme="minorHAnsi" w:hAnsiTheme="minorHAnsi" w:cs="Arial"/>
          <w:bCs/>
          <w:sz w:val="20"/>
          <w:szCs w:val="20"/>
        </w:rPr>
        <w:t xml:space="preserve"> is included within accruals at </w:t>
      </w:r>
      <w:r>
        <w:rPr>
          <w:rFonts w:asciiTheme="minorHAnsi" w:hAnsiTheme="minorHAnsi" w:cs="Arial"/>
          <w:bCs/>
          <w:sz w:val="20"/>
          <w:szCs w:val="20"/>
        </w:rPr>
        <w:t>30 June 2024</w:t>
      </w:r>
      <w:r w:rsidRPr="005F64C8">
        <w:rPr>
          <w:rFonts w:asciiTheme="minorHAnsi" w:hAnsiTheme="minorHAnsi" w:cs="Arial"/>
          <w:bCs/>
          <w:sz w:val="20"/>
          <w:szCs w:val="20"/>
        </w:rPr>
        <w:t xml:space="preserve">. </w:t>
      </w:r>
    </w:p>
    <w:p w14:paraId="7E397C17" w14:textId="32D892A2" w:rsidR="00837645" w:rsidRDefault="00837645" w:rsidP="003A38FB">
      <w:pPr>
        <w:jc w:val="both"/>
        <w:rPr>
          <w:rFonts w:asciiTheme="minorHAnsi" w:hAnsiTheme="minorHAnsi" w:cs="Arial"/>
          <w:bCs/>
          <w:sz w:val="20"/>
          <w:szCs w:val="20"/>
        </w:rPr>
      </w:pPr>
    </w:p>
    <w:p w14:paraId="47921BD3" w14:textId="77777777" w:rsidR="0087385C" w:rsidRPr="00701439" w:rsidRDefault="0087385C" w:rsidP="00CF66BE">
      <w:pPr>
        <w:ind w:left="567" w:hanging="567"/>
        <w:jc w:val="both"/>
        <w:rPr>
          <w:rStyle w:val="bodycopynumber"/>
          <w:rFonts w:asciiTheme="minorHAnsi" w:hAnsiTheme="minorHAnsi" w:cs="Arial"/>
          <w:b/>
          <w:bCs/>
          <w:color w:val="4747FF"/>
          <w:sz w:val="22"/>
          <w:szCs w:val="22"/>
        </w:rPr>
      </w:pPr>
      <w:r>
        <w:rPr>
          <w:rStyle w:val="bodycopynumber"/>
          <w:rFonts w:asciiTheme="minorHAnsi" w:hAnsiTheme="minorHAnsi" w:cs="Arial"/>
          <w:b/>
          <w:bCs/>
          <w:color w:val="4747FF"/>
          <w:sz w:val="22"/>
          <w:szCs w:val="22"/>
        </w:rPr>
        <w:t>3</w:t>
      </w:r>
      <w:r w:rsidRPr="00701439">
        <w:rPr>
          <w:rStyle w:val="bodycopynumber"/>
          <w:rFonts w:asciiTheme="minorHAnsi" w:hAnsiTheme="minorHAnsi" w:cs="Arial"/>
          <w:b/>
          <w:bCs/>
          <w:color w:val="4747FF"/>
          <w:sz w:val="22"/>
          <w:szCs w:val="22"/>
        </w:rPr>
        <w:t>.</w:t>
      </w:r>
      <w:r w:rsidRPr="00701439">
        <w:rPr>
          <w:rStyle w:val="bodycopynumber"/>
          <w:rFonts w:asciiTheme="minorHAnsi" w:hAnsiTheme="minorHAnsi" w:cs="Arial"/>
          <w:b/>
          <w:bCs/>
          <w:color w:val="4747FF"/>
          <w:sz w:val="22"/>
          <w:szCs w:val="22"/>
        </w:rPr>
        <w:tab/>
      </w:r>
      <w:r>
        <w:rPr>
          <w:rStyle w:val="bodycopynumber"/>
          <w:rFonts w:asciiTheme="minorHAnsi" w:hAnsiTheme="minorHAnsi" w:cs="Arial"/>
          <w:b/>
          <w:bCs/>
          <w:color w:val="4747FF"/>
          <w:sz w:val="22"/>
          <w:szCs w:val="22"/>
        </w:rPr>
        <w:t>Interest income</w:t>
      </w:r>
    </w:p>
    <w:p w14:paraId="4B425368" w14:textId="77777777" w:rsidR="0087385C" w:rsidRDefault="0087385C" w:rsidP="0087385C">
      <w:pPr>
        <w:autoSpaceDE w:val="0"/>
        <w:autoSpaceDN w:val="0"/>
        <w:adjustRightInd w:val="0"/>
        <w:jc w:val="both"/>
        <w:rPr>
          <w:rFonts w:cs="Arial"/>
          <w:b/>
          <w:color w:val="4747FF"/>
          <w:sz w:val="22"/>
          <w:szCs w:val="22"/>
        </w:rPr>
      </w:pPr>
    </w:p>
    <w:tbl>
      <w:tblPr>
        <w:tblW w:w="5000" w:type="pct"/>
        <w:tblLook w:val="0000" w:firstRow="0" w:lastRow="0" w:firstColumn="0" w:lastColumn="0" w:noHBand="0" w:noVBand="0"/>
      </w:tblPr>
      <w:tblGrid>
        <w:gridCol w:w="7061"/>
        <w:gridCol w:w="1219"/>
        <w:gridCol w:w="1443"/>
      </w:tblGrid>
      <w:tr w:rsidR="002D4B17" w:rsidRPr="008B3AA6" w14:paraId="2F7419D6" w14:textId="77777777" w:rsidTr="002D4B17">
        <w:tc>
          <w:tcPr>
            <w:tcW w:w="3631" w:type="pct"/>
          </w:tcPr>
          <w:p w14:paraId="039D6245" w14:textId="77777777" w:rsidR="002D4B17" w:rsidRDefault="002D4B17" w:rsidP="005B2885">
            <w:pPr>
              <w:rPr>
                <w:rFonts w:asciiTheme="minorHAnsi" w:eastAsiaTheme="minorEastAsia" w:hAnsiTheme="minorHAnsi" w:cstheme="minorBidi"/>
                <w:sz w:val="20"/>
                <w:szCs w:val="20"/>
              </w:rPr>
            </w:pPr>
          </w:p>
        </w:tc>
        <w:tc>
          <w:tcPr>
            <w:tcW w:w="1369" w:type="pct"/>
            <w:gridSpan w:val="2"/>
            <w:shd w:val="clear" w:color="auto" w:fill="auto"/>
          </w:tcPr>
          <w:p w14:paraId="05E7FA25" w14:textId="4C87AA6B" w:rsidR="002D4B17" w:rsidRPr="00F203CC" w:rsidRDefault="002D4B17" w:rsidP="002D4B17">
            <w:pPr>
              <w:jc w:val="center"/>
              <w:rPr>
                <w:rFonts w:asciiTheme="minorHAnsi" w:eastAsiaTheme="minorEastAsia" w:hAnsiTheme="minorHAnsi" w:cstheme="minorBidi"/>
                <w:sz w:val="20"/>
                <w:szCs w:val="20"/>
              </w:rPr>
            </w:pPr>
            <w:r w:rsidRPr="7ACEA165">
              <w:rPr>
                <w:rFonts w:asciiTheme="minorHAnsi" w:eastAsiaTheme="minorEastAsia" w:hAnsiTheme="minorHAnsi" w:cstheme="minorBidi"/>
                <w:sz w:val="20"/>
                <w:szCs w:val="20"/>
              </w:rPr>
              <w:t>Six months ended 30 June</w:t>
            </w:r>
          </w:p>
        </w:tc>
      </w:tr>
      <w:tr w:rsidR="0087385C" w:rsidRPr="008B3AA6" w14:paraId="58DA223C" w14:textId="77777777" w:rsidTr="005B2885">
        <w:tc>
          <w:tcPr>
            <w:tcW w:w="3631" w:type="pct"/>
          </w:tcPr>
          <w:p w14:paraId="4A8689E2" w14:textId="77777777" w:rsidR="0087385C" w:rsidRPr="00701439" w:rsidRDefault="0087385C" w:rsidP="005B2885">
            <w:pPr>
              <w:rPr>
                <w:rFonts w:asciiTheme="minorHAnsi" w:eastAsiaTheme="minorEastAsia" w:hAnsiTheme="minorHAnsi" w:cstheme="minorBidi"/>
                <w:sz w:val="20"/>
                <w:szCs w:val="20"/>
              </w:rPr>
            </w:pPr>
            <w:r w:rsidRPr="7ACEA165">
              <w:rPr>
                <w:rFonts w:asciiTheme="minorHAnsi" w:eastAsiaTheme="minorEastAsia" w:hAnsiTheme="minorHAnsi" w:cstheme="minorBidi"/>
                <w:sz w:val="20"/>
                <w:szCs w:val="20"/>
              </w:rPr>
              <w:t>Interest receivable from:</w:t>
            </w:r>
          </w:p>
        </w:tc>
        <w:tc>
          <w:tcPr>
            <w:tcW w:w="627" w:type="pct"/>
            <w:shd w:val="clear" w:color="auto" w:fill="F2F2F2" w:themeFill="background1" w:themeFillShade="F2"/>
          </w:tcPr>
          <w:p w14:paraId="2664796C" w14:textId="33EF0EE5" w:rsidR="0087385C" w:rsidRPr="00C77A50" w:rsidRDefault="0087385C" w:rsidP="005B2885">
            <w:pPr>
              <w:jc w:val="right"/>
              <w:rPr>
                <w:rFonts w:asciiTheme="minorHAnsi" w:eastAsiaTheme="minorEastAsia" w:hAnsiTheme="minorHAnsi" w:cstheme="minorBidi"/>
                <w:b/>
                <w:sz w:val="20"/>
                <w:szCs w:val="20"/>
              </w:rPr>
            </w:pPr>
            <w:r w:rsidRPr="7ACEA165">
              <w:rPr>
                <w:rFonts w:asciiTheme="minorHAnsi" w:eastAsiaTheme="minorEastAsia" w:hAnsiTheme="minorHAnsi" w:cstheme="minorBidi"/>
                <w:b/>
                <w:sz w:val="20"/>
                <w:szCs w:val="20"/>
              </w:rPr>
              <w:t>2024 </w:t>
            </w:r>
          </w:p>
        </w:tc>
        <w:tc>
          <w:tcPr>
            <w:tcW w:w="742" w:type="pct"/>
          </w:tcPr>
          <w:p w14:paraId="7792E14C" w14:textId="30B78BCC" w:rsidR="0087385C" w:rsidRPr="00F203CC" w:rsidRDefault="0087385C" w:rsidP="005B2885">
            <w:pPr>
              <w:jc w:val="right"/>
              <w:rPr>
                <w:rFonts w:asciiTheme="minorHAnsi" w:eastAsiaTheme="minorEastAsia" w:hAnsiTheme="minorHAnsi" w:cstheme="minorBidi"/>
                <w:sz w:val="20"/>
                <w:szCs w:val="20"/>
              </w:rPr>
            </w:pPr>
            <w:r w:rsidRPr="7ACEA165">
              <w:rPr>
                <w:rFonts w:asciiTheme="minorHAnsi" w:eastAsiaTheme="minorEastAsia" w:hAnsiTheme="minorHAnsi" w:cstheme="minorBidi"/>
                <w:sz w:val="20"/>
                <w:szCs w:val="20"/>
              </w:rPr>
              <w:t>2023</w:t>
            </w:r>
          </w:p>
        </w:tc>
      </w:tr>
      <w:tr w:rsidR="0087385C" w:rsidRPr="008B3AA6" w14:paraId="742564ED" w14:textId="77777777" w:rsidTr="005B2885">
        <w:tc>
          <w:tcPr>
            <w:tcW w:w="3631" w:type="pct"/>
          </w:tcPr>
          <w:p w14:paraId="43603AED" w14:textId="77777777" w:rsidR="0087385C" w:rsidRPr="008B3AA6" w:rsidRDefault="0087385C" w:rsidP="005B2885">
            <w:pPr>
              <w:rPr>
                <w:rFonts w:asciiTheme="minorHAnsi" w:eastAsiaTheme="minorEastAsia" w:hAnsiTheme="minorHAnsi" w:cstheme="minorBidi"/>
                <w:sz w:val="20"/>
                <w:szCs w:val="20"/>
                <w:highlight w:val="green"/>
              </w:rPr>
            </w:pPr>
          </w:p>
        </w:tc>
        <w:tc>
          <w:tcPr>
            <w:tcW w:w="627" w:type="pct"/>
            <w:tcBorders>
              <w:top w:val="nil"/>
              <w:left w:val="nil"/>
              <w:bottom w:val="single" w:sz="4" w:space="0" w:color="auto"/>
              <w:right w:val="nil"/>
            </w:tcBorders>
            <w:shd w:val="clear" w:color="auto" w:fill="F2F2F2" w:themeFill="background1" w:themeFillShade="F2"/>
          </w:tcPr>
          <w:p w14:paraId="5DC17BD9" w14:textId="77777777" w:rsidR="0087385C" w:rsidRPr="00C77A50" w:rsidRDefault="0087385C" w:rsidP="005B2885">
            <w:pPr>
              <w:jc w:val="right"/>
              <w:rPr>
                <w:rFonts w:asciiTheme="minorHAnsi" w:eastAsiaTheme="minorEastAsia" w:hAnsiTheme="minorHAnsi" w:cstheme="minorBidi"/>
                <w:b/>
                <w:sz w:val="20"/>
                <w:szCs w:val="20"/>
              </w:rPr>
            </w:pPr>
            <w:r w:rsidRPr="7ACEA165">
              <w:rPr>
                <w:rFonts w:asciiTheme="minorHAnsi" w:eastAsiaTheme="minorEastAsia" w:hAnsiTheme="minorHAnsi" w:cstheme="minorBidi"/>
                <w:b/>
                <w:sz w:val="20"/>
                <w:szCs w:val="20"/>
              </w:rPr>
              <w:t>£m </w:t>
            </w:r>
          </w:p>
        </w:tc>
        <w:tc>
          <w:tcPr>
            <w:tcW w:w="742" w:type="pct"/>
            <w:tcBorders>
              <w:top w:val="nil"/>
              <w:left w:val="nil"/>
              <w:bottom w:val="single" w:sz="4" w:space="0" w:color="auto"/>
              <w:right w:val="nil"/>
            </w:tcBorders>
          </w:tcPr>
          <w:p w14:paraId="62B9274B" w14:textId="77777777" w:rsidR="0087385C" w:rsidRPr="00F203CC" w:rsidRDefault="0087385C" w:rsidP="005B2885">
            <w:pPr>
              <w:jc w:val="right"/>
              <w:rPr>
                <w:rFonts w:asciiTheme="minorHAnsi" w:eastAsiaTheme="minorEastAsia" w:hAnsiTheme="minorHAnsi" w:cstheme="minorBidi"/>
                <w:sz w:val="20"/>
                <w:szCs w:val="20"/>
              </w:rPr>
            </w:pPr>
            <w:r w:rsidRPr="7ACEA165">
              <w:rPr>
                <w:rFonts w:asciiTheme="minorHAnsi" w:eastAsiaTheme="minorEastAsia" w:hAnsiTheme="minorHAnsi" w:cstheme="minorBidi"/>
                <w:sz w:val="20"/>
                <w:szCs w:val="20"/>
              </w:rPr>
              <w:t>£m </w:t>
            </w:r>
          </w:p>
        </w:tc>
      </w:tr>
      <w:tr w:rsidR="0087385C" w:rsidRPr="008B3AA6" w14:paraId="4683B922" w14:textId="77777777" w:rsidTr="005B2885">
        <w:tc>
          <w:tcPr>
            <w:tcW w:w="3631" w:type="pct"/>
            <w:vAlign w:val="bottom"/>
          </w:tcPr>
          <w:p w14:paraId="599DBB87" w14:textId="77777777" w:rsidR="0087385C" w:rsidRPr="008B3AA6" w:rsidRDefault="0087385C" w:rsidP="005B2885">
            <w:pPr>
              <w:rPr>
                <w:rFonts w:asciiTheme="minorHAnsi" w:eastAsiaTheme="minorEastAsia" w:hAnsiTheme="minorHAnsi" w:cstheme="minorBidi"/>
                <w:b/>
                <w:sz w:val="20"/>
                <w:szCs w:val="20"/>
                <w:highlight w:val="green"/>
              </w:rPr>
            </w:pPr>
            <w:r w:rsidRPr="7ACEA165">
              <w:rPr>
                <w:rFonts w:asciiTheme="minorHAnsi" w:eastAsiaTheme="minorEastAsia" w:hAnsiTheme="minorHAnsi" w:cstheme="minorBidi"/>
                <w:sz w:val="20"/>
                <w:szCs w:val="20"/>
              </w:rPr>
              <w:t>Customer receivables</w:t>
            </w:r>
          </w:p>
        </w:tc>
        <w:tc>
          <w:tcPr>
            <w:tcW w:w="627" w:type="pct"/>
            <w:shd w:val="clear" w:color="auto" w:fill="F2F2F2" w:themeFill="background1" w:themeFillShade="F2"/>
            <w:vAlign w:val="bottom"/>
          </w:tcPr>
          <w:p w14:paraId="13300562" w14:textId="19AEC24B" w:rsidR="0087385C" w:rsidRPr="006D4208" w:rsidRDefault="00471662" w:rsidP="005B2885">
            <w:pPr>
              <w:jc w:val="right"/>
              <w:rPr>
                <w:rFonts w:asciiTheme="minorHAnsi" w:eastAsiaTheme="minorEastAsia" w:hAnsiTheme="minorHAnsi" w:cstheme="minorBidi"/>
                <w:b/>
                <w:sz w:val="20"/>
                <w:szCs w:val="20"/>
              </w:rPr>
            </w:pPr>
            <w:r w:rsidRPr="7ACEA165">
              <w:rPr>
                <w:rFonts w:asciiTheme="minorHAnsi" w:eastAsiaTheme="minorEastAsia" w:hAnsiTheme="minorHAnsi" w:cstheme="minorBidi"/>
                <w:b/>
                <w:sz w:val="20"/>
                <w:szCs w:val="20"/>
              </w:rPr>
              <w:t>263.5</w:t>
            </w:r>
          </w:p>
        </w:tc>
        <w:tc>
          <w:tcPr>
            <w:tcW w:w="742" w:type="pct"/>
            <w:vAlign w:val="bottom"/>
          </w:tcPr>
          <w:p w14:paraId="344B4430" w14:textId="37AD4D02" w:rsidR="0087385C" w:rsidRPr="006D4208" w:rsidRDefault="0097109B" w:rsidP="005B2885">
            <w:pPr>
              <w:jc w:val="right"/>
              <w:rPr>
                <w:rFonts w:asciiTheme="minorHAnsi" w:eastAsiaTheme="minorEastAsia" w:hAnsiTheme="minorHAnsi" w:cstheme="minorBidi"/>
                <w:sz w:val="20"/>
                <w:szCs w:val="20"/>
              </w:rPr>
            </w:pPr>
            <w:r w:rsidRPr="7ACEA165">
              <w:rPr>
                <w:rFonts w:asciiTheme="minorHAnsi" w:eastAsiaTheme="minorEastAsia" w:hAnsiTheme="minorHAnsi" w:cstheme="minorBidi"/>
                <w:sz w:val="20"/>
                <w:szCs w:val="20"/>
              </w:rPr>
              <w:t>251.5</w:t>
            </w:r>
          </w:p>
        </w:tc>
      </w:tr>
      <w:tr w:rsidR="0087385C" w:rsidRPr="008B3AA6" w14:paraId="48B40C68" w14:textId="77777777" w:rsidTr="005B2885">
        <w:tc>
          <w:tcPr>
            <w:tcW w:w="3631" w:type="pct"/>
            <w:vAlign w:val="bottom"/>
          </w:tcPr>
          <w:p w14:paraId="46622312" w14:textId="77777777" w:rsidR="0087385C" w:rsidRPr="008B3AA6" w:rsidRDefault="0087385C" w:rsidP="005B2885">
            <w:pPr>
              <w:rPr>
                <w:rFonts w:asciiTheme="minorHAnsi" w:eastAsiaTheme="minorEastAsia" w:hAnsiTheme="minorHAnsi" w:cstheme="minorBidi"/>
                <w:sz w:val="20"/>
                <w:szCs w:val="20"/>
                <w:highlight w:val="green"/>
              </w:rPr>
            </w:pPr>
            <w:r w:rsidRPr="7ACEA165">
              <w:rPr>
                <w:rFonts w:asciiTheme="minorHAnsi" w:eastAsiaTheme="minorEastAsia" w:hAnsiTheme="minorHAnsi" w:cstheme="minorBidi"/>
                <w:sz w:val="20"/>
                <w:szCs w:val="20"/>
              </w:rPr>
              <w:t>Cash balances held on deposit and other interest</w:t>
            </w:r>
          </w:p>
        </w:tc>
        <w:tc>
          <w:tcPr>
            <w:tcW w:w="627" w:type="pct"/>
            <w:shd w:val="clear" w:color="auto" w:fill="F2F2F2" w:themeFill="background1" w:themeFillShade="F2"/>
            <w:vAlign w:val="bottom"/>
          </w:tcPr>
          <w:p w14:paraId="3DE83B96" w14:textId="40741264" w:rsidR="0087385C" w:rsidRPr="006D4208" w:rsidRDefault="009B65E2" w:rsidP="005B2885">
            <w:pPr>
              <w:jc w:val="right"/>
              <w:rPr>
                <w:rFonts w:asciiTheme="minorHAnsi" w:eastAsiaTheme="minorEastAsia" w:hAnsiTheme="minorHAnsi" w:cstheme="minorBidi"/>
                <w:b/>
                <w:color w:val="000000"/>
                <w:sz w:val="20"/>
                <w:szCs w:val="20"/>
              </w:rPr>
            </w:pPr>
            <w:r w:rsidRPr="7ACEA165">
              <w:rPr>
                <w:rFonts w:asciiTheme="minorHAnsi" w:eastAsiaTheme="minorEastAsia" w:hAnsiTheme="minorHAnsi" w:cstheme="minorBidi"/>
                <w:b/>
                <w:color w:val="000000" w:themeColor="text1"/>
                <w:sz w:val="20"/>
                <w:szCs w:val="20"/>
              </w:rPr>
              <w:t>20.3</w:t>
            </w:r>
          </w:p>
        </w:tc>
        <w:tc>
          <w:tcPr>
            <w:tcW w:w="742" w:type="pct"/>
            <w:vAlign w:val="bottom"/>
          </w:tcPr>
          <w:p w14:paraId="1142BF5D" w14:textId="2940A764" w:rsidR="0087385C" w:rsidRPr="006D4208" w:rsidRDefault="00682D6D" w:rsidP="005B2885">
            <w:pPr>
              <w:jc w:val="right"/>
              <w:rPr>
                <w:rFonts w:asciiTheme="minorHAnsi" w:eastAsiaTheme="minorEastAsia" w:hAnsiTheme="minorHAnsi" w:cstheme="minorBidi"/>
                <w:sz w:val="20"/>
                <w:szCs w:val="20"/>
              </w:rPr>
            </w:pPr>
            <w:r w:rsidRPr="7ACEA165">
              <w:rPr>
                <w:rFonts w:asciiTheme="minorHAnsi" w:eastAsiaTheme="minorEastAsia" w:hAnsiTheme="minorHAnsi" w:cstheme="minorBidi"/>
                <w:sz w:val="20"/>
                <w:szCs w:val="20"/>
              </w:rPr>
              <w:t>10</w:t>
            </w:r>
            <w:r w:rsidR="00DE7E69" w:rsidRPr="7ACEA165">
              <w:rPr>
                <w:rFonts w:asciiTheme="minorHAnsi" w:eastAsiaTheme="minorEastAsia" w:hAnsiTheme="minorHAnsi" w:cstheme="minorBidi"/>
                <w:sz w:val="20"/>
                <w:szCs w:val="20"/>
              </w:rPr>
              <w:t>.6</w:t>
            </w:r>
          </w:p>
        </w:tc>
      </w:tr>
      <w:tr w:rsidR="0087385C" w:rsidRPr="00A36F5C" w14:paraId="3B375CA8" w14:textId="77777777" w:rsidTr="005B2885">
        <w:tc>
          <w:tcPr>
            <w:tcW w:w="3631" w:type="pct"/>
            <w:vAlign w:val="bottom"/>
          </w:tcPr>
          <w:p w14:paraId="3E4CBF68" w14:textId="77777777" w:rsidR="0087385C" w:rsidRPr="00A36F5C" w:rsidRDefault="0087385C" w:rsidP="005B2885">
            <w:pPr>
              <w:rPr>
                <w:rFonts w:asciiTheme="minorHAnsi" w:eastAsiaTheme="minorEastAsia" w:hAnsiTheme="minorHAnsi" w:cstheme="minorBidi"/>
                <w:sz w:val="20"/>
                <w:szCs w:val="20"/>
              </w:rPr>
            </w:pPr>
            <w:r w:rsidRPr="7ACEA165">
              <w:rPr>
                <w:rFonts w:asciiTheme="minorHAnsi" w:eastAsiaTheme="minorEastAsia" w:hAnsiTheme="minorHAnsi" w:cstheme="minorBidi"/>
                <w:sz w:val="20"/>
                <w:szCs w:val="20"/>
              </w:rPr>
              <w:t>Net fair value gains on derivative financial instruments</w:t>
            </w:r>
          </w:p>
        </w:tc>
        <w:tc>
          <w:tcPr>
            <w:tcW w:w="627" w:type="pct"/>
            <w:shd w:val="clear" w:color="auto" w:fill="F2F2F2" w:themeFill="background1" w:themeFillShade="F2"/>
          </w:tcPr>
          <w:p w14:paraId="2157D984" w14:textId="77D47A84" w:rsidR="0087385C" w:rsidRPr="006D4208" w:rsidRDefault="00C769A4" w:rsidP="005B2885">
            <w:pPr>
              <w:jc w:val="right"/>
              <w:rPr>
                <w:rFonts w:asciiTheme="minorHAnsi" w:eastAsiaTheme="minorEastAsia" w:hAnsiTheme="minorHAnsi" w:cstheme="minorBidi"/>
                <w:b/>
                <w:color w:val="000000"/>
                <w:sz w:val="20"/>
                <w:szCs w:val="20"/>
              </w:rPr>
            </w:pPr>
            <w:r w:rsidRPr="7ACEA165">
              <w:rPr>
                <w:rFonts w:asciiTheme="minorHAnsi" w:eastAsiaTheme="minorEastAsia" w:hAnsiTheme="minorHAnsi" w:cstheme="minorBidi"/>
                <w:b/>
                <w:color w:val="000000" w:themeColor="text1"/>
                <w:sz w:val="20"/>
                <w:szCs w:val="20"/>
              </w:rPr>
              <w:t>1.4</w:t>
            </w:r>
          </w:p>
        </w:tc>
        <w:tc>
          <w:tcPr>
            <w:tcW w:w="742" w:type="pct"/>
            <w:vAlign w:val="bottom"/>
          </w:tcPr>
          <w:p w14:paraId="42406389" w14:textId="79287B62" w:rsidR="0087385C" w:rsidRPr="006D4208" w:rsidRDefault="00F378EA" w:rsidP="005B2885">
            <w:pPr>
              <w:jc w:val="right"/>
              <w:rPr>
                <w:rFonts w:asciiTheme="minorHAnsi" w:eastAsiaTheme="minorEastAsia" w:hAnsiTheme="minorHAnsi" w:cstheme="minorBidi"/>
                <w:sz w:val="20"/>
                <w:szCs w:val="20"/>
              </w:rPr>
            </w:pPr>
            <w:r w:rsidRPr="7ACEA165">
              <w:rPr>
                <w:rFonts w:asciiTheme="minorHAnsi" w:eastAsiaTheme="minorEastAsia" w:hAnsiTheme="minorHAnsi" w:cstheme="minorBidi"/>
                <w:sz w:val="20"/>
                <w:szCs w:val="20"/>
              </w:rPr>
              <w:t>2</w:t>
            </w:r>
            <w:r w:rsidR="00DE7E69" w:rsidRPr="7ACEA165">
              <w:rPr>
                <w:rFonts w:asciiTheme="minorHAnsi" w:eastAsiaTheme="minorEastAsia" w:hAnsiTheme="minorHAnsi" w:cstheme="minorBidi"/>
                <w:sz w:val="20"/>
                <w:szCs w:val="20"/>
              </w:rPr>
              <w:t>.7</w:t>
            </w:r>
          </w:p>
        </w:tc>
      </w:tr>
      <w:tr w:rsidR="0087385C" w:rsidRPr="00A36F5C" w14:paraId="2497D7FC" w14:textId="77777777" w:rsidTr="005B2885">
        <w:tc>
          <w:tcPr>
            <w:tcW w:w="3631" w:type="pct"/>
            <w:vAlign w:val="bottom"/>
          </w:tcPr>
          <w:p w14:paraId="55EA635C" w14:textId="77777777" w:rsidR="0087385C" w:rsidRPr="00A36F5C" w:rsidRDefault="0087385C" w:rsidP="005B2885">
            <w:pPr>
              <w:rPr>
                <w:rFonts w:asciiTheme="minorHAnsi" w:eastAsiaTheme="minorEastAsia" w:hAnsiTheme="minorHAnsi" w:cstheme="minorBidi"/>
                <w:b/>
                <w:sz w:val="20"/>
                <w:szCs w:val="20"/>
              </w:rPr>
            </w:pPr>
            <w:r w:rsidRPr="7ACEA165">
              <w:rPr>
                <w:rFonts w:asciiTheme="minorHAnsi" w:eastAsiaTheme="minorEastAsia" w:hAnsiTheme="minorHAnsi" w:cstheme="minorBidi"/>
                <w:b/>
                <w:sz w:val="20"/>
                <w:szCs w:val="20"/>
              </w:rPr>
              <w:t xml:space="preserve">Total income </w:t>
            </w:r>
          </w:p>
        </w:tc>
        <w:tc>
          <w:tcPr>
            <w:tcW w:w="627" w:type="pct"/>
            <w:tcBorders>
              <w:top w:val="single" w:sz="4" w:space="0" w:color="auto"/>
              <w:left w:val="nil"/>
              <w:bottom w:val="single" w:sz="12" w:space="0" w:color="auto"/>
              <w:right w:val="nil"/>
            </w:tcBorders>
            <w:shd w:val="clear" w:color="auto" w:fill="F2F2F2" w:themeFill="background1" w:themeFillShade="F2"/>
          </w:tcPr>
          <w:p w14:paraId="1BF2A175" w14:textId="7AF8ABC8" w:rsidR="0087385C" w:rsidRPr="006D4208" w:rsidRDefault="00471662" w:rsidP="005B2885">
            <w:pPr>
              <w:jc w:val="right"/>
              <w:rPr>
                <w:rFonts w:asciiTheme="minorHAnsi" w:eastAsiaTheme="minorEastAsia" w:hAnsiTheme="minorHAnsi" w:cstheme="minorBidi"/>
                <w:b/>
                <w:sz w:val="20"/>
                <w:szCs w:val="20"/>
              </w:rPr>
            </w:pPr>
            <w:r w:rsidRPr="7ACEA165">
              <w:rPr>
                <w:rFonts w:asciiTheme="minorHAnsi" w:eastAsiaTheme="minorEastAsia" w:hAnsiTheme="minorHAnsi" w:cstheme="minorBidi"/>
                <w:b/>
                <w:sz w:val="20"/>
                <w:szCs w:val="20"/>
              </w:rPr>
              <w:t>285.2</w:t>
            </w:r>
          </w:p>
        </w:tc>
        <w:tc>
          <w:tcPr>
            <w:tcW w:w="742" w:type="pct"/>
            <w:tcBorders>
              <w:top w:val="single" w:sz="4" w:space="0" w:color="auto"/>
              <w:left w:val="nil"/>
              <w:bottom w:val="single" w:sz="12" w:space="0" w:color="auto"/>
              <w:right w:val="nil"/>
            </w:tcBorders>
            <w:vAlign w:val="bottom"/>
          </w:tcPr>
          <w:p w14:paraId="4628C199" w14:textId="399DBD9C" w:rsidR="0087385C" w:rsidRPr="006D4208" w:rsidRDefault="00910BF2" w:rsidP="005B2885">
            <w:pPr>
              <w:jc w:val="right"/>
              <w:rPr>
                <w:rFonts w:asciiTheme="minorHAnsi" w:eastAsiaTheme="minorEastAsia" w:hAnsiTheme="minorHAnsi" w:cstheme="minorBidi"/>
                <w:sz w:val="20"/>
                <w:szCs w:val="20"/>
              </w:rPr>
            </w:pPr>
            <w:r w:rsidRPr="7ACEA165">
              <w:rPr>
                <w:rFonts w:asciiTheme="minorHAnsi" w:eastAsiaTheme="minorEastAsia" w:hAnsiTheme="minorHAnsi" w:cstheme="minorBidi"/>
                <w:sz w:val="20"/>
                <w:szCs w:val="20"/>
              </w:rPr>
              <w:t>264.8</w:t>
            </w:r>
          </w:p>
        </w:tc>
      </w:tr>
    </w:tbl>
    <w:p w14:paraId="4892E471" w14:textId="77777777" w:rsidR="00837645" w:rsidRDefault="00837645" w:rsidP="00E966BD">
      <w:pPr>
        <w:autoSpaceDE w:val="0"/>
        <w:autoSpaceDN w:val="0"/>
        <w:adjustRightInd w:val="0"/>
        <w:jc w:val="both"/>
        <w:rPr>
          <w:rFonts w:asciiTheme="minorHAnsi" w:hAnsiTheme="minorHAnsi" w:cs="Arial"/>
          <w:bCs/>
          <w:sz w:val="20"/>
          <w:szCs w:val="20"/>
        </w:rPr>
      </w:pPr>
    </w:p>
    <w:p w14:paraId="3AFA0245" w14:textId="77777777" w:rsidR="00667E84" w:rsidRDefault="00667E84" w:rsidP="00E966BD">
      <w:pPr>
        <w:autoSpaceDE w:val="0"/>
        <w:autoSpaceDN w:val="0"/>
        <w:adjustRightInd w:val="0"/>
        <w:jc w:val="both"/>
        <w:rPr>
          <w:rFonts w:asciiTheme="minorHAnsi" w:hAnsiTheme="minorHAnsi" w:cs="Arial"/>
          <w:bCs/>
          <w:sz w:val="20"/>
          <w:szCs w:val="20"/>
        </w:rPr>
      </w:pPr>
    </w:p>
    <w:p w14:paraId="3B32709D" w14:textId="77777777" w:rsidR="00667E84" w:rsidRDefault="00667E84" w:rsidP="00E966BD">
      <w:pPr>
        <w:autoSpaceDE w:val="0"/>
        <w:autoSpaceDN w:val="0"/>
        <w:adjustRightInd w:val="0"/>
        <w:jc w:val="both"/>
        <w:rPr>
          <w:rFonts w:asciiTheme="minorHAnsi" w:hAnsiTheme="minorHAnsi" w:cs="Arial"/>
          <w:bCs/>
          <w:sz w:val="20"/>
          <w:szCs w:val="20"/>
        </w:rPr>
      </w:pPr>
    </w:p>
    <w:p w14:paraId="294B579E" w14:textId="77777777" w:rsidR="00667E84" w:rsidRDefault="00667E84" w:rsidP="00E966BD">
      <w:pPr>
        <w:autoSpaceDE w:val="0"/>
        <w:autoSpaceDN w:val="0"/>
        <w:adjustRightInd w:val="0"/>
        <w:jc w:val="both"/>
        <w:rPr>
          <w:rFonts w:asciiTheme="minorHAnsi" w:hAnsiTheme="minorHAnsi" w:cs="Arial"/>
          <w:bCs/>
          <w:sz w:val="20"/>
          <w:szCs w:val="20"/>
        </w:rPr>
      </w:pPr>
    </w:p>
    <w:p w14:paraId="24110401" w14:textId="5B5848DC" w:rsidR="009D1A1B" w:rsidRDefault="0087385C" w:rsidP="00CF66BE">
      <w:pPr>
        <w:ind w:left="567" w:hanging="567"/>
        <w:rPr>
          <w:rFonts w:asciiTheme="minorHAnsi" w:hAnsiTheme="minorHAnsi" w:cs="Arial"/>
          <w:b/>
          <w:color w:val="4747FF"/>
          <w:sz w:val="22"/>
          <w:szCs w:val="22"/>
        </w:rPr>
      </w:pPr>
      <w:r>
        <w:rPr>
          <w:rFonts w:asciiTheme="minorHAnsi" w:hAnsiTheme="minorHAnsi" w:cs="Arial"/>
          <w:b/>
          <w:color w:val="4747FF"/>
          <w:sz w:val="22"/>
          <w:szCs w:val="22"/>
        </w:rPr>
        <w:t>4</w:t>
      </w:r>
      <w:r w:rsidR="00A3021A" w:rsidRPr="00565803">
        <w:rPr>
          <w:rFonts w:asciiTheme="minorHAnsi" w:hAnsiTheme="minorHAnsi" w:cs="Arial"/>
          <w:b/>
          <w:color w:val="4747FF"/>
          <w:sz w:val="22"/>
          <w:szCs w:val="22"/>
        </w:rPr>
        <w:t>.</w:t>
      </w:r>
      <w:r w:rsidR="00A3021A" w:rsidRPr="00565803">
        <w:rPr>
          <w:rFonts w:asciiTheme="minorHAnsi" w:hAnsiTheme="minorHAnsi" w:cs="Arial"/>
          <w:b/>
          <w:color w:val="4747FF"/>
          <w:sz w:val="22"/>
          <w:szCs w:val="22"/>
        </w:rPr>
        <w:tab/>
        <w:t>Segment reporting</w:t>
      </w:r>
    </w:p>
    <w:p w14:paraId="375E74A3" w14:textId="77777777" w:rsidR="00132BB1" w:rsidRDefault="00132BB1" w:rsidP="00A3021A">
      <w:pPr>
        <w:rPr>
          <w:rFonts w:asciiTheme="minorHAnsi" w:hAnsiTheme="minorHAnsi" w:cs="Arial"/>
          <w:b/>
          <w:color w:val="4747FF"/>
          <w:sz w:val="22"/>
          <w:szCs w:val="22"/>
        </w:rPr>
      </w:pPr>
    </w:p>
    <w:tbl>
      <w:tblPr>
        <w:tblStyle w:val="TableGrid"/>
        <w:tblW w:w="9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906"/>
        <w:gridCol w:w="892"/>
        <w:gridCol w:w="893"/>
        <w:gridCol w:w="1080"/>
        <w:gridCol w:w="895"/>
        <w:gridCol w:w="1041"/>
        <w:gridCol w:w="896"/>
      </w:tblGrid>
      <w:tr w:rsidR="002D4B17" w:rsidRPr="00B87A15" w14:paraId="37FA2116" w14:textId="77777777" w:rsidTr="58230143">
        <w:tc>
          <w:tcPr>
            <w:tcW w:w="3120" w:type="dxa"/>
          </w:tcPr>
          <w:p w14:paraId="0D7F53B3" w14:textId="77777777" w:rsidR="002D4B17" w:rsidRPr="00A36F5C" w:rsidRDefault="002D4B17" w:rsidP="00AF5A74">
            <w:pPr>
              <w:rPr>
                <w:rFonts w:asciiTheme="minorHAnsi" w:hAnsiTheme="minorHAnsi" w:cstheme="minorHAnsi"/>
                <w:bCs/>
                <w:sz w:val="20"/>
                <w:szCs w:val="20"/>
              </w:rPr>
            </w:pPr>
          </w:p>
        </w:tc>
        <w:tc>
          <w:tcPr>
            <w:tcW w:w="6603" w:type="dxa"/>
            <w:gridSpan w:val="7"/>
            <w:shd w:val="clear" w:color="auto" w:fill="F2F2F2" w:themeFill="background1" w:themeFillShade="F2"/>
          </w:tcPr>
          <w:p w14:paraId="110CED59" w14:textId="2DF17209" w:rsidR="002D4B17" w:rsidRPr="007037A7" w:rsidRDefault="002D4B17" w:rsidP="002D4B17">
            <w:pPr>
              <w:jc w:val="center"/>
              <w:rPr>
                <w:rFonts w:asciiTheme="minorHAnsi" w:hAnsiTheme="minorHAnsi" w:cstheme="minorHAnsi"/>
                <w:sz w:val="20"/>
                <w:szCs w:val="20"/>
              </w:rPr>
            </w:pPr>
            <w:r w:rsidRPr="007037A7">
              <w:rPr>
                <w:rFonts w:asciiTheme="minorHAnsi" w:hAnsiTheme="minorHAnsi" w:cstheme="minorHAnsi"/>
                <w:sz w:val="20"/>
                <w:szCs w:val="20"/>
              </w:rPr>
              <w:t>Six months ended 30 June 2024</w:t>
            </w:r>
          </w:p>
        </w:tc>
      </w:tr>
      <w:tr w:rsidR="00C44C7D" w:rsidRPr="00B87A15" w14:paraId="7B0636DA" w14:textId="77777777" w:rsidTr="58230143">
        <w:tc>
          <w:tcPr>
            <w:tcW w:w="3120" w:type="dxa"/>
          </w:tcPr>
          <w:p w14:paraId="17D58936" w14:textId="77777777" w:rsidR="00C44C7D" w:rsidRPr="00A36F5C" w:rsidRDefault="00C44C7D" w:rsidP="00AF5A74">
            <w:pPr>
              <w:rPr>
                <w:rFonts w:asciiTheme="minorHAnsi" w:hAnsiTheme="minorHAnsi" w:cstheme="minorHAnsi"/>
                <w:bCs/>
                <w:sz w:val="20"/>
                <w:szCs w:val="20"/>
              </w:rPr>
            </w:pPr>
          </w:p>
        </w:tc>
        <w:tc>
          <w:tcPr>
            <w:tcW w:w="906" w:type="dxa"/>
            <w:shd w:val="clear" w:color="auto" w:fill="F2F2F2" w:themeFill="background1" w:themeFillShade="F2"/>
          </w:tcPr>
          <w:p w14:paraId="75FD9735" w14:textId="77777777" w:rsidR="00C44C7D" w:rsidRPr="00A36F5C" w:rsidRDefault="00C44C7D" w:rsidP="00AF5A74">
            <w:pPr>
              <w:jc w:val="right"/>
              <w:rPr>
                <w:rFonts w:asciiTheme="minorHAnsi" w:hAnsiTheme="minorHAnsi" w:cstheme="minorHAnsi"/>
                <w:bCs/>
                <w:sz w:val="20"/>
                <w:szCs w:val="20"/>
              </w:rPr>
            </w:pPr>
          </w:p>
          <w:p w14:paraId="1C9ECE1B" w14:textId="77777777" w:rsidR="00C44C7D" w:rsidRPr="00A36F5C" w:rsidRDefault="00C44C7D" w:rsidP="00AF5A74">
            <w:pPr>
              <w:jc w:val="right"/>
              <w:rPr>
                <w:rFonts w:asciiTheme="minorHAnsi" w:hAnsiTheme="minorHAnsi" w:cstheme="minorHAnsi"/>
                <w:bCs/>
                <w:sz w:val="20"/>
                <w:szCs w:val="20"/>
              </w:rPr>
            </w:pPr>
          </w:p>
          <w:p w14:paraId="1355B369" w14:textId="77777777" w:rsidR="00C44C7D" w:rsidRPr="00A36F5C" w:rsidRDefault="00C44C7D" w:rsidP="00AF5A74">
            <w:pPr>
              <w:jc w:val="right"/>
              <w:rPr>
                <w:rFonts w:asciiTheme="minorHAnsi" w:hAnsiTheme="minorHAnsi" w:cstheme="minorHAnsi"/>
                <w:bCs/>
                <w:sz w:val="20"/>
                <w:szCs w:val="20"/>
              </w:rPr>
            </w:pPr>
            <w:r w:rsidRPr="00A36F5C">
              <w:rPr>
                <w:rFonts w:asciiTheme="minorHAnsi" w:hAnsiTheme="minorHAnsi" w:cstheme="minorHAnsi"/>
                <w:bCs/>
                <w:sz w:val="20"/>
                <w:szCs w:val="20"/>
              </w:rPr>
              <w:t>Cards</w:t>
            </w:r>
          </w:p>
        </w:tc>
        <w:tc>
          <w:tcPr>
            <w:tcW w:w="892" w:type="dxa"/>
            <w:shd w:val="clear" w:color="auto" w:fill="F2F2F2" w:themeFill="background1" w:themeFillShade="F2"/>
          </w:tcPr>
          <w:p w14:paraId="59D06F33" w14:textId="77777777" w:rsidR="00C44C7D" w:rsidRPr="00A36F5C" w:rsidRDefault="00C44C7D" w:rsidP="00AF5A74">
            <w:pPr>
              <w:jc w:val="right"/>
              <w:rPr>
                <w:rFonts w:asciiTheme="minorHAnsi" w:hAnsiTheme="minorHAnsi" w:cstheme="minorHAnsi"/>
                <w:bCs/>
                <w:sz w:val="20"/>
                <w:szCs w:val="20"/>
              </w:rPr>
            </w:pPr>
          </w:p>
          <w:p w14:paraId="2C46F03D" w14:textId="77777777" w:rsidR="00C44C7D" w:rsidRPr="00A36F5C" w:rsidRDefault="00C44C7D" w:rsidP="00AF5A74">
            <w:pPr>
              <w:jc w:val="right"/>
              <w:rPr>
                <w:rFonts w:asciiTheme="minorHAnsi" w:hAnsiTheme="minorHAnsi" w:cstheme="minorHAnsi"/>
                <w:bCs/>
                <w:sz w:val="20"/>
                <w:szCs w:val="20"/>
              </w:rPr>
            </w:pPr>
            <w:r w:rsidRPr="00A36F5C">
              <w:rPr>
                <w:rFonts w:asciiTheme="minorHAnsi" w:hAnsiTheme="minorHAnsi" w:cstheme="minorHAnsi"/>
                <w:bCs/>
                <w:sz w:val="20"/>
                <w:szCs w:val="20"/>
              </w:rPr>
              <w:t>Vehicle Finance</w:t>
            </w:r>
          </w:p>
        </w:tc>
        <w:tc>
          <w:tcPr>
            <w:tcW w:w="893" w:type="dxa"/>
            <w:shd w:val="clear" w:color="auto" w:fill="F2F2F2" w:themeFill="background1" w:themeFillShade="F2"/>
          </w:tcPr>
          <w:p w14:paraId="387B1F8A" w14:textId="77777777" w:rsidR="00C44C7D" w:rsidRPr="007037A7" w:rsidRDefault="00C44C7D" w:rsidP="00AF5A74">
            <w:pPr>
              <w:jc w:val="right"/>
              <w:rPr>
                <w:rFonts w:asciiTheme="minorHAnsi" w:hAnsiTheme="minorHAnsi" w:cstheme="minorHAnsi"/>
                <w:sz w:val="20"/>
                <w:szCs w:val="20"/>
              </w:rPr>
            </w:pPr>
          </w:p>
          <w:p w14:paraId="6675C0A1" w14:textId="77777777" w:rsidR="00C44C7D" w:rsidRPr="007037A7" w:rsidRDefault="00C44C7D" w:rsidP="00AF5A74">
            <w:pPr>
              <w:jc w:val="right"/>
              <w:rPr>
                <w:rFonts w:asciiTheme="minorHAnsi" w:hAnsiTheme="minorHAnsi" w:cstheme="minorHAnsi"/>
                <w:sz w:val="20"/>
                <w:szCs w:val="20"/>
              </w:rPr>
            </w:pPr>
          </w:p>
          <w:p w14:paraId="4E6BD5FA" w14:textId="77777777" w:rsidR="00C44C7D" w:rsidRPr="007037A7" w:rsidRDefault="00C44C7D" w:rsidP="00AF5A74">
            <w:pPr>
              <w:jc w:val="right"/>
              <w:rPr>
                <w:rFonts w:asciiTheme="minorHAnsi" w:hAnsiTheme="minorHAnsi" w:cstheme="minorHAnsi"/>
                <w:sz w:val="20"/>
                <w:szCs w:val="20"/>
              </w:rPr>
            </w:pPr>
            <w:r w:rsidRPr="007037A7">
              <w:rPr>
                <w:rFonts w:asciiTheme="minorHAnsi" w:hAnsiTheme="minorHAnsi" w:cstheme="minorHAnsi"/>
                <w:sz w:val="20"/>
                <w:szCs w:val="20"/>
              </w:rPr>
              <w:t>Loans</w:t>
            </w:r>
          </w:p>
        </w:tc>
        <w:tc>
          <w:tcPr>
            <w:tcW w:w="1080" w:type="dxa"/>
            <w:shd w:val="clear" w:color="auto" w:fill="F2F2F2" w:themeFill="background1" w:themeFillShade="F2"/>
          </w:tcPr>
          <w:p w14:paraId="19FCAA78" w14:textId="77777777" w:rsidR="00C44C7D" w:rsidRPr="007037A7" w:rsidRDefault="00C44C7D" w:rsidP="00AF5A74">
            <w:pPr>
              <w:jc w:val="right"/>
              <w:rPr>
                <w:rFonts w:asciiTheme="minorHAnsi" w:hAnsiTheme="minorHAnsi" w:cstheme="minorHAnsi"/>
                <w:sz w:val="20"/>
                <w:szCs w:val="20"/>
              </w:rPr>
            </w:pPr>
            <w:r w:rsidRPr="007037A7">
              <w:rPr>
                <w:rFonts w:asciiTheme="minorHAnsi" w:hAnsiTheme="minorHAnsi" w:cstheme="minorHAnsi"/>
                <w:sz w:val="20"/>
                <w:szCs w:val="20"/>
              </w:rPr>
              <w:t>Second charge mortgages</w:t>
            </w:r>
          </w:p>
        </w:tc>
        <w:tc>
          <w:tcPr>
            <w:tcW w:w="895" w:type="dxa"/>
            <w:shd w:val="clear" w:color="auto" w:fill="F2F2F2" w:themeFill="background1" w:themeFillShade="F2"/>
          </w:tcPr>
          <w:p w14:paraId="0D247E7C" w14:textId="77777777" w:rsidR="00C44C7D" w:rsidRPr="007037A7" w:rsidRDefault="00C44C7D" w:rsidP="00AF5A74">
            <w:pPr>
              <w:jc w:val="right"/>
              <w:rPr>
                <w:rFonts w:asciiTheme="minorHAnsi" w:hAnsiTheme="minorHAnsi" w:cstheme="minorHAnsi"/>
                <w:sz w:val="20"/>
                <w:szCs w:val="20"/>
              </w:rPr>
            </w:pPr>
          </w:p>
          <w:p w14:paraId="4C151A10" w14:textId="77777777" w:rsidR="00C44C7D" w:rsidRPr="007037A7" w:rsidRDefault="00C44C7D" w:rsidP="00AF5A74">
            <w:pPr>
              <w:jc w:val="right"/>
              <w:rPr>
                <w:rFonts w:asciiTheme="minorHAnsi" w:hAnsiTheme="minorHAnsi" w:cstheme="minorHAnsi"/>
                <w:sz w:val="20"/>
                <w:szCs w:val="20"/>
              </w:rPr>
            </w:pPr>
          </w:p>
          <w:p w14:paraId="6095A86F" w14:textId="77777777" w:rsidR="00C44C7D" w:rsidRPr="007037A7" w:rsidRDefault="00C44C7D" w:rsidP="00AF5A74">
            <w:pPr>
              <w:jc w:val="right"/>
              <w:rPr>
                <w:rFonts w:asciiTheme="minorHAnsi" w:hAnsiTheme="minorHAnsi" w:cstheme="minorHAnsi"/>
                <w:sz w:val="20"/>
                <w:szCs w:val="20"/>
              </w:rPr>
            </w:pPr>
            <w:r w:rsidRPr="007037A7">
              <w:rPr>
                <w:rFonts w:asciiTheme="minorHAnsi" w:hAnsiTheme="minorHAnsi" w:cstheme="minorHAnsi"/>
                <w:sz w:val="20"/>
                <w:szCs w:val="20"/>
              </w:rPr>
              <w:t>Snoop</w:t>
            </w:r>
          </w:p>
        </w:tc>
        <w:tc>
          <w:tcPr>
            <w:tcW w:w="1041" w:type="dxa"/>
            <w:shd w:val="clear" w:color="auto" w:fill="F2F2F2" w:themeFill="background1" w:themeFillShade="F2"/>
          </w:tcPr>
          <w:p w14:paraId="686B953F" w14:textId="77777777" w:rsidR="00C44C7D" w:rsidRPr="007037A7" w:rsidRDefault="00C44C7D" w:rsidP="00AF5A74">
            <w:pPr>
              <w:jc w:val="right"/>
              <w:rPr>
                <w:rFonts w:asciiTheme="minorHAnsi" w:hAnsiTheme="minorHAnsi" w:cstheme="minorHAnsi"/>
                <w:sz w:val="20"/>
                <w:szCs w:val="20"/>
              </w:rPr>
            </w:pPr>
          </w:p>
          <w:p w14:paraId="02497373" w14:textId="77777777" w:rsidR="00C44C7D" w:rsidRPr="007037A7" w:rsidRDefault="00C44C7D" w:rsidP="00AF5A74">
            <w:pPr>
              <w:jc w:val="right"/>
              <w:rPr>
                <w:rFonts w:asciiTheme="minorHAnsi" w:hAnsiTheme="minorHAnsi" w:cstheme="minorHAnsi"/>
                <w:sz w:val="20"/>
                <w:szCs w:val="20"/>
              </w:rPr>
            </w:pPr>
            <w:r w:rsidRPr="007037A7">
              <w:rPr>
                <w:rFonts w:asciiTheme="minorHAnsi" w:hAnsiTheme="minorHAnsi" w:cstheme="minorHAnsi"/>
                <w:sz w:val="20"/>
                <w:szCs w:val="20"/>
              </w:rPr>
              <w:t>Corporate Centre</w:t>
            </w:r>
          </w:p>
        </w:tc>
        <w:tc>
          <w:tcPr>
            <w:tcW w:w="896" w:type="dxa"/>
            <w:shd w:val="clear" w:color="auto" w:fill="F2F2F2" w:themeFill="background1" w:themeFillShade="F2"/>
          </w:tcPr>
          <w:p w14:paraId="56DEA2EC" w14:textId="77777777" w:rsidR="00C44C7D" w:rsidRPr="007037A7" w:rsidRDefault="00C44C7D" w:rsidP="00AF5A74">
            <w:pPr>
              <w:jc w:val="right"/>
              <w:rPr>
                <w:rFonts w:asciiTheme="minorHAnsi" w:hAnsiTheme="minorHAnsi" w:cstheme="minorHAnsi"/>
                <w:sz w:val="20"/>
                <w:szCs w:val="20"/>
              </w:rPr>
            </w:pPr>
          </w:p>
          <w:p w14:paraId="361D0EA8" w14:textId="77777777" w:rsidR="00C44C7D" w:rsidRPr="007037A7" w:rsidRDefault="00C44C7D" w:rsidP="00AF5A74">
            <w:pPr>
              <w:jc w:val="right"/>
              <w:rPr>
                <w:rFonts w:asciiTheme="minorHAnsi" w:hAnsiTheme="minorHAnsi" w:cstheme="minorHAnsi"/>
                <w:sz w:val="20"/>
                <w:szCs w:val="20"/>
              </w:rPr>
            </w:pPr>
          </w:p>
          <w:p w14:paraId="13C80220" w14:textId="77777777" w:rsidR="00C44C7D" w:rsidRPr="007037A7" w:rsidRDefault="00C44C7D" w:rsidP="00AF5A74">
            <w:pPr>
              <w:jc w:val="right"/>
              <w:rPr>
                <w:rFonts w:asciiTheme="minorHAnsi" w:hAnsiTheme="minorHAnsi" w:cstheme="minorHAnsi"/>
                <w:sz w:val="20"/>
                <w:szCs w:val="20"/>
              </w:rPr>
            </w:pPr>
            <w:r w:rsidRPr="007037A7">
              <w:rPr>
                <w:rFonts w:asciiTheme="minorHAnsi" w:hAnsiTheme="minorHAnsi" w:cstheme="minorHAnsi"/>
                <w:sz w:val="20"/>
                <w:szCs w:val="20"/>
              </w:rPr>
              <w:t>Total</w:t>
            </w:r>
          </w:p>
        </w:tc>
      </w:tr>
      <w:tr w:rsidR="00C44C7D" w:rsidRPr="00B87A15" w14:paraId="5836D04A" w14:textId="77777777" w:rsidTr="58230143">
        <w:tc>
          <w:tcPr>
            <w:tcW w:w="3120" w:type="dxa"/>
          </w:tcPr>
          <w:p w14:paraId="6ED71097" w14:textId="77777777" w:rsidR="00C44C7D" w:rsidRPr="00A36F5C" w:rsidRDefault="00C44C7D" w:rsidP="00AF5A74">
            <w:pPr>
              <w:rPr>
                <w:rFonts w:asciiTheme="minorHAnsi" w:hAnsiTheme="minorHAnsi" w:cstheme="minorHAnsi"/>
                <w:bCs/>
                <w:sz w:val="20"/>
                <w:szCs w:val="20"/>
              </w:rPr>
            </w:pPr>
          </w:p>
        </w:tc>
        <w:tc>
          <w:tcPr>
            <w:tcW w:w="906" w:type="dxa"/>
            <w:shd w:val="clear" w:color="auto" w:fill="F2F2F2" w:themeFill="background1" w:themeFillShade="F2"/>
          </w:tcPr>
          <w:p w14:paraId="4BA45DA7" w14:textId="77777777" w:rsidR="00C44C7D" w:rsidRPr="00A36F5C" w:rsidRDefault="00C44C7D" w:rsidP="00AF5A74">
            <w:pPr>
              <w:jc w:val="right"/>
              <w:rPr>
                <w:rFonts w:asciiTheme="minorHAnsi" w:hAnsiTheme="minorHAnsi" w:cstheme="minorHAnsi"/>
                <w:bCs/>
                <w:sz w:val="20"/>
                <w:szCs w:val="20"/>
              </w:rPr>
            </w:pPr>
            <w:r w:rsidRPr="00A36F5C">
              <w:rPr>
                <w:rFonts w:asciiTheme="minorHAnsi" w:hAnsiTheme="minorHAnsi" w:cstheme="minorHAnsi"/>
                <w:bCs/>
                <w:sz w:val="20"/>
                <w:szCs w:val="20"/>
              </w:rPr>
              <w:t>£m</w:t>
            </w:r>
          </w:p>
        </w:tc>
        <w:tc>
          <w:tcPr>
            <w:tcW w:w="892" w:type="dxa"/>
            <w:shd w:val="clear" w:color="auto" w:fill="F2F2F2" w:themeFill="background1" w:themeFillShade="F2"/>
          </w:tcPr>
          <w:p w14:paraId="7BA99F9D" w14:textId="77777777" w:rsidR="00C44C7D" w:rsidRPr="00A36F5C" w:rsidRDefault="00C44C7D" w:rsidP="00AF5A74">
            <w:pPr>
              <w:jc w:val="right"/>
              <w:rPr>
                <w:rFonts w:asciiTheme="minorHAnsi" w:hAnsiTheme="minorHAnsi" w:cstheme="minorHAnsi"/>
                <w:bCs/>
                <w:sz w:val="20"/>
                <w:szCs w:val="20"/>
              </w:rPr>
            </w:pPr>
            <w:r w:rsidRPr="00A36F5C">
              <w:rPr>
                <w:rFonts w:asciiTheme="minorHAnsi" w:hAnsiTheme="minorHAnsi" w:cstheme="minorHAnsi"/>
                <w:bCs/>
                <w:sz w:val="20"/>
                <w:szCs w:val="20"/>
              </w:rPr>
              <w:t>£m</w:t>
            </w:r>
          </w:p>
        </w:tc>
        <w:tc>
          <w:tcPr>
            <w:tcW w:w="893" w:type="dxa"/>
            <w:shd w:val="clear" w:color="auto" w:fill="F2F2F2" w:themeFill="background1" w:themeFillShade="F2"/>
          </w:tcPr>
          <w:p w14:paraId="355D42F8" w14:textId="77777777" w:rsidR="00C44C7D" w:rsidRPr="007037A7" w:rsidRDefault="00C44C7D" w:rsidP="00AF5A74">
            <w:pPr>
              <w:jc w:val="right"/>
              <w:rPr>
                <w:rFonts w:asciiTheme="minorHAnsi" w:hAnsiTheme="minorHAnsi" w:cstheme="minorHAnsi"/>
                <w:sz w:val="20"/>
                <w:szCs w:val="20"/>
              </w:rPr>
            </w:pPr>
            <w:r w:rsidRPr="007037A7">
              <w:rPr>
                <w:rFonts w:asciiTheme="minorHAnsi" w:hAnsiTheme="minorHAnsi" w:cstheme="minorHAnsi"/>
                <w:sz w:val="20"/>
                <w:szCs w:val="20"/>
              </w:rPr>
              <w:t>£m</w:t>
            </w:r>
          </w:p>
        </w:tc>
        <w:tc>
          <w:tcPr>
            <w:tcW w:w="1080" w:type="dxa"/>
            <w:shd w:val="clear" w:color="auto" w:fill="F2F2F2" w:themeFill="background1" w:themeFillShade="F2"/>
          </w:tcPr>
          <w:p w14:paraId="55DF0487" w14:textId="77777777" w:rsidR="00C44C7D" w:rsidRPr="007037A7" w:rsidRDefault="00C44C7D" w:rsidP="00AF5A74">
            <w:pPr>
              <w:jc w:val="right"/>
              <w:rPr>
                <w:rFonts w:asciiTheme="minorHAnsi" w:hAnsiTheme="minorHAnsi" w:cstheme="minorHAnsi"/>
                <w:sz w:val="20"/>
                <w:szCs w:val="20"/>
              </w:rPr>
            </w:pPr>
            <w:r w:rsidRPr="007037A7">
              <w:rPr>
                <w:rFonts w:asciiTheme="minorHAnsi" w:hAnsiTheme="minorHAnsi" w:cstheme="minorHAnsi"/>
                <w:sz w:val="20"/>
                <w:szCs w:val="20"/>
              </w:rPr>
              <w:t>£m</w:t>
            </w:r>
          </w:p>
        </w:tc>
        <w:tc>
          <w:tcPr>
            <w:tcW w:w="895" w:type="dxa"/>
            <w:shd w:val="clear" w:color="auto" w:fill="F2F2F2" w:themeFill="background1" w:themeFillShade="F2"/>
          </w:tcPr>
          <w:p w14:paraId="67BD801D" w14:textId="77777777" w:rsidR="00C44C7D" w:rsidRPr="007037A7" w:rsidRDefault="00C44C7D" w:rsidP="00AF5A74">
            <w:pPr>
              <w:jc w:val="right"/>
              <w:rPr>
                <w:rFonts w:asciiTheme="minorHAnsi" w:hAnsiTheme="minorHAnsi" w:cstheme="minorHAnsi"/>
                <w:sz w:val="20"/>
                <w:szCs w:val="20"/>
              </w:rPr>
            </w:pPr>
            <w:r w:rsidRPr="007037A7">
              <w:rPr>
                <w:rFonts w:asciiTheme="minorHAnsi" w:hAnsiTheme="minorHAnsi" w:cstheme="minorHAnsi"/>
                <w:sz w:val="20"/>
                <w:szCs w:val="20"/>
              </w:rPr>
              <w:t>£m</w:t>
            </w:r>
          </w:p>
        </w:tc>
        <w:tc>
          <w:tcPr>
            <w:tcW w:w="1041" w:type="dxa"/>
            <w:shd w:val="clear" w:color="auto" w:fill="F2F2F2" w:themeFill="background1" w:themeFillShade="F2"/>
          </w:tcPr>
          <w:p w14:paraId="6BE8C6E7" w14:textId="77777777" w:rsidR="00C44C7D" w:rsidRPr="007037A7" w:rsidRDefault="00C44C7D" w:rsidP="00AF5A74">
            <w:pPr>
              <w:jc w:val="right"/>
              <w:rPr>
                <w:rFonts w:asciiTheme="minorHAnsi" w:hAnsiTheme="minorHAnsi" w:cstheme="minorHAnsi"/>
                <w:sz w:val="20"/>
                <w:szCs w:val="20"/>
              </w:rPr>
            </w:pPr>
            <w:r w:rsidRPr="007037A7">
              <w:rPr>
                <w:rFonts w:asciiTheme="minorHAnsi" w:hAnsiTheme="minorHAnsi" w:cstheme="minorHAnsi"/>
                <w:sz w:val="20"/>
                <w:szCs w:val="20"/>
              </w:rPr>
              <w:t>£m</w:t>
            </w:r>
          </w:p>
        </w:tc>
        <w:tc>
          <w:tcPr>
            <w:tcW w:w="896" w:type="dxa"/>
            <w:shd w:val="clear" w:color="auto" w:fill="F2F2F2" w:themeFill="background1" w:themeFillShade="F2"/>
          </w:tcPr>
          <w:p w14:paraId="5C237B1C" w14:textId="77777777" w:rsidR="00C44C7D" w:rsidRPr="007037A7" w:rsidRDefault="00C44C7D" w:rsidP="00AF5A74">
            <w:pPr>
              <w:jc w:val="right"/>
              <w:rPr>
                <w:rFonts w:asciiTheme="minorHAnsi" w:hAnsiTheme="minorHAnsi" w:cstheme="minorHAnsi"/>
                <w:sz w:val="20"/>
                <w:szCs w:val="20"/>
              </w:rPr>
            </w:pPr>
            <w:r w:rsidRPr="007037A7">
              <w:rPr>
                <w:rFonts w:asciiTheme="minorHAnsi" w:hAnsiTheme="minorHAnsi" w:cstheme="minorHAnsi"/>
                <w:sz w:val="20"/>
                <w:szCs w:val="20"/>
              </w:rPr>
              <w:t>£m</w:t>
            </w:r>
          </w:p>
        </w:tc>
      </w:tr>
      <w:tr w:rsidR="00C44C7D" w:rsidRPr="00B87A15" w14:paraId="7E194427" w14:textId="77777777" w:rsidTr="58230143">
        <w:tc>
          <w:tcPr>
            <w:tcW w:w="3120" w:type="dxa"/>
          </w:tcPr>
          <w:p w14:paraId="49E18F08" w14:textId="77777777" w:rsidR="00C44C7D" w:rsidRPr="00A36F5C" w:rsidRDefault="00C44C7D" w:rsidP="00AF5A74">
            <w:pPr>
              <w:rPr>
                <w:rFonts w:asciiTheme="minorHAnsi" w:hAnsiTheme="minorHAnsi" w:cstheme="minorHAnsi"/>
                <w:bCs/>
                <w:sz w:val="20"/>
                <w:szCs w:val="20"/>
              </w:rPr>
            </w:pPr>
            <w:r w:rsidRPr="00A36F5C">
              <w:rPr>
                <w:rFonts w:asciiTheme="minorHAnsi" w:hAnsiTheme="minorHAnsi" w:cstheme="minorHAnsi"/>
                <w:bCs/>
                <w:sz w:val="20"/>
                <w:szCs w:val="20"/>
              </w:rPr>
              <w:t>Interest income</w:t>
            </w:r>
          </w:p>
        </w:tc>
        <w:tc>
          <w:tcPr>
            <w:tcW w:w="906" w:type="dxa"/>
            <w:shd w:val="clear" w:color="auto" w:fill="F2F2F2" w:themeFill="background1" w:themeFillShade="F2"/>
          </w:tcPr>
          <w:p w14:paraId="6D39122D" w14:textId="3445E956" w:rsidR="00C44C7D" w:rsidRPr="006D4208" w:rsidRDefault="00D55BE2" w:rsidP="00AF5A74">
            <w:pPr>
              <w:jc w:val="right"/>
              <w:rPr>
                <w:rFonts w:asciiTheme="minorHAnsi" w:hAnsiTheme="minorHAnsi" w:cstheme="minorHAnsi"/>
                <w:sz w:val="20"/>
                <w:szCs w:val="20"/>
              </w:rPr>
            </w:pPr>
            <w:r w:rsidRPr="006D4208">
              <w:rPr>
                <w:rFonts w:asciiTheme="minorHAnsi" w:hAnsiTheme="minorHAnsi" w:cstheme="minorHAnsi"/>
                <w:sz w:val="20"/>
                <w:szCs w:val="20"/>
              </w:rPr>
              <w:t>202.6</w:t>
            </w:r>
          </w:p>
        </w:tc>
        <w:tc>
          <w:tcPr>
            <w:tcW w:w="892" w:type="dxa"/>
            <w:shd w:val="clear" w:color="auto" w:fill="F2F2F2" w:themeFill="background1" w:themeFillShade="F2"/>
          </w:tcPr>
          <w:p w14:paraId="417B343F" w14:textId="6ABA093F" w:rsidR="00C44C7D" w:rsidRPr="006D4208" w:rsidRDefault="003868F2" w:rsidP="00AF5A74">
            <w:pPr>
              <w:jc w:val="right"/>
              <w:rPr>
                <w:rFonts w:asciiTheme="minorHAnsi" w:hAnsiTheme="minorHAnsi" w:cstheme="minorHAnsi"/>
                <w:sz w:val="20"/>
                <w:szCs w:val="20"/>
              </w:rPr>
            </w:pPr>
            <w:r w:rsidRPr="006D4208">
              <w:rPr>
                <w:rFonts w:asciiTheme="minorHAnsi" w:hAnsiTheme="minorHAnsi" w:cstheme="minorHAnsi"/>
                <w:sz w:val="20"/>
                <w:szCs w:val="20"/>
              </w:rPr>
              <w:t>69.8</w:t>
            </w:r>
          </w:p>
        </w:tc>
        <w:tc>
          <w:tcPr>
            <w:tcW w:w="893" w:type="dxa"/>
            <w:shd w:val="clear" w:color="auto" w:fill="F2F2F2" w:themeFill="background1" w:themeFillShade="F2"/>
          </w:tcPr>
          <w:p w14:paraId="2E901DF1" w14:textId="4EF9169C" w:rsidR="00C44C7D" w:rsidRPr="007037A7" w:rsidRDefault="002F4202" w:rsidP="00AF5A74">
            <w:pPr>
              <w:jc w:val="right"/>
              <w:rPr>
                <w:rFonts w:asciiTheme="minorHAnsi" w:hAnsiTheme="minorHAnsi" w:cstheme="minorHAnsi"/>
                <w:sz w:val="20"/>
                <w:szCs w:val="20"/>
              </w:rPr>
            </w:pPr>
            <w:r w:rsidRPr="007037A7">
              <w:rPr>
                <w:rFonts w:asciiTheme="minorHAnsi" w:hAnsiTheme="minorHAnsi" w:cstheme="minorHAnsi"/>
                <w:sz w:val="20"/>
                <w:szCs w:val="20"/>
              </w:rPr>
              <w:t>9.2</w:t>
            </w:r>
          </w:p>
        </w:tc>
        <w:tc>
          <w:tcPr>
            <w:tcW w:w="1080" w:type="dxa"/>
            <w:shd w:val="clear" w:color="auto" w:fill="F2F2F2" w:themeFill="background1" w:themeFillShade="F2"/>
          </w:tcPr>
          <w:p w14:paraId="69D98435" w14:textId="4E661D96" w:rsidR="00C44C7D" w:rsidRPr="007037A7" w:rsidRDefault="000A44F5" w:rsidP="00AF5A74">
            <w:pPr>
              <w:jc w:val="right"/>
              <w:rPr>
                <w:rFonts w:asciiTheme="minorHAnsi" w:hAnsiTheme="minorHAnsi" w:cstheme="minorHAnsi"/>
                <w:sz w:val="20"/>
                <w:szCs w:val="20"/>
              </w:rPr>
            </w:pPr>
            <w:r w:rsidRPr="007037A7">
              <w:rPr>
                <w:rFonts w:asciiTheme="minorHAnsi" w:hAnsiTheme="minorHAnsi" w:cstheme="minorHAnsi"/>
                <w:sz w:val="20"/>
                <w:szCs w:val="20"/>
              </w:rPr>
              <w:t>1.0</w:t>
            </w:r>
          </w:p>
        </w:tc>
        <w:tc>
          <w:tcPr>
            <w:tcW w:w="895" w:type="dxa"/>
            <w:shd w:val="clear" w:color="auto" w:fill="F2F2F2" w:themeFill="background1" w:themeFillShade="F2"/>
          </w:tcPr>
          <w:p w14:paraId="58B1E767" w14:textId="77777777" w:rsidR="00C44C7D" w:rsidRPr="007037A7" w:rsidRDefault="00C44C7D" w:rsidP="00AF5A74">
            <w:pPr>
              <w:jc w:val="right"/>
              <w:rPr>
                <w:rFonts w:asciiTheme="minorHAnsi" w:hAnsiTheme="minorHAnsi" w:cstheme="minorHAnsi"/>
                <w:sz w:val="20"/>
                <w:szCs w:val="20"/>
              </w:rPr>
            </w:pPr>
            <w:r w:rsidRPr="007037A7">
              <w:rPr>
                <w:rFonts w:asciiTheme="minorHAnsi" w:hAnsiTheme="minorHAnsi" w:cstheme="minorHAnsi"/>
                <w:sz w:val="20"/>
                <w:szCs w:val="20"/>
              </w:rPr>
              <w:t>-</w:t>
            </w:r>
          </w:p>
        </w:tc>
        <w:tc>
          <w:tcPr>
            <w:tcW w:w="1041" w:type="dxa"/>
            <w:shd w:val="clear" w:color="auto" w:fill="F2F2F2" w:themeFill="background1" w:themeFillShade="F2"/>
          </w:tcPr>
          <w:p w14:paraId="3C0747D0" w14:textId="6BC1BBAF" w:rsidR="00C44C7D" w:rsidRPr="007037A7" w:rsidRDefault="00E80CDA" w:rsidP="00AF5A74">
            <w:pPr>
              <w:jc w:val="right"/>
              <w:rPr>
                <w:rFonts w:asciiTheme="minorHAnsi" w:hAnsiTheme="minorHAnsi" w:cstheme="minorHAnsi"/>
                <w:sz w:val="20"/>
                <w:szCs w:val="20"/>
              </w:rPr>
            </w:pPr>
            <w:r w:rsidRPr="007037A7">
              <w:rPr>
                <w:rFonts w:asciiTheme="minorHAnsi" w:hAnsiTheme="minorHAnsi" w:cstheme="minorHAnsi"/>
                <w:sz w:val="20"/>
                <w:szCs w:val="20"/>
              </w:rPr>
              <w:t>2.6</w:t>
            </w:r>
          </w:p>
        </w:tc>
        <w:tc>
          <w:tcPr>
            <w:tcW w:w="896" w:type="dxa"/>
            <w:shd w:val="clear" w:color="auto" w:fill="F2F2F2" w:themeFill="background1" w:themeFillShade="F2"/>
          </w:tcPr>
          <w:p w14:paraId="7E5AD7E4" w14:textId="5B2BD12D" w:rsidR="00C44C7D" w:rsidRPr="007037A7" w:rsidRDefault="00710243" w:rsidP="00AF5A74">
            <w:pPr>
              <w:jc w:val="right"/>
              <w:rPr>
                <w:rFonts w:asciiTheme="minorHAnsi" w:hAnsiTheme="minorHAnsi" w:cstheme="minorHAnsi"/>
                <w:sz w:val="20"/>
                <w:szCs w:val="20"/>
              </w:rPr>
            </w:pPr>
            <w:r w:rsidRPr="007037A7">
              <w:rPr>
                <w:rFonts w:asciiTheme="minorHAnsi" w:hAnsiTheme="minorHAnsi" w:cstheme="minorHAnsi"/>
                <w:sz w:val="20"/>
                <w:szCs w:val="20"/>
              </w:rPr>
              <w:t>285.2</w:t>
            </w:r>
          </w:p>
        </w:tc>
      </w:tr>
      <w:tr w:rsidR="00C44C7D" w:rsidRPr="00B87A15" w14:paraId="0DB4C738" w14:textId="77777777" w:rsidTr="58230143">
        <w:tc>
          <w:tcPr>
            <w:tcW w:w="3120" w:type="dxa"/>
          </w:tcPr>
          <w:p w14:paraId="2A5895F6" w14:textId="77777777" w:rsidR="00C44C7D" w:rsidRPr="00A36F5C" w:rsidRDefault="00C44C7D" w:rsidP="00AF5A74">
            <w:pPr>
              <w:rPr>
                <w:rFonts w:asciiTheme="minorHAnsi" w:hAnsiTheme="minorHAnsi" w:cstheme="minorHAnsi"/>
                <w:bCs/>
                <w:sz w:val="20"/>
                <w:szCs w:val="20"/>
              </w:rPr>
            </w:pPr>
            <w:r w:rsidRPr="00A36F5C">
              <w:rPr>
                <w:rFonts w:asciiTheme="minorHAnsi" w:hAnsiTheme="minorHAnsi" w:cstheme="minorHAnsi"/>
                <w:bCs/>
                <w:sz w:val="20"/>
                <w:szCs w:val="20"/>
              </w:rPr>
              <w:t>Interest expense</w:t>
            </w:r>
          </w:p>
        </w:tc>
        <w:tc>
          <w:tcPr>
            <w:tcW w:w="906" w:type="dxa"/>
            <w:tcBorders>
              <w:bottom w:val="single" w:sz="4" w:space="0" w:color="auto"/>
            </w:tcBorders>
            <w:shd w:val="clear" w:color="auto" w:fill="F2F2F2" w:themeFill="background1" w:themeFillShade="F2"/>
          </w:tcPr>
          <w:p w14:paraId="237DD9B5" w14:textId="69C58F22" w:rsidR="00C44C7D" w:rsidRPr="006D4208" w:rsidRDefault="00C44C7D" w:rsidP="00AF5A74">
            <w:pPr>
              <w:jc w:val="right"/>
              <w:rPr>
                <w:rFonts w:asciiTheme="minorHAnsi" w:hAnsiTheme="minorHAnsi" w:cstheme="minorHAnsi"/>
                <w:sz w:val="20"/>
                <w:szCs w:val="20"/>
              </w:rPr>
            </w:pPr>
            <w:r w:rsidRPr="006D4208">
              <w:rPr>
                <w:rFonts w:asciiTheme="minorHAnsi" w:hAnsiTheme="minorHAnsi" w:cstheme="minorHAnsi"/>
                <w:sz w:val="20"/>
                <w:szCs w:val="20"/>
              </w:rPr>
              <w:t>(</w:t>
            </w:r>
            <w:r w:rsidR="00D55BE2" w:rsidRPr="006D4208">
              <w:rPr>
                <w:rFonts w:asciiTheme="minorHAnsi" w:hAnsiTheme="minorHAnsi" w:cstheme="minorHAnsi"/>
                <w:sz w:val="20"/>
                <w:szCs w:val="20"/>
              </w:rPr>
              <w:t>38.4</w:t>
            </w:r>
            <w:r w:rsidRPr="006D4208">
              <w:rPr>
                <w:rFonts w:asciiTheme="minorHAnsi" w:hAnsiTheme="minorHAnsi" w:cstheme="minorHAnsi"/>
                <w:sz w:val="20"/>
                <w:szCs w:val="20"/>
              </w:rPr>
              <w:t>)</w:t>
            </w:r>
          </w:p>
        </w:tc>
        <w:tc>
          <w:tcPr>
            <w:tcW w:w="892" w:type="dxa"/>
            <w:tcBorders>
              <w:bottom w:val="single" w:sz="4" w:space="0" w:color="auto"/>
            </w:tcBorders>
            <w:shd w:val="clear" w:color="auto" w:fill="F2F2F2" w:themeFill="background1" w:themeFillShade="F2"/>
          </w:tcPr>
          <w:p w14:paraId="2E15B857" w14:textId="6C3B3490" w:rsidR="00C44C7D" w:rsidRPr="006D4208" w:rsidRDefault="00C44C7D" w:rsidP="00AF5A74">
            <w:pPr>
              <w:jc w:val="right"/>
              <w:rPr>
                <w:rFonts w:asciiTheme="minorHAnsi" w:hAnsiTheme="minorHAnsi" w:cstheme="minorHAnsi"/>
                <w:sz w:val="20"/>
                <w:szCs w:val="20"/>
              </w:rPr>
            </w:pPr>
            <w:r w:rsidRPr="006D4208">
              <w:rPr>
                <w:rFonts w:asciiTheme="minorHAnsi" w:hAnsiTheme="minorHAnsi" w:cstheme="minorHAnsi"/>
                <w:sz w:val="20"/>
                <w:szCs w:val="20"/>
              </w:rPr>
              <w:t>(</w:t>
            </w:r>
            <w:r w:rsidR="00A848DB" w:rsidRPr="006D4208">
              <w:rPr>
                <w:rFonts w:asciiTheme="minorHAnsi" w:hAnsiTheme="minorHAnsi" w:cstheme="minorHAnsi"/>
                <w:sz w:val="20"/>
                <w:szCs w:val="20"/>
              </w:rPr>
              <w:t>19.9</w:t>
            </w:r>
            <w:r w:rsidRPr="006D4208">
              <w:rPr>
                <w:rFonts w:asciiTheme="minorHAnsi" w:hAnsiTheme="minorHAnsi" w:cstheme="minorHAnsi"/>
                <w:sz w:val="20"/>
                <w:szCs w:val="20"/>
              </w:rPr>
              <w:t>)</w:t>
            </w:r>
          </w:p>
        </w:tc>
        <w:tc>
          <w:tcPr>
            <w:tcW w:w="893" w:type="dxa"/>
            <w:tcBorders>
              <w:bottom w:val="single" w:sz="4" w:space="0" w:color="auto"/>
            </w:tcBorders>
            <w:shd w:val="clear" w:color="auto" w:fill="F2F2F2" w:themeFill="background1" w:themeFillShade="F2"/>
          </w:tcPr>
          <w:p w14:paraId="124DB54E" w14:textId="471AA1C6" w:rsidR="00C44C7D" w:rsidRPr="007037A7" w:rsidRDefault="00C44C7D" w:rsidP="00AF5A74">
            <w:pPr>
              <w:jc w:val="right"/>
              <w:rPr>
                <w:rFonts w:asciiTheme="minorHAnsi" w:hAnsiTheme="minorHAnsi" w:cstheme="minorHAnsi"/>
                <w:sz w:val="20"/>
                <w:szCs w:val="20"/>
              </w:rPr>
            </w:pPr>
            <w:r w:rsidRPr="007037A7">
              <w:rPr>
                <w:rFonts w:asciiTheme="minorHAnsi" w:hAnsiTheme="minorHAnsi" w:cstheme="minorHAnsi"/>
                <w:sz w:val="20"/>
                <w:szCs w:val="20"/>
              </w:rPr>
              <w:t>(</w:t>
            </w:r>
            <w:r w:rsidR="002F4202" w:rsidRPr="007037A7">
              <w:rPr>
                <w:rFonts w:asciiTheme="minorHAnsi" w:hAnsiTheme="minorHAnsi" w:cstheme="minorHAnsi"/>
                <w:sz w:val="20"/>
                <w:szCs w:val="20"/>
              </w:rPr>
              <w:t>2.0</w:t>
            </w:r>
            <w:r w:rsidRPr="007037A7">
              <w:rPr>
                <w:rFonts w:asciiTheme="minorHAnsi" w:hAnsiTheme="minorHAnsi" w:cstheme="minorHAnsi"/>
                <w:sz w:val="20"/>
                <w:szCs w:val="20"/>
              </w:rPr>
              <w:t>)</w:t>
            </w:r>
          </w:p>
        </w:tc>
        <w:tc>
          <w:tcPr>
            <w:tcW w:w="1080" w:type="dxa"/>
            <w:tcBorders>
              <w:bottom w:val="single" w:sz="4" w:space="0" w:color="auto"/>
            </w:tcBorders>
            <w:shd w:val="clear" w:color="auto" w:fill="F2F2F2" w:themeFill="background1" w:themeFillShade="F2"/>
          </w:tcPr>
          <w:p w14:paraId="4A3120B1" w14:textId="6890B2F6" w:rsidR="00C44C7D" w:rsidRPr="007037A7" w:rsidRDefault="00C44C7D" w:rsidP="00AF5A74">
            <w:pPr>
              <w:jc w:val="right"/>
              <w:rPr>
                <w:rFonts w:asciiTheme="minorHAnsi" w:hAnsiTheme="minorHAnsi" w:cstheme="minorHAnsi"/>
                <w:sz w:val="20"/>
                <w:szCs w:val="20"/>
              </w:rPr>
            </w:pPr>
            <w:r w:rsidRPr="007037A7">
              <w:rPr>
                <w:rFonts w:asciiTheme="minorHAnsi" w:hAnsiTheme="minorHAnsi" w:cstheme="minorHAnsi"/>
                <w:sz w:val="20"/>
                <w:szCs w:val="20"/>
              </w:rPr>
              <w:t>(</w:t>
            </w:r>
            <w:r w:rsidR="000A44F5" w:rsidRPr="007037A7">
              <w:rPr>
                <w:rFonts w:asciiTheme="minorHAnsi" w:hAnsiTheme="minorHAnsi" w:cstheme="minorHAnsi"/>
                <w:sz w:val="20"/>
                <w:szCs w:val="20"/>
              </w:rPr>
              <w:t>0.4</w:t>
            </w:r>
            <w:r w:rsidRPr="007037A7">
              <w:rPr>
                <w:rFonts w:asciiTheme="minorHAnsi" w:hAnsiTheme="minorHAnsi" w:cstheme="minorHAnsi"/>
                <w:sz w:val="20"/>
                <w:szCs w:val="20"/>
              </w:rPr>
              <w:t>)</w:t>
            </w:r>
          </w:p>
        </w:tc>
        <w:tc>
          <w:tcPr>
            <w:tcW w:w="895" w:type="dxa"/>
            <w:tcBorders>
              <w:bottom w:val="single" w:sz="4" w:space="0" w:color="auto"/>
            </w:tcBorders>
            <w:shd w:val="clear" w:color="auto" w:fill="F2F2F2" w:themeFill="background1" w:themeFillShade="F2"/>
          </w:tcPr>
          <w:p w14:paraId="59BFF859" w14:textId="77777777" w:rsidR="00C44C7D" w:rsidRPr="007037A7" w:rsidRDefault="00C44C7D" w:rsidP="00AF5A74">
            <w:pPr>
              <w:jc w:val="right"/>
              <w:rPr>
                <w:rFonts w:asciiTheme="minorHAnsi" w:hAnsiTheme="minorHAnsi" w:cstheme="minorHAnsi"/>
                <w:sz w:val="20"/>
                <w:szCs w:val="20"/>
              </w:rPr>
            </w:pPr>
            <w:r w:rsidRPr="007037A7">
              <w:rPr>
                <w:rFonts w:asciiTheme="minorHAnsi" w:hAnsiTheme="minorHAnsi" w:cstheme="minorHAnsi"/>
                <w:sz w:val="20"/>
                <w:szCs w:val="20"/>
              </w:rPr>
              <w:t>-</w:t>
            </w:r>
          </w:p>
        </w:tc>
        <w:tc>
          <w:tcPr>
            <w:tcW w:w="1041" w:type="dxa"/>
            <w:tcBorders>
              <w:bottom w:val="single" w:sz="4" w:space="0" w:color="auto"/>
            </w:tcBorders>
            <w:shd w:val="clear" w:color="auto" w:fill="F2F2F2" w:themeFill="background1" w:themeFillShade="F2"/>
          </w:tcPr>
          <w:p w14:paraId="34A74433" w14:textId="12A217A4" w:rsidR="00C44C7D" w:rsidRPr="007037A7" w:rsidRDefault="00C44C7D" w:rsidP="00AF5A74">
            <w:pPr>
              <w:jc w:val="right"/>
              <w:rPr>
                <w:rFonts w:asciiTheme="minorHAnsi" w:hAnsiTheme="minorHAnsi" w:cstheme="minorHAnsi"/>
                <w:sz w:val="20"/>
                <w:szCs w:val="20"/>
              </w:rPr>
            </w:pPr>
            <w:r w:rsidRPr="007037A7">
              <w:rPr>
                <w:rFonts w:asciiTheme="minorHAnsi" w:hAnsiTheme="minorHAnsi" w:cstheme="minorHAnsi"/>
                <w:sz w:val="20"/>
                <w:szCs w:val="20"/>
              </w:rPr>
              <w:t>(</w:t>
            </w:r>
            <w:r w:rsidR="00E80CDA" w:rsidRPr="007037A7">
              <w:rPr>
                <w:rFonts w:asciiTheme="minorHAnsi" w:hAnsiTheme="minorHAnsi" w:cstheme="minorHAnsi"/>
                <w:sz w:val="20"/>
                <w:szCs w:val="20"/>
              </w:rPr>
              <w:t>10.</w:t>
            </w:r>
            <w:r w:rsidR="005A6325">
              <w:rPr>
                <w:rFonts w:asciiTheme="minorHAnsi" w:hAnsiTheme="minorHAnsi" w:cstheme="minorHAnsi"/>
                <w:sz w:val="20"/>
                <w:szCs w:val="20"/>
              </w:rPr>
              <w:t>0</w:t>
            </w:r>
            <w:r w:rsidRPr="007037A7">
              <w:rPr>
                <w:rFonts w:asciiTheme="minorHAnsi" w:hAnsiTheme="minorHAnsi" w:cstheme="minorHAnsi"/>
                <w:sz w:val="20"/>
                <w:szCs w:val="20"/>
              </w:rPr>
              <w:t>)</w:t>
            </w:r>
          </w:p>
        </w:tc>
        <w:tc>
          <w:tcPr>
            <w:tcW w:w="896" w:type="dxa"/>
            <w:tcBorders>
              <w:bottom w:val="single" w:sz="4" w:space="0" w:color="auto"/>
            </w:tcBorders>
            <w:shd w:val="clear" w:color="auto" w:fill="F2F2F2" w:themeFill="background1" w:themeFillShade="F2"/>
          </w:tcPr>
          <w:p w14:paraId="0FF03884" w14:textId="01C936CD" w:rsidR="00C44C7D" w:rsidRPr="007037A7" w:rsidRDefault="00C44C7D" w:rsidP="00AF5A74">
            <w:pPr>
              <w:jc w:val="right"/>
              <w:rPr>
                <w:rFonts w:asciiTheme="minorHAnsi" w:hAnsiTheme="minorHAnsi" w:cstheme="minorHAnsi"/>
                <w:sz w:val="20"/>
                <w:szCs w:val="20"/>
              </w:rPr>
            </w:pPr>
            <w:r w:rsidRPr="007037A7">
              <w:rPr>
                <w:rFonts w:asciiTheme="minorHAnsi" w:hAnsiTheme="minorHAnsi" w:cstheme="minorHAnsi"/>
                <w:sz w:val="20"/>
                <w:szCs w:val="20"/>
              </w:rPr>
              <w:t>(</w:t>
            </w:r>
            <w:r w:rsidR="00710243" w:rsidRPr="007037A7">
              <w:rPr>
                <w:rFonts w:asciiTheme="minorHAnsi" w:hAnsiTheme="minorHAnsi" w:cstheme="minorHAnsi"/>
                <w:sz w:val="20"/>
                <w:szCs w:val="20"/>
              </w:rPr>
              <w:t>70.7</w:t>
            </w:r>
            <w:r w:rsidRPr="007037A7">
              <w:rPr>
                <w:rFonts w:asciiTheme="minorHAnsi" w:hAnsiTheme="minorHAnsi" w:cstheme="minorHAnsi"/>
                <w:sz w:val="20"/>
                <w:szCs w:val="20"/>
              </w:rPr>
              <w:t>)</w:t>
            </w:r>
          </w:p>
        </w:tc>
      </w:tr>
      <w:tr w:rsidR="00C44C7D" w:rsidRPr="00B87A15" w14:paraId="04633035" w14:textId="77777777" w:rsidTr="58230143">
        <w:tc>
          <w:tcPr>
            <w:tcW w:w="3120" w:type="dxa"/>
          </w:tcPr>
          <w:p w14:paraId="6B4B69B6" w14:textId="77777777" w:rsidR="00C44C7D" w:rsidRPr="00A36F5C" w:rsidRDefault="00C44C7D" w:rsidP="00AF5A74">
            <w:pPr>
              <w:rPr>
                <w:rFonts w:asciiTheme="minorHAnsi" w:hAnsiTheme="minorHAnsi" w:cstheme="minorHAnsi"/>
                <w:b/>
                <w:sz w:val="20"/>
                <w:szCs w:val="20"/>
              </w:rPr>
            </w:pPr>
            <w:r w:rsidRPr="00A36F5C">
              <w:rPr>
                <w:rFonts w:asciiTheme="minorHAnsi" w:hAnsiTheme="minorHAnsi" w:cstheme="minorHAnsi"/>
                <w:b/>
                <w:sz w:val="20"/>
                <w:szCs w:val="20"/>
              </w:rPr>
              <w:t>Net interest income</w:t>
            </w:r>
          </w:p>
        </w:tc>
        <w:tc>
          <w:tcPr>
            <w:tcW w:w="906" w:type="dxa"/>
            <w:tcBorders>
              <w:top w:val="single" w:sz="4" w:space="0" w:color="auto"/>
              <w:bottom w:val="single" w:sz="4" w:space="0" w:color="auto"/>
            </w:tcBorders>
            <w:shd w:val="clear" w:color="auto" w:fill="F2F2F2" w:themeFill="background1" w:themeFillShade="F2"/>
          </w:tcPr>
          <w:p w14:paraId="47235810" w14:textId="57CBF185" w:rsidR="00C44C7D" w:rsidRPr="006D4208" w:rsidRDefault="00D55BE2" w:rsidP="00AF5A74">
            <w:pPr>
              <w:jc w:val="right"/>
              <w:rPr>
                <w:rFonts w:asciiTheme="minorHAnsi" w:hAnsiTheme="minorHAnsi" w:cstheme="minorHAnsi"/>
                <w:b/>
                <w:sz w:val="20"/>
                <w:szCs w:val="20"/>
              </w:rPr>
            </w:pPr>
            <w:r w:rsidRPr="006D4208">
              <w:rPr>
                <w:rFonts w:asciiTheme="minorHAnsi" w:hAnsiTheme="minorHAnsi" w:cstheme="minorHAnsi"/>
                <w:b/>
                <w:sz w:val="20"/>
                <w:szCs w:val="20"/>
              </w:rPr>
              <w:t>164.2</w:t>
            </w:r>
          </w:p>
        </w:tc>
        <w:tc>
          <w:tcPr>
            <w:tcW w:w="892" w:type="dxa"/>
            <w:tcBorders>
              <w:top w:val="single" w:sz="4" w:space="0" w:color="auto"/>
              <w:bottom w:val="single" w:sz="4" w:space="0" w:color="auto"/>
            </w:tcBorders>
            <w:shd w:val="clear" w:color="auto" w:fill="F2F2F2" w:themeFill="background1" w:themeFillShade="F2"/>
          </w:tcPr>
          <w:p w14:paraId="31F63BD9" w14:textId="31894803" w:rsidR="00C44C7D" w:rsidRPr="006D4208" w:rsidRDefault="00A848DB" w:rsidP="00AF5A74">
            <w:pPr>
              <w:jc w:val="right"/>
              <w:rPr>
                <w:rFonts w:asciiTheme="minorHAnsi" w:hAnsiTheme="minorHAnsi" w:cstheme="minorHAnsi"/>
                <w:b/>
                <w:sz w:val="20"/>
                <w:szCs w:val="20"/>
              </w:rPr>
            </w:pPr>
            <w:r w:rsidRPr="006D4208">
              <w:rPr>
                <w:rFonts w:asciiTheme="minorHAnsi" w:hAnsiTheme="minorHAnsi" w:cstheme="minorHAnsi"/>
                <w:b/>
                <w:sz w:val="20"/>
                <w:szCs w:val="20"/>
              </w:rPr>
              <w:t>49.9</w:t>
            </w:r>
          </w:p>
        </w:tc>
        <w:tc>
          <w:tcPr>
            <w:tcW w:w="893" w:type="dxa"/>
            <w:tcBorders>
              <w:top w:val="single" w:sz="4" w:space="0" w:color="auto"/>
              <w:bottom w:val="single" w:sz="4" w:space="0" w:color="auto"/>
            </w:tcBorders>
            <w:shd w:val="clear" w:color="auto" w:fill="F2F2F2" w:themeFill="background1" w:themeFillShade="F2"/>
          </w:tcPr>
          <w:p w14:paraId="4E62CC19" w14:textId="750E8E63" w:rsidR="00C44C7D" w:rsidRPr="006D4208" w:rsidRDefault="002F4202" w:rsidP="00AF5A74">
            <w:pPr>
              <w:jc w:val="right"/>
              <w:rPr>
                <w:rFonts w:asciiTheme="minorHAnsi" w:hAnsiTheme="minorHAnsi" w:cstheme="minorHAnsi"/>
                <w:b/>
                <w:sz w:val="20"/>
                <w:szCs w:val="20"/>
              </w:rPr>
            </w:pPr>
            <w:r w:rsidRPr="006D4208">
              <w:rPr>
                <w:rFonts w:asciiTheme="minorHAnsi" w:hAnsiTheme="minorHAnsi" w:cstheme="minorHAnsi"/>
                <w:b/>
                <w:sz w:val="20"/>
                <w:szCs w:val="20"/>
              </w:rPr>
              <w:t>7.2</w:t>
            </w:r>
          </w:p>
        </w:tc>
        <w:tc>
          <w:tcPr>
            <w:tcW w:w="1080" w:type="dxa"/>
            <w:tcBorders>
              <w:top w:val="single" w:sz="4" w:space="0" w:color="auto"/>
              <w:bottom w:val="single" w:sz="4" w:space="0" w:color="auto"/>
            </w:tcBorders>
            <w:shd w:val="clear" w:color="auto" w:fill="F2F2F2" w:themeFill="background1" w:themeFillShade="F2"/>
          </w:tcPr>
          <w:p w14:paraId="3F3CB3DF" w14:textId="30F4D8B6" w:rsidR="00C44C7D" w:rsidRPr="006D4208" w:rsidRDefault="00925ADD" w:rsidP="00AF5A74">
            <w:pPr>
              <w:jc w:val="right"/>
              <w:rPr>
                <w:rFonts w:asciiTheme="minorHAnsi" w:hAnsiTheme="minorHAnsi" w:cstheme="minorHAnsi"/>
                <w:b/>
                <w:sz w:val="20"/>
                <w:szCs w:val="20"/>
              </w:rPr>
            </w:pPr>
            <w:r w:rsidRPr="006D4208">
              <w:rPr>
                <w:rFonts w:asciiTheme="minorHAnsi" w:hAnsiTheme="minorHAnsi" w:cstheme="minorHAnsi"/>
                <w:b/>
                <w:sz w:val="20"/>
                <w:szCs w:val="20"/>
              </w:rPr>
              <w:t>0.6</w:t>
            </w:r>
          </w:p>
        </w:tc>
        <w:tc>
          <w:tcPr>
            <w:tcW w:w="895" w:type="dxa"/>
            <w:tcBorders>
              <w:top w:val="single" w:sz="4" w:space="0" w:color="auto"/>
              <w:bottom w:val="single" w:sz="4" w:space="0" w:color="auto"/>
            </w:tcBorders>
            <w:shd w:val="clear" w:color="auto" w:fill="F2F2F2" w:themeFill="background1" w:themeFillShade="F2"/>
          </w:tcPr>
          <w:p w14:paraId="16CD5538" w14:textId="77777777" w:rsidR="00C44C7D" w:rsidRPr="006D4208" w:rsidRDefault="00C44C7D" w:rsidP="00AF5A74">
            <w:pPr>
              <w:jc w:val="right"/>
              <w:rPr>
                <w:rFonts w:asciiTheme="minorHAnsi" w:hAnsiTheme="minorHAnsi" w:cstheme="minorHAnsi"/>
                <w:b/>
                <w:sz w:val="20"/>
                <w:szCs w:val="20"/>
              </w:rPr>
            </w:pPr>
            <w:r w:rsidRPr="006D4208">
              <w:rPr>
                <w:rFonts w:asciiTheme="minorHAnsi" w:hAnsiTheme="minorHAnsi" w:cstheme="minorHAnsi"/>
                <w:b/>
                <w:sz w:val="20"/>
                <w:szCs w:val="20"/>
              </w:rPr>
              <w:t>-</w:t>
            </w:r>
          </w:p>
        </w:tc>
        <w:tc>
          <w:tcPr>
            <w:tcW w:w="1041" w:type="dxa"/>
            <w:tcBorders>
              <w:top w:val="single" w:sz="4" w:space="0" w:color="auto"/>
              <w:bottom w:val="single" w:sz="4" w:space="0" w:color="auto"/>
            </w:tcBorders>
            <w:shd w:val="clear" w:color="auto" w:fill="F2F2F2" w:themeFill="background1" w:themeFillShade="F2"/>
          </w:tcPr>
          <w:p w14:paraId="5E4B0BB3" w14:textId="21CEBEAF" w:rsidR="00C44C7D" w:rsidRPr="006D4208" w:rsidRDefault="00C44C7D" w:rsidP="00AF5A74">
            <w:pPr>
              <w:jc w:val="right"/>
              <w:rPr>
                <w:rFonts w:asciiTheme="minorHAnsi" w:hAnsiTheme="minorHAnsi" w:cstheme="minorHAnsi"/>
                <w:b/>
                <w:sz w:val="20"/>
                <w:szCs w:val="20"/>
              </w:rPr>
            </w:pPr>
            <w:r w:rsidRPr="006D4208">
              <w:rPr>
                <w:rFonts w:asciiTheme="minorHAnsi" w:hAnsiTheme="minorHAnsi" w:cstheme="minorHAnsi"/>
                <w:b/>
                <w:sz w:val="20"/>
                <w:szCs w:val="20"/>
              </w:rPr>
              <w:t>(</w:t>
            </w:r>
            <w:r w:rsidR="007946E5" w:rsidRPr="006D4208">
              <w:rPr>
                <w:rFonts w:asciiTheme="minorHAnsi" w:hAnsiTheme="minorHAnsi" w:cstheme="minorHAnsi"/>
                <w:b/>
                <w:sz w:val="20"/>
                <w:szCs w:val="20"/>
              </w:rPr>
              <w:t>7.4</w:t>
            </w:r>
            <w:r w:rsidRPr="006D4208">
              <w:rPr>
                <w:rFonts w:asciiTheme="minorHAnsi" w:hAnsiTheme="minorHAnsi" w:cstheme="minorHAnsi"/>
                <w:b/>
                <w:sz w:val="20"/>
                <w:szCs w:val="20"/>
              </w:rPr>
              <w:t>)</w:t>
            </w:r>
          </w:p>
        </w:tc>
        <w:tc>
          <w:tcPr>
            <w:tcW w:w="896" w:type="dxa"/>
            <w:tcBorders>
              <w:top w:val="single" w:sz="4" w:space="0" w:color="auto"/>
              <w:bottom w:val="single" w:sz="4" w:space="0" w:color="auto"/>
            </w:tcBorders>
            <w:shd w:val="clear" w:color="auto" w:fill="F2F2F2" w:themeFill="background1" w:themeFillShade="F2"/>
          </w:tcPr>
          <w:p w14:paraId="000CC160" w14:textId="564CB004" w:rsidR="00C44C7D" w:rsidRPr="006D4208" w:rsidRDefault="00710243" w:rsidP="00AF5A74">
            <w:pPr>
              <w:jc w:val="right"/>
              <w:rPr>
                <w:rFonts w:asciiTheme="minorHAnsi" w:hAnsiTheme="minorHAnsi" w:cstheme="minorHAnsi"/>
                <w:b/>
                <w:sz w:val="20"/>
                <w:szCs w:val="20"/>
              </w:rPr>
            </w:pPr>
            <w:r w:rsidRPr="006D4208">
              <w:rPr>
                <w:rFonts w:asciiTheme="minorHAnsi" w:hAnsiTheme="minorHAnsi" w:cstheme="minorHAnsi"/>
                <w:b/>
                <w:sz w:val="20"/>
                <w:szCs w:val="20"/>
              </w:rPr>
              <w:t>214.5</w:t>
            </w:r>
          </w:p>
        </w:tc>
      </w:tr>
      <w:tr w:rsidR="00C44C7D" w:rsidRPr="00B87A15" w14:paraId="0FAE9170" w14:textId="77777777" w:rsidTr="58230143">
        <w:tc>
          <w:tcPr>
            <w:tcW w:w="3120" w:type="dxa"/>
          </w:tcPr>
          <w:p w14:paraId="6C3D1ACC" w14:textId="77777777" w:rsidR="00C44C7D" w:rsidRPr="00A36F5C" w:rsidRDefault="00C44C7D" w:rsidP="00AF5A74">
            <w:pPr>
              <w:rPr>
                <w:rFonts w:asciiTheme="minorHAnsi" w:hAnsiTheme="minorHAnsi" w:cstheme="minorHAnsi"/>
                <w:bCs/>
                <w:sz w:val="20"/>
                <w:szCs w:val="20"/>
              </w:rPr>
            </w:pPr>
            <w:r w:rsidRPr="00A36F5C">
              <w:rPr>
                <w:rFonts w:asciiTheme="minorHAnsi" w:hAnsiTheme="minorHAnsi" w:cstheme="minorHAnsi"/>
                <w:bCs/>
                <w:sz w:val="20"/>
                <w:szCs w:val="20"/>
              </w:rPr>
              <w:t>Fee and commission income</w:t>
            </w:r>
          </w:p>
        </w:tc>
        <w:tc>
          <w:tcPr>
            <w:tcW w:w="906" w:type="dxa"/>
            <w:tcBorders>
              <w:top w:val="single" w:sz="4" w:space="0" w:color="auto"/>
            </w:tcBorders>
            <w:shd w:val="clear" w:color="auto" w:fill="F2F2F2" w:themeFill="background1" w:themeFillShade="F2"/>
          </w:tcPr>
          <w:p w14:paraId="7F39FEC8" w14:textId="5B145FFD" w:rsidR="00C44C7D" w:rsidRPr="006D4208" w:rsidRDefault="00D55BE2" w:rsidP="00AF5A74">
            <w:pPr>
              <w:jc w:val="right"/>
              <w:rPr>
                <w:rFonts w:asciiTheme="minorHAnsi" w:hAnsiTheme="minorHAnsi" w:cstheme="minorHAnsi"/>
                <w:sz w:val="20"/>
                <w:szCs w:val="20"/>
              </w:rPr>
            </w:pPr>
            <w:r w:rsidRPr="006D4208">
              <w:rPr>
                <w:rFonts w:asciiTheme="minorHAnsi" w:hAnsiTheme="minorHAnsi" w:cstheme="minorHAnsi"/>
                <w:sz w:val="20"/>
                <w:szCs w:val="20"/>
              </w:rPr>
              <w:t>19.3</w:t>
            </w:r>
          </w:p>
        </w:tc>
        <w:tc>
          <w:tcPr>
            <w:tcW w:w="892" w:type="dxa"/>
            <w:tcBorders>
              <w:top w:val="single" w:sz="4" w:space="0" w:color="auto"/>
            </w:tcBorders>
            <w:shd w:val="clear" w:color="auto" w:fill="F2F2F2" w:themeFill="background1" w:themeFillShade="F2"/>
          </w:tcPr>
          <w:p w14:paraId="6EF04467" w14:textId="77777777" w:rsidR="00C44C7D" w:rsidRPr="006D4208" w:rsidRDefault="00C44C7D" w:rsidP="00AF5A74">
            <w:pPr>
              <w:jc w:val="right"/>
              <w:rPr>
                <w:rFonts w:asciiTheme="minorHAnsi" w:hAnsiTheme="minorHAnsi" w:cstheme="minorHAnsi"/>
                <w:sz w:val="20"/>
                <w:szCs w:val="20"/>
              </w:rPr>
            </w:pPr>
            <w:r w:rsidRPr="006D4208">
              <w:rPr>
                <w:rFonts w:asciiTheme="minorHAnsi" w:hAnsiTheme="minorHAnsi" w:cstheme="minorHAnsi"/>
                <w:sz w:val="20"/>
                <w:szCs w:val="20"/>
              </w:rPr>
              <w:t>-</w:t>
            </w:r>
          </w:p>
        </w:tc>
        <w:tc>
          <w:tcPr>
            <w:tcW w:w="893" w:type="dxa"/>
            <w:tcBorders>
              <w:top w:val="single" w:sz="4" w:space="0" w:color="auto"/>
            </w:tcBorders>
            <w:shd w:val="clear" w:color="auto" w:fill="F2F2F2" w:themeFill="background1" w:themeFillShade="F2"/>
          </w:tcPr>
          <w:p w14:paraId="127D061A" w14:textId="77777777" w:rsidR="00C44C7D" w:rsidRPr="00BF4880" w:rsidRDefault="00C44C7D" w:rsidP="00AF5A74">
            <w:pPr>
              <w:jc w:val="right"/>
              <w:rPr>
                <w:rFonts w:asciiTheme="minorHAnsi" w:hAnsiTheme="minorHAnsi" w:cstheme="minorHAnsi"/>
                <w:sz w:val="20"/>
                <w:szCs w:val="20"/>
              </w:rPr>
            </w:pPr>
            <w:r w:rsidRPr="00BF4880">
              <w:rPr>
                <w:rFonts w:asciiTheme="minorHAnsi" w:hAnsiTheme="minorHAnsi" w:cstheme="minorHAnsi"/>
                <w:sz w:val="20"/>
                <w:szCs w:val="20"/>
              </w:rPr>
              <w:t>-</w:t>
            </w:r>
          </w:p>
        </w:tc>
        <w:tc>
          <w:tcPr>
            <w:tcW w:w="1080" w:type="dxa"/>
            <w:tcBorders>
              <w:top w:val="single" w:sz="4" w:space="0" w:color="auto"/>
            </w:tcBorders>
            <w:shd w:val="clear" w:color="auto" w:fill="F2F2F2" w:themeFill="background1" w:themeFillShade="F2"/>
          </w:tcPr>
          <w:p w14:paraId="615FCF76" w14:textId="77777777" w:rsidR="00C44C7D" w:rsidRPr="00BF4880" w:rsidRDefault="00C44C7D" w:rsidP="00AF5A74">
            <w:pPr>
              <w:jc w:val="right"/>
              <w:rPr>
                <w:rFonts w:asciiTheme="minorHAnsi" w:hAnsiTheme="minorHAnsi" w:cstheme="minorHAnsi"/>
                <w:sz w:val="20"/>
                <w:szCs w:val="20"/>
              </w:rPr>
            </w:pPr>
            <w:r w:rsidRPr="00BF4880">
              <w:rPr>
                <w:rFonts w:asciiTheme="minorHAnsi" w:hAnsiTheme="minorHAnsi" w:cstheme="minorHAnsi"/>
                <w:sz w:val="20"/>
                <w:szCs w:val="20"/>
              </w:rPr>
              <w:t>-</w:t>
            </w:r>
          </w:p>
        </w:tc>
        <w:tc>
          <w:tcPr>
            <w:tcW w:w="895" w:type="dxa"/>
            <w:tcBorders>
              <w:top w:val="single" w:sz="4" w:space="0" w:color="auto"/>
            </w:tcBorders>
            <w:shd w:val="clear" w:color="auto" w:fill="F2F2F2" w:themeFill="background1" w:themeFillShade="F2"/>
          </w:tcPr>
          <w:p w14:paraId="33A6CEAA" w14:textId="14A49DEF" w:rsidR="00C44C7D" w:rsidRPr="00BF4880" w:rsidRDefault="00F044BB" w:rsidP="00AF5A74">
            <w:pPr>
              <w:jc w:val="right"/>
              <w:rPr>
                <w:rFonts w:asciiTheme="minorHAnsi" w:hAnsiTheme="minorHAnsi" w:cstheme="minorHAnsi"/>
                <w:sz w:val="20"/>
                <w:szCs w:val="20"/>
              </w:rPr>
            </w:pPr>
            <w:r w:rsidRPr="00BF4880">
              <w:rPr>
                <w:rFonts w:asciiTheme="minorHAnsi" w:hAnsiTheme="minorHAnsi" w:cstheme="minorHAnsi"/>
                <w:sz w:val="20"/>
                <w:szCs w:val="20"/>
              </w:rPr>
              <w:t>0.8</w:t>
            </w:r>
          </w:p>
        </w:tc>
        <w:tc>
          <w:tcPr>
            <w:tcW w:w="1041" w:type="dxa"/>
            <w:tcBorders>
              <w:top w:val="single" w:sz="4" w:space="0" w:color="auto"/>
            </w:tcBorders>
            <w:shd w:val="clear" w:color="auto" w:fill="F2F2F2" w:themeFill="background1" w:themeFillShade="F2"/>
          </w:tcPr>
          <w:p w14:paraId="21531FB5" w14:textId="77777777" w:rsidR="00C44C7D" w:rsidRPr="00BF4880" w:rsidRDefault="00C44C7D" w:rsidP="00AF5A74">
            <w:pPr>
              <w:jc w:val="right"/>
              <w:rPr>
                <w:rFonts w:asciiTheme="minorHAnsi" w:hAnsiTheme="minorHAnsi" w:cstheme="minorHAnsi"/>
                <w:sz w:val="20"/>
                <w:szCs w:val="20"/>
              </w:rPr>
            </w:pPr>
            <w:r w:rsidRPr="00BF4880">
              <w:rPr>
                <w:rFonts w:asciiTheme="minorHAnsi" w:hAnsiTheme="minorHAnsi" w:cstheme="minorHAnsi"/>
                <w:sz w:val="20"/>
                <w:szCs w:val="20"/>
              </w:rPr>
              <w:t>-</w:t>
            </w:r>
          </w:p>
        </w:tc>
        <w:tc>
          <w:tcPr>
            <w:tcW w:w="896" w:type="dxa"/>
            <w:tcBorders>
              <w:top w:val="single" w:sz="4" w:space="0" w:color="auto"/>
            </w:tcBorders>
            <w:shd w:val="clear" w:color="auto" w:fill="F2F2F2" w:themeFill="background1" w:themeFillShade="F2"/>
          </w:tcPr>
          <w:p w14:paraId="0CF43554" w14:textId="600F2B3E" w:rsidR="00C44C7D" w:rsidRPr="00BF4880" w:rsidRDefault="002D224D" w:rsidP="00AF5A74">
            <w:pPr>
              <w:jc w:val="right"/>
              <w:rPr>
                <w:rFonts w:asciiTheme="minorHAnsi" w:hAnsiTheme="minorHAnsi" w:cstheme="minorHAnsi"/>
                <w:sz w:val="20"/>
                <w:szCs w:val="20"/>
              </w:rPr>
            </w:pPr>
            <w:r w:rsidRPr="00BF4880">
              <w:rPr>
                <w:rFonts w:asciiTheme="minorHAnsi" w:hAnsiTheme="minorHAnsi" w:cstheme="minorHAnsi"/>
                <w:sz w:val="20"/>
                <w:szCs w:val="20"/>
              </w:rPr>
              <w:t>20.1</w:t>
            </w:r>
          </w:p>
        </w:tc>
      </w:tr>
      <w:tr w:rsidR="00C44C7D" w:rsidRPr="00B87A15" w14:paraId="4A257353" w14:textId="77777777" w:rsidTr="58230143">
        <w:tc>
          <w:tcPr>
            <w:tcW w:w="3120" w:type="dxa"/>
          </w:tcPr>
          <w:p w14:paraId="370E38D3" w14:textId="77777777" w:rsidR="00C44C7D" w:rsidRPr="00A36F5C" w:rsidRDefault="00C44C7D" w:rsidP="00AF5A74">
            <w:pPr>
              <w:rPr>
                <w:rFonts w:asciiTheme="minorHAnsi" w:hAnsiTheme="minorHAnsi" w:cstheme="minorHAnsi"/>
                <w:bCs/>
                <w:sz w:val="20"/>
                <w:szCs w:val="20"/>
              </w:rPr>
            </w:pPr>
            <w:r w:rsidRPr="00A36F5C">
              <w:rPr>
                <w:rFonts w:asciiTheme="minorHAnsi" w:hAnsiTheme="minorHAnsi" w:cstheme="minorHAnsi"/>
                <w:bCs/>
                <w:sz w:val="20"/>
                <w:szCs w:val="20"/>
              </w:rPr>
              <w:t>Fee and commission expense</w:t>
            </w:r>
          </w:p>
        </w:tc>
        <w:tc>
          <w:tcPr>
            <w:tcW w:w="906" w:type="dxa"/>
            <w:tcBorders>
              <w:bottom w:val="single" w:sz="4" w:space="0" w:color="auto"/>
            </w:tcBorders>
            <w:shd w:val="clear" w:color="auto" w:fill="F2F2F2" w:themeFill="background1" w:themeFillShade="F2"/>
          </w:tcPr>
          <w:p w14:paraId="37A6C6E7" w14:textId="75EE9AF4" w:rsidR="00C44C7D" w:rsidRPr="006D4208" w:rsidRDefault="00C44C7D" w:rsidP="00AF5A74">
            <w:pPr>
              <w:jc w:val="right"/>
              <w:rPr>
                <w:rFonts w:asciiTheme="minorHAnsi" w:hAnsiTheme="minorHAnsi" w:cstheme="minorHAnsi"/>
                <w:sz w:val="20"/>
                <w:szCs w:val="20"/>
              </w:rPr>
            </w:pPr>
            <w:r w:rsidRPr="006D4208">
              <w:rPr>
                <w:rFonts w:asciiTheme="minorHAnsi" w:hAnsiTheme="minorHAnsi" w:cstheme="minorHAnsi"/>
                <w:sz w:val="20"/>
                <w:szCs w:val="20"/>
              </w:rPr>
              <w:t>(</w:t>
            </w:r>
            <w:r w:rsidR="00B25932" w:rsidRPr="006D4208">
              <w:rPr>
                <w:rFonts w:asciiTheme="minorHAnsi" w:hAnsiTheme="minorHAnsi" w:cstheme="minorHAnsi"/>
                <w:sz w:val="20"/>
                <w:szCs w:val="20"/>
              </w:rPr>
              <w:t>0.7</w:t>
            </w:r>
            <w:r w:rsidRPr="006D4208">
              <w:rPr>
                <w:rFonts w:asciiTheme="minorHAnsi" w:hAnsiTheme="minorHAnsi" w:cstheme="minorHAnsi"/>
                <w:sz w:val="20"/>
                <w:szCs w:val="20"/>
              </w:rPr>
              <w:t>)</w:t>
            </w:r>
          </w:p>
        </w:tc>
        <w:tc>
          <w:tcPr>
            <w:tcW w:w="892" w:type="dxa"/>
            <w:tcBorders>
              <w:bottom w:val="single" w:sz="4" w:space="0" w:color="auto"/>
            </w:tcBorders>
            <w:shd w:val="clear" w:color="auto" w:fill="F2F2F2" w:themeFill="background1" w:themeFillShade="F2"/>
          </w:tcPr>
          <w:p w14:paraId="14295401" w14:textId="77777777" w:rsidR="00C44C7D" w:rsidRPr="006D4208" w:rsidRDefault="00C44C7D" w:rsidP="00AF5A74">
            <w:pPr>
              <w:jc w:val="right"/>
              <w:rPr>
                <w:rFonts w:asciiTheme="minorHAnsi" w:hAnsiTheme="minorHAnsi" w:cstheme="minorHAnsi"/>
                <w:sz w:val="20"/>
                <w:szCs w:val="20"/>
              </w:rPr>
            </w:pPr>
            <w:r w:rsidRPr="006D4208">
              <w:rPr>
                <w:rFonts w:asciiTheme="minorHAnsi" w:hAnsiTheme="minorHAnsi" w:cstheme="minorHAnsi"/>
                <w:sz w:val="20"/>
                <w:szCs w:val="20"/>
              </w:rPr>
              <w:t>-</w:t>
            </w:r>
          </w:p>
        </w:tc>
        <w:tc>
          <w:tcPr>
            <w:tcW w:w="893" w:type="dxa"/>
            <w:tcBorders>
              <w:bottom w:val="single" w:sz="4" w:space="0" w:color="auto"/>
            </w:tcBorders>
            <w:shd w:val="clear" w:color="auto" w:fill="F2F2F2" w:themeFill="background1" w:themeFillShade="F2"/>
          </w:tcPr>
          <w:p w14:paraId="108853CD" w14:textId="77777777" w:rsidR="00C44C7D" w:rsidRPr="00BF4880" w:rsidRDefault="00C44C7D" w:rsidP="00AF5A74">
            <w:pPr>
              <w:jc w:val="right"/>
              <w:rPr>
                <w:rFonts w:asciiTheme="minorHAnsi" w:hAnsiTheme="minorHAnsi" w:cstheme="minorHAnsi"/>
                <w:sz w:val="20"/>
                <w:szCs w:val="20"/>
              </w:rPr>
            </w:pPr>
            <w:r w:rsidRPr="00BF4880">
              <w:rPr>
                <w:rFonts w:asciiTheme="minorHAnsi" w:hAnsiTheme="minorHAnsi" w:cstheme="minorHAnsi"/>
                <w:sz w:val="20"/>
                <w:szCs w:val="20"/>
              </w:rPr>
              <w:t>-</w:t>
            </w:r>
          </w:p>
        </w:tc>
        <w:tc>
          <w:tcPr>
            <w:tcW w:w="1080" w:type="dxa"/>
            <w:tcBorders>
              <w:bottom w:val="single" w:sz="4" w:space="0" w:color="auto"/>
            </w:tcBorders>
            <w:shd w:val="clear" w:color="auto" w:fill="F2F2F2" w:themeFill="background1" w:themeFillShade="F2"/>
          </w:tcPr>
          <w:p w14:paraId="5903A41B" w14:textId="77777777" w:rsidR="00C44C7D" w:rsidRPr="00BF4880" w:rsidRDefault="00C44C7D" w:rsidP="00AF5A74">
            <w:pPr>
              <w:jc w:val="right"/>
              <w:rPr>
                <w:rFonts w:asciiTheme="minorHAnsi" w:hAnsiTheme="minorHAnsi" w:cstheme="minorHAnsi"/>
                <w:sz w:val="20"/>
                <w:szCs w:val="20"/>
              </w:rPr>
            </w:pPr>
            <w:r w:rsidRPr="00BF4880">
              <w:rPr>
                <w:rFonts w:asciiTheme="minorHAnsi" w:hAnsiTheme="minorHAnsi" w:cstheme="minorHAnsi"/>
                <w:sz w:val="20"/>
                <w:szCs w:val="20"/>
              </w:rPr>
              <w:t>-</w:t>
            </w:r>
          </w:p>
        </w:tc>
        <w:tc>
          <w:tcPr>
            <w:tcW w:w="895" w:type="dxa"/>
            <w:tcBorders>
              <w:bottom w:val="single" w:sz="4" w:space="0" w:color="auto"/>
            </w:tcBorders>
            <w:shd w:val="clear" w:color="auto" w:fill="F2F2F2" w:themeFill="background1" w:themeFillShade="F2"/>
          </w:tcPr>
          <w:p w14:paraId="7BBB8855" w14:textId="7D76F0F3" w:rsidR="00C44C7D" w:rsidRPr="00BF4880" w:rsidRDefault="00F044BB" w:rsidP="00AF5A74">
            <w:pPr>
              <w:jc w:val="right"/>
              <w:rPr>
                <w:rFonts w:asciiTheme="minorHAnsi" w:hAnsiTheme="minorHAnsi" w:cstheme="minorHAnsi"/>
                <w:sz w:val="20"/>
                <w:szCs w:val="20"/>
              </w:rPr>
            </w:pPr>
            <w:r w:rsidRPr="00BF4880">
              <w:rPr>
                <w:rFonts w:asciiTheme="minorHAnsi" w:hAnsiTheme="minorHAnsi" w:cstheme="minorHAnsi"/>
                <w:sz w:val="20"/>
                <w:szCs w:val="20"/>
              </w:rPr>
              <w:t>(0.1)</w:t>
            </w:r>
          </w:p>
        </w:tc>
        <w:tc>
          <w:tcPr>
            <w:tcW w:w="1041" w:type="dxa"/>
            <w:tcBorders>
              <w:bottom w:val="single" w:sz="4" w:space="0" w:color="auto"/>
            </w:tcBorders>
            <w:shd w:val="clear" w:color="auto" w:fill="F2F2F2" w:themeFill="background1" w:themeFillShade="F2"/>
          </w:tcPr>
          <w:p w14:paraId="646A0DA0" w14:textId="77777777" w:rsidR="00C44C7D" w:rsidRPr="00BF4880" w:rsidRDefault="00C44C7D" w:rsidP="00AF5A74">
            <w:pPr>
              <w:jc w:val="right"/>
              <w:rPr>
                <w:rFonts w:asciiTheme="minorHAnsi" w:hAnsiTheme="minorHAnsi" w:cstheme="minorHAnsi"/>
                <w:sz w:val="20"/>
                <w:szCs w:val="20"/>
              </w:rPr>
            </w:pPr>
            <w:r w:rsidRPr="00BF4880">
              <w:rPr>
                <w:rFonts w:asciiTheme="minorHAnsi" w:hAnsiTheme="minorHAnsi" w:cstheme="minorHAnsi"/>
                <w:sz w:val="20"/>
                <w:szCs w:val="20"/>
              </w:rPr>
              <w:t>-</w:t>
            </w:r>
          </w:p>
        </w:tc>
        <w:tc>
          <w:tcPr>
            <w:tcW w:w="896" w:type="dxa"/>
            <w:tcBorders>
              <w:bottom w:val="single" w:sz="4" w:space="0" w:color="auto"/>
            </w:tcBorders>
            <w:shd w:val="clear" w:color="auto" w:fill="F2F2F2" w:themeFill="background1" w:themeFillShade="F2"/>
          </w:tcPr>
          <w:p w14:paraId="5399B0EE" w14:textId="4C0467CE" w:rsidR="00C44C7D" w:rsidRPr="00BF4880" w:rsidRDefault="00C44C7D" w:rsidP="00AF5A74">
            <w:pPr>
              <w:jc w:val="right"/>
              <w:rPr>
                <w:rFonts w:asciiTheme="minorHAnsi" w:hAnsiTheme="minorHAnsi" w:cstheme="minorHAnsi"/>
                <w:sz w:val="20"/>
                <w:szCs w:val="20"/>
              </w:rPr>
            </w:pPr>
            <w:r w:rsidRPr="00BF4880">
              <w:rPr>
                <w:rFonts w:asciiTheme="minorHAnsi" w:hAnsiTheme="minorHAnsi" w:cstheme="minorHAnsi"/>
                <w:sz w:val="20"/>
                <w:szCs w:val="20"/>
              </w:rPr>
              <w:t>(</w:t>
            </w:r>
            <w:r w:rsidR="002D224D" w:rsidRPr="00BF4880">
              <w:rPr>
                <w:rFonts w:asciiTheme="minorHAnsi" w:hAnsiTheme="minorHAnsi" w:cstheme="minorHAnsi"/>
                <w:sz w:val="20"/>
                <w:szCs w:val="20"/>
              </w:rPr>
              <w:t>0.8</w:t>
            </w:r>
            <w:r w:rsidRPr="00BF4880">
              <w:rPr>
                <w:rFonts w:asciiTheme="minorHAnsi" w:hAnsiTheme="minorHAnsi" w:cstheme="minorHAnsi"/>
                <w:sz w:val="20"/>
                <w:szCs w:val="20"/>
              </w:rPr>
              <w:t>)</w:t>
            </w:r>
          </w:p>
        </w:tc>
      </w:tr>
      <w:tr w:rsidR="00C44C7D" w:rsidRPr="00B87A15" w14:paraId="2B5B7418" w14:textId="77777777" w:rsidTr="58230143">
        <w:tc>
          <w:tcPr>
            <w:tcW w:w="3120" w:type="dxa"/>
          </w:tcPr>
          <w:p w14:paraId="19C62154" w14:textId="77777777" w:rsidR="00C44C7D" w:rsidRPr="00A36F5C" w:rsidRDefault="00C44C7D" w:rsidP="00AF5A74">
            <w:pPr>
              <w:rPr>
                <w:rFonts w:asciiTheme="minorHAnsi" w:hAnsiTheme="minorHAnsi" w:cstheme="minorHAnsi"/>
                <w:b/>
                <w:sz w:val="20"/>
                <w:szCs w:val="20"/>
              </w:rPr>
            </w:pPr>
            <w:r w:rsidRPr="00A36F5C">
              <w:rPr>
                <w:rFonts w:asciiTheme="minorHAnsi" w:hAnsiTheme="minorHAnsi" w:cstheme="minorHAnsi"/>
                <w:b/>
                <w:sz w:val="20"/>
                <w:szCs w:val="20"/>
              </w:rPr>
              <w:t>Net fee and commission income</w:t>
            </w:r>
          </w:p>
        </w:tc>
        <w:tc>
          <w:tcPr>
            <w:tcW w:w="906" w:type="dxa"/>
            <w:tcBorders>
              <w:top w:val="single" w:sz="4" w:space="0" w:color="auto"/>
              <w:bottom w:val="single" w:sz="4" w:space="0" w:color="auto"/>
            </w:tcBorders>
            <w:shd w:val="clear" w:color="auto" w:fill="F2F2F2" w:themeFill="background1" w:themeFillShade="F2"/>
          </w:tcPr>
          <w:p w14:paraId="60F955C0" w14:textId="2F6025A0" w:rsidR="00C44C7D" w:rsidRPr="006D4208" w:rsidRDefault="00BA5F1F" w:rsidP="00AF5A74">
            <w:pPr>
              <w:jc w:val="right"/>
              <w:rPr>
                <w:rFonts w:asciiTheme="minorHAnsi" w:hAnsiTheme="minorHAnsi" w:cstheme="minorHAnsi"/>
                <w:b/>
                <w:sz w:val="20"/>
                <w:szCs w:val="20"/>
              </w:rPr>
            </w:pPr>
            <w:r w:rsidRPr="006D4208">
              <w:rPr>
                <w:rFonts w:asciiTheme="minorHAnsi" w:hAnsiTheme="minorHAnsi" w:cstheme="minorHAnsi"/>
                <w:b/>
                <w:sz w:val="20"/>
                <w:szCs w:val="20"/>
              </w:rPr>
              <w:t>18.6</w:t>
            </w:r>
          </w:p>
        </w:tc>
        <w:tc>
          <w:tcPr>
            <w:tcW w:w="892" w:type="dxa"/>
            <w:tcBorders>
              <w:top w:val="single" w:sz="4" w:space="0" w:color="auto"/>
              <w:bottom w:val="single" w:sz="4" w:space="0" w:color="auto"/>
            </w:tcBorders>
            <w:shd w:val="clear" w:color="auto" w:fill="F2F2F2" w:themeFill="background1" w:themeFillShade="F2"/>
          </w:tcPr>
          <w:p w14:paraId="585B9678" w14:textId="77777777" w:rsidR="00C44C7D" w:rsidRPr="006D4208" w:rsidRDefault="00C44C7D" w:rsidP="00AF5A74">
            <w:pPr>
              <w:jc w:val="right"/>
              <w:rPr>
                <w:rFonts w:asciiTheme="minorHAnsi" w:hAnsiTheme="minorHAnsi" w:cstheme="minorHAnsi"/>
                <w:b/>
                <w:sz w:val="20"/>
                <w:szCs w:val="20"/>
              </w:rPr>
            </w:pPr>
            <w:r w:rsidRPr="006D4208">
              <w:rPr>
                <w:rFonts w:asciiTheme="minorHAnsi" w:hAnsiTheme="minorHAnsi" w:cstheme="minorHAnsi"/>
                <w:b/>
                <w:sz w:val="20"/>
                <w:szCs w:val="20"/>
              </w:rPr>
              <w:t>-</w:t>
            </w:r>
          </w:p>
        </w:tc>
        <w:tc>
          <w:tcPr>
            <w:tcW w:w="893" w:type="dxa"/>
            <w:tcBorders>
              <w:top w:val="single" w:sz="4" w:space="0" w:color="auto"/>
              <w:bottom w:val="single" w:sz="4" w:space="0" w:color="auto"/>
            </w:tcBorders>
            <w:shd w:val="clear" w:color="auto" w:fill="F2F2F2" w:themeFill="background1" w:themeFillShade="F2"/>
          </w:tcPr>
          <w:p w14:paraId="4CA84CC4" w14:textId="77777777" w:rsidR="00C44C7D" w:rsidRPr="006D4208" w:rsidRDefault="00C44C7D" w:rsidP="00AF5A74">
            <w:pPr>
              <w:jc w:val="right"/>
              <w:rPr>
                <w:rFonts w:asciiTheme="minorHAnsi" w:hAnsiTheme="minorHAnsi" w:cstheme="minorHAnsi"/>
                <w:b/>
                <w:sz w:val="20"/>
                <w:szCs w:val="20"/>
              </w:rPr>
            </w:pPr>
            <w:r w:rsidRPr="006D4208">
              <w:rPr>
                <w:rFonts w:asciiTheme="minorHAnsi" w:hAnsiTheme="minorHAnsi" w:cstheme="minorHAnsi"/>
                <w:b/>
                <w:sz w:val="20"/>
                <w:szCs w:val="20"/>
              </w:rPr>
              <w:t>-</w:t>
            </w:r>
          </w:p>
        </w:tc>
        <w:tc>
          <w:tcPr>
            <w:tcW w:w="1080" w:type="dxa"/>
            <w:tcBorders>
              <w:top w:val="single" w:sz="4" w:space="0" w:color="auto"/>
              <w:bottom w:val="single" w:sz="4" w:space="0" w:color="auto"/>
            </w:tcBorders>
            <w:shd w:val="clear" w:color="auto" w:fill="F2F2F2" w:themeFill="background1" w:themeFillShade="F2"/>
          </w:tcPr>
          <w:p w14:paraId="6F95C681" w14:textId="77777777" w:rsidR="00C44C7D" w:rsidRPr="006D4208" w:rsidRDefault="00C44C7D" w:rsidP="00AF5A74">
            <w:pPr>
              <w:jc w:val="right"/>
              <w:rPr>
                <w:rFonts w:asciiTheme="minorHAnsi" w:hAnsiTheme="minorHAnsi" w:cstheme="minorHAnsi"/>
                <w:b/>
                <w:sz w:val="20"/>
                <w:szCs w:val="20"/>
              </w:rPr>
            </w:pPr>
            <w:r w:rsidRPr="006D4208">
              <w:rPr>
                <w:rFonts w:asciiTheme="minorHAnsi" w:hAnsiTheme="minorHAnsi" w:cstheme="minorHAnsi"/>
                <w:b/>
                <w:sz w:val="20"/>
                <w:szCs w:val="20"/>
              </w:rPr>
              <w:t>-</w:t>
            </w:r>
          </w:p>
        </w:tc>
        <w:tc>
          <w:tcPr>
            <w:tcW w:w="895" w:type="dxa"/>
            <w:tcBorders>
              <w:top w:val="single" w:sz="4" w:space="0" w:color="auto"/>
              <w:bottom w:val="single" w:sz="4" w:space="0" w:color="auto"/>
            </w:tcBorders>
            <w:shd w:val="clear" w:color="auto" w:fill="F2F2F2" w:themeFill="background1" w:themeFillShade="F2"/>
          </w:tcPr>
          <w:p w14:paraId="5FED31C1" w14:textId="240B8410" w:rsidR="00C44C7D" w:rsidRPr="006D4208" w:rsidRDefault="00F044BB" w:rsidP="00AF5A74">
            <w:pPr>
              <w:jc w:val="right"/>
              <w:rPr>
                <w:rFonts w:asciiTheme="minorHAnsi" w:hAnsiTheme="minorHAnsi" w:cstheme="minorHAnsi"/>
                <w:b/>
                <w:sz w:val="20"/>
                <w:szCs w:val="20"/>
              </w:rPr>
            </w:pPr>
            <w:r w:rsidRPr="006D4208">
              <w:rPr>
                <w:rFonts w:asciiTheme="minorHAnsi" w:hAnsiTheme="minorHAnsi" w:cstheme="minorHAnsi"/>
                <w:b/>
                <w:sz w:val="20"/>
                <w:szCs w:val="20"/>
              </w:rPr>
              <w:t>0.7</w:t>
            </w:r>
          </w:p>
        </w:tc>
        <w:tc>
          <w:tcPr>
            <w:tcW w:w="1041" w:type="dxa"/>
            <w:tcBorders>
              <w:top w:val="single" w:sz="4" w:space="0" w:color="auto"/>
              <w:bottom w:val="single" w:sz="4" w:space="0" w:color="auto"/>
            </w:tcBorders>
            <w:shd w:val="clear" w:color="auto" w:fill="F2F2F2" w:themeFill="background1" w:themeFillShade="F2"/>
          </w:tcPr>
          <w:p w14:paraId="299AB2B9" w14:textId="77777777" w:rsidR="00C44C7D" w:rsidRPr="006D4208" w:rsidRDefault="00C44C7D" w:rsidP="00AF5A74">
            <w:pPr>
              <w:jc w:val="right"/>
              <w:rPr>
                <w:rFonts w:asciiTheme="minorHAnsi" w:hAnsiTheme="minorHAnsi" w:cstheme="minorHAnsi"/>
                <w:b/>
                <w:sz w:val="20"/>
                <w:szCs w:val="20"/>
              </w:rPr>
            </w:pPr>
            <w:r w:rsidRPr="006D4208">
              <w:rPr>
                <w:rFonts w:asciiTheme="minorHAnsi" w:hAnsiTheme="minorHAnsi" w:cstheme="minorHAnsi"/>
                <w:b/>
                <w:sz w:val="20"/>
                <w:szCs w:val="20"/>
              </w:rPr>
              <w:t>-</w:t>
            </w:r>
          </w:p>
        </w:tc>
        <w:tc>
          <w:tcPr>
            <w:tcW w:w="896" w:type="dxa"/>
            <w:tcBorders>
              <w:top w:val="single" w:sz="4" w:space="0" w:color="auto"/>
              <w:bottom w:val="single" w:sz="4" w:space="0" w:color="auto"/>
            </w:tcBorders>
            <w:shd w:val="clear" w:color="auto" w:fill="F2F2F2" w:themeFill="background1" w:themeFillShade="F2"/>
          </w:tcPr>
          <w:p w14:paraId="2EC7357B" w14:textId="3CA14DA2" w:rsidR="00C44C7D" w:rsidRPr="006D4208" w:rsidRDefault="002D224D" w:rsidP="00AF5A74">
            <w:pPr>
              <w:jc w:val="right"/>
              <w:rPr>
                <w:rFonts w:asciiTheme="minorHAnsi" w:hAnsiTheme="minorHAnsi" w:cstheme="minorHAnsi"/>
                <w:b/>
                <w:sz w:val="20"/>
                <w:szCs w:val="20"/>
              </w:rPr>
            </w:pPr>
            <w:r w:rsidRPr="006D4208">
              <w:rPr>
                <w:rFonts w:asciiTheme="minorHAnsi" w:hAnsiTheme="minorHAnsi" w:cstheme="minorHAnsi"/>
                <w:b/>
                <w:sz w:val="20"/>
                <w:szCs w:val="20"/>
              </w:rPr>
              <w:t>19.3</w:t>
            </w:r>
          </w:p>
        </w:tc>
      </w:tr>
      <w:tr w:rsidR="00C44C7D" w:rsidRPr="00B87A15" w14:paraId="5144FE58" w14:textId="77777777" w:rsidTr="58230143">
        <w:tc>
          <w:tcPr>
            <w:tcW w:w="3120" w:type="dxa"/>
          </w:tcPr>
          <w:p w14:paraId="6E819056" w14:textId="77777777" w:rsidR="00C44C7D" w:rsidRPr="00A36F5C" w:rsidRDefault="00C44C7D" w:rsidP="00AF5A74">
            <w:pPr>
              <w:rPr>
                <w:rFonts w:asciiTheme="minorHAnsi" w:hAnsiTheme="minorHAnsi" w:cstheme="minorHAnsi"/>
                <w:bCs/>
                <w:sz w:val="20"/>
                <w:szCs w:val="20"/>
              </w:rPr>
            </w:pPr>
            <w:r w:rsidRPr="00A36F5C">
              <w:rPr>
                <w:rFonts w:asciiTheme="minorHAnsi" w:hAnsiTheme="minorHAnsi" w:cstheme="minorHAnsi"/>
                <w:bCs/>
                <w:sz w:val="20"/>
                <w:szCs w:val="20"/>
              </w:rPr>
              <w:t>Other income</w:t>
            </w:r>
          </w:p>
        </w:tc>
        <w:tc>
          <w:tcPr>
            <w:tcW w:w="906" w:type="dxa"/>
            <w:tcBorders>
              <w:top w:val="single" w:sz="4" w:space="0" w:color="auto"/>
              <w:bottom w:val="single" w:sz="4" w:space="0" w:color="auto"/>
            </w:tcBorders>
            <w:shd w:val="clear" w:color="auto" w:fill="F2F2F2" w:themeFill="background1" w:themeFillShade="F2"/>
          </w:tcPr>
          <w:p w14:paraId="7B8B285A" w14:textId="48F5B88E" w:rsidR="00C44C7D" w:rsidRPr="006D4208" w:rsidRDefault="00BA5F1F" w:rsidP="00AF5A74">
            <w:pPr>
              <w:jc w:val="right"/>
              <w:rPr>
                <w:rFonts w:asciiTheme="minorHAnsi" w:hAnsiTheme="minorHAnsi" w:cstheme="minorHAnsi"/>
                <w:sz w:val="20"/>
                <w:szCs w:val="20"/>
              </w:rPr>
            </w:pPr>
            <w:r w:rsidRPr="006D4208">
              <w:rPr>
                <w:rFonts w:asciiTheme="minorHAnsi" w:hAnsiTheme="minorHAnsi" w:cstheme="minorHAnsi"/>
                <w:sz w:val="20"/>
                <w:szCs w:val="20"/>
              </w:rPr>
              <w:t>(0.1)</w:t>
            </w:r>
          </w:p>
        </w:tc>
        <w:tc>
          <w:tcPr>
            <w:tcW w:w="892" w:type="dxa"/>
            <w:tcBorders>
              <w:top w:val="single" w:sz="4" w:space="0" w:color="auto"/>
              <w:bottom w:val="single" w:sz="4" w:space="0" w:color="auto"/>
            </w:tcBorders>
            <w:shd w:val="clear" w:color="auto" w:fill="F2F2F2" w:themeFill="background1" w:themeFillShade="F2"/>
          </w:tcPr>
          <w:p w14:paraId="2498014E" w14:textId="0FE7415F" w:rsidR="00C44C7D" w:rsidRPr="006D4208" w:rsidRDefault="005E7A59" w:rsidP="00AF5A74">
            <w:pPr>
              <w:jc w:val="right"/>
              <w:rPr>
                <w:rFonts w:asciiTheme="minorHAnsi" w:hAnsiTheme="minorHAnsi" w:cstheme="minorHAnsi"/>
                <w:sz w:val="20"/>
                <w:szCs w:val="20"/>
              </w:rPr>
            </w:pPr>
            <w:r w:rsidRPr="006D4208">
              <w:rPr>
                <w:rFonts w:asciiTheme="minorHAnsi" w:hAnsiTheme="minorHAnsi" w:cstheme="minorHAnsi"/>
                <w:sz w:val="20"/>
                <w:szCs w:val="20"/>
              </w:rPr>
              <w:t>-</w:t>
            </w:r>
          </w:p>
        </w:tc>
        <w:tc>
          <w:tcPr>
            <w:tcW w:w="893" w:type="dxa"/>
            <w:tcBorders>
              <w:top w:val="single" w:sz="4" w:space="0" w:color="auto"/>
              <w:bottom w:val="single" w:sz="4" w:space="0" w:color="auto"/>
            </w:tcBorders>
            <w:shd w:val="clear" w:color="auto" w:fill="F2F2F2" w:themeFill="background1" w:themeFillShade="F2"/>
          </w:tcPr>
          <w:p w14:paraId="7676C382" w14:textId="77777777" w:rsidR="00C44C7D" w:rsidRPr="00BF4880" w:rsidRDefault="00C44C7D" w:rsidP="00AF5A74">
            <w:pPr>
              <w:jc w:val="right"/>
              <w:rPr>
                <w:rFonts w:asciiTheme="minorHAnsi" w:hAnsiTheme="minorHAnsi" w:cstheme="minorHAnsi"/>
                <w:sz w:val="20"/>
                <w:szCs w:val="20"/>
              </w:rPr>
            </w:pPr>
            <w:r w:rsidRPr="00BF4880">
              <w:rPr>
                <w:rFonts w:asciiTheme="minorHAnsi" w:hAnsiTheme="minorHAnsi" w:cstheme="minorHAnsi"/>
                <w:sz w:val="20"/>
                <w:szCs w:val="20"/>
              </w:rPr>
              <w:t>-</w:t>
            </w:r>
          </w:p>
        </w:tc>
        <w:tc>
          <w:tcPr>
            <w:tcW w:w="1080" w:type="dxa"/>
            <w:tcBorders>
              <w:top w:val="single" w:sz="4" w:space="0" w:color="auto"/>
              <w:bottom w:val="single" w:sz="4" w:space="0" w:color="auto"/>
            </w:tcBorders>
            <w:shd w:val="clear" w:color="auto" w:fill="F2F2F2" w:themeFill="background1" w:themeFillShade="F2"/>
          </w:tcPr>
          <w:p w14:paraId="45373894" w14:textId="77777777" w:rsidR="00C44C7D" w:rsidRPr="00BF4880" w:rsidRDefault="00C44C7D" w:rsidP="00AF5A74">
            <w:pPr>
              <w:jc w:val="right"/>
              <w:rPr>
                <w:rFonts w:asciiTheme="minorHAnsi" w:hAnsiTheme="minorHAnsi" w:cstheme="minorHAnsi"/>
                <w:sz w:val="20"/>
                <w:szCs w:val="20"/>
              </w:rPr>
            </w:pPr>
            <w:r w:rsidRPr="00BF4880">
              <w:rPr>
                <w:rFonts w:asciiTheme="minorHAnsi" w:hAnsiTheme="minorHAnsi" w:cstheme="minorHAnsi"/>
                <w:sz w:val="20"/>
                <w:szCs w:val="20"/>
              </w:rPr>
              <w:t>-</w:t>
            </w:r>
          </w:p>
        </w:tc>
        <w:tc>
          <w:tcPr>
            <w:tcW w:w="895" w:type="dxa"/>
            <w:tcBorders>
              <w:top w:val="single" w:sz="4" w:space="0" w:color="auto"/>
              <w:bottom w:val="single" w:sz="4" w:space="0" w:color="auto"/>
            </w:tcBorders>
            <w:shd w:val="clear" w:color="auto" w:fill="F2F2F2" w:themeFill="background1" w:themeFillShade="F2"/>
          </w:tcPr>
          <w:p w14:paraId="72826466" w14:textId="1984BD92" w:rsidR="00C44C7D" w:rsidRPr="00BF4880" w:rsidRDefault="00576009" w:rsidP="00AF5A74">
            <w:pPr>
              <w:jc w:val="right"/>
              <w:rPr>
                <w:rFonts w:asciiTheme="minorHAnsi" w:hAnsiTheme="minorHAnsi" w:cstheme="minorHAnsi"/>
                <w:sz w:val="20"/>
                <w:szCs w:val="20"/>
              </w:rPr>
            </w:pPr>
            <w:r w:rsidRPr="00BF4880">
              <w:rPr>
                <w:rFonts w:asciiTheme="minorHAnsi" w:hAnsiTheme="minorHAnsi" w:cstheme="minorHAnsi"/>
                <w:sz w:val="20"/>
                <w:szCs w:val="20"/>
              </w:rPr>
              <w:t>0.3</w:t>
            </w:r>
          </w:p>
        </w:tc>
        <w:tc>
          <w:tcPr>
            <w:tcW w:w="1041" w:type="dxa"/>
            <w:tcBorders>
              <w:top w:val="single" w:sz="4" w:space="0" w:color="auto"/>
              <w:bottom w:val="single" w:sz="4" w:space="0" w:color="auto"/>
            </w:tcBorders>
            <w:shd w:val="clear" w:color="auto" w:fill="F2F2F2" w:themeFill="background1" w:themeFillShade="F2"/>
          </w:tcPr>
          <w:p w14:paraId="0F5286B5" w14:textId="77777777" w:rsidR="00C44C7D" w:rsidRPr="00BF4880" w:rsidRDefault="00C44C7D" w:rsidP="00AF5A74">
            <w:pPr>
              <w:jc w:val="right"/>
              <w:rPr>
                <w:rFonts w:asciiTheme="minorHAnsi" w:hAnsiTheme="minorHAnsi" w:cstheme="minorHAnsi"/>
                <w:sz w:val="20"/>
                <w:szCs w:val="20"/>
              </w:rPr>
            </w:pPr>
            <w:r w:rsidRPr="00BF4880">
              <w:rPr>
                <w:rFonts w:asciiTheme="minorHAnsi" w:hAnsiTheme="minorHAnsi" w:cstheme="minorHAnsi"/>
                <w:sz w:val="20"/>
                <w:szCs w:val="20"/>
              </w:rPr>
              <w:t>-</w:t>
            </w:r>
          </w:p>
        </w:tc>
        <w:tc>
          <w:tcPr>
            <w:tcW w:w="896" w:type="dxa"/>
            <w:tcBorders>
              <w:top w:val="single" w:sz="4" w:space="0" w:color="auto"/>
              <w:bottom w:val="single" w:sz="4" w:space="0" w:color="auto"/>
            </w:tcBorders>
            <w:shd w:val="clear" w:color="auto" w:fill="F2F2F2" w:themeFill="background1" w:themeFillShade="F2"/>
          </w:tcPr>
          <w:p w14:paraId="6C0685B9" w14:textId="2F16206B" w:rsidR="00C44C7D" w:rsidRPr="00BF4880" w:rsidRDefault="00846445" w:rsidP="00AF5A74">
            <w:pPr>
              <w:jc w:val="right"/>
              <w:rPr>
                <w:rFonts w:asciiTheme="minorHAnsi" w:hAnsiTheme="minorHAnsi" w:cstheme="minorHAnsi"/>
                <w:sz w:val="20"/>
                <w:szCs w:val="20"/>
              </w:rPr>
            </w:pPr>
            <w:r w:rsidRPr="00BF4880">
              <w:rPr>
                <w:rFonts w:asciiTheme="minorHAnsi" w:hAnsiTheme="minorHAnsi" w:cstheme="minorHAnsi"/>
                <w:sz w:val="20"/>
                <w:szCs w:val="20"/>
              </w:rPr>
              <w:t>0.2</w:t>
            </w:r>
          </w:p>
        </w:tc>
      </w:tr>
      <w:tr w:rsidR="00C44C7D" w:rsidRPr="00B87A15" w14:paraId="241604F2" w14:textId="77777777" w:rsidTr="58230143">
        <w:tc>
          <w:tcPr>
            <w:tcW w:w="3120" w:type="dxa"/>
          </w:tcPr>
          <w:p w14:paraId="5EDE64C9" w14:textId="77777777" w:rsidR="00C44C7D" w:rsidRPr="00A36F5C" w:rsidRDefault="00C44C7D" w:rsidP="00AF5A74">
            <w:pPr>
              <w:rPr>
                <w:rFonts w:asciiTheme="minorHAnsi" w:hAnsiTheme="minorHAnsi" w:cstheme="minorHAnsi"/>
                <w:b/>
                <w:sz w:val="20"/>
                <w:szCs w:val="20"/>
              </w:rPr>
            </w:pPr>
            <w:r w:rsidRPr="00A36F5C">
              <w:rPr>
                <w:rFonts w:asciiTheme="minorHAnsi" w:hAnsiTheme="minorHAnsi" w:cstheme="minorHAnsi"/>
                <w:b/>
                <w:sz w:val="20"/>
                <w:szCs w:val="20"/>
              </w:rPr>
              <w:t>Total income</w:t>
            </w:r>
          </w:p>
        </w:tc>
        <w:tc>
          <w:tcPr>
            <w:tcW w:w="906" w:type="dxa"/>
            <w:tcBorders>
              <w:top w:val="single" w:sz="4" w:space="0" w:color="auto"/>
              <w:bottom w:val="single" w:sz="4" w:space="0" w:color="auto"/>
            </w:tcBorders>
            <w:shd w:val="clear" w:color="auto" w:fill="F2F2F2" w:themeFill="background1" w:themeFillShade="F2"/>
          </w:tcPr>
          <w:p w14:paraId="14CD65AA" w14:textId="2D4C620C" w:rsidR="00C44C7D" w:rsidRPr="006D4208" w:rsidRDefault="00BA5F1F" w:rsidP="00AF5A74">
            <w:pPr>
              <w:jc w:val="right"/>
              <w:rPr>
                <w:rFonts w:asciiTheme="minorHAnsi" w:hAnsiTheme="minorHAnsi" w:cstheme="minorHAnsi"/>
                <w:b/>
                <w:sz w:val="20"/>
                <w:szCs w:val="20"/>
              </w:rPr>
            </w:pPr>
            <w:r w:rsidRPr="006D4208">
              <w:rPr>
                <w:rFonts w:asciiTheme="minorHAnsi" w:hAnsiTheme="minorHAnsi" w:cstheme="minorHAnsi"/>
                <w:b/>
                <w:sz w:val="20"/>
                <w:szCs w:val="20"/>
              </w:rPr>
              <w:t>182.7</w:t>
            </w:r>
          </w:p>
        </w:tc>
        <w:tc>
          <w:tcPr>
            <w:tcW w:w="892" w:type="dxa"/>
            <w:tcBorders>
              <w:top w:val="single" w:sz="4" w:space="0" w:color="auto"/>
              <w:bottom w:val="single" w:sz="4" w:space="0" w:color="auto"/>
            </w:tcBorders>
            <w:shd w:val="clear" w:color="auto" w:fill="F2F2F2" w:themeFill="background1" w:themeFillShade="F2"/>
          </w:tcPr>
          <w:p w14:paraId="26C1DACA" w14:textId="0A0D3761" w:rsidR="00C44C7D" w:rsidRPr="006D4208" w:rsidRDefault="00FC7415" w:rsidP="00AF5A74">
            <w:pPr>
              <w:jc w:val="right"/>
              <w:rPr>
                <w:rFonts w:asciiTheme="minorHAnsi" w:hAnsiTheme="minorHAnsi" w:cstheme="minorHAnsi"/>
                <w:b/>
                <w:sz w:val="20"/>
                <w:szCs w:val="20"/>
              </w:rPr>
            </w:pPr>
            <w:r w:rsidRPr="006D4208">
              <w:rPr>
                <w:rFonts w:asciiTheme="minorHAnsi" w:hAnsiTheme="minorHAnsi" w:cstheme="minorHAnsi"/>
                <w:b/>
                <w:sz w:val="20"/>
                <w:szCs w:val="20"/>
              </w:rPr>
              <w:t>49.9</w:t>
            </w:r>
          </w:p>
        </w:tc>
        <w:tc>
          <w:tcPr>
            <w:tcW w:w="893" w:type="dxa"/>
            <w:tcBorders>
              <w:top w:val="single" w:sz="4" w:space="0" w:color="auto"/>
              <w:bottom w:val="single" w:sz="4" w:space="0" w:color="auto"/>
            </w:tcBorders>
            <w:shd w:val="clear" w:color="auto" w:fill="F2F2F2" w:themeFill="background1" w:themeFillShade="F2"/>
          </w:tcPr>
          <w:p w14:paraId="75F33B6A" w14:textId="05B197CF" w:rsidR="00C44C7D" w:rsidRPr="006D4208" w:rsidRDefault="009E0052" w:rsidP="00AF5A74">
            <w:pPr>
              <w:jc w:val="right"/>
              <w:rPr>
                <w:rFonts w:asciiTheme="minorHAnsi" w:hAnsiTheme="minorHAnsi" w:cstheme="minorHAnsi"/>
                <w:b/>
                <w:sz w:val="20"/>
                <w:szCs w:val="20"/>
              </w:rPr>
            </w:pPr>
            <w:r w:rsidRPr="006D4208">
              <w:rPr>
                <w:rFonts w:asciiTheme="minorHAnsi" w:hAnsiTheme="minorHAnsi" w:cstheme="minorHAnsi"/>
                <w:b/>
                <w:sz w:val="20"/>
                <w:szCs w:val="20"/>
              </w:rPr>
              <w:t>7.2</w:t>
            </w:r>
          </w:p>
        </w:tc>
        <w:tc>
          <w:tcPr>
            <w:tcW w:w="1080" w:type="dxa"/>
            <w:tcBorders>
              <w:top w:val="single" w:sz="4" w:space="0" w:color="auto"/>
              <w:bottom w:val="single" w:sz="4" w:space="0" w:color="auto"/>
            </w:tcBorders>
            <w:shd w:val="clear" w:color="auto" w:fill="F2F2F2" w:themeFill="background1" w:themeFillShade="F2"/>
          </w:tcPr>
          <w:p w14:paraId="0F3B4F04" w14:textId="11556C69" w:rsidR="00C44C7D" w:rsidRPr="006D4208" w:rsidRDefault="00DB200C" w:rsidP="00AF5A74">
            <w:pPr>
              <w:jc w:val="right"/>
              <w:rPr>
                <w:rFonts w:asciiTheme="minorHAnsi" w:hAnsiTheme="minorHAnsi" w:cstheme="minorHAnsi"/>
                <w:b/>
                <w:sz w:val="20"/>
                <w:szCs w:val="20"/>
              </w:rPr>
            </w:pPr>
            <w:r w:rsidRPr="006D4208">
              <w:rPr>
                <w:rFonts w:asciiTheme="minorHAnsi" w:hAnsiTheme="minorHAnsi" w:cstheme="minorHAnsi"/>
                <w:b/>
                <w:sz w:val="20"/>
                <w:szCs w:val="20"/>
              </w:rPr>
              <w:t>0.6</w:t>
            </w:r>
          </w:p>
        </w:tc>
        <w:tc>
          <w:tcPr>
            <w:tcW w:w="895" w:type="dxa"/>
            <w:tcBorders>
              <w:top w:val="single" w:sz="4" w:space="0" w:color="auto"/>
              <w:bottom w:val="single" w:sz="4" w:space="0" w:color="auto"/>
            </w:tcBorders>
            <w:shd w:val="clear" w:color="auto" w:fill="F2F2F2" w:themeFill="background1" w:themeFillShade="F2"/>
          </w:tcPr>
          <w:p w14:paraId="71530984" w14:textId="0733BC8A" w:rsidR="00C44C7D" w:rsidRPr="006D4208" w:rsidRDefault="00576009" w:rsidP="00AF5A74">
            <w:pPr>
              <w:jc w:val="right"/>
              <w:rPr>
                <w:rFonts w:asciiTheme="minorHAnsi" w:hAnsiTheme="minorHAnsi" w:cstheme="minorHAnsi"/>
                <w:b/>
                <w:sz w:val="20"/>
                <w:szCs w:val="20"/>
              </w:rPr>
            </w:pPr>
            <w:r w:rsidRPr="006D4208">
              <w:rPr>
                <w:rFonts w:asciiTheme="minorHAnsi" w:hAnsiTheme="minorHAnsi" w:cstheme="minorHAnsi"/>
                <w:b/>
                <w:sz w:val="20"/>
                <w:szCs w:val="20"/>
              </w:rPr>
              <w:t>1.0</w:t>
            </w:r>
          </w:p>
        </w:tc>
        <w:tc>
          <w:tcPr>
            <w:tcW w:w="1041" w:type="dxa"/>
            <w:tcBorders>
              <w:top w:val="single" w:sz="4" w:space="0" w:color="auto"/>
              <w:bottom w:val="single" w:sz="4" w:space="0" w:color="auto"/>
            </w:tcBorders>
            <w:shd w:val="clear" w:color="auto" w:fill="F2F2F2" w:themeFill="background1" w:themeFillShade="F2"/>
          </w:tcPr>
          <w:p w14:paraId="19A10E95" w14:textId="5928CA3E" w:rsidR="00C44C7D" w:rsidRPr="006D4208" w:rsidRDefault="00C44C7D" w:rsidP="00AF5A74">
            <w:pPr>
              <w:jc w:val="right"/>
              <w:rPr>
                <w:rFonts w:asciiTheme="minorHAnsi" w:hAnsiTheme="minorHAnsi" w:cstheme="minorHAnsi"/>
                <w:b/>
                <w:sz w:val="20"/>
                <w:szCs w:val="20"/>
              </w:rPr>
            </w:pPr>
            <w:r w:rsidRPr="006D4208">
              <w:rPr>
                <w:rFonts w:asciiTheme="minorHAnsi" w:hAnsiTheme="minorHAnsi" w:cstheme="minorHAnsi"/>
                <w:b/>
                <w:sz w:val="20"/>
                <w:szCs w:val="20"/>
              </w:rPr>
              <w:t>(</w:t>
            </w:r>
            <w:r w:rsidR="007946E5" w:rsidRPr="006D4208">
              <w:rPr>
                <w:rFonts w:asciiTheme="minorHAnsi" w:hAnsiTheme="minorHAnsi" w:cstheme="minorHAnsi"/>
                <w:b/>
                <w:sz w:val="20"/>
                <w:szCs w:val="20"/>
              </w:rPr>
              <w:t>7.4</w:t>
            </w:r>
            <w:r w:rsidRPr="006D4208">
              <w:rPr>
                <w:rFonts w:asciiTheme="minorHAnsi" w:hAnsiTheme="minorHAnsi" w:cstheme="minorHAnsi"/>
                <w:b/>
                <w:sz w:val="20"/>
                <w:szCs w:val="20"/>
              </w:rPr>
              <w:t>)</w:t>
            </w:r>
          </w:p>
        </w:tc>
        <w:tc>
          <w:tcPr>
            <w:tcW w:w="896" w:type="dxa"/>
            <w:tcBorders>
              <w:top w:val="single" w:sz="4" w:space="0" w:color="auto"/>
              <w:bottom w:val="single" w:sz="4" w:space="0" w:color="auto"/>
            </w:tcBorders>
            <w:shd w:val="clear" w:color="auto" w:fill="F2F2F2" w:themeFill="background1" w:themeFillShade="F2"/>
          </w:tcPr>
          <w:p w14:paraId="52B926E5" w14:textId="18134CE0" w:rsidR="00C44C7D" w:rsidRPr="006D4208" w:rsidRDefault="00846445" w:rsidP="00AF5A74">
            <w:pPr>
              <w:jc w:val="right"/>
              <w:rPr>
                <w:rFonts w:asciiTheme="minorHAnsi" w:hAnsiTheme="minorHAnsi" w:cstheme="minorHAnsi"/>
                <w:b/>
                <w:sz w:val="20"/>
                <w:szCs w:val="20"/>
              </w:rPr>
            </w:pPr>
            <w:r w:rsidRPr="006D4208">
              <w:rPr>
                <w:rFonts w:asciiTheme="minorHAnsi" w:hAnsiTheme="minorHAnsi" w:cstheme="minorHAnsi"/>
                <w:b/>
                <w:sz w:val="20"/>
                <w:szCs w:val="20"/>
              </w:rPr>
              <w:t>234.0</w:t>
            </w:r>
          </w:p>
        </w:tc>
      </w:tr>
      <w:tr w:rsidR="00C44C7D" w:rsidRPr="00B87A15" w14:paraId="62DDFD60" w14:textId="77777777" w:rsidTr="58230143">
        <w:tc>
          <w:tcPr>
            <w:tcW w:w="3120" w:type="dxa"/>
          </w:tcPr>
          <w:p w14:paraId="7BC88503" w14:textId="77777777" w:rsidR="00C44C7D" w:rsidRPr="00A36F5C" w:rsidRDefault="00C44C7D" w:rsidP="00AF5A74">
            <w:pPr>
              <w:rPr>
                <w:rFonts w:asciiTheme="minorHAnsi" w:hAnsiTheme="minorHAnsi" w:cstheme="minorHAnsi"/>
                <w:bCs/>
                <w:sz w:val="20"/>
                <w:szCs w:val="20"/>
              </w:rPr>
            </w:pPr>
            <w:r w:rsidRPr="00A36F5C">
              <w:rPr>
                <w:rFonts w:asciiTheme="minorHAnsi" w:hAnsiTheme="minorHAnsi" w:cstheme="minorHAnsi"/>
                <w:bCs/>
                <w:sz w:val="20"/>
                <w:szCs w:val="20"/>
              </w:rPr>
              <w:t>Impairment charges</w:t>
            </w:r>
          </w:p>
        </w:tc>
        <w:tc>
          <w:tcPr>
            <w:tcW w:w="906" w:type="dxa"/>
            <w:tcBorders>
              <w:top w:val="single" w:sz="4" w:space="0" w:color="auto"/>
              <w:bottom w:val="single" w:sz="4" w:space="0" w:color="auto"/>
            </w:tcBorders>
            <w:shd w:val="clear" w:color="auto" w:fill="F2F2F2" w:themeFill="background1" w:themeFillShade="F2"/>
          </w:tcPr>
          <w:p w14:paraId="56A3C0C5" w14:textId="31F43045" w:rsidR="00C44C7D" w:rsidRPr="006D4208" w:rsidRDefault="00C44C7D" w:rsidP="00AF5A74">
            <w:pPr>
              <w:jc w:val="right"/>
              <w:rPr>
                <w:rFonts w:asciiTheme="minorHAnsi" w:hAnsiTheme="minorHAnsi" w:cstheme="minorHAnsi"/>
                <w:sz w:val="20"/>
                <w:szCs w:val="20"/>
              </w:rPr>
            </w:pPr>
            <w:r w:rsidRPr="006D4208">
              <w:rPr>
                <w:rFonts w:asciiTheme="minorHAnsi" w:hAnsiTheme="minorHAnsi" w:cstheme="minorHAnsi"/>
                <w:sz w:val="20"/>
                <w:szCs w:val="20"/>
              </w:rPr>
              <w:t>(</w:t>
            </w:r>
            <w:r w:rsidR="00600F7C" w:rsidRPr="006D4208">
              <w:rPr>
                <w:rFonts w:asciiTheme="minorHAnsi" w:hAnsiTheme="minorHAnsi" w:cstheme="minorHAnsi"/>
                <w:sz w:val="20"/>
                <w:szCs w:val="20"/>
              </w:rPr>
              <w:t>66.1</w:t>
            </w:r>
            <w:r w:rsidRPr="006D4208">
              <w:rPr>
                <w:rFonts w:asciiTheme="minorHAnsi" w:hAnsiTheme="minorHAnsi" w:cstheme="minorHAnsi"/>
                <w:sz w:val="20"/>
                <w:szCs w:val="20"/>
              </w:rPr>
              <w:t>)</w:t>
            </w:r>
          </w:p>
        </w:tc>
        <w:tc>
          <w:tcPr>
            <w:tcW w:w="892" w:type="dxa"/>
            <w:tcBorders>
              <w:top w:val="single" w:sz="4" w:space="0" w:color="auto"/>
              <w:bottom w:val="single" w:sz="4" w:space="0" w:color="auto"/>
            </w:tcBorders>
            <w:shd w:val="clear" w:color="auto" w:fill="F2F2F2" w:themeFill="background1" w:themeFillShade="F2"/>
          </w:tcPr>
          <w:p w14:paraId="632728FF" w14:textId="72F52E33" w:rsidR="00C44C7D" w:rsidRPr="006D4208" w:rsidRDefault="00C44C7D" w:rsidP="00AF5A74">
            <w:pPr>
              <w:jc w:val="right"/>
              <w:rPr>
                <w:rFonts w:asciiTheme="minorHAnsi" w:hAnsiTheme="minorHAnsi" w:cstheme="minorHAnsi"/>
                <w:sz w:val="20"/>
                <w:szCs w:val="20"/>
              </w:rPr>
            </w:pPr>
            <w:r w:rsidRPr="006D4208">
              <w:rPr>
                <w:rFonts w:asciiTheme="minorHAnsi" w:hAnsiTheme="minorHAnsi" w:cstheme="minorHAnsi"/>
                <w:sz w:val="20"/>
                <w:szCs w:val="20"/>
              </w:rPr>
              <w:t>(</w:t>
            </w:r>
            <w:r w:rsidR="00D30110" w:rsidRPr="006D4208">
              <w:rPr>
                <w:rFonts w:asciiTheme="minorHAnsi" w:hAnsiTheme="minorHAnsi" w:cstheme="minorHAnsi"/>
                <w:sz w:val="20"/>
                <w:szCs w:val="20"/>
              </w:rPr>
              <w:t>30.3</w:t>
            </w:r>
            <w:r w:rsidRPr="006D4208">
              <w:rPr>
                <w:rFonts w:asciiTheme="minorHAnsi" w:hAnsiTheme="minorHAnsi" w:cstheme="minorHAnsi"/>
                <w:sz w:val="20"/>
                <w:szCs w:val="20"/>
              </w:rPr>
              <w:t>)</w:t>
            </w:r>
          </w:p>
        </w:tc>
        <w:tc>
          <w:tcPr>
            <w:tcW w:w="893" w:type="dxa"/>
            <w:tcBorders>
              <w:top w:val="single" w:sz="4" w:space="0" w:color="auto"/>
              <w:bottom w:val="single" w:sz="4" w:space="0" w:color="auto"/>
            </w:tcBorders>
            <w:shd w:val="clear" w:color="auto" w:fill="F2F2F2" w:themeFill="background1" w:themeFillShade="F2"/>
          </w:tcPr>
          <w:p w14:paraId="705C99E6" w14:textId="24CC591F" w:rsidR="00C44C7D" w:rsidRPr="00BF4880" w:rsidRDefault="00C44C7D" w:rsidP="00AF5A74">
            <w:pPr>
              <w:jc w:val="right"/>
              <w:rPr>
                <w:rFonts w:asciiTheme="minorHAnsi" w:hAnsiTheme="minorHAnsi" w:cstheme="minorHAnsi"/>
                <w:sz w:val="20"/>
                <w:szCs w:val="20"/>
              </w:rPr>
            </w:pPr>
            <w:r w:rsidRPr="00BF4880">
              <w:rPr>
                <w:rFonts w:asciiTheme="minorHAnsi" w:hAnsiTheme="minorHAnsi" w:cstheme="minorHAnsi"/>
                <w:sz w:val="20"/>
                <w:szCs w:val="20"/>
              </w:rPr>
              <w:t>(</w:t>
            </w:r>
            <w:r w:rsidR="00157A64" w:rsidRPr="00BF4880">
              <w:rPr>
                <w:rFonts w:asciiTheme="minorHAnsi" w:hAnsiTheme="minorHAnsi" w:cstheme="minorHAnsi"/>
                <w:sz w:val="20"/>
                <w:szCs w:val="20"/>
              </w:rPr>
              <w:t>4.9</w:t>
            </w:r>
            <w:r w:rsidRPr="00BF4880">
              <w:rPr>
                <w:rFonts w:asciiTheme="minorHAnsi" w:hAnsiTheme="minorHAnsi" w:cstheme="minorHAnsi"/>
                <w:sz w:val="20"/>
                <w:szCs w:val="20"/>
              </w:rPr>
              <w:t>)</w:t>
            </w:r>
          </w:p>
        </w:tc>
        <w:tc>
          <w:tcPr>
            <w:tcW w:w="1080" w:type="dxa"/>
            <w:tcBorders>
              <w:top w:val="single" w:sz="4" w:space="0" w:color="auto"/>
              <w:bottom w:val="single" w:sz="4" w:space="0" w:color="auto"/>
            </w:tcBorders>
            <w:shd w:val="clear" w:color="auto" w:fill="F2F2F2" w:themeFill="background1" w:themeFillShade="F2"/>
          </w:tcPr>
          <w:p w14:paraId="2B88EF89" w14:textId="77777777" w:rsidR="00C44C7D" w:rsidRPr="00BF4880" w:rsidRDefault="00C44C7D" w:rsidP="00AF5A74">
            <w:pPr>
              <w:jc w:val="right"/>
              <w:rPr>
                <w:rFonts w:asciiTheme="minorHAnsi" w:hAnsiTheme="minorHAnsi" w:cstheme="minorHAnsi"/>
                <w:sz w:val="20"/>
                <w:szCs w:val="20"/>
              </w:rPr>
            </w:pPr>
            <w:r w:rsidRPr="00BF4880">
              <w:rPr>
                <w:rFonts w:asciiTheme="minorHAnsi" w:hAnsiTheme="minorHAnsi" w:cstheme="minorHAnsi"/>
                <w:sz w:val="20"/>
                <w:szCs w:val="20"/>
              </w:rPr>
              <w:t>-</w:t>
            </w:r>
          </w:p>
        </w:tc>
        <w:tc>
          <w:tcPr>
            <w:tcW w:w="895" w:type="dxa"/>
            <w:tcBorders>
              <w:top w:val="single" w:sz="4" w:space="0" w:color="auto"/>
              <w:bottom w:val="single" w:sz="4" w:space="0" w:color="auto"/>
            </w:tcBorders>
            <w:shd w:val="clear" w:color="auto" w:fill="F2F2F2" w:themeFill="background1" w:themeFillShade="F2"/>
          </w:tcPr>
          <w:p w14:paraId="3F5A32A9" w14:textId="77777777" w:rsidR="00C44C7D" w:rsidRPr="00BF4880" w:rsidRDefault="00C44C7D" w:rsidP="00AF5A74">
            <w:pPr>
              <w:jc w:val="right"/>
              <w:rPr>
                <w:rFonts w:asciiTheme="minorHAnsi" w:hAnsiTheme="minorHAnsi" w:cstheme="minorHAnsi"/>
                <w:sz w:val="20"/>
                <w:szCs w:val="20"/>
              </w:rPr>
            </w:pPr>
            <w:r w:rsidRPr="00BF4880">
              <w:rPr>
                <w:rFonts w:asciiTheme="minorHAnsi" w:hAnsiTheme="minorHAnsi" w:cstheme="minorHAnsi"/>
                <w:sz w:val="20"/>
                <w:szCs w:val="20"/>
              </w:rPr>
              <w:t>-</w:t>
            </w:r>
          </w:p>
        </w:tc>
        <w:tc>
          <w:tcPr>
            <w:tcW w:w="1041" w:type="dxa"/>
            <w:tcBorders>
              <w:top w:val="single" w:sz="4" w:space="0" w:color="auto"/>
              <w:bottom w:val="single" w:sz="4" w:space="0" w:color="auto"/>
            </w:tcBorders>
            <w:shd w:val="clear" w:color="auto" w:fill="F2F2F2" w:themeFill="background1" w:themeFillShade="F2"/>
          </w:tcPr>
          <w:p w14:paraId="025659B6" w14:textId="77777777" w:rsidR="00C44C7D" w:rsidRPr="00BF4880" w:rsidRDefault="00C44C7D" w:rsidP="00AF5A74">
            <w:pPr>
              <w:jc w:val="right"/>
              <w:rPr>
                <w:rFonts w:asciiTheme="minorHAnsi" w:hAnsiTheme="minorHAnsi" w:cstheme="minorHAnsi"/>
                <w:sz w:val="20"/>
                <w:szCs w:val="20"/>
              </w:rPr>
            </w:pPr>
            <w:r w:rsidRPr="00BF4880">
              <w:rPr>
                <w:rFonts w:asciiTheme="minorHAnsi" w:hAnsiTheme="minorHAnsi" w:cstheme="minorHAnsi"/>
                <w:sz w:val="20"/>
                <w:szCs w:val="20"/>
              </w:rPr>
              <w:t>-</w:t>
            </w:r>
          </w:p>
        </w:tc>
        <w:tc>
          <w:tcPr>
            <w:tcW w:w="896" w:type="dxa"/>
            <w:tcBorders>
              <w:top w:val="single" w:sz="4" w:space="0" w:color="auto"/>
              <w:bottom w:val="single" w:sz="4" w:space="0" w:color="auto"/>
            </w:tcBorders>
            <w:shd w:val="clear" w:color="auto" w:fill="F2F2F2" w:themeFill="background1" w:themeFillShade="F2"/>
          </w:tcPr>
          <w:p w14:paraId="45BC4633" w14:textId="64DE5DA3" w:rsidR="00C44C7D" w:rsidRPr="00BF4880" w:rsidRDefault="00C44C7D" w:rsidP="00AF5A74">
            <w:pPr>
              <w:jc w:val="right"/>
              <w:rPr>
                <w:rFonts w:asciiTheme="minorHAnsi" w:hAnsiTheme="minorHAnsi" w:cstheme="minorHAnsi"/>
                <w:sz w:val="20"/>
                <w:szCs w:val="20"/>
              </w:rPr>
            </w:pPr>
            <w:r w:rsidRPr="00BF4880">
              <w:rPr>
                <w:rFonts w:asciiTheme="minorHAnsi" w:hAnsiTheme="minorHAnsi" w:cstheme="minorHAnsi"/>
                <w:sz w:val="20"/>
                <w:szCs w:val="20"/>
              </w:rPr>
              <w:t>(</w:t>
            </w:r>
            <w:r w:rsidR="004D0D0A" w:rsidRPr="00BF4880">
              <w:rPr>
                <w:rFonts w:asciiTheme="minorHAnsi" w:hAnsiTheme="minorHAnsi" w:cstheme="minorHAnsi"/>
                <w:sz w:val="20"/>
                <w:szCs w:val="20"/>
              </w:rPr>
              <w:t>101.3</w:t>
            </w:r>
            <w:r w:rsidRPr="00BF4880">
              <w:rPr>
                <w:rFonts w:asciiTheme="minorHAnsi" w:hAnsiTheme="minorHAnsi" w:cstheme="minorHAnsi"/>
                <w:sz w:val="20"/>
                <w:szCs w:val="20"/>
              </w:rPr>
              <w:t>)</w:t>
            </w:r>
          </w:p>
        </w:tc>
      </w:tr>
      <w:tr w:rsidR="00C44C7D" w:rsidRPr="00B87A15" w14:paraId="6A1AE5BD" w14:textId="77777777" w:rsidTr="58230143">
        <w:tc>
          <w:tcPr>
            <w:tcW w:w="3120" w:type="dxa"/>
          </w:tcPr>
          <w:p w14:paraId="794E3D77" w14:textId="77777777" w:rsidR="00C44C7D" w:rsidRPr="00A36F5C" w:rsidRDefault="00C44C7D" w:rsidP="00AF5A74">
            <w:pPr>
              <w:rPr>
                <w:rFonts w:asciiTheme="minorHAnsi" w:hAnsiTheme="minorHAnsi" w:cstheme="minorHAnsi"/>
                <w:b/>
                <w:sz w:val="20"/>
                <w:szCs w:val="20"/>
              </w:rPr>
            </w:pPr>
            <w:r w:rsidRPr="00A36F5C">
              <w:rPr>
                <w:rFonts w:asciiTheme="minorHAnsi" w:hAnsiTheme="minorHAnsi" w:cstheme="minorHAnsi"/>
                <w:b/>
                <w:sz w:val="20"/>
                <w:szCs w:val="20"/>
              </w:rPr>
              <w:t>Risk-adjusted income</w:t>
            </w:r>
          </w:p>
        </w:tc>
        <w:tc>
          <w:tcPr>
            <w:tcW w:w="906" w:type="dxa"/>
            <w:tcBorders>
              <w:top w:val="single" w:sz="4" w:space="0" w:color="auto"/>
              <w:bottom w:val="single" w:sz="4" w:space="0" w:color="auto"/>
            </w:tcBorders>
            <w:shd w:val="clear" w:color="auto" w:fill="F2F2F2" w:themeFill="background1" w:themeFillShade="F2"/>
          </w:tcPr>
          <w:p w14:paraId="4998E628" w14:textId="722F3D22" w:rsidR="00C44C7D" w:rsidRPr="006D4208" w:rsidRDefault="00581278" w:rsidP="00AF5A74">
            <w:pPr>
              <w:jc w:val="right"/>
              <w:rPr>
                <w:rFonts w:asciiTheme="minorHAnsi" w:hAnsiTheme="minorHAnsi" w:cstheme="minorHAnsi"/>
                <w:b/>
                <w:sz w:val="20"/>
                <w:szCs w:val="20"/>
              </w:rPr>
            </w:pPr>
            <w:r w:rsidRPr="006D4208">
              <w:rPr>
                <w:rFonts w:asciiTheme="minorHAnsi" w:hAnsiTheme="minorHAnsi" w:cstheme="minorHAnsi"/>
                <w:b/>
                <w:sz w:val="20"/>
                <w:szCs w:val="20"/>
              </w:rPr>
              <w:t>1</w:t>
            </w:r>
            <w:r w:rsidR="001E3794">
              <w:rPr>
                <w:rFonts w:asciiTheme="minorHAnsi" w:hAnsiTheme="minorHAnsi" w:cstheme="minorHAnsi"/>
                <w:b/>
                <w:sz w:val="20"/>
                <w:szCs w:val="20"/>
              </w:rPr>
              <w:t>16</w:t>
            </w:r>
            <w:r w:rsidRPr="006D4208">
              <w:rPr>
                <w:rFonts w:asciiTheme="minorHAnsi" w:hAnsiTheme="minorHAnsi" w:cstheme="minorHAnsi"/>
                <w:b/>
                <w:sz w:val="20"/>
                <w:szCs w:val="20"/>
              </w:rPr>
              <w:t>.6</w:t>
            </w:r>
          </w:p>
        </w:tc>
        <w:tc>
          <w:tcPr>
            <w:tcW w:w="892" w:type="dxa"/>
            <w:tcBorders>
              <w:top w:val="single" w:sz="4" w:space="0" w:color="auto"/>
              <w:bottom w:val="single" w:sz="4" w:space="0" w:color="auto"/>
            </w:tcBorders>
            <w:shd w:val="clear" w:color="auto" w:fill="F2F2F2" w:themeFill="background1" w:themeFillShade="F2"/>
          </w:tcPr>
          <w:p w14:paraId="09C263FA" w14:textId="14DA0041" w:rsidR="00C44C7D" w:rsidRPr="006D4208" w:rsidRDefault="00625121" w:rsidP="00AF5A74">
            <w:pPr>
              <w:jc w:val="right"/>
              <w:rPr>
                <w:rFonts w:asciiTheme="minorHAnsi" w:hAnsiTheme="minorHAnsi" w:cstheme="minorHAnsi"/>
                <w:b/>
                <w:sz w:val="20"/>
                <w:szCs w:val="20"/>
              </w:rPr>
            </w:pPr>
            <w:r w:rsidRPr="006D4208">
              <w:rPr>
                <w:rFonts w:asciiTheme="minorHAnsi" w:hAnsiTheme="minorHAnsi" w:cstheme="minorHAnsi"/>
                <w:b/>
                <w:sz w:val="20"/>
                <w:szCs w:val="20"/>
              </w:rPr>
              <w:t>19.6</w:t>
            </w:r>
          </w:p>
        </w:tc>
        <w:tc>
          <w:tcPr>
            <w:tcW w:w="893" w:type="dxa"/>
            <w:tcBorders>
              <w:top w:val="single" w:sz="4" w:space="0" w:color="auto"/>
              <w:bottom w:val="single" w:sz="4" w:space="0" w:color="auto"/>
            </w:tcBorders>
            <w:shd w:val="clear" w:color="auto" w:fill="F2F2F2" w:themeFill="background1" w:themeFillShade="F2"/>
          </w:tcPr>
          <w:p w14:paraId="01822053" w14:textId="4EB70CD9" w:rsidR="00C44C7D" w:rsidRPr="006D4208" w:rsidRDefault="00157A64" w:rsidP="00AF5A74">
            <w:pPr>
              <w:jc w:val="right"/>
              <w:rPr>
                <w:rFonts w:asciiTheme="minorHAnsi" w:hAnsiTheme="minorHAnsi" w:cstheme="minorHAnsi"/>
                <w:b/>
                <w:sz w:val="20"/>
                <w:szCs w:val="20"/>
              </w:rPr>
            </w:pPr>
            <w:r w:rsidRPr="006D4208">
              <w:rPr>
                <w:rFonts w:asciiTheme="minorHAnsi" w:hAnsiTheme="minorHAnsi" w:cstheme="minorHAnsi"/>
                <w:b/>
                <w:sz w:val="20"/>
                <w:szCs w:val="20"/>
              </w:rPr>
              <w:t>2.3</w:t>
            </w:r>
          </w:p>
        </w:tc>
        <w:tc>
          <w:tcPr>
            <w:tcW w:w="1080" w:type="dxa"/>
            <w:tcBorders>
              <w:top w:val="single" w:sz="4" w:space="0" w:color="auto"/>
              <w:bottom w:val="single" w:sz="4" w:space="0" w:color="auto"/>
            </w:tcBorders>
            <w:shd w:val="clear" w:color="auto" w:fill="F2F2F2" w:themeFill="background1" w:themeFillShade="F2"/>
          </w:tcPr>
          <w:p w14:paraId="781ED3F6" w14:textId="60A0929E" w:rsidR="00C44C7D" w:rsidRPr="006D4208" w:rsidRDefault="005B4D06" w:rsidP="00AF5A74">
            <w:pPr>
              <w:jc w:val="right"/>
              <w:rPr>
                <w:rFonts w:asciiTheme="minorHAnsi" w:hAnsiTheme="minorHAnsi" w:cstheme="minorHAnsi"/>
                <w:b/>
                <w:sz w:val="20"/>
                <w:szCs w:val="20"/>
              </w:rPr>
            </w:pPr>
            <w:r w:rsidRPr="006D4208">
              <w:rPr>
                <w:rFonts w:asciiTheme="minorHAnsi" w:hAnsiTheme="minorHAnsi" w:cstheme="minorHAnsi"/>
                <w:b/>
                <w:sz w:val="20"/>
                <w:szCs w:val="20"/>
              </w:rPr>
              <w:t>0.6</w:t>
            </w:r>
          </w:p>
        </w:tc>
        <w:tc>
          <w:tcPr>
            <w:tcW w:w="895" w:type="dxa"/>
            <w:tcBorders>
              <w:top w:val="single" w:sz="4" w:space="0" w:color="auto"/>
              <w:bottom w:val="single" w:sz="4" w:space="0" w:color="auto"/>
            </w:tcBorders>
            <w:shd w:val="clear" w:color="auto" w:fill="F2F2F2" w:themeFill="background1" w:themeFillShade="F2"/>
          </w:tcPr>
          <w:p w14:paraId="51B66CF8" w14:textId="70C2D913" w:rsidR="00C44C7D" w:rsidRPr="006D4208" w:rsidRDefault="006C5B4F" w:rsidP="00AF5A74">
            <w:pPr>
              <w:jc w:val="right"/>
              <w:rPr>
                <w:rFonts w:asciiTheme="minorHAnsi" w:hAnsiTheme="minorHAnsi" w:cstheme="minorHAnsi"/>
                <w:b/>
                <w:sz w:val="20"/>
                <w:szCs w:val="20"/>
              </w:rPr>
            </w:pPr>
            <w:r>
              <w:rPr>
                <w:rFonts w:asciiTheme="minorHAnsi" w:hAnsiTheme="minorHAnsi" w:cstheme="minorHAnsi"/>
                <w:b/>
                <w:sz w:val="20"/>
                <w:szCs w:val="20"/>
              </w:rPr>
              <w:t>1.0</w:t>
            </w:r>
          </w:p>
        </w:tc>
        <w:tc>
          <w:tcPr>
            <w:tcW w:w="1041" w:type="dxa"/>
            <w:tcBorders>
              <w:top w:val="single" w:sz="4" w:space="0" w:color="auto"/>
              <w:bottom w:val="single" w:sz="4" w:space="0" w:color="auto"/>
            </w:tcBorders>
            <w:shd w:val="clear" w:color="auto" w:fill="F2F2F2" w:themeFill="background1" w:themeFillShade="F2"/>
          </w:tcPr>
          <w:p w14:paraId="5E7F3AFC" w14:textId="66EEB312" w:rsidR="00C44C7D" w:rsidRPr="006D4208" w:rsidRDefault="00C44C7D" w:rsidP="00AF5A74">
            <w:pPr>
              <w:jc w:val="right"/>
              <w:rPr>
                <w:rFonts w:asciiTheme="minorHAnsi" w:hAnsiTheme="minorHAnsi" w:cstheme="minorHAnsi"/>
                <w:b/>
                <w:sz w:val="20"/>
                <w:szCs w:val="20"/>
              </w:rPr>
            </w:pPr>
            <w:r w:rsidRPr="006D4208">
              <w:rPr>
                <w:rFonts w:asciiTheme="minorHAnsi" w:hAnsiTheme="minorHAnsi" w:cstheme="minorHAnsi"/>
                <w:b/>
                <w:sz w:val="20"/>
                <w:szCs w:val="20"/>
              </w:rPr>
              <w:t>(</w:t>
            </w:r>
            <w:r w:rsidR="007946E5" w:rsidRPr="006D4208">
              <w:rPr>
                <w:rFonts w:asciiTheme="minorHAnsi" w:hAnsiTheme="minorHAnsi" w:cstheme="minorHAnsi"/>
                <w:b/>
                <w:sz w:val="20"/>
                <w:szCs w:val="20"/>
              </w:rPr>
              <w:t>7.4</w:t>
            </w:r>
            <w:r w:rsidRPr="006D4208">
              <w:rPr>
                <w:rFonts w:asciiTheme="minorHAnsi" w:hAnsiTheme="minorHAnsi" w:cstheme="minorHAnsi"/>
                <w:b/>
                <w:sz w:val="20"/>
                <w:szCs w:val="20"/>
              </w:rPr>
              <w:t>)</w:t>
            </w:r>
          </w:p>
        </w:tc>
        <w:tc>
          <w:tcPr>
            <w:tcW w:w="896" w:type="dxa"/>
            <w:tcBorders>
              <w:top w:val="single" w:sz="4" w:space="0" w:color="auto"/>
              <w:bottom w:val="single" w:sz="4" w:space="0" w:color="auto"/>
            </w:tcBorders>
            <w:shd w:val="clear" w:color="auto" w:fill="F2F2F2" w:themeFill="background1" w:themeFillShade="F2"/>
          </w:tcPr>
          <w:p w14:paraId="5206CE08" w14:textId="39F9508F" w:rsidR="00C44C7D" w:rsidRPr="006D4208" w:rsidRDefault="004D0D0A" w:rsidP="00AF5A74">
            <w:pPr>
              <w:jc w:val="right"/>
              <w:rPr>
                <w:rFonts w:asciiTheme="minorHAnsi" w:hAnsiTheme="minorHAnsi" w:cstheme="minorHAnsi"/>
                <w:b/>
                <w:sz w:val="20"/>
                <w:szCs w:val="20"/>
              </w:rPr>
            </w:pPr>
            <w:r w:rsidRPr="006D4208">
              <w:rPr>
                <w:rFonts w:asciiTheme="minorHAnsi" w:hAnsiTheme="minorHAnsi" w:cstheme="minorHAnsi"/>
                <w:b/>
                <w:sz w:val="20"/>
                <w:szCs w:val="20"/>
              </w:rPr>
              <w:t>132.7</w:t>
            </w:r>
          </w:p>
        </w:tc>
      </w:tr>
      <w:tr w:rsidR="00C44C7D" w:rsidRPr="00B87A15" w14:paraId="62AD66F4" w14:textId="77777777" w:rsidTr="58230143">
        <w:tc>
          <w:tcPr>
            <w:tcW w:w="3120" w:type="dxa"/>
          </w:tcPr>
          <w:p w14:paraId="24EC85E3" w14:textId="77777777" w:rsidR="00C44C7D" w:rsidRPr="00A36F5C" w:rsidRDefault="00C44C7D" w:rsidP="00AF5A74">
            <w:pPr>
              <w:rPr>
                <w:rFonts w:asciiTheme="minorHAnsi" w:hAnsiTheme="minorHAnsi" w:cstheme="minorHAnsi"/>
                <w:bCs/>
                <w:sz w:val="20"/>
                <w:szCs w:val="20"/>
              </w:rPr>
            </w:pPr>
            <w:r w:rsidRPr="00A36F5C">
              <w:rPr>
                <w:rFonts w:asciiTheme="minorHAnsi" w:hAnsiTheme="minorHAnsi" w:cstheme="minorHAnsi"/>
                <w:bCs/>
                <w:sz w:val="20"/>
                <w:szCs w:val="20"/>
              </w:rPr>
              <w:t>Adjusted operating costs</w:t>
            </w:r>
          </w:p>
        </w:tc>
        <w:tc>
          <w:tcPr>
            <w:tcW w:w="906" w:type="dxa"/>
            <w:tcBorders>
              <w:top w:val="single" w:sz="4" w:space="0" w:color="auto"/>
              <w:bottom w:val="single" w:sz="4" w:space="0" w:color="auto"/>
            </w:tcBorders>
            <w:shd w:val="clear" w:color="auto" w:fill="F2F2F2" w:themeFill="background1" w:themeFillShade="F2"/>
          </w:tcPr>
          <w:p w14:paraId="20D92378" w14:textId="037A2B40" w:rsidR="00C44C7D" w:rsidRPr="006D4208" w:rsidRDefault="00C44C7D" w:rsidP="00AF5A74">
            <w:pPr>
              <w:jc w:val="right"/>
              <w:rPr>
                <w:rFonts w:asciiTheme="minorHAnsi" w:hAnsiTheme="minorHAnsi" w:cstheme="minorHAnsi"/>
                <w:sz w:val="20"/>
                <w:szCs w:val="20"/>
              </w:rPr>
            </w:pPr>
            <w:r w:rsidRPr="006D4208">
              <w:rPr>
                <w:rFonts w:asciiTheme="minorHAnsi" w:hAnsiTheme="minorHAnsi" w:cstheme="minorHAnsi"/>
                <w:sz w:val="20"/>
                <w:szCs w:val="20"/>
              </w:rPr>
              <w:t>(</w:t>
            </w:r>
            <w:r w:rsidR="00581278" w:rsidRPr="006D4208">
              <w:rPr>
                <w:rFonts w:asciiTheme="minorHAnsi" w:hAnsiTheme="minorHAnsi" w:cstheme="minorHAnsi"/>
                <w:sz w:val="20"/>
                <w:szCs w:val="20"/>
              </w:rPr>
              <w:t>96.4</w:t>
            </w:r>
            <w:r w:rsidRPr="006D4208">
              <w:rPr>
                <w:rFonts w:asciiTheme="minorHAnsi" w:hAnsiTheme="minorHAnsi" w:cstheme="minorHAnsi"/>
                <w:sz w:val="20"/>
                <w:szCs w:val="20"/>
              </w:rPr>
              <w:t>)</w:t>
            </w:r>
          </w:p>
        </w:tc>
        <w:tc>
          <w:tcPr>
            <w:tcW w:w="892" w:type="dxa"/>
            <w:tcBorders>
              <w:top w:val="single" w:sz="4" w:space="0" w:color="auto"/>
              <w:bottom w:val="single" w:sz="4" w:space="0" w:color="auto"/>
            </w:tcBorders>
            <w:shd w:val="clear" w:color="auto" w:fill="F2F2F2" w:themeFill="background1" w:themeFillShade="F2"/>
          </w:tcPr>
          <w:p w14:paraId="45326971" w14:textId="10698AD6" w:rsidR="00C44C7D" w:rsidRPr="006D4208" w:rsidRDefault="00C44C7D" w:rsidP="00AF5A74">
            <w:pPr>
              <w:jc w:val="right"/>
              <w:rPr>
                <w:rFonts w:asciiTheme="minorHAnsi" w:hAnsiTheme="minorHAnsi" w:cstheme="minorHAnsi"/>
                <w:sz w:val="20"/>
                <w:szCs w:val="20"/>
              </w:rPr>
            </w:pPr>
            <w:r w:rsidRPr="006D4208">
              <w:rPr>
                <w:rFonts w:asciiTheme="minorHAnsi" w:hAnsiTheme="minorHAnsi" w:cstheme="minorHAnsi"/>
                <w:sz w:val="20"/>
                <w:szCs w:val="20"/>
              </w:rPr>
              <w:t>(</w:t>
            </w:r>
            <w:r w:rsidR="00625121" w:rsidRPr="006D4208">
              <w:rPr>
                <w:rFonts w:asciiTheme="minorHAnsi" w:hAnsiTheme="minorHAnsi" w:cstheme="minorHAnsi"/>
                <w:sz w:val="20"/>
                <w:szCs w:val="20"/>
              </w:rPr>
              <w:t>22.9</w:t>
            </w:r>
            <w:r w:rsidRPr="006D4208">
              <w:rPr>
                <w:rFonts w:asciiTheme="minorHAnsi" w:hAnsiTheme="minorHAnsi" w:cstheme="minorHAnsi"/>
                <w:sz w:val="20"/>
                <w:szCs w:val="20"/>
              </w:rPr>
              <w:t>)</w:t>
            </w:r>
          </w:p>
        </w:tc>
        <w:tc>
          <w:tcPr>
            <w:tcW w:w="893" w:type="dxa"/>
            <w:tcBorders>
              <w:top w:val="single" w:sz="4" w:space="0" w:color="auto"/>
              <w:bottom w:val="single" w:sz="4" w:space="0" w:color="auto"/>
            </w:tcBorders>
            <w:shd w:val="clear" w:color="auto" w:fill="F2F2F2" w:themeFill="background1" w:themeFillShade="F2"/>
          </w:tcPr>
          <w:p w14:paraId="3A03EC64" w14:textId="2E2BA54F" w:rsidR="00C44C7D" w:rsidRPr="00BF4880" w:rsidRDefault="00C44C7D" w:rsidP="00AF5A74">
            <w:pPr>
              <w:jc w:val="right"/>
              <w:rPr>
                <w:rFonts w:asciiTheme="minorHAnsi" w:hAnsiTheme="minorHAnsi" w:cstheme="minorHAnsi"/>
                <w:sz w:val="20"/>
                <w:szCs w:val="20"/>
              </w:rPr>
            </w:pPr>
            <w:r w:rsidRPr="00BF4880">
              <w:rPr>
                <w:rFonts w:asciiTheme="minorHAnsi" w:hAnsiTheme="minorHAnsi" w:cstheme="minorHAnsi"/>
                <w:sz w:val="20"/>
                <w:szCs w:val="20"/>
              </w:rPr>
              <w:t>(</w:t>
            </w:r>
            <w:r w:rsidR="00157A64" w:rsidRPr="00BF4880">
              <w:rPr>
                <w:rFonts w:asciiTheme="minorHAnsi" w:hAnsiTheme="minorHAnsi" w:cstheme="minorHAnsi"/>
                <w:sz w:val="20"/>
                <w:szCs w:val="20"/>
              </w:rPr>
              <w:t>6.1</w:t>
            </w:r>
            <w:r w:rsidRPr="00BF4880">
              <w:rPr>
                <w:rFonts w:asciiTheme="minorHAnsi" w:hAnsiTheme="minorHAnsi" w:cstheme="minorHAnsi"/>
                <w:sz w:val="20"/>
                <w:szCs w:val="20"/>
              </w:rPr>
              <w:t>)</w:t>
            </w:r>
          </w:p>
        </w:tc>
        <w:tc>
          <w:tcPr>
            <w:tcW w:w="1080" w:type="dxa"/>
            <w:tcBorders>
              <w:top w:val="single" w:sz="4" w:space="0" w:color="auto"/>
              <w:bottom w:val="single" w:sz="4" w:space="0" w:color="auto"/>
            </w:tcBorders>
            <w:shd w:val="clear" w:color="auto" w:fill="F2F2F2" w:themeFill="background1" w:themeFillShade="F2"/>
          </w:tcPr>
          <w:p w14:paraId="43909816" w14:textId="6505143E" w:rsidR="00C44C7D" w:rsidRPr="00BF4880" w:rsidRDefault="00C44C7D" w:rsidP="00AF5A74">
            <w:pPr>
              <w:jc w:val="right"/>
              <w:rPr>
                <w:rFonts w:asciiTheme="minorHAnsi" w:hAnsiTheme="minorHAnsi" w:cstheme="minorHAnsi"/>
                <w:sz w:val="20"/>
                <w:szCs w:val="20"/>
              </w:rPr>
            </w:pPr>
            <w:r w:rsidRPr="00BF4880">
              <w:rPr>
                <w:rFonts w:asciiTheme="minorHAnsi" w:hAnsiTheme="minorHAnsi" w:cstheme="minorHAnsi"/>
                <w:sz w:val="20"/>
                <w:szCs w:val="20"/>
              </w:rPr>
              <w:t>(</w:t>
            </w:r>
            <w:r w:rsidR="005B4D06" w:rsidRPr="00BF4880">
              <w:rPr>
                <w:rFonts w:asciiTheme="minorHAnsi" w:hAnsiTheme="minorHAnsi" w:cstheme="minorHAnsi"/>
                <w:sz w:val="20"/>
                <w:szCs w:val="20"/>
              </w:rPr>
              <w:t>0.2</w:t>
            </w:r>
            <w:r w:rsidRPr="00BF4880">
              <w:rPr>
                <w:rFonts w:asciiTheme="minorHAnsi" w:hAnsiTheme="minorHAnsi" w:cstheme="minorHAnsi"/>
                <w:sz w:val="20"/>
                <w:szCs w:val="20"/>
              </w:rPr>
              <w:t>)</w:t>
            </w:r>
          </w:p>
        </w:tc>
        <w:tc>
          <w:tcPr>
            <w:tcW w:w="895" w:type="dxa"/>
            <w:tcBorders>
              <w:top w:val="single" w:sz="4" w:space="0" w:color="auto"/>
              <w:bottom w:val="single" w:sz="4" w:space="0" w:color="auto"/>
            </w:tcBorders>
            <w:shd w:val="clear" w:color="auto" w:fill="F2F2F2" w:themeFill="background1" w:themeFillShade="F2"/>
          </w:tcPr>
          <w:p w14:paraId="1D276314" w14:textId="78A34FB4" w:rsidR="00C44C7D" w:rsidRPr="00BF4880" w:rsidRDefault="00C44C7D" w:rsidP="00AF5A74">
            <w:pPr>
              <w:jc w:val="right"/>
              <w:rPr>
                <w:rFonts w:asciiTheme="minorHAnsi" w:hAnsiTheme="minorHAnsi" w:cstheme="minorHAnsi"/>
                <w:sz w:val="20"/>
                <w:szCs w:val="20"/>
              </w:rPr>
            </w:pPr>
            <w:r w:rsidRPr="00BF4880">
              <w:rPr>
                <w:rFonts w:asciiTheme="minorHAnsi" w:hAnsiTheme="minorHAnsi" w:cstheme="minorHAnsi"/>
                <w:sz w:val="20"/>
                <w:szCs w:val="20"/>
              </w:rPr>
              <w:t>(</w:t>
            </w:r>
            <w:r w:rsidR="00F32BC4" w:rsidRPr="00BF4880">
              <w:rPr>
                <w:rFonts w:asciiTheme="minorHAnsi" w:hAnsiTheme="minorHAnsi" w:cstheme="minorHAnsi"/>
                <w:sz w:val="20"/>
                <w:szCs w:val="20"/>
              </w:rPr>
              <w:t>5.0</w:t>
            </w:r>
            <w:r w:rsidRPr="00BF4880">
              <w:rPr>
                <w:rFonts w:asciiTheme="minorHAnsi" w:hAnsiTheme="minorHAnsi" w:cstheme="minorHAnsi"/>
                <w:sz w:val="20"/>
                <w:szCs w:val="20"/>
              </w:rPr>
              <w:t>)</w:t>
            </w:r>
          </w:p>
        </w:tc>
        <w:tc>
          <w:tcPr>
            <w:tcW w:w="1041" w:type="dxa"/>
            <w:tcBorders>
              <w:top w:val="single" w:sz="4" w:space="0" w:color="auto"/>
              <w:bottom w:val="single" w:sz="4" w:space="0" w:color="auto"/>
            </w:tcBorders>
            <w:shd w:val="clear" w:color="auto" w:fill="F2F2F2" w:themeFill="background1" w:themeFillShade="F2"/>
          </w:tcPr>
          <w:p w14:paraId="0B10BD00" w14:textId="74D49A2B" w:rsidR="00C44C7D" w:rsidRPr="00BF4880" w:rsidRDefault="00C44C7D" w:rsidP="00AF5A74">
            <w:pPr>
              <w:jc w:val="right"/>
              <w:rPr>
                <w:rFonts w:asciiTheme="minorHAnsi" w:hAnsiTheme="minorHAnsi" w:cstheme="minorHAnsi"/>
                <w:sz w:val="20"/>
                <w:szCs w:val="20"/>
              </w:rPr>
            </w:pPr>
            <w:r w:rsidRPr="00BF4880">
              <w:rPr>
                <w:rFonts w:asciiTheme="minorHAnsi" w:hAnsiTheme="minorHAnsi" w:cstheme="minorHAnsi"/>
                <w:sz w:val="20"/>
                <w:szCs w:val="20"/>
              </w:rPr>
              <w:t>(</w:t>
            </w:r>
            <w:r w:rsidR="009E4A13" w:rsidRPr="00BF4880">
              <w:rPr>
                <w:rFonts w:asciiTheme="minorHAnsi" w:hAnsiTheme="minorHAnsi" w:cstheme="minorHAnsi"/>
                <w:sz w:val="20"/>
                <w:szCs w:val="20"/>
              </w:rPr>
              <w:t>28.9</w:t>
            </w:r>
            <w:r w:rsidRPr="00BF4880">
              <w:rPr>
                <w:rFonts w:asciiTheme="minorHAnsi" w:hAnsiTheme="minorHAnsi" w:cstheme="minorHAnsi"/>
                <w:sz w:val="20"/>
                <w:szCs w:val="20"/>
              </w:rPr>
              <w:t>)</w:t>
            </w:r>
          </w:p>
        </w:tc>
        <w:tc>
          <w:tcPr>
            <w:tcW w:w="896" w:type="dxa"/>
            <w:tcBorders>
              <w:top w:val="single" w:sz="4" w:space="0" w:color="auto"/>
              <w:bottom w:val="single" w:sz="4" w:space="0" w:color="auto"/>
            </w:tcBorders>
            <w:shd w:val="clear" w:color="auto" w:fill="F2F2F2" w:themeFill="background1" w:themeFillShade="F2"/>
          </w:tcPr>
          <w:p w14:paraId="1C2F6E76" w14:textId="7B8FD49D" w:rsidR="00C44C7D" w:rsidRPr="00BF4880" w:rsidRDefault="00C44C7D" w:rsidP="00AF5A74">
            <w:pPr>
              <w:jc w:val="right"/>
              <w:rPr>
                <w:rFonts w:asciiTheme="minorHAnsi" w:hAnsiTheme="minorHAnsi" w:cstheme="minorHAnsi"/>
                <w:sz w:val="20"/>
                <w:szCs w:val="20"/>
              </w:rPr>
            </w:pPr>
            <w:r w:rsidRPr="00BF4880">
              <w:rPr>
                <w:rFonts w:asciiTheme="minorHAnsi" w:hAnsiTheme="minorHAnsi" w:cstheme="minorHAnsi"/>
                <w:sz w:val="20"/>
                <w:szCs w:val="20"/>
              </w:rPr>
              <w:t>(</w:t>
            </w:r>
            <w:r w:rsidR="004D0D0A" w:rsidRPr="00BF4880">
              <w:rPr>
                <w:rFonts w:asciiTheme="minorHAnsi" w:hAnsiTheme="minorHAnsi" w:cstheme="minorHAnsi"/>
                <w:sz w:val="20"/>
                <w:szCs w:val="20"/>
              </w:rPr>
              <w:t>159</w:t>
            </w:r>
            <w:r w:rsidR="00685911" w:rsidRPr="00BF4880">
              <w:rPr>
                <w:rFonts w:asciiTheme="minorHAnsi" w:hAnsiTheme="minorHAnsi" w:cstheme="minorHAnsi"/>
                <w:sz w:val="20"/>
                <w:szCs w:val="20"/>
              </w:rPr>
              <w:t>.5</w:t>
            </w:r>
            <w:r w:rsidRPr="00BF4880">
              <w:rPr>
                <w:rFonts w:asciiTheme="minorHAnsi" w:hAnsiTheme="minorHAnsi" w:cstheme="minorHAnsi"/>
                <w:sz w:val="20"/>
                <w:szCs w:val="20"/>
              </w:rPr>
              <w:t>)</w:t>
            </w:r>
          </w:p>
        </w:tc>
      </w:tr>
      <w:tr w:rsidR="00C44C7D" w:rsidRPr="00B87A15" w14:paraId="0E6A5BAA" w14:textId="77777777" w:rsidTr="58230143">
        <w:tc>
          <w:tcPr>
            <w:tcW w:w="3120" w:type="dxa"/>
          </w:tcPr>
          <w:p w14:paraId="3153806C" w14:textId="65B69D20" w:rsidR="00C44C7D" w:rsidRPr="00A36F5C" w:rsidRDefault="00C44C7D" w:rsidP="00AF5A74">
            <w:pPr>
              <w:rPr>
                <w:rFonts w:asciiTheme="minorHAnsi" w:hAnsiTheme="minorHAnsi" w:cstheme="minorHAnsi"/>
                <w:b/>
                <w:sz w:val="20"/>
                <w:szCs w:val="20"/>
              </w:rPr>
            </w:pPr>
            <w:r w:rsidRPr="00A36F5C">
              <w:rPr>
                <w:rFonts w:asciiTheme="minorHAnsi" w:hAnsiTheme="minorHAnsi" w:cstheme="minorHAnsi"/>
                <w:b/>
                <w:sz w:val="20"/>
                <w:szCs w:val="20"/>
              </w:rPr>
              <w:t>Adjusted PBT(LBT)</w:t>
            </w:r>
          </w:p>
        </w:tc>
        <w:tc>
          <w:tcPr>
            <w:tcW w:w="906" w:type="dxa"/>
            <w:tcBorders>
              <w:top w:val="single" w:sz="4" w:space="0" w:color="auto"/>
              <w:bottom w:val="single" w:sz="4" w:space="0" w:color="auto"/>
            </w:tcBorders>
            <w:shd w:val="clear" w:color="auto" w:fill="F2F2F2" w:themeFill="background1" w:themeFillShade="F2"/>
          </w:tcPr>
          <w:p w14:paraId="6B728AA5" w14:textId="07C98ECB" w:rsidR="00C44C7D" w:rsidRPr="006D4208" w:rsidRDefault="009868EF" w:rsidP="00AF5A74">
            <w:pPr>
              <w:jc w:val="right"/>
              <w:rPr>
                <w:rFonts w:asciiTheme="minorHAnsi" w:hAnsiTheme="minorHAnsi" w:cstheme="minorHAnsi"/>
                <w:b/>
                <w:sz w:val="20"/>
                <w:szCs w:val="20"/>
              </w:rPr>
            </w:pPr>
            <w:r w:rsidRPr="006D4208">
              <w:rPr>
                <w:rFonts w:asciiTheme="minorHAnsi" w:hAnsiTheme="minorHAnsi" w:cstheme="minorHAnsi"/>
                <w:b/>
                <w:sz w:val="20"/>
                <w:szCs w:val="20"/>
              </w:rPr>
              <w:t>20.2</w:t>
            </w:r>
          </w:p>
        </w:tc>
        <w:tc>
          <w:tcPr>
            <w:tcW w:w="892" w:type="dxa"/>
            <w:tcBorders>
              <w:top w:val="single" w:sz="4" w:space="0" w:color="auto"/>
              <w:bottom w:val="single" w:sz="4" w:space="0" w:color="auto"/>
            </w:tcBorders>
            <w:shd w:val="clear" w:color="auto" w:fill="F2F2F2" w:themeFill="background1" w:themeFillShade="F2"/>
          </w:tcPr>
          <w:p w14:paraId="243DCCDC" w14:textId="1C9F3F32" w:rsidR="00C44C7D" w:rsidRPr="006D4208" w:rsidRDefault="00105CA1" w:rsidP="00AF5A74">
            <w:pPr>
              <w:jc w:val="right"/>
              <w:rPr>
                <w:rFonts w:asciiTheme="minorHAnsi" w:hAnsiTheme="minorHAnsi" w:cstheme="minorHAnsi"/>
                <w:b/>
                <w:sz w:val="20"/>
                <w:szCs w:val="20"/>
              </w:rPr>
            </w:pPr>
            <w:r>
              <w:rPr>
                <w:rFonts w:asciiTheme="minorHAnsi" w:hAnsiTheme="minorHAnsi" w:cstheme="minorHAnsi"/>
                <w:b/>
                <w:sz w:val="20"/>
                <w:szCs w:val="20"/>
              </w:rPr>
              <w:t>(</w:t>
            </w:r>
            <w:r w:rsidR="00CC53AB" w:rsidRPr="006D4208">
              <w:rPr>
                <w:rFonts w:asciiTheme="minorHAnsi" w:hAnsiTheme="minorHAnsi" w:cstheme="minorHAnsi"/>
                <w:b/>
                <w:sz w:val="20"/>
                <w:szCs w:val="20"/>
              </w:rPr>
              <w:t>3.3</w:t>
            </w:r>
            <w:r>
              <w:rPr>
                <w:rFonts w:asciiTheme="minorHAnsi" w:hAnsiTheme="minorHAnsi" w:cstheme="minorHAnsi"/>
                <w:b/>
                <w:sz w:val="20"/>
                <w:szCs w:val="20"/>
              </w:rPr>
              <w:t>)</w:t>
            </w:r>
          </w:p>
        </w:tc>
        <w:tc>
          <w:tcPr>
            <w:tcW w:w="893" w:type="dxa"/>
            <w:tcBorders>
              <w:top w:val="single" w:sz="4" w:space="0" w:color="auto"/>
              <w:bottom w:val="single" w:sz="4" w:space="0" w:color="auto"/>
            </w:tcBorders>
            <w:shd w:val="clear" w:color="auto" w:fill="F2F2F2" w:themeFill="background1" w:themeFillShade="F2"/>
          </w:tcPr>
          <w:p w14:paraId="71E8E391" w14:textId="36EC46F5" w:rsidR="00C44C7D" w:rsidRPr="006D4208" w:rsidRDefault="00C44C7D" w:rsidP="00AF5A74">
            <w:pPr>
              <w:jc w:val="right"/>
              <w:rPr>
                <w:rFonts w:asciiTheme="minorHAnsi" w:hAnsiTheme="minorHAnsi" w:cstheme="minorHAnsi"/>
                <w:b/>
                <w:sz w:val="20"/>
                <w:szCs w:val="20"/>
              </w:rPr>
            </w:pPr>
            <w:r w:rsidRPr="006D4208">
              <w:rPr>
                <w:rFonts w:asciiTheme="minorHAnsi" w:hAnsiTheme="minorHAnsi" w:cstheme="minorHAnsi"/>
                <w:b/>
                <w:sz w:val="20"/>
                <w:szCs w:val="20"/>
              </w:rPr>
              <w:t>(</w:t>
            </w:r>
            <w:r w:rsidR="00157A64" w:rsidRPr="006D4208">
              <w:rPr>
                <w:rFonts w:asciiTheme="minorHAnsi" w:hAnsiTheme="minorHAnsi" w:cstheme="minorHAnsi"/>
                <w:b/>
                <w:sz w:val="20"/>
                <w:szCs w:val="20"/>
              </w:rPr>
              <w:t>3.8</w:t>
            </w:r>
            <w:r w:rsidRPr="006D4208">
              <w:rPr>
                <w:rFonts w:asciiTheme="minorHAnsi" w:hAnsiTheme="minorHAnsi" w:cstheme="minorHAnsi"/>
                <w:b/>
                <w:sz w:val="20"/>
                <w:szCs w:val="20"/>
              </w:rPr>
              <w:t>)</w:t>
            </w:r>
          </w:p>
        </w:tc>
        <w:tc>
          <w:tcPr>
            <w:tcW w:w="1080" w:type="dxa"/>
            <w:tcBorders>
              <w:top w:val="single" w:sz="4" w:space="0" w:color="auto"/>
              <w:bottom w:val="single" w:sz="4" w:space="0" w:color="auto"/>
            </w:tcBorders>
            <w:shd w:val="clear" w:color="auto" w:fill="F2F2F2" w:themeFill="background1" w:themeFillShade="F2"/>
          </w:tcPr>
          <w:p w14:paraId="0E6F351A" w14:textId="2D6CC741" w:rsidR="00C44C7D" w:rsidRPr="006D4208" w:rsidRDefault="005B4D06" w:rsidP="00AF5A74">
            <w:pPr>
              <w:jc w:val="right"/>
              <w:rPr>
                <w:rFonts w:asciiTheme="minorHAnsi" w:hAnsiTheme="minorHAnsi" w:cstheme="minorHAnsi"/>
                <w:b/>
                <w:sz w:val="20"/>
                <w:szCs w:val="20"/>
              </w:rPr>
            </w:pPr>
            <w:r w:rsidRPr="006D4208">
              <w:rPr>
                <w:rFonts w:asciiTheme="minorHAnsi" w:hAnsiTheme="minorHAnsi" w:cstheme="minorHAnsi"/>
                <w:b/>
                <w:sz w:val="20"/>
                <w:szCs w:val="20"/>
              </w:rPr>
              <w:t>0.4</w:t>
            </w:r>
          </w:p>
        </w:tc>
        <w:tc>
          <w:tcPr>
            <w:tcW w:w="895" w:type="dxa"/>
            <w:tcBorders>
              <w:top w:val="single" w:sz="4" w:space="0" w:color="auto"/>
              <w:bottom w:val="single" w:sz="4" w:space="0" w:color="auto"/>
            </w:tcBorders>
            <w:shd w:val="clear" w:color="auto" w:fill="F2F2F2" w:themeFill="background1" w:themeFillShade="F2"/>
          </w:tcPr>
          <w:p w14:paraId="5B54F0FF" w14:textId="64EEF8B8" w:rsidR="00C44C7D" w:rsidRPr="006D4208" w:rsidRDefault="00C44C7D" w:rsidP="00AF5A74">
            <w:pPr>
              <w:jc w:val="right"/>
              <w:rPr>
                <w:rFonts w:asciiTheme="minorHAnsi" w:hAnsiTheme="minorHAnsi" w:cstheme="minorHAnsi"/>
                <w:b/>
                <w:sz w:val="20"/>
                <w:szCs w:val="20"/>
              </w:rPr>
            </w:pPr>
            <w:r w:rsidRPr="006D4208">
              <w:rPr>
                <w:rFonts w:asciiTheme="minorHAnsi" w:hAnsiTheme="minorHAnsi" w:cstheme="minorHAnsi"/>
                <w:b/>
                <w:sz w:val="20"/>
                <w:szCs w:val="20"/>
              </w:rPr>
              <w:t>(</w:t>
            </w:r>
            <w:r w:rsidR="009B435F" w:rsidRPr="006D4208">
              <w:rPr>
                <w:rFonts w:asciiTheme="minorHAnsi" w:hAnsiTheme="minorHAnsi" w:cstheme="minorHAnsi"/>
                <w:b/>
                <w:sz w:val="20"/>
                <w:szCs w:val="20"/>
              </w:rPr>
              <w:t>4.0</w:t>
            </w:r>
            <w:r w:rsidRPr="006D4208">
              <w:rPr>
                <w:rFonts w:asciiTheme="minorHAnsi" w:hAnsiTheme="minorHAnsi" w:cstheme="minorHAnsi"/>
                <w:b/>
                <w:sz w:val="20"/>
                <w:szCs w:val="20"/>
              </w:rPr>
              <w:t>)</w:t>
            </w:r>
          </w:p>
        </w:tc>
        <w:tc>
          <w:tcPr>
            <w:tcW w:w="1041" w:type="dxa"/>
            <w:tcBorders>
              <w:top w:val="single" w:sz="4" w:space="0" w:color="auto"/>
              <w:bottom w:val="single" w:sz="4" w:space="0" w:color="auto"/>
            </w:tcBorders>
            <w:shd w:val="clear" w:color="auto" w:fill="F2F2F2" w:themeFill="background1" w:themeFillShade="F2"/>
          </w:tcPr>
          <w:p w14:paraId="64AE5C92" w14:textId="776276DC" w:rsidR="00C44C7D" w:rsidRPr="006D4208" w:rsidRDefault="00C44C7D" w:rsidP="00AF5A74">
            <w:pPr>
              <w:jc w:val="right"/>
              <w:rPr>
                <w:rFonts w:asciiTheme="minorHAnsi" w:hAnsiTheme="minorHAnsi" w:cstheme="minorHAnsi"/>
                <w:b/>
                <w:sz w:val="20"/>
                <w:szCs w:val="20"/>
              </w:rPr>
            </w:pPr>
            <w:r w:rsidRPr="006D4208">
              <w:rPr>
                <w:rFonts w:asciiTheme="minorHAnsi" w:hAnsiTheme="minorHAnsi" w:cstheme="minorHAnsi"/>
                <w:b/>
                <w:sz w:val="20"/>
                <w:szCs w:val="20"/>
              </w:rPr>
              <w:t>(</w:t>
            </w:r>
            <w:r w:rsidR="009E4A13" w:rsidRPr="006D4208">
              <w:rPr>
                <w:rFonts w:asciiTheme="minorHAnsi" w:hAnsiTheme="minorHAnsi" w:cstheme="minorHAnsi"/>
                <w:b/>
                <w:sz w:val="20"/>
                <w:szCs w:val="20"/>
              </w:rPr>
              <w:t>36.3</w:t>
            </w:r>
            <w:r w:rsidRPr="006D4208">
              <w:rPr>
                <w:rFonts w:asciiTheme="minorHAnsi" w:hAnsiTheme="minorHAnsi" w:cstheme="minorHAnsi"/>
                <w:b/>
                <w:sz w:val="20"/>
                <w:szCs w:val="20"/>
              </w:rPr>
              <w:t>)</w:t>
            </w:r>
          </w:p>
        </w:tc>
        <w:tc>
          <w:tcPr>
            <w:tcW w:w="896" w:type="dxa"/>
            <w:tcBorders>
              <w:top w:val="single" w:sz="4" w:space="0" w:color="auto"/>
              <w:bottom w:val="single" w:sz="4" w:space="0" w:color="auto"/>
            </w:tcBorders>
            <w:shd w:val="clear" w:color="auto" w:fill="F2F2F2" w:themeFill="background1" w:themeFillShade="F2"/>
          </w:tcPr>
          <w:p w14:paraId="10224980" w14:textId="33A540E0" w:rsidR="00C44C7D" w:rsidRPr="006D4208" w:rsidRDefault="00EB60BF" w:rsidP="00AF5A74">
            <w:pPr>
              <w:jc w:val="right"/>
              <w:rPr>
                <w:rFonts w:asciiTheme="minorHAnsi" w:hAnsiTheme="minorHAnsi" w:cstheme="minorHAnsi"/>
                <w:b/>
                <w:sz w:val="20"/>
                <w:szCs w:val="20"/>
              </w:rPr>
            </w:pPr>
            <w:r w:rsidRPr="006D4208">
              <w:rPr>
                <w:rFonts w:asciiTheme="minorHAnsi" w:hAnsiTheme="minorHAnsi" w:cstheme="minorHAnsi"/>
                <w:b/>
                <w:sz w:val="20"/>
                <w:szCs w:val="20"/>
              </w:rPr>
              <w:t>(</w:t>
            </w:r>
            <w:r w:rsidR="00AA6091" w:rsidRPr="006D4208">
              <w:rPr>
                <w:rFonts w:asciiTheme="minorHAnsi" w:hAnsiTheme="minorHAnsi" w:cstheme="minorHAnsi"/>
                <w:b/>
                <w:sz w:val="20"/>
                <w:szCs w:val="20"/>
              </w:rPr>
              <w:t>26.8</w:t>
            </w:r>
            <w:r w:rsidRPr="006D4208">
              <w:rPr>
                <w:rFonts w:asciiTheme="minorHAnsi" w:hAnsiTheme="minorHAnsi" w:cstheme="minorHAnsi"/>
                <w:b/>
                <w:sz w:val="20"/>
                <w:szCs w:val="20"/>
              </w:rPr>
              <w:t>)</w:t>
            </w:r>
          </w:p>
        </w:tc>
      </w:tr>
      <w:tr w:rsidR="00C44C7D" w:rsidRPr="00B87A15" w14:paraId="10CF70F6" w14:textId="77777777" w:rsidTr="58230143">
        <w:tc>
          <w:tcPr>
            <w:tcW w:w="3120" w:type="dxa"/>
          </w:tcPr>
          <w:p w14:paraId="214B4A06" w14:textId="77777777" w:rsidR="00C44C7D" w:rsidRPr="00A36F5C" w:rsidRDefault="00C44C7D" w:rsidP="00AF5A74">
            <w:pPr>
              <w:rPr>
                <w:rFonts w:asciiTheme="minorHAnsi" w:hAnsiTheme="minorHAnsi" w:cstheme="minorHAnsi"/>
                <w:bCs/>
                <w:sz w:val="20"/>
                <w:szCs w:val="20"/>
              </w:rPr>
            </w:pPr>
            <w:r w:rsidRPr="00A36F5C">
              <w:rPr>
                <w:rFonts w:asciiTheme="minorHAnsi" w:hAnsiTheme="minorHAnsi" w:cstheme="minorHAnsi"/>
                <w:bCs/>
                <w:sz w:val="20"/>
                <w:szCs w:val="20"/>
              </w:rPr>
              <w:t>Exceptional items</w:t>
            </w:r>
          </w:p>
        </w:tc>
        <w:tc>
          <w:tcPr>
            <w:tcW w:w="906" w:type="dxa"/>
            <w:tcBorders>
              <w:top w:val="single" w:sz="4" w:space="0" w:color="auto"/>
              <w:bottom w:val="single" w:sz="4" w:space="0" w:color="auto"/>
            </w:tcBorders>
            <w:shd w:val="clear" w:color="auto" w:fill="F2F2F2" w:themeFill="background1" w:themeFillShade="F2"/>
          </w:tcPr>
          <w:p w14:paraId="606383AC" w14:textId="77777777" w:rsidR="00C44C7D" w:rsidRPr="006D4208" w:rsidRDefault="00C44C7D" w:rsidP="00AF5A74">
            <w:pPr>
              <w:jc w:val="right"/>
              <w:rPr>
                <w:rFonts w:asciiTheme="minorHAnsi" w:hAnsiTheme="minorHAnsi" w:cstheme="minorHAnsi"/>
                <w:sz w:val="20"/>
                <w:szCs w:val="20"/>
              </w:rPr>
            </w:pPr>
          </w:p>
        </w:tc>
        <w:tc>
          <w:tcPr>
            <w:tcW w:w="892" w:type="dxa"/>
            <w:tcBorders>
              <w:top w:val="single" w:sz="4" w:space="0" w:color="auto"/>
              <w:bottom w:val="single" w:sz="4" w:space="0" w:color="auto"/>
            </w:tcBorders>
            <w:shd w:val="clear" w:color="auto" w:fill="F2F2F2" w:themeFill="background1" w:themeFillShade="F2"/>
          </w:tcPr>
          <w:p w14:paraId="64BF3FDD" w14:textId="77777777" w:rsidR="00C44C7D" w:rsidRPr="006D4208" w:rsidRDefault="00C44C7D" w:rsidP="00AF5A74">
            <w:pPr>
              <w:jc w:val="right"/>
              <w:rPr>
                <w:rFonts w:asciiTheme="minorHAnsi" w:hAnsiTheme="minorHAnsi" w:cstheme="minorHAnsi"/>
                <w:sz w:val="20"/>
                <w:szCs w:val="20"/>
              </w:rPr>
            </w:pPr>
          </w:p>
        </w:tc>
        <w:tc>
          <w:tcPr>
            <w:tcW w:w="893" w:type="dxa"/>
            <w:tcBorders>
              <w:top w:val="single" w:sz="4" w:space="0" w:color="auto"/>
              <w:bottom w:val="single" w:sz="4" w:space="0" w:color="auto"/>
            </w:tcBorders>
            <w:shd w:val="clear" w:color="auto" w:fill="F2F2F2" w:themeFill="background1" w:themeFillShade="F2"/>
          </w:tcPr>
          <w:p w14:paraId="1801EE15" w14:textId="77777777" w:rsidR="00C44C7D" w:rsidRPr="00D25920" w:rsidRDefault="00C44C7D" w:rsidP="00AF5A74">
            <w:pPr>
              <w:jc w:val="right"/>
              <w:rPr>
                <w:rFonts w:asciiTheme="minorHAnsi" w:hAnsiTheme="minorHAnsi" w:cstheme="minorHAnsi"/>
                <w:b/>
                <w:sz w:val="20"/>
                <w:szCs w:val="20"/>
              </w:rPr>
            </w:pPr>
          </w:p>
        </w:tc>
        <w:tc>
          <w:tcPr>
            <w:tcW w:w="1080" w:type="dxa"/>
            <w:tcBorders>
              <w:top w:val="single" w:sz="4" w:space="0" w:color="auto"/>
              <w:bottom w:val="single" w:sz="4" w:space="0" w:color="auto"/>
            </w:tcBorders>
            <w:shd w:val="clear" w:color="auto" w:fill="F2F2F2" w:themeFill="background1" w:themeFillShade="F2"/>
          </w:tcPr>
          <w:p w14:paraId="1D176B94" w14:textId="77777777" w:rsidR="00C44C7D" w:rsidRPr="00D25920" w:rsidRDefault="00C44C7D" w:rsidP="00AF5A74">
            <w:pPr>
              <w:jc w:val="right"/>
              <w:rPr>
                <w:rFonts w:asciiTheme="minorHAnsi" w:hAnsiTheme="minorHAnsi" w:cstheme="minorHAnsi"/>
                <w:b/>
                <w:sz w:val="20"/>
                <w:szCs w:val="20"/>
              </w:rPr>
            </w:pPr>
          </w:p>
        </w:tc>
        <w:tc>
          <w:tcPr>
            <w:tcW w:w="895" w:type="dxa"/>
            <w:tcBorders>
              <w:top w:val="single" w:sz="4" w:space="0" w:color="auto"/>
              <w:bottom w:val="single" w:sz="4" w:space="0" w:color="auto"/>
            </w:tcBorders>
            <w:shd w:val="clear" w:color="auto" w:fill="F2F2F2" w:themeFill="background1" w:themeFillShade="F2"/>
          </w:tcPr>
          <w:p w14:paraId="2686DF57" w14:textId="77777777" w:rsidR="00C44C7D" w:rsidRPr="00D25920" w:rsidRDefault="00C44C7D" w:rsidP="00AF5A74">
            <w:pPr>
              <w:jc w:val="right"/>
              <w:rPr>
                <w:rFonts w:asciiTheme="minorHAnsi" w:hAnsiTheme="minorHAnsi" w:cstheme="minorHAnsi"/>
                <w:b/>
                <w:sz w:val="20"/>
                <w:szCs w:val="20"/>
              </w:rPr>
            </w:pPr>
          </w:p>
        </w:tc>
        <w:tc>
          <w:tcPr>
            <w:tcW w:w="1041" w:type="dxa"/>
            <w:tcBorders>
              <w:top w:val="single" w:sz="4" w:space="0" w:color="auto"/>
              <w:bottom w:val="single" w:sz="4" w:space="0" w:color="auto"/>
            </w:tcBorders>
            <w:shd w:val="clear" w:color="auto" w:fill="F2F2F2" w:themeFill="background1" w:themeFillShade="F2"/>
          </w:tcPr>
          <w:p w14:paraId="1F32C687" w14:textId="1914CC1B" w:rsidR="00C44C7D" w:rsidRPr="006C5B4F" w:rsidRDefault="00C44C7D" w:rsidP="00AF5A74">
            <w:pPr>
              <w:jc w:val="right"/>
              <w:rPr>
                <w:rFonts w:asciiTheme="minorHAnsi" w:hAnsiTheme="minorHAnsi" w:cstheme="minorHAnsi"/>
                <w:sz w:val="20"/>
                <w:szCs w:val="20"/>
              </w:rPr>
            </w:pPr>
            <w:r w:rsidRPr="006C5B4F">
              <w:rPr>
                <w:rFonts w:asciiTheme="minorHAnsi" w:hAnsiTheme="minorHAnsi" w:cstheme="minorHAnsi"/>
                <w:sz w:val="20"/>
                <w:szCs w:val="20"/>
              </w:rPr>
              <w:t>(</w:t>
            </w:r>
            <w:r w:rsidR="00340062" w:rsidRPr="006C5B4F">
              <w:rPr>
                <w:rFonts w:asciiTheme="minorHAnsi" w:hAnsiTheme="minorHAnsi" w:cstheme="minorHAnsi"/>
                <w:sz w:val="20"/>
                <w:szCs w:val="20"/>
              </w:rPr>
              <w:t>15.5</w:t>
            </w:r>
            <w:r w:rsidRPr="006C5B4F">
              <w:rPr>
                <w:rFonts w:asciiTheme="minorHAnsi" w:hAnsiTheme="minorHAnsi" w:cstheme="minorHAnsi"/>
                <w:sz w:val="20"/>
                <w:szCs w:val="20"/>
              </w:rPr>
              <w:t>)</w:t>
            </w:r>
          </w:p>
        </w:tc>
        <w:tc>
          <w:tcPr>
            <w:tcW w:w="896" w:type="dxa"/>
            <w:tcBorders>
              <w:top w:val="single" w:sz="4" w:space="0" w:color="auto"/>
              <w:bottom w:val="single" w:sz="4" w:space="0" w:color="auto"/>
            </w:tcBorders>
            <w:shd w:val="clear" w:color="auto" w:fill="F2F2F2" w:themeFill="background1" w:themeFillShade="F2"/>
          </w:tcPr>
          <w:p w14:paraId="79F6EC2D" w14:textId="67570225" w:rsidR="00C44C7D" w:rsidRPr="006C5B4F" w:rsidRDefault="00C44C7D" w:rsidP="00AF5A74">
            <w:pPr>
              <w:jc w:val="right"/>
              <w:rPr>
                <w:rFonts w:asciiTheme="minorHAnsi" w:hAnsiTheme="minorHAnsi" w:cstheme="minorHAnsi"/>
                <w:sz w:val="20"/>
                <w:szCs w:val="20"/>
              </w:rPr>
            </w:pPr>
            <w:r w:rsidRPr="006C5B4F">
              <w:rPr>
                <w:rFonts w:asciiTheme="minorHAnsi" w:hAnsiTheme="minorHAnsi" w:cstheme="minorHAnsi"/>
                <w:sz w:val="20"/>
                <w:szCs w:val="20"/>
              </w:rPr>
              <w:t>(</w:t>
            </w:r>
            <w:r w:rsidR="00340062" w:rsidRPr="006C5B4F">
              <w:rPr>
                <w:rFonts w:asciiTheme="minorHAnsi" w:hAnsiTheme="minorHAnsi" w:cstheme="minorHAnsi"/>
                <w:sz w:val="20"/>
                <w:szCs w:val="20"/>
              </w:rPr>
              <w:t>15.5</w:t>
            </w:r>
            <w:r w:rsidRPr="006C5B4F">
              <w:rPr>
                <w:rFonts w:asciiTheme="minorHAnsi" w:hAnsiTheme="minorHAnsi" w:cstheme="minorHAnsi"/>
                <w:sz w:val="20"/>
                <w:szCs w:val="20"/>
              </w:rPr>
              <w:t>)</w:t>
            </w:r>
          </w:p>
        </w:tc>
      </w:tr>
      <w:tr w:rsidR="00C44C7D" w:rsidRPr="00B87A15" w14:paraId="54BA3A5C" w14:textId="77777777" w:rsidTr="58230143">
        <w:tc>
          <w:tcPr>
            <w:tcW w:w="3120" w:type="dxa"/>
          </w:tcPr>
          <w:p w14:paraId="012D5587" w14:textId="77777777" w:rsidR="00C44C7D" w:rsidRPr="00A36F5C" w:rsidRDefault="00C44C7D" w:rsidP="00AF5A74">
            <w:pPr>
              <w:rPr>
                <w:rFonts w:asciiTheme="minorHAnsi" w:hAnsiTheme="minorHAnsi" w:cstheme="minorHAnsi"/>
                <w:bCs/>
                <w:sz w:val="20"/>
                <w:szCs w:val="20"/>
              </w:rPr>
            </w:pPr>
            <w:r w:rsidRPr="00A36F5C">
              <w:rPr>
                <w:rFonts w:asciiTheme="minorHAnsi" w:hAnsiTheme="minorHAnsi" w:cstheme="minorHAnsi"/>
                <w:bCs/>
                <w:sz w:val="20"/>
                <w:szCs w:val="20"/>
              </w:rPr>
              <w:t xml:space="preserve">Amortisation </w:t>
            </w:r>
            <w:r>
              <w:rPr>
                <w:rFonts w:asciiTheme="minorHAnsi" w:hAnsiTheme="minorHAnsi" w:cstheme="minorHAnsi"/>
                <w:bCs/>
                <w:sz w:val="20"/>
                <w:szCs w:val="20"/>
              </w:rPr>
              <w:t>o</w:t>
            </w:r>
            <w:r w:rsidRPr="00A36F5C">
              <w:rPr>
                <w:rFonts w:asciiTheme="minorHAnsi" w:hAnsiTheme="minorHAnsi" w:cstheme="minorHAnsi"/>
                <w:bCs/>
                <w:sz w:val="20"/>
                <w:szCs w:val="20"/>
              </w:rPr>
              <w:t>f acquisition intangibles</w:t>
            </w:r>
          </w:p>
        </w:tc>
        <w:tc>
          <w:tcPr>
            <w:tcW w:w="906" w:type="dxa"/>
            <w:tcBorders>
              <w:top w:val="single" w:sz="4" w:space="0" w:color="auto"/>
              <w:bottom w:val="single" w:sz="4" w:space="0" w:color="auto"/>
            </w:tcBorders>
            <w:shd w:val="clear" w:color="auto" w:fill="F2F2F2" w:themeFill="background1" w:themeFillShade="F2"/>
          </w:tcPr>
          <w:p w14:paraId="4336CC72" w14:textId="77777777" w:rsidR="00C44C7D" w:rsidRPr="006D4208" w:rsidRDefault="00C44C7D" w:rsidP="00AF5A74">
            <w:pPr>
              <w:jc w:val="right"/>
              <w:rPr>
                <w:rFonts w:asciiTheme="minorHAnsi" w:hAnsiTheme="minorHAnsi" w:cstheme="minorHAnsi"/>
                <w:sz w:val="20"/>
                <w:szCs w:val="20"/>
              </w:rPr>
            </w:pPr>
          </w:p>
        </w:tc>
        <w:tc>
          <w:tcPr>
            <w:tcW w:w="892" w:type="dxa"/>
            <w:tcBorders>
              <w:top w:val="single" w:sz="4" w:space="0" w:color="auto"/>
              <w:bottom w:val="single" w:sz="4" w:space="0" w:color="auto"/>
            </w:tcBorders>
            <w:shd w:val="clear" w:color="auto" w:fill="F2F2F2" w:themeFill="background1" w:themeFillShade="F2"/>
          </w:tcPr>
          <w:p w14:paraId="284E184B" w14:textId="77777777" w:rsidR="00C44C7D" w:rsidRPr="006D4208" w:rsidRDefault="00C44C7D" w:rsidP="00AF5A74">
            <w:pPr>
              <w:jc w:val="right"/>
              <w:rPr>
                <w:rFonts w:asciiTheme="minorHAnsi" w:hAnsiTheme="minorHAnsi" w:cstheme="minorHAnsi"/>
                <w:sz w:val="20"/>
                <w:szCs w:val="20"/>
              </w:rPr>
            </w:pPr>
          </w:p>
        </w:tc>
        <w:tc>
          <w:tcPr>
            <w:tcW w:w="893" w:type="dxa"/>
            <w:tcBorders>
              <w:top w:val="single" w:sz="4" w:space="0" w:color="auto"/>
              <w:bottom w:val="single" w:sz="4" w:space="0" w:color="auto"/>
            </w:tcBorders>
            <w:shd w:val="clear" w:color="auto" w:fill="F2F2F2" w:themeFill="background1" w:themeFillShade="F2"/>
          </w:tcPr>
          <w:p w14:paraId="5706C33F" w14:textId="77777777" w:rsidR="00C44C7D" w:rsidRPr="00D25920" w:rsidRDefault="00C44C7D" w:rsidP="00AF5A74">
            <w:pPr>
              <w:jc w:val="right"/>
              <w:rPr>
                <w:rFonts w:asciiTheme="minorHAnsi" w:hAnsiTheme="minorHAnsi" w:cstheme="minorHAnsi"/>
                <w:b/>
                <w:sz w:val="20"/>
                <w:szCs w:val="20"/>
              </w:rPr>
            </w:pPr>
          </w:p>
        </w:tc>
        <w:tc>
          <w:tcPr>
            <w:tcW w:w="1080" w:type="dxa"/>
            <w:tcBorders>
              <w:top w:val="single" w:sz="4" w:space="0" w:color="auto"/>
              <w:bottom w:val="single" w:sz="4" w:space="0" w:color="auto"/>
            </w:tcBorders>
            <w:shd w:val="clear" w:color="auto" w:fill="F2F2F2" w:themeFill="background1" w:themeFillShade="F2"/>
          </w:tcPr>
          <w:p w14:paraId="397D2519" w14:textId="77777777" w:rsidR="00C44C7D" w:rsidRPr="00D25920" w:rsidRDefault="00C44C7D" w:rsidP="00AF5A74">
            <w:pPr>
              <w:jc w:val="right"/>
              <w:rPr>
                <w:rFonts w:asciiTheme="minorHAnsi" w:hAnsiTheme="minorHAnsi" w:cstheme="minorHAnsi"/>
                <w:b/>
                <w:sz w:val="20"/>
                <w:szCs w:val="20"/>
              </w:rPr>
            </w:pPr>
          </w:p>
        </w:tc>
        <w:tc>
          <w:tcPr>
            <w:tcW w:w="895" w:type="dxa"/>
            <w:tcBorders>
              <w:top w:val="single" w:sz="4" w:space="0" w:color="auto"/>
              <w:bottom w:val="single" w:sz="4" w:space="0" w:color="auto"/>
            </w:tcBorders>
            <w:shd w:val="clear" w:color="auto" w:fill="F2F2F2" w:themeFill="background1" w:themeFillShade="F2"/>
          </w:tcPr>
          <w:p w14:paraId="1105086D" w14:textId="77777777" w:rsidR="00C44C7D" w:rsidRPr="00D25920" w:rsidRDefault="00C44C7D" w:rsidP="00AF5A74">
            <w:pPr>
              <w:jc w:val="right"/>
              <w:rPr>
                <w:rFonts w:asciiTheme="minorHAnsi" w:hAnsiTheme="minorHAnsi" w:cstheme="minorHAnsi"/>
                <w:b/>
                <w:sz w:val="20"/>
                <w:szCs w:val="20"/>
              </w:rPr>
            </w:pPr>
          </w:p>
        </w:tc>
        <w:tc>
          <w:tcPr>
            <w:tcW w:w="1041" w:type="dxa"/>
            <w:tcBorders>
              <w:top w:val="single" w:sz="4" w:space="0" w:color="auto"/>
              <w:bottom w:val="single" w:sz="4" w:space="0" w:color="auto"/>
            </w:tcBorders>
            <w:shd w:val="clear" w:color="auto" w:fill="F2F2F2" w:themeFill="background1" w:themeFillShade="F2"/>
          </w:tcPr>
          <w:p w14:paraId="50B04D5B" w14:textId="699D70BD" w:rsidR="00C44C7D" w:rsidRPr="006C5B4F" w:rsidRDefault="00C44C7D" w:rsidP="00AF5A74">
            <w:pPr>
              <w:jc w:val="right"/>
              <w:rPr>
                <w:rFonts w:asciiTheme="minorHAnsi" w:hAnsiTheme="minorHAnsi" w:cstheme="minorHAnsi"/>
                <w:sz w:val="20"/>
                <w:szCs w:val="20"/>
              </w:rPr>
            </w:pPr>
            <w:r w:rsidRPr="006C5B4F">
              <w:rPr>
                <w:rFonts w:asciiTheme="minorHAnsi" w:hAnsiTheme="minorHAnsi" w:cstheme="minorHAnsi"/>
                <w:sz w:val="20"/>
                <w:szCs w:val="20"/>
              </w:rPr>
              <w:t>(</w:t>
            </w:r>
            <w:r w:rsidR="00340062" w:rsidRPr="006C5B4F">
              <w:rPr>
                <w:rFonts w:asciiTheme="minorHAnsi" w:hAnsiTheme="minorHAnsi" w:cstheme="minorHAnsi"/>
                <w:sz w:val="20"/>
                <w:szCs w:val="20"/>
              </w:rPr>
              <w:t>4.2</w:t>
            </w:r>
            <w:r w:rsidRPr="006C5B4F">
              <w:rPr>
                <w:rFonts w:asciiTheme="minorHAnsi" w:hAnsiTheme="minorHAnsi" w:cstheme="minorHAnsi"/>
                <w:sz w:val="20"/>
                <w:szCs w:val="20"/>
              </w:rPr>
              <w:t>)</w:t>
            </w:r>
          </w:p>
        </w:tc>
        <w:tc>
          <w:tcPr>
            <w:tcW w:w="896" w:type="dxa"/>
            <w:tcBorders>
              <w:top w:val="single" w:sz="4" w:space="0" w:color="auto"/>
              <w:bottom w:val="single" w:sz="4" w:space="0" w:color="auto"/>
            </w:tcBorders>
            <w:shd w:val="clear" w:color="auto" w:fill="F2F2F2" w:themeFill="background1" w:themeFillShade="F2"/>
          </w:tcPr>
          <w:p w14:paraId="5B5E88FD" w14:textId="336E939F" w:rsidR="00C44C7D" w:rsidRPr="006C5B4F" w:rsidRDefault="00C44C7D" w:rsidP="00AF5A74">
            <w:pPr>
              <w:jc w:val="right"/>
              <w:rPr>
                <w:rFonts w:asciiTheme="minorHAnsi" w:hAnsiTheme="minorHAnsi" w:cstheme="minorHAnsi"/>
                <w:sz w:val="20"/>
                <w:szCs w:val="20"/>
              </w:rPr>
            </w:pPr>
            <w:r w:rsidRPr="006C5B4F">
              <w:rPr>
                <w:rFonts w:asciiTheme="minorHAnsi" w:hAnsiTheme="minorHAnsi" w:cstheme="minorHAnsi"/>
                <w:sz w:val="20"/>
                <w:szCs w:val="20"/>
              </w:rPr>
              <w:t>(</w:t>
            </w:r>
            <w:r w:rsidR="00340062" w:rsidRPr="006C5B4F">
              <w:rPr>
                <w:rFonts w:asciiTheme="minorHAnsi" w:hAnsiTheme="minorHAnsi" w:cstheme="minorHAnsi"/>
                <w:sz w:val="20"/>
                <w:szCs w:val="20"/>
              </w:rPr>
              <w:t>4.2</w:t>
            </w:r>
            <w:r w:rsidRPr="006C5B4F">
              <w:rPr>
                <w:rFonts w:asciiTheme="minorHAnsi" w:hAnsiTheme="minorHAnsi" w:cstheme="minorHAnsi"/>
                <w:sz w:val="20"/>
                <w:szCs w:val="20"/>
              </w:rPr>
              <w:t>)</w:t>
            </w:r>
          </w:p>
        </w:tc>
      </w:tr>
      <w:tr w:rsidR="00C44C7D" w:rsidRPr="00B87A15" w14:paraId="67CE533E" w14:textId="77777777" w:rsidTr="58230143">
        <w:trPr>
          <w:trHeight w:val="400"/>
        </w:trPr>
        <w:tc>
          <w:tcPr>
            <w:tcW w:w="3120" w:type="dxa"/>
          </w:tcPr>
          <w:p w14:paraId="075DBD35" w14:textId="04E63D4B" w:rsidR="00C44C7D" w:rsidRPr="00A36F5C" w:rsidRDefault="00C44C7D" w:rsidP="00AF5A74">
            <w:pPr>
              <w:autoSpaceDE w:val="0"/>
              <w:autoSpaceDN w:val="0"/>
              <w:adjustRightInd w:val="0"/>
              <w:rPr>
                <w:rFonts w:asciiTheme="minorHAnsi" w:hAnsiTheme="minorHAnsi" w:cstheme="minorHAnsi"/>
                <w:b/>
                <w:sz w:val="20"/>
                <w:szCs w:val="20"/>
              </w:rPr>
            </w:pPr>
            <w:r w:rsidRPr="00A36F5C">
              <w:rPr>
                <w:rFonts w:asciiTheme="minorHAnsi" w:hAnsiTheme="minorHAnsi" w:cstheme="minorHAnsi"/>
                <w:b/>
                <w:sz w:val="20"/>
                <w:szCs w:val="20"/>
              </w:rPr>
              <w:t>Statutory loss before taxation</w:t>
            </w:r>
          </w:p>
        </w:tc>
        <w:tc>
          <w:tcPr>
            <w:tcW w:w="906" w:type="dxa"/>
            <w:tcBorders>
              <w:top w:val="single" w:sz="4" w:space="0" w:color="auto"/>
              <w:bottom w:val="single" w:sz="4" w:space="0" w:color="auto"/>
            </w:tcBorders>
            <w:shd w:val="clear" w:color="auto" w:fill="F2F2F2" w:themeFill="background1" w:themeFillShade="F2"/>
          </w:tcPr>
          <w:p w14:paraId="32304F4E" w14:textId="77777777" w:rsidR="00C44C7D" w:rsidRPr="006D4208" w:rsidRDefault="00C44C7D" w:rsidP="00AF5A74">
            <w:pPr>
              <w:jc w:val="right"/>
              <w:rPr>
                <w:rFonts w:asciiTheme="minorHAnsi" w:hAnsiTheme="minorHAnsi" w:cstheme="minorHAnsi"/>
                <w:b/>
                <w:sz w:val="20"/>
                <w:szCs w:val="20"/>
              </w:rPr>
            </w:pPr>
          </w:p>
        </w:tc>
        <w:tc>
          <w:tcPr>
            <w:tcW w:w="892" w:type="dxa"/>
            <w:tcBorders>
              <w:top w:val="single" w:sz="4" w:space="0" w:color="auto"/>
              <w:bottom w:val="single" w:sz="4" w:space="0" w:color="auto"/>
            </w:tcBorders>
            <w:shd w:val="clear" w:color="auto" w:fill="F2F2F2" w:themeFill="background1" w:themeFillShade="F2"/>
          </w:tcPr>
          <w:p w14:paraId="025F2DE5" w14:textId="77777777" w:rsidR="00C44C7D" w:rsidRPr="006D4208" w:rsidRDefault="00C44C7D" w:rsidP="00AF5A74">
            <w:pPr>
              <w:jc w:val="right"/>
              <w:rPr>
                <w:rFonts w:asciiTheme="minorHAnsi" w:hAnsiTheme="minorHAnsi" w:cstheme="minorHAnsi"/>
                <w:b/>
                <w:sz w:val="20"/>
                <w:szCs w:val="20"/>
              </w:rPr>
            </w:pPr>
          </w:p>
        </w:tc>
        <w:tc>
          <w:tcPr>
            <w:tcW w:w="893" w:type="dxa"/>
            <w:tcBorders>
              <w:top w:val="single" w:sz="4" w:space="0" w:color="auto"/>
              <w:bottom w:val="single" w:sz="4" w:space="0" w:color="auto"/>
            </w:tcBorders>
            <w:shd w:val="clear" w:color="auto" w:fill="F2F2F2" w:themeFill="background1" w:themeFillShade="F2"/>
          </w:tcPr>
          <w:p w14:paraId="18705368" w14:textId="77777777" w:rsidR="00C44C7D" w:rsidRPr="006D4208" w:rsidRDefault="00C44C7D" w:rsidP="00AF5A74">
            <w:pPr>
              <w:jc w:val="right"/>
              <w:rPr>
                <w:rFonts w:asciiTheme="minorHAnsi" w:hAnsiTheme="minorHAnsi" w:cstheme="minorHAnsi"/>
                <w:b/>
                <w:sz w:val="20"/>
                <w:szCs w:val="20"/>
              </w:rPr>
            </w:pPr>
          </w:p>
        </w:tc>
        <w:tc>
          <w:tcPr>
            <w:tcW w:w="1080" w:type="dxa"/>
            <w:tcBorders>
              <w:top w:val="single" w:sz="4" w:space="0" w:color="auto"/>
              <w:bottom w:val="single" w:sz="4" w:space="0" w:color="auto"/>
            </w:tcBorders>
            <w:shd w:val="clear" w:color="auto" w:fill="F2F2F2" w:themeFill="background1" w:themeFillShade="F2"/>
          </w:tcPr>
          <w:p w14:paraId="283C6C84" w14:textId="77777777" w:rsidR="00C44C7D" w:rsidRPr="006D4208" w:rsidRDefault="00C44C7D" w:rsidP="00AF5A74">
            <w:pPr>
              <w:jc w:val="right"/>
              <w:rPr>
                <w:rFonts w:asciiTheme="minorHAnsi" w:hAnsiTheme="minorHAnsi" w:cstheme="minorHAnsi"/>
                <w:b/>
                <w:sz w:val="20"/>
                <w:szCs w:val="20"/>
              </w:rPr>
            </w:pPr>
          </w:p>
        </w:tc>
        <w:tc>
          <w:tcPr>
            <w:tcW w:w="895" w:type="dxa"/>
            <w:tcBorders>
              <w:top w:val="single" w:sz="4" w:space="0" w:color="auto"/>
              <w:bottom w:val="single" w:sz="4" w:space="0" w:color="auto"/>
            </w:tcBorders>
            <w:shd w:val="clear" w:color="auto" w:fill="F2F2F2" w:themeFill="background1" w:themeFillShade="F2"/>
          </w:tcPr>
          <w:p w14:paraId="311BC31E" w14:textId="77777777" w:rsidR="00C44C7D" w:rsidRPr="006D4208" w:rsidRDefault="00C44C7D" w:rsidP="00AF5A74">
            <w:pPr>
              <w:jc w:val="right"/>
              <w:rPr>
                <w:rFonts w:asciiTheme="minorHAnsi" w:hAnsiTheme="minorHAnsi" w:cstheme="minorHAnsi"/>
                <w:b/>
                <w:sz w:val="20"/>
                <w:szCs w:val="20"/>
              </w:rPr>
            </w:pPr>
          </w:p>
        </w:tc>
        <w:tc>
          <w:tcPr>
            <w:tcW w:w="1041" w:type="dxa"/>
            <w:tcBorders>
              <w:top w:val="single" w:sz="4" w:space="0" w:color="auto"/>
              <w:bottom w:val="single" w:sz="4" w:space="0" w:color="auto"/>
            </w:tcBorders>
            <w:shd w:val="clear" w:color="auto" w:fill="F2F2F2" w:themeFill="background1" w:themeFillShade="F2"/>
          </w:tcPr>
          <w:p w14:paraId="0EFE4F30" w14:textId="6E9822FE" w:rsidR="00C44C7D" w:rsidRPr="006D4208" w:rsidRDefault="00C44C7D" w:rsidP="00AF5A74">
            <w:pPr>
              <w:jc w:val="right"/>
              <w:rPr>
                <w:rFonts w:asciiTheme="minorHAnsi" w:hAnsiTheme="minorHAnsi" w:cstheme="minorHAnsi"/>
                <w:b/>
                <w:sz w:val="20"/>
                <w:szCs w:val="20"/>
              </w:rPr>
            </w:pPr>
            <w:r w:rsidRPr="006D4208">
              <w:rPr>
                <w:rFonts w:asciiTheme="minorHAnsi" w:hAnsiTheme="minorHAnsi" w:cstheme="minorHAnsi"/>
                <w:b/>
                <w:sz w:val="20"/>
                <w:szCs w:val="20"/>
              </w:rPr>
              <w:t>(</w:t>
            </w:r>
            <w:r w:rsidR="00665190" w:rsidRPr="006D4208">
              <w:rPr>
                <w:rFonts w:asciiTheme="minorHAnsi" w:hAnsiTheme="minorHAnsi" w:cstheme="minorHAnsi"/>
                <w:b/>
                <w:sz w:val="20"/>
                <w:szCs w:val="20"/>
              </w:rPr>
              <w:t>56.0</w:t>
            </w:r>
            <w:r w:rsidRPr="006D4208">
              <w:rPr>
                <w:rFonts w:asciiTheme="minorHAnsi" w:hAnsiTheme="minorHAnsi" w:cstheme="minorHAnsi"/>
                <w:b/>
                <w:sz w:val="20"/>
                <w:szCs w:val="20"/>
              </w:rPr>
              <w:t>)</w:t>
            </w:r>
          </w:p>
        </w:tc>
        <w:tc>
          <w:tcPr>
            <w:tcW w:w="896" w:type="dxa"/>
            <w:tcBorders>
              <w:top w:val="single" w:sz="4" w:space="0" w:color="auto"/>
              <w:bottom w:val="single" w:sz="4" w:space="0" w:color="auto"/>
            </w:tcBorders>
            <w:shd w:val="clear" w:color="auto" w:fill="F2F2F2" w:themeFill="background1" w:themeFillShade="F2"/>
          </w:tcPr>
          <w:p w14:paraId="5D858F10" w14:textId="5235E220" w:rsidR="00C44C7D" w:rsidRPr="006D4208" w:rsidRDefault="00C44C7D" w:rsidP="00AF5A74">
            <w:pPr>
              <w:jc w:val="right"/>
              <w:rPr>
                <w:rFonts w:asciiTheme="minorHAnsi" w:hAnsiTheme="minorHAnsi" w:cstheme="minorHAnsi"/>
                <w:b/>
                <w:sz w:val="20"/>
                <w:szCs w:val="20"/>
              </w:rPr>
            </w:pPr>
            <w:r w:rsidRPr="006D4208">
              <w:rPr>
                <w:rFonts w:asciiTheme="minorHAnsi" w:hAnsiTheme="minorHAnsi" w:cstheme="minorHAnsi"/>
                <w:b/>
                <w:sz w:val="20"/>
                <w:szCs w:val="20"/>
              </w:rPr>
              <w:t>(</w:t>
            </w:r>
            <w:r w:rsidR="0094028F" w:rsidRPr="006D4208">
              <w:rPr>
                <w:rFonts w:asciiTheme="minorHAnsi" w:hAnsiTheme="minorHAnsi" w:cstheme="minorHAnsi"/>
                <w:b/>
                <w:sz w:val="20"/>
                <w:szCs w:val="20"/>
              </w:rPr>
              <w:t>46.5</w:t>
            </w:r>
            <w:r w:rsidRPr="006D4208">
              <w:rPr>
                <w:rFonts w:asciiTheme="minorHAnsi" w:hAnsiTheme="minorHAnsi" w:cstheme="minorHAnsi"/>
                <w:b/>
                <w:sz w:val="20"/>
                <w:szCs w:val="20"/>
              </w:rPr>
              <w:t>)</w:t>
            </w:r>
          </w:p>
        </w:tc>
      </w:tr>
      <w:tr w:rsidR="00C44C7D" w:rsidRPr="00B87A15" w14:paraId="27545DD4" w14:textId="77777777" w:rsidTr="58230143">
        <w:trPr>
          <w:trHeight w:val="335"/>
        </w:trPr>
        <w:tc>
          <w:tcPr>
            <w:tcW w:w="3120" w:type="dxa"/>
          </w:tcPr>
          <w:p w14:paraId="715C6A15" w14:textId="6402A3B7" w:rsidR="00C44C7D" w:rsidRPr="00A36F5C" w:rsidRDefault="00C44C7D" w:rsidP="00AF5A74">
            <w:pPr>
              <w:tabs>
                <w:tab w:val="left" w:pos="720"/>
              </w:tabs>
              <w:rPr>
                <w:rFonts w:asciiTheme="minorHAnsi" w:hAnsiTheme="minorHAnsi" w:cstheme="minorHAnsi"/>
                <w:bCs/>
                <w:sz w:val="20"/>
                <w:szCs w:val="20"/>
              </w:rPr>
            </w:pPr>
            <w:r w:rsidRPr="00A36F5C">
              <w:rPr>
                <w:rFonts w:asciiTheme="minorHAnsi" w:hAnsiTheme="minorHAnsi" w:cstheme="minorHAnsi"/>
                <w:bCs/>
                <w:sz w:val="20"/>
                <w:szCs w:val="20"/>
              </w:rPr>
              <w:t>Tax c</w:t>
            </w:r>
            <w:r w:rsidR="00833CD3">
              <w:rPr>
                <w:rFonts w:asciiTheme="minorHAnsi" w:hAnsiTheme="minorHAnsi" w:cstheme="minorHAnsi"/>
                <w:bCs/>
                <w:sz w:val="20"/>
                <w:szCs w:val="20"/>
              </w:rPr>
              <w:t>redit</w:t>
            </w:r>
          </w:p>
        </w:tc>
        <w:tc>
          <w:tcPr>
            <w:tcW w:w="906" w:type="dxa"/>
            <w:tcBorders>
              <w:top w:val="single" w:sz="4" w:space="0" w:color="auto"/>
              <w:bottom w:val="single" w:sz="4" w:space="0" w:color="auto"/>
            </w:tcBorders>
            <w:shd w:val="clear" w:color="auto" w:fill="F2F2F2" w:themeFill="background1" w:themeFillShade="F2"/>
          </w:tcPr>
          <w:p w14:paraId="015E8B70" w14:textId="77777777" w:rsidR="00C44C7D" w:rsidRPr="006D4208" w:rsidRDefault="00C44C7D" w:rsidP="00AF5A74">
            <w:pPr>
              <w:jc w:val="right"/>
              <w:rPr>
                <w:rFonts w:asciiTheme="minorHAnsi" w:hAnsiTheme="minorHAnsi" w:cstheme="minorHAnsi"/>
                <w:sz w:val="20"/>
                <w:szCs w:val="20"/>
              </w:rPr>
            </w:pPr>
          </w:p>
        </w:tc>
        <w:tc>
          <w:tcPr>
            <w:tcW w:w="892" w:type="dxa"/>
            <w:tcBorders>
              <w:top w:val="single" w:sz="4" w:space="0" w:color="auto"/>
              <w:bottom w:val="single" w:sz="4" w:space="0" w:color="auto"/>
            </w:tcBorders>
            <w:shd w:val="clear" w:color="auto" w:fill="F2F2F2" w:themeFill="background1" w:themeFillShade="F2"/>
          </w:tcPr>
          <w:p w14:paraId="2317F911" w14:textId="77777777" w:rsidR="00C44C7D" w:rsidRPr="006D4208" w:rsidRDefault="00C44C7D" w:rsidP="00AF5A74">
            <w:pPr>
              <w:jc w:val="right"/>
              <w:rPr>
                <w:rFonts w:asciiTheme="minorHAnsi" w:hAnsiTheme="minorHAnsi" w:cstheme="minorHAnsi"/>
                <w:sz w:val="20"/>
                <w:szCs w:val="20"/>
              </w:rPr>
            </w:pPr>
          </w:p>
        </w:tc>
        <w:tc>
          <w:tcPr>
            <w:tcW w:w="893" w:type="dxa"/>
            <w:tcBorders>
              <w:top w:val="single" w:sz="4" w:space="0" w:color="auto"/>
              <w:bottom w:val="single" w:sz="4" w:space="0" w:color="auto"/>
            </w:tcBorders>
            <w:shd w:val="clear" w:color="auto" w:fill="F2F2F2" w:themeFill="background1" w:themeFillShade="F2"/>
          </w:tcPr>
          <w:p w14:paraId="69BACF8D" w14:textId="77777777" w:rsidR="00C44C7D" w:rsidRPr="00D25920" w:rsidRDefault="00C44C7D" w:rsidP="00AF5A74">
            <w:pPr>
              <w:jc w:val="right"/>
              <w:rPr>
                <w:rFonts w:asciiTheme="minorHAnsi" w:hAnsiTheme="minorHAnsi" w:cstheme="minorHAnsi"/>
                <w:b/>
                <w:sz w:val="20"/>
                <w:szCs w:val="20"/>
              </w:rPr>
            </w:pPr>
          </w:p>
        </w:tc>
        <w:tc>
          <w:tcPr>
            <w:tcW w:w="1080" w:type="dxa"/>
            <w:tcBorders>
              <w:top w:val="single" w:sz="4" w:space="0" w:color="auto"/>
              <w:bottom w:val="single" w:sz="4" w:space="0" w:color="auto"/>
            </w:tcBorders>
            <w:shd w:val="clear" w:color="auto" w:fill="F2F2F2" w:themeFill="background1" w:themeFillShade="F2"/>
          </w:tcPr>
          <w:p w14:paraId="3EB9396A" w14:textId="77777777" w:rsidR="00C44C7D" w:rsidRPr="00D25920" w:rsidRDefault="00C44C7D" w:rsidP="00AF5A74">
            <w:pPr>
              <w:jc w:val="right"/>
              <w:rPr>
                <w:rFonts w:asciiTheme="minorHAnsi" w:hAnsiTheme="minorHAnsi" w:cstheme="minorHAnsi"/>
                <w:b/>
                <w:sz w:val="20"/>
                <w:szCs w:val="20"/>
              </w:rPr>
            </w:pPr>
          </w:p>
        </w:tc>
        <w:tc>
          <w:tcPr>
            <w:tcW w:w="895" w:type="dxa"/>
            <w:tcBorders>
              <w:top w:val="single" w:sz="4" w:space="0" w:color="auto"/>
              <w:bottom w:val="single" w:sz="4" w:space="0" w:color="auto"/>
            </w:tcBorders>
            <w:shd w:val="clear" w:color="auto" w:fill="F2F2F2" w:themeFill="background1" w:themeFillShade="F2"/>
          </w:tcPr>
          <w:p w14:paraId="62DC69ED" w14:textId="77777777" w:rsidR="00C44C7D" w:rsidRPr="00D25920" w:rsidRDefault="00C44C7D" w:rsidP="00AF5A74">
            <w:pPr>
              <w:jc w:val="right"/>
              <w:rPr>
                <w:rFonts w:asciiTheme="minorHAnsi" w:hAnsiTheme="minorHAnsi" w:cstheme="minorHAnsi"/>
                <w:b/>
                <w:sz w:val="20"/>
                <w:szCs w:val="20"/>
              </w:rPr>
            </w:pPr>
          </w:p>
        </w:tc>
        <w:tc>
          <w:tcPr>
            <w:tcW w:w="1041" w:type="dxa"/>
            <w:tcBorders>
              <w:top w:val="single" w:sz="4" w:space="0" w:color="auto"/>
              <w:bottom w:val="single" w:sz="4" w:space="0" w:color="auto"/>
            </w:tcBorders>
            <w:shd w:val="clear" w:color="auto" w:fill="F2F2F2" w:themeFill="background1" w:themeFillShade="F2"/>
          </w:tcPr>
          <w:p w14:paraId="3CD8A1CF" w14:textId="77777777" w:rsidR="00C44C7D" w:rsidRPr="00D25920" w:rsidRDefault="00C44C7D" w:rsidP="00AF5A74">
            <w:pPr>
              <w:jc w:val="right"/>
              <w:rPr>
                <w:rFonts w:asciiTheme="minorHAnsi" w:hAnsiTheme="minorHAnsi" w:cstheme="minorHAnsi"/>
                <w:b/>
                <w:sz w:val="20"/>
                <w:szCs w:val="20"/>
              </w:rPr>
            </w:pPr>
          </w:p>
        </w:tc>
        <w:tc>
          <w:tcPr>
            <w:tcW w:w="896" w:type="dxa"/>
            <w:tcBorders>
              <w:top w:val="single" w:sz="4" w:space="0" w:color="auto"/>
              <w:bottom w:val="single" w:sz="4" w:space="0" w:color="auto"/>
            </w:tcBorders>
            <w:shd w:val="clear" w:color="auto" w:fill="F2F2F2" w:themeFill="background1" w:themeFillShade="F2"/>
          </w:tcPr>
          <w:p w14:paraId="4EE0F644" w14:textId="1D6F07AD" w:rsidR="00C44C7D" w:rsidRPr="006C5B4F" w:rsidRDefault="00363412" w:rsidP="00AF5A74">
            <w:pPr>
              <w:jc w:val="right"/>
              <w:rPr>
                <w:rFonts w:asciiTheme="minorHAnsi" w:hAnsiTheme="minorHAnsi" w:cstheme="minorHAnsi"/>
                <w:sz w:val="20"/>
                <w:szCs w:val="20"/>
              </w:rPr>
            </w:pPr>
            <w:r w:rsidRPr="006C5B4F">
              <w:rPr>
                <w:rFonts w:asciiTheme="minorHAnsi" w:hAnsiTheme="minorHAnsi" w:cstheme="minorHAnsi"/>
                <w:sz w:val="20"/>
                <w:szCs w:val="20"/>
              </w:rPr>
              <w:t>10.7</w:t>
            </w:r>
          </w:p>
        </w:tc>
      </w:tr>
      <w:tr w:rsidR="00C44C7D" w:rsidRPr="00B87A15" w14:paraId="307EC8CB" w14:textId="77777777" w:rsidTr="58230143">
        <w:tc>
          <w:tcPr>
            <w:tcW w:w="3120" w:type="dxa"/>
          </w:tcPr>
          <w:p w14:paraId="59B32784" w14:textId="77777777" w:rsidR="00C44C7D" w:rsidRPr="00A36F5C" w:rsidRDefault="00C44C7D" w:rsidP="00AF5A74">
            <w:pPr>
              <w:autoSpaceDE w:val="0"/>
              <w:autoSpaceDN w:val="0"/>
              <w:adjustRightInd w:val="0"/>
              <w:rPr>
                <w:rFonts w:asciiTheme="minorHAnsi" w:hAnsiTheme="minorHAnsi" w:cstheme="minorHAnsi"/>
                <w:b/>
                <w:sz w:val="20"/>
                <w:szCs w:val="20"/>
              </w:rPr>
            </w:pPr>
            <w:r w:rsidRPr="00A36F5C">
              <w:rPr>
                <w:rFonts w:asciiTheme="minorHAnsi" w:hAnsiTheme="minorHAnsi" w:cstheme="minorHAnsi"/>
                <w:b/>
                <w:sz w:val="20"/>
                <w:szCs w:val="20"/>
              </w:rPr>
              <w:t>Statutory loss for the year attributable to equity shareholders</w:t>
            </w:r>
          </w:p>
        </w:tc>
        <w:tc>
          <w:tcPr>
            <w:tcW w:w="906" w:type="dxa"/>
            <w:tcBorders>
              <w:top w:val="single" w:sz="4" w:space="0" w:color="auto"/>
              <w:bottom w:val="single" w:sz="12" w:space="0" w:color="auto"/>
            </w:tcBorders>
            <w:shd w:val="clear" w:color="auto" w:fill="F2F2F2" w:themeFill="background1" w:themeFillShade="F2"/>
          </w:tcPr>
          <w:p w14:paraId="48FFE4FE" w14:textId="77777777" w:rsidR="00C44C7D" w:rsidRPr="006D4208" w:rsidRDefault="00C44C7D" w:rsidP="00AF5A74">
            <w:pPr>
              <w:jc w:val="right"/>
              <w:rPr>
                <w:rFonts w:asciiTheme="minorHAnsi" w:hAnsiTheme="minorHAnsi" w:cs="Arial"/>
                <w:sz w:val="20"/>
                <w:szCs w:val="20"/>
              </w:rPr>
            </w:pPr>
          </w:p>
        </w:tc>
        <w:tc>
          <w:tcPr>
            <w:tcW w:w="892" w:type="dxa"/>
            <w:tcBorders>
              <w:top w:val="single" w:sz="4" w:space="0" w:color="auto"/>
              <w:bottom w:val="single" w:sz="12" w:space="0" w:color="auto"/>
            </w:tcBorders>
            <w:shd w:val="clear" w:color="auto" w:fill="F2F2F2" w:themeFill="background1" w:themeFillShade="F2"/>
          </w:tcPr>
          <w:p w14:paraId="1C00CFA6" w14:textId="77777777" w:rsidR="00C44C7D" w:rsidRPr="006D4208" w:rsidRDefault="00C44C7D" w:rsidP="00AF5A74">
            <w:pPr>
              <w:jc w:val="right"/>
              <w:rPr>
                <w:rFonts w:asciiTheme="minorHAnsi" w:hAnsiTheme="minorHAnsi" w:cs="Arial"/>
                <w:sz w:val="20"/>
                <w:szCs w:val="20"/>
              </w:rPr>
            </w:pPr>
          </w:p>
        </w:tc>
        <w:tc>
          <w:tcPr>
            <w:tcW w:w="893" w:type="dxa"/>
            <w:tcBorders>
              <w:top w:val="single" w:sz="4" w:space="0" w:color="auto"/>
              <w:bottom w:val="single" w:sz="12" w:space="0" w:color="auto"/>
            </w:tcBorders>
            <w:shd w:val="clear" w:color="auto" w:fill="F2F2F2" w:themeFill="background1" w:themeFillShade="F2"/>
          </w:tcPr>
          <w:p w14:paraId="662AD1F1" w14:textId="77777777" w:rsidR="00C44C7D" w:rsidRPr="00D25920" w:rsidRDefault="00C44C7D" w:rsidP="00AF5A74">
            <w:pPr>
              <w:jc w:val="right"/>
              <w:rPr>
                <w:rFonts w:asciiTheme="minorHAnsi" w:hAnsiTheme="minorHAnsi" w:cs="Arial"/>
                <w:b/>
                <w:sz w:val="20"/>
                <w:szCs w:val="20"/>
              </w:rPr>
            </w:pPr>
          </w:p>
        </w:tc>
        <w:tc>
          <w:tcPr>
            <w:tcW w:w="1080" w:type="dxa"/>
            <w:tcBorders>
              <w:top w:val="single" w:sz="4" w:space="0" w:color="auto"/>
              <w:bottom w:val="single" w:sz="12" w:space="0" w:color="auto"/>
            </w:tcBorders>
            <w:shd w:val="clear" w:color="auto" w:fill="F2F2F2" w:themeFill="background1" w:themeFillShade="F2"/>
          </w:tcPr>
          <w:p w14:paraId="13C50510" w14:textId="77777777" w:rsidR="00C44C7D" w:rsidRPr="00D25920" w:rsidRDefault="00C44C7D" w:rsidP="00AF5A74">
            <w:pPr>
              <w:jc w:val="right"/>
              <w:rPr>
                <w:rFonts w:asciiTheme="minorHAnsi" w:hAnsiTheme="minorHAnsi" w:cs="Arial"/>
                <w:b/>
                <w:sz w:val="20"/>
                <w:szCs w:val="20"/>
              </w:rPr>
            </w:pPr>
          </w:p>
        </w:tc>
        <w:tc>
          <w:tcPr>
            <w:tcW w:w="895" w:type="dxa"/>
            <w:tcBorders>
              <w:top w:val="single" w:sz="4" w:space="0" w:color="auto"/>
              <w:bottom w:val="single" w:sz="12" w:space="0" w:color="auto"/>
            </w:tcBorders>
            <w:shd w:val="clear" w:color="auto" w:fill="F2F2F2" w:themeFill="background1" w:themeFillShade="F2"/>
          </w:tcPr>
          <w:p w14:paraId="085FE99E" w14:textId="77777777" w:rsidR="00C44C7D" w:rsidRPr="00D25920" w:rsidRDefault="00C44C7D" w:rsidP="00AF5A74">
            <w:pPr>
              <w:jc w:val="right"/>
              <w:rPr>
                <w:rFonts w:asciiTheme="minorHAnsi" w:hAnsiTheme="minorHAnsi" w:cs="Arial"/>
                <w:b/>
                <w:sz w:val="20"/>
                <w:szCs w:val="20"/>
              </w:rPr>
            </w:pPr>
          </w:p>
        </w:tc>
        <w:tc>
          <w:tcPr>
            <w:tcW w:w="1041" w:type="dxa"/>
            <w:tcBorders>
              <w:top w:val="single" w:sz="4" w:space="0" w:color="auto"/>
              <w:bottom w:val="single" w:sz="12" w:space="0" w:color="auto"/>
            </w:tcBorders>
            <w:shd w:val="clear" w:color="auto" w:fill="F2F2F2" w:themeFill="background1" w:themeFillShade="F2"/>
          </w:tcPr>
          <w:p w14:paraId="62920BB8" w14:textId="77777777" w:rsidR="00C44C7D" w:rsidRPr="00D25920" w:rsidRDefault="00C44C7D" w:rsidP="00AF5A74">
            <w:pPr>
              <w:jc w:val="right"/>
              <w:rPr>
                <w:rFonts w:asciiTheme="minorHAnsi" w:hAnsiTheme="minorHAnsi" w:cs="Arial"/>
                <w:b/>
                <w:sz w:val="20"/>
                <w:szCs w:val="20"/>
              </w:rPr>
            </w:pPr>
          </w:p>
        </w:tc>
        <w:tc>
          <w:tcPr>
            <w:tcW w:w="896" w:type="dxa"/>
            <w:tcBorders>
              <w:top w:val="single" w:sz="4" w:space="0" w:color="auto"/>
              <w:bottom w:val="single" w:sz="12" w:space="0" w:color="auto"/>
            </w:tcBorders>
            <w:shd w:val="clear" w:color="auto" w:fill="F2F2F2" w:themeFill="background1" w:themeFillShade="F2"/>
          </w:tcPr>
          <w:p w14:paraId="6465CD38" w14:textId="4A3A50DA" w:rsidR="00C44C7D" w:rsidRPr="006D4208" w:rsidRDefault="00C44C7D" w:rsidP="00AF5A74">
            <w:pPr>
              <w:jc w:val="right"/>
              <w:rPr>
                <w:rFonts w:asciiTheme="minorHAnsi" w:hAnsiTheme="minorHAnsi" w:cs="Arial"/>
                <w:b/>
                <w:sz w:val="20"/>
                <w:szCs w:val="20"/>
              </w:rPr>
            </w:pPr>
            <w:r w:rsidRPr="006D4208">
              <w:rPr>
                <w:rFonts w:asciiTheme="minorHAnsi" w:hAnsiTheme="minorHAnsi" w:cs="Arial"/>
                <w:b/>
                <w:sz w:val="20"/>
                <w:szCs w:val="20"/>
              </w:rPr>
              <w:t>(</w:t>
            </w:r>
            <w:r w:rsidR="00270BB0" w:rsidRPr="006D4208">
              <w:rPr>
                <w:rFonts w:asciiTheme="minorHAnsi" w:hAnsiTheme="minorHAnsi" w:cs="Arial"/>
                <w:b/>
                <w:sz w:val="20"/>
                <w:szCs w:val="20"/>
              </w:rPr>
              <w:t>35.8</w:t>
            </w:r>
            <w:r w:rsidRPr="006D4208">
              <w:rPr>
                <w:rFonts w:asciiTheme="minorHAnsi" w:hAnsiTheme="minorHAnsi" w:cs="Arial"/>
                <w:b/>
                <w:sz w:val="20"/>
                <w:szCs w:val="20"/>
              </w:rPr>
              <w:t>)</w:t>
            </w:r>
          </w:p>
        </w:tc>
      </w:tr>
    </w:tbl>
    <w:p w14:paraId="7C618A6A" w14:textId="3194DA53" w:rsidR="3441915A" w:rsidRDefault="3441915A" w:rsidP="3441915A">
      <w:pPr>
        <w:rPr>
          <w:rFonts w:asciiTheme="minorHAnsi" w:hAnsiTheme="minorHAnsi" w:cs="Arial"/>
          <w:b/>
          <w:bCs/>
          <w:color w:val="4747FF"/>
          <w:sz w:val="22"/>
          <w:szCs w:val="22"/>
        </w:rPr>
      </w:pPr>
    </w:p>
    <w:p w14:paraId="7F92FCDE" w14:textId="6CECD66E" w:rsidR="36B7F6C5" w:rsidRDefault="36B7F6C5" w:rsidP="36B7F6C5">
      <w:pPr>
        <w:rPr>
          <w:rFonts w:asciiTheme="minorHAnsi" w:hAnsiTheme="minorHAnsi" w:cs="Arial"/>
          <w:b/>
          <w:bCs/>
          <w:color w:val="4747FF"/>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892"/>
        <w:gridCol w:w="892"/>
        <w:gridCol w:w="893"/>
        <w:gridCol w:w="1080"/>
        <w:gridCol w:w="895"/>
        <w:gridCol w:w="1041"/>
        <w:gridCol w:w="896"/>
      </w:tblGrid>
      <w:tr w:rsidR="002D4B17" w:rsidRPr="00B87A15" w14:paraId="5702D658" w14:textId="77777777" w:rsidTr="002D4B17">
        <w:tc>
          <w:tcPr>
            <w:tcW w:w="1612" w:type="pct"/>
          </w:tcPr>
          <w:p w14:paraId="3D481E1A" w14:textId="77777777" w:rsidR="002D4B17" w:rsidRPr="00A36F5C" w:rsidRDefault="002D4B17" w:rsidP="00AF5A74">
            <w:pPr>
              <w:rPr>
                <w:rFonts w:asciiTheme="minorHAnsi" w:hAnsiTheme="minorHAnsi" w:cstheme="minorHAnsi"/>
                <w:bCs/>
                <w:sz w:val="20"/>
                <w:szCs w:val="20"/>
              </w:rPr>
            </w:pPr>
          </w:p>
        </w:tc>
        <w:tc>
          <w:tcPr>
            <w:tcW w:w="3388" w:type="pct"/>
            <w:gridSpan w:val="7"/>
            <w:shd w:val="clear" w:color="auto" w:fill="auto"/>
          </w:tcPr>
          <w:p w14:paraId="468AD464" w14:textId="3658BEB9" w:rsidR="002D4B17" w:rsidRPr="00B87A15" w:rsidRDefault="002D4B17" w:rsidP="002D4B17">
            <w:pPr>
              <w:jc w:val="center"/>
              <w:rPr>
                <w:rFonts w:asciiTheme="minorHAnsi" w:hAnsiTheme="minorHAnsi" w:cstheme="minorHAnsi"/>
                <w:bCs/>
                <w:sz w:val="20"/>
                <w:szCs w:val="20"/>
              </w:rPr>
            </w:pPr>
            <w:r>
              <w:rPr>
                <w:rFonts w:asciiTheme="minorHAnsi" w:hAnsiTheme="minorHAnsi" w:cstheme="minorHAnsi"/>
                <w:bCs/>
                <w:sz w:val="20"/>
                <w:szCs w:val="20"/>
              </w:rPr>
              <w:t>Six months ended 30 June 2023</w:t>
            </w:r>
            <w:r w:rsidR="00E611BD">
              <w:rPr>
                <w:rFonts w:asciiTheme="minorHAnsi" w:hAnsiTheme="minorHAnsi" w:cstheme="minorHAnsi"/>
                <w:bCs/>
                <w:sz w:val="20"/>
                <w:szCs w:val="20"/>
              </w:rPr>
              <w:t xml:space="preserve"> (restated)</w:t>
            </w:r>
            <w:r w:rsidR="00B1040B" w:rsidRPr="00B1040B">
              <w:rPr>
                <w:rFonts w:asciiTheme="minorHAnsi" w:hAnsiTheme="minorHAnsi" w:cstheme="minorHAnsi"/>
                <w:bCs/>
                <w:sz w:val="20"/>
                <w:szCs w:val="20"/>
                <w:vertAlign w:val="superscript"/>
              </w:rPr>
              <w:t>1</w:t>
            </w:r>
          </w:p>
        </w:tc>
      </w:tr>
      <w:tr w:rsidR="001E02A1" w:rsidRPr="00B87A15" w14:paraId="6AE5F181" w14:textId="77777777" w:rsidTr="00310EA9">
        <w:tc>
          <w:tcPr>
            <w:tcW w:w="1612" w:type="pct"/>
          </w:tcPr>
          <w:p w14:paraId="04AC1AA5" w14:textId="77777777" w:rsidR="001E02A1" w:rsidRPr="00A36F5C" w:rsidRDefault="001E02A1" w:rsidP="00AF5A74">
            <w:pPr>
              <w:rPr>
                <w:rFonts w:asciiTheme="minorHAnsi" w:hAnsiTheme="minorHAnsi" w:cstheme="minorHAnsi"/>
                <w:bCs/>
                <w:sz w:val="20"/>
                <w:szCs w:val="20"/>
              </w:rPr>
            </w:pPr>
          </w:p>
        </w:tc>
        <w:tc>
          <w:tcPr>
            <w:tcW w:w="459" w:type="pct"/>
            <w:shd w:val="clear" w:color="auto" w:fill="auto"/>
          </w:tcPr>
          <w:p w14:paraId="5986D91F" w14:textId="77777777" w:rsidR="001E02A1" w:rsidRPr="00A36F5C" w:rsidRDefault="001E02A1" w:rsidP="00AF5A74">
            <w:pPr>
              <w:jc w:val="right"/>
              <w:rPr>
                <w:rFonts w:asciiTheme="minorHAnsi" w:hAnsiTheme="minorHAnsi" w:cstheme="minorHAnsi"/>
                <w:bCs/>
                <w:sz w:val="20"/>
                <w:szCs w:val="20"/>
              </w:rPr>
            </w:pPr>
          </w:p>
          <w:p w14:paraId="25446869" w14:textId="77777777" w:rsidR="001E02A1" w:rsidRPr="00A36F5C" w:rsidRDefault="001E02A1" w:rsidP="00AF5A74">
            <w:pPr>
              <w:jc w:val="right"/>
              <w:rPr>
                <w:rFonts w:asciiTheme="minorHAnsi" w:hAnsiTheme="minorHAnsi" w:cstheme="minorHAnsi"/>
                <w:bCs/>
                <w:sz w:val="20"/>
                <w:szCs w:val="20"/>
              </w:rPr>
            </w:pPr>
          </w:p>
          <w:p w14:paraId="4C663812" w14:textId="77777777" w:rsidR="001E02A1" w:rsidRPr="00A36F5C" w:rsidRDefault="001E02A1" w:rsidP="00AF5A74">
            <w:pPr>
              <w:jc w:val="right"/>
              <w:rPr>
                <w:rFonts w:asciiTheme="minorHAnsi" w:hAnsiTheme="minorHAnsi" w:cstheme="minorHAnsi"/>
                <w:bCs/>
                <w:sz w:val="20"/>
                <w:szCs w:val="20"/>
              </w:rPr>
            </w:pPr>
            <w:r w:rsidRPr="00A36F5C">
              <w:rPr>
                <w:rFonts w:asciiTheme="minorHAnsi" w:hAnsiTheme="minorHAnsi" w:cstheme="minorHAnsi"/>
                <w:bCs/>
                <w:sz w:val="20"/>
                <w:szCs w:val="20"/>
              </w:rPr>
              <w:t>Cards</w:t>
            </w:r>
          </w:p>
        </w:tc>
        <w:tc>
          <w:tcPr>
            <w:tcW w:w="459" w:type="pct"/>
            <w:shd w:val="clear" w:color="auto" w:fill="auto"/>
          </w:tcPr>
          <w:p w14:paraId="0881DFA9" w14:textId="77777777" w:rsidR="001E02A1" w:rsidRPr="00A36F5C" w:rsidRDefault="001E02A1" w:rsidP="00AF5A74">
            <w:pPr>
              <w:jc w:val="right"/>
              <w:rPr>
                <w:rFonts w:asciiTheme="minorHAnsi" w:hAnsiTheme="minorHAnsi" w:cstheme="minorHAnsi"/>
                <w:bCs/>
                <w:sz w:val="20"/>
                <w:szCs w:val="20"/>
              </w:rPr>
            </w:pPr>
          </w:p>
          <w:p w14:paraId="796E170E" w14:textId="77777777" w:rsidR="001E02A1" w:rsidRPr="00A36F5C" w:rsidRDefault="001E02A1" w:rsidP="00AF5A74">
            <w:pPr>
              <w:jc w:val="right"/>
              <w:rPr>
                <w:rFonts w:asciiTheme="minorHAnsi" w:hAnsiTheme="minorHAnsi" w:cstheme="minorHAnsi"/>
                <w:bCs/>
                <w:sz w:val="20"/>
                <w:szCs w:val="20"/>
              </w:rPr>
            </w:pPr>
            <w:r w:rsidRPr="00A36F5C">
              <w:rPr>
                <w:rFonts w:asciiTheme="minorHAnsi" w:hAnsiTheme="minorHAnsi" w:cstheme="minorHAnsi"/>
                <w:bCs/>
                <w:sz w:val="20"/>
                <w:szCs w:val="20"/>
              </w:rPr>
              <w:t>Vehicle Finance</w:t>
            </w:r>
          </w:p>
        </w:tc>
        <w:tc>
          <w:tcPr>
            <w:tcW w:w="459" w:type="pct"/>
            <w:shd w:val="clear" w:color="auto" w:fill="auto"/>
          </w:tcPr>
          <w:p w14:paraId="0F776AED" w14:textId="77777777" w:rsidR="001E02A1" w:rsidRPr="00A36F5C" w:rsidRDefault="001E02A1" w:rsidP="00AF5A74">
            <w:pPr>
              <w:jc w:val="right"/>
              <w:rPr>
                <w:rFonts w:asciiTheme="minorHAnsi" w:hAnsiTheme="minorHAnsi" w:cstheme="minorHAnsi"/>
                <w:bCs/>
                <w:sz w:val="20"/>
                <w:szCs w:val="20"/>
              </w:rPr>
            </w:pPr>
          </w:p>
          <w:p w14:paraId="734DBCDE" w14:textId="77777777" w:rsidR="001E02A1" w:rsidRPr="00A36F5C" w:rsidRDefault="001E02A1" w:rsidP="00AF5A74">
            <w:pPr>
              <w:jc w:val="right"/>
              <w:rPr>
                <w:rFonts w:asciiTheme="minorHAnsi" w:hAnsiTheme="minorHAnsi" w:cstheme="minorHAnsi"/>
                <w:bCs/>
                <w:sz w:val="20"/>
                <w:szCs w:val="20"/>
              </w:rPr>
            </w:pPr>
          </w:p>
          <w:p w14:paraId="08538863" w14:textId="77777777" w:rsidR="001E02A1" w:rsidRPr="00A36F5C" w:rsidRDefault="001E02A1" w:rsidP="00AF5A74">
            <w:pPr>
              <w:jc w:val="right"/>
              <w:rPr>
                <w:rFonts w:asciiTheme="minorHAnsi" w:hAnsiTheme="minorHAnsi" w:cstheme="minorHAnsi"/>
                <w:bCs/>
                <w:sz w:val="20"/>
                <w:szCs w:val="20"/>
              </w:rPr>
            </w:pPr>
            <w:r w:rsidRPr="00A36F5C">
              <w:rPr>
                <w:rFonts w:asciiTheme="minorHAnsi" w:hAnsiTheme="minorHAnsi" w:cstheme="minorHAnsi"/>
                <w:bCs/>
                <w:sz w:val="20"/>
                <w:szCs w:val="20"/>
              </w:rPr>
              <w:t>Loans</w:t>
            </w:r>
          </w:p>
        </w:tc>
        <w:tc>
          <w:tcPr>
            <w:tcW w:w="555" w:type="pct"/>
            <w:shd w:val="clear" w:color="auto" w:fill="auto"/>
          </w:tcPr>
          <w:p w14:paraId="07A3FBA2" w14:textId="77777777" w:rsidR="001E02A1" w:rsidRPr="00A36F5C" w:rsidRDefault="001E02A1" w:rsidP="00AF5A74">
            <w:pPr>
              <w:jc w:val="right"/>
              <w:rPr>
                <w:rFonts w:asciiTheme="minorHAnsi" w:hAnsiTheme="minorHAnsi" w:cstheme="minorHAnsi"/>
                <w:bCs/>
                <w:sz w:val="20"/>
                <w:szCs w:val="20"/>
              </w:rPr>
            </w:pPr>
            <w:r w:rsidRPr="00A36F5C">
              <w:rPr>
                <w:rFonts w:asciiTheme="minorHAnsi" w:hAnsiTheme="minorHAnsi" w:cstheme="minorHAnsi"/>
                <w:bCs/>
                <w:sz w:val="20"/>
                <w:szCs w:val="20"/>
              </w:rPr>
              <w:t>Second charge mortgages</w:t>
            </w:r>
          </w:p>
        </w:tc>
        <w:tc>
          <w:tcPr>
            <w:tcW w:w="460" w:type="pct"/>
            <w:shd w:val="clear" w:color="auto" w:fill="auto"/>
          </w:tcPr>
          <w:p w14:paraId="38F93C23" w14:textId="77777777" w:rsidR="001E02A1" w:rsidRPr="00A36F5C" w:rsidRDefault="001E02A1" w:rsidP="00AF5A74">
            <w:pPr>
              <w:jc w:val="right"/>
              <w:rPr>
                <w:rFonts w:asciiTheme="minorHAnsi" w:hAnsiTheme="minorHAnsi" w:cstheme="minorHAnsi"/>
                <w:bCs/>
                <w:sz w:val="20"/>
                <w:szCs w:val="20"/>
              </w:rPr>
            </w:pPr>
          </w:p>
          <w:p w14:paraId="4C84CCBA" w14:textId="77777777" w:rsidR="001E02A1" w:rsidRPr="00A36F5C" w:rsidRDefault="001E02A1" w:rsidP="00AF5A74">
            <w:pPr>
              <w:jc w:val="right"/>
              <w:rPr>
                <w:rFonts w:asciiTheme="minorHAnsi" w:hAnsiTheme="minorHAnsi" w:cstheme="minorHAnsi"/>
                <w:bCs/>
                <w:sz w:val="20"/>
                <w:szCs w:val="20"/>
              </w:rPr>
            </w:pPr>
          </w:p>
          <w:p w14:paraId="1DAED663" w14:textId="77777777" w:rsidR="001E02A1" w:rsidRPr="00A36F5C" w:rsidRDefault="001E02A1" w:rsidP="00AF5A74">
            <w:pPr>
              <w:jc w:val="right"/>
              <w:rPr>
                <w:rFonts w:asciiTheme="minorHAnsi" w:hAnsiTheme="minorHAnsi" w:cstheme="minorHAnsi"/>
                <w:bCs/>
                <w:sz w:val="20"/>
                <w:szCs w:val="20"/>
              </w:rPr>
            </w:pPr>
            <w:r w:rsidRPr="00A36F5C">
              <w:rPr>
                <w:rFonts w:asciiTheme="minorHAnsi" w:hAnsiTheme="minorHAnsi" w:cstheme="minorHAnsi"/>
                <w:bCs/>
                <w:sz w:val="20"/>
                <w:szCs w:val="20"/>
              </w:rPr>
              <w:t>Snoop</w:t>
            </w:r>
          </w:p>
        </w:tc>
        <w:tc>
          <w:tcPr>
            <w:tcW w:w="535" w:type="pct"/>
            <w:shd w:val="clear" w:color="auto" w:fill="auto"/>
          </w:tcPr>
          <w:p w14:paraId="57634D22" w14:textId="77777777" w:rsidR="001E02A1" w:rsidRPr="00A36F5C" w:rsidRDefault="001E02A1" w:rsidP="00AF5A74">
            <w:pPr>
              <w:jc w:val="right"/>
              <w:rPr>
                <w:rFonts w:asciiTheme="minorHAnsi" w:hAnsiTheme="minorHAnsi" w:cstheme="minorHAnsi"/>
                <w:bCs/>
                <w:sz w:val="20"/>
                <w:szCs w:val="20"/>
              </w:rPr>
            </w:pPr>
          </w:p>
          <w:p w14:paraId="179301E6" w14:textId="77777777" w:rsidR="001E02A1" w:rsidRPr="00A36F5C" w:rsidRDefault="001E02A1" w:rsidP="00AF5A74">
            <w:pPr>
              <w:jc w:val="right"/>
              <w:rPr>
                <w:rFonts w:asciiTheme="minorHAnsi" w:hAnsiTheme="minorHAnsi" w:cstheme="minorHAnsi"/>
                <w:bCs/>
                <w:sz w:val="20"/>
                <w:szCs w:val="20"/>
              </w:rPr>
            </w:pPr>
            <w:r w:rsidRPr="00A36F5C">
              <w:rPr>
                <w:rFonts w:asciiTheme="minorHAnsi" w:hAnsiTheme="minorHAnsi" w:cstheme="minorHAnsi"/>
                <w:bCs/>
                <w:sz w:val="20"/>
                <w:szCs w:val="20"/>
              </w:rPr>
              <w:t>Corporate Centre</w:t>
            </w:r>
          </w:p>
        </w:tc>
        <w:tc>
          <w:tcPr>
            <w:tcW w:w="461" w:type="pct"/>
            <w:shd w:val="clear" w:color="auto" w:fill="auto"/>
          </w:tcPr>
          <w:p w14:paraId="7DBC8149" w14:textId="77777777" w:rsidR="001E02A1" w:rsidRPr="00B87A15" w:rsidRDefault="001E02A1" w:rsidP="00AF5A74">
            <w:pPr>
              <w:jc w:val="right"/>
              <w:rPr>
                <w:rFonts w:asciiTheme="minorHAnsi" w:hAnsiTheme="minorHAnsi" w:cstheme="minorHAnsi"/>
                <w:bCs/>
                <w:sz w:val="20"/>
                <w:szCs w:val="20"/>
              </w:rPr>
            </w:pPr>
          </w:p>
          <w:p w14:paraId="43B8B838" w14:textId="77777777" w:rsidR="001E02A1" w:rsidRPr="00B87A15" w:rsidRDefault="001E02A1" w:rsidP="00AF5A74">
            <w:pPr>
              <w:jc w:val="right"/>
              <w:rPr>
                <w:rFonts w:asciiTheme="minorHAnsi" w:hAnsiTheme="minorHAnsi" w:cstheme="minorHAnsi"/>
                <w:bCs/>
                <w:sz w:val="20"/>
                <w:szCs w:val="20"/>
              </w:rPr>
            </w:pPr>
          </w:p>
          <w:p w14:paraId="208008FF" w14:textId="77777777" w:rsidR="001E02A1" w:rsidRPr="00B87A15" w:rsidRDefault="001E02A1" w:rsidP="00AF5A74">
            <w:pPr>
              <w:jc w:val="right"/>
              <w:rPr>
                <w:rFonts w:asciiTheme="minorHAnsi" w:hAnsiTheme="minorHAnsi" w:cstheme="minorHAnsi"/>
                <w:bCs/>
                <w:sz w:val="20"/>
                <w:szCs w:val="20"/>
              </w:rPr>
            </w:pPr>
            <w:r w:rsidRPr="00B87A15">
              <w:rPr>
                <w:rFonts w:asciiTheme="minorHAnsi" w:hAnsiTheme="minorHAnsi" w:cstheme="minorHAnsi"/>
                <w:bCs/>
                <w:sz w:val="20"/>
                <w:szCs w:val="20"/>
              </w:rPr>
              <w:t>Total</w:t>
            </w:r>
          </w:p>
        </w:tc>
      </w:tr>
      <w:tr w:rsidR="001E02A1" w:rsidRPr="00B87A15" w14:paraId="572BC4CB" w14:textId="77777777" w:rsidTr="00310EA9">
        <w:tc>
          <w:tcPr>
            <w:tcW w:w="1612" w:type="pct"/>
          </w:tcPr>
          <w:p w14:paraId="18F79341" w14:textId="77777777" w:rsidR="001E02A1" w:rsidRPr="00A36F5C" w:rsidRDefault="001E02A1" w:rsidP="00AF5A74">
            <w:pPr>
              <w:rPr>
                <w:rFonts w:asciiTheme="minorHAnsi" w:hAnsiTheme="minorHAnsi" w:cstheme="minorHAnsi"/>
                <w:bCs/>
                <w:sz w:val="20"/>
                <w:szCs w:val="20"/>
              </w:rPr>
            </w:pPr>
          </w:p>
        </w:tc>
        <w:tc>
          <w:tcPr>
            <w:tcW w:w="459" w:type="pct"/>
            <w:shd w:val="clear" w:color="auto" w:fill="auto"/>
          </w:tcPr>
          <w:p w14:paraId="6CD8ECB1" w14:textId="77777777" w:rsidR="001E02A1" w:rsidRPr="00A36F5C" w:rsidRDefault="001E02A1" w:rsidP="00AF5A74">
            <w:pPr>
              <w:jc w:val="right"/>
              <w:rPr>
                <w:rFonts w:asciiTheme="minorHAnsi" w:hAnsiTheme="minorHAnsi" w:cstheme="minorHAnsi"/>
                <w:bCs/>
                <w:sz w:val="20"/>
                <w:szCs w:val="20"/>
              </w:rPr>
            </w:pPr>
            <w:r w:rsidRPr="00A36F5C">
              <w:rPr>
                <w:rFonts w:asciiTheme="minorHAnsi" w:hAnsiTheme="minorHAnsi" w:cstheme="minorHAnsi"/>
                <w:bCs/>
                <w:sz w:val="20"/>
                <w:szCs w:val="20"/>
              </w:rPr>
              <w:t>£m</w:t>
            </w:r>
          </w:p>
        </w:tc>
        <w:tc>
          <w:tcPr>
            <w:tcW w:w="459" w:type="pct"/>
            <w:shd w:val="clear" w:color="auto" w:fill="auto"/>
          </w:tcPr>
          <w:p w14:paraId="58FD3876" w14:textId="77777777" w:rsidR="001E02A1" w:rsidRPr="00A36F5C" w:rsidRDefault="001E02A1" w:rsidP="00AF5A74">
            <w:pPr>
              <w:jc w:val="right"/>
              <w:rPr>
                <w:rFonts w:asciiTheme="minorHAnsi" w:hAnsiTheme="minorHAnsi" w:cstheme="minorHAnsi"/>
                <w:bCs/>
                <w:sz w:val="20"/>
                <w:szCs w:val="20"/>
              </w:rPr>
            </w:pPr>
            <w:r w:rsidRPr="00A36F5C">
              <w:rPr>
                <w:rFonts w:asciiTheme="minorHAnsi" w:hAnsiTheme="minorHAnsi" w:cstheme="minorHAnsi"/>
                <w:bCs/>
                <w:sz w:val="20"/>
                <w:szCs w:val="20"/>
              </w:rPr>
              <w:t>£m</w:t>
            </w:r>
          </w:p>
        </w:tc>
        <w:tc>
          <w:tcPr>
            <w:tcW w:w="459" w:type="pct"/>
            <w:shd w:val="clear" w:color="auto" w:fill="auto"/>
          </w:tcPr>
          <w:p w14:paraId="056BF1F2" w14:textId="77777777" w:rsidR="001E02A1" w:rsidRPr="00A36F5C" w:rsidRDefault="001E02A1" w:rsidP="00AF5A74">
            <w:pPr>
              <w:jc w:val="right"/>
              <w:rPr>
                <w:rFonts w:asciiTheme="minorHAnsi" w:hAnsiTheme="minorHAnsi" w:cstheme="minorHAnsi"/>
                <w:bCs/>
                <w:sz w:val="20"/>
                <w:szCs w:val="20"/>
              </w:rPr>
            </w:pPr>
            <w:r w:rsidRPr="00A36F5C">
              <w:rPr>
                <w:rFonts w:asciiTheme="minorHAnsi" w:hAnsiTheme="minorHAnsi" w:cstheme="minorHAnsi"/>
                <w:bCs/>
                <w:sz w:val="20"/>
                <w:szCs w:val="20"/>
              </w:rPr>
              <w:t>£m</w:t>
            </w:r>
          </w:p>
        </w:tc>
        <w:tc>
          <w:tcPr>
            <w:tcW w:w="555" w:type="pct"/>
            <w:shd w:val="clear" w:color="auto" w:fill="auto"/>
          </w:tcPr>
          <w:p w14:paraId="192D73AF" w14:textId="77777777" w:rsidR="001E02A1" w:rsidRPr="00A36F5C" w:rsidRDefault="001E02A1" w:rsidP="00AF5A74">
            <w:pPr>
              <w:jc w:val="right"/>
              <w:rPr>
                <w:rFonts w:asciiTheme="minorHAnsi" w:hAnsiTheme="minorHAnsi" w:cstheme="minorHAnsi"/>
                <w:bCs/>
                <w:sz w:val="20"/>
                <w:szCs w:val="20"/>
              </w:rPr>
            </w:pPr>
            <w:r w:rsidRPr="00A36F5C">
              <w:rPr>
                <w:rFonts w:asciiTheme="minorHAnsi" w:hAnsiTheme="minorHAnsi" w:cstheme="minorHAnsi"/>
                <w:bCs/>
                <w:sz w:val="20"/>
                <w:szCs w:val="20"/>
              </w:rPr>
              <w:t>£m</w:t>
            </w:r>
          </w:p>
        </w:tc>
        <w:tc>
          <w:tcPr>
            <w:tcW w:w="460" w:type="pct"/>
            <w:shd w:val="clear" w:color="auto" w:fill="auto"/>
          </w:tcPr>
          <w:p w14:paraId="7FBBBED6" w14:textId="77777777" w:rsidR="001E02A1" w:rsidRPr="00A36F5C" w:rsidRDefault="001E02A1" w:rsidP="00AF5A74">
            <w:pPr>
              <w:jc w:val="right"/>
              <w:rPr>
                <w:rFonts w:asciiTheme="minorHAnsi" w:hAnsiTheme="minorHAnsi" w:cstheme="minorHAnsi"/>
                <w:bCs/>
                <w:sz w:val="20"/>
                <w:szCs w:val="20"/>
              </w:rPr>
            </w:pPr>
            <w:r w:rsidRPr="00A36F5C">
              <w:rPr>
                <w:rFonts w:asciiTheme="minorHAnsi" w:hAnsiTheme="minorHAnsi" w:cstheme="minorHAnsi"/>
                <w:bCs/>
                <w:sz w:val="20"/>
                <w:szCs w:val="20"/>
              </w:rPr>
              <w:t>£m</w:t>
            </w:r>
          </w:p>
        </w:tc>
        <w:tc>
          <w:tcPr>
            <w:tcW w:w="535" w:type="pct"/>
            <w:shd w:val="clear" w:color="auto" w:fill="auto"/>
          </w:tcPr>
          <w:p w14:paraId="609515C5" w14:textId="77777777" w:rsidR="001E02A1" w:rsidRPr="00A36F5C" w:rsidRDefault="001E02A1" w:rsidP="00AF5A74">
            <w:pPr>
              <w:jc w:val="right"/>
              <w:rPr>
                <w:rFonts w:asciiTheme="minorHAnsi" w:hAnsiTheme="minorHAnsi" w:cstheme="minorHAnsi"/>
                <w:bCs/>
                <w:sz w:val="20"/>
                <w:szCs w:val="20"/>
              </w:rPr>
            </w:pPr>
            <w:r w:rsidRPr="00A36F5C">
              <w:rPr>
                <w:rFonts w:asciiTheme="minorHAnsi" w:hAnsiTheme="minorHAnsi" w:cstheme="minorHAnsi"/>
                <w:bCs/>
                <w:sz w:val="20"/>
                <w:szCs w:val="20"/>
              </w:rPr>
              <w:t>£m</w:t>
            </w:r>
          </w:p>
        </w:tc>
        <w:tc>
          <w:tcPr>
            <w:tcW w:w="461" w:type="pct"/>
            <w:shd w:val="clear" w:color="auto" w:fill="auto"/>
          </w:tcPr>
          <w:p w14:paraId="5271147C" w14:textId="77777777" w:rsidR="001E02A1" w:rsidRPr="00B87A15" w:rsidRDefault="001E02A1" w:rsidP="00AF5A74">
            <w:pPr>
              <w:jc w:val="right"/>
              <w:rPr>
                <w:rFonts w:asciiTheme="minorHAnsi" w:hAnsiTheme="minorHAnsi" w:cstheme="minorHAnsi"/>
                <w:bCs/>
                <w:sz w:val="20"/>
                <w:szCs w:val="20"/>
              </w:rPr>
            </w:pPr>
            <w:r w:rsidRPr="00B87A15">
              <w:rPr>
                <w:rFonts w:asciiTheme="minorHAnsi" w:hAnsiTheme="minorHAnsi" w:cstheme="minorHAnsi"/>
                <w:bCs/>
                <w:sz w:val="20"/>
                <w:szCs w:val="20"/>
              </w:rPr>
              <w:t>£m</w:t>
            </w:r>
          </w:p>
        </w:tc>
      </w:tr>
      <w:tr w:rsidR="001E02A1" w:rsidRPr="00B87A15" w14:paraId="0FE33B03" w14:textId="77777777" w:rsidTr="00310EA9">
        <w:tc>
          <w:tcPr>
            <w:tcW w:w="1612" w:type="pct"/>
          </w:tcPr>
          <w:p w14:paraId="4529813A" w14:textId="77777777" w:rsidR="001E02A1" w:rsidRPr="00A36F5C" w:rsidRDefault="001E02A1" w:rsidP="00AF5A74">
            <w:pPr>
              <w:rPr>
                <w:rFonts w:asciiTheme="minorHAnsi" w:hAnsiTheme="minorHAnsi" w:cstheme="minorHAnsi"/>
                <w:bCs/>
                <w:sz w:val="20"/>
                <w:szCs w:val="20"/>
              </w:rPr>
            </w:pPr>
            <w:r w:rsidRPr="00A36F5C">
              <w:rPr>
                <w:rFonts w:asciiTheme="minorHAnsi" w:hAnsiTheme="minorHAnsi" w:cstheme="minorHAnsi"/>
                <w:bCs/>
                <w:sz w:val="20"/>
                <w:szCs w:val="20"/>
              </w:rPr>
              <w:t>Interest income</w:t>
            </w:r>
          </w:p>
        </w:tc>
        <w:tc>
          <w:tcPr>
            <w:tcW w:w="459" w:type="pct"/>
            <w:shd w:val="clear" w:color="auto" w:fill="auto"/>
          </w:tcPr>
          <w:p w14:paraId="644F73F9" w14:textId="73C35A47" w:rsidR="001E02A1" w:rsidRPr="006D4208" w:rsidRDefault="00745FAF" w:rsidP="00AF5A74">
            <w:pPr>
              <w:jc w:val="right"/>
              <w:rPr>
                <w:rFonts w:asciiTheme="minorHAnsi" w:hAnsiTheme="minorHAnsi" w:cstheme="minorHAnsi"/>
                <w:sz w:val="20"/>
                <w:szCs w:val="20"/>
              </w:rPr>
            </w:pPr>
            <w:r w:rsidRPr="006D4208">
              <w:rPr>
                <w:rFonts w:asciiTheme="minorHAnsi" w:hAnsiTheme="minorHAnsi" w:cstheme="minorHAnsi"/>
                <w:sz w:val="20"/>
                <w:szCs w:val="20"/>
              </w:rPr>
              <w:t>1</w:t>
            </w:r>
            <w:r w:rsidR="002A03D8" w:rsidRPr="006D4208">
              <w:rPr>
                <w:rFonts w:asciiTheme="minorHAnsi" w:hAnsiTheme="minorHAnsi" w:cstheme="minorHAnsi"/>
                <w:sz w:val="20"/>
                <w:szCs w:val="20"/>
              </w:rPr>
              <w:t>75.1</w:t>
            </w:r>
          </w:p>
        </w:tc>
        <w:tc>
          <w:tcPr>
            <w:tcW w:w="459" w:type="pct"/>
            <w:shd w:val="clear" w:color="auto" w:fill="auto"/>
          </w:tcPr>
          <w:p w14:paraId="5720F27E" w14:textId="05C147EE" w:rsidR="001E02A1" w:rsidRPr="006D4208" w:rsidRDefault="006F2E17" w:rsidP="00AF5A74">
            <w:pPr>
              <w:jc w:val="right"/>
              <w:rPr>
                <w:rFonts w:asciiTheme="minorHAnsi" w:hAnsiTheme="minorHAnsi" w:cstheme="minorHAnsi"/>
                <w:sz w:val="20"/>
                <w:szCs w:val="20"/>
              </w:rPr>
            </w:pPr>
            <w:r w:rsidRPr="006D4208">
              <w:rPr>
                <w:rFonts w:asciiTheme="minorHAnsi" w:hAnsiTheme="minorHAnsi" w:cstheme="minorHAnsi"/>
                <w:sz w:val="20"/>
                <w:szCs w:val="20"/>
              </w:rPr>
              <w:t>72.8</w:t>
            </w:r>
          </w:p>
        </w:tc>
        <w:tc>
          <w:tcPr>
            <w:tcW w:w="459" w:type="pct"/>
            <w:shd w:val="clear" w:color="auto" w:fill="auto"/>
          </w:tcPr>
          <w:p w14:paraId="2603C037" w14:textId="03F01F4C" w:rsidR="001E02A1" w:rsidRPr="006D4208" w:rsidRDefault="0079442A" w:rsidP="00AF5A74">
            <w:pPr>
              <w:jc w:val="right"/>
              <w:rPr>
                <w:rFonts w:asciiTheme="minorHAnsi" w:hAnsiTheme="minorHAnsi" w:cstheme="minorHAnsi"/>
                <w:sz w:val="20"/>
                <w:szCs w:val="20"/>
              </w:rPr>
            </w:pPr>
            <w:r w:rsidRPr="006D4208">
              <w:rPr>
                <w:rFonts w:asciiTheme="minorHAnsi" w:hAnsiTheme="minorHAnsi" w:cstheme="minorHAnsi"/>
                <w:sz w:val="20"/>
                <w:szCs w:val="20"/>
              </w:rPr>
              <w:t>12.3</w:t>
            </w:r>
          </w:p>
        </w:tc>
        <w:tc>
          <w:tcPr>
            <w:tcW w:w="555" w:type="pct"/>
            <w:shd w:val="clear" w:color="auto" w:fill="auto"/>
          </w:tcPr>
          <w:p w14:paraId="78F1BBCB" w14:textId="03B9C2F8" w:rsidR="001E02A1" w:rsidRPr="006D4208" w:rsidRDefault="006663A6" w:rsidP="00AF5A74">
            <w:pPr>
              <w:jc w:val="right"/>
              <w:rPr>
                <w:rFonts w:asciiTheme="minorHAnsi" w:hAnsiTheme="minorHAnsi" w:cstheme="minorHAnsi"/>
                <w:sz w:val="20"/>
                <w:szCs w:val="20"/>
              </w:rPr>
            </w:pPr>
            <w:r w:rsidRPr="006D4208">
              <w:rPr>
                <w:rFonts w:asciiTheme="minorHAnsi" w:hAnsiTheme="minorHAnsi" w:cstheme="minorHAnsi"/>
                <w:sz w:val="20"/>
                <w:szCs w:val="20"/>
              </w:rPr>
              <w:t>-</w:t>
            </w:r>
          </w:p>
        </w:tc>
        <w:tc>
          <w:tcPr>
            <w:tcW w:w="460" w:type="pct"/>
            <w:shd w:val="clear" w:color="auto" w:fill="auto"/>
          </w:tcPr>
          <w:p w14:paraId="6CBE5554" w14:textId="77777777" w:rsidR="001E02A1" w:rsidRPr="006D4208" w:rsidRDefault="001E02A1" w:rsidP="00AF5A74">
            <w:pPr>
              <w:jc w:val="right"/>
              <w:rPr>
                <w:rFonts w:asciiTheme="minorHAnsi" w:hAnsiTheme="minorHAnsi" w:cstheme="minorHAnsi"/>
                <w:sz w:val="20"/>
                <w:szCs w:val="20"/>
              </w:rPr>
            </w:pPr>
            <w:r w:rsidRPr="006D4208">
              <w:rPr>
                <w:rFonts w:asciiTheme="minorHAnsi" w:hAnsiTheme="minorHAnsi" w:cstheme="minorHAnsi"/>
                <w:sz w:val="20"/>
                <w:szCs w:val="20"/>
              </w:rPr>
              <w:t>-</w:t>
            </w:r>
          </w:p>
        </w:tc>
        <w:tc>
          <w:tcPr>
            <w:tcW w:w="535" w:type="pct"/>
            <w:shd w:val="clear" w:color="auto" w:fill="auto"/>
          </w:tcPr>
          <w:p w14:paraId="5CDC57A6" w14:textId="2EBD9BBE" w:rsidR="001E02A1" w:rsidRPr="006D4208" w:rsidRDefault="0072174C" w:rsidP="00AF5A74">
            <w:pPr>
              <w:jc w:val="right"/>
              <w:rPr>
                <w:rFonts w:asciiTheme="minorHAnsi" w:hAnsiTheme="minorHAnsi" w:cstheme="minorHAnsi"/>
                <w:sz w:val="20"/>
                <w:szCs w:val="20"/>
              </w:rPr>
            </w:pPr>
            <w:r w:rsidRPr="006D4208">
              <w:rPr>
                <w:rFonts w:asciiTheme="minorHAnsi" w:hAnsiTheme="minorHAnsi" w:cstheme="minorHAnsi"/>
                <w:sz w:val="20"/>
                <w:szCs w:val="20"/>
              </w:rPr>
              <w:t>4.6</w:t>
            </w:r>
          </w:p>
        </w:tc>
        <w:tc>
          <w:tcPr>
            <w:tcW w:w="461" w:type="pct"/>
            <w:shd w:val="clear" w:color="auto" w:fill="auto"/>
          </w:tcPr>
          <w:p w14:paraId="0C1B56F2" w14:textId="6D30CC2A" w:rsidR="001E02A1" w:rsidRPr="006D4208" w:rsidRDefault="004D6C70" w:rsidP="00AF5A74">
            <w:pPr>
              <w:jc w:val="right"/>
              <w:rPr>
                <w:rFonts w:asciiTheme="minorHAnsi" w:hAnsiTheme="minorHAnsi" w:cstheme="minorHAnsi"/>
                <w:sz w:val="20"/>
                <w:szCs w:val="20"/>
              </w:rPr>
            </w:pPr>
            <w:r w:rsidRPr="006D4208">
              <w:rPr>
                <w:rFonts w:asciiTheme="minorHAnsi" w:hAnsiTheme="minorHAnsi" w:cstheme="minorHAnsi"/>
                <w:sz w:val="20"/>
                <w:szCs w:val="20"/>
              </w:rPr>
              <w:t>2</w:t>
            </w:r>
            <w:r w:rsidR="006107CF" w:rsidRPr="006D4208">
              <w:rPr>
                <w:rFonts w:asciiTheme="minorHAnsi" w:hAnsiTheme="minorHAnsi" w:cstheme="minorHAnsi"/>
                <w:sz w:val="20"/>
                <w:szCs w:val="20"/>
              </w:rPr>
              <w:t>64.8</w:t>
            </w:r>
          </w:p>
        </w:tc>
      </w:tr>
      <w:tr w:rsidR="001E02A1" w:rsidRPr="00B87A15" w14:paraId="7373AE4F" w14:textId="77777777" w:rsidTr="00310EA9">
        <w:tc>
          <w:tcPr>
            <w:tcW w:w="1612" w:type="pct"/>
          </w:tcPr>
          <w:p w14:paraId="1B5BA54E" w14:textId="77777777" w:rsidR="001E02A1" w:rsidRPr="00A36F5C" w:rsidRDefault="001E02A1" w:rsidP="00AF5A74">
            <w:pPr>
              <w:rPr>
                <w:rFonts w:asciiTheme="minorHAnsi" w:hAnsiTheme="minorHAnsi" w:cstheme="minorHAnsi"/>
                <w:bCs/>
                <w:sz w:val="20"/>
                <w:szCs w:val="20"/>
              </w:rPr>
            </w:pPr>
            <w:r w:rsidRPr="00A36F5C">
              <w:rPr>
                <w:rFonts w:asciiTheme="minorHAnsi" w:hAnsiTheme="minorHAnsi" w:cstheme="minorHAnsi"/>
                <w:bCs/>
                <w:sz w:val="20"/>
                <w:szCs w:val="20"/>
              </w:rPr>
              <w:t>Interest expense</w:t>
            </w:r>
          </w:p>
        </w:tc>
        <w:tc>
          <w:tcPr>
            <w:tcW w:w="459" w:type="pct"/>
            <w:tcBorders>
              <w:bottom w:val="single" w:sz="4" w:space="0" w:color="auto"/>
            </w:tcBorders>
            <w:shd w:val="clear" w:color="auto" w:fill="auto"/>
          </w:tcPr>
          <w:p w14:paraId="25E15231" w14:textId="34C6F7BD" w:rsidR="001E02A1" w:rsidRPr="006D4208" w:rsidRDefault="001E02A1" w:rsidP="00AF5A74">
            <w:pPr>
              <w:jc w:val="right"/>
              <w:rPr>
                <w:rFonts w:asciiTheme="minorHAnsi" w:hAnsiTheme="minorHAnsi" w:cstheme="minorHAnsi"/>
                <w:sz w:val="20"/>
                <w:szCs w:val="20"/>
              </w:rPr>
            </w:pPr>
            <w:r w:rsidRPr="006D4208">
              <w:rPr>
                <w:rFonts w:asciiTheme="minorHAnsi" w:hAnsiTheme="minorHAnsi" w:cstheme="minorHAnsi"/>
                <w:sz w:val="20"/>
                <w:szCs w:val="20"/>
              </w:rPr>
              <w:t>(</w:t>
            </w:r>
            <w:r w:rsidR="00745FAF" w:rsidRPr="006D4208">
              <w:rPr>
                <w:rFonts w:asciiTheme="minorHAnsi" w:hAnsiTheme="minorHAnsi" w:cstheme="minorHAnsi"/>
                <w:sz w:val="20"/>
                <w:szCs w:val="20"/>
              </w:rPr>
              <w:t>20.</w:t>
            </w:r>
            <w:r w:rsidR="002A03D8" w:rsidRPr="006D4208">
              <w:rPr>
                <w:rFonts w:asciiTheme="minorHAnsi" w:hAnsiTheme="minorHAnsi" w:cstheme="minorHAnsi"/>
                <w:sz w:val="20"/>
                <w:szCs w:val="20"/>
              </w:rPr>
              <w:t>7</w:t>
            </w:r>
            <w:r w:rsidRPr="006D4208">
              <w:rPr>
                <w:rFonts w:asciiTheme="minorHAnsi" w:hAnsiTheme="minorHAnsi" w:cstheme="minorHAnsi"/>
                <w:sz w:val="20"/>
                <w:szCs w:val="20"/>
              </w:rPr>
              <w:t>)</w:t>
            </w:r>
          </w:p>
        </w:tc>
        <w:tc>
          <w:tcPr>
            <w:tcW w:w="459" w:type="pct"/>
            <w:tcBorders>
              <w:bottom w:val="single" w:sz="4" w:space="0" w:color="auto"/>
            </w:tcBorders>
            <w:shd w:val="clear" w:color="auto" w:fill="auto"/>
          </w:tcPr>
          <w:p w14:paraId="501AE5C3" w14:textId="486B662D" w:rsidR="001E02A1" w:rsidRPr="006D4208" w:rsidRDefault="001E02A1" w:rsidP="00AF5A74">
            <w:pPr>
              <w:jc w:val="right"/>
              <w:rPr>
                <w:rFonts w:asciiTheme="minorHAnsi" w:hAnsiTheme="minorHAnsi" w:cstheme="minorHAnsi"/>
                <w:sz w:val="20"/>
                <w:szCs w:val="20"/>
              </w:rPr>
            </w:pPr>
            <w:r w:rsidRPr="006D4208">
              <w:rPr>
                <w:rFonts w:asciiTheme="minorHAnsi" w:hAnsiTheme="minorHAnsi" w:cstheme="minorHAnsi"/>
                <w:sz w:val="20"/>
                <w:szCs w:val="20"/>
              </w:rPr>
              <w:t>(</w:t>
            </w:r>
            <w:r w:rsidR="006F2E17" w:rsidRPr="006D4208">
              <w:rPr>
                <w:rFonts w:asciiTheme="minorHAnsi" w:hAnsiTheme="minorHAnsi" w:cstheme="minorHAnsi"/>
                <w:sz w:val="20"/>
                <w:szCs w:val="20"/>
              </w:rPr>
              <w:t>12.3</w:t>
            </w:r>
            <w:r w:rsidRPr="006D4208">
              <w:rPr>
                <w:rFonts w:asciiTheme="minorHAnsi" w:hAnsiTheme="minorHAnsi" w:cstheme="minorHAnsi"/>
                <w:sz w:val="20"/>
                <w:szCs w:val="20"/>
              </w:rPr>
              <w:t>)</w:t>
            </w:r>
          </w:p>
        </w:tc>
        <w:tc>
          <w:tcPr>
            <w:tcW w:w="459" w:type="pct"/>
            <w:tcBorders>
              <w:bottom w:val="single" w:sz="4" w:space="0" w:color="auto"/>
            </w:tcBorders>
            <w:shd w:val="clear" w:color="auto" w:fill="auto"/>
          </w:tcPr>
          <w:p w14:paraId="32ED3A04" w14:textId="13ECEE9F" w:rsidR="001E02A1" w:rsidRPr="006D4208" w:rsidRDefault="001E02A1" w:rsidP="00AF5A74">
            <w:pPr>
              <w:jc w:val="right"/>
              <w:rPr>
                <w:rFonts w:asciiTheme="minorHAnsi" w:hAnsiTheme="minorHAnsi" w:cstheme="minorHAnsi"/>
                <w:sz w:val="20"/>
                <w:szCs w:val="20"/>
              </w:rPr>
            </w:pPr>
            <w:r w:rsidRPr="006D4208">
              <w:rPr>
                <w:rFonts w:asciiTheme="minorHAnsi" w:hAnsiTheme="minorHAnsi" w:cstheme="minorHAnsi"/>
                <w:sz w:val="20"/>
                <w:szCs w:val="20"/>
              </w:rPr>
              <w:t>(</w:t>
            </w:r>
            <w:r w:rsidR="0079442A" w:rsidRPr="006D4208">
              <w:rPr>
                <w:rFonts w:asciiTheme="minorHAnsi" w:hAnsiTheme="minorHAnsi" w:cstheme="minorHAnsi"/>
                <w:sz w:val="20"/>
                <w:szCs w:val="20"/>
              </w:rPr>
              <w:t>1.9</w:t>
            </w:r>
            <w:r w:rsidRPr="006D4208">
              <w:rPr>
                <w:rFonts w:asciiTheme="minorHAnsi" w:hAnsiTheme="minorHAnsi" w:cstheme="minorHAnsi"/>
                <w:sz w:val="20"/>
                <w:szCs w:val="20"/>
              </w:rPr>
              <w:t>)</w:t>
            </w:r>
          </w:p>
        </w:tc>
        <w:tc>
          <w:tcPr>
            <w:tcW w:w="555" w:type="pct"/>
            <w:tcBorders>
              <w:bottom w:val="single" w:sz="4" w:space="0" w:color="auto"/>
            </w:tcBorders>
            <w:shd w:val="clear" w:color="auto" w:fill="auto"/>
          </w:tcPr>
          <w:p w14:paraId="51D76C91" w14:textId="6C96C072" w:rsidR="001E02A1" w:rsidRPr="006D4208" w:rsidRDefault="006663A6" w:rsidP="00AF5A74">
            <w:pPr>
              <w:jc w:val="right"/>
              <w:rPr>
                <w:rFonts w:asciiTheme="minorHAnsi" w:hAnsiTheme="minorHAnsi" w:cstheme="minorHAnsi"/>
                <w:sz w:val="20"/>
                <w:szCs w:val="20"/>
              </w:rPr>
            </w:pPr>
            <w:r w:rsidRPr="006D4208">
              <w:rPr>
                <w:rFonts w:asciiTheme="minorHAnsi" w:hAnsiTheme="minorHAnsi" w:cstheme="minorHAnsi"/>
                <w:sz w:val="20"/>
                <w:szCs w:val="20"/>
              </w:rPr>
              <w:t>-</w:t>
            </w:r>
          </w:p>
        </w:tc>
        <w:tc>
          <w:tcPr>
            <w:tcW w:w="460" w:type="pct"/>
            <w:tcBorders>
              <w:bottom w:val="single" w:sz="4" w:space="0" w:color="auto"/>
            </w:tcBorders>
            <w:shd w:val="clear" w:color="auto" w:fill="auto"/>
          </w:tcPr>
          <w:p w14:paraId="506CCA98" w14:textId="77777777" w:rsidR="001E02A1" w:rsidRPr="006D4208" w:rsidRDefault="001E02A1" w:rsidP="00AF5A74">
            <w:pPr>
              <w:jc w:val="right"/>
              <w:rPr>
                <w:rFonts w:asciiTheme="minorHAnsi" w:hAnsiTheme="minorHAnsi" w:cstheme="minorHAnsi"/>
                <w:sz w:val="20"/>
                <w:szCs w:val="20"/>
              </w:rPr>
            </w:pPr>
            <w:r w:rsidRPr="006D4208">
              <w:rPr>
                <w:rFonts w:asciiTheme="minorHAnsi" w:hAnsiTheme="minorHAnsi" w:cstheme="minorHAnsi"/>
                <w:sz w:val="20"/>
                <w:szCs w:val="20"/>
              </w:rPr>
              <w:t>-</w:t>
            </w:r>
          </w:p>
        </w:tc>
        <w:tc>
          <w:tcPr>
            <w:tcW w:w="535" w:type="pct"/>
            <w:tcBorders>
              <w:bottom w:val="single" w:sz="4" w:space="0" w:color="auto"/>
            </w:tcBorders>
            <w:shd w:val="clear" w:color="auto" w:fill="auto"/>
          </w:tcPr>
          <w:p w14:paraId="78A513D7" w14:textId="26549DE1" w:rsidR="001E02A1" w:rsidRPr="006D4208" w:rsidRDefault="001E02A1" w:rsidP="00AF5A74">
            <w:pPr>
              <w:jc w:val="right"/>
              <w:rPr>
                <w:rFonts w:asciiTheme="minorHAnsi" w:hAnsiTheme="minorHAnsi" w:cstheme="minorHAnsi"/>
                <w:sz w:val="20"/>
                <w:szCs w:val="20"/>
              </w:rPr>
            </w:pPr>
            <w:r w:rsidRPr="006D4208">
              <w:rPr>
                <w:rFonts w:asciiTheme="minorHAnsi" w:hAnsiTheme="minorHAnsi" w:cstheme="minorHAnsi"/>
                <w:sz w:val="20"/>
                <w:szCs w:val="20"/>
              </w:rPr>
              <w:t>(</w:t>
            </w:r>
            <w:r w:rsidR="0072174C" w:rsidRPr="006D4208">
              <w:rPr>
                <w:rFonts w:asciiTheme="minorHAnsi" w:hAnsiTheme="minorHAnsi" w:cstheme="minorHAnsi"/>
                <w:sz w:val="20"/>
                <w:szCs w:val="20"/>
              </w:rPr>
              <w:t>15.4</w:t>
            </w:r>
            <w:r w:rsidRPr="006D4208">
              <w:rPr>
                <w:rFonts w:asciiTheme="minorHAnsi" w:hAnsiTheme="minorHAnsi" w:cstheme="minorHAnsi"/>
                <w:sz w:val="20"/>
                <w:szCs w:val="20"/>
              </w:rPr>
              <w:t>)</w:t>
            </w:r>
          </w:p>
        </w:tc>
        <w:tc>
          <w:tcPr>
            <w:tcW w:w="461" w:type="pct"/>
            <w:tcBorders>
              <w:bottom w:val="single" w:sz="4" w:space="0" w:color="auto"/>
            </w:tcBorders>
            <w:shd w:val="clear" w:color="auto" w:fill="auto"/>
          </w:tcPr>
          <w:p w14:paraId="6FF70B26" w14:textId="653B394E" w:rsidR="001E02A1" w:rsidRPr="006D4208" w:rsidRDefault="001E02A1" w:rsidP="00AF5A74">
            <w:pPr>
              <w:jc w:val="right"/>
              <w:rPr>
                <w:rFonts w:asciiTheme="minorHAnsi" w:hAnsiTheme="minorHAnsi" w:cstheme="minorHAnsi"/>
                <w:sz w:val="20"/>
                <w:szCs w:val="20"/>
              </w:rPr>
            </w:pPr>
            <w:r w:rsidRPr="006D4208">
              <w:rPr>
                <w:rFonts w:asciiTheme="minorHAnsi" w:hAnsiTheme="minorHAnsi" w:cstheme="minorHAnsi"/>
                <w:sz w:val="20"/>
                <w:szCs w:val="20"/>
              </w:rPr>
              <w:t>(</w:t>
            </w:r>
            <w:r w:rsidR="006107CF" w:rsidRPr="006D4208">
              <w:rPr>
                <w:rFonts w:asciiTheme="minorHAnsi" w:hAnsiTheme="minorHAnsi" w:cstheme="minorHAnsi"/>
                <w:sz w:val="20"/>
                <w:szCs w:val="20"/>
              </w:rPr>
              <w:t>50.3</w:t>
            </w:r>
            <w:r w:rsidRPr="006D4208">
              <w:rPr>
                <w:rFonts w:asciiTheme="minorHAnsi" w:hAnsiTheme="minorHAnsi" w:cstheme="minorHAnsi"/>
                <w:sz w:val="20"/>
                <w:szCs w:val="20"/>
              </w:rPr>
              <w:t>)</w:t>
            </w:r>
          </w:p>
        </w:tc>
      </w:tr>
      <w:tr w:rsidR="001E02A1" w:rsidRPr="00B87A15" w14:paraId="7D3C2170" w14:textId="77777777" w:rsidTr="00310EA9">
        <w:tc>
          <w:tcPr>
            <w:tcW w:w="1612" w:type="pct"/>
          </w:tcPr>
          <w:p w14:paraId="37F2F021" w14:textId="77777777" w:rsidR="001E02A1" w:rsidRPr="00A36F5C" w:rsidRDefault="001E02A1" w:rsidP="00AF5A74">
            <w:pPr>
              <w:rPr>
                <w:rFonts w:asciiTheme="minorHAnsi" w:hAnsiTheme="minorHAnsi" w:cstheme="minorHAnsi"/>
                <w:b/>
                <w:sz w:val="20"/>
                <w:szCs w:val="20"/>
              </w:rPr>
            </w:pPr>
            <w:r w:rsidRPr="00A36F5C">
              <w:rPr>
                <w:rFonts w:asciiTheme="minorHAnsi" w:hAnsiTheme="minorHAnsi" w:cstheme="minorHAnsi"/>
                <w:b/>
                <w:sz w:val="20"/>
                <w:szCs w:val="20"/>
              </w:rPr>
              <w:t>Net interest income</w:t>
            </w:r>
          </w:p>
        </w:tc>
        <w:tc>
          <w:tcPr>
            <w:tcW w:w="459" w:type="pct"/>
            <w:tcBorders>
              <w:top w:val="single" w:sz="4" w:space="0" w:color="auto"/>
              <w:bottom w:val="single" w:sz="4" w:space="0" w:color="auto"/>
            </w:tcBorders>
            <w:shd w:val="clear" w:color="auto" w:fill="auto"/>
          </w:tcPr>
          <w:p w14:paraId="7DF2FD53" w14:textId="5CD99A6C" w:rsidR="001E02A1" w:rsidRPr="006D4208" w:rsidRDefault="00745FAF" w:rsidP="00AF5A74">
            <w:pPr>
              <w:jc w:val="right"/>
              <w:rPr>
                <w:rFonts w:asciiTheme="minorHAnsi" w:hAnsiTheme="minorHAnsi" w:cstheme="minorHAnsi"/>
                <w:b/>
                <w:sz w:val="20"/>
                <w:szCs w:val="20"/>
              </w:rPr>
            </w:pPr>
            <w:r w:rsidRPr="006D4208">
              <w:rPr>
                <w:rFonts w:asciiTheme="minorHAnsi" w:hAnsiTheme="minorHAnsi" w:cstheme="minorHAnsi"/>
                <w:b/>
                <w:sz w:val="20"/>
                <w:szCs w:val="20"/>
              </w:rPr>
              <w:t>1</w:t>
            </w:r>
            <w:r w:rsidR="002A03D8" w:rsidRPr="006D4208">
              <w:rPr>
                <w:rFonts w:asciiTheme="minorHAnsi" w:hAnsiTheme="minorHAnsi" w:cstheme="minorHAnsi"/>
                <w:b/>
                <w:sz w:val="20"/>
                <w:szCs w:val="20"/>
              </w:rPr>
              <w:t>54.4</w:t>
            </w:r>
          </w:p>
        </w:tc>
        <w:tc>
          <w:tcPr>
            <w:tcW w:w="459" w:type="pct"/>
            <w:tcBorders>
              <w:top w:val="single" w:sz="4" w:space="0" w:color="auto"/>
              <w:bottom w:val="single" w:sz="4" w:space="0" w:color="auto"/>
            </w:tcBorders>
            <w:shd w:val="clear" w:color="auto" w:fill="auto"/>
          </w:tcPr>
          <w:p w14:paraId="6DED4319" w14:textId="1D565B82" w:rsidR="001E02A1" w:rsidRPr="006D4208" w:rsidRDefault="006F2E17" w:rsidP="00AF5A74">
            <w:pPr>
              <w:jc w:val="right"/>
              <w:rPr>
                <w:rFonts w:asciiTheme="minorHAnsi" w:hAnsiTheme="minorHAnsi" w:cstheme="minorHAnsi"/>
                <w:b/>
                <w:sz w:val="20"/>
                <w:szCs w:val="20"/>
              </w:rPr>
            </w:pPr>
            <w:r w:rsidRPr="006D4208">
              <w:rPr>
                <w:rFonts w:asciiTheme="minorHAnsi" w:hAnsiTheme="minorHAnsi" w:cstheme="minorHAnsi"/>
                <w:b/>
                <w:sz w:val="20"/>
                <w:szCs w:val="20"/>
              </w:rPr>
              <w:t>60.5</w:t>
            </w:r>
          </w:p>
        </w:tc>
        <w:tc>
          <w:tcPr>
            <w:tcW w:w="459" w:type="pct"/>
            <w:tcBorders>
              <w:top w:val="single" w:sz="4" w:space="0" w:color="auto"/>
              <w:bottom w:val="single" w:sz="4" w:space="0" w:color="auto"/>
            </w:tcBorders>
            <w:shd w:val="clear" w:color="auto" w:fill="auto"/>
          </w:tcPr>
          <w:p w14:paraId="4234104A" w14:textId="2A50BD2F" w:rsidR="001E02A1" w:rsidRPr="006D4208" w:rsidRDefault="0079442A" w:rsidP="00AF5A74">
            <w:pPr>
              <w:jc w:val="right"/>
              <w:rPr>
                <w:rFonts w:asciiTheme="minorHAnsi" w:hAnsiTheme="minorHAnsi" w:cstheme="minorHAnsi"/>
                <w:b/>
                <w:sz w:val="20"/>
                <w:szCs w:val="20"/>
              </w:rPr>
            </w:pPr>
            <w:r w:rsidRPr="006D4208">
              <w:rPr>
                <w:rFonts w:asciiTheme="minorHAnsi" w:hAnsiTheme="minorHAnsi" w:cstheme="minorHAnsi"/>
                <w:b/>
                <w:sz w:val="20"/>
                <w:szCs w:val="20"/>
              </w:rPr>
              <w:t>10.4</w:t>
            </w:r>
          </w:p>
        </w:tc>
        <w:tc>
          <w:tcPr>
            <w:tcW w:w="555" w:type="pct"/>
            <w:tcBorders>
              <w:top w:val="single" w:sz="4" w:space="0" w:color="auto"/>
              <w:bottom w:val="single" w:sz="4" w:space="0" w:color="auto"/>
            </w:tcBorders>
            <w:shd w:val="clear" w:color="auto" w:fill="auto"/>
          </w:tcPr>
          <w:p w14:paraId="6261CA9C" w14:textId="0F35E32D" w:rsidR="001E02A1" w:rsidRPr="006D4208" w:rsidRDefault="006663A6" w:rsidP="00AF5A74">
            <w:pPr>
              <w:jc w:val="right"/>
              <w:rPr>
                <w:rFonts w:asciiTheme="minorHAnsi" w:hAnsiTheme="minorHAnsi" w:cstheme="minorHAnsi"/>
                <w:b/>
                <w:sz w:val="20"/>
                <w:szCs w:val="20"/>
              </w:rPr>
            </w:pPr>
            <w:r w:rsidRPr="006D4208">
              <w:rPr>
                <w:rFonts w:asciiTheme="minorHAnsi" w:hAnsiTheme="minorHAnsi" w:cstheme="minorHAnsi"/>
                <w:b/>
                <w:sz w:val="20"/>
                <w:szCs w:val="20"/>
              </w:rPr>
              <w:t>-</w:t>
            </w:r>
          </w:p>
        </w:tc>
        <w:tc>
          <w:tcPr>
            <w:tcW w:w="460" w:type="pct"/>
            <w:tcBorders>
              <w:top w:val="single" w:sz="4" w:space="0" w:color="auto"/>
              <w:bottom w:val="single" w:sz="4" w:space="0" w:color="auto"/>
            </w:tcBorders>
            <w:shd w:val="clear" w:color="auto" w:fill="auto"/>
          </w:tcPr>
          <w:p w14:paraId="5CA6B9CE" w14:textId="77777777" w:rsidR="001E02A1" w:rsidRPr="006D4208" w:rsidRDefault="001E02A1" w:rsidP="00AF5A74">
            <w:pPr>
              <w:jc w:val="right"/>
              <w:rPr>
                <w:rFonts w:asciiTheme="minorHAnsi" w:hAnsiTheme="minorHAnsi" w:cstheme="minorHAnsi"/>
                <w:b/>
                <w:sz w:val="20"/>
                <w:szCs w:val="20"/>
              </w:rPr>
            </w:pPr>
            <w:r w:rsidRPr="006D4208">
              <w:rPr>
                <w:rFonts w:asciiTheme="minorHAnsi" w:hAnsiTheme="minorHAnsi" w:cstheme="minorHAnsi"/>
                <w:b/>
                <w:sz w:val="20"/>
                <w:szCs w:val="20"/>
              </w:rPr>
              <w:t>-</w:t>
            </w:r>
          </w:p>
        </w:tc>
        <w:tc>
          <w:tcPr>
            <w:tcW w:w="535" w:type="pct"/>
            <w:tcBorders>
              <w:top w:val="single" w:sz="4" w:space="0" w:color="auto"/>
              <w:bottom w:val="single" w:sz="4" w:space="0" w:color="auto"/>
            </w:tcBorders>
            <w:shd w:val="clear" w:color="auto" w:fill="auto"/>
          </w:tcPr>
          <w:p w14:paraId="03330CB3" w14:textId="264B6C70" w:rsidR="001E02A1" w:rsidRPr="006D4208" w:rsidRDefault="001E02A1" w:rsidP="00AF5A74">
            <w:pPr>
              <w:jc w:val="right"/>
              <w:rPr>
                <w:rFonts w:asciiTheme="minorHAnsi" w:hAnsiTheme="minorHAnsi" w:cstheme="minorHAnsi"/>
                <w:b/>
                <w:sz w:val="20"/>
                <w:szCs w:val="20"/>
              </w:rPr>
            </w:pPr>
            <w:r w:rsidRPr="006D4208">
              <w:rPr>
                <w:rFonts w:asciiTheme="minorHAnsi" w:hAnsiTheme="minorHAnsi" w:cstheme="minorHAnsi"/>
                <w:b/>
                <w:sz w:val="20"/>
                <w:szCs w:val="20"/>
              </w:rPr>
              <w:t>(</w:t>
            </w:r>
            <w:r w:rsidR="00A02432" w:rsidRPr="006D4208">
              <w:rPr>
                <w:rFonts w:asciiTheme="minorHAnsi" w:hAnsiTheme="minorHAnsi" w:cstheme="minorHAnsi"/>
                <w:b/>
                <w:sz w:val="20"/>
                <w:szCs w:val="20"/>
              </w:rPr>
              <w:t>1</w:t>
            </w:r>
            <w:r w:rsidR="00AA069F" w:rsidRPr="006D4208">
              <w:rPr>
                <w:rFonts w:asciiTheme="minorHAnsi" w:hAnsiTheme="minorHAnsi" w:cstheme="minorHAnsi"/>
                <w:b/>
                <w:sz w:val="20"/>
                <w:szCs w:val="20"/>
              </w:rPr>
              <w:t>0.8</w:t>
            </w:r>
            <w:r w:rsidRPr="006D4208">
              <w:rPr>
                <w:rFonts w:asciiTheme="minorHAnsi" w:hAnsiTheme="minorHAnsi" w:cstheme="minorHAnsi"/>
                <w:b/>
                <w:sz w:val="20"/>
                <w:szCs w:val="20"/>
              </w:rPr>
              <w:t>)</w:t>
            </w:r>
          </w:p>
        </w:tc>
        <w:tc>
          <w:tcPr>
            <w:tcW w:w="461" w:type="pct"/>
            <w:tcBorders>
              <w:top w:val="single" w:sz="4" w:space="0" w:color="auto"/>
              <w:bottom w:val="single" w:sz="4" w:space="0" w:color="auto"/>
            </w:tcBorders>
            <w:shd w:val="clear" w:color="auto" w:fill="auto"/>
          </w:tcPr>
          <w:p w14:paraId="587AE1FA" w14:textId="40B805E0" w:rsidR="001E02A1" w:rsidRPr="006D4208" w:rsidRDefault="00BB43E1" w:rsidP="00AF5A74">
            <w:pPr>
              <w:jc w:val="right"/>
              <w:rPr>
                <w:rFonts w:asciiTheme="minorHAnsi" w:hAnsiTheme="minorHAnsi" w:cstheme="minorHAnsi"/>
                <w:b/>
                <w:sz w:val="20"/>
                <w:szCs w:val="20"/>
              </w:rPr>
            </w:pPr>
            <w:r w:rsidRPr="006D4208">
              <w:rPr>
                <w:rFonts w:asciiTheme="minorHAnsi" w:hAnsiTheme="minorHAnsi" w:cstheme="minorHAnsi"/>
                <w:b/>
                <w:sz w:val="20"/>
                <w:szCs w:val="20"/>
              </w:rPr>
              <w:t>2</w:t>
            </w:r>
            <w:r w:rsidR="006107CF" w:rsidRPr="006D4208">
              <w:rPr>
                <w:rFonts w:asciiTheme="minorHAnsi" w:hAnsiTheme="minorHAnsi" w:cstheme="minorHAnsi"/>
                <w:b/>
                <w:sz w:val="20"/>
                <w:szCs w:val="20"/>
              </w:rPr>
              <w:t>14.5</w:t>
            </w:r>
          </w:p>
        </w:tc>
      </w:tr>
      <w:tr w:rsidR="001E02A1" w:rsidRPr="00B87A15" w14:paraId="6FB2768F" w14:textId="77777777" w:rsidTr="00310EA9">
        <w:tc>
          <w:tcPr>
            <w:tcW w:w="1612" w:type="pct"/>
          </w:tcPr>
          <w:p w14:paraId="06DBD2EE" w14:textId="77777777" w:rsidR="001E02A1" w:rsidRPr="00A36F5C" w:rsidRDefault="001E02A1" w:rsidP="00AF5A74">
            <w:pPr>
              <w:rPr>
                <w:rFonts w:asciiTheme="minorHAnsi" w:hAnsiTheme="minorHAnsi" w:cstheme="minorHAnsi"/>
                <w:bCs/>
                <w:sz w:val="20"/>
                <w:szCs w:val="20"/>
              </w:rPr>
            </w:pPr>
            <w:r w:rsidRPr="00A36F5C">
              <w:rPr>
                <w:rFonts w:asciiTheme="minorHAnsi" w:hAnsiTheme="minorHAnsi" w:cstheme="minorHAnsi"/>
                <w:bCs/>
                <w:sz w:val="20"/>
                <w:szCs w:val="20"/>
              </w:rPr>
              <w:t>Fee and commission income</w:t>
            </w:r>
          </w:p>
        </w:tc>
        <w:tc>
          <w:tcPr>
            <w:tcW w:w="459" w:type="pct"/>
            <w:tcBorders>
              <w:top w:val="single" w:sz="4" w:space="0" w:color="auto"/>
            </w:tcBorders>
            <w:shd w:val="clear" w:color="auto" w:fill="auto"/>
          </w:tcPr>
          <w:p w14:paraId="3A37B713" w14:textId="7BCA7EF2" w:rsidR="001E02A1" w:rsidRPr="006D4208" w:rsidRDefault="00745FAF" w:rsidP="00AF5A74">
            <w:pPr>
              <w:jc w:val="right"/>
              <w:rPr>
                <w:rFonts w:asciiTheme="minorHAnsi" w:hAnsiTheme="minorHAnsi" w:cstheme="minorHAnsi"/>
                <w:sz w:val="20"/>
                <w:szCs w:val="20"/>
              </w:rPr>
            </w:pPr>
            <w:r w:rsidRPr="006D4208">
              <w:rPr>
                <w:rFonts w:asciiTheme="minorHAnsi" w:hAnsiTheme="minorHAnsi" w:cstheme="minorHAnsi"/>
                <w:sz w:val="20"/>
                <w:szCs w:val="20"/>
              </w:rPr>
              <w:t>21.5</w:t>
            </w:r>
          </w:p>
        </w:tc>
        <w:tc>
          <w:tcPr>
            <w:tcW w:w="459" w:type="pct"/>
            <w:tcBorders>
              <w:top w:val="single" w:sz="4" w:space="0" w:color="auto"/>
            </w:tcBorders>
            <w:shd w:val="clear" w:color="auto" w:fill="auto"/>
          </w:tcPr>
          <w:p w14:paraId="067719BD" w14:textId="77777777" w:rsidR="001E02A1" w:rsidRPr="006D4208" w:rsidRDefault="001E02A1" w:rsidP="00AF5A74">
            <w:pPr>
              <w:jc w:val="right"/>
              <w:rPr>
                <w:rFonts w:asciiTheme="minorHAnsi" w:hAnsiTheme="minorHAnsi" w:cstheme="minorHAnsi"/>
                <w:sz w:val="20"/>
                <w:szCs w:val="20"/>
              </w:rPr>
            </w:pPr>
            <w:r w:rsidRPr="006D4208">
              <w:rPr>
                <w:rFonts w:asciiTheme="minorHAnsi" w:hAnsiTheme="minorHAnsi" w:cstheme="minorHAnsi"/>
                <w:sz w:val="20"/>
                <w:szCs w:val="20"/>
              </w:rPr>
              <w:t>-</w:t>
            </w:r>
          </w:p>
        </w:tc>
        <w:tc>
          <w:tcPr>
            <w:tcW w:w="459" w:type="pct"/>
            <w:tcBorders>
              <w:top w:val="single" w:sz="4" w:space="0" w:color="auto"/>
            </w:tcBorders>
            <w:shd w:val="clear" w:color="auto" w:fill="auto"/>
          </w:tcPr>
          <w:p w14:paraId="2223263A" w14:textId="77777777" w:rsidR="001E02A1" w:rsidRPr="006D4208" w:rsidRDefault="001E02A1" w:rsidP="00AF5A74">
            <w:pPr>
              <w:jc w:val="right"/>
              <w:rPr>
                <w:rFonts w:asciiTheme="minorHAnsi" w:hAnsiTheme="minorHAnsi" w:cstheme="minorHAnsi"/>
                <w:sz w:val="20"/>
                <w:szCs w:val="20"/>
              </w:rPr>
            </w:pPr>
            <w:r w:rsidRPr="006D4208">
              <w:rPr>
                <w:rFonts w:asciiTheme="minorHAnsi" w:hAnsiTheme="minorHAnsi" w:cstheme="minorHAnsi"/>
                <w:sz w:val="20"/>
                <w:szCs w:val="20"/>
              </w:rPr>
              <w:t>-</w:t>
            </w:r>
          </w:p>
        </w:tc>
        <w:tc>
          <w:tcPr>
            <w:tcW w:w="555" w:type="pct"/>
            <w:tcBorders>
              <w:top w:val="single" w:sz="4" w:space="0" w:color="auto"/>
            </w:tcBorders>
            <w:shd w:val="clear" w:color="auto" w:fill="auto"/>
          </w:tcPr>
          <w:p w14:paraId="397E4C3F" w14:textId="77777777" w:rsidR="001E02A1" w:rsidRPr="006D4208" w:rsidRDefault="001E02A1" w:rsidP="00AF5A74">
            <w:pPr>
              <w:jc w:val="right"/>
              <w:rPr>
                <w:rFonts w:asciiTheme="minorHAnsi" w:hAnsiTheme="minorHAnsi" w:cstheme="minorHAnsi"/>
                <w:sz w:val="20"/>
                <w:szCs w:val="20"/>
              </w:rPr>
            </w:pPr>
            <w:r w:rsidRPr="006D4208">
              <w:rPr>
                <w:rFonts w:asciiTheme="minorHAnsi" w:hAnsiTheme="minorHAnsi" w:cstheme="minorHAnsi"/>
                <w:sz w:val="20"/>
                <w:szCs w:val="20"/>
              </w:rPr>
              <w:t>-</w:t>
            </w:r>
          </w:p>
        </w:tc>
        <w:tc>
          <w:tcPr>
            <w:tcW w:w="460" w:type="pct"/>
            <w:tcBorders>
              <w:top w:val="single" w:sz="4" w:space="0" w:color="auto"/>
            </w:tcBorders>
            <w:shd w:val="clear" w:color="auto" w:fill="auto"/>
          </w:tcPr>
          <w:p w14:paraId="3D3FEA2C" w14:textId="77777777" w:rsidR="001E02A1" w:rsidRPr="006D4208" w:rsidRDefault="001E02A1" w:rsidP="00AF5A74">
            <w:pPr>
              <w:jc w:val="right"/>
              <w:rPr>
                <w:rFonts w:asciiTheme="minorHAnsi" w:hAnsiTheme="minorHAnsi" w:cstheme="minorHAnsi"/>
                <w:sz w:val="20"/>
                <w:szCs w:val="20"/>
              </w:rPr>
            </w:pPr>
            <w:r w:rsidRPr="006D4208">
              <w:rPr>
                <w:rFonts w:asciiTheme="minorHAnsi" w:hAnsiTheme="minorHAnsi" w:cstheme="minorHAnsi"/>
                <w:sz w:val="20"/>
                <w:szCs w:val="20"/>
              </w:rPr>
              <w:t>-</w:t>
            </w:r>
          </w:p>
        </w:tc>
        <w:tc>
          <w:tcPr>
            <w:tcW w:w="535" w:type="pct"/>
            <w:tcBorders>
              <w:top w:val="single" w:sz="4" w:space="0" w:color="auto"/>
            </w:tcBorders>
            <w:shd w:val="clear" w:color="auto" w:fill="auto"/>
          </w:tcPr>
          <w:p w14:paraId="5807794B" w14:textId="77777777" w:rsidR="001E02A1" w:rsidRPr="006D4208" w:rsidRDefault="001E02A1" w:rsidP="00AF5A74">
            <w:pPr>
              <w:jc w:val="right"/>
              <w:rPr>
                <w:rFonts w:asciiTheme="minorHAnsi" w:hAnsiTheme="minorHAnsi" w:cstheme="minorHAnsi"/>
                <w:sz w:val="20"/>
                <w:szCs w:val="20"/>
              </w:rPr>
            </w:pPr>
            <w:r w:rsidRPr="006D4208">
              <w:rPr>
                <w:rFonts w:asciiTheme="minorHAnsi" w:hAnsiTheme="minorHAnsi" w:cstheme="minorHAnsi"/>
                <w:sz w:val="20"/>
                <w:szCs w:val="20"/>
              </w:rPr>
              <w:t>-</w:t>
            </w:r>
          </w:p>
        </w:tc>
        <w:tc>
          <w:tcPr>
            <w:tcW w:w="461" w:type="pct"/>
            <w:tcBorders>
              <w:top w:val="single" w:sz="4" w:space="0" w:color="auto"/>
            </w:tcBorders>
            <w:shd w:val="clear" w:color="auto" w:fill="auto"/>
          </w:tcPr>
          <w:p w14:paraId="31C50DE2" w14:textId="529AF6FE" w:rsidR="001E02A1" w:rsidRPr="006D4208" w:rsidRDefault="00BB43E1" w:rsidP="00AF5A74">
            <w:pPr>
              <w:jc w:val="right"/>
              <w:rPr>
                <w:rFonts w:asciiTheme="minorHAnsi" w:hAnsiTheme="minorHAnsi" w:cstheme="minorHAnsi"/>
                <w:sz w:val="20"/>
                <w:szCs w:val="20"/>
              </w:rPr>
            </w:pPr>
            <w:r w:rsidRPr="006D4208">
              <w:rPr>
                <w:rFonts w:asciiTheme="minorHAnsi" w:hAnsiTheme="minorHAnsi" w:cstheme="minorHAnsi"/>
                <w:sz w:val="20"/>
                <w:szCs w:val="20"/>
              </w:rPr>
              <w:t>21.5</w:t>
            </w:r>
          </w:p>
        </w:tc>
      </w:tr>
      <w:tr w:rsidR="001E02A1" w:rsidRPr="00B87A15" w14:paraId="1E2490D3" w14:textId="77777777" w:rsidTr="00310EA9">
        <w:tc>
          <w:tcPr>
            <w:tcW w:w="1612" w:type="pct"/>
          </w:tcPr>
          <w:p w14:paraId="2C7B3586" w14:textId="77777777" w:rsidR="001E02A1" w:rsidRPr="00A36F5C" w:rsidRDefault="001E02A1" w:rsidP="00AF5A74">
            <w:pPr>
              <w:rPr>
                <w:rFonts w:asciiTheme="minorHAnsi" w:hAnsiTheme="minorHAnsi" w:cstheme="minorHAnsi"/>
                <w:bCs/>
                <w:sz w:val="20"/>
                <w:szCs w:val="20"/>
              </w:rPr>
            </w:pPr>
            <w:r w:rsidRPr="00A36F5C">
              <w:rPr>
                <w:rFonts w:asciiTheme="minorHAnsi" w:hAnsiTheme="minorHAnsi" w:cstheme="minorHAnsi"/>
                <w:bCs/>
                <w:sz w:val="20"/>
                <w:szCs w:val="20"/>
              </w:rPr>
              <w:t>Fee and commission expense</w:t>
            </w:r>
          </w:p>
        </w:tc>
        <w:tc>
          <w:tcPr>
            <w:tcW w:w="459" w:type="pct"/>
            <w:tcBorders>
              <w:bottom w:val="single" w:sz="4" w:space="0" w:color="auto"/>
            </w:tcBorders>
            <w:shd w:val="clear" w:color="auto" w:fill="auto"/>
          </w:tcPr>
          <w:p w14:paraId="0DC12CF9" w14:textId="00652364" w:rsidR="001E02A1" w:rsidRPr="006D4208" w:rsidRDefault="001E02A1" w:rsidP="00AF5A74">
            <w:pPr>
              <w:jc w:val="right"/>
              <w:rPr>
                <w:rFonts w:asciiTheme="minorHAnsi" w:hAnsiTheme="minorHAnsi" w:cstheme="minorHAnsi"/>
                <w:sz w:val="20"/>
                <w:szCs w:val="20"/>
              </w:rPr>
            </w:pPr>
            <w:r w:rsidRPr="006D4208">
              <w:rPr>
                <w:rFonts w:asciiTheme="minorHAnsi" w:hAnsiTheme="minorHAnsi" w:cstheme="minorHAnsi"/>
                <w:sz w:val="20"/>
                <w:szCs w:val="20"/>
              </w:rPr>
              <w:t>(</w:t>
            </w:r>
            <w:r w:rsidR="00745FAF" w:rsidRPr="006D4208">
              <w:rPr>
                <w:rFonts w:asciiTheme="minorHAnsi" w:hAnsiTheme="minorHAnsi" w:cstheme="minorHAnsi"/>
                <w:sz w:val="20"/>
                <w:szCs w:val="20"/>
              </w:rPr>
              <w:t>0</w:t>
            </w:r>
            <w:r w:rsidRPr="006D4208">
              <w:rPr>
                <w:rFonts w:asciiTheme="minorHAnsi" w:hAnsiTheme="minorHAnsi" w:cstheme="minorHAnsi"/>
                <w:sz w:val="20"/>
                <w:szCs w:val="20"/>
              </w:rPr>
              <w:t>.7)</w:t>
            </w:r>
          </w:p>
        </w:tc>
        <w:tc>
          <w:tcPr>
            <w:tcW w:w="459" w:type="pct"/>
            <w:tcBorders>
              <w:bottom w:val="single" w:sz="4" w:space="0" w:color="auto"/>
            </w:tcBorders>
            <w:shd w:val="clear" w:color="auto" w:fill="auto"/>
          </w:tcPr>
          <w:p w14:paraId="46E71763" w14:textId="77777777" w:rsidR="001E02A1" w:rsidRPr="006D4208" w:rsidRDefault="001E02A1" w:rsidP="00AF5A74">
            <w:pPr>
              <w:jc w:val="right"/>
              <w:rPr>
                <w:rFonts w:asciiTheme="minorHAnsi" w:hAnsiTheme="minorHAnsi" w:cstheme="minorHAnsi"/>
                <w:sz w:val="20"/>
                <w:szCs w:val="20"/>
              </w:rPr>
            </w:pPr>
            <w:r w:rsidRPr="006D4208">
              <w:rPr>
                <w:rFonts w:asciiTheme="minorHAnsi" w:hAnsiTheme="minorHAnsi" w:cstheme="minorHAnsi"/>
                <w:sz w:val="20"/>
                <w:szCs w:val="20"/>
              </w:rPr>
              <w:t>-</w:t>
            </w:r>
          </w:p>
        </w:tc>
        <w:tc>
          <w:tcPr>
            <w:tcW w:w="459" w:type="pct"/>
            <w:tcBorders>
              <w:bottom w:val="single" w:sz="4" w:space="0" w:color="auto"/>
            </w:tcBorders>
            <w:shd w:val="clear" w:color="auto" w:fill="auto"/>
          </w:tcPr>
          <w:p w14:paraId="2A78FD05" w14:textId="77777777" w:rsidR="001E02A1" w:rsidRPr="006D4208" w:rsidRDefault="001E02A1" w:rsidP="00AF5A74">
            <w:pPr>
              <w:jc w:val="right"/>
              <w:rPr>
                <w:rFonts w:asciiTheme="minorHAnsi" w:hAnsiTheme="minorHAnsi" w:cstheme="minorHAnsi"/>
                <w:sz w:val="20"/>
                <w:szCs w:val="20"/>
              </w:rPr>
            </w:pPr>
            <w:r w:rsidRPr="006D4208">
              <w:rPr>
                <w:rFonts w:asciiTheme="minorHAnsi" w:hAnsiTheme="minorHAnsi" w:cstheme="minorHAnsi"/>
                <w:sz w:val="20"/>
                <w:szCs w:val="20"/>
              </w:rPr>
              <w:t>-</w:t>
            </w:r>
          </w:p>
        </w:tc>
        <w:tc>
          <w:tcPr>
            <w:tcW w:w="555" w:type="pct"/>
            <w:tcBorders>
              <w:bottom w:val="single" w:sz="4" w:space="0" w:color="auto"/>
            </w:tcBorders>
            <w:shd w:val="clear" w:color="auto" w:fill="auto"/>
          </w:tcPr>
          <w:p w14:paraId="7E8F6A4D" w14:textId="77777777" w:rsidR="001E02A1" w:rsidRPr="006D4208" w:rsidRDefault="001E02A1" w:rsidP="00AF5A74">
            <w:pPr>
              <w:jc w:val="right"/>
              <w:rPr>
                <w:rFonts w:asciiTheme="minorHAnsi" w:hAnsiTheme="minorHAnsi" w:cstheme="minorHAnsi"/>
                <w:sz w:val="20"/>
                <w:szCs w:val="20"/>
              </w:rPr>
            </w:pPr>
            <w:r w:rsidRPr="006D4208">
              <w:rPr>
                <w:rFonts w:asciiTheme="minorHAnsi" w:hAnsiTheme="minorHAnsi" w:cstheme="minorHAnsi"/>
                <w:sz w:val="20"/>
                <w:szCs w:val="20"/>
              </w:rPr>
              <w:t>-</w:t>
            </w:r>
          </w:p>
        </w:tc>
        <w:tc>
          <w:tcPr>
            <w:tcW w:w="460" w:type="pct"/>
            <w:tcBorders>
              <w:bottom w:val="single" w:sz="4" w:space="0" w:color="auto"/>
            </w:tcBorders>
            <w:shd w:val="clear" w:color="auto" w:fill="auto"/>
          </w:tcPr>
          <w:p w14:paraId="5EEE02BC" w14:textId="77777777" w:rsidR="001E02A1" w:rsidRPr="006D4208" w:rsidRDefault="001E02A1" w:rsidP="00AF5A74">
            <w:pPr>
              <w:jc w:val="right"/>
              <w:rPr>
                <w:rFonts w:asciiTheme="minorHAnsi" w:hAnsiTheme="minorHAnsi" w:cstheme="minorHAnsi"/>
                <w:sz w:val="20"/>
                <w:szCs w:val="20"/>
              </w:rPr>
            </w:pPr>
            <w:r w:rsidRPr="006D4208">
              <w:rPr>
                <w:rFonts w:asciiTheme="minorHAnsi" w:hAnsiTheme="minorHAnsi" w:cstheme="minorHAnsi"/>
                <w:sz w:val="20"/>
                <w:szCs w:val="20"/>
              </w:rPr>
              <w:t>-</w:t>
            </w:r>
          </w:p>
        </w:tc>
        <w:tc>
          <w:tcPr>
            <w:tcW w:w="535" w:type="pct"/>
            <w:tcBorders>
              <w:bottom w:val="single" w:sz="4" w:space="0" w:color="auto"/>
            </w:tcBorders>
            <w:shd w:val="clear" w:color="auto" w:fill="auto"/>
          </w:tcPr>
          <w:p w14:paraId="6BEBBC63" w14:textId="77777777" w:rsidR="001E02A1" w:rsidRPr="006D4208" w:rsidRDefault="001E02A1" w:rsidP="00AF5A74">
            <w:pPr>
              <w:jc w:val="right"/>
              <w:rPr>
                <w:rFonts w:asciiTheme="minorHAnsi" w:hAnsiTheme="minorHAnsi" w:cstheme="minorHAnsi"/>
                <w:sz w:val="20"/>
                <w:szCs w:val="20"/>
              </w:rPr>
            </w:pPr>
            <w:r w:rsidRPr="006D4208">
              <w:rPr>
                <w:rFonts w:asciiTheme="minorHAnsi" w:hAnsiTheme="minorHAnsi" w:cstheme="minorHAnsi"/>
                <w:sz w:val="20"/>
                <w:szCs w:val="20"/>
              </w:rPr>
              <w:t>-</w:t>
            </w:r>
          </w:p>
        </w:tc>
        <w:tc>
          <w:tcPr>
            <w:tcW w:w="461" w:type="pct"/>
            <w:tcBorders>
              <w:bottom w:val="single" w:sz="4" w:space="0" w:color="auto"/>
            </w:tcBorders>
            <w:shd w:val="clear" w:color="auto" w:fill="auto"/>
          </w:tcPr>
          <w:p w14:paraId="4DA716DA" w14:textId="57EE99B5" w:rsidR="001E02A1" w:rsidRPr="006D4208" w:rsidRDefault="001E02A1" w:rsidP="00AF5A74">
            <w:pPr>
              <w:jc w:val="right"/>
              <w:rPr>
                <w:rFonts w:asciiTheme="minorHAnsi" w:hAnsiTheme="minorHAnsi" w:cstheme="minorHAnsi"/>
                <w:sz w:val="20"/>
                <w:szCs w:val="20"/>
              </w:rPr>
            </w:pPr>
            <w:r w:rsidRPr="006D4208">
              <w:rPr>
                <w:rFonts w:asciiTheme="minorHAnsi" w:hAnsiTheme="minorHAnsi" w:cstheme="minorHAnsi"/>
                <w:sz w:val="20"/>
                <w:szCs w:val="20"/>
              </w:rPr>
              <w:t>(</w:t>
            </w:r>
            <w:r w:rsidR="00BB43E1" w:rsidRPr="006D4208">
              <w:rPr>
                <w:rFonts w:asciiTheme="minorHAnsi" w:hAnsiTheme="minorHAnsi" w:cstheme="minorHAnsi"/>
                <w:sz w:val="20"/>
                <w:szCs w:val="20"/>
              </w:rPr>
              <w:t>0</w:t>
            </w:r>
            <w:r w:rsidRPr="006D4208">
              <w:rPr>
                <w:rFonts w:asciiTheme="minorHAnsi" w:hAnsiTheme="minorHAnsi" w:cstheme="minorHAnsi"/>
                <w:sz w:val="20"/>
                <w:szCs w:val="20"/>
              </w:rPr>
              <w:t>.7)</w:t>
            </w:r>
          </w:p>
        </w:tc>
      </w:tr>
      <w:tr w:rsidR="001E02A1" w:rsidRPr="00B87A15" w14:paraId="413EC6E6" w14:textId="77777777" w:rsidTr="00310EA9">
        <w:tc>
          <w:tcPr>
            <w:tcW w:w="1612" w:type="pct"/>
          </w:tcPr>
          <w:p w14:paraId="7BD4AA24" w14:textId="77777777" w:rsidR="001E02A1" w:rsidRPr="00A36F5C" w:rsidRDefault="001E02A1" w:rsidP="00AF5A74">
            <w:pPr>
              <w:rPr>
                <w:rFonts w:asciiTheme="minorHAnsi" w:hAnsiTheme="minorHAnsi" w:cstheme="minorHAnsi"/>
                <w:b/>
                <w:sz w:val="20"/>
                <w:szCs w:val="20"/>
              </w:rPr>
            </w:pPr>
            <w:r w:rsidRPr="00A36F5C">
              <w:rPr>
                <w:rFonts w:asciiTheme="minorHAnsi" w:hAnsiTheme="minorHAnsi" w:cstheme="minorHAnsi"/>
                <w:b/>
                <w:sz w:val="20"/>
                <w:szCs w:val="20"/>
              </w:rPr>
              <w:t>Net fee and commission income</w:t>
            </w:r>
          </w:p>
        </w:tc>
        <w:tc>
          <w:tcPr>
            <w:tcW w:w="459" w:type="pct"/>
            <w:tcBorders>
              <w:top w:val="single" w:sz="4" w:space="0" w:color="auto"/>
              <w:bottom w:val="single" w:sz="4" w:space="0" w:color="auto"/>
            </w:tcBorders>
            <w:shd w:val="clear" w:color="auto" w:fill="auto"/>
          </w:tcPr>
          <w:p w14:paraId="28902FD3" w14:textId="6B82F06C" w:rsidR="001E02A1" w:rsidRPr="006D4208" w:rsidRDefault="006F2E17" w:rsidP="00AF5A74">
            <w:pPr>
              <w:jc w:val="right"/>
              <w:rPr>
                <w:rFonts w:asciiTheme="minorHAnsi" w:hAnsiTheme="minorHAnsi" w:cstheme="minorHAnsi"/>
                <w:b/>
                <w:sz w:val="20"/>
                <w:szCs w:val="20"/>
              </w:rPr>
            </w:pPr>
            <w:r w:rsidRPr="006D4208">
              <w:rPr>
                <w:rFonts w:asciiTheme="minorHAnsi" w:hAnsiTheme="minorHAnsi" w:cstheme="minorHAnsi"/>
                <w:b/>
                <w:sz w:val="20"/>
                <w:szCs w:val="20"/>
              </w:rPr>
              <w:t>20.8</w:t>
            </w:r>
          </w:p>
        </w:tc>
        <w:tc>
          <w:tcPr>
            <w:tcW w:w="459" w:type="pct"/>
            <w:tcBorders>
              <w:top w:val="single" w:sz="4" w:space="0" w:color="auto"/>
              <w:bottom w:val="single" w:sz="4" w:space="0" w:color="auto"/>
            </w:tcBorders>
            <w:shd w:val="clear" w:color="auto" w:fill="auto"/>
          </w:tcPr>
          <w:p w14:paraId="3E877829" w14:textId="77777777" w:rsidR="001E02A1" w:rsidRPr="006D4208" w:rsidRDefault="001E02A1" w:rsidP="00AF5A74">
            <w:pPr>
              <w:jc w:val="right"/>
              <w:rPr>
                <w:rFonts w:asciiTheme="minorHAnsi" w:hAnsiTheme="minorHAnsi" w:cstheme="minorHAnsi"/>
                <w:b/>
                <w:sz w:val="20"/>
                <w:szCs w:val="20"/>
              </w:rPr>
            </w:pPr>
            <w:r w:rsidRPr="006D4208">
              <w:rPr>
                <w:rFonts w:asciiTheme="minorHAnsi" w:hAnsiTheme="minorHAnsi" w:cstheme="minorHAnsi"/>
                <w:b/>
                <w:sz w:val="20"/>
                <w:szCs w:val="20"/>
              </w:rPr>
              <w:t>-</w:t>
            </w:r>
          </w:p>
        </w:tc>
        <w:tc>
          <w:tcPr>
            <w:tcW w:w="459" w:type="pct"/>
            <w:tcBorders>
              <w:top w:val="single" w:sz="4" w:space="0" w:color="auto"/>
              <w:bottom w:val="single" w:sz="4" w:space="0" w:color="auto"/>
            </w:tcBorders>
            <w:shd w:val="clear" w:color="auto" w:fill="auto"/>
          </w:tcPr>
          <w:p w14:paraId="6E1993CF" w14:textId="77777777" w:rsidR="001E02A1" w:rsidRPr="006D4208" w:rsidRDefault="001E02A1" w:rsidP="00AF5A74">
            <w:pPr>
              <w:jc w:val="right"/>
              <w:rPr>
                <w:rFonts w:asciiTheme="minorHAnsi" w:hAnsiTheme="minorHAnsi" w:cstheme="minorHAnsi"/>
                <w:b/>
                <w:sz w:val="20"/>
                <w:szCs w:val="20"/>
              </w:rPr>
            </w:pPr>
            <w:r w:rsidRPr="006D4208">
              <w:rPr>
                <w:rFonts w:asciiTheme="minorHAnsi" w:hAnsiTheme="minorHAnsi" w:cstheme="minorHAnsi"/>
                <w:b/>
                <w:sz w:val="20"/>
                <w:szCs w:val="20"/>
              </w:rPr>
              <w:t>-</w:t>
            </w:r>
          </w:p>
        </w:tc>
        <w:tc>
          <w:tcPr>
            <w:tcW w:w="555" w:type="pct"/>
            <w:tcBorders>
              <w:top w:val="single" w:sz="4" w:space="0" w:color="auto"/>
              <w:bottom w:val="single" w:sz="4" w:space="0" w:color="auto"/>
            </w:tcBorders>
            <w:shd w:val="clear" w:color="auto" w:fill="auto"/>
          </w:tcPr>
          <w:p w14:paraId="66486103" w14:textId="77777777" w:rsidR="001E02A1" w:rsidRPr="006D4208" w:rsidRDefault="001E02A1" w:rsidP="00AF5A74">
            <w:pPr>
              <w:jc w:val="right"/>
              <w:rPr>
                <w:rFonts w:asciiTheme="minorHAnsi" w:hAnsiTheme="minorHAnsi" w:cstheme="minorHAnsi"/>
                <w:b/>
                <w:sz w:val="20"/>
                <w:szCs w:val="20"/>
              </w:rPr>
            </w:pPr>
            <w:r w:rsidRPr="006D4208">
              <w:rPr>
                <w:rFonts w:asciiTheme="minorHAnsi" w:hAnsiTheme="minorHAnsi" w:cstheme="minorHAnsi"/>
                <w:b/>
                <w:sz w:val="20"/>
                <w:szCs w:val="20"/>
              </w:rPr>
              <w:t>-</w:t>
            </w:r>
          </w:p>
        </w:tc>
        <w:tc>
          <w:tcPr>
            <w:tcW w:w="460" w:type="pct"/>
            <w:tcBorders>
              <w:top w:val="single" w:sz="4" w:space="0" w:color="auto"/>
              <w:bottom w:val="single" w:sz="4" w:space="0" w:color="auto"/>
            </w:tcBorders>
            <w:shd w:val="clear" w:color="auto" w:fill="auto"/>
          </w:tcPr>
          <w:p w14:paraId="01BE90D4" w14:textId="77777777" w:rsidR="001E02A1" w:rsidRPr="006D4208" w:rsidRDefault="001E02A1" w:rsidP="00AF5A74">
            <w:pPr>
              <w:jc w:val="right"/>
              <w:rPr>
                <w:rFonts w:asciiTheme="minorHAnsi" w:hAnsiTheme="minorHAnsi" w:cstheme="minorHAnsi"/>
                <w:b/>
                <w:sz w:val="20"/>
                <w:szCs w:val="20"/>
              </w:rPr>
            </w:pPr>
            <w:r w:rsidRPr="006D4208">
              <w:rPr>
                <w:rFonts w:asciiTheme="minorHAnsi" w:hAnsiTheme="minorHAnsi" w:cstheme="minorHAnsi"/>
                <w:b/>
                <w:sz w:val="20"/>
                <w:szCs w:val="20"/>
              </w:rPr>
              <w:t>-</w:t>
            </w:r>
          </w:p>
        </w:tc>
        <w:tc>
          <w:tcPr>
            <w:tcW w:w="535" w:type="pct"/>
            <w:tcBorders>
              <w:top w:val="single" w:sz="4" w:space="0" w:color="auto"/>
              <w:bottom w:val="single" w:sz="4" w:space="0" w:color="auto"/>
            </w:tcBorders>
            <w:shd w:val="clear" w:color="auto" w:fill="auto"/>
          </w:tcPr>
          <w:p w14:paraId="06C6B53D" w14:textId="77777777" w:rsidR="001E02A1" w:rsidRPr="006D4208" w:rsidRDefault="001E02A1" w:rsidP="00AF5A74">
            <w:pPr>
              <w:jc w:val="right"/>
              <w:rPr>
                <w:rFonts w:asciiTheme="minorHAnsi" w:hAnsiTheme="minorHAnsi" w:cstheme="minorHAnsi"/>
                <w:b/>
                <w:sz w:val="20"/>
                <w:szCs w:val="20"/>
              </w:rPr>
            </w:pPr>
            <w:r w:rsidRPr="006D4208">
              <w:rPr>
                <w:rFonts w:asciiTheme="minorHAnsi" w:hAnsiTheme="minorHAnsi" w:cstheme="minorHAnsi"/>
                <w:b/>
                <w:sz w:val="20"/>
                <w:szCs w:val="20"/>
              </w:rPr>
              <w:t>-</w:t>
            </w:r>
          </w:p>
        </w:tc>
        <w:tc>
          <w:tcPr>
            <w:tcW w:w="461" w:type="pct"/>
            <w:tcBorders>
              <w:top w:val="single" w:sz="4" w:space="0" w:color="auto"/>
              <w:bottom w:val="single" w:sz="4" w:space="0" w:color="auto"/>
            </w:tcBorders>
            <w:shd w:val="clear" w:color="auto" w:fill="auto"/>
          </w:tcPr>
          <w:p w14:paraId="10239CB0" w14:textId="26A7D140" w:rsidR="001E02A1" w:rsidRPr="006D4208" w:rsidRDefault="00F8130E" w:rsidP="00AF5A74">
            <w:pPr>
              <w:jc w:val="right"/>
              <w:rPr>
                <w:rFonts w:asciiTheme="minorHAnsi" w:hAnsiTheme="minorHAnsi" w:cstheme="minorHAnsi"/>
                <w:b/>
                <w:sz w:val="20"/>
                <w:szCs w:val="20"/>
              </w:rPr>
            </w:pPr>
            <w:r w:rsidRPr="006D4208">
              <w:rPr>
                <w:rFonts w:asciiTheme="minorHAnsi" w:hAnsiTheme="minorHAnsi" w:cstheme="minorHAnsi"/>
                <w:b/>
                <w:sz w:val="20"/>
                <w:szCs w:val="20"/>
              </w:rPr>
              <w:t>20.8</w:t>
            </w:r>
          </w:p>
        </w:tc>
      </w:tr>
      <w:tr w:rsidR="001E02A1" w:rsidRPr="00B87A15" w14:paraId="47B6E4CE" w14:textId="77777777" w:rsidTr="00310EA9">
        <w:tc>
          <w:tcPr>
            <w:tcW w:w="1612" w:type="pct"/>
          </w:tcPr>
          <w:p w14:paraId="20612E46" w14:textId="77777777" w:rsidR="001E02A1" w:rsidRPr="00A36F5C" w:rsidRDefault="001E02A1" w:rsidP="00AF5A74">
            <w:pPr>
              <w:rPr>
                <w:rFonts w:asciiTheme="minorHAnsi" w:hAnsiTheme="minorHAnsi" w:cstheme="minorHAnsi"/>
                <w:bCs/>
                <w:sz w:val="20"/>
                <w:szCs w:val="20"/>
              </w:rPr>
            </w:pPr>
            <w:r w:rsidRPr="00A36F5C">
              <w:rPr>
                <w:rFonts w:asciiTheme="minorHAnsi" w:hAnsiTheme="minorHAnsi" w:cstheme="minorHAnsi"/>
                <w:bCs/>
                <w:sz w:val="20"/>
                <w:szCs w:val="20"/>
              </w:rPr>
              <w:t>Other income</w:t>
            </w:r>
          </w:p>
        </w:tc>
        <w:tc>
          <w:tcPr>
            <w:tcW w:w="459" w:type="pct"/>
            <w:tcBorders>
              <w:top w:val="single" w:sz="4" w:space="0" w:color="auto"/>
              <w:bottom w:val="single" w:sz="4" w:space="0" w:color="auto"/>
            </w:tcBorders>
            <w:shd w:val="clear" w:color="auto" w:fill="auto"/>
          </w:tcPr>
          <w:p w14:paraId="4B3904F4" w14:textId="4BFE0CFA" w:rsidR="001E02A1" w:rsidRPr="006D4208" w:rsidRDefault="002A03D8" w:rsidP="00AF5A74">
            <w:pPr>
              <w:jc w:val="right"/>
              <w:rPr>
                <w:rFonts w:asciiTheme="minorHAnsi" w:hAnsiTheme="minorHAnsi" w:cstheme="minorHAnsi"/>
                <w:sz w:val="20"/>
                <w:szCs w:val="20"/>
              </w:rPr>
            </w:pPr>
            <w:r w:rsidRPr="006D4208">
              <w:rPr>
                <w:rFonts w:asciiTheme="minorHAnsi" w:hAnsiTheme="minorHAnsi" w:cstheme="minorHAnsi"/>
                <w:sz w:val="20"/>
                <w:szCs w:val="20"/>
              </w:rPr>
              <w:t>0.2</w:t>
            </w:r>
          </w:p>
        </w:tc>
        <w:tc>
          <w:tcPr>
            <w:tcW w:w="459" w:type="pct"/>
            <w:tcBorders>
              <w:top w:val="single" w:sz="4" w:space="0" w:color="auto"/>
              <w:bottom w:val="single" w:sz="4" w:space="0" w:color="auto"/>
            </w:tcBorders>
            <w:shd w:val="clear" w:color="auto" w:fill="auto"/>
          </w:tcPr>
          <w:p w14:paraId="657FD017" w14:textId="50045BFD" w:rsidR="001E02A1" w:rsidRPr="006D4208" w:rsidRDefault="006F2E17" w:rsidP="00AF5A74">
            <w:pPr>
              <w:jc w:val="right"/>
              <w:rPr>
                <w:rFonts w:asciiTheme="minorHAnsi" w:hAnsiTheme="minorHAnsi" w:cstheme="minorHAnsi"/>
                <w:sz w:val="20"/>
                <w:szCs w:val="20"/>
              </w:rPr>
            </w:pPr>
            <w:r w:rsidRPr="006D4208">
              <w:rPr>
                <w:rFonts w:asciiTheme="minorHAnsi" w:hAnsiTheme="minorHAnsi" w:cstheme="minorHAnsi"/>
                <w:sz w:val="20"/>
                <w:szCs w:val="20"/>
              </w:rPr>
              <w:t>1.6</w:t>
            </w:r>
          </w:p>
        </w:tc>
        <w:tc>
          <w:tcPr>
            <w:tcW w:w="459" w:type="pct"/>
            <w:tcBorders>
              <w:top w:val="single" w:sz="4" w:space="0" w:color="auto"/>
              <w:bottom w:val="single" w:sz="4" w:space="0" w:color="auto"/>
            </w:tcBorders>
            <w:shd w:val="clear" w:color="auto" w:fill="auto"/>
          </w:tcPr>
          <w:p w14:paraId="735EFF2F" w14:textId="77777777" w:rsidR="001E02A1" w:rsidRPr="006D4208" w:rsidRDefault="001E02A1" w:rsidP="00AF5A74">
            <w:pPr>
              <w:jc w:val="right"/>
              <w:rPr>
                <w:rFonts w:asciiTheme="minorHAnsi" w:hAnsiTheme="minorHAnsi" w:cstheme="minorHAnsi"/>
                <w:sz w:val="20"/>
                <w:szCs w:val="20"/>
              </w:rPr>
            </w:pPr>
            <w:r w:rsidRPr="006D4208">
              <w:rPr>
                <w:rFonts w:asciiTheme="minorHAnsi" w:hAnsiTheme="minorHAnsi" w:cstheme="minorHAnsi"/>
                <w:sz w:val="20"/>
                <w:szCs w:val="20"/>
              </w:rPr>
              <w:t>-</w:t>
            </w:r>
          </w:p>
        </w:tc>
        <w:tc>
          <w:tcPr>
            <w:tcW w:w="555" w:type="pct"/>
            <w:tcBorders>
              <w:top w:val="single" w:sz="4" w:space="0" w:color="auto"/>
              <w:bottom w:val="single" w:sz="4" w:space="0" w:color="auto"/>
            </w:tcBorders>
            <w:shd w:val="clear" w:color="auto" w:fill="auto"/>
          </w:tcPr>
          <w:p w14:paraId="1E709F71" w14:textId="77777777" w:rsidR="001E02A1" w:rsidRPr="006D4208" w:rsidRDefault="001E02A1" w:rsidP="00AF5A74">
            <w:pPr>
              <w:jc w:val="right"/>
              <w:rPr>
                <w:rFonts w:asciiTheme="minorHAnsi" w:hAnsiTheme="minorHAnsi" w:cstheme="minorHAnsi"/>
                <w:sz w:val="20"/>
                <w:szCs w:val="20"/>
              </w:rPr>
            </w:pPr>
            <w:r w:rsidRPr="006D4208">
              <w:rPr>
                <w:rFonts w:asciiTheme="minorHAnsi" w:hAnsiTheme="minorHAnsi" w:cstheme="minorHAnsi"/>
                <w:sz w:val="20"/>
                <w:szCs w:val="20"/>
              </w:rPr>
              <w:t>-</w:t>
            </w:r>
          </w:p>
        </w:tc>
        <w:tc>
          <w:tcPr>
            <w:tcW w:w="460" w:type="pct"/>
            <w:tcBorders>
              <w:top w:val="single" w:sz="4" w:space="0" w:color="auto"/>
              <w:bottom w:val="single" w:sz="4" w:space="0" w:color="auto"/>
            </w:tcBorders>
            <w:shd w:val="clear" w:color="auto" w:fill="auto"/>
          </w:tcPr>
          <w:p w14:paraId="61A18525" w14:textId="582BC5BA" w:rsidR="001E02A1" w:rsidRPr="006D4208" w:rsidRDefault="0032686D" w:rsidP="00AF5A74">
            <w:pPr>
              <w:jc w:val="right"/>
              <w:rPr>
                <w:rFonts w:asciiTheme="minorHAnsi" w:hAnsiTheme="minorHAnsi" w:cstheme="minorHAnsi"/>
                <w:sz w:val="20"/>
                <w:szCs w:val="20"/>
              </w:rPr>
            </w:pPr>
            <w:r w:rsidRPr="006D4208">
              <w:rPr>
                <w:rFonts w:asciiTheme="minorHAnsi" w:hAnsiTheme="minorHAnsi" w:cstheme="minorHAnsi"/>
                <w:sz w:val="20"/>
                <w:szCs w:val="20"/>
              </w:rPr>
              <w:t>-</w:t>
            </w:r>
          </w:p>
        </w:tc>
        <w:tc>
          <w:tcPr>
            <w:tcW w:w="535" w:type="pct"/>
            <w:tcBorders>
              <w:top w:val="single" w:sz="4" w:space="0" w:color="auto"/>
              <w:bottom w:val="single" w:sz="4" w:space="0" w:color="auto"/>
            </w:tcBorders>
            <w:shd w:val="clear" w:color="auto" w:fill="auto"/>
          </w:tcPr>
          <w:p w14:paraId="0C7DC725" w14:textId="7A8698F0" w:rsidR="001E02A1" w:rsidRPr="006D4208" w:rsidRDefault="00AA069F" w:rsidP="00AF5A74">
            <w:pPr>
              <w:jc w:val="right"/>
              <w:rPr>
                <w:rFonts w:asciiTheme="minorHAnsi" w:hAnsiTheme="minorHAnsi" w:cstheme="minorHAnsi"/>
                <w:sz w:val="20"/>
                <w:szCs w:val="20"/>
              </w:rPr>
            </w:pPr>
            <w:r w:rsidRPr="006D4208">
              <w:rPr>
                <w:rFonts w:asciiTheme="minorHAnsi" w:hAnsiTheme="minorHAnsi" w:cstheme="minorHAnsi"/>
                <w:b/>
                <w:sz w:val="20"/>
                <w:szCs w:val="20"/>
              </w:rPr>
              <w:t>-</w:t>
            </w:r>
          </w:p>
        </w:tc>
        <w:tc>
          <w:tcPr>
            <w:tcW w:w="461" w:type="pct"/>
            <w:tcBorders>
              <w:top w:val="single" w:sz="4" w:space="0" w:color="auto"/>
              <w:bottom w:val="single" w:sz="4" w:space="0" w:color="auto"/>
            </w:tcBorders>
            <w:shd w:val="clear" w:color="auto" w:fill="auto"/>
          </w:tcPr>
          <w:p w14:paraId="504D7CBB" w14:textId="3FBADE0D" w:rsidR="001E02A1" w:rsidRPr="006D4208" w:rsidRDefault="00F02569" w:rsidP="00AF5A74">
            <w:pPr>
              <w:jc w:val="right"/>
              <w:rPr>
                <w:rFonts w:asciiTheme="minorHAnsi" w:hAnsiTheme="minorHAnsi" w:cstheme="minorHAnsi"/>
                <w:sz w:val="20"/>
                <w:szCs w:val="20"/>
              </w:rPr>
            </w:pPr>
            <w:r w:rsidRPr="006D4208">
              <w:rPr>
                <w:rFonts w:asciiTheme="minorHAnsi" w:hAnsiTheme="minorHAnsi" w:cstheme="minorHAnsi"/>
                <w:sz w:val="20"/>
                <w:szCs w:val="20"/>
              </w:rPr>
              <w:t>1</w:t>
            </w:r>
            <w:r w:rsidR="006107CF" w:rsidRPr="006D4208">
              <w:rPr>
                <w:rFonts w:asciiTheme="minorHAnsi" w:hAnsiTheme="minorHAnsi" w:cstheme="minorHAnsi"/>
                <w:sz w:val="20"/>
                <w:szCs w:val="20"/>
              </w:rPr>
              <w:t>.8</w:t>
            </w:r>
          </w:p>
        </w:tc>
      </w:tr>
      <w:tr w:rsidR="001E02A1" w:rsidRPr="00B87A15" w14:paraId="5395BC25" w14:textId="77777777" w:rsidTr="00310EA9">
        <w:tc>
          <w:tcPr>
            <w:tcW w:w="1612" w:type="pct"/>
          </w:tcPr>
          <w:p w14:paraId="4E7488A1" w14:textId="77777777" w:rsidR="001E02A1" w:rsidRPr="00A36F5C" w:rsidRDefault="001E02A1" w:rsidP="00AF5A74">
            <w:pPr>
              <w:rPr>
                <w:rFonts w:asciiTheme="minorHAnsi" w:hAnsiTheme="minorHAnsi" w:cstheme="minorHAnsi"/>
                <w:b/>
                <w:sz w:val="20"/>
                <w:szCs w:val="20"/>
              </w:rPr>
            </w:pPr>
            <w:r w:rsidRPr="00A36F5C">
              <w:rPr>
                <w:rFonts w:asciiTheme="minorHAnsi" w:hAnsiTheme="minorHAnsi" w:cstheme="minorHAnsi"/>
                <w:b/>
                <w:sz w:val="20"/>
                <w:szCs w:val="20"/>
              </w:rPr>
              <w:t>Total income</w:t>
            </w:r>
          </w:p>
        </w:tc>
        <w:tc>
          <w:tcPr>
            <w:tcW w:w="459" w:type="pct"/>
            <w:tcBorders>
              <w:top w:val="single" w:sz="4" w:space="0" w:color="auto"/>
              <w:bottom w:val="single" w:sz="4" w:space="0" w:color="auto"/>
            </w:tcBorders>
            <w:shd w:val="clear" w:color="auto" w:fill="auto"/>
          </w:tcPr>
          <w:p w14:paraId="67AA6180" w14:textId="601CA9F6" w:rsidR="001E02A1" w:rsidRPr="006D4208" w:rsidRDefault="006F2E17" w:rsidP="00AF5A74">
            <w:pPr>
              <w:jc w:val="right"/>
              <w:rPr>
                <w:rFonts w:asciiTheme="minorHAnsi" w:hAnsiTheme="minorHAnsi" w:cstheme="minorHAnsi"/>
                <w:b/>
                <w:sz w:val="20"/>
                <w:szCs w:val="20"/>
              </w:rPr>
            </w:pPr>
            <w:r w:rsidRPr="006D4208">
              <w:rPr>
                <w:rFonts w:asciiTheme="minorHAnsi" w:hAnsiTheme="minorHAnsi" w:cstheme="minorHAnsi"/>
                <w:b/>
                <w:sz w:val="20"/>
                <w:szCs w:val="20"/>
              </w:rPr>
              <w:t>175.4</w:t>
            </w:r>
          </w:p>
        </w:tc>
        <w:tc>
          <w:tcPr>
            <w:tcW w:w="459" w:type="pct"/>
            <w:tcBorders>
              <w:top w:val="single" w:sz="4" w:space="0" w:color="auto"/>
              <w:bottom w:val="single" w:sz="4" w:space="0" w:color="auto"/>
            </w:tcBorders>
            <w:shd w:val="clear" w:color="auto" w:fill="auto"/>
          </w:tcPr>
          <w:p w14:paraId="0E6B639D" w14:textId="0E2E5F73" w:rsidR="001E02A1" w:rsidRPr="006D4208" w:rsidRDefault="001E02A1" w:rsidP="00AF5A74">
            <w:pPr>
              <w:jc w:val="right"/>
              <w:rPr>
                <w:rFonts w:asciiTheme="minorHAnsi" w:hAnsiTheme="minorHAnsi" w:cstheme="minorHAnsi"/>
                <w:b/>
                <w:sz w:val="20"/>
                <w:szCs w:val="20"/>
              </w:rPr>
            </w:pPr>
            <w:r w:rsidRPr="006D4208">
              <w:rPr>
                <w:rFonts w:asciiTheme="minorHAnsi" w:hAnsiTheme="minorHAnsi" w:cstheme="minorHAnsi"/>
                <w:b/>
                <w:sz w:val="20"/>
                <w:szCs w:val="20"/>
              </w:rPr>
              <w:t>6</w:t>
            </w:r>
            <w:r w:rsidR="006F2E17" w:rsidRPr="006D4208">
              <w:rPr>
                <w:rFonts w:asciiTheme="minorHAnsi" w:hAnsiTheme="minorHAnsi" w:cstheme="minorHAnsi"/>
                <w:b/>
                <w:sz w:val="20"/>
                <w:szCs w:val="20"/>
              </w:rPr>
              <w:t>2.1</w:t>
            </w:r>
          </w:p>
        </w:tc>
        <w:tc>
          <w:tcPr>
            <w:tcW w:w="459" w:type="pct"/>
            <w:tcBorders>
              <w:top w:val="single" w:sz="4" w:space="0" w:color="auto"/>
              <w:bottom w:val="single" w:sz="4" w:space="0" w:color="auto"/>
            </w:tcBorders>
            <w:shd w:val="clear" w:color="auto" w:fill="auto"/>
          </w:tcPr>
          <w:p w14:paraId="48D93808" w14:textId="0BE094F9" w:rsidR="001E02A1" w:rsidRPr="006D4208" w:rsidRDefault="0079442A" w:rsidP="00AF5A74">
            <w:pPr>
              <w:jc w:val="right"/>
              <w:rPr>
                <w:rFonts w:asciiTheme="minorHAnsi" w:hAnsiTheme="minorHAnsi" w:cstheme="minorHAnsi"/>
                <w:b/>
                <w:sz w:val="20"/>
                <w:szCs w:val="20"/>
              </w:rPr>
            </w:pPr>
            <w:r w:rsidRPr="006D4208">
              <w:rPr>
                <w:rFonts w:asciiTheme="minorHAnsi" w:hAnsiTheme="minorHAnsi" w:cstheme="minorHAnsi"/>
                <w:b/>
                <w:sz w:val="20"/>
                <w:szCs w:val="20"/>
              </w:rPr>
              <w:t>10.4</w:t>
            </w:r>
          </w:p>
        </w:tc>
        <w:tc>
          <w:tcPr>
            <w:tcW w:w="555" w:type="pct"/>
            <w:tcBorders>
              <w:top w:val="single" w:sz="4" w:space="0" w:color="auto"/>
              <w:bottom w:val="single" w:sz="4" w:space="0" w:color="auto"/>
            </w:tcBorders>
            <w:shd w:val="clear" w:color="auto" w:fill="auto"/>
          </w:tcPr>
          <w:p w14:paraId="50475502" w14:textId="4C94F8D4" w:rsidR="001E02A1" w:rsidRPr="006D4208" w:rsidRDefault="006663A6" w:rsidP="00AF5A74">
            <w:pPr>
              <w:jc w:val="right"/>
              <w:rPr>
                <w:rFonts w:asciiTheme="minorHAnsi" w:hAnsiTheme="minorHAnsi" w:cstheme="minorHAnsi"/>
                <w:b/>
                <w:sz w:val="20"/>
                <w:szCs w:val="20"/>
              </w:rPr>
            </w:pPr>
            <w:r w:rsidRPr="006D4208">
              <w:rPr>
                <w:rFonts w:asciiTheme="minorHAnsi" w:hAnsiTheme="minorHAnsi" w:cstheme="minorHAnsi"/>
                <w:b/>
                <w:sz w:val="20"/>
                <w:szCs w:val="20"/>
              </w:rPr>
              <w:t>-</w:t>
            </w:r>
          </w:p>
        </w:tc>
        <w:tc>
          <w:tcPr>
            <w:tcW w:w="460" w:type="pct"/>
            <w:tcBorders>
              <w:top w:val="single" w:sz="4" w:space="0" w:color="auto"/>
              <w:bottom w:val="single" w:sz="4" w:space="0" w:color="auto"/>
            </w:tcBorders>
            <w:shd w:val="clear" w:color="auto" w:fill="auto"/>
          </w:tcPr>
          <w:p w14:paraId="5B952037" w14:textId="53C98A4E" w:rsidR="001E02A1" w:rsidRPr="006D4208" w:rsidRDefault="0032686D" w:rsidP="00AF5A74">
            <w:pPr>
              <w:jc w:val="right"/>
              <w:rPr>
                <w:rFonts w:asciiTheme="minorHAnsi" w:hAnsiTheme="minorHAnsi" w:cstheme="minorHAnsi"/>
                <w:b/>
                <w:sz w:val="20"/>
                <w:szCs w:val="20"/>
              </w:rPr>
            </w:pPr>
            <w:r w:rsidRPr="006D4208">
              <w:rPr>
                <w:rFonts w:asciiTheme="minorHAnsi" w:hAnsiTheme="minorHAnsi" w:cstheme="minorHAnsi"/>
                <w:b/>
                <w:sz w:val="20"/>
                <w:szCs w:val="20"/>
              </w:rPr>
              <w:t>-</w:t>
            </w:r>
          </w:p>
        </w:tc>
        <w:tc>
          <w:tcPr>
            <w:tcW w:w="535" w:type="pct"/>
            <w:tcBorders>
              <w:top w:val="single" w:sz="4" w:space="0" w:color="auto"/>
              <w:bottom w:val="single" w:sz="4" w:space="0" w:color="auto"/>
            </w:tcBorders>
            <w:shd w:val="clear" w:color="auto" w:fill="auto"/>
          </w:tcPr>
          <w:p w14:paraId="0301CCCE" w14:textId="26F8CF78" w:rsidR="001E02A1" w:rsidRPr="006D4208" w:rsidRDefault="001E02A1" w:rsidP="00AF5A74">
            <w:pPr>
              <w:jc w:val="right"/>
              <w:rPr>
                <w:rFonts w:asciiTheme="minorHAnsi" w:hAnsiTheme="minorHAnsi" w:cstheme="minorHAnsi"/>
                <w:b/>
                <w:sz w:val="20"/>
                <w:szCs w:val="20"/>
              </w:rPr>
            </w:pPr>
            <w:r w:rsidRPr="006D4208">
              <w:rPr>
                <w:rFonts w:asciiTheme="minorHAnsi" w:hAnsiTheme="minorHAnsi" w:cstheme="minorHAnsi"/>
                <w:b/>
                <w:sz w:val="20"/>
                <w:szCs w:val="20"/>
              </w:rPr>
              <w:t>(</w:t>
            </w:r>
            <w:r w:rsidR="00DC68C7" w:rsidRPr="006D4208">
              <w:rPr>
                <w:rFonts w:asciiTheme="minorHAnsi" w:hAnsiTheme="minorHAnsi" w:cstheme="minorHAnsi"/>
                <w:b/>
                <w:sz w:val="20"/>
                <w:szCs w:val="20"/>
              </w:rPr>
              <w:t>10.8</w:t>
            </w:r>
            <w:r w:rsidRPr="006D4208">
              <w:rPr>
                <w:rFonts w:asciiTheme="minorHAnsi" w:hAnsiTheme="minorHAnsi" w:cstheme="minorHAnsi"/>
                <w:b/>
                <w:sz w:val="20"/>
                <w:szCs w:val="20"/>
              </w:rPr>
              <w:t>)</w:t>
            </w:r>
          </w:p>
        </w:tc>
        <w:tc>
          <w:tcPr>
            <w:tcW w:w="461" w:type="pct"/>
            <w:tcBorders>
              <w:top w:val="single" w:sz="4" w:space="0" w:color="auto"/>
              <w:bottom w:val="single" w:sz="4" w:space="0" w:color="auto"/>
            </w:tcBorders>
            <w:shd w:val="clear" w:color="auto" w:fill="auto"/>
          </w:tcPr>
          <w:p w14:paraId="771AA0BF" w14:textId="13B5D533" w:rsidR="001E02A1" w:rsidRPr="006D4208" w:rsidRDefault="00E06B41" w:rsidP="00AF5A74">
            <w:pPr>
              <w:jc w:val="right"/>
              <w:rPr>
                <w:rFonts w:asciiTheme="minorHAnsi" w:hAnsiTheme="minorHAnsi" w:cstheme="minorHAnsi"/>
                <w:b/>
                <w:sz w:val="20"/>
                <w:szCs w:val="20"/>
              </w:rPr>
            </w:pPr>
            <w:r w:rsidRPr="006D4208">
              <w:rPr>
                <w:rFonts w:asciiTheme="minorHAnsi" w:hAnsiTheme="minorHAnsi" w:cstheme="minorHAnsi"/>
                <w:b/>
                <w:sz w:val="20"/>
                <w:szCs w:val="20"/>
              </w:rPr>
              <w:t>237.1</w:t>
            </w:r>
          </w:p>
        </w:tc>
      </w:tr>
      <w:tr w:rsidR="001E02A1" w:rsidRPr="00B87A15" w14:paraId="39A45F79" w14:textId="77777777" w:rsidTr="00310EA9">
        <w:tc>
          <w:tcPr>
            <w:tcW w:w="1612" w:type="pct"/>
          </w:tcPr>
          <w:p w14:paraId="325FB27B" w14:textId="77777777" w:rsidR="001E02A1" w:rsidRPr="00A36F5C" w:rsidRDefault="001E02A1" w:rsidP="00AF5A74">
            <w:pPr>
              <w:rPr>
                <w:rFonts w:asciiTheme="minorHAnsi" w:hAnsiTheme="minorHAnsi" w:cstheme="minorHAnsi"/>
                <w:bCs/>
                <w:sz w:val="20"/>
                <w:szCs w:val="20"/>
              </w:rPr>
            </w:pPr>
            <w:r w:rsidRPr="00A36F5C">
              <w:rPr>
                <w:rFonts w:asciiTheme="minorHAnsi" w:hAnsiTheme="minorHAnsi" w:cstheme="minorHAnsi"/>
                <w:bCs/>
                <w:sz w:val="20"/>
                <w:szCs w:val="20"/>
              </w:rPr>
              <w:t>Impairment charges</w:t>
            </w:r>
          </w:p>
        </w:tc>
        <w:tc>
          <w:tcPr>
            <w:tcW w:w="459" w:type="pct"/>
            <w:tcBorders>
              <w:top w:val="single" w:sz="4" w:space="0" w:color="auto"/>
              <w:bottom w:val="single" w:sz="4" w:space="0" w:color="auto"/>
            </w:tcBorders>
            <w:shd w:val="clear" w:color="auto" w:fill="auto"/>
          </w:tcPr>
          <w:p w14:paraId="1C4EE6C3" w14:textId="2F9A856E" w:rsidR="001E02A1" w:rsidRPr="006D4208" w:rsidRDefault="001E02A1" w:rsidP="00AF5A74">
            <w:pPr>
              <w:jc w:val="right"/>
              <w:rPr>
                <w:rFonts w:asciiTheme="minorHAnsi" w:hAnsiTheme="minorHAnsi" w:cstheme="minorHAnsi"/>
                <w:sz w:val="20"/>
                <w:szCs w:val="20"/>
              </w:rPr>
            </w:pPr>
            <w:r w:rsidRPr="006D4208">
              <w:rPr>
                <w:rFonts w:asciiTheme="minorHAnsi" w:hAnsiTheme="minorHAnsi" w:cstheme="minorHAnsi"/>
                <w:sz w:val="20"/>
                <w:szCs w:val="20"/>
              </w:rPr>
              <w:t>(</w:t>
            </w:r>
            <w:r w:rsidR="006F2E17" w:rsidRPr="006D4208">
              <w:rPr>
                <w:rFonts w:asciiTheme="minorHAnsi" w:hAnsiTheme="minorHAnsi" w:cstheme="minorHAnsi"/>
                <w:sz w:val="20"/>
                <w:szCs w:val="20"/>
              </w:rPr>
              <w:t>55.4</w:t>
            </w:r>
            <w:r w:rsidRPr="006D4208">
              <w:rPr>
                <w:rFonts w:asciiTheme="minorHAnsi" w:hAnsiTheme="minorHAnsi" w:cstheme="minorHAnsi"/>
                <w:sz w:val="20"/>
                <w:szCs w:val="20"/>
              </w:rPr>
              <w:t>)</w:t>
            </w:r>
          </w:p>
        </w:tc>
        <w:tc>
          <w:tcPr>
            <w:tcW w:w="459" w:type="pct"/>
            <w:tcBorders>
              <w:top w:val="single" w:sz="4" w:space="0" w:color="auto"/>
              <w:bottom w:val="single" w:sz="4" w:space="0" w:color="auto"/>
            </w:tcBorders>
            <w:shd w:val="clear" w:color="auto" w:fill="auto"/>
          </w:tcPr>
          <w:p w14:paraId="19F784A9" w14:textId="2A6B005B" w:rsidR="001E02A1" w:rsidRPr="006D4208" w:rsidRDefault="001E02A1" w:rsidP="00AF5A74">
            <w:pPr>
              <w:jc w:val="right"/>
              <w:rPr>
                <w:rFonts w:asciiTheme="minorHAnsi" w:hAnsiTheme="minorHAnsi" w:cstheme="minorHAnsi"/>
                <w:sz w:val="20"/>
                <w:szCs w:val="20"/>
              </w:rPr>
            </w:pPr>
            <w:r w:rsidRPr="006D4208">
              <w:rPr>
                <w:rFonts w:asciiTheme="minorHAnsi" w:hAnsiTheme="minorHAnsi" w:cstheme="minorHAnsi"/>
                <w:sz w:val="20"/>
                <w:szCs w:val="20"/>
              </w:rPr>
              <w:t>(</w:t>
            </w:r>
            <w:r w:rsidR="00A81787" w:rsidRPr="006D4208">
              <w:rPr>
                <w:rFonts w:asciiTheme="minorHAnsi" w:hAnsiTheme="minorHAnsi" w:cstheme="minorHAnsi"/>
                <w:sz w:val="20"/>
                <w:szCs w:val="20"/>
              </w:rPr>
              <w:t>2</w:t>
            </w:r>
            <w:r w:rsidR="003C2DC4">
              <w:rPr>
                <w:rFonts w:asciiTheme="minorHAnsi" w:hAnsiTheme="minorHAnsi" w:cstheme="minorHAnsi"/>
                <w:sz w:val="20"/>
                <w:szCs w:val="20"/>
              </w:rPr>
              <w:t>6.6</w:t>
            </w:r>
            <w:r w:rsidRPr="006D4208">
              <w:rPr>
                <w:rFonts w:asciiTheme="minorHAnsi" w:hAnsiTheme="minorHAnsi" w:cstheme="minorHAnsi"/>
                <w:sz w:val="20"/>
                <w:szCs w:val="20"/>
              </w:rPr>
              <w:t>)</w:t>
            </w:r>
          </w:p>
        </w:tc>
        <w:tc>
          <w:tcPr>
            <w:tcW w:w="459" w:type="pct"/>
            <w:tcBorders>
              <w:top w:val="single" w:sz="4" w:space="0" w:color="auto"/>
              <w:bottom w:val="single" w:sz="4" w:space="0" w:color="auto"/>
            </w:tcBorders>
            <w:shd w:val="clear" w:color="auto" w:fill="auto"/>
          </w:tcPr>
          <w:p w14:paraId="47A8F540" w14:textId="326A99ED" w:rsidR="001E02A1" w:rsidRPr="006D4208" w:rsidRDefault="001E02A1" w:rsidP="00AF5A74">
            <w:pPr>
              <w:jc w:val="right"/>
              <w:rPr>
                <w:rFonts w:asciiTheme="minorHAnsi" w:hAnsiTheme="minorHAnsi" w:cstheme="minorHAnsi"/>
                <w:sz w:val="20"/>
                <w:szCs w:val="20"/>
              </w:rPr>
            </w:pPr>
            <w:r w:rsidRPr="006D4208">
              <w:rPr>
                <w:rFonts w:asciiTheme="minorHAnsi" w:hAnsiTheme="minorHAnsi" w:cstheme="minorHAnsi"/>
                <w:sz w:val="20"/>
                <w:szCs w:val="20"/>
              </w:rPr>
              <w:t>(</w:t>
            </w:r>
            <w:r w:rsidR="0079442A" w:rsidRPr="006D4208">
              <w:rPr>
                <w:rFonts w:asciiTheme="minorHAnsi" w:hAnsiTheme="minorHAnsi" w:cstheme="minorHAnsi"/>
                <w:sz w:val="20"/>
                <w:szCs w:val="20"/>
              </w:rPr>
              <w:t>11.0</w:t>
            </w:r>
            <w:r w:rsidRPr="006D4208">
              <w:rPr>
                <w:rFonts w:asciiTheme="minorHAnsi" w:hAnsiTheme="minorHAnsi" w:cstheme="minorHAnsi"/>
                <w:sz w:val="20"/>
                <w:szCs w:val="20"/>
              </w:rPr>
              <w:t>)</w:t>
            </w:r>
          </w:p>
        </w:tc>
        <w:tc>
          <w:tcPr>
            <w:tcW w:w="555" w:type="pct"/>
            <w:tcBorders>
              <w:top w:val="single" w:sz="4" w:space="0" w:color="auto"/>
              <w:bottom w:val="single" w:sz="4" w:space="0" w:color="auto"/>
            </w:tcBorders>
            <w:shd w:val="clear" w:color="auto" w:fill="auto"/>
          </w:tcPr>
          <w:p w14:paraId="37D57862" w14:textId="77777777" w:rsidR="001E02A1" w:rsidRPr="006D4208" w:rsidRDefault="001E02A1" w:rsidP="00AF5A74">
            <w:pPr>
              <w:jc w:val="right"/>
              <w:rPr>
                <w:rFonts w:asciiTheme="minorHAnsi" w:hAnsiTheme="minorHAnsi" w:cstheme="minorHAnsi"/>
                <w:sz w:val="20"/>
                <w:szCs w:val="20"/>
              </w:rPr>
            </w:pPr>
            <w:r w:rsidRPr="006D4208">
              <w:rPr>
                <w:rFonts w:asciiTheme="minorHAnsi" w:hAnsiTheme="minorHAnsi" w:cstheme="minorHAnsi"/>
                <w:sz w:val="20"/>
                <w:szCs w:val="20"/>
              </w:rPr>
              <w:t>-</w:t>
            </w:r>
          </w:p>
        </w:tc>
        <w:tc>
          <w:tcPr>
            <w:tcW w:w="460" w:type="pct"/>
            <w:tcBorders>
              <w:top w:val="single" w:sz="4" w:space="0" w:color="auto"/>
              <w:bottom w:val="single" w:sz="4" w:space="0" w:color="auto"/>
            </w:tcBorders>
            <w:shd w:val="clear" w:color="auto" w:fill="auto"/>
          </w:tcPr>
          <w:p w14:paraId="1378232B" w14:textId="77777777" w:rsidR="001E02A1" w:rsidRPr="006D4208" w:rsidRDefault="001E02A1" w:rsidP="00AF5A74">
            <w:pPr>
              <w:jc w:val="right"/>
              <w:rPr>
                <w:rFonts w:asciiTheme="minorHAnsi" w:hAnsiTheme="minorHAnsi" w:cstheme="minorHAnsi"/>
                <w:sz w:val="20"/>
                <w:szCs w:val="20"/>
              </w:rPr>
            </w:pPr>
            <w:r w:rsidRPr="006D4208">
              <w:rPr>
                <w:rFonts w:asciiTheme="minorHAnsi" w:hAnsiTheme="minorHAnsi" w:cstheme="minorHAnsi"/>
                <w:sz w:val="20"/>
                <w:szCs w:val="20"/>
              </w:rPr>
              <w:t>-</w:t>
            </w:r>
          </w:p>
        </w:tc>
        <w:tc>
          <w:tcPr>
            <w:tcW w:w="535" w:type="pct"/>
            <w:tcBorders>
              <w:top w:val="single" w:sz="4" w:space="0" w:color="auto"/>
              <w:bottom w:val="single" w:sz="4" w:space="0" w:color="auto"/>
            </w:tcBorders>
            <w:shd w:val="clear" w:color="auto" w:fill="auto"/>
          </w:tcPr>
          <w:p w14:paraId="02E9DAC1" w14:textId="77777777" w:rsidR="001E02A1" w:rsidRPr="006D4208" w:rsidRDefault="001E02A1" w:rsidP="00AF5A74">
            <w:pPr>
              <w:jc w:val="right"/>
              <w:rPr>
                <w:rFonts w:asciiTheme="minorHAnsi" w:hAnsiTheme="minorHAnsi" w:cstheme="minorHAnsi"/>
                <w:sz w:val="20"/>
                <w:szCs w:val="20"/>
              </w:rPr>
            </w:pPr>
            <w:r w:rsidRPr="006D4208">
              <w:rPr>
                <w:rFonts w:asciiTheme="minorHAnsi" w:hAnsiTheme="minorHAnsi" w:cstheme="minorHAnsi"/>
                <w:sz w:val="20"/>
                <w:szCs w:val="20"/>
              </w:rPr>
              <w:t>-</w:t>
            </w:r>
          </w:p>
        </w:tc>
        <w:tc>
          <w:tcPr>
            <w:tcW w:w="461" w:type="pct"/>
            <w:tcBorders>
              <w:top w:val="single" w:sz="4" w:space="0" w:color="auto"/>
              <w:bottom w:val="single" w:sz="4" w:space="0" w:color="auto"/>
            </w:tcBorders>
            <w:shd w:val="clear" w:color="auto" w:fill="auto"/>
          </w:tcPr>
          <w:p w14:paraId="6079BF15" w14:textId="5C20046D" w:rsidR="001E02A1" w:rsidRPr="006D4208" w:rsidRDefault="001E02A1" w:rsidP="00AF5A74">
            <w:pPr>
              <w:jc w:val="right"/>
              <w:rPr>
                <w:rFonts w:asciiTheme="minorHAnsi" w:hAnsiTheme="minorHAnsi" w:cstheme="minorHAnsi"/>
                <w:sz w:val="20"/>
                <w:szCs w:val="20"/>
              </w:rPr>
            </w:pPr>
            <w:r w:rsidRPr="006D4208">
              <w:rPr>
                <w:rFonts w:asciiTheme="minorHAnsi" w:hAnsiTheme="minorHAnsi" w:cstheme="minorHAnsi"/>
                <w:sz w:val="20"/>
                <w:szCs w:val="20"/>
              </w:rPr>
              <w:t>(</w:t>
            </w:r>
            <w:r w:rsidR="004A2955">
              <w:rPr>
                <w:rFonts w:asciiTheme="minorHAnsi" w:hAnsiTheme="minorHAnsi" w:cstheme="minorHAnsi"/>
                <w:sz w:val="20"/>
                <w:szCs w:val="20"/>
              </w:rPr>
              <w:t>93.0</w:t>
            </w:r>
            <w:r w:rsidRPr="006D4208">
              <w:rPr>
                <w:rFonts w:asciiTheme="minorHAnsi" w:hAnsiTheme="minorHAnsi" w:cstheme="minorHAnsi"/>
                <w:sz w:val="20"/>
                <w:szCs w:val="20"/>
              </w:rPr>
              <w:t>)</w:t>
            </w:r>
          </w:p>
        </w:tc>
      </w:tr>
      <w:tr w:rsidR="001E02A1" w:rsidRPr="00B87A15" w14:paraId="58114A2F" w14:textId="77777777" w:rsidTr="00310EA9">
        <w:tc>
          <w:tcPr>
            <w:tcW w:w="1612" w:type="pct"/>
          </w:tcPr>
          <w:p w14:paraId="71EF8370" w14:textId="77777777" w:rsidR="001E02A1" w:rsidRPr="00A36F5C" w:rsidRDefault="001E02A1" w:rsidP="00AF5A74">
            <w:pPr>
              <w:rPr>
                <w:rFonts w:asciiTheme="minorHAnsi" w:hAnsiTheme="minorHAnsi" w:cstheme="minorHAnsi"/>
                <w:b/>
                <w:sz w:val="20"/>
                <w:szCs w:val="20"/>
              </w:rPr>
            </w:pPr>
            <w:r w:rsidRPr="00A36F5C">
              <w:rPr>
                <w:rFonts w:asciiTheme="minorHAnsi" w:hAnsiTheme="minorHAnsi" w:cstheme="minorHAnsi"/>
                <w:b/>
                <w:sz w:val="20"/>
                <w:szCs w:val="20"/>
              </w:rPr>
              <w:t>Risk-adjusted income</w:t>
            </w:r>
          </w:p>
        </w:tc>
        <w:tc>
          <w:tcPr>
            <w:tcW w:w="459" w:type="pct"/>
            <w:tcBorders>
              <w:top w:val="single" w:sz="4" w:space="0" w:color="auto"/>
              <w:bottom w:val="single" w:sz="4" w:space="0" w:color="auto"/>
            </w:tcBorders>
            <w:shd w:val="clear" w:color="auto" w:fill="auto"/>
          </w:tcPr>
          <w:p w14:paraId="0C9261C4" w14:textId="24F298A2" w:rsidR="001E02A1" w:rsidRPr="006D4208" w:rsidRDefault="006F2E17" w:rsidP="00AF5A74">
            <w:pPr>
              <w:jc w:val="right"/>
              <w:rPr>
                <w:rFonts w:asciiTheme="minorHAnsi" w:hAnsiTheme="minorHAnsi" w:cstheme="minorHAnsi"/>
                <w:b/>
                <w:sz w:val="20"/>
                <w:szCs w:val="20"/>
              </w:rPr>
            </w:pPr>
            <w:r w:rsidRPr="006D4208">
              <w:rPr>
                <w:rFonts w:asciiTheme="minorHAnsi" w:hAnsiTheme="minorHAnsi" w:cstheme="minorHAnsi"/>
                <w:b/>
                <w:sz w:val="20"/>
                <w:szCs w:val="20"/>
              </w:rPr>
              <w:t>120.0</w:t>
            </w:r>
          </w:p>
        </w:tc>
        <w:tc>
          <w:tcPr>
            <w:tcW w:w="459" w:type="pct"/>
            <w:tcBorders>
              <w:top w:val="single" w:sz="4" w:space="0" w:color="auto"/>
              <w:bottom w:val="single" w:sz="4" w:space="0" w:color="auto"/>
            </w:tcBorders>
            <w:shd w:val="clear" w:color="auto" w:fill="auto"/>
          </w:tcPr>
          <w:p w14:paraId="66BD5C44" w14:textId="3DE17E27" w:rsidR="001E02A1" w:rsidRPr="006D4208" w:rsidRDefault="00A81787" w:rsidP="00AF5A74">
            <w:pPr>
              <w:jc w:val="right"/>
              <w:rPr>
                <w:rFonts w:asciiTheme="minorHAnsi" w:hAnsiTheme="minorHAnsi" w:cstheme="minorHAnsi"/>
                <w:b/>
                <w:sz w:val="20"/>
                <w:szCs w:val="20"/>
              </w:rPr>
            </w:pPr>
            <w:r w:rsidRPr="006D4208">
              <w:rPr>
                <w:rFonts w:asciiTheme="minorHAnsi" w:hAnsiTheme="minorHAnsi" w:cstheme="minorHAnsi"/>
                <w:b/>
                <w:sz w:val="20"/>
                <w:szCs w:val="20"/>
              </w:rPr>
              <w:t>3</w:t>
            </w:r>
            <w:r w:rsidR="003C2DC4">
              <w:rPr>
                <w:rFonts w:asciiTheme="minorHAnsi" w:hAnsiTheme="minorHAnsi" w:cstheme="minorHAnsi"/>
                <w:b/>
                <w:sz w:val="20"/>
                <w:szCs w:val="20"/>
              </w:rPr>
              <w:t>5.5</w:t>
            </w:r>
          </w:p>
        </w:tc>
        <w:tc>
          <w:tcPr>
            <w:tcW w:w="459" w:type="pct"/>
            <w:tcBorders>
              <w:top w:val="single" w:sz="4" w:space="0" w:color="auto"/>
              <w:bottom w:val="single" w:sz="4" w:space="0" w:color="auto"/>
            </w:tcBorders>
            <w:shd w:val="clear" w:color="auto" w:fill="auto"/>
          </w:tcPr>
          <w:p w14:paraId="09898229" w14:textId="67EC51DA" w:rsidR="001E02A1" w:rsidRPr="006D4208" w:rsidRDefault="0079442A" w:rsidP="00AF5A74">
            <w:pPr>
              <w:jc w:val="right"/>
              <w:rPr>
                <w:rFonts w:asciiTheme="minorHAnsi" w:hAnsiTheme="minorHAnsi" w:cstheme="minorHAnsi"/>
                <w:b/>
                <w:sz w:val="20"/>
                <w:szCs w:val="20"/>
              </w:rPr>
            </w:pPr>
            <w:r w:rsidRPr="006D4208">
              <w:rPr>
                <w:rFonts w:asciiTheme="minorHAnsi" w:hAnsiTheme="minorHAnsi" w:cstheme="minorHAnsi"/>
                <w:b/>
                <w:sz w:val="20"/>
                <w:szCs w:val="20"/>
              </w:rPr>
              <w:t>(0.6)</w:t>
            </w:r>
          </w:p>
        </w:tc>
        <w:tc>
          <w:tcPr>
            <w:tcW w:w="555" w:type="pct"/>
            <w:tcBorders>
              <w:top w:val="single" w:sz="4" w:space="0" w:color="auto"/>
              <w:bottom w:val="single" w:sz="4" w:space="0" w:color="auto"/>
            </w:tcBorders>
            <w:shd w:val="clear" w:color="auto" w:fill="auto"/>
          </w:tcPr>
          <w:p w14:paraId="7B53101E" w14:textId="427F6C54" w:rsidR="001E02A1" w:rsidRPr="006D4208" w:rsidRDefault="006663A6" w:rsidP="00AF5A74">
            <w:pPr>
              <w:jc w:val="right"/>
              <w:rPr>
                <w:rFonts w:asciiTheme="minorHAnsi" w:hAnsiTheme="minorHAnsi" w:cstheme="minorHAnsi"/>
                <w:b/>
                <w:sz w:val="20"/>
                <w:szCs w:val="20"/>
              </w:rPr>
            </w:pPr>
            <w:r w:rsidRPr="006D4208">
              <w:rPr>
                <w:rFonts w:asciiTheme="minorHAnsi" w:hAnsiTheme="minorHAnsi" w:cstheme="minorHAnsi"/>
                <w:b/>
                <w:sz w:val="20"/>
                <w:szCs w:val="20"/>
              </w:rPr>
              <w:t>-</w:t>
            </w:r>
          </w:p>
        </w:tc>
        <w:tc>
          <w:tcPr>
            <w:tcW w:w="460" w:type="pct"/>
            <w:tcBorders>
              <w:top w:val="single" w:sz="4" w:space="0" w:color="auto"/>
              <w:bottom w:val="single" w:sz="4" w:space="0" w:color="auto"/>
            </w:tcBorders>
            <w:shd w:val="clear" w:color="auto" w:fill="auto"/>
          </w:tcPr>
          <w:p w14:paraId="3C9E5C10" w14:textId="036593B1" w:rsidR="001E02A1" w:rsidRPr="006D4208" w:rsidRDefault="0032686D" w:rsidP="00AF5A74">
            <w:pPr>
              <w:jc w:val="right"/>
              <w:rPr>
                <w:rFonts w:asciiTheme="minorHAnsi" w:hAnsiTheme="minorHAnsi" w:cstheme="minorHAnsi"/>
                <w:b/>
                <w:sz w:val="20"/>
                <w:szCs w:val="20"/>
              </w:rPr>
            </w:pPr>
            <w:r w:rsidRPr="006D4208">
              <w:rPr>
                <w:rFonts w:asciiTheme="minorHAnsi" w:hAnsiTheme="minorHAnsi" w:cstheme="minorHAnsi"/>
                <w:b/>
                <w:sz w:val="20"/>
                <w:szCs w:val="20"/>
              </w:rPr>
              <w:t>-</w:t>
            </w:r>
          </w:p>
        </w:tc>
        <w:tc>
          <w:tcPr>
            <w:tcW w:w="535" w:type="pct"/>
            <w:tcBorders>
              <w:top w:val="single" w:sz="4" w:space="0" w:color="auto"/>
              <w:bottom w:val="single" w:sz="4" w:space="0" w:color="auto"/>
            </w:tcBorders>
            <w:shd w:val="clear" w:color="auto" w:fill="auto"/>
          </w:tcPr>
          <w:p w14:paraId="223EB3BF" w14:textId="2C65354C" w:rsidR="001E02A1" w:rsidRPr="006D4208" w:rsidRDefault="001E02A1" w:rsidP="00AF5A74">
            <w:pPr>
              <w:jc w:val="right"/>
              <w:rPr>
                <w:rFonts w:asciiTheme="minorHAnsi" w:hAnsiTheme="minorHAnsi" w:cstheme="minorHAnsi"/>
                <w:b/>
                <w:sz w:val="20"/>
                <w:szCs w:val="20"/>
              </w:rPr>
            </w:pPr>
            <w:r w:rsidRPr="006D4208">
              <w:rPr>
                <w:rFonts w:asciiTheme="minorHAnsi" w:hAnsiTheme="minorHAnsi" w:cstheme="minorHAnsi"/>
                <w:b/>
                <w:sz w:val="20"/>
                <w:szCs w:val="20"/>
              </w:rPr>
              <w:t>(</w:t>
            </w:r>
            <w:r w:rsidR="00DC68C7" w:rsidRPr="006D4208">
              <w:rPr>
                <w:rFonts w:asciiTheme="minorHAnsi" w:hAnsiTheme="minorHAnsi" w:cstheme="minorHAnsi"/>
                <w:b/>
                <w:sz w:val="20"/>
                <w:szCs w:val="20"/>
              </w:rPr>
              <w:t>10.8</w:t>
            </w:r>
            <w:r w:rsidRPr="006D4208">
              <w:rPr>
                <w:rFonts w:asciiTheme="minorHAnsi" w:hAnsiTheme="minorHAnsi" w:cstheme="minorHAnsi"/>
                <w:b/>
                <w:sz w:val="20"/>
                <w:szCs w:val="20"/>
              </w:rPr>
              <w:t>)</w:t>
            </w:r>
          </w:p>
        </w:tc>
        <w:tc>
          <w:tcPr>
            <w:tcW w:w="461" w:type="pct"/>
            <w:tcBorders>
              <w:top w:val="single" w:sz="4" w:space="0" w:color="auto"/>
              <w:bottom w:val="single" w:sz="4" w:space="0" w:color="auto"/>
            </w:tcBorders>
            <w:shd w:val="clear" w:color="auto" w:fill="auto"/>
          </w:tcPr>
          <w:p w14:paraId="5A82695F" w14:textId="70C0A0C5" w:rsidR="001E02A1" w:rsidRPr="006D4208" w:rsidRDefault="00E06B41" w:rsidP="00AF5A74">
            <w:pPr>
              <w:jc w:val="right"/>
              <w:rPr>
                <w:rFonts w:asciiTheme="minorHAnsi" w:hAnsiTheme="minorHAnsi" w:cstheme="minorHAnsi"/>
                <w:b/>
                <w:sz w:val="20"/>
                <w:szCs w:val="20"/>
              </w:rPr>
            </w:pPr>
            <w:r w:rsidRPr="006D4208">
              <w:rPr>
                <w:rFonts w:asciiTheme="minorHAnsi" w:hAnsiTheme="minorHAnsi" w:cstheme="minorHAnsi"/>
                <w:b/>
                <w:sz w:val="20"/>
                <w:szCs w:val="20"/>
              </w:rPr>
              <w:t>1</w:t>
            </w:r>
            <w:r w:rsidR="000B0BB3" w:rsidRPr="006D4208">
              <w:rPr>
                <w:rFonts w:asciiTheme="minorHAnsi" w:hAnsiTheme="minorHAnsi" w:cstheme="minorHAnsi"/>
                <w:b/>
                <w:sz w:val="20"/>
                <w:szCs w:val="20"/>
              </w:rPr>
              <w:t>4</w:t>
            </w:r>
            <w:r w:rsidR="004A2955">
              <w:rPr>
                <w:rFonts w:asciiTheme="minorHAnsi" w:hAnsiTheme="minorHAnsi" w:cstheme="minorHAnsi"/>
                <w:b/>
                <w:sz w:val="20"/>
                <w:szCs w:val="20"/>
              </w:rPr>
              <w:t>4.1</w:t>
            </w:r>
          </w:p>
        </w:tc>
      </w:tr>
      <w:tr w:rsidR="001E02A1" w:rsidRPr="00B87A15" w14:paraId="4023E5C1" w14:textId="77777777" w:rsidTr="00310EA9">
        <w:tc>
          <w:tcPr>
            <w:tcW w:w="1612" w:type="pct"/>
          </w:tcPr>
          <w:p w14:paraId="2A57E3C3" w14:textId="77777777" w:rsidR="001E02A1" w:rsidRPr="00A36F5C" w:rsidRDefault="001E02A1" w:rsidP="00AF5A74">
            <w:pPr>
              <w:rPr>
                <w:rFonts w:asciiTheme="minorHAnsi" w:hAnsiTheme="minorHAnsi" w:cstheme="minorHAnsi"/>
                <w:bCs/>
                <w:sz w:val="20"/>
                <w:szCs w:val="20"/>
              </w:rPr>
            </w:pPr>
            <w:r w:rsidRPr="00A36F5C">
              <w:rPr>
                <w:rFonts w:asciiTheme="minorHAnsi" w:hAnsiTheme="minorHAnsi" w:cstheme="minorHAnsi"/>
                <w:bCs/>
                <w:sz w:val="20"/>
                <w:szCs w:val="20"/>
              </w:rPr>
              <w:t>Adjusted operating costs</w:t>
            </w:r>
          </w:p>
        </w:tc>
        <w:tc>
          <w:tcPr>
            <w:tcW w:w="459" w:type="pct"/>
            <w:tcBorders>
              <w:top w:val="single" w:sz="4" w:space="0" w:color="auto"/>
              <w:bottom w:val="single" w:sz="4" w:space="0" w:color="auto"/>
            </w:tcBorders>
            <w:shd w:val="clear" w:color="auto" w:fill="auto"/>
          </w:tcPr>
          <w:p w14:paraId="08C97EE5" w14:textId="60D449DB" w:rsidR="001E02A1" w:rsidRPr="006D4208" w:rsidRDefault="001E02A1" w:rsidP="00AF5A74">
            <w:pPr>
              <w:jc w:val="right"/>
              <w:rPr>
                <w:rFonts w:asciiTheme="minorHAnsi" w:hAnsiTheme="minorHAnsi" w:cstheme="minorHAnsi"/>
                <w:sz w:val="20"/>
                <w:szCs w:val="20"/>
              </w:rPr>
            </w:pPr>
            <w:r w:rsidRPr="006D4208">
              <w:rPr>
                <w:rFonts w:asciiTheme="minorHAnsi" w:hAnsiTheme="minorHAnsi" w:cstheme="minorHAnsi"/>
                <w:sz w:val="20"/>
                <w:szCs w:val="20"/>
              </w:rPr>
              <w:t>(</w:t>
            </w:r>
            <w:r w:rsidR="006F2E17" w:rsidRPr="006D4208">
              <w:rPr>
                <w:rFonts w:asciiTheme="minorHAnsi" w:hAnsiTheme="minorHAnsi" w:cstheme="minorHAnsi"/>
                <w:sz w:val="20"/>
                <w:szCs w:val="20"/>
              </w:rPr>
              <w:t>86.1</w:t>
            </w:r>
            <w:r w:rsidRPr="006D4208">
              <w:rPr>
                <w:rFonts w:asciiTheme="minorHAnsi" w:hAnsiTheme="minorHAnsi" w:cstheme="minorHAnsi"/>
                <w:sz w:val="20"/>
                <w:szCs w:val="20"/>
              </w:rPr>
              <w:t>)</w:t>
            </w:r>
          </w:p>
        </w:tc>
        <w:tc>
          <w:tcPr>
            <w:tcW w:w="459" w:type="pct"/>
            <w:tcBorders>
              <w:top w:val="single" w:sz="4" w:space="0" w:color="auto"/>
              <w:bottom w:val="single" w:sz="4" w:space="0" w:color="auto"/>
            </w:tcBorders>
            <w:shd w:val="clear" w:color="auto" w:fill="auto"/>
          </w:tcPr>
          <w:p w14:paraId="3515BC82" w14:textId="546EB33A" w:rsidR="001E02A1" w:rsidRPr="006D4208" w:rsidRDefault="001E02A1" w:rsidP="00AF5A74">
            <w:pPr>
              <w:jc w:val="right"/>
              <w:rPr>
                <w:rFonts w:asciiTheme="minorHAnsi" w:hAnsiTheme="minorHAnsi" w:cstheme="minorHAnsi"/>
                <w:sz w:val="20"/>
                <w:szCs w:val="20"/>
              </w:rPr>
            </w:pPr>
            <w:r w:rsidRPr="006D4208">
              <w:rPr>
                <w:rFonts w:asciiTheme="minorHAnsi" w:hAnsiTheme="minorHAnsi" w:cstheme="minorHAnsi"/>
                <w:sz w:val="20"/>
                <w:szCs w:val="20"/>
              </w:rPr>
              <w:t>(</w:t>
            </w:r>
            <w:r w:rsidR="006F2E17" w:rsidRPr="006D4208">
              <w:rPr>
                <w:rFonts w:asciiTheme="minorHAnsi" w:hAnsiTheme="minorHAnsi" w:cstheme="minorHAnsi"/>
                <w:sz w:val="20"/>
                <w:szCs w:val="20"/>
              </w:rPr>
              <w:t>27.3</w:t>
            </w:r>
            <w:r w:rsidRPr="006D4208">
              <w:rPr>
                <w:rFonts w:asciiTheme="minorHAnsi" w:hAnsiTheme="minorHAnsi" w:cstheme="minorHAnsi"/>
                <w:sz w:val="20"/>
                <w:szCs w:val="20"/>
              </w:rPr>
              <w:t>)</w:t>
            </w:r>
          </w:p>
        </w:tc>
        <w:tc>
          <w:tcPr>
            <w:tcW w:w="459" w:type="pct"/>
            <w:tcBorders>
              <w:top w:val="single" w:sz="4" w:space="0" w:color="auto"/>
              <w:bottom w:val="single" w:sz="4" w:space="0" w:color="auto"/>
            </w:tcBorders>
            <w:shd w:val="clear" w:color="auto" w:fill="auto"/>
          </w:tcPr>
          <w:p w14:paraId="1DED8C3D" w14:textId="678746FF" w:rsidR="001E02A1" w:rsidRPr="006D4208" w:rsidRDefault="001E02A1" w:rsidP="00AF5A74">
            <w:pPr>
              <w:jc w:val="right"/>
              <w:rPr>
                <w:rFonts w:asciiTheme="minorHAnsi" w:hAnsiTheme="minorHAnsi" w:cstheme="minorHAnsi"/>
                <w:sz w:val="20"/>
                <w:szCs w:val="20"/>
              </w:rPr>
            </w:pPr>
            <w:r w:rsidRPr="006D4208">
              <w:rPr>
                <w:rFonts w:asciiTheme="minorHAnsi" w:hAnsiTheme="minorHAnsi" w:cstheme="minorHAnsi"/>
                <w:sz w:val="20"/>
                <w:szCs w:val="20"/>
              </w:rPr>
              <w:t>(</w:t>
            </w:r>
            <w:r w:rsidR="0079442A" w:rsidRPr="006D4208">
              <w:rPr>
                <w:rFonts w:asciiTheme="minorHAnsi" w:hAnsiTheme="minorHAnsi" w:cstheme="minorHAnsi"/>
                <w:sz w:val="20"/>
                <w:szCs w:val="20"/>
              </w:rPr>
              <w:t>8.7</w:t>
            </w:r>
            <w:r w:rsidRPr="006D4208">
              <w:rPr>
                <w:rFonts w:asciiTheme="minorHAnsi" w:hAnsiTheme="minorHAnsi" w:cstheme="minorHAnsi"/>
                <w:sz w:val="20"/>
                <w:szCs w:val="20"/>
              </w:rPr>
              <w:t>)</w:t>
            </w:r>
          </w:p>
        </w:tc>
        <w:tc>
          <w:tcPr>
            <w:tcW w:w="555" w:type="pct"/>
            <w:tcBorders>
              <w:top w:val="single" w:sz="4" w:space="0" w:color="auto"/>
              <w:bottom w:val="single" w:sz="4" w:space="0" w:color="auto"/>
            </w:tcBorders>
            <w:shd w:val="clear" w:color="auto" w:fill="auto"/>
          </w:tcPr>
          <w:p w14:paraId="3D29BECD" w14:textId="12A0BAC6" w:rsidR="001E02A1" w:rsidRPr="006D4208" w:rsidRDefault="001E02A1" w:rsidP="00AF5A74">
            <w:pPr>
              <w:jc w:val="right"/>
              <w:rPr>
                <w:rFonts w:asciiTheme="minorHAnsi" w:hAnsiTheme="minorHAnsi" w:cstheme="minorHAnsi"/>
                <w:sz w:val="20"/>
                <w:szCs w:val="20"/>
              </w:rPr>
            </w:pPr>
            <w:r w:rsidRPr="006D4208">
              <w:rPr>
                <w:rFonts w:asciiTheme="minorHAnsi" w:hAnsiTheme="minorHAnsi" w:cstheme="minorHAnsi"/>
                <w:sz w:val="20"/>
                <w:szCs w:val="20"/>
              </w:rPr>
              <w:t>(0.</w:t>
            </w:r>
            <w:r w:rsidR="0032686D" w:rsidRPr="006D4208">
              <w:rPr>
                <w:rFonts w:asciiTheme="minorHAnsi" w:hAnsiTheme="minorHAnsi" w:cstheme="minorHAnsi"/>
                <w:sz w:val="20"/>
                <w:szCs w:val="20"/>
              </w:rPr>
              <w:t>3</w:t>
            </w:r>
            <w:r w:rsidRPr="006D4208">
              <w:rPr>
                <w:rFonts w:asciiTheme="minorHAnsi" w:hAnsiTheme="minorHAnsi" w:cstheme="minorHAnsi"/>
                <w:sz w:val="20"/>
                <w:szCs w:val="20"/>
              </w:rPr>
              <w:t>)</w:t>
            </w:r>
          </w:p>
        </w:tc>
        <w:tc>
          <w:tcPr>
            <w:tcW w:w="460" w:type="pct"/>
            <w:tcBorders>
              <w:top w:val="single" w:sz="4" w:space="0" w:color="auto"/>
              <w:bottom w:val="single" w:sz="4" w:space="0" w:color="auto"/>
            </w:tcBorders>
            <w:shd w:val="clear" w:color="auto" w:fill="auto"/>
          </w:tcPr>
          <w:p w14:paraId="0589929F" w14:textId="36072623" w:rsidR="001E02A1" w:rsidRPr="006D4208" w:rsidRDefault="0032686D" w:rsidP="00AF5A74">
            <w:pPr>
              <w:jc w:val="right"/>
              <w:rPr>
                <w:rFonts w:asciiTheme="minorHAnsi" w:hAnsiTheme="minorHAnsi" w:cstheme="minorHAnsi"/>
                <w:sz w:val="20"/>
                <w:szCs w:val="20"/>
              </w:rPr>
            </w:pPr>
            <w:r w:rsidRPr="006D4208">
              <w:rPr>
                <w:rFonts w:asciiTheme="minorHAnsi" w:hAnsiTheme="minorHAnsi" w:cstheme="minorHAnsi"/>
                <w:sz w:val="20"/>
                <w:szCs w:val="20"/>
              </w:rPr>
              <w:t>-</w:t>
            </w:r>
          </w:p>
        </w:tc>
        <w:tc>
          <w:tcPr>
            <w:tcW w:w="535" w:type="pct"/>
            <w:tcBorders>
              <w:top w:val="single" w:sz="4" w:space="0" w:color="auto"/>
              <w:bottom w:val="single" w:sz="4" w:space="0" w:color="auto"/>
            </w:tcBorders>
            <w:shd w:val="clear" w:color="auto" w:fill="auto"/>
          </w:tcPr>
          <w:p w14:paraId="09CA9091" w14:textId="5292D09B" w:rsidR="001E02A1" w:rsidRPr="006D4208" w:rsidRDefault="001E02A1" w:rsidP="00AF5A74">
            <w:pPr>
              <w:jc w:val="right"/>
              <w:rPr>
                <w:rFonts w:asciiTheme="minorHAnsi" w:hAnsiTheme="minorHAnsi" w:cstheme="minorHAnsi"/>
                <w:sz w:val="20"/>
                <w:szCs w:val="20"/>
              </w:rPr>
            </w:pPr>
            <w:r w:rsidRPr="006D4208">
              <w:rPr>
                <w:rFonts w:asciiTheme="minorHAnsi" w:hAnsiTheme="minorHAnsi" w:cstheme="minorHAnsi"/>
                <w:sz w:val="20"/>
                <w:szCs w:val="20"/>
              </w:rPr>
              <w:t>(</w:t>
            </w:r>
            <w:r w:rsidR="00DC68C7" w:rsidRPr="006D4208">
              <w:rPr>
                <w:rFonts w:asciiTheme="minorHAnsi" w:hAnsiTheme="minorHAnsi" w:cstheme="minorHAnsi"/>
                <w:sz w:val="20"/>
                <w:szCs w:val="20"/>
              </w:rPr>
              <w:t>34.6</w:t>
            </w:r>
            <w:r w:rsidRPr="006D4208">
              <w:rPr>
                <w:rFonts w:asciiTheme="minorHAnsi" w:hAnsiTheme="minorHAnsi" w:cstheme="minorHAnsi"/>
                <w:sz w:val="20"/>
                <w:szCs w:val="20"/>
              </w:rPr>
              <w:t>)</w:t>
            </w:r>
          </w:p>
        </w:tc>
        <w:tc>
          <w:tcPr>
            <w:tcW w:w="461" w:type="pct"/>
            <w:tcBorders>
              <w:top w:val="single" w:sz="4" w:space="0" w:color="auto"/>
              <w:bottom w:val="single" w:sz="4" w:space="0" w:color="auto"/>
            </w:tcBorders>
            <w:shd w:val="clear" w:color="auto" w:fill="auto"/>
          </w:tcPr>
          <w:p w14:paraId="3B18C3FF" w14:textId="7E4F1BD1" w:rsidR="001E02A1" w:rsidRPr="006D4208" w:rsidRDefault="001E02A1" w:rsidP="00AF5A74">
            <w:pPr>
              <w:jc w:val="right"/>
              <w:rPr>
                <w:rFonts w:asciiTheme="minorHAnsi" w:hAnsiTheme="minorHAnsi" w:cstheme="minorHAnsi"/>
                <w:sz w:val="20"/>
                <w:szCs w:val="20"/>
              </w:rPr>
            </w:pPr>
            <w:r w:rsidRPr="006D4208">
              <w:rPr>
                <w:rFonts w:asciiTheme="minorHAnsi" w:hAnsiTheme="minorHAnsi" w:cstheme="minorHAnsi"/>
                <w:sz w:val="20"/>
                <w:szCs w:val="20"/>
              </w:rPr>
              <w:t>(</w:t>
            </w:r>
            <w:r w:rsidR="00E06B41" w:rsidRPr="006D4208">
              <w:rPr>
                <w:rFonts w:asciiTheme="minorHAnsi" w:hAnsiTheme="minorHAnsi" w:cstheme="minorHAnsi"/>
                <w:sz w:val="20"/>
                <w:szCs w:val="20"/>
              </w:rPr>
              <w:t>1</w:t>
            </w:r>
            <w:r w:rsidR="0061645F" w:rsidRPr="006D4208">
              <w:rPr>
                <w:rFonts w:asciiTheme="minorHAnsi" w:hAnsiTheme="minorHAnsi" w:cstheme="minorHAnsi"/>
                <w:sz w:val="20"/>
                <w:szCs w:val="20"/>
              </w:rPr>
              <w:t>57</w:t>
            </w:r>
            <w:r w:rsidR="0000170F" w:rsidRPr="006D4208">
              <w:rPr>
                <w:rFonts w:asciiTheme="minorHAnsi" w:hAnsiTheme="minorHAnsi" w:cstheme="minorHAnsi"/>
                <w:sz w:val="20"/>
                <w:szCs w:val="20"/>
              </w:rPr>
              <w:t>.0</w:t>
            </w:r>
            <w:r w:rsidRPr="006D4208">
              <w:rPr>
                <w:rFonts w:asciiTheme="minorHAnsi" w:hAnsiTheme="minorHAnsi" w:cstheme="minorHAnsi"/>
                <w:sz w:val="20"/>
                <w:szCs w:val="20"/>
              </w:rPr>
              <w:t>)</w:t>
            </w:r>
          </w:p>
        </w:tc>
      </w:tr>
      <w:tr w:rsidR="001E02A1" w:rsidRPr="00B87A15" w14:paraId="5361BC83" w14:textId="77777777" w:rsidTr="00310EA9">
        <w:tc>
          <w:tcPr>
            <w:tcW w:w="1612" w:type="pct"/>
          </w:tcPr>
          <w:p w14:paraId="3C31E7F8" w14:textId="77777777" w:rsidR="001E02A1" w:rsidRPr="00A36F5C" w:rsidRDefault="001E02A1" w:rsidP="00AF5A74">
            <w:pPr>
              <w:rPr>
                <w:rFonts w:asciiTheme="minorHAnsi" w:hAnsiTheme="minorHAnsi" w:cstheme="minorHAnsi"/>
                <w:b/>
                <w:sz w:val="20"/>
                <w:szCs w:val="20"/>
              </w:rPr>
            </w:pPr>
            <w:r w:rsidRPr="00A36F5C">
              <w:rPr>
                <w:rFonts w:asciiTheme="minorHAnsi" w:hAnsiTheme="minorHAnsi" w:cstheme="minorHAnsi"/>
                <w:b/>
                <w:sz w:val="20"/>
                <w:szCs w:val="20"/>
              </w:rPr>
              <w:t>Adjusted PBT/(LBT)</w:t>
            </w:r>
          </w:p>
        </w:tc>
        <w:tc>
          <w:tcPr>
            <w:tcW w:w="459" w:type="pct"/>
            <w:tcBorders>
              <w:top w:val="single" w:sz="4" w:space="0" w:color="auto"/>
              <w:bottom w:val="single" w:sz="4" w:space="0" w:color="auto"/>
            </w:tcBorders>
            <w:shd w:val="clear" w:color="auto" w:fill="auto"/>
          </w:tcPr>
          <w:p w14:paraId="619CDA2D" w14:textId="74F31178" w:rsidR="001E02A1" w:rsidRPr="006D4208" w:rsidRDefault="006F2E17" w:rsidP="00AF5A74">
            <w:pPr>
              <w:jc w:val="right"/>
              <w:rPr>
                <w:rFonts w:asciiTheme="minorHAnsi" w:hAnsiTheme="minorHAnsi" w:cstheme="minorHAnsi"/>
                <w:b/>
                <w:sz w:val="20"/>
                <w:szCs w:val="20"/>
              </w:rPr>
            </w:pPr>
            <w:r w:rsidRPr="006D4208">
              <w:rPr>
                <w:rFonts w:asciiTheme="minorHAnsi" w:hAnsiTheme="minorHAnsi" w:cstheme="minorHAnsi"/>
                <w:b/>
                <w:sz w:val="20"/>
                <w:szCs w:val="20"/>
              </w:rPr>
              <w:t>33.9</w:t>
            </w:r>
          </w:p>
        </w:tc>
        <w:tc>
          <w:tcPr>
            <w:tcW w:w="459" w:type="pct"/>
            <w:tcBorders>
              <w:top w:val="single" w:sz="4" w:space="0" w:color="auto"/>
              <w:bottom w:val="single" w:sz="4" w:space="0" w:color="auto"/>
            </w:tcBorders>
            <w:shd w:val="clear" w:color="auto" w:fill="auto"/>
          </w:tcPr>
          <w:p w14:paraId="596ADC51" w14:textId="54EB3418" w:rsidR="001E02A1" w:rsidRPr="006D4208" w:rsidRDefault="000D4051" w:rsidP="00AF5A74">
            <w:pPr>
              <w:jc w:val="right"/>
              <w:rPr>
                <w:rFonts w:asciiTheme="minorHAnsi" w:hAnsiTheme="minorHAnsi" w:cstheme="minorHAnsi"/>
                <w:b/>
                <w:sz w:val="20"/>
                <w:szCs w:val="20"/>
              </w:rPr>
            </w:pPr>
            <w:r>
              <w:rPr>
                <w:rFonts w:asciiTheme="minorHAnsi" w:hAnsiTheme="minorHAnsi" w:cstheme="minorHAnsi"/>
                <w:b/>
                <w:sz w:val="20"/>
                <w:szCs w:val="20"/>
              </w:rPr>
              <w:t>8</w:t>
            </w:r>
            <w:r w:rsidR="003C2DC4">
              <w:rPr>
                <w:rFonts w:asciiTheme="minorHAnsi" w:hAnsiTheme="minorHAnsi" w:cstheme="minorHAnsi"/>
                <w:b/>
                <w:sz w:val="20"/>
                <w:szCs w:val="20"/>
              </w:rPr>
              <w:t>.2</w:t>
            </w:r>
          </w:p>
        </w:tc>
        <w:tc>
          <w:tcPr>
            <w:tcW w:w="459" w:type="pct"/>
            <w:tcBorders>
              <w:top w:val="single" w:sz="4" w:space="0" w:color="auto"/>
              <w:bottom w:val="single" w:sz="4" w:space="0" w:color="auto"/>
            </w:tcBorders>
            <w:shd w:val="clear" w:color="auto" w:fill="auto"/>
          </w:tcPr>
          <w:p w14:paraId="739305CF" w14:textId="35881029" w:rsidR="001E02A1" w:rsidRPr="006D4208" w:rsidRDefault="001E02A1" w:rsidP="00AF5A74">
            <w:pPr>
              <w:jc w:val="right"/>
              <w:rPr>
                <w:rFonts w:asciiTheme="minorHAnsi" w:hAnsiTheme="minorHAnsi" w:cstheme="minorHAnsi"/>
                <w:b/>
                <w:sz w:val="20"/>
                <w:szCs w:val="20"/>
              </w:rPr>
            </w:pPr>
            <w:r w:rsidRPr="006D4208">
              <w:rPr>
                <w:rFonts w:asciiTheme="minorHAnsi" w:hAnsiTheme="minorHAnsi" w:cstheme="minorHAnsi"/>
                <w:b/>
                <w:sz w:val="20"/>
                <w:szCs w:val="20"/>
              </w:rPr>
              <w:t>(</w:t>
            </w:r>
            <w:r w:rsidR="0079442A" w:rsidRPr="006D4208">
              <w:rPr>
                <w:rFonts w:asciiTheme="minorHAnsi" w:hAnsiTheme="minorHAnsi" w:cstheme="minorHAnsi"/>
                <w:b/>
                <w:sz w:val="20"/>
                <w:szCs w:val="20"/>
              </w:rPr>
              <w:t>9.3</w:t>
            </w:r>
            <w:r w:rsidRPr="006D4208">
              <w:rPr>
                <w:rFonts w:asciiTheme="minorHAnsi" w:hAnsiTheme="minorHAnsi" w:cstheme="minorHAnsi"/>
                <w:b/>
                <w:sz w:val="20"/>
                <w:szCs w:val="20"/>
              </w:rPr>
              <w:t>)</w:t>
            </w:r>
          </w:p>
        </w:tc>
        <w:tc>
          <w:tcPr>
            <w:tcW w:w="555" w:type="pct"/>
            <w:tcBorders>
              <w:top w:val="single" w:sz="4" w:space="0" w:color="auto"/>
              <w:bottom w:val="single" w:sz="4" w:space="0" w:color="auto"/>
            </w:tcBorders>
            <w:shd w:val="clear" w:color="auto" w:fill="auto"/>
          </w:tcPr>
          <w:p w14:paraId="6A52D619" w14:textId="57074772" w:rsidR="001E02A1" w:rsidRPr="006D4208" w:rsidRDefault="001E02A1" w:rsidP="00AF5A74">
            <w:pPr>
              <w:jc w:val="right"/>
              <w:rPr>
                <w:rFonts w:asciiTheme="minorHAnsi" w:hAnsiTheme="minorHAnsi" w:cstheme="minorHAnsi"/>
                <w:b/>
                <w:sz w:val="20"/>
                <w:szCs w:val="20"/>
              </w:rPr>
            </w:pPr>
            <w:r w:rsidRPr="006D4208">
              <w:rPr>
                <w:rFonts w:asciiTheme="minorHAnsi" w:hAnsiTheme="minorHAnsi" w:cstheme="minorHAnsi"/>
                <w:b/>
                <w:sz w:val="20"/>
                <w:szCs w:val="20"/>
              </w:rPr>
              <w:t>(0.</w:t>
            </w:r>
            <w:r w:rsidR="0032686D" w:rsidRPr="006D4208">
              <w:rPr>
                <w:rFonts w:asciiTheme="minorHAnsi" w:hAnsiTheme="minorHAnsi" w:cstheme="minorHAnsi"/>
                <w:b/>
                <w:sz w:val="20"/>
                <w:szCs w:val="20"/>
              </w:rPr>
              <w:t>3</w:t>
            </w:r>
            <w:r w:rsidRPr="006D4208">
              <w:rPr>
                <w:rFonts w:asciiTheme="minorHAnsi" w:hAnsiTheme="minorHAnsi" w:cstheme="minorHAnsi"/>
                <w:b/>
                <w:sz w:val="20"/>
                <w:szCs w:val="20"/>
              </w:rPr>
              <w:t>)</w:t>
            </w:r>
          </w:p>
        </w:tc>
        <w:tc>
          <w:tcPr>
            <w:tcW w:w="460" w:type="pct"/>
            <w:tcBorders>
              <w:top w:val="single" w:sz="4" w:space="0" w:color="auto"/>
              <w:bottom w:val="single" w:sz="4" w:space="0" w:color="auto"/>
            </w:tcBorders>
            <w:shd w:val="clear" w:color="auto" w:fill="auto"/>
          </w:tcPr>
          <w:p w14:paraId="06EC7FB0" w14:textId="5E38BB06" w:rsidR="001E02A1" w:rsidRPr="006D4208" w:rsidRDefault="0032686D" w:rsidP="00AF5A74">
            <w:pPr>
              <w:jc w:val="right"/>
              <w:rPr>
                <w:rFonts w:asciiTheme="minorHAnsi" w:hAnsiTheme="minorHAnsi" w:cstheme="minorHAnsi"/>
                <w:b/>
                <w:sz w:val="20"/>
                <w:szCs w:val="20"/>
              </w:rPr>
            </w:pPr>
            <w:r w:rsidRPr="006D4208">
              <w:rPr>
                <w:rFonts w:asciiTheme="minorHAnsi" w:hAnsiTheme="minorHAnsi" w:cstheme="minorHAnsi"/>
                <w:b/>
                <w:sz w:val="20"/>
                <w:szCs w:val="20"/>
              </w:rPr>
              <w:t>-</w:t>
            </w:r>
          </w:p>
        </w:tc>
        <w:tc>
          <w:tcPr>
            <w:tcW w:w="535" w:type="pct"/>
            <w:tcBorders>
              <w:top w:val="single" w:sz="4" w:space="0" w:color="auto"/>
              <w:bottom w:val="single" w:sz="4" w:space="0" w:color="auto"/>
            </w:tcBorders>
            <w:shd w:val="clear" w:color="auto" w:fill="auto"/>
          </w:tcPr>
          <w:p w14:paraId="39EB270E" w14:textId="6244CA10" w:rsidR="001E02A1" w:rsidRPr="006D4208" w:rsidRDefault="001E02A1" w:rsidP="00AF5A74">
            <w:pPr>
              <w:jc w:val="right"/>
              <w:rPr>
                <w:rFonts w:asciiTheme="minorHAnsi" w:hAnsiTheme="minorHAnsi" w:cstheme="minorHAnsi"/>
                <w:b/>
                <w:sz w:val="20"/>
                <w:szCs w:val="20"/>
              </w:rPr>
            </w:pPr>
            <w:r w:rsidRPr="006D4208">
              <w:rPr>
                <w:rFonts w:asciiTheme="minorHAnsi" w:hAnsiTheme="minorHAnsi" w:cstheme="minorHAnsi"/>
                <w:b/>
                <w:sz w:val="20"/>
                <w:szCs w:val="20"/>
              </w:rPr>
              <w:t>(</w:t>
            </w:r>
            <w:r w:rsidR="0011378A" w:rsidRPr="006D4208">
              <w:rPr>
                <w:rFonts w:asciiTheme="minorHAnsi" w:hAnsiTheme="minorHAnsi" w:cstheme="minorHAnsi"/>
                <w:b/>
                <w:sz w:val="20"/>
                <w:szCs w:val="20"/>
              </w:rPr>
              <w:t>45.4</w:t>
            </w:r>
            <w:r w:rsidRPr="006D4208">
              <w:rPr>
                <w:rFonts w:asciiTheme="minorHAnsi" w:hAnsiTheme="minorHAnsi" w:cstheme="minorHAnsi"/>
                <w:b/>
                <w:sz w:val="20"/>
                <w:szCs w:val="20"/>
              </w:rPr>
              <w:t>)</w:t>
            </w:r>
          </w:p>
        </w:tc>
        <w:tc>
          <w:tcPr>
            <w:tcW w:w="461" w:type="pct"/>
            <w:tcBorders>
              <w:top w:val="single" w:sz="4" w:space="0" w:color="auto"/>
              <w:bottom w:val="single" w:sz="4" w:space="0" w:color="auto"/>
            </w:tcBorders>
            <w:shd w:val="clear" w:color="auto" w:fill="auto"/>
          </w:tcPr>
          <w:p w14:paraId="0D460CB2" w14:textId="1314417C" w:rsidR="001E02A1" w:rsidRPr="006D4208" w:rsidRDefault="00E06B41" w:rsidP="00AF5A74">
            <w:pPr>
              <w:jc w:val="right"/>
              <w:rPr>
                <w:rFonts w:asciiTheme="minorHAnsi" w:hAnsiTheme="minorHAnsi" w:cstheme="minorHAnsi"/>
                <w:b/>
                <w:sz w:val="20"/>
                <w:szCs w:val="20"/>
              </w:rPr>
            </w:pPr>
            <w:r w:rsidRPr="006D4208">
              <w:rPr>
                <w:rFonts w:asciiTheme="minorHAnsi" w:hAnsiTheme="minorHAnsi" w:cstheme="minorHAnsi"/>
                <w:b/>
                <w:sz w:val="20"/>
                <w:szCs w:val="20"/>
              </w:rPr>
              <w:t>(</w:t>
            </w:r>
            <w:r w:rsidR="004A2955">
              <w:rPr>
                <w:rFonts w:asciiTheme="minorHAnsi" w:hAnsiTheme="minorHAnsi" w:cstheme="minorHAnsi"/>
                <w:b/>
                <w:sz w:val="20"/>
                <w:szCs w:val="20"/>
              </w:rPr>
              <w:t>12.</w:t>
            </w:r>
            <w:r w:rsidR="0000170F" w:rsidRPr="006D4208">
              <w:rPr>
                <w:rFonts w:asciiTheme="minorHAnsi" w:hAnsiTheme="minorHAnsi" w:cstheme="minorHAnsi"/>
                <w:b/>
                <w:sz w:val="20"/>
                <w:szCs w:val="20"/>
              </w:rPr>
              <w:t>9</w:t>
            </w:r>
            <w:r w:rsidRPr="006D4208">
              <w:rPr>
                <w:rFonts w:asciiTheme="minorHAnsi" w:hAnsiTheme="minorHAnsi" w:cstheme="minorHAnsi"/>
                <w:b/>
                <w:sz w:val="20"/>
                <w:szCs w:val="20"/>
              </w:rPr>
              <w:t>)</w:t>
            </w:r>
          </w:p>
        </w:tc>
      </w:tr>
      <w:tr w:rsidR="001E02A1" w:rsidRPr="00B87A15" w14:paraId="546390A1" w14:textId="77777777" w:rsidTr="00310EA9">
        <w:tc>
          <w:tcPr>
            <w:tcW w:w="1612" w:type="pct"/>
          </w:tcPr>
          <w:p w14:paraId="6789E21A" w14:textId="77777777" w:rsidR="001E02A1" w:rsidRPr="00A36F5C" w:rsidRDefault="001E02A1" w:rsidP="00AF5A74">
            <w:pPr>
              <w:rPr>
                <w:rFonts w:asciiTheme="minorHAnsi" w:hAnsiTheme="minorHAnsi" w:cstheme="minorHAnsi"/>
                <w:bCs/>
                <w:sz w:val="20"/>
                <w:szCs w:val="20"/>
              </w:rPr>
            </w:pPr>
            <w:r w:rsidRPr="00A36F5C">
              <w:rPr>
                <w:rFonts w:asciiTheme="minorHAnsi" w:hAnsiTheme="minorHAnsi" w:cstheme="minorHAnsi"/>
                <w:bCs/>
                <w:sz w:val="20"/>
                <w:szCs w:val="20"/>
              </w:rPr>
              <w:t>Exceptional items</w:t>
            </w:r>
          </w:p>
        </w:tc>
        <w:tc>
          <w:tcPr>
            <w:tcW w:w="459" w:type="pct"/>
            <w:tcBorders>
              <w:top w:val="single" w:sz="4" w:space="0" w:color="auto"/>
              <w:bottom w:val="single" w:sz="4" w:space="0" w:color="auto"/>
            </w:tcBorders>
            <w:shd w:val="clear" w:color="auto" w:fill="auto"/>
          </w:tcPr>
          <w:p w14:paraId="2FB3EA98" w14:textId="77777777" w:rsidR="001E02A1" w:rsidRPr="00A36F5C" w:rsidRDefault="001E02A1" w:rsidP="00AF5A74">
            <w:pPr>
              <w:jc w:val="right"/>
              <w:rPr>
                <w:rFonts w:asciiTheme="minorHAnsi" w:hAnsiTheme="minorHAnsi" w:cstheme="minorHAnsi"/>
                <w:bCs/>
                <w:sz w:val="20"/>
                <w:szCs w:val="20"/>
              </w:rPr>
            </w:pPr>
          </w:p>
        </w:tc>
        <w:tc>
          <w:tcPr>
            <w:tcW w:w="459" w:type="pct"/>
            <w:tcBorders>
              <w:top w:val="single" w:sz="4" w:space="0" w:color="auto"/>
              <w:bottom w:val="single" w:sz="4" w:space="0" w:color="auto"/>
            </w:tcBorders>
            <w:shd w:val="clear" w:color="auto" w:fill="auto"/>
          </w:tcPr>
          <w:p w14:paraId="243B9952" w14:textId="77777777" w:rsidR="001E02A1" w:rsidRPr="00A36F5C" w:rsidRDefault="001E02A1" w:rsidP="00AF5A74">
            <w:pPr>
              <w:jc w:val="right"/>
              <w:rPr>
                <w:rFonts w:asciiTheme="minorHAnsi" w:hAnsiTheme="minorHAnsi" w:cstheme="minorHAnsi"/>
                <w:bCs/>
                <w:sz w:val="20"/>
                <w:szCs w:val="20"/>
              </w:rPr>
            </w:pPr>
          </w:p>
        </w:tc>
        <w:tc>
          <w:tcPr>
            <w:tcW w:w="459" w:type="pct"/>
            <w:tcBorders>
              <w:top w:val="single" w:sz="4" w:space="0" w:color="auto"/>
              <w:bottom w:val="single" w:sz="4" w:space="0" w:color="auto"/>
            </w:tcBorders>
            <w:shd w:val="clear" w:color="auto" w:fill="auto"/>
          </w:tcPr>
          <w:p w14:paraId="1D7598F0" w14:textId="77777777" w:rsidR="001E02A1" w:rsidRPr="00A36F5C" w:rsidRDefault="001E02A1" w:rsidP="00AF5A74">
            <w:pPr>
              <w:jc w:val="right"/>
              <w:rPr>
                <w:rFonts w:asciiTheme="minorHAnsi" w:hAnsiTheme="minorHAnsi" w:cstheme="minorHAnsi"/>
                <w:bCs/>
                <w:sz w:val="20"/>
                <w:szCs w:val="20"/>
              </w:rPr>
            </w:pPr>
          </w:p>
        </w:tc>
        <w:tc>
          <w:tcPr>
            <w:tcW w:w="555" w:type="pct"/>
            <w:tcBorders>
              <w:top w:val="single" w:sz="4" w:space="0" w:color="auto"/>
              <w:bottom w:val="single" w:sz="4" w:space="0" w:color="auto"/>
            </w:tcBorders>
            <w:shd w:val="clear" w:color="auto" w:fill="auto"/>
          </w:tcPr>
          <w:p w14:paraId="4378E0DD" w14:textId="77777777" w:rsidR="001E02A1" w:rsidRPr="00A36F5C" w:rsidRDefault="001E02A1" w:rsidP="00AF5A74">
            <w:pPr>
              <w:jc w:val="right"/>
              <w:rPr>
                <w:rFonts w:asciiTheme="minorHAnsi" w:hAnsiTheme="minorHAnsi" w:cstheme="minorHAnsi"/>
                <w:bCs/>
                <w:sz w:val="20"/>
                <w:szCs w:val="20"/>
              </w:rPr>
            </w:pPr>
          </w:p>
        </w:tc>
        <w:tc>
          <w:tcPr>
            <w:tcW w:w="460" w:type="pct"/>
            <w:tcBorders>
              <w:top w:val="single" w:sz="4" w:space="0" w:color="auto"/>
              <w:bottom w:val="single" w:sz="4" w:space="0" w:color="auto"/>
            </w:tcBorders>
            <w:shd w:val="clear" w:color="auto" w:fill="auto"/>
          </w:tcPr>
          <w:p w14:paraId="0F576889" w14:textId="77777777" w:rsidR="001E02A1" w:rsidRPr="00A36F5C" w:rsidRDefault="001E02A1" w:rsidP="00AF5A74">
            <w:pPr>
              <w:jc w:val="right"/>
              <w:rPr>
                <w:rFonts w:asciiTheme="minorHAnsi" w:hAnsiTheme="minorHAnsi" w:cstheme="minorHAnsi"/>
                <w:bCs/>
                <w:sz w:val="20"/>
                <w:szCs w:val="20"/>
              </w:rPr>
            </w:pPr>
          </w:p>
        </w:tc>
        <w:tc>
          <w:tcPr>
            <w:tcW w:w="535" w:type="pct"/>
            <w:tcBorders>
              <w:top w:val="single" w:sz="4" w:space="0" w:color="auto"/>
              <w:bottom w:val="single" w:sz="4" w:space="0" w:color="auto"/>
            </w:tcBorders>
            <w:shd w:val="clear" w:color="auto" w:fill="auto"/>
          </w:tcPr>
          <w:p w14:paraId="275218FA" w14:textId="5F50DBF2" w:rsidR="001E02A1" w:rsidRPr="006D4208" w:rsidRDefault="001E02A1" w:rsidP="00AF5A74">
            <w:pPr>
              <w:jc w:val="right"/>
              <w:rPr>
                <w:rFonts w:asciiTheme="minorHAnsi" w:hAnsiTheme="minorHAnsi" w:cstheme="minorHAnsi"/>
                <w:sz w:val="20"/>
                <w:szCs w:val="20"/>
              </w:rPr>
            </w:pPr>
            <w:r w:rsidRPr="006D4208">
              <w:rPr>
                <w:rFonts w:asciiTheme="minorHAnsi" w:hAnsiTheme="minorHAnsi" w:cstheme="minorHAnsi"/>
                <w:sz w:val="20"/>
                <w:szCs w:val="20"/>
              </w:rPr>
              <w:t>(</w:t>
            </w:r>
            <w:r w:rsidR="00F72BF7" w:rsidRPr="006D4208">
              <w:rPr>
                <w:rFonts w:asciiTheme="minorHAnsi" w:hAnsiTheme="minorHAnsi" w:cstheme="minorHAnsi"/>
                <w:sz w:val="20"/>
                <w:szCs w:val="20"/>
              </w:rPr>
              <w:t>5.</w:t>
            </w:r>
            <w:r w:rsidR="007E2486" w:rsidRPr="006D4208">
              <w:rPr>
                <w:rFonts w:asciiTheme="minorHAnsi" w:hAnsiTheme="minorHAnsi" w:cstheme="minorHAnsi"/>
                <w:sz w:val="20"/>
                <w:szCs w:val="20"/>
              </w:rPr>
              <w:t>3</w:t>
            </w:r>
            <w:r w:rsidRPr="006D4208">
              <w:rPr>
                <w:rFonts w:asciiTheme="minorHAnsi" w:hAnsiTheme="minorHAnsi" w:cstheme="minorHAnsi"/>
                <w:sz w:val="20"/>
                <w:szCs w:val="20"/>
              </w:rPr>
              <w:t>)</w:t>
            </w:r>
          </w:p>
        </w:tc>
        <w:tc>
          <w:tcPr>
            <w:tcW w:w="461" w:type="pct"/>
            <w:tcBorders>
              <w:top w:val="single" w:sz="4" w:space="0" w:color="auto"/>
              <w:bottom w:val="single" w:sz="4" w:space="0" w:color="auto"/>
            </w:tcBorders>
            <w:shd w:val="clear" w:color="auto" w:fill="auto"/>
          </w:tcPr>
          <w:p w14:paraId="1394F40F" w14:textId="37570D4C" w:rsidR="001E02A1" w:rsidRPr="006D4208" w:rsidRDefault="001E02A1" w:rsidP="00AF5A74">
            <w:pPr>
              <w:jc w:val="right"/>
              <w:rPr>
                <w:rFonts w:asciiTheme="minorHAnsi" w:hAnsiTheme="minorHAnsi" w:cstheme="minorHAnsi"/>
                <w:sz w:val="20"/>
                <w:szCs w:val="20"/>
              </w:rPr>
            </w:pPr>
            <w:r w:rsidRPr="006D4208">
              <w:rPr>
                <w:rFonts w:asciiTheme="minorHAnsi" w:hAnsiTheme="minorHAnsi" w:cstheme="minorHAnsi"/>
                <w:sz w:val="20"/>
                <w:szCs w:val="20"/>
              </w:rPr>
              <w:t>(</w:t>
            </w:r>
            <w:r w:rsidR="00F72BF7" w:rsidRPr="006D4208">
              <w:rPr>
                <w:rFonts w:asciiTheme="minorHAnsi" w:hAnsiTheme="minorHAnsi" w:cstheme="minorHAnsi"/>
                <w:sz w:val="20"/>
                <w:szCs w:val="20"/>
              </w:rPr>
              <w:t>5.</w:t>
            </w:r>
            <w:r w:rsidR="007E2486" w:rsidRPr="006D4208">
              <w:rPr>
                <w:rFonts w:asciiTheme="minorHAnsi" w:hAnsiTheme="minorHAnsi" w:cstheme="minorHAnsi"/>
                <w:sz w:val="20"/>
                <w:szCs w:val="20"/>
              </w:rPr>
              <w:t>3</w:t>
            </w:r>
            <w:r w:rsidRPr="006D4208">
              <w:rPr>
                <w:rFonts w:asciiTheme="minorHAnsi" w:hAnsiTheme="minorHAnsi" w:cstheme="minorHAnsi"/>
                <w:sz w:val="20"/>
                <w:szCs w:val="20"/>
              </w:rPr>
              <w:t>)</w:t>
            </w:r>
          </w:p>
        </w:tc>
      </w:tr>
      <w:tr w:rsidR="001E02A1" w:rsidRPr="00B87A15" w14:paraId="538741C4" w14:textId="77777777" w:rsidTr="00310EA9">
        <w:tc>
          <w:tcPr>
            <w:tcW w:w="1612" w:type="pct"/>
          </w:tcPr>
          <w:p w14:paraId="0AB05EA3" w14:textId="77777777" w:rsidR="001E02A1" w:rsidRPr="00A36F5C" w:rsidRDefault="001E02A1" w:rsidP="00AF5A74">
            <w:pPr>
              <w:rPr>
                <w:rFonts w:asciiTheme="minorHAnsi" w:hAnsiTheme="minorHAnsi" w:cstheme="minorHAnsi"/>
                <w:bCs/>
                <w:sz w:val="20"/>
                <w:szCs w:val="20"/>
              </w:rPr>
            </w:pPr>
            <w:r w:rsidRPr="00A36F5C">
              <w:rPr>
                <w:rFonts w:asciiTheme="minorHAnsi" w:hAnsiTheme="minorHAnsi" w:cstheme="minorHAnsi"/>
                <w:bCs/>
                <w:sz w:val="20"/>
                <w:szCs w:val="20"/>
              </w:rPr>
              <w:t xml:space="preserve">Amortisation </w:t>
            </w:r>
            <w:r>
              <w:rPr>
                <w:rFonts w:asciiTheme="minorHAnsi" w:hAnsiTheme="minorHAnsi" w:cstheme="minorHAnsi"/>
                <w:bCs/>
                <w:sz w:val="20"/>
                <w:szCs w:val="20"/>
              </w:rPr>
              <w:t>o</w:t>
            </w:r>
            <w:r w:rsidRPr="00A36F5C">
              <w:rPr>
                <w:rFonts w:asciiTheme="minorHAnsi" w:hAnsiTheme="minorHAnsi" w:cstheme="minorHAnsi"/>
                <w:bCs/>
                <w:sz w:val="20"/>
                <w:szCs w:val="20"/>
              </w:rPr>
              <w:t>f acquisition intangibles</w:t>
            </w:r>
          </w:p>
        </w:tc>
        <w:tc>
          <w:tcPr>
            <w:tcW w:w="459" w:type="pct"/>
            <w:tcBorders>
              <w:top w:val="single" w:sz="4" w:space="0" w:color="auto"/>
              <w:bottom w:val="single" w:sz="4" w:space="0" w:color="auto"/>
            </w:tcBorders>
            <w:shd w:val="clear" w:color="auto" w:fill="auto"/>
          </w:tcPr>
          <w:p w14:paraId="2B2B4724" w14:textId="77777777" w:rsidR="001E02A1" w:rsidRPr="00A36F5C" w:rsidRDefault="001E02A1" w:rsidP="00AF5A74">
            <w:pPr>
              <w:jc w:val="right"/>
              <w:rPr>
                <w:rFonts w:asciiTheme="minorHAnsi" w:hAnsiTheme="minorHAnsi" w:cstheme="minorHAnsi"/>
                <w:bCs/>
                <w:sz w:val="20"/>
                <w:szCs w:val="20"/>
              </w:rPr>
            </w:pPr>
          </w:p>
        </w:tc>
        <w:tc>
          <w:tcPr>
            <w:tcW w:w="459" w:type="pct"/>
            <w:tcBorders>
              <w:top w:val="single" w:sz="4" w:space="0" w:color="auto"/>
              <w:bottom w:val="single" w:sz="4" w:space="0" w:color="auto"/>
            </w:tcBorders>
            <w:shd w:val="clear" w:color="auto" w:fill="auto"/>
          </w:tcPr>
          <w:p w14:paraId="36550533" w14:textId="77777777" w:rsidR="001E02A1" w:rsidRPr="00A36F5C" w:rsidRDefault="001E02A1" w:rsidP="00AF5A74">
            <w:pPr>
              <w:jc w:val="right"/>
              <w:rPr>
                <w:rFonts w:asciiTheme="minorHAnsi" w:hAnsiTheme="minorHAnsi" w:cstheme="minorHAnsi"/>
                <w:bCs/>
                <w:sz w:val="20"/>
                <w:szCs w:val="20"/>
              </w:rPr>
            </w:pPr>
          </w:p>
        </w:tc>
        <w:tc>
          <w:tcPr>
            <w:tcW w:w="459" w:type="pct"/>
            <w:tcBorders>
              <w:top w:val="single" w:sz="4" w:space="0" w:color="auto"/>
              <w:bottom w:val="single" w:sz="4" w:space="0" w:color="auto"/>
            </w:tcBorders>
            <w:shd w:val="clear" w:color="auto" w:fill="auto"/>
          </w:tcPr>
          <w:p w14:paraId="76B53630" w14:textId="77777777" w:rsidR="001E02A1" w:rsidRPr="00A36F5C" w:rsidRDefault="001E02A1" w:rsidP="00AF5A74">
            <w:pPr>
              <w:jc w:val="right"/>
              <w:rPr>
                <w:rFonts w:asciiTheme="minorHAnsi" w:hAnsiTheme="minorHAnsi" w:cstheme="minorHAnsi"/>
                <w:bCs/>
                <w:sz w:val="20"/>
                <w:szCs w:val="20"/>
              </w:rPr>
            </w:pPr>
          </w:p>
        </w:tc>
        <w:tc>
          <w:tcPr>
            <w:tcW w:w="555" w:type="pct"/>
            <w:tcBorders>
              <w:top w:val="single" w:sz="4" w:space="0" w:color="auto"/>
              <w:bottom w:val="single" w:sz="4" w:space="0" w:color="auto"/>
            </w:tcBorders>
            <w:shd w:val="clear" w:color="auto" w:fill="auto"/>
          </w:tcPr>
          <w:p w14:paraId="20ECC647" w14:textId="77777777" w:rsidR="001E02A1" w:rsidRPr="00A36F5C" w:rsidRDefault="001E02A1" w:rsidP="00AF5A74">
            <w:pPr>
              <w:jc w:val="right"/>
              <w:rPr>
                <w:rFonts w:asciiTheme="minorHAnsi" w:hAnsiTheme="minorHAnsi" w:cstheme="minorHAnsi"/>
                <w:bCs/>
                <w:sz w:val="20"/>
                <w:szCs w:val="20"/>
              </w:rPr>
            </w:pPr>
          </w:p>
        </w:tc>
        <w:tc>
          <w:tcPr>
            <w:tcW w:w="460" w:type="pct"/>
            <w:tcBorders>
              <w:top w:val="single" w:sz="4" w:space="0" w:color="auto"/>
              <w:bottom w:val="single" w:sz="4" w:space="0" w:color="auto"/>
            </w:tcBorders>
            <w:shd w:val="clear" w:color="auto" w:fill="auto"/>
          </w:tcPr>
          <w:p w14:paraId="367F4891" w14:textId="77777777" w:rsidR="001E02A1" w:rsidRPr="00A36F5C" w:rsidRDefault="001E02A1" w:rsidP="00AF5A74">
            <w:pPr>
              <w:jc w:val="right"/>
              <w:rPr>
                <w:rFonts w:asciiTheme="minorHAnsi" w:hAnsiTheme="minorHAnsi" w:cstheme="minorHAnsi"/>
                <w:bCs/>
                <w:sz w:val="20"/>
                <w:szCs w:val="20"/>
              </w:rPr>
            </w:pPr>
          </w:p>
        </w:tc>
        <w:tc>
          <w:tcPr>
            <w:tcW w:w="535" w:type="pct"/>
            <w:tcBorders>
              <w:top w:val="single" w:sz="4" w:space="0" w:color="auto"/>
              <w:bottom w:val="single" w:sz="4" w:space="0" w:color="auto"/>
            </w:tcBorders>
            <w:shd w:val="clear" w:color="auto" w:fill="auto"/>
          </w:tcPr>
          <w:p w14:paraId="4C0FB40C" w14:textId="77777777" w:rsidR="001E02A1" w:rsidRPr="006D4208" w:rsidRDefault="001E02A1" w:rsidP="00AF5A74">
            <w:pPr>
              <w:jc w:val="right"/>
              <w:rPr>
                <w:rFonts w:asciiTheme="minorHAnsi" w:hAnsiTheme="minorHAnsi" w:cstheme="minorHAnsi"/>
                <w:sz w:val="20"/>
                <w:szCs w:val="20"/>
              </w:rPr>
            </w:pPr>
          </w:p>
          <w:p w14:paraId="117B143E" w14:textId="56E18CF7" w:rsidR="001E02A1" w:rsidRPr="006D4208" w:rsidRDefault="00C26600" w:rsidP="00AF5A74">
            <w:pPr>
              <w:jc w:val="right"/>
              <w:rPr>
                <w:rFonts w:asciiTheme="minorHAnsi" w:hAnsiTheme="minorHAnsi" w:cstheme="minorHAnsi"/>
                <w:sz w:val="20"/>
                <w:szCs w:val="20"/>
              </w:rPr>
            </w:pPr>
            <w:r w:rsidRPr="006D4208">
              <w:rPr>
                <w:rFonts w:asciiTheme="minorHAnsi" w:hAnsiTheme="minorHAnsi" w:cstheme="minorHAnsi"/>
                <w:sz w:val="20"/>
                <w:szCs w:val="20"/>
              </w:rPr>
              <w:t>(3.7</w:t>
            </w:r>
            <w:r w:rsidR="001E02A1" w:rsidRPr="006D4208">
              <w:rPr>
                <w:rFonts w:asciiTheme="minorHAnsi" w:hAnsiTheme="minorHAnsi" w:cstheme="minorHAnsi"/>
                <w:sz w:val="20"/>
                <w:szCs w:val="20"/>
              </w:rPr>
              <w:t>)</w:t>
            </w:r>
          </w:p>
        </w:tc>
        <w:tc>
          <w:tcPr>
            <w:tcW w:w="461" w:type="pct"/>
            <w:tcBorders>
              <w:top w:val="single" w:sz="4" w:space="0" w:color="auto"/>
              <w:bottom w:val="single" w:sz="4" w:space="0" w:color="auto"/>
            </w:tcBorders>
            <w:shd w:val="clear" w:color="auto" w:fill="auto"/>
          </w:tcPr>
          <w:p w14:paraId="39C446DF" w14:textId="77777777" w:rsidR="001E02A1" w:rsidRPr="006D4208" w:rsidRDefault="001E02A1" w:rsidP="00AF5A74">
            <w:pPr>
              <w:jc w:val="right"/>
              <w:rPr>
                <w:rFonts w:asciiTheme="minorHAnsi" w:hAnsiTheme="minorHAnsi" w:cstheme="minorHAnsi"/>
                <w:sz w:val="20"/>
                <w:szCs w:val="20"/>
              </w:rPr>
            </w:pPr>
          </w:p>
          <w:p w14:paraId="39DFA344" w14:textId="06D6E54B" w:rsidR="001E02A1" w:rsidRPr="006D4208" w:rsidRDefault="001E02A1" w:rsidP="00AF5A74">
            <w:pPr>
              <w:jc w:val="right"/>
              <w:rPr>
                <w:rFonts w:asciiTheme="minorHAnsi" w:hAnsiTheme="minorHAnsi" w:cstheme="minorHAnsi"/>
                <w:sz w:val="20"/>
                <w:szCs w:val="20"/>
              </w:rPr>
            </w:pPr>
            <w:r w:rsidRPr="006D4208">
              <w:rPr>
                <w:rFonts w:asciiTheme="minorHAnsi" w:hAnsiTheme="minorHAnsi" w:cstheme="minorHAnsi"/>
                <w:sz w:val="20"/>
                <w:szCs w:val="20"/>
              </w:rPr>
              <w:t>(</w:t>
            </w:r>
            <w:r w:rsidR="00C26600" w:rsidRPr="006D4208">
              <w:rPr>
                <w:rFonts w:asciiTheme="minorHAnsi" w:hAnsiTheme="minorHAnsi" w:cstheme="minorHAnsi"/>
                <w:sz w:val="20"/>
                <w:szCs w:val="20"/>
              </w:rPr>
              <w:t>3.7</w:t>
            </w:r>
            <w:r w:rsidRPr="006D4208">
              <w:rPr>
                <w:rFonts w:asciiTheme="minorHAnsi" w:hAnsiTheme="minorHAnsi" w:cstheme="minorHAnsi"/>
                <w:sz w:val="20"/>
                <w:szCs w:val="20"/>
              </w:rPr>
              <w:t>)</w:t>
            </w:r>
          </w:p>
        </w:tc>
      </w:tr>
      <w:tr w:rsidR="001E02A1" w:rsidRPr="00B87A15" w14:paraId="365CB156" w14:textId="77777777" w:rsidTr="00310EA9">
        <w:tc>
          <w:tcPr>
            <w:tcW w:w="1612" w:type="pct"/>
          </w:tcPr>
          <w:p w14:paraId="06F2E2C9" w14:textId="5A1B1F6B" w:rsidR="001E02A1" w:rsidRPr="00A36F5C" w:rsidRDefault="001E02A1" w:rsidP="00AF5A74">
            <w:pPr>
              <w:autoSpaceDE w:val="0"/>
              <w:autoSpaceDN w:val="0"/>
              <w:adjustRightInd w:val="0"/>
              <w:rPr>
                <w:rFonts w:asciiTheme="minorHAnsi" w:hAnsiTheme="minorHAnsi" w:cstheme="minorHAnsi"/>
                <w:b/>
                <w:sz w:val="20"/>
                <w:szCs w:val="20"/>
              </w:rPr>
            </w:pPr>
            <w:r w:rsidRPr="00A36F5C">
              <w:rPr>
                <w:rFonts w:asciiTheme="minorHAnsi" w:hAnsiTheme="minorHAnsi" w:cstheme="minorHAnsi"/>
                <w:b/>
                <w:sz w:val="20"/>
                <w:szCs w:val="20"/>
              </w:rPr>
              <w:t>Statutory loss before taxation</w:t>
            </w:r>
          </w:p>
        </w:tc>
        <w:tc>
          <w:tcPr>
            <w:tcW w:w="459" w:type="pct"/>
            <w:tcBorders>
              <w:top w:val="single" w:sz="4" w:space="0" w:color="auto"/>
              <w:bottom w:val="single" w:sz="4" w:space="0" w:color="auto"/>
            </w:tcBorders>
            <w:shd w:val="clear" w:color="auto" w:fill="auto"/>
          </w:tcPr>
          <w:p w14:paraId="2EF2DFAF" w14:textId="77777777" w:rsidR="001E02A1" w:rsidRPr="00A36F5C" w:rsidRDefault="001E02A1" w:rsidP="00AF5A74">
            <w:pPr>
              <w:jc w:val="right"/>
              <w:rPr>
                <w:rFonts w:asciiTheme="minorHAnsi" w:hAnsiTheme="minorHAnsi" w:cstheme="minorHAnsi"/>
                <w:b/>
                <w:sz w:val="20"/>
                <w:szCs w:val="20"/>
              </w:rPr>
            </w:pPr>
          </w:p>
        </w:tc>
        <w:tc>
          <w:tcPr>
            <w:tcW w:w="459" w:type="pct"/>
            <w:tcBorders>
              <w:top w:val="single" w:sz="4" w:space="0" w:color="auto"/>
              <w:bottom w:val="single" w:sz="4" w:space="0" w:color="auto"/>
            </w:tcBorders>
            <w:shd w:val="clear" w:color="auto" w:fill="auto"/>
          </w:tcPr>
          <w:p w14:paraId="367C0BED" w14:textId="77777777" w:rsidR="001E02A1" w:rsidRPr="00A36F5C" w:rsidRDefault="001E02A1" w:rsidP="00AF5A74">
            <w:pPr>
              <w:jc w:val="right"/>
              <w:rPr>
                <w:rFonts w:asciiTheme="minorHAnsi" w:hAnsiTheme="minorHAnsi" w:cstheme="minorHAnsi"/>
                <w:b/>
                <w:sz w:val="20"/>
                <w:szCs w:val="20"/>
              </w:rPr>
            </w:pPr>
          </w:p>
        </w:tc>
        <w:tc>
          <w:tcPr>
            <w:tcW w:w="459" w:type="pct"/>
            <w:tcBorders>
              <w:top w:val="single" w:sz="4" w:space="0" w:color="auto"/>
              <w:bottom w:val="single" w:sz="4" w:space="0" w:color="auto"/>
            </w:tcBorders>
            <w:shd w:val="clear" w:color="auto" w:fill="auto"/>
          </w:tcPr>
          <w:p w14:paraId="4FE24449" w14:textId="77777777" w:rsidR="001E02A1" w:rsidRPr="00A36F5C" w:rsidRDefault="001E02A1" w:rsidP="00AF5A74">
            <w:pPr>
              <w:jc w:val="right"/>
              <w:rPr>
                <w:rFonts w:asciiTheme="minorHAnsi" w:hAnsiTheme="minorHAnsi" w:cstheme="minorHAnsi"/>
                <w:b/>
                <w:sz w:val="20"/>
                <w:szCs w:val="20"/>
              </w:rPr>
            </w:pPr>
          </w:p>
        </w:tc>
        <w:tc>
          <w:tcPr>
            <w:tcW w:w="555" w:type="pct"/>
            <w:tcBorders>
              <w:top w:val="single" w:sz="4" w:space="0" w:color="auto"/>
              <w:bottom w:val="single" w:sz="4" w:space="0" w:color="auto"/>
            </w:tcBorders>
            <w:shd w:val="clear" w:color="auto" w:fill="auto"/>
          </w:tcPr>
          <w:p w14:paraId="36627F69" w14:textId="77777777" w:rsidR="001E02A1" w:rsidRPr="00A36F5C" w:rsidRDefault="001E02A1" w:rsidP="00AF5A74">
            <w:pPr>
              <w:jc w:val="right"/>
              <w:rPr>
                <w:rFonts w:asciiTheme="minorHAnsi" w:hAnsiTheme="minorHAnsi" w:cstheme="minorHAnsi"/>
                <w:b/>
                <w:sz w:val="20"/>
                <w:szCs w:val="20"/>
              </w:rPr>
            </w:pPr>
          </w:p>
        </w:tc>
        <w:tc>
          <w:tcPr>
            <w:tcW w:w="460" w:type="pct"/>
            <w:tcBorders>
              <w:top w:val="single" w:sz="4" w:space="0" w:color="auto"/>
              <w:bottom w:val="single" w:sz="4" w:space="0" w:color="auto"/>
            </w:tcBorders>
            <w:shd w:val="clear" w:color="auto" w:fill="auto"/>
          </w:tcPr>
          <w:p w14:paraId="7BBE9F48" w14:textId="77777777" w:rsidR="001E02A1" w:rsidRPr="00A36F5C" w:rsidRDefault="001E02A1" w:rsidP="00AF5A74">
            <w:pPr>
              <w:jc w:val="right"/>
              <w:rPr>
                <w:rFonts w:asciiTheme="minorHAnsi" w:hAnsiTheme="minorHAnsi" w:cstheme="minorHAnsi"/>
                <w:b/>
                <w:sz w:val="20"/>
                <w:szCs w:val="20"/>
              </w:rPr>
            </w:pPr>
          </w:p>
        </w:tc>
        <w:tc>
          <w:tcPr>
            <w:tcW w:w="535" w:type="pct"/>
            <w:tcBorders>
              <w:top w:val="single" w:sz="4" w:space="0" w:color="auto"/>
              <w:bottom w:val="single" w:sz="4" w:space="0" w:color="auto"/>
            </w:tcBorders>
            <w:shd w:val="clear" w:color="auto" w:fill="auto"/>
          </w:tcPr>
          <w:p w14:paraId="7CD1F64F" w14:textId="486A8658" w:rsidR="001E02A1" w:rsidRPr="006D4208" w:rsidRDefault="001E02A1" w:rsidP="00AF5A74">
            <w:pPr>
              <w:jc w:val="right"/>
              <w:rPr>
                <w:rFonts w:asciiTheme="minorHAnsi" w:hAnsiTheme="minorHAnsi" w:cstheme="minorHAnsi"/>
                <w:b/>
                <w:sz w:val="20"/>
                <w:szCs w:val="20"/>
              </w:rPr>
            </w:pPr>
            <w:r w:rsidRPr="006D4208">
              <w:rPr>
                <w:rFonts w:asciiTheme="minorHAnsi" w:hAnsiTheme="minorHAnsi" w:cstheme="minorHAnsi"/>
                <w:b/>
                <w:sz w:val="20"/>
                <w:szCs w:val="20"/>
              </w:rPr>
              <w:t>(</w:t>
            </w:r>
            <w:r w:rsidR="00273CBA" w:rsidRPr="006D4208">
              <w:rPr>
                <w:rFonts w:asciiTheme="minorHAnsi" w:hAnsiTheme="minorHAnsi" w:cstheme="minorHAnsi"/>
                <w:b/>
                <w:sz w:val="20"/>
                <w:szCs w:val="20"/>
              </w:rPr>
              <w:t>54.4</w:t>
            </w:r>
            <w:r w:rsidRPr="006D4208">
              <w:rPr>
                <w:rFonts w:asciiTheme="minorHAnsi" w:hAnsiTheme="minorHAnsi" w:cstheme="minorHAnsi"/>
                <w:b/>
                <w:sz w:val="20"/>
                <w:szCs w:val="20"/>
              </w:rPr>
              <w:t>)</w:t>
            </w:r>
          </w:p>
        </w:tc>
        <w:tc>
          <w:tcPr>
            <w:tcW w:w="461" w:type="pct"/>
            <w:tcBorders>
              <w:top w:val="single" w:sz="4" w:space="0" w:color="auto"/>
              <w:bottom w:val="single" w:sz="4" w:space="0" w:color="auto"/>
            </w:tcBorders>
            <w:shd w:val="clear" w:color="auto" w:fill="auto"/>
          </w:tcPr>
          <w:p w14:paraId="2DBC92E9" w14:textId="3E4C4402" w:rsidR="001E02A1" w:rsidRPr="006D4208" w:rsidRDefault="001E02A1" w:rsidP="00AF5A74">
            <w:pPr>
              <w:jc w:val="right"/>
              <w:rPr>
                <w:rFonts w:asciiTheme="minorHAnsi" w:hAnsiTheme="minorHAnsi" w:cstheme="minorHAnsi"/>
                <w:b/>
                <w:sz w:val="20"/>
                <w:szCs w:val="20"/>
              </w:rPr>
            </w:pPr>
            <w:r w:rsidRPr="006D4208">
              <w:rPr>
                <w:rFonts w:asciiTheme="minorHAnsi" w:hAnsiTheme="minorHAnsi" w:cstheme="minorHAnsi"/>
                <w:b/>
                <w:sz w:val="20"/>
                <w:szCs w:val="20"/>
              </w:rPr>
              <w:t>(</w:t>
            </w:r>
            <w:r w:rsidR="0074004C">
              <w:rPr>
                <w:rFonts w:asciiTheme="minorHAnsi" w:hAnsiTheme="minorHAnsi" w:cstheme="minorHAnsi"/>
                <w:b/>
                <w:sz w:val="20"/>
                <w:szCs w:val="20"/>
              </w:rPr>
              <w:t>21.9</w:t>
            </w:r>
            <w:r w:rsidRPr="006D4208">
              <w:rPr>
                <w:rFonts w:asciiTheme="minorHAnsi" w:hAnsiTheme="minorHAnsi" w:cstheme="minorHAnsi"/>
                <w:b/>
                <w:sz w:val="20"/>
                <w:szCs w:val="20"/>
              </w:rPr>
              <w:t>)</w:t>
            </w:r>
          </w:p>
        </w:tc>
      </w:tr>
      <w:tr w:rsidR="001E02A1" w:rsidRPr="00B87A15" w14:paraId="75A3F633" w14:textId="77777777" w:rsidTr="00310EA9">
        <w:trPr>
          <w:trHeight w:val="253"/>
        </w:trPr>
        <w:tc>
          <w:tcPr>
            <w:tcW w:w="1612" w:type="pct"/>
          </w:tcPr>
          <w:p w14:paraId="1D0C0F07" w14:textId="29EBB7B0" w:rsidR="001E02A1" w:rsidRPr="00A36F5C" w:rsidRDefault="001E02A1" w:rsidP="00AF5A74">
            <w:pPr>
              <w:tabs>
                <w:tab w:val="left" w:pos="720"/>
              </w:tabs>
              <w:rPr>
                <w:rFonts w:asciiTheme="minorHAnsi" w:hAnsiTheme="minorHAnsi" w:cstheme="minorHAnsi"/>
                <w:bCs/>
                <w:sz w:val="20"/>
                <w:szCs w:val="20"/>
              </w:rPr>
            </w:pPr>
            <w:r w:rsidRPr="00A36F5C">
              <w:rPr>
                <w:rFonts w:asciiTheme="minorHAnsi" w:hAnsiTheme="minorHAnsi" w:cstheme="minorHAnsi"/>
                <w:bCs/>
                <w:sz w:val="20"/>
                <w:szCs w:val="20"/>
              </w:rPr>
              <w:t>Tax c</w:t>
            </w:r>
            <w:r w:rsidR="00A5697C">
              <w:rPr>
                <w:rFonts w:asciiTheme="minorHAnsi" w:hAnsiTheme="minorHAnsi" w:cstheme="minorHAnsi"/>
                <w:bCs/>
                <w:sz w:val="20"/>
                <w:szCs w:val="20"/>
              </w:rPr>
              <w:t>redit</w:t>
            </w:r>
          </w:p>
        </w:tc>
        <w:tc>
          <w:tcPr>
            <w:tcW w:w="459" w:type="pct"/>
            <w:tcBorders>
              <w:top w:val="single" w:sz="4" w:space="0" w:color="auto"/>
              <w:bottom w:val="single" w:sz="4" w:space="0" w:color="auto"/>
            </w:tcBorders>
            <w:shd w:val="clear" w:color="auto" w:fill="auto"/>
          </w:tcPr>
          <w:p w14:paraId="72A950C3" w14:textId="77777777" w:rsidR="001E02A1" w:rsidRPr="00A36F5C" w:rsidRDefault="001E02A1" w:rsidP="00AF5A74">
            <w:pPr>
              <w:jc w:val="right"/>
              <w:rPr>
                <w:rFonts w:asciiTheme="minorHAnsi" w:hAnsiTheme="minorHAnsi" w:cstheme="minorHAnsi"/>
                <w:bCs/>
                <w:sz w:val="20"/>
                <w:szCs w:val="20"/>
              </w:rPr>
            </w:pPr>
          </w:p>
        </w:tc>
        <w:tc>
          <w:tcPr>
            <w:tcW w:w="459" w:type="pct"/>
            <w:tcBorders>
              <w:top w:val="single" w:sz="4" w:space="0" w:color="auto"/>
              <w:bottom w:val="single" w:sz="4" w:space="0" w:color="auto"/>
            </w:tcBorders>
            <w:shd w:val="clear" w:color="auto" w:fill="auto"/>
          </w:tcPr>
          <w:p w14:paraId="648C4525" w14:textId="77777777" w:rsidR="001E02A1" w:rsidRPr="00A36F5C" w:rsidRDefault="001E02A1" w:rsidP="00AF5A74">
            <w:pPr>
              <w:jc w:val="right"/>
              <w:rPr>
                <w:rFonts w:asciiTheme="minorHAnsi" w:hAnsiTheme="minorHAnsi" w:cstheme="minorHAnsi"/>
                <w:bCs/>
                <w:sz w:val="20"/>
                <w:szCs w:val="20"/>
              </w:rPr>
            </w:pPr>
          </w:p>
        </w:tc>
        <w:tc>
          <w:tcPr>
            <w:tcW w:w="459" w:type="pct"/>
            <w:tcBorders>
              <w:top w:val="single" w:sz="4" w:space="0" w:color="auto"/>
              <w:bottom w:val="single" w:sz="4" w:space="0" w:color="auto"/>
            </w:tcBorders>
            <w:shd w:val="clear" w:color="auto" w:fill="auto"/>
          </w:tcPr>
          <w:p w14:paraId="74458377" w14:textId="77777777" w:rsidR="001E02A1" w:rsidRPr="00A36F5C" w:rsidRDefault="001E02A1" w:rsidP="00AF5A74">
            <w:pPr>
              <w:jc w:val="right"/>
              <w:rPr>
                <w:rFonts w:asciiTheme="minorHAnsi" w:hAnsiTheme="minorHAnsi" w:cstheme="minorHAnsi"/>
                <w:bCs/>
                <w:sz w:val="20"/>
                <w:szCs w:val="20"/>
              </w:rPr>
            </w:pPr>
          </w:p>
        </w:tc>
        <w:tc>
          <w:tcPr>
            <w:tcW w:w="555" w:type="pct"/>
            <w:tcBorders>
              <w:top w:val="single" w:sz="4" w:space="0" w:color="auto"/>
              <w:bottom w:val="single" w:sz="4" w:space="0" w:color="auto"/>
            </w:tcBorders>
            <w:shd w:val="clear" w:color="auto" w:fill="auto"/>
          </w:tcPr>
          <w:p w14:paraId="29D16312" w14:textId="77777777" w:rsidR="001E02A1" w:rsidRPr="00A36F5C" w:rsidRDefault="001E02A1" w:rsidP="00AF5A74">
            <w:pPr>
              <w:jc w:val="right"/>
              <w:rPr>
                <w:rFonts w:asciiTheme="minorHAnsi" w:hAnsiTheme="minorHAnsi" w:cstheme="minorHAnsi"/>
                <w:bCs/>
                <w:sz w:val="20"/>
                <w:szCs w:val="20"/>
              </w:rPr>
            </w:pPr>
          </w:p>
        </w:tc>
        <w:tc>
          <w:tcPr>
            <w:tcW w:w="460" w:type="pct"/>
            <w:tcBorders>
              <w:top w:val="single" w:sz="4" w:space="0" w:color="auto"/>
              <w:bottom w:val="single" w:sz="4" w:space="0" w:color="auto"/>
            </w:tcBorders>
            <w:shd w:val="clear" w:color="auto" w:fill="auto"/>
          </w:tcPr>
          <w:p w14:paraId="60D2604F" w14:textId="77777777" w:rsidR="001E02A1" w:rsidRPr="00A36F5C" w:rsidRDefault="001E02A1" w:rsidP="00AF5A74">
            <w:pPr>
              <w:jc w:val="right"/>
              <w:rPr>
                <w:rFonts w:asciiTheme="minorHAnsi" w:hAnsiTheme="minorHAnsi" w:cstheme="minorHAnsi"/>
                <w:bCs/>
                <w:sz w:val="20"/>
                <w:szCs w:val="20"/>
              </w:rPr>
            </w:pPr>
          </w:p>
        </w:tc>
        <w:tc>
          <w:tcPr>
            <w:tcW w:w="535" w:type="pct"/>
            <w:tcBorders>
              <w:top w:val="single" w:sz="4" w:space="0" w:color="auto"/>
              <w:bottom w:val="single" w:sz="4" w:space="0" w:color="auto"/>
            </w:tcBorders>
            <w:shd w:val="clear" w:color="auto" w:fill="auto"/>
          </w:tcPr>
          <w:p w14:paraId="01C5AE70" w14:textId="77777777" w:rsidR="001E02A1" w:rsidRPr="006D4208" w:rsidRDefault="001E02A1" w:rsidP="00AF5A74">
            <w:pPr>
              <w:jc w:val="right"/>
              <w:rPr>
                <w:rFonts w:asciiTheme="minorHAnsi" w:hAnsiTheme="minorHAnsi" w:cstheme="minorHAnsi"/>
                <w:sz w:val="20"/>
                <w:szCs w:val="20"/>
              </w:rPr>
            </w:pPr>
          </w:p>
        </w:tc>
        <w:tc>
          <w:tcPr>
            <w:tcW w:w="461" w:type="pct"/>
            <w:tcBorders>
              <w:top w:val="single" w:sz="4" w:space="0" w:color="auto"/>
              <w:bottom w:val="single" w:sz="4" w:space="0" w:color="auto"/>
            </w:tcBorders>
            <w:shd w:val="clear" w:color="auto" w:fill="auto"/>
          </w:tcPr>
          <w:p w14:paraId="7E5DF599" w14:textId="00165ED1" w:rsidR="001E02A1" w:rsidRPr="006D4208" w:rsidRDefault="00C315A3" w:rsidP="00AF5A74">
            <w:pPr>
              <w:jc w:val="right"/>
              <w:rPr>
                <w:rFonts w:asciiTheme="minorHAnsi" w:hAnsiTheme="minorHAnsi" w:cstheme="minorHAnsi"/>
                <w:sz w:val="20"/>
                <w:szCs w:val="20"/>
              </w:rPr>
            </w:pPr>
            <w:r>
              <w:rPr>
                <w:rFonts w:asciiTheme="minorHAnsi" w:hAnsiTheme="minorHAnsi" w:cstheme="minorHAnsi"/>
                <w:sz w:val="20"/>
                <w:szCs w:val="20"/>
              </w:rPr>
              <w:t>6.0</w:t>
            </w:r>
          </w:p>
        </w:tc>
      </w:tr>
      <w:tr w:rsidR="001E02A1" w:rsidRPr="00B87A15" w14:paraId="25C4FCDA" w14:textId="77777777" w:rsidTr="00310EA9">
        <w:trPr>
          <w:trHeight w:val="611"/>
        </w:trPr>
        <w:tc>
          <w:tcPr>
            <w:tcW w:w="1612" w:type="pct"/>
          </w:tcPr>
          <w:p w14:paraId="3B47BF9A" w14:textId="77777777" w:rsidR="001E02A1" w:rsidRPr="00A36F5C" w:rsidRDefault="001E02A1" w:rsidP="00AF5A74">
            <w:pPr>
              <w:autoSpaceDE w:val="0"/>
              <w:autoSpaceDN w:val="0"/>
              <w:adjustRightInd w:val="0"/>
              <w:rPr>
                <w:rFonts w:asciiTheme="minorHAnsi" w:hAnsiTheme="minorHAnsi" w:cstheme="minorHAnsi"/>
                <w:b/>
                <w:sz w:val="20"/>
                <w:szCs w:val="20"/>
              </w:rPr>
            </w:pPr>
            <w:r w:rsidRPr="00A36F5C">
              <w:rPr>
                <w:rFonts w:asciiTheme="minorHAnsi" w:hAnsiTheme="minorHAnsi" w:cstheme="minorHAnsi"/>
                <w:b/>
                <w:sz w:val="20"/>
                <w:szCs w:val="20"/>
              </w:rPr>
              <w:t>Statutory loss for the year attributable to equity shareholders</w:t>
            </w:r>
          </w:p>
        </w:tc>
        <w:tc>
          <w:tcPr>
            <w:tcW w:w="459" w:type="pct"/>
            <w:tcBorders>
              <w:top w:val="single" w:sz="4" w:space="0" w:color="auto"/>
              <w:bottom w:val="single" w:sz="12" w:space="0" w:color="auto"/>
            </w:tcBorders>
            <w:shd w:val="clear" w:color="auto" w:fill="auto"/>
          </w:tcPr>
          <w:p w14:paraId="4A8E59B3" w14:textId="77777777" w:rsidR="001E02A1" w:rsidRPr="00A36F5C" w:rsidRDefault="001E02A1" w:rsidP="00AF5A74">
            <w:pPr>
              <w:jc w:val="right"/>
              <w:rPr>
                <w:rFonts w:asciiTheme="minorHAnsi" w:hAnsiTheme="minorHAnsi" w:cs="Arial"/>
                <w:sz w:val="20"/>
                <w:szCs w:val="20"/>
              </w:rPr>
            </w:pPr>
          </w:p>
        </w:tc>
        <w:tc>
          <w:tcPr>
            <w:tcW w:w="459" w:type="pct"/>
            <w:tcBorders>
              <w:top w:val="single" w:sz="4" w:space="0" w:color="auto"/>
              <w:bottom w:val="single" w:sz="12" w:space="0" w:color="auto"/>
            </w:tcBorders>
            <w:shd w:val="clear" w:color="auto" w:fill="auto"/>
          </w:tcPr>
          <w:p w14:paraId="5214114D" w14:textId="77777777" w:rsidR="001E02A1" w:rsidRPr="00A36F5C" w:rsidRDefault="001E02A1" w:rsidP="00AF5A74">
            <w:pPr>
              <w:jc w:val="right"/>
              <w:rPr>
                <w:rFonts w:asciiTheme="minorHAnsi" w:hAnsiTheme="minorHAnsi" w:cs="Arial"/>
                <w:sz w:val="20"/>
                <w:szCs w:val="20"/>
              </w:rPr>
            </w:pPr>
          </w:p>
        </w:tc>
        <w:tc>
          <w:tcPr>
            <w:tcW w:w="459" w:type="pct"/>
            <w:tcBorders>
              <w:top w:val="single" w:sz="4" w:space="0" w:color="auto"/>
              <w:bottom w:val="single" w:sz="12" w:space="0" w:color="auto"/>
            </w:tcBorders>
            <w:shd w:val="clear" w:color="auto" w:fill="auto"/>
          </w:tcPr>
          <w:p w14:paraId="66E898AD" w14:textId="77777777" w:rsidR="001E02A1" w:rsidRPr="00A36F5C" w:rsidRDefault="001E02A1" w:rsidP="00AF5A74">
            <w:pPr>
              <w:jc w:val="right"/>
              <w:rPr>
                <w:rFonts w:asciiTheme="minorHAnsi" w:hAnsiTheme="minorHAnsi" w:cs="Arial"/>
                <w:sz w:val="20"/>
                <w:szCs w:val="20"/>
              </w:rPr>
            </w:pPr>
          </w:p>
        </w:tc>
        <w:tc>
          <w:tcPr>
            <w:tcW w:w="555" w:type="pct"/>
            <w:tcBorders>
              <w:top w:val="single" w:sz="4" w:space="0" w:color="auto"/>
              <w:bottom w:val="single" w:sz="12" w:space="0" w:color="auto"/>
            </w:tcBorders>
            <w:shd w:val="clear" w:color="auto" w:fill="auto"/>
          </w:tcPr>
          <w:p w14:paraId="04361FA9" w14:textId="77777777" w:rsidR="001E02A1" w:rsidRPr="00A36F5C" w:rsidRDefault="001E02A1" w:rsidP="00AF5A74">
            <w:pPr>
              <w:jc w:val="right"/>
              <w:rPr>
                <w:rFonts w:asciiTheme="minorHAnsi" w:hAnsiTheme="minorHAnsi" w:cs="Arial"/>
                <w:sz w:val="20"/>
                <w:szCs w:val="20"/>
              </w:rPr>
            </w:pPr>
          </w:p>
        </w:tc>
        <w:tc>
          <w:tcPr>
            <w:tcW w:w="460" w:type="pct"/>
            <w:tcBorders>
              <w:top w:val="single" w:sz="4" w:space="0" w:color="auto"/>
              <w:bottom w:val="single" w:sz="12" w:space="0" w:color="auto"/>
            </w:tcBorders>
            <w:shd w:val="clear" w:color="auto" w:fill="auto"/>
          </w:tcPr>
          <w:p w14:paraId="2B693EB5" w14:textId="77777777" w:rsidR="001E02A1" w:rsidRPr="00A36F5C" w:rsidRDefault="001E02A1" w:rsidP="00AF5A74">
            <w:pPr>
              <w:jc w:val="right"/>
              <w:rPr>
                <w:rFonts w:asciiTheme="minorHAnsi" w:hAnsiTheme="minorHAnsi" w:cs="Arial"/>
                <w:sz w:val="20"/>
                <w:szCs w:val="20"/>
              </w:rPr>
            </w:pPr>
          </w:p>
        </w:tc>
        <w:tc>
          <w:tcPr>
            <w:tcW w:w="535" w:type="pct"/>
            <w:tcBorders>
              <w:top w:val="single" w:sz="4" w:space="0" w:color="auto"/>
              <w:bottom w:val="single" w:sz="12" w:space="0" w:color="auto"/>
            </w:tcBorders>
            <w:shd w:val="clear" w:color="auto" w:fill="auto"/>
          </w:tcPr>
          <w:p w14:paraId="7F9774F3" w14:textId="77777777" w:rsidR="001E02A1" w:rsidRPr="0009386E" w:rsidRDefault="001E02A1" w:rsidP="00AF5A74">
            <w:pPr>
              <w:jc w:val="right"/>
              <w:rPr>
                <w:rFonts w:asciiTheme="minorHAnsi" w:hAnsiTheme="minorHAnsi" w:cs="Arial"/>
                <w:sz w:val="20"/>
                <w:szCs w:val="20"/>
                <w:highlight w:val="green"/>
              </w:rPr>
            </w:pPr>
          </w:p>
        </w:tc>
        <w:tc>
          <w:tcPr>
            <w:tcW w:w="461" w:type="pct"/>
            <w:tcBorders>
              <w:top w:val="single" w:sz="4" w:space="0" w:color="auto"/>
              <w:bottom w:val="single" w:sz="12" w:space="0" w:color="auto"/>
            </w:tcBorders>
            <w:shd w:val="clear" w:color="auto" w:fill="auto"/>
          </w:tcPr>
          <w:p w14:paraId="5C5436BE" w14:textId="00C6295E" w:rsidR="001E02A1" w:rsidRPr="006D4208" w:rsidRDefault="001E02A1" w:rsidP="00AF5A74">
            <w:pPr>
              <w:jc w:val="right"/>
              <w:rPr>
                <w:rFonts w:asciiTheme="minorHAnsi" w:hAnsiTheme="minorHAnsi" w:cs="Arial"/>
                <w:b/>
                <w:sz w:val="20"/>
                <w:szCs w:val="20"/>
              </w:rPr>
            </w:pPr>
            <w:r w:rsidRPr="006D4208">
              <w:rPr>
                <w:rFonts w:asciiTheme="minorHAnsi" w:hAnsiTheme="minorHAnsi" w:cs="Arial"/>
                <w:b/>
                <w:sz w:val="20"/>
                <w:szCs w:val="20"/>
              </w:rPr>
              <w:t>(</w:t>
            </w:r>
            <w:r w:rsidR="005B59C1" w:rsidRPr="006D4208">
              <w:rPr>
                <w:rFonts w:asciiTheme="minorHAnsi" w:hAnsiTheme="minorHAnsi" w:cs="Arial"/>
                <w:b/>
                <w:sz w:val="20"/>
                <w:szCs w:val="20"/>
              </w:rPr>
              <w:t>1</w:t>
            </w:r>
            <w:r w:rsidR="006927A8">
              <w:rPr>
                <w:rFonts w:asciiTheme="minorHAnsi" w:hAnsiTheme="minorHAnsi" w:cs="Arial"/>
                <w:b/>
                <w:sz w:val="20"/>
                <w:szCs w:val="20"/>
              </w:rPr>
              <w:t>5.9</w:t>
            </w:r>
            <w:r w:rsidRPr="006D4208">
              <w:rPr>
                <w:rFonts w:asciiTheme="minorHAnsi" w:hAnsiTheme="minorHAnsi" w:cs="Arial"/>
                <w:b/>
                <w:sz w:val="20"/>
                <w:szCs w:val="20"/>
              </w:rPr>
              <w:t>)</w:t>
            </w:r>
          </w:p>
        </w:tc>
      </w:tr>
    </w:tbl>
    <w:p w14:paraId="0CFB3793" w14:textId="4DC9EFF2" w:rsidR="00B1040B" w:rsidRDefault="00B1040B" w:rsidP="00310EA9">
      <w:pPr>
        <w:rPr>
          <w:rFonts w:asciiTheme="minorHAnsi" w:hAnsiTheme="minorHAnsi" w:cs="Arial"/>
          <w:i/>
          <w:sz w:val="20"/>
          <w:szCs w:val="20"/>
        </w:rPr>
      </w:pPr>
      <w:r w:rsidRPr="65E58426">
        <w:rPr>
          <w:rFonts w:asciiTheme="minorHAnsi" w:hAnsiTheme="minorHAnsi" w:cs="Arial"/>
          <w:i/>
          <w:sz w:val="20"/>
          <w:szCs w:val="20"/>
          <w:vertAlign w:val="superscript"/>
        </w:rPr>
        <w:t>1</w:t>
      </w:r>
      <w:r w:rsidRPr="65E58426">
        <w:rPr>
          <w:rFonts w:asciiTheme="minorHAnsi" w:hAnsiTheme="minorHAnsi" w:cs="Arial"/>
          <w:i/>
          <w:sz w:val="20"/>
          <w:szCs w:val="20"/>
        </w:rPr>
        <w:t xml:space="preserve"> Refer to note 2 for details of restatement.</w:t>
      </w:r>
    </w:p>
    <w:p w14:paraId="0A4105E0" w14:textId="051C1A86" w:rsidR="009D1A1B" w:rsidRDefault="009D1A1B" w:rsidP="00CF66BE">
      <w:pPr>
        <w:ind w:left="567" w:hanging="567"/>
        <w:rPr>
          <w:rFonts w:asciiTheme="minorHAnsi" w:hAnsiTheme="minorHAnsi" w:cs="Arial"/>
          <w:b/>
          <w:color w:val="4747FF"/>
          <w:sz w:val="22"/>
          <w:szCs w:val="22"/>
        </w:rPr>
      </w:pPr>
    </w:p>
    <w:p w14:paraId="76287FE3" w14:textId="77777777" w:rsidR="005C1AC9" w:rsidRDefault="005C1AC9" w:rsidP="00A3021A">
      <w:pPr>
        <w:autoSpaceDE w:val="0"/>
        <w:autoSpaceDN w:val="0"/>
        <w:adjustRightInd w:val="0"/>
        <w:jc w:val="both"/>
        <w:rPr>
          <w:rFonts w:ascii="Calibri" w:hAnsi="Calibri" w:cs="Poppins-Light"/>
          <w:sz w:val="20"/>
          <w:szCs w:val="20"/>
        </w:rPr>
      </w:pPr>
    </w:p>
    <w:p w14:paraId="23FCCB23" w14:textId="1AC44219" w:rsidR="00A3021A" w:rsidRPr="006D4208" w:rsidRDefault="00A3021A" w:rsidP="00A3021A">
      <w:pPr>
        <w:autoSpaceDE w:val="0"/>
        <w:autoSpaceDN w:val="0"/>
        <w:adjustRightInd w:val="0"/>
        <w:jc w:val="both"/>
        <w:rPr>
          <w:rFonts w:ascii="Calibri" w:hAnsi="Calibri" w:cs="Poppins-Light"/>
          <w:sz w:val="20"/>
          <w:szCs w:val="20"/>
        </w:rPr>
      </w:pPr>
      <w:r w:rsidRPr="00AF0750">
        <w:rPr>
          <w:rFonts w:ascii="Calibri" w:hAnsi="Calibri" w:cs="Poppins-Light"/>
          <w:sz w:val="20"/>
          <w:szCs w:val="20"/>
        </w:rPr>
        <w:t>Acquisition intangibles represent the fair value of the broker relationships of £75.0m which arose on the acquisition of Moneybarn in August 2014</w:t>
      </w:r>
      <w:r w:rsidR="006E6CC7" w:rsidRPr="00AF0750">
        <w:rPr>
          <w:rFonts w:ascii="Calibri" w:hAnsi="Calibri" w:cs="Poppins-Light"/>
          <w:sz w:val="20"/>
          <w:szCs w:val="20"/>
        </w:rPr>
        <w:t>;</w:t>
      </w:r>
      <w:r w:rsidR="0006327A" w:rsidRPr="00AF0750">
        <w:rPr>
          <w:rFonts w:ascii="Calibri" w:hAnsi="Calibri" w:cs="Poppins-Light"/>
          <w:sz w:val="20"/>
          <w:szCs w:val="20"/>
        </w:rPr>
        <w:t xml:space="preserve"> the fair value of intangible assets of £10.1m; and the brand name of £1.0m, arising on the acquisition of Snoop in </w:t>
      </w:r>
      <w:r w:rsidR="006E6CC7" w:rsidRPr="00AF0750">
        <w:rPr>
          <w:rFonts w:ascii="Calibri" w:hAnsi="Calibri" w:cs="Poppins-Light"/>
          <w:sz w:val="20"/>
          <w:szCs w:val="20"/>
        </w:rPr>
        <w:t>2023</w:t>
      </w:r>
      <w:r w:rsidRPr="00AF0750">
        <w:rPr>
          <w:rFonts w:ascii="Calibri" w:hAnsi="Calibri" w:cs="Poppins-Light"/>
          <w:sz w:val="20"/>
          <w:szCs w:val="20"/>
        </w:rPr>
        <w:t xml:space="preserve">. The amortisation charge </w:t>
      </w:r>
      <w:r w:rsidR="003A49AB" w:rsidRPr="00AF0750">
        <w:rPr>
          <w:rFonts w:ascii="Calibri" w:hAnsi="Calibri" w:cs="Poppins-Light"/>
          <w:sz w:val="20"/>
          <w:szCs w:val="20"/>
        </w:rPr>
        <w:t>for the period</w:t>
      </w:r>
      <w:r w:rsidRPr="00AF0750">
        <w:rPr>
          <w:rFonts w:ascii="Calibri" w:hAnsi="Calibri" w:cs="Poppins-Light"/>
          <w:sz w:val="20"/>
          <w:szCs w:val="20"/>
        </w:rPr>
        <w:t xml:space="preserve"> amounted to </w:t>
      </w:r>
      <w:r w:rsidRPr="006D4208">
        <w:rPr>
          <w:rFonts w:ascii="Calibri" w:hAnsi="Calibri" w:cs="Poppins-Light"/>
          <w:sz w:val="20"/>
          <w:szCs w:val="20"/>
        </w:rPr>
        <w:t>£</w:t>
      </w:r>
      <w:r w:rsidR="00801542" w:rsidRPr="006D4208">
        <w:rPr>
          <w:rFonts w:ascii="Calibri" w:hAnsi="Calibri" w:cs="Poppins-Light"/>
          <w:sz w:val="20"/>
          <w:szCs w:val="20"/>
        </w:rPr>
        <w:t>4.2</w:t>
      </w:r>
      <w:r w:rsidRPr="006D4208">
        <w:rPr>
          <w:rFonts w:ascii="Calibri" w:hAnsi="Calibri" w:cs="Poppins-Light"/>
          <w:sz w:val="20"/>
          <w:szCs w:val="20"/>
        </w:rPr>
        <w:t>m (</w:t>
      </w:r>
      <w:r w:rsidR="008F2EB1" w:rsidRPr="008F2EB1">
        <w:rPr>
          <w:rFonts w:ascii="Calibri" w:hAnsi="Calibri" w:cs="Poppins-Light"/>
          <w:sz w:val="20"/>
          <w:szCs w:val="20"/>
        </w:rPr>
        <w:t>1H</w:t>
      </w:r>
      <w:r w:rsidRPr="008F2EB1">
        <w:rPr>
          <w:rFonts w:ascii="Calibri" w:hAnsi="Calibri" w:cs="Poppins-Light"/>
          <w:sz w:val="20"/>
          <w:szCs w:val="20"/>
        </w:rPr>
        <w:t>2</w:t>
      </w:r>
      <w:r w:rsidR="00812A33" w:rsidRPr="008F2EB1">
        <w:rPr>
          <w:rFonts w:ascii="Calibri" w:hAnsi="Calibri" w:cs="Poppins-Light"/>
          <w:sz w:val="20"/>
          <w:szCs w:val="20"/>
        </w:rPr>
        <w:t>3</w:t>
      </w:r>
      <w:r w:rsidRPr="008F2EB1">
        <w:rPr>
          <w:rFonts w:ascii="Calibri" w:hAnsi="Calibri" w:cs="Poppins-Light"/>
          <w:sz w:val="20"/>
          <w:szCs w:val="20"/>
        </w:rPr>
        <w:t>: £</w:t>
      </w:r>
      <w:r w:rsidR="005E3C07" w:rsidRPr="008F2EB1">
        <w:rPr>
          <w:rFonts w:ascii="Calibri" w:hAnsi="Calibri" w:cs="Poppins-Light"/>
          <w:sz w:val="20"/>
          <w:szCs w:val="20"/>
        </w:rPr>
        <w:t>3.7</w:t>
      </w:r>
      <w:r w:rsidR="0073711D" w:rsidRPr="008F2EB1">
        <w:rPr>
          <w:rFonts w:ascii="Calibri" w:hAnsi="Calibri" w:cs="Poppins-Light"/>
          <w:sz w:val="20"/>
          <w:szCs w:val="20"/>
        </w:rPr>
        <w:t>m</w:t>
      </w:r>
      <w:r w:rsidRPr="006D4208">
        <w:rPr>
          <w:rFonts w:ascii="Calibri" w:hAnsi="Calibri" w:cs="Poppins-Light"/>
          <w:sz w:val="20"/>
          <w:szCs w:val="20"/>
        </w:rPr>
        <w:t>).</w:t>
      </w:r>
    </w:p>
    <w:p w14:paraId="3409D130" w14:textId="77777777" w:rsidR="00A3021A" w:rsidRPr="00CB0914" w:rsidRDefault="00A3021A" w:rsidP="00A3021A">
      <w:pPr>
        <w:jc w:val="both"/>
        <w:rPr>
          <w:rFonts w:ascii="Calibri" w:hAnsi="Calibri" w:cs="Poppins-Light"/>
          <w:sz w:val="20"/>
          <w:szCs w:val="20"/>
          <w:highlight w:val="yellow"/>
        </w:rPr>
      </w:pPr>
    </w:p>
    <w:p w14:paraId="578E9551" w14:textId="7F266196" w:rsidR="00A3021A" w:rsidRPr="00E272FB" w:rsidRDefault="00A3021A" w:rsidP="003138E3">
      <w:pPr>
        <w:jc w:val="both"/>
        <w:rPr>
          <w:rFonts w:ascii="Calibri" w:hAnsi="Calibri" w:cs="Poppins-Light"/>
          <w:sz w:val="20"/>
          <w:szCs w:val="20"/>
        </w:rPr>
      </w:pPr>
      <w:r w:rsidRPr="00AF0750">
        <w:rPr>
          <w:rFonts w:ascii="Calibri" w:hAnsi="Calibri" w:cs="Poppins-Light"/>
          <w:sz w:val="20"/>
          <w:szCs w:val="20"/>
        </w:rPr>
        <w:t>Revenue between business segments in not material.</w:t>
      </w:r>
    </w:p>
    <w:p w14:paraId="675BE7BA" w14:textId="77777777" w:rsidR="00A63876" w:rsidRDefault="00A63876" w:rsidP="003138E3">
      <w:pPr>
        <w:jc w:val="both"/>
        <w:rPr>
          <w:rFonts w:asciiTheme="minorHAnsi" w:hAnsiTheme="minorHAnsi"/>
          <w:sz w:val="20"/>
          <w:szCs w:val="20"/>
        </w:rPr>
      </w:pPr>
    </w:p>
    <w:p w14:paraId="3E0F4A08" w14:textId="02778D31" w:rsidR="00F27BAB" w:rsidRDefault="00F27BAB" w:rsidP="00F27BAB">
      <w:pPr>
        <w:jc w:val="both"/>
        <w:rPr>
          <w:rFonts w:ascii="Calibri" w:hAnsi="Calibri" w:cs="Arial"/>
          <w:sz w:val="20"/>
          <w:szCs w:val="20"/>
        </w:rPr>
      </w:pPr>
      <w:r w:rsidRPr="00F2409D">
        <w:rPr>
          <w:rFonts w:ascii="Calibri" w:hAnsi="Calibri" w:cs="Arial"/>
          <w:sz w:val="20"/>
          <w:szCs w:val="20"/>
        </w:rPr>
        <w:t>Exceptional items represent a</w:t>
      </w:r>
      <w:r w:rsidR="00C9210F" w:rsidRPr="00F2409D">
        <w:rPr>
          <w:rFonts w:ascii="Calibri" w:hAnsi="Calibri" w:cs="Arial"/>
          <w:sz w:val="20"/>
          <w:szCs w:val="20"/>
        </w:rPr>
        <w:t>n</w:t>
      </w:r>
      <w:r w:rsidRPr="00F2409D">
        <w:rPr>
          <w:rFonts w:ascii="Calibri" w:hAnsi="Calibri" w:cs="Arial"/>
          <w:sz w:val="20"/>
          <w:szCs w:val="20"/>
        </w:rPr>
        <w:t xml:space="preserve"> exceptional charge of £</w:t>
      </w:r>
      <w:r w:rsidR="00F25A9E" w:rsidRPr="006D4208">
        <w:rPr>
          <w:rFonts w:ascii="Calibri" w:hAnsi="Calibri" w:cs="Arial"/>
          <w:sz w:val="20"/>
          <w:szCs w:val="20"/>
        </w:rPr>
        <w:t>1</w:t>
      </w:r>
      <w:r w:rsidR="002A51DA" w:rsidRPr="006D4208">
        <w:rPr>
          <w:rFonts w:ascii="Calibri" w:hAnsi="Calibri" w:cs="Arial"/>
          <w:sz w:val="20"/>
          <w:szCs w:val="20"/>
        </w:rPr>
        <w:t>5</w:t>
      </w:r>
      <w:r w:rsidR="00F25A9E" w:rsidRPr="006D4208">
        <w:rPr>
          <w:rFonts w:ascii="Calibri" w:hAnsi="Calibri" w:cs="Arial"/>
          <w:sz w:val="20"/>
          <w:szCs w:val="20"/>
        </w:rPr>
        <w:t>.5</w:t>
      </w:r>
      <w:r w:rsidRPr="006D4208">
        <w:rPr>
          <w:rFonts w:ascii="Calibri" w:hAnsi="Calibri" w:cs="Arial"/>
          <w:sz w:val="20"/>
          <w:szCs w:val="20"/>
        </w:rPr>
        <w:t xml:space="preserve">m </w:t>
      </w:r>
      <w:r w:rsidRPr="00F2409D">
        <w:rPr>
          <w:rFonts w:ascii="Calibri" w:hAnsi="Calibri" w:cs="Arial"/>
          <w:sz w:val="20"/>
          <w:szCs w:val="20"/>
        </w:rPr>
        <w:t>in 202</w:t>
      </w:r>
      <w:r w:rsidR="00504D21" w:rsidRPr="00F2409D">
        <w:rPr>
          <w:rFonts w:ascii="Calibri" w:hAnsi="Calibri" w:cs="Arial"/>
          <w:sz w:val="20"/>
          <w:szCs w:val="20"/>
        </w:rPr>
        <w:t>4</w:t>
      </w:r>
      <w:r w:rsidRPr="00F2409D">
        <w:rPr>
          <w:rFonts w:ascii="Calibri" w:hAnsi="Calibri" w:cs="Arial"/>
          <w:sz w:val="20"/>
          <w:szCs w:val="20"/>
        </w:rPr>
        <w:t xml:space="preserve"> (</w:t>
      </w:r>
      <w:r w:rsidR="008F2EB1">
        <w:rPr>
          <w:rFonts w:ascii="Calibri" w:hAnsi="Calibri" w:cs="Arial"/>
          <w:sz w:val="20"/>
          <w:szCs w:val="20"/>
        </w:rPr>
        <w:t>1H</w:t>
      </w:r>
      <w:r w:rsidRPr="006D4208">
        <w:rPr>
          <w:rFonts w:ascii="Calibri" w:hAnsi="Calibri" w:cs="Arial"/>
          <w:sz w:val="20"/>
          <w:szCs w:val="20"/>
        </w:rPr>
        <w:t>2</w:t>
      </w:r>
      <w:r w:rsidR="00451ACA" w:rsidRPr="006D4208">
        <w:rPr>
          <w:rFonts w:ascii="Calibri" w:hAnsi="Calibri" w:cs="Arial"/>
          <w:sz w:val="20"/>
          <w:szCs w:val="20"/>
        </w:rPr>
        <w:t>3</w:t>
      </w:r>
      <w:r w:rsidRPr="006D4208">
        <w:rPr>
          <w:rFonts w:ascii="Calibri" w:hAnsi="Calibri" w:cs="Arial"/>
          <w:sz w:val="20"/>
          <w:szCs w:val="20"/>
        </w:rPr>
        <w:t>: £</w:t>
      </w:r>
      <w:r w:rsidR="0032577C" w:rsidRPr="006D4208">
        <w:rPr>
          <w:rFonts w:ascii="Calibri" w:hAnsi="Calibri" w:cs="Arial"/>
          <w:sz w:val="20"/>
          <w:szCs w:val="20"/>
        </w:rPr>
        <w:t>5.3</w:t>
      </w:r>
      <w:r w:rsidRPr="006D4208">
        <w:rPr>
          <w:rFonts w:ascii="Calibri" w:hAnsi="Calibri" w:cs="Arial"/>
          <w:sz w:val="20"/>
          <w:szCs w:val="20"/>
        </w:rPr>
        <w:t>m</w:t>
      </w:r>
      <w:r w:rsidRPr="00F2409D">
        <w:rPr>
          <w:rFonts w:ascii="Calibri" w:hAnsi="Calibri" w:cs="Arial"/>
          <w:sz w:val="20"/>
          <w:szCs w:val="20"/>
        </w:rPr>
        <w:t>) and comprise:</w:t>
      </w:r>
    </w:p>
    <w:tbl>
      <w:tblPr>
        <w:tblW w:w="9723" w:type="dxa"/>
        <w:tblLook w:val="0000" w:firstRow="0" w:lastRow="0" w:firstColumn="0" w:lastColumn="0" w:noHBand="0" w:noVBand="0"/>
      </w:tblPr>
      <w:tblGrid>
        <w:gridCol w:w="7260"/>
        <w:gridCol w:w="1304"/>
        <w:gridCol w:w="1159"/>
      </w:tblGrid>
      <w:tr w:rsidR="002C53D8" w:rsidRPr="00A36F5C" w14:paraId="230F1531" w14:textId="77777777" w:rsidTr="103F77E5">
        <w:tc>
          <w:tcPr>
            <w:tcW w:w="7260" w:type="dxa"/>
            <w:tcBorders>
              <w:top w:val="nil"/>
              <w:left w:val="nil"/>
              <w:bottom w:val="nil"/>
              <w:right w:val="nil"/>
            </w:tcBorders>
            <w:vAlign w:val="bottom"/>
          </w:tcPr>
          <w:p w14:paraId="1116A8CB" w14:textId="77777777" w:rsidR="002C53D8" w:rsidRPr="00A36F5C" w:rsidRDefault="002C53D8">
            <w:pPr>
              <w:rPr>
                <w:rFonts w:asciiTheme="minorHAnsi" w:hAnsiTheme="minorHAnsi" w:cs="Arial"/>
                <w:sz w:val="20"/>
                <w:szCs w:val="20"/>
              </w:rPr>
            </w:pPr>
          </w:p>
        </w:tc>
        <w:tc>
          <w:tcPr>
            <w:tcW w:w="2463" w:type="dxa"/>
            <w:gridSpan w:val="2"/>
            <w:tcBorders>
              <w:top w:val="nil"/>
              <w:left w:val="nil"/>
              <w:right w:val="nil"/>
            </w:tcBorders>
            <w:shd w:val="clear" w:color="auto" w:fill="auto"/>
            <w:vAlign w:val="bottom"/>
          </w:tcPr>
          <w:p w14:paraId="5D3706DC" w14:textId="3665034E" w:rsidR="002C53D8" w:rsidRPr="002C53D8" w:rsidRDefault="002C53D8" w:rsidP="002C53D8">
            <w:pPr>
              <w:jc w:val="center"/>
              <w:rPr>
                <w:rFonts w:asciiTheme="minorHAnsi" w:hAnsiTheme="minorHAnsi" w:cs="Arial"/>
                <w:bCs/>
                <w:sz w:val="20"/>
                <w:szCs w:val="20"/>
              </w:rPr>
            </w:pPr>
            <w:r w:rsidRPr="002C53D8">
              <w:rPr>
                <w:rFonts w:asciiTheme="minorHAnsi" w:hAnsiTheme="minorHAnsi" w:cs="Arial"/>
                <w:bCs/>
                <w:sz w:val="20"/>
                <w:szCs w:val="20"/>
              </w:rPr>
              <w:t>Six months ended 30 June</w:t>
            </w:r>
          </w:p>
        </w:tc>
      </w:tr>
      <w:tr w:rsidR="00F27BAB" w:rsidRPr="00A36F5C" w14:paraId="1B584894" w14:textId="77777777" w:rsidTr="103F77E5">
        <w:tc>
          <w:tcPr>
            <w:tcW w:w="7260" w:type="dxa"/>
            <w:tcBorders>
              <w:top w:val="nil"/>
              <w:left w:val="nil"/>
              <w:bottom w:val="nil"/>
              <w:right w:val="nil"/>
            </w:tcBorders>
            <w:vAlign w:val="bottom"/>
          </w:tcPr>
          <w:p w14:paraId="6B97F8DC" w14:textId="77777777" w:rsidR="00F27BAB" w:rsidRPr="00A36F5C" w:rsidRDefault="00F27BAB">
            <w:pPr>
              <w:rPr>
                <w:rFonts w:asciiTheme="minorHAnsi" w:hAnsiTheme="minorHAnsi" w:cs="Arial"/>
                <w:sz w:val="20"/>
                <w:szCs w:val="20"/>
              </w:rPr>
            </w:pPr>
          </w:p>
        </w:tc>
        <w:tc>
          <w:tcPr>
            <w:tcW w:w="1304" w:type="dxa"/>
            <w:tcBorders>
              <w:top w:val="nil"/>
              <w:left w:val="nil"/>
              <w:right w:val="nil"/>
            </w:tcBorders>
            <w:shd w:val="clear" w:color="auto" w:fill="F2F2F2" w:themeFill="background1" w:themeFillShade="F2"/>
            <w:vAlign w:val="bottom"/>
          </w:tcPr>
          <w:p w14:paraId="4032F59A" w14:textId="702FA8E3" w:rsidR="00F27BAB" w:rsidRPr="00C77A50" w:rsidRDefault="00F27BAB">
            <w:pPr>
              <w:jc w:val="right"/>
              <w:rPr>
                <w:rFonts w:asciiTheme="minorHAnsi" w:hAnsiTheme="minorHAnsi" w:cs="Arial"/>
                <w:b/>
                <w:sz w:val="20"/>
                <w:szCs w:val="20"/>
              </w:rPr>
            </w:pPr>
            <w:r w:rsidRPr="00C77A50">
              <w:rPr>
                <w:rFonts w:asciiTheme="minorHAnsi" w:hAnsiTheme="minorHAnsi" w:cs="Arial"/>
                <w:b/>
                <w:sz w:val="20"/>
                <w:szCs w:val="20"/>
              </w:rPr>
              <w:t>202</w:t>
            </w:r>
            <w:r>
              <w:rPr>
                <w:rFonts w:asciiTheme="minorHAnsi" w:hAnsiTheme="minorHAnsi" w:cs="Arial"/>
                <w:b/>
                <w:sz w:val="20"/>
                <w:szCs w:val="20"/>
              </w:rPr>
              <w:t>4</w:t>
            </w:r>
            <w:r w:rsidRPr="00C77A50">
              <w:rPr>
                <w:rFonts w:asciiTheme="minorHAnsi" w:hAnsiTheme="minorHAnsi" w:cs="Arial"/>
                <w:b/>
                <w:sz w:val="20"/>
                <w:szCs w:val="20"/>
              </w:rPr>
              <w:t> </w:t>
            </w:r>
          </w:p>
        </w:tc>
        <w:tc>
          <w:tcPr>
            <w:tcW w:w="1159" w:type="dxa"/>
            <w:tcBorders>
              <w:top w:val="nil"/>
              <w:left w:val="nil"/>
              <w:right w:val="nil"/>
            </w:tcBorders>
            <w:vAlign w:val="bottom"/>
          </w:tcPr>
          <w:p w14:paraId="7E04DB26" w14:textId="0D9443EE" w:rsidR="00F27BAB" w:rsidRPr="00A36F5C" w:rsidRDefault="00F27BAB">
            <w:pPr>
              <w:jc w:val="right"/>
              <w:rPr>
                <w:rFonts w:asciiTheme="minorHAnsi" w:hAnsiTheme="minorHAnsi" w:cs="Arial"/>
                <w:sz w:val="20"/>
                <w:szCs w:val="20"/>
              </w:rPr>
            </w:pPr>
            <w:r w:rsidRPr="00A36F5C">
              <w:rPr>
                <w:rFonts w:asciiTheme="minorHAnsi" w:hAnsiTheme="minorHAnsi" w:cs="Arial"/>
                <w:sz w:val="20"/>
                <w:szCs w:val="20"/>
              </w:rPr>
              <w:t>202</w:t>
            </w:r>
            <w:r>
              <w:rPr>
                <w:rFonts w:asciiTheme="minorHAnsi" w:hAnsiTheme="minorHAnsi" w:cs="Arial"/>
                <w:sz w:val="20"/>
                <w:szCs w:val="20"/>
              </w:rPr>
              <w:t>3</w:t>
            </w:r>
            <w:r w:rsidRPr="00A36F5C">
              <w:rPr>
                <w:rFonts w:asciiTheme="minorHAnsi" w:hAnsiTheme="minorHAnsi" w:cs="Arial"/>
                <w:sz w:val="20"/>
                <w:szCs w:val="20"/>
              </w:rPr>
              <w:t> </w:t>
            </w:r>
          </w:p>
        </w:tc>
      </w:tr>
      <w:tr w:rsidR="00F27BAB" w:rsidRPr="00A36F5C" w14:paraId="643E279A" w14:textId="77777777" w:rsidTr="103F77E5">
        <w:tc>
          <w:tcPr>
            <w:tcW w:w="7260" w:type="dxa"/>
            <w:tcBorders>
              <w:top w:val="nil"/>
              <w:left w:val="nil"/>
              <w:bottom w:val="nil"/>
              <w:right w:val="nil"/>
            </w:tcBorders>
            <w:vAlign w:val="bottom"/>
          </w:tcPr>
          <w:p w14:paraId="24E50E57" w14:textId="77777777" w:rsidR="00F27BAB" w:rsidRPr="00A36F5C" w:rsidRDefault="00F27BAB">
            <w:pPr>
              <w:rPr>
                <w:rFonts w:asciiTheme="minorHAnsi" w:hAnsiTheme="minorHAnsi" w:cs="Arial"/>
                <w:sz w:val="20"/>
                <w:szCs w:val="20"/>
              </w:rPr>
            </w:pPr>
          </w:p>
        </w:tc>
        <w:tc>
          <w:tcPr>
            <w:tcW w:w="1304" w:type="dxa"/>
            <w:tcBorders>
              <w:top w:val="nil"/>
              <w:left w:val="nil"/>
              <w:bottom w:val="single" w:sz="4" w:space="0" w:color="auto"/>
              <w:right w:val="nil"/>
            </w:tcBorders>
            <w:shd w:val="clear" w:color="auto" w:fill="F2F2F2" w:themeFill="background1" w:themeFillShade="F2"/>
            <w:vAlign w:val="bottom"/>
          </w:tcPr>
          <w:p w14:paraId="0263D868" w14:textId="77777777" w:rsidR="00F27BAB" w:rsidRPr="00C77A50" w:rsidRDefault="00F27BAB">
            <w:pPr>
              <w:jc w:val="right"/>
              <w:rPr>
                <w:rFonts w:asciiTheme="minorHAnsi" w:hAnsiTheme="minorHAnsi" w:cs="Arial"/>
                <w:b/>
                <w:sz w:val="20"/>
                <w:szCs w:val="20"/>
              </w:rPr>
            </w:pPr>
            <w:r w:rsidRPr="00C77A50">
              <w:rPr>
                <w:rFonts w:asciiTheme="minorHAnsi" w:hAnsiTheme="minorHAnsi" w:cs="Arial"/>
                <w:b/>
                <w:sz w:val="20"/>
                <w:szCs w:val="20"/>
              </w:rPr>
              <w:t>£m </w:t>
            </w:r>
          </w:p>
        </w:tc>
        <w:tc>
          <w:tcPr>
            <w:tcW w:w="1159" w:type="dxa"/>
            <w:tcBorders>
              <w:top w:val="nil"/>
              <w:left w:val="nil"/>
              <w:bottom w:val="single" w:sz="4" w:space="0" w:color="auto"/>
              <w:right w:val="nil"/>
            </w:tcBorders>
            <w:vAlign w:val="bottom"/>
          </w:tcPr>
          <w:p w14:paraId="4B71B51E" w14:textId="77777777" w:rsidR="00F27BAB" w:rsidRPr="00A36F5C" w:rsidRDefault="00F27BAB">
            <w:pPr>
              <w:jc w:val="right"/>
              <w:rPr>
                <w:rFonts w:asciiTheme="minorHAnsi" w:hAnsiTheme="minorHAnsi" w:cs="Arial"/>
                <w:sz w:val="20"/>
                <w:szCs w:val="20"/>
              </w:rPr>
            </w:pPr>
            <w:r w:rsidRPr="00A36F5C">
              <w:rPr>
                <w:rFonts w:asciiTheme="minorHAnsi" w:hAnsiTheme="minorHAnsi" w:cs="Arial"/>
                <w:sz w:val="20"/>
                <w:szCs w:val="20"/>
              </w:rPr>
              <w:t>£m </w:t>
            </w:r>
          </w:p>
        </w:tc>
      </w:tr>
      <w:tr w:rsidR="00B36DE6" w:rsidRPr="00A36F5C" w14:paraId="2F2BA8BB" w14:textId="77777777" w:rsidTr="103F77E5">
        <w:tc>
          <w:tcPr>
            <w:tcW w:w="7260" w:type="dxa"/>
            <w:tcBorders>
              <w:top w:val="nil"/>
              <w:left w:val="nil"/>
              <w:bottom w:val="nil"/>
              <w:right w:val="nil"/>
            </w:tcBorders>
            <w:vAlign w:val="bottom"/>
          </w:tcPr>
          <w:p w14:paraId="2DBEF475" w14:textId="6755E082" w:rsidR="00B36DE6" w:rsidRPr="00A36F5C" w:rsidRDefault="00B36DE6">
            <w:pPr>
              <w:rPr>
                <w:rFonts w:asciiTheme="minorHAnsi" w:hAnsiTheme="minorHAnsi" w:cs="Poppins-Light"/>
                <w:sz w:val="20"/>
                <w:szCs w:val="20"/>
              </w:rPr>
            </w:pPr>
            <w:r>
              <w:rPr>
                <w:rFonts w:asciiTheme="minorHAnsi" w:hAnsiTheme="minorHAnsi" w:cs="Poppins-Light"/>
                <w:sz w:val="20"/>
                <w:szCs w:val="20"/>
              </w:rPr>
              <w:t>Strategy consultancy costs</w:t>
            </w:r>
          </w:p>
        </w:tc>
        <w:tc>
          <w:tcPr>
            <w:tcW w:w="1304" w:type="dxa"/>
            <w:tcBorders>
              <w:left w:val="nil"/>
              <w:right w:val="nil"/>
            </w:tcBorders>
            <w:shd w:val="clear" w:color="auto" w:fill="F2F2F2" w:themeFill="background1" w:themeFillShade="F2"/>
            <w:vAlign w:val="bottom"/>
          </w:tcPr>
          <w:p w14:paraId="11B4FC3B" w14:textId="114D0927" w:rsidR="00B36DE6" w:rsidRPr="006D4208" w:rsidRDefault="00B36DE6">
            <w:pPr>
              <w:jc w:val="right"/>
              <w:rPr>
                <w:rFonts w:asciiTheme="minorHAnsi" w:hAnsiTheme="minorHAnsi" w:cs="Arial"/>
                <w:b/>
                <w:sz w:val="20"/>
                <w:szCs w:val="20"/>
              </w:rPr>
            </w:pPr>
            <w:r w:rsidRPr="006D4208">
              <w:rPr>
                <w:rFonts w:asciiTheme="minorHAnsi" w:hAnsiTheme="minorHAnsi" w:cs="Arial"/>
                <w:b/>
                <w:sz w:val="20"/>
                <w:szCs w:val="20"/>
              </w:rPr>
              <w:t>(</w:t>
            </w:r>
            <w:r w:rsidR="00C81ECB" w:rsidRPr="006D4208">
              <w:rPr>
                <w:rFonts w:asciiTheme="minorHAnsi" w:hAnsiTheme="minorHAnsi" w:cs="Arial"/>
                <w:b/>
                <w:sz w:val="20"/>
                <w:szCs w:val="20"/>
              </w:rPr>
              <w:t>7.</w:t>
            </w:r>
            <w:r w:rsidR="00DD3787">
              <w:rPr>
                <w:rFonts w:asciiTheme="minorHAnsi" w:hAnsiTheme="minorHAnsi" w:cs="Arial"/>
                <w:b/>
                <w:sz w:val="20"/>
                <w:szCs w:val="20"/>
              </w:rPr>
              <w:t>8</w:t>
            </w:r>
            <w:r w:rsidRPr="006D4208">
              <w:rPr>
                <w:rFonts w:asciiTheme="minorHAnsi" w:hAnsiTheme="minorHAnsi" w:cs="Arial"/>
                <w:b/>
                <w:sz w:val="20"/>
                <w:szCs w:val="20"/>
              </w:rPr>
              <w:t>)</w:t>
            </w:r>
          </w:p>
        </w:tc>
        <w:tc>
          <w:tcPr>
            <w:tcW w:w="1159" w:type="dxa"/>
            <w:tcBorders>
              <w:left w:val="nil"/>
              <w:right w:val="nil"/>
            </w:tcBorders>
            <w:vAlign w:val="bottom"/>
          </w:tcPr>
          <w:p w14:paraId="673D2119" w14:textId="680E07CC" w:rsidR="00B36DE6" w:rsidRPr="006D4208" w:rsidRDefault="00B36DE6">
            <w:pPr>
              <w:jc w:val="right"/>
              <w:rPr>
                <w:rFonts w:asciiTheme="minorHAnsi" w:hAnsiTheme="minorHAnsi" w:cs="Arial"/>
                <w:sz w:val="20"/>
                <w:szCs w:val="20"/>
              </w:rPr>
            </w:pPr>
            <w:r w:rsidRPr="006D4208">
              <w:rPr>
                <w:rFonts w:asciiTheme="minorHAnsi" w:hAnsiTheme="minorHAnsi" w:cs="Arial"/>
                <w:sz w:val="20"/>
                <w:szCs w:val="20"/>
              </w:rPr>
              <w:t>-</w:t>
            </w:r>
          </w:p>
        </w:tc>
      </w:tr>
      <w:tr w:rsidR="00C81ECB" w:rsidRPr="00A36F5C" w14:paraId="3F23D3BA" w14:textId="77777777" w:rsidTr="103F77E5">
        <w:tc>
          <w:tcPr>
            <w:tcW w:w="7260" w:type="dxa"/>
            <w:tcBorders>
              <w:top w:val="nil"/>
              <w:left w:val="nil"/>
              <w:bottom w:val="nil"/>
              <w:right w:val="nil"/>
            </w:tcBorders>
            <w:vAlign w:val="bottom"/>
          </w:tcPr>
          <w:p w14:paraId="3CB9E699" w14:textId="7DCFB0BC" w:rsidR="00C81ECB" w:rsidRPr="00A36F5C" w:rsidRDefault="00C9210F">
            <w:pPr>
              <w:rPr>
                <w:rFonts w:asciiTheme="minorHAnsi" w:hAnsiTheme="minorHAnsi" w:cs="Poppins-Light"/>
                <w:sz w:val="20"/>
                <w:szCs w:val="20"/>
              </w:rPr>
            </w:pPr>
            <w:r>
              <w:rPr>
                <w:rFonts w:asciiTheme="minorHAnsi" w:hAnsiTheme="minorHAnsi" w:cs="Poppins-Light"/>
                <w:sz w:val="20"/>
                <w:szCs w:val="20"/>
              </w:rPr>
              <w:t xml:space="preserve">Property </w:t>
            </w:r>
            <w:r w:rsidRPr="00833B5B">
              <w:rPr>
                <w:rFonts w:asciiTheme="minorHAnsi" w:hAnsiTheme="minorHAnsi" w:cs="Poppins-Light"/>
                <w:sz w:val="20"/>
                <w:szCs w:val="20"/>
              </w:rPr>
              <w:t>exit</w:t>
            </w:r>
            <w:r>
              <w:rPr>
                <w:rFonts w:asciiTheme="minorHAnsi" w:hAnsiTheme="minorHAnsi" w:cs="Poppins-Light"/>
                <w:sz w:val="20"/>
                <w:szCs w:val="20"/>
              </w:rPr>
              <w:t xml:space="preserve"> costs</w:t>
            </w:r>
          </w:p>
        </w:tc>
        <w:tc>
          <w:tcPr>
            <w:tcW w:w="1304" w:type="dxa"/>
            <w:tcBorders>
              <w:left w:val="nil"/>
              <w:right w:val="nil"/>
            </w:tcBorders>
            <w:shd w:val="clear" w:color="auto" w:fill="F2F2F2" w:themeFill="background1" w:themeFillShade="F2"/>
            <w:vAlign w:val="bottom"/>
          </w:tcPr>
          <w:p w14:paraId="42D049BB" w14:textId="005D3B85" w:rsidR="00C81ECB" w:rsidRPr="006D4208" w:rsidRDefault="00C9210F">
            <w:pPr>
              <w:jc w:val="right"/>
              <w:rPr>
                <w:rFonts w:asciiTheme="minorHAnsi" w:hAnsiTheme="minorHAnsi" w:cs="Arial"/>
                <w:b/>
                <w:sz w:val="20"/>
                <w:szCs w:val="20"/>
              </w:rPr>
            </w:pPr>
            <w:r w:rsidRPr="006D4208">
              <w:rPr>
                <w:rFonts w:asciiTheme="minorHAnsi" w:hAnsiTheme="minorHAnsi" w:cs="Arial"/>
                <w:b/>
                <w:sz w:val="20"/>
                <w:szCs w:val="20"/>
              </w:rPr>
              <w:t>(3.1)</w:t>
            </w:r>
          </w:p>
        </w:tc>
        <w:tc>
          <w:tcPr>
            <w:tcW w:w="1159" w:type="dxa"/>
            <w:tcBorders>
              <w:left w:val="nil"/>
              <w:right w:val="nil"/>
            </w:tcBorders>
            <w:vAlign w:val="bottom"/>
          </w:tcPr>
          <w:p w14:paraId="4BA97615" w14:textId="13C11298" w:rsidR="00C81ECB" w:rsidRPr="006D4208" w:rsidRDefault="00C9210F">
            <w:pPr>
              <w:jc w:val="right"/>
              <w:rPr>
                <w:rFonts w:asciiTheme="minorHAnsi" w:hAnsiTheme="minorHAnsi" w:cs="Arial"/>
                <w:sz w:val="20"/>
                <w:szCs w:val="20"/>
              </w:rPr>
            </w:pPr>
            <w:r w:rsidRPr="006D4208">
              <w:rPr>
                <w:rFonts w:asciiTheme="minorHAnsi" w:hAnsiTheme="minorHAnsi" w:cs="Arial"/>
                <w:sz w:val="20"/>
                <w:szCs w:val="20"/>
              </w:rPr>
              <w:t>-</w:t>
            </w:r>
          </w:p>
        </w:tc>
      </w:tr>
      <w:tr w:rsidR="00F27BAB" w:rsidRPr="00665391" w14:paraId="09B5B2F8" w14:textId="77777777" w:rsidTr="103F77E5">
        <w:tc>
          <w:tcPr>
            <w:tcW w:w="7260" w:type="dxa"/>
            <w:tcBorders>
              <w:top w:val="nil"/>
              <w:left w:val="nil"/>
              <w:bottom w:val="nil"/>
              <w:right w:val="nil"/>
            </w:tcBorders>
            <w:vAlign w:val="bottom"/>
          </w:tcPr>
          <w:p w14:paraId="05FF34F5" w14:textId="70C3636A" w:rsidR="00F27BAB" w:rsidRPr="00A36F5C" w:rsidRDefault="00F27BAB">
            <w:pPr>
              <w:rPr>
                <w:rFonts w:asciiTheme="minorHAnsi" w:hAnsiTheme="minorHAnsi" w:cs="Poppins-Light"/>
                <w:sz w:val="20"/>
                <w:szCs w:val="20"/>
              </w:rPr>
            </w:pPr>
            <w:r w:rsidRPr="00A36F5C">
              <w:rPr>
                <w:rFonts w:asciiTheme="minorHAnsi" w:hAnsiTheme="minorHAnsi" w:cs="Poppins-Light"/>
                <w:sz w:val="20"/>
                <w:szCs w:val="20"/>
              </w:rPr>
              <w:t>Redundancy – outsourcing and other staff exits</w:t>
            </w:r>
          </w:p>
        </w:tc>
        <w:tc>
          <w:tcPr>
            <w:tcW w:w="1304" w:type="dxa"/>
            <w:tcBorders>
              <w:left w:val="nil"/>
              <w:right w:val="nil"/>
            </w:tcBorders>
            <w:shd w:val="clear" w:color="auto" w:fill="F2F2F2" w:themeFill="background1" w:themeFillShade="F2"/>
            <w:vAlign w:val="bottom"/>
          </w:tcPr>
          <w:p w14:paraId="2A9F4B8E" w14:textId="5364D969" w:rsidR="00F27BAB" w:rsidRPr="006D4208" w:rsidRDefault="00F27BAB">
            <w:pPr>
              <w:jc w:val="right"/>
              <w:rPr>
                <w:rFonts w:asciiTheme="minorHAnsi" w:hAnsiTheme="minorHAnsi" w:cs="Arial"/>
                <w:b/>
                <w:sz w:val="20"/>
                <w:szCs w:val="20"/>
              </w:rPr>
            </w:pPr>
            <w:r w:rsidRPr="006D4208">
              <w:rPr>
                <w:rFonts w:asciiTheme="minorHAnsi" w:hAnsiTheme="minorHAnsi" w:cs="Arial"/>
                <w:b/>
                <w:sz w:val="20"/>
                <w:szCs w:val="20"/>
              </w:rPr>
              <w:t>(</w:t>
            </w:r>
            <w:r w:rsidR="00C81ECB" w:rsidRPr="006D4208">
              <w:rPr>
                <w:rFonts w:asciiTheme="minorHAnsi" w:hAnsiTheme="minorHAnsi" w:cs="Arial"/>
                <w:b/>
                <w:sz w:val="20"/>
                <w:szCs w:val="20"/>
              </w:rPr>
              <w:t>2.</w:t>
            </w:r>
            <w:r w:rsidR="006049C0">
              <w:rPr>
                <w:rFonts w:asciiTheme="minorHAnsi" w:hAnsiTheme="minorHAnsi" w:cs="Arial"/>
                <w:b/>
                <w:sz w:val="20"/>
                <w:szCs w:val="20"/>
              </w:rPr>
              <w:t>8</w:t>
            </w:r>
            <w:r w:rsidRPr="006D4208">
              <w:rPr>
                <w:rFonts w:asciiTheme="minorHAnsi" w:hAnsiTheme="minorHAnsi" w:cs="Arial"/>
                <w:b/>
                <w:sz w:val="20"/>
                <w:szCs w:val="20"/>
              </w:rPr>
              <w:t>)</w:t>
            </w:r>
          </w:p>
        </w:tc>
        <w:tc>
          <w:tcPr>
            <w:tcW w:w="1159" w:type="dxa"/>
            <w:tcBorders>
              <w:left w:val="nil"/>
              <w:right w:val="nil"/>
            </w:tcBorders>
            <w:vAlign w:val="bottom"/>
          </w:tcPr>
          <w:p w14:paraId="3C2244C9" w14:textId="0E906829" w:rsidR="00F27BAB" w:rsidRPr="006D4208" w:rsidRDefault="00F27BAB">
            <w:pPr>
              <w:jc w:val="right"/>
              <w:rPr>
                <w:rFonts w:asciiTheme="minorHAnsi" w:hAnsiTheme="minorHAnsi" w:cs="Arial"/>
                <w:sz w:val="20"/>
                <w:szCs w:val="20"/>
              </w:rPr>
            </w:pPr>
            <w:r w:rsidRPr="006D4208">
              <w:rPr>
                <w:rFonts w:asciiTheme="minorHAnsi" w:hAnsiTheme="minorHAnsi" w:cs="Arial"/>
                <w:sz w:val="20"/>
                <w:szCs w:val="20"/>
              </w:rPr>
              <w:t>(</w:t>
            </w:r>
            <w:r w:rsidR="0031722F" w:rsidRPr="006D4208">
              <w:rPr>
                <w:rFonts w:asciiTheme="minorHAnsi" w:hAnsiTheme="minorHAnsi" w:cs="Arial"/>
                <w:sz w:val="20"/>
                <w:szCs w:val="20"/>
              </w:rPr>
              <w:t>2</w:t>
            </w:r>
            <w:r w:rsidR="00A67C57" w:rsidRPr="006D4208">
              <w:rPr>
                <w:rFonts w:asciiTheme="minorHAnsi" w:hAnsiTheme="minorHAnsi" w:cs="Arial"/>
                <w:sz w:val="20"/>
                <w:szCs w:val="20"/>
              </w:rPr>
              <w:t>.3</w:t>
            </w:r>
            <w:r w:rsidRPr="006D4208">
              <w:rPr>
                <w:rFonts w:asciiTheme="minorHAnsi" w:hAnsiTheme="minorHAnsi" w:cs="Arial"/>
                <w:sz w:val="20"/>
                <w:szCs w:val="20"/>
              </w:rPr>
              <w:t>)</w:t>
            </w:r>
          </w:p>
        </w:tc>
      </w:tr>
      <w:tr w:rsidR="00F27BAB" w:rsidRPr="00665391" w14:paraId="2D8DAAFC" w14:textId="77777777" w:rsidTr="103F77E5">
        <w:tc>
          <w:tcPr>
            <w:tcW w:w="7260" w:type="dxa"/>
            <w:tcBorders>
              <w:top w:val="nil"/>
              <w:left w:val="nil"/>
              <w:bottom w:val="nil"/>
              <w:right w:val="nil"/>
            </w:tcBorders>
            <w:vAlign w:val="bottom"/>
          </w:tcPr>
          <w:p w14:paraId="1A9F8B18" w14:textId="77777777" w:rsidR="00F27BAB" w:rsidRPr="00A36F5C" w:rsidRDefault="00F27BAB">
            <w:pPr>
              <w:rPr>
                <w:rFonts w:asciiTheme="minorHAnsi" w:hAnsiTheme="minorHAnsi" w:cs="Poppins-Light"/>
                <w:sz w:val="20"/>
                <w:szCs w:val="20"/>
              </w:rPr>
            </w:pPr>
            <w:r w:rsidRPr="00A36F5C">
              <w:rPr>
                <w:rFonts w:asciiTheme="minorHAnsi" w:hAnsiTheme="minorHAnsi" w:cs="Poppins-Light"/>
                <w:sz w:val="20"/>
                <w:szCs w:val="20"/>
              </w:rPr>
              <w:t>Other outsourcing costs</w:t>
            </w:r>
          </w:p>
        </w:tc>
        <w:tc>
          <w:tcPr>
            <w:tcW w:w="1304" w:type="dxa"/>
            <w:tcBorders>
              <w:left w:val="nil"/>
              <w:right w:val="nil"/>
            </w:tcBorders>
            <w:shd w:val="clear" w:color="auto" w:fill="F2F2F2" w:themeFill="background1" w:themeFillShade="F2"/>
            <w:vAlign w:val="bottom"/>
          </w:tcPr>
          <w:p w14:paraId="75A7D7A1" w14:textId="0CC28920" w:rsidR="00F27BAB" w:rsidRPr="006D4208" w:rsidRDefault="00F27BAB">
            <w:pPr>
              <w:jc w:val="right"/>
              <w:rPr>
                <w:rFonts w:asciiTheme="minorHAnsi" w:hAnsiTheme="minorHAnsi" w:cs="Arial"/>
                <w:b/>
                <w:sz w:val="20"/>
                <w:szCs w:val="20"/>
              </w:rPr>
            </w:pPr>
            <w:r w:rsidRPr="006D4208">
              <w:rPr>
                <w:rFonts w:asciiTheme="minorHAnsi" w:hAnsiTheme="minorHAnsi" w:cs="Arial"/>
                <w:b/>
                <w:sz w:val="20"/>
                <w:szCs w:val="20"/>
              </w:rPr>
              <w:t>(</w:t>
            </w:r>
            <w:r w:rsidR="00C81ECB" w:rsidRPr="006D4208">
              <w:rPr>
                <w:rFonts w:asciiTheme="minorHAnsi" w:hAnsiTheme="minorHAnsi" w:cs="Arial"/>
                <w:b/>
                <w:sz w:val="20"/>
                <w:szCs w:val="20"/>
              </w:rPr>
              <w:t>2.3</w:t>
            </w:r>
            <w:r w:rsidRPr="006D4208">
              <w:rPr>
                <w:rFonts w:asciiTheme="minorHAnsi" w:hAnsiTheme="minorHAnsi" w:cs="Arial"/>
                <w:b/>
                <w:sz w:val="20"/>
                <w:szCs w:val="20"/>
              </w:rPr>
              <w:t>)</w:t>
            </w:r>
          </w:p>
        </w:tc>
        <w:tc>
          <w:tcPr>
            <w:tcW w:w="1159" w:type="dxa"/>
            <w:tcBorders>
              <w:left w:val="nil"/>
              <w:right w:val="nil"/>
            </w:tcBorders>
            <w:vAlign w:val="bottom"/>
          </w:tcPr>
          <w:p w14:paraId="4308395E" w14:textId="2C125B07" w:rsidR="00F27BAB" w:rsidRPr="006D4208" w:rsidRDefault="0031722F">
            <w:pPr>
              <w:jc w:val="right"/>
              <w:rPr>
                <w:rFonts w:asciiTheme="minorHAnsi" w:hAnsiTheme="minorHAnsi" w:cs="Arial"/>
                <w:sz w:val="20"/>
                <w:szCs w:val="20"/>
              </w:rPr>
            </w:pPr>
            <w:r w:rsidRPr="006D4208">
              <w:rPr>
                <w:rFonts w:asciiTheme="minorHAnsi" w:hAnsiTheme="minorHAnsi" w:cs="Arial"/>
                <w:sz w:val="20"/>
                <w:szCs w:val="20"/>
              </w:rPr>
              <w:t>(</w:t>
            </w:r>
            <w:r w:rsidR="00294C5B" w:rsidRPr="006D4208">
              <w:rPr>
                <w:rFonts w:asciiTheme="minorHAnsi" w:hAnsiTheme="minorHAnsi" w:cs="Arial"/>
                <w:sz w:val="20"/>
                <w:szCs w:val="20"/>
              </w:rPr>
              <w:t>0.6</w:t>
            </w:r>
            <w:r w:rsidRPr="006D4208">
              <w:rPr>
                <w:rFonts w:asciiTheme="minorHAnsi" w:hAnsiTheme="minorHAnsi" w:cs="Arial"/>
                <w:sz w:val="20"/>
                <w:szCs w:val="20"/>
              </w:rPr>
              <w:t>)</w:t>
            </w:r>
          </w:p>
        </w:tc>
      </w:tr>
      <w:tr w:rsidR="00F27BAB" w:rsidRPr="00665391" w14:paraId="3351CF5D" w14:textId="77777777" w:rsidTr="103F77E5">
        <w:tc>
          <w:tcPr>
            <w:tcW w:w="7260" w:type="dxa"/>
            <w:tcBorders>
              <w:top w:val="nil"/>
              <w:left w:val="nil"/>
              <w:bottom w:val="nil"/>
              <w:right w:val="nil"/>
            </w:tcBorders>
            <w:vAlign w:val="bottom"/>
          </w:tcPr>
          <w:p w14:paraId="0F9267BF" w14:textId="77777777" w:rsidR="00F27BAB" w:rsidRPr="00A36F5C" w:rsidRDefault="00F27BAB">
            <w:pPr>
              <w:rPr>
                <w:rFonts w:asciiTheme="minorHAnsi" w:hAnsiTheme="minorHAnsi" w:cs="Arial"/>
                <w:b/>
                <w:sz w:val="20"/>
                <w:szCs w:val="20"/>
              </w:rPr>
            </w:pPr>
            <w:r w:rsidRPr="00A36F5C">
              <w:rPr>
                <w:rFonts w:asciiTheme="minorHAnsi" w:hAnsiTheme="minorHAnsi" w:cs="Arial"/>
                <w:b/>
                <w:sz w:val="20"/>
                <w:szCs w:val="20"/>
              </w:rPr>
              <w:t>Total transformation costs</w:t>
            </w:r>
          </w:p>
        </w:tc>
        <w:tc>
          <w:tcPr>
            <w:tcW w:w="1304" w:type="dxa"/>
            <w:tcBorders>
              <w:top w:val="single" w:sz="4" w:space="0" w:color="auto"/>
              <w:left w:val="nil"/>
              <w:right w:val="nil"/>
            </w:tcBorders>
            <w:shd w:val="clear" w:color="auto" w:fill="F2F2F2" w:themeFill="background1" w:themeFillShade="F2"/>
            <w:vAlign w:val="bottom"/>
          </w:tcPr>
          <w:p w14:paraId="7EA2C14E" w14:textId="4DB33140" w:rsidR="00F27BAB" w:rsidRPr="006D4208" w:rsidRDefault="00F27BAB">
            <w:pPr>
              <w:jc w:val="right"/>
              <w:rPr>
                <w:rFonts w:asciiTheme="minorHAnsi" w:hAnsiTheme="minorHAnsi" w:cs="Arial"/>
                <w:b/>
                <w:sz w:val="20"/>
                <w:szCs w:val="20"/>
              </w:rPr>
            </w:pPr>
            <w:r w:rsidRPr="006D4208">
              <w:rPr>
                <w:rFonts w:asciiTheme="minorHAnsi" w:hAnsiTheme="minorHAnsi" w:cs="Arial"/>
                <w:b/>
                <w:sz w:val="20"/>
                <w:szCs w:val="20"/>
              </w:rPr>
              <w:t>(</w:t>
            </w:r>
            <w:r w:rsidR="00C9210F" w:rsidRPr="006D4208">
              <w:rPr>
                <w:rFonts w:asciiTheme="minorHAnsi" w:hAnsiTheme="minorHAnsi" w:cs="Arial"/>
                <w:b/>
                <w:sz w:val="20"/>
                <w:szCs w:val="20"/>
              </w:rPr>
              <w:t>16.0</w:t>
            </w:r>
            <w:r w:rsidRPr="006D4208">
              <w:rPr>
                <w:rFonts w:asciiTheme="minorHAnsi" w:hAnsiTheme="minorHAnsi" w:cs="Arial"/>
                <w:b/>
                <w:sz w:val="20"/>
                <w:szCs w:val="20"/>
              </w:rPr>
              <w:t>)</w:t>
            </w:r>
          </w:p>
        </w:tc>
        <w:tc>
          <w:tcPr>
            <w:tcW w:w="1159" w:type="dxa"/>
            <w:tcBorders>
              <w:top w:val="single" w:sz="4" w:space="0" w:color="auto"/>
              <w:left w:val="nil"/>
              <w:right w:val="nil"/>
            </w:tcBorders>
            <w:vAlign w:val="bottom"/>
          </w:tcPr>
          <w:p w14:paraId="44DED302" w14:textId="0777E534" w:rsidR="00F27BAB" w:rsidRPr="006D4208" w:rsidRDefault="00F27BAB">
            <w:pPr>
              <w:jc w:val="right"/>
              <w:rPr>
                <w:rFonts w:asciiTheme="minorHAnsi" w:hAnsiTheme="minorHAnsi" w:cs="Arial"/>
                <w:b/>
                <w:sz w:val="20"/>
                <w:szCs w:val="20"/>
              </w:rPr>
            </w:pPr>
            <w:r w:rsidRPr="006D4208">
              <w:rPr>
                <w:rFonts w:asciiTheme="minorHAnsi" w:hAnsiTheme="minorHAnsi" w:cs="Arial"/>
                <w:b/>
                <w:sz w:val="20"/>
                <w:szCs w:val="20"/>
              </w:rPr>
              <w:t>(</w:t>
            </w:r>
            <w:r w:rsidR="003D416B" w:rsidRPr="006D4208">
              <w:rPr>
                <w:rFonts w:asciiTheme="minorHAnsi" w:hAnsiTheme="minorHAnsi" w:cs="Arial"/>
                <w:b/>
                <w:sz w:val="20"/>
                <w:szCs w:val="20"/>
              </w:rPr>
              <w:t>2.9</w:t>
            </w:r>
            <w:r w:rsidRPr="006D4208">
              <w:rPr>
                <w:rFonts w:asciiTheme="minorHAnsi" w:hAnsiTheme="minorHAnsi" w:cs="Arial"/>
                <w:b/>
                <w:sz w:val="20"/>
                <w:szCs w:val="20"/>
              </w:rPr>
              <w:t>)</w:t>
            </w:r>
          </w:p>
        </w:tc>
      </w:tr>
      <w:tr w:rsidR="00F27BAB" w:rsidRPr="00665391" w14:paraId="2186A9EF" w14:textId="77777777" w:rsidTr="103F77E5">
        <w:tc>
          <w:tcPr>
            <w:tcW w:w="7260" w:type="dxa"/>
            <w:tcBorders>
              <w:top w:val="nil"/>
              <w:left w:val="nil"/>
              <w:bottom w:val="nil"/>
              <w:right w:val="nil"/>
            </w:tcBorders>
            <w:vAlign w:val="bottom"/>
          </w:tcPr>
          <w:p w14:paraId="648D023E" w14:textId="77777777" w:rsidR="00F27BAB" w:rsidRPr="00A36F5C" w:rsidRDefault="00F27BAB">
            <w:pPr>
              <w:rPr>
                <w:rFonts w:asciiTheme="minorHAnsi" w:hAnsiTheme="minorHAnsi" w:cs="Arial"/>
                <w:b/>
                <w:sz w:val="20"/>
                <w:szCs w:val="20"/>
              </w:rPr>
            </w:pPr>
            <w:r w:rsidRPr="00A36F5C">
              <w:rPr>
                <w:rFonts w:asciiTheme="minorHAnsi" w:hAnsiTheme="minorHAnsi" w:cs="Arial"/>
                <w:b/>
                <w:sz w:val="20"/>
                <w:szCs w:val="20"/>
              </w:rPr>
              <w:t>Other exceptional costs:</w:t>
            </w:r>
          </w:p>
        </w:tc>
        <w:tc>
          <w:tcPr>
            <w:tcW w:w="1304" w:type="dxa"/>
            <w:tcBorders>
              <w:left w:val="nil"/>
              <w:right w:val="nil"/>
            </w:tcBorders>
            <w:shd w:val="clear" w:color="auto" w:fill="F2F2F2" w:themeFill="background1" w:themeFillShade="F2"/>
            <w:vAlign w:val="bottom"/>
          </w:tcPr>
          <w:p w14:paraId="109BEE1A" w14:textId="4E71B7CC" w:rsidR="00F27BAB" w:rsidRPr="006D4208" w:rsidRDefault="00F27BAB">
            <w:pPr>
              <w:jc w:val="right"/>
              <w:rPr>
                <w:rFonts w:asciiTheme="minorHAnsi" w:hAnsiTheme="minorHAnsi" w:cs="Arial"/>
                <w:b/>
                <w:sz w:val="20"/>
                <w:szCs w:val="20"/>
              </w:rPr>
            </w:pPr>
          </w:p>
        </w:tc>
        <w:tc>
          <w:tcPr>
            <w:tcW w:w="1159" w:type="dxa"/>
            <w:tcBorders>
              <w:left w:val="nil"/>
              <w:right w:val="nil"/>
            </w:tcBorders>
            <w:vAlign w:val="bottom"/>
          </w:tcPr>
          <w:p w14:paraId="490A0C4C" w14:textId="77777777" w:rsidR="00F27BAB" w:rsidRPr="006D4208" w:rsidRDefault="00F27BAB">
            <w:pPr>
              <w:jc w:val="right"/>
              <w:rPr>
                <w:rFonts w:asciiTheme="minorHAnsi" w:hAnsiTheme="minorHAnsi" w:cs="Arial"/>
                <w:sz w:val="20"/>
                <w:szCs w:val="20"/>
              </w:rPr>
            </w:pPr>
          </w:p>
        </w:tc>
      </w:tr>
      <w:tr w:rsidR="00B36DE6" w:rsidRPr="00665391" w14:paraId="5BAE5C74" w14:textId="77777777" w:rsidTr="103F77E5">
        <w:tc>
          <w:tcPr>
            <w:tcW w:w="7260" w:type="dxa"/>
            <w:tcBorders>
              <w:top w:val="nil"/>
              <w:left w:val="nil"/>
              <w:bottom w:val="nil"/>
              <w:right w:val="nil"/>
            </w:tcBorders>
            <w:vAlign w:val="bottom"/>
          </w:tcPr>
          <w:p w14:paraId="0DD85410" w14:textId="75CDAC37" w:rsidR="00B36DE6" w:rsidRPr="00A36F5C" w:rsidRDefault="00F2463F">
            <w:pPr>
              <w:rPr>
                <w:rFonts w:asciiTheme="minorHAnsi" w:hAnsiTheme="minorHAnsi" w:cs="Arial"/>
                <w:bCs/>
                <w:sz w:val="20"/>
                <w:szCs w:val="20"/>
              </w:rPr>
            </w:pPr>
            <w:r>
              <w:rPr>
                <w:rFonts w:asciiTheme="minorHAnsi" w:hAnsiTheme="minorHAnsi" w:cs="Arial"/>
                <w:bCs/>
                <w:sz w:val="20"/>
                <w:szCs w:val="20"/>
              </w:rPr>
              <w:t>Legal and other advice</w:t>
            </w:r>
          </w:p>
        </w:tc>
        <w:tc>
          <w:tcPr>
            <w:tcW w:w="1304" w:type="dxa"/>
            <w:tcBorders>
              <w:left w:val="nil"/>
              <w:right w:val="nil"/>
            </w:tcBorders>
            <w:shd w:val="clear" w:color="auto" w:fill="F2F2F2" w:themeFill="background1" w:themeFillShade="F2"/>
            <w:vAlign w:val="bottom"/>
          </w:tcPr>
          <w:p w14:paraId="3F1DB185" w14:textId="799FB53D" w:rsidR="00B36DE6" w:rsidRPr="006D4208" w:rsidRDefault="00C9210F">
            <w:pPr>
              <w:jc w:val="right"/>
              <w:rPr>
                <w:rFonts w:asciiTheme="minorHAnsi" w:hAnsiTheme="minorHAnsi" w:cs="Arial"/>
                <w:b/>
                <w:sz w:val="20"/>
                <w:szCs w:val="20"/>
              </w:rPr>
            </w:pPr>
            <w:r w:rsidRPr="006D4208">
              <w:rPr>
                <w:rFonts w:asciiTheme="minorHAnsi" w:hAnsiTheme="minorHAnsi" w:cs="Arial"/>
                <w:b/>
                <w:sz w:val="20"/>
                <w:szCs w:val="20"/>
              </w:rPr>
              <w:t>(0.5)</w:t>
            </w:r>
          </w:p>
        </w:tc>
        <w:tc>
          <w:tcPr>
            <w:tcW w:w="1159" w:type="dxa"/>
            <w:tcBorders>
              <w:left w:val="nil"/>
              <w:right w:val="nil"/>
            </w:tcBorders>
            <w:vAlign w:val="bottom"/>
          </w:tcPr>
          <w:p w14:paraId="71300EA2" w14:textId="77777777" w:rsidR="00B36DE6" w:rsidRPr="006D4208" w:rsidRDefault="00B36DE6">
            <w:pPr>
              <w:jc w:val="right"/>
              <w:rPr>
                <w:rFonts w:asciiTheme="minorHAnsi" w:hAnsiTheme="minorHAnsi" w:cs="Arial"/>
                <w:sz w:val="20"/>
                <w:szCs w:val="20"/>
              </w:rPr>
            </w:pPr>
          </w:p>
        </w:tc>
      </w:tr>
      <w:tr w:rsidR="00F27BAB" w:rsidRPr="00665391" w14:paraId="255338B8" w14:textId="77777777" w:rsidTr="103F77E5">
        <w:tc>
          <w:tcPr>
            <w:tcW w:w="7260" w:type="dxa"/>
            <w:tcBorders>
              <w:top w:val="nil"/>
              <w:left w:val="nil"/>
              <w:bottom w:val="nil"/>
              <w:right w:val="nil"/>
            </w:tcBorders>
            <w:vAlign w:val="bottom"/>
          </w:tcPr>
          <w:p w14:paraId="304811F5" w14:textId="626BBB09" w:rsidR="00F27BAB" w:rsidRPr="00A36F5C" w:rsidRDefault="00F27BAB">
            <w:pPr>
              <w:rPr>
                <w:rFonts w:asciiTheme="minorHAnsi" w:hAnsiTheme="minorHAnsi" w:cs="Arial"/>
                <w:bCs/>
                <w:sz w:val="20"/>
                <w:szCs w:val="20"/>
              </w:rPr>
            </w:pPr>
            <w:r w:rsidRPr="00A36F5C">
              <w:rPr>
                <w:rFonts w:asciiTheme="minorHAnsi" w:hAnsiTheme="minorHAnsi" w:cs="Arial"/>
                <w:bCs/>
                <w:sz w:val="20"/>
                <w:szCs w:val="20"/>
              </w:rPr>
              <w:t xml:space="preserve">CCD </w:t>
            </w:r>
            <w:r w:rsidR="00A033B3">
              <w:rPr>
                <w:rFonts w:asciiTheme="minorHAnsi" w:hAnsiTheme="minorHAnsi" w:cs="Arial"/>
                <w:bCs/>
                <w:sz w:val="20"/>
                <w:szCs w:val="20"/>
              </w:rPr>
              <w:t xml:space="preserve">Scheme and </w:t>
            </w:r>
            <w:r w:rsidRPr="00A36F5C">
              <w:rPr>
                <w:rFonts w:asciiTheme="minorHAnsi" w:hAnsiTheme="minorHAnsi" w:cs="Arial"/>
                <w:bCs/>
                <w:sz w:val="20"/>
                <w:szCs w:val="20"/>
              </w:rPr>
              <w:t>liquidation costs</w:t>
            </w:r>
          </w:p>
        </w:tc>
        <w:tc>
          <w:tcPr>
            <w:tcW w:w="1304" w:type="dxa"/>
            <w:tcBorders>
              <w:left w:val="nil"/>
              <w:bottom w:val="single" w:sz="4" w:space="0" w:color="auto"/>
              <w:right w:val="nil"/>
            </w:tcBorders>
            <w:shd w:val="clear" w:color="auto" w:fill="F2F2F2" w:themeFill="background1" w:themeFillShade="F2"/>
            <w:vAlign w:val="bottom"/>
          </w:tcPr>
          <w:p w14:paraId="57E5BA3F" w14:textId="29BFB509" w:rsidR="00F27BAB" w:rsidRPr="006D4208" w:rsidRDefault="002A51DA">
            <w:pPr>
              <w:jc w:val="right"/>
              <w:rPr>
                <w:rFonts w:asciiTheme="minorHAnsi" w:hAnsiTheme="minorHAnsi" w:cs="Arial"/>
                <w:b/>
                <w:sz w:val="20"/>
                <w:szCs w:val="20"/>
              </w:rPr>
            </w:pPr>
            <w:r w:rsidRPr="006D4208">
              <w:rPr>
                <w:rFonts w:asciiTheme="minorHAnsi" w:hAnsiTheme="minorHAnsi" w:cs="Arial"/>
                <w:b/>
                <w:sz w:val="20"/>
                <w:szCs w:val="20"/>
              </w:rPr>
              <w:t>1.0</w:t>
            </w:r>
          </w:p>
        </w:tc>
        <w:tc>
          <w:tcPr>
            <w:tcW w:w="1159" w:type="dxa"/>
            <w:tcBorders>
              <w:left w:val="nil"/>
              <w:bottom w:val="single" w:sz="4" w:space="0" w:color="auto"/>
              <w:right w:val="nil"/>
            </w:tcBorders>
            <w:vAlign w:val="bottom"/>
          </w:tcPr>
          <w:p w14:paraId="2326DF5A" w14:textId="085970AB" w:rsidR="00F27BAB" w:rsidRPr="006D4208" w:rsidRDefault="00F27BAB">
            <w:pPr>
              <w:jc w:val="right"/>
              <w:rPr>
                <w:rFonts w:asciiTheme="minorHAnsi" w:hAnsiTheme="minorHAnsi" w:cs="Arial"/>
                <w:sz w:val="20"/>
                <w:szCs w:val="20"/>
              </w:rPr>
            </w:pPr>
            <w:r w:rsidRPr="006D4208">
              <w:rPr>
                <w:rFonts w:asciiTheme="minorHAnsi" w:hAnsiTheme="minorHAnsi" w:cs="Arial"/>
                <w:sz w:val="20"/>
                <w:szCs w:val="20"/>
              </w:rPr>
              <w:t>(</w:t>
            </w:r>
            <w:r w:rsidR="006D3196" w:rsidRPr="006D4208">
              <w:rPr>
                <w:rFonts w:asciiTheme="minorHAnsi" w:hAnsiTheme="minorHAnsi" w:cs="Arial"/>
                <w:sz w:val="20"/>
                <w:szCs w:val="20"/>
              </w:rPr>
              <w:t>2.4</w:t>
            </w:r>
            <w:r w:rsidRPr="006D4208">
              <w:rPr>
                <w:rFonts w:asciiTheme="minorHAnsi" w:hAnsiTheme="minorHAnsi" w:cs="Arial"/>
                <w:sz w:val="20"/>
                <w:szCs w:val="20"/>
              </w:rPr>
              <w:t>)</w:t>
            </w:r>
          </w:p>
        </w:tc>
      </w:tr>
      <w:tr w:rsidR="00F27BAB" w:rsidRPr="00701439" w14:paraId="18D60B14" w14:textId="77777777" w:rsidTr="00343AE4">
        <w:trPr>
          <w:trHeight w:val="302"/>
        </w:trPr>
        <w:tc>
          <w:tcPr>
            <w:tcW w:w="7260" w:type="dxa"/>
            <w:tcBorders>
              <w:top w:val="nil"/>
              <w:left w:val="nil"/>
              <w:bottom w:val="nil"/>
              <w:right w:val="nil"/>
            </w:tcBorders>
            <w:vAlign w:val="bottom"/>
          </w:tcPr>
          <w:p w14:paraId="061CB4C6" w14:textId="77777777" w:rsidR="00F27BAB" w:rsidRDefault="00F27BAB">
            <w:pPr>
              <w:rPr>
                <w:rFonts w:asciiTheme="minorHAnsi" w:hAnsiTheme="minorHAnsi" w:cs="Arial"/>
                <w:b/>
                <w:sz w:val="20"/>
                <w:szCs w:val="20"/>
              </w:rPr>
            </w:pPr>
            <w:r w:rsidRPr="00A36F5C">
              <w:rPr>
                <w:rFonts w:asciiTheme="minorHAnsi" w:hAnsiTheme="minorHAnsi" w:cs="Arial"/>
                <w:b/>
                <w:sz w:val="20"/>
                <w:szCs w:val="20"/>
              </w:rPr>
              <w:t>Total exceptional items</w:t>
            </w:r>
          </w:p>
          <w:p w14:paraId="04B3A717" w14:textId="54B610CD" w:rsidR="00F27BAB" w:rsidRPr="00A36F5C" w:rsidRDefault="00F27BAB">
            <w:pPr>
              <w:rPr>
                <w:rFonts w:asciiTheme="minorHAnsi" w:hAnsiTheme="minorHAnsi" w:cs="Arial"/>
                <w:b/>
                <w:sz w:val="20"/>
                <w:szCs w:val="20"/>
              </w:rPr>
            </w:pPr>
          </w:p>
        </w:tc>
        <w:tc>
          <w:tcPr>
            <w:tcW w:w="1304" w:type="dxa"/>
            <w:tcBorders>
              <w:top w:val="single" w:sz="4" w:space="0" w:color="auto"/>
              <w:left w:val="nil"/>
              <w:bottom w:val="single" w:sz="12" w:space="0" w:color="auto"/>
              <w:right w:val="nil"/>
            </w:tcBorders>
            <w:shd w:val="clear" w:color="auto" w:fill="F2F2F2" w:themeFill="background1" w:themeFillShade="F2"/>
            <w:vAlign w:val="bottom"/>
          </w:tcPr>
          <w:p w14:paraId="7B1DD254" w14:textId="553B71CD" w:rsidR="00F27BAB" w:rsidRPr="006D4208" w:rsidRDefault="00F27BAB">
            <w:pPr>
              <w:jc w:val="right"/>
              <w:rPr>
                <w:rFonts w:asciiTheme="minorHAnsi" w:hAnsiTheme="minorHAnsi" w:cs="Arial"/>
                <w:b/>
                <w:sz w:val="20"/>
                <w:szCs w:val="20"/>
              </w:rPr>
            </w:pPr>
            <w:r w:rsidRPr="006D4208">
              <w:rPr>
                <w:rFonts w:asciiTheme="minorHAnsi" w:hAnsiTheme="minorHAnsi" w:cs="Arial"/>
                <w:b/>
                <w:sz w:val="20"/>
                <w:szCs w:val="20"/>
              </w:rPr>
              <w:t>(</w:t>
            </w:r>
            <w:r w:rsidR="00C9210F" w:rsidRPr="006D4208">
              <w:rPr>
                <w:rFonts w:asciiTheme="minorHAnsi" w:hAnsiTheme="minorHAnsi" w:cs="Arial"/>
                <w:b/>
                <w:sz w:val="20"/>
                <w:szCs w:val="20"/>
              </w:rPr>
              <w:t>1</w:t>
            </w:r>
            <w:r w:rsidR="002A51DA" w:rsidRPr="006D4208">
              <w:rPr>
                <w:rFonts w:asciiTheme="minorHAnsi" w:hAnsiTheme="minorHAnsi" w:cs="Arial"/>
                <w:b/>
                <w:sz w:val="20"/>
                <w:szCs w:val="20"/>
              </w:rPr>
              <w:t>5</w:t>
            </w:r>
            <w:r w:rsidR="00C9210F" w:rsidRPr="006D4208">
              <w:rPr>
                <w:rFonts w:asciiTheme="minorHAnsi" w:hAnsiTheme="minorHAnsi" w:cs="Arial"/>
                <w:b/>
                <w:sz w:val="20"/>
                <w:szCs w:val="20"/>
              </w:rPr>
              <w:t>.5</w:t>
            </w:r>
            <w:r w:rsidRPr="006D4208">
              <w:rPr>
                <w:rFonts w:asciiTheme="minorHAnsi" w:hAnsiTheme="minorHAnsi" w:cs="Arial"/>
                <w:b/>
                <w:sz w:val="20"/>
                <w:szCs w:val="20"/>
              </w:rPr>
              <w:t>)</w:t>
            </w:r>
          </w:p>
        </w:tc>
        <w:tc>
          <w:tcPr>
            <w:tcW w:w="1159" w:type="dxa"/>
            <w:tcBorders>
              <w:top w:val="single" w:sz="4" w:space="0" w:color="auto"/>
              <w:left w:val="nil"/>
              <w:bottom w:val="single" w:sz="12" w:space="0" w:color="auto"/>
              <w:right w:val="nil"/>
            </w:tcBorders>
            <w:vAlign w:val="bottom"/>
          </w:tcPr>
          <w:p w14:paraId="421ACA77" w14:textId="26E5A838" w:rsidR="00F27BAB" w:rsidRPr="006D4208" w:rsidRDefault="00F27BAB">
            <w:pPr>
              <w:jc w:val="right"/>
              <w:rPr>
                <w:rFonts w:asciiTheme="minorHAnsi" w:hAnsiTheme="minorHAnsi" w:cs="Arial"/>
                <w:b/>
                <w:sz w:val="20"/>
                <w:szCs w:val="20"/>
              </w:rPr>
            </w:pPr>
            <w:r w:rsidRPr="006D4208">
              <w:rPr>
                <w:rFonts w:asciiTheme="minorHAnsi" w:hAnsiTheme="minorHAnsi" w:cs="Arial"/>
                <w:b/>
                <w:sz w:val="20"/>
                <w:szCs w:val="20"/>
              </w:rPr>
              <w:t>(</w:t>
            </w:r>
            <w:r w:rsidR="000E3EB9" w:rsidRPr="006D4208">
              <w:rPr>
                <w:rFonts w:asciiTheme="minorHAnsi" w:hAnsiTheme="minorHAnsi" w:cs="Arial"/>
                <w:b/>
                <w:sz w:val="20"/>
                <w:szCs w:val="20"/>
              </w:rPr>
              <w:t>5.3</w:t>
            </w:r>
            <w:r w:rsidRPr="006D4208">
              <w:rPr>
                <w:rFonts w:asciiTheme="minorHAnsi" w:hAnsiTheme="minorHAnsi" w:cs="Arial"/>
                <w:b/>
                <w:sz w:val="20"/>
                <w:szCs w:val="20"/>
              </w:rPr>
              <w:t>)</w:t>
            </w:r>
          </w:p>
        </w:tc>
      </w:tr>
    </w:tbl>
    <w:p w14:paraId="52777966" w14:textId="77777777" w:rsidR="0040155F" w:rsidRDefault="0040155F" w:rsidP="14ABD9AD">
      <w:pPr>
        <w:rPr>
          <w:rFonts w:asciiTheme="minorHAnsi" w:hAnsiTheme="minorHAnsi" w:cs="Arial"/>
          <w:b/>
          <w:bCs/>
          <w:color w:val="4747FF"/>
          <w:sz w:val="22"/>
          <w:szCs w:val="22"/>
        </w:rPr>
      </w:pPr>
    </w:p>
    <w:p w14:paraId="2566ADEA" w14:textId="6582D618" w:rsidR="00B53646" w:rsidRDefault="00B53646" w:rsidP="14ABD9AD">
      <w:pPr>
        <w:rPr>
          <w:rFonts w:asciiTheme="minorHAnsi" w:hAnsiTheme="minorHAnsi" w:cs="Arial"/>
          <w:b/>
          <w:bCs/>
          <w:color w:val="4747FF"/>
          <w:sz w:val="22"/>
          <w:szCs w:val="22"/>
        </w:rPr>
      </w:pPr>
    </w:p>
    <w:tbl>
      <w:tblPr>
        <w:tblW w:w="5030" w:type="pct"/>
        <w:tblLayout w:type="fixed"/>
        <w:tblLook w:val="0000" w:firstRow="0" w:lastRow="0" w:firstColumn="0" w:lastColumn="0" w:noHBand="0" w:noVBand="0"/>
      </w:tblPr>
      <w:tblGrid>
        <w:gridCol w:w="2439"/>
        <w:gridCol w:w="399"/>
        <w:gridCol w:w="851"/>
        <w:gridCol w:w="1416"/>
        <w:gridCol w:w="1135"/>
        <w:gridCol w:w="992"/>
        <w:gridCol w:w="1416"/>
        <w:gridCol w:w="1133"/>
      </w:tblGrid>
      <w:tr w:rsidR="00C0788C" w:rsidRPr="00A36F5C" w14:paraId="23507FBD" w14:textId="77777777" w:rsidTr="00C0788C">
        <w:trPr>
          <w:trHeight w:val="499"/>
        </w:trPr>
        <w:tc>
          <w:tcPr>
            <w:tcW w:w="1247" w:type="pct"/>
          </w:tcPr>
          <w:p w14:paraId="0B752626" w14:textId="77777777" w:rsidR="001B152F" w:rsidRPr="00BE1C48" w:rsidRDefault="001B152F" w:rsidP="00AF5A74">
            <w:pPr>
              <w:rPr>
                <w:rFonts w:asciiTheme="minorHAnsi" w:hAnsiTheme="minorHAnsi" w:cs="Arial"/>
                <w:sz w:val="20"/>
                <w:szCs w:val="20"/>
                <w:highlight w:val="green"/>
              </w:rPr>
            </w:pPr>
          </w:p>
        </w:tc>
        <w:tc>
          <w:tcPr>
            <w:tcW w:w="204" w:type="pct"/>
          </w:tcPr>
          <w:p w14:paraId="4915DB26" w14:textId="77777777" w:rsidR="00205668" w:rsidRPr="00A36F5C" w:rsidRDefault="00205668" w:rsidP="00AF5A74">
            <w:pPr>
              <w:jc w:val="center"/>
              <w:rPr>
                <w:rFonts w:asciiTheme="minorHAnsi" w:hAnsiTheme="minorHAnsi" w:cs="Arial"/>
                <w:sz w:val="20"/>
                <w:szCs w:val="20"/>
              </w:rPr>
            </w:pPr>
          </w:p>
        </w:tc>
        <w:tc>
          <w:tcPr>
            <w:tcW w:w="1739" w:type="pct"/>
            <w:gridSpan w:val="3"/>
          </w:tcPr>
          <w:p w14:paraId="28453AA0" w14:textId="77777777" w:rsidR="001B152F" w:rsidRPr="00A36F5C" w:rsidRDefault="001B152F" w:rsidP="00AF5A74">
            <w:pPr>
              <w:jc w:val="center"/>
              <w:rPr>
                <w:rFonts w:asciiTheme="minorHAnsi" w:hAnsiTheme="minorHAnsi" w:cs="Arial"/>
                <w:sz w:val="20"/>
                <w:szCs w:val="20"/>
              </w:rPr>
            </w:pPr>
            <w:r w:rsidRPr="00A36F5C">
              <w:rPr>
                <w:rFonts w:asciiTheme="minorHAnsi" w:hAnsiTheme="minorHAnsi" w:cs="Arial"/>
                <w:sz w:val="20"/>
                <w:szCs w:val="20"/>
              </w:rPr>
              <w:t xml:space="preserve">        </w:t>
            </w:r>
          </w:p>
          <w:p w14:paraId="02E6D629" w14:textId="77777777" w:rsidR="001B152F" w:rsidRPr="00A36F5C" w:rsidRDefault="001B152F" w:rsidP="00AF5A74">
            <w:pPr>
              <w:jc w:val="center"/>
              <w:rPr>
                <w:rFonts w:asciiTheme="minorHAnsi" w:hAnsiTheme="minorHAnsi" w:cs="Arial"/>
                <w:sz w:val="20"/>
                <w:szCs w:val="20"/>
              </w:rPr>
            </w:pPr>
            <w:r w:rsidRPr="00A36F5C">
              <w:rPr>
                <w:rFonts w:asciiTheme="minorHAnsi" w:hAnsiTheme="minorHAnsi" w:cs="Arial"/>
                <w:sz w:val="20"/>
                <w:szCs w:val="20"/>
              </w:rPr>
              <w:t xml:space="preserve">              Segment assets</w:t>
            </w:r>
          </w:p>
        </w:tc>
        <w:tc>
          <w:tcPr>
            <w:tcW w:w="507" w:type="pct"/>
          </w:tcPr>
          <w:p w14:paraId="5AC625EC" w14:textId="77777777" w:rsidR="00205668" w:rsidRPr="00A36F5C" w:rsidRDefault="00205668" w:rsidP="00AF5A74">
            <w:pPr>
              <w:jc w:val="center"/>
              <w:rPr>
                <w:rFonts w:asciiTheme="minorHAnsi" w:hAnsiTheme="minorHAnsi" w:cs="Arial"/>
                <w:sz w:val="20"/>
                <w:szCs w:val="20"/>
              </w:rPr>
            </w:pPr>
          </w:p>
        </w:tc>
        <w:tc>
          <w:tcPr>
            <w:tcW w:w="1303" w:type="pct"/>
            <w:gridSpan w:val="2"/>
          </w:tcPr>
          <w:p w14:paraId="2F07ADB8" w14:textId="02E6848A" w:rsidR="001B152F" w:rsidRPr="00A36F5C" w:rsidRDefault="00205668" w:rsidP="00AF5A74">
            <w:pPr>
              <w:jc w:val="center"/>
              <w:rPr>
                <w:rFonts w:asciiTheme="minorHAnsi" w:hAnsiTheme="minorHAnsi" w:cs="Arial"/>
                <w:sz w:val="20"/>
                <w:szCs w:val="20"/>
              </w:rPr>
            </w:pPr>
            <w:r w:rsidRPr="00A36F5C">
              <w:rPr>
                <w:rFonts w:asciiTheme="minorHAnsi" w:hAnsiTheme="minorHAnsi" w:cs="Arial"/>
                <w:sz w:val="20"/>
                <w:szCs w:val="20"/>
              </w:rPr>
              <w:t>Net</w:t>
            </w:r>
          </w:p>
          <w:p w14:paraId="54A043A9" w14:textId="6077413A" w:rsidR="001B152F" w:rsidRPr="00A36F5C" w:rsidRDefault="001B152F" w:rsidP="00AF5A74">
            <w:pPr>
              <w:jc w:val="center"/>
              <w:rPr>
                <w:rFonts w:asciiTheme="minorHAnsi" w:hAnsiTheme="minorHAnsi" w:cs="Arial"/>
                <w:sz w:val="20"/>
                <w:szCs w:val="20"/>
              </w:rPr>
            </w:pPr>
            <w:r w:rsidRPr="00A36F5C">
              <w:rPr>
                <w:rFonts w:asciiTheme="minorHAnsi" w:hAnsiTheme="minorHAnsi" w:cs="Arial"/>
                <w:sz w:val="20"/>
                <w:szCs w:val="20"/>
              </w:rPr>
              <w:t>assets/(liabilities)</w:t>
            </w:r>
          </w:p>
        </w:tc>
      </w:tr>
      <w:tr w:rsidR="00C0788C" w:rsidRPr="00A36F5C" w14:paraId="1DA3027E" w14:textId="77777777" w:rsidTr="00B83622">
        <w:trPr>
          <w:trHeight w:val="984"/>
        </w:trPr>
        <w:tc>
          <w:tcPr>
            <w:tcW w:w="1451" w:type="pct"/>
            <w:gridSpan w:val="2"/>
          </w:tcPr>
          <w:p w14:paraId="62414B3A" w14:textId="77777777" w:rsidR="001B152F" w:rsidRPr="00A36F5C" w:rsidRDefault="001B152F" w:rsidP="00AF5A74">
            <w:pPr>
              <w:rPr>
                <w:rFonts w:asciiTheme="minorHAnsi" w:hAnsiTheme="minorHAnsi" w:cs="Arial"/>
                <w:sz w:val="20"/>
                <w:szCs w:val="20"/>
              </w:rPr>
            </w:pPr>
          </w:p>
        </w:tc>
        <w:tc>
          <w:tcPr>
            <w:tcW w:w="435" w:type="pct"/>
            <w:shd w:val="clear" w:color="auto" w:fill="F2F2F2" w:themeFill="background1" w:themeFillShade="F2"/>
          </w:tcPr>
          <w:p w14:paraId="092FF60B" w14:textId="77777777" w:rsidR="00C0788C" w:rsidRDefault="00C0788C" w:rsidP="00AF5A74">
            <w:pPr>
              <w:jc w:val="right"/>
              <w:rPr>
                <w:rFonts w:asciiTheme="minorHAnsi" w:hAnsiTheme="minorHAnsi" w:cs="Arial"/>
                <w:b/>
                <w:sz w:val="20"/>
                <w:szCs w:val="20"/>
              </w:rPr>
            </w:pPr>
          </w:p>
          <w:p w14:paraId="7DEFDA8A" w14:textId="222BE654" w:rsidR="001B152F" w:rsidRPr="00C77A50" w:rsidRDefault="00205668" w:rsidP="00AF5A74">
            <w:pPr>
              <w:jc w:val="right"/>
              <w:rPr>
                <w:rFonts w:asciiTheme="minorHAnsi" w:hAnsiTheme="minorHAnsi" w:cs="Arial"/>
                <w:b/>
                <w:sz w:val="20"/>
                <w:szCs w:val="20"/>
              </w:rPr>
            </w:pPr>
            <w:r>
              <w:rPr>
                <w:rFonts w:asciiTheme="minorHAnsi" w:hAnsiTheme="minorHAnsi" w:cs="Arial"/>
                <w:b/>
                <w:sz w:val="20"/>
                <w:szCs w:val="20"/>
              </w:rPr>
              <w:t xml:space="preserve">30 June </w:t>
            </w:r>
            <w:r w:rsidR="001B152F" w:rsidRPr="00C77A50">
              <w:rPr>
                <w:rFonts w:asciiTheme="minorHAnsi" w:hAnsiTheme="minorHAnsi" w:cs="Arial"/>
                <w:b/>
                <w:sz w:val="20"/>
                <w:szCs w:val="20"/>
              </w:rPr>
              <w:t>202</w:t>
            </w:r>
            <w:r w:rsidR="001B152F">
              <w:rPr>
                <w:rFonts w:asciiTheme="minorHAnsi" w:hAnsiTheme="minorHAnsi" w:cs="Arial"/>
                <w:b/>
                <w:sz w:val="20"/>
                <w:szCs w:val="20"/>
              </w:rPr>
              <w:t>4</w:t>
            </w:r>
            <w:r w:rsidR="001B152F" w:rsidRPr="00C77A50">
              <w:rPr>
                <w:rFonts w:asciiTheme="minorHAnsi" w:hAnsiTheme="minorHAnsi" w:cs="Arial"/>
                <w:b/>
                <w:sz w:val="20"/>
                <w:szCs w:val="20"/>
              </w:rPr>
              <w:t> </w:t>
            </w:r>
          </w:p>
        </w:tc>
        <w:tc>
          <w:tcPr>
            <w:tcW w:w="724" w:type="pct"/>
          </w:tcPr>
          <w:p w14:paraId="37A98776" w14:textId="77777777" w:rsidR="00C0788C" w:rsidRDefault="00C0788C" w:rsidP="00AF5A74">
            <w:pPr>
              <w:jc w:val="right"/>
              <w:rPr>
                <w:rFonts w:asciiTheme="minorHAnsi" w:hAnsiTheme="minorHAnsi" w:cs="Arial"/>
                <w:sz w:val="20"/>
                <w:szCs w:val="20"/>
              </w:rPr>
            </w:pPr>
          </w:p>
          <w:p w14:paraId="3335729D" w14:textId="77777777" w:rsidR="00C0788C" w:rsidRDefault="00FA4B9D" w:rsidP="00AF5A74">
            <w:pPr>
              <w:jc w:val="right"/>
              <w:rPr>
                <w:rFonts w:asciiTheme="minorHAnsi" w:hAnsiTheme="minorHAnsi" w:cs="Arial"/>
                <w:sz w:val="20"/>
                <w:szCs w:val="20"/>
              </w:rPr>
            </w:pPr>
            <w:r>
              <w:rPr>
                <w:rFonts w:asciiTheme="minorHAnsi" w:hAnsiTheme="minorHAnsi" w:cs="Arial"/>
                <w:sz w:val="20"/>
                <w:szCs w:val="20"/>
              </w:rPr>
              <w:t>31 December 2023</w:t>
            </w:r>
          </w:p>
          <w:p w14:paraId="66E36F01" w14:textId="5562326D" w:rsidR="00FA4B9D" w:rsidRDefault="00FA4B9D" w:rsidP="00AF5A74">
            <w:pPr>
              <w:jc w:val="right"/>
              <w:rPr>
                <w:rFonts w:asciiTheme="minorHAnsi" w:hAnsiTheme="minorHAnsi" w:cs="Arial"/>
                <w:sz w:val="20"/>
                <w:szCs w:val="20"/>
              </w:rPr>
            </w:pPr>
            <w:r>
              <w:rPr>
                <w:rFonts w:asciiTheme="minorHAnsi" w:hAnsiTheme="minorHAnsi" w:cs="Arial"/>
                <w:sz w:val="20"/>
                <w:szCs w:val="20"/>
              </w:rPr>
              <w:t xml:space="preserve"> (restated)</w:t>
            </w:r>
            <w:r w:rsidR="00B1040B" w:rsidRPr="00B1040B">
              <w:rPr>
                <w:rFonts w:asciiTheme="minorHAnsi" w:hAnsiTheme="minorHAnsi" w:cs="Arial"/>
                <w:sz w:val="20"/>
                <w:szCs w:val="20"/>
                <w:vertAlign w:val="superscript"/>
              </w:rPr>
              <w:t>1</w:t>
            </w:r>
          </w:p>
        </w:tc>
        <w:tc>
          <w:tcPr>
            <w:tcW w:w="580" w:type="pct"/>
          </w:tcPr>
          <w:p w14:paraId="10FC3209" w14:textId="77777777" w:rsidR="00C0788C" w:rsidRDefault="00C0788C" w:rsidP="00AF5A74">
            <w:pPr>
              <w:jc w:val="right"/>
              <w:rPr>
                <w:rFonts w:asciiTheme="minorHAnsi" w:hAnsiTheme="minorHAnsi" w:cs="Arial"/>
                <w:sz w:val="20"/>
                <w:szCs w:val="20"/>
              </w:rPr>
            </w:pPr>
          </w:p>
          <w:p w14:paraId="3C6E083B" w14:textId="7DBE84DE" w:rsidR="001B152F" w:rsidRDefault="00205668" w:rsidP="00AF5A74">
            <w:pPr>
              <w:jc w:val="right"/>
              <w:rPr>
                <w:rFonts w:asciiTheme="minorHAnsi" w:hAnsiTheme="minorHAnsi" w:cs="Arial"/>
                <w:sz w:val="20"/>
                <w:szCs w:val="20"/>
              </w:rPr>
            </w:pPr>
            <w:r>
              <w:rPr>
                <w:rFonts w:asciiTheme="minorHAnsi" w:hAnsiTheme="minorHAnsi" w:cs="Arial"/>
                <w:sz w:val="20"/>
                <w:szCs w:val="20"/>
              </w:rPr>
              <w:t xml:space="preserve">30 June </w:t>
            </w:r>
            <w:r w:rsidR="001B152F" w:rsidRPr="00A36F5C">
              <w:rPr>
                <w:rFonts w:asciiTheme="minorHAnsi" w:hAnsiTheme="minorHAnsi" w:cs="Arial"/>
                <w:sz w:val="20"/>
                <w:szCs w:val="20"/>
              </w:rPr>
              <w:t>202</w:t>
            </w:r>
            <w:r w:rsidR="001B152F">
              <w:rPr>
                <w:rFonts w:asciiTheme="minorHAnsi" w:hAnsiTheme="minorHAnsi" w:cs="Arial"/>
                <w:sz w:val="20"/>
                <w:szCs w:val="20"/>
              </w:rPr>
              <w:t>3</w:t>
            </w:r>
          </w:p>
          <w:p w14:paraId="759FE49A" w14:textId="7420C395" w:rsidR="00D96C66" w:rsidRPr="00A36F5C" w:rsidRDefault="00D96C66" w:rsidP="00AF5A74">
            <w:pPr>
              <w:jc w:val="right"/>
              <w:rPr>
                <w:rFonts w:asciiTheme="minorHAnsi" w:hAnsiTheme="minorHAnsi" w:cs="Arial"/>
                <w:sz w:val="20"/>
                <w:szCs w:val="20"/>
              </w:rPr>
            </w:pPr>
            <w:r>
              <w:rPr>
                <w:rFonts w:asciiTheme="minorHAnsi" w:hAnsiTheme="minorHAnsi" w:cs="Arial"/>
                <w:sz w:val="20"/>
                <w:szCs w:val="20"/>
              </w:rPr>
              <w:t>(restated)</w:t>
            </w:r>
            <w:r w:rsidR="00B1040B" w:rsidRPr="00B1040B">
              <w:rPr>
                <w:rFonts w:asciiTheme="minorHAnsi" w:hAnsiTheme="minorHAnsi" w:cs="Arial"/>
                <w:sz w:val="20"/>
                <w:szCs w:val="20"/>
                <w:vertAlign w:val="superscript"/>
              </w:rPr>
              <w:t>1</w:t>
            </w:r>
          </w:p>
        </w:tc>
        <w:tc>
          <w:tcPr>
            <w:tcW w:w="507" w:type="pct"/>
            <w:shd w:val="clear" w:color="auto" w:fill="F2F2F2" w:themeFill="background1" w:themeFillShade="F2"/>
          </w:tcPr>
          <w:p w14:paraId="126EE658" w14:textId="77777777" w:rsidR="00C0788C" w:rsidRDefault="00C0788C" w:rsidP="00AF5A74">
            <w:pPr>
              <w:jc w:val="right"/>
              <w:rPr>
                <w:rFonts w:asciiTheme="minorHAnsi" w:hAnsiTheme="minorHAnsi" w:cs="Arial"/>
                <w:b/>
                <w:sz w:val="20"/>
                <w:szCs w:val="20"/>
              </w:rPr>
            </w:pPr>
          </w:p>
          <w:p w14:paraId="347288B6" w14:textId="1631E019" w:rsidR="001B152F" w:rsidRPr="00C77A50" w:rsidRDefault="00FA4B9D" w:rsidP="00AF5A74">
            <w:pPr>
              <w:jc w:val="right"/>
              <w:rPr>
                <w:rFonts w:asciiTheme="minorHAnsi" w:hAnsiTheme="minorHAnsi" w:cs="Arial"/>
                <w:b/>
                <w:sz w:val="20"/>
                <w:szCs w:val="20"/>
              </w:rPr>
            </w:pPr>
            <w:r>
              <w:rPr>
                <w:rFonts w:asciiTheme="minorHAnsi" w:hAnsiTheme="minorHAnsi" w:cs="Arial"/>
                <w:b/>
                <w:sz w:val="20"/>
                <w:szCs w:val="20"/>
              </w:rPr>
              <w:t xml:space="preserve">30 June </w:t>
            </w:r>
            <w:r w:rsidR="001B152F" w:rsidRPr="00C77A50">
              <w:rPr>
                <w:rFonts w:asciiTheme="minorHAnsi" w:hAnsiTheme="minorHAnsi" w:cs="Arial"/>
                <w:b/>
                <w:sz w:val="20"/>
                <w:szCs w:val="20"/>
              </w:rPr>
              <w:t>202</w:t>
            </w:r>
            <w:r w:rsidR="001B152F">
              <w:rPr>
                <w:rFonts w:asciiTheme="minorHAnsi" w:hAnsiTheme="minorHAnsi" w:cs="Arial"/>
                <w:b/>
                <w:sz w:val="20"/>
                <w:szCs w:val="20"/>
              </w:rPr>
              <w:t>4</w:t>
            </w:r>
          </w:p>
        </w:tc>
        <w:tc>
          <w:tcPr>
            <w:tcW w:w="724" w:type="pct"/>
          </w:tcPr>
          <w:p w14:paraId="3C99A549" w14:textId="77777777" w:rsidR="00C0788C" w:rsidRDefault="00C0788C" w:rsidP="00AF5A74">
            <w:pPr>
              <w:jc w:val="right"/>
              <w:rPr>
                <w:rFonts w:asciiTheme="minorHAnsi" w:hAnsiTheme="minorHAnsi" w:cs="Arial"/>
                <w:sz w:val="20"/>
                <w:szCs w:val="20"/>
              </w:rPr>
            </w:pPr>
          </w:p>
          <w:p w14:paraId="0ED60B1D" w14:textId="4387677B" w:rsidR="00A747C6" w:rsidRDefault="00FA4B9D" w:rsidP="00AF5A74">
            <w:pPr>
              <w:jc w:val="right"/>
              <w:rPr>
                <w:rFonts w:asciiTheme="minorHAnsi" w:hAnsiTheme="minorHAnsi" w:cs="Arial"/>
                <w:sz w:val="20"/>
                <w:szCs w:val="20"/>
              </w:rPr>
            </w:pPr>
            <w:r>
              <w:rPr>
                <w:rFonts w:asciiTheme="minorHAnsi" w:hAnsiTheme="minorHAnsi" w:cs="Arial"/>
                <w:sz w:val="20"/>
                <w:szCs w:val="20"/>
              </w:rPr>
              <w:t xml:space="preserve">31 December 2023 </w:t>
            </w:r>
          </w:p>
          <w:p w14:paraId="21913C85" w14:textId="27FC2EA1" w:rsidR="00FA4B9D" w:rsidRDefault="00FA4B9D" w:rsidP="00AF5A74">
            <w:pPr>
              <w:jc w:val="right"/>
              <w:rPr>
                <w:rFonts w:asciiTheme="minorHAnsi" w:hAnsiTheme="minorHAnsi" w:cs="Arial"/>
                <w:sz w:val="20"/>
                <w:szCs w:val="20"/>
              </w:rPr>
            </w:pPr>
            <w:r>
              <w:rPr>
                <w:rFonts w:asciiTheme="minorHAnsi" w:hAnsiTheme="minorHAnsi" w:cs="Arial"/>
                <w:sz w:val="20"/>
                <w:szCs w:val="20"/>
              </w:rPr>
              <w:t>(restated)</w:t>
            </w:r>
            <w:r w:rsidR="00B1040B" w:rsidRPr="00B1040B">
              <w:rPr>
                <w:rFonts w:asciiTheme="minorHAnsi" w:hAnsiTheme="minorHAnsi" w:cs="Arial"/>
                <w:sz w:val="20"/>
                <w:szCs w:val="20"/>
                <w:vertAlign w:val="superscript"/>
              </w:rPr>
              <w:t>1</w:t>
            </w:r>
          </w:p>
        </w:tc>
        <w:tc>
          <w:tcPr>
            <w:tcW w:w="579" w:type="pct"/>
          </w:tcPr>
          <w:p w14:paraId="1AC3D7DD" w14:textId="77777777" w:rsidR="00C0788C" w:rsidRDefault="00C0788C" w:rsidP="00AF5A74">
            <w:pPr>
              <w:jc w:val="right"/>
              <w:rPr>
                <w:rFonts w:asciiTheme="minorHAnsi" w:hAnsiTheme="minorHAnsi" w:cs="Arial"/>
                <w:sz w:val="20"/>
                <w:szCs w:val="20"/>
              </w:rPr>
            </w:pPr>
          </w:p>
          <w:p w14:paraId="22BCF81A" w14:textId="6D66C5EC" w:rsidR="001B152F" w:rsidRDefault="003872A3" w:rsidP="00AF5A74">
            <w:pPr>
              <w:jc w:val="right"/>
              <w:rPr>
                <w:rFonts w:asciiTheme="minorHAnsi" w:hAnsiTheme="minorHAnsi" w:cs="Arial"/>
                <w:sz w:val="20"/>
                <w:szCs w:val="20"/>
              </w:rPr>
            </w:pPr>
            <w:r>
              <w:rPr>
                <w:rFonts w:asciiTheme="minorHAnsi" w:hAnsiTheme="minorHAnsi" w:cs="Arial"/>
                <w:sz w:val="20"/>
                <w:szCs w:val="20"/>
              </w:rPr>
              <w:t xml:space="preserve">30 June </w:t>
            </w:r>
            <w:r w:rsidR="001B152F" w:rsidRPr="00A36F5C">
              <w:rPr>
                <w:rFonts w:asciiTheme="minorHAnsi" w:hAnsiTheme="minorHAnsi" w:cs="Arial"/>
                <w:sz w:val="20"/>
                <w:szCs w:val="20"/>
              </w:rPr>
              <w:t>202</w:t>
            </w:r>
            <w:r w:rsidR="001B152F">
              <w:rPr>
                <w:rFonts w:asciiTheme="minorHAnsi" w:hAnsiTheme="minorHAnsi" w:cs="Arial"/>
                <w:sz w:val="20"/>
                <w:szCs w:val="20"/>
              </w:rPr>
              <w:t>3</w:t>
            </w:r>
          </w:p>
          <w:p w14:paraId="28F36CD5" w14:textId="1095A7F0" w:rsidR="00D96C66" w:rsidRPr="00A36F5C" w:rsidRDefault="00D96C66" w:rsidP="00AF5A74">
            <w:pPr>
              <w:jc w:val="right"/>
              <w:rPr>
                <w:rFonts w:asciiTheme="minorHAnsi" w:hAnsiTheme="minorHAnsi" w:cs="Arial"/>
                <w:sz w:val="20"/>
                <w:szCs w:val="20"/>
              </w:rPr>
            </w:pPr>
            <w:r>
              <w:rPr>
                <w:rFonts w:asciiTheme="minorHAnsi" w:hAnsiTheme="minorHAnsi" w:cs="Arial"/>
                <w:sz w:val="20"/>
                <w:szCs w:val="20"/>
              </w:rPr>
              <w:t>(restated)</w:t>
            </w:r>
            <w:r w:rsidR="00B1040B" w:rsidRPr="00B1040B">
              <w:rPr>
                <w:rFonts w:asciiTheme="minorHAnsi" w:hAnsiTheme="minorHAnsi" w:cs="Arial"/>
                <w:sz w:val="20"/>
                <w:szCs w:val="20"/>
                <w:vertAlign w:val="superscript"/>
              </w:rPr>
              <w:t>1</w:t>
            </w:r>
          </w:p>
        </w:tc>
      </w:tr>
      <w:tr w:rsidR="00C0788C" w:rsidRPr="00A36F5C" w14:paraId="6D390B47" w14:textId="77777777" w:rsidTr="00B83622">
        <w:trPr>
          <w:trHeight w:val="242"/>
        </w:trPr>
        <w:tc>
          <w:tcPr>
            <w:tcW w:w="1451" w:type="pct"/>
            <w:gridSpan w:val="2"/>
          </w:tcPr>
          <w:p w14:paraId="11A370D2" w14:textId="77777777" w:rsidR="001B152F" w:rsidRPr="00A36F5C" w:rsidRDefault="001B152F" w:rsidP="00AF5A74">
            <w:pPr>
              <w:rPr>
                <w:rFonts w:asciiTheme="minorHAnsi" w:hAnsiTheme="minorHAnsi" w:cs="Arial"/>
                <w:sz w:val="20"/>
                <w:szCs w:val="20"/>
              </w:rPr>
            </w:pPr>
          </w:p>
        </w:tc>
        <w:tc>
          <w:tcPr>
            <w:tcW w:w="435" w:type="pct"/>
            <w:tcBorders>
              <w:bottom w:val="single" w:sz="4" w:space="0" w:color="auto"/>
            </w:tcBorders>
            <w:shd w:val="clear" w:color="auto" w:fill="F2F2F2" w:themeFill="background1" w:themeFillShade="F2"/>
          </w:tcPr>
          <w:p w14:paraId="462BE1FC" w14:textId="77777777" w:rsidR="001B152F" w:rsidRPr="00C77A50" w:rsidRDefault="001B152F" w:rsidP="00AF5A74">
            <w:pPr>
              <w:jc w:val="right"/>
              <w:rPr>
                <w:rFonts w:asciiTheme="minorHAnsi" w:hAnsiTheme="minorHAnsi" w:cs="Arial"/>
                <w:b/>
                <w:sz w:val="20"/>
                <w:szCs w:val="20"/>
              </w:rPr>
            </w:pPr>
            <w:r w:rsidRPr="00C77A50">
              <w:rPr>
                <w:rFonts w:asciiTheme="minorHAnsi" w:hAnsiTheme="minorHAnsi" w:cs="Arial"/>
                <w:b/>
                <w:sz w:val="20"/>
                <w:szCs w:val="20"/>
              </w:rPr>
              <w:t>£m </w:t>
            </w:r>
          </w:p>
        </w:tc>
        <w:tc>
          <w:tcPr>
            <w:tcW w:w="724" w:type="pct"/>
            <w:tcBorders>
              <w:bottom w:val="single" w:sz="4" w:space="0" w:color="auto"/>
            </w:tcBorders>
          </w:tcPr>
          <w:p w14:paraId="72D620FF" w14:textId="2AC40D3D" w:rsidR="003872A3" w:rsidRPr="00A36F5C" w:rsidRDefault="003872A3" w:rsidP="00AF5A74">
            <w:pPr>
              <w:jc w:val="right"/>
              <w:rPr>
                <w:rFonts w:asciiTheme="minorHAnsi" w:hAnsiTheme="minorHAnsi" w:cs="Arial"/>
                <w:sz w:val="20"/>
                <w:szCs w:val="20"/>
              </w:rPr>
            </w:pPr>
            <w:r w:rsidRPr="00A36F5C">
              <w:rPr>
                <w:rFonts w:asciiTheme="minorHAnsi" w:hAnsiTheme="minorHAnsi" w:cs="Arial"/>
                <w:sz w:val="20"/>
                <w:szCs w:val="20"/>
              </w:rPr>
              <w:t>£m </w:t>
            </w:r>
          </w:p>
        </w:tc>
        <w:tc>
          <w:tcPr>
            <w:tcW w:w="580" w:type="pct"/>
            <w:tcBorders>
              <w:bottom w:val="single" w:sz="4" w:space="0" w:color="auto"/>
            </w:tcBorders>
          </w:tcPr>
          <w:p w14:paraId="1C895525" w14:textId="77777777" w:rsidR="001B152F" w:rsidRPr="00A36F5C" w:rsidRDefault="001B152F" w:rsidP="00AF5A74">
            <w:pPr>
              <w:jc w:val="right"/>
              <w:rPr>
                <w:rFonts w:asciiTheme="minorHAnsi" w:hAnsiTheme="minorHAnsi" w:cs="Arial"/>
                <w:sz w:val="20"/>
                <w:szCs w:val="20"/>
              </w:rPr>
            </w:pPr>
            <w:r w:rsidRPr="00A36F5C">
              <w:rPr>
                <w:rFonts w:asciiTheme="minorHAnsi" w:hAnsiTheme="minorHAnsi" w:cs="Arial"/>
                <w:sz w:val="20"/>
                <w:szCs w:val="20"/>
              </w:rPr>
              <w:t>£m </w:t>
            </w:r>
          </w:p>
        </w:tc>
        <w:tc>
          <w:tcPr>
            <w:tcW w:w="507" w:type="pct"/>
            <w:tcBorders>
              <w:top w:val="nil"/>
              <w:left w:val="nil"/>
              <w:bottom w:val="single" w:sz="4" w:space="0" w:color="auto"/>
              <w:right w:val="nil"/>
            </w:tcBorders>
            <w:shd w:val="clear" w:color="auto" w:fill="F2F2F2" w:themeFill="background1" w:themeFillShade="F2"/>
          </w:tcPr>
          <w:p w14:paraId="70346956" w14:textId="77777777" w:rsidR="001B152F" w:rsidRPr="00C77A50" w:rsidRDefault="001B152F" w:rsidP="00AF5A74">
            <w:pPr>
              <w:jc w:val="right"/>
              <w:rPr>
                <w:rFonts w:asciiTheme="minorHAnsi" w:hAnsiTheme="minorHAnsi" w:cs="Arial"/>
                <w:b/>
                <w:sz w:val="20"/>
                <w:szCs w:val="20"/>
              </w:rPr>
            </w:pPr>
            <w:r w:rsidRPr="00C77A50">
              <w:rPr>
                <w:rFonts w:asciiTheme="minorHAnsi" w:hAnsiTheme="minorHAnsi" w:cs="Arial"/>
                <w:b/>
                <w:sz w:val="20"/>
                <w:szCs w:val="20"/>
              </w:rPr>
              <w:t>£m </w:t>
            </w:r>
          </w:p>
        </w:tc>
        <w:tc>
          <w:tcPr>
            <w:tcW w:w="724" w:type="pct"/>
            <w:tcBorders>
              <w:top w:val="nil"/>
              <w:left w:val="nil"/>
              <w:bottom w:val="single" w:sz="4" w:space="0" w:color="auto"/>
              <w:right w:val="nil"/>
            </w:tcBorders>
          </w:tcPr>
          <w:p w14:paraId="2CB5B157" w14:textId="3E3CAAB6" w:rsidR="003872A3" w:rsidRPr="00A36F5C" w:rsidRDefault="003872A3" w:rsidP="00AF5A74">
            <w:pPr>
              <w:jc w:val="right"/>
              <w:rPr>
                <w:rFonts w:asciiTheme="minorHAnsi" w:hAnsiTheme="minorHAnsi" w:cs="Arial"/>
                <w:sz w:val="20"/>
                <w:szCs w:val="20"/>
              </w:rPr>
            </w:pPr>
            <w:r w:rsidRPr="00A36F5C">
              <w:rPr>
                <w:rFonts w:asciiTheme="minorHAnsi" w:hAnsiTheme="minorHAnsi" w:cs="Arial"/>
                <w:sz w:val="20"/>
                <w:szCs w:val="20"/>
              </w:rPr>
              <w:t>£m </w:t>
            </w:r>
          </w:p>
        </w:tc>
        <w:tc>
          <w:tcPr>
            <w:tcW w:w="579" w:type="pct"/>
            <w:tcBorders>
              <w:top w:val="nil"/>
              <w:left w:val="nil"/>
              <w:bottom w:val="single" w:sz="4" w:space="0" w:color="auto"/>
              <w:right w:val="nil"/>
            </w:tcBorders>
          </w:tcPr>
          <w:p w14:paraId="25BA0AB2" w14:textId="77777777" w:rsidR="001B152F" w:rsidRPr="00A36F5C" w:rsidRDefault="001B152F" w:rsidP="00AF5A74">
            <w:pPr>
              <w:jc w:val="right"/>
              <w:rPr>
                <w:rFonts w:asciiTheme="minorHAnsi" w:hAnsiTheme="minorHAnsi" w:cs="Arial"/>
                <w:sz w:val="20"/>
                <w:szCs w:val="20"/>
              </w:rPr>
            </w:pPr>
            <w:r w:rsidRPr="00A36F5C">
              <w:rPr>
                <w:rFonts w:asciiTheme="minorHAnsi" w:hAnsiTheme="minorHAnsi" w:cs="Arial"/>
                <w:sz w:val="20"/>
                <w:szCs w:val="20"/>
              </w:rPr>
              <w:t>£m </w:t>
            </w:r>
          </w:p>
        </w:tc>
      </w:tr>
      <w:tr w:rsidR="00C0788C" w:rsidRPr="00A36F5C" w14:paraId="7932298E" w14:textId="77777777" w:rsidTr="00B83622">
        <w:trPr>
          <w:trHeight w:val="726"/>
        </w:trPr>
        <w:tc>
          <w:tcPr>
            <w:tcW w:w="1451" w:type="pct"/>
            <w:gridSpan w:val="2"/>
            <w:vAlign w:val="bottom"/>
          </w:tcPr>
          <w:p w14:paraId="4072A0F9" w14:textId="77777777" w:rsidR="001B152F" w:rsidRPr="00A36F5C" w:rsidRDefault="001B152F" w:rsidP="00AF5A74">
            <w:pPr>
              <w:rPr>
                <w:rFonts w:asciiTheme="minorHAnsi" w:hAnsiTheme="minorHAnsi" w:cs="Arial"/>
                <w:sz w:val="20"/>
                <w:szCs w:val="20"/>
              </w:rPr>
            </w:pPr>
            <w:r w:rsidRPr="00A36F5C">
              <w:rPr>
                <w:rFonts w:asciiTheme="minorHAnsi" w:hAnsiTheme="minorHAnsi" w:cs="Arial"/>
                <w:sz w:val="20"/>
                <w:szCs w:val="20"/>
              </w:rPr>
              <w:t>Credit cards, personal loans and second charge mortgages</w:t>
            </w:r>
          </w:p>
        </w:tc>
        <w:tc>
          <w:tcPr>
            <w:tcW w:w="435" w:type="pct"/>
            <w:shd w:val="clear" w:color="auto" w:fill="F2F2F2" w:themeFill="background1" w:themeFillShade="F2"/>
            <w:vAlign w:val="bottom"/>
          </w:tcPr>
          <w:p w14:paraId="089645CE" w14:textId="4FF70CFF" w:rsidR="001B152F" w:rsidRPr="006D4208" w:rsidRDefault="00DA3768" w:rsidP="00AF5A74">
            <w:pPr>
              <w:jc w:val="right"/>
              <w:rPr>
                <w:rFonts w:asciiTheme="minorHAnsi" w:hAnsiTheme="minorHAnsi" w:cstheme="minorHAnsi"/>
                <w:b/>
                <w:sz w:val="20"/>
                <w:szCs w:val="20"/>
              </w:rPr>
            </w:pPr>
            <w:r>
              <w:rPr>
                <w:rFonts w:ascii="Calibri" w:hAnsi="Calibri" w:cs="Calibri"/>
                <w:b/>
                <w:sz w:val="20"/>
                <w:szCs w:val="20"/>
              </w:rPr>
              <w:t>2,101.</w:t>
            </w:r>
            <w:r w:rsidR="00F476CA">
              <w:rPr>
                <w:rFonts w:ascii="Calibri" w:hAnsi="Calibri" w:cs="Calibri"/>
                <w:b/>
                <w:sz w:val="20"/>
                <w:szCs w:val="20"/>
              </w:rPr>
              <w:t>6</w:t>
            </w:r>
          </w:p>
        </w:tc>
        <w:tc>
          <w:tcPr>
            <w:tcW w:w="724" w:type="pct"/>
          </w:tcPr>
          <w:p w14:paraId="748CA103" w14:textId="77777777" w:rsidR="00A46E9C" w:rsidRDefault="00A46E9C" w:rsidP="00AF5A74">
            <w:pPr>
              <w:jc w:val="right"/>
              <w:rPr>
                <w:rFonts w:asciiTheme="minorHAnsi" w:hAnsiTheme="minorHAnsi" w:cstheme="minorHAnsi"/>
                <w:sz w:val="20"/>
                <w:szCs w:val="20"/>
              </w:rPr>
            </w:pPr>
          </w:p>
          <w:p w14:paraId="1E851AED" w14:textId="77777777" w:rsidR="00A70E2A" w:rsidRDefault="00A70E2A" w:rsidP="00AF5A74">
            <w:pPr>
              <w:jc w:val="right"/>
              <w:rPr>
                <w:rFonts w:asciiTheme="minorHAnsi" w:hAnsiTheme="minorHAnsi" w:cstheme="minorHAnsi"/>
                <w:sz w:val="20"/>
                <w:szCs w:val="20"/>
              </w:rPr>
            </w:pPr>
          </w:p>
          <w:p w14:paraId="3DA6341D" w14:textId="21784894" w:rsidR="00A46E9C" w:rsidRDefault="00BC5009" w:rsidP="00AF5A74">
            <w:pPr>
              <w:jc w:val="right"/>
              <w:rPr>
                <w:rFonts w:asciiTheme="minorHAnsi" w:hAnsiTheme="minorHAnsi" w:cstheme="minorHAnsi"/>
                <w:sz w:val="20"/>
                <w:szCs w:val="20"/>
              </w:rPr>
            </w:pPr>
            <w:r>
              <w:rPr>
                <w:rFonts w:asciiTheme="minorHAnsi" w:hAnsiTheme="minorHAnsi" w:cstheme="minorHAnsi"/>
                <w:sz w:val="20"/>
                <w:szCs w:val="20"/>
              </w:rPr>
              <w:t>2,195</w:t>
            </w:r>
            <w:r w:rsidR="00A46E9C">
              <w:rPr>
                <w:rFonts w:asciiTheme="minorHAnsi" w:hAnsiTheme="minorHAnsi" w:cstheme="minorHAnsi"/>
                <w:sz w:val="20"/>
                <w:szCs w:val="20"/>
              </w:rPr>
              <w:t>.7</w:t>
            </w:r>
          </w:p>
        </w:tc>
        <w:tc>
          <w:tcPr>
            <w:tcW w:w="580" w:type="pct"/>
            <w:vAlign w:val="bottom"/>
          </w:tcPr>
          <w:p w14:paraId="08009F0B" w14:textId="355045D4" w:rsidR="001B152F" w:rsidRPr="006D4208" w:rsidRDefault="001B152F" w:rsidP="00AF5A74">
            <w:pPr>
              <w:jc w:val="right"/>
              <w:rPr>
                <w:rFonts w:asciiTheme="minorHAnsi" w:hAnsiTheme="minorHAnsi" w:cstheme="minorHAnsi"/>
                <w:sz w:val="20"/>
                <w:szCs w:val="20"/>
              </w:rPr>
            </w:pPr>
            <w:r w:rsidRPr="006D4208">
              <w:rPr>
                <w:rFonts w:asciiTheme="minorHAnsi" w:hAnsiTheme="minorHAnsi" w:cstheme="minorHAnsi"/>
                <w:sz w:val="20"/>
                <w:szCs w:val="20"/>
              </w:rPr>
              <w:t>1,</w:t>
            </w:r>
            <w:r w:rsidR="001B7981" w:rsidRPr="006D4208">
              <w:rPr>
                <w:rFonts w:asciiTheme="minorHAnsi" w:hAnsiTheme="minorHAnsi" w:cstheme="minorHAnsi"/>
                <w:sz w:val="20"/>
                <w:szCs w:val="20"/>
              </w:rPr>
              <w:t>875.9</w:t>
            </w:r>
          </w:p>
        </w:tc>
        <w:tc>
          <w:tcPr>
            <w:tcW w:w="507" w:type="pct"/>
            <w:shd w:val="clear" w:color="auto" w:fill="F2F2F2" w:themeFill="background1" w:themeFillShade="F2"/>
            <w:vAlign w:val="bottom"/>
          </w:tcPr>
          <w:p w14:paraId="6F7FE045" w14:textId="57269CE8" w:rsidR="001B152F" w:rsidRPr="006D4208" w:rsidRDefault="003E512B" w:rsidP="00AF5A74">
            <w:pPr>
              <w:jc w:val="right"/>
              <w:rPr>
                <w:rFonts w:asciiTheme="minorHAnsi" w:hAnsiTheme="minorHAnsi" w:cstheme="minorHAnsi"/>
                <w:b/>
                <w:sz w:val="20"/>
                <w:szCs w:val="20"/>
              </w:rPr>
            </w:pPr>
            <w:r w:rsidRPr="006D4208">
              <w:rPr>
                <w:rFonts w:asciiTheme="minorHAnsi" w:hAnsiTheme="minorHAnsi" w:cstheme="minorHAnsi"/>
                <w:b/>
                <w:sz w:val="20"/>
                <w:szCs w:val="20"/>
              </w:rPr>
              <w:t>360.6</w:t>
            </w:r>
          </w:p>
        </w:tc>
        <w:tc>
          <w:tcPr>
            <w:tcW w:w="724" w:type="pct"/>
          </w:tcPr>
          <w:p w14:paraId="7E59A503" w14:textId="77777777" w:rsidR="00F63D41" w:rsidRDefault="00F63D41" w:rsidP="00AF5A74">
            <w:pPr>
              <w:jc w:val="right"/>
              <w:rPr>
                <w:rFonts w:asciiTheme="minorHAnsi" w:hAnsiTheme="minorHAnsi" w:cstheme="minorHAnsi"/>
                <w:sz w:val="20"/>
                <w:szCs w:val="20"/>
              </w:rPr>
            </w:pPr>
          </w:p>
          <w:p w14:paraId="484732C0" w14:textId="77777777" w:rsidR="00A70E2A" w:rsidRDefault="00A70E2A" w:rsidP="00AF5A74">
            <w:pPr>
              <w:jc w:val="right"/>
              <w:rPr>
                <w:rFonts w:asciiTheme="minorHAnsi" w:hAnsiTheme="minorHAnsi" w:cstheme="minorHAnsi"/>
                <w:sz w:val="20"/>
                <w:szCs w:val="20"/>
              </w:rPr>
            </w:pPr>
          </w:p>
          <w:p w14:paraId="2A26F687" w14:textId="7366C2AC" w:rsidR="00F63D41" w:rsidRDefault="00F63D41" w:rsidP="00AF5A74">
            <w:pPr>
              <w:jc w:val="right"/>
              <w:rPr>
                <w:rFonts w:asciiTheme="minorHAnsi" w:hAnsiTheme="minorHAnsi" w:cstheme="minorHAnsi"/>
                <w:sz w:val="20"/>
                <w:szCs w:val="20"/>
              </w:rPr>
            </w:pPr>
            <w:r>
              <w:rPr>
                <w:rFonts w:asciiTheme="minorHAnsi" w:hAnsiTheme="minorHAnsi" w:cstheme="minorHAnsi"/>
                <w:sz w:val="20"/>
                <w:szCs w:val="20"/>
              </w:rPr>
              <w:t>393.7</w:t>
            </w:r>
          </w:p>
        </w:tc>
        <w:tc>
          <w:tcPr>
            <w:tcW w:w="579" w:type="pct"/>
            <w:vAlign w:val="bottom"/>
          </w:tcPr>
          <w:p w14:paraId="17CB9C26" w14:textId="04465B0B" w:rsidR="001B152F" w:rsidRPr="006D4208" w:rsidRDefault="001B152F" w:rsidP="00AF5A74">
            <w:pPr>
              <w:jc w:val="right"/>
              <w:rPr>
                <w:rFonts w:asciiTheme="minorHAnsi" w:hAnsiTheme="minorHAnsi" w:cstheme="minorHAnsi"/>
                <w:sz w:val="20"/>
                <w:szCs w:val="20"/>
              </w:rPr>
            </w:pPr>
            <w:r w:rsidRPr="006D4208">
              <w:rPr>
                <w:rFonts w:asciiTheme="minorHAnsi" w:hAnsiTheme="minorHAnsi" w:cstheme="minorHAnsi"/>
                <w:sz w:val="20"/>
                <w:szCs w:val="20"/>
              </w:rPr>
              <w:t>38</w:t>
            </w:r>
            <w:r w:rsidR="009E10CE" w:rsidRPr="006D4208">
              <w:rPr>
                <w:rFonts w:asciiTheme="minorHAnsi" w:hAnsiTheme="minorHAnsi" w:cstheme="minorHAnsi"/>
                <w:sz w:val="20"/>
                <w:szCs w:val="20"/>
              </w:rPr>
              <w:t>8.2</w:t>
            </w:r>
          </w:p>
        </w:tc>
      </w:tr>
      <w:tr w:rsidR="00C0788C" w:rsidRPr="00A36F5C" w14:paraId="6AE0B982" w14:textId="77777777" w:rsidTr="00B83622">
        <w:trPr>
          <w:trHeight w:val="257"/>
        </w:trPr>
        <w:tc>
          <w:tcPr>
            <w:tcW w:w="1451" w:type="pct"/>
            <w:gridSpan w:val="2"/>
            <w:vAlign w:val="bottom"/>
          </w:tcPr>
          <w:p w14:paraId="14711EEE" w14:textId="77777777" w:rsidR="001B152F" w:rsidRPr="00A36F5C" w:rsidRDefault="001B152F" w:rsidP="00AF5A74">
            <w:pPr>
              <w:rPr>
                <w:rFonts w:asciiTheme="minorHAnsi" w:hAnsiTheme="minorHAnsi" w:cs="Arial"/>
                <w:sz w:val="20"/>
                <w:szCs w:val="20"/>
              </w:rPr>
            </w:pPr>
            <w:r w:rsidRPr="00A36F5C">
              <w:rPr>
                <w:rFonts w:asciiTheme="minorHAnsi" w:hAnsiTheme="minorHAnsi" w:cs="Arial"/>
                <w:sz w:val="20"/>
                <w:szCs w:val="20"/>
              </w:rPr>
              <w:t>Vehicle finance</w:t>
            </w:r>
          </w:p>
        </w:tc>
        <w:tc>
          <w:tcPr>
            <w:tcW w:w="435" w:type="pct"/>
            <w:shd w:val="clear" w:color="auto" w:fill="F2F2F2" w:themeFill="background1" w:themeFillShade="F2"/>
            <w:vAlign w:val="bottom"/>
          </w:tcPr>
          <w:p w14:paraId="52BC4B21" w14:textId="28CD7A4D" w:rsidR="001B152F" w:rsidRPr="006D4208" w:rsidRDefault="00DA3768" w:rsidP="00AF5A74">
            <w:pPr>
              <w:jc w:val="right"/>
              <w:rPr>
                <w:rFonts w:asciiTheme="minorHAnsi" w:hAnsiTheme="minorHAnsi" w:cstheme="minorHAnsi"/>
                <w:b/>
                <w:sz w:val="20"/>
                <w:szCs w:val="20"/>
              </w:rPr>
            </w:pPr>
            <w:r>
              <w:rPr>
                <w:rFonts w:ascii="Calibri" w:hAnsi="Calibri" w:cs="Calibri"/>
                <w:b/>
                <w:sz w:val="20"/>
                <w:szCs w:val="20"/>
              </w:rPr>
              <w:t>87</w:t>
            </w:r>
            <w:r w:rsidR="00F476CA">
              <w:rPr>
                <w:rFonts w:ascii="Calibri" w:hAnsi="Calibri" w:cs="Calibri"/>
                <w:b/>
                <w:sz w:val="20"/>
                <w:szCs w:val="20"/>
              </w:rPr>
              <w:t>5.3</w:t>
            </w:r>
          </w:p>
        </w:tc>
        <w:tc>
          <w:tcPr>
            <w:tcW w:w="724" w:type="pct"/>
          </w:tcPr>
          <w:p w14:paraId="5F4758DB" w14:textId="67798EB7" w:rsidR="0001591D" w:rsidRDefault="008E6DCA" w:rsidP="00AF5A74">
            <w:pPr>
              <w:jc w:val="right"/>
              <w:rPr>
                <w:rFonts w:asciiTheme="minorHAnsi" w:hAnsiTheme="minorHAnsi" w:cstheme="minorHAnsi"/>
                <w:sz w:val="20"/>
                <w:szCs w:val="20"/>
              </w:rPr>
            </w:pPr>
            <w:r>
              <w:rPr>
                <w:rFonts w:asciiTheme="minorHAnsi" w:hAnsiTheme="minorHAnsi" w:cstheme="minorHAnsi"/>
                <w:sz w:val="20"/>
                <w:szCs w:val="20"/>
              </w:rPr>
              <w:t>88</w:t>
            </w:r>
            <w:r w:rsidR="00E13F92">
              <w:rPr>
                <w:rFonts w:asciiTheme="minorHAnsi" w:hAnsiTheme="minorHAnsi" w:cstheme="minorHAnsi"/>
                <w:sz w:val="20"/>
                <w:szCs w:val="20"/>
              </w:rPr>
              <w:t>2.1</w:t>
            </w:r>
          </w:p>
        </w:tc>
        <w:tc>
          <w:tcPr>
            <w:tcW w:w="580" w:type="pct"/>
            <w:vAlign w:val="bottom"/>
          </w:tcPr>
          <w:p w14:paraId="1C9B1372" w14:textId="1179EF18" w:rsidR="001B152F" w:rsidRPr="006D4208" w:rsidRDefault="001B7981" w:rsidP="00AF5A74">
            <w:pPr>
              <w:jc w:val="right"/>
              <w:rPr>
                <w:rFonts w:asciiTheme="minorHAnsi" w:hAnsiTheme="minorHAnsi" w:cstheme="minorHAnsi"/>
                <w:sz w:val="20"/>
                <w:szCs w:val="20"/>
              </w:rPr>
            </w:pPr>
            <w:r w:rsidRPr="006D4208">
              <w:rPr>
                <w:rFonts w:asciiTheme="minorHAnsi" w:hAnsiTheme="minorHAnsi" w:cstheme="minorHAnsi"/>
                <w:sz w:val="20"/>
                <w:szCs w:val="20"/>
              </w:rPr>
              <w:t>8</w:t>
            </w:r>
            <w:r w:rsidR="007374C4" w:rsidRPr="006D4208">
              <w:rPr>
                <w:rFonts w:asciiTheme="minorHAnsi" w:hAnsiTheme="minorHAnsi" w:cstheme="minorHAnsi"/>
                <w:sz w:val="20"/>
                <w:szCs w:val="20"/>
              </w:rPr>
              <w:t>6</w:t>
            </w:r>
            <w:r w:rsidR="0071316E">
              <w:rPr>
                <w:rFonts w:asciiTheme="minorHAnsi" w:hAnsiTheme="minorHAnsi" w:cstheme="minorHAnsi"/>
                <w:sz w:val="20"/>
                <w:szCs w:val="20"/>
              </w:rPr>
              <w:t>0.0</w:t>
            </w:r>
          </w:p>
        </w:tc>
        <w:tc>
          <w:tcPr>
            <w:tcW w:w="507" w:type="pct"/>
            <w:shd w:val="clear" w:color="auto" w:fill="F2F2F2" w:themeFill="background1" w:themeFillShade="F2"/>
            <w:vAlign w:val="bottom"/>
          </w:tcPr>
          <w:p w14:paraId="5DAE190F" w14:textId="5D446C90" w:rsidR="001B152F" w:rsidRPr="006D4208" w:rsidRDefault="003E512B" w:rsidP="00AF5A74">
            <w:pPr>
              <w:jc w:val="right"/>
              <w:rPr>
                <w:rFonts w:asciiTheme="minorHAnsi" w:hAnsiTheme="minorHAnsi" w:cstheme="minorHAnsi"/>
                <w:b/>
                <w:sz w:val="20"/>
                <w:szCs w:val="20"/>
              </w:rPr>
            </w:pPr>
            <w:r>
              <w:rPr>
                <w:rFonts w:ascii="Calibri" w:hAnsi="Calibri" w:cs="Calibri"/>
                <w:b/>
                <w:sz w:val="20"/>
                <w:szCs w:val="20"/>
              </w:rPr>
              <w:t>1</w:t>
            </w:r>
            <w:r w:rsidR="00CC05D6">
              <w:rPr>
                <w:rFonts w:ascii="Calibri" w:hAnsi="Calibri" w:cs="Calibri"/>
                <w:b/>
                <w:sz w:val="20"/>
                <w:szCs w:val="20"/>
              </w:rPr>
              <w:t>89.3</w:t>
            </w:r>
          </w:p>
        </w:tc>
        <w:tc>
          <w:tcPr>
            <w:tcW w:w="724" w:type="pct"/>
          </w:tcPr>
          <w:p w14:paraId="71A80386" w14:textId="7E48B86D" w:rsidR="00F63D41" w:rsidRDefault="009B3FB0" w:rsidP="00AF5A74">
            <w:pPr>
              <w:jc w:val="right"/>
              <w:rPr>
                <w:rFonts w:asciiTheme="minorHAnsi" w:hAnsiTheme="minorHAnsi" w:cstheme="minorHAnsi"/>
                <w:sz w:val="20"/>
                <w:szCs w:val="20"/>
              </w:rPr>
            </w:pPr>
            <w:r>
              <w:rPr>
                <w:rFonts w:asciiTheme="minorHAnsi" w:hAnsiTheme="minorHAnsi" w:cstheme="minorHAnsi"/>
                <w:sz w:val="20"/>
                <w:szCs w:val="20"/>
              </w:rPr>
              <w:t>198.9</w:t>
            </w:r>
          </w:p>
        </w:tc>
        <w:tc>
          <w:tcPr>
            <w:tcW w:w="579" w:type="pct"/>
            <w:vAlign w:val="bottom"/>
          </w:tcPr>
          <w:p w14:paraId="7B043135" w14:textId="66307F86" w:rsidR="001B152F" w:rsidRPr="006D4208" w:rsidRDefault="00D96C66" w:rsidP="00AF5A74">
            <w:pPr>
              <w:jc w:val="right"/>
              <w:rPr>
                <w:rFonts w:asciiTheme="minorHAnsi" w:hAnsiTheme="minorHAnsi" w:cstheme="minorHAnsi"/>
                <w:sz w:val="20"/>
                <w:szCs w:val="20"/>
              </w:rPr>
            </w:pPr>
            <w:r w:rsidRPr="006D4208">
              <w:rPr>
                <w:rFonts w:asciiTheme="minorHAnsi" w:hAnsiTheme="minorHAnsi" w:cstheme="minorHAnsi"/>
                <w:sz w:val="20"/>
                <w:szCs w:val="20"/>
              </w:rPr>
              <w:t>17</w:t>
            </w:r>
            <w:r w:rsidR="00415006">
              <w:rPr>
                <w:rFonts w:asciiTheme="minorHAnsi" w:hAnsiTheme="minorHAnsi" w:cstheme="minorHAnsi"/>
                <w:sz w:val="20"/>
                <w:szCs w:val="20"/>
              </w:rPr>
              <w:t>4.2</w:t>
            </w:r>
          </w:p>
        </w:tc>
      </w:tr>
      <w:tr w:rsidR="00C0788C" w:rsidRPr="00A36F5C" w14:paraId="25F3726E" w14:textId="77777777" w:rsidTr="00B83622">
        <w:trPr>
          <w:trHeight w:val="242"/>
        </w:trPr>
        <w:tc>
          <w:tcPr>
            <w:tcW w:w="1451" w:type="pct"/>
            <w:gridSpan w:val="2"/>
            <w:vAlign w:val="bottom"/>
          </w:tcPr>
          <w:p w14:paraId="4A39A8C9" w14:textId="77777777" w:rsidR="001B152F" w:rsidRPr="00A36F5C" w:rsidRDefault="001B152F" w:rsidP="00AF5A74">
            <w:pPr>
              <w:rPr>
                <w:rFonts w:asciiTheme="minorHAnsi" w:hAnsiTheme="minorHAnsi" w:cs="Arial"/>
                <w:sz w:val="20"/>
                <w:szCs w:val="20"/>
              </w:rPr>
            </w:pPr>
            <w:r w:rsidRPr="00A36F5C">
              <w:rPr>
                <w:rFonts w:asciiTheme="minorHAnsi" w:hAnsiTheme="minorHAnsi" w:cs="Arial"/>
                <w:sz w:val="20"/>
                <w:szCs w:val="20"/>
              </w:rPr>
              <w:t>Central</w:t>
            </w:r>
          </w:p>
        </w:tc>
        <w:tc>
          <w:tcPr>
            <w:tcW w:w="435" w:type="pct"/>
            <w:shd w:val="clear" w:color="auto" w:fill="F2F2F2" w:themeFill="background1" w:themeFillShade="F2"/>
            <w:vAlign w:val="bottom"/>
          </w:tcPr>
          <w:p w14:paraId="210D0AE7" w14:textId="527BBA1A" w:rsidR="001B152F" w:rsidRPr="006D4208" w:rsidRDefault="00DA3768" w:rsidP="00AF5A74">
            <w:pPr>
              <w:jc w:val="right"/>
              <w:rPr>
                <w:rFonts w:asciiTheme="minorHAnsi" w:hAnsiTheme="minorHAnsi" w:cstheme="minorHAnsi"/>
                <w:b/>
                <w:sz w:val="20"/>
                <w:szCs w:val="20"/>
              </w:rPr>
            </w:pPr>
            <w:r>
              <w:rPr>
                <w:rFonts w:ascii="Calibri" w:hAnsi="Calibri" w:cs="Calibri"/>
                <w:b/>
                <w:sz w:val="20"/>
                <w:szCs w:val="20"/>
              </w:rPr>
              <w:t>3</w:t>
            </w:r>
            <w:r w:rsidR="00B631E0">
              <w:rPr>
                <w:rFonts w:ascii="Calibri" w:hAnsi="Calibri" w:cs="Calibri"/>
                <w:b/>
                <w:sz w:val="20"/>
                <w:szCs w:val="20"/>
              </w:rPr>
              <w:t>4.</w:t>
            </w:r>
            <w:r w:rsidR="00ED69C4">
              <w:rPr>
                <w:rFonts w:ascii="Calibri" w:hAnsi="Calibri" w:cs="Calibri"/>
                <w:b/>
                <w:sz w:val="20"/>
                <w:szCs w:val="20"/>
              </w:rPr>
              <w:t>1</w:t>
            </w:r>
          </w:p>
        </w:tc>
        <w:tc>
          <w:tcPr>
            <w:tcW w:w="724" w:type="pct"/>
          </w:tcPr>
          <w:p w14:paraId="60563834" w14:textId="50A5C482" w:rsidR="0001591D" w:rsidRDefault="0001591D" w:rsidP="00AF5A74">
            <w:pPr>
              <w:jc w:val="right"/>
              <w:rPr>
                <w:rFonts w:asciiTheme="minorHAnsi" w:hAnsiTheme="minorHAnsi" w:cs="Arial"/>
                <w:sz w:val="20"/>
                <w:szCs w:val="20"/>
              </w:rPr>
            </w:pPr>
            <w:r>
              <w:rPr>
                <w:rFonts w:asciiTheme="minorHAnsi" w:hAnsiTheme="minorHAnsi" w:cs="Arial"/>
                <w:sz w:val="20"/>
                <w:szCs w:val="20"/>
              </w:rPr>
              <w:t>29.4</w:t>
            </w:r>
          </w:p>
        </w:tc>
        <w:tc>
          <w:tcPr>
            <w:tcW w:w="580" w:type="pct"/>
            <w:vAlign w:val="bottom"/>
          </w:tcPr>
          <w:p w14:paraId="0C67F844" w14:textId="18D3F854" w:rsidR="001B152F" w:rsidRPr="006D4208" w:rsidRDefault="001B7981" w:rsidP="00AF5A74">
            <w:pPr>
              <w:jc w:val="right"/>
              <w:rPr>
                <w:rFonts w:asciiTheme="minorHAnsi" w:hAnsiTheme="minorHAnsi" w:cs="Arial"/>
                <w:sz w:val="20"/>
                <w:szCs w:val="20"/>
              </w:rPr>
            </w:pPr>
            <w:r w:rsidRPr="006D4208">
              <w:rPr>
                <w:rFonts w:asciiTheme="minorHAnsi" w:hAnsiTheme="minorHAnsi" w:cs="Arial"/>
                <w:sz w:val="20"/>
                <w:szCs w:val="20"/>
              </w:rPr>
              <w:t>466.0</w:t>
            </w:r>
          </w:p>
        </w:tc>
        <w:tc>
          <w:tcPr>
            <w:tcW w:w="507" w:type="pct"/>
            <w:shd w:val="clear" w:color="auto" w:fill="F2F2F2" w:themeFill="background1" w:themeFillShade="F2"/>
            <w:vAlign w:val="bottom"/>
          </w:tcPr>
          <w:p w14:paraId="78FB41C0" w14:textId="64DE9584" w:rsidR="001B152F" w:rsidRPr="006D4208" w:rsidRDefault="001B152F" w:rsidP="00AF5A74">
            <w:pPr>
              <w:jc w:val="right"/>
              <w:rPr>
                <w:rFonts w:asciiTheme="minorHAnsi" w:hAnsiTheme="minorHAnsi" w:cstheme="minorHAnsi"/>
                <w:b/>
                <w:sz w:val="20"/>
                <w:szCs w:val="20"/>
              </w:rPr>
            </w:pPr>
            <w:r>
              <w:rPr>
                <w:rFonts w:ascii="Calibri" w:hAnsi="Calibri" w:cs="Calibri"/>
                <w:b/>
                <w:sz w:val="20"/>
                <w:szCs w:val="20"/>
              </w:rPr>
              <w:t>(</w:t>
            </w:r>
            <w:r w:rsidR="0076118C">
              <w:rPr>
                <w:rFonts w:ascii="Calibri" w:hAnsi="Calibri" w:cs="Calibri"/>
                <w:b/>
                <w:sz w:val="20"/>
                <w:szCs w:val="20"/>
              </w:rPr>
              <w:t>23.</w:t>
            </w:r>
            <w:r w:rsidR="00CC05D6">
              <w:rPr>
                <w:rFonts w:ascii="Calibri" w:hAnsi="Calibri" w:cs="Calibri"/>
                <w:b/>
                <w:sz w:val="20"/>
                <w:szCs w:val="20"/>
              </w:rPr>
              <w:t>8</w:t>
            </w:r>
            <w:r>
              <w:rPr>
                <w:rFonts w:ascii="Calibri" w:hAnsi="Calibri" w:cs="Calibri"/>
                <w:b/>
                <w:sz w:val="20"/>
                <w:szCs w:val="20"/>
              </w:rPr>
              <w:t>)</w:t>
            </w:r>
          </w:p>
        </w:tc>
        <w:tc>
          <w:tcPr>
            <w:tcW w:w="724" w:type="pct"/>
          </w:tcPr>
          <w:p w14:paraId="607A244B" w14:textId="738A56E5" w:rsidR="00F864CC" w:rsidRDefault="00F864CC" w:rsidP="00AF5A74">
            <w:pPr>
              <w:jc w:val="right"/>
              <w:rPr>
                <w:rFonts w:asciiTheme="minorHAnsi" w:hAnsiTheme="minorHAnsi" w:cs="Arial"/>
                <w:sz w:val="20"/>
                <w:szCs w:val="20"/>
              </w:rPr>
            </w:pPr>
            <w:r>
              <w:rPr>
                <w:rFonts w:asciiTheme="minorHAnsi" w:hAnsiTheme="minorHAnsi" w:cs="Arial"/>
                <w:sz w:val="20"/>
                <w:szCs w:val="20"/>
              </w:rPr>
              <w:t>(29.0)</w:t>
            </w:r>
          </w:p>
        </w:tc>
        <w:tc>
          <w:tcPr>
            <w:tcW w:w="579" w:type="pct"/>
            <w:vAlign w:val="bottom"/>
          </w:tcPr>
          <w:p w14:paraId="5A165623" w14:textId="06B2CD63" w:rsidR="001B152F" w:rsidRPr="006D4208" w:rsidRDefault="009E10CE" w:rsidP="00AF5A74">
            <w:pPr>
              <w:jc w:val="right"/>
              <w:rPr>
                <w:rFonts w:asciiTheme="minorHAnsi" w:hAnsiTheme="minorHAnsi" w:cs="Arial"/>
                <w:sz w:val="20"/>
                <w:szCs w:val="20"/>
              </w:rPr>
            </w:pPr>
            <w:r w:rsidRPr="006D4208">
              <w:rPr>
                <w:rFonts w:asciiTheme="minorHAnsi" w:hAnsiTheme="minorHAnsi" w:cs="Arial"/>
                <w:sz w:val="20"/>
                <w:szCs w:val="20"/>
              </w:rPr>
              <w:t>392.3</w:t>
            </w:r>
          </w:p>
        </w:tc>
      </w:tr>
      <w:tr w:rsidR="00C0788C" w:rsidRPr="00A36F5C" w14:paraId="50C440B9" w14:textId="77777777" w:rsidTr="00B83622">
        <w:trPr>
          <w:trHeight w:val="242"/>
        </w:trPr>
        <w:tc>
          <w:tcPr>
            <w:tcW w:w="1451" w:type="pct"/>
            <w:gridSpan w:val="2"/>
            <w:vAlign w:val="bottom"/>
          </w:tcPr>
          <w:p w14:paraId="0779A727" w14:textId="77777777" w:rsidR="001B152F" w:rsidRPr="00A36F5C" w:rsidRDefault="001B152F" w:rsidP="00AF5A74">
            <w:pPr>
              <w:rPr>
                <w:rFonts w:asciiTheme="minorHAnsi" w:hAnsiTheme="minorHAnsi" w:cs="Arial"/>
                <w:sz w:val="20"/>
                <w:szCs w:val="20"/>
              </w:rPr>
            </w:pPr>
            <w:r w:rsidRPr="00A36F5C">
              <w:rPr>
                <w:rFonts w:asciiTheme="minorHAnsi" w:hAnsiTheme="minorHAnsi" w:cs="Arial"/>
                <w:sz w:val="20"/>
                <w:szCs w:val="20"/>
              </w:rPr>
              <w:t>Other</w:t>
            </w:r>
          </w:p>
        </w:tc>
        <w:tc>
          <w:tcPr>
            <w:tcW w:w="435" w:type="pct"/>
            <w:shd w:val="clear" w:color="auto" w:fill="F2F2F2" w:themeFill="background1" w:themeFillShade="F2"/>
            <w:vAlign w:val="bottom"/>
          </w:tcPr>
          <w:p w14:paraId="610E37B1" w14:textId="45E34C52" w:rsidR="001B152F" w:rsidRPr="006D4208" w:rsidRDefault="007F3DB0" w:rsidP="00AF5A74">
            <w:pPr>
              <w:jc w:val="right"/>
              <w:rPr>
                <w:rFonts w:asciiTheme="minorHAnsi" w:hAnsiTheme="minorHAnsi" w:cstheme="minorHAnsi"/>
                <w:b/>
                <w:sz w:val="20"/>
                <w:szCs w:val="20"/>
              </w:rPr>
            </w:pPr>
            <w:r>
              <w:rPr>
                <w:rFonts w:ascii="Calibri" w:hAnsi="Calibri" w:cs="Calibri"/>
                <w:b/>
                <w:sz w:val="20"/>
                <w:szCs w:val="20"/>
              </w:rPr>
              <w:t>1</w:t>
            </w:r>
            <w:r w:rsidR="00695C92">
              <w:rPr>
                <w:rFonts w:ascii="Calibri" w:hAnsi="Calibri" w:cs="Calibri"/>
                <w:b/>
                <w:sz w:val="20"/>
                <w:szCs w:val="20"/>
              </w:rPr>
              <w:t>3.5</w:t>
            </w:r>
          </w:p>
        </w:tc>
        <w:tc>
          <w:tcPr>
            <w:tcW w:w="724" w:type="pct"/>
          </w:tcPr>
          <w:p w14:paraId="1FB2A62B" w14:textId="093AEDD6" w:rsidR="007C5A25" w:rsidRDefault="007C5A25" w:rsidP="00AF5A74">
            <w:pPr>
              <w:jc w:val="right"/>
              <w:rPr>
                <w:rFonts w:asciiTheme="minorHAnsi" w:hAnsiTheme="minorHAnsi" w:cstheme="minorHAnsi"/>
                <w:sz w:val="20"/>
                <w:szCs w:val="20"/>
              </w:rPr>
            </w:pPr>
            <w:r>
              <w:rPr>
                <w:rFonts w:asciiTheme="minorHAnsi" w:hAnsiTheme="minorHAnsi" w:cstheme="minorHAnsi"/>
                <w:sz w:val="20"/>
                <w:szCs w:val="20"/>
              </w:rPr>
              <w:t>11.8</w:t>
            </w:r>
          </w:p>
        </w:tc>
        <w:tc>
          <w:tcPr>
            <w:tcW w:w="580" w:type="pct"/>
            <w:vAlign w:val="bottom"/>
          </w:tcPr>
          <w:p w14:paraId="797B67CD" w14:textId="77777777" w:rsidR="001B152F" w:rsidRPr="006D4208" w:rsidRDefault="001B152F" w:rsidP="00AF5A74">
            <w:pPr>
              <w:jc w:val="right"/>
              <w:rPr>
                <w:rFonts w:asciiTheme="minorHAnsi" w:hAnsiTheme="minorHAnsi" w:cstheme="minorHAnsi"/>
                <w:sz w:val="20"/>
                <w:szCs w:val="20"/>
              </w:rPr>
            </w:pPr>
            <w:r w:rsidRPr="006D4208">
              <w:rPr>
                <w:rFonts w:asciiTheme="minorHAnsi" w:hAnsiTheme="minorHAnsi" w:cstheme="minorHAnsi"/>
                <w:sz w:val="20"/>
                <w:szCs w:val="20"/>
              </w:rPr>
              <w:t>-</w:t>
            </w:r>
          </w:p>
        </w:tc>
        <w:tc>
          <w:tcPr>
            <w:tcW w:w="507" w:type="pct"/>
            <w:shd w:val="clear" w:color="auto" w:fill="F2F2F2" w:themeFill="background1" w:themeFillShade="F2"/>
            <w:vAlign w:val="bottom"/>
          </w:tcPr>
          <w:p w14:paraId="10D9F572" w14:textId="7629034F" w:rsidR="001B152F" w:rsidRPr="006D4208" w:rsidRDefault="000D6134" w:rsidP="00AF5A74">
            <w:pPr>
              <w:jc w:val="right"/>
              <w:rPr>
                <w:rFonts w:asciiTheme="minorHAnsi" w:hAnsiTheme="minorHAnsi" w:cstheme="minorHAnsi"/>
                <w:b/>
                <w:sz w:val="20"/>
                <w:szCs w:val="20"/>
              </w:rPr>
            </w:pPr>
            <w:r>
              <w:rPr>
                <w:rFonts w:ascii="Calibri" w:hAnsi="Calibri" w:cs="Calibri"/>
                <w:b/>
                <w:sz w:val="20"/>
                <w:szCs w:val="20"/>
              </w:rPr>
              <w:t>3.6</w:t>
            </w:r>
          </w:p>
        </w:tc>
        <w:tc>
          <w:tcPr>
            <w:tcW w:w="724" w:type="pct"/>
          </w:tcPr>
          <w:p w14:paraId="2DE6AA05" w14:textId="71527B32" w:rsidR="006670BC" w:rsidRDefault="006670BC" w:rsidP="00AF5A74">
            <w:pPr>
              <w:jc w:val="right"/>
              <w:rPr>
                <w:rFonts w:asciiTheme="minorHAnsi" w:hAnsiTheme="minorHAnsi" w:cstheme="minorHAnsi"/>
                <w:sz w:val="20"/>
                <w:szCs w:val="20"/>
              </w:rPr>
            </w:pPr>
            <w:r>
              <w:rPr>
                <w:rFonts w:asciiTheme="minorHAnsi" w:hAnsiTheme="minorHAnsi" w:cstheme="minorHAnsi"/>
                <w:sz w:val="20"/>
                <w:szCs w:val="20"/>
              </w:rPr>
              <w:t>5.5</w:t>
            </w:r>
          </w:p>
        </w:tc>
        <w:tc>
          <w:tcPr>
            <w:tcW w:w="579" w:type="pct"/>
            <w:vAlign w:val="bottom"/>
          </w:tcPr>
          <w:p w14:paraId="14A9CA58" w14:textId="77777777" w:rsidR="001B152F" w:rsidRPr="006D4208" w:rsidRDefault="001B152F" w:rsidP="00AF5A74">
            <w:pPr>
              <w:jc w:val="right"/>
              <w:rPr>
                <w:rFonts w:asciiTheme="minorHAnsi" w:hAnsiTheme="minorHAnsi" w:cstheme="minorHAnsi"/>
                <w:sz w:val="20"/>
                <w:szCs w:val="20"/>
              </w:rPr>
            </w:pPr>
            <w:r w:rsidRPr="006D4208">
              <w:rPr>
                <w:rFonts w:asciiTheme="minorHAnsi" w:hAnsiTheme="minorHAnsi" w:cstheme="minorHAnsi"/>
                <w:sz w:val="20"/>
                <w:szCs w:val="20"/>
              </w:rPr>
              <w:t>-</w:t>
            </w:r>
          </w:p>
        </w:tc>
      </w:tr>
      <w:tr w:rsidR="00C0788C" w:rsidRPr="00A36F5C" w14:paraId="65BCEC93" w14:textId="77777777" w:rsidTr="00B83622">
        <w:trPr>
          <w:trHeight w:val="742"/>
        </w:trPr>
        <w:tc>
          <w:tcPr>
            <w:tcW w:w="1451" w:type="pct"/>
            <w:gridSpan w:val="2"/>
            <w:vAlign w:val="bottom"/>
          </w:tcPr>
          <w:p w14:paraId="13F3E03D" w14:textId="77777777" w:rsidR="001B152F" w:rsidRPr="00A36F5C" w:rsidRDefault="001B152F" w:rsidP="00AF5A74">
            <w:pPr>
              <w:rPr>
                <w:rFonts w:asciiTheme="minorHAnsi" w:hAnsiTheme="minorHAnsi" w:cs="Arial"/>
                <w:b/>
                <w:sz w:val="20"/>
                <w:szCs w:val="20"/>
              </w:rPr>
            </w:pPr>
            <w:r w:rsidRPr="00A36F5C">
              <w:rPr>
                <w:rFonts w:asciiTheme="minorHAnsi" w:hAnsiTheme="minorHAnsi" w:cs="Arial"/>
                <w:b/>
                <w:sz w:val="20"/>
                <w:szCs w:val="20"/>
              </w:rPr>
              <w:t>Continuing operations before intra-group elimination</w:t>
            </w:r>
          </w:p>
        </w:tc>
        <w:tc>
          <w:tcPr>
            <w:tcW w:w="435" w:type="pct"/>
            <w:tcBorders>
              <w:top w:val="single" w:sz="4" w:space="0" w:color="auto"/>
            </w:tcBorders>
            <w:shd w:val="clear" w:color="auto" w:fill="F2F2F2" w:themeFill="background1" w:themeFillShade="F2"/>
            <w:vAlign w:val="bottom"/>
          </w:tcPr>
          <w:p w14:paraId="0DEE2E46" w14:textId="380A43D6" w:rsidR="001B152F" w:rsidRPr="006D4208" w:rsidRDefault="00595BFF" w:rsidP="00AF5A74">
            <w:pPr>
              <w:jc w:val="right"/>
              <w:rPr>
                <w:rFonts w:asciiTheme="minorHAnsi" w:hAnsiTheme="minorHAnsi" w:cstheme="minorHAnsi"/>
                <w:b/>
                <w:sz w:val="20"/>
                <w:szCs w:val="20"/>
              </w:rPr>
            </w:pPr>
            <w:r w:rsidRPr="006D4208">
              <w:rPr>
                <w:rFonts w:asciiTheme="minorHAnsi" w:hAnsiTheme="minorHAnsi" w:cstheme="minorHAnsi"/>
                <w:b/>
                <w:sz w:val="20"/>
                <w:szCs w:val="20"/>
              </w:rPr>
              <w:t>3,02</w:t>
            </w:r>
            <w:r w:rsidR="00BE40FE">
              <w:rPr>
                <w:rFonts w:asciiTheme="minorHAnsi" w:hAnsiTheme="minorHAnsi" w:cstheme="minorHAnsi"/>
                <w:b/>
                <w:sz w:val="20"/>
                <w:szCs w:val="20"/>
              </w:rPr>
              <w:t>4.</w:t>
            </w:r>
            <w:r w:rsidR="00213DCD">
              <w:rPr>
                <w:rFonts w:asciiTheme="minorHAnsi" w:hAnsiTheme="minorHAnsi" w:cstheme="minorHAnsi"/>
                <w:b/>
                <w:sz w:val="20"/>
                <w:szCs w:val="20"/>
              </w:rPr>
              <w:t>5</w:t>
            </w:r>
          </w:p>
        </w:tc>
        <w:tc>
          <w:tcPr>
            <w:tcW w:w="724" w:type="pct"/>
            <w:tcBorders>
              <w:top w:val="single" w:sz="4" w:space="0" w:color="auto"/>
            </w:tcBorders>
          </w:tcPr>
          <w:p w14:paraId="2799BD62" w14:textId="77777777" w:rsidR="00F40C7E" w:rsidRPr="00D36B5D" w:rsidRDefault="00F40C7E" w:rsidP="00AF5A74">
            <w:pPr>
              <w:jc w:val="right"/>
              <w:rPr>
                <w:rFonts w:asciiTheme="minorHAnsi" w:hAnsiTheme="minorHAnsi" w:cstheme="minorHAnsi"/>
                <w:bCs/>
                <w:sz w:val="20"/>
                <w:szCs w:val="20"/>
              </w:rPr>
            </w:pPr>
          </w:p>
          <w:p w14:paraId="21859AD6" w14:textId="77777777" w:rsidR="00F40C7E" w:rsidRPr="00D36B5D" w:rsidRDefault="00F40C7E" w:rsidP="00AF5A74">
            <w:pPr>
              <w:jc w:val="right"/>
              <w:rPr>
                <w:rFonts w:asciiTheme="minorHAnsi" w:hAnsiTheme="minorHAnsi" w:cstheme="minorHAnsi"/>
                <w:bCs/>
                <w:sz w:val="20"/>
                <w:szCs w:val="20"/>
              </w:rPr>
            </w:pPr>
          </w:p>
          <w:p w14:paraId="583E26D9" w14:textId="10891219" w:rsidR="00F40C7E" w:rsidRPr="00D36B5D" w:rsidRDefault="00F40C7E" w:rsidP="00AF5A74">
            <w:pPr>
              <w:jc w:val="right"/>
              <w:rPr>
                <w:rFonts w:asciiTheme="minorHAnsi" w:hAnsiTheme="minorHAnsi" w:cstheme="minorHAnsi"/>
                <w:bCs/>
                <w:sz w:val="20"/>
                <w:szCs w:val="20"/>
              </w:rPr>
            </w:pPr>
            <w:r w:rsidRPr="00D36B5D">
              <w:rPr>
                <w:rFonts w:asciiTheme="minorHAnsi" w:hAnsiTheme="minorHAnsi" w:cstheme="minorHAnsi"/>
                <w:bCs/>
                <w:sz w:val="20"/>
                <w:szCs w:val="20"/>
              </w:rPr>
              <w:t>3,1</w:t>
            </w:r>
            <w:r w:rsidR="00C35D1E">
              <w:rPr>
                <w:rFonts w:asciiTheme="minorHAnsi" w:hAnsiTheme="minorHAnsi" w:cstheme="minorHAnsi"/>
                <w:bCs/>
                <w:sz w:val="20"/>
                <w:szCs w:val="20"/>
              </w:rPr>
              <w:t>19.0</w:t>
            </w:r>
          </w:p>
        </w:tc>
        <w:tc>
          <w:tcPr>
            <w:tcW w:w="580" w:type="pct"/>
            <w:tcBorders>
              <w:top w:val="single" w:sz="4" w:space="0" w:color="auto"/>
            </w:tcBorders>
            <w:vAlign w:val="bottom"/>
          </w:tcPr>
          <w:p w14:paraId="0571EA0E" w14:textId="16658C64" w:rsidR="001B152F" w:rsidRPr="00D36B5D" w:rsidRDefault="001B152F" w:rsidP="00AF5A74">
            <w:pPr>
              <w:jc w:val="right"/>
              <w:rPr>
                <w:rFonts w:asciiTheme="minorHAnsi" w:hAnsiTheme="minorHAnsi" w:cstheme="minorHAnsi"/>
                <w:sz w:val="20"/>
                <w:szCs w:val="20"/>
              </w:rPr>
            </w:pPr>
            <w:r w:rsidRPr="00D36B5D">
              <w:rPr>
                <w:rFonts w:asciiTheme="minorHAnsi" w:hAnsiTheme="minorHAnsi" w:cstheme="minorHAnsi"/>
                <w:sz w:val="20"/>
                <w:szCs w:val="20"/>
              </w:rPr>
              <w:t>3,</w:t>
            </w:r>
            <w:r w:rsidR="001B7981" w:rsidRPr="00D36B5D">
              <w:rPr>
                <w:rFonts w:asciiTheme="minorHAnsi" w:hAnsiTheme="minorHAnsi" w:cstheme="minorHAnsi"/>
                <w:sz w:val="20"/>
                <w:szCs w:val="20"/>
              </w:rPr>
              <w:t>2</w:t>
            </w:r>
            <w:r w:rsidR="00F7425E" w:rsidRPr="00D36B5D">
              <w:rPr>
                <w:rFonts w:asciiTheme="minorHAnsi" w:hAnsiTheme="minorHAnsi" w:cstheme="minorHAnsi"/>
                <w:sz w:val="20"/>
                <w:szCs w:val="20"/>
              </w:rPr>
              <w:t>0</w:t>
            </w:r>
            <w:r w:rsidR="00051154">
              <w:rPr>
                <w:rFonts w:asciiTheme="minorHAnsi" w:hAnsiTheme="minorHAnsi" w:cstheme="minorHAnsi"/>
                <w:sz w:val="20"/>
                <w:szCs w:val="20"/>
              </w:rPr>
              <w:t>1.9</w:t>
            </w:r>
          </w:p>
        </w:tc>
        <w:tc>
          <w:tcPr>
            <w:tcW w:w="507" w:type="pct"/>
            <w:tcBorders>
              <w:top w:val="single" w:sz="4" w:space="0" w:color="auto"/>
              <w:left w:val="nil"/>
              <w:right w:val="nil"/>
            </w:tcBorders>
            <w:shd w:val="clear" w:color="auto" w:fill="F2F2F2" w:themeFill="background1" w:themeFillShade="F2"/>
            <w:vAlign w:val="bottom"/>
          </w:tcPr>
          <w:p w14:paraId="361E7DBF" w14:textId="33711D11" w:rsidR="001B152F" w:rsidRPr="006D4208" w:rsidRDefault="000D6134" w:rsidP="00AF5A74">
            <w:pPr>
              <w:jc w:val="right"/>
              <w:rPr>
                <w:rFonts w:asciiTheme="minorHAnsi" w:hAnsiTheme="minorHAnsi" w:cstheme="minorHAnsi"/>
                <w:b/>
                <w:sz w:val="20"/>
                <w:szCs w:val="20"/>
              </w:rPr>
            </w:pPr>
            <w:r w:rsidRPr="006D4208">
              <w:rPr>
                <w:rFonts w:asciiTheme="minorHAnsi" w:hAnsiTheme="minorHAnsi" w:cstheme="minorHAnsi"/>
                <w:b/>
                <w:sz w:val="20"/>
                <w:szCs w:val="20"/>
              </w:rPr>
              <w:t>5</w:t>
            </w:r>
            <w:r w:rsidR="00CC05D6">
              <w:rPr>
                <w:rFonts w:asciiTheme="minorHAnsi" w:hAnsiTheme="minorHAnsi" w:cstheme="minorHAnsi"/>
                <w:b/>
                <w:sz w:val="20"/>
                <w:szCs w:val="20"/>
              </w:rPr>
              <w:t>29.7</w:t>
            </w:r>
          </w:p>
        </w:tc>
        <w:tc>
          <w:tcPr>
            <w:tcW w:w="724" w:type="pct"/>
            <w:tcBorders>
              <w:top w:val="single" w:sz="4" w:space="0" w:color="auto"/>
              <w:left w:val="nil"/>
              <w:right w:val="nil"/>
            </w:tcBorders>
          </w:tcPr>
          <w:p w14:paraId="56E1DBD2" w14:textId="77777777" w:rsidR="007533F5" w:rsidRPr="00D36B5D" w:rsidRDefault="007533F5" w:rsidP="00AF5A74">
            <w:pPr>
              <w:jc w:val="right"/>
              <w:rPr>
                <w:rFonts w:asciiTheme="minorHAnsi" w:hAnsiTheme="minorHAnsi" w:cstheme="minorHAnsi"/>
                <w:bCs/>
                <w:sz w:val="20"/>
                <w:szCs w:val="20"/>
              </w:rPr>
            </w:pPr>
          </w:p>
          <w:p w14:paraId="6C7D7C93" w14:textId="77777777" w:rsidR="007533F5" w:rsidRPr="00D36B5D" w:rsidRDefault="007533F5" w:rsidP="00AF5A74">
            <w:pPr>
              <w:jc w:val="right"/>
              <w:rPr>
                <w:rFonts w:asciiTheme="minorHAnsi" w:hAnsiTheme="minorHAnsi" w:cstheme="minorHAnsi"/>
                <w:bCs/>
                <w:sz w:val="20"/>
                <w:szCs w:val="20"/>
              </w:rPr>
            </w:pPr>
          </w:p>
          <w:p w14:paraId="1B7F4839" w14:textId="58AED80C" w:rsidR="007533F5" w:rsidRPr="00D36B5D" w:rsidRDefault="007533F5" w:rsidP="00AF5A74">
            <w:pPr>
              <w:jc w:val="right"/>
              <w:rPr>
                <w:rFonts w:asciiTheme="minorHAnsi" w:hAnsiTheme="minorHAnsi" w:cstheme="minorHAnsi"/>
                <w:bCs/>
                <w:sz w:val="20"/>
                <w:szCs w:val="20"/>
              </w:rPr>
            </w:pPr>
            <w:r w:rsidRPr="00D36B5D">
              <w:rPr>
                <w:rFonts w:asciiTheme="minorHAnsi" w:hAnsiTheme="minorHAnsi" w:cstheme="minorHAnsi"/>
                <w:bCs/>
                <w:sz w:val="20"/>
                <w:szCs w:val="20"/>
              </w:rPr>
              <w:t>5</w:t>
            </w:r>
            <w:r w:rsidR="00570566">
              <w:rPr>
                <w:rFonts w:asciiTheme="minorHAnsi" w:hAnsiTheme="minorHAnsi" w:cstheme="minorHAnsi"/>
                <w:bCs/>
                <w:sz w:val="20"/>
                <w:szCs w:val="20"/>
              </w:rPr>
              <w:t>69.1</w:t>
            </w:r>
          </w:p>
        </w:tc>
        <w:tc>
          <w:tcPr>
            <w:tcW w:w="579" w:type="pct"/>
            <w:tcBorders>
              <w:top w:val="single" w:sz="4" w:space="0" w:color="auto"/>
              <w:left w:val="nil"/>
              <w:right w:val="nil"/>
            </w:tcBorders>
            <w:vAlign w:val="bottom"/>
          </w:tcPr>
          <w:p w14:paraId="4ACAEB97" w14:textId="0493D3D6" w:rsidR="001B152F" w:rsidRPr="00D36B5D" w:rsidRDefault="001B152F" w:rsidP="00AF5A74">
            <w:pPr>
              <w:jc w:val="right"/>
              <w:rPr>
                <w:rFonts w:asciiTheme="minorHAnsi" w:hAnsiTheme="minorHAnsi" w:cstheme="minorHAnsi"/>
                <w:sz w:val="20"/>
                <w:szCs w:val="20"/>
              </w:rPr>
            </w:pPr>
            <w:r w:rsidRPr="00D36B5D">
              <w:rPr>
                <w:rFonts w:asciiTheme="minorHAnsi" w:hAnsiTheme="minorHAnsi" w:cstheme="minorHAnsi"/>
                <w:sz w:val="20"/>
                <w:szCs w:val="20"/>
              </w:rPr>
              <w:t>9</w:t>
            </w:r>
            <w:r w:rsidR="00D96C66" w:rsidRPr="00D36B5D">
              <w:rPr>
                <w:rFonts w:asciiTheme="minorHAnsi" w:hAnsiTheme="minorHAnsi" w:cstheme="minorHAnsi"/>
                <w:sz w:val="20"/>
                <w:szCs w:val="20"/>
              </w:rPr>
              <w:t>5</w:t>
            </w:r>
            <w:r w:rsidR="00607E9C">
              <w:rPr>
                <w:rFonts w:asciiTheme="minorHAnsi" w:hAnsiTheme="minorHAnsi" w:cstheme="minorHAnsi"/>
                <w:sz w:val="20"/>
                <w:szCs w:val="20"/>
              </w:rPr>
              <w:t>4.7</w:t>
            </w:r>
          </w:p>
        </w:tc>
      </w:tr>
      <w:tr w:rsidR="00C0788C" w:rsidRPr="00A36F5C" w14:paraId="565EE634" w14:textId="77777777" w:rsidTr="00B83622">
        <w:trPr>
          <w:trHeight w:val="68"/>
        </w:trPr>
        <w:tc>
          <w:tcPr>
            <w:tcW w:w="1451" w:type="pct"/>
            <w:gridSpan w:val="2"/>
            <w:vAlign w:val="bottom"/>
          </w:tcPr>
          <w:p w14:paraId="1BCCB2C0" w14:textId="77777777" w:rsidR="001B152F" w:rsidRPr="00A36F5C" w:rsidRDefault="001B152F" w:rsidP="00AF5A74">
            <w:pPr>
              <w:rPr>
                <w:rFonts w:asciiTheme="minorHAnsi" w:hAnsiTheme="minorHAnsi" w:cs="Arial"/>
                <w:bCs/>
                <w:sz w:val="20"/>
                <w:szCs w:val="20"/>
              </w:rPr>
            </w:pPr>
            <w:r w:rsidRPr="00A36F5C">
              <w:rPr>
                <w:rFonts w:asciiTheme="minorHAnsi" w:hAnsiTheme="minorHAnsi" w:cs="Arial"/>
                <w:bCs/>
                <w:sz w:val="20"/>
                <w:szCs w:val="20"/>
              </w:rPr>
              <w:t>Discontinued operations</w:t>
            </w:r>
          </w:p>
        </w:tc>
        <w:tc>
          <w:tcPr>
            <w:tcW w:w="435" w:type="pct"/>
            <w:shd w:val="clear" w:color="auto" w:fill="F2F2F2" w:themeFill="background1" w:themeFillShade="F2"/>
            <w:vAlign w:val="bottom"/>
          </w:tcPr>
          <w:p w14:paraId="16F22015" w14:textId="77777777" w:rsidR="001B152F" w:rsidRPr="006D4208" w:rsidRDefault="001B152F" w:rsidP="00AF5A74">
            <w:pPr>
              <w:jc w:val="right"/>
              <w:rPr>
                <w:rFonts w:asciiTheme="minorHAnsi" w:hAnsiTheme="minorHAnsi" w:cstheme="minorHAnsi"/>
                <w:b/>
                <w:sz w:val="20"/>
                <w:szCs w:val="20"/>
              </w:rPr>
            </w:pPr>
            <w:r w:rsidRPr="006D4208">
              <w:rPr>
                <w:rFonts w:asciiTheme="minorHAnsi" w:hAnsiTheme="minorHAnsi" w:cstheme="minorHAnsi"/>
                <w:b/>
                <w:sz w:val="20"/>
                <w:szCs w:val="20"/>
              </w:rPr>
              <w:t>-</w:t>
            </w:r>
          </w:p>
        </w:tc>
        <w:tc>
          <w:tcPr>
            <w:tcW w:w="724" w:type="pct"/>
          </w:tcPr>
          <w:p w14:paraId="0B470F4C" w14:textId="5DB5F3C7" w:rsidR="00DC30DA" w:rsidRDefault="00DC30DA" w:rsidP="00AF5A74">
            <w:pPr>
              <w:jc w:val="right"/>
              <w:rPr>
                <w:rFonts w:asciiTheme="minorHAnsi" w:hAnsiTheme="minorHAnsi" w:cstheme="minorHAnsi"/>
                <w:sz w:val="20"/>
                <w:szCs w:val="20"/>
              </w:rPr>
            </w:pPr>
            <w:r>
              <w:rPr>
                <w:rFonts w:asciiTheme="minorHAnsi" w:hAnsiTheme="minorHAnsi" w:cstheme="minorHAnsi"/>
                <w:sz w:val="20"/>
                <w:szCs w:val="20"/>
              </w:rPr>
              <w:t>-</w:t>
            </w:r>
          </w:p>
        </w:tc>
        <w:tc>
          <w:tcPr>
            <w:tcW w:w="580" w:type="pct"/>
            <w:vAlign w:val="bottom"/>
          </w:tcPr>
          <w:p w14:paraId="61C57F2C" w14:textId="77777777" w:rsidR="001B152F" w:rsidRPr="006D4208" w:rsidRDefault="001B152F" w:rsidP="00AF5A74">
            <w:pPr>
              <w:jc w:val="right"/>
              <w:rPr>
                <w:rFonts w:asciiTheme="minorHAnsi" w:hAnsiTheme="minorHAnsi" w:cstheme="minorHAnsi"/>
                <w:sz w:val="20"/>
                <w:szCs w:val="20"/>
              </w:rPr>
            </w:pPr>
            <w:r w:rsidRPr="006D4208">
              <w:rPr>
                <w:rFonts w:asciiTheme="minorHAnsi" w:hAnsiTheme="minorHAnsi" w:cstheme="minorHAnsi"/>
                <w:sz w:val="20"/>
                <w:szCs w:val="20"/>
              </w:rPr>
              <w:t>-</w:t>
            </w:r>
          </w:p>
        </w:tc>
        <w:tc>
          <w:tcPr>
            <w:tcW w:w="507" w:type="pct"/>
            <w:tcBorders>
              <w:left w:val="nil"/>
              <w:right w:val="nil"/>
            </w:tcBorders>
            <w:shd w:val="clear" w:color="auto" w:fill="F2F2F2" w:themeFill="background1" w:themeFillShade="F2"/>
            <w:vAlign w:val="bottom"/>
          </w:tcPr>
          <w:p w14:paraId="260C11B4" w14:textId="77777777" w:rsidR="001B152F" w:rsidRPr="006D4208" w:rsidRDefault="001B152F" w:rsidP="00AF5A74">
            <w:pPr>
              <w:jc w:val="right"/>
              <w:rPr>
                <w:rFonts w:asciiTheme="minorHAnsi" w:hAnsiTheme="minorHAnsi" w:cstheme="minorHAnsi"/>
                <w:b/>
                <w:sz w:val="20"/>
                <w:szCs w:val="20"/>
              </w:rPr>
            </w:pPr>
            <w:r w:rsidRPr="006D4208">
              <w:rPr>
                <w:rFonts w:asciiTheme="minorHAnsi" w:hAnsiTheme="minorHAnsi" w:cstheme="minorHAnsi"/>
                <w:b/>
                <w:sz w:val="20"/>
                <w:szCs w:val="20"/>
              </w:rPr>
              <w:t>-</w:t>
            </w:r>
          </w:p>
        </w:tc>
        <w:tc>
          <w:tcPr>
            <w:tcW w:w="724" w:type="pct"/>
            <w:tcBorders>
              <w:left w:val="nil"/>
              <w:right w:val="nil"/>
            </w:tcBorders>
          </w:tcPr>
          <w:p w14:paraId="4B88B482" w14:textId="0A25BA3C" w:rsidR="00DC30DA" w:rsidRDefault="00DC30DA" w:rsidP="00AF5A74">
            <w:pPr>
              <w:jc w:val="right"/>
              <w:rPr>
                <w:rFonts w:asciiTheme="minorHAnsi" w:hAnsiTheme="minorHAnsi" w:cstheme="minorHAnsi"/>
                <w:sz w:val="20"/>
                <w:szCs w:val="20"/>
              </w:rPr>
            </w:pPr>
            <w:r>
              <w:rPr>
                <w:rFonts w:asciiTheme="minorHAnsi" w:hAnsiTheme="minorHAnsi" w:cstheme="minorHAnsi"/>
                <w:sz w:val="20"/>
                <w:szCs w:val="20"/>
              </w:rPr>
              <w:t>-</w:t>
            </w:r>
          </w:p>
        </w:tc>
        <w:tc>
          <w:tcPr>
            <w:tcW w:w="579" w:type="pct"/>
            <w:tcBorders>
              <w:left w:val="nil"/>
              <w:right w:val="nil"/>
            </w:tcBorders>
            <w:vAlign w:val="bottom"/>
          </w:tcPr>
          <w:p w14:paraId="380FEF5F" w14:textId="77777777" w:rsidR="001B152F" w:rsidRPr="006D4208" w:rsidRDefault="001B152F" w:rsidP="00AF5A74">
            <w:pPr>
              <w:jc w:val="right"/>
              <w:rPr>
                <w:rFonts w:asciiTheme="minorHAnsi" w:hAnsiTheme="minorHAnsi" w:cstheme="minorHAnsi"/>
                <w:sz w:val="20"/>
                <w:szCs w:val="20"/>
              </w:rPr>
            </w:pPr>
            <w:r w:rsidRPr="006D4208">
              <w:rPr>
                <w:rFonts w:asciiTheme="minorHAnsi" w:hAnsiTheme="minorHAnsi" w:cstheme="minorHAnsi"/>
                <w:sz w:val="20"/>
                <w:szCs w:val="20"/>
              </w:rPr>
              <w:t>(382.7)</w:t>
            </w:r>
          </w:p>
        </w:tc>
      </w:tr>
      <w:tr w:rsidR="00C0788C" w:rsidRPr="00A36F5C" w14:paraId="68ED7141" w14:textId="77777777" w:rsidTr="00B83622">
        <w:trPr>
          <w:trHeight w:val="68"/>
        </w:trPr>
        <w:tc>
          <w:tcPr>
            <w:tcW w:w="1451" w:type="pct"/>
            <w:gridSpan w:val="2"/>
            <w:vAlign w:val="bottom"/>
          </w:tcPr>
          <w:p w14:paraId="11B238CD" w14:textId="77777777" w:rsidR="001B152F" w:rsidRPr="00A36F5C" w:rsidRDefault="001B152F" w:rsidP="00AF5A74">
            <w:pPr>
              <w:rPr>
                <w:rFonts w:asciiTheme="minorHAnsi" w:hAnsiTheme="minorHAnsi" w:cs="Arial"/>
                <w:sz w:val="20"/>
                <w:szCs w:val="20"/>
              </w:rPr>
            </w:pPr>
            <w:r w:rsidRPr="00A36F5C">
              <w:rPr>
                <w:rFonts w:asciiTheme="minorHAnsi" w:hAnsiTheme="minorHAnsi" w:cs="Arial"/>
                <w:sz w:val="20"/>
                <w:szCs w:val="20"/>
              </w:rPr>
              <w:t>Intra-group elimination</w:t>
            </w:r>
          </w:p>
        </w:tc>
        <w:tc>
          <w:tcPr>
            <w:tcW w:w="435" w:type="pct"/>
            <w:tcBorders>
              <w:bottom w:val="single" w:sz="4" w:space="0" w:color="auto"/>
            </w:tcBorders>
            <w:shd w:val="clear" w:color="auto" w:fill="F2F2F2" w:themeFill="background1" w:themeFillShade="F2"/>
            <w:vAlign w:val="bottom"/>
          </w:tcPr>
          <w:p w14:paraId="7D39D720" w14:textId="54484871" w:rsidR="001B152F" w:rsidRPr="006D4208" w:rsidRDefault="004F62A4" w:rsidP="00AF5A74">
            <w:pPr>
              <w:jc w:val="right"/>
              <w:rPr>
                <w:rFonts w:asciiTheme="minorHAnsi" w:hAnsiTheme="minorHAnsi" w:cstheme="minorHAnsi"/>
                <w:b/>
                <w:sz w:val="20"/>
                <w:szCs w:val="20"/>
              </w:rPr>
            </w:pPr>
            <w:r>
              <w:rPr>
                <w:rFonts w:asciiTheme="minorHAnsi" w:hAnsiTheme="minorHAnsi" w:cstheme="minorHAnsi"/>
                <w:b/>
                <w:sz w:val="20"/>
                <w:szCs w:val="20"/>
              </w:rPr>
              <w:t>60.6</w:t>
            </w:r>
          </w:p>
        </w:tc>
        <w:tc>
          <w:tcPr>
            <w:tcW w:w="724" w:type="pct"/>
            <w:tcBorders>
              <w:bottom w:val="single" w:sz="4" w:space="0" w:color="auto"/>
            </w:tcBorders>
          </w:tcPr>
          <w:p w14:paraId="6EF4DECD" w14:textId="08BD49F6" w:rsidR="00E800BA" w:rsidRDefault="00E800BA" w:rsidP="00AF5A74">
            <w:pPr>
              <w:jc w:val="right"/>
              <w:rPr>
                <w:rFonts w:asciiTheme="minorHAnsi" w:hAnsiTheme="minorHAnsi" w:cstheme="minorHAnsi"/>
                <w:sz w:val="20"/>
                <w:szCs w:val="20"/>
              </w:rPr>
            </w:pPr>
            <w:r>
              <w:rPr>
                <w:rFonts w:asciiTheme="minorHAnsi" w:hAnsiTheme="minorHAnsi" w:cstheme="minorHAnsi"/>
                <w:sz w:val="20"/>
                <w:szCs w:val="20"/>
              </w:rPr>
              <w:t>75.7</w:t>
            </w:r>
          </w:p>
        </w:tc>
        <w:tc>
          <w:tcPr>
            <w:tcW w:w="580" w:type="pct"/>
            <w:tcBorders>
              <w:bottom w:val="single" w:sz="4" w:space="0" w:color="auto"/>
            </w:tcBorders>
            <w:vAlign w:val="bottom"/>
          </w:tcPr>
          <w:p w14:paraId="2EFEF1D8" w14:textId="059F5BF4" w:rsidR="001B152F" w:rsidRPr="006D4208" w:rsidRDefault="001B152F" w:rsidP="00AF5A74">
            <w:pPr>
              <w:jc w:val="right"/>
              <w:rPr>
                <w:rFonts w:asciiTheme="minorHAnsi" w:hAnsiTheme="minorHAnsi" w:cstheme="minorHAnsi"/>
                <w:sz w:val="20"/>
                <w:szCs w:val="20"/>
              </w:rPr>
            </w:pPr>
            <w:r w:rsidRPr="006D4208">
              <w:rPr>
                <w:rFonts w:asciiTheme="minorHAnsi" w:hAnsiTheme="minorHAnsi" w:cstheme="minorHAnsi"/>
                <w:sz w:val="20"/>
                <w:szCs w:val="20"/>
              </w:rPr>
              <w:t>(</w:t>
            </w:r>
            <w:r w:rsidR="001B7981" w:rsidRPr="006D4208">
              <w:rPr>
                <w:rFonts w:asciiTheme="minorHAnsi" w:hAnsiTheme="minorHAnsi" w:cstheme="minorHAnsi"/>
                <w:sz w:val="20"/>
                <w:szCs w:val="20"/>
              </w:rPr>
              <w:t>331.7</w:t>
            </w:r>
            <w:r w:rsidRPr="006D4208">
              <w:rPr>
                <w:rFonts w:asciiTheme="minorHAnsi" w:hAnsiTheme="minorHAnsi" w:cstheme="minorHAnsi"/>
                <w:sz w:val="20"/>
                <w:szCs w:val="20"/>
              </w:rPr>
              <w:t>)</w:t>
            </w:r>
          </w:p>
        </w:tc>
        <w:tc>
          <w:tcPr>
            <w:tcW w:w="507" w:type="pct"/>
            <w:tcBorders>
              <w:left w:val="nil"/>
              <w:bottom w:val="single" w:sz="4" w:space="0" w:color="auto"/>
              <w:right w:val="nil"/>
            </w:tcBorders>
            <w:shd w:val="clear" w:color="auto" w:fill="F2F2F2" w:themeFill="background1" w:themeFillShade="F2"/>
            <w:vAlign w:val="bottom"/>
          </w:tcPr>
          <w:p w14:paraId="57983F54" w14:textId="77777777" w:rsidR="001B152F" w:rsidRPr="006D4208" w:rsidRDefault="001B152F" w:rsidP="00AF5A74">
            <w:pPr>
              <w:jc w:val="right"/>
              <w:rPr>
                <w:rFonts w:asciiTheme="minorHAnsi" w:hAnsiTheme="minorHAnsi" w:cstheme="minorHAnsi"/>
                <w:b/>
                <w:sz w:val="20"/>
                <w:szCs w:val="20"/>
              </w:rPr>
            </w:pPr>
            <w:r w:rsidRPr="006D4208">
              <w:rPr>
                <w:rFonts w:asciiTheme="minorHAnsi" w:hAnsiTheme="minorHAnsi" w:cstheme="minorHAnsi"/>
                <w:b/>
                <w:sz w:val="20"/>
                <w:szCs w:val="20"/>
              </w:rPr>
              <w:t>-</w:t>
            </w:r>
          </w:p>
        </w:tc>
        <w:tc>
          <w:tcPr>
            <w:tcW w:w="724" w:type="pct"/>
            <w:tcBorders>
              <w:left w:val="nil"/>
              <w:bottom w:val="single" w:sz="4" w:space="0" w:color="auto"/>
              <w:right w:val="nil"/>
            </w:tcBorders>
          </w:tcPr>
          <w:p w14:paraId="7F5DE505" w14:textId="60CB1BB0" w:rsidR="00E800BA" w:rsidRDefault="00E800BA" w:rsidP="00AF5A74">
            <w:pPr>
              <w:jc w:val="right"/>
              <w:rPr>
                <w:rFonts w:asciiTheme="minorHAnsi" w:hAnsiTheme="minorHAnsi" w:cstheme="minorHAnsi"/>
                <w:sz w:val="20"/>
                <w:szCs w:val="20"/>
              </w:rPr>
            </w:pPr>
            <w:r>
              <w:rPr>
                <w:rFonts w:asciiTheme="minorHAnsi" w:hAnsiTheme="minorHAnsi" w:cstheme="minorHAnsi"/>
                <w:sz w:val="20"/>
                <w:szCs w:val="20"/>
              </w:rPr>
              <w:t>-</w:t>
            </w:r>
          </w:p>
        </w:tc>
        <w:tc>
          <w:tcPr>
            <w:tcW w:w="579" w:type="pct"/>
            <w:tcBorders>
              <w:left w:val="nil"/>
              <w:bottom w:val="single" w:sz="4" w:space="0" w:color="auto"/>
              <w:right w:val="nil"/>
            </w:tcBorders>
            <w:vAlign w:val="bottom"/>
          </w:tcPr>
          <w:p w14:paraId="06C2596D" w14:textId="77777777" w:rsidR="001B152F" w:rsidRPr="006D4208" w:rsidRDefault="001B152F" w:rsidP="00AF5A74">
            <w:pPr>
              <w:jc w:val="right"/>
              <w:rPr>
                <w:rFonts w:asciiTheme="minorHAnsi" w:hAnsiTheme="minorHAnsi" w:cstheme="minorHAnsi"/>
                <w:sz w:val="20"/>
                <w:szCs w:val="20"/>
              </w:rPr>
            </w:pPr>
            <w:r w:rsidRPr="006D4208">
              <w:rPr>
                <w:rFonts w:asciiTheme="minorHAnsi" w:hAnsiTheme="minorHAnsi" w:cstheme="minorHAnsi"/>
                <w:sz w:val="20"/>
                <w:szCs w:val="20"/>
              </w:rPr>
              <w:t>-</w:t>
            </w:r>
          </w:p>
        </w:tc>
      </w:tr>
      <w:tr w:rsidR="00C0788C" w:rsidRPr="00A36F5C" w14:paraId="47E06F6A" w14:textId="77777777" w:rsidTr="00B83622">
        <w:trPr>
          <w:trHeight w:val="242"/>
        </w:trPr>
        <w:tc>
          <w:tcPr>
            <w:tcW w:w="1451" w:type="pct"/>
            <w:gridSpan w:val="2"/>
            <w:vAlign w:val="bottom"/>
          </w:tcPr>
          <w:p w14:paraId="781EAF77" w14:textId="77777777" w:rsidR="001B152F" w:rsidRPr="00A36F5C" w:rsidRDefault="001B152F" w:rsidP="00AF5A74">
            <w:pPr>
              <w:rPr>
                <w:rFonts w:asciiTheme="minorHAnsi" w:hAnsiTheme="minorHAnsi" w:cs="Arial"/>
                <w:b/>
                <w:sz w:val="20"/>
                <w:szCs w:val="20"/>
              </w:rPr>
            </w:pPr>
            <w:r w:rsidRPr="00A36F5C">
              <w:rPr>
                <w:rFonts w:asciiTheme="minorHAnsi" w:hAnsiTheme="minorHAnsi" w:cs="Arial"/>
                <w:b/>
                <w:sz w:val="20"/>
                <w:szCs w:val="20"/>
              </w:rPr>
              <w:t>Total Group</w:t>
            </w:r>
          </w:p>
        </w:tc>
        <w:tc>
          <w:tcPr>
            <w:tcW w:w="435" w:type="pct"/>
            <w:tcBorders>
              <w:top w:val="single" w:sz="4" w:space="0" w:color="auto"/>
              <w:bottom w:val="single" w:sz="12" w:space="0" w:color="auto"/>
            </w:tcBorders>
            <w:shd w:val="clear" w:color="auto" w:fill="F2F2F2" w:themeFill="background1" w:themeFillShade="F2"/>
            <w:vAlign w:val="bottom"/>
          </w:tcPr>
          <w:p w14:paraId="4C3E54CD" w14:textId="28ADB120" w:rsidR="001B152F" w:rsidRPr="006D4208" w:rsidRDefault="00B7674D" w:rsidP="00AF5A74">
            <w:pPr>
              <w:jc w:val="right"/>
              <w:rPr>
                <w:rFonts w:asciiTheme="minorHAnsi" w:hAnsiTheme="minorHAnsi" w:cstheme="minorHAnsi"/>
                <w:b/>
                <w:sz w:val="20"/>
                <w:szCs w:val="20"/>
              </w:rPr>
            </w:pPr>
            <w:r w:rsidRPr="006D4208">
              <w:rPr>
                <w:rFonts w:asciiTheme="minorHAnsi" w:hAnsiTheme="minorHAnsi" w:cstheme="minorHAnsi"/>
                <w:b/>
                <w:sz w:val="20"/>
                <w:szCs w:val="20"/>
              </w:rPr>
              <w:t>3,085.</w:t>
            </w:r>
            <w:r w:rsidR="008C3471">
              <w:rPr>
                <w:rFonts w:asciiTheme="minorHAnsi" w:hAnsiTheme="minorHAnsi" w:cstheme="minorHAnsi"/>
                <w:b/>
                <w:sz w:val="20"/>
                <w:szCs w:val="20"/>
              </w:rPr>
              <w:t>1</w:t>
            </w:r>
          </w:p>
        </w:tc>
        <w:tc>
          <w:tcPr>
            <w:tcW w:w="724" w:type="pct"/>
            <w:tcBorders>
              <w:top w:val="single" w:sz="4" w:space="0" w:color="auto"/>
              <w:bottom w:val="single" w:sz="12" w:space="0" w:color="auto"/>
            </w:tcBorders>
          </w:tcPr>
          <w:p w14:paraId="1D3AAEF2" w14:textId="2EDE74DD" w:rsidR="00D36B5D" w:rsidRPr="00D36B5D" w:rsidRDefault="00D36B5D" w:rsidP="00AF5A74">
            <w:pPr>
              <w:jc w:val="right"/>
              <w:rPr>
                <w:rFonts w:asciiTheme="minorHAnsi" w:hAnsiTheme="minorHAnsi" w:cstheme="minorHAnsi"/>
                <w:bCs/>
                <w:sz w:val="20"/>
                <w:szCs w:val="20"/>
              </w:rPr>
            </w:pPr>
            <w:r w:rsidRPr="00D36B5D">
              <w:rPr>
                <w:rFonts w:asciiTheme="minorHAnsi" w:hAnsiTheme="minorHAnsi" w:cstheme="minorHAnsi"/>
                <w:bCs/>
                <w:sz w:val="20"/>
                <w:szCs w:val="20"/>
              </w:rPr>
              <w:t>3,</w:t>
            </w:r>
            <w:r w:rsidR="00386168">
              <w:rPr>
                <w:rFonts w:asciiTheme="minorHAnsi" w:hAnsiTheme="minorHAnsi" w:cstheme="minorHAnsi"/>
                <w:bCs/>
                <w:sz w:val="20"/>
                <w:szCs w:val="20"/>
              </w:rPr>
              <w:t>19</w:t>
            </w:r>
            <w:r w:rsidR="003E6F26">
              <w:rPr>
                <w:rFonts w:asciiTheme="minorHAnsi" w:hAnsiTheme="minorHAnsi" w:cstheme="minorHAnsi"/>
                <w:bCs/>
                <w:sz w:val="20"/>
                <w:szCs w:val="20"/>
              </w:rPr>
              <w:t>4</w:t>
            </w:r>
            <w:r w:rsidR="00386168">
              <w:rPr>
                <w:rFonts w:asciiTheme="minorHAnsi" w:hAnsiTheme="minorHAnsi" w:cstheme="minorHAnsi"/>
                <w:bCs/>
                <w:sz w:val="20"/>
                <w:szCs w:val="20"/>
              </w:rPr>
              <w:t>.</w:t>
            </w:r>
            <w:r w:rsidR="003E6F26">
              <w:rPr>
                <w:rFonts w:asciiTheme="minorHAnsi" w:hAnsiTheme="minorHAnsi" w:cstheme="minorHAnsi"/>
                <w:bCs/>
                <w:sz w:val="20"/>
                <w:szCs w:val="20"/>
              </w:rPr>
              <w:t>7</w:t>
            </w:r>
          </w:p>
        </w:tc>
        <w:tc>
          <w:tcPr>
            <w:tcW w:w="580" w:type="pct"/>
            <w:tcBorders>
              <w:top w:val="single" w:sz="4" w:space="0" w:color="auto"/>
              <w:bottom w:val="single" w:sz="12" w:space="0" w:color="auto"/>
            </w:tcBorders>
            <w:vAlign w:val="bottom"/>
          </w:tcPr>
          <w:p w14:paraId="0E481DF5" w14:textId="6BCDDADB" w:rsidR="001B152F" w:rsidRPr="00D36B5D" w:rsidRDefault="001B152F" w:rsidP="00AF5A74">
            <w:pPr>
              <w:jc w:val="right"/>
              <w:rPr>
                <w:rFonts w:asciiTheme="minorHAnsi" w:hAnsiTheme="minorHAnsi" w:cstheme="minorHAnsi"/>
                <w:sz w:val="20"/>
                <w:szCs w:val="20"/>
              </w:rPr>
            </w:pPr>
            <w:r w:rsidRPr="00D36B5D">
              <w:rPr>
                <w:rFonts w:asciiTheme="minorHAnsi" w:hAnsiTheme="minorHAnsi" w:cstheme="minorHAnsi"/>
                <w:sz w:val="20"/>
                <w:szCs w:val="20"/>
              </w:rPr>
              <w:t>2,</w:t>
            </w:r>
            <w:r w:rsidR="001B7981" w:rsidRPr="00D36B5D">
              <w:rPr>
                <w:rFonts w:asciiTheme="minorHAnsi" w:hAnsiTheme="minorHAnsi" w:cstheme="minorHAnsi"/>
                <w:sz w:val="20"/>
                <w:szCs w:val="20"/>
              </w:rPr>
              <w:t>8</w:t>
            </w:r>
            <w:r w:rsidR="00F7425E" w:rsidRPr="00D36B5D">
              <w:rPr>
                <w:rFonts w:asciiTheme="minorHAnsi" w:hAnsiTheme="minorHAnsi" w:cstheme="minorHAnsi"/>
                <w:sz w:val="20"/>
                <w:szCs w:val="20"/>
              </w:rPr>
              <w:t>7</w:t>
            </w:r>
            <w:r w:rsidR="00443B3C">
              <w:rPr>
                <w:rFonts w:asciiTheme="minorHAnsi" w:hAnsiTheme="minorHAnsi" w:cstheme="minorHAnsi"/>
                <w:sz w:val="20"/>
                <w:szCs w:val="20"/>
              </w:rPr>
              <w:t>0.2</w:t>
            </w:r>
          </w:p>
        </w:tc>
        <w:tc>
          <w:tcPr>
            <w:tcW w:w="507" w:type="pct"/>
            <w:tcBorders>
              <w:top w:val="single" w:sz="4" w:space="0" w:color="auto"/>
              <w:left w:val="nil"/>
              <w:bottom w:val="single" w:sz="12" w:space="0" w:color="auto"/>
              <w:right w:val="nil"/>
            </w:tcBorders>
            <w:shd w:val="clear" w:color="auto" w:fill="F2F2F2" w:themeFill="background1" w:themeFillShade="F2"/>
            <w:vAlign w:val="bottom"/>
          </w:tcPr>
          <w:p w14:paraId="635C1FEB" w14:textId="2A1339B5" w:rsidR="001B152F" w:rsidRPr="006D4208" w:rsidRDefault="000D6134" w:rsidP="00AF5A74">
            <w:pPr>
              <w:jc w:val="right"/>
              <w:rPr>
                <w:rFonts w:asciiTheme="minorHAnsi" w:hAnsiTheme="minorHAnsi" w:cstheme="minorHAnsi"/>
                <w:b/>
                <w:sz w:val="20"/>
                <w:szCs w:val="20"/>
              </w:rPr>
            </w:pPr>
            <w:r w:rsidRPr="006D4208">
              <w:rPr>
                <w:rFonts w:asciiTheme="minorHAnsi" w:hAnsiTheme="minorHAnsi" w:cstheme="minorHAnsi"/>
                <w:b/>
                <w:sz w:val="20"/>
                <w:szCs w:val="20"/>
              </w:rPr>
              <w:t>5</w:t>
            </w:r>
            <w:r w:rsidR="00CC05D6">
              <w:rPr>
                <w:rFonts w:asciiTheme="minorHAnsi" w:hAnsiTheme="minorHAnsi" w:cstheme="minorHAnsi"/>
                <w:b/>
                <w:sz w:val="20"/>
                <w:szCs w:val="20"/>
              </w:rPr>
              <w:t>29.7</w:t>
            </w:r>
          </w:p>
        </w:tc>
        <w:tc>
          <w:tcPr>
            <w:tcW w:w="724" w:type="pct"/>
            <w:tcBorders>
              <w:top w:val="single" w:sz="4" w:space="0" w:color="auto"/>
              <w:left w:val="nil"/>
              <w:bottom w:val="single" w:sz="12" w:space="0" w:color="auto"/>
              <w:right w:val="nil"/>
            </w:tcBorders>
          </w:tcPr>
          <w:p w14:paraId="5B5D4101" w14:textId="0E6ACF43" w:rsidR="00D36B5D" w:rsidRPr="00D36B5D" w:rsidRDefault="00D36B5D" w:rsidP="00AF5A74">
            <w:pPr>
              <w:jc w:val="right"/>
              <w:rPr>
                <w:rFonts w:asciiTheme="minorHAnsi" w:hAnsiTheme="minorHAnsi" w:cstheme="minorHAnsi"/>
                <w:bCs/>
                <w:sz w:val="20"/>
                <w:szCs w:val="20"/>
              </w:rPr>
            </w:pPr>
            <w:r w:rsidRPr="00D36B5D">
              <w:rPr>
                <w:rFonts w:asciiTheme="minorHAnsi" w:hAnsiTheme="minorHAnsi" w:cstheme="minorHAnsi"/>
                <w:bCs/>
                <w:sz w:val="20"/>
                <w:szCs w:val="20"/>
              </w:rPr>
              <w:t>5</w:t>
            </w:r>
            <w:r w:rsidR="00570566">
              <w:rPr>
                <w:rFonts w:asciiTheme="minorHAnsi" w:hAnsiTheme="minorHAnsi" w:cstheme="minorHAnsi"/>
                <w:bCs/>
                <w:sz w:val="20"/>
                <w:szCs w:val="20"/>
              </w:rPr>
              <w:t>69.1</w:t>
            </w:r>
          </w:p>
        </w:tc>
        <w:tc>
          <w:tcPr>
            <w:tcW w:w="579" w:type="pct"/>
            <w:tcBorders>
              <w:top w:val="single" w:sz="4" w:space="0" w:color="auto"/>
              <w:left w:val="nil"/>
              <w:bottom w:val="single" w:sz="12" w:space="0" w:color="auto"/>
              <w:right w:val="nil"/>
            </w:tcBorders>
            <w:vAlign w:val="bottom"/>
          </w:tcPr>
          <w:p w14:paraId="60416584" w14:textId="46A922CB" w:rsidR="001B152F" w:rsidRPr="00D36B5D" w:rsidRDefault="00A9794D" w:rsidP="00AF5A74">
            <w:pPr>
              <w:jc w:val="right"/>
              <w:rPr>
                <w:rFonts w:asciiTheme="minorHAnsi" w:hAnsiTheme="minorHAnsi" w:cstheme="minorHAnsi"/>
                <w:sz w:val="20"/>
                <w:szCs w:val="20"/>
              </w:rPr>
            </w:pPr>
            <w:r w:rsidRPr="00D36B5D">
              <w:rPr>
                <w:rFonts w:asciiTheme="minorHAnsi" w:hAnsiTheme="minorHAnsi" w:cstheme="minorHAnsi"/>
                <w:sz w:val="20"/>
                <w:szCs w:val="20"/>
              </w:rPr>
              <w:t>5</w:t>
            </w:r>
            <w:r w:rsidR="00DF2D5E" w:rsidRPr="00D36B5D">
              <w:rPr>
                <w:rFonts w:asciiTheme="minorHAnsi" w:hAnsiTheme="minorHAnsi" w:cstheme="minorHAnsi"/>
                <w:sz w:val="20"/>
                <w:szCs w:val="20"/>
              </w:rPr>
              <w:t>7</w:t>
            </w:r>
            <w:r w:rsidR="008933DD">
              <w:rPr>
                <w:rFonts w:asciiTheme="minorHAnsi" w:hAnsiTheme="minorHAnsi" w:cstheme="minorHAnsi"/>
                <w:sz w:val="20"/>
                <w:szCs w:val="20"/>
              </w:rPr>
              <w:t>2.0</w:t>
            </w:r>
          </w:p>
        </w:tc>
      </w:tr>
    </w:tbl>
    <w:p w14:paraId="03B81ABA" w14:textId="77777777" w:rsidR="00C04CAA" w:rsidRDefault="00C04CAA" w:rsidP="3441915A">
      <w:pPr>
        <w:rPr>
          <w:rFonts w:asciiTheme="minorHAnsi" w:hAnsiTheme="minorHAnsi" w:cs="Arial"/>
          <w:i/>
          <w:sz w:val="20"/>
          <w:szCs w:val="20"/>
          <w:vertAlign w:val="superscript"/>
        </w:rPr>
      </w:pPr>
    </w:p>
    <w:p w14:paraId="585866AC" w14:textId="402C6F56" w:rsidR="00B1040B" w:rsidRDefault="00B1040B" w:rsidP="00B1040B">
      <w:pPr>
        <w:rPr>
          <w:rFonts w:asciiTheme="minorHAnsi" w:hAnsiTheme="minorHAnsi" w:cs="Arial"/>
          <w:b/>
          <w:i/>
          <w:color w:val="4747FF"/>
          <w:sz w:val="22"/>
          <w:szCs w:val="22"/>
        </w:rPr>
      </w:pPr>
      <w:r w:rsidRPr="24C92F99">
        <w:rPr>
          <w:rFonts w:asciiTheme="minorHAnsi" w:hAnsiTheme="minorHAnsi" w:cs="Arial"/>
          <w:i/>
          <w:sz w:val="20"/>
          <w:szCs w:val="20"/>
          <w:vertAlign w:val="superscript"/>
        </w:rPr>
        <w:t>1</w:t>
      </w:r>
      <w:r w:rsidRPr="24C92F99">
        <w:rPr>
          <w:rFonts w:asciiTheme="minorHAnsi" w:hAnsiTheme="minorHAnsi" w:cs="Arial"/>
          <w:i/>
          <w:sz w:val="20"/>
          <w:szCs w:val="20"/>
        </w:rPr>
        <w:t xml:space="preserve"> Refer to note 2 for details of restatement.</w:t>
      </w:r>
    </w:p>
    <w:p w14:paraId="74787D5F" w14:textId="77777777" w:rsidR="004B1095" w:rsidRDefault="004B1095"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color w:val="4747FF"/>
          <w:sz w:val="22"/>
          <w:szCs w:val="22"/>
        </w:rPr>
      </w:pPr>
    </w:p>
    <w:p w14:paraId="26D5CDDC" w14:textId="0CBC99EF" w:rsidR="00477AF6" w:rsidRPr="00565803" w:rsidRDefault="00A3021A"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565803">
        <w:rPr>
          <w:rFonts w:asciiTheme="minorHAnsi" w:hAnsiTheme="minorHAnsi" w:cs="Arial"/>
          <w:sz w:val="20"/>
          <w:szCs w:val="20"/>
        </w:rPr>
        <w:t>The presentation of segment net assets reflects the statutory assets, liabilities and net assets of each of the Group’s divisions. This results in an intra-group elimination reflecting the difference between the central intercompany funding provided to the divisions and the external funding raised centrally. Credit cards</w:t>
      </w:r>
      <w:r w:rsidR="00A442D1">
        <w:rPr>
          <w:rFonts w:asciiTheme="minorHAnsi" w:hAnsiTheme="minorHAnsi" w:cs="Arial"/>
          <w:sz w:val="20"/>
          <w:szCs w:val="20"/>
        </w:rPr>
        <w:t>,</w:t>
      </w:r>
      <w:r w:rsidRPr="00565803">
        <w:rPr>
          <w:rFonts w:asciiTheme="minorHAnsi" w:hAnsiTheme="minorHAnsi" w:cs="Arial"/>
          <w:sz w:val="20"/>
          <w:szCs w:val="20"/>
        </w:rPr>
        <w:t xml:space="preserve"> personal loans </w:t>
      </w:r>
      <w:r w:rsidR="00A442D1">
        <w:rPr>
          <w:rFonts w:asciiTheme="minorHAnsi" w:hAnsiTheme="minorHAnsi" w:cs="Arial"/>
          <w:sz w:val="20"/>
          <w:szCs w:val="20"/>
        </w:rPr>
        <w:t>and second charge mortgages</w:t>
      </w:r>
      <w:r w:rsidRPr="00565803">
        <w:rPr>
          <w:rFonts w:asciiTheme="minorHAnsi" w:hAnsiTheme="minorHAnsi" w:cs="Arial"/>
          <w:sz w:val="20"/>
          <w:szCs w:val="20"/>
        </w:rPr>
        <w:t xml:space="preserve"> are </w:t>
      </w:r>
      <w:r w:rsidR="00A442D1">
        <w:rPr>
          <w:rFonts w:asciiTheme="minorHAnsi" w:hAnsiTheme="minorHAnsi" w:cs="Arial"/>
          <w:sz w:val="20"/>
          <w:szCs w:val="20"/>
        </w:rPr>
        <w:t>all</w:t>
      </w:r>
      <w:r w:rsidRPr="00565803">
        <w:rPr>
          <w:rFonts w:asciiTheme="minorHAnsi" w:hAnsiTheme="minorHAnsi" w:cs="Arial"/>
          <w:sz w:val="20"/>
          <w:szCs w:val="20"/>
        </w:rPr>
        <w:t xml:space="preserve"> recognised within Vanquis Bank Limited and are therefore combined for balance sheet reporting purposes.</w:t>
      </w:r>
    </w:p>
    <w:p w14:paraId="6D242990" w14:textId="77777777" w:rsidR="00F87D90" w:rsidRDefault="00F87D90"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600B4B27" w14:textId="6075D871" w:rsidR="00A3021A" w:rsidRDefault="00F87D90" w:rsidP="001B6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Pr>
          <w:rFonts w:asciiTheme="minorHAnsi" w:hAnsiTheme="minorHAnsi" w:cs="Arial"/>
          <w:sz w:val="20"/>
          <w:szCs w:val="20"/>
        </w:rPr>
        <w:t xml:space="preserve">Discontinued operations </w:t>
      </w:r>
      <w:r w:rsidR="009C4D7B">
        <w:rPr>
          <w:rFonts w:asciiTheme="minorHAnsi" w:hAnsiTheme="minorHAnsi" w:cs="Arial"/>
          <w:sz w:val="20"/>
          <w:szCs w:val="20"/>
        </w:rPr>
        <w:t>reflect the</w:t>
      </w:r>
      <w:r w:rsidR="00656E1F">
        <w:rPr>
          <w:rFonts w:asciiTheme="minorHAnsi" w:hAnsiTheme="minorHAnsi" w:cs="Arial"/>
          <w:sz w:val="20"/>
          <w:szCs w:val="20"/>
        </w:rPr>
        <w:t xml:space="preserve"> C</w:t>
      </w:r>
      <w:r w:rsidR="00656E1F" w:rsidRPr="009C4D7B">
        <w:rPr>
          <w:rFonts w:asciiTheme="minorHAnsi" w:hAnsiTheme="minorHAnsi" w:cs="Arial"/>
          <w:sz w:val="20"/>
          <w:szCs w:val="20"/>
        </w:rPr>
        <w:t>CD business comprising home credit and Satsuma loan</w:t>
      </w:r>
      <w:r w:rsidR="00656E1F">
        <w:rPr>
          <w:rFonts w:asciiTheme="minorHAnsi" w:hAnsiTheme="minorHAnsi" w:cs="Arial"/>
          <w:sz w:val="20"/>
          <w:szCs w:val="20"/>
        </w:rPr>
        <w:t xml:space="preserve"> which was closed </w:t>
      </w:r>
      <w:r w:rsidR="009C4D7B" w:rsidRPr="009C4D7B">
        <w:rPr>
          <w:rFonts w:asciiTheme="minorHAnsi" w:hAnsiTheme="minorHAnsi" w:cs="Arial"/>
          <w:sz w:val="20"/>
          <w:szCs w:val="20"/>
        </w:rPr>
        <w:t>during 2021 and in accordance with IFRS 5 ‘Non</w:t>
      </w:r>
      <w:r w:rsidR="009C4D7B" w:rsidRPr="009C4D7B">
        <w:rPr>
          <w:rFonts w:ascii="Cambria Math" w:hAnsi="Cambria Math" w:cs="Cambria Math"/>
          <w:sz w:val="20"/>
          <w:szCs w:val="20"/>
        </w:rPr>
        <w:t>‑</w:t>
      </w:r>
      <w:r w:rsidR="009C4D7B" w:rsidRPr="009C4D7B">
        <w:rPr>
          <w:rFonts w:asciiTheme="minorHAnsi" w:hAnsiTheme="minorHAnsi" w:cs="Arial"/>
          <w:sz w:val="20"/>
          <w:szCs w:val="20"/>
        </w:rPr>
        <w:t>current Assets Held for Sale and Discontinued Operations</w:t>
      </w:r>
      <w:r w:rsidR="009C4D7B" w:rsidRPr="009C4D7B">
        <w:rPr>
          <w:rFonts w:ascii="Calibri" w:hAnsi="Calibri" w:cs="Calibri"/>
          <w:sz w:val="20"/>
          <w:szCs w:val="20"/>
        </w:rPr>
        <w:t>’</w:t>
      </w:r>
      <w:r w:rsidR="009C4D7B" w:rsidRPr="009C4D7B">
        <w:rPr>
          <w:rFonts w:asciiTheme="minorHAnsi" w:hAnsiTheme="minorHAnsi" w:cs="Arial"/>
          <w:sz w:val="20"/>
          <w:szCs w:val="20"/>
        </w:rPr>
        <w:t xml:space="preserve"> these businesses </w:t>
      </w:r>
      <w:r w:rsidR="00656E1F">
        <w:rPr>
          <w:rFonts w:asciiTheme="minorHAnsi" w:hAnsiTheme="minorHAnsi" w:cs="Arial"/>
          <w:sz w:val="20"/>
          <w:szCs w:val="20"/>
        </w:rPr>
        <w:t>were</w:t>
      </w:r>
      <w:r w:rsidR="009C4D7B" w:rsidRPr="009C4D7B">
        <w:rPr>
          <w:rFonts w:asciiTheme="minorHAnsi" w:hAnsiTheme="minorHAnsi" w:cs="Arial"/>
          <w:sz w:val="20"/>
          <w:szCs w:val="20"/>
        </w:rPr>
        <w:t xml:space="preserve"> presented as discontinued operations.</w:t>
      </w:r>
      <w:r w:rsidR="00656E1F">
        <w:rPr>
          <w:rFonts w:asciiTheme="minorHAnsi" w:hAnsiTheme="minorHAnsi" w:cs="Arial"/>
          <w:sz w:val="20"/>
          <w:szCs w:val="20"/>
        </w:rPr>
        <w:t xml:space="preserve"> There were </w:t>
      </w:r>
      <w:r w:rsidR="009B54E3">
        <w:rPr>
          <w:rFonts w:asciiTheme="minorHAnsi" w:hAnsiTheme="minorHAnsi" w:cs="Arial"/>
          <w:sz w:val="20"/>
          <w:szCs w:val="20"/>
        </w:rPr>
        <w:t>n</w:t>
      </w:r>
      <w:r w:rsidR="009C4D7B" w:rsidRPr="009C4D7B">
        <w:rPr>
          <w:rFonts w:asciiTheme="minorHAnsi" w:hAnsiTheme="minorHAnsi" w:cs="Arial"/>
          <w:sz w:val="20"/>
          <w:szCs w:val="20"/>
        </w:rPr>
        <w:t>o amounts included in the Group income statement in the current year</w:t>
      </w:r>
      <w:r w:rsidR="009B54E3">
        <w:rPr>
          <w:rFonts w:asciiTheme="minorHAnsi" w:hAnsiTheme="minorHAnsi" w:cs="Arial"/>
          <w:sz w:val="20"/>
          <w:szCs w:val="20"/>
        </w:rPr>
        <w:t xml:space="preserve"> or prior period</w:t>
      </w:r>
      <w:r w:rsidR="002A3509">
        <w:rPr>
          <w:rFonts w:asciiTheme="minorHAnsi" w:hAnsiTheme="minorHAnsi" w:cs="Arial"/>
          <w:sz w:val="20"/>
          <w:szCs w:val="20"/>
        </w:rPr>
        <w:t xml:space="preserve">. </w:t>
      </w:r>
    </w:p>
    <w:p w14:paraId="26968BA6" w14:textId="77777777" w:rsidR="004C01BA" w:rsidRPr="001B63F6" w:rsidRDefault="004C01BA" w:rsidP="001B6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dycopynumber"/>
          <w:rFonts w:asciiTheme="minorHAnsi" w:hAnsiTheme="minorHAnsi" w:cs="Arial"/>
          <w:sz w:val="20"/>
          <w:szCs w:val="20"/>
        </w:rPr>
      </w:pPr>
    </w:p>
    <w:p w14:paraId="60BC032B" w14:textId="0ADC08C0" w:rsidR="00A3021A" w:rsidRPr="00565803" w:rsidRDefault="0061052C" w:rsidP="00CF66BE">
      <w:pPr>
        <w:ind w:left="567" w:hanging="567"/>
        <w:jc w:val="both"/>
        <w:rPr>
          <w:rStyle w:val="bodycopynumber"/>
          <w:rFonts w:asciiTheme="minorHAnsi" w:hAnsiTheme="minorHAnsi" w:cs="Arial"/>
          <w:b/>
          <w:color w:val="4747FF"/>
          <w:sz w:val="22"/>
          <w:szCs w:val="22"/>
        </w:rPr>
      </w:pPr>
      <w:r>
        <w:rPr>
          <w:rStyle w:val="bodycopynumber"/>
          <w:rFonts w:asciiTheme="minorHAnsi" w:hAnsiTheme="minorHAnsi" w:cs="Arial"/>
          <w:b/>
          <w:color w:val="4747FF"/>
          <w:sz w:val="22"/>
          <w:szCs w:val="22"/>
        </w:rPr>
        <w:t>5</w:t>
      </w:r>
      <w:r w:rsidR="00A3021A" w:rsidRPr="00565803">
        <w:rPr>
          <w:rStyle w:val="bodycopynumber"/>
          <w:rFonts w:asciiTheme="minorHAnsi" w:hAnsiTheme="minorHAnsi" w:cs="Arial"/>
          <w:b/>
          <w:color w:val="4747FF"/>
          <w:sz w:val="22"/>
          <w:szCs w:val="22"/>
        </w:rPr>
        <w:t>.</w:t>
      </w:r>
      <w:r w:rsidR="00A3021A" w:rsidRPr="00565803">
        <w:rPr>
          <w:rStyle w:val="bodycopynumber"/>
          <w:rFonts w:asciiTheme="minorHAnsi" w:hAnsiTheme="minorHAnsi" w:cs="Arial"/>
          <w:b/>
          <w:color w:val="4747FF"/>
          <w:sz w:val="22"/>
          <w:szCs w:val="22"/>
        </w:rPr>
        <w:tab/>
        <w:t xml:space="preserve">Tax </w:t>
      </w:r>
      <w:r w:rsidR="00720577" w:rsidRPr="00565803">
        <w:rPr>
          <w:rStyle w:val="bodycopynumber"/>
          <w:rFonts w:asciiTheme="minorHAnsi" w:hAnsiTheme="minorHAnsi" w:cs="Arial"/>
          <w:b/>
          <w:color w:val="4747FF"/>
          <w:sz w:val="22"/>
          <w:szCs w:val="22"/>
        </w:rPr>
        <w:t>credit</w:t>
      </w:r>
    </w:p>
    <w:p w14:paraId="68FD0326" w14:textId="77777777" w:rsidR="00310EA9" w:rsidRPr="00565803" w:rsidRDefault="00310EA9" w:rsidP="00A3021A">
      <w:pPr>
        <w:jc w:val="both"/>
        <w:rPr>
          <w:rStyle w:val="bodycopynumber"/>
          <w:rFonts w:asciiTheme="minorHAnsi" w:hAnsiTheme="minorHAnsi" w:cs="Arial"/>
          <w:b/>
          <w:color w:val="4747FF"/>
          <w:sz w:val="22"/>
          <w:szCs w:val="22"/>
        </w:rPr>
      </w:pPr>
    </w:p>
    <w:p w14:paraId="61CC0176" w14:textId="77777777" w:rsidR="000744DD" w:rsidRDefault="000744DD" w:rsidP="000744DD">
      <w:pPr>
        <w:rPr>
          <w:rFonts w:asciiTheme="minorHAnsi" w:hAnsiTheme="minorHAnsi" w:cstheme="minorHAnsi"/>
          <w:sz w:val="20"/>
          <w:szCs w:val="20"/>
        </w:rPr>
      </w:pPr>
      <w:bookmarkStart w:id="12" w:name="_Hlk30751975"/>
      <w:r w:rsidRPr="6ED78071">
        <w:rPr>
          <w:rFonts w:asciiTheme="minorHAnsi" w:hAnsiTheme="minorHAnsi" w:cstheme="minorBidi"/>
          <w:sz w:val="20"/>
          <w:szCs w:val="20"/>
        </w:rPr>
        <w:t>The tax credit can be summarised as follows:</w:t>
      </w:r>
    </w:p>
    <w:tbl>
      <w:tblPr>
        <w:tblW w:w="9723" w:type="dxa"/>
        <w:tblLook w:val="0000" w:firstRow="0" w:lastRow="0" w:firstColumn="0" w:lastColumn="0" w:noHBand="0" w:noVBand="0"/>
      </w:tblPr>
      <w:tblGrid>
        <w:gridCol w:w="7260"/>
        <w:gridCol w:w="1304"/>
        <w:gridCol w:w="1159"/>
      </w:tblGrid>
      <w:tr w:rsidR="00E337DB" w:rsidRPr="00A36F5C" w14:paraId="65EBB0C5" w14:textId="77777777" w:rsidTr="2EDC0825">
        <w:tc>
          <w:tcPr>
            <w:tcW w:w="7260" w:type="dxa"/>
            <w:tcBorders>
              <w:top w:val="nil"/>
              <w:left w:val="nil"/>
              <w:bottom w:val="nil"/>
              <w:right w:val="nil"/>
            </w:tcBorders>
            <w:vAlign w:val="bottom"/>
          </w:tcPr>
          <w:p w14:paraId="20569052" w14:textId="51C5BCB1" w:rsidR="00881D57" w:rsidRPr="00A36F5C" w:rsidRDefault="00881D57">
            <w:pPr>
              <w:rPr>
                <w:rFonts w:asciiTheme="minorHAnsi" w:hAnsiTheme="minorHAnsi" w:cs="Arial"/>
                <w:sz w:val="20"/>
                <w:szCs w:val="20"/>
              </w:rPr>
            </w:pPr>
          </w:p>
        </w:tc>
        <w:tc>
          <w:tcPr>
            <w:tcW w:w="2463" w:type="dxa"/>
            <w:gridSpan w:val="2"/>
            <w:tcBorders>
              <w:top w:val="nil"/>
              <w:left w:val="nil"/>
              <w:right w:val="nil"/>
            </w:tcBorders>
            <w:shd w:val="clear" w:color="auto" w:fill="auto"/>
            <w:vAlign w:val="bottom"/>
          </w:tcPr>
          <w:p w14:paraId="33EB5369" w14:textId="77777777" w:rsidR="00E337DB" w:rsidRPr="002C53D8" w:rsidRDefault="00E337DB">
            <w:pPr>
              <w:jc w:val="center"/>
              <w:rPr>
                <w:rFonts w:asciiTheme="minorHAnsi" w:hAnsiTheme="minorHAnsi" w:cs="Arial"/>
                <w:bCs/>
                <w:sz w:val="20"/>
                <w:szCs w:val="20"/>
              </w:rPr>
            </w:pPr>
            <w:r w:rsidRPr="002C53D8">
              <w:rPr>
                <w:rFonts w:asciiTheme="minorHAnsi" w:hAnsiTheme="minorHAnsi" w:cs="Arial"/>
                <w:bCs/>
                <w:sz w:val="20"/>
                <w:szCs w:val="20"/>
              </w:rPr>
              <w:t>Six months ended 30 June</w:t>
            </w:r>
          </w:p>
        </w:tc>
      </w:tr>
      <w:tr w:rsidR="00E337DB" w:rsidRPr="00A36F5C" w14:paraId="33E9DB49" w14:textId="77777777" w:rsidTr="2EDC0825">
        <w:tc>
          <w:tcPr>
            <w:tcW w:w="7260" w:type="dxa"/>
            <w:tcBorders>
              <w:top w:val="nil"/>
              <w:left w:val="nil"/>
              <w:bottom w:val="nil"/>
              <w:right w:val="nil"/>
            </w:tcBorders>
            <w:vAlign w:val="bottom"/>
          </w:tcPr>
          <w:p w14:paraId="1DE9564D" w14:textId="77777777" w:rsidR="00E337DB" w:rsidRPr="00A36F5C" w:rsidRDefault="00E337DB">
            <w:pPr>
              <w:rPr>
                <w:rFonts w:asciiTheme="minorHAnsi" w:hAnsiTheme="minorHAnsi" w:cs="Arial"/>
                <w:sz w:val="20"/>
                <w:szCs w:val="20"/>
              </w:rPr>
            </w:pPr>
          </w:p>
        </w:tc>
        <w:tc>
          <w:tcPr>
            <w:tcW w:w="1304" w:type="dxa"/>
            <w:tcBorders>
              <w:top w:val="nil"/>
              <w:left w:val="nil"/>
              <w:right w:val="nil"/>
            </w:tcBorders>
            <w:shd w:val="clear" w:color="auto" w:fill="F2F2F2" w:themeFill="background1" w:themeFillShade="F2"/>
            <w:vAlign w:val="bottom"/>
          </w:tcPr>
          <w:p w14:paraId="4F9186ED" w14:textId="77777777" w:rsidR="00E62B98" w:rsidRDefault="00E337DB">
            <w:pPr>
              <w:jc w:val="right"/>
              <w:rPr>
                <w:rFonts w:asciiTheme="minorHAnsi" w:hAnsiTheme="minorHAnsi" w:cs="Arial"/>
                <w:b/>
                <w:sz w:val="20"/>
                <w:szCs w:val="20"/>
              </w:rPr>
            </w:pPr>
            <w:r w:rsidRPr="00C77A50">
              <w:rPr>
                <w:rFonts w:asciiTheme="minorHAnsi" w:hAnsiTheme="minorHAnsi" w:cs="Arial"/>
                <w:b/>
                <w:sz w:val="20"/>
                <w:szCs w:val="20"/>
              </w:rPr>
              <w:t>202</w:t>
            </w:r>
            <w:r>
              <w:rPr>
                <w:rFonts w:asciiTheme="minorHAnsi" w:hAnsiTheme="minorHAnsi" w:cs="Arial"/>
                <w:b/>
                <w:sz w:val="20"/>
                <w:szCs w:val="20"/>
              </w:rPr>
              <w:t>4</w:t>
            </w:r>
          </w:p>
          <w:p w14:paraId="1BA08E8F" w14:textId="23856572" w:rsidR="00E337DB" w:rsidRPr="00C77A50" w:rsidRDefault="00E337DB">
            <w:pPr>
              <w:jc w:val="right"/>
              <w:rPr>
                <w:rFonts w:asciiTheme="minorHAnsi" w:hAnsiTheme="minorHAnsi" w:cs="Arial"/>
                <w:b/>
                <w:sz w:val="20"/>
                <w:szCs w:val="20"/>
              </w:rPr>
            </w:pPr>
            <w:r w:rsidRPr="00C77A50">
              <w:rPr>
                <w:rFonts w:asciiTheme="minorHAnsi" w:hAnsiTheme="minorHAnsi" w:cs="Arial"/>
                <w:b/>
                <w:sz w:val="20"/>
                <w:szCs w:val="20"/>
              </w:rPr>
              <w:t> </w:t>
            </w:r>
          </w:p>
        </w:tc>
        <w:tc>
          <w:tcPr>
            <w:tcW w:w="1159" w:type="dxa"/>
            <w:tcBorders>
              <w:top w:val="nil"/>
              <w:left w:val="nil"/>
              <w:right w:val="nil"/>
            </w:tcBorders>
            <w:vAlign w:val="bottom"/>
          </w:tcPr>
          <w:p w14:paraId="469F460E" w14:textId="77777777" w:rsidR="007D21BD" w:rsidRDefault="00E337DB">
            <w:pPr>
              <w:jc w:val="right"/>
              <w:rPr>
                <w:rFonts w:asciiTheme="minorHAnsi" w:hAnsiTheme="minorHAnsi" w:cs="Arial"/>
                <w:sz w:val="20"/>
                <w:szCs w:val="20"/>
              </w:rPr>
            </w:pPr>
            <w:r w:rsidRPr="00A36F5C">
              <w:rPr>
                <w:rFonts w:asciiTheme="minorHAnsi" w:hAnsiTheme="minorHAnsi" w:cs="Arial"/>
                <w:sz w:val="20"/>
                <w:szCs w:val="20"/>
              </w:rPr>
              <w:t>202</w:t>
            </w:r>
            <w:r>
              <w:rPr>
                <w:rFonts w:asciiTheme="minorHAnsi" w:hAnsiTheme="minorHAnsi" w:cs="Arial"/>
                <w:sz w:val="20"/>
                <w:szCs w:val="20"/>
              </w:rPr>
              <w:t>3</w:t>
            </w:r>
          </w:p>
          <w:p w14:paraId="7989BB78" w14:textId="6EB43687" w:rsidR="00E337DB" w:rsidRPr="00A36F5C" w:rsidRDefault="007D21BD">
            <w:pPr>
              <w:jc w:val="right"/>
              <w:rPr>
                <w:rFonts w:asciiTheme="minorHAnsi" w:hAnsiTheme="minorHAnsi" w:cs="Arial"/>
                <w:sz w:val="20"/>
                <w:szCs w:val="20"/>
              </w:rPr>
            </w:pPr>
            <w:r>
              <w:rPr>
                <w:rFonts w:asciiTheme="minorHAnsi" w:hAnsiTheme="minorHAnsi" w:cs="Arial"/>
                <w:sz w:val="20"/>
                <w:szCs w:val="20"/>
              </w:rPr>
              <w:t>(restated)</w:t>
            </w:r>
            <w:r w:rsidR="00B1040B" w:rsidRPr="00B1040B">
              <w:rPr>
                <w:rFonts w:asciiTheme="minorHAnsi" w:hAnsiTheme="minorHAnsi" w:cs="Arial"/>
                <w:sz w:val="20"/>
                <w:szCs w:val="20"/>
                <w:vertAlign w:val="superscript"/>
              </w:rPr>
              <w:t>1</w:t>
            </w:r>
            <w:r w:rsidR="00E337DB" w:rsidRPr="00A36F5C">
              <w:rPr>
                <w:rFonts w:asciiTheme="minorHAnsi" w:hAnsiTheme="minorHAnsi" w:cs="Arial"/>
                <w:sz w:val="20"/>
                <w:szCs w:val="20"/>
              </w:rPr>
              <w:t> </w:t>
            </w:r>
          </w:p>
        </w:tc>
      </w:tr>
      <w:tr w:rsidR="00E337DB" w:rsidRPr="00A36F5C" w14:paraId="2336EDDD" w14:textId="77777777" w:rsidTr="2EDC0825">
        <w:tc>
          <w:tcPr>
            <w:tcW w:w="7260" w:type="dxa"/>
            <w:tcBorders>
              <w:top w:val="nil"/>
              <w:left w:val="nil"/>
              <w:bottom w:val="nil"/>
              <w:right w:val="nil"/>
            </w:tcBorders>
            <w:vAlign w:val="bottom"/>
          </w:tcPr>
          <w:p w14:paraId="2D8E608E" w14:textId="77777777" w:rsidR="00E337DB" w:rsidRPr="00A36F5C" w:rsidRDefault="00E337DB">
            <w:pPr>
              <w:rPr>
                <w:rFonts w:asciiTheme="minorHAnsi" w:hAnsiTheme="minorHAnsi" w:cs="Arial"/>
                <w:sz w:val="20"/>
                <w:szCs w:val="20"/>
              </w:rPr>
            </w:pPr>
          </w:p>
        </w:tc>
        <w:tc>
          <w:tcPr>
            <w:tcW w:w="1304" w:type="dxa"/>
            <w:tcBorders>
              <w:top w:val="nil"/>
              <w:left w:val="nil"/>
              <w:bottom w:val="single" w:sz="4" w:space="0" w:color="auto"/>
              <w:right w:val="nil"/>
            </w:tcBorders>
            <w:shd w:val="clear" w:color="auto" w:fill="F2F2F2" w:themeFill="background1" w:themeFillShade="F2"/>
            <w:vAlign w:val="bottom"/>
          </w:tcPr>
          <w:p w14:paraId="4A1AE3AE" w14:textId="77777777" w:rsidR="00E337DB" w:rsidRPr="00C77A50" w:rsidRDefault="00E337DB">
            <w:pPr>
              <w:jc w:val="right"/>
              <w:rPr>
                <w:rFonts w:asciiTheme="minorHAnsi" w:hAnsiTheme="minorHAnsi" w:cs="Arial"/>
                <w:b/>
                <w:sz w:val="20"/>
                <w:szCs w:val="20"/>
              </w:rPr>
            </w:pPr>
            <w:r w:rsidRPr="00C77A50">
              <w:rPr>
                <w:rFonts w:asciiTheme="minorHAnsi" w:hAnsiTheme="minorHAnsi" w:cs="Arial"/>
                <w:b/>
                <w:sz w:val="20"/>
                <w:szCs w:val="20"/>
              </w:rPr>
              <w:t>£m </w:t>
            </w:r>
          </w:p>
        </w:tc>
        <w:tc>
          <w:tcPr>
            <w:tcW w:w="1159" w:type="dxa"/>
            <w:tcBorders>
              <w:top w:val="nil"/>
              <w:left w:val="nil"/>
              <w:bottom w:val="single" w:sz="4" w:space="0" w:color="auto"/>
              <w:right w:val="nil"/>
            </w:tcBorders>
            <w:vAlign w:val="bottom"/>
          </w:tcPr>
          <w:p w14:paraId="049D579E" w14:textId="77777777" w:rsidR="00E337DB" w:rsidRPr="00A36F5C" w:rsidRDefault="00E337DB">
            <w:pPr>
              <w:jc w:val="right"/>
              <w:rPr>
                <w:rFonts w:asciiTheme="minorHAnsi" w:hAnsiTheme="minorHAnsi" w:cs="Arial"/>
                <w:sz w:val="20"/>
                <w:szCs w:val="20"/>
              </w:rPr>
            </w:pPr>
            <w:r w:rsidRPr="00A36F5C">
              <w:rPr>
                <w:rFonts w:asciiTheme="minorHAnsi" w:hAnsiTheme="minorHAnsi" w:cs="Arial"/>
                <w:sz w:val="20"/>
                <w:szCs w:val="20"/>
              </w:rPr>
              <w:t>£m </w:t>
            </w:r>
          </w:p>
        </w:tc>
      </w:tr>
      <w:tr w:rsidR="00E337DB" w:rsidRPr="00A36F5C" w14:paraId="5D28501B" w14:textId="77777777" w:rsidTr="2EDC0825">
        <w:tc>
          <w:tcPr>
            <w:tcW w:w="7260" w:type="dxa"/>
            <w:tcBorders>
              <w:top w:val="nil"/>
              <w:left w:val="nil"/>
              <w:bottom w:val="nil"/>
              <w:right w:val="nil"/>
            </w:tcBorders>
            <w:vAlign w:val="bottom"/>
          </w:tcPr>
          <w:p w14:paraId="07C8C3E1" w14:textId="070A638F" w:rsidR="00E337DB" w:rsidRPr="00A36F5C" w:rsidRDefault="00B74FB9">
            <w:pPr>
              <w:rPr>
                <w:rFonts w:asciiTheme="minorHAnsi" w:hAnsiTheme="minorHAnsi" w:cs="Poppins-Light"/>
                <w:sz w:val="20"/>
                <w:szCs w:val="20"/>
              </w:rPr>
            </w:pPr>
            <w:r>
              <w:rPr>
                <w:rFonts w:asciiTheme="minorHAnsi" w:hAnsiTheme="minorHAnsi" w:cs="Poppins-Light"/>
                <w:sz w:val="20"/>
                <w:szCs w:val="20"/>
              </w:rPr>
              <w:t>Adjusted LBT</w:t>
            </w:r>
          </w:p>
        </w:tc>
        <w:tc>
          <w:tcPr>
            <w:tcW w:w="1304" w:type="dxa"/>
            <w:tcBorders>
              <w:left w:val="nil"/>
              <w:right w:val="nil"/>
            </w:tcBorders>
            <w:shd w:val="clear" w:color="auto" w:fill="F2F2F2" w:themeFill="background1" w:themeFillShade="F2"/>
            <w:vAlign w:val="bottom"/>
          </w:tcPr>
          <w:p w14:paraId="3C0F443D" w14:textId="4687067B" w:rsidR="00E337DB" w:rsidRPr="006D4208" w:rsidRDefault="00377DE1">
            <w:pPr>
              <w:jc w:val="right"/>
              <w:rPr>
                <w:rFonts w:asciiTheme="minorHAnsi" w:hAnsiTheme="minorHAnsi" w:cs="Arial"/>
                <w:b/>
                <w:sz w:val="20"/>
                <w:szCs w:val="20"/>
              </w:rPr>
            </w:pPr>
            <w:r w:rsidRPr="006D4208">
              <w:rPr>
                <w:rFonts w:asciiTheme="minorHAnsi" w:hAnsiTheme="minorHAnsi" w:cs="Arial"/>
                <w:b/>
                <w:sz w:val="20"/>
                <w:szCs w:val="20"/>
              </w:rPr>
              <w:t>5.</w:t>
            </w:r>
            <w:r w:rsidR="00616C75" w:rsidRPr="006D4208">
              <w:rPr>
                <w:rFonts w:asciiTheme="minorHAnsi" w:hAnsiTheme="minorHAnsi" w:cs="Arial"/>
                <w:b/>
                <w:sz w:val="20"/>
                <w:szCs w:val="20"/>
              </w:rPr>
              <w:t>7</w:t>
            </w:r>
          </w:p>
        </w:tc>
        <w:tc>
          <w:tcPr>
            <w:tcW w:w="1159" w:type="dxa"/>
            <w:tcBorders>
              <w:left w:val="nil"/>
              <w:right w:val="nil"/>
            </w:tcBorders>
            <w:vAlign w:val="bottom"/>
          </w:tcPr>
          <w:p w14:paraId="30B9A629" w14:textId="25AD4E26" w:rsidR="00E337DB" w:rsidRPr="006D4208" w:rsidRDefault="2FFB5DB1" w:rsidP="00A96B2C">
            <w:pPr>
              <w:spacing w:line="259" w:lineRule="auto"/>
              <w:jc w:val="right"/>
              <w:rPr>
                <w:rFonts w:asciiTheme="minorHAnsi" w:hAnsiTheme="minorHAnsi" w:cs="Arial"/>
                <w:sz w:val="20"/>
                <w:szCs w:val="20"/>
              </w:rPr>
            </w:pPr>
            <w:r w:rsidRPr="703A532A">
              <w:rPr>
                <w:rFonts w:asciiTheme="minorHAnsi" w:hAnsiTheme="minorHAnsi" w:cs="Arial"/>
                <w:sz w:val="20"/>
                <w:szCs w:val="20"/>
              </w:rPr>
              <w:t>3</w:t>
            </w:r>
            <w:r w:rsidRPr="358ED18B">
              <w:rPr>
                <w:rFonts w:asciiTheme="minorHAnsi" w:hAnsiTheme="minorHAnsi" w:cs="Arial"/>
                <w:sz w:val="20"/>
                <w:szCs w:val="20"/>
              </w:rPr>
              <w:t>.8</w:t>
            </w:r>
          </w:p>
        </w:tc>
      </w:tr>
      <w:tr w:rsidR="00E337DB" w:rsidRPr="00A36F5C" w14:paraId="24E63388" w14:textId="77777777" w:rsidTr="2EDC0825">
        <w:tc>
          <w:tcPr>
            <w:tcW w:w="7260" w:type="dxa"/>
            <w:tcBorders>
              <w:top w:val="nil"/>
              <w:left w:val="nil"/>
              <w:bottom w:val="nil"/>
              <w:right w:val="nil"/>
            </w:tcBorders>
            <w:vAlign w:val="bottom"/>
          </w:tcPr>
          <w:p w14:paraId="6E95F426" w14:textId="424FA4F7" w:rsidR="00B74FB9" w:rsidRPr="00A36F5C" w:rsidRDefault="00B74FB9">
            <w:pPr>
              <w:rPr>
                <w:rFonts w:asciiTheme="minorHAnsi" w:hAnsiTheme="minorHAnsi" w:cs="Poppins-Light"/>
                <w:sz w:val="20"/>
                <w:szCs w:val="20"/>
              </w:rPr>
            </w:pPr>
            <w:r>
              <w:rPr>
                <w:rFonts w:asciiTheme="minorHAnsi" w:hAnsiTheme="minorHAnsi" w:cs="Poppins-Light"/>
                <w:sz w:val="20"/>
                <w:szCs w:val="20"/>
              </w:rPr>
              <w:t>Exceptional items</w:t>
            </w:r>
          </w:p>
        </w:tc>
        <w:tc>
          <w:tcPr>
            <w:tcW w:w="1304" w:type="dxa"/>
            <w:tcBorders>
              <w:left w:val="nil"/>
              <w:right w:val="nil"/>
            </w:tcBorders>
            <w:shd w:val="clear" w:color="auto" w:fill="F2F2F2" w:themeFill="background1" w:themeFillShade="F2"/>
            <w:vAlign w:val="bottom"/>
          </w:tcPr>
          <w:p w14:paraId="09C43591" w14:textId="27FD9698" w:rsidR="00E337DB" w:rsidRPr="006D4208" w:rsidRDefault="009D2074">
            <w:pPr>
              <w:jc w:val="right"/>
              <w:rPr>
                <w:rFonts w:asciiTheme="minorHAnsi" w:hAnsiTheme="minorHAnsi" w:cs="Arial"/>
                <w:b/>
                <w:sz w:val="20"/>
                <w:szCs w:val="20"/>
              </w:rPr>
            </w:pPr>
            <w:r w:rsidRPr="006D4208">
              <w:rPr>
                <w:rFonts w:asciiTheme="minorHAnsi" w:hAnsiTheme="minorHAnsi" w:cs="Arial"/>
                <w:b/>
                <w:sz w:val="20"/>
                <w:szCs w:val="20"/>
              </w:rPr>
              <w:t>3.9</w:t>
            </w:r>
          </w:p>
        </w:tc>
        <w:tc>
          <w:tcPr>
            <w:tcW w:w="1159" w:type="dxa"/>
            <w:tcBorders>
              <w:left w:val="nil"/>
              <w:right w:val="nil"/>
            </w:tcBorders>
            <w:vAlign w:val="bottom"/>
          </w:tcPr>
          <w:p w14:paraId="4747B48C" w14:textId="1805CBDC" w:rsidR="00E337DB" w:rsidRPr="006D4208" w:rsidRDefault="00BA6654">
            <w:pPr>
              <w:jc w:val="right"/>
              <w:rPr>
                <w:rFonts w:asciiTheme="minorHAnsi" w:hAnsiTheme="minorHAnsi" w:cs="Arial"/>
                <w:sz w:val="20"/>
                <w:szCs w:val="20"/>
              </w:rPr>
            </w:pPr>
            <w:r w:rsidRPr="006D4208">
              <w:rPr>
                <w:rFonts w:asciiTheme="minorHAnsi" w:hAnsiTheme="minorHAnsi" w:cs="Arial"/>
                <w:sz w:val="20"/>
                <w:szCs w:val="20"/>
              </w:rPr>
              <w:t>1.3</w:t>
            </w:r>
          </w:p>
        </w:tc>
      </w:tr>
      <w:tr w:rsidR="00E337DB" w:rsidRPr="00A36F5C" w14:paraId="4F9E9160" w14:textId="77777777" w:rsidTr="2EDC0825">
        <w:tc>
          <w:tcPr>
            <w:tcW w:w="7260" w:type="dxa"/>
            <w:tcBorders>
              <w:top w:val="nil"/>
              <w:left w:val="nil"/>
              <w:bottom w:val="nil"/>
              <w:right w:val="nil"/>
            </w:tcBorders>
            <w:vAlign w:val="bottom"/>
          </w:tcPr>
          <w:p w14:paraId="2E53A5A0" w14:textId="514A67DE" w:rsidR="00E337DB" w:rsidRPr="00A36F5C" w:rsidRDefault="00B74FB9">
            <w:pPr>
              <w:rPr>
                <w:rFonts w:asciiTheme="minorHAnsi" w:hAnsiTheme="minorHAnsi" w:cs="Poppins-Light"/>
                <w:sz w:val="20"/>
                <w:szCs w:val="20"/>
              </w:rPr>
            </w:pPr>
            <w:r>
              <w:rPr>
                <w:rFonts w:asciiTheme="minorHAnsi" w:hAnsiTheme="minorHAnsi" w:cs="Poppins-Light"/>
                <w:sz w:val="20"/>
                <w:szCs w:val="20"/>
              </w:rPr>
              <w:t>Amortisation</w:t>
            </w:r>
            <w:r w:rsidR="00861350">
              <w:rPr>
                <w:rFonts w:asciiTheme="minorHAnsi" w:hAnsiTheme="minorHAnsi" w:cs="Poppins-Light"/>
                <w:sz w:val="20"/>
                <w:szCs w:val="20"/>
              </w:rPr>
              <w:t xml:space="preserve"> of acquisition intangible</w:t>
            </w:r>
          </w:p>
        </w:tc>
        <w:tc>
          <w:tcPr>
            <w:tcW w:w="1304" w:type="dxa"/>
            <w:tcBorders>
              <w:left w:val="nil"/>
              <w:right w:val="nil"/>
            </w:tcBorders>
            <w:shd w:val="clear" w:color="auto" w:fill="F2F2F2" w:themeFill="background1" w:themeFillShade="F2"/>
            <w:vAlign w:val="bottom"/>
          </w:tcPr>
          <w:p w14:paraId="5A05ADF6" w14:textId="19172545" w:rsidR="00E337DB" w:rsidRPr="006D4208" w:rsidRDefault="009D2074">
            <w:pPr>
              <w:jc w:val="right"/>
              <w:rPr>
                <w:rFonts w:asciiTheme="minorHAnsi" w:hAnsiTheme="minorHAnsi" w:cs="Arial"/>
                <w:b/>
                <w:sz w:val="20"/>
                <w:szCs w:val="20"/>
              </w:rPr>
            </w:pPr>
            <w:r w:rsidRPr="006D4208">
              <w:rPr>
                <w:rFonts w:asciiTheme="minorHAnsi" w:hAnsiTheme="minorHAnsi" w:cs="Arial"/>
                <w:b/>
                <w:sz w:val="20"/>
                <w:szCs w:val="20"/>
              </w:rPr>
              <w:t>1.1</w:t>
            </w:r>
          </w:p>
        </w:tc>
        <w:tc>
          <w:tcPr>
            <w:tcW w:w="1159" w:type="dxa"/>
            <w:tcBorders>
              <w:left w:val="nil"/>
              <w:right w:val="nil"/>
            </w:tcBorders>
            <w:vAlign w:val="bottom"/>
          </w:tcPr>
          <w:p w14:paraId="26EF911B" w14:textId="3C760E0D" w:rsidR="00E337DB" w:rsidRPr="006D4208" w:rsidRDefault="00BA6654">
            <w:pPr>
              <w:jc w:val="right"/>
              <w:rPr>
                <w:rFonts w:asciiTheme="minorHAnsi" w:hAnsiTheme="minorHAnsi" w:cs="Arial"/>
                <w:sz w:val="20"/>
                <w:szCs w:val="20"/>
              </w:rPr>
            </w:pPr>
            <w:r w:rsidRPr="006D4208">
              <w:rPr>
                <w:rFonts w:asciiTheme="minorHAnsi" w:hAnsiTheme="minorHAnsi" w:cs="Arial"/>
                <w:sz w:val="20"/>
                <w:szCs w:val="20"/>
              </w:rPr>
              <w:t>0.9</w:t>
            </w:r>
          </w:p>
        </w:tc>
      </w:tr>
      <w:tr w:rsidR="00E337DB" w:rsidRPr="00701439" w14:paraId="4BE044F5" w14:textId="77777777" w:rsidTr="2EDC0825">
        <w:tc>
          <w:tcPr>
            <w:tcW w:w="7260" w:type="dxa"/>
            <w:tcBorders>
              <w:top w:val="nil"/>
              <w:left w:val="nil"/>
              <w:bottom w:val="nil"/>
              <w:right w:val="nil"/>
            </w:tcBorders>
            <w:vAlign w:val="bottom"/>
          </w:tcPr>
          <w:p w14:paraId="1969BCC0" w14:textId="00F36777" w:rsidR="00E337DB" w:rsidRPr="00A36F5C" w:rsidRDefault="00E337DB">
            <w:pPr>
              <w:rPr>
                <w:rFonts w:asciiTheme="minorHAnsi" w:hAnsiTheme="minorHAnsi" w:cs="Arial"/>
                <w:b/>
                <w:sz w:val="20"/>
                <w:szCs w:val="20"/>
              </w:rPr>
            </w:pPr>
            <w:r w:rsidRPr="00A36F5C">
              <w:rPr>
                <w:rFonts w:asciiTheme="minorHAnsi" w:hAnsiTheme="minorHAnsi" w:cs="Arial"/>
                <w:b/>
                <w:sz w:val="20"/>
                <w:szCs w:val="20"/>
              </w:rPr>
              <w:t xml:space="preserve">Total </w:t>
            </w:r>
            <w:r w:rsidR="00B74FB9">
              <w:rPr>
                <w:rFonts w:asciiTheme="minorHAnsi" w:hAnsiTheme="minorHAnsi" w:cs="Arial"/>
                <w:b/>
                <w:sz w:val="20"/>
                <w:szCs w:val="20"/>
              </w:rPr>
              <w:t xml:space="preserve">tax </w:t>
            </w:r>
            <w:r w:rsidR="00315937">
              <w:rPr>
                <w:rFonts w:asciiTheme="minorHAnsi" w:hAnsiTheme="minorHAnsi" w:cs="Arial"/>
                <w:b/>
                <w:sz w:val="20"/>
                <w:szCs w:val="20"/>
              </w:rPr>
              <w:t>credit</w:t>
            </w:r>
          </w:p>
        </w:tc>
        <w:tc>
          <w:tcPr>
            <w:tcW w:w="1304" w:type="dxa"/>
            <w:tcBorders>
              <w:top w:val="single" w:sz="4" w:space="0" w:color="auto"/>
              <w:left w:val="nil"/>
              <w:bottom w:val="single" w:sz="12" w:space="0" w:color="auto"/>
              <w:right w:val="nil"/>
            </w:tcBorders>
            <w:shd w:val="clear" w:color="auto" w:fill="F2F2F2" w:themeFill="background1" w:themeFillShade="F2"/>
            <w:vAlign w:val="bottom"/>
          </w:tcPr>
          <w:p w14:paraId="087AE0F4" w14:textId="33C49F11" w:rsidR="00E337DB" w:rsidRPr="006D4208" w:rsidRDefault="005B4F2B">
            <w:pPr>
              <w:jc w:val="right"/>
              <w:rPr>
                <w:rFonts w:asciiTheme="minorHAnsi" w:hAnsiTheme="minorHAnsi" w:cs="Arial"/>
                <w:b/>
                <w:sz w:val="20"/>
                <w:szCs w:val="20"/>
              </w:rPr>
            </w:pPr>
            <w:r w:rsidRPr="006D4208">
              <w:rPr>
                <w:rFonts w:asciiTheme="minorHAnsi" w:hAnsiTheme="minorHAnsi" w:cs="Arial"/>
                <w:b/>
                <w:sz w:val="20"/>
                <w:szCs w:val="20"/>
              </w:rPr>
              <w:t>10.7</w:t>
            </w:r>
          </w:p>
        </w:tc>
        <w:tc>
          <w:tcPr>
            <w:tcW w:w="1159" w:type="dxa"/>
            <w:tcBorders>
              <w:top w:val="single" w:sz="4" w:space="0" w:color="auto"/>
              <w:left w:val="nil"/>
              <w:bottom w:val="single" w:sz="12" w:space="0" w:color="auto"/>
              <w:right w:val="nil"/>
            </w:tcBorders>
            <w:vAlign w:val="bottom"/>
          </w:tcPr>
          <w:p w14:paraId="6D14A3E4" w14:textId="5CA26FFB" w:rsidR="00E337DB" w:rsidRPr="006D4208" w:rsidRDefault="210A9968" w:rsidP="00165591">
            <w:pPr>
              <w:spacing w:line="259" w:lineRule="auto"/>
              <w:jc w:val="right"/>
              <w:rPr>
                <w:rFonts w:ascii="Calibri" w:eastAsia="Calibri" w:hAnsi="Calibri" w:cs="Calibri"/>
                <w:sz w:val="20"/>
                <w:szCs w:val="20"/>
              </w:rPr>
            </w:pPr>
            <w:r w:rsidRPr="6CC74AC1">
              <w:rPr>
                <w:rFonts w:asciiTheme="minorHAnsi" w:hAnsiTheme="minorHAnsi" w:cs="Arial"/>
                <w:b/>
                <w:bCs/>
                <w:sz w:val="20"/>
                <w:szCs w:val="20"/>
              </w:rPr>
              <w:t>6.0</w:t>
            </w:r>
          </w:p>
        </w:tc>
      </w:tr>
    </w:tbl>
    <w:p w14:paraId="129CD5F4" w14:textId="77777777" w:rsidR="00B1040B" w:rsidRDefault="00B1040B" w:rsidP="00B1040B">
      <w:pPr>
        <w:rPr>
          <w:rFonts w:asciiTheme="minorHAnsi" w:hAnsiTheme="minorHAnsi" w:cs="Arial"/>
          <w:b/>
          <w:i/>
          <w:color w:val="4747FF"/>
          <w:sz w:val="22"/>
          <w:szCs w:val="22"/>
        </w:rPr>
      </w:pPr>
      <w:r w:rsidRPr="24C92F99">
        <w:rPr>
          <w:rFonts w:asciiTheme="minorHAnsi" w:hAnsiTheme="minorHAnsi" w:cs="Arial"/>
          <w:i/>
          <w:sz w:val="20"/>
          <w:szCs w:val="20"/>
          <w:vertAlign w:val="superscript"/>
        </w:rPr>
        <w:t>1</w:t>
      </w:r>
      <w:r w:rsidRPr="24C92F99">
        <w:rPr>
          <w:rFonts w:asciiTheme="minorHAnsi" w:hAnsiTheme="minorHAnsi" w:cs="Arial"/>
          <w:i/>
          <w:sz w:val="20"/>
          <w:szCs w:val="20"/>
        </w:rPr>
        <w:t xml:space="preserve"> Refer to note 2 for details of restatement.</w:t>
      </w:r>
    </w:p>
    <w:p w14:paraId="14406A8C" w14:textId="30C8DAF3" w:rsidR="103F77E5" w:rsidRDefault="103F77E5" w:rsidP="103F77E5">
      <w:pPr>
        <w:rPr>
          <w:rFonts w:asciiTheme="minorHAnsi" w:hAnsiTheme="minorHAnsi" w:cs="Arial"/>
          <w:sz w:val="20"/>
          <w:szCs w:val="20"/>
        </w:rPr>
      </w:pPr>
    </w:p>
    <w:p w14:paraId="0118270F" w14:textId="778C0F43" w:rsidR="00001708" w:rsidRPr="006D4208" w:rsidRDefault="00001708" w:rsidP="00001708">
      <w:pPr>
        <w:autoSpaceDE w:val="0"/>
        <w:autoSpaceDN w:val="0"/>
        <w:adjustRightInd w:val="0"/>
        <w:jc w:val="both"/>
        <w:rPr>
          <w:rFonts w:asciiTheme="minorHAnsi" w:hAnsiTheme="minorHAnsi" w:cstheme="minorHAnsi"/>
          <w:sz w:val="20"/>
          <w:szCs w:val="20"/>
        </w:rPr>
      </w:pPr>
      <w:r w:rsidRPr="006D4208">
        <w:rPr>
          <w:rFonts w:asciiTheme="minorHAnsi" w:hAnsiTheme="minorHAnsi" w:cstheme="minorHAnsi"/>
          <w:sz w:val="20"/>
          <w:szCs w:val="20"/>
        </w:rPr>
        <w:t>The tax c</w:t>
      </w:r>
      <w:r w:rsidR="00E543EC" w:rsidRPr="006D4208">
        <w:rPr>
          <w:rFonts w:asciiTheme="minorHAnsi" w:hAnsiTheme="minorHAnsi" w:cstheme="minorHAnsi"/>
          <w:sz w:val="20"/>
          <w:szCs w:val="20"/>
        </w:rPr>
        <w:t>redit</w:t>
      </w:r>
      <w:r w:rsidRPr="006D4208">
        <w:rPr>
          <w:rFonts w:asciiTheme="minorHAnsi" w:hAnsiTheme="minorHAnsi" w:cstheme="minorHAnsi"/>
          <w:sz w:val="20"/>
          <w:szCs w:val="20"/>
        </w:rPr>
        <w:t xml:space="preserve"> on loss before tax, amortisation of acquisition intangibles and exceptional items has been calculated by:</w:t>
      </w:r>
    </w:p>
    <w:p w14:paraId="6A69593D" w14:textId="77777777" w:rsidR="00001708" w:rsidRPr="006D4208" w:rsidRDefault="00001708" w:rsidP="00C04CAA">
      <w:pPr>
        <w:pStyle w:val="ListParagraph"/>
        <w:autoSpaceDE w:val="0"/>
        <w:autoSpaceDN w:val="0"/>
        <w:adjustRightInd w:val="0"/>
        <w:jc w:val="both"/>
        <w:rPr>
          <w:rFonts w:asciiTheme="minorHAnsi" w:hAnsiTheme="minorHAnsi" w:cstheme="minorHAnsi"/>
          <w:sz w:val="20"/>
          <w:szCs w:val="20"/>
        </w:rPr>
      </w:pPr>
    </w:p>
    <w:p w14:paraId="039DEDA0" w14:textId="46F970CE" w:rsidR="00C50EC6" w:rsidRPr="006D4208" w:rsidRDefault="00C50EC6" w:rsidP="00C50EC6">
      <w:pPr>
        <w:pStyle w:val="ListParagraph"/>
        <w:numPr>
          <w:ilvl w:val="0"/>
          <w:numId w:val="18"/>
        </w:numPr>
        <w:autoSpaceDE w:val="0"/>
        <w:autoSpaceDN w:val="0"/>
        <w:adjustRightInd w:val="0"/>
        <w:jc w:val="both"/>
        <w:rPr>
          <w:rFonts w:asciiTheme="minorHAnsi" w:hAnsiTheme="minorHAnsi" w:cstheme="minorHAnsi"/>
          <w:sz w:val="20"/>
          <w:szCs w:val="20"/>
        </w:rPr>
      </w:pPr>
      <w:r w:rsidRPr="006D4208">
        <w:rPr>
          <w:rFonts w:asciiTheme="minorHAnsi" w:hAnsiTheme="minorHAnsi" w:cstheme="minorHAnsi"/>
          <w:sz w:val="20"/>
          <w:szCs w:val="20"/>
        </w:rPr>
        <w:t>calculating the best estimate of the effective tax rate for each division for the financial year, excluding deferred tax asset write offs and, in 2023, the tax impact of the sale of shares in Visa Inc following the partial conversion of the preferred stock which relates only to 1H23;</w:t>
      </w:r>
    </w:p>
    <w:p w14:paraId="2A242626" w14:textId="5500FB5E" w:rsidR="00C04CAA" w:rsidRPr="005539AE" w:rsidRDefault="00C50EC6" w:rsidP="002725AC">
      <w:pPr>
        <w:pStyle w:val="ListParagraph"/>
        <w:numPr>
          <w:ilvl w:val="0"/>
          <w:numId w:val="18"/>
        </w:numPr>
        <w:autoSpaceDE w:val="0"/>
        <w:autoSpaceDN w:val="0"/>
        <w:adjustRightInd w:val="0"/>
        <w:jc w:val="both"/>
        <w:rPr>
          <w:rFonts w:asciiTheme="minorHAnsi" w:hAnsiTheme="minorHAnsi" w:cstheme="minorHAnsi"/>
          <w:sz w:val="20"/>
          <w:szCs w:val="20"/>
        </w:rPr>
      </w:pPr>
      <w:r w:rsidRPr="006D4208">
        <w:rPr>
          <w:rFonts w:asciiTheme="minorHAnsi" w:hAnsiTheme="minorHAnsi" w:cstheme="minorHAnsi"/>
          <w:sz w:val="20"/>
          <w:szCs w:val="20"/>
        </w:rPr>
        <w:t>applying this to the (loss)/profit before tax, amortisation of acquisition intangibles and exceptional items for the relevant division for the period and aggregating the resultant amount; and</w:t>
      </w:r>
    </w:p>
    <w:p w14:paraId="1A22D242" w14:textId="44E8E4F9" w:rsidR="00C04CAA" w:rsidRDefault="00C50EC6" w:rsidP="00C50EC6">
      <w:pPr>
        <w:pStyle w:val="ListParagraph"/>
        <w:numPr>
          <w:ilvl w:val="0"/>
          <w:numId w:val="18"/>
        </w:numPr>
        <w:autoSpaceDE w:val="0"/>
        <w:autoSpaceDN w:val="0"/>
        <w:adjustRightInd w:val="0"/>
        <w:jc w:val="both"/>
        <w:rPr>
          <w:rFonts w:asciiTheme="minorHAnsi" w:hAnsiTheme="minorHAnsi" w:cstheme="minorHAnsi"/>
          <w:sz w:val="20"/>
          <w:szCs w:val="20"/>
        </w:rPr>
      </w:pPr>
      <w:r w:rsidRPr="006D4208">
        <w:rPr>
          <w:rFonts w:asciiTheme="minorHAnsi" w:hAnsiTheme="minorHAnsi" w:cstheme="minorHAnsi"/>
          <w:sz w:val="20"/>
          <w:szCs w:val="20"/>
        </w:rPr>
        <w:t xml:space="preserve">adding to this the write off of deferred tax assets in respect of share scheme awards where tax deductions are expected to be lower than previously expected net of in 1H23 the beneficial tax impact of utilising capital losses </w:t>
      </w:r>
    </w:p>
    <w:p w14:paraId="2A64DBE5" w14:textId="38331113" w:rsidR="00C50EC6" w:rsidRPr="006D4208" w:rsidRDefault="00C50EC6" w:rsidP="00C04CAA">
      <w:pPr>
        <w:pStyle w:val="ListParagraph"/>
        <w:autoSpaceDE w:val="0"/>
        <w:autoSpaceDN w:val="0"/>
        <w:adjustRightInd w:val="0"/>
        <w:jc w:val="both"/>
        <w:rPr>
          <w:rFonts w:asciiTheme="minorHAnsi" w:hAnsiTheme="minorHAnsi" w:cstheme="minorHAnsi"/>
          <w:sz w:val="20"/>
          <w:szCs w:val="20"/>
        </w:rPr>
      </w:pPr>
      <w:r w:rsidRPr="006D4208">
        <w:rPr>
          <w:rFonts w:asciiTheme="minorHAnsi" w:hAnsiTheme="minorHAnsi" w:cstheme="minorHAnsi"/>
          <w:sz w:val="20"/>
          <w:szCs w:val="20"/>
        </w:rPr>
        <w:t xml:space="preserve">on which a deferred tax asset was not previously recognised to reduce capital gains realised in the first half of the financial year. </w:t>
      </w:r>
    </w:p>
    <w:p w14:paraId="2FD72BA6" w14:textId="77777777" w:rsidR="00C50EC6" w:rsidRPr="006D4208" w:rsidRDefault="00C50EC6" w:rsidP="00C50EC6">
      <w:pPr>
        <w:autoSpaceDE w:val="0"/>
        <w:autoSpaceDN w:val="0"/>
        <w:adjustRightInd w:val="0"/>
        <w:jc w:val="both"/>
        <w:rPr>
          <w:rFonts w:asciiTheme="minorHAnsi" w:hAnsiTheme="minorHAnsi" w:cstheme="minorHAnsi"/>
          <w:sz w:val="20"/>
          <w:szCs w:val="20"/>
        </w:rPr>
      </w:pPr>
    </w:p>
    <w:p w14:paraId="1EA85FA2" w14:textId="3FD9EB64" w:rsidR="00C50EC6" w:rsidRPr="006D4208" w:rsidRDefault="00C50EC6" w:rsidP="00C50EC6">
      <w:pPr>
        <w:autoSpaceDE w:val="0"/>
        <w:autoSpaceDN w:val="0"/>
        <w:adjustRightInd w:val="0"/>
        <w:jc w:val="both"/>
        <w:rPr>
          <w:rFonts w:asciiTheme="minorHAnsi" w:hAnsiTheme="minorHAnsi" w:cstheme="minorBidi"/>
          <w:sz w:val="20"/>
          <w:szCs w:val="20"/>
        </w:rPr>
      </w:pPr>
      <w:r w:rsidRPr="1BFCA857">
        <w:rPr>
          <w:rFonts w:asciiTheme="minorHAnsi" w:hAnsiTheme="minorHAnsi" w:cstheme="minorBidi"/>
          <w:sz w:val="20"/>
          <w:szCs w:val="20"/>
        </w:rPr>
        <w:t>This gives a tax credit for the period on loss before tax, amortisation of acquisition intangibles and exceptional items of £5.7m (1H23 restated: £</w:t>
      </w:r>
      <w:r w:rsidR="1E13198E" w:rsidRPr="1BFCA857">
        <w:rPr>
          <w:rFonts w:asciiTheme="minorHAnsi" w:hAnsiTheme="minorHAnsi" w:cstheme="minorBidi"/>
          <w:sz w:val="20"/>
          <w:szCs w:val="20"/>
        </w:rPr>
        <w:t>3.8</w:t>
      </w:r>
      <w:r w:rsidRPr="1BFCA857">
        <w:rPr>
          <w:rFonts w:asciiTheme="minorHAnsi" w:hAnsiTheme="minorHAnsi" w:cstheme="minorBidi"/>
          <w:sz w:val="20"/>
          <w:szCs w:val="20"/>
        </w:rPr>
        <w:t>m). The tax credit reflects:</w:t>
      </w:r>
    </w:p>
    <w:p w14:paraId="3C6990CF" w14:textId="77777777" w:rsidR="00C50EC6" w:rsidRPr="006D4208" w:rsidRDefault="00C50EC6" w:rsidP="00C50EC6">
      <w:pPr>
        <w:autoSpaceDE w:val="0"/>
        <w:autoSpaceDN w:val="0"/>
        <w:adjustRightInd w:val="0"/>
        <w:jc w:val="both"/>
        <w:rPr>
          <w:rFonts w:asciiTheme="minorHAnsi" w:hAnsiTheme="minorHAnsi" w:cstheme="minorHAnsi"/>
          <w:sz w:val="20"/>
          <w:szCs w:val="20"/>
        </w:rPr>
      </w:pPr>
    </w:p>
    <w:p w14:paraId="38E52F90" w14:textId="77777777" w:rsidR="00C50EC6" w:rsidRPr="006D4208" w:rsidRDefault="00C50EC6" w:rsidP="00C50EC6">
      <w:pPr>
        <w:pStyle w:val="ListParagraph"/>
        <w:numPr>
          <w:ilvl w:val="0"/>
          <w:numId w:val="17"/>
        </w:numPr>
        <w:jc w:val="both"/>
        <w:rPr>
          <w:rFonts w:asciiTheme="minorHAnsi" w:hAnsiTheme="minorHAnsi" w:cstheme="minorHAnsi"/>
          <w:sz w:val="20"/>
          <w:szCs w:val="20"/>
        </w:rPr>
      </w:pPr>
      <w:r w:rsidRPr="006D4208">
        <w:rPr>
          <w:rFonts w:asciiTheme="minorHAnsi" w:hAnsiTheme="minorHAnsi" w:cstheme="minorHAnsi"/>
          <w:sz w:val="20"/>
          <w:szCs w:val="20"/>
        </w:rPr>
        <w:t>the adverse impact of writing off deferred tax assets in respect of share scheme awards where tax deductions are expected to be lower than previously expected; and</w:t>
      </w:r>
    </w:p>
    <w:p w14:paraId="4B5E8366" w14:textId="77777777" w:rsidR="00C50EC6" w:rsidRPr="006D4208" w:rsidRDefault="00C50EC6" w:rsidP="00C50EC6">
      <w:pPr>
        <w:pStyle w:val="ListParagraph"/>
        <w:numPr>
          <w:ilvl w:val="0"/>
          <w:numId w:val="17"/>
        </w:numPr>
        <w:jc w:val="both"/>
        <w:rPr>
          <w:rFonts w:asciiTheme="minorHAnsi" w:hAnsiTheme="minorHAnsi" w:cstheme="minorHAnsi"/>
          <w:sz w:val="20"/>
          <w:szCs w:val="20"/>
        </w:rPr>
      </w:pPr>
      <w:r w:rsidRPr="006D4208">
        <w:rPr>
          <w:rFonts w:asciiTheme="minorHAnsi" w:hAnsiTheme="minorHAnsi" w:cstheme="minorHAnsi"/>
          <w:sz w:val="20"/>
          <w:szCs w:val="20"/>
        </w:rPr>
        <w:t>in 1H23 (a) the favourable impact of offsetting capital losses on which a deferred tax asset has not previously been recognised to reduce the capital gain arising on the disposal of shares following the partial conversion of the preferred stock in Visa Inc; and (b) the adverse impact of the bank corporation tax surcharge which prior to 31 March 2023 applies at a rate of 8% to the annual profits of Vanquis Bank in excess of £25m and after 31 March 2023 applies a rate of 3% to Vanquis Bank’s annual profits in excess of £100m</w:t>
      </w:r>
    </w:p>
    <w:p w14:paraId="03E3C2F7" w14:textId="77777777" w:rsidR="00C50EC6" w:rsidRPr="006D4208" w:rsidRDefault="00C50EC6" w:rsidP="00C50EC6">
      <w:pPr>
        <w:pStyle w:val="ListParagraph"/>
        <w:numPr>
          <w:ilvl w:val="0"/>
          <w:numId w:val="17"/>
        </w:numPr>
        <w:autoSpaceDE w:val="0"/>
        <w:autoSpaceDN w:val="0"/>
        <w:adjustRightInd w:val="0"/>
        <w:jc w:val="both"/>
        <w:rPr>
          <w:rFonts w:asciiTheme="minorHAnsi" w:hAnsiTheme="minorHAnsi" w:cstheme="minorHAnsi"/>
          <w:sz w:val="20"/>
          <w:szCs w:val="20"/>
        </w:rPr>
      </w:pPr>
      <w:r w:rsidRPr="006D4208">
        <w:rPr>
          <w:rFonts w:asciiTheme="minorHAnsi" w:hAnsiTheme="minorHAnsi" w:cstheme="minorHAnsi"/>
          <w:sz w:val="20"/>
          <w:szCs w:val="20"/>
        </w:rPr>
        <w:t>The tax credit (1H23: credit) reflects the recognition of deferred tax assets in respect of losses and other temporary differences on the basis the Group expects to have sufficient taxable profits in the future to enable such deferred tax assets to be recovered.</w:t>
      </w:r>
    </w:p>
    <w:p w14:paraId="53BB2837" w14:textId="77777777" w:rsidR="00C50EC6" w:rsidRPr="006D4208" w:rsidRDefault="00C50EC6" w:rsidP="00C50EC6">
      <w:pPr>
        <w:pStyle w:val="ListParagraph"/>
        <w:numPr>
          <w:ilvl w:val="0"/>
          <w:numId w:val="17"/>
        </w:numPr>
        <w:autoSpaceDE w:val="0"/>
        <w:autoSpaceDN w:val="0"/>
        <w:adjustRightInd w:val="0"/>
        <w:jc w:val="both"/>
        <w:rPr>
          <w:rFonts w:asciiTheme="minorHAnsi" w:hAnsiTheme="minorHAnsi" w:cstheme="minorHAnsi"/>
          <w:sz w:val="20"/>
          <w:szCs w:val="20"/>
        </w:rPr>
      </w:pPr>
      <w:r w:rsidRPr="006D4208">
        <w:rPr>
          <w:rFonts w:asciiTheme="minorHAnsi" w:hAnsiTheme="minorHAnsi" w:cstheme="minorHAnsi"/>
          <w:sz w:val="20"/>
          <w:szCs w:val="20"/>
        </w:rPr>
        <w:t xml:space="preserve">The tax credit in respect of exceptional items amounts to £3.9m (1H23: £1.3m). The tax credits in the current and prior periods represent tax relief in respect of exceptional costs which are considered to be tax deductible. </w:t>
      </w:r>
    </w:p>
    <w:p w14:paraId="207A46A1" w14:textId="77777777" w:rsidR="00A3021A" w:rsidRPr="00565803" w:rsidRDefault="00A3021A" w:rsidP="00A3021A">
      <w:pPr>
        <w:jc w:val="both"/>
        <w:rPr>
          <w:rFonts w:asciiTheme="minorHAnsi" w:hAnsiTheme="minorHAnsi" w:cs="Arial"/>
          <w:b/>
          <w:sz w:val="20"/>
          <w:szCs w:val="20"/>
        </w:rPr>
      </w:pPr>
    </w:p>
    <w:bookmarkEnd w:id="12"/>
    <w:p w14:paraId="04F5EA5D" w14:textId="27D89B6E" w:rsidR="00A3021A" w:rsidRPr="00565803" w:rsidRDefault="006133EC" w:rsidP="00CF66BE">
      <w:pPr>
        <w:pStyle w:val="sectionheaderwithintext"/>
        <w:spacing w:before="0"/>
        <w:ind w:left="567" w:hanging="567"/>
        <w:jc w:val="both"/>
        <w:rPr>
          <w:rFonts w:asciiTheme="minorHAnsi" w:hAnsiTheme="minorHAnsi" w:cs="Arial"/>
          <w:color w:val="4747FF"/>
          <w:sz w:val="22"/>
          <w:szCs w:val="22"/>
        </w:rPr>
      </w:pPr>
      <w:r>
        <w:rPr>
          <w:rFonts w:asciiTheme="minorHAnsi" w:hAnsiTheme="minorHAnsi" w:cs="Arial"/>
          <w:b/>
          <w:color w:val="4747FF"/>
          <w:sz w:val="22"/>
          <w:szCs w:val="22"/>
        </w:rPr>
        <w:t>6</w:t>
      </w:r>
      <w:r w:rsidR="00A3021A" w:rsidRPr="00565803">
        <w:rPr>
          <w:rStyle w:val="bodycopynumber"/>
          <w:rFonts w:asciiTheme="minorHAnsi" w:hAnsiTheme="minorHAnsi" w:cs="Arial"/>
          <w:b/>
          <w:bCs/>
          <w:color w:val="4747FF"/>
          <w:sz w:val="22"/>
          <w:szCs w:val="22"/>
        </w:rPr>
        <w:t>.</w:t>
      </w:r>
      <w:r w:rsidR="00A3021A" w:rsidRPr="00565803">
        <w:rPr>
          <w:rStyle w:val="bodycopynumber"/>
          <w:rFonts w:asciiTheme="minorHAnsi" w:hAnsiTheme="minorHAnsi" w:cs="Arial"/>
          <w:b/>
          <w:bCs/>
          <w:color w:val="4747FF"/>
          <w:sz w:val="22"/>
          <w:szCs w:val="22"/>
        </w:rPr>
        <w:tab/>
      </w:r>
      <w:r w:rsidR="00072A83" w:rsidRPr="00565803">
        <w:rPr>
          <w:rStyle w:val="bodycopynumber"/>
          <w:rFonts w:asciiTheme="minorHAnsi" w:hAnsiTheme="minorHAnsi" w:cs="Arial"/>
          <w:b/>
          <w:bCs/>
          <w:color w:val="4747FF"/>
          <w:sz w:val="22"/>
          <w:szCs w:val="22"/>
        </w:rPr>
        <w:t>L</w:t>
      </w:r>
      <w:r w:rsidR="00A3021A" w:rsidRPr="00565803">
        <w:rPr>
          <w:rStyle w:val="bodycopynumber"/>
          <w:rFonts w:asciiTheme="minorHAnsi" w:hAnsiTheme="minorHAnsi" w:cs="Arial"/>
          <w:b/>
          <w:bCs/>
          <w:color w:val="4747FF"/>
          <w:sz w:val="22"/>
          <w:szCs w:val="22"/>
        </w:rPr>
        <w:t>oss per share</w:t>
      </w:r>
    </w:p>
    <w:p w14:paraId="692C9779" w14:textId="77777777" w:rsidR="00A3021A" w:rsidRPr="00565803" w:rsidRDefault="00A3021A"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6EBBE4CE" w14:textId="4E0BDCD7" w:rsidR="00A3021A" w:rsidRPr="00565803" w:rsidRDefault="00A3021A" w:rsidP="00883BF5">
      <w:pPr>
        <w:pStyle w:val="bodycop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Poppins-Light"/>
          <w:color w:val="auto"/>
          <w:sz w:val="20"/>
          <w:lang w:eastAsia="en-GB"/>
        </w:rPr>
      </w:pPr>
      <w:r w:rsidRPr="00565803">
        <w:rPr>
          <w:rFonts w:asciiTheme="minorHAnsi" w:hAnsiTheme="minorHAnsi" w:cs="Poppins-Light"/>
          <w:color w:val="auto"/>
          <w:sz w:val="20"/>
          <w:lang w:eastAsia="en-GB"/>
        </w:rPr>
        <w:t xml:space="preserve">Basic loss per share </w:t>
      </w:r>
      <w:r w:rsidR="00072A83" w:rsidRPr="00565803">
        <w:rPr>
          <w:rFonts w:asciiTheme="minorHAnsi" w:hAnsiTheme="minorHAnsi" w:cs="Poppins-Light"/>
          <w:color w:val="auto"/>
          <w:sz w:val="20"/>
          <w:lang w:eastAsia="en-GB"/>
        </w:rPr>
        <w:t>L</w:t>
      </w:r>
      <w:r w:rsidR="00863D48" w:rsidRPr="00565803">
        <w:rPr>
          <w:rFonts w:asciiTheme="minorHAnsi" w:hAnsiTheme="minorHAnsi" w:cs="Poppins-Light"/>
          <w:color w:val="auto"/>
          <w:sz w:val="20"/>
          <w:lang w:eastAsia="en-GB"/>
        </w:rPr>
        <w:t>PS</w:t>
      </w:r>
      <w:r w:rsidRPr="00565803">
        <w:rPr>
          <w:rFonts w:asciiTheme="minorHAnsi" w:hAnsiTheme="minorHAnsi" w:cs="Poppins-Light"/>
          <w:color w:val="auto"/>
          <w:sz w:val="20"/>
          <w:lang w:eastAsia="en-GB"/>
        </w:rPr>
        <w:t xml:space="preserve"> is calculated by dividing the </w:t>
      </w:r>
      <w:r w:rsidR="00072A83" w:rsidRPr="00565803">
        <w:rPr>
          <w:rFonts w:asciiTheme="minorHAnsi" w:hAnsiTheme="minorHAnsi" w:cs="Poppins-Light"/>
          <w:color w:val="auto"/>
          <w:sz w:val="20"/>
          <w:lang w:eastAsia="en-GB"/>
        </w:rPr>
        <w:t>loss</w:t>
      </w:r>
      <w:r w:rsidRPr="00565803">
        <w:rPr>
          <w:rFonts w:asciiTheme="minorHAnsi" w:hAnsiTheme="minorHAnsi" w:cs="Poppins-Light"/>
          <w:color w:val="auto"/>
          <w:sz w:val="20"/>
          <w:lang w:eastAsia="en-GB"/>
        </w:rPr>
        <w:t xml:space="preserve"> for the </w:t>
      </w:r>
      <w:r w:rsidR="005C61BA" w:rsidRPr="00565803">
        <w:rPr>
          <w:rFonts w:asciiTheme="minorHAnsi" w:hAnsiTheme="minorHAnsi" w:cs="Poppins-Light"/>
          <w:color w:val="auto"/>
          <w:sz w:val="20"/>
          <w:lang w:eastAsia="en-GB"/>
        </w:rPr>
        <w:t>period</w:t>
      </w:r>
      <w:r w:rsidRPr="00565803">
        <w:rPr>
          <w:rFonts w:asciiTheme="minorHAnsi" w:hAnsiTheme="minorHAnsi" w:cs="Poppins-Light"/>
          <w:color w:val="auto"/>
          <w:sz w:val="20"/>
          <w:lang w:eastAsia="en-GB"/>
        </w:rPr>
        <w:t xml:space="preserve"> attributable to equity shareholders by the weighted average number of ordinary shares outstanding during the </w:t>
      </w:r>
      <w:r w:rsidR="00155515" w:rsidRPr="00565803">
        <w:rPr>
          <w:rFonts w:asciiTheme="minorHAnsi" w:hAnsiTheme="minorHAnsi" w:cs="Poppins-Light"/>
          <w:color w:val="auto"/>
          <w:sz w:val="20"/>
          <w:lang w:eastAsia="en-GB"/>
        </w:rPr>
        <w:t>period</w:t>
      </w:r>
      <w:r w:rsidRPr="00565803">
        <w:rPr>
          <w:rFonts w:asciiTheme="minorHAnsi" w:hAnsiTheme="minorHAnsi" w:cs="Poppins-Light"/>
          <w:color w:val="auto"/>
          <w:sz w:val="20"/>
          <w:lang w:eastAsia="en-GB"/>
        </w:rPr>
        <w:t xml:space="preserve"> less the number of shares held by the Employee Benefit Trust which are used to satisfy the share awards such as</w:t>
      </w:r>
      <w:r w:rsidR="0007249A" w:rsidRPr="00565803">
        <w:rPr>
          <w:rFonts w:asciiTheme="minorHAnsi" w:hAnsiTheme="minorHAnsi" w:cs="Poppins-Light"/>
          <w:color w:val="auto"/>
          <w:sz w:val="20"/>
          <w:lang w:eastAsia="en-GB"/>
        </w:rPr>
        <w:t xml:space="preserve"> the Deferred Bonus Plan</w:t>
      </w:r>
      <w:r w:rsidRPr="00565803">
        <w:rPr>
          <w:rFonts w:asciiTheme="minorHAnsi" w:hAnsiTheme="minorHAnsi" w:cs="Poppins-Light"/>
          <w:color w:val="auto"/>
          <w:sz w:val="20"/>
          <w:lang w:eastAsia="en-GB"/>
        </w:rPr>
        <w:t xml:space="preserve"> </w:t>
      </w:r>
      <w:r w:rsidR="0007249A" w:rsidRPr="00565803">
        <w:rPr>
          <w:rFonts w:asciiTheme="minorHAnsi" w:hAnsiTheme="minorHAnsi" w:cs="Poppins-Light"/>
          <w:color w:val="auto"/>
          <w:sz w:val="20"/>
          <w:lang w:eastAsia="en-GB"/>
        </w:rPr>
        <w:t>(</w:t>
      </w:r>
      <w:r w:rsidRPr="00565803">
        <w:rPr>
          <w:rFonts w:asciiTheme="minorHAnsi" w:hAnsiTheme="minorHAnsi" w:cs="Poppins-Light"/>
          <w:color w:val="auto"/>
          <w:sz w:val="20"/>
          <w:lang w:eastAsia="en-GB"/>
        </w:rPr>
        <w:t>DBP</w:t>
      </w:r>
      <w:r w:rsidR="0007249A" w:rsidRPr="00565803">
        <w:rPr>
          <w:rFonts w:asciiTheme="minorHAnsi" w:hAnsiTheme="minorHAnsi" w:cs="Poppins-Light"/>
          <w:color w:val="auto"/>
          <w:sz w:val="20"/>
          <w:lang w:eastAsia="en-GB"/>
        </w:rPr>
        <w:t>)</w:t>
      </w:r>
      <w:r w:rsidRPr="00565803">
        <w:rPr>
          <w:rFonts w:asciiTheme="minorHAnsi" w:hAnsiTheme="minorHAnsi" w:cs="Poppins-Light"/>
          <w:color w:val="auto"/>
          <w:sz w:val="20"/>
          <w:lang w:eastAsia="en-GB"/>
        </w:rPr>
        <w:t>,</w:t>
      </w:r>
      <w:r w:rsidR="0007249A" w:rsidRPr="00565803">
        <w:rPr>
          <w:rFonts w:asciiTheme="minorHAnsi" w:hAnsiTheme="minorHAnsi" w:cs="Poppins-Light"/>
          <w:color w:val="auto"/>
          <w:sz w:val="20"/>
          <w:lang w:eastAsia="en-GB"/>
        </w:rPr>
        <w:t xml:space="preserve"> Long Term Investment Scheme</w:t>
      </w:r>
      <w:r w:rsidRPr="00565803">
        <w:rPr>
          <w:rFonts w:asciiTheme="minorHAnsi" w:hAnsiTheme="minorHAnsi" w:cs="Poppins-Light"/>
          <w:color w:val="auto"/>
          <w:sz w:val="20"/>
          <w:lang w:eastAsia="en-GB"/>
        </w:rPr>
        <w:t xml:space="preserve"> </w:t>
      </w:r>
      <w:r w:rsidR="0007249A" w:rsidRPr="00565803">
        <w:rPr>
          <w:rFonts w:asciiTheme="minorHAnsi" w:hAnsiTheme="minorHAnsi" w:cs="Poppins-Light"/>
          <w:color w:val="auto"/>
          <w:sz w:val="20"/>
          <w:lang w:eastAsia="en-GB"/>
        </w:rPr>
        <w:t>(</w:t>
      </w:r>
      <w:r w:rsidRPr="00565803">
        <w:rPr>
          <w:rFonts w:asciiTheme="minorHAnsi" w:hAnsiTheme="minorHAnsi" w:cs="Poppins-Light"/>
          <w:color w:val="auto"/>
          <w:sz w:val="20"/>
          <w:lang w:eastAsia="en-GB"/>
        </w:rPr>
        <w:t>LTIS</w:t>
      </w:r>
      <w:r w:rsidR="0007249A" w:rsidRPr="00565803">
        <w:rPr>
          <w:rFonts w:asciiTheme="minorHAnsi" w:hAnsiTheme="minorHAnsi" w:cs="Poppins-Light"/>
          <w:color w:val="auto"/>
          <w:sz w:val="20"/>
          <w:lang w:eastAsia="en-GB"/>
        </w:rPr>
        <w:t>)</w:t>
      </w:r>
      <w:r w:rsidRPr="00565803">
        <w:rPr>
          <w:rFonts w:asciiTheme="minorHAnsi" w:hAnsiTheme="minorHAnsi" w:cs="Poppins-Light"/>
          <w:color w:val="auto"/>
          <w:sz w:val="20"/>
          <w:lang w:eastAsia="en-GB"/>
        </w:rPr>
        <w:t xml:space="preserve">, </w:t>
      </w:r>
      <w:r w:rsidR="0007249A" w:rsidRPr="00565803">
        <w:rPr>
          <w:rFonts w:asciiTheme="minorHAnsi" w:hAnsiTheme="minorHAnsi" w:cs="Poppins-Light"/>
          <w:color w:val="auto"/>
          <w:sz w:val="20"/>
          <w:lang w:eastAsia="en-GB"/>
        </w:rPr>
        <w:t>Restricted Share Plan (</w:t>
      </w:r>
      <w:r w:rsidRPr="00565803">
        <w:rPr>
          <w:rFonts w:asciiTheme="minorHAnsi" w:hAnsiTheme="minorHAnsi" w:cs="Poppins-Light"/>
          <w:color w:val="auto"/>
          <w:sz w:val="20"/>
          <w:lang w:eastAsia="en-GB"/>
        </w:rPr>
        <w:t>RSP</w:t>
      </w:r>
      <w:r w:rsidR="0007249A" w:rsidRPr="00565803">
        <w:rPr>
          <w:rFonts w:asciiTheme="minorHAnsi" w:hAnsiTheme="minorHAnsi" w:cs="Poppins-Light"/>
          <w:color w:val="auto"/>
          <w:sz w:val="20"/>
          <w:lang w:eastAsia="en-GB"/>
        </w:rPr>
        <w:t>)</w:t>
      </w:r>
      <w:r w:rsidRPr="00565803">
        <w:rPr>
          <w:rFonts w:asciiTheme="minorHAnsi" w:hAnsiTheme="minorHAnsi" w:cs="Poppins-Light"/>
          <w:color w:val="auto"/>
          <w:sz w:val="20"/>
          <w:lang w:eastAsia="en-GB"/>
        </w:rPr>
        <w:t xml:space="preserve"> and </w:t>
      </w:r>
      <w:r w:rsidR="00B90719" w:rsidRPr="00565803">
        <w:rPr>
          <w:rFonts w:asciiTheme="minorHAnsi" w:hAnsiTheme="minorHAnsi" w:cs="Poppins-Light"/>
          <w:color w:val="auto"/>
          <w:sz w:val="20"/>
          <w:lang w:eastAsia="en-GB"/>
        </w:rPr>
        <w:t>Company Share Option Plan (</w:t>
      </w:r>
      <w:r w:rsidRPr="00565803">
        <w:rPr>
          <w:rFonts w:asciiTheme="minorHAnsi" w:hAnsiTheme="minorHAnsi" w:cs="Poppins-Light"/>
          <w:color w:val="auto"/>
          <w:sz w:val="20"/>
          <w:lang w:eastAsia="en-GB"/>
        </w:rPr>
        <w:t>CSOP</w:t>
      </w:r>
      <w:r w:rsidR="00B90719" w:rsidRPr="00565803">
        <w:rPr>
          <w:rFonts w:asciiTheme="minorHAnsi" w:hAnsiTheme="minorHAnsi" w:cs="Poppins-Light"/>
          <w:color w:val="auto"/>
          <w:sz w:val="20"/>
          <w:lang w:eastAsia="en-GB"/>
        </w:rPr>
        <w:t>)</w:t>
      </w:r>
      <w:r w:rsidRPr="00565803">
        <w:rPr>
          <w:rFonts w:asciiTheme="minorHAnsi" w:hAnsiTheme="minorHAnsi" w:cs="Poppins-Light"/>
          <w:color w:val="auto"/>
          <w:sz w:val="20"/>
          <w:lang w:eastAsia="en-GB"/>
        </w:rPr>
        <w:t>.</w:t>
      </w:r>
    </w:p>
    <w:p w14:paraId="3945A999" w14:textId="0DD12DF4" w:rsidR="00A3021A" w:rsidRPr="00565803" w:rsidRDefault="00A3021A" w:rsidP="00883BF5">
      <w:pPr>
        <w:pStyle w:val="bodycop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Poppins-Light"/>
          <w:color w:val="auto"/>
          <w:sz w:val="20"/>
          <w:lang w:eastAsia="en-GB"/>
        </w:rPr>
      </w:pPr>
      <w:r w:rsidRPr="00565803">
        <w:rPr>
          <w:rFonts w:asciiTheme="minorHAnsi" w:hAnsiTheme="minorHAnsi" w:cs="Poppins-Light"/>
          <w:color w:val="auto"/>
          <w:sz w:val="20"/>
          <w:lang w:eastAsia="en-GB"/>
        </w:rPr>
        <w:t>Diluted</w:t>
      </w:r>
      <w:r w:rsidR="00072A83" w:rsidRPr="00565803">
        <w:rPr>
          <w:rFonts w:asciiTheme="minorHAnsi" w:hAnsiTheme="minorHAnsi" w:cs="Poppins-Light"/>
          <w:color w:val="auto"/>
          <w:sz w:val="20"/>
          <w:lang w:eastAsia="en-GB"/>
        </w:rPr>
        <w:t xml:space="preserve"> </w:t>
      </w:r>
      <w:r w:rsidRPr="00565803">
        <w:rPr>
          <w:rFonts w:asciiTheme="minorHAnsi" w:hAnsiTheme="minorHAnsi" w:cs="Poppins-Light"/>
          <w:color w:val="auto"/>
          <w:sz w:val="20"/>
          <w:lang w:eastAsia="en-GB"/>
        </w:rPr>
        <w:t>L</w:t>
      </w:r>
      <w:r w:rsidR="00072A83" w:rsidRPr="00565803">
        <w:rPr>
          <w:rFonts w:asciiTheme="minorHAnsi" w:hAnsiTheme="minorHAnsi" w:cs="Poppins-Light"/>
          <w:color w:val="auto"/>
          <w:sz w:val="20"/>
          <w:lang w:eastAsia="en-GB"/>
        </w:rPr>
        <w:t>/E</w:t>
      </w:r>
      <w:r w:rsidR="00B031A9" w:rsidRPr="00565803">
        <w:rPr>
          <w:rFonts w:asciiTheme="minorHAnsi" w:hAnsiTheme="minorHAnsi" w:cs="Poppins-Light"/>
          <w:color w:val="auto"/>
          <w:sz w:val="20"/>
          <w:lang w:eastAsia="en-GB"/>
        </w:rPr>
        <w:t>PS</w:t>
      </w:r>
      <w:r w:rsidRPr="00565803">
        <w:rPr>
          <w:rFonts w:asciiTheme="minorHAnsi" w:hAnsiTheme="minorHAnsi" w:cs="Poppins-Light"/>
          <w:color w:val="auto"/>
          <w:sz w:val="20"/>
          <w:lang w:eastAsia="en-GB"/>
        </w:rPr>
        <w:t xml:space="preserve"> calculates the effect on L</w:t>
      </w:r>
      <w:r w:rsidR="00072A83" w:rsidRPr="00565803">
        <w:rPr>
          <w:rFonts w:asciiTheme="minorHAnsi" w:hAnsiTheme="minorHAnsi" w:cs="Poppins-Light"/>
          <w:color w:val="auto"/>
          <w:sz w:val="20"/>
          <w:lang w:eastAsia="en-GB"/>
        </w:rPr>
        <w:t>/E</w:t>
      </w:r>
      <w:r w:rsidR="00C05778" w:rsidRPr="00565803">
        <w:rPr>
          <w:rFonts w:asciiTheme="minorHAnsi" w:hAnsiTheme="minorHAnsi" w:cs="Poppins-Light"/>
          <w:color w:val="auto"/>
          <w:sz w:val="20"/>
          <w:lang w:eastAsia="en-GB"/>
        </w:rPr>
        <w:t>PS</w:t>
      </w:r>
      <w:r w:rsidRPr="00565803">
        <w:rPr>
          <w:rFonts w:asciiTheme="minorHAnsi" w:hAnsiTheme="minorHAnsi" w:cs="Poppins-Light"/>
          <w:color w:val="auto"/>
          <w:sz w:val="20"/>
          <w:lang w:eastAsia="en-GB"/>
        </w:rPr>
        <w:t xml:space="preserve"> assuming conversion of all dilutive potential ordinary shares. Dilutive potential ordinary shares are calculated as follows:</w:t>
      </w:r>
    </w:p>
    <w:p w14:paraId="4A077DA6" w14:textId="1F4C03B0" w:rsidR="00A3021A" w:rsidRDefault="00A3021A" w:rsidP="004C01BA">
      <w:pPr>
        <w:pStyle w:val="bodycopy"/>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349"/>
        <w:jc w:val="both"/>
        <w:rPr>
          <w:rFonts w:asciiTheme="minorHAnsi" w:hAnsiTheme="minorHAnsi" w:cs="Poppins-Light"/>
          <w:color w:val="auto"/>
          <w:sz w:val="20"/>
          <w:lang w:eastAsia="en-GB"/>
        </w:rPr>
      </w:pPr>
      <w:r w:rsidRPr="103F77E5">
        <w:rPr>
          <w:rFonts w:asciiTheme="minorHAnsi" w:hAnsiTheme="minorHAnsi" w:cs="Poppins-Light"/>
          <w:color w:val="auto"/>
          <w:sz w:val="20"/>
          <w:lang w:eastAsia="en-GB"/>
        </w:rPr>
        <w:t xml:space="preserve">For share awards outstanding under performance-related share incentive schemes such as the </w:t>
      </w:r>
      <w:r w:rsidR="00B90719" w:rsidRPr="103F77E5">
        <w:rPr>
          <w:rFonts w:asciiTheme="minorHAnsi" w:hAnsiTheme="minorHAnsi" w:cs="Poppins-Light"/>
          <w:color w:val="auto"/>
          <w:sz w:val="20"/>
          <w:lang w:eastAsia="en-GB"/>
        </w:rPr>
        <w:t>DBP</w:t>
      </w:r>
      <w:r w:rsidRPr="103F77E5">
        <w:rPr>
          <w:rFonts w:asciiTheme="minorHAnsi" w:hAnsiTheme="minorHAnsi" w:cs="Poppins-Light"/>
          <w:color w:val="auto"/>
          <w:sz w:val="20"/>
          <w:lang w:eastAsia="en-GB"/>
        </w:rPr>
        <w:t>,</w:t>
      </w:r>
      <w:r w:rsidR="00B35629" w:rsidRPr="103F77E5">
        <w:rPr>
          <w:rFonts w:asciiTheme="minorHAnsi" w:hAnsiTheme="minorHAnsi" w:cs="Poppins-Light"/>
          <w:color w:val="auto"/>
          <w:sz w:val="20"/>
          <w:lang w:eastAsia="en-GB"/>
        </w:rPr>
        <w:t xml:space="preserve"> </w:t>
      </w:r>
      <w:r w:rsidRPr="103F77E5">
        <w:rPr>
          <w:rFonts w:asciiTheme="minorHAnsi" w:hAnsiTheme="minorHAnsi" w:cs="Poppins-Light"/>
          <w:color w:val="auto"/>
          <w:sz w:val="20"/>
          <w:lang w:eastAsia="en-GB"/>
        </w:rPr>
        <w:t>LTIS,</w:t>
      </w:r>
      <w:r w:rsidR="00B35629" w:rsidRPr="103F77E5">
        <w:rPr>
          <w:rFonts w:asciiTheme="minorHAnsi" w:hAnsiTheme="minorHAnsi" w:cs="Poppins-Light"/>
          <w:color w:val="auto"/>
          <w:sz w:val="20"/>
          <w:lang w:eastAsia="en-GB"/>
        </w:rPr>
        <w:t xml:space="preserve"> </w:t>
      </w:r>
      <w:r w:rsidRPr="103F77E5">
        <w:rPr>
          <w:rFonts w:asciiTheme="minorHAnsi" w:hAnsiTheme="minorHAnsi" w:cs="Poppins-Light"/>
          <w:color w:val="auto"/>
          <w:sz w:val="20"/>
          <w:lang w:eastAsia="en-GB"/>
        </w:rPr>
        <w:t>RSP and the</w:t>
      </w:r>
      <w:r w:rsidR="00B35629" w:rsidRPr="103F77E5">
        <w:rPr>
          <w:rFonts w:asciiTheme="minorHAnsi" w:hAnsiTheme="minorHAnsi" w:cs="Poppins-Light"/>
          <w:color w:val="auto"/>
          <w:sz w:val="20"/>
          <w:lang w:eastAsia="en-GB"/>
        </w:rPr>
        <w:t xml:space="preserve"> </w:t>
      </w:r>
      <w:r w:rsidRPr="103F77E5">
        <w:rPr>
          <w:rFonts w:asciiTheme="minorHAnsi" w:hAnsiTheme="minorHAnsi" w:cs="Poppins-Light"/>
          <w:color w:val="auto"/>
          <w:sz w:val="20"/>
          <w:lang w:eastAsia="en-GB"/>
        </w:rPr>
        <w:t>CSOP, the number of dilutive potential ordinary shares is calculated based on the number of shares which would be issuable if: (</w:t>
      </w:r>
      <w:proofErr w:type="spellStart"/>
      <w:r w:rsidRPr="103F77E5">
        <w:rPr>
          <w:rFonts w:asciiTheme="minorHAnsi" w:hAnsiTheme="minorHAnsi" w:cs="Poppins-Light"/>
          <w:color w:val="auto"/>
          <w:sz w:val="20"/>
          <w:lang w:eastAsia="en-GB"/>
        </w:rPr>
        <w:t>i</w:t>
      </w:r>
      <w:proofErr w:type="spellEnd"/>
      <w:r w:rsidRPr="103F77E5">
        <w:rPr>
          <w:rFonts w:asciiTheme="minorHAnsi" w:hAnsiTheme="minorHAnsi" w:cs="Poppins-Light"/>
          <w:color w:val="auto"/>
          <w:sz w:val="20"/>
          <w:lang w:eastAsia="en-GB"/>
        </w:rPr>
        <w:t>) the end of the reporting period is assumed to be the end of the schemes’ performance period; and (ii) the performance targets have been met as at that date</w:t>
      </w:r>
    </w:p>
    <w:p w14:paraId="428D435F" w14:textId="25B5CADB" w:rsidR="00A3021A" w:rsidRPr="00565803" w:rsidRDefault="00A3021A" w:rsidP="002725AC">
      <w:pPr>
        <w:pStyle w:val="bodycopy"/>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349"/>
        <w:jc w:val="both"/>
        <w:rPr>
          <w:rFonts w:asciiTheme="minorHAnsi" w:hAnsiTheme="minorHAnsi" w:cs="Poppins-Light"/>
          <w:color w:val="auto"/>
          <w:sz w:val="20"/>
          <w:lang w:eastAsia="en-GB"/>
        </w:rPr>
      </w:pPr>
      <w:r w:rsidRPr="103F77E5">
        <w:rPr>
          <w:rFonts w:asciiTheme="minorHAnsi" w:hAnsiTheme="minorHAnsi" w:cs="Poppins-Light"/>
          <w:color w:val="auto"/>
          <w:sz w:val="20"/>
          <w:lang w:eastAsia="en-GB"/>
        </w:rPr>
        <w:t xml:space="preserve">For share options outstanding under non-performance-related schemes such as the Save As You Earn scheme (SAYE), a calculation is performed to determine the number of shares that could have been acquired at fair value (determined as the average annual market share price of the Company’s shares) based on the monetary value of the subscription rights attached to outstanding share options. The number of shares calculated is compared with the number of share options outstanding, with the difference being the dilutive potential ordinary shares. The Group also presents an adjusted </w:t>
      </w:r>
      <w:r w:rsidR="00567851" w:rsidRPr="103F77E5">
        <w:rPr>
          <w:rFonts w:asciiTheme="minorHAnsi" w:hAnsiTheme="minorHAnsi" w:cs="Poppins-Light"/>
          <w:color w:val="auto"/>
          <w:sz w:val="20"/>
          <w:lang w:eastAsia="en-GB"/>
        </w:rPr>
        <w:t>L/</w:t>
      </w:r>
      <w:r w:rsidRPr="103F77E5">
        <w:rPr>
          <w:rFonts w:asciiTheme="minorHAnsi" w:hAnsiTheme="minorHAnsi" w:cs="Poppins-Light"/>
          <w:color w:val="auto"/>
          <w:sz w:val="20"/>
          <w:lang w:eastAsia="en-GB"/>
        </w:rPr>
        <w:t>EPS, prior to the amortisation of acquisition intangibles and exceptional items.</w:t>
      </w:r>
    </w:p>
    <w:p w14:paraId="405E7B23" w14:textId="706201B7" w:rsidR="00A3021A" w:rsidRDefault="00A3021A" w:rsidP="00883BF5">
      <w:pPr>
        <w:pStyle w:val="bodycop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Poppins-Light"/>
          <w:color w:val="auto"/>
          <w:sz w:val="20"/>
          <w:lang w:eastAsia="en-GB"/>
        </w:rPr>
      </w:pPr>
      <w:r w:rsidRPr="103F77E5">
        <w:rPr>
          <w:rFonts w:asciiTheme="minorHAnsi" w:hAnsiTheme="minorHAnsi" w:cs="Poppins-Light"/>
          <w:color w:val="auto"/>
          <w:sz w:val="20"/>
          <w:lang w:eastAsia="en-GB"/>
        </w:rPr>
        <w:t>Potential ordinary shares are treated as dilutive when, and only when, their conversion to ordinary shares would decrease earnings per share or increase loss per share.</w:t>
      </w:r>
    </w:p>
    <w:p w14:paraId="03A6CF93" w14:textId="58C5A2D7" w:rsidR="00A3021A" w:rsidRDefault="00A3021A" w:rsidP="00A3021A">
      <w:pPr>
        <w:pStyle w:val="bodycop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Poppins-Light"/>
          <w:sz w:val="20"/>
        </w:rPr>
      </w:pPr>
      <w:r w:rsidRPr="00565803">
        <w:rPr>
          <w:rFonts w:asciiTheme="minorHAnsi" w:hAnsiTheme="minorHAnsi" w:cs="Poppins-Light"/>
          <w:sz w:val="20"/>
        </w:rPr>
        <w:t>Reconciliations of basic and diluted L</w:t>
      </w:r>
      <w:r w:rsidR="00CA3F98" w:rsidRPr="00565803">
        <w:rPr>
          <w:rFonts w:asciiTheme="minorHAnsi" w:hAnsiTheme="minorHAnsi" w:cs="Poppins-Light"/>
          <w:sz w:val="20"/>
        </w:rPr>
        <w:t>PS</w:t>
      </w:r>
      <w:r w:rsidRPr="00565803">
        <w:rPr>
          <w:rFonts w:asciiTheme="minorHAnsi" w:hAnsiTheme="minorHAnsi" w:cs="Poppins-Light"/>
          <w:sz w:val="20"/>
        </w:rPr>
        <w:t xml:space="preserve"> are set out below:</w:t>
      </w:r>
    </w:p>
    <w:p w14:paraId="4D551612" w14:textId="77777777" w:rsidR="00A010EF" w:rsidRDefault="00A010EF" w:rsidP="00A010EF">
      <w:pPr>
        <w:jc w:val="both"/>
        <w:rPr>
          <w:rFonts w:asciiTheme="minorHAnsi" w:hAnsiTheme="minorHAnsi" w:cs="Arial"/>
          <w:sz w:val="20"/>
          <w:szCs w:val="20"/>
        </w:rPr>
      </w:pPr>
    </w:p>
    <w:tbl>
      <w:tblPr>
        <w:tblW w:w="9976" w:type="dxa"/>
        <w:tblLayout w:type="fixed"/>
        <w:tblLook w:val="0000" w:firstRow="0" w:lastRow="0" w:firstColumn="0" w:lastColumn="0" w:noHBand="0" w:noVBand="0"/>
      </w:tblPr>
      <w:tblGrid>
        <w:gridCol w:w="3560"/>
        <w:gridCol w:w="1138"/>
        <w:gridCol w:w="995"/>
        <w:gridCol w:w="1002"/>
        <w:gridCol w:w="995"/>
        <w:gridCol w:w="1138"/>
        <w:gridCol w:w="1148"/>
      </w:tblGrid>
      <w:tr w:rsidR="00A2748D" w:rsidRPr="00A36F5C" w14:paraId="05649F0F" w14:textId="77777777" w:rsidTr="00A2748D">
        <w:trPr>
          <w:trHeight w:val="207"/>
        </w:trPr>
        <w:tc>
          <w:tcPr>
            <w:tcW w:w="3560" w:type="dxa"/>
          </w:tcPr>
          <w:p w14:paraId="32667793" w14:textId="77777777" w:rsidR="00A2748D" w:rsidRPr="00A36F5C" w:rsidRDefault="00A2748D">
            <w:pPr>
              <w:jc w:val="right"/>
              <w:rPr>
                <w:rFonts w:asciiTheme="minorHAnsi" w:hAnsiTheme="minorHAnsi" w:cs="Arial"/>
                <w:sz w:val="20"/>
                <w:szCs w:val="20"/>
              </w:rPr>
            </w:pPr>
          </w:p>
        </w:tc>
        <w:tc>
          <w:tcPr>
            <w:tcW w:w="6416" w:type="dxa"/>
            <w:gridSpan w:val="6"/>
            <w:shd w:val="clear" w:color="auto" w:fill="auto"/>
          </w:tcPr>
          <w:p w14:paraId="219C548E" w14:textId="6930FA22" w:rsidR="00A2748D" w:rsidRPr="00A36F5C" w:rsidRDefault="00A2748D">
            <w:pPr>
              <w:jc w:val="center"/>
              <w:rPr>
                <w:rFonts w:asciiTheme="minorHAnsi" w:hAnsiTheme="minorHAnsi" w:cs="Arial"/>
                <w:sz w:val="20"/>
                <w:szCs w:val="20"/>
              </w:rPr>
            </w:pPr>
            <w:r>
              <w:rPr>
                <w:rFonts w:asciiTheme="minorHAnsi" w:hAnsiTheme="minorHAnsi" w:cs="Arial"/>
                <w:sz w:val="20"/>
                <w:szCs w:val="20"/>
              </w:rPr>
              <w:t>Six months ended 30 June</w:t>
            </w:r>
          </w:p>
        </w:tc>
      </w:tr>
      <w:tr w:rsidR="00BA1E4D" w:rsidRPr="00A36F5C" w14:paraId="0F5EF403" w14:textId="77777777" w:rsidTr="7ACEA165">
        <w:trPr>
          <w:trHeight w:val="300"/>
        </w:trPr>
        <w:tc>
          <w:tcPr>
            <w:tcW w:w="3560" w:type="dxa"/>
          </w:tcPr>
          <w:p w14:paraId="3A3B6ADE" w14:textId="77777777" w:rsidR="00BA1E4D" w:rsidRPr="00A36F5C" w:rsidRDefault="00BA1E4D">
            <w:pPr>
              <w:jc w:val="right"/>
              <w:rPr>
                <w:rFonts w:asciiTheme="minorHAnsi" w:hAnsiTheme="minorHAnsi" w:cs="Arial"/>
                <w:sz w:val="20"/>
                <w:szCs w:val="20"/>
              </w:rPr>
            </w:pPr>
          </w:p>
        </w:tc>
        <w:tc>
          <w:tcPr>
            <w:tcW w:w="3135" w:type="dxa"/>
            <w:gridSpan w:val="3"/>
            <w:shd w:val="clear" w:color="auto" w:fill="F2F2F2" w:themeFill="background1" w:themeFillShade="F2"/>
          </w:tcPr>
          <w:p w14:paraId="147F8D4F" w14:textId="77777777" w:rsidR="00BA1E4D" w:rsidRPr="00BA7829" w:rsidRDefault="00BA1E4D">
            <w:pPr>
              <w:jc w:val="center"/>
              <w:rPr>
                <w:rFonts w:asciiTheme="minorHAnsi" w:hAnsiTheme="minorHAnsi" w:cs="Arial"/>
                <w:b/>
                <w:sz w:val="20"/>
                <w:szCs w:val="20"/>
              </w:rPr>
            </w:pPr>
            <w:r w:rsidRPr="00BA7829">
              <w:rPr>
                <w:rFonts w:asciiTheme="minorHAnsi" w:hAnsiTheme="minorHAnsi" w:cs="Arial"/>
                <w:b/>
                <w:sz w:val="20"/>
                <w:szCs w:val="20"/>
              </w:rPr>
              <w:t>202</w:t>
            </w:r>
            <w:r>
              <w:rPr>
                <w:rFonts w:asciiTheme="minorHAnsi" w:hAnsiTheme="minorHAnsi" w:cs="Arial"/>
                <w:b/>
                <w:sz w:val="20"/>
                <w:szCs w:val="20"/>
              </w:rPr>
              <w:t>4</w:t>
            </w:r>
          </w:p>
        </w:tc>
        <w:tc>
          <w:tcPr>
            <w:tcW w:w="3281" w:type="dxa"/>
            <w:gridSpan w:val="3"/>
          </w:tcPr>
          <w:p w14:paraId="7C5CCE30" w14:textId="1C484F06" w:rsidR="00BA1E4D" w:rsidRPr="00A36F5C" w:rsidRDefault="00BA1E4D">
            <w:pPr>
              <w:jc w:val="center"/>
              <w:rPr>
                <w:rFonts w:asciiTheme="minorHAnsi" w:hAnsiTheme="minorHAnsi" w:cs="Arial"/>
                <w:sz w:val="20"/>
                <w:szCs w:val="20"/>
              </w:rPr>
            </w:pPr>
            <w:r w:rsidRPr="00A36F5C">
              <w:rPr>
                <w:rFonts w:asciiTheme="minorHAnsi" w:hAnsiTheme="minorHAnsi" w:cs="Arial"/>
                <w:sz w:val="20"/>
                <w:szCs w:val="20"/>
              </w:rPr>
              <w:t>202</w:t>
            </w:r>
            <w:r>
              <w:rPr>
                <w:rFonts w:asciiTheme="minorHAnsi" w:hAnsiTheme="minorHAnsi" w:cs="Arial"/>
                <w:sz w:val="20"/>
                <w:szCs w:val="20"/>
              </w:rPr>
              <w:t>3</w:t>
            </w:r>
            <w:r w:rsidR="001445BD">
              <w:rPr>
                <w:rFonts w:asciiTheme="minorHAnsi" w:hAnsiTheme="minorHAnsi" w:cs="Arial"/>
                <w:sz w:val="20"/>
                <w:szCs w:val="20"/>
              </w:rPr>
              <w:t xml:space="preserve"> (restated)</w:t>
            </w:r>
            <w:r w:rsidR="00B1040B" w:rsidRPr="00B1040B">
              <w:rPr>
                <w:rFonts w:asciiTheme="minorHAnsi" w:hAnsiTheme="minorHAnsi" w:cs="Arial"/>
                <w:sz w:val="20"/>
                <w:szCs w:val="20"/>
                <w:vertAlign w:val="superscript"/>
              </w:rPr>
              <w:t>1</w:t>
            </w:r>
          </w:p>
        </w:tc>
      </w:tr>
      <w:tr w:rsidR="00BA1E4D" w:rsidRPr="00A36F5C" w14:paraId="5D217C81" w14:textId="77777777">
        <w:trPr>
          <w:trHeight w:val="854"/>
        </w:trPr>
        <w:tc>
          <w:tcPr>
            <w:tcW w:w="3560" w:type="dxa"/>
          </w:tcPr>
          <w:p w14:paraId="48C3D235" w14:textId="77777777" w:rsidR="00BA1E4D" w:rsidRPr="00A36F5C" w:rsidRDefault="00BA1E4D">
            <w:pPr>
              <w:jc w:val="right"/>
              <w:rPr>
                <w:rFonts w:asciiTheme="minorHAnsi" w:hAnsiTheme="minorHAnsi" w:cs="Arial"/>
                <w:sz w:val="20"/>
                <w:szCs w:val="20"/>
              </w:rPr>
            </w:pPr>
          </w:p>
        </w:tc>
        <w:tc>
          <w:tcPr>
            <w:tcW w:w="1138" w:type="dxa"/>
            <w:shd w:val="clear" w:color="auto" w:fill="F2F2F2" w:themeFill="background1" w:themeFillShade="F2"/>
          </w:tcPr>
          <w:p w14:paraId="1B642129" w14:textId="77777777" w:rsidR="00BA1E4D" w:rsidRPr="00BA7829" w:rsidRDefault="00BA1E4D">
            <w:pPr>
              <w:jc w:val="right"/>
              <w:rPr>
                <w:rFonts w:asciiTheme="minorHAnsi" w:hAnsiTheme="minorHAnsi" w:cs="Arial"/>
                <w:b/>
                <w:sz w:val="20"/>
                <w:szCs w:val="20"/>
              </w:rPr>
            </w:pPr>
          </w:p>
          <w:p w14:paraId="6B58D691" w14:textId="77777777" w:rsidR="00BA1E4D" w:rsidRPr="00BA7829" w:rsidRDefault="00BA1E4D">
            <w:pPr>
              <w:jc w:val="right"/>
              <w:rPr>
                <w:rFonts w:asciiTheme="minorHAnsi" w:hAnsiTheme="minorHAnsi" w:cs="Arial"/>
                <w:b/>
                <w:sz w:val="20"/>
                <w:szCs w:val="20"/>
              </w:rPr>
            </w:pPr>
          </w:p>
          <w:p w14:paraId="4A2C6D1D" w14:textId="77777777" w:rsidR="00BA1E4D" w:rsidRPr="00BA7829" w:rsidRDefault="00BA1E4D">
            <w:pPr>
              <w:jc w:val="right"/>
              <w:rPr>
                <w:rFonts w:asciiTheme="minorHAnsi" w:hAnsiTheme="minorHAnsi" w:cs="Arial"/>
                <w:b/>
                <w:sz w:val="20"/>
                <w:szCs w:val="20"/>
              </w:rPr>
            </w:pPr>
          </w:p>
          <w:p w14:paraId="2562D5DE" w14:textId="77777777" w:rsidR="00BA1E4D" w:rsidRPr="00BA7829" w:rsidRDefault="00BA1E4D">
            <w:pPr>
              <w:jc w:val="right"/>
              <w:rPr>
                <w:rFonts w:asciiTheme="minorHAnsi" w:hAnsiTheme="minorHAnsi" w:cs="Arial"/>
                <w:b/>
                <w:sz w:val="20"/>
                <w:szCs w:val="20"/>
              </w:rPr>
            </w:pPr>
            <w:r w:rsidRPr="00BA7829">
              <w:rPr>
                <w:rFonts w:asciiTheme="minorHAnsi" w:hAnsiTheme="minorHAnsi" w:cs="Arial"/>
                <w:b/>
                <w:sz w:val="20"/>
                <w:szCs w:val="20"/>
              </w:rPr>
              <w:t>Earnings </w:t>
            </w:r>
          </w:p>
        </w:tc>
        <w:tc>
          <w:tcPr>
            <w:tcW w:w="995" w:type="dxa"/>
            <w:shd w:val="clear" w:color="auto" w:fill="F2F2F2" w:themeFill="background1" w:themeFillShade="F2"/>
          </w:tcPr>
          <w:p w14:paraId="5BB36171" w14:textId="77777777" w:rsidR="00BA1E4D" w:rsidRPr="00BA7829" w:rsidRDefault="00BA1E4D">
            <w:pPr>
              <w:ind w:left="-108"/>
              <w:jc w:val="right"/>
              <w:rPr>
                <w:rFonts w:asciiTheme="minorHAnsi" w:hAnsiTheme="minorHAnsi" w:cs="Arial"/>
                <w:b/>
                <w:sz w:val="20"/>
                <w:szCs w:val="20"/>
              </w:rPr>
            </w:pPr>
            <w:r w:rsidRPr="00BA7829">
              <w:rPr>
                <w:rFonts w:asciiTheme="minorHAnsi" w:hAnsiTheme="minorHAnsi" w:cs="Arial"/>
                <w:b/>
                <w:sz w:val="20"/>
                <w:szCs w:val="20"/>
              </w:rPr>
              <w:t xml:space="preserve">Weighted average  </w:t>
            </w:r>
          </w:p>
          <w:p w14:paraId="0BAE03F2" w14:textId="77777777" w:rsidR="00BA1E4D" w:rsidRPr="00BA7829" w:rsidRDefault="00BA1E4D">
            <w:pPr>
              <w:ind w:left="-108"/>
              <w:jc w:val="right"/>
              <w:rPr>
                <w:rFonts w:asciiTheme="minorHAnsi" w:hAnsiTheme="minorHAnsi" w:cs="Arial"/>
                <w:b/>
                <w:sz w:val="20"/>
                <w:szCs w:val="20"/>
              </w:rPr>
            </w:pPr>
            <w:r w:rsidRPr="00BA7829">
              <w:rPr>
                <w:rFonts w:asciiTheme="minorHAnsi" w:hAnsiTheme="minorHAnsi" w:cs="Arial"/>
                <w:b/>
                <w:sz w:val="20"/>
                <w:szCs w:val="20"/>
              </w:rPr>
              <w:t xml:space="preserve">number  </w:t>
            </w:r>
          </w:p>
          <w:p w14:paraId="2DDA10DD" w14:textId="77777777" w:rsidR="00BA1E4D" w:rsidRPr="00BA7829" w:rsidRDefault="00BA1E4D">
            <w:pPr>
              <w:ind w:left="-108"/>
              <w:jc w:val="right"/>
              <w:rPr>
                <w:rFonts w:asciiTheme="minorHAnsi" w:hAnsiTheme="minorHAnsi" w:cs="Arial"/>
                <w:b/>
                <w:sz w:val="20"/>
                <w:szCs w:val="20"/>
              </w:rPr>
            </w:pPr>
            <w:r w:rsidRPr="00BA7829">
              <w:rPr>
                <w:rFonts w:asciiTheme="minorHAnsi" w:hAnsiTheme="minorHAnsi" w:cs="Arial"/>
                <w:b/>
                <w:sz w:val="20"/>
                <w:szCs w:val="20"/>
              </w:rPr>
              <w:t>of shares </w:t>
            </w:r>
          </w:p>
        </w:tc>
        <w:tc>
          <w:tcPr>
            <w:tcW w:w="1002" w:type="dxa"/>
            <w:shd w:val="clear" w:color="auto" w:fill="F2F2F2" w:themeFill="background1" w:themeFillShade="F2"/>
          </w:tcPr>
          <w:p w14:paraId="21C5BFBC" w14:textId="77777777" w:rsidR="00BA1E4D" w:rsidRPr="00BA7829" w:rsidRDefault="00BA1E4D">
            <w:pPr>
              <w:jc w:val="right"/>
              <w:rPr>
                <w:rFonts w:asciiTheme="minorHAnsi" w:hAnsiTheme="minorHAnsi" w:cs="Arial"/>
                <w:b/>
                <w:sz w:val="20"/>
                <w:szCs w:val="20"/>
              </w:rPr>
            </w:pPr>
          </w:p>
          <w:p w14:paraId="3A5953C8" w14:textId="77777777" w:rsidR="00BA1E4D" w:rsidRPr="00BA7829" w:rsidRDefault="00BA1E4D">
            <w:pPr>
              <w:jc w:val="right"/>
              <w:rPr>
                <w:rFonts w:asciiTheme="minorHAnsi" w:hAnsiTheme="minorHAnsi" w:cs="Arial"/>
                <w:b/>
                <w:sz w:val="20"/>
                <w:szCs w:val="20"/>
              </w:rPr>
            </w:pPr>
            <w:r w:rsidRPr="00BA7829">
              <w:rPr>
                <w:rFonts w:asciiTheme="minorHAnsi" w:hAnsiTheme="minorHAnsi" w:cs="Arial"/>
                <w:b/>
                <w:sz w:val="20"/>
                <w:szCs w:val="20"/>
              </w:rPr>
              <w:t xml:space="preserve">Per  </w:t>
            </w:r>
          </w:p>
          <w:p w14:paraId="0FEFFA3F" w14:textId="77777777" w:rsidR="00BA1E4D" w:rsidRPr="00BA7829" w:rsidRDefault="00BA1E4D">
            <w:pPr>
              <w:jc w:val="right"/>
              <w:rPr>
                <w:rFonts w:asciiTheme="minorHAnsi" w:hAnsiTheme="minorHAnsi" w:cs="Arial"/>
                <w:b/>
                <w:sz w:val="20"/>
                <w:szCs w:val="20"/>
              </w:rPr>
            </w:pPr>
            <w:r w:rsidRPr="00BA7829">
              <w:rPr>
                <w:rFonts w:asciiTheme="minorHAnsi" w:hAnsiTheme="minorHAnsi" w:cs="Arial"/>
                <w:b/>
                <w:sz w:val="20"/>
                <w:szCs w:val="20"/>
              </w:rPr>
              <w:t xml:space="preserve">share  </w:t>
            </w:r>
          </w:p>
          <w:p w14:paraId="04600D85" w14:textId="77777777" w:rsidR="00BA1E4D" w:rsidRPr="00BA7829" w:rsidRDefault="00BA1E4D">
            <w:pPr>
              <w:jc w:val="right"/>
              <w:rPr>
                <w:rFonts w:asciiTheme="minorHAnsi" w:hAnsiTheme="minorHAnsi" w:cs="Arial"/>
                <w:b/>
                <w:sz w:val="20"/>
                <w:szCs w:val="20"/>
              </w:rPr>
            </w:pPr>
            <w:r w:rsidRPr="00BA7829">
              <w:rPr>
                <w:rFonts w:asciiTheme="minorHAnsi" w:hAnsiTheme="minorHAnsi" w:cs="Arial"/>
                <w:b/>
                <w:sz w:val="20"/>
                <w:szCs w:val="20"/>
              </w:rPr>
              <w:t>amount </w:t>
            </w:r>
          </w:p>
        </w:tc>
        <w:tc>
          <w:tcPr>
            <w:tcW w:w="995" w:type="dxa"/>
          </w:tcPr>
          <w:p w14:paraId="73F3577E" w14:textId="77777777" w:rsidR="00BA1E4D" w:rsidRPr="00A36F5C" w:rsidRDefault="00BA1E4D">
            <w:pPr>
              <w:jc w:val="right"/>
              <w:rPr>
                <w:rFonts w:asciiTheme="minorHAnsi" w:hAnsiTheme="minorHAnsi" w:cs="Arial"/>
                <w:sz w:val="20"/>
                <w:szCs w:val="20"/>
              </w:rPr>
            </w:pPr>
          </w:p>
          <w:p w14:paraId="5970751B" w14:textId="77777777" w:rsidR="00BA1E4D" w:rsidRPr="00A36F5C" w:rsidRDefault="00BA1E4D">
            <w:pPr>
              <w:jc w:val="right"/>
              <w:rPr>
                <w:rFonts w:asciiTheme="minorHAnsi" w:hAnsiTheme="minorHAnsi" w:cs="Arial"/>
                <w:sz w:val="20"/>
                <w:szCs w:val="20"/>
              </w:rPr>
            </w:pPr>
          </w:p>
          <w:p w14:paraId="4A498239" w14:textId="77777777" w:rsidR="00BA1E4D" w:rsidRPr="00A36F5C" w:rsidRDefault="00BA1E4D">
            <w:pPr>
              <w:jc w:val="right"/>
              <w:rPr>
                <w:rFonts w:asciiTheme="minorHAnsi" w:hAnsiTheme="minorHAnsi" w:cs="Arial"/>
                <w:sz w:val="20"/>
                <w:szCs w:val="20"/>
              </w:rPr>
            </w:pPr>
          </w:p>
          <w:p w14:paraId="01159064" w14:textId="77777777" w:rsidR="00BA1E4D" w:rsidRPr="00A36F5C" w:rsidRDefault="00BA1E4D">
            <w:pPr>
              <w:jc w:val="right"/>
              <w:rPr>
                <w:rFonts w:asciiTheme="minorHAnsi" w:hAnsiTheme="minorHAnsi" w:cs="Arial"/>
                <w:sz w:val="20"/>
                <w:szCs w:val="20"/>
              </w:rPr>
            </w:pPr>
            <w:r w:rsidRPr="00A36F5C">
              <w:rPr>
                <w:rFonts w:asciiTheme="minorHAnsi" w:hAnsiTheme="minorHAnsi" w:cs="Arial"/>
                <w:sz w:val="20"/>
                <w:szCs w:val="20"/>
              </w:rPr>
              <w:t>Earnings</w:t>
            </w:r>
          </w:p>
        </w:tc>
        <w:tc>
          <w:tcPr>
            <w:tcW w:w="1138" w:type="dxa"/>
          </w:tcPr>
          <w:p w14:paraId="3350EAFA" w14:textId="77777777" w:rsidR="00BA1E4D" w:rsidRPr="00A36F5C" w:rsidRDefault="00BA1E4D">
            <w:pPr>
              <w:jc w:val="right"/>
              <w:rPr>
                <w:rFonts w:asciiTheme="minorHAnsi" w:hAnsiTheme="minorHAnsi" w:cs="Arial"/>
                <w:sz w:val="20"/>
                <w:szCs w:val="20"/>
              </w:rPr>
            </w:pPr>
            <w:r w:rsidRPr="00A36F5C">
              <w:rPr>
                <w:rFonts w:asciiTheme="minorHAnsi" w:hAnsiTheme="minorHAnsi" w:cs="Arial"/>
                <w:sz w:val="20"/>
                <w:szCs w:val="20"/>
              </w:rPr>
              <w:t xml:space="preserve">Weighted average  </w:t>
            </w:r>
          </w:p>
          <w:p w14:paraId="42533776" w14:textId="77777777" w:rsidR="00BA1E4D" w:rsidRPr="00A36F5C" w:rsidRDefault="00BA1E4D">
            <w:pPr>
              <w:jc w:val="right"/>
              <w:rPr>
                <w:rFonts w:asciiTheme="minorHAnsi" w:hAnsiTheme="minorHAnsi" w:cs="Arial"/>
                <w:sz w:val="20"/>
                <w:szCs w:val="20"/>
              </w:rPr>
            </w:pPr>
            <w:r w:rsidRPr="00A36F5C">
              <w:rPr>
                <w:rFonts w:asciiTheme="minorHAnsi" w:hAnsiTheme="minorHAnsi" w:cs="Arial"/>
                <w:sz w:val="20"/>
                <w:szCs w:val="20"/>
              </w:rPr>
              <w:t xml:space="preserve">number  </w:t>
            </w:r>
          </w:p>
          <w:p w14:paraId="0D838984" w14:textId="77777777" w:rsidR="00BA1E4D" w:rsidRPr="00A36F5C" w:rsidRDefault="00BA1E4D">
            <w:pPr>
              <w:jc w:val="right"/>
              <w:rPr>
                <w:rFonts w:asciiTheme="minorHAnsi" w:hAnsiTheme="minorHAnsi" w:cs="Arial"/>
                <w:sz w:val="20"/>
                <w:szCs w:val="20"/>
              </w:rPr>
            </w:pPr>
            <w:r w:rsidRPr="00A36F5C">
              <w:rPr>
                <w:rFonts w:asciiTheme="minorHAnsi" w:hAnsiTheme="minorHAnsi" w:cs="Arial"/>
                <w:sz w:val="20"/>
                <w:szCs w:val="20"/>
              </w:rPr>
              <w:t>of shares </w:t>
            </w:r>
          </w:p>
        </w:tc>
        <w:tc>
          <w:tcPr>
            <w:tcW w:w="1148" w:type="dxa"/>
          </w:tcPr>
          <w:p w14:paraId="0A3F4E72" w14:textId="77777777" w:rsidR="00BA1E4D" w:rsidRPr="00A36F5C" w:rsidRDefault="00BA1E4D">
            <w:pPr>
              <w:jc w:val="right"/>
              <w:rPr>
                <w:rFonts w:asciiTheme="minorHAnsi" w:hAnsiTheme="minorHAnsi" w:cs="Arial"/>
                <w:sz w:val="20"/>
                <w:szCs w:val="20"/>
              </w:rPr>
            </w:pPr>
          </w:p>
          <w:p w14:paraId="39B11573" w14:textId="77777777" w:rsidR="00BA1E4D" w:rsidRPr="00A36F5C" w:rsidRDefault="00BA1E4D">
            <w:pPr>
              <w:jc w:val="right"/>
              <w:rPr>
                <w:rFonts w:asciiTheme="minorHAnsi" w:hAnsiTheme="minorHAnsi" w:cs="Arial"/>
                <w:sz w:val="20"/>
                <w:szCs w:val="20"/>
              </w:rPr>
            </w:pPr>
            <w:r w:rsidRPr="00A36F5C">
              <w:rPr>
                <w:rFonts w:asciiTheme="minorHAnsi" w:hAnsiTheme="minorHAnsi" w:cs="Arial"/>
                <w:sz w:val="20"/>
                <w:szCs w:val="20"/>
              </w:rPr>
              <w:t xml:space="preserve">Per  </w:t>
            </w:r>
          </w:p>
          <w:p w14:paraId="5990B2CB" w14:textId="77777777" w:rsidR="00BA1E4D" w:rsidRPr="00A36F5C" w:rsidRDefault="00BA1E4D">
            <w:pPr>
              <w:jc w:val="right"/>
              <w:rPr>
                <w:rFonts w:asciiTheme="minorHAnsi" w:hAnsiTheme="minorHAnsi" w:cs="Arial"/>
                <w:sz w:val="20"/>
                <w:szCs w:val="20"/>
              </w:rPr>
            </w:pPr>
            <w:r w:rsidRPr="00A36F5C">
              <w:rPr>
                <w:rFonts w:asciiTheme="minorHAnsi" w:hAnsiTheme="minorHAnsi" w:cs="Arial"/>
                <w:sz w:val="20"/>
                <w:szCs w:val="20"/>
              </w:rPr>
              <w:t xml:space="preserve">share  </w:t>
            </w:r>
          </w:p>
          <w:p w14:paraId="1F2803AB" w14:textId="77777777" w:rsidR="00BA1E4D" w:rsidRPr="00A36F5C" w:rsidRDefault="00BA1E4D">
            <w:pPr>
              <w:jc w:val="right"/>
              <w:rPr>
                <w:rFonts w:asciiTheme="minorHAnsi" w:hAnsiTheme="minorHAnsi" w:cs="Arial"/>
                <w:sz w:val="20"/>
                <w:szCs w:val="20"/>
              </w:rPr>
            </w:pPr>
            <w:r w:rsidRPr="00A36F5C">
              <w:rPr>
                <w:rFonts w:asciiTheme="minorHAnsi" w:hAnsiTheme="minorHAnsi" w:cs="Arial"/>
                <w:sz w:val="20"/>
                <w:szCs w:val="20"/>
              </w:rPr>
              <w:t>amount </w:t>
            </w:r>
          </w:p>
        </w:tc>
      </w:tr>
      <w:tr w:rsidR="00BA1E4D" w:rsidRPr="00A36F5C" w14:paraId="06EB7055" w14:textId="77777777">
        <w:trPr>
          <w:trHeight w:val="218"/>
        </w:trPr>
        <w:tc>
          <w:tcPr>
            <w:tcW w:w="3560" w:type="dxa"/>
            <w:tcBorders>
              <w:bottom w:val="single" w:sz="4" w:space="0" w:color="auto"/>
            </w:tcBorders>
          </w:tcPr>
          <w:p w14:paraId="68B24258" w14:textId="1D686C24" w:rsidR="00BA1E4D" w:rsidRPr="00A36F5C" w:rsidRDefault="00BA1E4D">
            <w:pPr>
              <w:rPr>
                <w:rFonts w:asciiTheme="minorHAnsi" w:hAnsiTheme="minorHAnsi" w:cs="Arial"/>
                <w:sz w:val="20"/>
                <w:szCs w:val="20"/>
              </w:rPr>
            </w:pPr>
          </w:p>
        </w:tc>
        <w:tc>
          <w:tcPr>
            <w:tcW w:w="1138" w:type="dxa"/>
            <w:tcBorders>
              <w:top w:val="nil"/>
              <w:left w:val="nil"/>
              <w:bottom w:val="single" w:sz="4" w:space="0" w:color="auto"/>
              <w:right w:val="nil"/>
            </w:tcBorders>
            <w:shd w:val="clear" w:color="auto" w:fill="F2F2F2" w:themeFill="background1" w:themeFillShade="F2"/>
          </w:tcPr>
          <w:p w14:paraId="19A80FE0" w14:textId="77777777" w:rsidR="00BA1E4D" w:rsidRPr="00BA7829" w:rsidRDefault="00BA1E4D">
            <w:pPr>
              <w:jc w:val="right"/>
              <w:rPr>
                <w:rFonts w:asciiTheme="minorHAnsi" w:hAnsiTheme="minorHAnsi" w:cs="Arial"/>
                <w:b/>
                <w:sz w:val="20"/>
                <w:szCs w:val="20"/>
                <w:lang w:val="fr-FR"/>
              </w:rPr>
            </w:pPr>
            <w:r w:rsidRPr="00BA7829">
              <w:rPr>
                <w:rFonts w:asciiTheme="minorHAnsi" w:hAnsiTheme="minorHAnsi" w:cs="Arial"/>
                <w:b/>
                <w:sz w:val="20"/>
                <w:szCs w:val="20"/>
                <w:lang w:val="fr-FR"/>
              </w:rPr>
              <w:t>£m </w:t>
            </w:r>
          </w:p>
        </w:tc>
        <w:tc>
          <w:tcPr>
            <w:tcW w:w="995" w:type="dxa"/>
            <w:tcBorders>
              <w:top w:val="nil"/>
              <w:left w:val="nil"/>
              <w:bottom w:val="single" w:sz="4" w:space="0" w:color="auto"/>
              <w:right w:val="nil"/>
            </w:tcBorders>
            <w:shd w:val="clear" w:color="auto" w:fill="F2F2F2" w:themeFill="background1" w:themeFillShade="F2"/>
          </w:tcPr>
          <w:p w14:paraId="5F75B90C" w14:textId="77777777" w:rsidR="00BA1E4D" w:rsidRPr="00BA7829" w:rsidRDefault="00BA1E4D">
            <w:pPr>
              <w:ind w:left="-108"/>
              <w:jc w:val="right"/>
              <w:rPr>
                <w:rFonts w:asciiTheme="minorHAnsi" w:hAnsiTheme="minorHAnsi" w:cs="Arial"/>
                <w:b/>
                <w:sz w:val="20"/>
                <w:szCs w:val="20"/>
                <w:lang w:val="fr-FR"/>
              </w:rPr>
            </w:pPr>
            <w:r w:rsidRPr="00BA7829">
              <w:rPr>
                <w:rFonts w:asciiTheme="minorHAnsi" w:hAnsiTheme="minorHAnsi" w:cs="Arial"/>
                <w:b/>
                <w:sz w:val="20"/>
                <w:szCs w:val="20"/>
                <w:lang w:val="fr-FR"/>
              </w:rPr>
              <w:t>m </w:t>
            </w:r>
          </w:p>
        </w:tc>
        <w:tc>
          <w:tcPr>
            <w:tcW w:w="1002" w:type="dxa"/>
            <w:tcBorders>
              <w:top w:val="nil"/>
              <w:left w:val="nil"/>
              <w:bottom w:val="single" w:sz="4" w:space="0" w:color="auto"/>
              <w:right w:val="nil"/>
            </w:tcBorders>
            <w:shd w:val="clear" w:color="auto" w:fill="F2F2F2" w:themeFill="background1" w:themeFillShade="F2"/>
          </w:tcPr>
          <w:p w14:paraId="4248F5CC" w14:textId="77777777" w:rsidR="00BA1E4D" w:rsidRPr="00BA7829" w:rsidRDefault="00BA1E4D">
            <w:pPr>
              <w:jc w:val="right"/>
              <w:rPr>
                <w:rFonts w:asciiTheme="minorHAnsi" w:hAnsiTheme="minorHAnsi" w:cs="Arial"/>
                <w:b/>
                <w:sz w:val="20"/>
                <w:szCs w:val="20"/>
                <w:lang w:val="fr-FR"/>
              </w:rPr>
            </w:pPr>
            <w:r w:rsidRPr="00BA7829">
              <w:rPr>
                <w:rFonts w:asciiTheme="minorHAnsi" w:hAnsiTheme="minorHAnsi" w:cs="Arial"/>
                <w:b/>
                <w:sz w:val="20"/>
                <w:szCs w:val="20"/>
                <w:lang w:val="fr-FR"/>
              </w:rPr>
              <w:t>pence </w:t>
            </w:r>
          </w:p>
        </w:tc>
        <w:tc>
          <w:tcPr>
            <w:tcW w:w="995" w:type="dxa"/>
            <w:tcBorders>
              <w:top w:val="nil"/>
              <w:left w:val="nil"/>
              <w:bottom w:val="single" w:sz="4" w:space="0" w:color="auto"/>
              <w:right w:val="nil"/>
            </w:tcBorders>
          </w:tcPr>
          <w:p w14:paraId="040A774B" w14:textId="77777777" w:rsidR="00BA1E4D" w:rsidRPr="00A36F5C" w:rsidRDefault="00BA1E4D">
            <w:pPr>
              <w:jc w:val="right"/>
              <w:rPr>
                <w:rFonts w:asciiTheme="minorHAnsi" w:hAnsiTheme="minorHAnsi" w:cs="Arial"/>
                <w:sz w:val="20"/>
                <w:szCs w:val="20"/>
                <w:lang w:val="fr-FR"/>
              </w:rPr>
            </w:pPr>
            <w:r w:rsidRPr="00A36F5C">
              <w:rPr>
                <w:rFonts w:asciiTheme="minorHAnsi" w:hAnsiTheme="minorHAnsi" w:cs="Arial"/>
                <w:sz w:val="20"/>
                <w:szCs w:val="20"/>
                <w:lang w:val="fr-FR"/>
              </w:rPr>
              <w:t>£m </w:t>
            </w:r>
          </w:p>
        </w:tc>
        <w:tc>
          <w:tcPr>
            <w:tcW w:w="1138" w:type="dxa"/>
            <w:tcBorders>
              <w:top w:val="nil"/>
              <w:left w:val="nil"/>
              <w:bottom w:val="single" w:sz="4" w:space="0" w:color="auto"/>
              <w:right w:val="nil"/>
            </w:tcBorders>
          </w:tcPr>
          <w:p w14:paraId="208F261B" w14:textId="77777777" w:rsidR="00BA1E4D" w:rsidRPr="00A36F5C" w:rsidRDefault="00BA1E4D">
            <w:pPr>
              <w:jc w:val="right"/>
              <w:rPr>
                <w:rFonts w:asciiTheme="minorHAnsi" w:hAnsiTheme="minorHAnsi" w:cs="Arial"/>
                <w:sz w:val="20"/>
                <w:szCs w:val="20"/>
                <w:lang w:val="fr-FR"/>
              </w:rPr>
            </w:pPr>
            <w:r w:rsidRPr="00A36F5C">
              <w:rPr>
                <w:rFonts w:asciiTheme="minorHAnsi" w:hAnsiTheme="minorHAnsi" w:cs="Arial"/>
                <w:sz w:val="20"/>
                <w:szCs w:val="20"/>
                <w:lang w:val="fr-FR"/>
              </w:rPr>
              <w:t>m </w:t>
            </w:r>
          </w:p>
        </w:tc>
        <w:tc>
          <w:tcPr>
            <w:tcW w:w="1148" w:type="dxa"/>
            <w:tcBorders>
              <w:top w:val="nil"/>
              <w:left w:val="nil"/>
              <w:bottom w:val="single" w:sz="4" w:space="0" w:color="auto"/>
              <w:right w:val="nil"/>
            </w:tcBorders>
          </w:tcPr>
          <w:p w14:paraId="2EB59394" w14:textId="77777777" w:rsidR="00BA1E4D" w:rsidRPr="00A36F5C" w:rsidRDefault="00BA1E4D">
            <w:pPr>
              <w:jc w:val="right"/>
              <w:rPr>
                <w:rFonts w:asciiTheme="minorHAnsi" w:hAnsiTheme="minorHAnsi" w:cs="Arial"/>
                <w:sz w:val="20"/>
                <w:szCs w:val="20"/>
                <w:lang w:val="fr-FR"/>
              </w:rPr>
            </w:pPr>
            <w:r w:rsidRPr="00A36F5C">
              <w:rPr>
                <w:rFonts w:asciiTheme="minorHAnsi" w:hAnsiTheme="minorHAnsi" w:cs="Arial"/>
                <w:sz w:val="20"/>
                <w:szCs w:val="20"/>
                <w:lang w:val="fr-FR"/>
              </w:rPr>
              <w:t>pence </w:t>
            </w:r>
          </w:p>
        </w:tc>
      </w:tr>
      <w:tr w:rsidR="00BA1E4D" w:rsidRPr="00A36F5C" w14:paraId="56A9C141" w14:textId="77777777">
        <w:trPr>
          <w:trHeight w:val="207"/>
        </w:trPr>
        <w:tc>
          <w:tcPr>
            <w:tcW w:w="3560" w:type="dxa"/>
            <w:tcBorders>
              <w:top w:val="single" w:sz="4" w:space="0" w:color="auto"/>
            </w:tcBorders>
            <w:vAlign w:val="bottom"/>
          </w:tcPr>
          <w:p w14:paraId="11411F02" w14:textId="7D673391" w:rsidR="00BA1E4D" w:rsidRPr="00A36F5C" w:rsidRDefault="00BA1E4D">
            <w:pPr>
              <w:rPr>
                <w:rFonts w:asciiTheme="minorHAnsi" w:hAnsiTheme="minorHAnsi" w:cs="Arial"/>
                <w:b/>
                <w:sz w:val="20"/>
                <w:szCs w:val="20"/>
              </w:rPr>
            </w:pPr>
            <w:r w:rsidRPr="00A36F5C">
              <w:rPr>
                <w:rFonts w:asciiTheme="minorHAnsi" w:hAnsiTheme="minorHAnsi" w:cs="Arial"/>
                <w:b/>
                <w:sz w:val="20"/>
                <w:szCs w:val="20"/>
              </w:rPr>
              <w:t xml:space="preserve">Basic loss per share </w:t>
            </w:r>
          </w:p>
        </w:tc>
        <w:tc>
          <w:tcPr>
            <w:tcW w:w="1138" w:type="dxa"/>
            <w:tcBorders>
              <w:left w:val="nil"/>
              <w:bottom w:val="nil"/>
              <w:right w:val="nil"/>
            </w:tcBorders>
            <w:shd w:val="clear" w:color="auto" w:fill="F2F2F2" w:themeFill="background1" w:themeFillShade="F2"/>
            <w:vAlign w:val="bottom"/>
          </w:tcPr>
          <w:p w14:paraId="0A4F5710" w14:textId="1D061244" w:rsidR="00BA1E4D" w:rsidRPr="006D4208" w:rsidRDefault="00BA1E4D">
            <w:pPr>
              <w:jc w:val="right"/>
              <w:rPr>
                <w:rFonts w:asciiTheme="minorHAnsi" w:hAnsiTheme="minorHAnsi" w:cstheme="minorHAnsi"/>
                <w:b/>
                <w:sz w:val="20"/>
                <w:szCs w:val="20"/>
              </w:rPr>
            </w:pPr>
            <w:r w:rsidRPr="006D4208">
              <w:rPr>
                <w:rFonts w:asciiTheme="minorHAnsi" w:hAnsiTheme="minorHAnsi" w:cstheme="minorHAnsi"/>
                <w:b/>
                <w:sz w:val="20"/>
                <w:szCs w:val="20"/>
              </w:rPr>
              <w:t>(</w:t>
            </w:r>
            <w:r w:rsidR="001246B5" w:rsidRPr="006D4208">
              <w:rPr>
                <w:rFonts w:asciiTheme="minorHAnsi" w:hAnsiTheme="minorHAnsi" w:cstheme="minorHAnsi"/>
                <w:b/>
                <w:sz w:val="20"/>
                <w:szCs w:val="20"/>
              </w:rPr>
              <w:t>35.8</w:t>
            </w:r>
            <w:r w:rsidRPr="006D4208">
              <w:rPr>
                <w:rFonts w:asciiTheme="minorHAnsi" w:hAnsiTheme="minorHAnsi" w:cstheme="minorHAnsi"/>
                <w:b/>
                <w:sz w:val="20"/>
                <w:szCs w:val="20"/>
              </w:rPr>
              <w:t>)</w:t>
            </w:r>
          </w:p>
        </w:tc>
        <w:tc>
          <w:tcPr>
            <w:tcW w:w="995" w:type="dxa"/>
            <w:tcBorders>
              <w:left w:val="nil"/>
              <w:bottom w:val="nil"/>
              <w:right w:val="nil"/>
            </w:tcBorders>
            <w:shd w:val="clear" w:color="auto" w:fill="F2F2F2" w:themeFill="background1" w:themeFillShade="F2"/>
            <w:vAlign w:val="bottom"/>
          </w:tcPr>
          <w:p w14:paraId="20CBB14B" w14:textId="456D89C6" w:rsidR="00BA1E4D" w:rsidRPr="006D4208" w:rsidRDefault="00370CEA">
            <w:pPr>
              <w:ind w:left="-108"/>
              <w:jc w:val="right"/>
              <w:rPr>
                <w:rFonts w:asciiTheme="minorHAnsi" w:hAnsiTheme="minorHAnsi" w:cstheme="minorHAnsi"/>
                <w:b/>
                <w:sz w:val="20"/>
                <w:szCs w:val="20"/>
              </w:rPr>
            </w:pPr>
            <w:r w:rsidRPr="006D4208">
              <w:rPr>
                <w:rFonts w:asciiTheme="minorHAnsi" w:hAnsiTheme="minorHAnsi" w:cstheme="minorHAnsi"/>
                <w:b/>
                <w:sz w:val="20"/>
                <w:szCs w:val="20"/>
              </w:rPr>
              <w:t>25</w:t>
            </w:r>
            <w:r w:rsidR="00C50101" w:rsidRPr="006D4208">
              <w:rPr>
                <w:rFonts w:asciiTheme="minorHAnsi" w:hAnsiTheme="minorHAnsi" w:cstheme="minorHAnsi"/>
                <w:b/>
                <w:sz w:val="20"/>
                <w:szCs w:val="20"/>
              </w:rPr>
              <w:t>4.7</w:t>
            </w:r>
          </w:p>
        </w:tc>
        <w:tc>
          <w:tcPr>
            <w:tcW w:w="1002" w:type="dxa"/>
            <w:tcBorders>
              <w:left w:val="nil"/>
              <w:bottom w:val="nil"/>
              <w:right w:val="nil"/>
            </w:tcBorders>
            <w:shd w:val="clear" w:color="auto" w:fill="F2F2F2" w:themeFill="background1" w:themeFillShade="F2"/>
            <w:vAlign w:val="bottom"/>
          </w:tcPr>
          <w:p w14:paraId="415D51BA" w14:textId="4E9879FF" w:rsidR="00BA1E4D" w:rsidRPr="006D4208" w:rsidRDefault="00BA1E4D">
            <w:pPr>
              <w:jc w:val="right"/>
              <w:rPr>
                <w:rFonts w:asciiTheme="minorHAnsi" w:hAnsiTheme="minorHAnsi" w:cstheme="minorHAnsi"/>
                <w:b/>
                <w:sz w:val="20"/>
                <w:szCs w:val="20"/>
              </w:rPr>
            </w:pPr>
            <w:r w:rsidRPr="006D4208">
              <w:rPr>
                <w:rFonts w:asciiTheme="minorHAnsi" w:hAnsiTheme="minorHAnsi" w:cstheme="minorHAnsi"/>
                <w:b/>
                <w:sz w:val="20"/>
                <w:szCs w:val="20"/>
              </w:rPr>
              <w:t>(</w:t>
            </w:r>
            <w:r w:rsidR="00C50101" w:rsidRPr="006D4208">
              <w:rPr>
                <w:rFonts w:asciiTheme="minorHAnsi" w:hAnsiTheme="minorHAnsi" w:cstheme="minorHAnsi"/>
                <w:b/>
                <w:sz w:val="20"/>
                <w:szCs w:val="20"/>
              </w:rPr>
              <w:t>14.1</w:t>
            </w:r>
            <w:r w:rsidRPr="006D4208">
              <w:rPr>
                <w:rFonts w:asciiTheme="minorHAnsi" w:hAnsiTheme="minorHAnsi" w:cstheme="minorHAnsi"/>
                <w:b/>
                <w:sz w:val="20"/>
                <w:szCs w:val="20"/>
              </w:rPr>
              <w:t>)</w:t>
            </w:r>
          </w:p>
        </w:tc>
        <w:tc>
          <w:tcPr>
            <w:tcW w:w="995" w:type="dxa"/>
            <w:tcBorders>
              <w:left w:val="nil"/>
              <w:bottom w:val="nil"/>
              <w:right w:val="nil"/>
            </w:tcBorders>
            <w:vAlign w:val="bottom"/>
          </w:tcPr>
          <w:p w14:paraId="3415315A" w14:textId="25E3030A" w:rsidR="00BA1E4D" w:rsidRPr="006D4208" w:rsidRDefault="00BA1E4D">
            <w:pPr>
              <w:jc w:val="right"/>
              <w:rPr>
                <w:rFonts w:asciiTheme="minorHAnsi" w:hAnsiTheme="minorHAnsi" w:cstheme="minorHAnsi"/>
                <w:sz w:val="20"/>
                <w:szCs w:val="20"/>
              </w:rPr>
            </w:pPr>
            <w:r w:rsidRPr="006D4208">
              <w:rPr>
                <w:rFonts w:asciiTheme="minorHAnsi" w:hAnsiTheme="minorHAnsi" w:cstheme="minorHAnsi"/>
                <w:sz w:val="20"/>
                <w:szCs w:val="20"/>
              </w:rPr>
              <w:t>(1</w:t>
            </w:r>
            <w:r w:rsidR="009273AD">
              <w:rPr>
                <w:rFonts w:asciiTheme="minorHAnsi" w:hAnsiTheme="minorHAnsi" w:cstheme="minorHAnsi"/>
                <w:sz w:val="20"/>
                <w:szCs w:val="20"/>
              </w:rPr>
              <w:t>5.9</w:t>
            </w:r>
            <w:r w:rsidRPr="006D4208">
              <w:rPr>
                <w:rFonts w:asciiTheme="minorHAnsi" w:hAnsiTheme="minorHAnsi" w:cstheme="minorHAnsi"/>
                <w:sz w:val="20"/>
                <w:szCs w:val="20"/>
              </w:rPr>
              <w:t xml:space="preserve">) </w:t>
            </w:r>
          </w:p>
        </w:tc>
        <w:tc>
          <w:tcPr>
            <w:tcW w:w="1138" w:type="dxa"/>
            <w:tcBorders>
              <w:left w:val="nil"/>
              <w:bottom w:val="nil"/>
              <w:right w:val="nil"/>
            </w:tcBorders>
            <w:vAlign w:val="bottom"/>
          </w:tcPr>
          <w:p w14:paraId="2C1308F0" w14:textId="77777777" w:rsidR="00BA1E4D" w:rsidRPr="006D4208" w:rsidRDefault="00BA1E4D">
            <w:pPr>
              <w:ind w:left="-108"/>
              <w:jc w:val="right"/>
              <w:rPr>
                <w:rFonts w:asciiTheme="minorHAnsi" w:hAnsiTheme="minorHAnsi" w:cstheme="minorHAnsi"/>
                <w:sz w:val="20"/>
                <w:szCs w:val="20"/>
              </w:rPr>
            </w:pPr>
            <w:r w:rsidRPr="006D4208">
              <w:rPr>
                <w:rFonts w:asciiTheme="minorHAnsi" w:hAnsiTheme="minorHAnsi" w:cstheme="minorHAnsi"/>
                <w:sz w:val="20"/>
                <w:szCs w:val="20"/>
              </w:rPr>
              <w:t>251.0</w:t>
            </w:r>
          </w:p>
        </w:tc>
        <w:tc>
          <w:tcPr>
            <w:tcW w:w="1148" w:type="dxa"/>
            <w:tcBorders>
              <w:left w:val="nil"/>
              <w:bottom w:val="nil"/>
              <w:right w:val="nil"/>
            </w:tcBorders>
            <w:vAlign w:val="bottom"/>
          </w:tcPr>
          <w:p w14:paraId="714A9E59" w14:textId="3C6524B2" w:rsidR="00BA1E4D" w:rsidRPr="006D4208" w:rsidRDefault="00BA1E4D">
            <w:pPr>
              <w:jc w:val="right"/>
              <w:rPr>
                <w:rFonts w:asciiTheme="minorHAnsi" w:hAnsiTheme="minorHAnsi" w:cstheme="minorHAnsi"/>
                <w:sz w:val="20"/>
                <w:szCs w:val="20"/>
              </w:rPr>
            </w:pPr>
            <w:r w:rsidRPr="006D4208">
              <w:rPr>
                <w:rFonts w:asciiTheme="minorHAnsi" w:hAnsiTheme="minorHAnsi" w:cstheme="minorHAnsi"/>
                <w:sz w:val="20"/>
                <w:szCs w:val="20"/>
              </w:rPr>
              <w:t>(</w:t>
            </w:r>
            <w:r w:rsidR="002E5E75">
              <w:rPr>
                <w:rFonts w:asciiTheme="minorHAnsi" w:hAnsiTheme="minorHAnsi" w:cstheme="minorHAnsi"/>
                <w:sz w:val="20"/>
                <w:szCs w:val="20"/>
              </w:rPr>
              <w:t>6</w:t>
            </w:r>
            <w:r w:rsidR="00691B1A" w:rsidRPr="006D4208">
              <w:rPr>
                <w:rFonts w:asciiTheme="minorHAnsi" w:hAnsiTheme="minorHAnsi" w:cstheme="minorHAnsi"/>
                <w:sz w:val="20"/>
                <w:szCs w:val="20"/>
              </w:rPr>
              <w:t>.3</w:t>
            </w:r>
            <w:r w:rsidRPr="006D4208">
              <w:rPr>
                <w:rFonts w:asciiTheme="minorHAnsi" w:hAnsiTheme="minorHAnsi" w:cstheme="minorHAnsi"/>
                <w:sz w:val="20"/>
                <w:szCs w:val="20"/>
              </w:rPr>
              <w:t>)</w:t>
            </w:r>
          </w:p>
        </w:tc>
      </w:tr>
      <w:tr w:rsidR="00BA1E4D" w:rsidRPr="00A36F5C" w14:paraId="5F3411D7" w14:textId="77777777">
        <w:trPr>
          <w:trHeight w:val="426"/>
        </w:trPr>
        <w:tc>
          <w:tcPr>
            <w:tcW w:w="3560" w:type="dxa"/>
            <w:tcBorders>
              <w:bottom w:val="single" w:sz="4" w:space="0" w:color="auto"/>
            </w:tcBorders>
            <w:vAlign w:val="bottom"/>
          </w:tcPr>
          <w:p w14:paraId="4967BD72" w14:textId="77777777" w:rsidR="00BA1E4D" w:rsidRPr="00A36F5C" w:rsidRDefault="00BA1E4D">
            <w:pPr>
              <w:rPr>
                <w:rFonts w:asciiTheme="minorHAnsi" w:hAnsiTheme="minorHAnsi" w:cs="Arial"/>
                <w:sz w:val="20"/>
                <w:szCs w:val="20"/>
              </w:rPr>
            </w:pPr>
            <w:r w:rsidRPr="00A36F5C">
              <w:rPr>
                <w:rFonts w:asciiTheme="minorHAnsi" w:hAnsiTheme="minorHAnsi" w:cs="Arial"/>
                <w:sz w:val="20"/>
                <w:szCs w:val="20"/>
              </w:rPr>
              <w:t>Dilutive effect of share options and awards</w:t>
            </w:r>
          </w:p>
        </w:tc>
        <w:tc>
          <w:tcPr>
            <w:tcW w:w="1138" w:type="dxa"/>
            <w:tcBorders>
              <w:top w:val="nil"/>
              <w:left w:val="nil"/>
              <w:bottom w:val="single" w:sz="4" w:space="0" w:color="auto"/>
              <w:right w:val="nil"/>
            </w:tcBorders>
            <w:shd w:val="clear" w:color="auto" w:fill="F2F2F2" w:themeFill="background1" w:themeFillShade="F2"/>
            <w:vAlign w:val="bottom"/>
          </w:tcPr>
          <w:p w14:paraId="2BDB884B" w14:textId="3978B844" w:rsidR="00BA1E4D" w:rsidRPr="006D4208" w:rsidRDefault="00BA1E4D">
            <w:pPr>
              <w:jc w:val="right"/>
              <w:rPr>
                <w:rFonts w:asciiTheme="minorHAnsi" w:hAnsiTheme="minorHAnsi" w:cstheme="minorHAnsi"/>
                <w:b/>
                <w:sz w:val="20"/>
                <w:szCs w:val="20"/>
              </w:rPr>
            </w:pPr>
            <w:r w:rsidRPr="006D4208">
              <w:rPr>
                <w:rFonts w:asciiTheme="minorHAnsi" w:hAnsiTheme="minorHAnsi" w:cstheme="minorHAnsi"/>
                <w:b/>
                <w:sz w:val="20"/>
                <w:szCs w:val="20"/>
              </w:rPr>
              <w:t>-</w:t>
            </w:r>
          </w:p>
        </w:tc>
        <w:tc>
          <w:tcPr>
            <w:tcW w:w="995" w:type="dxa"/>
            <w:tcBorders>
              <w:top w:val="nil"/>
              <w:left w:val="nil"/>
              <w:bottom w:val="single" w:sz="4" w:space="0" w:color="auto"/>
              <w:right w:val="nil"/>
            </w:tcBorders>
            <w:shd w:val="clear" w:color="auto" w:fill="F2F2F2" w:themeFill="background1" w:themeFillShade="F2"/>
            <w:vAlign w:val="bottom"/>
          </w:tcPr>
          <w:p w14:paraId="200882D5" w14:textId="621BE884" w:rsidR="00BA1E4D" w:rsidRPr="006D4208" w:rsidRDefault="00B22ECA">
            <w:pPr>
              <w:ind w:left="-108"/>
              <w:jc w:val="right"/>
              <w:rPr>
                <w:rFonts w:asciiTheme="minorHAnsi" w:hAnsiTheme="minorHAnsi" w:cstheme="minorHAnsi"/>
                <w:b/>
                <w:color w:val="000000" w:themeColor="text1"/>
                <w:sz w:val="20"/>
                <w:szCs w:val="20"/>
              </w:rPr>
            </w:pPr>
            <w:r w:rsidRPr="006D4208">
              <w:rPr>
                <w:rFonts w:asciiTheme="minorHAnsi" w:hAnsiTheme="minorHAnsi" w:cstheme="minorHAnsi"/>
                <w:b/>
                <w:color w:val="000000" w:themeColor="text1"/>
                <w:sz w:val="20"/>
                <w:szCs w:val="20"/>
              </w:rPr>
              <w:t>-</w:t>
            </w:r>
          </w:p>
        </w:tc>
        <w:tc>
          <w:tcPr>
            <w:tcW w:w="1002" w:type="dxa"/>
            <w:tcBorders>
              <w:top w:val="nil"/>
              <w:left w:val="nil"/>
              <w:bottom w:val="single" w:sz="4" w:space="0" w:color="auto"/>
              <w:right w:val="nil"/>
            </w:tcBorders>
            <w:shd w:val="clear" w:color="auto" w:fill="F2F2F2" w:themeFill="background1" w:themeFillShade="F2"/>
            <w:vAlign w:val="bottom"/>
          </w:tcPr>
          <w:p w14:paraId="018FFA34" w14:textId="0B02810E" w:rsidR="00BA1E4D" w:rsidRPr="006D4208" w:rsidRDefault="00B22ECA">
            <w:pPr>
              <w:jc w:val="right"/>
              <w:rPr>
                <w:rFonts w:asciiTheme="minorHAnsi" w:hAnsiTheme="minorHAnsi" w:cstheme="minorHAnsi"/>
                <w:b/>
                <w:color w:val="000000" w:themeColor="text1"/>
                <w:sz w:val="20"/>
                <w:szCs w:val="20"/>
              </w:rPr>
            </w:pPr>
            <w:r w:rsidRPr="006D4208">
              <w:rPr>
                <w:rFonts w:asciiTheme="minorHAnsi" w:hAnsiTheme="minorHAnsi" w:cstheme="minorHAnsi"/>
                <w:b/>
                <w:color w:val="000000" w:themeColor="text1"/>
                <w:sz w:val="20"/>
                <w:szCs w:val="20"/>
              </w:rPr>
              <w:t>-</w:t>
            </w:r>
          </w:p>
        </w:tc>
        <w:tc>
          <w:tcPr>
            <w:tcW w:w="995" w:type="dxa"/>
            <w:tcBorders>
              <w:top w:val="nil"/>
              <w:left w:val="nil"/>
              <w:bottom w:val="single" w:sz="4" w:space="0" w:color="auto"/>
              <w:right w:val="nil"/>
            </w:tcBorders>
            <w:vAlign w:val="bottom"/>
          </w:tcPr>
          <w:p w14:paraId="0B7E41AF" w14:textId="77777777" w:rsidR="00BA1E4D" w:rsidRPr="006D4208" w:rsidRDefault="00BA1E4D">
            <w:pPr>
              <w:jc w:val="right"/>
              <w:rPr>
                <w:rFonts w:asciiTheme="minorHAnsi" w:hAnsiTheme="minorHAnsi" w:cstheme="minorHAnsi"/>
                <w:sz w:val="20"/>
                <w:szCs w:val="20"/>
              </w:rPr>
            </w:pPr>
            <w:r w:rsidRPr="006D4208">
              <w:rPr>
                <w:rFonts w:asciiTheme="minorHAnsi" w:hAnsiTheme="minorHAnsi" w:cstheme="minorHAnsi"/>
                <w:sz w:val="20"/>
                <w:szCs w:val="20"/>
              </w:rPr>
              <w:t>-</w:t>
            </w:r>
          </w:p>
        </w:tc>
        <w:tc>
          <w:tcPr>
            <w:tcW w:w="1138" w:type="dxa"/>
            <w:tcBorders>
              <w:top w:val="nil"/>
              <w:left w:val="nil"/>
              <w:bottom w:val="single" w:sz="4" w:space="0" w:color="auto"/>
              <w:right w:val="nil"/>
            </w:tcBorders>
            <w:vAlign w:val="bottom"/>
          </w:tcPr>
          <w:p w14:paraId="05AA912C" w14:textId="77777777" w:rsidR="00BA1E4D" w:rsidRPr="006D4208" w:rsidRDefault="00BA1E4D">
            <w:pPr>
              <w:ind w:left="-108"/>
              <w:jc w:val="right"/>
              <w:rPr>
                <w:rFonts w:asciiTheme="minorHAnsi" w:hAnsiTheme="minorHAnsi" w:cstheme="minorHAnsi"/>
                <w:sz w:val="20"/>
                <w:szCs w:val="20"/>
              </w:rPr>
            </w:pPr>
            <w:r w:rsidRPr="006D4208">
              <w:rPr>
                <w:rFonts w:asciiTheme="minorHAnsi" w:hAnsiTheme="minorHAnsi" w:cstheme="minorHAnsi"/>
                <w:color w:val="000000" w:themeColor="text1"/>
                <w:sz w:val="20"/>
                <w:szCs w:val="20"/>
              </w:rPr>
              <w:t>-</w:t>
            </w:r>
          </w:p>
        </w:tc>
        <w:tc>
          <w:tcPr>
            <w:tcW w:w="1148" w:type="dxa"/>
            <w:tcBorders>
              <w:top w:val="nil"/>
              <w:left w:val="nil"/>
              <w:bottom w:val="single" w:sz="4" w:space="0" w:color="auto"/>
              <w:right w:val="nil"/>
            </w:tcBorders>
            <w:vAlign w:val="bottom"/>
          </w:tcPr>
          <w:p w14:paraId="7B90059B" w14:textId="77777777" w:rsidR="00BA1E4D" w:rsidRPr="006D4208" w:rsidRDefault="00BA1E4D">
            <w:pPr>
              <w:jc w:val="right"/>
              <w:rPr>
                <w:rFonts w:asciiTheme="minorHAnsi" w:hAnsiTheme="minorHAnsi" w:cstheme="minorHAnsi"/>
                <w:sz w:val="20"/>
                <w:szCs w:val="20"/>
              </w:rPr>
            </w:pPr>
            <w:r w:rsidRPr="006D4208">
              <w:rPr>
                <w:rFonts w:asciiTheme="minorHAnsi" w:hAnsiTheme="minorHAnsi" w:cstheme="minorHAnsi"/>
                <w:color w:val="000000" w:themeColor="text1"/>
                <w:sz w:val="20"/>
                <w:szCs w:val="20"/>
              </w:rPr>
              <w:t>-</w:t>
            </w:r>
          </w:p>
        </w:tc>
      </w:tr>
      <w:tr w:rsidR="00BA1E4D" w:rsidRPr="00A36F5C" w14:paraId="05393A31" w14:textId="77777777">
        <w:trPr>
          <w:trHeight w:val="194"/>
        </w:trPr>
        <w:tc>
          <w:tcPr>
            <w:tcW w:w="3560" w:type="dxa"/>
            <w:tcBorders>
              <w:top w:val="single" w:sz="4" w:space="0" w:color="auto"/>
              <w:bottom w:val="single" w:sz="12" w:space="0" w:color="auto"/>
            </w:tcBorders>
            <w:vAlign w:val="bottom"/>
          </w:tcPr>
          <w:p w14:paraId="6B9D575E" w14:textId="2507C63C" w:rsidR="00BA1E4D" w:rsidRPr="00A36F5C" w:rsidRDefault="00BA1E4D">
            <w:pPr>
              <w:rPr>
                <w:rFonts w:asciiTheme="minorHAnsi" w:hAnsiTheme="minorHAnsi" w:cs="Arial"/>
                <w:b/>
                <w:sz w:val="20"/>
                <w:szCs w:val="20"/>
              </w:rPr>
            </w:pPr>
            <w:r w:rsidRPr="00A36F5C">
              <w:rPr>
                <w:rFonts w:asciiTheme="minorHAnsi" w:hAnsiTheme="minorHAnsi" w:cs="Arial"/>
                <w:b/>
                <w:sz w:val="20"/>
                <w:szCs w:val="20"/>
              </w:rPr>
              <w:t xml:space="preserve">Diluted loss per share </w:t>
            </w:r>
          </w:p>
        </w:tc>
        <w:tc>
          <w:tcPr>
            <w:tcW w:w="1138" w:type="dxa"/>
            <w:tcBorders>
              <w:top w:val="single" w:sz="4" w:space="0" w:color="auto"/>
              <w:left w:val="nil"/>
              <w:bottom w:val="single" w:sz="12" w:space="0" w:color="auto"/>
              <w:right w:val="nil"/>
            </w:tcBorders>
            <w:shd w:val="clear" w:color="auto" w:fill="F2F2F2" w:themeFill="background1" w:themeFillShade="F2"/>
          </w:tcPr>
          <w:p w14:paraId="0E2DB16E" w14:textId="21BCE6A0" w:rsidR="00BA1E4D" w:rsidRPr="006D4208" w:rsidRDefault="00BA1E4D">
            <w:pPr>
              <w:jc w:val="right"/>
              <w:rPr>
                <w:rFonts w:asciiTheme="minorHAnsi" w:hAnsiTheme="minorHAnsi" w:cstheme="minorHAnsi"/>
                <w:b/>
                <w:sz w:val="20"/>
                <w:szCs w:val="20"/>
              </w:rPr>
            </w:pPr>
            <w:r w:rsidRPr="006D4208">
              <w:rPr>
                <w:rFonts w:asciiTheme="minorHAnsi" w:hAnsiTheme="minorHAnsi" w:cstheme="minorHAnsi"/>
                <w:b/>
                <w:sz w:val="20"/>
                <w:szCs w:val="20"/>
              </w:rPr>
              <w:t>(</w:t>
            </w:r>
            <w:r w:rsidR="00B22ECA" w:rsidRPr="006D4208">
              <w:rPr>
                <w:rFonts w:asciiTheme="minorHAnsi" w:hAnsiTheme="minorHAnsi" w:cstheme="minorHAnsi"/>
                <w:b/>
                <w:sz w:val="20"/>
                <w:szCs w:val="20"/>
              </w:rPr>
              <w:t>35.8</w:t>
            </w:r>
            <w:r w:rsidRPr="006D4208">
              <w:rPr>
                <w:rFonts w:asciiTheme="minorHAnsi" w:hAnsiTheme="minorHAnsi" w:cstheme="minorHAnsi"/>
                <w:b/>
                <w:sz w:val="20"/>
                <w:szCs w:val="20"/>
              </w:rPr>
              <w:t>)</w:t>
            </w:r>
          </w:p>
        </w:tc>
        <w:tc>
          <w:tcPr>
            <w:tcW w:w="995" w:type="dxa"/>
            <w:tcBorders>
              <w:top w:val="single" w:sz="4" w:space="0" w:color="auto"/>
              <w:left w:val="nil"/>
              <w:bottom w:val="single" w:sz="12" w:space="0" w:color="auto"/>
              <w:right w:val="nil"/>
            </w:tcBorders>
            <w:shd w:val="clear" w:color="auto" w:fill="F2F2F2" w:themeFill="background1" w:themeFillShade="F2"/>
          </w:tcPr>
          <w:p w14:paraId="09FC7B3E" w14:textId="205C3A21" w:rsidR="00BA1E4D" w:rsidRPr="006D4208" w:rsidRDefault="005A7422">
            <w:pPr>
              <w:ind w:left="-108"/>
              <w:jc w:val="right"/>
              <w:rPr>
                <w:rFonts w:asciiTheme="minorHAnsi" w:hAnsiTheme="minorHAnsi" w:cstheme="minorHAnsi"/>
                <w:b/>
                <w:color w:val="000000" w:themeColor="text1"/>
                <w:sz w:val="20"/>
                <w:szCs w:val="20"/>
              </w:rPr>
            </w:pPr>
            <w:r w:rsidRPr="006D4208">
              <w:rPr>
                <w:rFonts w:asciiTheme="minorHAnsi" w:hAnsiTheme="minorHAnsi" w:cstheme="minorHAnsi"/>
                <w:b/>
                <w:color w:val="000000" w:themeColor="text1"/>
                <w:sz w:val="20"/>
                <w:szCs w:val="20"/>
              </w:rPr>
              <w:t>254.7</w:t>
            </w:r>
          </w:p>
        </w:tc>
        <w:tc>
          <w:tcPr>
            <w:tcW w:w="1002" w:type="dxa"/>
            <w:tcBorders>
              <w:top w:val="single" w:sz="4" w:space="0" w:color="auto"/>
              <w:left w:val="nil"/>
              <w:bottom w:val="single" w:sz="12" w:space="0" w:color="auto"/>
              <w:right w:val="nil"/>
            </w:tcBorders>
            <w:shd w:val="clear" w:color="auto" w:fill="F2F2F2" w:themeFill="background1" w:themeFillShade="F2"/>
          </w:tcPr>
          <w:p w14:paraId="3610A86E" w14:textId="4E10FD0A" w:rsidR="00BA1E4D" w:rsidRPr="006D4208" w:rsidRDefault="00BA1E4D">
            <w:pPr>
              <w:jc w:val="right"/>
              <w:rPr>
                <w:rFonts w:asciiTheme="minorHAnsi" w:hAnsiTheme="minorHAnsi" w:cstheme="minorHAnsi"/>
                <w:b/>
                <w:color w:val="000000" w:themeColor="text1"/>
                <w:sz w:val="20"/>
                <w:szCs w:val="20"/>
              </w:rPr>
            </w:pPr>
            <w:r w:rsidRPr="006D4208">
              <w:rPr>
                <w:rFonts w:asciiTheme="minorHAnsi" w:hAnsiTheme="minorHAnsi" w:cstheme="minorHAnsi"/>
                <w:b/>
                <w:color w:val="000000" w:themeColor="text1"/>
                <w:sz w:val="20"/>
                <w:szCs w:val="20"/>
              </w:rPr>
              <w:t>(</w:t>
            </w:r>
            <w:r w:rsidR="005A7422" w:rsidRPr="006D4208">
              <w:rPr>
                <w:rFonts w:asciiTheme="minorHAnsi" w:hAnsiTheme="minorHAnsi" w:cstheme="minorHAnsi"/>
                <w:b/>
                <w:color w:val="000000" w:themeColor="text1"/>
                <w:sz w:val="20"/>
                <w:szCs w:val="20"/>
              </w:rPr>
              <w:t>14.1</w:t>
            </w:r>
            <w:r w:rsidRPr="006D4208">
              <w:rPr>
                <w:rFonts w:asciiTheme="minorHAnsi" w:hAnsiTheme="minorHAnsi" w:cstheme="minorHAnsi"/>
                <w:b/>
                <w:color w:val="000000" w:themeColor="text1"/>
                <w:sz w:val="20"/>
                <w:szCs w:val="20"/>
              </w:rPr>
              <w:t>)</w:t>
            </w:r>
          </w:p>
        </w:tc>
        <w:tc>
          <w:tcPr>
            <w:tcW w:w="995" w:type="dxa"/>
            <w:tcBorders>
              <w:top w:val="single" w:sz="4" w:space="0" w:color="auto"/>
              <w:left w:val="nil"/>
              <w:bottom w:val="single" w:sz="12" w:space="0" w:color="auto"/>
              <w:right w:val="nil"/>
            </w:tcBorders>
          </w:tcPr>
          <w:p w14:paraId="381A5290" w14:textId="16BD97A2" w:rsidR="00BA1E4D" w:rsidRPr="006D4208" w:rsidRDefault="00BA1E4D">
            <w:pPr>
              <w:jc w:val="right"/>
              <w:rPr>
                <w:rFonts w:asciiTheme="minorHAnsi" w:hAnsiTheme="minorHAnsi" w:cstheme="minorHAnsi"/>
                <w:sz w:val="20"/>
                <w:szCs w:val="20"/>
              </w:rPr>
            </w:pPr>
            <w:r w:rsidRPr="006D4208">
              <w:rPr>
                <w:rFonts w:asciiTheme="minorHAnsi" w:hAnsiTheme="minorHAnsi" w:cstheme="minorHAnsi"/>
                <w:sz w:val="20"/>
                <w:szCs w:val="20"/>
              </w:rPr>
              <w:t>(1</w:t>
            </w:r>
            <w:r w:rsidR="002E5E75">
              <w:rPr>
                <w:rFonts w:asciiTheme="minorHAnsi" w:hAnsiTheme="minorHAnsi" w:cstheme="minorHAnsi"/>
                <w:sz w:val="20"/>
                <w:szCs w:val="20"/>
              </w:rPr>
              <w:t>5.9</w:t>
            </w:r>
            <w:r w:rsidRPr="006D4208">
              <w:rPr>
                <w:rFonts w:asciiTheme="minorHAnsi" w:hAnsiTheme="minorHAnsi" w:cstheme="minorHAnsi"/>
                <w:sz w:val="20"/>
                <w:szCs w:val="20"/>
              </w:rPr>
              <w:t>)</w:t>
            </w:r>
          </w:p>
        </w:tc>
        <w:tc>
          <w:tcPr>
            <w:tcW w:w="1138" w:type="dxa"/>
            <w:tcBorders>
              <w:top w:val="single" w:sz="4" w:space="0" w:color="auto"/>
              <w:left w:val="nil"/>
              <w:bottom w:val="single" w:sz="12" w:space="0" w:color="auto"/>
              <w:right w:val="nil"/>
            </w:tcBorders>
          </w:tcPr>
          <w:p w14:paraId="64DE268B" w14:textId="77777777" w:rsidR="00BA1E4D" w:rsidRPr="006D4208" w:rsidRDefault="00BA1E4D">
            <w:pPr>
              <w:ind w:left="-108"/>
              <w:jc w:val="right"/>
              <w:rPr>
                <w:rFonts w:asciiTheme="minorHAnsi" w:hAnsiTheme="minorHAnsi" w:cstheme="minorHAnsi"/>
                <w:sz w:val="20"/>
                <w:szCs w:val="20"/>
              </w:rPr>
            </w:pPr>
            <w:r w:rsidRPr="006D4208">
              <w:rPr>
                <w:rFonts w:asciiTheme="minorHAnsi" w:hAnsiTheme="minorHAnsi" w:cstheme="minorHAnsi"/>
                <w:color w:val="000000" w:themeColor="text1"/>
                <w:sz w:val="20"/>
                <w:szCs w:val="20"/>
              </w:rPr>
              <w:t>251.0</w:t>
            </w:r>
          </w:p>
        </w:tc>
        <w:tc>
          <w:tcPr>
            <w:tcW w:w="1148" w:type="dxa"/>
            <w:tcBorders>
              <w:top w:val="single" w:sz="4" w:space="0" w:color="auto"/>
              <w:left w:val="nil"/>
              <w:bottom w:val="single" w:sz="12" w:space="0" w:color="auto"/>
              <w:right w:val="nil"/>
            </w:tcBorders>
          </w:tcPr>
          <w:p w14:paraId="3979803B" w14:textId="6FB5F7CC" w:rsidR="00BA1E4D" w:rsidRPr="006D4208" w:rsidRDefault="00BA1E4D">
            <w:pPr>
              <w:jc w:val="right"/>
              <w:rPr>
                <w:rFonts w:asciiTheme="minorHAnsi" w:hAnsiTheme="minorHAnsi" w:cstheme="minorHAnsi"/>
                <w:sz w:val="20"/>
                <w:szCs w:val="20"/>
              </w:rPr>
            </w:pPr>
            <w:r w:rsidRPr="006D4208">
              <w:rPr>
                <w:rFonts w:asciiTheme="minorHAnsi" w:hAnsiTheme="minorHAnsi" w:cstheme="minorHAnsi"/>
                <w:color w:val="000000" w:themeColor="text1"/>
                <w:sz w:val="20"/>
                <w:szCs w:val="20"/>
              </w:rPr>
              <w:t>(</w:t>
            </w:r>
            <w:r w:rsidR="002E5E75">
              <w:rPr>
                <w:rFonts w:asciiTheme="minorHAnsi" w:hAnsiTheme="minorHAnsi" w:cstheme="minorHAnsi"/>
                <w:color w:val="000000" w:themeColor="text1"/>
                <w:sz w:val="20"/>
                <w:szCs w:val="20"/>
              </w:rPr>
              <w:t>6</w:t>
            </w:r>
            <w:r w:rsidR="006A49F1" w:rsidRPr="006D4208">
              <w:rPr>
                <w:rFonts w:asciiTheme="minorHAnsi" w:hAnsiTheme="minorHAnsi" w:cstheme="minorHAnsi"/>
                <w:color w:val="000000" w:themeColor="text1"/>
                <w:sz w:val="20"/>
                <w:szCs w:val="20"/>
              </w:rPr>
              <w:t>.3</w:t>
            </w:r>
            <w:r w:rsidRPr="006D4208">
              <w:rPr>
                <w:rFonts w:asciiTheme="minorHAnsi" w:hAnsiTheme="minorHAnsi" w:cstheme="minorHAnsi"/>
                <w:color w:val="000000" w:themeColor="text1"/>
                <w:sz w:val="20"/>
                <w:szCs w:val="20"/>
              </w:rPr>
              <w:t>)</w:t>
            </w:r>
          </w:p>
        </w:tc>
      </w:tr>
    </w:tbl>
    <w:p w14:paraId="2A97AC68" w14:textId="77777777" w:rsidR="00E61DF3" w:rsidRPr="006D4208" w:rsidRDefault="00E61DF3" w:rsidP="00A3021A">
      <w:pPr>
        <w:jc w:val="both"/>
        <w:rPr>
          <w:sz w:val="20"/>
          <w:szCs w:val="20"/>
        </w:rPr>
      </w:pPr>
    </w:p>
    <w:p w14:paraId="4FAFBFB3" w14:textId="77777777" w:rsidR="007B33A9" w:rsidRPr="006D4208" w:rsidRDefault="007B33A9" w:rsidP="00A3021A">
      <w:pPr>
        <w:jc w:val="both"/>
        <w:rPr>
          <w:sz w:val="20"/>
          <w:szCs w:val="20"/>
        </w:rPr>
      </w:pPr>
    </w:p>
    <w:tbl>
      <w:tblPr>
        <w:tblW w:w="9976" w:type="dxa"/>
        <w:tblLayout w:type="fixed"/>
        <w:tblLook w:val="0000" w:firstRow="0" w:lastRow="0" w:firstColumn="0" w:lastColumn="0" w:noHBand="0" w:noVBand="0"/>
      </w:tblPr>
      <w:tblGrid>
        <w:gridCol w:w="3560"/>
        <w:gridCol w:w="1138"/>
        <w:gridCol w:w="995"/>
        <w:gridCol w:w="1002"/>
        <w:gridCol w:w="995"/>
        <w:gridCol w:w="1138"/>
        <w:gridCol w:w="1148"/>
      </w:tblGrid>
      <w:tr w:rsidR="00A2748D" w:rsidRPr="00A36F5C" w14:paraId="124654BA" w14:textId="77777777" w:rsidTr="103F77E5">
        <w:trPr>
          <w:trHeight w:val="207"/>
        </w:trPr>
        <w:tc>
          <w:tcPr>
            <w:tcW w:w="3560" w:type="dxa"/>
          </w:tcPr>
          <w:p w14:paraId="458E224F" w14:textId="77777777" w:rsidR="00A2748D" w:rsidRPr="00A36F5C" w:rsidRDefault="00A2748D">
            <w:pPr>
              <w:jc w:val="right"/>
              <w:rPr>
                <w:rFonts w:asciiTheme="minorHAnsi" w:hAnsiTheme="minorHAnsi" w:cs="Arial"/>
                <w:sz w:val="20"/>
                <w:szCs w:val="20"/>
              </w:rPr>
            </w:pPr>
          </w:p>
        </w:tc>
        <w:tc>
          <w:tcPr>
            <w:tcW w:w="6416" w:type="dxa"/>
            <w:gridSpan w:val="6"/>
            <w:shd w:val="clear" w:color="auto" w:fill="auto"/>
          </w:tcPr>
          <w:p w14:paraId="06C6C37D" w14:textId="69C854D3" w:rsidR="00A2748D" w:rsidRPr="00A36F5C" w:rsidRDefault="00A2748D">
            <w:pPr>
              <w:jc w:val="center"/>
              <w:rPr>
                <w:rFonts w:asciiTheme="minorHAnsi" w:hAnsiTheme="minorHAnsi" w:cs="Arial"/>
                <w:sz w:val="20"/>
                <w:szCs w:val="20"/>
              </w:rPr>
            </w:pPr>
            <w:r>
              <w:rPr>
                <w:rFonts w:asciiTheme="minorHAnsi" w:hAnsiTheme="minorHAnsi" w:cs="Arial"/>
                <w:sz w:val="20"/>
                <w:szCs w:val="20"/>
              </w:rPr>
              <w:t>Six months ended 30 June</w:t>
            </w:r>
          </w:p>
        </w:tc>
      </w:tr>
      <w:tr w:rsidR="00C05D2F" w:rsidRPr="00A36F5C" w14:paraId="5FBA2746" w14:textId="77777777" w:rsidTr="103F77E5">
        <w:trPr>
          <w:trHeight w:val="207"/>
        </w:trPr>
        <w:tc>
          <w:tcPr>
            <w:tcW w:w="3560" w:type="dxa"/>
          </w:tcPr>
          <w:p w14:paraId="3F71828B" w14:textId="77777777" w:rsidR="00C05D2F" w:rsidRPr="00A36F5C" w:rsidRDefault="00C05D2F">
            <w:pPr>
              <w:jc w:val="right"/>
              <w:rPr>
                <w:rFonts w:asciiTheme="minorHAnsi" w:hAnsiTheme="minorHAnsi" w:cs="Arial"/>
                <w:sz w:val="20"/>
                <w:szCs w:val="20"/>
              </w:rPr>
            </w:pPr>
          </w:p>
        </w:tc>
        <w:tc>
          <w:tcPr>
            <w:tcW w:w="3135" w:type="dxa"/>
            <w:gridSpan w:val="3"/>
            <w:shd w:val="clear" w:color="auto" w:fill="F2F2F2" w:themeFill="background1" w:themeFillShade="F2"/>
          </w:tcPr>
          <w:p w14:paraId="00A9E7BD" w14:textId="77777777" w:rsidR="00C05D2F" w:rsidRPr="00BA7829" w:rsidRDefault="00C05D2F">
            <w:pPr>
              <w:jc w:val="center"/>
              <w:rPr>
                <w:rFonts w:asciiTheme="minorHAnsi" w:hAnsiTheme="minorHAnsi" w:cs="Arial"/>
                <w:b/>
                <w:sz w:val="20"/>
                <w:szCs w:val="20"/>
              </w:rPr>
            </w:pPr>
            <w:r w:rsidRPr="00BA7829">
              <w:rPr>
                <w:rFonts w:asciiTheme="minorHAnsi" w:hAnsiTheme="minorHAnsi" w:cs="Arial"/>
                <w:b/>
                <w:sz w:val="20"/>
                <w:szCs w:val="20"/>
              </w:rPr>
              <w:t>202</w:t>
            </w:r>
            <w:r>
              <w:rPr>
                <w:rFonts w:asciiTheme="minorHAnsi" w:hAnsiTheme="minorHAnsi" w:cs="Arial"/>
                <w:b/>
                <w:sz w:val="20"/>
                <w:szCs w:val="20"/>
              </w:rPr>
              <w:t>4</w:t>
            </w:r>
          </w:p>
        </w:tc>
        <w:tc>
          <w:tcPr>
            <w:tcW w:w="3281" w:type="dxa"/>
            <w:gridSpan w:val="3"/>
          </w:tcPr>
          <w:p w14:paraId="112BFDF4" w14:textId="1D0C52CD" w:rsidR="00C05D2F" w:rsidRPr="00A36F5C" w:rsidRDefault="00C05D2F">
            <w:pPr>
              <w:jc w:val="center"/>
              <w:rPr>
                <w:rFonts w:asciiTheme="minorHAnsi" w:hAnsiTheme="minorHAnsi" w:cs="Arial"/>
                <w:sz w:val="20"/>
                <w:szCs w:val="20"/>
              </w:rPr>
            </w:pPr>
            <w:r w:rsidRPr="00A36F5C">
              <w:rPr>
                <w:rFonts w:asciiTheme="minorHAnsi" w:hAnsiTheme="minorHAnsi" w:cs="Arial"/>
                <w:sz w:val="20"/>
                <w:szCs w:val="20"/>
              </w:rPr>
              <w:t>202</w:t>
            </w:r>
            <w:r>
              <w:rPr>
                <w:rFonts w:asciiTheme="minorHAnsi" w:hAnsiTheme="minorHAnsi" w:cs="Arial"/>
                <w:sz w:val="20"/>
                <w:szCs w:val="20"/>
              </w:rPr>
              <w:t>3</w:t>
            </w:r>
            <w:r w:rsidR="001445BD">
              <w:rPr>
                <w:rFonts w:asciiTheme="minorHAnsi" w:hAnsiTheme="minorHAnsi" w:cs="Arial"/>
                <w:sz w:val="20"/>
                <w:szCs w:val="20"/>
              </w:rPr>
              <w:t xml:space="preserve"> (restated)</w:t>
            </w:r>
            <w:r w:rsidR="00B1040B" w:rsidRPr="00B1040B">
              <w:rPr>
                <w:rFonts w:asciiTheme="minorHAnsi" w:hAnsiTheme="minorHAnsi" w:cs="Arial"/>
                <w:sz w:val="20"/>
                <w:szCs w:val="20"/>
                <w:vertAlign w:val="superscript"/>
              </w:rPr>
              <w:t>1</w:t>
            </w:r>
          </w:p>
        </w:tc>
      </w:tr>
      <w:tr w:rsidR="00C05D2F" w:rsidRPr="00A36F5C" w14:paraId="654CE5D4" w14:textId="77777777" w:rsidTr="103F77E5">
        <w:trPr>
          <w:trHeight w:val="854"/>
        </w:trPr>
        <w:tc>
          <w:tcPr>
            <w:tcW w:w="3560" w:type="dxa"/>
          </w:tcPr>
          <w:p w14:paraId="03817F2A" w14:textId="77777777" w:rsidR="00C05D2F" w:rsidRPr="00A36F5C" w:rsidRDefault="00C05D2F">
            <w:pPr>
              <w:jc w:val="right"/>
              <w:rPr>
                <w:rFonts w:asciiTheme="minorHAnsi" w:hAnsiTheme="minorHAnsi" w:cs="Arial"/>
                <w:sz w:val="20"/>
                <w:szCs w:val="20"/>
              </w:rPr>
            </w:pPr>
          </w:p>
        </w:tc>
        <w:tc>
          <w:tcPr>
            <w:tcW w:w="1138" w:type="dxa"/>
            <w:shd w:val="clear" w:color="auto" w:fill="F2F2F2" w:themeFill="background1" w:themeFillShade="F2"/>
          </w:tcPr>
          <w:p w14:paraId="19F81812" w14:textId="77777777" w:rsidR="00C05D2F" w:rsidRPr="00BA7829" w:rsidRDefault="00C05D2F">
            <w:pPr>
              <w:jc w:val="right"/>
              <w:rPr>
                <w:rFonts w:asciiTheme="minorHAnsi" w:hAnsiTheme="minorHAnsi" w:cs="Arial"/>
                <w:b/>
                <w:sz w:val="20"/>
                <w:szCs w:val="20"/>
              </w:rPr>
            </w:pPr>
          </w:p>
          <w:p w14:paraId="5DC02BA6" w14:textId="77777777" w:rsidR="00C05D2F" w:rsidRPr="00BA7829" w:rsidRDefault="00C05D2F">
            <w:pPr>
              <w:jc w:val="right"/>
              <w:rPr>
                <w:rFonts w:asciiTheme="minorHAnsi" w:hAnsiTheme="minorHAnsi" w:cs="Arial"/>
                <w:b/>
                <w:sz w:val="20"/>
                <w:szCs w:val="20"/>
              </w:rPr>
            </w:pPr>
          </w:p>
          <w:p w14:paraId="30577997" w14:textId="77777777" w:rsidR="00C05D2F" w:rsidRPr="00BA7829" w:rsidRDefault="00C05D2F">
            <w:pPr>
              <w:jc w:val="right"/>
              <w:rPr>
                <w:rFonts w:asciiTheme="minorHAnsi" w:hAnsiTheme="minorHAnsi" w:cs="Arial"/>
                <w:b/>
                <w:sz w:val="20"/>
                <w:szCs w:val="20"/>
              </w:rPr>
            </w:pPr>
          </w:p>
          <w:p w14:paraId="26E05A1E" w14:textId="77777777" w:rsidR="00C05D2F" w:rsidRPr="00BA7829" w:rsidRDefault="00C05D2F">
            <w:pPr>
              <w:jc w:val="right"/>
              <w:rPr>
                <w:rFonts w:asciiTheme="minorHAnsi" w:hAnsiTheme="minorHAnsi" w:cs="Arial"/>
                <w:b/>
                <w:sz w:val="20"/>
                <w:szCs w:val="20"/>
              </w:rPr>
            </w:pPr>
            <w:r w:rsidRPr="00BA7829">
              <w:rPr>
                <w:rFonts w:asciiTheme="minorHAnsi" w:hAnsiTheme="minorHAnsi" w:cs="Arial"/>
                <w:b/>
                <w:sz w:val="20"/>
                <w:szCs w:val="20"/>
              </w:rPr>
              <w:t>Earnings </w:t>
            </w:r>
          </w:p>
        </w:tc>
        <w:tc>
          <w:tcPr>
            <w:tcW w:w="995" w:type="dxa"/>
            <w:shd w:val="clear" w:color="auto" w:fill="F2F2F2" w:themeFill="background1" w:themeFillShade="F2"/>
          </w:tcPr>
          <w:p w14:paraId="07EDF696" w14:textId="77777777" w:rsidR="00C05D2F" w:rsidRPr="00BA7829" w:rsidRDefault="00C05D2F">
            <w:pPr>
              <w:ind w:left="-108"/>
              <w:jc w:val="right"/>
              <w:rPr>
                <w:rFonts w:asciiTheme="minorHAnsi" w:hAnsiTheme="minorHAnsi" w:cs="Arial"/>
                <w:b/>
                <w:sz w:val="20"/>
                <w:szCs w:val="20"/>
              </w:rPr>
            </w:pPr>
            <w:r w:rsidRPr="00BA7829">
              <w:rPr>
                <w:rFonts w:asciiTheme="minorHAnsi" w:hAnsiTheme="minorHAnsi" w:cs="Arial"/>
                <w:b/>
                <w:sz w:val="20"/>
                <w:szCs w:val="20"/>
              </w:rPr>
              <w:t xml:space="preserve">Weighted average  </w:t>
            </w:r>
          </w:p>
          <w:p w14:paraId="4F19891F" w14:textId="77777777" w:rsidR="00C05D2F" w:rsidRPr="00BA7829" w:rsidRDefault="00C05D2F">
            <w:pPr>
              <w:ind w:left="-108"/>
              <w:jc w:val="right"/>
              <w:rPr>
                <w:rFonts w:asciiTheme="minorHAnsi" w:hAnsiTheme="minorHAnsi" w:cs="Arial"/>
                <w:b/>
                <w:sz w:val="20"/>
                <w:szCs w:val="20"/>
              </w:rPr>
            </w:pPr>
            <w:r w:rsidRPr="00BA7829">
              <w:rPr>
                <w:rFonts w:asciiTheme="minorHAnsi" w:hAnsiTheme="minorHAnsi" w:cs="Arial"/>
                <w:b/>
                <w:sz w:val="20"/>
                <w:szCs w:val="20"/>
              </w:rPr>
              <w:t xml:space="preserve">number  </w:t>
            </w:r>
          </w:p>
          <w:p w14:paraId="21AE3FAF" w14:textId="77777777" w:rsidR="00C05D2F" w:rsidRPr="00BA7829" w:rsidRDefault="00C05D2F">
            <w:pPr>
              <w:ind w:left="-108"/>
              <w:jc w:val="right"/>
              <w:rPr>
                <w:rFonts w:asciiTheme="minorHAnsi" w:hAnsiTheme="minorHAnsi" w:cs="Arial"/>
                <w:b/>
                <w:sz w:val="20"/>
                <w:szCs w:val="20"/>
              </w:rPr>
            </w:pPr>
            <w:r w:rsidRPr="00BA7829">
              <w:rPr>
                <w:rFonts w:asciiTheme="minorHAnsi" w:hAnsiTheme="minorHAnsi" w:cs="Arial"/>
                <w:b/>
                <w:sz w:val="20"/>
                <w:szCs w:val="20"/>
              </w:rPr>
              <w:t>of shares </w:t>
            </w:r>
          </w:p>
        </w:tc>
        <w:tc>
          <w:tcPr>
            <w:tcW w:w="1002" w:type="dxa"/>
            <w:shd w:val="clear" w:color="auto" w:fill="F2F2F2" w:themeFill="background1" w:themeFillShade="F2"/>
          </w:tcPr>
          <w:p w14:paraId="34CDD2C0" w14:textId="77777777" w:rsidR="00C05D2F" w:rsidRPr="00BA7829" w:rsidRDefault="00C05D2F">
            <w:pPr>
              <w:jc w:val="right"/>
              <w:rPr>
                <w:rFonts w:asciiTheme="minorHAnsi" w:hAnsiTheme="minorHAnsi" w:cs="Arial"/>
                <w:b/>
                <w:sz w:val="20"/>
                <w:szCs w:val="20"/>
              </w:rPr>
            </w:pPr>
          </w:p>
          <w:p w14:paraId="571ACFBD" w14:textId="77777777" w:rsidR="00C05D2F" w:rsidRPr="00BA7829" w:rsidRDefault="00C05D2F">
            <w:pPr>
              <w:jc w:val="right"/>
              <w:rPr>
                <w:rFonts w:asciiTheme="minorHAnsi" w:hAnsiTheme="minorHAnsi" w:cs="Arial"/>
                <w:b/>
                <w:sz w:val="20"/>
                <w:szCs w:val="20"/>
              </w:rPr>
            </w:pPr>
            <w:r w:rsidRPr="00BA7829">
              <w:rPr>
                <w:rFonts w:asciiTheme="minorHAnsi" w:hAnsiTheme="minorHAnsi" w:cs="Arial"/>
                <w:b/>
                <w:sz w:val="20"/>
                <w:szCs w:val="20"/>
              </w:rPr>
              <w:t xml:space="preserve">Per  </w:t>
            </w:r>
          </w:p>
          <w:p w14:paraId="3AA06425" w14:textId="77777777" w:rsidR="00C05D2F" w:rsidRPr="00BA7829" w:rsidRDefault="00C05D2F">
            <w:pPr>
              <w:jc w:val="right"/>
              <w:rPr>
                <w:rFonts w:asciiTheme="minorHAnsi" w:hAnsiTheme="minorHAnsi" w:cs="Arial"/>
                <w:b/>
                <w:sz w:val="20"/>
                <w:szCs w:val="20"/>
              </w:rPr>
            </w:pPr>
            <w:r w:rsidRPr="00BA7829">
              <w:rPr>
                <w:rFonts w:asciiTheme="minorHAnsi" w:hAnsiTheme="minorHAnsi" w:cs="Arial"/>
                <w:b/>
                <w:sz w:val="20"/>
                <w:szCs w:val="20"/>
              </w:rPr>
              <w:t xml:space="preserve">share  </w:t>
            </w:r>
          </w:p>
          <w:p w14:paraId="362EBB28" w14:textId="77777777" w:rsidR="00C05D2F" w:rsidRPr="00BA7829" w:rsidRDefault="00C05D2F">
            <w:pPr>
              <w:jc w:val="right"/>
              <w:rPr>
                <w:rFonts w:asciiTheme="minorHAnsi" w:hAnsiTheme="minorHAnsi" w:cs="Arial"/>
                <w:b/>
                <w:sz w:val="20"/>
                <w:szCs w:val="20"/>
              </w:rPr>
            </w:pPr>
            <w:r w:rsidRPr="00BA7829">
              <w:rPr>
                <w:rFonts w:asciiTheme="minorHAnsi" w:hAnsiTheme="minorHAnsi" w:cs="Arial"/>
                <w:b/>
                <w:sz w:val="20"/>
                <w:szCs w:val="20"/>
              </w:rPr>
              <w:t>amount </w:t>
            </w:r>
          </w:p>
        </w:tc>
        <w:tc>
          <w:tcPr>
            <w:tcW w:w="995" w:type="dxa"/>
          </w:tcPr>
          <w:p w14:paraId="39CEAD98" w14:textId="77777777" w:rsidR="00C05D2F" w:rsidRPr="00A36F5C" w:rsidRDefault="00C05D2F">
            <w:pPr>
              <w:jc w:val="right"/>
              <w:rPr>
                <w:rFonts w:asciiTheme="minorHAnsi" w:hAnsiTheme="minorHAnsi" w:cs="Arial"/>
                <w:sz w:val="20"/>
                <w:szCs w:val="20"/>
              </w:rPr>
            </w:pPr>
          </w:p>
          <w:p w14:paraId="48E685AC" w14:textId="77777777" w:rsidR="00C05D2F" w:rsidRPr="00A36F5C" w:rsidRDefault="00C05D2F">
            <w:pPr>
              <w:jc w:val="right"/>
              <w:rPr>
                <w:rFonts w:asciiTheme="minorHAnsi" w:hAnsiTheme="minorHAnsi" w:cs="Arial"/>
                <w:sz w:val="20"/>
                <w:szCs w:val="20"/>
              </w:rPr>
            </w:pPr>
          </w:p>
          <w:p w14:paraId="4EA2EF13" w14:textId="77777777" w:rsidR="00C05D2F" w:rsidRPr="00A36F5C" w:rsidRDefault="00C05D2F">
            <w:pPr>
              <w:jc w:val="right"/>
              <w:rPr>
                <w:rFonts w:asciiTheme="minorHAnsi" w:hAnsiTheme="minorHAnsi" w:cs="Arial"/>
                <w:sz w:val="20"/>
                <w:szCs w:val="20"/>
              </w:rPr>
            </w:pPr>
          </w:p>
          <w:p w14:paraId="5BBA92B4" w14:textId="77777777" w:rsidR="00C05D2F" w:rsidRPr="00A36F5C" w:rsidRDefault="00C05D2F">
            <w:pPr>
              <w:jc w:val="right"/>
              <w:rPr>
                <w:rFonts w:asciiTheme="minorHAnsi" w:hAnsiTheme="minorHAnsi" w:cs="Arial"/>
                <w:sz w:val="20"/>
                <w:szCs w:val="20"/>
              </w:rPr>
            </w:pPr>
            <w:r w:rsidRPr="00A36F5C">
              <w:rPr>
                <w:rFonts w:asciiTheme="minorHAnsi" w:hAnsiTheme="minorHAnsi" w:cs="Arial"/>
                <w:sz w:val="20"/>
                <w:szCs w:val="20"/>
              </w:rPr>
              <w:t>Earnings</w:t>
            </w:r>
          </w:p>
        </w:tc>
        <w:tc>
          <w:tcPr>
            <w:tcW w:w="1138" w:type="dxa"/>
          </w:tcPr>
          <w:p w14:paraId="1F9AE553" w14:textId="77777777" w:rsidR="00C05D2F" w:rsidRPr="00A36F5C" w:rsidRDefault="00C05D2F">
            <w:pPr>
              <w:jc w:val="right"/>
              <w:rPr>
                <w:rFonts w:asciiTheme="minorHAnsi" w:hAnsiTheme="minorHAnsi" w:cs="Arial"/>
                <w:sz w:val="20"/>
                <w:szCs w:val="20"/>
              </w:rPr>
            </w:pPr>
            <w:r w:rsidRPr="00A36F5C">
              <w:rPr>
                <w:rFonts w:asciiTheme="minorHAnsi" w:hAnsiTheme="minorHAnsi" w:cs="Arial"/>
                <w:sz w:val="20"/>
                <w:szCs w:val="20"/>
              </w:rPr>
              <w:t xml:space="preserve">Weighted average  </w:t>
            </w:r>
          </w:p>
          <w:p w14:paraId="145C6424" w14:textId="77777777" w:rsidR="00C05D2F" w:rsidRPr="00A36F5C" w:rsidRDefault="00C05D2F">
            <w:pPr>
              <w:jc w:val="right"/>
              <w:rPr>
                <w:rFonts w:asciiTheme="minorHAnsi" w:hAnsiTheme="minorHAnsi" w:cs="Arial"/>
                <w:sz w:val="20"/>
                <w:szCs w:val="20"/>
              </w:rPr>
            </w:pPr>
            <w:r w:rsidRPr="00A36F5C">
              <w:rPr>
                <w:rFonts w:asciiTheme="minorHAnsi" w:hAnsiTheme="minorHAnsi" w:cs="Arial"/>
                <w:sz w:val="20"/>
                <w:szCs w:val="20"/>
              </w:rPr>
              <w:t xml:space="preserve">number  </w:t>
            </w:r>
          </w:p>
          <w:p w14:paraId="377A7B64" w14:textId="77777777" w:rsidR="00C05D2F" w:rsidRPr="00A36F5C" w:rsidRDefault="00C05D2F">
            <w:pPr>
              <w:jc w:val="right"/>
              <w:rPr>
                <w:rFonts w:asciiTheme="minorHAnsi" w:hAnsiTheme="minorHAnsi" w:cs="Arial"/>
                <w:sz w:val="20"/>
                <w:szCs w:val="20"/>
              </w:rPr>
            </w:pPr>
            <w:r w:rsidRPr="00A36F5C">
              <w:rPr>
                <w:rFonts w:asciiTheme="minorHAnsi" w:hAnsiTheme="minorHAnsi" w:cs="Arial"/>
                <w:sz w:val="20"/>
                <w:szCs w:val="20"/>
              </w:rPr>
              <w:t>of shares </w:t>
            </w:r>
          </w:p>
        </w:tc>
        <w:tc>
          <w:tcPr>
            <w:tcW w:w="1148" w:type="dxa"/>
          </w:tcPr>
          <w:p w14:paraId="70DC7BA6" w14:textId="77777777" w:rsidR="00C05D2F" w:rsidRPr="00A36F5C" w:rsidRDefault="00C05D2F">
            <w:pPr>
              <w:jc w:val="right"/>
              <w:rPr>
                <w:rFonts w:asciiTheme="minorHAnsi" w:hAnsiTheme="minorHAnsi" w:cs="Arial"/>
                <w:sz w:val="20"/>
                <w:szCs w:val="20"/>
              </w:rPr>
            </w:pPr>
          </w:p>
          <w:p w14:paraId="558084B7" w14:textId="77777777" w:rsidR="00C05D2F" w:rsidRPr="00A36F5C" w:rsidRDefault="00C05D2F">
            <w:pPr>
              <w:jc w:val="right"/>
              <w:rPr>
                <w:rFonts w:asciiTheme="minorHAnsi" w:hAnsiTheme="minorHAnsi" w:cs="Arial"/>
                <w:sz w:val="20"/>
                <w:szCs w:val="20"/>
              </w:rPr>
            </w:pPr>
            <w:r w:rsidRPr="00A36F5C">
              <w:rPr>
                <w:rFonts w:asciiTheme="minorHAnsi" w:hAnsiTheme="minorHAnsi" w:cs="Arial"/>
                <w:sz w:val="20"/>
                <w:szCs w:val="20"/>
              </w:rPr>
              <w:t xml:space="preserve">Per  </w:t>
            </w:r>
          </w:p>
          <w:p w14:paraId="3E705299" w14:textId="77777777" w:rsidR="00C05D2F" w:rsidRPr="00A36F5C" w:rsidRDefault="00C05D2F">
            <w:pPr>
              <w:jc w:val="right"/>
              <w:rPr>
                <w:rFonts w:asciiTheme="minorHAnsi" w:hAnsiTheme="minorHAnsi" w:cs="Arial"/>
                <w:sz w:val="20"/>
                <w:szCs w:val="20"/>
              </w:rPr>
            </w:pPr>
            <w:r w:rsidRPr="00A36F5C">
              <w:rPr>
                <w:rFonts w:asciiTheme="minorHAnsi" w:hAnsiTheme="minorHAnsi" w:cs="Arial"/>
                <w:sz w:val="20"/>
                <w:szCs w:val="20"/>
              </w:rPr>
              <w:t xml:space="preserve">share  </w:t>
            </w:r>
          </w:p>
          <w:p w14:paraId="761D838E" w14:textId="77777777" w:rsidR="00C05D2F" w:rsidRPr="00A36F5C" w:rsidRDefault="00C05D2F">
            <w:pPr>
              <w:jc w:val="right"/>
              <w:rPr>
                <w:rFonts w:asciiTheme="minorHAnsi" w:hAnsiTheme="minorHAnsi" w:cs="Arial"/>
                <w:sz w:val="20"/>
                <w:szCs w:val="20"/>
              </w:rPr>
            </w:pPr>
            <w:r w:rsidRPr="00A36F5C">
              <w:rPr>
                <w:rFonts w:asciiTheme="minorHAnsi" w:hAnsiTheme="minorHAnsi" w:cs="Arial"/>
                <w:sz w:val="20"/>
                <w:szCs w:val="20"/>
              </w:rPr>
              <w:t>amount </w:t>
            </w:r>
          </w:p>
        </w:tc>
      </w:tr>
      <w:tr w:rsidR="00C05D2F" w:rsidRPr="00A36F5C" w14:paraId="26C35F62" w14:textId="77777777" w:rsidTr="103F77E5">
        <w:trPr>
          <w:trHeight w:val="218"/>
        </w:trPr>
        <w:tc>
          <w:tcPr>
            <w:tcW w:w="3560" w:type="dxa"/>
            <w:tcBorders>
              <w:bottom w:val="single" w:sz="4" w:space="0" w:color="auto"/>
            </w:tcBorders>
          </w:tcPr>
          <w:p w14:paraId="5219F0F9" w14:textId="77777777" w:rsidR="00C05D2F" w:rsidRPr="00A36F5C" w:rsidRDefault="00C05D2F">
            <w:pPr>
              <w:rPr>
                <w:rFonts w:asciiTheme="minorHAnsi" w:hAnsiTheme="minorHAnsi" w:cs="Arial"/>
                <w:sz w:val="20"/>
                <w:szCs w:val="20"/>
              </w:rPr>
            </w:pPr>
          </w:p>
        </w:tc>
        <w:tc>
          <w:tcPr>
            <w:tcW w:w="1138" w:type="dxa"/>
            <w:tcBorders>
              <w:top w:val="nil"/>
              <w:left w:val="nil"/>
              <w:bottom w:val="single" w:sz="4" w:space="0" w:color="auto"/>
              <w:right w:val="nil"/>
            </w:tcBorders>
            <w:shd w:val="clear" w:color="auto" w:fill="F2F2F2" w:themeFill="background1" w:themeFillShade="F2"/>
          </w:tcPr>
          <w:p w14:paraId="483E5D11" w14:textId="77777777" w:rsidR="00C05D2F" w:rsidRPr="00BA7829" w:rsidRDefault="00C05D2F">
            <w:pPr>
              <w:jc w:val="right"/>
              <w:rPr>
                <w:rFonts w:asciiTheme="minorHAnsi" w:hAnsiTheme="minorHAnsi" w:cs="Arial"/>
                <w:b/>
                <w:sz w:val="20"/>
                <w:szCs w:val="20"/>
                <w:lang w:val="fr-FR"/>
              </w:rPr>
            </w:pPr>
            <w:r w:rsidRPr="00BA7829">
              <w:rPr>
                <w:rFonts w:asciiTheme="minorHAnsi" w:hAnsiTheme="minorHAnsi" w:cs="Arial"/>
                <w:b/>
                <w:sz w:val="20"/>
                <w:szCs w:val="20"/>
                <w:lang w:val="fr-FR"/>
              </w:rPr>
              <w:t>£m </w:t>
            </w:r>
          </w:p>
        </w:tc>
        <w:tc>
          <w:tcPr>
            <w:tcW w:w="995" w:type="dxa"/>
            <w:tcBorders>
              <w:top w:val="nil"/>
              <w:left w:val="nil"/>
              <w:bottom w:val="single" w:sz="4" w:space="0" w:color="auto"/>
              <w:right w:val="nil"/>
            </w:tcBorders>
            <w:shd w:val="clear" w:color="auto" w:fill="F2F2F2" w:themeFill="background1" w:themeFillShade="F2"/>
          </w:tcPr>
          <w:p w14:paraId="1B854280" w14:textId="77777777" w:rsidR="00C05D2F" w:rsidRPr="00BA7829" w:rsidRDefault="00C05D2F">
            <w:pPr>
              <w:ind w:left="-108"/>
              <w:jc w:val="right"/>
              <w:rPr>
                <w:rFonts w:asciiTheme="minorHAnsi" w:hAnsiTheme="minorHAnsi" w:cs="Arial"/>
                <w:b/>
                <w:sz w:val="20"/>
                <w:szCs w:val="20"/>
                <w:lang w:val="fr-FR"/>
              </w:rPr>
            </w:pPr>
            <w:r w:rsidRPr="00BA7829">
              <w:rPr>
                <w:rFonts w:asciiTheme="minorHAnsi" w:hAnsiTheme="minorHAnsi" w:cs="Arial"/>
                <w:b/>
                <w:sz w:val="20"/>
                <w:szCs w:val="20"/>
                <w:lang w:val="fr-FR"/>
              </w:rPr>
              <w:t>m </w:t>
            </w:r>
          </w:p>
        </w:tc>
        <w:tc>
          <w:tcPr>
            <w:tcW w:w="1002" w:type="dxa"/>
            <w:tcBorders>
              <w:top w:val="nil"/>
              <w:left w:val="nil"/>
              <w:bottom w:val="single" w:sz="4" w:space="0" w:color="auto"/>
              <w:right w:val="nil"/>
            </w:tcBorders>
            <w:shd w:val="clear" w:color="auto" w:fill="F2F2F2" w:themeFill="background1" w:themeFillShade="F2"/>
          </w:tcPr>
          <w:p w14:paraId="6254DC80" w14:textId="77777777" w:rsidR="00C05D2F" w:rsidRPr="00BA7829" w:rsidRDefault="00C05D2F">
            <w:pPr>
              <w:jc w:val="right"/>
              <w:rPr>
                <w:rFonts w:asciiTheme="minorHAnsi" w:hAnsiTheme="minorHAnsi" w:cs="Arial"/>
                <w:b/>
                <w:sz w:val="20"/>
                <w:szCs w:val="20"/>
                <w:lang w:val="fr-FR"/>
              </w:rPr>
            </w:pPr>
            <w:r w:rsidRPr="00BA7829">
              <w:rPr>
                <w:rFonts w:asciiTheme="minorHAnsi" w:hAnsiTheme="minorHAnsi" w:cs="Arial"/>
                <w:b/>
                <w:sz w:val="20"/>
                <w:szCs w:val="20"/>
                <w:lang w:val="fr-FR"/>
              </w:rPr>
              <w:t>pence </w:t>
            </w:r>
          </w:p>
        </w:tc>
        <w:tc>
          <w:tcPr>
            <w:tcW w:w="995" w:type="dxa"/>
            <w:tcBorders>
              <w:top w:val="nil"/>
              <w:left w:val="nil"/>
              <w:bottom w:val="single" w:sz="4" w:space="0" w:color="auto"/>
              <w:right w:val="nil"/>
            </w:tcBorders>
          </w:tcPr>
          <w:p w14:paraId="6C9BF696" w14:textId="77777777" w:rsidR="00C05D2F" w:rsidRPr="00A36F5C" w:rsidRDefault="00C05D2F">
            <w:pPr>
              <w:jc w:val="right"/>
              <w:rPr>
                <w:rFonts w:asciiTheme="minorHAnsi" w:hAnsiTheme="minorHAnsi" w:cs="Arial"/>
                <w:sz w:val="20"/>
                <w:szCs w:val="20"/>
                <w:lang w:val="fr-FR"/>
              </w:rPr>
            </w:pPr>
            <w:r w:rsidRPr="00A36F5C">
              <w:rPr>
                <w:rFonts w:asciiTheme="minorHAnsi" w:hAnsiTheme="minorHAnsi" w:cs="Arial"/>
                <w:sz w:val="20"/>
                <w:szCs w:val="20"/>
                <w:lang w:val="fr-FR"/>
              </w:rPr>
              <w:t>£m </w:t>
            </w:r>
          </w:p>
        </w:tc>
        <w:tc>
          <w:tcPr>
            <w:tcW w:w="1138" w:type="dxa"/>
            <w:tcBorders>
              <w:top w:val="nil"/>
              <w:left w:val="nil"/>
              <w:bottom w:val="single" w:sz="4" w:space="0" w:color="auto"/>
              <w:right w:val="nil"/>
            </w:tcBorders>
          </w:tcPr>
          <w:p w14:paraId="364FBB66" w14:textId="77777777" w:rsidR="00C05D2F" w:rsidRPr="00A36F5C" w:rsidRDefault="00C05D2F">
            <w:pPr>
              <w:jc w:val="right"/>
              <w:rPr>
                <w:rFonts w:asciiTheme="minorHAnsi" w:hAnsiTheme="minorHAnsi" w:cs="Arial"/>
                <w:sz w:val="20"/>
                <w:szCs w:val="20"/>
                <w:lang w:val="fr-FR"/>
              </w:rPr>
            </w:pPr>
            <w:r w:rsidRPr="00A36F5C">
              <w:rPr>
                <w:rFonts w:asciiTheme="minorHAnsi" w:hAnsiTheme="minorHAnsi" w:cs="Arial"/>
                <w:sz w:val="20"/>
                <w:szCs w:val="20"/>
                <w:lang w:val="fr-FR"/>
              </w:rPr>
              <w:t>m </w:t>
            </w:r>
          </w:p>
        </w:tc>
        <w:tc>
          <w:tcPr>
            <w:tcW w:w="1148" w:type="dxa"/>
            <w:tcBorders>
              <w:top w:val="nil"/>
              <w:left w:val="nil"/>
              <w:bottom w:val="single" w:sz="4" w:space="0" w:color="auto"/>
              <w:right w:val="nil"/>
            </w:tcBorders>
          </w:tcPr>
          <w:p w14:paraId="2BD508E7" w14:textId="77777777" w:rsidR="00C05D2F" w:rsidRPr="00A36F5C" w:rsidRDefault="00C05D2F">
            <w:pPr>
              <w:jc w:val="right"/>
              <w:rPr>
                <w:rFonts w:asciiTheme="minorHAnsi" w:hAnsiTheme="minorHAnsi" w:cs="Arial"/>
                <w:sz w:val="20"/>
                <w:szCs w:val="20"/>
                <w:lang w:val="fr-FR"/>
              </w:rPr>
            </w:pPr>
            <w:r w:rsidRPr="00A36F5C">
              <w:rPr>
                <w:rFonts w:asciiTheme="minorHAnsi" w:hAnsiTheme="minorHAnsi" w:cs="Arial"/>
                <w:sz w:val="20"/>
                <w:szCs w:val="20"/>
                <w:lang w:val="fr-FR"/>
              </w:rPr>
              <w:t>pence </w:t>
            </w:r>
          </w:p>
        </w:tc>
      </w:tr>
      <w:tr w:rsidR="00CE566B" w:rsidRPr="00A36F5C" w14:paraId="76573071" w14:textId="77777777" w:rsidTr="103F77E5">
        <w:trPr>
          <w:trHeight w:val="207"/>
        </w:trPr>
        <w:tc>
          <w:tcPr>
            <w:tcW w:w="3560" w:type="dxa"/>
            <w:tcBorders>
              <w:top w:val="single" w:sz="4" w:space="0" w:color="auto"/>
            </w:tcBorders>
            <w:vAlign w:val="bottom"/>
          </w:tcPr>
          <w:p w14:paraId="302F07CC" w14:textId="5213696A" w:rsidR="00CE566B" w:rsidRPr="00A36F5C" w:rsidRDefault="00CE566B" w:rsidP="00CE566B">
            <w:pPr>
              <w:rPr>
                <w:rFonts w:asciiTheme="minorHAnsi" w:hAnsiTheme="minorHAnsi" w:cs="Arial"/>
                <w:b/>
                <w:sz w:val="20"/>
                <w:szCs w:val="20"/>
              </w:rPr>
            </w:pPr>
            <w:r w:rsidRPr="00A36F5C">
              <w:rPr>
                <w:rFonts w:asciiTheme="minorHAnsi" w:hAnsiTheme="minorHAnsi" w:cs="Arial"/>
                <w:b/>
                <w:sz w:val="20"/>
                <w:szCs w:val="20"/>
              </w:rPr>
              <w:t xml:space="preserve">Basic loss per share </w:t>
            </w:r>
          </w:p>
        </w:tc>
        <w:tc>
          <w:tcPr>
            <w:tcW w:w="1138" w:type="dxa"/>
            <w:tcBorders>
              <w:left w:val="nil"/>
              <w:right w:val="nil"/>
            </w:tcBorders>
            <w:shd w:val="clear" w:color="auto" w:fill="F2F2F2" w:themeFill="background1" w:themeFillShade="F2"/>
            <w:vAlign w:val="bottom"/>
          </w:tcPr>
          <w:p w14:paraId="174AE4BE" w14:textId="6E2B257E" w:rsidR="00CE566B" w:rsidRPr="006D4208" w:rsidRDefault="00CE566B" w:rsidP="00CE566B">
            <w:pPr>
              <w:jc w:val="right"/>
              <w:rPr>
                <w:rFonts w:asciiTheme="minorHAnsi" w:hAnsiTheme="minorHAnsi" w:cstheme="minorHAnsi"/>
                <w:b/>
                <w:sz w:val="20"/>
                <w:szCs w:val="20"/>
              </w:rPr>
            </w:pPr>
            <w:r w:rsidRPr="006D4208">
              <w:rPr>
                <w:rFonts w:asciiTheme="minorHAnsi" w:hAnsiTheme="minorHAnsi" w:cstheme="minorHAnsi"/>
                <w:b/>
                <w:sz w:val="20"/>
                <w:szCs w:val="20"/>
              </w:rPr>
              <w:t>(</w:t>
            </w:r>
            <w:r w:rsidR="00E913EE" w:rsidRPr="006D4208">
              <w:rPr>
                <w:rFonts w:asciiTheme="minorHAnsi" w:hAnsiTheme="minorHAnsi" w:cstheme="minorHAnsi"/>
                <w:b/>
                <w:sz w:val="20"/>
                <w:szCs w:val="20"/>
              </w:rPr>
              <w:t>35.8</w:t>
            </w:r>
            <w:r w:rsidRPr="006D4208">
              <w:rPr>
                <w:rFonts w:asciiTheme="minorHAnsi" w:hAnsiTheme="minorHAnsi" w:cstheme="minorHAnsi"/>
                <w:b/>
                <w:sz w:val="20"/>
                <w:szCs w:val="20"/>
              </w:rPr>
              <w:t>)</w:t>
            </w:r>
          </w:p>
        </w:tc>
        <w:tc>
          <w:tcPr>
            <w:tcW w:w="995" w:type="dxa"/>
            <w:tcBorders>
              <w:left w:val="nil"/>
              <w:right w:val="nil"/>
            </w:tcBorders>
            <w:shd w:val="clear" w:color="auto" w:fill="F2F2F2" w:themeFill="background1" w:themeFillShade="F2"/>
            <w:vAlign w:val="bottom"/>
          </w:tcPr>
          <w:p w14:paraId="2F361960" w14:textId="077A96BE" w:rsidR="00CE566B" w:rsidRPr="006D4208" w:rsidRDefault="00E913EE" w:rsidP="00CE566B">
            <w:pPr>
              <w:ind w:left="-108"/>
              <w:jc w:val="right"/>
              <w:rPr>
                <w:rFonts w:asciiTheme="minorHAnsi" w:hAnsiTheme="minorHAnsi" w:cstheme="minorHAnsi"/>
                <w:b/>
                <w:sz w:val="20"/>
                <w:szCs w:val="20"/>
              </w:rPr>
            </w:pPr>
            <w:r w:rsidRPr="006D4208">
              <w:rPr>
                <w:rFonts w:asciiTheme="minorHAnsi" w:hAnsiTheme="minorHAnsi" w:cstheme="minorHAnsi"/>
                <w:b/>
                <w:sz w:val="20"/>
                <w:szCs w:val="20"/>
              </w:rPr>
              <w:t>254.7</w:t>
            </w:r>
          </w:p>
        </w:tc>
        <w:tc>
          <w:tcPr>
            <w:tcW w:w="1002" w:type="dxa"/>
            <w:tcBorders>
              <w:left w:val="nil"/>
              <w:right w:val="nil"/>
            </w:tcBorders>
            <w:shd w:val="clear" w:color="auto" w:fill="F2F2F2" w:themeFill="background1" w:themeFillShade="F2"/>
            <w:vAlign w:val="bottom"/>
          </w:tcPr>
          <w:p w14:paraId="4978553C" w14:textId="7500BB18" w:rsidR="00CE566B" w:rsidRPr="006D4208" w:rsidRDefault="00CE566B" w:rsidP="00CE566B">
            <w:pPr>
              <w:jc w:val="right"/>
              <w:rPr>
                <w:rFonts w:asciiTheme="minorHAnsi" w:hAnsiTheme="minorHAnsi" w:cstheme="minorHAnsi"/>
                <w:b/>
                <w:sz w:val="20"/>
                <w:szCs w:val="20"/>
              </w:rPr>
            </w:pPr>
            <w:r w:rsidRPr="006D4208">
              <w:rPr>
                <w:rFonts w:asciiTheme="minorHAnsi" w:hAnsiTheme="minorHAnsi" w:cstheme="minorHAnsi"/>
                <w:b/>
                <w:sz w:val="20"/>
                <w:szCs w:val="20"/>
              </w:rPr>
              <w:t>(</w:t>
            </w:r>
            <w:r w:rsidR="00E4574A" w:rsidRPr="006D4208">
              <w:rPr>
                <w:rFonts w:asciiTheme="minorHAnsi" w:hAnsiTheme="minorHAnsi" w:cstheme="minorHAnsi"/>
                <w:b/>
                <w:sz w:val="20"/>
                <w:szCs w:val="20"/>
              </w:rPr>
              <w:t>14.1</w:t>
            </w:r>
            <w:r w:rsidRPr="006D4208">
              <w:rPr>
                <w:rFonts w:asciiTheme="minorHAnsi" w:hAnsiTheme="minorHAnsi" w:cstheme="minorHAnsi"/>
                <w:b/>
                <w:sz w:val="20"/>
                <w:szCs w:val="20"/>
              </w:rPr>
              <w:t>)</w:t>
            </w:r>
          </w:p>
        </w:tc>
        <w:tc>
          <w:tcPr>
            <w:tcW w:w="995" w:type="dxa"/>
            <w:tcBorders>
              <w:left w:val="nil"/>
              <w:right w:val="nil"/>
            </w:tcBorders>
            <w:vAlign w:val="bottom"/>
          </w:tcPr>
          <w:p w14:paraId="286AC513" w14:textId="57316ADF" w:rsidR="00CE566B" w:rsidRPr="006D4208" w:rsidRDefault="00CE566B" w:rsidP="00CE566B">
            <w:pPr>
              <w:jc w:val="right"/>
              <w:rPr>
                <w:rFonts w:asciiTheme="minorHAnsi" w:hAnsiTheme="minorHAnsi" w:cstheme="minorHAnsi"/>
                <w:sz w:val="20"/>
                <w:szCs w:val="20"/>
              </w:rPr>
            </w:pPr>
            <w:r w:rsidRPr="006D4208">
              <w:rPr>
                <w:rFonts w:asciiTheme="minorHAnsi" w:hAnsiTheme="minorHAnsi" w:cstheme="minorHAnsi"/>
                <w:sz w:val="20"/>
                <w:szCs w:val="20"/>
              </w:rPr>
              <w:t>(1</w:t>
            </w:r>
            <w:r w:rsidR="007E7FC0">
              <w:rPr>
                <w:rFonts w:asciiTheme="minorHAnsi" w:hAnsiTheme="minorHAnsi" w:cstheme="minorHAnsi"/>
                <w:sz w:val="20"/>
                <w:szCs w:val="20"/>
              </w:rPr>
              <w:t>5.9</w:t>
            </w:r>
            <w:r w:rsidRPr="006D4208">
              <w:rPr>
                <w:rFonts w:asciiTheme="minorHAnsi" w:hAnsiTheme="minorHAnsi" w:cstheme="minorHAnsi"/>
                <w:sz w:val="20"/>
                <w:szCs w:val="20"/>
              </w:rPr>
              <w:t>)</w:t>
            </w:r>
          </w:p>
        </w:tc>
        <w:tc>
          <w:tcPr>
            <w:tcW w:w="1138" w:type="dxa"/>
            <w:tcBorders>
              <w:left w:val="nil"/>
              <w:right w:val="nil"/>
            </w:tcBorders>
            <w:vAlign w:val="bottom"/>
          </w:tcPr>
          <w:p w14:paraId="2317416C" w14:textId="5F7C9016" w:rsidR="00CE566B" w:rsidRPr="006D4208" w:rsidRDefault="00CE566B" w:rsidP="00CE566B">
            <w:pPr>
              <w:ind w:left="-108"/>
              <w:jc w:val="right"/>
              <w:rPr>
                <w:rFonts w:asciiTheme="minorHAnsi" w:hAnsiTheme="minorHAnsi" w:cstheme="minorHAnsi"/>
                <w:sz w:val="20"/>
                <w:szCs w:val="20"/>
              </w:rPr>
            </w:pPr>
            <w:r w:rsidRPr="006D4208">
              <w:rPr>
                <w:rFonts w:asciiTheme="minorHAnsi" w:hAnsiTheme="minorHAnsi" w:cstheme="minorHAnsi"/>
                <w:sz w:val="20"/>
                <w:szCs w:val="20"/>
              </w:rPr>
              <w:t>251.0</w:t>
            </w:r>
          </w:p>
        </w:tc>
        <w:tc>
          <w:tcPr>
            <w:tcW w:w="1148" w:type="dxa"/>
            <w:tcBorders>
              <w:left w:val="nil"/>
              <w:right w:val="nil"/>
            </w:tcBorders>
            <w:vAlign w:val="bottom"/>
          </w:tcPr>
          <w:p w14:paraId="4E3585B4" w14:textId="1EBE0BC6" w:rsidR="00CE566B" w:rsidRPr="006D4208" w:rsidRDefault="00CE566B" w:rsidP="00CE566B">
            <w:pPr>
              <w:jc w:val="right"/>
              <w:rPr>
                <w:rFonts w:asciiTheme="minorHAnsi" w:hAnsiTheme="minorHAnsi" w:cstheme="minorHAnsi"/>
                <w:sz w:val="20"/>
                <w:szCs w:val="20"/>
              </w:rPr>
            </w:pPr>
            <w:r w:rsidRPr="006D4208">
              <w:rPr>
                <w:rFonts w:asciiTheme="minorHAnsi" w:hAnsiTheme="minorHAnsi" w:cstheme="minorHAnsi"/>
                <w:sz w:val="20"/>
                <w:szCs w:val="20"/>
              </w:rPr>
              <w:t>(</w:t>
            </w:r>
            <w:r w:rsidR="007E7FC0">
              <w:rPr>
                <w:rFonts w:asciiTheme="minorHAnsi" w:hAnsiTheme="minorHAnsi" w:cstheme="minorHAnsi"/>
                <w:sz w:val="20"/>
                <w:szCs w:val="20"/>
              </w:rPr>
              <w:t>6</w:t>
            </w:r>
            <w:r w:rsidR="00CA3297" w:rsidRPr="006D4208">
              <w:rPr>
                <w:rFonts w:asciiTheme="minorHAnsi" w:hAnsiTheme="minorHAnsi" w:cstheme="minorHAnsi"/>
                <w:sz w:val="20"/>
                <w:szCs w:val="20"/>
              </w:rPr>
              <w:t>.3</w:t>
            </w:r>
            <w:r w:rsidRPr="006D4208">
              <w:rPr>
                <w:rFonts w:asciiTheme="minorHAnsi" w:hAnsiTheme="minorHAnsi" w:cstheme="minorHAnsi"/>
                <w:sz w:val="20"/>
                <w:szCs w:val="20"/>
              </w:rPr>
              <w:t>)</w:t>
            </w:r>
          </w:p>
        </w:tc>
      </w:tr>
      <w:tr w:rsidR="00CE566B" w:rsidRPr="00A36F5C" w14:paraId="2074B6EF" w14:textId="77777777" w:rsidTr="103F77E5">
        <w:trPr>
          <w:trHeight w:val="426"/>
        </w:trPr>
        <w:tc>
          <w:tcPr>
            <w:tcW w:w="3560" w:type="dxa"/>
            <w:vAlign w:val="bottom"/>
          </w:tcPr>
          <w:p w14:paraId="09EA4807" w14:textId="1FE706E4" w:rsidR="00CE566B" w:rsidRPr="00A36F5C" w:rsidRDefault="00CE566B" w:rsidP="00CE566B">
            <w:pPr>
              <w:rPr>
                <w:rFonts w:asciiTheme="minorHAnsi" w:hAnsiTheme="minorHAnsi" w:cs="Arial"/>
                <w:sz w:val="20"/>
                <w:szCs w:val="20"/>
              </w:rPr>
            </w:pPr>
            <w:r w:rsidRPr="00A36F5C">
              <w:rPr>
                <w:rFonts w:asciiTheme="minorHAnsi" w:hAnsiTheme="minorHAnsi" w:cs="Arial"/>
                <w:sz w:val="20"/>
                <w:szCs w:val="20"/>
              </w:rPr>
              <w:t>Amortisation of acquisition intangibles, net of tax</w:t>
            </w:r>
          </w:p>
        </w:tc>
        <w:tc>
          <w:tcPr>
            <w:tcW w:w="1138" w:type="dxa"/>
            <w:tcBorders>
              <w:top w:val="nil"/>
              <w:left w:val="nil"/>
              <w:right w:val="nil"/>
            </w:tcBorders>
            <w:shd w:val="clear" w:color="auto" w:fill="F2F2F2" w:themeFill="background1" w:themeFillShade="F2"/>
            <w:vAlign w:val="bottom"/>
          </w:tcPr>
          <w:p w14:paraId="7BD9FA73" w14:textId="4B4E4D72" w:rsidR="00CE566B" w:rsidRPr="006D4208" w:rsidRDefault="00E57222" w:rsidP="00CE566B">
            <w:pPr>
              <w:jc w:val="right"/>
              <w:rPr>
                <w:rFonts w:asciiTheme="minorHAnsi" w:hAnsiTheme="minorHAnsi" w:cstheme="minorHAnsi"/>
                <w:b/>
                <w:sz w:val="20"/>
                <w:szCs w:val="20"/>
              </w:rPr>
            </w:pPr>
            <w:r w:rsidRPr="006D4208">
              <w:rPr>
                <w:rFonts w:asciiTheme="minorHAnsi" w:hAnsiTheme="minorHAnsi" w:cstheme="minorHAnsi"/>
                <w:b/>
                <w:sz w:val="20"/>
                <w:szCs w:val="20"/>
              </w:rPr>
              <w:t>0.3</w:t>
            </w:r>
          </w:p>
        </w:tc>
        <w:tc>
          <w:tcPr>
            <w:tcW w:w="995" w:type="dxa"/>
            <w:tcBorders>
              <w:top w:val="nil"/>
              <w:left w:val="nil"/>
              <w:right w:val="nil"/>
            </w:tcBorders>
            <w:shd w:val="clear" w:color="auto" w:fill="F2F2F2" w:themeFill="background1" w:themeFillShade="F2"/>
            <w:vAlign w:val="bottom"/>
          </w:tcPr>
          <w:p w14:paraId="7469F9AC" w14:textId="58916F4F" w:rsidR="00CE566B" w:rsidRPr="006D4208" w:rsidRDefault="00665D31" w:rsidP="00CE566B">
            <w:pPr>
              <w:ind w:left="-108"/>
              <w:jc w:val="right"/>
              <w:rPr>
                <w:rFonts w:asciiTheme="minorHAnsi" w:hAnsiTheme="minorHAnsi" w:cstheme="minorHAnsi"/>
                <w:b/>
                <w:color w:val="000000" w:themeColor="text1"/>
                <w:sz w:val="20"/>
                <w:szCs w:val="20"/>
              </w:rPr>
            </w:pPr>
            <w:r w:rsidRPr="006D4208">
              <w:rPr>
                <w:rFonts w:asciiTheme="minorHAnsi" w:hAnsiTheme="minorHAnsi" w:cstheme="minorHAnsi"/>
                <w:b/>
                <w:color w:val="000000" w:themeColor="text1"/>
                <w:sz w:val="20"/>
                <w:szCs w:val="20"/>
              </w:rPr>
              <w:t>-</w:t>
            </w:r>
          </w:p>
        </w:tc>
        <w:tc>
          <w:tcPr>
            <w:tcW w:w="1002" w:type="dxa"/>
            <w:tcBorders>
              <w:top w:val="nil"/>
              <w:left w:val="nil"/>
              <w:right w:val="nil"/>
            </w:tcBorders>
            <w:shd w:val="clear" w:color="auto" w:fill="F2F2F2" w:themeFill="background1" w:themeFillShade="F2"/>
            <w:vAlign w:val="bottom"/>
          </w:tcPr>
          <w:p w14:paraId="209C2AE8" w14:textId="56D834D5" w:rsidR="00CE566B" w:rsidRPr="006D4208" w:rsidRDefault="00665D31" w:rsidP="00CE566B">
            <w:pPr>
              <w:jc w:val="right"/>
              <w:rPr>
                <w:rFonts w:asciiTheme="minorHAnsi" w:hAnsiTheme="minorHAnsi" w:cstheme="minorHAnsi"/>
                <w:b/>
                <w:color w:val="000000" w:themeColor="text1"/>
                <w:sz w:val="20"/>
                <w:szCs w:val="20"/>
              </w:rPr>
            </w:pPr>
            <w:r w:rsidRPr="006D4208">
              <w:rPr>
                <w:rFonts w:asciiTheme="minorHAnsi" w:hAnsiTheme="minorHAnsi" w:cstheme="minorHAnsi"/>
                <w:b/>
                <w:color w:val="000000" w:themeColor="text1"/>
                <w:sz w:val="20"/>
                <w:szCs w:val="20"/>
              </w:rPr>
              <w:t>0.1</w:t>
            </w:r>
          </w:p>
        </w:tc>
        <w:tc>
          <w:tcPr>
            <w:tcW w:w="995" w:type="dxa"/>
            <w:tcBorders>
              <w:top w:val="nil"/>
              <w:left w:val="nil"/>
              <w:right w:val="nil"/>
            </w:tcBorders>
            <w:vAlign w:val="bottom"/>
          </w:tcPr>
          <w:p w14:paraId="2226BDA8" w14:textId="41CB700B" w:rsidR="00CE566B" w:rsidRPr="006D4208" w:rsidRDefault="00CE566B" w:rsidP="00CE566B">
            <w:pPr>
              <w:jc w:val="right"/>
              <w:rPr>
                <w:rFonts w:asciiTheme="minorHAnsi" w:hAnsiTheme="minorHAnsi" w:cstheme="minorHAnsi"/>
                <w:sz w:val="20"/>
                <w:szCs w:val="20"/>
              </w:rPr>
            </w:pPr>
            <w:r w:rsidRPr="006D4208">
              <w:rPr>
                <w:rFonts w:asciiTheme="minorHAnsi" w:hAnsiTheme="minorHAnsi" w:cstheme="minorHAnsi"/>
                <w:sz w:val="20"/>
                <w:szCs w:val="20"/>
              </w:rPr>
              <w:t>2.8</w:t>
            </w:r>
          </w:p>
        </w:tc>
        <w:tc>
          <w:tcPr>
            <w:tcW w:w="1138" w:type="dxa"/>
            <w:tcBorders>
              <w:top w:val="nil"/>
              <w:left w:val="nil"/>
              <w:right w:val="nil"/>
            </w:tcBorders>
            <w:vAlign w:val="bottom"/>
          </w:tcPr>
          <w:p w14:paraId="4346926C" w14:textId="7F37A79C" w:rsidR="00CE566B" w:rsidRPr="006D4208" w:rsidRDefault="00CE566B" w:rsidP="00CE566B">
            <w:pPr>
              <w:ind w:left="-108"/>
              <w:jc w:val="right"/>
              <w:rPr>
                <w:rFonts w:asciiTheme="minorHAnsi" w:hAnsiTheme="minorHAnsi" w:cstheme="minorHAnsi"/>
                <w:sz w:val="20"/>
                <w:szCs w:val="20"/>
              </w:rPr>
            </w:pPr>
            <w:r w:rsidRPr="006D4208">
              <w:rPr>
                <w:rFonts w:asciiTheme="minorHAnsi" w:hAnsiTheme="minorHAnsi" w:cstheme="minorHAnsi"/>
                <w:sz w:val="20"/>
                <w:szCs w:val="20"/>
              </w:rPr>
              <w:t>-</w:t>
            </w:r>
          </w:p>
        </w:tc>
        <w:tc>
          <w:tcPr>
            <w:tcW w:w="1148" w:type="dxa"/>
            <w:tcBorders>
              <w:top w:val="nil"/>
              <w:left w:val="nil"/>
              <w:right w:val="nil"/>
            </w:tcBorders>
            <w:vAlign w:val="bottom"/>
          </w:tcPr>
          <w:p w14:paraId="056C2283" w14:textId="7137AFCF" w:rsidR="00CE566B" w:rsidRPr="006D4208" w:rsidRDefault="00CE566B" w:rsidP="00CE566B">
            <w:pPr>
              <w:jc w:val="right"/>
              <w:rPr>
                <w:rFonts w:asciiTheme="minorHAnsi" w:hAnsiTheme="minorHAnsi" w:cstheme="minorHAnsi"/>
                <w:sz w:val="20"/>
                <w:szCs w:val="20"/>
              </w:rPr>
            </w:pPr>
            <w:r w:rsidRPr="006D4208">
              <w:rPr>
                <w:rFonts w:asciiTheme="minorHAnsi" w:hAnsiTheme="minorHAnsi" w:cstheme="minorHAnsi"/>
                <w:sz w:val="20"/>
                <w:szCs w:val="20"/>
              </w:rPr>
              <w:t>1.1</w:t>
            </w:r>
          </w:p>
        </w:tc>
      </w:tr>
      <w:tr w:rsidR="00CE566B" w:rsidRPr="00A36F5C" w14:paraId="2C6DD2EC" w14:textId="77777777" w:rsidTr="103F77E5">
        <w:trPr>
          <w:trHeight w:val="426"/>
        </w:trPr>
        <w:tc>
          <w:tcPr>
            <w:tcW w:w="3560" w:type="dxa"/>
            <w:tcBorders>
              <w:bottom w:val="single" w:sz="4" w:space="0" w:color="auto"/>
            </w:tcBorders>
            <w:vAlign w:val="bottom"/>
          </w:tcPr>
          <w:p w14:paraId="52F98EBD" w14:textId="7D0017D7" w:rsidR="00CE566B" w:rsidRPr="00A36F5C" w:rsidRDefault="00CE566B" w:rsidP="00CE566B">
            <w:pPr>
              <w:rPr>
                <w:rFonts w:asciiTheme="minorHAnsi" w:hAnsiTheme="minorHAnsi" w:cs="Arial"/>
                <w:sz w:val="20"/>
                <w:szCs w:val="20"/>
              </w:rPr>
            </w:pPr>
            <w:r w:rsidRPr="00A36F5C">
              <w:rPr>
                <w:rFonts w:asciiTheme="minorHAnsi" w:hAnsiTheme="minorHAnsi" w:cs="Arial"/>
                <w:sz w:val="20"/>
                <w:szCs w:val="20"/>
              </w:rPr>
              <w:t>Exceptional items, net of tax</w:t>
            </w:r>
          </w:p>
        </w:tc>
        <w:tc>
          <w:tcPr>
            <w:tcW w:w="1138" w:type="dxa"/>
            <w:tcBorders>
              <w:left w:val="nil"/>
              <w:bottom w:val="single" w:sz="4" w:space="0" w:color="auto"/>
              <w:right w:val="nil"/>
            </w:tcBorders>
            <w:shd w:val="clear" w:color="auto" w:fill="F2F2F2" w:themeFill="background1" w:themeFillShade="F2"/>
            <w:vAlign w:val="bottom"/>
          </w:tcPr>
          <w:p w14:paraId="4AE5B8E8" w14:textId="3D80C5BB" w:rsidR="00CE566B" w:rsidRPr="006D4208" w:rsidRDefault="00665D31" w:rsidP="00CE566B">
            <w:pPr>
              <w:jc w:val="right"/>
              <w:rPr>
                <w:rFonts w:asciiTheme="minorHAnsi" w:hAnsiTheme="minorHAnsi" w:cstheme="minorHAnsi"/>
                <w:b/>
                <w:sz w:val="20"/>
                <w:szCs w:val="20"/>
              </w:rPr>
            </w:pPr>
            <w:r w:rsidRPr="006D4208">
              <w:rPr>
                <w:rFonts w:asciiTheme="minorHAnsi" w:hAnsiTheme="minorHAnsi" w:cstheme="minorHAnsi"/>
                <w:b/>
                <w:sz w:val="20"/>
                <w:szCs w:val="20"/>
              </w:rPr>
              <w:t>14.4</w:t>
            </w:r>
          </w:p>
        </w:tc>
        <w:tc>
          <w:tcPr>
            <w:tcW w:w="995" w:type="dxa"/>
            <w:tcBorders>
              <w:left w:val="nil"/>
              <w:bottom w:val="single" w:sz="4" w:space="0" w:color="auto"/>
              <w:right w:val="nil"/>
            </w:tcBorders>
            <w:shd w:val="clear" w:color="auto" w:fill="F2F2F2" w:themeFill="background1" w:themeFillShade="F2"/>
            <w:vAlign w:val="bottom"/>
          </w:tcPr>
          <w:p w14:paraId="69F38AB9" w14:textId="71EFD179" w:rsidR="00CE566B" w:rsidRPr="006D4208" w:rsidRDefault="00CD4837" w:rsidP="00CE566B">
            <w:pPr>
              <w:ind w:left="-108"/>
              <w:jc w:val="right"/>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w:t>
            </w:r>
          </w:p>
        </w:tc>
        <w:tc>
          <w:tcPr>
            <w:tcW w:w="1002" w:type="dxa"/>
            <w:tcBorders>
              <w:left w:val="nil"/>
              <w:bottom w:val="single" w:sz="4" w:space="0" w:color="auto"/>
              <w:right w:val="nil"/>
            </w:tcBorders>
            <w:shd w:val="clear" w:color="auto" w:fill="F2F2F2" w:themeFill="background1" w:themeFillShade="F2"/>
            <w:vAlign w:val="bottom"/>
          </w:tcPr>
          <w:p w14:paraId="3F1DD15F" w14:textId="5AFBF286" w:rsidR="00CE566B" w:rsidRPr="006D4208" w:rsidRDefault="00665D31" w:rsidP="00CE566B">
            <w:pPr>
              <w:jc w:val="right"/>
              <w:rPr>
                <w:rFonts w:asciiTheme="minorHAnsi" w:hAnsiTheme="minorHAnsi" w:cstheme="minorHAnsi"/>
                <w:b/>
                <w:color w:val="000000" w:themeColor="text1"/>
                <w:sz w:val="20"/>
                <w:szCs w:val="20"/>
              </w:rPr>
            </w:pPr>
            <w:r w:rsidRPr="006D4208">
              <w:rPr>
                <w:rFonts w:asciiTheme="minorHAnsi" w:hAnsiTheme="minorHAnsi" w:cstheme="minorHAnsi"/>
                <w:b/>
                <w:color w:val="000000" w:themeColor="text1"/>
                <w:sz w:val="20"/>
                <w:szCs w:val="20"/>
              </w:rPr>
              <w:t>5.7</w:t>
            </w:r>
          </w:p>
        </w:tc>
        <w:tc>
          <w:tcPr>
            <w:tcW w:w="995" w:type="dxa"/>
            <w:tcBorders>
              <w:left w:val="nil"/>
              <w:bottom w:val="single" w:sz="4" w:space="0" w:color="auto"/>
              <w:right w:val="nil"/>
            </w:tcBorders>
            <w:vAlign w:val="bottom"/>
          </w:tcPr>
          <w:p w14:paraId="75F5EE25" w14:textId="00609256" w:rsidR="00CE566B" w:rsidRPr="006D4208" w:rsidRDefault="00CE566B" w:rsidP="00CE566B">
            <w:pPr>
              <w:jc w:val="right"/>
              <w:rPr>
                <w:rFonts w:asciiTheme="minorHAnsi" w:hAnsiTheme="minorHAnsi" w:cstheme="minorHAnsi"/>
                <w:sz w:val="20"/>
                <w:szCs w:val="20"/>
              </w:rPr>
            </w:pPr>
            <w:r w:rsidRPr="006D4208">
              <w:rPr>
                <w:rFonts w:asciiTheme="minorHAnsi" w:hAnsiTheme="minorHAnsi" w:cstheme="minorHAnsi"/>
                <w:sz w:val="20"/>
                <w:szCs w:val="20"/>
              </w:rPr>
              <w:t>4.0</w:t>
            </w:r>
          </w:p>
        </w:tc>
        <w:tc>
          <w:tcPr>
            <w:tcW w:w="1138" w:type="dxa"/>
            <w:tcBorders>
              <w:left w:val="nil"/>
              <w:bottom w:val="single" w:sz="4" w:space="0" w:color="auto"/>
              <w:right w:val="nil"/>
            </w:tcBorders>
            <w:vAlign w:val="bottom"/>
          </w:tcPr>
          <w:p w14:paraId="76BDE9F7" w14:textId="13DAA3B8" w:rsidR="00CE566B" w:rsidRPr="006D4208" w:rsidRDefault="00CE566B" w:rsidP="00CE566B">
            <w:pPr>
              <w:ind w:left="-108"/>
              <w:jc w:val="right"/>
              <w:rPr>
                <w:rFonts w:asciiTheme="minorHAnsi" w:hAnsiTheme="minorHAnsi" w:cstheme="minorHAnsi"/>
                <w:color w:val="000000" w:themeColor="text1"/>
                <w:sz w:val="20"/>
                <w:szCs w:val="20"/>
              </w:rPr>
            </w:pPr>
            <w:r w:rsidRPr="006D4208">
              <w:rPr>
                <w:rFonts w:asciiTheme="minorHAnsi" w:hAnsiTheme="minorHAnsi" w:cstheme="minorHAnsi"/>
                <w:sz w:val="20"/>
                <w:szCs w:val="20"/>
              </w:rPr>
              <w:t>-</w:t>
            </w:r>
          </w:p>
        </w:tc>
        <w:tc>
          <w:tcPr>
            <w:tcW w:w="1148" w:type="dxa"/>
            <w:tcBorders>
              <w:left w:val="nil"/>
              <w:bottom w:val="single" w:sz="4" w:space="0" w:color="auto"/>
              <w:right w:val="nil"/>
            </w:tcBorders>
            <w:vAlign w:val="bottom"/>
          </w:tcPr>
          <w:p w14:paraId="6EC5918D" w14:textId="45C77F58" w:rsidR="00CE566B" w:rsidRPr="006D4208" w:rsidRDefault="00CE566B" w:rsidP="00CE566B">
            <w:pPr>
              <w:jc w:val="right"/>
              <w:rPr>
                <w:rFonts w:asciiTheme="minorHAnsi" w:hAnsiTheme="minorHAnsi" w:cstheme="minorHAnsi"/>
                <w:color w:val="000000" w:themeColor="text1"/>
                <w:sz w:val="20"/>
                <w:szCs w:val="20"/>
              </w:rPr>
            </w:pPr>
            <w:r w:rsidRPr="006D4208">
              <w:rPr>
                <w:rFonts w:asciiTheme="minorHAnsi" w:hAnsiTheme="minorHAnsi" w:cstheme="minorHAnsi"/>
                <w:sz w:val="20"/>
                <w:szCs w:val="20"/>
              </w:rPr>
              <w:t>1.6</w:t>
            </w:r>
          </w:p>
        </w:tc>
      </w:tr>
      <w:tr w:rsidR="00CE566B" w:rsidRPr="00A36F5C" w14:paraId="352676E4" w14:textId="77777777" w:rsidTr="103F77E5">
        <w:trPr>
          <w:trHeight w:val="194"/>
        </w:trPr>
        <w:tc>
          <w:tcPr>
            <w:tcW w:w="3560" w:type="dxa"/>
            <w:tcBorders>
              <w:top w:val="single" w:sz="4" w:space="0" w:color="auto"/>
              <w:bottom w:val="single" w:sz="4" w:space="0" w:color="auto"/>
            </w:tcBorders>
            <w:vAlign w:val="bottom"/>
          </w:tcPr>
          <w:p w14:paraId="389AC345" w14:textId="058D05E0" w:rsidR="00CE566B" w:rsidRPr="00A36F5C" w:rsidRDefault="00CE566B" w:rsidP="00CE566B">
            <w:pPr>
              <w:rPr>
                <w:rFonts w:asciiTheme="minorHAnsi" w:hAnsiTheme="minorHAnsi" w:cs="Arial"/>
                <w:b/>
                <w:sz w:val="20"/>
                <w:szCs w:val="20"/>
              </w:rPr>
            </w:pPr>
            <w:r w:rsidRPr="00A36F5C">
              <w:rPr>
                <w:rFonts w:asciiTheme="minorHAnsi" w:hAnsiTheme="minorHAnsi" w:cs="Arial"/>
                <w:b/>
                <w:sz w:val="20"/>
                <w:szCs w:val="20"/>
              </w:rPr>
              <w:t xml:space="preserve">Adjusted basic </w:t>
            </w:r>
            <w:r w:rsidR="00F05148">
              <w:rPr>
                <w:rFonts w:asciiTheme="minorHAnsi" w:hAnsiTheme="minorHAnsi" w:cs="Arial"/>
                <w:b/>
                <w:sz w:val="20"/>
                <w:szCs w:val="20"/>
              </w:rPr>
              <w:t>loss</w:t>
            </w:r>
            <w:r w:rsidRPr="00A36F5C">
              <w:rPr>
                <w:rFonts w:asciiTheme="minorHAnsi" w:hAnsiTheme="minorHAnsi" w:cs="Arial"/>
                <w:b/>
                <w:sz w:val="20"/>
                <w:szCs w:val="20"/>
              </w:rPr>
              <w:t xml:space="preserve"> per share</w:t>
            </w:r>
          </w:p>
        </w:tc>
        <w:tc>
          <w:tcPr>
            <w:tcW w:w="1138" w:type="dxa"/>
            <w:tcBorders>
              <w:top w:val="single" w:sz="4" w:space="0" w:color="auto"/>
              <w:left w:val="nil"/>
              <w:bottom w:val="single" w:sz="4" w:space="0" w:color="auto"/>
              <w:right w:val="nil"/>
            </w:tcBorders>
            <w:shd w:val="clear" w:color="auto" w:fill="F2F2F2" w:themeFill="background1" w:themeFillShade="F2"/>
          </w:tcPr>
          <w:p w14:paraId="2441FCBE" w14:textId="2FBB2C1E" w:rsidR="00CE566B" w:rsidRPr="006D4208" w:rsidRDefault="00CE566B" w:rsidP="00CE566B">
            <w:pPr>
              <w:jc w:val="right"/>
              <w:rPr>
                <w:rFonts w:asciiTheme="minorHAnsi" w:hAnsiTheme="minorHAnsi" w:cstheme="minorHAnsi"/>
                <w:b/>
                <w:sz w:val="20"/>
                <w:szCs w:val="20"/>
              </w:rPr>
            </w:pPr>
            <w:r w:rsidRPr="006D4208">
              <w:rPr>
                <w:rFonts w:asciiTheme="minorHAnsi" w:hAnsiTheme="minorHAnsi" w:cstheme="minorHAnsi"/>
                <w:b/>
                <w:sz w:val="20"/>
                <w:szCs w:val="20"/>
              </w:rPr>
              <w:t>(</w:t>
            </w:r>
            <w:r w:rsidR="003A35A9" w:rsidRPr="006D4208">
              <w:rPr>
                <w:rFonts w:asciiTheme="minorHAnsi" w:hAnsiTheme="minorHAnsi" w:cstheme="minorHAnsi"/>
                <w:b/>
                <w:sz w:val="20"/>
                <w:szCs w:val="20"/>
              </w:rPr>
              <w:t>21.1</w:t>
            </w:r>
            <w:r w:rsidRPr="006D4208">
              <w:rPr>
                <w:rFonts w:asciiTheme="minorHAnsi" w:hAnsiTheme="minorHAnsi" w:cstheme="minorHAnsi"/>
                <w:b/>
                <w:sz w:val="20"/>
                <w:szCs w:val="20"/>
              </w:rPr>
              <w:t>)</w:t>
            </w:r>
          </w:p>
        </w:tc>
        <w:tc>
          <w:tcPr>
            <w:tcW w:w="995" w:type="dxa"/>
            <w:tcBorders>
              <w:top w:val="single" w:sz="4" w:space="0" w:color="auto"/>
              <w:left w:val="nil"/>
              <w:bottom w:val="single" w:sz="4" w:space="0" w:color="auto"/>
              <w:right w:val="nil"/>
            </w:tcBorders>
            <w:shd w:val="clear" w:color="auto" w:fill="F2F2F2" w:themeFill="background1" w:themeFillShade="F2"/>
          </w:tcPr>
          <w:p w14:paraId="1289D43A" w14:textId="607B4361" w:rsidR="00CE566B" w:rsidRPr="006D4208" w:rsidRDefault="00E0357B" w:rsidP="00CE566B">
            <w:pPr>
              <w:ind w:left="-108"/>
              <w:jc w:val="right"/>
              <w:rPr>
                <w:rFonts w:asciiTheme="minorHAnsi" w:hAnsiTheme="minorHAnsi" w:cstheme="minorHAnsi"/>
                <w:b/>
                <w:color w:val="000000" w:themeColor="text1"/>
                <w:sz w:val="20"/>
                <w:szCs w:val="20"/>
              </w:rPr>
            </w:pPr>
            <w:r w:rsidRPr="006D4208">
              <w:rPr>
                <w:rFonts w:asciiTheme="minorHAnsi" w:hAnsiTheme="minorHAnsi" w:cstheme="minorHAnsi"/>
                <w:b/>
                <w:color w:val="000000" w:themeColor="text1"/>
                <w:sz w:val="20"/>
                <w:szCs w:val="20"/>
              </w:rPr>
              <w:t>254.7</w:t>
            </w:r>
          </w:p>
        </w:tc>
        <w:tc>
          <w:tcPr>
            <w:tcW w:w="1002" w:type="dxa"/>
            <w:tcBorders>
              <w:top w:val="single" w:sz="4" w:space="0" w:color="auto"/>
              <w:left w:val="nil"/>
              <w:bottom w:val="single" w:sz="4" w:space="0" w:color="auto"/>
              <w:right w:val="nil"/>
            </w:tcBorders>
            <w:shd w:val="clear" w:color="auto" w:fill="F2F2F2" w:themeFill="background1" w:themeFillShade="F2"/>
          </w:tcPr>
          <w:p w14:paraId="4C9F6852" w14:textId="761E5A3D" w:rsidR="00CE566B" w:rsidRPr="006D4208" w:rsidRDefault="00CE566B" w:rsidP="00CE566B">
            <w:pPr>
              <w:jc w:val="right"/>
              <w:rPr>
                <w:rFonts w:asciiTheme="minorHAnsi" w:hAnsiTheme="minorHAnsi" w:cstheme="minorHAnsi"/>
                <w:b/>
                <w:color w:val="000000" w:themeColor="text1"/>
                <w:sz w:val="20"/>
                <w:szCs w:val="20"/>
              </w:rPr>
            </w:pPr>
            <w:r w:rsidRPr="006D4208">
              <w:rPr>
                <w:rFonts w:asciiTheme="minorHAnsi" w:hAnsiTheme="minorHAnsi" w:cstheme="minorHAnsi"/>
                <w:b/>
                <w:color w:val="000000" w:themeColor="text1"/>
                <w:sz w:val="20"/>
                <w:szCs w:val="20"/>
              </w:rPr>
              <w:t>(</w:t>
            </w:r>
            <w:r w:rsidR="00D050C3" w:rsidRPr="006D4208">
              <w:rPr>
                <w:rFonts w:asciiTheme="minorHAnsi" w:hAnsiTheme="minorHAnsi" w:cstheme="minorHAnsi"/>
                <w:b/>
                <w:color w:val="000000" w:themeColor="text1"/>
                <w:sz w:val="20"/>
                <w:szCs w:val="20"/>
              </w:rPr>
              <w:t>8.3</w:t>
            </w:r>
            <w:r w:rsidRPr="006D4208">
              <w:rPr>
                <w:rFonts w:asciiTheme="minorHAnsi" w:hAnsiTheme="minorHAnsi" w:cstheme="minorHAnsi"/>
                <w:b/>
                <w:color w:val="000000" w:themeColor="text1"/>
                <w:sz w:val="20"/>
                <w:szCs w:val="20"/>
              </w:rPr>
              <w:t>)</w:t>
            </w:r>
          </w:p>
        </w:tc>
        <w:tc>
          <w:tcPr>
            <w:tcW w:w="995" w:type="dxa"/>
            <w:tcBorders>
              <w:top w:val="single" w:sz="4" w:space="0" w:color="auto"/>
              <w:left w:val="nil"/>
              <w:bottom w:val="single" w:sz="4" w:space="0" w:color="auto"/>
              <w:right w:val="nil"/>
            </w:tcBorders>
            <w:vAlign w:val="bottom"/>
          </w:tcPr>
          <w:p w14:paraId="1A71F4EC" w14:textId="7B7C3F04" w:rsidR="00CE566B" w:rsidRPr="006D4208" w:rsidRDefault="00CE566B" w:rsidP="00CE566B">
            <w:pPr>
              <w:jc w:val="right"/>
              <w:rPr>
                <w:rFonts w:asciiTheme="minorHAnsi" w:hAnsiTheme="minorHAnsi" w:cstheme="minorHAnsi"/>
                <w:sz w:val="20"/>
                <w:szCs w:val="20"/>
              </w:rPr>
            </w:pPr>
            <w:r w:rsidRPr="006D4208">
              <w:rPr>
                <w:rFonts w:asciiTheme="minorHAnsi" w:hAnsiTheme="minorHAnsi" w:cstheme="minorHAnsi"/>
                <w:sz w:val="20"/>
                <w:szCs w:val="20"/>
              </w:rPr>
              <w:t>(</w:t>
            </w:r>
            <w:r w:rsidR="00822117">
              <w:rPr>
                <w:rFonts w:asciiTheme="minorHAnsi" w:hAnsiTheme="minorHAnsi" w:cstheme="minorHAnsi"/>
                <w:sz w:val="20"/>
                <w:szCs w:val="20"/>
              </w:rPr>
              <w:t>9.1</w:t>
            </w:r>
            <w:r w:rsidRPr="006D4208">
              <w:rPr>
                <w:rFonts w:asciiTheme="minorHAnsi" w:hAnsiTheme="minorHAnsi" w:cstheme="minorHAnsi"/>
                <w:sz w:val="20"/>
                <w:szCs w:val="20"/>
              </w:rPr>
              <w:t>)</w:t>
            </w:r>
          </w:p>
        </w:tc>
        <w:tc>
          <w:tcPr>
            <w:tcW w:w="1138" w:type="dxa"/>
            <w:tcBorders>
              <w:top w:val="single" w:sz="4" w:space="0" w:color="auto"/>
              <w:left w:val="nil"/>
              <w:bottom w:val="single" w:sz="4" w:space="0" w:color="auto"/>
              <w:right w:val="nil"/>
            </w:tcBorders>
            <w:vAlign w:val="bottom"/>
          </w:tcPr>
          <w:p w14:paraId="20CDC120" w14:textId="05CF00F7" w:rsidR="00CE566B" w:rsidRPr="006D4208" w:rsidRDefault="00CE566B" w:rsidP="00CE566B">
            <w:pPr>
              <w:ind w:left="-108"/>
              <w:jc w:val="right"/>
              <w:rPr>
                <w:rFonts w:asciiTheme="minorHAnsi" w:hAnsiTheme="minorHAnsi" w:cstheme="minorHAnsi"/>
                <w:sz w:val="20"/>
                <w:szCs w:val="20"/>
              </w:rPr>
            </w:pPr>
            <w:r w:rsidRPr="006D4208">
              <w:rPr>
                <w:rFonts w:asciiTheme="minorHAnsi" w:hAnsiTheme="minorHAnsi" w:cstheme="minorHAnsi"/>
                <w:sz w:val="20"/>
                <w:szCs w:val="20"/>
              </w:rPr>
              <w:t>251.0</w:t>
            </w:r>
          </w:p>
        </w:tc>
        <w:tc>
          <w:tcPr>
            <w:tcW w:w="1148" w:type="dxa"/>
            <w:tcBorders>
              <w:top w:val="single" w:sz="4" w:space="0" w:color="auto"/>
              <w:left w:val="nil"/>
              <w:bottom w:val="single" w:sz="4" w:space="0" w:color="auto"/>
              <w:right w:val="nil"/>
            </w:tcBorders>
            <w:vAlign w:val="bottom"/>
          </w:tcPr>
          <w:p w14:paraId="1076B5BB" w14:textId="54EE2998" w:rsidR="00CE566B" w:rsidRPr="006D4208" w:rsidRDefault="00CE566B" w:rsidP="00CE566B">
            <w:pPr>
              <w:jc w:val="right"/>
              <w:rPr>
                <w:rFonts w:asciiTheme="minorHAnsi" w:hAnsiTheme="minorHAnsi" w:cstheme="minorHAnsi"/>
                <w:sz w:val="20"/>
                <w:szCs w:val="20"/>
              </w:rPr>
            </w:pPr>
            <w:r w:rsidRPr="006D4208">
              <w:rPr>
                <w:rFonts w:asciiTheme="minorHAnsi" w:hAnsiTheme="minorHAnsi" w:cstheme="minorHAnsi"/>
                <w:sz w:val="20"/>
                <w:szCs w:val="20"/>
              </w:rPr>
              <w:t>(</w:t>
            </w:r>
            <w:r w:rsidR="00B51722">
              <w:rPr>
                <w:rFonts w:asciiTheme="minorHAnsi" w:hAnsiTheme="minorHAnsi" w:cstheme="minorHAnsi"/>
                <w:sz w:val="20"/>
                <w:szCs w:val="20"/>
              </w:rPr>
              <w:t>3</w:t>
            </w:r>
            <w:r w:rsidR="000A2650" w:rsidRPr="006D4208">
              <w:rPr>
                <w:rFonts w:asciiTheme="minorHAnsi" w:hAnsiTheme="minorHAnsi" w:cstheme="minorHAnsi"/>
                <w:sz w:val="20"/>
                <w:szCs w:val="20"/>
              </w:rPr>
              <w:t>.6</w:t>
            </w:r>
            <w:r w:rsidRPr="006D4208">
              <w:rPr>
                <w:rFonts w:asciiTheme="minorHAnsi" w:hAnsiTheme="minorHAnsi" w:cstheme="minorHAnsi"/>
                <w:sz w:val="20"/>
                <w:szCs w:val="20"/>
              </w:rPr>
              <w:t>)</w:t>
            </w:r>
          </w:p>
        </w:tc>
      </w:tr>
      <w:tr w:rsidR="00E8085F" w:rsidRPr="00A36F5C" w14:paraId="2C13A94B" w14:textId="77777777" w:rsidTr="103F77E5">
        <w:trPr>
          <w:trHeight w:val="194"/>
        </w:trPr>
        <w:tc>
          <w:tcPr>
            <w:tcW w:w="3560" w:type="dxa"/>
            <w:tcBorders>
              <w:top w:val="single" w:sz="4" w:space="0" w:color="auto"/>
            </w:tcBorders>
            <w:vAlign w:val="bottom"/>
          </w:tcPr>
          <w:p w14:paraId="04A12045" w14:textId="77777777" w:rsidR="00E8085F" w:rsidRPr="00A36F5C" w:rsidRDefault="00E8085F" w:rsidP="00CE566B">
            <w:pPr>
              <w:rPr>
                <w:rFonts w:asciiTheme="minorHAnsi" w:hAnsiTheme="minorHAnsi" w:cs="Arial"/>
                <w:b/>
                <w:sz w:val="20"/>
                <w:szCs w:val="20"/>
              </w:rPr>
            </w:pPr>
          </w:p>
        </w:tc>
        <w:tc>
          <w:tcPr>
            <w:tcW w:w="1138" w:type="dxa"/>
            <w:tcBorders>
              <w:top w:val="single" w:sz="4" w:space="0" w:color="auto"/>
              <w:left w:val="nil"/>
              <w:right w:val="nil"/>
            </w:tcBorders>
            <w:shd w:val="clear" w:color="auto" w:fill="F2F2F2" w:themeFill="background1" w:themeFillShade="F2"/>
          </w:tcPr>
          <w:p w14:paraId="345FAF43" w14:textId="77777777" w:rsidR="00E8085F" w:rsidRPr="00D050C3" w:rsidRDefault="00E8085F" w:rsidP="00CE566B">
            <w:pPr>
              <w:jc w:val="right"/>
              <w:rPr>
                <w:rFonts w:asciiTheme="minorHAnsi" w:hAnsiTheme="minorHAnsi" w:cstheme="minorHAnsi"/>
                <w:b/>
                <w:sz w:val="20"/>
                <w:szCs w:val="20"/>
                <w:highlight w:val="magenta"/>
              </w:rPr>
            </w:pPr>
          </w:p>
        </w:tc>
        <w:tc>
          <w:tcPr>
            <w:tcW w:w="995" w:type="dxa"/>
            <w:tcBorders>
              <w:top w:val="single" w:sz="4" w:space="0" w:color="auto"/>
              <w:left w:val="nil"/>
              <w:right w:val="nil"/>
            </w:tcBorders>
            <w:shd w:val="clear" w:color="auto" w:fill="F2F2F2" w:themeFill="background1" w:themeFillShade="F2"/>
          </w:tcPr>
          <w:p w14:paraId="55D38005" w14:textId="77777777" w:rsidR="00E8085F" w:rsidRPr="00D050C3" w:rsidRDefault="00E8085F" w:rsidP="00CE566B">
            <w:pPr>
              <w:ind w:left="-108"/>
              <w:jc w:val="right"/>
              <w:rPr>
                <w:rFonts w:asciiTheme="minorHAnsi" w:hAnsiTheme="minorHAnsi" w:cstheme="minorHAnsi"/>
                <w:b/>
                <w:color w:val="000000" w:themeColor="text1"/>
                <w:sz w:val="20"/>
                <w:szCs w:val="20"/>
                <w:highlight w:val="magenta"/>
              </w:rPr>
            </w:pPr>
          </w:p>
        </w:tc>
        <w:tc>
          <w:tcPr>
            <w:tcW w:w="1002" w:type="dxa"/>
            <w:tcBorders>
              <w:top w:val="single" w:sz="4" w:space="0" w:color="auto"/>
              <w:left w:val="nil"/>
              <w:right w:val="nil"/>
            </w:tcBorders>
            <w:shd w:val="clear" w:color="auto" w:fill="F2F2F2" w:themeFill="background1" w:themeFillShade="F2"/>
          </w:tcPr>
          <w:p w14:paraId="2DE32220" w14:textId="77777777" w:rsidR="00E8085F" w:rsidRPr="00D050C3" w:rsidRDefault="00E8085F" w:rsidP="00CE566B">
            <w:pPr>
              <w:jc w:val="right"/>
              <w:rPr>
                <w:rFonts w:asciiTheme="minorHAnsi" w:hAnsiTheme="minorHAnsi" w:cstheme="minorHAnsi"/>
                <w:b/>
                <w:color w:val="000000" w:themeColor="text1"/>
                <w:sz w:val="20"/>
                <w:szCs w:val="20"/>
                <w:highlight w:val="magenta"/>
              </w:rPr>
            </w:pPr>
          </w:p>
        </w:tc>
        <w:tc>
          <w:tcPr>
            <w:tcW w:w="995" w:type="dxa"/>
            <w:tcBorders>
              <w:top w:val="single" w:sz="4" w:space="0" w:color="auto"/>
              <w:left w:val="nil"/>
              <w:right w:val="nil"/>
            </w:tcBorders>
            <w:vAlign w:val="bottom"/>
          </w:tcPr>
          <w:p w14:paraId="7DA0E516" w14:textId="77777777" w:rsidR="00E8085F" w:rsidRPr="00781D84" w:rsidRDefault="00E8085F" w:rsidP="00CE566B">
            <w:pPr>
              <w:jc w:val="right"/>
              <w:rPr>
                <w:rFonts w:asciiTheme="minorHAnsi" w:hAnsiTheme="minorHAnsi" w:cstheme="minorHAnsi"/>
                <w:sz w:val="20"/>
                <w:szCs w:val="20"/>
                <w:highlight w:val="magenta"/>
              </w:rPr>
            </w:pPr>
          </w:p>
        </w:tc>
        <w:tc>
          <w:tcPr>
            <w:tcW w:w="1138" w:type="dxa"/>
            <w:tcBorders>
              <w:top w:val="single" w:sz="4" w:space="0" w:color="auto"/>
              <w:left w:val="nil"/>
              <w:right w:val="nil"/>
            </w:tcBorders>
            <w:vAlign w:val="bottom"/>
          </w:tcPr>
          <w:p w14:paraId="2081776D" w14:textId="77777777" w:rsidR="00E8085F" w:rsidRPr="00781D84" w:rsidRDefault="00E8085F" w:rsidP="00CE566B">
            <w:pPr>
              <w:ind w:left="-108"/>
              <w:jc w:val="right"/>
              <w:rPr>
                <w:rFonts w:asciiTheme="minorHAnsi" w:hAnsiTheme="minorHAnsi" w:cstheme="minorHAnsi"/>
                <w:sz w:val="20"/>
                <w:szCs w:val="20"/>
                <w:highlight w:val="magenta"/>
              </w:rPr>
            </w:pPr>
          </w:p>
        </w:tc>
        <w:tc>
          <w:tcPr>
            <w:tcW w:w="1148" w:type="dxa"/>
            <w:tcBorders>
              <w:top w:val="single" w:sz="4" w:space="0" w:color="auto"/>
              <w:left w:val="nil"/>
              <w:right w:val="nil"/>
            </w:tcBorders>
            <w:vAlign w:val="bottom"/>
          </w:tcPr>
          <w:p w14:paraId="21CF62F2" w14:textId="77777777" w:rsidR="00E8085F" w:rsidRPr="00781D84" w:rsidRDefault="00E8085F" w:rsidP="00CE566B">
            <w:pPr>
              <w:jc w:val="right"/>
              <w:rPr>
                <w:rFonts w:asciiTheme="minorHAnsi" w:hAnsiTheme="minorHAnsi" w:cstheme="minorHAnsi"/>
                <w:sz w:val="20"/>
                <w:szCs w:val="20"/>
                <w:highlight w:val="magenta"/>
              </w:rPr>
            </w:pPr>
          </w:p>
        </w:tc>
      </w:tr>
      <w:tr w:rsidR="005535CF" w:rsidRPr="00A36F5C" w14:paraId="02C56C10" w14:textId="77777777" w:rsidTr="103F77E5">
        <w:trPr>
          <w:trHeight w:val="194"/>
        </w:trPr>
        <w:tc>
          <w:tcPr>
            <w:tcW w:w="3560" w:type="dxa"/>
            <w:vAlign w:val="bottom"/>
          </w:tcPr>
          <w:p w14:paraId="1AD537A9" w14:textId="61221F74" w:rsidR="005535CF" w:rsidRPr="00A36F5C" w:rsidRDefault="005535CF" w:rsidP="005535CF">
            <w:pPr>
              <w:rPr>
                <w:rFonts w:asciiTheme="minorHAnsi" w:hAnsiTheme="minorHAnsi" w:cs="Arial"/>
                <w:b/>
                <w:sz w:val="20"/>
                <w:szCs w:val="20"/>
              </w:rPr>
            </w:pPr>
            <w:r w:rsidRPr="00A36F5C">
              <w:rPr>
                <w:rFonts w:asciiTheme="minorHAnsi" w:hAnsiTheme="minorHAnsi" w:cs="Arial"/>
                <w:b/>
                <w:sz w:val="20"/>
                <w:szCs w:val="20"/>
              </w:rPr>
              <w:t xml:space="preserve">Diluted loss per share </w:t>
            </w:r>
          </w:p>
        </w:tc>
        <w:tc>
          <w:tcPr>
            <w:tcW w:w="1138" w:type="dxa"/>
            <w:tcBorders>
              <w:left w:val="nil"/>
              <w:right w:val="nil"/>
            </w:tcBorders>
            <w:shd w:val="clear" w:color="auto" w:fill="F2F2F2" w:themeFill="background1" w:themeFillShade="F2"/>
            <w:vAlign w:val="bottom"/>
          </w:tcPr>
          <w:p w14:paraId="00C51821" w14:textId="2B84A993" w:rsidR="005535CF" w:rsidRPr="006D4208" w:rsidRDefault="00D050C3" w:rsidP="005535CF">
            <w:pPr>
              <w:jc w:val="right"/>
              <w:rPr>
                <w:rFonts w:asciiTheme="minorHAnsi" w:hAnsiTheme="minorHAnsi" w:cstheme="minorHAnsi"/>
                <w:b/>
                <w:sz w:val="20"/>
                <w:szCs w:val="20"/>
              </w:rPr>
            </w:pPr>
            <w:r w:rsidRPr="006D4208">
              <w:rPr>
                <w:rFonts w:asciiTheme="minorHAnsi" w:hAnsiTheme="minorHAnsi" w:cstheme="minorHAnsi"/>
                <w:b/>
                <w:sz w:val="20"/>
                <w:szCs w:val="20"/>
              </w:rPr>
              <w:t>(35.8)</w:t>
            </w:r>
          </w:p>
        </w:tc>
        <w:tc>
          <w:tcPr>
            <w:tcW w:w="995" w:type="dxa"/>
            <w:tcBorders>
              <w:left w:val="nil"/>
              <w:right w:val="nil"/>
            </w:tcBorders>
            <w:shd w:val="clear" w:color="auto" w:fill="F2F2F2" w:themeFill="background1" w:themeFillShade="F2"/>
            <w:vAlign w:val="bottom"/>
          </w:tcPr>
          <w:p w14:paraId="243B5347" w14:textId="1B6A2487" w:rsidR="005535CF" w:rsidRPr="006D4208" w:rsidRDefault="00D050C3" w:rsidP="005535CF">
            <w:pPr>
              <w:ind w:left="-108"/>
              <w:jc w:val="right"/>
              <w:rPr>
                <w:rFonts w:asciiTheme="minorHAnsi" w:hAnsiTheme="minorHAnsi" w:cstheme="minorHAnsi"/>
                <w:b/>
                <w:color w:val="000000" w:themeColor="text1"/>
                <w:sz w:val="20"/>
                <w:szCs w:val="20"/>
              </w:rPr>
            </w:pPr>
            <w:r w:rsidRPr="006D4208">
              <w:rPr>
                <w:rFonts w:asciiTheme="minorHAnsi" w:hAnsiTheme="minorHAnsi" w:cstheme="minorHAnsi"/>
                <w:b/>
                <w:sz w:val="20"/>
                <w:szCs w:val="20"/>
              </w:rPr>
              <w:t>254.7</w:t>
            </w:r>
          </w:p>
        </w:tc>
        <w:tc>
          <w:tcPr>
            <w:tcW w:w="1002" w:type="dxa"/>
            <w:tcBorders>
              <w:left w:val="nil"/>
              <w:right w:val="nil"/>
            </w:tcBorders>
            <w:shd w:val="clear" w:color="auto" w:fill="F2F2F2" w:themeFill="background1" w:themeFillShade="F2"/>
            <w:vAlign w:val="bottom"/>
          </w:tcPr>
          <w:p w14:paraId="12F6817F" w14:textId="52080464" w:rsidR="005535CF" w:rsidRPr="006D4208" w:rsidRDefault="00D050C3" w:rsidP="005535CF">
            <w:pPr>
              <w:jc w:val="right"/>
              <w:rPr>
                <w:rFonts w:asciiTheme="minorHAnsi" w:hAnsiTheme="minorHAnsi" w:cstheme="minorHAnsi"/>
                <w:b/>
                <w:color w:val="000000" w:themeColor="text1"/>
                <w:sz w:val="20"/>
                <w:szCs w:val="20"/>
              </w:rPr>
            </w:pPr>
            <w:r w:rsidRPr="006D4208">
              <w:rPr>
                <w:rFonts w:asciiTheme="minorHAnsi" w:hAnsiTheme="minorHAnsi" w:cstheme="minorHAnsi"/>
                <w:b/>
                <w:sz w:val="20"/>
                <w:szCs w:val="20"/>
              </w:rPr>
              <w:t>(14.1)</w:t>
            </w:r>
          </w:p>
        </w:tc>
        <w:tc>
          <w:tcPr>
            <w:tcW w:w="995" w:type="dxa"/>
            <w:tcBorders>
              <w:left w:val="nil"/>
              <w:right w:val="nil"/>
            </w:tcBorders>
            <w:vAlign w:val="bottom"/>
          </w:tcPr>
          <w:p w14:paraId="15D294AE" w14:textId="6DCB6EFD" w:rsidR="005535CF" w:rsidRPr="006D4208" w:rsidRDefault="005535CF" w:rsidP="005535CF">
            <w:pPr>
              <w:jc w:val="right"/>
              <w:rPr>
                <w:rFonts w:asciiTheme="minorHAnsi" w:hAnsiTheme="minorHAnsi" w:cstheme="minorHAnsi"/>
                <w:sz w:val="20"/>
                <w:szCs w:val="20"/>
              </w:rPr>
            </w:pPr>
            <w:r w:rsidRPr="006D4208">
              <w:rPr>
                <w:rFonts w:asciiTheme="minorHAnsi" w:hAnsiTheme="minorHAnsi" w:cstheme="minorHAnsi"/>
                <w:sz w:val="20"/>
                <w:szCs w:val="20"/>
              </w:rPr>
              <w:t>(</w:t>
            </w:r>
            <w:r w:rsidR="00D050C3" w:rsidRPr="006D4208">
              <w:rPr>
                <w:rFonts w:asciiTheme="minorHAnsi" w:hAnsiTheme="minorHAnsi" w:cstheme="minorHAnsi"/>
                <w:sz w:val="20"/>
                <w:szCs w:val="20"/>
              </w:rPr>
              <w:t>1</w:t>
            </w:r>
            <w:r w:rsidR="00313E1C">
              <w:rPr>
                <w:rFonts w:asciiTheme="minorHAnsi" w:hAnsiTheme="minorHAnsi" w:cstheme="minorHAnsi"/>
                <w:sz w:val="20"/>
                <w:szCs w:val="20"/>
              </w:rPr>
              <w:t>5.9</w:t>
            </w:r>
            <w:r w:rsidRPr="006D4208">
              <w:rPr>
                <w:rFonts w:asciiTheme="minorHAnsi" w:hAnsiTheme="minorHAnsi" w:cstheme="minorHAnsi"/>
                <w:sz w:val="20"/>
                <w:szCs w:val="20"/>
              </w:rPr>
              <w:t>)</w:t>
            </w:r>
          </w:p>
        </w:tc>
        <w:tc>
          <w:tcPr>
            <w:tcW w:w="1138" w:type="dxa"/>
            <w:tcBorders>
              <w:left w:val="nil"/>
              <w:right w:val="nil"/>
            </w:tcBorders>
            <w:vAlign w:val="bottom"/>
          </w:tcPr>
          <w:p w14:paraId="4A9EA77F" w14:textId="61D15D8A" w:rsidR="005535CF" w:rsidRPr="006D4208" w:rsidRDefault="005535CF" w:rsidP="005535CF">
            <w:pPr>
              <w:ind w:left="-108"/>
              <w:jc w:val="right"/>
              <w:rPr>
                <w:rFonts w:asciiTheme="minorHAnsi" w:hAnsiTheme="minorHAnsi" w:cstheme="minorHAnsi"/>
                <w:sz w:val="20"/>
                <w:szCs w:val="20"/>
              </w:rPr>
            </w:pPr>
            <w:r w:rsidRPr="006D4208">
              <w:rPr>
                <w:rFonts w:asciiTheme="minorHAnsi" w:hAnsiTheme="minorHAnsi" w:cstheme="minorHAnsi"/>
                <w:sz w:val="20"/>
                <w:szCs w:val="20"/>
              </w:rPr>
              <w:t>251.0</w:t>
            </w:r>
          </w:p>
        </w:tc>
        <w:tc>
          <w:tcPr>
            <w:tcW w:w="1148" w:type="dxa"/>
            <w:tcBorders>
              <w:left w:val="nil"/>
              <w:right w:val="nil"/>
            </w:tcBorders>
            <w:vAlign w:val="bottom"/>
          </w:tcPr>
          <w:p w14:paraId="438C91E2" w14:textId="3803C59B" w:rsidR="005535CF" w:rsidRPr="006D4208" w:rsidRDefault="005535CF" w:rsidP="005535CF">
            <w:pPr>
              <w:jc w:val="right"/>
              <w:rPr>
                <w:rFonts w:asciiTheme="minorHAnsi" w:hAnsiTheme="minorHAnsi" w:cstheme="minorHAnsi"/>
                <w:sz w:val="20"/>
                <w:szCs w:val="20"/>
              </w:rPr>
            </w:pPr>
            <w:r w:rsidRPr="006D4208">
              <w:rPr>
                <w:rFonts w:asciiTheme="minorHAnsi" w:hAnsiTheme="minorHAnsi" w:cstheme="minorHAnsi"/>
                <w:sz w:val="20"/>
                <w:szCs w:val="20"/>
              </w:rPr>
              <w:t>(</w:t>
            </w:r>
            <w:r w:rsidR="00313E1C">
              <w:rPr>
                <w:rFonts w:asciiTheme="minorHAnsi" w:hAnsiTheme="minorHAnsi" w:cstheme="minorHAnsi"/>
                <w:sz w:val="20"/>
                <w:szCs w:val="20"/>
              </w:rPr>
              <w:t>6</w:t>
            </w:r>
            <w:r w:rsidR="00D050C3" w:rsidRPr="006D4208">
              <w:rPr>
                <w:rFonts w:asciiTheme="minorHAnsi" w:hAnsiTheme="minorHAnsi" w:cstheme="minorHAnsi"/>
                <w:sz w:val="20"/>
                <w:szCs w:val="20"/>
              </w:rPr>
              <w:t>.3</w:t>
            </w:r>
            <w:r w:rsidRPr="006D4208">
              <w:rPr>
                <w:rFonts w:asciiTheme="minorHAnsi" w:hAnsiTheme="minorHAnsi" w:cstheme="minorHAnsi"/>
                <w:sz w:val="20"/>
                <w:szCs w:val="20"/>
              </w:rPr>
              <w:t>)</w:t>
            </w:r>
          </w:p>
        </w:tc>
      </w:tr>
      <w:tr w:rsidR="005535CF" w:rsidRPr="00A36F5C" w14:paraId="2625E5E8" w14:textId="77777777" w:rsidTr="103F77E5">
        <w:trPr>
          <w:trHeight w:val="194"/>
        </w:trPr>
        <w:tc>
          <w:tcPr>
            <w:tcW w:w="3560" w:type="dxa"/>
            <w:vAlign w:val="bottom"/>
          </w:tcPr>
          <w:p w14:paraId="13EBC7DD" w14:textId="19401BC8" w:rsidR="005535CF" w:rsidRPr="00A36F5C" w:rsidRDefault="005535CF" w:rsidP="005535CF">
            <w:pPr>
              <w:rPr>
                <w:rFonts w:asciiTheme="minorHAnsi" w:hAnsiTheme="minorHAnsi" w:cs="Arial"/>
                <w:b/>
                <w:sz w:val="20"/>
                <w:szCs w:val="20"/>
              </w:rPr>
            </w:pPr>
            <w:r w:rsidRPr="00A36F5C">
              <w:rPr>
                <w:rFonts w:asciiTheme="minorHAnsi" w:hAnsiTheme="minorHAnsi" w:cs="Arial"/>
                <w:sz w:val="20"/>
                <w:szCs w:val="20"/>
              </w:rPr>
              <w:t>Amortisation of acquisition intangibles, net of tax</w:t>
            </w:r>
          </w:p>
        </w:tc>
        <w:tc>
          <w:tcPr>
            <w:tcW w:w="1138" w:type="dxa"/>
            <w:tcBorders>
              <w:left w:val="nil"/>
              <w:right w:val="nil"/>
            </w:tcBorders>
            <w:shd w:val="clear" w:color="auto" w:fill="F2F2F2" w:themeFill="background1" w:themeFillShade="F2"/>
            <w:vAlign w:val="bottom"/>
          </w:tcPr>
          <w:p w14:paraId="575F174A" w14:textId="189D56C2" w:rsidR="005535CF" w:rsidRPr="006D4208" w:rsidRDefault="00D050C3" w:rsidP="005535CF">
            <w:pPr>
              <w:jc w:val="right"/>
              <w:rPr>
                <w:rFonts w:asciiTheme="minorHAnsi" w:hAnsiTheme="minorHAnsi" w:cstheme="minorHAnsi"/>
                <w:b/>
                <w:sz w:val="20"/>
                <w:szCs w:val="20"/>
              </w:rPr>
            </w:pPr>
            <w:r w:rsidRPr="006D4208">
              <w:rPr>
                <w:rFonts w:asciiTheme="minorHAnsi" w:hAnsiTheme="minorHAnsi" w:cstheme="minorHAnsi"/>
                <w:b/>
                <w:sz w:val="20"/>
                <w:szCs w:val="20"/>
              </w:rPr>
              <w:t>0.3</w:t>
            </w:r>
          </w:p>
        </w:tc>
        <w:tc>
          <w:tcPr>
            <w:tcW w:w="995" w:type="dxa"/>
            <w:tcBorders>
              <w:left w:val="nil"/>
              <w:right w:val="nil"/>
            </w:tcBorders>
            <w:shd w:val="clear" w:color="auto" w:fill="F2F2F2" w:themeFill="background1" w:themeFillShade="F2"/>
            <w:vAlign w:val="bottom"/>
          </w:tcPr>
          <w:p w14:paraId="760D5FF3" w14:textId="67160F90" w:rsidR="005535CF" w:rsidRPr="006D4208" w:rsidRDefault="00D050C3" w:rsidP="005535CF">
            <w:pPr>
              <w:ind w:left="-108"/>
              <w:jc w:val="right"/>
              <w:rPr>
                <w:rFonts w:asciiTheme="minorHAnsi" w:hAnsiTheme="minorHAnsi" w:cstheme="minorHAnsi"/>
                <w:b/>
                <w:color w:val="000000" w:themeColor="text1"/>
                <w:sz w:val="20"/>
                <w:szCs w:val="20"/>
              </w:rPr>
            </w:pPr>
            <w:r w:rsidRPr="006D4208">
              <w:rPr>
                <w:rFonts w:asciiTheme="minorHAnsi" w:hAnsiTheme="minorHAnsi" w:cstheme="minorHAnsi"/>
                <w:b/>
                <w:color w:val="000000" w:themeColor="text1"/>
                <w:sz w:val="20"/>
                <w:szCs w:val="20"/>
              </w:rPr>
              <w:t>-</w:t>
            </w:r>
          </w:p>
        </w:tc>
        <w:tc>
          <w:tcPr>
            <w:tcW w:w="1002" w:type="dxa"/>
            <w:tcBorders>
              <w:left w:val="nil"/>
              <w:right w:val="nil"/>
            </w:tcBorders>
            <w:shd w:val="clear" w:color="auto" w:fill="F2F2F2" w:themeFill="background1" w:themeFillShade="F2"/>
            <w:vAlign w:val="bottom"/>
          </w:tcPr>
          <w:p w14:paraId="7A26E6F5" w14:textId="54600544" w:rsidR="005535CF" w:rsidRPr="006D4208" w:rsidRDefault="00D050C3" w:rsidP="005535CF">
            <w:pPr>
              <w:jc w:val="right"/>
              <w:rPr>
                <w:rFonts w:asciiTheme="minorHAnsi" w:hAnsiTheme="minorHAnsi" w:cstheme="minorHAnsi"/>
                <w:b/>
                <w:color w:val="000000" w:themeColor="text1"/>
                <w:sz w:val="20"/>
                <w:szCs w:val="20"/>
              </w:rPr>
            </w:pPr>
            <w:r w:rsidRPr="006D4208">
              <w:rPr>
                <w:rFonts w:asciiTheme="minorHAnsi" w:hAnsiTheme="minorHAnsi" w:cstheme="minorHAnsi"/>
                <w:b/>
                <w:color w:val="000000" w:themeColor="text1"/>
                <w:sz w:val="20"/>
                <w:szCs w:val="20"/>
              </w:rPr>
              <w:t>0.1</w:t>
            </w:r>
          </w:p>
        </w:tc>
        <w:tc>
          <w:tcPr>
            <w:tcW w:w="995" w:type="dxa"/>
            <w:tcBorders>
              <w:left w:val="nil"/>
              <w:right w:val="nil"/>
            </w:tcBorders>
            <w:vAlign w:val="bottom"/>
          </w:tcPr>
          <w:p w14:paraId="4177449B" w14:textId="1C21A8BE" w:rsidR="005535CF" w:rsidRPr="006D4208" w:rsidRDefault="005535CF" w:rsidP="005535CF">
            <w:pPr>
              <w:jc w:val="right"/>
              <w:rPr>
                <w:rFonts w:asciiTheme="minorHAnsi" w:hAnsiTheme="minorHAnsi" w:cstheme="minorHAnsi"/>
                <w:sz w:val="20"/>
                <w:szCs w:val="20"/>
              </w:rPr>
            </w:pPr>
            <w:r w:rsidRPr="006D4208">
              <w:rPr>
                <w:rFonts w:asciiTheme="minorHAnsi" w:hAnsiTheme="minorHAnsi" w:cstheme="minorHAnsi"/>
                <w:sz w:val="20"/>
                <w:szCs w:val="20"/>
              </w:rPr>
              <w:t>2.8</w:t>
            </w:r>
          </w:p>
        </w:tc>
        <w:tc>
          <w:tcPr>
            <w:tcW w:w="1138" w:type="dxa"/>
            <w:tcBorders>
              <w:left w:val="nil"/>
              <w:right w:val="nil"/>
            </w:tcBorders>
            <w:vAlign w:val="bottom"/>
          </w:tcPr>
          <w:p w14:paraId="178FD50A" w14:textId="6022A0DD" w:rsidR="005535CF" w:rsidRPr="006D4208" w:rsidRDefault="005535CF" w:rsidP="005535CF">
            <w:pPr>
              <w:ind w:left="-108"/>
              <w:jc w:val="right"/>
              <w:rPr>
                <w:rFonts w:asciiTheme="minorHAnsi" w:hAnsiTheme="minorHAnsi" w:cstheme="minorHAnsi"/>
                <w:sz w:val="20"/>
                <w:szCs w:val="20"/>
              </w:rPr>
            </w:pPr>
            <w:r w:rsidRPr="006D4208">
              <w:rPr>
                <w:rFonts w:asciiTheme="minorHAnsi" w:hAnsiTheme="minorHAnsi" w:cstheme="minorHAnsi"/>
                <w:sz w:val="20"/>
                <w:szCs w:val="20"/>
              </w:rPr>
              <w:t>-</w:t>
            </w:r>
          </w:p>
        </w:tc>
        <w:tc>
          <w:tcPr>
            <w:tcW w:w="1148" w:type="dxa"/>
            <w:tcBorders>
              <w:left w:val="nil"/>
              <w:right w:val="nil"/>
            </w:tcBorders>
            <w:vAlign w:val="bottom"/>
          </w:tcPr>
          <w:p w14:paraId="03EC953D" w14:textId="3CB2C975" w:rsidR="005535CF" w:rsidRPr="006D4208" w:rsidRDefault="005535CF" w:rsidP="005535CF">
            <w:pPr>
              <w:jc w:val="right"/>
              <w:rPr>
                <w:rFonts w:asciiTheme="minorHAnsi" w:hAnsiTheme="minorHAnsi" w:cstheme="minorHAnsi"/>
                <w:sz w:val="20"/>
                <w:szCs w:val="20"/>
              </w:rPr>
            </w:pPr>
            <w:r w:rsidRPr="006D4208">
              <w:rPr>
                <w:rFonts w:asciiTheme="minorHAnsi" w:hAnsiTheme="minorHAnsi" w:cstheme="minorHAnsi"/>
                <w:sz w:val="20"/>
                <w:szCs w:val="20"/>
              </w:rPr>
              <w:t>1.1</w:t>
            </w:r>
          </w:p>
        </w:tc>
      </w:tr>
      <w:tr w:rsidR="005535CF" w:rsidRPr="00A36F5C" w14:paraId="0C73919B" w14:textId="77777777" w:rsidTr="103F77E5">
        <w:trPr>
          <w:trHeight w:val="194"/>
        </w:trPr>
        <w:tc>
          <w:tcPr>
            <w:tcW w:w="3560" w:type="dxa"/>
            <w:tcBorders>
              <w:bottom w:val="single" w:sz="4" w:space="0" w:color="auto"/>
            </w:tcBorders>
            <w:vAlign w:val="bottom"/>
          </w:tcPr>
          <w:p w14:paraId="58A8417A" w14:textId="4B768AF1" w:rsidR="005535CF" w:rsidRPr="00A36F5C" w:rsidRDefault="005535CF" w:rsidP="005535CF">
            <w:pPr>
              <w:rPr>
                <w:rFonts w:asciiTheme="minorHAnsi" w:hAnsiTheme="minorHAnsi" w:cs="Arial"/>
                <w:b/>
                <w:sz w:val="20"/>
                <w:szCs w:val="20"/>
              </w:rPr>
            </w:pPr>
            <w:r w:rsidRPr="00A36F5C">
              <w:rPr>
                <w:rFonts w:asciiTheme="minorHAnsi" w:hAnsiTheme="minorHAnsi" w:cs="Arial"/>
                <w:sz w:val="20"/>
                <w:szCs w:val="20"/>
              </w:rPr>
              <w:t>Exceptional items, net of tax</w:t>
            </w:r>
          </w:p>
        </w:tc>
        <w:tc>
          <w:tcPr>
            <w:tcW w:w="1138" w:type="dxa"/>
            <w:tcBorders>
              <w:left w:val="nil"/>
              <w:bottom w:val="single" w:sz="4" w:space="0" w:color="auto"/>
              <w:right w:val="nil"/>
            </w:tcBorders>
            <w:shd w:val="clear" w:color="auto" w:fill="F2F2F2" w:themeFill="background1" w:themeFillShade="F2"/>
            <w:vAlign w:val="bottom"/>
          </w:tcPr>
          <w:p w14:paraId="49E4D56A" w14:textId="02B6E882" w:rsidR="005535CF" w:rsidRPr="006D4208" w:rsidRDefault="00D050C3" w:rsidP="005535CF">
            <w:pPr>
              <w:jc w:val="right"/>
              <w:rPr>
                <w:rFonts w:asciiTheme="minorHAnsi" w:hAnsiTheme="minorHAnsi" w:cstheme="minorHAnsi"/>
                <w:b/>
                <w:sz w:val="20"/>
                <w:szCs w:val="20"/>
              </w:rPr>
            </w:pPr>
            <w:r w:rsidRPr="006D4208">
              <w:rPr>
                <w:rFonts w:asciiTheme="minorHAnsi" w:hAnsiTheme="minorHAnsi" w:cstheme="minorHAnsi"/>
                <w:b/>
                <w:sz w:val="20"/>
                <w:szCs w:val="20"/>
              </w:rPr>
              <w:t>14.4</w:t>
            </w:r>
          </w:p>
        </w:tc>
        <w:tc>
          <w:tcPr>
            <w:tcW w:w="995" w:type="dxa"/>
            <w:tcBorders>
              <w:left w:val="nil"/>
              <w:bottom w:val="single" w:sz="4" w:space="0" w:color="auto"/>
              <w:right w:val="nil"/>
            </w:tcBorders>
            <w:shd w:val="clear" w:color="auto" w:fill="F2F2F2" w:themeFill="background1" w:themeFillShade="F2"/>
            <w:vAlign w:val="bottom"/>
          </w:tcPr>
          <w:p w14:paraId="6ADC1328" w14:textId="77777777" w:rsidR="005535CF" w:rsidRPr="006D4208" w:rsidRDefault="005535CF" w:rsidP="005535CF">
            <w:pPr>
              <w:ind w:left="-108"/>
              <w:jc w:val="right"/>
              <w:rPr>
                <w:rFonts w:asciiTheme="minorHAnsi" w:hAnsiTheme="minorHAnsi" w:cstheme="minorHAnsi"/>
                <w:b/>
                <w:color w:val="000000" w:themeColor="text1"/>
                <w:sz w:val="20"/>
                <w:szCs w:val="20"/>
              </w:rPr>
            </w:pPr>
          </w:p>
        </w:tc>
        <w:tc>
          <w:tcPr>
            <w:tcW w:w="1002" w:type="dxa"/>
            <w:tcBorders>
              <w:left w:val="nil"/>
              <w:bottom w:val="single" w:sz="4" w:space="0" w:color="auto"/>
              <w:right w:val="nil"/>
            </w:tcBorders>
            <w:shd w:val="clear" w:color="auto" w:fill="F2F2F2" w:themeFill="background1" w:themeFillShade="F2"/>
            <w:vAlign w:val="bottom"/>
          </w:tcPr>
          <w:p w14:paraId="17D7C298" w14:textId="3E027ECC" w:rsidR="005535CF" w:rsidRPr="006D4208" w:rsidRDefault="00D050C3" w:rsidP="005535CF">
            <w:pPr>
              <w:jc w:val="right"/>
              <w:rPr>
                <w:rFonts w:asciiTheme="minorHAnsi" w:hAnsiTheme="minorHAnsi" w:cstheme="minorHAnsi"/>
                <w:b/>
                <w:color w:val="000000" w:themeColor="text1"/>
                <w:sz w:val="20"/>
                <w:szCs w:val="20"/>
              </w:rPr>
            </w:pPr>
            <w:r w:rsidRPr="006D4208">
              <w:rPr>
                <w:rFonts w:asciiTheme="minorHAnsi" w:hAnsiTheme="minorHAnsi" w:cstheme="minorHAnsi"/>
                <w:b/>
                <w:color w:val="000000" w:themeColor="text1"/>
                <w:sz w:val="20"/>
                <w:szCs w:val="20"/>
              </w:rPr>
              <w:t>5.7</w:t>
            </w:r>
          </w:p>
        </w:tc>
        <w:tc>
          <w:tcPr>
            <w:tcW w:w="995" w:type="dxa"/>
            <w:tcBorders>
              <w:left w:val="nil"/>
              <w:bottom w:val="single" w:sz="4" w:space="0" w:color="auto"/>
              <w:right w:val="nil"/>
            </w:tcBorders>
            <w:vAlign w:val="bottom"/>
          </w:tcPr>
          <w:p w14:paraId="4B510BC6" w14:textId="12FEE8F7" w:rsidR="005535CF" w:rsidRPr="006D4208" w:rsidRDefault="005535CF" w:rsidP="005535CF">
            <w:pPr>
              <w:jc w:val="right"/>
              <w:rPr>
                <w:rFonts w:asciiTheme="minorHAnsi" w:hAnsiTheme="minorHAnsi" w:cstheme="minorHAnsi"/>
                <w:sz w:val="20"/>
                <w:szCs w:val="20"/>
              </w:rPr>
            </w:pPr>
            <w:r w:rsidRPr="006D4208">
              <w:rPr>
                <w:rFonts w:asciiTheme="minorHAnsi" w:hAnsiTheme="minorHAnsi" w:cstheme="minorHAnsi"/>
                <w:sz w:val="20"/>
                <w:szCs w:val="20"/>
              </w:rPr>
              <w:t>4.0</w:t>
            </w:r>
          </w:p>
        </w:tc>
        <w:tc>
          <w:tcPr>
            <w:tcW w:w="1138" w:type="dxa"/>
            <w:tcBorders>
              <w:left w:val="nil"/>
              <w:bottom w:val="single" w:sz="4" w:space="0" w:color="auto"/>
              <w:right w:val="nil"/>
            </w:tcBorders>
            <w:vAlign w:val="bottom"/>
          </w:tcPr>
          <w:p w14:paraId="7F3D7A80" w14:textId="13AE63EB" w:rsidR="005535CF" w:rsidRPr="006D4208" w:rsidRDefault="005535CF" w:rsidP="005535CF">
            <w:pPr>
              <w:ind w:left="-108"/>
              <w:jc w:val="right"/>
              <w:rPr>
                <w:rFonts w:asciiTheme="minorHAnsi" w:hAnsiTheme="minorHAnsi" w:cstheme="minorHAnsi"/>
                <w:sz w:val="20"/>
                <w:szCs w:val="20"/>
              </w:rPr>
            </w:pPr>
            <w:r w:rsidRPr="006D4208">
              <w:rPr>
                <w:rFonts w:asciiTheme="minorHAnsi" w:hAnsiTheme="minorHAnsi" w:cstheme="minorHAnsi"/>
                <w:sz w:val="20"/>
                <w:szCs w:val="20"/>
              </w:rPr>
              <w:t>-</w:t>
            </w:r>
          </w:p>
        </w:tc>
        <w:tc>
          <w:tcPr>
            <w:tcW w:w="1148" w:type="dxa"/>
            <w:tcBorders>
              <w:left w:val="nil"/>
              <w:bottom w:val="single" w:sz="4" w:space="0" w:color="auto"/>
              <w:right w:val="nil"/>
            </w:tcBorders>
            <w:vAlign w:val="bottom"/>
          </w:tcPr>
          <w:p w14:paraId="74917CF4" w14:textId="26D004F7" w:rsidR="005535CF" w:rsidRPr="006D4208" w:rsidRDefault="005535CF" w:rsidP="005535CF">
            <w:pPr>
              <w:jc w:val="right"/>
              <w:rPr>
                <w:rFonts w:asciiTheme="minorHAnsi" w:hAnsiTheme="minorHAnsi" w:cstheme="minorHAnsi"/>
                <w:sz w:val="20"/>
                <w:szCs w:val="20"/>
              </w:rPr>
            </w:pPr>
            <w:r w:rsidRPr="006D4208">
              <w:rPr>
                <w:rFonts w:asciiTheme="minorHAnsi" w:hAnsiTheme="minorHAnsi" w:cstheme="minorHAnsi"/>
                <w:sz w:val="20"/>
                <w:szCs w:val="20"/>
              </w:rPr>
              <w:t>1.6</w:t>
            </w:r>
          </w:p>
        </w:tc>
      </w:tr>
      <w:tr w:rsidR="005535CF" w:rsidRPr="00A36F5C" w14:paraId="6DBD206A" w14:textId="77777777" w:rsidTr="103F77E5">
        <w:trPr>
          <w:trHeight w:val="194"/>
        </w:trPr>
        <w:tc>
          <w:tcPr>
            <w:tcW w:w="3560" w:type="dxa"/>
            <w:tcBorders>
              <w:top w:val="single" w:sz="4" w:space="0" w:color="auto"/>
              <w:bottom w:val="single" w:sz="12" w:space="0" w:color="auto"/>
            </w:tcBorders>
            <w:vAlign w:val="bottom"/>
          </w:tcPr>
          <w:p w14:paraId="02CFAF85" w14:textId="7A293E23" w:rsidR="005535CF" w:rsidRPr="00A36F5C" w:rsidRDefault="005535CF" w:rsidP="005535CF">
            <w:pPr>
              <w:rPr>
                <w:rFonts w:asciiTheme="minorHAnsi" w:hAnsiTheme="minorHAnsi" w:cs="Arial"/>
                <w:b/>
                <w:sz w:val="20"/>
                <w:szCs w:val="20"/>
              </w:rPr>
            </w:pPr>
            <w:r w:rsidRPr="00A36F5C">
              <w:rPr>
                <w:rFonts w:asciiTheme="minorHAnsi" w:hAnsiTheme="minorHAnsi" w:cs="Arial"/>
                <w:b/>
                <w:sz w:val="20"/>
                <w:szCs w:val="20"/>
              </w:rPr>
              <w:t xml:space="preserve">Adjusted diluted </w:t>
            </w:r>
            <w:r w:rsidR="00F05148">
              <w:rPr>
                <w:rFonts w:asciiTheme="minorHAnsi" w:hAnsiTheme="minorHAnsi" w:cs="Arial"/>
                <w:b/>
                <w:sz w:val="20"/>
                <w:szCs w:val="20"/>
              </w:rPr>
              <w:t>loss</w:t>
            </w:r>
            <w:r w:rsidRPr="00A36F5C">
              <w:rPr>
                <w:rFonts w:asciiTheme="minorHAnsi" w:hAnsiTheme="minorHAnsi" w:cs="Arial"/>
                <w:b/>
                <w:sz w:val="20"/>
                <w:szCs w:val="20"/>
              </w:rPr>
              <w:t xml:space="preserve"> per share </w:t>
            </w:r>
          </w:p>
        </w:tc>
        <w:tc>
          <w:tcPr>
            <w:tcW w:w="1138" w:type="dxa"/>
            <w:tcBorders>
              <w:top w:val="single" w:sz="4" w:space="0" w:color="auto"/>
              <w:left w:val="nil"/>
              <w:bottom w:val="single" w:sz="12" w:space="0" w:color="auto"/>
              <w:right w:val="nil"/>
            </w:tcBorders>
            <w:shd w:val="clear" w:color="auto" w:fill="F2F2F2" w:themeFill="background1" w:themeFillShade="F2"/>
          </w:tcPr>
          <w:p w14:paraId="748D40A1" w14:textId="00C71B1A" w:rsidR="005535CF" w:rsidRPr="006D4208" w:rsidRDefault="00D050C3" w:rsidP="005535CF">
            <w:pPr>
              <w:jc w:val="right"/>
              <w:rPr>
                <w:rFonts w:asciiTheme="minorHAnsi" w:hAnsiTheme="minorHAnsi" w:cstheme="minorHAnsi"/>
                <w:b/>
                <w:sz w:val="20"/>
                <w:szCs w:val="20"/>
              </w:rPr>
            </w:pPr>
            <w:r w:rsidRPr="006D4208">
              <w:rPr>
                <w:rFonts w:asciiTheme="minorHAnsi" w:hAnsiTheme="minorHAnsi" w:cstheme="minorHAnsi"/>
                <w:b/>
                <w:sz w:val="20"/>
                <w:szCs w:val="20"/>
              </w:rPr>
              <w:t>(21.1)</w:t>
            </w:r>
          </w:p>
        </w:tc>
        <w:tc>
          <w:tcPr>
            <w:tcW w:w="995" w:type="dxa"/>
            <w:tcBorders>
              <w:top w:val="single" w:sz="4" w:space="0" w:color="auto"/>
              <w:left w:val="nil"/>
              <w:bottom w:val="single" w:sz="12" w:space="0" w:color="auto"/>
              <w:right w:val="nil"/>
            </w:tcBorders>
            <w:shd w:val="clear" w:color="auto" w:fill="F2F2F2" w:themeFill="background1" w:themeFillShade="F2"/>
          </w:tcPr>
          <w:p w14:paraId="69F54CFC" w14:textId="71676765" w:rsidR="005535CF" w:rsidRPr="006D4208" w:rsidRDefault="00D050C3" w:rsidP="005535CF">
            <w:pPr>
              <w:ind w:left="-108"/>
              <w:jc w:val="right"/>
              <w:rPr>
                <w:rFonts w:asciiTheme="minorHAnsi" w:hAnsiTheme="minorHAnsi" w:cstheme="minorHAnsi"/>
                <w:b/>
                <w:color w:val="000000" w:themeColor="text1"/>
                <w:sz w:val="20"/>
                <w:szCs w:val="20"/>
              </w:rPr>
            </w:pPr>
            <w:r w:rsidRPr="006D4208">
              <w:rPr>
                <w:rFonts w:asciiTheme="minorHAnsi" w:hAnsiTheme="minorHAnsi" w:cstheme="minorHAnsi"/>
                <w:b/>
                <w:color w:val="000000" w:themeColor="text1"/>
                <w:sz w:val="20"/>
                <w:szCs w:val="20"/>
              </w:rPr>
              <w:t>254.7</w:t>
            </w:r>
          </w:p>
        </w:tc>
        <w:tc>
          <w:tcPr>
            <w:tcW w:w="1002" w:type="dxa"/>
            <w:tcBorders>
              <w:top w:val="single" w:sz="4" w:space="0" w:color="auto"/>
              <w:left w:val="nil"/>
              <w:bottom w:val="single" w:sz="12" w:space="0" w:color="auto"/>
              <w:right w:val="nil"/>
            </w:tcBorders>
            <w:shd w:val="clear" w:color="auto" w:fill="F2F2F2" w:themeFill="background1" w:themeFillShade="F2"/>
          </w:tcPr>
          <w:p w14:paraId="02975111" w14:textId="26F67B51" w:rsidR="005535CF" w:rsidRPr="006D4208" w:rsidRDefault="00D050C3" w:rsidP="005535CF">
            <w:pPr>
              <w:jc w:val="right"/>
              <w:rPr>
                <w:rFonts w:asciiTheme="minorHAnsi" w:hAnsiTheme="minorHAnsi" w:cstheme="minorHAnsi"/>
                <w:b/>
                <w:color w:val="000000" w:themeColor="text1"/>
                <w:sz w:val="20"/>
                <w:szCs w:val="20"/>
              </w:rPr>
            </w:pPr>
            <w:r w:rsidRPr="006D4208">
              <w:rPr>
                <w:rFonts w:asciiTheme="minorHAnsi" w:hAnsiTheme="minorHAnsi" w:cstheme="minorHAnsi"/>
                <w:b/>
                <w:color w:val="000000" w:themeColor="text1"/>
                <w:sz w:val="20"/>
                <w:szCs w:val="20"/>
              </w:rPr>
              <w:t>(8.3)</w:t>
            </w:r>
          </w:p>
        </w:tc>
        <w:tc>
          <w:tcPr>
            <w:tcW w:w="995" w:type="dxa"/>
            <w:tcBorders>
              <w:top w:val="single" w:sz="4" w:space="0" w:color="auto"/>
              <w:left w:val="nil"/>
              <w:bottom w:val="single" w:sz="12" w:space="0" w:color="auto"/>
              <w:right w:val="nil"/>
            </w:tcBorders>
            <w:vAlign w:val="bottom"/>
          </w:tcPr>
          <w:p w14:paraId="020DB3C6" w14:textId="55462ABE" w:rsidR="005535CF" w:rsidRPr="006D4208" w:rsidRDefault="005535CF" w:rsidP="005535CF">
            <w:pPr>
              <w:jc w:val="right"/>
              <w:rPr>
                <w:rFonts w:asciiTheme="minorHAnsi" w:hAnsiTheme="minorHAnsi" w:cstheme="minorHAnsi"/>
                <w:sz w:val="20"/>
                <w:szCs w:val="20"/>
              </w:rPr>
            </w:pPr>
            <w:r w:rsidRPr="006D4208">
              <w:rPr>
                <w:rFonts w:asciiTheme="minorHAnsi" w:hAnsiTheme="minorHAnsi" w:cstheme="minorHAnsi"/>
                <w:sz w:val="20"/>
                <w:szCs w:val="20"/>
              </w:rPr>
              <w:t>(</w:t>
            </w:r>
            <w:r w:rsidR="00313E1C">
              <w:rPr>
                <w:rFonts w:asciiTheme="minorHAnsi" w:hAnsiTheme="minorHAnsi" w:cstheme="minorHAnsi"/>
                <w:sz w:val="20"/>
                <w:szCs w:val="20"/>
              </w:rPr>
              <w:t>9.1</w:t>
            </w:r>
            <w:r w:rsidRPr="006D4208">
              <w:rPr>
                <w:rFonts w:asciiTheme="minorHAnsi" w:hAnsiTheme="minorHAnsi" w:cstheme="minorHAnsi"/>
                <w:sz w:val="20"/>
                <w:szCs w:val="20"/>
              </w:rPr>
              <w:t>)</w:t>
            </w:r>
          </w:p>
        </w:tc>
        <w:tc>
          <w:tcPr>
            <w:tcW w:w="1138" w:type="dxa"/>
            <w:tcBorders>
              <w:top w:val="single" w:sz="4" w:space="0" w:color="auto"/>
              <w:left w:val="nil"/>
              <w:bottom w:val="single" w:sz="12" w:space="0" w:color="auto"/>
              <w:right w:val="nil"/>
            </w:tcBorders>
            <w:vAlign w:val="bottom"/>
          </w:tcPr>
          <w:p w14:paraId="62B6680E" w14:textId="4F381E87" w:rsidR="005535CF" w:rsidRPr="006D4208" w:rsidRDefault="005535CF" w:rsidP="005535CF">
            <w:pPr>
              <w:ind w:left="-108"/>
              <w:jc w:val="right"/>
              <w:rPr>
                <w:rFonts w:asciiTheme="minorHAnsi" w:hAnsiTheme="minorHAnsi" w:cstheme="minorHAnsi"/>
                <w:sz w:val="20"/>
                <w:szCs w:val="20"/>
              </w:rPr>
            </w:pPr>
            <w:r w:rsidRPr="006D4208">
              <w:rPr>
                <w:rFonts w:asciiTheme="minorHAnsi" w:hAnsiTheme="minorHAnsi" w:cstheme="minorHAnsi"/>
                <w:sz w:val="20"/>
                <w:szCs w:val="20"/>
              </w:rPr>
              <w:t>251.0</w:t>
            </w:r>
          </w:p>
        </w:tc>
        <w:tc>
          <w:tcPr>
            <w:tcW w:w="1148" w:type="dxa"/>
            <w:tcBorders>
              <w:top w:val="single" w:sz="4" w:space="0" w:color="auto"/>
              <w:left w:val="nil"/>
              <w:bottom w:val="single" w:sz="12" w:space="0" w:color="auto"/>
              <w:right w:val="nil"/>
            </w:tcBorders>
            <w:vAlign w:val="bottom"/>
          </w:tcPr>
          <w:p w14:paraId="0AC2C99C" w14:textId="1B1D75FA" w:rsidR="005535CF" w:rsidRPr="006D4208" w:rsidRDefault="005535CF" w:rsidP="005535CF">
            <w:pPr>
              <w:jc w:val="right"/>
              <w:rPr>
                <w:rFonts w:asciiTheme="minorHAnsi" w:hAnsiTheme="minorHAnsi" w:cstheme="minorHAnsi"/>
                <w:sz w:val="20"/>
                <w:szCs w:val="20"/>
              </w:rPr>
            </w:pPr>
            <w:r w:rsidRPr="006D4208">
              <w:rPr>
                <w:rFonts w:asciiTheme="minorHAnsi" w:hAnsiTheme="minorHAnsi" w:cstheme="minorHAnsi"/>
                <w:sz w:val="20"/>
                <w:szCs w:val="20"/>
              </w:rPr>
              <w:t>(</w:t>
            </w:r>
            <w:r w:rsidR="00313E1C">
              <w:rPr>
                <w:rFonts w:asciiTheme="minorHAnsi" w:hAnsiTheme="minorHAnsi" w:cstheme="minorHAnsi"/>
                <w:sz w:val="20"/>
                <w:szCs w:val="20"/>
              </w:rPr>
              <w:t>3</w:t>
            </w:r>
            <w:r w:rsidR="00D050C3" w:rsidRPr="006D4208">
              <w:rPr>
                <w:rFonts w:asciiTheme="minorHAnsi" w:hAnsiTheme="minorHAnsi" w:cstheme="minorHAnsi"/>
                <w:sz w:val="20"/>
                <w:szCs w:val="20"/>
              </w:rPr>
              <w:t>.6</w:t>
            </w:r>
            <w:r w:rsidRPr="006D4208">
              <w:rPr>
                <w:rFonts w:asciiTheme="minorHAnsi" w:hAnsiTheme="minorHAnsi" w:cstheme="minorHAnsi"/>
                <w:sz w:val="20"/>
                <w:szCs w:val="20"/>
              </w:rPr>
              <w:t>)</w:t>
            </w:r>
          </w:p>
        </w:tc>
      </w:tr>
    </w:tbl>
    <w:p w14:paraId="42E34AA7" w14:textId="77777777" w:rsidR="00A906A8" w:rsidRDefault="00A906A8" w:rsidP="3441915A">
      <w:pPr>
        <w:rPr>
          <w:rFonts w:asciiTheme="minorHAnsi" w:hAnsiTheme="minorHAnsi" w:cs="Arial"/>
          <w:i/>
          <w:sz w:val="20"/>
          <w:szCs w:val="20"/>
          <w:vertAlign w:val="superscript"/>
        </w:rPr>
      </w:pPr>
    </w:p>
    <w:p w14:paraId="585C2A3B" w14:textId="4E342E5B" w:rsidR="009012C6" w:rsidRDefault="009012C6" w:rsidP="009012C6">
      <w:pPr>
        <w:rPr>
          <w:rFonts w:asciiTheme="minorHAnsi" w:hAnsiTheme="minorHAnsi" w:cs="Arial"/>
          <w:b/>
          <w:i/>
          <w:color w:val="4747FF"/>
          <w:sz w:val="22"/>
          <w:szCs w:val="22"/>
        </w:rPr>
      </w:pPr>
      <w:r w:rsidRPr="24C92F99">
        <w:rPr>
          <w:rFonts w:asciiTheme="minorHAnsi" w:hAnsiTheme="minorHAnsi" w:cs="Arial"/>
          <w:i/>
          <w:sz w:val="20"/>
          <w:szCs w:val="20"/>
          <w:vertAlign w:val="superscript"/>
        </w:rPr>
        <w:t>1</w:t>
      </w:r>
      <w:r w:rsidRPr="24C92F99">
        <w:rPr>
          <w:rFonts w:asciiTheme="minorHAnsi" w:hAnsiTheme="minorHAnsi" w:cs="Arial"/>
          <w:i/>
          <w:sz w:val="20"/>
          <w:szCs w:val="20"/>
        </w:rPr>
        <w:t xml:space="preserve"> Refer to note 2 for details of restatement.</w:t>
      </w:r>
    </w:p>
    <w:p w14:paraId="5496646A" w14:textId="77777777" w:rsidR="00260867" w:rsidRDefault="00260867" w:rsidP="00092827">
      <w:pPr>
        <w:pStyle w:val="bodycopy"/>
        <w:spacing w:after="0" w:line="240" w:lineRule="auto"/>
        <w:jc w:val="both"/>
        <w:rPr>
          <w:rStyle w:val="bodycopynumber"/>
          <w:rFonts w:asciiTheme="minorHAnsi" w:hAnsiTheme="minorHAnsi" w:cs="Arial"/>
          <w:b/>
          <w:bCs/>
          <w:color w:val="4747FF"/>
          <w:sz w:val="22"/>
          <w:szCs w:val="22"/>
        </w:rPr>
      </w:pPr>
    </w:p>
    <w:p w14:paraId="5ED16294" w14:textId="7FB0A01F" w:rsidR="00A3021A" w:rsidRDefault="006133EC" w:rsidP="00A3021A">
      <w:pPr>
        <w:pStyle w:val="bodycopy"/>
        <w:spacing w:after="0" w:line="240" w:lineRule="auto"/>
        <w:ind w:left="567" w:hanging="567"/>
        <w:jc w:val="both"/>
        <w:rPr>
          <w:rStyle w:val="bodycopynumber"/>
          <w:rFonts w:asciiTheme="minorHAnsi" w:hAnsiTheme="minorHAnsi" w:cs="Arial"/>
          <w:b/>
          <w:bCs/>
          <w:color w:val="4747FF"/>
          <w:sz w:val="22"/>
          <w:szCs w:val="22"/>
        </w:rPr>
      </w:pPr>
      <w:r>
        <w:rPr>
          <w:rStyle w:val="bodycopynumber"/>
          <w:rFonts w:asciiTheme="minorHAnsi" w:hAnsiTheme="minorHAnsi" w:cs="Arial"/>
          <w:b/>
          <w:bCs/>
          <w:color w:val="4747FF"/>
          <w:sz w:val="22"/>
          <w:szCs w:val="22"/>
        </w:rPr>
        <w:t>7</w:t>
      </w:r>
      <w:r w:rsidR="00A3021A" w:rsidRPr="00565803">
        <w:rPr>
          <w:rStyle w:val="bodycopynumber"/>
          <w:rFonts w:asciiTheme="minorHAnsi" w:hAnsiTheme="minorHAnsi" w:cs="Arial"/>
          <w:b/>
          <w:bCs/>
          <w:color w:val="4747FF"/>
          <w:sz w:val="22"/>
          <w:szCs w:val="22"/>
        </w:rPr>
        <w:t>.</w:t>
      </w:r>
      <w:r w:rsidR="00A3021A">
        <w:tab/>
      </w:r>
      <w:r w:rsidR="00A3021A" w:rsidRPr="00565803">
        <w:rPr>
          <w:rStyle w:val="bodycopynumber"/>
          <w:rFonts w:asciiTheme="minorHAnsi" w:hAnsiTheme="minorHAnsi" w:cs="Arial"/>
          <w:b/>
          <w:bCs/>
          <w:color w:val="4747FF"/>
          <w:sz w:val="22"/>
          <w:szCs w:val="22"/>
        </w:rPr>
        <w:t xml:space="preserve">Dividends </w:t>
      </w:r>
    </w:p>
    <w:tbl>
      <w:tblPr>
        <w:tblW w:w="9723" w:type="dxa"/>
        <w:tblLook w:val="0000" w:firstRow="0" w:lastRow="0" w:firstColumn="0" w:lastColumn="0" w:noHBand="0" w:noVBand="0"/>
      </w:tblPr>
      <w:tblGrid>
        <w:gridCol w:w="6363"/>
        <w:gridCol w:w="915"/>
        <w:gridCol w:w="1298"/>
        <w:gridCol w:w="1147"/>
      </w:tblGrid>
      <w:tr w:rsidR="00A2748D" w:rsidRPr="00701439" w14:paraId="5B56F45C" w14:textId="77777777" w:rsidTr="41FE19BE">
        <w:tc>
          <w:tcPr>
            <w:tcW w:w="6363" w:type="dxa"/>
            <w:vAlign w:val="bottom"/>
          </w:tcPr>
          <w:p w14:paraId="4FAEE2C1" w14:textId="77777777" w:rsidR="00A2748D" w:rsidRPr="00701439" w:rsidRDefault="00A2748D" w:rsidP="00AF5A74">
            <w:pPr>
              <w:rPr>
                <w:rFonts w:asciiTheme="minorHAnsi" w:hAnsiTheme="minorHAnsi" w:cs="Arial"/>
                <w:b/>
                <w:sz w:val="20"/>
                <w:szCs w:val="20"/>
              </w:rPr>
            </w:pPr>
          </w:p>
        </w:tc>
        <w:tc>
          <w:tcPr>
            <w:tcW w:w="915" w:type="dxa"/>
            <w:vAlign w:val="bottom"/>
          </w:tcPr>
          <w:p w14:paraId="033DD4DE" w14:textId="77777777" w:rsidR="00A2748D" w:rsidRPr="00701439" w:rsidRDefault="00A2748D" w:rsidP="00AF5A74">
            <w:pPr>
              <w:jc w:val="right"/>
              <w:rPr>
                <w:rFonts w:asciiTheme="minorHAnsi" w:hAnsiTheme="minorHAnsi" w:cs="Arial"/>
                <w:sz w:val="20"/>
                <w:szCs w:val="20"/>
              </w:rPr>
            </w:pPr>
          </w:p>
        </w:tc>
        <w:tc>
          <w:tcPr>
            <w:tcW w:w="2445" w:type="dxa"/>
            <w:gridSpan w:val="2"/>
            <w:shd w:val="clear" w:color="auto" w:fill="auto"/>
          </w:tcPr>
          <w:p w14:paraId="2A174FA3" w14:textId="2DE80962" w:rsidR="00A2748D" w:rsidRPr="00701439" w:rsidRDefault="00A2748D" w:rsidP="00A2748D">
            <w:pPr>
              <w:jc w:val="center"/>
              <w:rPr>
                <w:rFonts w:asciiTheme="minorHAnsi" w:hAnsiTheme="minorHAnsi" w:cs="Arial"/>
                <w:sz w:val="20"/>
                <w:szCs w:val="20"/>
              </w:rPr>
            </w:pPr>
            <w:r>
              <w:rPr>
                <w:rFonts w:asciiTheme="minorHAnsi" w:hAnsiTheme="minorHAnsi" w:cs="Arial"/>
                <w:sz w:val="20"/>
                <w:szCs w:val="20"/>
              </w:rPr>
              <w:t>Six months ended 30 June</w:t>
            </w:r>
          </w:p>
        </w:tc>
      </w:tr>
      <w:tr w:rsidR="00425025" w:rsidRPr="00701439" w14:paraId="17E44366" w14:textId="77777777" w:rsidTr="41FE19BE">
        <w:tc>
          <w:tcPr>
            <w:tcW w:w="6363" w:type="dxa"/>
            <w:vAlign w:val="bottom"/>
          </w:tcPr>
          <w:p w14:paraId="69583735" w14:textId="77777777" w:rsidR="00425025" w:rsidRPr="00701439" w:rsidRDefault="00425025" w:rsidP="00AF5A74">
            <w:pPr>
              <w:rPr>
                <w:rFonts w:asciiTheme="minorHAnsi" w:hAnsiTheme="minorHAnsi" w:cs="Arial"/>
                <w:b/>
                <w:sz w:val="20"/>
                <w:szCs w:val="20"/>
              </w:rPr>
            </w:pPr>
          </w:p>
        </w:tc>
        <w:tc>
          <w:tcPr>
            <w:tcW w:w="915" w:type="dxa"/>
            <w:vAlign w:val="bottom"/>
          </w:tcPr>
          <w:p w14:paraId="784AC989" w14:textId="77777777" w:rsidR="00425025" w:rsidRPr="00701439" w:rsidRDefault="00425025" w:rsidP="00AF5A74">
            <w:pPr>
              <w:jc w:val="right"/>
              <w:rPr>
                <w:rFonts w:asciiTheme="minorHAnsi" w:hAnsiTheme="minorHAnsi" w:cs="Arial"/>
                <w:sz w:val="20"/>
                <w:szCs w:val="20"/>
              </w:rPr>
            </w:pPr>
          </w:p>
        </w:tc>
        <w:tc>
          <w:tcPr>
            <w:tcW w:w="1298" w:type="dxa"/>
            <w:shd w:val="clear" w:color="auto" w:fill="F2F2F2" w:themeFill="background1" w:themeFillShade="F2"/>
          </w:tcPr>
          <w:p w14:paraId="68229271" w14:textId="7DE5447A" w:rsidR="00425025" w:rsidRPr="0036588C" w:rsidRDefault="00425025" w:rsidP="00AF5A74">
            <w:pPr>
              <w:jc w:val="right"/>
              <w:rPr>
                <w:rFonts w:asciiTheme="minorHAnsi" w:hAnsiTheme="minorHAnsi" w:cs="Arial"/>
                <w:b/>
                <w:sz w:val="20"/>
                <w:szCs w:val="20"/>
              </w:rPr>
            </w:pPr>
            <w:r w:rsidRPr="0036588C">
              <w:rPr>
                <w:rFonts w:asciiTheme="minorHAnsi" w:hAnsiTheme="minorHAnsi" w:cs="Arial"/>
                <w:b/>
                <w:sz w:val="20"/>
                <w:szCs w:val="20"/>
              </w:rPr>
              <w:t>202</w:t>
            </w:r>
            <w:r>
              <w:rPr>
                <w:rFonts w:asciiTheme="minorHAnsi" w:hAnsiTheme="minorHAnsi" w:cs="Arial"/>
                <w:b/>
                <w:sz w:val="20"/>
                <w:szCs w:val="20"/>
              </w:rPr>
              <w:t>4</w:t>
            </w:r>
            <w:r w:rsidRPr="0036588C">
              <w:rPr>
                <w:rFonts w:asciiTheme="minorHAnsi" w:hAnsiTheme="minorHAnsi" w:cs="Arial"/>
                <w:b/>
                <w:sz w:val="20"/>
                <w:szCs w:val="20"/>
              </w:rPr>
              <w:t> </w:t>
            </w:r>
          </w:p>
        </w:tc>
        <w:tc>
          <w:tcPr>
            <w:tcW w:w="1147" w:type="dxa"/>
          </w:tcPr>
          <w:p w14:paraId="1158D4B1" w14:textId="70310BC6" w:rsidR="00425025" w:rsidRPr="00701439" w:rsidRDefault="00425025" w:rsidP="00AF5A74">
            <w:pPr>
              <w:jc w:val="right"/>
              <w:rPr>
                <w:rFonts w:asciiTheme="minorHAnsi" w:hAnsiTheme="minorHAnsi" w:cs="Arial"/>
                <w:sz w:val="20"/>
                <w:szCs w:val="20"/>
              </w:rPr>
            </w:pPr>
            <w:r w:rsidRPr="00701439">
              <w:rPr>
                <w:rFonts w:asciiTheme="minorHAnsi" w:hAnsiTheme="minorHAnsi" w:cs="Arial"/>
                <w:sz w:val="20"/>
                <w:szCs w:val="20"/>
              </w:rPr>
              <w:t>202</w:t>
            </w:r>
            <w:r>
              <w:rPr>
                <w:rFonts w:asciiTheme="minorHAnsi" w:hAnsiTheme="minorHAnsi" w:cs="Arial"/>
                <w:sz w:val="20"/>
                <w:szCs w:val="20"/>
              </w:rPr>
              <w:t>3</w:t>
            </w:r>
          </w:p>
        </w:tc>
      </w:tr>
      <w:tr w:rsidR="00425025" w:rsidRPr="00A36F5C" w14:paraId="533EE438" w14:textId="77777777" w:rsidTr="41FE19BE">
        <w:tc>
          <w:tcPr>
            <w:tcW w:w="6363" w:type="dxa"/>
            <w:vAlign w:val="bottom"/>
          </w:tcPr>
          <w:p w14:paraId="2AFA6344" w14:textId="77777777" w:rsidR="00425025" w:rsidRPr="0017081A" w:rsidRDefault="00425025" w:rsidP="00AF5A74">
            <w:pPr>
              <w:rPr>
                <w:rFonts w:asciiTheme="minorHAnsi" w:hAnsiTheme="minorHAnsi" w:cs="Arial"/>
                <w:b/>
                <w:sz w:val="20"/>
                <w:szCs w:val="20"/>
                <w:highlight w:val="green"/>
              </w:rPr>
            </w:pPr>
          </w:p>
        </w:tc>
        <w:tc>
          <w:tcPr>
            <w:tcW w:w="915" w:type="dxa"/>
            <w:vAlign w:val="bottom"/>
          </w:tcPr>
          <w:p w14:paraId="62BEFEEB" w14:textId="77777777" w:rsidR="00425025" w:rsidRPr="0017081A" w:rsidRDefault="00425025" w:rsidP="00AF5A74">
            <w:pPr>
              <w:jc w:val="right"/>
              <w:rPr>
                <w:rFonts w:asciiTheme="minorHAnsi" w:hAnsiTheme="minorHAnsi" w:cs="Arial"/>
                <w:sz w:val="20"/>
                <w:szCs w:val="20"/>
                <w:highlight w:val="green"/>
              </w:rPr>
            </w:pPr>
          </w:p>
        </w:tc>
        <w:tc>
          <w:tcPr>
            <w:tcW w:w="1298" w:type="dxa"/>
            <w:tcBorders>
              <w:bottom w:val="single" w:sz="4" w:space="0" w:color="auto"/>
            </w:tcBorders>
            <w:shd w:val="clear" w:color="auto" w:fill="F2F2F2" w:themeFill="background1" w:themeFillShade="F2"/>
          </w:tcPr>
          <w:p w14:paraId="544667B2" w14:textId="77777777" w:rsidR="00425025" w:rsidRPr="0036588C" w:rsidRDefault="00425025" w:rsidP="00AF5A74">
            <w:pPr>
              <w:jc w:val="right"/>
              <w:rPr>
                <w:rFonts w:asciiTheme="minorHAnsi" w:hAnsiTheme="minorHAnsi" w:cs="Arial"/>
                <w:b/>
                <w:sz w:val="20"/>
                <w:szCs w:val="20"/>
              </w:rPr>
            </w:pPr>
            <w:r w:rsidRPr="0036588C">
              <w:rPr>
                <w:rFonts w:asciiTheme="minorHAnsi" w:hAnsiTheme="minorHAnsi" w:cs="Arial"/>
                <w:b/>
                <w:sz w:val="20"/>
                <w:szCs w:val="20"/>
              </w:rPr>
              <w:t>£m </w:t>
            </w:r>
          </w:p>
        </w:tc>
        <w:tc>
          <w:tcPr>
            <w:tcW w:w="1147" w:type="dxa"/>
            <w:tcBorders>
              <w:bottom w:val="single" w:sz="4" w:space="0" w:color="auto"/>
            </w:tcBorders>
          </w:tcPr>
          <w:p w14:paraId="2C04E7D7" w14:textId="77777777" w:rsidR="00425025" w:rsidRPr="00A36F5C" w:rsidRDefault="00425025" w:rsidP="00AF5A74">
            <w:pPr>
              <w:jc w:val="right"/>
              <w:rPr>
                <w:rFonts w:asciiTheme="minorHAnsi" w:hAnsiTheme="minorHAnsi" w:cs="Arial"/>
                <w:sz w:val="20"/>
                <w:szCs w:val="20"/>
              </w:rPr>
            </w:pPr>
            <w:r w:rsidRPr="00A36F5C">
              <w:rPr>
                <w:rFonts w:asciiTheme="minorHAnsi" w:hAnsiTheme="minorHAnsi" w:cs="Arial"/>
                <w:sz w:val="20"/>
                <w:szCs w:val="20"/>
              </w:rPr>
              <w:t>£m </w:t>
            </w:r>
          </w:p>
        </w:tc>
      </w:tr>
      <w:tr w:rsidR="00425025" w:rsidRPr="00A36F5C" w14:paraId="3B1D59A9" w14:textId="77777777" w:rsidTr="41FE19BE">
        <w:tc>
          <w:tcPr>
            <w:tcW w:w="6363" w:type="dxa"/>
            <w:vAlign w:val="bottom"/>
          </w:tcPr>
          <w:p w14:paraId="2EC60C44" w14:textId="3FB72D5A" w:rsidR="00425025" w:rsidRPr="00A36F5C" w:rsidRDefault="00425025" w:rsidP="00AF5A74">
            <w:pPr>
              <w:rPr>
                <w:rFonts w:asciiTheme="minorHAnsi" w:hAnsiTheme="minorHAnsi" w:cs="Arial"/>
                <w:sz w:val="20"/>
                <w:szCs w:val="20"/>
              </w:rPr>
            </w:pPr>
            <w:r w:rsidRPr="00A428CC">
              <w:rPr>
                <w:rFonts w:asciiTheme="minorHAnsi" w:hAnsiTheme="minorHAnsi" w:cs="Arial"/>
                <w:sz w:val="20"/>
                <w:szCs w:val="20"/>
              </w:rPr>
              <w:t>202</w:t>
            </w:r>
            <w:r w:rsidR="00C50D8C" w:rsidRPr="00A428CC">
              <w:rPr>
                <w:rFonts w:asciiTheme="minorHAnsi" w:hAnsiTheme="minorHAnsi" w:cs="Arial"/>
                <w:sz w:val="20"/>
                <w:szCs w:val="20"/>
              </w:rPr>
              <w:t>2</w:t>
            </w:r>
            <w:r w:rsidRPr="00A428CC">
              <w:rPr>
                <w:rFonts w:asciiTheme="minorHAnsi" w:hAnsiTheme="minorHAnsi" w:cs="Arial"/>
                <w:sz w:val="20"/>
                <w:szCs w:val="20"/>
              </w:rPr>
              <w:t xml:space="preserve"> </w:t>
            </w:r>
            <w:r w:rsidR="00C50D8C" w:rsidRPr="00A428CC">
              <w:rPr>
                <w:rFonts w:asciiTheme="minorHAnsi" w:hAnsiTheme="minorHAnsi" w:cs="Arial"/>
                <w:sz w:val="20"/>
                <w:szCs w:val="20"/>
              </w:rPr>
              <w:t>final</w:t>
            </w:r>
            <w:r w:rsidRPr="00A428CC">
              <w:rPr>
                <w:rFonts w:asciiTheme="minorHAnsi" w:hAnsiTheme="minorHAnsi" w:cs="Arial"/>
                <w:sz w:val="20"/>
                <w:szCs w:val="20"/>
              </w:rPr>
              <w:t xml:space="preserve"> – </w:t>
            </w:r>
            <w:r w:rsidR="00C50D8C" w:rsidRPr="00A428CC">
              <w:rPr>
                <w:rFonts w:asciiTheme="minorHAnsi" w:hAnsiTheme="minorHAnsi" w:cs="Arial"/>
                <w:sz w:val="20"/>
                <w:szCs w:val="20"/>
              </w:rPr>
              <w:t>10.3</w:t>
            </w:r>
            <w:r w:rsidRPr="00A428CC">
              <w:rPr>
                <w:rFonts w:asciiTheme="minorHAnsi" w:hAnsiTheme="minorHAnsi" w:cs="Arial"/>
                <w:sz w:val="20"/>
                <w:szCs w:val="20"/>
              </w:rPr>
              <w:t>p per share</w:t>
            </w:r>
            <w:r w:rsidRPr="00A36F5C">
              <w:rPr>
                <w:rFonts w:asciiTheme="minorHAnsi" w:hAnsiTheme="minorHAnsi" w:cs="Arial"/>
                <w:sz w:val="20"/>
                <w:szCs w:val="20"/>
              </w:rPr>
              <w:t xml:space="preserve">                                     </w:t>
            </w:r>
          </w:p>
        </w:tc>
        <w:tc>
          <w:tcPr>
            <w:tcW w:w="915" w:type="dxa"/>
            <w:vAlign w:val="bottom"/>
          </w:tcPr>
          <w:p w14:paraId="7ED150F6" w14:textId="77777777" w:rsidR="00425025" w:rsidRPr="00A36F5C" w:rsidRDefault="00425025" w:rsidP="00AF5A74">
            <w:pPr>
              <w:jc w:val="right"/>
              <w:rPr>
                <w:rFonts w:asciiTheme="minorHAnsi" w:hAnsiTheme="minorHAnsi" w:cs="Arial"/>
                <w:sz w:val="20"/>
                <w:szCs w:val="20"/>
              </w:rPr>
            </w:pPr>
          </w:p>
        </w:tc>
        <w:tc>
          <w:tcPr>
            <w:tcW w:w="1298" w:type="dxa"/>
            <w:tcBorders>
              <w:top w:val="single" w:sz="4" w:space="0" w:color="auto"/>
              <w:left w:val="nil"/>
              <w:right w:val="nil"/>
            </w:tcBorders>
            <w:shd w:val="clear" w:color="auto" w:fill="F2F2F2" w:themeFill="background1" w:themeFillShade="F2"/>
            <w:vAlign w:val="bottom"/>
          </w:tcPr>
          <w:p w14:paraId="3F1BD96A" w14:textId="77777777" w:rsidR="00425025" w:rsidRPr="006D4208" w:rsidRDefault="00425025" w:rsidP="00AF5A74">
            <w:pPr>
              <w:jc w:val="right"/>
              <w:rPr>
                <w:rFonts w:asciiTheme="minorHAnsi" w:hAnsiTheme="minorHAnsi" w:cs="Arial"/>
                <w:b/>
                <w:sz w:val="20"/>
                <w:szCs w:val="20"/>
              </w:rPr>
            </w:pPr>
            <w:r w:rsidRPr="006D4208">
              <w:rPr>
                <w:rFonts w:asciiTheme="minorHAnsi" w:hAnsiTheme="minorHAnsi" w:cs="Arial"/>
                <w:b/>
                <w:sz w:val="20"/>
                <w:szCs w:val="20"/>
              </w:rPr>
              <w:t>-</w:t>
            </w:r>
          </w:p>
        </w:tc>
        <w:tc>
          <w:tcPr>
            <w:tcW w:w="1147" w:type="dxa"/>
            <w:tcBorders>
              <w:top w:val="single" w:sz="4" w:space="0" w:color="auto"/>
              <w:left w:val="nil"/>
              <w:right w:val="nil"/>
            </w:tcBorders>
            <w:vAlign w:val="bottom"/>
          </w:tcPr>
          <w:p w14:paraId="2A708EA7" w14:textId="62252DB8" w:rsidR="00425025" w:rsidRPr="006D4208" w:rsidRDefault="00C50D8C" w:rsidP="00AF5A74">
            <w:pPr>
              <w:jc w:val="right"/>
              <w:rPr>
                <w:rFonts w:asciiTheme="minorHAnsi" w:hAnsiTheme="minorHAnsi" w:cs="Arial"/>
                <w:sz w:val="20"/>
                <w:szCs w:val="20"/>
              </w:rPr>
            </w:pPr>
            <w:r w:rsidRPr="006D4208">
              <w:rPr>
                <w:rFonts w:asciiTheme="minorHAnsi" w:hAnsiTheme="minorHAnsi" w:cs="Arial"/>
                <w:sz w:val="20"/>
                <w:szCs w:val="20"/>
              </w:rPr>
              <w:t>25.9</w:t>
            </w:r>
          </w:p>
        </w:tc>
      </w:tr>
      <w:tr w:rsidR="00425025" w:rsidRPr="00A36F5C" w14:paraId="673B8460" w14:textId="77777777" w:rsidTr="41FE19BE">
        <w:tc>
          <w:tcPr>
            <w:tcW w:w="6363" w:type="dxa"/>
            <w:vAlign w:val="bottom"/>
          </w:tcPr>
          <w:p w14:paraId="70057CB0" w14:textId="51874BF2" w:rsidR="00425025" w:rsidRPr="00A36F5C" w:rsidRDefault="00425025" w:rsidP="00AF5A74">
            <w:pPr>
              <w:rPr>
                <w:rFonts w:asciiTheme="minorHAnsi" w:hAnsiTheme="minorHAnsi" w:cs="Arial"/>
                <w:sz w:val="20"/>
                <w:szCs w:val="20"/>
              </w:rPr>
            </w:pPr>
            <w:r w:rsidRPr="00A36F5C">
              <w:rPr>
                <w:rFonts w:asciiTheme="minorHAnsi" w:hAnsiTheme="minorHAnsi" w:cs="Arial"/>
                <w:sz w:val="20"/>
                <w:szCs w:val="20"/>
              </w:rPr>
              <w:t>202</w:t>
            </w:r>
            <w:r>
              <w:rPr>
                <w:rFonts w:asciiTheme="minorHAnsi" w:hAnsiTheme="minorHAnsi" w:cs="Arial"/>
                <w:sz w:val="20"/>
                <w:szCs w:val="20"/>
              </w:rPr>
              <w:t>3</w:t>
            </w:r>
            <w:r w:rsidRPr="00A36F5C">
              <w:rPr>
                <w:rFonts w:asciiTheme="minorHAnsi" w:hAnsiTheme="minorHAnsi" w:cs="Arial"/>
                <w:sz w:val="20"/>
                <w:szCs w:val="20"/>
              </w:rPr>
              <w:t xml:space="preserve"> final – </w:t>
            </w:r>
            <w:r w:rsidRPr="00A428CC">
              <w:rPr>
                <w:rFonts w:asciiTheme="minorHAnsi" w:hAnsiTheme="minorHAnsi" w:cs="Arial"/>
                <w:sz w:val="20"/>
                <w:szCs w:val="20"/>
              </w:rPr>
              <w:t>1</w:t>
            </w:r>
            <w:r w:rsidR="00853F29" w:rsidRPr="00A428CC">
              <w:rPr>
                <w:rFonts w:asciiTheme="minorHAnsi" w:hAnsiTheme="minorHAnsi" w:cs="Arial"/>
                <w:sz w:val="20"/>
                <w:szCs w:val="20"/>
              </w:rPr>
              <w:t>.0</w:t>
            </w:r>
            <w:r w:rsidRPr="00A428CC">
              <w:rPr>
                <w:rFonts w:asciiTheme="minorHAnsi" w:hAnsiTheme="minorHAnsi" w:cs="Arial"/>
                <w:sz w:val="20"/>
                <w:szCs w:val="20"/>
              </w:rPr>
              <w:t>p per share</w:t>
            </w:r>
            <w:r w:rsidRPr="00A36F5C">
              <w:rPr>
                <w:rFonts w:asciiTheme="minorHAnsi" w:hAnsiTheme="minorHAnsi" w:cs="Arial"/>
                <w:sz w:val="20"/>
                <w:szCs w:val="20"/>
              </w:rPr>
              <w:t xml:space="preserve">                                     </w:t>
            </w:r>
          </w:p>
        </w:tc>
        <w:tc>
          <w:tcPr>
            <w:tcW w:w="915" w:type="dxa"/>
            <w:vAlign w:val="bottom"/>
          </w:tcPr>
          <w:p w14:paraId="1D8D530B" w14:textId="77777777" w:rsidR="00425025" w:rsidRPr="00A36F5C" w:rsidRDefault="00425025" w:rsidP="00AF5A74">
            <w:pPr>
              <w:jc w:val="right"/>
              <w:rPr>
                <w:rFonts w:asciiTheme="minorHAnsi" w:hAnsiTheme="minorHAnsi" w:cs="Arial"/>
                <w:sz w:val="20"/>
                <w:szCs w:val="20"/>
              </w:rPr>
            </w:pPr>
          </w:p>
        </w:tc>
        <w:tc>
          <w:tcPr>
            <w:tcW w:w="1298" w:type="dxa"/>
            <w:tcBorders>
              <w:left w:val="nil"/>
              <w:right w:val="nil"/>
            </w:tcBorders>
            <w:shd w:val="clear" w:color="auto" w:fill="F2F2F2" w:themeFill="background1" w:themeFillShade="F2"/>
            <w:vAlign w:val="bottom"/>
          </w:tcPr>
          <w:p w14:paraId="51B77E13" w14:textId="24EE4259" w:rsidR="00425025" w:rsidRPr="006D4208" w:rsidRDefault="00A428CC" w:rsidP="00AF5A74">
            <w:pPr>
              <w:jc w:val="right"/>
              <w:rPr>
                <w:rFonts w:asciiTheme="minorHAnsi" w:hAnsiTheme="minorHAnsi" w:cs="Arial"/>
                <w:b/>
                <w:sz w:val="20"/>
                <w:szCs w:val="20"/>
              </w:rPr>
            </w:pPr>
            <w:r w:rsidRPr="006D4208">
              <w:rPr>
                <w:rFonts w:asciiTheme="minorHAnsi" w:hAnsiTheme="minorHAnsi" w:cs="Arial"/>
                <w:b/>
                <w:sz w:val="20"/>
                <w:szCs w:val="20"/>
              </w:rPr>
              <w:t>2.5</w:t>
            </w:r>
          </w:p>
        </w:tc>
        <w:tc>
          <w:tcPr>
            <w:tcW w:w="1147" w:type="dxa"/>
            <w:tcBorders>
              <w:left w:val="nil"/>
              <w:right w:val="nil"/>
            </w:tcBorders>
            <w:vAlign w:val="bottom"/>
          </w:tcPr>
          <w:p w14:paraId="076C77C5" w14:textId="1B07FD45" w:rsidR="00425025" w:rsidRPr="006D4208" w:rsidRDefault="00425025" w:rsidP="00AF5A74">
            <w:pPr>
              <w:jc w:val="right"/>
              <w:rPr>
                <w:rFonts w:asciiTheme="minorHAnsi" w:hAnsiTheme="minorHAnsi" w:cs="Arial"/>
                <w:sz w:val="20"/>
                <w:szCs w:val="20"/>
              </w:rPr>
            </w:pPr>
          </w:p>
        </w:tc>
      </w:tr>
      <w:tr w:rsidR="00425025" w:rsidRPr="00A36F5C" w14:paraId="0E928CC5" w14:textId="77777777" w:rsidTr="41FE19BE">
        <w:tc>
          <w:tcPr>
            <w:tcW w:w="6363" w:type="dxa"/>
            <w:vAlign w:val="bottom"/>
          </w:tcPr>
          <w:p w14:paraId="5DDFA915" w14:textId="06FD5BAF" w:rsidR="00425025" w:rsidRPr="00A36F5C" w:rsidRDefault="00520409" w:rsidP="00AF5A74">
            <w:pPr>
              <w:rPr>
                <w:rFonts w:asciiTheme="minorHAnsi" w:hAnsiTheme="minorHAnsi" w:cs="Arial"/>
                <w:sz w:val="20"/>
                <w:szCs w:val="20"/>
              </w:rPr>
            </w:pPr>
            <w:r>
              <w:rPr>
                <w:rFonts w:asciiTheme="minorHAnsi" w:hAnsiTheme="minorHAnsi" w:cs="Arial"/>
                <w:sz w:val="20"/>
                <w:szCs w:val="20"/>
              </w:rPr>
              <w:t>Total dividends paid</w:t>
            </w:r>
          </w:p>
        </w:tc>
        <w:tc>
          <w:tcPr>
            <w:tcW w:w="915" w:type="dxa"/>
            <w:vAlign w:val="bottom"/>
          </w:tcPr>
          <w:p w14:paraId="6866801D" w14:textId="77777777" w:rsidR="00425025" w:rsidRPr="00A36F5C" w:rsidRDefault="00425025" w:rsidP="00AF5A74">
            <w:pPr>
              <w:jc w:val="right"/>
              <w:rPr>
                <w:rFonts w:asciiTheme="minorHAnsi" w:hAnsiTheme="minorHAnsi" w:cs="Arial"/>
                <w:sz w:val="20"/>
                <w:szCs w:val="20"/>
              </w:rPr>
            </w:pPr>
          </w:p>
        </w:tc>
        <w:tc>
          <w:tcPr>
            <w:tcW w:w="1298" w:type="dxa"/>
            <w:tcBorders>
              <w:top w:val="single" w:sz="4" w:space="0" w:color="auto"/>
              <w:left w:val="nil"/>
              <w:bottom w:val="single" w:sz="12" w:space="0" w:color="auto"/>
              <w:right w:val="nil"/>
            </w:tcBorders>
            <w:shd w:val="clear" w:color="auto" w:fill="F2F2F2" w:themeFill="background1" w:themeFillShade="F2"/>
          </w:tcPr>
          <w:p w14:paraId="3F4DD18B" w14:textId="0EB730FE" w:rsidR="00425025" w:rsidRPr="006D4208" w:rsidRDefault="00A428CC" w:rsidP="00AF5A74">
            <w:pPr>
              <w:jc w:val="right"/>
              <w:rPr>
                <w:rFonts w:asciiTheme="minorHAnsi" w:hAnsiTheme="minorHAnsi" w:cs="Arial"/>
                <w:b/>
                <w:sz w:val="20"/>
                <w:szCs w:val="20"/>
              </w:rPr>
            </w:pPr>
            <w:r w:rsidRPr="006D4208">
              <w:rPr>
                <w:rFonts w:asciiTheme="minorHAnsi" w:hAnsiTheme="minorHAnsi" w:cs="Arial"/>
                <w:b/>
                <w:sz w:val="20"/>
                <w:szCs w:val="20"/>
              </w:rPr>
              <w:t>2.5</w:t>
            </w:r>
          </w:p>
        </w:tc>
        <w:tc>
          <w:tcPr>
            <w:tcW w:w="1147" w:type="dxa"/>
            <w:tcBorders>
              <w:top w:val="single" w:sz="4" w:space="0" w:color="auto"/>
              <w:left w:val="nil"/>
              <w:bottom w:val="single" w:sz="12" w:space="0" w:color="auto"/>
              <w:right w:val="nil"/>
            </w:tcBorders>
            <w:vAlign w:val="bottom"/>
          </w:tcPr>
          <w:p w14:paraId="276CA8C0" w14:textId="1A55CFA6" w:rsidR="00425025" w:rsidRPr="006D4208" w:rsidRDefault="00A428CC" w:rsidP="00AF5A74">
            <w:pPr>
              <w:jc w:val="right"/>
              <w:rPr>
                <w:rFonts w:asciiTheme="minorHAnsi" w:hAnsiTheme="minorHAnsi" w:cs="Arial"/>
                <w:sz w:val="20"/>
                <w:szCs w:val="20"/>
              </w:rPr>
            </w:pPr>
            <w:r w:rsidRPr="006D4208">
              <w:rPr>
                <w:rFonts w:asciiTheme="minorHAnsi" w:hAnsiTheme="minorHAnsi" w:cs="Arial"/>
                <w:sz w:val="20"/>
                <w:szCs w:val="20"/>
              </w:rPr>
              <w:t>25.9</w:t>
            </w:r>
          </w:p>
        </w:tc>
      </w:tr>
    </w:tbl>
    <w:p w14:paraId="5BA92FAC" w14:textId="6F655F02" w:rsidR="006C23BF" w:rsidRDefault="006C23BF" w:rsidP="00A3021A">
      <w:pPr>
        <w:autoSpaceDE w:val="0"/>
        <w:autoSpaceDN w:val="0"/>
        <w:adjustRightInd w:val="0"/>
        <w:jc w:val="both"/>
        <w:rPr>
          <w:rFonts w:asciiTheme="minorHAnsi" w:hAnsiTheme="minorHAnsi" w:cstheme="minorBidi"/>
          <w:sz w:val="20"/>
          <w:szCs w:val="20"/>
        </w:rPr>
      </w:pPr>
    </w:p>
    <w:p w14:paraId="58337C33" w14:textId="641A6A0E" w:rsidR="00A3021A" w:rsidRDefault="00A3021A" w:rsidP="00A3021A">
      <w:pPr>
        <w:autoSpaceDE w:val="0"/>
        <w:autoSpaceDN w:val="0"/>
        <w:adjustRightInd w:val="0"/>
        <w:jc w:val="both"/>
        <w:rPr>
          <w:rStyle w:val="bodycopynumber"/>
          <w:rFonts w:asciiTheme="minorHAnsi" w:hAnsiTheme="minorHAnsi" w:cs="Arial"/>
          <w:sz w:val="20"/>
          <w:szCs w:val="20"/>
        </w:rPr>
      </w:pPr>
      <w:r w:rsidRPr="002725AC">
        <w:rPr>
          <w:rFonts w:asciiTheme="minorHAnsi" w:hAnsiTheme="minorHAnsi" w:cstheme="minorBidi"/>
          <w:sz w:val="20"/>
          <w:szCs w:val="20"/>
        </w:rPr>
        <w:t xml:space="preserve">The directors are </w:t>
      </w:r>
      <w:r w:rsidR="00DD4C58" w:rsidRPr="002725AC">
        <w:rPr>
          <w:rFonts w:asciiTheme="minorHAnsi" w:hAnsiTheme="minorHAnsi" w:cstheme="minorBidi"/>
          <w:sz w:val="20"/>
          <w:szCs w:val="20"/>
        </w:rPr>
        <w:t xml:space="preserve">not </w:t>
      </w:r>
      <w:r w:rsidRPr="002725AC">
        <w:rPr>
          <w:rFonts w:asciiTheme="minorHAnsi" w:hAnsiTheme="minorHAnsi" w:cstheme="minorBidi"/>
          <w:sz w:val="20"/>
          <w:szCs w:val="20"/>
        </w:rPr>
        <w:t>recommending a</w:t>
      </w:r>
      <w:r w:rsidR="000F6A68" w:rsidRPr="002725AC">
        <w:rPr>
          <w:rFonts w:asciiTheme="minorHAnsi" w:hAnsiTheme="minorHAnsi" w:cstheme="minorBidi"/>
          <w:sz w:val="20"/>
          <w:szCs w:val="20"/>
        </w:rPr>
        <w:t>n</w:t>
      </w:r>
      <w:r w:rsidR="007A7DB8" w:rsidRPr="002725AC">
        <w:rPr>
          <w:rFonts w:asciiTheme="minorHAnsi" w:hAnsiTheme="minorHAnsi" w:cstheme="minorBidi"/>
          <w:sz w:val="20"/>
          <w:szCs w:val="20"/>
        </w:rPr>
        <w:t xml:space="preserve"> </w:t>
      </w:r>
      <w:r w:rsidR="000F6A68" w:rsidRPr="002725AC">
        <w:rPr>
          <w:rFonts w:asciiTheme="minorHAnsi" w:hAnsiTheme="minorHAnsi" w:cstheme="minorBidi"/>
          <w:sz w:val="20"/>
          <w:szCs w:val="20"/>
        </w:rPr>
        <w:t>interim</w:t>
      </w:r>
      <w:r w:rsidRPr="002725AC">
        <w:rPr>
          <w:rFonts w:asciiTheme="minorHAnsi" w:hAnsiTheme="minorHAnsi" w:cstheme="minorBidi"/>
          <w:sz w:val="20"/>
          <w:szCs w:val="20"/>
        </w:rPr>
        <w:t xml:space="preserve"> dividend in respect of the </w:t>
      </w:r>
      <w:r w:rsidR="00571B8E" w:rsidRPr="002725AC">
        <w:rPr>
          <w:rFonts w:asciiTheme="minorHAnsi" w:hAnsiTheme="minorHAnsi" w:cstheme="minorBidi"/>
          <w:sz w:val="20"/>
          <w:szCs w:val="20"/>
        </w:rPr>
        <w:t>period ended</w:t>
      </w:r>
      <w:r w:rsidR="00871B6C" w:rsidRPr="002725AC">
        <w:rPr>
          <w:rFonts w:asciiTheme="minorHAnsi" w:hAnsiTheme="minorHAnsi" w:cstheme="minorBidi"/>
          <w:sz w:val="20"/>
          <w:szCs w:val="20"/>
        </w:rPr>
        <w:t xml:space="preserve"> 30 June 202</w:t>
      </w:r>
      <w:r w:rsidR="00A428CC" w:rsidRPr="002725AC">
        <w:rPr>
          <w:rFonts w:asciiTheme="minorHAnsi" w:hAnsiTheme="minorHAnsi" w:cstheme="minorBidi"/>
          <w:sz w:val="20"/>
          <w:szCs w:val="20"/>
        </w:rPr>
        <w:t>4</w:t>
      </w:r>
      <w:r w:rsidRPr="002725AC">
        <w:rPr>
          <w:rFonts w:asciiTheme="minorHAnsi" w:hAnsiTheme="minorHAnsi" w:cstheme="minorBidi"/>
          <w:sz w:val="20"/>
          <w:szCs w:val="20"/>
        </w:rPr>
        <w:t xml:space="preserve"> </w:t>
      </w:r>
      <w:r w:rsidR="00C30DA0" w:rsidRPr="002725AC">
        <w:rPr>
          <w:rFonts w:asciiTheme="minorHAnsi" w:hAnsiTheme="minorHAnsi" w:cstheme="minorBidi"/>
          <w:sz w:val="20"/>
          <w:szCs w:val="20"/>
        </w:rPr>
        <w:t>(</w:t>
      </w:r>
      <w:r w:rsidR="006633D1" w:rsidRPr="002725AC">
        <w:rPr>
          <w:rFonts w:asciiTheme="minorHAnsi" w:hAnsiTheme="minorHAnsi" w:cstheme="minorBidi"/>
          <w:sz w:val="20"/>
          <w:szCs w:val="20"/>
        </w:rPr>
        <w:t>1H</w:t>
      </w:r>
      <w:r w:rsidR="00871B6C" w:rsidRPr="002725AC">
        <w:rPr>
          <w:rFonts w:asciiTheme="minorHAnsi" w:hAnsiTheme="minorHAnsi" w:cstheme="minorBidi"/>
          <w:sz w:val="20"/>
          <w:szCs w:val="20"/>
        </w:rPr>
        <w:t>2</w:t>
      </w:r>
      <w:r w:rsidR="00A428CC" w:rsidRPr="002725AC">
        <w:rPr>
          <w:rFonts w:asciiTheme="minorHAnsi" w:hAnsiTheme="minorHAnsi" w:cstheme="minorBidi"/>
          <w:sz w:val="20"/>
          <w:szCs w:val="20"/>
        </w:rPr>
        <w:t>3</w:t>
      </w:r>
      <w:r w:rsidR="00C30DA0" w:rsidRPr="002725AC">
        <w:rPr>
          <w:rFonts w:asciiTheme="minorHAnsi" w:hAnsiTheme="minorHAnsi" w:cstheme="minorBidi"/>
          <w:sz w:val="20"/>
          <w:szCs w:val="20"/>
        </w:rPr>
        <w:t>: 5</w:t>
      </w:r>
      <w:r w:rsidR="0061574C" w:rsidRPr="002725AC">
        <w:rPr>
          <w:rFonts w:asciiTheme="minorHAnsi" w:hAnsiTheme="minorHAnsi" w:cstheme="minorBidi"/>
          <w:sz w:val="20"/>
          <w:szCs w:val="20"/>
        </w:rPr>
        <w:t>.0</w:t>
      </w:r>
      <w:r w:rsidR="00C30DA0" w:rsidRPr="002725AC">
        <w:rPr>
          <w:rFonts w:asciiTheme="minorHAnsi" w:hAnsiTheme="minorHAnsi" w:cstheme="minorBidi"/>
          <w:sz w:val="20"/>
          <w:szCs w:val="20"/>
        </w:rPr>
        <w:t>p</w:t>
      </w:r>
      <w:r w:rsidR="006C02C8" w:rsidRPr="002725AC">
        <w:rPr>
          <w:rFonts w:asciiTheme="minorHAnsi" w:hAnsiTheme="minorHAnsi" w:cstheme="minorBidi"/>
          <w:sz w:val="20"/>
          <w:szCs w:val="20"/>
        </w:rPr>
        <w:t>)</w:t>
      </w:r>
      <w:r w:rsidR="00DD4C58" w:rsidRPr="002725AC">
        <w:rPr>
          <w:rFonts w:asciiTheme="minorHAnsi" w:hAnsiTheme="minorHAnsi" w:cstheme="minorBidi"/>
          <w:sz w:val="20"/>
          <w:szCs w:val="20"/>
        </w:rPr>
        <w:t>.</w:t>
      </w:r>
    </w:p>
    <w:p w14:paraId="378DA7A4" w14:textId="77777777" w:rsidR="00C04CAA" w:rsidRDefault="00C04CAA" w:rsidP="00A3021A">
      <w:pPr>
        <w:autoSpaceDE w:val="0"/>
        <w:autoSpaceDN w:val="0"/>
        <w:adjustRightInd w:val="0"/>
        <w:jc w:val="both"/>
        <w:rPr>
          <w:rStyle w:val="bodycopynumber"/>
          <w:rFonts w:asciiTheme="minorHAnsi" w:hAnsiTheme="minorHAnsi" w:cs="Arial"/>
          <w:sz w:val="20"/>
          <w:szCs w:val="20"/>
        </w:rPr>
      </w:pPr>
    </w:p>
    <w:p w14:paraId="49C2E291" w14:textId="7AA571A7" w:rsidR="00A3021A" w:rsidRDefault="006133EC" w:rsidP="00A3021A">
      <w:pPr>
        <w:ind w:left="567" w:hanging="567"/>
        <w:rPr>
          <w:rFonts w:asciiTheme="minorHAnsi" w:hAnsiTheme="minorHAnsi" w:cs="Arial"/>
          <w:b/>
          <w:color w:val="4747FF"/>
          <w:sz w:val="22"/>
          <w:szCs w:val="22"/>
        </w:rPr>
      </w:pPr>
      <w:r>
        <w:rPr>
          <w:rFonts w:asciiTheme="minorHAnsi" w:hAnsiTheme="minorHAnsi" w:cs="Arial"/>
          <w:b/>
          <w:color w:val="4747FF"/>
          <w:sz w:val="22"/>
          <w:szCs w:val="22"/>
        </w:rPr>
        <w:t>8</w:t>
      </w:r>
      <w:r w:rsidR="00A3021A" w:rsidRPr="00701439">
        <w:rPr>
          <w:rFonts w:asciiTheme="minorHAnsi" w:hAnsiTheme="minorHAnsi" w:cs="Arial"/>
          <w:b/>
          <w:color w:val="4747FF"/>
          <w:sz w:val="22"/>
          <w:szCs w:val="22"/>
        </w:rPr>
        <w:t>.</w:t>
      </w:r>
      <w:r w:rsidR="00A3021A" w:rsidRPr="00701439">
        <w:rPr>
          <w:rFonts w:asciiTheme="minorHAnsi" w:hAnsiTheme="minorHAnsi" w:cs="Arial"/>
          <w:b/>
          <w:color w:val="4747FF"/>
          <w:sz w:val="22"/>
          <w:szCs w:val="22"/>
        </w:rPr>
        <w:tab/>
      </w:r>
      <w:r w:rsidR="00A3021A" w:rsidRPr="004256D5">
        <w:rPr>
          <w:rFonts w:asciiTheme="minorHAnsi" w:hAnsiTheme="minorHAnsi" w:cs="Arial"/>
          <w:b/>
          <w:color w:val="4747FF"/>
          <w:sz w:val="22"/>
          <w:szCs w:val="22"/>
        </w:rPr>
        <w:t>Amounts receivable from customers</w:t>
      </w:r>
    </w:p>
    <w:p w14:paraId="2BA2A075" w14:textId="77777777" w:rsidR="00C574C0" w:rsidRDefault="00C574C0" w:rsidP="00A3021A">
      <w:pPr>
        <w:ind w:left="567" w:hanging="567"/>
        <w:rPr>
          <w:rFonts w:asciiTheme="minorHAnsi" w:hAnsiTheme="minorHAnsi" w:cs="Arial"/>
          <w:b/>
          <w:color w:val="4747FF"/>
          <w:sz w:val="22"/>
          <w:szCs w:val="22"/>
        </w:rPr>
      </w:pPr>
    </w:p>
    <w:tbl>
      <w:tblPr>
        <w:tblW w:w="5000" w:type="pct"/>
        <w:tblLook w:val="0000" w:firstRow="0" w:lastRow="0" w:firstColumn="0" w:lastColumn="0" w:noHBand="0" w:noVBand="0"/>
      </w:tblPr>
      <w:tblGrid>
        <w:gridCol w:w="4682"/>
        <w:gridCol w:w="1703"/>
        <w:gridCol w:w="1843"/>
        <w:gridCol w:w="1495"/>
      </w:tblGrid>
      <w:tr w:rsidR="00C574C0" w:rsidRPr="00F203CC" w14:paraId="6792ECF1" w14:textId="77777777" w:rsidTr="00575D6C">
        <w:tc>
          <w:tcPr>
            <w:tcW w:w="2407" w:type="pct"/>
          </w:tcPr>
          <w:p w14:paraId="3D7B9069" w14:textId="77777777" w:rsidR="00C574C0" w:rsidRPr="00701439" w:rsidRDefault="00C574C0" w:rsidP="005D59FA">
            <w:pPr>
              <w:rPr>
                <w:rFonts w:asciiTheme="minorHAnsi" w:eastAsiaTheme="minorEastAsia" w:hAnsiTheme="minorHAnsi" w:cstheme="minorBidi"/>
                <w:sz w:val="20"/>
                <w:szCs w:val="20"/>
              </w:rPr>
            </w:pPr>
          </w:p>
        </w:tc>
        <w:tc>
          <w:tcPr>
            <w:tcW w:w="876" w:type="pct"/>
            <w:shd w:val="clear" w:color="auto" w:fill="F2F2F2" w:themeFill="background1" w:themeFillShade="F2"/>
          </w:tcPr>
          <w:p w14:paraId="485FD773" w14:textId="3DE2BAB2" w:rsidR="00C574C0" w:rsidRPr="001A05BB" w:rsidRDefault="001445BD" w:rsidP="00083C74">
            <w:pPr>
              <w:jc w:val="right"/>
              <w:rPr>
                <w:rFonts w:asciiTheme="minorHAnsi" w:eastAsiaTheme="minorEastAsia" w:hAnsiTheme="minorHAnsi" w:cstheme="minorBidi"/>
                <w:b/>
                <w:sz w:val="20"/>
                <w:szCs w:val="20"/>
              </w:rPr>
            </w:pPr>
            <w:r w:rsidRPr="7ACEA165">
              <w:rPr>
                <w:rFonts w:asciiTheme="minorHAnsi" w:eastAsiaTheme="minorEastAsia" w:hAnsiTheme="minorHAnsi" w:cstheme="minorBidi"/>
                <w:b/>
                <w:sz w:val="20"/>
                <w:szCs w:val="20"/>
              </w:rPr>
              <w:t>30 June</w:t>
            </w:r>
            <w:r w:rsidR="00083C74" w:rsidRPr="7ACEA165">
              <w:rPr>
                <w:rFonts w:asciiTheme="minorHAnsi" w:eastAsiaTheme="minorEastAsia" w:hAnsiTheme="minorHAnsi" w:cstheme="minorBidi"/>
                <w:b/>
                <w:sz w:val="20"/>
                <w:szCs w:val="20"/>
              </w:rPr>
              <w:t xml:space="preserve"> </w:t>
            </w:r>
            <w:r w:rsidR="00C574C0" w:rsidRPr="7ACEA165">
              <w:rPr>
                <w:rFonts w:asciiTheme="minorHAnsi" w:eastAsiaTheme="minorEastAsia" w:hAnsiTheme="minorHAnsi" w:cstheme="minorBidi"/>
                <w:b/>
                <w:sz w:val="20"/>
                <w:szCs w:val="20"/>
              </w:rPr>
              <w:t>2024 </w:t>
            </w:r>
          </w:p>
        </w:tc>
        <w:tc>
          <w:tcPr>
            <w:tcW w:w="948" w:type="pct"/>
          </w:tcPr>
          <w:p w14:paraId="02662CCC" w14:textId="77777777" w:rsidR="008B4AAE" w:rsidRDefault="008B4AAE" w:rsidP="00083C74">
            <w:pPr>
              <w:jc w:val="right"/>
              <w:rPr>
                <w:rFonts w:asciiTheme="minorHAnsi" w:eastAsiaTheme="minorEastAsia" w:hAnsiTheme="minorHAnsi" w:cstheme="minorBidi"/>
                <w:sz w:val="20"/>
                <w:szCs w:val="20"/>
              </w:rPr>
            </w:pPr>
            <w:r w:rsidRPr="7ACEA165">
              <w:rPr>
                <w:rFonts w:asciiTheme="minorHAnsi" w:eastAsiaTheme="minorEastAsia" w:hAnsiTheme="minorHAnsi" w:cstheme="minorBidi"/>
                <w:sz w:val="20"/>
                <w:szCs w:val="20"/>
              </w:rPr>
              <w:t>31 December</w:t>
            </w:r>
            <w:r w:rsidR="00083C74" w:rsidRPr="7ACEA165">
              <w:rPr>
                <w:rFonts w:asciiTheme="minorHAnsi" w:eastAsiaTheme="minorEastAsia" w:hAnsiTheme="minorHAnsi" w:cstheme="minorBidi"/>
                <w:sz w:val="20"/>
                <w:szCs w:val="20"/>
              </w:rPr>
              <w:t xml:space="preserve"> 2</w:t>
            </w:r>
            <w:r w:rsidRPr="7ACEA165">
              <w:rPr>
                <w:rFonts w:asciiTheme="minorHAnsi" w:eastAsiaTheme="minorEastAsia" w:hAnsiTheme="minorHAnsi" w:cstheme="minorBidi"/>
                <w:sz w:val="20"/>
                <w:szCs w:val="20"/>
              </w:rPr>
              <w:t>023</w:t>
            </w:r>
          </w:p>
          <w:p w14:paraId="6313186F" w14:textId="4616CD66" w:rsidR="00083C74" w:rsidRDefault="00083C74" w:rsidP="00083C74">
            <w:pPr>
              <w:jc w:val="right"/>
              <w:rPr>
                <w:rFonts w:asciiTheme="minorHAnsi" w:eastAsiaTheme="minorEastAsia" w:hAnsiTheme="minorHAnsi" w:cstheme="minorBidi"/>
                <w:sz w:val="20"/>
                <w:szCs w:val="20"/>
              </w:rPr>
            </w:pPr>
            <w:r w:rsidRPr="7ACEA165">
              <w:rPr>
                <w:rFonts w:asciiTheme="minorHAnsi" w:eastAsiaTheme="minorEastAsia" w:hAnsiTheme="minorHAnsi" w:cstheme="minorBidi"/>
                <w:sz w:val="20"/>
                <w:szCs w:val="20"/>
              </w:rPr>
              <w:t>(restated)</w:t>
            </w:r>
            <w:r w:rsidR="004B66D2" w:rsidRPr="004B66D2">
              <w:rPr>
                <w:rFonts w:asciiTheme="minorHAnsi" w:eastAsiaTheme="minorEastAsia" w:hAnsiTheme="minorHAnsi" w:cstheme="minorBidi"/>
                <w:sz w:val="20"/>
                <w:szCs w:val="20"/>
                <w:vertAlign w:val="superscript"/>
              </w:rPr>
              <w:t>1</w:t>
            </w:r>
          </w:p>
        </w:tc>
        <w:tc>
          <w:tcPr>
            <w:tcW w:w="770" w:type="pct"/>
          </w:tcPr>
          <w:p w14:paraId="4645709F" w14:textId="77777777" w:rsidR="00083C74" w:rsidRDefault="008B4AAE" w:rsidP="00083C74">
            <w:pPr>
              <w:jc w:val="right"/>
              <w:rPr>
                <w:rFonts w:asciiTheme="minorHAnsi" w:eastAsiaTheme="minorEastAsia" w:hAnsiTheme="minorHAnsi" w:cstheme="minorBidi"/>
                <w:sz w:val="20"/>
                <w:szCs w:val="20"/>
              </w:rPr>
            </w:pPr>
            <w:r w:rsidRPr="7ACEA165">
              <w:rPr>
                <w:rFonts w:asciiTheme="minorHAnsi" w:eastAsiaTheme="minorEastAsia" w:hAnsiTheme="minorHAnsi" w:cstheme="minorBidi"/>
                <w:sz w:val="20"/>
                <w:szCs w:val="20"/>
              </w:rPr>
              <w:t xml:space="preserve">30 June </w:t>
            </w:r>
            <w:r w:rsidR="00C574C0" w:rsidRPr="7ACEA165">
              <w:rPr>
                <w:rFonts w:asciiTheme="minorHAnsi" w:eastAsiaTheme="minorEastAsia" w:hAnsiTheme="minorHAnsi" w:cstheme="minorBidi"/>
                <w:sz w:val="20"/>
                <w:szCs w:val="20"/>
              </w:rPr>
              <w:t>2023</w:t>
            </w:r>
          </w:p>
          <w:p w14:paraId="1FD91F4F" w14:textId="73D28A48" w:rsidR="00C574C0" w:rsidRPr="00F203CC" w:rsidRDefault="00083C74" w:rsidP="00083C74">
            <w:pPr>
              <w:jc w:val="right"/>
              <w:rPr>
                <w:rFonts w:asciiTheme="minorHAnsi" w:eastAsiaTheme="minorEastAsia" w:hAnsiTheme="minorHAnsi" w:cstheme="minorBidi"/>
                <w:sz w:val="20"/>
                <w:szCs w:val="20"/>
              </w:rPr>
            </w:pPr>
            <w:r w:rsidRPr="7ACEA165">
              <w:rPr>
                <w:rFonts w:asciiTheme="minorHAnsi" w:eastAsiaTheme="minorEastAsia" w:hAnsiTheme="minorHAnsi" w:cstheme="minorBidi"/>
                <w:sz w:val="20"/>
                <w:szCs w:val="20"/>
              </w:rPr>
              <w:t>(restated)</w:t>
            </w:r>
            <w:r w:rsidR="004B66D2" w:rsidRPr="004B66D2">
              <w:rPr>
                <w:rFonts w:asciiTheme="minorHAnsi" w:eastAsiaTheme="minorEastAsia" w:hAnsiTheme="minorHAnsi" w:cstheme="minorBidi"/>
                <w:sz w:val="20"/>
                <w:szCs w:val="20"/>
                <w:vertAlign w:val="superscript"/>
              </w:rPr>
              <w:t>1</w:t>
            </w:r>
            <w:r w:rsidR="00C574C0" w:rsidRPr="7ACEA165">
              <w:rPr>
                <w:rFonts w:asciiTheme="minorHAnsi" w:eastAsiaTheme="minorEastAsia" w:hAnsiTheme="minorHAnsi" w:cstheme="minorBidi"/>
                <w:sz w:val="20"/>
                <w:szCs w:val="20"/>
              </w:rPr>
              <w:t xml:space="preserve"> </w:t>
            </w:r>
          </w:p>
        </w:tc>
      </w:tr>
      <w:tr w:rsidR="00C574C0" w:rsidRPr="00F203CC" w14:paraId="2E3F9FE4" w14:textId="77777777" w:rsidTr="00575D6C">
        <w:tc>
          <w:tcPr>
            <w:tcW w:w="2407" w:type="pct"/>
          </w:tcPr>
          <w:p w14:paraId="0A98D230" w14:textId="77777777" w:rsidR="00C574C0" w:rsidRPr="008B3AA6" w:rsidRDefault="00C574C0" w:rsidP="005D59FA">
            <w:pPr>
              <w:rPr>
                <w:rFonts w:asciiTheme="minorHAnsi" w:eastAsiaTheme="minorEastAsia" w:hAnsiTheme="minorHAnsi" w:cstheme="minorBidi"/>
                <w:sz w:val="20"/>
                <w:szCs w:val="20"/>
                <w:highlight w:val="green"/>
              </w:rPr>
            </w:pPr>
          </w:p>
        </w:tc>
        <w:tc>
          <w:tcPr>
            <w:tcW w:w="876" w:type="pct"/>
            <w:tcBorders>
              <w:top w:val="nil"/>
              <w:left w:val="nil"/>
              <w:bottom w:val="single" w:sz="4" w:space="0" w:color="auto"/>
              <w:right w:val="nil"/>
            </w:tcBorders>
            <w:shd w:val="clear" w:color="auto" w:fill="F2F2F2" w:themeFill="background1" w:themeFillShade="F2"/>
          </w:tcPr>
          <w:p w14:paraId="23C43FD9" w14:textId="77777777" w:rsidR="00C574C0" w:rsidRPr="001A05BB" w:rsidRDefault="00C574C0" w:rsidP="005D59FA">
            <w:pPr>
              <w:jc w:val="right"/>
              <w:rPr>
                <w:rFonts w:asciiTheme="minorHAnsi" w:eastAsiaTheme="minorEastAsia" w:hAnsiTheme="minorHAnsi" w:cstheme="minorBidi"/>
                <w:b/>
                <w:sz w:val="20"/>
                <w:szCs w:val="20"/>
              </w:rPr>
            </w:pPr>
            <w:r w:rsidRPr="7ACEA165">
              <w:rPr>
                <w:rFonts w:asciiTheme="minorHAnsi" w:eastAsiaTheme="minorEastAsia" w:hAnsiTheme="minorHAnsi" w:cstheme="minorBidi"/>
                <w:b/>
                <w:sz w:val="20"/>
                <w:szCs w:val="20"/>
              </w:rPr>
              <w:t>£m </w:t>
            </w:r>
          </w:p>
        </w:tc>
        <w:tc>
          <w:tcPr>
            <w:tcW w:w="948" w:type="pct"/>
            <w:tcBorders>
              <w:top w:val="nil"/>
              <w:left w:val="nil"/>
              <w:bottom w:val="single" w:sz="4" w:space="0" w:color="auto"/>
              <w:right w:val="nil"/>
            </w:tcBorders>
          </w:tcPr>
          <w:p w14:paraId="36C0B751" w14:textId="2C410E0A" w:rsidR="008B4AAE" w:rsidRDefault="008B4AAE" w:rsidP="005D59FA">
            <w:pPr>
              <w:jc w:val="right"/>
              <w:rPr>
                <w:rFonts w:asciiTheme="minorHAnsi" w:eastAsiaTheme="minorEastAsia" w:hAnsiTheme="minorHAnsi" w:cstheme="minorBidi"/>
                <w:sz w:val="20"/>
                <w:szCs w:val="20"/>
              </w:rPr>
            </w:pPr>
            <w:r w:rsidRPr="7ACEA165">
              <w:rPr>
                <w:rFonts w:asciiTheme="minorHAnsi" w:eastAsiaTheme="minorEastAsia" w:hAnsiTheme="minorHAnsi" w:cstheme="minorBidi"/>
                <w:sz w:val="20"/>
                <w:szCs w:val="20"/>
              </w:rPr>
              <w:t>£m</w:t>
            </w:r>
          </w:p>
        </w:tc>
        <w:tc>
          <w:tcPr>
            <w:tcW w:w="770" w:type="pct"/>
            <w:tcBorders>
              <w:top w:val="nil"/>
              <w:left w:val="nil"/>
              <w:bottom w:val="single" w:sz="4" w:space="0" w:color="auto"/>
              <w:right w:val="nil"/>
            </w:tcBorders>
          </w:tcPr>
          <w:p w14:paraId="3AD23B74" w14:textId="21759423" w:rsidR="00C574C0" w:rsidRPr="00F203CC" w:rsidRDefault="00C574C0" w:rsidP="005D59FA">
            <w:pPr>
              <w:jc w:val="right"/>
              <w:rPr>
                <w:rFonts w:asciiTheme="minorHAnsi" w:eastAsiaTheme="minorEastAsia" w:hAnsiTheme="minorHAnsi" w:cstheme="minorBidi"/>
                <w:sz w:val="20"/>
                <w:szCs w:val="20"/>
              </w:rPr>
            </w:pPr>
            <w:r w:rsidRPr="7ACEA165">
              <w:rPr>
                <w:rFonts w:asciiTheme="minorHAnsi" w:eastAsiaTheme="minorEastAsia" w:hAnsiTheme="minorHAnsi" w:cstheme="minorBidi"/>
                <w:sz w:val="20"/>
                <w:szCs w:val="20"/>
              </w:rPr>
              <w:t>£m </w:t>
            </w:r>
          </w:p>
        </w:tc>
      </w:tr>
      <w:tr w:rsidR="00C574C0" w:rsidRPr="00F203CC" w14:paraId="0FFD6002" w14:textId="77777777" w:rsidTr="00575D6C">
        <w:tc>
          <w:tcPr>
            <w:tcW w:w="2407" w:type="pct"/>
          </w:tcPr>
          <w:p w14:paraId="59E5C3FF" w14:textId="77777777" w:rsidR="00C574C0" w:rsidRPr="008B3AA6" w:rsidRDefault="00C574C0" w:rsidP="005D59FA">
            <w:pPr>
              <w:rPr>
                <w:rFonts w:asciiTheme="minorHAnsi" w:eastAsiaTheme="minorEastAsia" w:hAnsiTheme="minorHAnsi" w:cstheme="minorBidi"/>
                <w:b/>
                <w:sz w:val="20"/>
                <w:szCs w:val="20"/>
                <w:highlight w:val="green"/>
              </w:rPr>
            </w:pPr>
          </w:p>
        </w:tc>
        <w:tc>
          <w:tcPr>
            <w:tcW w:w="876" w:type="pct"/>
            <w:shd w:val="clear" w:color="auto" w:fill="F2F2F2" w:themeFill="background1" w:themeFillShade="F2"/>
            <w:vAlign w:val="bottom"/>
          </w:tcPr>
          <w:p w14:paraId="5E9CE321" w14:textId="77777777" w:rsidR="00C574C0" w:rsidRPr="001A05BB" w:rsidRDefault="00C574C0" w:rsidP="005D59FA">
            <w:pPr>
              <w:jc w:val="right"/>
              <w:rPr>
                <w:rFonts w:asciiTheme="minorHAnsi" w:eastAsiaTheme="minorEastAsia" w:hAnsiTheme="minorHAnsi" w:cstheme="minorBidi"/>
                <w:b/>
                <w:sz w:val="20"/>
                <w:szCs w:val="20"/>
              </w:rPr>
            </w:pPr>
          </w:p>
        </w:tc>
        <w:tc>
          <w:tcPr>
            <w:tcW w:w="948" w:type="pct"/>
          </w:tcPr>
          <w:p w14:paraId="37036250" w14:textId="77777777" w:rsidR="008B4AAE" w:rsidRPr="00F203CC" w:rsidRDefault="008B4AAE" w:rsidP="005D59FA">
            <w:pPr>
              <w:jc w:val="right"/>
              <w:rPr>
                <w:rFonts w:asciiTheme="minorHAnsi" w:eastAsiaTheme="minorEastAsia" w:hAnsiTheme="minorHAnsi" w:cstheme="minorBidi"/>
                <w:sz w:val="20"/>
                <w:szCs w:val="20"/>
              </w:rPr>
            </w:pPr>
          </w:p>
        </w:tc>
        <w:tc>
          <w:tcPr>
            <w:tcW w:w="770" w:type="pct"/>
            <w:vAlign w:val="bottom"/>
          </w:tcPr>
          <w:p w14:paraId="43C24C7E" w14:textId="1E22C59A" w:rsidR="00C574C0" w:rsidRPr="00F203CC" w:rsidRDefault="00C574C0" w:rsidP="005D59FA">
            <w:pPr>
              <w:jc w:val="right"/>
              <w:rPr>
                <w:rFonts w:asciiTheme="minorHAnsi" w:eastAsiaTheme="minorEastAsia" w:hAnsiTheme="minorHAnsi" w:cstheme="minorBidi"/>
                <w:sz w:val="20"/>
                <w:szCs w:val="20"/>
              </w:rPr>
            </w:pPr>
          </w:p>
        </w:tc>
      </w:tr>
      <w:tr w:rsidR="00C574C0" w:rsidRPr="00F203CC" w14:paraId="7CE73A33" w14:textId="77777777" w:rsidTr="00575D6C">
        <w:tc>
          <w:tcPr>
            <w:tcW w:w="2407" w:type="pct"/>
            <w:vAlign w:val="bottom"/>
          </w:tcPr>
          <w:p w14:paraId="0658E53A" w14:textId="77777777" w:rsidR="00C574C0" w:rsidRPr="006D4208" w:rsidRDefault="00C574C0" w:rsidP="005D59FA">
            <w:pPr>
              <w:rPr>
                <w:rFonts w:asciiTheme="minorHAnsi" w:eastAsiaTheme="minorEastAsia" w:hAnsiTheme="minorHAnsi" w:cstheme="minorBidi"/>
                <w:sz w:val="20"/>
                <w:szCs w:val="20"/>
              </w:rPr>
            </w:pPr>
            <w:r w:rsidRPr="7ACEA165">
              <w:rPr>
                <w:rFonts w:asciiTheme="minorHAnsi" w:eastAsiaTheme="minorEastAsia" w:hAnsiTheme="minorHAnsi" w:cstheme="minorBidi"/>
                <w:sz w:val="20"/>
                <w:szCs w:val="20"/>
              </w:rPr>
              <w:t>Credit cards</w:t>
            </w:r>
          </w:p>
        </w:tc>
        <w:tc>
          <w:tcPr>
            <w:tcW w:w="876" w:type="pct"/>
            <w:shd w:val="clear" w:color="auto" w:fill="F2F2F2" w:themeFill="background1" w:themeFillShade="F2"/>
            <w:vAlign w:val="bottom"/>
          </w:tcPr>
          <w:p w14:paraId="1B5E93E6" w14:textId="5EFEBEDB" w:rsidR="00C574C0" w:rsidRPr="006D4208" w:rsidRDefault="0085666B" w:rsidP="005D59FA">
            <w:pPr>
              <w:jc w:val="right"/>
              <w:rPr>
                <w:rFonts w:asciiTheme="minorHAnsi" w:eastAsiaTheme="minorEastAsia" w:hAnsiTheme="minorHAnsi" w:cstheme="minorBidi"/>
                <w:b/>
                <w:color w:val="000000"/>
                <w:sz w:val="20"/>
                <w:szCs w:val="20"/>
              </w:rPr>
            </w:pPr>
            <w:r w:rsidRPr="7ACEA165">
              <w:rPr>
                <w:rFonts w:asciiTheme="minorHAnsi" w:eastAsiaTheme="minorEastAsia" w:hAnsiTheme="minorHAnsi" w:cstheme="minorBidi"/>
                <w:b/>
                <w:color w:val="000000" w:themeColor="text1"/>
                <w:sz w:val="20"/>
                <w:szCs w:val="20"/>
              </w:rPr>
              <w:t>1,150.6</w:t>
            </w:r>
          </w:p>
        </w:tc>
        <w:tc>
          <w:tcPr>
            <w:tcW w:w="948" w:type="pct"/>
          </w:tcPr>
          <w:p w14:paraId="3111FF94" w14:textId="27EF8E46" w:rsidR="008B4AAE" w:rsidRPr="006D4208" w:rsidRDefault="008B4AAE" w:rsidP="005D59FA">
            <w:pPr>
              <w:jc w:val="right"/>
              <w:rPr>
                <w:rFonts w:asciiTheme="minorHAnsi" w:eastAsiaTheme="minorEastAsia" w:hAnsiTheme="minorHAnsi" w:cstheme="minorBidi"/>
                <w:color w:val="000000"/>
                <w:sz w:val="20"/>
                <w:szCs w:val="20"/>
              </w:rPr>
            </w:pPr>
            <w:r w:rsidRPr="7ACEA165">
              <w:rPr>
                <w:rFonts w:asciiTheme="minorHAnsi" w:eastAsiaTheme="minorEastAsia" w:hAnsiTheme="minorHAnsi" w:cstheme="minorBidi"/>
                <w:color w:val="000000" w:themeColor="text1"/>
                <w:sz w:val="20"/>
                <w:szCs w:val="20"/>
              </w:rPr>
              <w:t>1,277.7</w:t>
            </w:r>
          </w:p>
        </w:tc>
        <w:tc>
          <w:tcPr>
            <w:tcW w:w="770" w:type="pct"/>
            <w:vAlign w:val="bottom"/>
          </w:tcPr>
          <w:p w14:paraId="165CB061" w14:textId="2AAFB07A" w:rsidR="00C574C0" w:rsidRPr="006D4208" w:rsidRDefault="00C574C0" w:rsidP="005D59FA">
            <w:pPr>
              <w:jc w:val="right"/>
              <w:rPr>
                <w:rFonts w:asciiTheme="minorHAnsi" w:eastAsiaTheme="minorEastAsia" w:hAnsiTheme="minorHAnsi" w:cstheme="minorBidi"/>
                <w:sz w:val="20"/>
                <w:szCs w:val="20"/>
              </w:rPr>
            </w:pPr>
            <w:r w:rsidRPr="7ACEA165">
              <w:rPr>
                <w:rFonts w:asciiTheme="minorHAnsi" w:eastAsiaTheme="minorEastAsia" w:hAnsiTheme="minorHAnsi" w:cstheme="minorBidi"/>
                <w:color w:val="000000" w:themeColor="text1"/>
                <w:sz w:val="20"/>
                <w:szCs w:val="20"/>
              </w:rPr>
              <w:t>1,</w:t>
            </w:r>
            <w:r w:rsidR="004C4456" w:rsidRPr="7ACEA165">
              <w:rPr>
                <w:rFonts w:asciiTheme="minorHAnsi" w:eastAsiaTheme="minorEastAsia" w:hAnsiTheme="minorHAnsi" w:cstheme="minorBidi"/>
                <w:color w:val="000000" w:themeColor="text1"/>
                <w:sz w:val="20"/>
                <w:szCs w:val="20"/>
              </w:rPr>
              <w:t>223.9</w:t>
            </w:r>
            <w:r w:rsidRPr="7ACEA165">
              <w:rPr>
                <w:rFonts w:asciiTheme="minorHAnsi" w:eastAsiaTheme="minorEastAsia" w:hAnsiTheme="minorHAnsi" w:cstheme="minorBidi"/>
                <w:color w:val="000000" w:themeColor="text1"/>
                <w:sz w:val="20"/>
                <w:szCs w:val="20"/>
              </w:rPr>
              <w:t xml:space="preserve"> </w:t>
            </w:r>
          </w:p>
        </w:tc>
      </w:tr>
      <w:tr w:rsidR="00C574C0" w:rsidRPr="00A36F5C" w14:paraId="3C11B34D" w14:textId="77777777" w:rsidTr="00575D6C">
        <w:tc>
          <w:tcPr>
            <w:tcW w:w="2407" w:type="pct"/>
            <w:vAlign w:val="bottom"/>
          </w:tcPr>
          <w:p w14:paraId="4DB0A2E0" w14:textId="77777777" w:rsidR="00C574C0" w:rsidRPr="00A36F5C" w:rsidRDefault="00C574C0" w:rsidP="005D59FA">
            <w:pPr>
              <w:rPr>
                <w:rFonts w:asciiTheme="minorHAnsi" w:eastAsiaTheme="minorEastAsia" w:hAnsiTheme="minorHAnsi" w:cstheme="minorBidi"/>
                <w:sz w:val="20"/>
                <w:szCs w:val="20"/>
              </w:rPr>
            </w:pPr>
            <w:r w:rsidRPr="7ACEA165">
              <w:rPr>
                <w:rFonts w:asciiTheme="minorHAnsi" w:eastAsiaTheme="minorEastAsia" w:hAnsiTheme="minorHAnsi" w:cstheme="minorBidi"/>
                <w:sz w:val="20"/>
                <w:szCs w:val="20"/>
              </w:rPr>
              <w:t>Vehicle finance</w:t>
            </w:r>
          </w:p>
        </w:tc>
        <w:tc>
          <w:tcPr>
            <w:tcW w:w="876" w:type="pct"/>
            <w:shd w:val="clear" w:color="auto" w:fill="F2F2F2" w:themeFill="background1" w:themeFillShade="F2"/>
          </w:tcPr>
          <w:p w14:paraId="0C653808" w14:textId="3832E651" w:rsidR="00C574C0" w:rsidRPr="006D4208" w:rsidRDefault="00746A48" w:rsidP="005D59FA">
            <w:pPr>
              <w:jc w:val="right"/>
              <w:rPr>
                <w:rFonts w:asciiTheme="minorHAnsi" w:eastAsiaTheme="minorEastAsia" w:hAnsiTheme="minorHAnsi" w:cstheme="minorBidi"/>
                <w:b/>
                <w:color w:val="000000"/>
                <w:sz w:val="20"/>
                <w:szCs w:val="20"/>
              </w:rPr>
            </w:pPr>
            <w:r w:rsidRPr="7ACEA165">
              <w:rPr>
                <w:rFonts w:asciiTheme="minorHAnsi" w:eastAsiaTheme="minorEastAsia" w:hAnsiTheme="minorHAnsi" w:cstheme="minorBidi"/>
                <w:b/>
                <w:color w:val="000000" w:themeColor="text1"/>
                <w:sz w:val="20"/>
                <w:szCs w:val="20"/>
              </w:rPr>
              <w:t>760.</w:t>
            </w:r>
            <w:r w:rsidR="006447A3">
              <w:rPr>
                <w:rFonts w:asciiTheme="minorHAnsi" w:eastAsiaTheme="minorEastAsia" w:hAnsiTheme="minorHAnsi" w:cstheme="minorBidi"/>
                <w:b/>
                <w:color w:val="000000" w:themeColor="text1"/>
                <w:sz w:val="20"/>
                <w:szCs w:val="20"/>
              </w:rPr>
              <w:t>5</w:t>
            </w:r>
          </w:p>
        </w:tc>
        <w:tc>
          <w:tcPr>
            <w:tcW w:w="948" w:type="pct"/>
          </w:tcPr>
          <w:p w14:paraId="3B32FDA9" w14:textId="1E58E840" w:rsidR="008B4AAE" w:rsidRPr="006D4208" w:rsidRDefault="008B4AAE" w:rsidP="005D59FA">
            <w:pPr>
              <w:jc w:val="right"/>
              <w:rPr>
                <w:rFonts w:asciiTheme="minorHAnsi" w:eastAsiaTheme="minorEastAsia" w:hAnsiTheme="minorHAnsi" w:cstheme="minorBidi"/>
                <w:sz w:val="20"/>
                <w:szCs w:val="20"/>
              </w:rPr>
            </w:pPr>
            <w:r w:rsidRPr="7ACEA165">
              <w:rPr>
                <w:rFonts w:asciiTheme="minorHAnsi" w:eastAsiaTheme="minorEastAsia" w:hAnsiTheme="minorHAnsi" w:cstheme="minorBidi"/>
                <w:sz w:val="20"/>
                <w:szCs w:val="20"/>
              </w:rPr>
              <w:t>7</w:t>
            </w:r>
            <w:r w:rsidR="00F70A0A" w:rsidRPr="7ACEA165">
              <w:rPr>
                <w:rFonts w:asciiTheme="minorHAnsi" w:eastAsiaTheme="minorEastAsia" w:hAnsiTheme="minorHAnsi" w:cstheme="minorBidi"/>
                <w:sz w:val="20"/>
                <w:szCs w:val="20"/>
              </w:rPr>
              <w:t>76.1</w:t>
            </w:r>
          </w:p>
        </w:tc>
        <w:tc>
          <w:tcPr>
            <w:tcW w:w="770" w:type="pct"/>
            <w:vAlign w:val="bottom"/>
          </w:tcPr>
          <w:p w14:paraId="2223376A" w14:textId="7C1B24B2" w:rsidR="00C574C0" w:rsidRPr="006D4208" w:rsidRDefault="004F0EBF" w:rsidP="005D59FA">
            <w:pPr>
              <w:jc w:val="right"/>
              <w:rPr>
                <w:rFonts w:asciiTheme="minorHAnsi" w:eastAsiaTheme="minorEastAsia" w:hAnsiTheme="minorHAnsi" w:cstheme="minorBidi"/>
                <w:sz w:val="20"/>
                <w:szCs w:val="20"/>
              </w:rPr>
            </w:pPr>
            <w:r w:rsidRPr="4D6F1627">
              <w:rPr>
                <w:rFonts w:asciiTheme="minorHAnsi" w:eastAsiaTheme="minorEastAsia" w:hAnsiTheme="minorHAnsi" w:cstheme="minorBidi"/>
                <w:sz w:val="20"/>
                <w:szCs w:val="20"/>
              </w:rPr>
              <w:t>7</w:t>
            </w:r>
            <w:r w:rsidR="00640108">
              <w:rPr>
                <w:rFonts w:asciiTheme="minorHAnsi" w:eastAsiaTheme="minorEastAsia" w:hAnsiTheme="minorHAnsi" w:cstheme="minorBidi"/>
                <w:sz w:val="20"/>
                <w:szCs w:val="20"/>
              </w:rPr>
              <w:t>48.2</w:t>
            </w:r>
          </w:p>
        </w:tc>
      </w:tr>
      <w:tr w:rsidR="00C574C0" w:rsidRPr="00A36F5C" w14:paraId="55425F6E" w14:textId="77777777" w:rsidTr="00575D6C">
        <w:tc>
          <w:tcPr>
            <w:tcW w:w="2407" w:type="pct"/>
            <w:vAlign w:val="bottom"/>
          </w:tcPr>
          <w:p w14:paraId="0E1869FE" w14:textId="77777777" w:rsidR="00C574C0" w:rsidRPr="00A36F5C" w:rsidRDefault="00C574C0" w:rsidP="005D59FA">
            <w:pPr>
              <w:rPr>
                <w:rFonts w:asciiTheme="minorHAnsi" w:eastAsiaTheme="minorEastAsia" w:hAnsiTheme="minorHAnsi" w:cstheme="minorBidi"/>
                <w:sz w:val="20"/>
                <w:szCs w:val="20"/>
              </w:rPr>
            </w:pPr>
            <w:r w:rsidRPr="7ACEA165">
              <w:rPr>
                <w:rFonts w:asciiTheme="minorHAnsi" w:eastAsiaTheme="minorEastAsia" w:hAnsiTheme="minorHAnsi" w:cstheme="minorBidi"/>
                <w:sz w:val="20"/>
                <w:szCs w:val="20"/>
              </w:rPr>
              <w:t>Personal loans</w:t>
            </w:r>
          </w:p>
        </w:tc>
        <w:tc>
          <w:tcPr>
            <w:tcW w:w="876" w:type="pct"/>
            <w:shd w:val="clear" w:color="auto" w:fill="F2F2F2" w:themeFill="background1" w:themeFillShade="F2"/>
          </w:tcPr>
          <w:p w14:paraId="59A6E0A8" w14:textId="2E87E313" w:rsidR="00C574C0" w:rsidRPr="006D4208" w:rsidRDefault="00AE7415" w:rsidP="005D59FA">
            <w:pPr>
              <w:jc w:val="right"/>
              <w:rPr>
                <w:rFonts w:asciiTheme="minorHAnsi" w:eastAsiaTheme="minorEastAsia" w:hAnsiTheme="minorHAnsi" w:cstheme="minorBidi"/>
                <w:b/>
                <w:color w:val="000000"/>
                <w:sz w:val="20"/>
                <w:szCs w:val="20"/>
              </w:rPr>
            </w:pPr>
            <w:r w:rsidRPr="7ACEA165">
              <w:rPr>
                <w:rFonts w:asciiTheme="minorHAnsi" w:eastAsiaTheme="minorEastAsia" w:hAnsiTheme="minorHAnsi" w:cstheme="minorBidi"/>
                <w:b/>
                <w:color w:val="000000" w:themeColor="text1"/>
                <w:sz w:val="20"/>
                <w:szCs w:val="20"/>
              </w:rPr>
              <w:t>67.8</w:t>
            </w:r>
          </w:p>
        </w:tc>
        <w:tc>
          <w:tcPr>
            <w:tcW w:w="948" w:type="pct"/>
          </w:tcPr>
          <w:p w14:paraId="36FD2A59" w14:textId="7543B752" w:rsidR="008B4AAE" w:rsidRPr="006D4208" w:rsidRDefault="008B4AAE" w:rsidP="005D59FA">
            <w:pPr>
              <w:jc w:val="right"/>
              <w:rPr>
                <w:rFonts w:asciiTheme="minorHAnsi" w:eastAsiaTheme="minorEastAsia" w:hAnsiTheme="minorHAnsi" w:cstheme="minorBidi"/>
                <w:color w:val="000000"/>
                <w:sz w:val="20"/>
                <w:szCs w:val="20"/>
              </w:rPr>
            </w:pPr>
            <w:r w:rsidRPr="7ACEA165">
              <w:rPr>
                <w:rFonts w:asciiTheme="minorHAnsi" w:eastAsiaTheme="minorEastAsia" w:hAnsiTheme="minorHAnsi" w:cstheme="minorBidi"/>
                <w:color w:val="000000" w:themeColor="text1"/>
                <w:sz w:val="20"/>
                <w:szCs w:val="20"/>
              </w:rPr>
              <w:t>102.4</w:t>
            </w:r>
          </w:p>
        </w:tc>
        <w:tc>
          <w:tcPr>
            <w:tcW w:w="770" w:type="pct"/>
            <w:vAlign w:val="bottom"/>
          </w:tcPr>
          <w:p w14:paraId="72056D63" w14:textId="6256CCD6" w:rsidR="00C574C0" w:rsidRPr="006D4208" w:rsidRDefault="004F0EBF" w:rsidP="005D59FA">
            <w:pPr>
              <w:jc w:val="right"/>
              <w:rPr>
                <w:rFonts w:asciiTheme="minorHAnsi" w:eastAsiaTheme="minorEastAsia" w:hAnsiTheme="minorHAnsi" w:cstheme="minorBidi"/>
                <w:sz w:val="20"/>
                <w:szCs w:val="20"/>
              </w:rPr>
            </w:pPr>
            <w:r w:rsidRPr="7ACEA165">
              <w:rPr>
                <w:rFonts w:asciiTheme="minorHAnsi" w:eastAsiaTheme="minorEastAsia" w:hAnsiTheme="minorHAnsi" w:cstheme="minorBidi"/>
                <w:color w:val="000000" w:themeColor="text1"/>
                <w:sz w:val="20"/>
                <w:szCs w:val="20"/>
              </w:rPr>
              <w:t>129.6</w:t>
            </w:r>
            <w:r w:rsidR="00C574C0" w:rsidRPr="7ACEA165">
              <w:rPr>
                <w:rFonts w:asciiTheme="minorHAnsi" w:eastAsiaTheme="minorEastAsia" w:hAnsiTheme="minorHAnsi" w:cstheme="minorBidi"/>
                <w:color w:val="000000" w:themeColor="text1"/>
                <w:sz w:val="20"/>
                <w:szCs w:val="20"/>
              </w:rPr>
              <w:t xml:space="preserve"> </w:t>
            </w:r>
          </w:p>
        </w:tc>
      </w:tr>
      <w:tr w:rsidR="00C574C0" w:rsidRPr="00A36F5C" w14:paraId="0C870285" w14:textId="77777777" w:rsidTr="00575D6C">
        <w:tc>
          <w:tcPr>
            <w:tcW w:w="2407" w:type="pct"/>
            <w:vAlign w:val="bottom"/>
          </w:tcPr>
          <w:p w14:paraId="6E53F186" w14:textId="77777777" w:rsidR="00C574C0" w:rsidRPr="00A36F5C" w:rsidRDefault="00C574C0" w:rsidP="005D59FA">
            <w:pPr>
              <w:rPr>
                <w:rFonts w:asciiTheme="minorHAnsi" w:eastAsiaTheme="minorEastAsia" w:hAnsiTheme="minorHAnsi" w:cstheme="minorBidi"/>
                <w:sz w:val="20"/>
                <w:szCs w:val="20"/>
              </w:rPr>
            </w:pPr>
            <w:r w:rsidRPr="7ACEA165">
              <w:rPr>
                <w:rFonts w:asciiTheme="minorHAnsi" w:eastAsiaTheme="minorEastAsia" w:hAnsiTheme="minorHAnsi" w:cstheme="minorBidi"/>
                <w:sz w:val="20"/>
                <w:szCs w:val="20"/>
              </w:rPr>
              <w:t>Second charge mortgages</w:t>
            </w:r>
          </w:p>
        </w:tc>
        <w:tc>
          <w:tcPr>
            <w:tcW w:w="876" w:type="pct"/>
            <w:tcBorders>
              <w:bottom w:val="single" w:sz="4" w:space="0" w:color="auto"/>
            </w:tcBorders>
            <w:shd w:val="clear" w:color="auto" w:fill="F2F2F2" w:themeFill="background1" w:themeFillShade="F2"/>
          </w:tcPr>
          <w:p w14:paraId="25659778" w14:textId="758EEC1B" w:rsidR="00C574C0" w:rsidRPr="006D4208" w:rsidRDefault="00AE7415" w:rsidP="005D59FA">
            <w:pPr>
              <w:jc w:val="right"/>
              <w:rPr>
                <w:rFonts w:asciiTheme="minorHAnsi" w:eastAsiaTheme="minorEastAsia" w:hAnsiTheme="minorHAnsi" w:cstheme="minorBidi"/>
                <w:b/>
                <w:color w:val="000000"/>
                <w:sz w:val="20"/>
                <w:szCs w:val="20"/>
              </w:rPr>
            </w:pPr>
            <w:r w:rsidRPr="7ACEA165">
              <w:rPr>
                <w:rFonts w:asciiTheme="minorHAnsi" w:eastAsiaTheme="minorEastAsia" w:hAnsiTheme="minorHAnsi" w:cstheme="minorBidi"/>
                <w:b/>
                <w:color w:val="000000" w:themeColor="text1"/>
                <w:sz w:val="20"/>
                <w:szCs w:val="20"/>
              </w:rPr>
              <w:t>3</w:t>
            </w:r>
            <w:r w:rsidR="00E72F52" w:rsidRPr="7ACEA165">
              <w:rPr>
                <w:rFonts w:asciiTheme="minorHAnsi" w:eastAsiaTheme="minorEastAsia" w:hAnsiTheme="minorHAnsi" w:cstheme="minorBidi"/>
                <w:b/>
                <w:color w:val="000000" w:themeColor="text1"/>
                <w:sz w:val="20"/>
                <w:szCs w:val="20"/>
              </w:rPr>
              <w:t>1.</w:t>
            </w:r>
            <w:r w:rsidR="006447A3">
              <w:rPr>
                <w:rFonts w:asciiTheme="minorHAnsi" w:eastAsiaTheme="minorEastAsia" w:hAnsiTheme="minorHAnsi" w:cstheme="minorBidi"/>
                <w:b/>
                <w:color w:val="000000" w:themeColor="text1"/>
                <w:sz w:val="20"/>
                <w:szCs w:val="20"/>
              </w:rPr>
              <w:t>5</w:t>
            </w:r>
          </w:p>
        </w:tc>
        <w:tc>
          <w:tcPr>
            <w:tcW w:w="948" w:type="pct"/>
            <w:tcBorders>
              <w:bottom w:val="single" w:sz="4" w:space="0" w:color="auto"/>
            </w:tcBorders>
          </w:tcPr>
          <w:p w14:paraId="0B9ACD8F" w14:textId="22477696" w:rsidR="008B4AAE" w:rsidRPr="006D4208" w:rsidRDefault="008B4AAE" w:rsidP="005D59FA">
            <w:pPr>
              <w:jc w:val="right"/>
              <w:rPr>
                <w:rFonts w:asciiTheme="minorHAnsi" w:eastAsiaTheme="minorEastAsia" w:hAnsiTheme="minorHAnsi" w:cstheme="minorBidi"/>
                <w:color w:val="000000"/>
                <w:sz w:val="20"/>
                <w:szCs w:val="20"/>
              </w:rPr>
            </w:pPr>
            <w:r w:rsidRPr="7ACEA165">
              <w:rPr>
                <w:rFonts w:asciiTheme="minorHAnsi" w:eastAsiaTheme="minorEastAsia" w:hAnsiTheme="minorHAnsi" w:cstheme="minorBidi"/>
                <w:color w:val="000000" w:themeColor="text1"/>
                <w:sz w:val="20"/>
                <w:szCs w:val="20"/>
              </w:rPr>
              <w:t>2.8</w:t>
            </w:r>
          </w:p>
        </w:tc>
        <w:tc>
          <w:tcPr>
            <w:tcW w:w="770" w:type="pct"/>
            <w:tcBorders>
              <w:bottom w:val="single" w:sz="4" w:space="0" w:color="auto"/>
            </w:tcBorders>
            <w:vAlign w:val="bottom"/>
          </w:tcPr>
          <w:p w14:paraId="45709EC0" w14:textId="4D2B2798" w:rsidR="00C574C0" w:rsidRPr="006D4208" w:rsidRDefault="007464B5" w:rsidP="005D59FA">
            <w:pPr>
              <w:jc w:val="right"/>
              <w:rPr>
                <w:rFonts w:asciiTheme="minorHAnsi" w:eastAsiaTheme="minorEastAsia" w:hAnsiTheme="minorHAnsi" w:cstheme="minorBidi"/>
                <w:color w:val="000000"/>
                <w:sz w:val="20"/>
                <w:szCs w:val="20"/>
              </w:rPr>
            </w:pPr>
            <w:r w:rsidRPr="7ACEA165">
              <w:rPr>
                <w:rFonts w:asciiTheme="minorHAnsi" w:eastAsiaTheme="minorEastAsia" w:hAnsiTheme="minorHAnsi" w:cstheme="minorBidi"/>
                <w:color w:val="000000" w:themeColor="text1"/>
                <w:sz w:val="20"/>
                <w:szCs w:val="20"/>
              </w:rPr>
              <w:t>-</w:t>
            </w:r>
          </w:p>
        </w:tc>
      </w:tr>
      <w:tr w:rsidR="00C574C0" w:rsidRPr="00A36F5C" w14:paraId="446D21D9" w14:textId="77777777" w:rsidTr="00575D6C">
        <w:tc>
          <w:tcPr>
            <w:tcW w:w="2407" w:type="pct"/>
            <w:vAlign w:val="bottom"/>
          </w:tcPr>
          <w:p w14:paraId="327868D5" w14:textId="77777777" w:rsidR="00C574C0" w:rsidRPr="00A36F5C" w:rsidRDefault="00C574C0" w:rsidP="005D59FA">
            <w:pPr>
              <w:rPr>
                <w:rFonts w:asciiTheme="minorHAnsi" w:eastAsiaTheme="minorEastAsia" w:hAnsiTheme="minorHAnsi" w:cstheme="minorBidi"/>
                <w:sz w:val="20"/>
                <w:szCs w:val="20"/>
              </w:rPr>
            </w:pPr>
            <w:r w:rsidRPr="7ACEA165">
              <w:rPr>
                <w:rFonts w:asciiTheme="minorHAnsi" w:eastAsiaTheme="minorEastAsia" w:hAnsiTheme="minorHAnsi" w:cstheme="minorBidi"/>
                <w:sz w:val="20"/>
                <w:szCs w:val="20"/>
              </w:rPr>
              <w:t>Total</w:t>
            </w:r>
          </w:p>
        </w:tc>
        <w:tc>
          <w:tcPr>
            <w:tcW w:w="876" w:type="pct"/>
            <w:tcBorders>
              <w:top w:val="single" w:sz="4" w:space="0" w:color="auto"/>
            </w:tcBorders>
            <w:shd w:val="clear" w:color="auto" w:fill="F2F2F2" w:themeFill="background1" w:themeFillShade="F2"/>
          </w:tcPr>
          <w:p w14:paraId="505A75EA" w14:textId="54D8C80C" w:rsidR="00C574C0" w:rsidRPr="006D4208" w:rsidRDefault="00052E89" w:rsidP="005D59FA">
            <w:pPr>
              <w:jc w:val="right"/>
              <w:rPr>
                <w:rFonts w:asciiTheme="minorHAnsi" w:eastAsiaTheme="minorEastAsia" w:hAnsiTheme="minorHAnsi" w:cstheme="minorBidi"/>
                <w:b/>
                <w:color w:val="000000"/>
                <w:sz w:val="20"/>
                <w:szCs w:val="20"/>
              </w:rPr>
            </w:pPr>
            <w:r w:rsidRPr="7ACEA165">
              <w:rPr>
                <w:rFonts w:asciiTheme="minorHAnsi" w:eastAsiaTheme="minorEastAsia" w:hAnsiTheme="minorHAnsi" w:cstheme="minorBidi"/>
                <w:b/>
                <w:color w:val="000000" w:themeColor="text1"/>
                <w:sz w:val="20"/>
                <w:szCs w:val="20"/>
              </w:rPr>
              <w:t>2,010.</w:t>
            </w:r>
            <w:r w:rsidR="001079BC" w:rsidRPr="7ACEA165">
              <w:rPr>
                <w:rFonts w:asciiTheme="minorHAnsi" w:eastAsiaTheme="minorEastAsia" w:hAnsiTheme="minorHAnsi" w:cstheme="minorBidi"/>
                <w:b/>
                <w:color w:val="000000" w:themeColor="text1"/>
                <w:sz w:val="20"/>
                <w:szCs w:val="20"/>
              </w:rPr>
              <w:t>4</w:t>
            </w:r>
          </w:p>
        </w:tc>
        <w:tc>
          <w:tcPr>
            <w:tcW w:w="948" w:type="pct"/>
            <w:tcBorders>
              <w:top w:val="single" w:sz="4" w:space="0" w:color="auto"/>
            </w:tcBorders>
          </w:tcPr>
          <w:p w14:paraId="54CED163" w14:textId="03954B7C" w:rsidR="008B4AAE" w:rsidRPr="006D4208" w:rsidRDefault="008B4AAE" w:rsidP="005D59FA">
            <w:pPr>
              <w:jc w:val="right"/>
              <w:rPr>
                <w:rFonts w:asciiTheme="minorHAnsi" w:eastAsiaTheme="minorEastAsia" w:hAnsiTheme="minorHAnsi" w:cstheme="minorBidi"/>
                <w:sz w:val="20"/>
                <w:szCs w:val="20"/>
              </w:rPr>
            </w:pPr>
            <w:r w:rsidRPr="7ACEA165">
              <w:rPr>
                <w:rFonts w:asciiTheme="minorHAnsi" w:eastAsiaTheme="minorEastAsia" w:hAnsiTheme="minorHAnsi" w:cstheme="minorBidi"/>
                <w:sz w:val="20"/>
                <w:szCs w:val="20"/>
              </w:rPr>
              <w:t>2,1</w:t>
            </w:r>
            <w:r w:rsidR="00F70A0A" w:rsidRPr="7ACEA165">
              <w:rPr>
                <w:rFonts w:asciiTheme="minorHAnsi" w:eastAsiaTheme="minorEastAsia" w:hAnsiTheme="minorHAnsi" w:cstheme="minorBidi"/>
                <w:sz w:val="20"/>
                <w:szCs w:val="20"/>
              </w:rPr>
              <w:t>59.0</w:t>
            </w:r>
          </w:p>
        </w:tc>
        <w:tc>
          <w:tcPr>
            <w:tcW w:w="770" w:type="pct"/>
            <w:tcBorders>
              <w:top w:val="single" w:sz="4" w:space="0" w:color="auto"/>
            </w:tcBorders>
            <w:vAlign w:val="bottom"/>
          </w:tcPr>
          <w:p w14:paraId="396A773D" w14:textId="6F4BA2E1" w:rsidR="00C574C0" w:rsidRPr="006D4208" w:rsidRDefault="007464B5" w:rsidP="005D59FA">
            <w:pPr>
              <w:jc w:val="right"/>
              <w:rPr>
                <w:rFonts w:asciiTheme="minorHAnsi" w:eastAsiaTheme="minorEastAsia" w:hAnsiTheme="minorHAnsi" w:cstheme="minorBidi"/>
                <w:sz w:val="20"/>
                <w:szCs w:val="20"/>
              </w:rPr>
            </w:pPr>
            <w:r w:rsidRPr="7ACEA165">
              <w:rPr>
                <w:rFonts w:asciiTheme="minorHAnsi" w:eastAsiaTheme="minorEastAsia" w:hAnsiTheme="minorHAnsi" w:cstheme="minorBidi"/>
                <w:sz w:val="20"/>
                <w:szCs w:val="20"/>
              </w:rPr>
              <w:t>2,</w:t>
            </w:r>
            <w:r w:rsidRPr="4D6F1627">
              <w:rPr>
                <w:rFonts w:asciiTheme="minorHAnsi" w:eastAsiaTheme="minorEastAsia" w:hAnsiTheme="minorHAnsi" w:cstheme="minorBidi"/>
                <w:sz w:val="20"/>
                <w:szCs w:val="20"/>
              </w:rPr>
              <w:t>1</w:t>
            </w:r>
            <w:r w:rsidR="00031056" w:rsidRPr="4D6F1627">
              <w:rPr>
                <w:rFonts w:asciiTheme="minorHAnsi" w:eastAsiaTheme="minorEastAsia" w:hAnsiTheme="minorHAnsi" w:cstheme="minorBidi"/>
                <w:sz w:val="20"/>
                <w:szCs w:val="20"/>
              </w:rPr>
              <w:t>0</w:t>
            </w:r>
            <w:r w:rsidR="004A1284">
              <w:rPr>
                <w:rFonts w:asciiTheme="minorHAnsi" w:eastAsiaTheme="minorEastAsia" w:hAnsiTheme="minorHAnsi" w:cstheme="minorBidi"/>
                <w:sz w:val="20"/>
                <w:szCs w:val="20"/>
              </w:rPr>
              <w:t>1</w:t>
            </w:r>
            <w:r w:rsidR="00031056" w:rsidRPr="4D6F1627">
              <w:rPr>
                <w:rFonts w:asciiTheme="minorHAnsi" w:eastAsiaTheme="minorEastAsia" w:hAnsiTheme="minorHAnsi" w:cstheme="minorBidi"/>
                <w:sz w:val="20"/>
                <w:szCs w:val="20"/>
              </w:rPr>
              <w:t>.</w:t>
            </w:r>
            <w:r w:rsidR="004A1284">
              <w:rPr>
                <w:rFonts w:asciiTheme="minorHAnsi" w:eastAsiaTheme="minorEastAsia" w:hAnsiTheme="minorHAnsi" w:cstheme="minorBidi"/>
                <w:sz w:val="20"/>
                <w:szCs w:val="20"/>
              </w:rPr>
              <w:t>7</w:t>
            </w:r>
          </w:p>
        </w:tc>
      </w:tr>
      <w:tr w:rsidR="00C574C0" w:rsidRPr="00A36F5C" w14:paraId="0F4AE2AE" w14:textId="77777777" w:rsidTr="00575D6C">
        <w:tc>
          <w:tcPr>
            <w:tcW w:w="2407" w:type="pct"/>
            <w:vAlign w:val="bottom"/>
          </w:tcPr>
          <w:p w14:paraId="29B84EA3" w14:textId="77777777" w:rsidR="00C574C0" w:rsidRPr="00A36F5C" w:rsidRDefault="00C574C0" w:rsidP="005D59FA">
            <w:pPr>
              <w:rPr>
                <w:rFonts w:asciiTheme="minorHAnsi" w:eastAsiaTheme="minorEastAsia" w:hAnsiTheme="minorHAnsi" w:cstheme="minorBidi"/>
                <w:sz w:val="20"/>
                <w:szCs w:val="20"/>
              </w:rPr>
            </w:pPr>
            <w:r w:rsidRPr="7ACEA165">
              <w:rPr>
                <w:rFonts w:asciiTheme="minorHAnsi" w:eastAsiaTheme="minorEastAsia" w:hAnsiTheme="minorHAnsi" w:cstheme="minorBidi"/>
                <w:sz w:val="20"/>
                <w:szCs w:val="20"/>
              </w:rPr>
              <w:t>Fair value adjustment for portfolio hedged risk</w:t>
            </w:r>
          </w:p>
        </w:tc>
        <w:tc>
          <w:tcPr>
            <w:tcW w:w="876" w:type="pct"/>
            <w:tcBorders>
              <w:top w:val="single" w:sz="4" w:space="0" w:color="auto"/>
              <w:bottom w:val="single" w:sz="4" w:space="0" w:color="auto"/>
            </w:tcBorders>
            <w:shd w:val="clear" w:color="auto" w:fill="F2F2F2" w:themeFill="background1" w:themeFillShade="F2"/>
          </w:tcPr>
          <w:p w14:paraId="1EAD7DA9" w14:textId="02E51619" w:rsidR="00C574C0" w:rsidRPr="006D4208" w:rsidRDefault="00C574C0" w:rsidP="005D59FA">
            <w:pPr>
              <w:jc w:val="right"/>
              <w:rPr>
                <w:rFonts w:asciiTheme="minorHAnsi" w:eastAsiaTheme="minorEastAsia" w:hAnsiTheme="minorHAnsi" w:cstheme="minorBidi"/>
                <w:b/>
                <w:color w:val="000000"/>
                <w:sz w:val="20"/>
                <w:szCs w:val="20"/>
              </w:rPr>
            </w:pPr>
            <w:r w:rsidRPr="7ACEA165">
              <w:rPr>
                <w:rFonts w:asciiTheme="minorHAnsi" w:eastAsiaTheme="minorEastAsia" w:hAnsiTheme="minorHAnsi" w:cstheme="minorBidi"/>
                <w:b/>
                <w:color w:val="000000" w:themeColor="text1"/>
                <w:sz w:val="20"/>
                <w:szCs w:val="20"/>
              </w:rPr>
              <w:t>(</w:t>
            </w:r>
            <w:r w:rsidR="00E029DF" w:rsidRPr="7ACEA165">
              <w:rPr>
                <w:rFonts w:asciiTheme="minorHAnsi" w:eastAsiaTheme="minorEastAsia" w:hAnsiTheme="minorHAnsi" w:cstheme="minorBidi"/>
                <w:b/>
                <w:color w:val="000000" w:themeColor="text1"/>
                <w:sz w:val="20"/>
                <w:szCs w:val="20"/>
              </w:rPr>
              <w:t>1.9</w:t>
            </w:r>
            <w:r w:rsidRPr="7ACEA165">
              <w:rPr>
                <w:rFonts w:asciiTheme="minorHAnsi" w:eastAsiaTheme="minorEastAsia" w:hAnsiTheme="minorHAnsi" w:cstheme="minorBidi"/>
                <w:b/>
                <w:color w:val="000000" w:themeColor="text1"/>
                <w:sz w:val="20"/>
                <w:szCs w:val="20"/>
              </w:rPr>
              <w:t>)</w:t>
            </w:r>
          </w:p>
        </w:tc>
        <w:tc>
          <w:tcPr>
            <w:tcW w:w="948" w:type="pct"/>
            <w:tcBorders>
              <w:top w:val="single" w:sz="4" w:space="0" w:color="auto"/>
              <w:bottom w:val="single" w:sz="4" w:space="0" w:color="auto"/>
            </w:tcBorders>
          </w:tcPr>
          <w:p w14:paraId="0F560161" w14:textId="31CBDBE0" w:rsidR="008B4AAE" w:rsidRPr="006D4208" w:rsidRDefault="008B4AAE" w:rsidP="005D59FA">
            <w:pPr>
              <w:jc w:val="right"/>
              <w:rPr>
                <w:rFonts w:asciiTheme="minorHAnsi" w:eastAsiaTheme="minorEastAsia" w:hAnsiTheme="minorHAnsi" w:cstheme="minorBidi"/>
                <w:color w:val="000000"/>
                <w:sz w:val="20"/>
                <w:szCs w:val="20"/>
              </w:rPr>
            </w:pPr>
            <w:r w:rsidRPr="7ACEA165">
              <w:rPr>
                <w:rFonts w:asciiTheme="minorHAnsi" w:eastAsiaTheme="minorEastAsia" w:hAnsiTheme="minorHAnsi" w:cstheme="minorBidi"/>
                <w:color w:val="000000" w:themeColor="text1"/>
                <w:sz w:val="20"/>
                <w:szCs w:val="20"/>
              </w:rPr>
              <w:t>(3.2)</w:t>
            </w:r>
          </w:p>
        </w:tc>
        <w:tc>
          <w:tcPr>
            <w:tcW w:w="770" w:type="pct"/>
            <w:tcBorders>
              <w:top w:val="single" w:sz="4" w:space="0" w:color="auto"/>
              <w:bottom w:val="single" w:sz="4" w:space="0" w:color="auto"/>
            </w:tcBorders>
            <w:vAlign w:val="bottom"/>
          </w:tcPr>
          <w:p w14:paraId="00BA89F3" w14:textId="6CFF0B00" w:rsidR="00C574C0" w:rsidRPr="006D4208" w:rsidRDefault="00C574C0" w:rsidP="005D59FA">
            <w:pPr>
              <w:jc w:val="right"/>
              <w:rPr>
                <w:rFonts w:asciiTheme="minorHAnsi" w:eastAsiaTheme="minorEastAsia" w:hAnsiTheme="minorHAnsi" w:cstheme="minorBidi"/>
                <w:sz w:val="20"/>
                <w:szCs w:val="20"/>
              </w:rPr>
            </w:pPr>
            <w:r w:rsidRPr="7ACEA165">
              <w:rPr>
                <w:rFonts w:asciiTheme="minorHAnsi" w:eastAsiaTheme="minorEastAsia" w:hAnsiTheme="minorHAnsi" w:cstheme="minorBidi"/>
                <w:color w:val="000000" w:themeColor="text1"/>
                <w:sz w:val="20"/>
                <w:szCs w:val="20"/>
              </w:rPr>
              <w:t>(</w:t>
            </w:r>
            <w:r w:rsidR="00EF4E9A" w:rsidRPr="7ACEA165">
              <w:rPr>
                <w:rFonts w:asciiTheme="minorHAnsi" w:eastAsiaTheme="minorEastAsia" w:hAnsiTheme="minorHAnsi" w:cstheme="minorBidi"/>
                <w:color w:val="000000" w:themeColor="text1"/>
                <w:sz w:val="20"/>
                <w:szCs w:val="20"/>
              </w:rPr>
              <w:t>5.3</w:t>
            </w:r>
            <w:r w:rsidRPr="7ACEA165">
              <w:rPr>
                <w:rFonts w:asciiTheme="minorHAnsi" w:eastAsiaTheme="minorEastAsia" w:hAnsiTheme="minorHAnsi" w:cstheme="minorBidi"/>
                <w:color w:val="000000" w:themeColor="text1"/>
                <w:sz w:val="20"/>
                <w:szCs w:val="20"/>
              </w:rPr>
              <w:t>)</w:t>
            </w:r>
          </w:p>
        </w:tc>
      </w:tr>
      <w:tr w:rsidR="00C574C0" w:rsidRPr="00A36F5C" w14:paraId="26E94C2E" w14:textId="77777777" w:rsidTr="00575D6C">
        <w:tc>
          <w:tcPr>
            <w:tcW w:w="2407" w:type="pct"/>
            <w:vAlign w:val="bottom"/>
          </w:tcPr>
          <w:p w14:paraId="46E6F7EA" w14:textId="77777777" w:rsidR="00C574C0" w:rsidRPr="00A36F5C" w:rsidRDefault="00C574C0" w:rsidP="005D59FA">
            <w:pPr>
              <w:rPr>
                <w:rFonts w:asciiTheme="minorHAnsi" w:eastAsiaTheme="minorEastAsia" w:hAnsiTheme="minorHAnsi" w:cstheme="minorBidi"/>
                <w:b/>
                <w:sz w:val="20"/>
                <w:szCs w:val="20"/>
              </w:rPr>
            </w:pPr>
            <w:r w:rsidRPr="7ACEA165">
              <w:rPr>
                <w:rFonts w:asciiTheme="minorHAnsi" w:eastAsiaTheme="minorEastAsia" w:hAnsiTheme="minorHAnsi" w:cstheme="minorBidi"/>
                <w:b/>
                <w:sz w:val="20"/>
                <w:szCs w:val="20"/>
              </w:rPr>
              <w:t>Total group</w:t>
            </w:r>
          </w:p>
        </w:tc>
        <w:tc>
          <w:tcPr>
            <w:tcW w:w="876" w:type="pct"/>
            <w:tcBorders>
              <w:top w:val="single" w:sz="4" w:space="0" w:color="auto"/>
              <w:left w:val="nil"/>
              <w:bottom w:val="single" w:sz="12" w:space="0" w:color="auto"/>
              <w:right w:val="nil"/>
            </w:tcBorders>
            <w:shd w:val="clear" w:color="auto" w:fill="F2F2F2" w:themeFill="background1" w:themeFillShade="F2"/>
          </w:tcPr>
          <w:p w14:paraId="25C1B506" w14:textId="141A1941" w:rsidR="00C574C0" w:rsidRPr="006D4208" w:rsidRDefault="00F24DBD" w:rsidP="005D59FA">
            <w:pPr>
              <w:jc w:val="right"/>
              <w:rPr>
                <w:rFonts w:asciiTheme="minorHAnsi" w:eastAsiaTheme="minorEastAsia" w:hAnsiTheme="minorHAnsi" w:cstheme="minorBidi"/>
                <w:b/>
                <w:sz w:val="20"/>
                <w:szCs w:val="20"/>
              </w:rPr>
            </w:pPr>
            <w:r w:rsidRPr="7ACEA165">
              <w:rPr>
                <w:rFonts w:asciiTheme="minorHAnsi" w:eastAsiaTheme="minorEastAsia" w:hAnsiTheme="minorHAnsi" w:cstheme="minorBidi"/>
                <w:b/>
                <w:sz w:val="20"/>
                <w:szCs w:val="20"/>
              </w:rPr>
              <w:t>2,008.5</w:t>
            </w:r>
          </w:p>
        </w:tc>
        <w:tc>
          <w:tcPr>
            <w:tcW w:w="948" w:type="pct"/>
            <w:tcBorders>
              <w:top w:val="single" w:sz="4" w:space="0" w:color="auto"/>
              <w:left w:val="nil"/>
              <w:bottom w:val="single" w:sz="12" w:space="0" w:color="auto"/>
              <w:right w:val="nil"/>
            </w:tcBorders>
          </w:tcPr>
          <w:p w14:paraId="5FF5B997" w14:textId="517C65F0" w:rsidR="008B4AAE" w:rsidRPr="006D4208" w:rsidRDefault="008B4AAE" w:rsidP="005D59FA">
            <w:pPr>
              <w:jc w:val="right"/>
              <w:rPr>
                <w:rFonts w:asciiTheme="minorHAnsi" w:eastAsiaTheme="minorEastAsia" w:hAnsiTheme="minorHAnsi" w:cstheme="minorBidi"/>
                <w:sz w:val="20"/>
                <w:szCs w:val="20"/>
              </w:rPr>
            </w:pPr>
            <w:r w:rsidRPr="7ACEA165">
              <w:rPr>
                <w:rFonts w:asciiTheme="minorHAnsi" w:eastAsiaTheme="minorEastAsia" w:hAnsiTheme="minorHAnsi" w:cstheme="minorBidi"/>
                <w:sz w:val="20"/>
                <w:szCs w:val="20"/>
              </w:rPr>
              <w:t>2,1</w:t>
            </w:r>
            <w:r w:rsidR="00190637" w:rsidRPr="7ACEA165">
              <w:rPr>
                <w:rFonts w:asciiTheme="minorHAnsi" w:eastAsiaTheme="minorEastAsia" w:hAnsiTheme="minorHAnsi" w:cstheme="minorBidi"/>
                <w:sz w:val="20"/>
                <w:szCs w:val="20"/>
              </w:rPr>
              <w:t>55.8</w:t>
            </w:r>
          </w:p>
        </w:tc>
        <w:tc>
          <w:tcPr>
            <w:tcW w:w="770" w:type="pct"/>
            <w:tcBorders>
              <w:top w:val="single" w:sz="4" w:space="0" w:color="auto"/>
              <w:left w:val="nil"/>
              <w:bottom w:val="single" w:sz="12" w:space="0" w:color="auto"/>
              <w:right w:val="nil"/>
            </w:tcBorders>
            <w:vAlign w:val="bottom"/>
          </w:tcPr>
          <w:p w14:paraId="134A5D48" w14:textId="68F3BDC6" w:rsidR="00C574C0" w:rsidRPr="006D4208" w:rsidRDefault="00EF4E9A" w:rsidP="005D59FA">
            <w:pPr>
              <w:jc w:val="right"/>
              <w:rPr>
                <w:rFonts w:asciiTheme="minorHAnsi" w:eastAsiaTheme="minorEastAsia" w:hAnsiTheme="minorHAnsi" w:cstheme="minorBidi"/>
                <w:sz w:val="20"/>
                <w:szCs w:val="20"/>
              </w:rPr>
            </w:pPr>
            <w:r w:rsidRPr="7ACEA165">
              <w:rPr>
                <w:rFonts w:asciiTheme="minorHAnsi" w:eastAsiaTheme="minorEastAsia" w:hAnsiTheme="minorHAnsi" w:cstheme="minorBidi"/>
                <w:sz w:val="20"/>
                <w:szCs w:val="20"/>
              </w:rPr>
              <w:t>2,</w:t>
            </w:r>
            <w:r w:rsidR="00D80F3F">
              <w:rPr>
                <w:rFonts w:asciiTheme="minorHAnsi" w:eastAsiaTheme="minorEastAsia" w:hAnsiTheme="minorHAnsi" w:cstheme="minorBidi"/>
                <w:sz w:val="20"/>
                <w:szCs w:val="20"/>
              </w:rPr>
              <w:t>096.4</w:t>
            </w:r>
          </w:p>
        </w:tc>
      </w:tr>
    </w:tbl>
    <w:p w14:paraId="6F0FF041" w14:textId="77777777" w:rsidR="004B66D2" w:rsidRDefault="004B66D2" w:rsidP="004B66D2">
      <w:pPr>
        <w:rPr>
          <w:rFonts w:asciiTheme="minorHAnsi" w:hAnsiTheme="minorHAnsi" w:cs="Arial"/>
          <w:b/>
          <w:i/>
          <w:color w:val="4747FF"/>
          <w:sz w:val="22"/>
          <w:szCs w:val="22"/>
        </w:rPr>
      </w:pPr>
      <w:r w:rsidRPr="3441915A">
        <w:rPr>
          <w:rFonts w:asciiTheme="minorHAnsi" w:hAnsiTheme="minorHAnsi" w:cs="Arial"/>
          <w:i/>
          <w:sz w:val="20"/>
          <w:szCs w:val="20"/>
          <w:vertAlign w:val="superscript"/>
        </w:rPr>
        <w:t>1</w:t>
      </w:r>
      <w:r w:rsidRPr="3441915A">
        <w:rPr>
          <w:rFonts w:asciiTheme="minorHAnsi" w:hAnsiTheme="minorHAnsi" w:cs="Arial"/>
          <w:i/>
          <w:sz w:val="20"/>
          <w:szCs w:val="20"/>
        </w:rPr>
        <w:t xml:space="preserve"> Refer to note 2 for details of restatement.</w:t>
      </w:r>
    </w:p>
    <w:p w14:paraId="1B7B9014" w14:textId="77777777" w:rsidR="00537433" w:rsidRDefault="00537433"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552E3F6A" w14:textId="21B846BE" w:rsidR="00A3021A" w:rsidRPr="00701439" w:rsidRDefault="00AA3539"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701439">
        <w:rPr>
          <w:rFonts w:asciiTheme="minorHAnsi" w:hAnsiTheme="minorHAnsi" w:cs="Arial"/>
          <w:sz w:val="20"/>
          <w:szCs w:val="20"/>
        </w:rPr>
        <w:t xml:space="preserve">The fair value adjustment for the portfolio hedge risk relates to the hedge accounting adjustment </w:t>
      </w:r>
      <w:r w:rsidR="00A27A85">
        <w:rPr>
          <w:rFonts w:asciiTheme="minorHAnsi" w:hAnsiTheme="minorHAnsi" w:cs="Arial"/>
          <w:sz w:val="20"/>
          <w:szCs w:val="20"/>
        </w:rPr>
        <w:t>on</w:t>
      </w:r>
      <w:r w:rsidRPr="00701439">
        <w:rPr>
          <w:rFonts w:asciiTheme="minorHAnsi" w:hAnsiTheme="minorHAnsi" w:cs="Arial"/>
          <w:sz w:val="20"/>
          <w:szCs w:val="20"/>
        </w:rPr>
        <w:t xml:space="preserve"> </w:t>
      </w:r>
      <w:r w:rsidR="00CB7D6A">
        <w:rPr>
          <w:rFonts w:asciiTheme="minorHAnsi" w:hAnsiTheme="minorHAnsi" w:cs="Arial"/>
          <w:sz w:val="20"/>
          <w:szCs w:val="20"/>
        </w:rPr>
        <w:t>the</w:t>
      </w:r>
      <w:r w:rsidRPr="00701439">
        <w:rPr>
          <w:rFonts w:asciiTheme="minorHAnsi" w:hAnsiTheme="minorHAnsi" w:cs="Arial"/>
          <w:sz w:val="20"/>
          <w:szCs w:val="20"/>
        </w:rPr>
        <w:t xml:space="preserve"> balance guaranteed swap.</w:t>
      </w:r>
      <w:r w:rsidR="000C27CC">
        <w:rPr>
          <w:rFonts w:asciiTheme="minorHAnsi" w:hAnsiTheme="minorHAnsi" w:cs="Arial"/>
          <w:sz w:val="20"/>
          <w:szCs w:val="20"/>
        </w:rPr>
        <w:t xml:space="preserve"> Hedge accounting was discontinued in </w:t>
      </w:r>
      <w:r w:rsidR="006633D1">
        <w:rPr>
          <w:rFonts w:asciiTheme="minorHAnsi" w:hAnsiTheme="minorHAnsi" w:cs="Arial"/>
          <w:sz w:val="20"/>
          <w:szCs w:val="20"/>
        </w:rPr>
        <w:t>2H</w:t>
      </w:r>
      <w:r w:rsidR="000C27CC">
        <w:rPr>
          <w:rFonts w:asciiTheme="minorHAnsi" w:hAnsiTheme="minorHAnsi" w:cs="Arial"/>
          <w:sz w:val="20"/>
          <w:szCs w:val="20"/>
        </w:rPr>
        <w:t xml:space="preserve">22 and the adjustment is now being amortised over the </w:t>
      </w:r>
      <w:r w:rsidR="003C590D">
        <w:rPr>
          <w:rFonts w:asciiTheme="minorHAnsi" w:hAnsiTheme="minorHAnsi" w:cs="Arial"/>
          <w:sz w:val="20"/>
          <w:szCs w:val="20"/>
        </w:rPr>
        <w:t>remaining</w:t>
      </w:r>
      <w:r w:rsidR="001F0B02">
        <w:rPr>
          <w:rFonts w:asciiTheme="minorHAnsi" w:hAnsiTheme="minorHAnsi" w:cs="Arial"/>
          <w:sz w:val="20"/>
          <w:szCs w:val="20"/>
        </w:rPr>
        <w:t xml:space="preserve"> life of the vehicle finance receivables.</w:t>
      </w:r>
    </w:p>
    <w:p w14:paraId="26CF8D97" w14:textId="77777777" w:rsidR="00102AAD" w:rsidRPr="00701439" w:rsidRDefault="00102AAD"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4116960E" w14:textId="53574968" w:rsidR="00A3021A" w:rsidRDefault="00A3021A"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bookmarkStart w:id="13" w:name="OLE_LINK3"/>
      <w:bookmarkStart w:id="14" w:name="OLE_LINK10"/>
      <w:r w:rsidRPr="00701439">
        <w:rPr>
          <w:rFonts w:asciiTheme="minorHAnsi" w:hAnsiTheme="minorHAnsi" w:cs="Arial"/>
          <w:sz w:val="20"/>
          <w:szCs w:val="20"/>
        </w:rPr>
        <w:t>An analysis of receivables by IFRS 9 stages is set out below:</w:t>
      </w:r>
    </w:p>
    <w:p w14:paraId="76FADFD0" w14:textId="77777777" w:rsidR="00152941" w:rsidRDefault="00152941"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tbl>
      <w:tblPr>
        <w:tblW w:w="5000" w:type="pct"/>
        <w:tblLook w:val="04A0" w:firstRow="1" w:lastRow="0" w:firstColumn="1" w:lastColumn="0" w:noHBand="0" w:noVBand="1"/>
      </w:tblPr>
      <w:tblGrid>
        <w:gridCol w:w="1399"/>
        <w:gridCol w:w="1398"/>
        <w:gridCol w:w="1340"/>
        <w:gridCol w:w="1398"/>
        <w:gridCol w:w="1398"/>
        <w:gridCol w:w="1398"/>
        <w:gridCol w:w="1392"/>
      </w:tblGrid>
      <w:tr w:rsidR="00075945" w14:paraId="0575E6B7" w14:textId="77777777" w:rsidTr="00075945">
        <w:trPr>
          <w:trHeight w:val="315"/>
        </w:trPr>
        <w:tc>
          <w:tcPr>
            <w:tcW w:w="719" w:type="pct"/>
            <w:tcBorders>
              <w:top w:val="nil"/>
              <w:left w:val="nil"/>
              <w:bottom w:val="nil"/>
              <w:right w:val="nil"/>
            </w:tcBorders>
            <w:shd w:val="clear" w:color="auto" w:fill="auto"/>
            <w:vAlign w:val="center"/>
            <w:hideMark/>
          </w:tcPr>
          <w:p w14:paraId="38B6AD3F" w14:textId="77777777" w:rsidR="00075945" w:rsidRDefault="00075945">
            <w:pPr>
              <w:rPr>
                <w:sz w:val="20"/>
                <w:szCs w:val="20"/>
              </w:rPr>
            </w:pPr>
          </w:p>
        </w:tc>
        <w:tc>
          <w:tcPr>
            <w:tcW w:w="719" w:type="pct"/>
            <w:tcBorders>
              <w:top w:val="nil"/>
              <w:left w:val="nil"/>
              <w:bottom w:val="nil"/>
              <w:right w:val="nil"/>
            </w:tcBorders>
            <w:shd w:val="clear" w:color="auto" w:fill="auto"/>
            <w:vAlign w:val="center"/>
            <w:hideMark/>
          </w:tcPr>
          <w:p w14:paraId="53211B09" w14:textId="77777777" w:rsidR="00075945" w:rsidRDefault="00075945">
            <w:pPr>
              <w:rPr>
                <w:sz w:val="20"/>
                <w:szCs w:val="20"/>
              </w:rPr>
            </w:pPr>
          </w:p>
        </w:tc>
        <w:tc>
          <w:tcPr>
            <w:tcW w:w="689" w:type="pct"/>
            <w:tcBorders>
              <w:top w:val="nil"/>
              <w:left w:val="nil"/>
              <w:bottom w:val="nil"/>
              <w:right w:val="nil"/>
            </w:tcBorders>
            <w:shd w:val="clear" w:color="auto" w:fill="auto"/>
            <w:noWrap/>
            <w:vAlign w:val="bottom"/>
            <w:hideMark/>
          </w:tcPr>
          <w:p w14:paraId="3816F73F" w14:textId="77777777" w:rsidR="00075945" w:rsidRDefault="00075945">
            <w:pPr>
              <w:rPr>
                <w:sz w:val="20"/>
                <w:szCs w:val="20"/>
              </w:rPr>
            </w:pPr>
          </w:p>
        </w:tc>
        <w:tc>
          <w:tcPr>
            <w:tcW w:w="2874" w:type="pct"/>
            <w:gridSpan w:val="4"/>
            <w:tcBorders>
              <w:top w:val="nil"/>
              <w:left w:val="nil"/>
              <w:bottom w:val="nil"/>
              <w:right w:val="nil"/>
            </w:tcBorders>
            <w:shd w:val="clear" w:color="000000" w:fill="F2F2F2"/>
            <w:vAlign w:val="center"/>
            <w:hideMark/>
          </w:tcPr>
          <w:p w14:paraId="6417F098" w14:textId="77777777" w:rsidR="00075945" w:rsidRDefault="00075945">
            <w:pPr>
              <w:jc w:val="center"/>
              <w:rPr>
                <w:rFonts w:ascii="Calibri" w:hAnsi="Calibri" w:cs="Calibri"/>
                <w:b/>
                <w:bCs/>
                <w:color w:val="000000"/>
                <w:sz w:val="20"/>
                <w:szCs w:val="20"/>
              </w:rPr>
            </w:pPr>
            <w:r>
              <w:rPr>
                <w:rFonts w:ascii="Calibri" w:hAnsi="Calibri" w:cs="Calibri"/>
                <w:b/>
                <w:bCs/>
                <w:color w:val="000000"/>
                <w:sz w:val="20"/>
                <w:szCs w:val="20"/>
              </w:rPr>
              <w:t>30 June 2024</w:t>
            </w:r>
          </w:p>
        </w:tc>
      </w:tr>
      <w:tr w:rsidR="00075945" w14:paraId="71688F59" w14:textId="77777777" w:rsidTr="00075945">
        <w:trPr>
          <w:trHeight w:val="300"/>
        </w:trPr>
        <w:tc>
          <w:tcPr>
            <w:tcW w:w="2126" w:type="pct"/>
            <w:gridSpan w:val="3"/>
            <w:tcBorders>
              <w:top w:val="nil"/>
              <w:left w:val="nil"/>
              <w:bottom w:val="nil"/>
              <w:right w:val="nil"/>
            </w:tcBorders>
            <w:shd w:val="clear" w:color="auto" w:fill="auto"/>
            <w:vAlign w:val="center"/>
            <w:hideMark/>
          </w:tcPr>
          <w:p w14:paraId="1720B8C0" w14:textId="77777777" w:rsidR="00075945" w:rsidRDefault="00075945">
            <w:pPr>
              <w:jc w:val="center"/>
              <w:rPr>
                <w:rFonts w:ascii="Calibri" w:hAnsi="Calibri" w:cs="Calibri"/>
                <w:b/>
                <w:bCs/>
                <w:color w:val="000000"/>
                <w:sz w:val="20"/>
                <w:szCs w:val="20"/>
              </w:rPr>
            </w:pPr>
          </w:p>
        </w:tc>
        <w:tc>
          <w:tcPr>
            <w:tcW w:w="719" w:type="pct"/>
            <w:tcBorders>
              <w:top w:val="nil"/>
              <w:left w:val="nil"/>
              <w:bottom w:val="nil"/>
              <w:right w:val="nil"/>
            </w:tcBorders>
            <w:shd w:val="clear" w:color="000000" w:fill="F2F2F2"/>
            <w:vAlign w:val="center"/>
            <w:hideMark/>
          </w:tcPr>
          <w:p w14:paraId="5D5C4F0D"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Stage 1 </w:t>
            </w:r>
          </w:p>
        </w:tc>
        <w:tc>
          <w:tcPr>
            <w:tcW w:w="719" w:type="pct"/>
            <w:tcBorders>
              <w:top w:val="nil"/>
              <w:left w:val="nil"/>
              <w:bottom w:val="nil"/>
              <w:right w:val="nil"/>
            </w:tcBorders>
            <w:shd w:val="clear" w:color="000000" w:fill="F2F2F2"/>
            <w:vAlign w:val="center"/>
            <w:hideMark/>
          </w:tcPr>
          <w:p w14:paraId="3951937E"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Stage 2  </w:t>
            </w:r>
          </w:p>
        </w:tc>
        <w:tc>
          <w:tcPr>
            <w:tcW w:w="719" w:type="pct"/>
            <w:tcBorders>
              <w:top w:val="nil"/>
              <w:left w:val="nil"/>
              <w:bottom w:val="nil"/>
              <w:right w:val="nil"/>
            </w:tcBorders>
            <w:shd w:val="clear" w:color="000000" w:fill="F2F2F2"/>
            <w:vAlign w:val="center"/>
            <w:hideMark/>
          </w:tcPr>
          <w:p w14:paraId="09942696"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Stage 3 </w:t>
            </w:r>
          </w:p>
        </w:tc>
        <w:tc>
          <w:tcPr>
            <w:tcW w:w="719" w:type="pct"/>
            <w:tcBorders>
              <w:top w:val="nil"/>
              <w:left w:val="nil"/>
              <w:bottom w:val="nil"/>
              <w:right w:val="nil"/>
            </w:tcBorders>
            <w:shd w:val="clear" w:color="000000" w:fill="F2F2F2"/>
            <w:vAlign w:val="center"/>
            <w:hideMark/>
          </w:tcPr>
          <w:p w14:paraId="13990BDB"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Total </w:t>
            </w:r>
          </w:p>
        </w:tc>
      </w:tr>
      <w:tr w:rsidR="00075945" w14:paraId="0EDA6BF8" w14:textId="77777777" w:rsidTr="00075945">
        <w:trPr>
          <w:trHeight w:val="315"/>
        </w:trPr>
        <w:tc>
          <w:tcPr>
            <w:tcW w:w="2126" w:type="pct"/>
            <w:gridSpan w:val="3"/>
            <w:tcBorders>
              <w:top w:val="nil"/>
              <w:left w:val="nil"/>
              <w:bottom w:val="nil"/>
              <w:right w:val="nil"/>
            </w:tcBorders>
            <w:shd w:val="clear" w:color="auto" w:fill="auto"/>
            <w:vAlign w:val="center"/>
            <w:hideMark/>
          </w:tcPr>
          <w:p w14:paraId="53502B6A" w14:textId="77777777" w:rsidR="00075945" w:rsidRDefault="00075945">
            <w:pPr>
              <w:jc w:val="right"/>
              <w:rPr>
                <w:rFonts w:ascii="Calibri" w:hAnsi="Calibri" w:cs="Calibri"/>
                <w:b/>
                <w:bCs/>
                <w:color w:val="000000"/>
                <w:sz w:val="20"/>
                <w:szCs w:val="20"/>
              </w:rPr>
            </w:pPr>
          </w:p>
        </w:tc>
        <w:tc>
          <w:tcPr>
            <w:tcW w:w="719" w:type="pct"/>
            <w:tcBorders>
              <w:top w:val="nil"/>
              <w:left w:val="nil"/>
              <w:bottom w:val="single" w:sz="8" w:space="0" w:color="auto"/>
              <w:right w:val="nil"/>
            </w:tcBorders>
            <w:shd w:val="clear" w:color="000000" w:fill="F2F2F2"/>
            <w:vAlign w:val="center"/>
            <w:hideMark/>
          </w:tcPr>
          <w:p w14:paraId="459E5281"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£m </w:t>
            </w:r>
          </w:p>
        </w:tc>
        <w:tc>
          <w:tcPr>
            <w:tcW w:w="719" w:type="pct"/>
            <w:tcBorders>
              <w:top w:val="nil"/>
              <w:left w:val="nil"/>
              <w:bottom w:val="single" w:sz="8" w:space="0" w:color="auto"/>
              <w:right w:val="nil"/>
            </w:tcBorders>
            <w:shd w:val="clear" w:color="000000" w:fill="F2F2F2"/>
            <w:vAlign w:val="center"/>
            <w:hideMark/>
          </w:tcPr>
          <w:p w14:paraId="65D00643"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£m  </w:t>
            </w:r>
          </w:p>
        </w:tc>
        <w:tc>
          <w:tcPr>
            <w:tcW w:w="719" w:type="pct"/>
            <w:tcBorders>
              <w:top w:val="nil"/>
              <w:left w:val="nil"/>
              <w:bottom w:val="single" w:sz="8" w:space="0" w:color="auto"/>
              <w:right w:val="nil"/>
            </w:tcBorders>
            <w:shd w:val="clear" w:color="000000" w:fill="F2F2F2"/>
            <w:vAlign w:val="center"/>
            <w:hideMark/>
          </w:tcPr>
          <w:p w14:paraId="788D2BA7"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£m </w:t>
            </w:r>
          </w:p>
        </w:tc>
        <w:tc>
          <w:tcPr>
            <w:tcW w:w="719" w:type="pct"/>
            <w:tcBorders>
              <w:top w:val="nil"/>
              <w:left w:val="nil"/>
              <w:bottom w:val="single" w:sz="8" w:space="0" w:color="auto"/>
              <w:right w:val="nil"/>
            </w:tcBorders>
            <w:shd w:val="clear" w:color="000000" w:fill="F2F2F2"/>
            <w:vAlign w:val="center"/>
            <w:hideMark/>
          </w:tcPr>
          <w:p w14:paraId="5AD09469"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£m </w:t>
            </w:r>
          </w:p>
        </w:tc>
      </w:tr>
      <w:tr w:rsidR="00075945" w14:paraId="7EEF0720" w14:textId="77777777" w:rsidTr="00075945">
        <w:trPr>
          <w:trHeight w:val="300"/>
        </w:trPr>
        <w:tc>
          <w:tcPr>
            <w:tcW w:w="2126" w:type="pct"/>
            <w:gridSpan w:val="3"/>
            <w:tcBorders>
              <w:top w:val="nil"/>
              <w:left w:val="nil"/>
              <w:bottom w:val="nil"/>
              <w:right w:val="nil"/>
            </w:tcBorders>
            <w:shd w:val="clear" w:color="auto" w:fill="auto"/>
            <w:vAlign w:val="center"/>
            <w:hideMark/>
          </w:tcPr>
          <w:p w14:paraId="6C6CCB2E" w14:textId="77777777" w:rsidR="00075945" w:rsidRDefault="00075945">
            <w:pPr>
              <w:rPr>
                <w:rFonts w:ascii="Calibri" w:hAnsi="Calibri" w:cs="Calibri"/>
                <w:b/>
                <w:bCs/>
                <w:color w:val="000000"/>
                <w:sz w:val="20"/>
                <w:szCs w:val="20"/>
              </w:rPr>
            </w:pPr>
            <w:r>
              <w:rPr>
                <w:rFonts w:ascii="Calibri" w:hAnsi="Calibri" w:cs="Calibri"/>
                <w:b/>
                <w:bCs/>
                <w:color w:val="000000"/>
                <w:sz w:val="20"/>
                <w:szCs w:val="20"/>
              </w:rPr>
              <w:t>Gross receivables</w:t>
            </w:r>
          </w:p>
        </w:tc>
        <w:tc>
          <w:tcPr>
            <w:tcW w:w="719" w:type="pct"/>
            <w:tcBorders>
              <w:top w:val="nil"/>
              <w:left w:val="nil"/>
              <w:bottom w:val="nil"/>
              <w:right w:val="nil"/>
            </w:tcBorders>
            <w:shd w:val="clear" w:color="000000" w:fill="F2F2F2"/>
            <w:vAlign w:val="center"/>
            <w:hideMark/>
          </w:tcPr>
          <w:p w14:paraId="24BB857F"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 </w:t>
            </w:r>
          </w:p>
        </w:tc>
        <w:tc>
          <w:tcPr>
            <w:tcW w:w="719" w:type="pct"/>
            <w:tcBorders>
              <w:top w:val="nil"/>
              <w:left w:val="nil"/>
              <w:bottom w:val="nil"/>
              <w:right w:val="nil"/>
            </w:tcBorders>
            <w:shd w:val="clear" w:color="000000" w:fill="F2F2F2"/>
            <w:vAlign w:val="center"/>
            <w:hideMark/>
          </w:tcPr>
          <w:p w14:paraId="48FD0E43"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 </w:t>
            </w:r>
          </w:p>
        </w:tc>
        <w:tc>
          <w:tcPr>
            <w:tcW w:w="719" w:type="pct"/>
            <w:tcBorders>
              <w:top w:val="nil"/>
              <w:left w:val="nil"/>
              <w:bottom w:val="nil"/>
              <w:right w:val="nil"/>
            </w:tcBorders>
            <w:shd w:val="clear" w:color="000000" w:fill="F2F2F2"/>
            <w:vAlign w:val="center"/>
            <w:hideMark/>
          </w:tcPr>
          <w:p w14:paraId="2F18F1DD"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 </w:t>
            </w:r>
          </w:p>
        </w:tc>
        <w:tc>
          <w:tcPr>
            <w:tcW w:w="719" w:type="pct"/>
            <w:tcBorders>
              <w:top w:val="nil"/>
              <w:left w:val="nil"/>
              <w:bottom w:val="nil"/>
              <w:right w:val="nil"/>
            </w:tcBorders>
            <w:shd w:val="clear" w:color="000000" w:fill="F2F2F2"/>
            <w:vAlign w:val="center"/>
            <w:hideMark/>
          </w:tcPr>
          <w:p w14:paraId="6B0376BC"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 </w:t>
            </w:r>
          </w:p>
        </w:tc>
      </w:tr>
      <w:tr w:rsidR="00075945" w14:paraId="0F87843A" w14:textId="77777777" w:rsidTr="00075945">
        <w:trPr>
          <w:trHeight w:val="300"/>
        </w:trPr>
        <w:tc>
          <w:tcPr>
            <w:tcW w:w="2126" w:type="pct"/>
            <w:gridSpan w:val="3"/>
            <w:tcBorders>
              <w:top w:val="nil"/>
              <w:left w:val="nil"/>
              <w:bottom w:val="nil"/>
              <w:right w:val="nil"/>
            </w:tcBorders>
            <w:shd w:val="clear" w:color="auto" w:fill="auto"/>
            <w:vAlign w:val="center"/>
            <w:hideMark/>
          </w:tcPr>
          <w:p w14:paraId="32F14824" w14:textId="77777777" w:rsidR="00075945" w:rsidRDefault="00075945">
            <w:pPr>
              <w:rPr>
                <w:rFonts w:ascii="Calibri" w:hAnsi="Calibri" w:cs="Calibri"/>
                <w:color w:val="000000"/>
                <w:sz w:val="20"/>
                <w:szCs w:val="20"/>
              </w:rPr>
            </w:pPr>
            <w:r>
              <w:rPr>
                <w:rFonts w:ascii="Calibri" w:hAnsi="Calibri" w:cs="Calibri"/>
                <w:color w:val="000000"/>
                <w:sz w:val="20"/>
                <w:szCs w:val="20"/>
              </w:rPr>
              <w:t>Credit cards</w:t>
            </w:r>
          </w:p>
        </w:tc>
        <w:tc>
          <w:tcPr>
            <w:tcW w:w="719" w:type="pct"/>
            <w:tcBorders>
              <w:top w:val="nil"/>
              <w:left w:val="nil"/>
              <w:bottom w:val="nil"/>
              <w:right w:val="nil"/>
            </w:tcBorders>
            <w:shd w:val="clear" w:color="000000" w:fill="F2F2F2"/>
            <w:vAlign w:val="center"/>
            <w:hideMark/>
          </w:tcPr>
          <w:p w14:paraId="6D696E1C"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1,115.8</w:t>
            </w:r>
          </w:p>
        </w:tc>
        <w:tc>
          <w:tcPr>
            <w:tcW w:w="719" w:type="pct"/>
            <w:tcBorders>
              <w:top w:val="nil"/>
              <w:left w:val="nil"/>
              <w:bottom w:val="nil"/>
              <w:right w:val="nil"/>
            </w:tcBorders>
            <w:shd w:val="clear" w:color="000000" w:fill="F2F2F2"/>
            <w:vAlign w:val="center"/>
            <w:hideMark/>
          </w:tcPr>
          <w:p w14:paraId="00B20AA2"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122.0</w:t>
            </w:r>
          </w:p>
        </w:tc>
        <w:tc>
          <w:tcPr>
            <w:tcW w:w="719" w:type="pct"/>
            <w:tcBorders>
              <w:top w:val="nil"/>
              <w:left w:val="nil"/>
              <w:bottom w:val="nil"/>
              <w:right w:val="nil"/>
            </w:tcBorders>
            <w:shd w:val="clear" w:color="000000" w:fill="F2F2F2"/>
            <w:vAlign w:val="center"/>
            <w:hideMark/>
          </w:tcPr>
          <w:p w14:paraId="494E900A"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95.2</w:t>
            </w:r>
          </w:p>
        </w:tc>
        <w:tc>
          <w:tcPr>
            <w:tcW w:w="719" w:type="pct"/>
            <w:tcBorders>
              <w:top w:val="nil"/>
              <w:left w:val="nil"/>
              <w:bottom w:val="nil"/>
              <w:right w:val="nil"/>
            </w:tcBorders>
            <w:shd w:val="clear" w:color="000000" w:fill="F2F2F2"/>
            <w:vAlign w:val="center"/>
            <w:hideMark/>
          </w:tcPr>
          <w:p w14:paraId="65F8A965"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1,333.0</w:t>
            </w:r>
          </w:p>
        </w:tc>
      </w:tr>
      <w:tr w:rsidR="00075945" w14:paraId="5579961D" w14:textId="77777777" w:rsidTr="00075945">
        <w:trPr>
          <w:trHeight w:val="300"/>
        </w:trPr>
        <w:tc>
          <w:tcPr>
            <w:tcW w:w="2126" w:type="pct"/>
            <w:gridSpan w:val="3"/>
            <w:tcBorders>
              <w:top w:val="nil"/>
              <w:left w:val="nil"/>
              <w:bottom w:val="nil"/>
              <w:right w:val="nil"/>
            </w:tcBorders>
            <w:shd w:val="clear" w:color="auto" w:fill="auto"/>
            <w:vAlign w:val="center"/>
            <w:hideMark/>
          </w:tcPr>
          <w:p w14:paraId="5CE85433" w14:textId="77777777" w:rsidR="00075945" w:rsidRDefault="00075945">
            <w:pPr>
              <w:rPr>
                <w:rFonts w:ascii="Calibri" w:hAnsi="Calibri" w:cs="Calibri"/>
                <w:color w:val="000000"/>
                <w:sz w:val="20"/>
                <w:szCs w:val="20"/>
              </w:rPr>
            </w:pPr>
            <w:r>
              <w:rPr>
                <w:rFonts w:ascii="Calibri" w:hAnsi="Calibri" w:cs="Calibri"/>
                <w:color w:val="000000"/>
                <w:sz w:val="20"/>
                <w:szCs w:val="20"/>
              </w:rPr>
              <w:t>Vehicle finance</w:t>
            </w:r>
          </w:p>
        </w:tc>
        <w:tc>
          <w:tcPr>
            <w:tcW w:w="719" w:type="pct"/>
            <w:tcBorders>
              <w:top w:val="nil"/>
              <w:left w:val="nil"/>
              <w:bottom w:val="nil"/>
              <w:right w:val="nil"/>
            </w:tcBorders>
            <w:shd w:val="clear" w:color="000000" w:fill="F2F2F2"/>
            <w:vAlign w:val="center"/>
            <w:hideMark/>
          </w:tcPr>
          <w:p w14:paraId="57F30C08"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608.6</w:t>
            </w:r>
          </w:p>
        </w:tc>
        <w:tc>
          <w:tcPr>
            <w:tcW w:w="719" w:type="pct"/>
            <w:tcBorders>
              <w:top w:val="nil"/>
              <w:left w:val="nil"/>
              <w:bottom w:val="nil"/>
              <w:right w:val="nil"/>
            </w:tcBorders>
            <w:shd w:val="clear" w:color="000000" w:fill="F2F2F2"/>
            <w:vAlign w:val="center"/>
            <w:hideMark/>
          </w:tcPr>
          <w:p w14:paraId="22217124"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122.8</w:t>
            </w:r>
          </w:p>
        </w:tc>
        <w:tc>
          <w:tcPr>
            <w:tcW w:w="719" w:type="pct"/>
            <w:tcBorders>
              <w:top w:val="nil"/>
              <w:left w:val="nil"/>
              <w:bottom w:val="nil"/>
              <w:right w:val="nil"/>
            </w:tcBorders>
            <w:shd w:val="clear" w:color="000000" w:fill="F2F2F2"/>
            <w:vAlign w:val="center"/>
            <w:hideMark/>
          </w:tcPr>
          <w:p w14:paraId="77FE2A92"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189.5</w:t>
            </w:r>
          </w:p>
        </w:tc>
        <w:tc>
          <w:tcPr>
            <w:tcW w:w="719" w:type="pct"/>
            <w:tcBorders>
              <w:top w:val="nil"/>
              <w:left w:val="nil"/>
              <w:bottom w:val="nil"/>
              <w:right w:val="nil"/>
            </w:tcBorders>
            <w:shd w:val="clear" w:color="000000" w:fill="F2F2F2"/>
            <w:vAlign w:val="center"/>
            <w:hideMark/>
          </w:tcPr>
          <w:p w14:paraId="6CB42197"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920.9</w:t>
            </w:r>
          </w:p>
        </w:tc>
      </w:tr>
      <w:tr w:rsidR="00075945" w14:paraId="38B95A3F" w14:textId="77777777" w:rsidTr="00075945">
        <w:trPr>
          <w:trHeight w:val="300"/>
        </w:trPr>
        <w:tc>
          <w:tcPr>
            <w:tcW w:w="2126" w:type="pct"/>
            <w:gridSpan w:val="3"/>
            <w:tcBorders>
              <w:top w:val="nil"/>
              <w:left w:val="nil"/>
              <w:bottom w:val="nil"/>
              <w:right w:val="nil"/>
            </w:tcBorders>
            <w:shd w:val="clear" w:color="auto" w:fill="auto"/>
            <w:vAlign w:val="center"/>
            <w:hideMark/>
          </w:tcPr>
          <w:p w14:paraId="3480C4E8" w14:textId="77777777" w:rsidR="00075945" w:rsidRDefault="00075945">
            <w:pPr>
              <w:rPr>
                <w:rFonts w:ascii="Calibri" w:hAnsi="Calibri" w:cs="Calibri"/>
                <w:color w:val="000000"/>
                <w:sz w:val="20"/>
                <w:szCs w:val="20"/>
              </w:rPr>
            </w:pPr>
            <w:r>
              <w:rPr>
                <w:rFonts w:ascii="Calibri" w:hAnsi="Calibri" w:cs="Calibri"/>
                <w:color w:val="000000"/>
                <w:sz w:val="20"/>
                <w:szCs w:val="20"/>
              </w:rPr>
              <w:t>Personal loans</w:t>
            </w:r>
          </w:p>
        </w:tc>
        <w:tc>
          <w:tcPr>
            <w:tcW w:w="719" w:type="pct"/>
            <w:tcBorders>
              <w:top w:val="nil"/>
              <w:left w:val="nil"/>
              <w:bottom w:val="nil"/>
              <w:right w:val="nil"/>
            </w:tcBorders>
            <w:shd w:val="clear" w:color="000000" w:fill="F2F2F2"/>
            <w:vAlign w:val="center"/>
            <w:hideMark/>
          </w:tcPr>
          <w:p w14:paraId="4B0EC11C"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68.8</w:t>
            </w:r>
          </w:p>
        </w:tc>
        <w:tc>
          <w:tcPr>
            <w:tcW w:w="719" w:type="pct"/>
            <w:tcBorders>
              <w:top w:val="nil"/>
              <w:left w:val="nil"/>
              <w:bottom w:val="nil"/>
              <w:right w:val="nil"/>
            </w:tcBorders>
            <w:shd w:val="clear" w:color="000000" w:fill="F2F2F2"/>
            <w:vAlign w:val="center"/>
            <w:hideMark/>
          </w:tcPr>
          <w:p w14:paraId="10133E4B"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4.0</w:t>
            </w:r>
          </w:p>
        </w:tc>
        <w:tc>
          <w:tcPr>
            <w:tcW w:w="719" w:type="pct"/>
            <w:tcBorders>
              <w:top w:val="nil"/>
              <w:left w:val="nil"/>
              <w:bottom w:val="nil"/>
              <w:right w:val="nil"/>
            </w:tcBorders>
            <w:shd w:val="clear" w:color="000000" w:fill="F2F2F2"/>
            <w:vAlign w:val="center"/>
            <w:hideMark/>
          </w:tcPr>
          <w:p w14:paraId="4D498508"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4.9</w:t>
            </w:r>
          </w:p>
        </w:tc>
        <w:tc>
          <w:tcPr>
            <w:tcW w:w="719" w:type="pct"/>
            <w:tcBorders>
              <w:top w:val="nil"/>
              <w:left w:val="nil"/>
              <w:bottom w:val="nil"/>
              <w:right w:val="nil"/>
            </w:tcBorders>
            <w:shd w:val="clear" w:color="000000" w:fill="F2F2F2"/>
            <w:vAlign w:val="center"/>
            <w:hideMark/>
          </w:tcPr>
          <w:p w14:paraId="1881702E"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77.7</w:t>
            </w:r>
          </w:p>
        </w:tc>
      </w:tr>
      <w:tr w:rsidR="00075945" w14:paraId="600AFA28" w14:textId="77777777" w:rsidTr="00075945">
        <w:trPr>
          <w:trHeight w:val="315"/>
        </w:trPr>
        <w:tc>
          <w:tcPr>
            <w:tcW w:w="2126" w:type="pct"/>
            <w:gridSpan w:val="3"/>
            <w:tcBorders>
              <w:top w:val="nil"/>
              <w:left w:val="nil"/>
              <w:bottom w:val="nil"/>
              <w:right w:val="nil"/>
            </w:tcBorders>
            <w:shd w:val="clear" w:color="auto" w:fill="auto"/>
            <w:vAlign w:val="center"/>
            <w:hideMark/>
          </w:tcPr>
          <w:p w14:paraId="39C7EBF1" w14:textId="77777777" w:rsidR="00075945" w:rsidRDefault="00075945">
            <w:pPr>
              <w:rPr>
                <w:rFonts w:ascii="Calibri" w:hAnsi="Calibri" w:cs="Calibri"/>
                <w:color w:val="000000"/>
                <w:sz w:val="20"/>
                <w:szCs w:val="20"/>
              </w:rPr>
            </w:pPr>
            <w:r>
              <w:rPr>
                <w:rFonts w:ascii="Calibri" w:hAnsi="Calibri" w:cs="Calibri"/>
                <w:color w:val="000000"/>
                <w:sz w:val="20"/>
                <w:szCs w:val="20"/>
              </w:rPr>
              <w:t>Second charge mortgages</w:t>
            </w:r>
          </w:p>
        </w:tc>
        <w:tc>
          <w:tcPr>
            <w:tcW w:w="719" w:type="pct"/>
            <w:tcBorders>
              <w:top w:val="nil"/>
              <w:left w:val="nil"/>
              <w:bottom w:val="nil"/>
              <w:right w:val="nil"/>
            </w:tcBorders>
            <w:shd w:val="clear" w:color="000000" w:fill="F2F2F2"/>
            <w:vAlign w:val="center"/>
            <w:hideMark/>
          </w:tcPr>
          <w:p w14:paraId="45B35A36"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31.5</w:t>
            </w:r>
          </w:p>
        </w:tc>
        <w:tc>
          <w:tcPr>
            <w:tcW w:w="719" w:type="pct"/>
            <w:tcBorders>
              <w:top w:val="nil"/>
              <w:left w:val="nil"/>
              <w:bottom w:val="nil"/>
              <w:right w:val="nil"/>
            </w:tcBorders>
            <w:shd w:val="clear" w:color="000000" w:fill="F2F2F2"/>
            <w:vAlign w:val="center"/>
            <w:hideMark/>
          </w:tcPr>
          <w:p w14:paraId="0C98A568"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w:t>
            </w:r>
          </w:p>
        </w:tc>
        <w:tc>
          <w:tcPr>
            <w:tcW w:w="719" w:type="pct"/>
            <w:tcBorders>
              <w:top w:val="nil"/>
              <w:left w:val="nil"/>
              <w:bottom w:val="nil"/>
              <w:right w:val="nil"/>
            </w:tcBorders>
            <w:shd w:val="clear" w:color="000000" w:fill="F2F2F2"/>
            <w:vAlign w:val="center"/>
            <w:hideMark/>
          </w:tcPr>
          <w:p w14:paraId="570E4DD0"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w:t>
            </w:r>
          </w:p>
        </w:tc>
        <w:tc>
          <w:tcPr>
            <w:tcW w:w="719" w:type="pct"/>
            <w:tcBorders>
              <w:top w:val="nil"/>
              <w:left w:val="nil"/>
              <w:bottom w:val="nil"/>
              <w:right w:val="nil"/>
            </w:tcBorders>
            <w:shd w:val="clear" w:color="000000" w:fill="F2F2F2"/>
            <w:vAlign w:val="center"/>
            <w:hideMark/>
          </w:tcPr>
          <w:p w14:paraId="5ACC05E5"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31.5</w:t>
            </w:r>
          </w:p>
        </w:tc>
      </w:tr>
      <w:tr w:rsidR="00075945" w14:paraId="44CD612A" w14:textId="77777777" w:rsidTr="00075945">
        <w:trPr>
          <w:trHeight w:val="315"/>
        </w:trPr>
        <w:tc>
          <w:tcPr>
            <w:tcW w:w="2126" w:type="pct"/>
            <w:gridSpan w:val="3"/>
            <w:tcBorders>
              <w:top w:val="nil"/>
              <w:left w:val="nil"/>
              <w:bottom w:val="nil"/>
              <w:right w:val="nil"/>
            </w:tcBorders>
            <w:shd w:val="clear" w:color="auto" w:fill="auto"/>
            <w:vAlign w:val="center"/>
            <w:hideMark/>
          </w:tcPr>
          <w:p w14:paraId="202BB3D0" w14:textId="77777777" w:rsidR="00075945" w:rsidRDefault="00075945">
            <w:pPr>
              <w:rPr>
                <w:rFonts w:ascii="Calibri" w:hAnsi="Calibri" w:cs="Calibri"/>
                <w:b/>
                <w:bCs/>
                <w:color w:val="000000"/>
                <w:sz w:val="20"/>
                <w:szCs w:val="20"/>
              </w:rPr>
            </w:pPr>
            <w:r>
              <w:rPr>
                <w:rFonts w:ascii="Calibri" w:hAnsi="Calibri" w:cs="Calibri"/>
                <w:b/>
                <w:bCs/>
                <w:color w:val="000000"/>
                <w:sz w:val="20"/>
                <w:szCs w:val="20"/>
              </w:rPr>
              <w:t>Total group</w:t>
            </w:r>
          </w:p>
        </w:tc>
        <w:tc>
          <w:tcPr>
            <w:tcW w:w="719" w:type="pct"/>
            <w:tcBorders>
              <w:top w:val="single" w:sz="8" w:space="0" w:color="auto"/>
              <w:left w:val="nil"/>
              <w:bottom w:val="single" w:sz="8" w:space="0" w:color="auto"/>
              <w:right w:val="nil"/>
            </w:tcBorders>
            <w:shd w:val="clear" w:color="000000" w:fill="F2F2F2"/>
            <w:vAlign w:val="center"/>
            <w:hideMark/>
          </w:tcPr>
          <w:p w14:paraId="479DFFE3"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1,824.7</w:t>
            </w:r>
          </w:p>
        </w:tc>
        <w:tc>
          <w:tcPr>
            <w:tcW w:w="719" w:type="pct"/>
            <w:tcBorders>
              <w:top w:val="single" w:sz="8" w:space="0" w:color="auto"/>
              <w:left w:val="nil"/>
              <w:bottom w:val="single" w:sz="8" w:space="0" w:color="auto"/>
              <w:right w:val="nil"/>
            </w:tcBorders>
            <w:shd w:val="clear" w:color="000000" w:fill="F2F2F2"/>
            <w:vAlign w:val="center"/>
            <w:hideMark/>
          </w:tcPr>
          <w:p w14:paraId="136E92B1"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248.8</w:t>
            </w:r>
          </w:p>
        </w:tc>
        <w:tc>
          <w:tcPr>
            <w:tcW w:w="719" w:type="pct"/>
            <w:tcBorders>
              <w:top w:val="single" w:sz="8" w:space="0" w:color="auto"/>
              <w:left w:val="nil"/>
              <w:bottom w:val="single" w:sz="8" w:space="0" w:color="auto"/>
              <w:right w:val="nil"/>
            </w:tcBorders>
            <w:shd w:val="clear" w:color="000000" w:fill="F2F2F2"/>
            <w:vAlign w:val="center"/>
            <w:hideMark/>
          </w:tcPr>
          <w:p w14:paraId="13FE4102"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289.6</w:t>
            </w:r>
          </w:p>
        </w:tc>
        <w:tc>
          <w:tcPr>
            <w:tcW w:w="719" w:type="pct"/>
            <w:tcBorders>
              <w:top w:val="single" w:sz="8" w:space="0" w:color="auto"/>
              <w:left w:val="nil"/>
              <w:bottom w:val="single" w:sz="8" w:space="0" w:color="auto"/>
              <w:right w:val="nil"/>
            </w:tcBorders>
            <w:shd w:val="clear" w:color="000000" w:fill="F2F2F2"/>
            <w:vAlign w:val="center"/>
            <w:hideMark/>
          </w:tcPr>
          <w:p w14:paraId="1C109FC1"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2,363.1</w:t>
            </w:r>
          </w:p>
        </w:tc>
      </w:tr>
      <w:tr w:rsidR="00075945" w14:paraId="2DE5160F" w14:textId="77777777" w:rsidTr="00075945">
        <w:trPr>
          <w:trHeight w:val="300"/>
        </w:trPr>
        <w:tc>
          <w:tcPr>
            <w:tcW w:w="2126" w:type="pct"/>
            <w:gridSpan w:val="3"/>
            <w:tcBorders>
              <w:top w:val="nil"/>
              <w:left w:val="nil"/>
              <w:bottom w:val="nil"/>
              <w:right w:val="nil"/>
            </w:tcBorders>
            <w:shd w:val="clear" w:color="auto" w:fill="auto"/>
            <w:vAlign w:val="center"/>
            <w:hideMark/>
          </w:tcPr>
          <w:p w14:paraId="16156EFD" w14:textId="77777777" w:rsidR="00075945" w:rsidRDefault="00075945">
            <w:pPr>
              <w:jc w:val="right"/>
              <w:rPr>
                <w:rFonts w:ascii="Calibri" w:hAnsi="Calibri" w:cs="Calibri"/>
                <w:b/>
                <w:bCs/>
                <w:color w:val="000000"/>
                <w:sz w:val="20"/>
                <w:szCs w:val="20"/>
              </w:rPr>
            </w:pPr>
          </w:p>
        </w:tc>
        <w:tc>
          <w:tcPr>
            <w:tcW w:w="719" w:type="pct"/>
            <w:tcBorders>
              <w:top w:val="nil"/>
              <w:left w:val="nil"/>
              <w:bottom w:val="nil"/>
              <w:right w:val="nil"/>
            </w:tcBorders>
            <w:shd w:val="clear" w:color="000000" w:fill="F2F2F2"/>
            <w:vAlign w:val="center"/>
            <w:hideMark/>
          </w:tcPr>
          <w:p w14:paraId="4F4F9482"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 </w:t>
            </w:r>
          </w:p>
        </w:tc>
        <w:tc>
          <w:tcPr>
            <w:tcW w:w="719" w:type="pct"/>
            <w:tcBorders>
              <w:top w:val="nil"/>
              <w:left w:val="nil"/>
              <w:bottom w:val="nil"/>
              <w:right w:val="nil"/>
            </w:tcBorders>
            <w:shd w:val="clear" w:color="000000" w:fill="F2F2F2"/>
            <w:vAlign w:val="center"/>
            <w:hideMark/>
          </w:tcPr>
          <w:p w14:paraId="3B012CB3"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 </w:t>
            </w:r>
          </w:p>
        </w:tc>
        <w:tc>
          <w:tcPr>
            <w:tcW w:w="719" w:type="pct"/>
            <w:tcBorders>
              <w:top w:val="nil"/>
              <w:left w:val="nil"/>
              <w:bottom w:val="nil"/>
              <w:right w:val="nil"/>
            </w:tcBorders>
            <w:shd w:val="clear" w:color="000000" w:fill="F2F2F2"/>
            <w:vAlign w:val="center"/>
            <w:hideMark/>
          </w:tcPr>
          <w:p w14:paraId="371C90F7"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 </w:t>
            </w:r>
          </w:p>
        </w:tc>
        <w:tc>
          <w:tcPr>
            <w:tcW w:w="719" w:type="pct"/>
            <w:tcBorders>
              <w:top w:val="nil"/>
              <w:left w:val="nil"/>
              <w:bottom w:val="nil"/>
              <w:right w:val="nil"/>
            </w:tcBorders>
            <w:shd w:val="clear" w:color="000000" w:fill="F2F2F2"/>
            <w:vAlign w:val="center"/>
            <w:hideMark/>
          </w:tcPr>
          <w:p w14:paraId="5DF22793"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 </w:t>
            </w:r>
          </w:p>
        </w:tc>
      </w:tr>
      <w:tr w:rsidR="00075945" w14:paraId="00F7EE8A" w14:textId="77777777" w:rsidTr="00075945">
        <w:trPr>
          <w:trHeight w:val="300"/>
        </w:trPr>
        <w:tc>
          <w:tcPr>
            <w:tcW w:w="2126" w:type="pct"/>
            <w:gridSpan w:val="3"/>
            <w:tcBorders>
              <w:top w:val="nil"/>
              <w:left w:val="nil"/>
              <w:bottom w:val="nil"/>
              <w:right w:val="nil"/>
            </w:tcBorders>
            <w:shd w:val="clear" w:color="auto" w:fill="auto"/>
            <w:vAlign w:val="center"/>
            <w:hideMark/>
          </w:tcPr>
          <w:p w14:paraId="488C0741" w14:textId="77777777" w:rsidR="00075945" w:rsidRDefault="00075945">
            <w:pPr>
              <w:rPr>
                <w:rFonts w:ascii="Calibri" w:hAnsi="Calibri" w:cs="Calibri"/>
                <w:b/>
                <w:bCs/>
                <w:color w:val="000000"/>
                <w:sz w:val="20"/>
                <w:szCs w:val="20"/>
              </w:rPr>
            </w:pPr>
            <w:r>
              <w:rPr>
                <w:rFonts w:ascii="Calibri" w:hAnsi="Calibri" w:cs="Calibri"/>
                <w:b/>
                <w:bCs/>
                <w:color w:val="000000"/>
                <w:sz w:val="20"/>
                <w:szCs w:val="20"/>
              </w:rPr>
              <w:t>Allowance account</w:t>
            </w:r>
          </w:p>
        </w:tc>
        <w:tc>
          <w:tcPr>
            <w:tcW w:w="719" w:type="pct"/>
            <w:tcBorders>
              <w:top w:val="nil"/>
              <w:left w:val="nil"/>
              <w:bottom w:val="nil"/>
              <w:right w:val="nil"/>
            </w:tcBorders>
            <w:shd w:val="clear" w:color="000000" w:fill="F2F2F2"/>
            <w:vAlign w:val="center"/>
            <w:hideMark/>
          </w:tcPr>
          <w:p w14:paraId="3EFF1F3B"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 </w:t>
            </w:r>
          </w:p>
        </w:tc>
        <w:tc>
          <w:tcPr>
            <w:tcW w:w="719" w:type="pct"/>
            <w:tcBorders>
              <w:top w:val="nil"/>
              <w:left w:val="nil"/>
              <w:bottom w:val="nil"/>
              <w:right w:val="nil"/>
            </w:tcBorders>
            <w:shd w:val="clear" w:color="000000" w:fill="F2F2F2"/>
            <w:vAlign w:val="center"/>
            <w:hideMark/>
          </w:tcPr>
          <w:p w14:paraId="5C5DF35F"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 </w:t>
            </w:r>
          </w:p>
        </w:tc>
        <w:tc>
          <w:tcPr>
            <w:tcW w:w="719" w:type="pct"/>
            <w:tcBorders>
              <w:top w:val="nil"/>
              <w:left w:val="nil"/>
              <w:bottom w:val="nil"/>
              <w:right w:val="nil"/>
            </w:tcBorders>
            <w:shd w:val="clear" w:color="000000" w:fill="F2F2F2"/>
            <w:vAlign w:val="center"/>
            <w:hideMark/>
          </w:tcPr>
          <w:p w14:paraId="1B4E74A8"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 </w:t>
            </w:r>
          </w:p>
        </w:tc>
        <w:tc>
          <w:tcPr>
            <w:tcW w:w="719" w:type="pct"/>
            <w:tcBorders>
              <w:top w:val="nil"/>
              <w:left w:val="nil"/>
              <w:bottom w:val="nil"/>
              <w:right w:val="nil"/>
            </w:tcBorders>
            <w:shd w:val="clear" w:color="000000" w:fill="F2F2F2"/>
            <w:vAlign w:val="center"/>
            <w:hideMark/>
          </w:tcPr>
          <w:p w14:paraId="2BDE0F26"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 </w:t>
            </w:r>
          </w:p>
        </w:tc>
      </w:tr>
      <w:tr w:rsidR="00075945" w14:paraId="24DB640C" w14:textId="77777777" w:rsidTr="00075945">
        <w:trPr>
          <w:trHeight w:val="300"/>
        </w:trPr>
        <w:tc>
          <w:tcPr>
            <w:tcW w:w="2126" w:type="pct"/>
            <w:gridSpan w:val="3"/>
            <w:tcBorders>
              <w:top w:val="nil"/>
              <w:left w:val="nil"/>
              <w:bottom w:val="nil"/>
              <w:right w:val="nil"/>
            </w:tcBorders>
            <w:shd w:val="clear" w:color="auto" w:fill="auto"/>
            <w:vAlign w:val="center"/>
            <w:hideMark/>
          </w:tcPr>
          <w:p w14:paraId="4286CD6B" w14:textId="77777777" w:rsidR="00075945" w:rsidRDefault="00075945">
            <w:pPr>
              <w:rPr>
                <w:rFonts w:ascii="Calibri" w:hAnsi="Calibri" w:cs="Calibri"/>
                <w:color w:val="000000"/>
                <w:sz w:val="20"/>
                <w:szCs w:val="20"/>
              </w:rPr>
            </w:pPr>
            <w:r>
              <w:rPr>
                <w:rFonts w:ascii="Calibri" w:hAnsi="Calibri" w:cs="Calibri"/>
                <w:color w:val="000000"/>
                <w:sz w:val="20"/>
                <w:szCs w:val="20"/>
              </w:rPr>
              <w:t>Credit cards</w:t>
            </w:r>
          </w:p>
        </w:tc>
        <w:tc>
          <w:tcPr>
            <w:tcW w:w="719" w:type="pct"/>
            <w:tcBorders>
              <w:top w:val="nil"/>
              <w:left w:val="nil"/>
              <w:bottom w:val="nil"/>
              <w:right w:val="nil"/>
            </w:tcBorders>
            <w:shd w:val="clear" w:color="000000" w:fill="F2F2F2"/>
            <w:vAlign w:val="center"/>
            <w:hideMark/>
          </w:tcPr>
          <w:p w14:paraId="48835EEF"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(76.0)</w:t>
            </w:r>
          </w:p>
        </w:tc>
        <w:tc>
          <w:tcPr>
            <w:tcW w:w="719" w:type="pct"/>
            <w:tcBorders>
              <w:top w:val="nil"/>
              <w:left w:val="nil"/>
              <w:bottom w:val="nil"/>
              <w:right w:val="nil"/>
            </w:tcBorders>
            <w:shd w:val="clear" w:color="000000" w:fill="F2F2F2"/>
            <w:vAlign w:val="center"/>
            <w:hideMark/>
          </w:tcPr>
          <w:p w14:paraId="72DDCCB0"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(49.9)</w:t>
            </w:r>
          </w:p>
        </w:tc>
        <w:tc>
          <w:tcPr>
            <w:tcW w:w="719" w:type="pct"/>
            <w:tcBorders>
              <w:top w:val="nil"/>
              <w:left w:val="nil"/>
              <w:bottom w:val="nil"/>
              <w:right w:val="nil"/>
            </w:tcBorders>
            <w:shd w:val="clear" w:color="000000" w:fill="F2F2F2"/>
            <w:vAlign w:val="center"/>
            <w:hideMark/>
          </w:tcPr>
          <w:p w14:paraId="42028249"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(56.5)</w:t>
            </w:r>
          </w:p>
        </w:tc>
        <w:tc>
          <w:tcPr>
            <w:tcW w:w="719" w:type="pct"/>
            <w:tcBorders>
              <w:top w:val="nil"/>
              <w:left w:val="nil"/>
              <w:bottom w:val="nil"/>
              <w:right w:val="nil"/>
            </w:tcBorders>
            <w:shd w:val="clear" w:color="000000" w:fill="F2F2F2"/>
            <w:vAlign w:val="center"/>
            <w:hideMark/>
          </w:tcPr>
          <w:p w14:paraId="754CF838"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(182.4)</w:t>
            </w:r>
          </w:p>
        </w:tc>
      </w:tr>
      <w:tr w:rsidR="00075945" w14:paraId="27AE7F69" w14:textId="77777777" w:rsidTr="00075945">
        <w:trPr>
          <w:trHeight w:val="300"/>
        </w:trPr>
        <w:tc>
          <w:tcPr>
            <w:tcW w:w="2126" w:type="pct"/>
            <w:gridSpan w:val="3"/>
            <w:tcBorders>
              <w:top w:val="nil"/>
              <w:left w:val="nil"/>
              <w:bottom w:val="nil"/>
              <w:right w:val="nil"/>
            </w:tcBorders>
            <w:shd w:val="clear" w:color="auto" w:fill="auto"/>
            <w:vAlign w:val="center"/>
            <w:hideMark/>
          </w:tcPr>
          <w:p w14:paraId="0F99E2D3" w14:textId="77777777" w:rsidR="00075945" w:rsidRDefault="00075945">
            <w:pPr>
              <w:rPr>
                <w:rFonts w:ascii="Calibri" w:hAnsi="Calibri" w:cs="Calibri"/>
                <w:color w:val="000000"/>
                <w:sz w:val="20"/>
                <w:szCs w:val="20"/>
              </w:rPr>
            </w:pPr>
            <w:r>
              <w:rPr>
                <w:rFonts w:ascii="Calibri" w:hAnsi="Calibri" w:cs="Calibri"/>
                <w:color w:val="000000"/>
                <w:sz w:val="20"/>
                <w:szCs w:val="20"/>
              </w:rPr>
              <w:t>Vehicle finance</w:t>
            </w:r>
          </w:p>
        </w:tc>
        <w:tc>
          <w:tcPr>
            <w:tcW w:w="719" w:type="pct"/>
            <w:tcBorders>
              <w:top w:val="nil"/>
              <w:left w:val="nil"/>
              <w:bottom w:val="nil"/>
              <w:right w:val="nil"/>
            </w:tcBorders>
            <w:shd w:val="clear" w:color="000000" w:fill="F2F2F2"/>
            <w:vAlign w:val="center"/>
            <w:hideMark/>
          </w:tcPr>
          <w:p w14:paraId="1D9F708D"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(19.7)</w:t>
            </w:r>
          </w:p>
        </w:tc>
        <w:tc>
          <w:tcPr>
            <w:tcW w:w="719" w:type="pct"/>
            <w:tcBorders>
              <w:top w:val="nil"/>
              <w:left w:val="nil"/>
              <w:bottom w:val="nil"/>
              <w:right w:val="nil"/>
            </w:tcBorders>
            <w:shd w:val="clear" w:color="000000" w:fill="F2F2F2"/>
            <w:vAlign w:val="center"/>
            <w:hideMark/>
          </w:tcPr>
          <w:p w14:paraId="08AD9809"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(21.4)</w:t>
            </w:r>
          </w:p>
        </w:tc>
        <w:tc>
          <w:tcPr>
            <w:tcW w:w="719" w:type="pct"/>
            <w:tcBorders>
              <w:top w:val="nil"/>
              <w:left w:val="nil"/>
              <w:bottom w:val="nil"/>
              <w:right w:val="nil"/>
            </w:tcBorders>
            <w:shd w:val="clear" w:color="000000" w:fill="F2F2F2"/>
            <w:vAlign w:val="center"/>
            <w:hideMark/>
          </w:tcPr>
          <w:p w14:paraId="06AE3756"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(119.3)</w:t>
            </w:r>
          </w:p>
        </w:tc>
        <w:tc>
          <w:tcPr>
            <w:tcW w:w="719" w:type="pct"/>
            <w:tcBorders>
              <w:top w:val="nil"/>
              <w:left w:val="nil"/>
              <w:bottom w:val="nil"/>
              <w:right w:val="nil"/>
            </w:tcBorders>
            <w:shd w:val="clear" w:color="000000" w:fill="F2F2F2"/>
            <w:vAlign w:val="center"/>
            <w:hideMark/>
          </w:tcPr>
          <w:p w14:paraId="648D9C35"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(160.4)</w:t>
            </w:r>
          </w:p>
        </w:tc>
      </w:tr>
      <w:tr w:rsidR="00075945" w14:paraId="185DE4A1" w14:textId="77777777" w:rsidTr="00075945">
        <w:trPr>
          <w:trHeight w:val="300"/>
        </w:trPr>
        <w:tc>
          <w:tcPr>
            <w:tcW w:w="2126" w:type="pct"/>
            <w:gridSpan w:val="3"/>
            <w:tcBorders>
              <w:top w:val="nil"/>
              <w:left w:val="nil"/>
              <w:bottom w:val="nil"/>
              <w:right w:val="nil"/>
            </w:tcBorders>
            <w:shd w:val="clear" w:color="auto" w:fill="auto"/>
            <w:vAlign w:val="center"/>
            <w:hideMark/>
          </w:tcPr>
          <w:p w14:paraId="6C5AB708" w14:textId="77777777" w:rsidR="00075945" w:rsidRDefault="00075945">
            <w:pPr>
              <w:rPr>
                <w:rFonts w:ascii="Calibri" w:hAnsi="Calibri" w:cs="Calibri"/>
                <w:color w:val="000000"/>
                <w:sz w:val="20"/>
                <w:szCs w:val="20"/>
              </w:rPr>
            </w:pPr>
            <w:r>
              <w:rPr>
                <w:rFonts w:ascii="Calibri" w:hAnsi="Calibri" w:cs="Calibri"/>
                <w:color w:val="000000"/>
                <w:sz w:val="20"/>
                <w:szCs w:val="20"/>
              </w:rPr>
              <w:t>Personal loans</w:t>
            </w:r>
          </w:p>
        </w:tc>
        <w:tc>
          <w:tcPr>
            <w:tcW w:w="719" w:type="pct"/>
            <w:tcBorders>
              <w:top w:val="nil"/>
              <w:left w:val="nil"/>
              <w:bottom w:val="nil"/>
              <w:right w:val="nil"/>
            </w:tcBorders>
            <w:shd w:val="clear" w:color="000000" w:fill="F2F2F2"/>
            <w:vAlign w:val="center"/>
            <w:hideMark/>
          </w:tcPr>
          <w:p w14:paraId="6F2CB094"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(5.1)</w:t>
            </w:r>
          </w:p>
        </w:tc>
        <w:tc>
          <w:tcPr>
            <w:tcW w:w="719" w:type="pct"/>
            <w:tcBorders>
              <w:top w:val="nil"/>
              <w:left w:val="nil"/>
              <w:bottom w:val="nil"/>
              <w:right w:val="nil"/>
            </w:tcBorders>
            <w:shd w:val="clear" w:color="000000" w:fill="F2F2F2"/>
            <w:vAlign w:val="center"/>
            <w:hideMark/>
          </w:tcPr>
          <w:p w14:paraId="207F1594"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(1.7)</w:t>
            </w:r>
          </w:p>
        </w:tc>
        <w:tc>
          <w:tcPr>
            <w:tcW w:w="719" w:type="pct"/>
            <w:tcBorders>
              <w:top w:val="nil"/>
              <w:left w:val="nil"/>
              <w:bottom w:val="nil"/>
              <w:right w:val="nil"/>
            </w:tcBorders>
            <w:shd w:val="clear" w:color="000000" w:fill="F2F2F2"/>
            <w:vAlign w:val="center"/>
            <w:hideMark/>
          </w:tcPr>
          <w:p w14:paraId="466B9353"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(3.1)</w:t>
            </w:r>
          </w:p>
        </w:tc>
        <w:tc>
          <w:tcPr>
            <w:tcW w:w="719" w:type="pct"/>
            <w:tcBorders>
              <w:top w:val="nil"/>
              <w:left w:val="nil"/>
              <w:bottom w:val="nil"/>
              <w:right w:val="nil"/>
            </w:tcBorders>
            <w:shd w:val="clear" w:color="000000" w:fill="F2F2F2"/>
            <w:vAlign w:val="center"/>
            <w:hideMark/>
          </w:tcPr>
          <w:p w14:paraId="27FFB8B6"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(9.9)</w:t>
            </w:r>
          </w:p>
        </w:tc>
      </w:tr>
      <w:tr w:rsidR="00075945" w14:paraId="46637B1A" w14:textId="77777777" w:rsidTr="00075945">
        <w:trPr>
          <w:trHeight w:val="315"/>
        </w:trPr>
        <w:tc>
          <w:tcPr>
            <w:tcW w:w="2126" w:type="pct"/>
            <w:gridSpan w:val="3"/>
            <w:tcBorders>
              <w:top w:val="nil"/>
              <w:left w:val="nil"/>
              <w:bottom w:val="nil"/>
              <w:right w:val="nil"/>
            </w:tcBorders>
            <w:shd w:val="clear" w:color="auto" w:fill="auto"/>
            <w:vAlign w:val="center"/>
            <w:hideMark/>
          </w:tcPr>
          <w:p w14:paraId="6518A50A" w14:textId="77777777" w:rsidR="00075945" w:rsidRDefault="00075945">
            <w:pPr>
              <w:rPr>
                <w:rFonts w:ascii="Calibri" w:hAnsi="Calibri" w:cs="Calibri"/>
                <w:color w:val="000000"/>
                <w:sz w:val="20"/>
                <w:szCs w:val="20"/>
              </w:rPr>
            </w:pPr>
            <w:r>
              <w:rPr>
                <w:rFonts w:ascii="Calibri" w:hAnsi="Calibri" w:cs="Calibri"/>
                <w:color w:val="000000"/>
                <w:sz w:val="20"/>
                <w:szCs w:val="20"/>
              </w:rPr>
              <w:t>Second charge mortgages</w:t>
            </w:r>
          </w:p>
        </w:tc>
        <w:tc>
          <w:tcPr>
            <w:tcW w:w="719" w:type="pct"/>
            <w:tcBorders>
              <w:top w:val="nil"/>
              <w:left w:val="nil"/>
              <w:bottom w:val="nil"/>
              <w:right w:val="nil"/>
            </w:tcBorders>
            <w:shd w:val="clear" w:color="000000" w:fill="F2F2F2"/>
            <w:vAlign w:val="center"/>
            <w:hideMark/>
          </w:tcPr>
          <w:p w14:paraId="7D806571"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w:t>
            </w:r>
          </w:p>
        </w:tc>
        <w:tc>
          <w:tcPr>
            <w:tcW w:w="719" w:type="pct"/>
            <w:tcBorders>
              <w:top w:val="nil"/>
              <w:left w:val="nil"/>
              <w:bottom w:val="nil"/>
              <w:right w:val="nil"/>
            </w:tcBorders>
            <w:shd w:val="clear" w:color="000000" w:fill="F2F2F2"/>
            <w:vAlign w:val="center"/>
            <w:hideMark/>
          </w:tcPr>
          <w:p w14:paraId="41C0A712"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w:t>
            </w:r>
          </w:p>
        </w:tc>
        <w:tc>
          <w:tcPr>
            <w:tcW w:w="719" w:type="pct"/>
            <w:tcBorders>
              <w:top w:val="nil"/>
              <w:left w:val="nil"/>
              <w:bottom w:val="nil"/>
              <w:right w:val="nil"/>
            </w:tcBorders>
            <w:shd w:val="clear" w:color="000000" w:fill="F2F2F2"/>
            <w:vAlign w:val="center"/>
            <w:hideMark/>
          </w:tcPr>
          <w:p w14:paraId="16D643AB"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w:t>
            </w:r>
          </w:p>
        </w:tc>
        <w:tc>
          <w:tcPr>
            <w:tcW w:w="719" w:type="pct"/>
            <w:tcBorders>
              <w:top w:val="nil"/>
              <w:left w:val="nil"/>
              <w:bottom w:val="nil"/>
              <w:right w:val="nil"/>
            </w:tcBorders>
            <w:shd w:val="clear" w:color="000000" w:fill="F2F2F2"/>
            <w:vAlign w:val="center"/>
            <w:hideMark/>
          </w:tcPr>
          <w:p w14:paraId="34EEC0B4"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w:t>
            </w:r>
          </w:p>
        </w:tc>
      </w:tr>
      <w:tr w:rsidR="00075945" w14:paraId="280BB738" w14:textId="77777777" w:rsidTr="00075945">
        <w:trPr>
          <w:trHeight w:val="315"/>
        </w:trPr>
        <w:tc>
          <w:tcPr>
            <w:tcW w:w="2126" w:type="pct"/>
            <w:gridSpan w:val="3"/>
            <w:tcBorders>
              <w:top w:val="nil"/>
              <w:left w:val="nil"/>
              <w:bottom w:val="nil"/>
              <w:right w:val="nil"/>
            </w:tcBorders>
            <w:shd w:val="clear" w:color="auto" w:fill="auto"/>
            <w:vAlign w:val="center"/>
            <w:hideMark/>
          </w:tcPr>
          <w:p w14:paraId="717679BF" w14:textId="77777777" w:rsidR="00075945" w:rsidRDefault="00075945">
            <w:pPr>
              <w:rPr>
                <w:rFonts w:ascii="Calibri" w:hAnsi="Calibri" w:cs="Calibri"/>
                <w:b/>
                <w:bCs/>
                <w:color w:val="000000"/>
                <w:sz w:val="20"/>
                <w:szCs w:val="20"/>
              </w:rPr>
            </w:pPr>
            <w:r>
              <w:rPr>
                <w:rFonts w:ascii="Calibri" w:hAnsi="Calibri" w:cs="Calibri"/>
                <w:b/>
                <w:bCs/>
                <w:color w:val="000000"/>
                <w:sz w:val="20"/>
                <w:szCs w:val="20"/>
              </w:rPr>
              <w:t>Total group</w:t>
            </w:r>
          </w:p>
        </w:tc>
        <w:tc>
          <w:tcPr>
            <w:tcW w:w="719" w:type="pct"/>
            <w:tcBorders>
              <w:top w:val="single" w:sz="8" w:space="0" w:color="auto"/>
              <w:left w:val="nil"/>
              <w:bottom w:val="single" w:sz="8" w:space="0" w:color="auto"/>
              <w:right w:val="nil"/>
            </w:tcBorders>
            <w:shd w:val="clear" w:color="000000" w:fill="F2F2F2"/>
            <w:vAlign w:val="center"/>
            <w:hideMark/>
          </w:tcPr>
          <w:p w14:paraId="69298467"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(100.8)</w:t>
            </w:r>
          </w:p>
        </w:tc>
        <w:tc>
          <w:tcPr>
            <w:tcW w:w="719" w:type="pct"/>
            <w:tcBorders>
              <w:top w:val="single" w:sz="8" w:space="0" w:color="auto"/>
              <w:left w:val="nil"/>
              <w:bottom w:val="single" w:sz="8" w:space="0" w:color="auto"/>
              <w:right w:val="nil"/>
            </w:tcBorders>
            <w:shd w:val="clear" w:color="000000" w:fill="F2F2F2"/>
            <w:vAlign w:val="center"/>
            <w:hideMark/>
          </w:tcPr>
          <w:p w14:paraId="78C95289"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(73.0)</w:t>
            </w:r>
          </w:p>
        </w:tc>
        <w:tc>
          <w:tcPr>
            <w:tcW w:w="719" w:type="pct"/>
            <w:tcBorders>
              <w:top w:val="single" w:sz="8" w:space="0" w:color="auto"/>
              <w:left w:val="nil"/>
              <w:bottom w:val="single" w:sz="8" w:space="0" w:color="auto"/>
              <w:right w:val="nil"/>
            </w:tcBorders>
            <w:shd w:val="clear" w:color="000000" w:fill="F2F2F2"/>
            <w:vAlign w:val="center"/>
            <w:hideMark/>
          </w:tcPr>
          <w:p w14:paraId="5E7039EB"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(178.9)</w:t>
            </w:r>
          </w:p>
        </w:tc>
        <w:tc>
          <w:tcPr>
            <w:tcW w:w="719" w:type="pct"/>
            <w:tcBorders>
              <w:top w:val="single" w:sz="8" w:space="0" w:color="auto"/>
              <w:left w:val="nil"/>
              <w:bottom w:val="single" w:sz="8" w:space="0" w:color="auto"/>
              <w:right w:val="nil"/>
            </w:tcBorders>
            <w:shd w:val="clear" w:color="000000" w:fill="F2F2F2"/>
            <w:vAlign w:val="center"/>
            <w:hideMark/>
          </w:tcPr>
          <w:p w14:paraId="126AD8CC"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(352.7)</w:t>
            </w:r>
          </w:p>
        </w:tc>
      </w:tr>
      <w:tr w:rsidR="00075945" w14:paraId="48125E82" w14:textId="77777777" w:rsidTr="00075945">
        <w:trPr>
          <w:trHeight w:val="300"/>
        </w:trPr>
        <w:tc>
          <w:tcPr>
            <w:tcW w:w="2126" w:type="pct"/>
            <w:gridSpan w:val="3"/>
            <w:tcBorders>
              <w:top w:val="nil"/>
              <w:left w:val="nil"/>
              <w:bottom w:val="nil"/>
              <w:right w:val="nil"/>
            </w:tcBorders>
            <w:shd w:val="clear" w:color="auto" w:fill="auto"/>
            <w:vAlign w:val="center"/>
            <w:hideMark/>
          </w:tcPr>
          <w:p w14:paraId="6480A028" w14:textId="77777777" w:rsidR="00075945" w:rsidRDefault="00075945">
            <w:pPr>
              <w:jc w:val="right"/>
              <w:rPr>
                <w:rFonts w:ascii="Calibri" w:hAnsi="Calibri" w:cs="Calibri"/>
                <w:b/>
                <w:bCs/>
                <w:color w:val="000000"/>
                <w:sz w:val="20"/>
                <w:szCs w:val="20"/>
              </w:rPr>
            </w:pPr>
          </w:p>
        </w:tc>
        <w:tc>
          <w:tcPr>
            <w:tcW w:w="719" w:type="pct"/>
            <w:tcBorders>
              <w:top w:val="nil"/>
              <w:left w:val="nil"/>
              <w:bottom w:val="nil"/>
              <w:right w:val="nil"/>
            </w:tcBorders>
            <w:shd w:val="clear" w:color="000000" w:fill="F2F2F2"/>
            <w:vAlign w:val="center"/>
            <w:hideMark/>
          </w:tcPr>
          <w:p w14:paraId="358CFCF1"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 </w:t>
            </w:r>
          </w:p>
        </w:tc>
        <w:tc>
          <w:tcPr>
            <w:tcW w:w="719" w:type="pct"/>
            <w:tcBorders>
              <w:top w:val="nil"/>
              <w:left w:val="nil"/>
              <w:bottom w:val="nil"/>
              <w:right w:val="nil"/>
            </w:tcBorders>
            <w:shd w:val="clear" w:color="000000" w:fill="F2F2F2"/>
            <w:vAlign w:val="center"/>
            <w:hideMark/>
          </w:tcPr>
          <w:p w14:paraId="7CD07E4B"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 </w:t>
            </w:r>
          </w:p>
        </w:tc>
        <w:tc>
          <w:tcPr>
            <w:tcW w:w="719" w:type="pct"/>
            <w:tcBorders>
              <w:top w:val="nil"/>
              <w:left w:val="nil"/>
              <w:bottom w:val="nil"/>
              <w:right w:val="nil"/>
            </w:tcBorders>
            <w:shd w:val="clear" w:color="000000" w:fill="F2F2F2"/>
            <w:vAlign w:val="center"/>
            <w:hideMark/>
          </w:tcPr>
          <w:p w14:paraId="6589EDCB"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 </w:t>
            </w:r>
          </w:p>
        </w:tc>
        <w:tc>
          <w:tcPr>
            <w:tcW w:w="719" w:type="pct"/>
            <w:tcBorders>
              <w:top w:val="nil"/>
              <w:left w:val="nil"/>
              <w:bottom w:val="nil"/>
              <w:right w:val="nil"/>
            </w:tcBorders>
            <w:shd w:val="clear" w:color="000000" w:fill="F2F2F2"/>
            <w:vAlign w:val="center"/>
            <w:hideMark/>
          </w:tcPr>
          <w:p w14:paraId="777469F9"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 </w:t>
            </w:r>
          </w:p>
        </w:tc>
      </w:tr>
      <w:tr w:rsidR="00075945" w14:paraId="02C76BD7" w14:textId="77777777" w:rsidTr="00075945">
        <w:trPr>
          <w:trHeight w:val="300"/>
        </w:trPr>
        <w:tc>
          <w:tcPr>
            <w:tcW w:w="2126" w:type="pct"/>
            <w:gridSpan w:val="3"/>
            <w:tcBorders>
              <w:top w:val="nil"/>
              <w:left w:val="nil"/>
              <w:bottom w:val="nil"/>
              <w:right w:val="nil"/>
            </w:tcBorders>
            <w:shd w:val="clear" w:color="auto" w:fill="auto"/>
            <w:vAlign w:val="center"/>
            <w:hideMark/>
          </w:tcPr>
          <w:p w14:paraId="03C06E2F" w14:textId="77777777" w:rsidR="00075945" w:rsidRDefault="00075945">
            <w:pPr>
              <w:rPr>
                <w:rFonts w:ascii="Calibri" w:hAnsi="Calibri" w:cs="Calibri"/>
                <w:b/>
                <w:bCs/>
                <w:color w:val="000000"/>
                <w:sz w:val="20"/>
                <w:szCs w:val="20"/>
              </w:rPr>
            </w:pPr>
            <w:r>
              <w:rPr>
                <w:rFonts w:ascii="Calibri" w:hAnsi="Calibri" w:cs="Calibri"/>
                <w:b/>
                <w:bCs/>
                <w:color w:val="000000"/>
                <w:sz w:val="20"/>
                <w:szCs w:val="20"/>
              </w:rPr>
              <w:t>Net receivables</w:t>
            </w:r>
          </w:p>
        </w:tc>
        <w:tc>
          <w:tcPr>
            <w:tcW w:w="719" w:type="pct"/>
            <w:tcBorders>
              <w:top w:val="nil"/>
              <w:left w:val="nil"/>
              <w:bottom w:val="nil"/>
              <w:right w:val="nil"/>
            </w:tcBorders>
            <w:shd w:val="clear" w:color="000000" w:fill="F2F2F2"/>
            <w:vAlign w:val="center"/>
            <w:hideMark/>
          </w:tcPr>
          <w:p w14:paraId="084FA318"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 </w:t>
            </w:r>
          </w:p>
        </w:tc>
        <w:tc>
          <w:tcPr>
            <w:tcW w:w="719" w:type="pct"/>
            <w:tcBorders>
              <w:top w:val="nil"/>
              <w:left w:val="nil"/>
              <w:bottom w:val="nil"/>
              <w:right w:val="nil"/>
            </w:tcBorders>
            <w:shd w:val="clear" w:color="000000" w:fill="F2F2F2"/>
            <w:vAlign w:val="center"/>
            <w:hideMark/>
          </w:tcPr>
          <w:p w14:paraId="72309506"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 </w:t>
            </w:r>
          </w:p>
        </w:tc>
        <w:tc>
          <w:tcPr>
            <w:tcW w:w="719" w:type="pct"/>
            <w:tcBorders>
              <w:top w:val="nil"/>
              <w:left w:val="nil"/>
              <w:bottom w:val="nil"/>
              <w:right w:val="nil"/>
            </w:tcBorders>
            <w:shd w:val="clear" w:color="000000" w:fill="F2F2F2"/>
            <w:vAlign w:val="center"/>
            <w:hideMark/>
          </w:tcPr>
          <w:p w14:paraId="4CD2080E"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 </w:t>
            </w:r>
          </w:p>
        </w:tc>
        <w:tc>
          <w:tcPr>
            <w:tcW w:w="719" w:type="pct"/>
            <w:tcBorders>
              <w:top w:val="nil"/>
              <w:left w:val="nil"/>
              <w:bottom w:val="nil"/>
              <w:right w:val="nil"/>
            </w:tcBorders>
            <w:shd w:val="clear" w:color="000000" w:fill="F2F2F2"/>
            <w:vAlign w:val="center"/>
            <w:hideMark/>
          </w:tcPr>
          <w:p w14:paraId="308BEB1C"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 </w:t>
            </w:r>
          </w:p>
        </w:tc>
      </w:tr>
      <w:tr w:rsidR="00075945" w14:paraId="33365B7D" w14:textId="77777777" w:rsidTr="00075945">
        <w:trPr>
          <w:trHeight w:val="300"/>
        </w:trPr>
        <w:tc>
          <w:tcPr>
            <w:tcW w:w="2126" w:type="pct"/>
            <w:gridSpan w:val="3"/>
            <w:tcBorders>
              <w:top w:val="nil"/>
              <w:left w:val="nil"/>
              <w:bottom w:val="nil"/>
              <w:right w:val="nil"/>
            </w:tcBorders>
            <w:shd w:val="clear" w:color="auto" w:fill="auto"/>
            <w:vAlign w:val="center"/>
            <w:hideMark/>
          </w:tcPr>
          <w:p w14:paraId="3780C257" w14:textId="77777777" w:rsidR="00075945" w:rsidRDefault="00075945">
            <w:pPr>
              <w:rPr>
                <w:rFonts w:ascii="Calibri" w:hAnsi="Calibri" w:cs="Calibri"/>
                <w:color w:val="000000"/>
                <w:sz w:val="20"/>
                <w:szCs w:val="20"/>
              </w:rPr>
            </w:pPr>
            <w:r>
              <w:rPr>
                <w:rFonts w:ascii="Calibri" w:hAnsi="Calibri" w:cs="Calibri"/>
                <w:color w:val="000000"/>
                <w:sz w:val="20"/>
                <w:szCs w:val="20"/>
              </w:rPr>
              <w:t>Credit cards</w:t>
            </w:r>
          </w:p>
        </w:tc>
        <w:tc>
          <w:tcPr>
            <w:tcW w:w="719" w:type="pct"/>
            <w:tcBorders>
              <w:top w:val="nil"/>
              <w:left w:val="nil"/>
              <w:bottom w:val="nil"/>
              <w:right w:val="nil"/>
            </w:tcBorders>
            <w:shd w:val="clear" w:color="000000" w:fill="F2F2F2"/>
            <w:vAlign w:val="center"/>
            <w:hideMark/>
          </w:tcPr>
          <w:p w14:paraId="61AC5607"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1,039.8</w:t>
            </w:r>
          </w:p>
        </w:tc>
        <w:tc>
          <w:tcPr>
            <w:tcW w:w="719" w:type="pct"/>
            <w:tcBorders>
              <w:top w:val="nil"/>
              <w:left w:val="nil"/>
              <w:bottom w:val="nil"/>
              <w:right w:val="nil"/>
            </w:tcBorders>
            <w:shd w:val="clear" w:color="000000" w:fill="F2F2F2"/>
            <w:vAlign w:val="center"/>
            <w:hideMark/>
          </w:tcPr>
          <w:p w14:paraId="2B6D33E5"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72.1</w:t>
            </w:r>
          </w:p>
        </w:tc>
        <w:tc>
          <w:tcPr>
            <w:tcW w:w="719" w:type="pct"/>
            <w:tcBorders>
              <w:top w:val="nil"/>
              <w:left w:val="nil"/>
              <w:bottom w:val="nil"/>
              <w:right w:val="nil"/>
            </w:tcBorders>
            <w:shd w:val="clear" w:color="000000" w:fill="F2F2F2"/>
            <w:vAlign w:val="center"/>
            <w:hideMark/>
          </w:tcPr>
          <w:p w14:paraId="176C9A81"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38.7</w:t>
            </w:r>
          </w:p>
        </w:tc>
        <w:tc>
          <w:tcPr>
            <w:tcW w:w="719" w:type="pct"/>
            <w:tcBorders>
              <w:top w:val="nil"/>
              <w:left w:val="nil"/>
              <w:bottom w:val="nil"/>
              <w:right w:val="nil"/>
            </w:tcBorders>
            <w:shd w:val="clear" w:color="000000" w:fill="F2F2F2"/>
            <w:vAlign w:val="center"/>
            <w:hideMark/>
          </w:tcPr>
          <w:p w14:paraId="3C701730"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1,150.6</w:t>
            </w:r>
          </w:p>
        </w:tc>
      </w:tr>
      <w:tr w:rsidR="00075945" w14:paraId="5A739EF0" w14:textId="77777777" w:rsidTr="00075945">
        <w:trPr>
          <w:trHeight w:val="300"/>
        </w:trPr>
        <w:tc>
          <w:tcPr>
            <w:tcW w:w="2126" w:type="pct"/>
            <w:gridSpan w:val="3"/>
            <w:tcBorders>
              <w:top w:val="nil"/>
              <w:left w:val="nil"/>
              <w:bottom w:val="nil"/>
              <w:right w:val="nil"/>
            </w:tcBorders>
            <w:shd w:val="clear" w:color="auto" w:fill="auto"/>
            <w:vAlign w:val="center"/>
            <w:hideMark/>
          </w:tcPr>
          <w:p w14:paraId="47609616" w14:textId="77777777" w:rsidR="00075945" w:rsidRDefault="00075945">
            <w:pPr>
              <w:rPr>
                <w:rFonts w:ascii="Calibri" w:hAnsi="Calibri" w:cs="Calibri"/>
                <w:color w:val="000000"/>
                <w:sz w:val="20"/>
                <w:szCs w:val="20"/>
              </w:rPr>
            </w:pPr>
            <w:r>
              <w:rPr>
                <w:rFonts w:ascii="Calibri" w:hAnsi="Calibri" w:cs="Calibri"/>
                <w:color w:val="000000"/>
                <w:sz w:val="20"/>
                <w:szCs w:val="20"/>
              </w:rPr>
              <w:t>Vehicle finance</w:t>
            </w:r>
          </w:p>
        </w:tc>
        <w:tc>
          <w:tcPr>
            <w:tcW w:w="719" w:type="pct"/>
            <w:tcBorders>
              <w:top w:val="nil"/>
              <w:left w:val="nil"/>
              <w:bottom w:val="nil"/>
              <w:right w:val="nil"/>
            </w:tcBorders>
            <w:shd w:val="clear" w:color="000000" w:fill="F2F2F2"/>
            <w:vAlign w:val="center"/>
            <w:hideMark/>
          </w:tcPr>
          <w:p w14:paraId="5F6AB55D"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588.9</w:t>
            </w:r>
          </w:p>
        </w:tc>
        <w:tc>
          <w:tcPr>
            <w:tcW w:w="719" w:type="pct"/>
            <w:tcBorders>
              <w:top w:val="nil"/>
              <w:left w:val="nil"/>
              <w:bottom w:val="nil"/>
              <w:right w:val="nil"/>
            </w:tcBorders>
            <w:shd w:val="clear" w:color="000000" w:fill="F2F2F2"/>
            <w:vAlign w:val="center"/>
            <w:hideMark/>
          </w:tcPr>
          <w:p w14:paraId="1BBC95CB"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101.4</w:t>
            </w:r>
          </w:p>
        </w:tc>
        <w:tc>
          <w:tcPr>
            <w:tcW w:w="719" w:type="pct"/>
            <w:tcBorders>
              <w:top w:val="nil"/>
              <w:left w:val="nil"/>
              <w:bottom w:val="nil"/>
              <w:right w:val="nil"/>
            </w:tcBorders>
            <w:shd w:val="clear" w:color="000000" w:fill="F2F2F2"/>
            <w:vAlign w:val="center"/>
            <w:hideMark/>
          </w:tcPr>
          <w:p w14:paraId="2CCB3A87"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70.2</w:t>
            </w:r>
          </w:p>
        </w:tc>
        <w:tc>
          <w:tcPr>
            <w:tcW w:w="719" w:type="pct"/>
            <w:tcBorders>
              <w:top w:val="nil"/>
              <w:left w:val="nil"/>
              <w:bottom w:val="nil"/>
              <w:right w:val="nil"/>
            </w:tcBorders>
            <w:shd w:val="clear" w:color="000000" w:fill="F2F2F2"/>
            <w:vAlign w:val="center"/>
            <w:hideMark/>
          </w:tcPr>
          <w:p w14:paraId="0B912636"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760.5</w:t>
            </w:r>
          </w:p>
        </w:tc>
      </w:tr>
      <w:tr w:rsidR="00075945" w14:paraId="73D7DB91" w14:textId="77777777" w:rsidTr="00075945">
        <w:trPr>
          <w:trHeight w:val="300"/>
        </w:trPr>
        <w:tc>
          <w:tcPr>
            <w:tcW w:w="2126" w:type="pct"/>
            <w:gridSpan w:val="3"/>
            <w:tcBorders>
              <w:top w:val="nil"/>
              <w:left w:val="nil"/>
              <w:bottom w:val="nil"/>
              <w:right w:val="nil"/>
            </w:tcBorders>
            <w:shd w:val="clear" w:color="auto" w:fill="auto"/>
            <w:vAlign w:val="center"/>
            <w:hideMark/>
          </w:tcPr>
          <w:p w14:paraId="20A5354E" w14:textId="77777777" w:rsidR="00075945" w:rsidRDefault="00075945">
            <w:pPr>
              <w:rPr>
                <w:rFonts w:ascii="Calibri" w:hAnsi="Calibri" w:cs="Calibri"/>
                <w:color w:val="000000"/>
                <w:sz w:val="20"/>
                <w:szCs w:val="20"/>
              </w:rPr>
            </w:pPr>
            <w:r>
              <w:rPr>
                <w:rFonts w:ascii="Calibri" w:hAnsi="Calibri" w:cs="Calibri"/>
                <w:color w:val="000000"/>
                <w:sz w:val="20"/>
                <w:szCs w:val="20"/>
              </w:rPr>
              <w:t>Personal loans</w:t>
            </w:r>
          </w:p>
        </w:tc>
        <w:tc>
          <w:tcPr>
            <w:tcW w:w="719" w:type="pct"/>
            <w:tcBorders>
              <w:top w:val="nil"/>
              <w:left w:val="nil"/>
              <w:bottom w:val="nil"/>
              <w:right w:val="nil"/>
            </w:tcBorders>
            <w:shd w:val="clear" w:color="000000" w:fill="F2F2F2"/>
            <w:vAlign w:val="center"/>
            <w:hideMark/>
          </w:tcPr>
          <w:p w14:paraId="7CFABC30"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63.7</w:t>
            </w:r>
          </w:p>
        </w:tc>
        <w:tc>
          <w:tcPr>
            <w:tcW w:w="719" w:type="pct"/>
            <w:tcBorders>
              <w:top w:val="nil"/>
              <w:left w:val="nil"/>
              <w:bottom w:val="nil"/>
              <w:right w:val="nil"/>
            </w:tcBorders>
            <w:shd w:val="clear" w:color="000000" w:fill="F2F2F2"/>
            <w:vAlign w:val="center"/>
            <w:hideMark/>
          </w:tcPr>
          <w:p w14:paraId="3A1268E3"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2.3</w:t>
            </w:r>
          </w:p>
        </w:tc>
        <w:tc>
          <w:tcPr>
            <w:tcW w:w="719" w:type="pct"/>
            <w:tcBorders>
              <w:top w:val="nil"/>
              <w:left w:val="nil"/>
              <w:bottom w:val="nil"/>
              <w:right w:val="nil"/>
            </w:tcBorders>
            <w:shd w:val="clear" w:color="000000" w:fill="F2F2F2"/>
            <w:vAlign w:val="center"/>
            <w:hideMark/>
          </w:tcPr>
          <w:p w14:paraId="6F4E9238"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1.8</w:t>
            </w:r>
          </w:p>
        </w:tc>
        <w:tc>
          <w:tcPr>
            <w:tcW w:w="719" w:type="pct"/>
            <w:tcBorders>
              <w:top w:val="nil"/>
              <w:left w:val="nil"/>
              <w:bottom w:val="nil"/>
              <w:right w:val="nil"/>
            </w:tcBorders>
            <w:shd w:val="clear" w:color="000000" w:fill="F2F2F2"/>
            <w:vAlign w:val="center"/>
            <w:hideMark/>
          </w:tcPr>
          <w:p w14:paraId="344C72AB"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67.8</w:t>
            </w:r>
          </w:p>
        </w:tc>
      </w:tr>
      <w:tr w:rsidR="00075945" w14:paraId="101BC8B6" w14:textId="77777777" w:rsidTr="00075945">
        <w:trPr>
          <w:trHeight w:val="315"/>
        </w:trPr>
        <w:tc>
          <w:tcPr>
            <w:tcW w:w="2126" w:type="pct"/>
            <w:gridSpan w:val="3"/>
            <w:tcBorders>
              <w:top w:val="nil"/>
              <w:left w:val="nil"/>
              <w:bottom w:val="nil"/>
              <w:right w:val="nil"/>
            </w:tcBorders>
            <w:shd w:val="clear" w:color="auto" w:fill="auto"/>
            <w:vAlign w:val="center"/>
            <w:hideMark/>
          </w:tcPr>
          <w:p w14:paraId="3B0F3486" w14:textId="77777777" w:rsidR="00075945" w:rsidRDefault="00075945">
            <w:pPr>
              <w:rPr>
                <w:rFonts w:ascii="Calibri" w:hAnsi="Calibri" w:cs="Calibri"/>
                <w:color w:val="000000"/>
                <w:sz w:val="20"/>
                <w:szCs w:val="20"/>
              </w:rPr>
            </w:pPr>
            <w:r>
              <w:rPr>
                <w:rFonts w:ascii="Calibri" w:hAnsi="Calibri" w:cs="Calibri"/>
                <w:color w:val="000000"/>
                <w:sz w:val="20"/>
                <w:szCs w:val="20"/>
              </w:rPr>
              <w:t>Second charge mortgages</w:t>
            </w:r>
          </w:p>
        </w:tc>
        <w:tc>
          <w:tcPr>
            <w:tcW w:w="719" w:type="pct"/>
            <w:tcBorders>
              <w:top w:val="nil"/>
              <w:left w:val="nil"/>
              <w:bottom w:val="nil"/>
              <w:right w:val="nil"/>
            </w:tcBorders>
            <w:shd w:val="clear" w:color="000000" w:fill="F2F2F2"/>
            <w:vAlign w:val="center"/>
            <w:hideMark/>
          </w:tcPr>
          <w:p w14:paraId="515ED36B"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31.5</w:t>
            </w:r>
          </w:p>
        </w:tc>
        <w:tc>
          <w:tcPr>
            <w:tcW w:w="719" w:type="pct"/>
            <w:tcBorders>
              <w:top w:val="nil"/>
              <w:left w:val="nil"/>
              <w:bottom w:val="nil"/>
              <w:right w:val="nil"/>
            </w:tcBorders>
            <w:shd w:val="clear" w:color="000000" w:fill="F2F2F2"/>
            <w:vAlign w:val="center"/>
            <w:hideMark/>
          </w:tcPr>
          <w:p w14:paraId="3DE18870"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w:t>
            </w:r>
          </w:p>
        </w:tc>
        <w:tc>
          <w:tcPr>
            <w:tcW w:w="719" w:type="pct"/>
            <w:tcBorders>
              <w:top w:val="nil"/>
              <w:left w:val="nil"/>
              <w:bottom w:val="nil"/>
              <w:right w:val="nil"/>
            </w:tcBorders>
            <w:shd w:val="clear" w:color="000000" w:fill="F2F2F2"/>
            <w:vAlign w:val="center"/>
            <w:hideMark/>
          </w:tcPr>
          <w:p w14:paraId="103BFEFE"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w:t>
            </w:r>
          </w:p>
        </w:tc>
        <w:tc>
          <w:tcPr>
            <w:tcW w:w="719" w:type="pct"/>
            <w:tcBorders>
              <w:top w:val="nil"/>
              <w:left w:val="nil"/>
              <w:bottom w:val="nil"/>
              <w:right w:val="nil"/>
            </w:tcBorders>
            <w:shd w:val="clear" w:color="000000" w:fill="F2F2F2"/>
            <w:vAlign w:val="center"/>
            <w:hideMark/>
          </w:tcPr>
          <w:p w14:paraId="68B202A1" w14:textId="77777777" w:rsidR="00075945" w:rsidRPr="00C515CD" w:rsidRDefault="00075945">
            <w:pPr>
              <w:jc w:val="right"/>
              <w:rPr>
                <w:rFonts w:ascii="Calibri" w:hAnsi="Calibri" w:cs="Calibri"/>
                <w:color w:val="000000"/>
                <w:sz w:val="20"/>
                <w:szCs w:val="20"/>
              </w:rPr>
            </w:pPr>
            <w:r w:rsidRPr="00C515CD">
              <w:rPr>
                <w:rFonts w:ascii="Calibri" w:hAnsi="Calibri" w:cs="Calibri"/>
                <w:color w:val="000000"/>
                <w:sz w:val="20"/>
                <w:szCs w:val="20"/>
              </w:rPr>
              <w:t>31.5</w:t>
            </w:r>
          </w:p>
        </w:tc>
      </w:tr>
      <w:tr w:rsidR="00075945" w14:paraId="26BC0E77" w14:textId="77777777" w:rsidTr="00075945">
        <w:trPr>
          <w:trHeight w:val="315"/>
        </w:trPr>
        <w:tc>
          <w:tcPr>
            <w:tcW w:w="2126" w:type="pct"/>
            <w:gridSpan w:val="3"/>
            <w:tcBorders>
              <w:top w:val="nil"/>
              <w:left w:val="nil"/>
              <w:bottom w:val="nil"/>
              <w:right w:val="nil"/>
            </w:tcBorders>
            <w:shd w:val="clear" w:color="auto" w:fill="auto"/>
            <w:vAlign w:val="center"/>
            <w:hideMark/>
          </w:tcPr>
          <w:p w14:paraId="14EFA904" w14:textId="77777777" w:rsidR="00075945" w:rsidRDefault="00075945">
            <w:pPr>
              <w:rPr>
                <w:rFonts w:ascii="Calibri" w:hAnsi="Calibri" w:cs="Calibri"/>
                <w:b/>
                <w:bCs/>
                <w:color w:val="000000"/>
                <w:sz w:val="20"/>
                <w:szCs w:val="20"/>
              </w:rPr>
            </w:pPr>
            <w:r>
              <w:rPr>
                <w:rFonts w:ascii="Calibri" w:hAnsi="Calibri" w:cs="Calibri"/>
                <w:b/>
                <w:bCs/>
                <w:color w:val="000000"/>
                <w:sz w:val="20"/>
                <w:szCs w:val="20"/>
              </w:rPr>
              <w:t>Total group</w:t>
            </w:r>
          </w:p>
        </w:tc>
        <w:tc>
          <w:tcPr>
            <w:tcW w:w="719" w:type="pct"/>
            <w:tcBorders>
              <w:top w:val="single" w:sz="8" w:space="0" w:color="auto"/>
              <w:left w:val="nil"/>
              <w:bottom w:val="single" w:sz="8" w:space="0" w:color="auto"/>
              <w:right w:val="nil"/>
            </w:tcBorders>
            <w:shd w:val="clear" w:color="000000" w:fill="F2F2F2"/>
            <w:vAlign w:val="center"/>
            <w:hideMark/>
          </w:tcPr>
          <w:p w14:paraId="4933A916"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1,723.9</w:t>
            </w:r>
          </w:p>
        </w:tc>
        <w:tc>
          <w:tcPr>
            <w:tcW w:w="719" w:type="pct"/>
            <w:tcBorders>
              <w:top w:val="single" w:sz="8" w:space="0" w:color="auto"/>
              <w:left w:val="nil"/>
              <w:bottom w:val="single" w:sz="8" w:space="0" w:color="auto"/>
              <w:right w:val="nil"/>
            </w:tcBorders>
            <w:shd w:val="clear" w:color="000000" w:fill="F2F2F2"/>
            <w:vAlign w:val="center"/>
            <w:hideMark/>
          </w:tcPr>
          <w:p w14:paraId="5DEA9864"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175.8</w:t>
            </w:r>
          </w:p>
        </w:tc>
        <w:tc>
          <w:tcPr>
            <w:tcW w:w="719" w:type="pct"/>
            <w:tcBorders>
              <w:top w:val="single" w:sz="8" w:space="0" w:color="auto"/>
              <w:left w:val="nil"/>
              <w:bottom w:val="single" w:sz="8" w:space="0" w:color="auto"/>
              <w:right w:val="nil"/>
            </w:tcBorders>
            <w:shd w:val="clear" w:color="000000" w:fill="F2F2F2"/>
            <w:vAlign w:val="center"/>
            <w:hideMark/>
          </w:tcPr>
          <w:p w14:paraId="0BE527A5"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110.7</w:t>
            </w:r>
          </w:p>
        </w:tc>
        <w:tc>
          <w:tcPr>
            <w:tcW w:w="719" w:type="pct"/>
            <w:tcBorders>
              <w:top w:val="single" w:sz="8" w:space="0" w:color="auto"/>
              <w:left w:val="nil"/>
              <w:bottom w:val="single" w:sz="8" w:space="0" w:color="auto"/>
              <w:right w:val="nil"/>
            </w:tcBorders>
            <w:shd w:val="clear" w:color="000000" w:fill="F2F2F2"/>
            <w:vAlign w:val="center"/>
            <w:hideMark/>
          </w:tcPr>
          <w:p w14:paraId="712EAD52" w14:textId="77777777" w:rsidR="00075945" w:rsidRDefault="00075945">
            <w:pPr>
              <w:jc w:val="right"/>
              <w:rPr>
                <w:rFonts w:ascii="Calibri" w:hAnsi="Calibri" w:cs="Calibri"/>
                <w:b/>
                <w:bCs/>
                <w:color w:val="000000"/>
                <w:sz w:val="20"/>
                <w:szCs w:val="20"/>
              </w:rPr>
            </w:pPr>
            <w:r>
              <w:rPr>
                <w:rFonts w:ascii="Calibri" w:hAnsi="Calibri" w:cs="Calibri"/>
                <w:b/>
                <w:bCs/>
                <w:color w:val="000000"/>
                <w:sz w:val="20"/>
                <w:szCs w:val="20"/>
              </w:rPr>
              <w:t>2,010.4</w:t>
            </w:r>
          </w:p>
        </w:tc>
      </w:tr>
    </w:tbl>
    <w:p w14:paraId="05432DC5" w14:textId="77777777" w:rsidR="008B4AAE" w:rsidRDefault="008B4AAE"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307E3FB4" w14:textId="77777777" w:rsidR="00926418" w:rsidRDefault="00926418"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5BDE6FC8" w14:textId="02DC1C88" w:rsidR="00926418" w:rsidRDefault="00926418" w:rsidP="00CF6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asciiTheme="minorHAnsi" w:hAnsiTheme="minorHAnsi" w:cs="Arial"/>
          <w:sz w:val="20"/>
          <w:szCs w:val="20"/>
        </w:rPr>
      </w:pPr>
    </w:p>
    <w:tbl>
      <w:tblPr>
        <w:tblW w:w="5067" w:type="pct"/>
        <w:tblLook w:val="04A0" w:firstRow="1" w:lastRow="0" w:firstColumn="1" w:lastColumn="0" w:noHBand="0" w:noVBand="1"/>
      </w:tblPr>
      <w:tblGrid>
        <w:gridCol w:w="1404"/>
        <w:gridCol w:w="1408"/>
        <w:gridCol w:w="1351"/>
        <w:gridCol w:w="8"/>
        <w:gridCol w:w="1408"/>
        <w:gridCol w:w="10"/>
        <w:gridCol w:w="1409"/>
        <w:gridCol w:w="11"/>
        <w:gridCol w:w="1409"/>
        <w:gridCol w:w="8"/>
        <w:gridCol w:w="1407"/>
        <w:gridCol w:w="20"/>
      </w:tblGrid>
      <w:tr w:rsidR="00152941" w14:paraId="06EEDE73" w14:textId="77777777" w:rsidTr="00CF66BE">
        <w:trPr>
          <w:gridAfter w:val="1"/>
          <w:wAfter w:w="11" w:type="pct"/>
          <w:trHeight w:val="279"/>
        </w:trPr>
        <w:tc>
          <w:tcPr>
            <w:tcW w:w="1428" w:type="pct"/>
            <w:gridSpan w:val="2"/>
            <w:tcBorders>
              <w:top w:val="nil"/>
              <w:left w:val="nil"/>
              <w:bottom w:val="nil"/>
              <w:right w:val="nil"/>
            </w:tcBorders>
            <w:shd w:val="clear" w:color="auto" w:fill="auto"/>
            <w:vAlign w:val="center"/>
            <w:hideMark/>
          </w:tcPr>
          <w:p w14:paraId="69826DE1" w14:textId="77777777" w:rsidR="00152941" w:rsidRDefault="00152941">
            <w:pPr>
              <w:rPr>
                <w:sz w:val="20"/>
                <w:szCs w:val="20"/>
              </w:rPr>
            </w:pPr>
          </w:p>
        </w:tc>
        <w:tc>
          <w:tcPr>
            <w:tcW w:w="685" w:type="pct"/>
            <w:tcBorders>
              <w:top w:val="nil"/>
              <w:left w:val="nil"/>
              <w:bottom w:val="nil"/>
              <w:right w:val="nil"/>
            </w:tcBorders>
            <w:shd w:val="clear" w:color="auto" w:fill="auto"/>
            <w:noWrap/>
            <w:vAlign w:val="bottom"/>
            <w:hideMark/>
          </w:tcPr>
          <w:p w14:paraId="4BBE3A16" w14:textId="77777777" w:rsidR="00152941" w:rsidRDefault="00152941">
            <w:pPr>
              <w:rPr>
                <w:sz w:val="20"/>
                <w:szCs w:val="20"/>
              </w:rPr>
            </w:pPr>
          </w:p>
        </w:tc>
        <w:tc>
          <w:tcPr>
            <w:tcW w:w="2876" w:type="pct"/>
            <w:gridSpan w:val="8"/>
            <w:tcBorders>
              <w:top w:val="nil"/>
              <w:left w:val="nil"/>
              <w:bottom w:val="nil"/>
              <w:right w:val="nil"/>
            </w:tcBorders>
            <w:shd w:val="clear" w:color="auto" w:fill="auto"/>
            <w:vAlign w:val="center"/>
            <w:hideMark/>
          </w:tcPr>
          <w:p w14:paraId="5BC746AA" w14:textId="5752ECDD" w:rsidR="00152941" w:rsidRDefault="00152941">
            <w:pPr>
              <w:jc w:val="center"/>
              <w:rPr>
                <w:rFonts w:ascii="Calibri" w:hAnsi="Calibri" w:cs="Calibri"/>
                <w:color w:val="000000"/>
                <w:sz w:val="20"/>
                <w:szCs w:val="20"/>
              </w:rPr>
            </w:pPr>
            <w:r>
              <w:rPr>
                <w:rFonts w:ascii="Calibri" w:hAnsi="Calibri" w:cs="Calibri"/>
                <w:color w:val="000000"/>
                <w:sz w:val="20"/>
                <w:szCs w:val="20"/>
              </w:rPr>
              <w:t>31 December 2023 (restated)</w:t>
            </w:r>
            <w:r w:rsidRPr="004B66D2">
              <w:rPr>
                <w:rFonts w:asciiTheme="minorHAnsi" w:hAnsiTheme="minorHAnsi" w:cs="Arial"/>
                <w:sz w:val="20"/>
                <w:szCs w:val="20"/>
                <w:vertAlign w:val="superscript"/>
              </w:rPr>
              <w:t xml:space="preserve"> 1</w:t>
            </w:r>
          </w:p>
        </w:tc>
      </w:tr>
      <w:tr w:rsidR="00152941" w14:paraId="71223BA6" w14:textId="77777777" w:rsidTr="00CF66BE">
        <w:trPr>
          <w:gridAfter w:val="1"/>
          <w:wAfter w:w="12" w:type="pct"/>
          <w:trHeight w:val="279"/>
        </w:trPr>
        <w:tc>
          <w:tcPr>
            <w:tcW w:w="2114" w:type="pct"/>
            <w:gridSpan w:val="3"/>
            <w:tcBorders>
              <w:top w:val="nil"/>
              <w:left w:val="nil"/>
              <w:bottom w:val="nil"/>
              <w:right w:val="nil"/>
            </w:tcBorders>
            <w:shd w:val="clear" w:color="auto" w:fill="auto"/>
            <w:vAlign w:val="center"/>
            <w:hideMark/>
          </w:tcPr>
          <w:p w14:paraId="14D88A77" w14:textId="77777777" w:rsidR="00152941" w:rsidRDefault="00152941">
            <w:pPr>
              <w:jc w:val="center"/>
              <w:rPr>
                <w:rFonts w:ascii="Calibri" w:hAnsi="Calibri" w:cs="Calibri"/>
                <w:color w:val="000000"/>
                <w:sz w:val="20"/>
                <w:szCs w:val="20"/>
              </w:rPr>
            </w:pPr>
          </w:p>
        </w:tc>
        <w:tc>
          <w:tcPr>
            <w:tcW w:w="719" w:type="pct"/>
            <w:gridSpan w:val="2"/>
            <w:tcBorders>
              <w:top w:val="nil"/>
              <w:left w:val="nil"/>
              <w:bottom w:val="nil"/>
              <w:right w:val="nil"/>
            </w:tcBorders>
            <w:shd w:val="clear" w:color="auto" w:fill="auto"/>
            <w:vAlign w:val="center"/>
            <w:hideMark/>
          </w:tcPr>
          <w:p w14:paraId="5244C2E8" w14:textId="77777777" w:rsidR="00152941" w:rsidRDefault="00152941">
            <w:pPr>
              <w:jc w:val="right"/>
              <w:rPr>
                <w:rFonts w:ascii="Calibri" w:hAnsi="Calibri" w:cs="Calibri"/>
                <w:color w:val="000000"/>
                <w:sz w:val="20"/>
                <w:szCs w:val="20"/>
              </w:rPr>
            </w:pPr>
            <w:r>
              <w:rPr>
                <w:rFonts w:ascii="Calibri" w:hAnsi="Calibri" w:cs="Calibri"/>
                <w:color w:val="000000"/>
                <w:sz w:val="20"/>
                <w:szCs w:val="20"/>
              </w:rPr>
              <w:t>Stage 1 </w:t>
            </w:r>
          </w:p>
        </w:tc>
        <w:tc>
          <w:tcPr>
            <w:tcW w:w="719" w:type="pct"/>
            <w:gridSpan w:val="2"/>
            <w:tcBorders>
              <w:top w:val="nil"/>
              <w:left w:val="nil"/>
              <w:bottom w:val="nil"/>
              <w:right w:val="nil"/>
            </w:tcBorders>
            <w:shd w:val="clear" w:color="auto" w:fill="auto"/>
            <w:vAlign w:val="center"/>
            <w:hideMark/>
          </w:tcPr>
          <w:p w14:paraId="32F629A8" w14:textId="77777777" w:rsidR="00152941" w:rsidRDefault="00152941">
            <w:pPr>
              <w:jc w:val="right"/>
              <w:rPr>
                <w:rFonts w:ascii="Calibri" w:hAnsi="Calibri" w:cs="Calibri"/>
                <w:color w:val="000000"/>
                <w:sz w:val="20"/>
                <w:szCs w:val="20"/>
              </w:rPr>
            </w:pPr>
            <w:r>
              <w:rPr>
                <w:rFonts w:ascii="Calibri" w:hAnsi="Calibri" w:cs="Calibri"/>
                <w:color w:val="000000"/>
                <w:sz w:val="20"/>
                <w:szCs w:val="20"/>
              </w:rPr>
              <w:t>Stage 2  </w:t>
            </w:r>
          </w:p>
        </w:tc>
        <w:tc>
          <w:tcPr>
            <w:tcW w:w="720" w:type="pct"/>
            <w:gridSpan w:val="2"/>
            <w:tcBorders>
              <w:top w:val="nil"/>
              <w:left w:val="nil"/>
              <w:bottom w:val="nil"/>
              <w:right w:val="nil"/>
            </w:tcBorders>
            <w:shd w:val="clear" w:color="auto" w:fill="auto"/>
            <w:vAlign w:val="center"/>
            <w:hideMark/>
          </w:tcPr>
          <w:p w14:paraId="28A8D0AC" w14:textId="77777777" w:rsidR="00152941" w:rsidRDefault="00152941">
            <w:pPr>
              <w:jc w:val="right"/>
              <w:rPr>
                <w:rFonts w:ascii="Calibri" w:hAnsi="Calibri" w:cs="Calibri"/>
                <w:color w:val="000000"/>
                <w:sz w:val="20"/>
                <w:szCs w:val="20"/>
              </w:rPr>
            </w:pPr>
            <w:r>
              <w:rPr>
                <w:rFonts w:ascii="Calibri" w:hAnsi="Calibri" w:cs="Calibri"/>
                <w:color w:val="000000"/>
                <w:sz w:val="20"/>
                <w:szCs w:val="20"/>
              </w:rPr>
              <w:t>Stage 3 </w:t>
            </w:r>
          </w:p>
        </w:tc>
        <w:tc>
          <w:tcPr>
            <w:tcW w:w="718" w:type="pct"/>
            <w:gridSpan w:val="2"/>
            <w:tcBorders>
              <w:top w:val="nil"/>
              <w:left w:val="nil"/>
              <w:bottom w:val="nil"/>
              <w:right w:val="nil"/>
            </w:tcBorders>
            <w:shd w:val="clear" w:color="auto" w:fill="auto"/>
            <w:vAlign w:val="center"/>
            <w:hideMark/>
          </w:tcPr>
          <w:p w14:paraId="6F5A2AA0" w14:textId="77777777" w:rsidR="00152941" w:rsidRDefault="00152941">
            <w:pPr>
              <w:rPr>
                <w:rFonts w:ascii="Calibri" w:hAnsi="Calibri" w:cs="Calibri"/>
                <w:color w:val="000000"/>
                <w:sz w:val="20"/>
                <w:szCs w:val="20"/>
              </w:rPr>
            </w:pPr>
            <w:r>
              <w:rPr>
                <w:rFonts w:ascii="Calibri" w:hAnsi="Calibri" w:cs="Calibri"/>
                <w:color w:val="000000"/>
                <w:sz w:val="20"/>
                <w:szCs w:val="20"/>
              </w:rPr>
              <w:t>Total </w:t>
            </w:r>
          </w:p>
        </w:tc>
      </w:tr>
      <w:tr w:rsidR="00152941" w14:paraId="1485C83E" w14:textId="77777777" w:rsidTr="00CF66BE">
        <w:trPr>
          <w:gridAfter w:val="1"/>
          <w:wAfter w:w="12" w:type="pct"/>
          <w:trHeight w:val="294"/>
        </w:trPr>
        <w:tc>
          <w:tcPr>
            <w:tcW w:w="2114" w:type="pct"/>
            <w:gridSpan w:val="3"/>
            <w:tcBorders>
              <w:top w:val="nil"/>
              <w:left w:val="nil"/>
              <w:bottom w:val="nil"/>
              <w:right w:val="nil"/>
            </w:tcBorders>
            <w:shd w:val="clear" w:color="auto" w:fill="auto"/>
            <w:vAlign w:val="center"/>
            <w:hideMark/>
          </w:tcPr>
          <w:p w14:paraId="49575580" w14:textId="77777777" w:rsidR="00152941" w:rsidRDefault="00152941">
            <w:pPr>
              <w:rPr>
                <w:rFonts w:ascii="Calibri" w:hAnsi="Calibri" w:cs="Calibri"/>
                <w:color w:val="000000"/>
                <w:sz w:val="20"/>
                <w:szCs w:val="20"/>
              </w:rPr>
            </w:pPr>
          </w:p>
        </w:tc>
        <w:tc>
          <w:tcPr>
            <w:tcW w:w="719" w:type="pct"/>
            <w:gridSpan w:val="2"/>
            <w:tcBorders>
              <w:top w:val="nil"/>
              <w:left w:val="nil"/>
              <w:bottom w:val="single" w:sz="8" w:space="0" w:color="auto"/>
              <w:right w:val="nil"/>
            </w:tcBorders>
            <w:shd w:val="clear" w:color="auto" w:fill="auto"/>
            <w:vAlign w:val="center"/>
            <w:hideMark/>
          </w:tcPr>
          <w:p w14:paraId="3677F5A1" w14:textId="77777777" w:rsidR="00152941" w:rsidRDefault="00152941">
            <w:pPr>
              <w:jc w:val="right"/>
              <w:rPr>
                <w:rFonts w:ascii="Calibri" w:hAnsi="Calibri" w:cs="Calibri"/>
                <w:color w:val="000000"/>
                <w:sz w:val="20"/>
                <w:szCs w:val="20"/>
              </w:rPr>
            </w:pPr>
            <w:r>
              <w:rPr>
                <w:rFonts w:ascii="Calibri" w:hAnsi="Calibri" w:cs="Calibri"/>
                <w:color w:val="000000"/>
                <w:sz w:val="20"/>
                <w:szCs w:val="20"/>
              </w:rPr>
              <w:t>£m </w:t>
            </w:r>
          </w:p>
        </w:tc>
        <w:tc>
          <w:tcPr>
            <w:tcW w:w="719" w:type="pct"/>
            <w:gridSpan w:val="2"/>
            <w:tcBorders>
              <w:top w:val="nil"/>
              <w:left w:val="nil"/>
              <w:bottom w:val="single" w:sz="8" w:space="0" w:color="auto"/>
              <w:right w:val="nil"/>
            </w:tcBorders>
            <w:shd w:val="clear" w:color="auto" w:fill="auto"/>
            <w:vAlign w:val="center"/>
            <w:hideMark/>
          </w:tcPr>
          <w:p w14:paraId="3316EB12" w14:textId="77777777" w:rsidR="00152941" w:rsidRDefault="00152941">
            <w:pPr>
              <w:jc w:val="right"/>
              <w:rPr>
                <w:rFonts w:ascii="Calibri" w:hAnsi="Calibri" w:cs="Calibri"/>
                <w:color w:val="000000"/>
                <w:sz w:val="20"/>
                <w:szCs w:val="20"/>
              </w:rPr>
            </w:pPr>
            <w:r>
              <w:rPr>
                <w:rFonts w:ascii="Calibri" w:hAnsi="Calibri" w:cs="Calibri"/>
                <w:color w:val="000000"/>
                <w:sz w:val="20"/>
                <w:szCs w:val="20"/>
              </w:rPr>
              <w:t>£m  </w:t>
            </w:r>
          </w:p>
        </w:tc>
        <w:tc>
          <w:tcPr>
            <w:tcW w:w="720" w:type="pct"/>
            <w:gridSpan w:val="2"/>
            <w:tcBorders>
              <w:top w:val="nil"/>
              <w:left w:val="nil"/>
              <w:bottom w:val="single" w:sz="8" w:space="0" w:color="auto"/>
              <w:right w:val="nil"/>
            </w:tcBorders>
            <w:shd w:val="clear" w:color="auto" w:fill="auto"/>
            <w:vAlign w:val="center"/>
            <w:hideMark/>
          </w:tcPr>
          <w:p w14:paraId="1144D341" w14:textId="77777777" w:rsidR="00152941" w:rsidRDefault="00152941">
            <w:pPr>
              <w:jc w:val="right"/>
              <w:rPr>
                <w:rFonts w:ascii="Calibri" w:hAnsi="Calibri" w:cs="Calibri"/>
                <w:color w:val="000000"/>
                <w:sz w:val="20"/>
                <w:szCs w:val="20"/>
              </w:rPr>
            </w:pPr>
            <w:r>
              <w:rPr>
                <w:rFonts w:ascii="Calibri" w:hAnsi="Calibri" w:cs="Calibri"/>
                <w:color w:val="000000"/>
                <w:sz w:val="20"/>
                <w:szCs w:val="20"/>
              </w:rPr>
              <w:t>£m </w:t>
            </w:r>
          </w:p>
        </w:tc>
        <w:tc>
          <w:tcPr>
            <w:tcW w:w="718" w:type="pct"/>
            <w:gridSpan w:val="2"/>
            <w:tcBorders>
              <w:top w:val="nil"/>
              <w:left w:val="nil"/>
              <w:bottom w:val="single" w:sz="8" w:space="0" w:color="auto"/>
              <w:right w:val="nil"/>
            </w:tcBorders>
            <w:shd w:val="clear" w:color="auto" w:fill="auto"/>
            <w:vAlign w:val="center"/>
            <w:hideMark/>
          </w:tcPr>
          <w:p w14:paraId="1869238E" w14:textId="77777777" w:rsidR="00152941" w:rsidRDefault="00152941">
            <w:pPr>
              <w:rPr>
                <w:rFonts w:ascii="Calibri" w:hAnsi="Calibri" w:cs="Calibri"/>
                <w:color w:val="000000"/>
                <w:sz w:val="20"/>
                <w:szCs w:val="20"/>
              </w:rPr>
            </w:pPr>
            <w:r>
              <w:rPr>
                <w:rFonts w:ascii="Calibri" w:hAnsi="Calibri" w:cs="Calibri"/>
                <w:color w:val="000000"/>
                <w:sz w:val="20"/>
                <w:szCs w:val="20"/>
              </w:rPr>
              <w:t>£m </w:t>
            </w:r>
          </w:p>
        </w:tc>
      </w:tr>
      <w:tr w:rsidR="00152941" w14:paraId="632900BB" w14:textId="77777777" w:rsidTr="00CF66BE">
        <w:trPr>
          <w:gridAfter w:val="1"/>
          <w:wAfter w:w="12" w:type="pct"/>
          <w:trHeight w:val="279"/>
        </w:trPr>
        <w:tc>
          <w:tcPr>
            <w:tcW w:w="2114" w:type="pct"/>
            <w:gridSpan w:val="3"/>
            <w:tcBorders>
              <w:top w:val="nil"/>
              <w:left w:val="nil"/>
              <w:bottom w:val="nil"/>
              <w:right w:val="nil"/>
            </w:tcBorders>
            <w:shd w:val="clear" w:color="auto" w:fill="auto"/>
            <w:vAlign w:val="center"/>
            <w:hideMark/>
          </w:tcPr>
          <w:p w14:paraId="6B5FBB34" w14:textId="77777777" w:rsidR="00152941" w:rsidRDefault="00152941">
            <w:pPr>
              <w:rPr>
                <w:rFonts w:ascii="Calibri" w:hAnsi="Calibri" w:cs="Calibri"/>
                <w:b/>
                <w:bCs/>
                <w:color w:val="000000"/>
                <w:sz w:val="20"/>
                <w:szCs w:val="20"/>
              </w:rPr>
            </w:pPr>
            <w:r>
              <w:rPr>
                <w:rFonts w:ascii="Calibri" w:hAnsi="Calibri" w:cs="Calibri"/>
                <w:b/>
                <w:bCs/>
                <w:color w:val="000000"/>
                <w:sz w:val="20"/>
                <w:szCs w:val="20"/>
              </w:rPr>
              <w:t>Gross receivables</w:t>
            </w:r>
          </w:p>
        </w:tc>
        <w:tc>
          <w:tcPr>
            <w:tcW w:w="719" w:type="pct"/>
            <w:gridSpan w:val="2"/>
            <w:tcBorders>
              <w:top w:val="nil"/>
              <w:left w:val="nil"/>
              <w:bottom w:val="nil"/>
              <w:right w:val="nil"/>
            </w:tcBorders>
            <w:shd w:val="clear" w:color="auto" w:fill="auto"/>
            <w:vAlign w:val="center"/>
            <w:hideMark/>
          </w:tcPr>
          <w:p w14:paraId="529D9B12" w14:textId="77777777" w:rsidR="00152941" w:rsidRDefault="00152941">
            <w:pPr>
              <w:rPr>
                <w:rFonts w:ascii="Calibri" w:hAnsi="Calibri" w:cs="Calibri"/>
                <w:b/>
                <w:bCs/>
                <w:color w:val="000000"/>
                <w:sz w:val="20"/>
                <w:szCs w:val="20"/>
              </w:rPr>
            </w:pPr>
          </w:p>
        </w:tc>
        <w:tc>
          <w:tcPr>
            <w:tcW w:w="719" w:type="pct"/>
            <w:gridSpan w:val="2"/>
            <w:tcBorders>
              <w:top w:val="nil"/>
              <w:left w:val="nil"/>
              <w:bottom w:val="nil"/>
              <w:right w:val="nil"/>
            </w:tcBorders>
            <w:shd w:val="clear" w:color="auto" w:fill="auto"/>
            <w:vAlign w:val="center"/>
            <w:hideMark/>
          </w:tcPr>
          <w:p w14:paraId="0352F203" w14:textId="77777777" w:rsidR="00152941" w:rsidRDefault="00152941">
            <w:pPr>
              <w:jc w:val="right"/>
              <w:rPr>
                <w:sz w:val="20"/>
                <w:szCs w:val="20"/>
              </w:rPr>
            </w:pPr>
          </w:p>
        </w:tc>
        <w:tc>
          <w:tcPr>
            <w:tcW w:w="720" w:type="pct"/>
            <w:gridSpan w:val="2"/>
            <w:tcBorders>
              <w:top w:val="nil"/>
              <w:left w:val="nil"/>
              <w:bottom w:val="nil"/>
              <w:right w:val="nil"/>
            </w:tcBorders>
            <w:shd w:val="clear" w:color="auto" w:fill="auto"/>
            <w:vAlign w:val="center"/>
            <w:hideMark/>
          </w:tcPr>
          <w:p w14:paraId="201B02DB" w14:textId="77777777" w:rsidR="00152941" w:rsidRDefault="00152941">
            <w:pPr>
              <w:jc w:val="right"/>
              <w:rPr>
                <w:sz w:val="20"/>
                <w:szCs w:val="20"/>
              </w:rPr>
            </w:pPr>
          </w:p>
        </w:tc>
        <w:tc>
          <w:tcPr>
            <w:tcW w:w="718" w:type="pct"/>
            <w:gridSpan w:val="2"/>
            <w:tcBorders>
              <w:top w:val="nil"/>
              <w:left w:val="nil"/>
              <w:bottom w:val="nil"/>
              <w:right w:val="nil"/>
            </w:tcBorders>
            <w:shd w:val="clear" w:color="auto" w:fill="auto"/>
            <w:vAlign w:val="center"/>
            <w:hideMark/>
          </w:tcPr>
          <w:p w14:paraId="47495404" w14:textId="77777777" w:rsidR="00152941" w:rsidRDefault="00152941">
            <w:pPr>
              <w:rPr>
                <w:rFonts w:ascii="Calibri" w:hAnsi="Calibri" w:cs="Calibri"/>
                <w:b/>
                <w:bCs/>
                <w:color w:val="000000"/>
                <w:sz w:val="20"/>
                <w:szCs w:val="20"/>
              </w:rPr>
            </w:pPr>
            <w:r>
              <w:rPr>
                <w:rFonts w:ascii="Calibri" w:hAnsi="Calibri" w:cs="Calibri"/>
                <w:b/>
                <w:bCs/>
                <w:color w:val="000000"/>
                <w:sz w:val="20"/>
                <w:szCs w:val="20"/>
              </w:rPr>
              <w:t> </w:t>
            </w:r>
          </w:p>
        </w:tc>
      </w:tr>
      <w:tr w:rsidR="00152941" w14:paraId="75EDB207" w14:textId="77777777" w:rsidTr="00CF66BE">
        <w:trPr>
          <w:gridAfter w:val="1"/>
          <w:wAfter w:w="12" w:type="pct"/>
          <w:trHeight w:val="279"/>
        </w:trPr>
        <w:tc>
          <w:tcPr>
            <w:tcW w:w="2114" w:type="pct"/>
            <w:gridSpan w:val="3"/>
            <w:tcBorders>
              <w:top w:val="nil"/>
              <w:left w:val="nil"/>
              <w:bottom w:val="nil"/>
              <w:right w:val="nil"/>
            </w:tcBorders>
            <w:shd w:val="clear" w:color="auto" w:fill="auto"/>
            <w:vAlign w:val="center"/>
            <w:hideMark/>
          </w:tcPr>
          <w:p w14:paraId="370DF9A0" w14:textId="77777777" w:rsidR="00152941" w:rsidRDefault="00152941">
            <w:pPr>
              <w:rPr>
                <w:rFonts w:ascii="Calibri" w:hAnsi="Calibri" w:cs="Calibri"/>
                <w:color w:val="000000"/>
                <w:sz w:val="20"/>
                <w:szCs w:val="20"/>
              </w:rPr>
            </w:pPr>
            <w:r>
              <w:rPr>
                <w:rFonts w:ascii="Calibri" w:hAnsi="Calibri" w:cs="Calibri"/>
                <w:color w:val="000000"/>
                <w:sz w:val="20"/>
                <w:szCs w:val="20"/>
              </w:rPr>
              <w:t>Credit cards</w:t>
            </w:r>
          </w:p>
        </w:tc>
        <w:tc>
          <w:tcPr>
            <w:tcW w:w="719" w:type="pct"/>
            <w:gridSpan w:val="2"/>
            <w:tcBorders>
              <w:top w:val="nil"/>
              <w:left w:val="nil"/>
              <w:bottom w:val="nil"/>
              <w:right w:val="nil"/>
            </w:tcBorders>
            <w:shd w:val="clear" w:color="auto" w:fill="auto"/>
            <w:vAlign w:val="center"/>
            <w:hideMark/>
          </w:tcPr>
          <w:p w14:paraId="2E2E33FC"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1,200.8</w:t>
            </w:r>
          </w:p>
        </w:tc>
        <w:tc>
          <w:tcPr>
            <w:tcW w:w="719" w:type="pct"/>
            <w:gridSpan w:val="2"/>
            <w:tcBorders>
              <w:top w:val="nil"/>
              <w:left w:val="nil"/>
              <w:bottom w:val="nil"/>
              <w:right w:val="nil"/>
            </w:tcBorders>
            <w:shd w:val="clear" w:color="auto" w:fill="auto"/>
            <w:vAlign w:val="center"/>
            <w:hideMark/>
          </w:tcPr>
          <w:p w14:paraId="3D8D219D"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161.4</w:t>
            </w:r>
          </w:p>
        </w:tc>
        <w:tc>
          <w:tcPr>
            <w:tcW w:w="720" w:type="pct"/>
            <w:gridSpan w:val="2"/>
            <w:tcBorders>
              <w:top w:val="nil"/>
              <w:left w:val="nil"/>
              <w:bottom w:val="nil"/>
              <w:right w:val="nil"/>
            </w:tcBorders>
            <w:shd w:val="clear" w:color="auto" w:fill="auto"/>
            <w:vAlign w:val="center"/>
            <w:hideMark/>
          </w:tcPr>
          <w:p w14:paraId="6A4F606B"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114.2</w:t>
            </w:r>
          </w:p>
        </w:tc>
        <w:tc>
          <w:tcPr>
            <w:tcW w:w="718" w:type="pct"/>
            <w:gridSpan w:val="2"/>
            <w:tcBorders>
              <w:top w:val="nil"/>
              <w:left w:val="nil"/>
              <w:bottom w:val="nil"/>
              <w:right w:val="nil"/>
            </w:tcBorders>
            <w:shd w:val="clear" w:color="auto" w:fill="auto"/>
            <w:vAlign w:val="center"/>
            <w:hideMark/>
          </w:tcPr>
          <w:p w14:paraId="0232E7A7"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1,476.4</w:t>
            </w:r>
          </w:p>
        </w:tc>
      </w:tr>
      <w:tr w:rsidR="00152941" w14:paraId="39E37114" w14:textId="77777777" w:rsidTr="00CF66BE">
        <w:trPr>
          <w:gridAfter w:val="1"/>
          <w:wAfter w:w="12" w:type="pct"/>
          <w:trHeight w:val="279"/>
        </w:trPr>
        <w:tc>
          <w:tcPr>
            <w:tcW w:w="2114" w:type="pct"/>
            <w:gridSpan w:val="3"/>
            <w:tcBorders>
              <w:top w:val="nil"/>
              <w:left w:val="nil"/>
              <w:bottom w:val="nil"/>
              <w:right w:val="nil"/>
            </w:tcBorders>
            <w:shd w:val="clear" w:color="auto" w:fill="auto"/>
            <w:vAlign w:val="center"/>
            <w:hideMark/>
          </w:tcPr>
          <w:p w14:paraId="3AD3B7DF" w14:textId="77777777" w:rsidR="00152941" w:rsidRDefault="00152941">
            <w:pPr>
              <w:rPr>
                <w:rFonts w:ascii="Calibri" w:hAnsi="Calibri" w:cs="Calibri"/>
                <w:color w:val="000000"/>
                <w:sz w:val="20"/>
                <w:szCs w:val="20"/>
              </w:rPr>
            </w:pPr>
            <w:r>
              <w:rPr>
                <w:rFonts w:ascii="Calibri" w:hAnsi="Calibri" w:cs="Calibri"/>
                <w:color w:val="000000"/>
                <w:sz w:val="20"/>
                <w:szCs w:val="20"/>
              </w:rPr>
              <w:t>Vehicle finance</w:t>
            </w:r>
          </w:p>
        </w:tc>
        <w:tc>
          <w:tcPr>
            <w:tcW w:w="719" w:type="pct"/>
            <w:gridSpan w:val="2"/>
            <w:tcBorders>
              <w:top w:val="nil"/>
              <w:left w:val="nil"/>
              <w:bottom w:val="nil"/>
              <w:right w:val="nil"/>
            </w:tcBorders>
            <w:shd w:val="clear" w:color="auto" w:fill="auto"/>
            <w:vAlign w:val="center"/>
            <w:hideMark/>
          </w:tcPr>
          <w:p w14:paraId="6741C432"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391.7</w:t>
            </w:r>
          </w:p>
        </w:tc>
        <w:tc>
          <w:tcPr>
            <w:tcW w:w="719" w:type="pct"/>
            <w:gridSpan w:val="2"/>
            <w:tcBorders>
              <w:top w:val="nil"/>
              <w:left w:val="nil"/>
              <w:bottom w:val="nil"/>
              <w:right w:val="nil"/>
            </w:tcBorders>
            <w:shd w:val="clear" w:color="auto" w:fill="auto"/>
            <w:vAlign w:val="center"/>
            <w:hideMark/>
          </w:tcPr>
          <w:p w14:paraId="6110985D"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224.8</w:t>
            </w:r>
          </w:p>
        </w:tc>
        <w:tc>
          <w:tcPr>
            <w:tcW w:w="720" w:type="pct"/>
            <w:gridSpan w:val="2"/>
            <w:tcBorders>
              <w:top w:val="nil"/>
              <w:left w:val="nil"/>
              <w:bottom w:val="nil"/>
              <w:right w:val="nil"/>
            </w:tcBorders>
            <w:shd w:val="clear" w:color="auto" w:fill="auto"/>
            <w:vAlign w:val="center"/>
            <w:hideMark/>
          </w:tcPr>
          <w:p w14:paraId="54B21EB2"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527.7</w:t>
            </w:r>
          </w:p>
        </w:tc>
        <w:tc>
          <w:tcPr>
            <w:tcW w:w="718" w:type="pct"/>
            <w:gridSpan w:val="2"/>
            <w:tcBorders>
              <w:top w:val="nil"/>
              <w:left w:val="nil"/>
              <w:bottom w:val="nil"/>
              <w:right w:val="nil"/>
            </w:tcBorders>
            <w:shd w:val="clear" w:color="auto" w:fill="auto"/>
            <w:vAlign w:val="center"/>
            <w:hideMark/>
          </w:tcPr>
          <w:p w14:paraId="5050769E"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1,144.2</w:t>
            </w:r>
          </w:p>
        </w:tc>
      </w:tr>
      <w:tr w:rsidR="00152941" w14:paraId="1D58C756" w14:textId="77777777" w:rsidTr="00CF66BE">
        <w:trPr>
          <w:gridAfter w:val="1"/>
          <w:wAfter w:w="12" w:type="pct"/>
          <w:trHeight w:val="279"/>
        </w:trPr>
        <w:tc>
          <w:tcPr>
            <w:tcW w:w="2114" w:type="pct"/>
            <w:gridSpan w:val="3"/>
            <w:tcBorders>
              <w:top w:val="nil"/>
              <w:left w:val="nil"/>
              <w:bottom w:val="nil"/>
              <w:right w:val="nil"/>
            </w:tcBorders>
            <w:shd w:val="clear" w:color="auto" w:fill="auto"/>
            <w:vAlign w:val="center"/>
            <w:hideMark/>
          </w:tcPr>
          <w:p w14:paraId="6575D266" w14:textId="77777777" w:rsidR="00152941" w:rsidRDefault="00152941">
            <w:pPr>
              <w:rPr>
                <w:rFonts w:ascii="Calibri" w:hAnsi="Calibri" w:cs="Calibri"/>
                <w:color w:val="000000"/>
                <w:sz w:val="20"/>
                <w:szCs w:val="20"/>
              </w:rPr>
            </w:pPr>
            <w:r>
              <w:rPr>
                <w:rFonts w:ascii="Calibri" w:hAnsi="Calibri" w:cs="Calibri"/>
                <w:color w:val="000000"/>
                <w:sz w:val="20"/>
                <w:szCs w:val="20"/>
              </w:rPr>
              <w:t>Personal loans</w:t>
            </w:r>
          </w:p>
        </w:tc>
        <w:tc>
          <w:tcPr>
            <w:tcW w:w="719" w:type="pct"/>
            <w:gridSpan w:val="2"/>
            <w:tcBorders>
              <w:top w:val="nil"/>
              <w:left w:val="nil"/>
              <w:bottom w:val="nil"/>
              <w:right w:val="nil"/>
            </w:tcBorders>
            <w:shd w:val="clear" w:color="auto" w:fill="auto"/>
            <w:vAlign w:val="center"/>
            <w:hideMark/>
          </w:tcPr>
          <w:p w14:paraId="74156D7E"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104.1</w:t>
            </w:r>
          </w:p>
        </w:tc>
        <w:tc>
          <w:tcPr>
            <w:tcW w:w="719" w:type="pct"/>
            <w:gridSpan w:val="2"/>
            <w:tcBorders>
              <w:top w:val="nil"/>
              <w:left w:val="nil"/>
              <w:bottom w:val="nil"/>
              <w:right w:val="nil"/>
            </w:tcBorders>
            <w:shd w:val="clear" w:color="auto" w:fill="auto"/>
            <w:vAlign w:val="center"/>
            <w:hideMark/>
          </w:tcPr>
          <w:p w14:paraId="75165DD3"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5.5</w:t>
            </w:r>
          </w:p>
        </w:tc>
        <w:tc>
          <w:tcPr>
            <w:tcW w:w="720" w:type="pct"/>
            <w:gridSpan w:val="2"/>
            <w:tcBorders>
              <w:top w:val="nil"/>
              <w:left w:val="nil"/>
              <w:bottom w:val="nil"/>
              <w:right w:val="nil"/>
            </w:tcBorders>
            <w:shd w:val="clear" w:color="auto" w:fill="auto"/>
            <w:vAlign w:val="center"/>
            <w:hideMark/>
          </w:tcPr>
          <w:p w14:paraId="761A6CF2"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7.9</w:t>
            </w:r>
          </w:p>
        </w:tc>
        <w:tc>
          <w:tcPr>
            <w:tcW w:w="718" w:type="pct"/>
            <w:gridSpan w:val="2"/>
            <w:tcBorders>
              <w:top w:val="nil"/>
              <w:left w:val="nil"/>
              <w:bottom w:val="nil"/>
              <w:right w:val="nil"/>
            </w:tcBorders>
            <w:shd w:val="clear" w:color="auto" w:fill="auto"/>
            <w:vAlign w:val="center"/>
            <w:hideMark/>
          </w:tcPr>
          <w:p w14:paraId="6ED28582"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117.5</w:t>
            </w:r>
          </w:p>
        </w:tc>
      </w:tr>
      <w:tr w:rsidR="00152941" w14:paraId="2A3FF78A" w14:textId="77777777" w:rsidTr="00CF66BE">
        <w:trPr>
          <w:gridAfter w:val="1"/>
          <w:wAfter w:w="12" w:type="pct"/>
          <w:trHeight w:val="73"/>
        </w:trPr>
        <w:tc>
          <w:tcPr>
            <w:tcW w:w="2114" w:type="pct"/>
            <w:gridSpan w:val="3"/>
            <w:tcBorders>
              <w:top w:val="nil"/>
              <w:left w:val="nil"/>
              <w:bottom w:val="nil"/>
              <w:right w:val="nil"/>
            </w:tcBorders>
            <w:shd w:val="clear" w:color="auto" w:fill="auto"/>
            <w:vAlign w:val="center"/>
            <w:hideMark/>
          </w:tcPr>
          <w:p w14:paraId="71E3F280" w14:textId="77777777" w:rsidR="00152941" w:rsidRDefault="00152941">
            <w:pPr>
              <w:rPr>
                <w:rFonts w:ascii="Calibri" w:hAnsi="Calibri" w:cs="Calibri"/>
                <w:color w:val="000000"/>
                <w:sz w:val="20"/>
                <w:szCs w:val="20"/>
              </w:rPr>
            </w:pPr>
            <w:r>
              <w:rPr>
                <w:rFonts w:ascii="Calibri" w:hAnsi="Calibri" w:cs="Calibri"/>
                <w:color w:val="000000"/>
                <w:sz w:val="20"/>
                <w:szCs w:val="20"/>
              </w:rPr>
              <w:t>Second charge mortgages</w:t>
            </w:r>
          </w:p>
        </w:tc>
        <w:tc>
          <w:tcPr>
            <w:tcW w:w="719" w:type="pct"/>
            <w:gridSpan w:val="2"/>
            <w:tcBorders>
              <w:top w:val="nil"/>
              <w:left w:val="nil"/>
              <w:bottom w:val="nil"/>
              <w:right w:val="nil"/>
            </w:tcBorders>
            <w:shd w:val="clear" w:color="auto" w:fill="auto"/>
            <w:vAlign w:val="center"/>
            <w:hideMark/>
          </w:tcPr>
          <w:p w14:paraId="50DB048C"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2.8</w:t>
            </w:r>
          </w:p>
        </w:tc>
        <w:tc>
          <w:tcPr>
            <w:tcW w:w="719" w:type="pct"/>
            <w:gridSpan w:val="2"/>
            <w:tcBorders>
              <w:top w:val="nil"/>
              <w:left w:val="nil"/>
              <w:bottom w:val="nil"/>
              <w:right w:val="nil"/>
            </w:tcBorders>
            <w:shd w:val="clear" w:color="auto" w:fill="auto"/>
            <w:vAlign w:val="center"/>
            <w:hideMark/>
          </w:tcPr>
          <w:p w14:paraId="7D4A45FF"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w:t>
            </w:r>
          </w:p>
        </w:tc>
        <w:tc>
          <w:tcPr>
            <w:tcW w:w="720" w:type="pct"/>
            <w:gridSpan w:val="2"/>
            <w:tcBorders>
              <w:top w:val="nil"/>
              <w:left w:val="nil"/>
              <w:bottom w:val="nil"/>
              <w:right w:val="nil"/>
            </w:tcBorders>
            <w:shd w:val="clear" w:color="auto" w:fill="auto"/>
            <w:vAlign w:val="center"/>
            <w:hideMark/>
          </w:tcPr>
          <w:p w14:paraId="256C515B"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w:t>
            </w:r>
          </w:p>
        </w:tc>
        <w:tc>
          <w:tcPr>
            <w:tcW w:w="718" w:type="pct"/>
            <w:gridSpan w:val="2"/>
            <w:tcBorders>
              <w:top w:val="nil"/>
              <w:left w:val="nil"/>
              <w:bottom w:val="nil"/>
              <w:right w:val="nil"/>
            </w:tcBorders>
            <w:shd w:val="clear" w:color="auto" w:fill="auto"/>
            <w:vAlign w:val="center"/>
            <w:hideMark/>
          </w:tcPr>
          <w:p w14:paraId="4779E481"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2.8</w:t>
            </w:r>
          </w:p>
        </w:tc>
      </w:tr>
      <w:tr w:rsidR="00152941" w14:paraId="02B5B4D0" w14:textId="77777777" w:rsidTr="00CF66BE">
        <w:trPr>
          <w:gridAfter w:val="1"/>
          <w:wAfter w:w="12" w:type="pct"/>
          <w:trHeight w:val="294"/>
        </w:trPr>
        <w:tc>
          <w:tcPr>
            <w:tcW w:w="2114" w:type="pct"/>
            <w:gridSpan w:val="3"/>
            <w:tcBorders>
              <w:top w:val="nil"/>
              <w:left w:val="nil"/>
              <w:bottom w:val="nil"/>
              <w:right w:val="nil"/>
            </w:tcBorders>
            <w:shd w:val="clear" w:color="auto" w:fill="auto"/>
            <w:vAlign w:val="center"/>
            <w:hideMark/>
          </w:tcPr>
          <w:p w14:paraId="73083854" w14:textId="77777777" w:rsidR="00152941" w:rsidRDefault="00152941">
            <w:pPr>
              <w:rPr>
                <w:rFonts w:ascii="Calibri" w:hAnsi="Calibri" w:cs="Calibri"/>
                <w:b/>
                <w:bCs/>
                <w:color w:val="000000"/>
                <w:sz w:val="20"/>
                <w:szCs w:val="20"/>
              </w:rPr>
            </w:pPr>
            <w:r>
              <w:rPr>
                <w:rFonts w:ascii="Calibri" w:hAnsi="Calibri" w:cs="Calibri"/>
                <w:b/>
                <w:bCs/>
                <w:color w:val="000000"/>
                <w:sz w:val="20"/>
                <w:szCs w:val="20"/>
              </w:rPr>
              <w:t>Total group</w:t>
            </w:r>
          </w:p>
        </w:tc>
        <w:tc>
          <w:tcPr>
            <w:tcW w:w="719" w:type="pct"/>
            <w:gridSpan w:val="2"/>
            <w:tcBorders>
              <w:top w:val="single" w:sz="8" w:space="0" w:color="auto"/>
              <w:left w:val="nil"/>
              <w:bottom w:val="single" w:sz="8" w:space="0" w:color="auto"/>
              <w:right w:val="nil"/>
            </w:tcBorders>
            <w:shd w:val="clear" w:color="auto" w:fill="auto"/>
            <w:vAlign w:val="center"/>
            <w:hideMark/>
          </w:tcPr>
          <w:p w14:paraId="1D65EE7F" w14:textId="77777777" w:rsidR="00152941" w:rsidRDefault="00152941">
            <w:pPr>
              <w:jc w:val="right"/>
              <w:rPr>
                <w:rFonts w:ascii="Calibri" w:hAnsi="Calibri" w:cs="Calibri"/>
                <w:b/>
                <w:bCs/>
                <w:color w:val="000000"/>
                <w:sz w:val="20"/>
                <w:szCs w:val="20"/>
              </w:rPr>
            </w:pPr>
            <w:r>
              <w:rPr>
                <w:rFonts w:ascii="Calibri" w:hAnsi="Calibri" w:cs="Calibri"/>
                <w:b/>
                <w:bCs/>
                <w:color w:val="000000"/>
                <w:sz w:val="20"/>
                <w:szCs w:val="20"/>
              </w:rPr>
              <w:t>1,699.4</w:t>
            </w:r>
          </w:p>
        </w:tc>
        <w:tc>
          <w:tcPr>
            <w:tcW w:w="719" w:type="pct"/>
            <w:gridSpan w:val="2"/>
            <w:tcBorders>
              <w:top w:val="single" w:sz="8" w:space="0" w:color="auto"/>
              <w:left w:val="nil"/>
              <w:bottom w:val="single" w:sz="8" w:space="0" w:color="auto"/>
              <w:right w:val="nil"/>
            </w:tcBorders>
            <w:shd w:val="clear" w:color="auto" w:fill="auto"/>
            <w:vAlign w:val="center"/>
            <w:hideMark/>
          </w:tcPr>
          <w:p w14:paraId="6A7B3AE7" w14:textId="77777777" w:rsidR="00152941" w:rsidRDefault="00152941">
            <w:pPr>
              <w:jc w:val="right"/>
              <w:rPr>
                <w:rFonts w:ascii="Calibri" w:hAnsi="Calibri" w:cs="Calibri"/>
                <w:b/>
                <w:bCs/>
                <w:color w:val="000000"/>
                <w:sz w:val="20"/>
                <w:szCs w:val="20"/>
              </w:rPr>
            </w:pPr>
            <w:r>
              <w:rPr>
                <w:rFonts w:ascii="Calibri" w:hAnsi="Calibri" w:cs="Calibri"/>
                <w:b/>
                <w:bCs/>
                <w:color w:val="000000"/>
                <w:sz w:val="20"/>
                <w:szCs w:val="20"/>
              </w:rPr>
              <w:t>391.7</w:t>
            </w:r>
          </w:p>
        </w:tc>
        <w:tc>
          <w:tcPr>
            <w:tcW w:w="720" w:type="pct"/>
            <w:gridSpan w:val="2"/>
            <w:tcBorders>
              <w:top w:val="single" w:sz="8" w:space="0" w:color="auto"/>
              <w:left w:val="nil"/>
              <w:bottom w:val="single" w:sz="8" w:space="0" w:color="auto"/>
              <w:right w:val="nil"/>
            </w:tcBorders>
            <w:shd w:val="clear" w:color="auto" w:fill="auto"/>
            <w:vAlign w:val="center"/>
            <w:hideMark/>
          </w:tcPr>
          <w:p w14:paraId="148F95AC" w14:textId="77777777" w:rsidR="00152941" w:rsidRDefault="00152941">
            <w:pPr>
              <w:jc w:val="right"/>
              <w:rPr>
                <w:rFonts w:ascii="Calibri" w:hAnsi="Calibri" w:cs="Calibri"/>
                <w:b/>
                <w:bCs/>
                <w:color w:val="000000"/>
                <w:sz w:val="20"/>
                <w:szCs w:val="20"/>
              </w:rPr>
            </w:pPr>
            <w:r>
              <w:rPr>
                <w:rFonts w:ascii="Calibri" w:hAnsi="Calibri" w:cs="Calibri"/>
                <w:b/>
                <w:bCs/>
                <w:color w:val="000000"/>
                <w:sz w:val="20"/>
                <w:szCs w:val="20"/>
              </w:rPr>
              <w:t>649.8</w:t>
            </w:r>
          </w:p>
        </w:tc>
        <w:tc>
          <w:tcPr>
            <w:tcW w:w="718" w:type="pct"/>
            <w:gridSpan w:val="2"/>
            <w:tcBorders>
              <w:top w:val="single" w:sz="8" w:space="0" w:color="auto"/>
              <w:left w:val="nil"/>
              <w:bottom w:val="single" w:sz="8" w:space="0" w:color="auto"/>
              <w:right w:val="nil"/>
            </w:tcBorders>
            <w:shd w:val="clear" w:color="auto" w:fill="auto"/>
            <w:vAlign w:val="center"/>
            <w:hideMark/>
          </w:tcPr>
          <w:p w14:paraId="636DB495" w14:textId="77777777" w:rsidR="00152941" w:rsidRDefault="00152941">
            <w:pPr>
              <w:jc w:val="right"/>
              <w:rPr>
                <w:rFonts w:ascii="Calibri" w:hAnsi="Calibri" w:cs="Calibri"/>
                <w:b/>
                <w:bCs/>
                <w:color w:val="000000"/>
                <w:sz w:val="20"/>
                <w:szCs w:val="20"/>
              </w:rPr>
            </w:pPr>
            <w:r>
              <w:rPr>
                <w:rFonts w:ascii="Calibri" w:hAnsi="Calibri" w:cs="Calibri"/>
                <w:b/>
                <w:bCs/>
                <w:color w:val="000000"/>
                <w:sz w:val="20"/>
                <w:szCs w:val="20"/>
              </w:rPr>
              <w:t>2,740.9</w:t>
            </w:r>
          </w:p>
        </w:tc>
      </w:tr>
      <w:tr w:rsidR="00152941" w14:paraId="7134FFAF" w14:textId="77777777" w:rsidTr="00CF66BE">
        <w:trPr>
          <w:gridAfter w:val="1"/>
          <w:wAfter w:w="12" w:type="pct"/>
          <w:trHeight w:val="279"/>
        </w:trPr>
        <w:tc>
          <w:tcPr>
            <w:tcW w:w="2114" w:type="pct"/>
            <w:gridSpan w:val="3"/>
            <w:tcBorders>
              <w:top w:val="nil"/>
              <w:left w:val="nil"/>
              <w:bottom w:val="nil"/>
              <w:right w:val="nil"/>
            </w:tcBorders>
            <w:shd w:val="clear" w:color="auto" w:fill="auto"/>
            <w:vAlign w:val="center"/>
            <w:hideMark/>
          </w:tcPr>
          <w:p w14:paraId="0FE64CA2" w14:textId="77777777" w:rsidR="00152941" w:rsidRDefault="00152941">
            <w:pPr>
              <w:jc w:val="right"/>
              <w:rPr>
                <w:rFonts w:ascii="Calibri" w:hAnsi="Calibri" w:cs="Calibri"/>
                <w:b/>
                <w:bCs/>
                <w:color w:val="000000"/>
                <w:sz w:val="20"/>
                <w:szCs w:val="20"/>
              </w:rPr>
            </w:pPr>
          </w:p>
        </w:tc>
        <w:tc>
          <w:tcPr>
            <w:tcW w:w="719" w:type="pct"/>
            <w:gridSpan w:val="2"/>
            <w:tcBorders>
              <w:top w:val="nil"/>
              <w:left w:val="nil"/>
              <w:bottom w:val="nil"/>
              <w:right w:val="nil"/>
            </w:tcBorders>
            <w:shd w:val="clear" w:color="auto" w:fill="auto"/>
            <w:vAlign w:val="center"/>
            <w:hideMark/>
          </w:tcPr>
          <w:p w14:paraId="111697C2" w14:textId="77777777" w:rsidR="00152941" w:rsidRDefault="00152941">
            <w:pPr>
              <w:rPr>
                <w:sz w:val="20"/>
                <w:szCs w:val="20"/>
              </w:rPr>
            </w:pPr>
          </w:p>
        </w:tc>
        <w:tc>
          <w:tcPr>
            <w:tcW w:w="719" w:type="pct"/>
            <w:gridSpan w:val="2"/>
            <w:tcBorders>
              <w:top w:val="nil"/>
              <w:left w:val="nil"/>
              <w:bottom w:val="nil"/>
              <w:right w:val="nil"/>
            </w:tcBorders>
            <w:shd w:val="clear" w:color="auto" w:fill="auto"/>
            <w:vAlign w:val="center"/>
            <w:hideMark/>
          </w:tcPr>
          <w:p w14:paraId="2AC89ABC" w14:textId="77777777" w:rsidR="00152941" w:rsidRDefault="00152941">
            <w:pPr>
              <w:jc w:val="right"/>
              <w:rPr>
                <w:sz w:val="20"/>
                <w:szCs w:val="20"/>
              </w:rPr>
            </w:pPr>
          </w:p>
        </w:tc>
        <w:tc>
          <w:tcPr>
            <w:tcW w:w="720" w:type="pct"/>
            <w:gridSpan w:val="2"/>
            <w:tcBorders>
              <w:top w:val="nil"/>
              <w:left w:val="nil"/>
              <w:bottom w:val="nil"/>
              <w:right w:val="nil"/>
            </w:tcBorders>
            <w:shd w:val="clear" w:color="auto" w:fill="auto"/>
            <w:vAlign w:val="center"/>
            <w:hideMark/>
          </w:tcPr>
          <w:p w14:paraId="6CE4ED0B" w14:textId="77777777" w:rsidR="00152941" w:rsidRDefault="00152941">
            <w:pPr>
              <w:jc w:val="right"/>
              <w:rPr>
                <w:sz w:val="20"/>
                <w:szCs w:val="20"/>
              </w:rPr>
            </w:pPr>
          </w:p>
        </w:tc>
        <w:tc>
          <w:tcPr>
            <w:tcW w:w="718" w:type="pct"/>
            <w:gridSpan w:val="2"/>
            <w:tcBorders>
              <w:top w:val="nil"/>
              <w:left w:val="nil"/>
              <w:bottom w:val="nil"/>
              <w:right w:val="nil"/>
            </w:tcBorders>
            <w:shd w:val="clear" w:color="auto" w:fill="auto"/>
            <w:vAlign w:val="center"/>
            <w:hideMark/>
          </w:tcPr>
          <w:p w14:paraId="2566BB87" w14:textId="77777777" w:rsidR="00152941" w:rsidRDefault="00152941">
            <w:pPr>
              <w:jc w:val="right"/>
              <w:rPr>
                <w:sz w:val="20"/>
                <w:szCs w:val="20"/>
              </w:rPr>
            </w:pPr>
          </w:p>
        </w:tc>
      </w:tr>
      <w:tr w:rsidR="00152941" w14:paraId="0A49AF68" w14:textId="77777777" w:rsidTr="00CF66BE">
        <w:trPr>
          <w:gridAfter w:val="1"/>
          <w:wAfter w:w="12" w:type="pct"/>
          <w:trHeight w:val="279"/>
        </w:trPr>
        <w:tc>
          <w:tcPr>
            <w:tcW w:w="2114" w:type="pct"/>
            <w:gridSpan w:val="3"/>
            <w:tcBorders>
              <w:top w:val="nil"/>
              <w:left w:val="nil"/>
              <w:bottom w:val="nil"/>
              <w:right w:val="nil"/>
            </w:tcBorders>
            <w:shd w:val="clear" w:color="auto" w:fill="auto"/>
            <w:vAlign w:val="center"/>
            <w:hideMark/>
          </w:tcPr>
          <w:p w14:paraId="1941CE05" w14:textId="77777777" w:rsidR="00152941" w:rsidRDefault="00152941">
            <w:pPr>
              <w:rPr>
                <w:rFonts w:ascii="Calibri" w:hAnsi="Calibri" w:cs="Calibri"/>
                <w:b/>
                <w:bCs/>
                <w:color w:val="000000"/>
                <w:sz w:val="20"/>
                <w:szCs w:val="20"/>
              </w:rPr>
            </w:pPr>
            <w:r>
              <w:rPr>
                <w:rFonts w:ascii="Calibri" w:hAnsi="Calibri" w:cs="Calibri"/>
                <w:b/>
                <w:bCs/>
                <w:color w:val="000000"/>
                <w:sz w:val="20"/>
                <w:szCs w:val="20"/>
              </w:rPr>
              <w:t>Allowance account</w:t>
            </w:r>
          </w:p>
        </w:tc>
        <w:tc>
          <w:tcPr>
            <w:tcW w:w="719" w:type="pct"/>
            <w:gridSpan w:val="2"/>
            <w:tcBorders>
              <w:top w:val="nil"/>
              <w:left w:val="nil"/>
              <w:bottom w:val="nil"/>
              <w:right w:val="nil"/>
            </w:tcBorders>
            <w:shd w:val="clear" w:color="auto" w:fill="auto"/>
            <w:vAlign w:val="center"/>
            <w:hideMark/>
          </w:tcPr>
          <w:p w14:paraId="0C894998" w14:textId="77777777" w:rsidR="00152941" w:rsidRDefault="00152941">
            <w:pPr>
              <w:rPr>
                <w:rFonts w:ascii="Calibri" w:hAnsi="Calibri" w:cs="Calibri"/>
                <w:b/>
                <w:bCs/>
                <w:color w:val="000000"/>
                <w:sz w:val="20"/>
                <w:szCs w:val="20"/>
              </w:rPr>
            </w:pPr>
          </w:p>
        </w:tc>
        <w:tc>
          <w:tcPr>
            <w:tcW w:w="719" w:type="pct"/>
            <w:gridSpan w:val="2"/>
            <w:tcBorders>
              <w:top w:val="nil"/>
              <w:left w:val="nil"/>
              <w:bottom w:val="nil"/>
              <w:right w:val="nil"/>
            </w:tcBorders>
            <w:shd w:val="clear" w:color="auto" w:fill="auto"/>
            <w:vAlign w:val="center"/>
            <w:hideMark/>
          </w:tcPr>
          <w:p w14:paraId="09D91367" w14:textId="77777777" w:rsidR="00152941" w:rsidRDefault="00152941">
            <w:pPr>
              <w:jc w:val="right"/>
              <w:rPr>
                <w:sz w:val="20"/>
                <w:szCs w:val="20"/>
              </w:rPr>
            </w:pPr>
          </w:p>
        </w:tc>
        <w:tc>
          <w:tcPr>
            <w:tcW w:w="720" w:type="pct"/>
            <w:gridSpan w:val="2"/>
            <w:tcBorders>
              <w:top w:val="nil"/>
              <w:left w:val="nil"/>
              <w:bottom w:val="nil"/>
              <w:right w:val="nil"/>
            </w:tcBorders>
            <w:shd w:val="clear" w:color="auto" w:fill="auto"/>
            <w:vAlign w:val="center"/>
            <w:hideMark/>
          </w:tcPr>
          <w:p w14:paraId="67CA1F52" w14:textId="77777777" w:rsidR="00152941" w:rsidRDefault="00152941">
            <w:pPr>
              <w:jc w:val="right"/>
              <w:rPr>
                <w:sz w:val="20"/>
                <w:szCs w:val="20"/>
              </w:rPr>
            </w:pPr>
          </w:p>
        </w:tc>
        <w:tc>
          <w:tcPr>
            <w:tcW w:w="718" w:type="pct"/>
            <w:gridSpan w:val="2"/>
            <w:tcBorders>
              <w:top w:val="nil"/>
              <w:left w:val="nil"/>
              <w:bottom w:val="nil"/>
              <w:right w:val="nil"/>
            </w:tcBorders>
            <w:shd w:val="clear" w:color="auto" w:fill="auto"/>
            <w:vAlign w:val="center"/>
            <w:hideMark/>
          </w:tcPr>
          <w:p w14:paraId="502082E0" w14:textId="77777777" w:rsidR="00152941" w:rsidRDefault="00152941">
            <w:pPr>
              <w:jc w:val="right"/>
              <w:rPr>
                <w:sz w:val="20"/>
                <w:szCs w:val="20"/>
              </w:rPr>
            </w:pPr>
          </w:p>
        </w:tc>
      </w:tr>
      <w:tr w:rsidR="00152941" w:rsidRPr="00D63DF2" w14:paraId="0FD9EFA0" w14:textId="77777777" w:rsidTr="00CF66BE">
        <w:trPr>
          <w:gridAfter w:val="1"/>
          <w:wAfter w:w="12" w:type="pct"/>
          <w:trHeight w:val="279"/>
        </w:trPr>
        <w:tc>
          <w:tcPr>
            <w:tcW w:w="2114" w:type="pct"/>
            <w:gridSpan w:val="3"/>
            <w:tcBorders>
              <w:top w:val="nil"/>
              <w:left w:val="nil"/>
              <w:bottom w:val="nil"/>
              <w:right w:val="nil"/>
            </w:tcBorders>
            <w:shd w:val="clear" w:color="auto" w:fill="auto"/>
            <w:vAlign w:val="center"/>
            <w:hideMark/>
          </w:tcPr>
          <w:p w14:paraId="47DAEF10" w14:textId="77777777" w:rsidR="00152941" w:rsidRDefault="00152941">
            <w:pPr>
              <w:rPr>
                <w:rFonts w:ascii="Calibri" w:hAnsi="Calibri" w:cs="Calibri"/>
                <w:color w:val="000000"/>
                <w:sz w:val="20"/>
                <w:szCs w:val="20"/>
              </w:rPr>
            </w:pPr>
            <w:r>
              <w:rPr>
                <w:rFonts w:ascii="Calibri" w:hAnsi="Calibri" w:cs="Calibri"/>
                <w:color w:val="000000"/>
                <w:sz w:val="20"/>
                <w:szCs w:val="20"/>
              </w:rPr>
              <w:t>Credit cards</w:t>
            </w:r>
          </w:p>
        </w:tc>
        <w:tc>
          <w:tcPr>
            <w:tcW w:w="719" w:type="pct"/>
            <w:gridSpan w:val="2"/>
            <w:tcBorders>
              <w:top w:val="nil"/>
              <w:left w:val="nil"/>
              <w:bottom w:val="nil"/>
              <w:right w:val="nil"/>
            </w:tcBorders>
            <w:shd w:val="clear" w:color="auto" w:fill="auto"/>
            <w:vAlign w:val="center"/>
            <w:hideMark/>
          </w:tcPr>
          <w:p w14:paraId="35122130"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(85.2)</w:t>
            </w:r>
          </w:p>
        </w:tc>
        <w:tc>
          <w:tcPr>
            <w:tcW w:w="719" w:type="pct"/>
            <w:gridSpan w:val="2"/>
            <w:tcBorders>
              <w:top w:val="nil"/>
              <w:left w:val="nil"/>
              <w:bottom w:val="nil"/>
              <w:right w:val="nil"/>
            </w:tcBorders>
            <w:shd w:val="clear" w:color="auto" w:fill="auto"/>
            <w:vAlign w:val="center"/>
            <w:hideMark/>
          </w:tcPr>
          <w:p w14:paraId="13900941"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(57.6)</w:t>
            </w:r>
          </w:p>
        </w:tc>
        <w:tc>
          <w:tcPr>
            <w:tcW w:w="720" w:type="pct"/>
            <w:gridSpan w:val="2"/>
            <w:tcBorders>
              <w:top w:val="nil"/>
              <w:left w:val="nil"/>
              <w:bottom w:val="nil"/>
              <w:right w:val="nil"/>
            </w:tcBorders>
            <w:shd w:val="clear" w:color="auto" w:fill="auto"/>
            <w:vAlign w:val="center"/>
            <w:hideMark/>
          </w:tcPr>
          <w:p w14:paraId="17BFBBC9"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(55.9)</w:t>
            </w:r>
          </w:p>
        </w:tc>
        <w:tc>
          <w:tcPr>
            <w:tcW w:w="718" w:type="pct"/>
            <w:gridSpan w:val="2"/>
            <w:tcBorders>
              <w:top w:val="nil"/>
              <w:left w:val="nil"/>
              <w:bottom w:val="nil"/>
              <w:right w:val="nil"/>
            </w:tcBorders>
            <w:shd w:val="clear" w:color="auto" w:fill="auto"/>
            <w:vAlign w:val="center"/>
            <w:hideMark/>
          </w:tcPr>
          <w:p w14:paraId="3193D833"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(198.7)</w:t>
            </w:r>
          </w:p>
        </w:tc>
      </w:tr>
      <w:tr w:rsidR="00152941" w:rsidRPr="00D63DF2" w14:paraId="71D2E985" w14:textId="77777777" w:rsidTr="00CF66BE">
        <w:trPr>
          <w:gridAfter w:val="1"/>
          <w:wAfter w:w="12" w:type="pct"/>
          <w:trHeight w:val="279"/>
        </w:trPr>
        <w:tc>
          <w:tcPr>
            <w:tcW w:w="2114" w:type="pct"/>
            <w:gridSpan w:val="3"/>
            <w:tcBorders>
              <w:top w:val="nil"/>
              <w:left w:val="nil"/>
              <w:bottom w:val="nil"/>
              <w:right w:val="nil"/>
            </w:tcBorders>
            <w:shd w:val="clear" w:color="auto" w:fill="auto"/>
            <w:vAlign w:val="center"/>
            <w:hideMark/>
          </w:tcPr>
          <w:p w14:paraId="36CA9176" w14:textId="4A8CB77C" w:rsidR="00152941" w:rsidRDefault="00152941">
            <w:pPr>
              <w:rPr>
                <w:rFonts w:ascii="Calibri" w:hAnsi="Calibri" w:cs="Calibri"/>
                <w:color w:val="000000"/>
                <w:sz w:val="20"/>
                <w:szCs w:val="20"/>
              </w:rPr>
            </w:pPr>
            <w:r>
              <w:rPr>
                <w:rFonts w:ascii="Calibri" w:hAnsi="Calibri" w:cs="Calibri"/>
                <w:color w:val="000000"/>
                <w:sz w:val="20"/>
                <w:szCs w:val="20"/>
              </w:rPr>
              <w:t>Vehicle finance</w:t>
            </w:r>
            <w:r w:rsidR="00D07A0B">
              <w:rPr>
                <w:rFonts w:ascii="Calibri" w:hAnsi="Calibri" w:cs="Calibri"/>
                <w:color w:val="000000"/>
                <w:sz w:val="20"/>
                <w:szCs w:val="20"/>
              </w:rPr>
              <w:t xml:space="preserve"> (restated)</w:t>
            </w:r>
            <w:r w:rsidR="00D07A0B" w:rsidRPr="00D07A0B">
              <w:rPr>
                <w:rFonts w:ascii="Calibri" w:hAnsi="Calibri" w:cs="Calibri"/>
                <w:color w:val="000000"/>
                <w:sz w:val="20"/>
                <w:szCs w:val="20"/>
                <w:vertAlign w:val="superscript"/>
              </w:rPr>
              <w:t>1</w:t>
            </w:r>
          </w:p>
        </w:tc>
        <w:tc>
          <w:tcPr>
            <w:tcW w:w="719" w:type="pct"/>
            <w:gridSpan w:val="2"/>
            <w:tcBorders>
              <w:top w:val="nil"/>
              <w:left w:val="nil"/>
              <w:bottom w:val="nil"/>
              <w:right w:val="nil"/>
            </w:tcBorders>
            <w:shd w:val="clear" w:color="auto" w:fill="auto"/>
            <w:vAlign w:val="center"/>
            <w:hideMark/>
          </w:tcPr>
          <w:p w14:paraId="143B2886"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(18.2)</w:t>
            </w:r>
          </w:p>
        </w:tc>
        <w:tc>
          <w:tcPr>
            <w:tcW w:w="719" w:type="pct"/>
            <w:gridSpan w:val="2"/>
            <w:tcBorders>
              <w:top w:val="nil"/>
              <w:left w:val="nil"/>
              <w:bottom w:val="nil"/>
              <w:right w:val="nil"/>
            </w:tcBorders>
            <w:shd w:val="clear" w:color="auto" w:fill="auto"/>
            <w:vAlign w:val="center"/>
            <w:hideMark/>
          </w:tcPr>
          <w:p w14:paraId="3C8E4930"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(27.0)</w:t>
            </w:r>
          </w:p>
        </w:tc>
        <w:tc>
          <w:tcPr>
            <w:tcW w:w="720" w:type="pct"/>
            <w:gridSpan w:val="2"/>
            <w:tcBorders>
              <w:top w:val="nil"/>
              <w:left w:val="nil"/>
              <w:bottom w:val="nil"/>
              <w:right w:val="nil"/>
            </w:tcBorders>
            <w:shd w:val="clear" w:color="auto" w:fill="auto"/>
            <w:vAlign w:val="center"/>
            <w:hideMark/>
          </w:tcPr>
          <w:p w14:paraId="399A8C3B"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(322.9)</w:t>
            </w:r>
          </w:p>
        </w:tc>
        <w:tc>
          <w:tcPr>
            <w:tcW w:w="718" w:type="pct"/>
            <w:gridSpan w:val="2"/>
            <w:tcBorders>
              <w:top w:val="nil"/>
              <w:left w:val="nil"/>
              <w:bottom w:val="nil"/>
              <w:right w:val="nil"/>
            </w:tcBorders>
            <w:shd w:val="clear" w:color="auto" w:fill="auto"/>
            <w:vAlign w:val="center"/>
            <w:hideMark/>
          </w:tcPr>
          <w:p w14:paraId="79028C72"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(368.1)</w:t>
            </w:r>
          </w:p>
        </w:tc>
      </w:tr>
      <w:tr w:rsidR="00152941" w:rsidRPr="00D63DF2" w14:paraId="7F1BEA23" w14:textId="77777777" w:rsidTr="00CF66BE">
        <w:trPr>
          <w:gridAfter w:val="1"/>
          <w:wAfter w:w="12" w:type="pct"/>
          <w:trHeight w:val="279"/>
        </w:trPr>
        <w:tc>
          <w:tcPr>
            <w:tcW w:w="2114" w:type="pct"/>
            <w:gridSpan w:val="3"/>
            <w:tcBorders>
              <w:top w:val="nil"/>
              <w:left w:val="nil"/>
              <w:bottom w:val="nil"/>
              <w:right w:val="nil"/>
            </w:tcBorders>
            <w:shd w:val="clear" w:color="auto" w:fill="auto"/>
            <w:vAlign w:val="center"/>
            <w:hideMark/>
          </w:tcPr>
          <w:p w14:paraId="43559A1D" w14:textId="77777777" w:rsidR="00152941" w:rsidRDefault="00152941">
            <w:pPr>
              <w:rPr>
                <w:rFonts w:ascii="Calibri" w:hAnsi="Calibri" w:cs="Calibri"/>
                <w:color w:val="000000"/>
                <w:sz w:val="20"/>
                <w:szCs w:val="20"/>
              </w:rPr>
            </w:pPr>
            <w:r>
              <w:rPr>
                <w:rFonts w:ascii="Calibri" w:hAnsi="Calibri" w:cs="Calibri"/>
                <w:color w:val="000000"/>
                <w:sz w:val="20"/>
                <w:szCs w:val="20"/>
              </w:rPr>
              <w:t>Personal loans</w:t>
            </w:r>
          </w:p>
        </w:tc>
        <w:tc>
          <w:tcPr>
            <w:tcW w:w="719" w:type="pct"/>
            <w:gridSpan w:val="2"/>
            <w:tcBorders>
              <w:top w:val="nil"/>
              <w:left w:val="nil"/>
              <w:bottom w:val="nil"/>
              <w:right w:val="nil"/>
            </w:tcBorders>
            <w:shd w:val="clear" w:color="auto" w:fill="auto"/>
            <w:vAlign w:val="center"/>
            <w:hideMark/>
          </w:tcPr>
          <w:p w14:paraId="46061BAF"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(6.3)</w:t>
            </w:r>
          </w:p>
        </w:tc>
        <w:tc>
          <w:tcPr>
            <w:tcW w:w="719" w:type="pct"/>
            <w:gridSpan w:val="2"/>
            <w:tcBorders>
              <w:top w:val="nil"/>
              <w:left w:val="nil"/>
              <w:bottom w:val="nil"/>
              <w:right w:val="nil"/>
            </w:tcBorders>
            <w:shd w:val="clear" w:color="auto" w:fill="auto"/>
            <w:vAlign w:val="center"/>
            <w:hideMark/>
          </w:tcPr>
          <w:p w14:paraId="7360D78C"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(2.4)</w:t>
            </w:r>
          </w:p>
        </w:tc>
        <w:tc>
          <w:tcPr>
            <w:tcW w:w="720" w:type="pct"/>
            <w:gridSpan w:val="2"/>
            <w:tcBorders>
              <w:top w:val="nil"/>
              <w:left w:val="nil"/>
              <w:bottom w:val="nil"/>
              <w:right w:val="nil"/>
            </w:tcBorders>
            <w:shd w:val="clear" w:color="auto" w:fill="auto"/>
            <w:vAlign w:val="center"/>
            <w:hideMark/>
          </w:tcPr>
          <w:p w14:paraId="653A00EE"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(6.4)</w:t>
            </w:r>
          </w:p>
        </w:tc>
        <w:tc>
          <w:tcPr>
            <w:tcW w:w="718" w:type="pct"/>
            <w:gridSpan w:val="2"/>
            <w:tcBorders>
              <w:top w:val="nil"/>
              <w:left w:val="nil"/>
              <w:bottom w:val="nil"/>
              <w:right w:val="nil"/>
            </w:tcBorders>
            <w:shd w:val="clear" w:color="auto" w:fill="auto"/>
            <w:vAlign w:val="center"/>
            <w:hideMark/>
          </w:tcPr>
          <w:p w14:paraId="7D429A07"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(15.1)</w:t>
            </w:r>
          </w:p>
        </w:tc>
      </w:tr>
      <w:tr w:rsidR="00152941" w:rsidRPr="00D63DF2" w14:paraId="3467D5FF" w14:textId="77777777" w:rsidTr="00CF66BE">
        <w:trPr>
          <w:gridAfter w:val="1"/>
          <w:wAfter w:w="12" w:type="pct"/>
          <w:trHeight w:val="294"/>
        </w:trPr>
        <w:tc>
          <w:tcPr>
            <w:tcW w:w="2114" w:type="pct"/>
            <w:gridSpan w:val="3"/>
            <w:tcBorders>
              <w:top w:val="nil"/>
              <w:left w:val="nil"/>
              <w:bottom w:val="nil"/>
              <w:right w:val="nil"/>
            </w:tcBorders>
            <w:shd w:val="clear" w:color="auto" w:fill="auto"/>
            <w:vAlign w:val="center"/>
            <w:hideMark/>
          </w:tcPr>
          <w:p w14:paraId="6CF23A9F" w14:textId="77777777" w:rsidR="00152941" w:rsidRDefault="00152941">
            <w:pPr>
              <w:rPr>
                <w:rFonts w:ascii="Calibri" w:hAnsi="Calibri" w:cs="Calibri"/>
                <w:color w:val="000000"/>
                <w:sz w:val="20"/>
                <w:szCs w:val="20"/>
              </w:rPr>
            </w:pPr>
            <w:r>
              <w:rPr>
                <w:rFonts w:ascii="Calibri" w:hAnsi="Calibri" w:cs="Calibri"/>
                <w:color w:val="000000"/>
                <w:sz w:val="20"/>
                <w:szCs w:val="20"/>
              </w:rPr>
              <w:t>Second charge mortgages</w:t>
            </w:r>
          </w:p>
        </w:tc>
        <w:tc>
          <w:tcPr>
            <w:tcW w:w="719" w:type="pct"/>
            <w:gridSpan w:val="2"/>
            <w:tcBorders>
              <w:top w:val="nil"/>
              <w:left w:val="nil"/>
              <w:bottom w:val="nil"/>
              <w:right w:val="nil"/>
            </w:tcBorders>
            <w:shd w:val="clear" w:color="auto" w:fill="auto"/>
            <w:vAlign w:val="center"/>
            <w:hideMark/>
          </w:tcPr>
          <w:p w14:paraId="23BFD3FC"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w:t>
            </w:r>
          </w:p>
        </w:tc>
        <w:tc>
          <w:tcPr>
            <w:tcW w:w="719" w:type="pct"/>
            <w:gridSpan w:val="2"/>
            <w:tcBorders>
              <w:top w:val="nil"/>
              <w:left w:val="nil"/>
              <w:bottom w:val="nil"/>
              <w:right w:val="nil"/>
            </w:tcBorders>
            <w:shd w:val="clear" w:color="auto" w:fill="auto"/>
            <w:vAlign w:val="center"/>
            <w:hideMark/>
          </w:tcPr>
          <w:p w14:paraId="11342585"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w:t>
            </w:r>
          </w:p>
        </w:tc>
        <w:tc>
          <w:tcPr>
            <w:tcW w:w="720" w:type="pct"/>
            <w:gridSpan w:val="2"/>
            <w:tcBorders>
              <w:top w:val="nil"/>
              <w:left w:val="nil"/>
              <w:bottom w:val="nil"/>
              <w:right w:val="nil"/>
            </w:tcBorders>
            <w:shd w:val="clear" w:color="auto" w:fill="auto"/>
            <w:vAlign w:val="center"/>
            <w:hideMark/>
          </w:tcPr>
          <w:p w14:paraId="189010EC"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w:t>
            </w:r>
          </w:p>
        </w:tc>
        <w:tc>
          <w:tcPr>
            <w:tcW w:w="718" w:type="pct"/>
            <w:gridSpan w:val="2"/>
            <w:tcBorders>
              <w:top w:val="nil"/>
              <w:left w:val="nil"/>
              <w:bottom w:val="nil"/>
              <w:right w:val="nil"/>
            </w:tcBorders>
            <w:shd w:val="clear" w:color="auto" w:fill="auto"/>
            <w:vAlign w:val="center"/>
            <w:hideMark/>
          </w:tcPr>
          <w:p w14:paraId="69E5EAA6"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w:t>
            </w:r>
          </w:p>
        </w:tc>
      </w:tr>
      <w:tr w:rsidR="00152941" w14:paraId="2D026D26" w14:textId="77777777" w:rsidTr="00CF66BE">
        <w:trPr>
          <w:gridAfter w:val="1"/>
          <w:wAfter w:w="12" w:type="pct"/>
          <w:trHeight w:val="294"/>
        </w:trPr>
        <w:tc>
          <w:tcPr>
            <w:tcW w:w="2114" w:type="pct"/>
            <w:gridSpan w:val="3"/>
            <w:tcBorders>
              <w:top w:val="nil"/>
              <w:left w:val="nil"/>
              <w:bottom w:val="nil"/>
              <w:right w:val="nil"/>
            </w:tcBorders>
            <w:shd w:val="clear" w:color="auto" w:fill="auto"/>
            <w:vAlign w:val="center"/>
            <w:hideMark/>
          </w:tcPr>
          <w:p w14:paraId="0E895C80" w14:textId="77777777" w:rsidR="00152941" w:rsidRDefault="00152941">
            <w:pPr>
              <w:rPr>
                <w:rFonts w:ascii="Calibri" w:hAnsi="Calibri" w:cs="Calibri"/>
                <w:b/>
                <w:bCs/>
                <w:color w:val="000000"/>
                <w:sz w:val="20"/>
                <w:szCs w:val="20"/>
              </w:rPr>
            </w:pPr>
            <w:r>
              <w:rPr>
                <w:rFonts w:ascii="Calibri" w:hAnsi="Calibri" w:cs="Calibri"/>
                <w:b/>
                <w:bCs/>
                <w:color w:val="000000"/>
                <w:sz w:val="20"/>
                <w:szCs w:val="20"/>
              </w:rPr>
              <w:t>Total group</w:t>
            </w:r>
          </w:p>
        </w:tc>
        <w:tc>
          <w:tcPr>
            <w:tcW w:w="719" w:type="pct"/>
            <w:gridSpan w:val="2"/>
            <w:tcBorders>
              <w:top w:val="single" w:sz="8" w:space="0" w:color="auto"/>
              <w:left w:val="nil"/>
              <w:bottom w:val="single" w:sz="8" w:space="0" w:color="auto"/>
              <w:right w:val="nil"/>
            </w:tcBorders>
            <w:shd w:val="clear" w:color="auto" w:fill="auto"/>
            <w:vAlign w:val="center"/>
            <w:hideMark/>
          </w:tcPr>
          <w:p w14:paraId="46AE4B34" w14:textId="77777777" w:rsidR="00152941" w:rsidRDefault="00152941">
            <w:pPr>
              <w:jc w:val="right"/>
              <w:rPr>
                <w:rFonts w:ascii="Calibri" w:hAnsi="Calibri" w:cs="Calibri"/>
                <w:b/>
                <w:bCs/>
                <w:color w:val="000000"/>
                <w:sz w:val="20"/>
                <w:szCs w:val="20"/>
              </w:rPr>
            </w:pPr>
            <w:r>
              <w:rPr>
                <w:rFonts w:ascii="Calibri" w:hAnsi="Calibri" w:cs="Calibri"/>
                <w:b/>
                <w:bCs/>
                <w:color w:val="000000"/>
                <w:sz w:val="20"/>
                <w:szCs w:val="20"/>
              </w:rPr>
              <w:t>(109.7)</w:t>
            </w:r>
          </w:p>
        </w:tc>
        <w:tc>
          <w:tcPr>
            <w:tcW w:w="719" w:type="pct"/>
            <w:gridSpan w:val="2"/>
            <w:tcBorders>
              <w:top w:val="single" w:sz="8" w:space="0" w:color="auto"/>
              <w:left w:val="nil"/>
              <w:bottom w:val="single" w:sz="8" w:space="0" w:color="auto"/>
              <w:right w:val="nil"/>
            </w:tcBorders>
            <w:shd w:val="clear" w:color="auto" w:fill="auto"/>
            <w:vAlign w:val="center"/>
            <w:hideMark/>
          </w:tcPr>
          <w:p w14:paraId="2787E647" w14:textId="77777777" w:rsidR="00152941" w:rsidRDefault="00152941">
            <w:pPr>
              <w:jc w:val="right"/>
              <w:rPr>
                <w:rFonts w:ascii="Calibri" w:hAnsi="Calibri" w:cs="Calibri"/>
                <w:b/>
                <w:bCs/>
                <w:color w:val="000000"/>
                <w:sz w:val="20"/>
                <w:szCs w:val="20"/>
              </w:rPr>
            </w:pPr>
            <w:r>
              <w:rPr>
                <w:rFonts w:ascii="Calibri" w:hAnsi="Calibri" w:cs="Calibri"/>
                <w:b/>
                <w:bCs/>
                <w:color w:val="000000"/>
                <w:sz w:val="20"/>
                <w:szCs w:val="20"/>
              </w:rPr>
              <w:t>(87.0)</w:t>
            </w:r>
          </w:p>
        </w:tc>
        <w:tc>
          <w:tcPr>
            <w:tcW w:w="720" w:type="pct"/>
            <w:gridSpan w:val="2"/>
            <w:tcBorders>
              <w:top w:val="single" w:sz="8" w:space="0" w:color="auto"/>
              <w:left w:val="nil"/>
              <w:bottom w:val="single" w:sz="8" w:space="0" w:color="auto"/>
              <w:right w:val="nil"/>
            </w:tcBorders>
            <w:shd w:val="clear" w:color="auto" w:fill="auto"/>
            <w:vAlign w:val="center"/>
            <w:hideMark/>
          </w:tcPr>
          <w:p w14:paraId="239A0A36" w14:textId="77777777" w:rsidR="00152941" w:rsidRDefault="00152941">
            <w:pPr>
              <w:jc w:val="right"/>
              <w:rPr>
                <w:rFonts w:ascii="Calibri" w:hAnsi="Calibri" w:cs="Calibri"/>
                <w:b/>
                <w:bCs/>
                <w:color w:val="000000"/>
                <w:sz w:val="20"/>
                <w:szCs w:val="20"/>
              </w:rPr>
            </w:pPr>
            <w:r>
              <w:rPr>
                <w:rFonts w:ascii="Calibri" w:hAnsi="Calibri" w:cs="Calibri"/>
                <w:b/>
                <w:bCs/>
                <w:color w:val="000000"/>
                <w:sz w:val="20"/>
                <w:szCs w:val="20"/>
              </w:rPr>
              <w:t>(385.2)</w:t>
            </w:r>
          </w:p>
        </w:tc>
        <w:tc>
          <w:tcPr>
            <w:tcW w:w="718" w:type="pct"/>
            <w:gridSpan w:val="2"/>
            <w:tcBorders>
              <w:top w:val="single" w:sz="8" w:space="0" w:color="auto"/>
              <w:left w:val="nil"/>
              <w:bottom w:val="single" w:sz="8" w:space="0" w:color="auto"/>
              <w:right w:val="nil"/>
            </w:tcBorders>
            <w:shd w:val="clear" w:color="auto" w:fill="auto"/>
            <w:vAlign w:val="center"/>
            <w:hideMark/>
          </w:tcPr>
          <w:p w14:paraId="678679FA" w14:textId="77777777" w:rsidR="00152941" w:rsidRDefault="00152941">
            <w:pPr>
              <w:jc w:val="right"/>
              <w:rPr>
                <w:rFonts w:ascii="Calibri" w:hAnsi="Calibri" w:cs="Calibri"/>
                <w:b/>
                <w:bCs/>
                <w:color w:val="000000"/>
                <w:sz w:val="20"/>
                <w:szCs w:val="20"/>
              </w:rPr>
            </w:pPr>
            <w:r>
              <w:rPr>
                <w:rFonts w:ascii="Calibri" w:hAnsi="Calibri" w:cs="Calibri"/>
                <w:b/>
                <w:bCs/>
                <w:color w:val="000000"/>
                <w:sz w:val="20"/>
                <w:szCs w:val="20"/>
              </w:rPr>
              <w:t>(581.9)</w:t>
            </w:r>
          </w:p>
        </w:tc>
      </w:tr>
      <w:tr w:rsidR="00152941" w14:paraId="2629B726" w14:textId="77777777" w:rsidTr="00CF66BE">
        <w:trPr>
          <w:gridAfter w:val="1"/>
          <w:wAfter w:w="12" w:type="pct"/>
          <w:trHeight w:val="279"/>
        </w:trPr>
        <w:tc>
          <w:tcPr>
            <w:tcW w:w="2114" w:type="pct"/>
            <w:gridSpan w:val="3"/>
            <w:tcBorders>
              <w:top w:val="nil"/>
              <w:left w:val="nil"/>
              <w:bottom w:val="nil"/>
              <w:right w:val="nil"/>
            </w:tcBorders>
            <w:shd w:val="clear" w:color="auto" w:fill="auto"/>
            <w:vAlign w:val="center"/>
            <w:hideMark/>
          </w:tcPr>
          <w:p w14:paraId="512211E9" w14:textId="77777777" w:rsidR="00152941" w:rsidRDefault="00152941">
            <w:pPr>
              <w:jc w:val="right"/>
              <w:rPr>
                <w:rFonts w:ascii="Calibri" w:hAnsi="Calibri" w:cs="Calibri"/>
                <w:b/>
                <w:bCs/>
                <w:color w:val="000000"/>
                <w:sz w:val="20"/>
                <w:szCs w:val="20"/>
              </w:rPr>
            </w:pPr>
          </w:p>
        </w:tc>
        <w:tc>
          <w:tcPr>
            <w:tcW w:w="719" w:type="pct"/>
            <w:gridSpan w:val="2"/>
            <w:tcBorders>
              <w:top w:val="nil"/>
              <w:left w:val="nil"/>
              <w:bottom w:val="nil"/>
              <w:right w:val="nil"/>
            </w:tcBorders>
            <w:shd w:val="clear" w:color="auto" w:fill="auto"/>
            <w:vAlign w:val="center"/>
            <w:hideMark/>
          </w:tcPr>
          <w:p w14:paraId="2315FFF2" w14:textId="77777777" w:rsidR="00152941" w:rsidRDefault="00152941">
            <w:pPr>
              <w:rPr>
                <w:sz w:val="20"/>
                <w:szCs w:val="20"/>
              </w:rPr>
            </w:pPr>
          </w:p>
        </w:tc>
        <w:tc>
          <w:tcPr>
            <w:tcW w:w="719" w:type="pct"/>
            <w:gridSpan w:val="2"/>
            <w:tcBorders>
              <w:top w:val="nil"/>
              <w:left w:val="nil"/>
              <w:bottom w:val="nil"/>
              <w:right w:val="nil"/>
            </w:tcBorders>
            <w:shd w:val="clear" w:color="auto" w:fill="auto"/>
            <w:vAlign w:val="center"/>
            <w:hideMark/>
          </w:tcPr>
          <w:p w14:paraId="1E08BAC3" w14:textId="77777777" w:rsidR="00152941" w:rsidRDefault="00152941">
            <w:pPr>
              <w:jc w:val="right"/>
              <w:rPr>
                <w:sz w:val="20"/>
                <w:szCs w:val="20"/>
              </w:rPr>
            </w:pPr>
          </w:p>
        </w:tc>
        <w:tc>
          <w:tcPr>
            <w:tcW w:w="720" w:type="pct"/>
            <w:gridSpan w:val="2"/>
            <w:tcBorders>
              <w:top w:val="nil"/>
              <w:left w:val="nil"/>
              <w:bottom w:val="nil"/>
              <w:right w:val="nil"/>
            </w:tcBorders>
            <w:shd w:val="clear" w:color="auto" w:fill="auto"/>
            <w:vAlign w:val="center"/>
            <w:hideMark/>
          </w:tcPr>
          <w:p w14:paraId="4FF18821" w14:textId="77777777" w:rsidR="00152941" w:rsidRDefault="00152941">
            <w:pPr>
              <w:jc w:val="right"/>
              <w:rPr>
                <w:sz w:val="20"/>
                <w:szCs w:val="20"/>
              </w:rPr>
            </w:pPr>
          </w:p>
        </w:tc>
        <w:tc>
          <w:tcPr>
            <w:tcW w:w="718" w:type="pct"/>
            <w:gridSpan w:val="2"/>
            <w:tcBorders>
              <w:top w:val="nil"/>
              <w:left w:val="nil"/>
              <w:bottom w:val="nil"/>
              <w:right w:val="nil"/>
            </w:tcBorders>
            <w:shd w:val="clear" w:color="auto" w:fill="auto"/>
            <w:vAlign w:val="center"/>
            <w:hideMark/>
          </w:tcPr>
          <w:p w14:paraId="00004A29" w14:textId="77777777" w:rsidR="00152941" w:rsidRDefault="00152941">
            <w:pPr>
              <w:jc w:val="right"/>
              <w:rPr>
                <w:sz w:val="20"/>
                <w:szCs w:val="20"/>
              </w:rPr>
            </w:pPr>
          </w:p>
        </w:tc>
      </w:tr>
      <w:tr w:rsidR="00152941" w14:paraId="5A135AAA" w14:textId="77777777" w:rsidTr="00CF66BE">
        <w:trPr>
          <w:gridAfter w:val="1"/>
          <w:wAfter w:w="12" w:type="pct"/>
          <w:trHeight w:val="279"/>
        </w:trPr>
        <w:tc>
          <w:tcPr>
            <w:tcW w:w="2114" w:type="pct"/>
            <w:gridSpan w:val="3"/>
            <w:tcBorders>
              <w:top w:val="nil"/>
              <w:left w:val="nil"/>
              <w:bottom w:val="nil"/>
              <w:right w:val="nil"/>
            </w:tcBorders>
            <w:shd w:val="clear" w:color="auto" w:fill="auto"/>
            <w:vAlign w:val="center"/>
            <w:hideMark/>
          </w:tcPr>
          <w:p w14:paraId="296405BF" w14:textId="77777777" w:rsidR="00152941" w:rsidRDefault="00152941">
            <w:pPr>
              <w:rPr>
                <w:rFonts w:ascii="Calibri" w:hAnsi="Calibri" w:cs="Calibri"/>
                <w:b/>
                <w:bCs/>
                <w:color w:val="000000"/>
                <w:sz w:val="20"/>
                <w:szCs w:val="20"/>
              </w:rPr>
            </w:pPr>
            <w:r>
              <w:rPr>
                <w:rFonts w:ascii="Calibri" w:hAnsi="Calibri" w:cs="Calibri"/>
                <w:b/>
                <w:bCs/>
                <w:color w:val="000000"/>
                <w:sz w:val="20"/>
                <w:szCs w:val="20"/>
              </w:rPr>
              <w:t>Net receivables</w:t>
            </w:r>
          </w:p>
        </w:tc>
        <w:tc>
          <w:tcPr>
            <w:tcW w:w="719" w:type="pct"/>
            <w:gridSpan w:val="2"/>
            <w:tcBorders>
              <w:top w:val="nil"/>
              <w:left w:val="nil"/>
              <w:bottom w:val="nil"/>
              <w:right w:val="nil"/>
            </w:tcBorders>
            <w:shd w:val="clear" w:color="auto" w:fill="auto"/>
            <w:vAlign w:val="center"/>
            <w:hideMark/>
          </w:tcPr>
          <w:p w14:paraId="7D3D48F3" w14:textId="77777777" w:rsidR="00152941" w:rsidRPr="00D63DF2" w:rsidRDefault="00152941">
            <w:pPr>
              <w:rPr>
                <w:rFonts w:ascii="Calibri" w:hAnsi="Calibri" w:cs="Calibri"/>
                <w:color w:val="000000"/>
                <w:sz w:val="20"/>
                <w:szCs w:val="20"/>
              </w:rPr>
            </w:pPr>
          </w:p>
        </w:tc>
        <w:tc>
          <w:tcPr>
            <w:tcW w:w="719" w:type="pct"/>
            <w:gridSpan w:val="2"/>
            <w:tcBorders>
              <w:top w:val="nil"/>
              <w:left w:val="nil"/>
              <w:bottom w:val="nil"/>
              <w:right w:val="nil"/>
            </w:tcBorders>
            <w:shd w:val="clear" w:color="auto" w:fill="auto"/>
            <w:vAlign w:val="center"/>
            <w:hideMark/>
          </w:tcPr>
          <w:p w14:paraId="332486F1" w14:textId="77777777" w:rsidR="00152941" w:rsidRPr="00D63DF2" w:rsidRDefault="00152941">
            <w:pPr>
              <w:jc w:val="right"/>
              <w:rPr>
                <w:sz w:val="20"/>
                <w:szCs w:val="20"/>
              </w:rPr>
            </w:pPr>
          </w:p>
        </w:tc>
        <w:tc>
          <w:tcPr>
            <w:tcW w:w="720" w:type="pct"/>
            <w:gridSpan w:val="2"/>
            <w:tcBorders>
              <w:top w:val="nil"/>
              <w:left w:val="nil"/>
              <w:bottom w:val="nil"/>
              <w:right w:val="nil"/>
            </w:tcBorders>
            <w:shd w:val="clear" w:color="auto" w:fill="auto"/>
            <w:vAlign w:val="center"/>
            <w:hideMark/>
          </w:tcPr>
          <w:p w14:paraId="1B599E59" w14:textId="77777777" w:rsidR="00152941" w:rsidRPr="00D63DF2" w:rsidRDefault="00152941">
            <w:pPr>
              <w:jc w:val="right"/>
              <w:rPr>
                <w:sz w:val="20"/>
                <w:szCs w:val="20"/>
              </w:rPr>
            </w:pPr>
          </w:p>
        </w:tc>
        <w:tc>
          <w:tcPr>
            <w:tcW w:w="718" w:type="pct"/>
            <w:gridSpan w:val="2"/>
            <w:tcBorders>
              <w:top w:val="nil"/>
              <w:left w:val="nil"/>
              <w:bottom w:val="nil"/>
              <w:right w:val="nil"/>
            </w:tcBorders>
            <w:shd w:val="clear" w:color="auto" w:fill="auto"/>
            <w:vAlign w:val="center"/>
            <w:hideMark/>
          </w:tcPr>
          <w:p w14:paraId="581C8B28" w14:textId="77777777" w:rsidR="00152941" w:rsidRPr="00D63DF2" w:rsidRDefault="00152941">
            <w:pPr>
              <w:jc w:val="right"/>
              <w:rPr>
                <w:sz w:val="20"/>
                <w:szCs w:val="20"/>
              </w:rPr>
            </w:pPr>
          </w:p>
        </w:tc>
      </w:tr>
      <w:tr w:rsidR="00152941" w14:paraId="6E9FC751" w14:textId="77777777" w:rsidTr="00CF66BE">
        <w:trPr>
          <w:gridAfter w:val="1"/>
          <w:wAfter w:w="12" w:type="pct"/>
          <w:trHeight w:val="279"/>
        </w:trPr>
        <w:tc>
          <w:tcPr>
            <w:tcW w:w="2114" w:type="pct"/>
            <w:gridSpan w:val="3"/>
            <w:tcBorders>
              <w:top w:val="nil"/>
              <w:left w:val="nil"/>
              <w:bottom w:val="nil"/>
              <w:right w:val="nil"/>
            </w:tcBorders>
            <w:shd w:val="clear" w:color="auto" w:fill="auto"/>
            <w:vAlign w:val="center"/>
            <w:hideMark/>
          </w:tcPr>
          <w:p w14:paraId="338A237F" w14:textId="77777777" w:rsidR="00152941" w:rsidRDefault="00152941">
            <w:pPr>
              <w:rPr>
                <w:rFonts w:ascii="Calibri" w:hAnsi="Calibri" w:cs="Calibri"/>
                <w:color w:val="000000"/>
                <w:sz w:val="20"/>
                <w:szCs w:val="20"/>
              </w:rPr>
            </w:pPr>
            <w:r>
              <w:rPr>
                <w:rFonts w:ascii="Calibri" w:hAnsi="Calibri" w:cs="Calibri"/>
                <w:color w:val="000000"/>
                <w:sz w:val="20"/>
                <w:szCs w:val="20"/>
              </w:rPr>
              <w:t>Credit cards</w:t>
            </w:r>
          </w:p>
        </w:tc>
        <w:tc>
          <w:tcPr>
            <w:tcW w:w="719" w:type="pct"/>
            <w:gridSpan w:val="2"/>
            <w:tcBorders>
              <w:top w:val="nil"/>
              <w:left w:val="nil"/>
              <w:bottom w:val="nil"/>
              <w:right w:val="nil"/>
            </w:tcBorders>
            <w:shd w:val="clear" w:color="auto" w:fill="auto"/>
            <w:vAlign w:val="center"/>
            <w:hideMark/>
          </w:tcPr>
          <w:p w14:paraId="55807CA7"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1,115.6</w:t>
            </w:r>
          </w:p>
        </w:tc>
        <w:tc>
          <w:tcPr>
            <w:tcW w:w="719" w:type="pct"/>
            <w:gridSpan w:val="2"/>
            <w:tcBorders>
              <w:top w:val="nil"/>
              <w:left w:val="nil"/>
              <w:bottom w:val="nil"/>
              <w:right w:val="nil"/>
            </w:tcBorders>
            <w:shd w:val="clear" w:color="auto" w:fill="auto"/>
            <w:vAlign w:val="center"/>
            <w:hideMark/>
          </w:tcPr>
          <w:p w14:paraId="3D3AF161"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103.8</w:t>
            </w:r>
          </w:p>
        </w:tc>
        <w:tc>
          <w:tcPr>
            <w:tcW w:w="720" w:type="pct"/>
            <w:gridSpan w:val="2"/>
            <w:tcBorders>
              <w:top w:val="nil"/>
              <w:left w:val="nil"/>
              <w:bottom w:val="nil"/>
              <w:right w:val="nil"/>
            </w:tcBorders>
            <w:shd w:val="clear" w:color="auto" w:fill="auto"/>
            <w:vAlign w:val="center"/>
            <w:hideMark/>
          </w:tcPr>
          <w:p w14:paraId="194AE07F"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58.3</w:t>
            </w:r>
          </w:p>
        </w:tc>
        <w:tc>
          <w:tcPr>
            <w:tcW w:w="718" w:type="pct"/>
            <w:gridSpan w:val="2"/>
            <w:tcBorders>
              <w:top w:val="nil"/>
              <w:left w:val="nil"/>
              <w:bottom w:val="nil"/>
              <w:right w:val="nil"/>
            </w:tcBorders>
            <w:shd w:val="clear" w:color="auto" w:fill="auto"/>
            <w:vAlign w:val="center"/>
            <w:hideMark/>
          </w:tcPr>
          <w:p w14:paraId="68931BD6"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1,277.7</w:t>
            </w:r>
          </w:p>
        </w:tc>
      </w:tr>
      <w:tr w:rsidR="00152941" w14:paraId="54ED5161" w14:textId="77777777" w:rsidTr="00CF66BE">
        <w:trPr>
          <w:gridAfter w:val="1"/>
          <w:wAfter w:w="12" w:type="pct"/>
          <w:trHeight w:val="279"/>
        </w:trPr>
        <w:tc>
          <w:tcPr>
            <w:tcW w:w="2114" w:type="pct"/>
            <w:gridSpan w:val="3"/>
            <w:tcBorders>
              <w:top w:val="nil"/>
              <w:left w:val="nil"/>
              <w:bottom w:val="nil"/>
              <w:right w:val="nil"/>
            </w:tcBorders>
            <w:shd w:val="clear" w:color="auto" w:fill="auto"/>
            <w:vAlign w:val="center"/>
            <w:hideMark/>
          </w:tcPr>
          <w:p w14:paraId="02AE61D2" w14:textId="407F8098" w:rsidR="00152941" w:rsidRDefault="00152941">
            <w:pPr>
              <w:rPr>
                <w:rFonts w:ascii="Calibri" w:hAnsi="Calibri" w:cs="Calibri"/>
                <w:color w:val="000000"/>
                <w:sz w:val="20"/>
                <w:szCs w:val="20"/>
              </w:rPr>
            </w:pPr>
            <w:r>
              <w:rPr>
                <w:rFonts w:ascii="Calibri" w:hAnsi="Calibri" w:cs="Calibri"/>
                <w:color w:val="000000"/>
                <w:sz w:val="20"/>
                <w:szCs w:val="20"/>
              </w:rPr>
              <w:t>Vehicle finance</w:t>
            </w:r>
            <w:r w:rsidR="00D07A0B">
              <w:rPr>
                <w:rFonts w:ascii="Calibri" w:hAnsi="Calibri" w:cs="Calibri"/>
                <w:color w:val="000000"/>
                <w:sz w:val="20"/>
                <w:szCs w:val="20"/>
              </w:rPr>
              <w:t xml:space="preserve"> (restated)</w:t>
            </w:r>
            <w:r w:rsidR="00D07A0B" w:rsidRPr="00D07A0B">
              <w:rPr>
                <w:rFonts w:ascii="Calibri" w:hAnsi="Calibri" w:cs="Calibri"/>
                <w:color w:val="000000"/>
                <w:sz w:val="20"/>
                <w:szCs w:val="20"/>
                <w:vertAlign w:val="superscript"/>
              </w:rPr>
              <w:t>1</w:t>
            </w:r>
          </w:p>
        </w:tc>
        <w:tc>
          <w:tcPr>
            <w:tcW w:w="719" w:type="pct"/>
            <w:gridSpan w:val="2"/>
            <w:tcBorders>
              <w:top w:val="nil"/>
              <w:left w:val="nil"/>
              <w:bottom w:val="nil"/>
              <w:right w:val="nil"/>
            </w:tcBorders>
            <w:shd w:val="clear" w:color="auto" w:fill="auto"/>
            <w:vAlign w:val="center"/>
            <w:hideMark/>
          </w:tcPr>
          <w:p w14:paraId="76EB5E46"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373.5</w:t>
            </w:r>
          </w:p>
        </w:tc>
        <w:tc>
          <w:tcPr>
            <w:tcW w:w="719" w:type="pct"/>
            <w:gridSpan w:val="2"/>
            <w:tcBorders>
              <w:top w:val="nil"/>
              <w:left w:val="nil"/>
              <w:bottom w:val="nil"/>
              <w:right w:val="nil"/>
            </w:tcBorders>
            <w:shd w:val="clear" w:color="auto" w:fill="auto"/>
            <w:vAlign w:val="center"/>
            <w:hideMark/>
          </w:tcPr>
          <w:p w14:paraId="3E8C8AFC"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197.8</w:t>
            </w:r>
          </w:p>
        </w:tc>
        <w:tc>
          <w:tcPr>
            <w:tcW w:w="720" w:type="pct"/>
            <w:gridSpan w:val="2"/>
            <w:tcBorders>
              <w:top w:val="nil"/>
              <w:left w:val="nil"/>
              <w:bottom w:val="nil"/>
              <w:right w:val="nil"/>
            </w:tcBorders>
            <w:shd w:val="clear" w:color="auto" w:fill="auto"/>
            <w:vAlign w:val="center"/>
            <w:hideMark/>
          </w:tcPr>
          <w:p w14:paraId="30BCB127"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204.8</w:t>
            </w:r>
          </w:p>
        </w:tc>
        <w:tc>
          <w:tcPr>
            <w:tcW w:w="718" w:type="pct"/>
            <w:gridSpan w:val="2"/>
            <w:tcBorders>
              <w:top w:val="nil"/>
              <w:left w:val="nil"/>
              <w:bottom w:val="nil"/>
              <w:right w:val="nil"/>
            </w:tcBorders>
            <w:shd w:val="clear" w:color="auto" w:fill="auto"/>
            <w:vAlign w:val="center"/>
            <w:hideMark/>
          </w:tcPr>
          <w:p w14:paraId="51E4E335"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776.1</w:t>
            </w:r>
          </w:p>
        </w:tc>
      </w:tr>
      <w:tr w:rsidR="00152941" w14:paraId="47B31C19" w14:textId="77777777" w:rsidTr="00CF66BE">
        <w:trPr>
          <w:gridAfter w:val="1"/>
          <w:wAfter w:w="12" w:type="pct"/>
          <w:trHeight w:val="279"/>
        </w:trPr>
        <w:tc>
          <w:tcPr>
            <w:tcW w:w="2114" w:type="pct"/>
            <w:gridSpan w:val="3"/>
            <w:tcBorders>
              <w:top w:val="nil"/>
              <w:left w:val="nil"/>
              <w:bottom w:val="nil"/>
              <w:right w:val="nil"/>
            </w:tcBorders>
            <w:shd w:val="clear" w:color="auto" w:fill="auto"/>
            <w:vAlign w:val="center"/>
            <w:hideMark/>
          </w:tcPr>
          <w:p w14:paraId="2F57CA02" w14:textId="77777777" w:rsidR="00152941" w:rsidRDefault="00152941">
            <w:pPr>
              <w:rPr>
                <w:rFonts w:ascii="Calibri" w:hAnsi="Calibri" w:cs="Calibri"/>
                <w:color w:val="000000"/>
                <w:sz w:val="20"/>
                <w:szCs w:val="20"/>
              </w:rPr>
            </w:pPr>
            <w:r>
              <w:rPr>
                <w:rFonts w:ascii="Calibri" w:hAnsi="Calibri" w:cs="Calibri"/>
                <w:color w:val="000000"/>
                <w:sz w:val="20"/>
                <w:szCs w:val="20"/>
              </w:rPr>
              <w:t>Personal loans</w:t>
            </w:r>
          </w:p>
        </w:tc>
        <w:tc>
          <w:tcPr>
            <w:tcW w:w="719" w:type="pct"/>
            <w:gridSpan w:val="2"/>
            <w:tcBorders>
              <w:top w:val="nil"/>
              <w:left w:val="nil"/>
              <w:bottom w:val="nil"/>
              <w:right w:val="nil"/>
            </w:tcBorders>
            <w:shd w:val="clear" w:color="auto" w:fill="auto"/>
            <w:vAlign w:val="center"/>
            <w:hideMark/>
          </w:tcPr>
          <w:p w14:paraId="55ED8B69"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97.8</w:t>
            </w:r>
          </w:p>
        </w:tc>
        <w:tc>
          <w:tcPr>
            <w:tcW w:w="719" w:type="pct"/>
            <w:gridSpan w:val="2"/>
            <w:tcBorders>
              <w:top w:val="nil"/>
              <w:left w:val="nil"/>
              <w:bottom w:val="nil"/>
              <w:right w:val="nil"/>
            </w:tcBorders>
            <w:shd w:val="clear" w:color="auto" w:fill="auto"/>
            <w:vAlign w:val="center"/>
            <w:hideMark/>
          </w:tcPr>
          <w:p w14:paraId="150A2F70"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3.1</w:t>
            </w:r>
          </w:p>
        </w:tc>
        <w:tc>
          <w:tcPr>
            <w:tcW w:w="720" w:type="pct"/>
            <w:gridSpan w:val="2"/>
            <w:tcBorders>
              <w:top w:val="nil"/>
              <w:left w:val="nil"/>
              <w:bottom w:val="nil"/>
              <w:right w:val="nil"/>
            </w:tcBorders>
            <w:shd w:val="clear" w:color="auto" w:fill="auto"/>
            <w:vAlign w:val="center"/>
            <w:hideMark/>
          </w:tcPr>
          <w:p w14:paraId="42CA8B91"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1.5</w:t>
            </w:r>
          </w:p>
        </w:tc>
        <w:tc>
          <w:tcPr>
            <w:tcW w:w="718" w:type="pct"/>
            <w:gridSpan w:val="2"/>
            <w:tcBorders>
              <w:top w:val="nil"/>
              <w:left w:val="nil"/>
              <w:bottom w:val="nil"/>
              <w:right w:val="nil"/>
            </w:tcBorders>
            <w:shd w:val="clear" w:color="auto" w:fill="auto"/>
            <w:vAlign w:val="center"/>
            <w:hideMark/>
          </w:tcPr>
          <w:p w14:paraId="6F591622"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102.4</w:t>
            </w:r>
          </w:p>
        </w:tc>
      </w:tr>
      <w:tr w:rsidR="00152941" w14:paraId="6ACF6A72" w14:textId="77777777" w:rsidTr="00CF66BE">
        <w:trPr>
          <w:gridAfter w:val="1"/>
          <w:wAfter w:w="12" w:type="pct"/>
          <w:trHeight w:val="294"/>
        </w:trPr>
        <w:tc>
          <w:tcPr>
            <w:tcW w:w="2114" w:type="pct"/>
            <w:gridSpan w:val="3"/>
            <w:tcBorders>
              <w:top w:val="nil"/>
              <w:left w:val="nil"/>
              <w:bottom w:val="nil"/>
              <w:right w:val="nil"/>
            </w:tcBorders>
            <w:shd w:val="clear" w:color="auto" w:fill="auto"/>
            <w:vAlign w:val="center"/>
            <w:hideMark/>
          </w:tcPr>
          <w:p w14:paraId="3D49CDC3" w14:textId="77777777" w:rsidR="00152941" w:rsidRDefault="00152941">
            <w:pPr>
              <w:rPr>
                <w:rFonts w:ascii="Calibri" w:hAnsi="Calibri" w:cs="Calibri"/>
                <w:color w:val="000000"/>
                <w:sz w:val="20"/>
                <w:szCs w:val="20"/>
              </w:rPr>
            </w:pPr>
            <w:r>
              <w:rPr>
                <w:rFonts w:ascii="Calibri" w:hAnsi="Calibri" w:cs="Calibri"/>
                <w:color w:val="000000"/>
                <w:sz w:val="20"/>
                <w:szCs w:val="20"/>
              </w:rPr>
              <w:t>Second charge mortgages</w:t>
            </w:r>
          </w:p>
        </w:tc>
        <w:tc>
          <w:tcPr>
            <w:tcW w:w="719" w:type="pct"/>
            <w:gridSpan w:val="2"/>
            <w:tcBorders>
              <w:top w:val="nil"/>
              <w:left w:val="nil"/>
              <w:bottom w:val="nil"/>
              <w:right w:val="nil"/>
            </w:tcBorders>
            <w:shd w:val="clear" w:color="auto" w:fill="auto"/>
            <w:vAlign w:val="center"/>
            <w:hideMark/>
          </w:tcPr>
          <w:p w14:paraId="53679425"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2.8</w:t>
            </w:r>
          </w:p>
        </w:tc>
        <w:tc>
          <w:tcPr>
            <w:tcW w:w="719" w:type="pct"/>
            <w:gridSpan w:val="2"/>
            <w:tcBorders>
              <w:top w:val="nil"/>
              <w:left w:val="nil"/>
              <w:bottom w:val="nil"/>
              <w:right w:val="nil"/>
            </w:tcBorders>
            <w:shd w:val="clear" w:color="auto" w:fill="auto"/>
            <w:vAlign w:val="center"/>
            <w:hideMark/>
          </w:tcPr>
          <w:p w14:paraId="47AB3545"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w:t>
            </w:r>
          </w:p>
        </w:tc>
        <w:tc>
          <w:tcPr>
            <w:tcW w:w="720" w:type="pct"/>
            <w:gridSpan w:val="2"/>
            <w:tcBorders>
              <w:top w:val="nil"/>
              <w:left w:val="nil"/>
              <w:bottom w:val="nil"/>
              <w:right w:val="nil"/>
            </w:tcBorders>
            <w:shd w:val="clear" w:color="auto" w:fill="auto"/>
            <w:vAlign w:val="center"/>
            <w:hideMark/>
          </w:tcPr>
          <w:p w14:paraId="0E276C24"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w:t>
            </w:r>
          </w:p>
        </w:tc>
        <w:tc>
          <w:tcPr>
            <w:tcW w:w="718" w:type="pct"/>
            <w:gridSpan w:val="2"/>
            <w:tcBorders>
              <w:top w:val="nil"/>
              <w:left w:val="nil"/>
              <w:bottom w:val="nil"/>
              <w:right w:val="nil"/>
            </w:tcBorders>
            <w:shd w:val="clear" w:color="auto" w:fill="auto"/>
            <w:vAlign w:val="center"/>
            <w:hideMark/>
          </w:tcPr>
          <w:p w14:paraId="196C4CEA" w14:textId="77777777" w:rsidR="00152941" w:rsidRPr="00D63DF2" w:rsidRDefault="00152941">
            <w:pPr>
              <w:jc w:val="right"/>
              <w:rPr>
                <w:rFonts w:ascii="Calibri" w:hAnsi="Calibri" w:cs="Calibri"/>
                <w:color w:val="000000"/>
                <w:sz w:val="20"/>
                <w:szCs w:val="20"/>
              </w:rPr>
            </w:pPr>
            <w:r w:rsidRPr="00D63DF2">
              <w:rPr>
                <w:rFonts w:ascii="Calibri" w:hAnsi="Calibri" w:cs="Calibri"/>
                <w:color w:val="000000"/>
                <w:sz w:val="20"/>
                <w:szCs w:val="20"/>
              </w:rPr>
              <w:t>2.8</w:t>
            </w:r>
          </w:p>
        </w:tc>
      </w:tr>
      <w:tr w:rsidR="00152941" w14:paraId="5DDC93EB" w14:textId="77777777" w:rsidTr="00CF66BE">
        <w:trPr>
          <w:gridAfter w:val="1"/>
          <w:wAfter w:w="12" w:type="pct"/>
          <w:trHeight w:val="294"/>
        </w:trPr>
        <w:tc>
          <w:tcPr>
            <w:tcW w:w="2114" w:type="pct"/>
            <w:gridSpan w:val="3"/>
            <w:tcBorders>
              <w:top w:val="nil"/>
              <w:left w:val="nil"/>
              <w:bottom w:val="nil"/>
              <w:right w:val="nil"/>
            </w:tcBorders>
            <w:shd w:val="clear" w:color="auto" w:fill="auto"/>
            <w:vAlign w:val="center"/>
            <w:hideMark/>
          </w:tcPr>
          <w:p w14:paraId="32339585" w14:textId="77777777" w:rsidR="00152941" w:rsidRDefault="00152941">
            <w:pPr>
              <w:rPr>
                <w:rFonts w:ascii="Calibri" w:hAnsi="Calibri" w:cs="Calibri"/>
                <w:b/>
                <w:bCs/>
                <w:color w:val="000000"/>
                <w:sz w:val="20"/>
                <w:szCs w:val="20"/>
              </w:rPr>
            </w:pPr>
            <w:r>
              <w:rPr>
                <w:rFonts w:ascii="Calibri" w:hAnsi="Calibri" w:cs="Calibri"/>
                <w:b/>
                <w:bCs/>
                <w:color w:val="000000"/>
                <w:sz w:val="20"/>
                <w:szCs w:val="20"/>
              </w:rPr>
              <w:t>Total group</w:t>
            </w:r>
          </w:p>
        </w:tc>
        <w:tc>
          <w:tcPr>
            <w:tcW w:w="719" w:type="pct"/>
            <w:gridSpan w:val="2"/>
            <w:tcBorders>
              <w:top w:val="single" w:sz="8" w:space="0" w:color="auto"/>
              <w:left w:val="nil"/>
              <w:bottom w:val="single" w:sz="8" w:space="0" w:color="auto"/>
              <w:right w:val="nil"/>
            </w:tcBorders>
            <w:shd w:val="clear" w:color="auto" w:fill="auto"/>
            <w:vAlign w:val="center"/>
            <w:hideMark/>
          </w:tcPr>
          <w:p w14:paraId="7FFBDDC3" w14:textId="77777777" w:rsidR="00152941" w:rsidRDefault="00152941">
            <w:pPr>
              <w:jc w:val="right"/>
              <w:rPr>
                <w:rFonts w:ascii="Calibri" w:hAnsi="Calibri" w:cs="Calibri"/>
                <w:b/>
                <w:bCs/>
                <w:color w:val="000000"/>
                <w:sz w:val="20"/>
                <w:szCs w:val="20"/>
              </w:rPr>
            </w:pPr>
            <w:r>
              <w:rPr>
                <w:rFonts w:ascii="Calibri" w:hAnsi="Calibri" w:cs="Calibri"/>
                <w:b/>
                <w:bCs/>
                <w:color w:val="000000"/>
                <w:sz w:val="20"/>
                <w:szCs w:val="20"/>
              </w:rPr>
              <w:t>1,589.7</w:t>
            </w:r>
          </w:p>
        </w:tc>
        <w:tc>
          <w:tcPr>
            <w:tcW w:w="719" w:type="pct"/>
            <w:gridSpan w:val="2"/>
            <w:tcBorders>
              <w:top w:val="single" w:sz="8" w:space="0" w:color="auto"/>
              <w:left w:val="nil"/>
              <w:bottom w:val="single" w:sz="8" w:space="0" w:color="auto"/>
              <w:right w:val="nil"/>
            </w:tcBorders>
            <w:shd w:val="clear" w:color="auto" w:fill="auto"/>
            <w:vAlign w:val="center"/>
            <w:hideMark/>
          </w:tcPr>
          <w:p w14:paraId="7C7788DB" w14:textId="77777777" w:rsidR="00152941" w:rsidRDefault="00152941">
            <w:pPr>
              <w:jc w:val="right"/>
              <w:rPr>
                <w:rFonts w:ascii="Calibri" w:hAnsi="Calibri" w:cs="Calibri"/>
                <w:b/>
                <w:bCs/>
                <w:color w:val="000000"/>
                <w:sz w:val="20"/>
                <w:szCs w:val="20"/>
              </w:rPr>
            </w:pPr>
            <w:r>
              <w:rPr>
                <w:rFonts w:ascii="Calibri" w:hAnsi="Calibri" w:cs="Calibri"/>
                <w:b/>
                <w:bCs/>
                <w:color w:val="000000"/>
                <w:sz w:val="20"/>
                <w:szCs w:val="20"/>
              </w:rPr>
              <w:t>304.7</w:t>
            </w:r>
          </w:p>
        </w:tc>
        <w:tc>
          <w:tcPr>
            <w:tcW w:w="720" w:type="pct"/>
            <w:gridSpan w:val="2"/>
            <w:tcBorders>
              <w:top w:val="single" w:sz="8" w:space="0" w:color="auto"/>
              <w:left w:val="nil"/>
              <w:bottom w:val="single" w:sz="8" w:space="0" w:color="auto"/>
              <w:right w:val="nil"/>
            </w:tcBorders>
            <w:shd w:val="clear" w:color="auto" w:fill="auto"/>
            <w:vAlign w:val="center"/>
            <w:hideMark/>
          </w:tcPr>
          <w:p w14:paraId="10CA460D" w14:textId="77777777" w:rsidR="00152941" w:rsidRDefault="00152941">
            <w:pPr>
              <w:jc w:val="right"/>
              <w:rPr>
                <w:rFonts w:ascii="Calibri" w:hAnsi="Calibri" w:cs="Calibri"/>
                <w:b/>
                <w:bCs/>
                <w:color w:val="000000"/>
                <w:sz w:val="20"/>
                <w:szCs w:val="20"/>
              </w:rPr>
            </w:pPr>
            <w:r>
              <w:rPr>
                <w:rFonts w:ascii="Calibri" w:hAnsi="Calibri" w:cs="Calibri"/>
                <w:b/>
                <w:bCs/>
                <w:color w:val="000000"/>
                <w:sz w:val="20"/>
                <w:szCs w:val="20"/>
              </w:rPr>
              <w:t>264.6</w:t>
            </w:r>
          </w:p>
        </w:tc>
        <w:tc>
          <w:tcPr>
            <w:tcW w:w="718" w:type="pct"/>
            <w:gridSpan w:val="2"/>
            <w:tcBorders>
              <w:top w:val="single" w:sz="8" w:space="0" w:color="auto"/>
              <w:left w:val="nil"/>
              <w:bottom w:val="single" w:sz="8" w:space="0" w:color="auto"/>
              <w:right w:val="nil"/>
            </w:tcBorders>
            <w:shd w:val="clear" w:color="auto" w:fill="auto"/>
            <w:vAlign w:val="center"/>
            <w:hideMark/>
          </w:tcPr>
          <w:p w14:paraId="3AEE2A61" w14:textId="77777777" w:rsidR="00152941" w:rsidRDefault="00152941">
            <w:pPr>
              <w:jc w:val="right"/>
              <w:rPr>
                <w:rFonts w:ascii="Calibri" w:hAnsi="Calibri" w:cs="Calibri"/>
                <w:b/>
                <w:bCs/>
                <w:color w:val="000000"/>
                <w:sz w:val="20"/>
                <w:szCs w:val="20"/>
              </w:rPr>
            </w:pPr>
            <w:r>
              <w:rPr>
                <w:rFonts w:ascii="Calibri" w:hAnsi="Calibri" w:cs="Calibri"/>
                <w:b/>
                <w:bCs/>
                <w:color w:val="000000"/>
                <w:sz w:val="20"/>
                <w:szCs w:val="20"/>
              </w:rPr>
              <w:t>2,159.0</w:t>
            </w:r>
          </w:p>
        </w:tc>
      </w:tr>
      <w:tr w:rsidR="00926418" w14:paraId="6FF07D2A" w14:textId="77777777" w:rsidTr="00CF66BE">
        <w:trPr>
          <w:gridAfter w:val="1"/>
          <w:wAfter w:w="12" w:type="pct"/>
          <w:trHeight w:val="102"/>
        </w:trPr>
        <w:tc>
          <w:tcPr>
            <w:tcW w:w="2114" w:type="pct"/>
            <w:gridSpan w:val="3"/>
            <w:tcBorders>
              <w:top w:val="nil"/>
              <w:left w:val="nil"/>
              <w:bottom w:val="nil"/>
              <w:right w:val="nil"/>
            </w:tcBorders>
            <w:shd w:val="clear" w:color="auto" w:fill="auto"/>
            <w:vAlign w:val="center"/>
          </w:tcPr>
          <w:p w14:paraId="7E0712BB" w14:textId="77777777" w:rsidR="00926418" w:rsidRDefault="00926418">
            <w:pPr>
              <w:rPr>
                <w:rFonts w:ascii="Calibri" w:hAnsi="Calibri" w:cs="Calibri"/>
                <w:b/>
                <w:bCs/>
                <w:color w:val="000000"/>
                <w:sz w:val="20"/>
                <w:szCs w:val="20"/>
              </w:rPr>
            </w:pPr>
          </w:p>
        </w:tc>
        <w:tc>
          <w:tcPr>
            <w:tcW w:w="719" w:type="pct"/>
            <w:gridSpan w:val="2"/>
            <w:tcBorders>
              <w:top w:val="single" w:sz="8" w:space="0" w:color="auto"/>
              <w:left w:val="nil"/>
              <w:bottom w:val="single" w:sz="8" w:space="0" w:color="auto"/>
              <w:right w:val="nil"/>
            </w:tcBorders>
            <w:shd w:val="clear" w:color="auto" w:fill="auto"/>
            <w:vAlign w:val="center"/>
          </w:tcPr>
          <w:p w14:paraId="70667BD4" w14:textId="77777777" w:rsidR="00926418" w:rsidRDefault="00926418">
            <w:pPr>
              <w:jc w:val="right"/>
              <w:rPr>
                <w:rFonts w:ascii="Calibri" w:hAnsi="Calibri" w:cs="Calibri"/>
                <w:b/>
                <w:bCs/>
                <w:color w:val="000000"/>
                <w:sz w:val="20"/>
                <w:szCs w:val="20"/>
              </w:rPr>
            </w:pPr>
          </w:p>
        </w:tc>
        <w:tc>
          <w:tcPr>
            <w:tcW w:w="719" w:type="pct"/>
            <w:gridSpan w:val="2"/>
            <w:tcBorders>
              <w:top w:val="single" w:sz="8" w:space="0" w:color="auto"/>
              <w:left w:val="nil"/>
              <w:bottom w:val="single" w:sz="8" w:space="0" w:color="auto"/>
              <w:right w:val="nil"/>
            </w:tcBorders>
            <w:shd w:val="clear" w:color="auto" w:fill="auto"/>
            <w:vAlign w:val="center"/>
          </w:tcPr>
          <w:p w14:paraId="26A96370" w14:textId="77777777" w:rsidR="00926418" w:rsidRDefault="00926418">
            <w:pPr>
              <w:jc w:val="right"/>
              <w:rPr>
                <w:rFonts w:ascii="Calibri" w:hAnsi="Calibri" w:cs="Calibri"/>
                <w:b/>
                <w:bCs/>
                <w:color w:val="000000"/>
                <w:sz w:val="20"/>
                <w:szCs w:val="20"/>
              </w:rPr>
            </w:pPr>
          </w:p>
        </w:tc>
        <w:tc>
          <w:tcPr>
            <w:tcW w:w="720" w:type="pct"/>
            <w:gridSpan w:val="2"/>
            <w:tcBorders>
              <w:top w:val="single" w:sz="8" w:space="0" w:color="auto"/>
              <w:left w:val="nil"/>
              <w:bottom w:val="single" w:sz="8" w:space="0" w:color="auto"/>
              <w:right w:val="nil"/>
            </w:tcBorders>
            <w:shd w:val="clear" w:color="auto" w:fill="auto"/>
            <w:vAlign w:val="center"/>
          </w:tcPr>
          <w:p w14:paraId="4B58770F" w14:textId="77777777" w:rsidR="00926418" w:rsidRDefault="00926418">
            <w:pPr>
              <w:jc w:val="right"/>
              <w:rPr>
                <w:rFonts w:ascii="Calibri" w:hAnsi="Calibri" w:cs="Calibri"/>
                <w:b/>
                <w:bCs/>
                <w:color w:val="000000"/>
                <w:sz w:val="20"/>
                <w:szCs w:val="20"/>
              </w:rPr>
            </w:pPr>
          </w:p>
        </w:tc>
        <w:tc>
          <w:tcPr>
            <w:tcW w:w="718" w:type="pct"/>
            <w:gridSpan w:val="2"/>
            <w:tcBorders>
              <w:top w:val="single" w:sz="8" w:space="0" w:color="auto"/>
              <w:left w:val="nil"/>
              <w:bottom w:val="single" w:sz="8" w:space="0" w:color="auto"/>
              <w:right w:val="nil"/>
            </w:tcBorders>
            <w:shd w:val="clear" w:color="auto" w:fill="auto"/>
            <w:vAlign w:val="center"/>
          </w:tcPr>
          <w:p w14:paraId="1BDC5D35" w14:textId="77777777" w:rsidR="00926418" w:rsidRDefault="00926418">
            <w:pPr>
              <w:jc w:val="right"/>
              <w:rPr>
                <w:rFonts w:ascii="Calibri" w:hAnsi="Calibri" w:cs="Calibri"/>
                <w:b/>
                <w:bCs/>
                <w:color w:val="000000"/>
                <w:sz w:val="20"/>
                <w:szCs w:val="20"/>
              </w:rPr>
            </w:pPr>
          </w:p>
        </w:tc>
      </w:tr>
      <w:tr w:rsidR="00C515CD" w14:paraId="46F1BC78" w14:textId="77777777" w:rsidTr="00CF66BE">
        <w:trPr>
          <w:trHeight w:val="281"/>
        </w:trPr>
        <w:tc>
          <w:tcPr>
            <w:tcW w:w="713" w:type="pct"/>
            <w:tcBorders>
              <w:top w:val="nil"/>
              <w:left w:val="nil"/>
              <w:bottom w:val="nil"/>
              <w:right w:val="nil"/>
            </w:tcBorders>
            <w:shd w:val="clear" w:color="auto" w:fill="auto"/>
            <w:vAlign w:val="center"/>
            <w:hideMark/>
          </w:tcPr>
          <w:p w14:paraId="17BE11C2" w14:textId="77777777" w:rsidR="00C515CD" w:rsidRDefault="00C515CD">
            <w:pPr>
              <w:rPr>
                <w:sz w:val="20"/>
                <w:szCs w:val="20"/>
              </w:rPr>
            </w:pPr>
          </w:p>
        </w:tc>
        <w:tc>
          <w:tcPr>
            <w:tcW w:w="715" w:type="pct"/>
            <w:tcBorders>
              <w:top w:val="nil"/>
              <w:left w:val="nil"/>
              <w:bottom w:val="nil"/>
              <w:right w:val="nil"/>
            </w:tcBorders>
            <w:shd w:val="clear" w:color="auto" w:fill="auto"/>
            <w:noWrap/>
            <w:vAlign w:val="bottom"/>
            <w:hideMark/>
          </w:tcPr>
          <w:p w14:paraId="71BC0B60" w14:textId="77777777" w:rsidR="00C515CD" w:rsidRDefault="00C515CD">
            <w:pPr>
              <w:rPr>
                <w:sz w:val="20"/>
                <w:szCs w:val="20"/>
              </w:rPr>
            </w:pPr>
          </w:p>
        </w:tc>
        <w:tc>
          <w:tcPr>
            <w:tcW w:w="689" w:type="pct"/>
            <w:gridSpan w:val="2"/>
            <w:tcBorders>
              <w:top w:val="nil"/>
              <w:left w:val="nil"/>
              <w:bottom w:val="nil"/>
              <w:right w:val="nil"/>
            </w:tcBorders>
            <w:shd w:val="clear" w:color="auto" w:fill="auto"/>
            <w:noWrap/>
            <w:vAlign w:val="bottom"/>
            <w:hideMark/>
          </w:tcPr>
          <w:p w14:paraId="560D6227" w14:textId="77777777" w:rsidR="00C515CD" w:rsidRDefault="00C515CD">
            <w:pPr>
              <w:rPr>
                <w:sz w:val="20"/>
                <w:szCs w:val="20"/>
              </w:rPr>
            </w:pPr>
          </w:p>
        </w:tc>
        <w:tc>
          <w:tcPr>
            <w:tcW w:w="2883" w:type="pct"/>
            <w:gridSpan w:val="8"/>
            <w:tcBorders>
              <w:top w:val="nil"/>
              <w:left w:val="nil"/>
              <w:bottom w:val="nil"/>
              <w:right w:val="nil"/>
            </w:tcBorders>
            <w:shd w:val="clear" w:color="auto" w:fill="auto"/>
            <w:vAlign w:val="center"/>
            <w:hideMark/>
          </w:tcPr>
          <w:p w14:paraId="5A7B4ACF" w14:textId="071BB09C" w:rsidR="00C515CD" w:rsidRDefault="00C515CD">
            <w:pPr>
              <w:jc w:val="center"/>
              <w:rPr>
                <w:rFonts w:ascii="Calibri" w:hAnsi="Calibri" w:cs="Calibri"/>
                <w:color w:val="000000"/>
                <w:sz w:val="20"/>
                <w:szCs w:val="20"/>
              </w:rPr>
            </w:pPr>
            <w:r>
              <w:rPr>
                <w:rFonts w:ascii="Calibri" w:hAnsi="Calibri" w:cs="Calibri"/>
                <w:color w:val="000000"/>
                <w:sz w:val="20"/>
                <w:szCs w:val="20"/>
              </w:rPr>
              <w:t>30 June 2023 (restated)</w:t>
            </w:r>
            <w:r w:rsidRPr="004B66D2">
              <w:rPr>
                <w:rFonts w:asciiTheme="minorHAnsi" w:hAnsiTheme="minorHAnsi" w:cs="Arial"/>
                <w:sz w:val="20"/>
                <w:szCs w:val="20"/>
                <w:vertAlign w:val="superscript"/>
              </w:rPr>
              <w:t xml:space="preserve"> 1</w:t>
            </w:r>
          </w:p>
        </w:tc>
      </w:tr>
      <w:tr w:rsidR="00133C72" w14:paraId="11EDB16B" w14:textId="77777777" w:rsidTr="00133C72">
        <w:trPr>
          <w:trHeight w:val="281"/>
        </w:trPr>
        <w:tc>
          <w:tcPr>
            <w:tcW w:w="713" w:type="pct"/>
            <w:tcBorders>
              <w:top w:val="nil"/>
              <w:left w:val="nil"/>
              <w:bottom w:val="nil"/>
              <w:right w:val="nil"/>
            </w:tcBorders>
            <w:shd w:val="clear" w:color="auto" w:fill="auto"/>
            <w:vAlign w:val="center"/>
            <w:hideMark/>
          </w:tcPr>
          <w:p w14:paraId="42D81632" w14:textId="77777777" w:rsidR="00C515CD" w:rsidRDefault="00C515CD">
            <w:pPr>
              <w:jc w:val="center"/>
              <w:rPr>
                <w:rFonts w:ascii="Calibri" w:hAnsi="Calibri" w:cs="Calibri"/>
                <w:color w:val="000000"/>
                <w:sz w:val="20"/>
                <w:szCs w:val="20"/>
              </w:rPr>
            </w:pPr>
          </w:p>
        </w:tc>
        <w:tc>
          <w:tcPr>
            <w:tcW w:w="715" w:type="pct"/>
            <w:tcBorders>
              <w:top w:val="nil"/>
              <w:left w:val="nil"/>
              <w:bottom w:val="nil"/>
              <w:right w:val="nil"/>
            </w:tcBorders>
            <w:shd w:val="clear" w:color="auto" w:fill="auto"/>
            <w:noWrap/>
            <w:vAlign w:val="bottom"/>
            <w:hideMark/>
          </w:tcPr>
          <w:p w14:paraId="76D84464" w14:textId="77777777" w:rsidR="00C515CD" w:rsidRDefault="00C515CD">
            <w:pPr>
              <w:rPr>
                <w:sz w:val="20"/>
                <w:szCs w:val="20"/>
              </w:rPr>
            </w:pPr>
          </w:p>
        </w:tc>
        <w:tc>
          <w:tcPr>
            <w:tcW w:w="689" w:type="pct"/>
            <w:gridSpan w:val="2"/>
            <w:tcBorders>
              <w:top w:val="nil"/>
              <w:left w:val="nil"/>
              <w:bottom w:val="nil"/>
              <w:right w:val="nil"/>
            </w:tcBorders>
            <w:shd w:val="clear" w:color="auto" w:fill="auto"/>
            <w:noWrap/>
            <w:vAlign w:val="bottom"/>
            <w:hideMark/>
          </w:tcPr>
          <w:p w14:paraId="61C4B46D" w14:textId="77777777" w:rsidR="00C515CD" w:rsidRDefault="00C515CD">
            <w:pPr>
              <w:rPr>
                <w:sz w:val="20"/>
                <w:szCs w:val="20"/>
              </w:rPr>
            </w:pPr>
          </w:p>
        </w:tc>
        <w:tc>
          <w:tcPr>
            <w:tcW w:w="719" w:type="pct"/>
            <w:gridSpan w:val="2"/>
            <w:tcBorders>
              <w:top w:val="nil"/>
              <w:left w:val="nil"/>
              <w:bottom w:val="nil"/>
              <w:right w:val="nil"/>
            </w:tcBorders>
            <w:shd w:val="clear" w:color="auto" w:fill="auto"/>
            <w:vAlign w:val="center"/>
            <w:hideMark/>
          </w:tcPr>
          <w:p w14:paraId="524A9C6D"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Stage 1 </w:t>
            </w:r>
          </w:p>
        </w:tc>
        <w:tc>
          <w:tcPr>
            <w:tcW w:w="720" w:type="pct"/>
            <w:gridSpan w:val="2"/>
            <w:tcBorders>
              <w:top w:val="nil"/>
              <w:left w:val="nil"/>
              <w:bottom w:val="nil"/>
              <w:right w:val="nil"/>
            </w:tcBorders>
            <w:shd w:val="clear" w:color="auto" w:fill="auto"/>
            <w:vAlign w:val="center"/>
            <w:hideMark/>
          </w:tcPr>
          <w:p w14:paraId="135FF1D8"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Stage 2  </w:t>
            </w:r>
          </w:p>
        </w:tc>
        <w:tc>
          <w:tcPr>
            <w:tcW w:w="719" w:type="pct"/>
            <w:gridSpan w:val="2"/>
            <w:tcBorders>
              <w:top w:val="nil"/>
              <w:left w:val="nil"/>
              <w:bottom w:val="nil"/>
              <w:right w:val="nil"/>
            </w:tcBorders>
            <w:shd w:val="clear" w:color="auto" w:fill="auto"/>
            <w:vAlign w:val="center"/>
            <w:hideMark/>
          </w:tcPr>
          <w:p w14:paraId="62CDA2B0"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Stage 3 </w:t>
            </w:r>
          </w:p>
        </w:tc>
        <w:tc>
          <w:tcPr>
            <w:tcW w:w="725" w:type="pct"/>
            <w:gridSpan w:val="2"/>
            <w:tcBorders>
              <w:top w:val="nil"/>
              <w:left w:val="nil"/>
              <w:bottom w:val="nil"/>
              <w:right w:val="nil"/>
            </w:tcBorders>
            <w:shd w:val="clear" w:color="auto" w:fill="auto"/>
            <w:vAlign w:val="center"/>
            <w:hideMark/>
          </w:tcPr>
          <w:p w14:paraId="05E73520"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Total </w:t>
            </w:r>
          </w:p>
        </w:tc>
      </w:tr>
      <w:tr w:rsidR="00133C72" w14:paraId="19DCE49B" w14:textId="77777777" w:rsidTr="00133C72">
        <w:trPr>
          <w:trHeight w:val="295"/>
        </w:trPr>
        <w:tc>
          <w:tcPr>
            <w:tcW w:w="713" w:type="pct"/>
            <w:tcBorders>
              <w:top w:val="nil"/>
              <w:left w:val="nil"/>
              <w:bottom w:val="nil"/>
              <w:right w:val="nil"/>
            </w:tcBorders>
            <w:shd w:val="clear" w:color="auto" w:fill="auto"/>
            <w:vAlign w:val="center"/>
            <w:hideMark/>
          </w:tcPr>
          <w:p w14:paraId="66BC1077" w14:textId="77777777" w:rsidR="00C515CD" w:rsidRDefault="00C515CD">
            <w:pPr>
              <w:jc w:val="right"/>
              <w:rPr>
                <w:rFonts w:ascii="Calibri" w:hAnsi="Calibri" w:cs="Calibri"/>
                <w:color w:val="000000"/>
                <w:sz w:val="20"/>
                <w:szCs w:val="20"/>
              </w:rPr>
            </w:pPr>
          </w:p>
        </w:tc>
        <w:tc>
          <w:tcPr>
            <w:tcW w:w="715" w:type="pct"/>
            <w:tcBorders>
              <w:top w:val="nil"/>
              <w:left w:val="nil"/>
              <w:bottom w:val="nil"/>
              <w:right w:val="nil"/>
            </w:tcBorders>
            <w:shd w:val="clear" w:color="auto" w:fill="auto"/>
            <w:noWrap/>
            <w:vAlign w:val="bottom"/>
            <w:hideMark/>
          </w:tcPr>
          <w:p w14:paraId="57D080B7" w14:textId="77777777" w:rsidR="00C515CD" w:rsidRDefault="00C515CD">
            <w:pPr>
              <w:rPr>
                <w:sz w:val="20"/>
                <w:szCs w:val="20"/>
              </w:rPr>
            </w:pPr>
          </w:p>
        </w:tc>
        <w:tc>
          <w:tcPr>
            <w:tcW w:w="689" w:type="pct"/>
            <w:gridSpan w:val="2"/>
            <w:tcBorders>
              <w:top w:val="nil"/>
              <w:left w:val="nil"/>
              <w:bottom w:val="nil"/>
              <w:right w:val="nil"/>
            </w:tcBorders>
            <w:shd w:val="clear" w:color="auto" w:fill="auto"/>
            <w:noWrap/>
            <w:vAlign w:val="bottom"/>
            <w:hideMark/>
          </w:tcPr>
          <w:p w14:paraId="74E6E45D" w14:textId="77777777" w:rsidR="00C515CD" w:rsidRDefault="00C515CD">
            <w:pPr>
              <w:rPr>
                <w:sz w:val="20"/>
                <w:szCs w:val="20"/>
              </w:rPr>
            </w:pPr>
          </w:p>
        </w:tc>
        <w:tc>
          <w:tcPr>
            <w:tcW w:w="719" w:type="pct"/>
            <w:gridSpan w:val="2"/>
            <w:tcBorders>
              <w:top w:val="nil"/>
              <w:left w:val="nil"/>
              <w:bottom w:val="single" w:sz="8" w:space="0" w:color="auto"/>
              <w:right w:val="nil"/>
            </w:tcBorders>
            <w:shd w:val="clear" w:color="auto" w:fill="auto"/>
            <w:vAlign w:val="center"/>
            <w:hideMark/>
          </w:tcPr>
          <w:p w14:paraId="58D3B59A"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£m </w:t>
            </w:r>
          </w:p>
        </w:tc>
        <w:tc>
          <w:tcPr>
            <w:tcW w:w="720" w:type="pct"/>
            <w:gridSpan w:val="2"/>
            <w:tcBorders>
              <w:top w:val="nil"/>
              <w:left w:val="nil"/>
              <w:bottom w:val="single" w:sz="8" w:space="0" w:color="auto"/>
              <w:right w:val="nil"/>
            </w:tcBorders>
            <w:shd w:val="clear" w:color="auto" w:fill="auto"/>
            <w:vAlign w:val="center"/>
            <w:hideMark/>
          </w:tcPr>
          <w:p w14:paraId="4CEAAB7D"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£m  </w:t>
            </w:r>
          </w:p>
        </w:tc>
        <w:tc>
          <w:tcPr>
            <w:tcW w:w="719" w:type="pct"/>
            <w:gridSpan w:val="2"/>
            <w:tcBorders>
              <w:top w:val="nil"/>
              <w:left w:val="nil"/>
              <w:bottom w:val="single" w:sz="8" w:space="0" w:color="auto"/>
              <w:right w:val="nil"/>
            </w:tcBorders>
            <w:shd w:val="clear" w:color="auto" w:fill="auto"/>
            <w:vAlign w:val="center"/>
            <w:hideMark/>
          </w:tcPr>
          <w:p w14:paraId="61C1AC61"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£m </w:t>
            </w:r>
          </w:p>
        </w:tc>
        <w:tc>
          <w:tcPr>
            <w:tcW w:w="725" w:type="pct"/>
            <w:gridSpan w:val="2"/>
            <w:tcBorders>
              <w:top w:val="nil"/>
              <w:left w:val="nil"/>
              <w:bottom w:val="single" w:sz="8" w:space="0" w:color="auto"/>
              <w:right w:val="nil"/>
            </w:tcBorders>
            <w:shd w:val="clear" w:color="auto" w:fill="auto"/>
            <w:vAlign w:val="center"/>
            <w:hideMark/>
          </w:tcPr>
          <w:p w14:paraId="5DFEFA80"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£m </w:t>
            </w:r>
          </w:p>
        </w:tc>
      </w:tr>
      <w:tr w:rsidR="00C515CD" w14:paraId="4518DFE7" w14:textId="77777777" w:rsidTr="00CF66BE">
        <w:trPr>
          <w:trHeight w:val="281"/>
        </w:trPr>
        <w:tc>
          <w:tcPr>
            <w:tcW w:w="2118" w:type="pct"/>
            <w:gridSpan w:val="4"/>
            <w:tcBorders>
              <w:top w:val="nil"/>
              <w:left w:val="nil"/>
              <w:bottom w:val="nil"/>
              <w:right w:val="nil"/>
            </w:tcBorders>
            <w:shd w:val="clear" w:color="auto" w:fill="auto"/>
            <w:vAlign w:val="center"/>
            <w:hideMark/>
          </w:tcPr>
          <w:p w14:paraId="4A3ADB8F" w14:textId="77777777" w:rsidR="00C515CD" w:rsidRDefault="00C515CD">
            <w:pPr>
              <w:rPr>
                <w:rFonts w:ascii="Calibri" w:hAnsi="Calibri" w:cs="Calibri"/>
                <w:b/>
                <w:bCs/>
                <w:color w:val="000000"/>
                <w:sz w:val="20"/>
                <w:szCs w:val="20"/>
              </w:rPr>
            </w:pPr>
            <w:r>
              <w:rPr>
                <w:rFonts w:ascii="Calibri" w:hAnsi="Calibri" w:cs="Calibri"/>
                <w:b/>
                <w:bCs/>
                <w:color w:val="000000"/>
                <w:sz w:val="20"/>
                <w:szCs w:val="20"/>
              </w:rPr>
              <w:t>Gross receivables</w:t>
            </w:r>
          </w:p>
        </w:tc>
        <w:tc>
          <w:tcPr>
            <w:tcW w:w="719" w:type="pct"/>
            <w:gridSpan w:val="2"/>
            <w:tcBorders>
              <w:top w:val="nil"/>
              <w:left w:val="nil"/>
              <w:bottom w:val="nil"/>
              <w:right w:val="nil"/>
            </w:tcBorders>
            <w:shd w:val="clear" w:color="auto" w:fill="auto"/>
            <w:vAlign w:val="center"/>
            <w:hideMark/>
          </w:tcPr>
          <w:p w14:paraId="4F05E134" w14:textId="77777777" w:rsidR="00C515CD" w:rsidRDefault="00C515CD">
            <w:pPr>
              <w:rPr>
                <w:rFonts w:ascii="Calibri" w:hAnsi="Calibri" w:cs="Calibri"/>
                <w:b/>
                <w:bCs/>
                <w:color w:val="000000"/>
                <w:sz w:val="20"/>
                <w:szCs w:val="20"/>
              </w:rPr>
            </w:pPr>
          </w:p>
        </w:tc>
        <w:tc>
          <w:tcPr>
            <w:tcW w:w="720" w:type="pct"/>
            <w:gridSpan w:val="2"/>
            <w:tcBorders>
              <w:top w:val="nil"/>
              <w:left w:val="nil"/>
              <w:bottom w:val="nil"/>
              <w:right w:val="nil"/>
            </w:tcBorders>
            <w:shd w:val="clear" w:color="auto" w:fill="auto"/>
            <w:vAlign w:val="center"/>
            <w:hideMark/>
          </w:tcPr>
          <w:p w14:paraId="2F9D6314" w14:textId="77777777" w:rsidR="00C515CD" w:rsidRDefault="00C515CD">
            <w:pPr>
              <w:jc w:val="right"/>
              <w:rPr>
                <w:sz w:val="20"/>
                <w:szCs w:val="20"/>
              </w:rPr>
            </w:pPr>
          </w:p>
        </w:tc>
        <w:tc>
          <w:tcPr>
            <w:tcW w:w="719" w:type="pct"/>
            <w:gridSpan w:val="2"/>
            <w:tcBorders>
              <w:top w:val="nil"/>
              <w:left w:val="nil"/>
              <w:bottom w:val="nil"/>
              <w:right w:val="nil"/>
            </w:tcBorders>
            <w:shd w:val="clear" w:color="auto" w:fill="auto"/>
            <w:vAlign w:val="center"/>
            <w:hideMark/>
          </w:tcPr>
          <w:p w14:paraId="43EED247" w14:textId="77777777" w:rsidR="00C515CD" w:rsidRDefault="00C515CD">
            <w:pPr>
              <w:jc w:val="right"/>
              <w:rPr>
                <w:sz w:val="20"/>
                <w:szCs w:val="20"/>
              </w:rPr>
            </w:pPr>
          </w:p>
        </w:tc>
        <w:tc>
          <w:tcPr>
            <w:tcW w:w="725" w:type="pct"/>
            <w:gridSpan w:val="2"/>
            <w:tcBorders>
              <w:top w:val="nil"/>
              <w:left w:val="nil"/>
              <w:bottom w:val="nil"/>
              <w:right w:val="nil"/>
            </w:tcBorders>
            <w:shd w:val="clear" w:color="auto" w:fill="auto"/>
            <w:vAlign w:val="center"/>
            <w:hideMark/>
          </w:tcPr>
          <w:p w14:paraId="3C05C9BB" w14:textId="77777777" w:rsidR="00C515CD" w:rsidRDefault="00C515CD">
            <w:pPr>
              <w:jc w:val="right"/>
              <w:rPr>
                <w:sz w:val="20"/>
                <w:szCs w:val="20"/>
              </w:rPr>
            </w:pPr>
          </w:p>
        </w:tc>
      </w:tr>
      <w:tr w:rsidR="00C515CD" w14:paraId="07BB758C" w14:textId="77777777" w:rsidTr="00CF66BE">
        <w:trPr>
          <w:trHeight w:val="281"/>
        </w:trPr>
        <w:tc>
          <w:tcPr>
            <w:tcW w:w="2118" w:type="pct"/>
            <w:gridSpan w:val="4"/>
            <w:tcBorders>
              <w:top w:val="nil"/>
              <w:left w:val="nil"/>
              <w:bottom w:val="nil"/>
              <w:right w:val="nil"/>
            </w:tcBorders>
            <w:shd w:val="clear" w:color="auto" w:fill="auto"/>
            <w:vAlign w:val="center"/>
            <w:hideMark/>
          </w:tcPr>
          <w:p w14:paraId="66527A01" w14:textId="77777777" w:rsidR="00C515CD" w:rsidRDefault="00C515CD">
            <w:pPr>
              <w:rPr>
                <w:rFonts w:ascii="Calibri" w:hAnsi="Calibri" w:cs="Calibri"/>
                <w:color w:val="000000"/>
                <w:sz w:val="20"/>
                <w:szCs w:val="20"/>
              </w:rPr>
            </w:pPr>
            <w:r>
              <w:rPr>
                <w:rFonts w:ascii="Calibri" w:hAnsi="Calibri" w:cs="Calibri"/>
                <w:color w:val="000000"/>
                <w:sz w:val="20"/>
                <w:szCs w:val="20"/>
              </w:rPr>
              <w:t>Credit cards</w:t>
            </w:r>
          </w:p>
        </w:tc>
        <w:tc>
          <w:tcPr>
            <w:tcW w:w="719" w:type="pct"/>
            <w:gridSpan w:val="2"/>
            <w:tcBorders>
              <w:top w:val="nil"/>
              <w:left w:val="nil"/>
              <w:bottom w:val="nil"/>
              <w:right w:val="nil"/>
            </w:tcBorders>
            <w:shd w:val="clear" w:color="auto" w:fill="auto"/>
            <w:vAlign w:val="center"/>
            <w:hideMark/>
          </w:tcPr>
          <w:p w14:paraId="051F7772"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1,187.7</w:t>
            </w:r>
          </w:p>
        </w:tc>
        <w:tc>
          <w:tcPr>
            <w:tcW w:w="720" w:type="pct"/>
            <w:gridSpan w:val="2"/>
            <w:tcBorders>
              <w:top w:val="nil"/>
              <w:left w:val="nil"/>
              <w:bottom w:val="nil"/>
              <w:right w:val="nil"/>
            </w:tcBorders>
            <w:shd w:val="clear" w:color="auto" w:fill="auto"/>
            <w:vAlign w:val="center"/>
            <w:hideMark/>
          </w:tcPr>
          <w:p w14:paraId="2336064A"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139.4</w:t>
            </w:r>
          </w:p>
        </w:tc>
        <w:tc>
          <w:tcPr>
            <w:tcW w:w="719" w:type="pct"/>
            <w:gridSpan w:val="2"/>
            <w:tcBorders>
              <w:top w:val="nil"/>
              <w:left w:val="nil"/>
              <w:bottom w:val="nil"/>
              <w:right w:val="nil"/>
            </w:tcBorders>
            <w:shd w:val="clear" w:color="auto" w:fill="auto"/>
            <w:vAlign w:val="center"/>
            <w:hideMark/>
          </w:tcPr>
          <w:p w14:paraId="6A9C0F5C"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113.0</w:t>
            </w:r>
          </w:p>
        </w:tc>
        <w:tc>
          <w:tcPr>
            <w:tcW w:w="725" w:type="pct"/>
            <w:gridSpan w:val="2"/>
            <w:tcBorders>
              <w:top w:val="nil"/>
              <w:left w:val="nil"/>
              <w:bottom w:val="nil"/>
              <w:right w:val="nil"/>
            </w:tcBorders>
            <w:shd w:val="clear" w:color="auto" w:fill="auto"/>
            <w:vAlign w:val="center"/>
            <w:hideMark/>
          </w:tcPr>
          <w:p w14:paraId="00062B65"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1,440.1</w:t>
            </w:r>
          </w:p>
        </w:tc>
      </w:tr>
      <w:tr w:rsidR="00C515CD" w14:paraId="1E41692B" w14:textId="77777777" w:rsidTr="00CF66BE">
        <w:trPr>
          <w:trHeight w:val="281"/>
        </w:trPr>
        <w:tc>
          <w:tcPr>
            <w:tcW w:w="2118" w:type="pct"/>
            <w:gridSpan w:val="4"/>
            <w:tcBorders>
              <w:top w:val="nil"/>
              <w:left w:val="nil"/>
              <w:bottom w:val="nil"/>
              <w:right w:val="nil"/>
            </w:tcBorders>
            <w:shd w:val="clear" w:color="auto" w:fill="auto"/>
            <w:vAlign w:val="center"/>
            <w:hideMark/>
          </w:tcPr>
          <w:p w14:paraId="3D9923A6" w14:textId="77777777" w:rsidR="00C515CD" w:rsidRDefault="00C515CD">
            <w:pPr>
              <w:rPr>
                <w:rFonts w:ascii="Calibri" w:hAnsi="Calibri" w:cs="Calibri"/>
                <w:color w:val="000000"/>
                <w:sz w:val="20"/>
                <w:szCs w:val="20"/>
              </w:rPr>
            </w:pPr>
            <w:r>
              <w:rPr>
                <w:rFonts w:ascii="Calibri" w:hAnsi="Calibri" w:cs="Calibri"/>
                <w:color w:val="000000"/>
                <w:sz w:val="20"/>
                <w:szCs w:val="20"/>
              </w:rPr>
              <w:t>Vehicle finance</w:t>
            </w:r>
          </w:p>
        </w:tc>
        <w:tc>
          <w:tcPr>
            <w:tcW w:w="719" w:type="pct"/>
            <w:gridSpan w:val="2"/>
            <w:tcBorders>
              <w:top w:val="nil"/>
              <w:left w:val="nil"/>
              <w:bottom w:val="nil"/>
              <w:right w:val="nil"/>
            </w:tcBorders>
            <w:shd w:val="clear" w:color="auto" w:fill="auto"/>
            <w:vAlign w:val="center"/>
            <w:hideMark/>
          </w:tcPr>
          <w:p w14:paraId="36F969BF"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423.0</w:t>
            </w:r>
          </w:p>
        </w:tc>
        <w:tc>
          <w:tcPr>
            <w:tcW w:w="720" w:type="pct"/>
            <w:gridSpan w:val="2"/>
            <w:tcBorders>
              <w:top w:val="nil"/>
              <w:left w:val="nil"/>
              <w:bottom w:val="nil"/>
              <w:right w:val="nil"/>
            </w:tcBorders>
            <w:shd w:val="clear" w:color="auto" w:fill="auto"/>
            <w:vAlign w:val="center"/>
            <w:hideMark/>
          </w:tcPr>
          <w:p w14:paraId="195A8EDE"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203.5</w:t>
            </w:r>
          </w:p>
        </w:tc>
        <w:tc>
          <w:tcPr>
            <w:tcW w:w="719" w:type="pct"/>
            <w:gridSpan w:val="2"/>
            <w:tcBorders>
              <w:top w:val="nil"/>
              <w:left w:val="nil"/>
              <w:bottom w:val="nil"/>
              <w:right w:val="nil"/>
            </w:tcBorders>
            <w:shd w:val="clear" w:color="auto" w:fill="auto"/>
            <w:vAlign w:val="center"/>
            <w:hideMark/>
          </w:tcPr>
          <w:p w14:paraId="4227A341"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487.6</w:t>
            </w:r>
          </w:p>
        </w:tc>
        <w:tc>
          <w:tcPr>
            <w:tcW w:w="725" w:type="pct"/>
            <w:gridSpan w:val="2"/>
            <w:tcBorders>
              <w:top w:val="nil"/>
              <w:left w:val="nil"/>
              <w:bottom w:val="nil"/>
              <w:right w:val="nil"/>
            </w:tcBorders>
            <w:shd w:val="clear" w:color="auto" w:fill="auto"/>
            <w:vAlign w:val="center"/>
            <w:hideMark/>
          </w:tcPr>
          <w:p w14:paraId="05AECED5"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1,114.1</w:t>
            </w:r>
          </w:p>
        </w:tc>
      </w:tr>
      <w:tr w:rsidR="00C515CD" w14:paraId="084B498A" w14:textId="77777777" w:rsidTr="00CF66BE">
        <w:trPr>
          <w:trHeight w:val="281"/>
        </w:trPr>
        <w:tc>
          <w:tcPr>
            <w:tcW w:w="2118" w:type="pct"/>
            <w:gridSpan w:val="4"/>
            <w:tcBorders>
              <w:top w:val="nil"/>
              <w:left w:val="nil"/>
              <w:bottom w:val="nil"/>
              <w:right w:val="nil"/>
            </w:tcBorders>
            <w:shd w:val="clear" w:color="auto" w:fill="auto"/>
            <w:vAlign w:val="center"/>
            <w:hideMark/>
          </w:tcPr>
          <w:p w14:paraId="4E6C5B68" w14:textId="77777777" w:rsidR="00C515CD" w:rsidRDefault="00C515CD">
            <w:pPr>
              <w:rPr>
                <w:rFonts w:ascii="Calibri" w:hAnsi="Calibri" w:cs="Calibri"/>
                <w:color w:val="000000"/>
                <w:sz w:val="20"/>
                <w:szCs w:val="20"/>
              </w:rPr>
            </w:pPr>
            <w:r>
              <w:rPr>
                <w:rFonts w:ascii="Calibri" w:hAnsi="Calibri" w:cs="Calibri"/>
                <w:color w:val="000000"/>
                <w:sz w:val="20"/>
                <w:szCs w:val="20"/>
              </w:rPr>
              <w:t>Personal loans</w:t>
            </w:r>
          </w:p>
        </w:tc>
        <w:tc>
          <w:tcPr>
            <w:tcW w:w="719" w:type="pct"/>
            <w:gridSpan w:val="2"/>
            <w:tcBorders>
              <w:top w:val="nil"/>
              <w:left w:val="nil"/>
              <w:bottom w:val="nil"/>
              <w:right w:val="nil"/>
            </w:tcBorders>
            <w:shd w:val="clear" w:color="auto" w:fill="auto"/>
            <w:vAlign w:val="center"/>
            <w:hideMark/>
          </w:tcPr>
          <w:p w14:paraId="2DFB74E2"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132.8</w:t>
            </w:r>
          </w:p>
        </w:tc>
        <w:tc>
          <w:tcPr>
            <w:tcW w:w="720" w:type="pct"/>
            <w:gridSpan w:val="2"/>
            <w:tcBorders>
              <w:top w:val="nil"/>
              <w:left w:val="nil"/>
              <w:bottom w:val="nil"/>
              <w:right w:val="nil"/>
            </w:tcBorders>
            <w:shd w:val="clear" w:color="auto" w:fill="auto"/>
            <w:vAlign w:val="center"/>
            <w:hideMark/>
          </w:tcPr>
          <w:p w14:paraId="22BFBC3F"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3.9</w:t>
            </w:r>
          </w:p>
        </w:tc>
        <w:tc>
          <w:tcPr>
            <w:tcW w:w="719" w:type="pct"/>
            <w:gridSpan w:val="2"/>
            <w:tcBorders>
              <w:top w:val="nil"/>
              <w:left w:val="nil"/>
              <w:bottom w:val="nil"/>
              <w:right w:val="nil"/>
            </w:tcBorders>
            <w:shd w:val="clear" w:color="auto" w:fill="auto"/>
            <w:vAlign w:val="center"/>
            <w:hideMark/>
          </w:tcPr>
          <w:p w14:paraId="30A594EE"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5.6</w:t>
            </w:r>
          </w:p>
        </w:tc>
        <w:tc>
          <w:tcPr>
            <w:tcW w:w="725" w:type="pct"/>
            <w:gridSpan w:val="2"/>
            <w:tcBorders>
              <w:top w:val="nil"/>
              <w:left w:val="nil"/>
              <w:bottom w:val="nil"/>
              <w:right w:val="nil"/>
            </w:tcBorders>
            <w:shd w:val="clear" w:color="auto" w:fill="auto"/>
            <w:vAlign w:val="center"/>
            <w:hideMark/>
          </w:tcPr>
          <w:p w14:paraId="5B4F3258"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142.3</w:t>
            </w:r>
          </w:p>
        </w:tc>
      </w:tr>
      <w:tr w:rsidR="00C515CD" w14:paraId="3DDCC82F" w14:textId="77777777" w:rsidTr="00CF66BE">
        <w:trPr>
          <w:trHeight w:val="295"/>
        </w:trPr>
        <w:tc>
          <w:tcPr>
            <w:tcW w:w="2118" w:type="pct"/>
            <w:gridSpan w:val="4"/>
            <w:tcBorders>
              <w:top w:val="nil"/>
              <w:left w:val="nil"/>
              <w:bottom w:val="nil"/>
              <w:right w:val="nil"/>
            </w:tcBorders>
            <w:shd w:val="clear" w:color="auto" w:fill="auto"/>
            <w:vAlign w:val="center"/>
            <w:hideMark/>
          </w:tcPr>
          <w:p w14:paraId="4B50F85E" w14:textId="77777777" w:rsidR="00C515CD" w:rsidRDefault="00C515CD">
            <w:pPr>
              <w:rPr>
                <w:rFonts w:ascii="Calibri" w:hAnsi="Calibri" w:cs="Calibri"/>
                <w:color w:val="000000"/>
                <w:sz w:val="20"/>
                <w:szCs w:val="20"/>
              </w:rPr>
            </w:pPr>
            <w:r>
              <w:rPr>
                <w:rFonts w:ascii="Calibri" w:hAnsi="Calibri" w:cs="Calibri"/>
                <w:color w:val="000000"/>
                <w:sz w:val="20"/>
                <w:szCs w:val="20"/>
              </w:rPr>
              <w:t>Second charge mortgages</w:t>
            </w:r>
          </w:p>
        </w:tc>
        <w:tc>
          <w:tcPr>
            <w:tcW w:w="719" w:type="pct"/>
            <w:gridSpan w:val="2"/>
            <w:tcBorders>
              <w:top w:val="nil"/>
              <w:left w:val="nil"/>
              <w:bottom w:val="nil"/>
              <w:right w:val="nil"/>
            </w:tcBorders>
            <w:shd w:val="clear" w:color="auto" w:fill="auto"/>
            <w:vAlign w:val="center"/>
            <w:hideMark/>
          </w:tcPr>
          <w:p w14:paraId="7C5501B1"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w:t>
            </w:r>
          </w:p>
        </w:tc>
        <w:tc>
          <w:tcPr>
            <w:tcW w:w="720" w:type="pct"/>
            <w:gridSpan w:val="2"/>
            <w:tcBorders>
              <w:top w:val="nil"/>
              <w:left w:val="nil"/>
              <w:bottom w:val="nil"/>
              <w:right w:val="nil"/>
            </w:tcBorders>
            <w:shd w:val="clear" w:color="auto" w:fill="auto"/>
            <w:vAlign w:val="center"/>
            <w:hideMark/>
          </w:tcPr>
          <w:p w14:paraId="642ED172"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w:t>
            </w:r>
          </w:p>
        </w:tc>
        <w:tc>
          <w:tcPr>
            <w:tcW w:w="719" w:type="pct"/>
            <w:gridSpan w:val="2"/>
            <w:tcBorders>
              <w:top w:val="nil"/>
              <w:left w:val="nil"/>
              <w:bottom w:val="nil"/>
              <w:right w:val="nil"/>
            </w:tcBorders>
            <w:shd w:val="clear" w:color="auto" w:fill="auto"/>
            <w:vAlign w:val="center"/>
            <w:hideMark/>
          </w:tcPr>
          <w:p w14:paraId="7325DCDA"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w:t>
            </w:r>
          </w:p>
        </w:tc>
        <w:tc>
          <w:tcPr>
            <w:tcW w:w="725" w:type="pct"/>
            <w:gridSpan w:val="2"/>
            <w:tcBorders>
              <w:top w:val="nil"/>
              <w:left w:val="nil"/>
              <w:bottom w:val="nil"/>
              <w:right w:val="nil"/>
            </w:tcBorders>
            <w:shd w:val="clear" w:color="auto" w:fill="auto"/>
            <w:vAlign w:val="center"/>
            <w:hideMark/>
          </w:tcPr>
          <w:p w14:paraId="0E967A41"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w:t>
            </w:r>
          </w:p>
        </w:tc>
      </w:tr>
      <w:tr w:rsidR="00C515CD" w14:paraId="755ACFFE" w14:textId="77777777" w:rsidTr="00CF66BE">
        <w:trPr>
          <w:trHeight w:val="295"/>
        </w:trPr>
        <w:tc>
          <w:tcPr>
            <w:tcW w:w="2118" w:type="pct"/>
            <w:gridSpan w:val="4"/>
            <w:tcBorders>
              <w:top w:val="nil"/>
              <w:left w:val="nil"/>
              <w:bottom w:val="nil"/>
              <w:right w:val="nil"/>
            </w:tcBorders>
            <w:shd w:val="clear" w:color="auto" w:fill="auto"/>
            <w:vAlign w:val="center"/>
            <w:hideMark/>
          </w:tcPr>
          <w:p w14:paraId="59F8923B" w14:textId="77777777" w:rsidR="00C515CD" w:rsidRDefault="00C515CD">
            <w:pPr>
              <w:rPr>
                <w:rFonts w:ascii="Calibri" w:hAnsi="Calibri" w:cs="Calibri"/>
                <w:b/>
                <w:bCs/>
                <w:color w:val="000000"/>
                <w:sz w:val="20"/>
                <w:szCs w:val="20"/>
              </w:rPr>
            </w:pPr>
            <w:r>
              <w:rPr>
                <w:rFonts w:ascii="Calibri" w:hAnsi="Calibri" w:cs="Calibri"/>
                <w:b/>
                <w:bCs/>
                <w:color w:val="000000"/>
                <w:sz w:val="20"/>
                <w:szCs w:val="20"/>
              </w:rPr>
              <w:t>Total group</w:t>
            </w:r>
          </w:p>
        </w:tc>
        <w:tc>
          <w:tcPr>
            <w:tcW w:w="719" w:type="pct"/>
            <w:gridSpan w:val="2"/>
            <w:tcBorders>
              <w:top w:val="single" w:sz="8" w:space="0" w:color="auto"/>
              <w:left w:val="nil"/>
              <w:bottom w:val="single" w:sz="8" w:space="0" w:color="auto"/>
              <w:right w:val="nil"/>
            </w:tcBorders>
            <w:shd w:val="clear" w:color="auto" w:fill="auto"/>
            <w:vAlign w:val="center"/>
            <w:hideMark/>
          </w:tcPr>
          <w:p w14:paraId="300ED580" w14:textId="77777777" w:rsidR="00C515CD" w:rsidRDefault="00C515CD">
            <w:pPr>
              <w:jc w:val="right"/>
              <w:rPr>
                <w:rFonts w:ascii="Calibri" w:hAnsi="Calibri" w:cs="Calibri"/>
                <w:b/>
                <w:bCs/>
                <w:color w:val="000000"/>
                <w:sz w:val="20"/>
                <w:szCs w:val="20"/>
              </w:rPr>
            </w:pPr>
            <w:r>
              <w:rPr>
                <w:rFonts w:ascii="Calibri" w:hAnsi="Calibri" w:cs="Calibri"/>
                <w:b/>
                <w:bCs/>
                <w:color w:val="000000"/>
                <w:sz w:val="20"/>
                <w:szCs w:val="20"/>
              </w:rPr>
              <w:t>1,743.5</w:t>
            </w:r>
          </w:p>
        </w:tc>
        <w:tc>
          <w:tcPr>
            <w:tcW w:w="720" w:type="pct"/>
            <w:gridSpan w:val="2"/>
            <w:tcBorders>
              <w:top w:val="single" w:sz="8" w:space="0" w:color="auto"/>
              <w:left w:val="nil"/>
              <w:bottom w:val="single" w:sz="8" w:space="0" w:color="auto"/>
              <w:right w:val="nil"/>
            </w:tcBorders>
            <w:shd w:val="clear" w:color="auto" w:fill="auto"/>
            <w:vAlign w:val="center"/>
            <w:hideMark/>
          </w:tcPr>
          <w:p w14:paraId="442150D6" w14:textId="77777777" w:rsidR="00C515CD" w:rsidRDefault="00C515CD">
            <w:pPr>
              <w:jc w:val="right"/>
              <w:rPr>
                <w:rFonts w:ascii="Calibri" w:hAnsi="Calibri" w:cs="Calibri"/>
                <w:b/>
                <w:bCs/>
                <w:color w:val="000000"/>
                <w:sz w:val="20"/>
                <w:szCs w:val="20"/>
              </w:rPr>
            </w:pPr>
            <w:r>
              <w:rPr>
                <w:rFonts w:ascii="Calibri" w:hAnsi="Calibri" w:cs="Calibri"/>
                <w:b/>
                <w:bCs/>
                <w:color w:val="000000"/>
                <w:sz w:val="20"/>
                <w:szCs w:val="20"/>
              </w:rPr>
              <w:t>346.8</w:t>
            </w:r>
          </w:p>
        </w:tc>
        <w:tc>
          <w:tcPr>
            <w:tcW w:w="719" w:type="pct"/>
            <w:gridSpan w:val="2"/>
            <w:tcBorders>
              <w:top w:val="single" w:sz="8" w:space="0" w:color="auto"/>
              <w:left w:val="nil"/>
              <w:bottom w:val="single" w:sz="8" w:space="0" w:color="auto"/>
              <w:right w:val="nil"/>
            </w:tcBorders>
            <w:shd w:val="clear" w:color="auto" w:fill="auto"/>
            <w:vAlign w:val="center"/>
            <w:hideMark/>
          </w:tcPr>
          <w:p w14:paraId="4D270A91" w14:textId="77777777" w:rsidR="00C515CD" w:rsidRDefault="00C515CD">
            <w:pPr>
              <w:jc w:val="right"/>
              <w:rPr>
                <w:rFonts w:ascii="Calibri" w:hAnsi="Calibri" w:cs="Calibri"/>
                <w:b/>
                <w:bCs/>
                <w:color w:val="000000"/>
                <w:sz w:val="20"/>
                <w:szCs w:val="20"/>
              </w:rPr>
            </w:pPr>
            <w:r>
              <w:rPr>
                <w:rFonts w:ascii="Calibri" w:hAnsi="Calibri" w:cs="Calibri"/>
                <w:b/>
                <w:bCs/>
                <w:color w:val="000000"/>
                <w:sz w:val="20"/>
                <w:szCs w:val="20"/>
              </w:rPr>
              <w:t>606.2</w:t>
            </w:r>
          </w:p>
        </w:tc>
        <w:tc>
          <w:tcPr>
            <w:tcW w:w="725" w:type="pct"/>
            <w:gridSpan w:val="2"/>
            <w:tcBorders>
              <w:top w:val="single" w:sz="8" w:space="0" w:color="auto"/>
              <w:left w:val="nil"/>
              <w:bottom w:val="single" w:sz="8" w:space="0" w:color="auto"/>
              <w:right w:val="nil"/>
            </w:tcBorders>
            <w:shd w:val="clear" w:color="auto" w:fill="auto"/>
            <w:vAlign w:val="center"/>
            <w:hideMark/>
          </w:tcPr>
          <w:p w14:paraId="6DCD3AEF" w14:textId="77777777" w:rsidR="00C515CD" w:rsidRDefault="00C515CD">
            <w:pPr>
              <w:jc w:val="right"/>
              <w:rPr>
                <w:rFonts w:ascii="Calibri" w:hAnsi="Calibri" w:cs="Calibri"/>
                <w:b/>
                <w:bCs/>
                <w:color w:val="000000"/>
                <w:sz w:val="20"/>
                <w:szCs w:val="20"/>
              </w:rPr>
            </w:pPr>
            <w:r>
              <w:rPr>
                <w:rFonts w:ascii="Calibri" w:hAnsi="Calibri" w:cs="Calibri"/>
                <w:b/>
                <w:bCs/>
                <w:color w:val="000000"/>
                <w:sz w:val="20"/>
                <w:szCs w:val="20"/>
              </w:rPr>
              <w:t>2,696.5</w:t>
            </w:r>
          </w:p>
        </w:tc>
      </w:tr>
      <w:tr w:rsidR="00C515CD" w14:paraId="313C5720" w14:textId="77777777" w:rsidTr="00CF66BE">
        <w:trPr>
          <w:trHeight w:val="281"/>
        </w:trPr>
        <w:tc>
          <w:tcPr>
            <w:tcW w:w="2118" w:type="pct"/>
            <w:gridSpan w:val="4"/>
            <w:tcBorders>
              <w:top w:val="nil"/>
              <w:left w:val="nil"/>
              <w:bottom w:val="nil"/>
              <w:right w:val="nil"/>
            </w:tcBorders>
            <w:shd w:val="clear" w:color="auto" w:fill="auto"/>
            <w:vAlign w:val="center"/>
            <w:hideMark/>
          </w:tcPr>
          <w:p w14:paraId="37EA3624" w14:textId="77777777" w:rsidR="00C515CD" w:rsidRDefault="00C515CD">
            <w:pPr>
              <w:jc w:val="right"/>
              <w:rPr>
                <w:rFonts w:ascii="Calibri" w:hAnsi="Calibri" w:cs="Calibri"/>
                <w:b/>
                <w:bCs/>
                <w:color w:val="000000"/>
                <w:sz w:val="20"/>
                <w:szCs w:val="20"/>
              </w:rPr>
            </w:pPr>
          </w:p>
        </w:tc>
        <w:tc>
          <w:tcPr>
            <w:tcW w:w="719" w:type="pct"/>
            <w:gridSpan w:val="2"/>
            <w:tcBorders>
              <w:top w:val="nil"/>
              <w:left w:val="nil"/>
              <w:bottom w:val="nil"/>
              <w:right w:val="nil"/>
            </w:tcBorders>
            <w:shd w:val="clear" w:color="auto" w:fill="auto"/>
            <w:vAlign w:val="center"/>
            <w:hideMark/>
          </w:tcPr>
          <w:p w14:paraId="2F2BC817" w14:textId="77777777" w:rsidR="00C515CD" w:rsidRDefault="00C515CD">
            <w:pPr>
              <w:rPr>
                <w:sz w:val="20"/>
                <w:szCs w:val="20"/>
              </w:rPr>
            </w:pPr>
          </w:p>
        </w:tc>
        <w:tc>
          <w:tcPr>
            <w:tcW w:w="720" w:type="pct"/>
            <w:gridSpan w:val="2"/>
            <w:tcBorders>
              <w:top w:val="nil"/>
              <w:left w:val="nil"/>
              <w:bottom w:val="nil"/>
              <w:right w:val="nil"/>
            </w:tcBorders>
            <w:shd w:val="clear" w:color="auto" w:fill="auto"/>
            <w:vAlign w:val="center"/>
            <w:hideMark/>
          </w:tcPr>
          <w:p w14:paraId="3DA7D8FF" w14:textId="77777777" w:rsidR="00C515CD" w:rsidRDefault="00C515CD">
            <w:pPr>
              <w:jc w:val="right"/>
              <w:rPr>
                <w:sz w:val="20"/>
                <w:szCs w:val="20"/>
              </w:rPr>
            </w:pPr>
          </w:p>
        </w:tc>
        <w:tc>
          <w:tcPr>
            <w:tcW w:w="719" w:type="pct"/>
            <w:gridSpan w:val="2"/>
            <w:tcBorders>
              <w:top w:val="nil"/>
              <w:left w:val="nil"/>
              <w:bottom w:val="nil"/>
              <w:right w:val="nil"/>
            </w:tcBorders>
            <w:shd w:val="clear" w:color="auto" w:fill="auto"/>
            <w:vAlign w:val="center"/>
            <w:hideMark/>
          </w:tcPr>
          <w:p w14:paraId="6B3C82C7" w14:textId="77777777" w:rsidR="00C515CD" w:rsidRDefault="00C515CD">
            <w:pPr>
              <w:jc w:val="right"/>
              <w:rPr>
                <w:sz w:val="20"/>
                <w:szCs w:val="20"/>
              </w:rPr>
            </w:pPr>
          </w:p>
        </w:tc>
        <w:tc>
          <w:tcPr>
            <w:tcW w:w="725" w:type="pct"/>
            <w:gridSpan w:val="2"/>
            <w:tcBorders>
              <w:top w:val="nil"/>
              <w:left w:val="nil"/>
              <w:bottom w:val="nil"/>
              <w:right w:val="nil"/>
            </w:tcBorders>
            <w:shd w:val="clear" w:color="auto" w:fill="auto"/>
            <w:vAlign w:val="center"/>
            <w:hideMark/>
          </w:tcPr>
          <w:p w14:paraId="0B720BD3" w14:textId="77777777" w:rsidR="00C515CD" w:rsidRDefault="00C515CD">
            <w:pPr>
              <w:jc w:val="right"/>
              <w:rPr>
                <w:sz w:val="20"/>
                <w:szCs w:val="20"/>
              </w:rPr>
            </w:pPr>
          </w:p>
        </w:tc>
      </w:tr>
      <w:tr w:rsidR="00C515CD" w14:paraId="688F211A" w14:textId="77777777" w:rsidTr="00CF66BE">
        <w:trPr>
          <w:trHeight w:val="281"/>
        </w:trPr>
        <w:tc>
          <w:tcPr>
            <w:tcW w:w="2118" w:type="pct"/>
            <w:gridSpan w:val="4"/>
            <w:tcBorders>
              <w:top w:val="nil"/>
              <w:left w:val="nil"/>
              <w:bottom w:val="nil"/>
              <w:right w:val="nil"/>
            </w:tcBorders>
            <w:shd w:val="clear" w:color="auto" w:fill="auto"/>
            <w:vAlign w:val="center"/>
            <w:hideMark/>
          </w:tcPr>
          <w:p w14:paraId="72E72650" w14:textId="77777777" w:rsidR="00C515CD" w:rsidRDefault="00C515CD">
            <w:pPr>
              <w:rPr>
                <w:rFonts w:ascii="Calibri" w:hAnsi="Calibri" w:cs="Calibri"/>
                <w:b/>
                <w:bCs/>
                <w:color w:val="000000"/>
                <w:sz w:val="20"/>
                <w:szCs w:val="20"/>
              </w:rPr>
            </w:pPr>
            <w:r>
              <w:rPr>
                <w:rFonts w:ascii="Calibri" w:hAnsi="Calibri" w:cs="Calibri"/>
                <w:b/>
                <w:bCs/>
                <w:color w:val="000000"/>
                <w:sz w:val="20"/>
                <w:szCs w:val="20"/>
              </w:rPr>
              <w:t>Allowance account</w:t>
            </w:r>
          </w:p>
        </w:tc>
        <w:tc>
          <w:tcPr>
            <w:tcW w:w="719" w:type="pct"/>
            <w:gridSpan w:val="2"/>
            <w:tcBorders>
              <w:top w:val="nil"/>
              <w:left w:val="nil"/>
              <w:bottom w:val="nil"/>
              <w:right w:val="nil"/>
            </w:tcBorders>
            <w:shd w:val="clear" w:color="auto" w:fill="auto"/>
            <w:vAlign w:val="center"/>
            <w:hideMark/>
          </w:tcPr>
          <w:p w14:paraId="28B5B40A" w14:textId="77777777" w:rsidR="00C515CD" w:rsidRDefault="00C515CD">
            <w:pPr>
              <w:rPr>
                <w:rFonts w:ascii="Calibri" w:hAnsi="Calibri" w:cs="Calibri"/>
                <w:b/>
                <w:bCs/>
                <w:color w:val="000000"/>
                <w:sz w:val="20"/>
                <w:szCs w:val="20"/>
              </w:rPr>
            </w:pPr>
          </w:p>
        </w:tc>
        <w:tc>
          <w:tcPr>
            <w:tcW w:w="720" w:type="pct"/>
            <w:gridSpan w:val="2"/>
            <w:tcBorders>
              <w:top w:val="nil"/>
              <w:left w:val="nil"/>
              <w:bottom w:val="nil"/>
              <w:right w:val="nil"/>
            </w:tcBorders>
            <w:shd w:val="clear" w:color="auto" w:fill="auto"/>
            <w:vAlign w:val="center"/>
            <w:hideMark/>
          </w:tcPr>
          <w:p w14:paraId="5DC8A98A" w14:textId="77777777" w:rsidR="00C515CD" w:rsidRDefault="00C515CD">
            <w:pPr>
              <w:jc w:val="right"/>
              <w:rPr>
                <w:sz w:val="20"/>
                <w:szCs w:val="20"/>
              </w:rPr>
            </w:pPr>
          </w:p>
        </w:tc>
        <w:tc>
          <w:tcPr>
            <w:tcW w:w="719" w:type="pct"/>
            <w:gridSpan w:val="2"/>
            <w:tcBorders>
              <w:top w:val="nil"/>
              <w:left w:val="nil"/>
              <w:bottom w:val="nil"/>
              <w:right w:val="nil"/>
            </w:tcBorders>
            <w:shd w:val="clear" w:color="auto" w:fill="auto"/>
            <w:vAlign w:val="center"/>
            <w:hideMark/>
          </w:tcPr>
          <w:p w14:paraId="761CFF07" w14:textId="77777777" w:rsidR="00C515CD" w:rsidRDefault="00C515CD">
            <w:pPr>
              <w:jc w:val="right"/>
              <w:rPr>
                <w:sz w:val="20"/>
                <w:szCs w:val="20"/>
              </w:rPr>
            </w:pPr>
          </w:p>
        </w:tc>
        <w:tc>
          <w:tcPr>
            <w:tcW w:w="725" w:type="pct"/>
            <w:gridSpan w:val="2"/>
            <w:tcBorders>
              <w:top w:val="nil"/>
              <w:left w:val="nil"/>
              <w:bottom w:val="nil"/>
              <w:right w:val="nil"/>
            </w:tcBorders>
            <w:shd w:val="clear" w:color="auto" w:fill="auto"/>
            <w:vAlign w:val="center"/>
            <w:hideMark/>
          </w:tcPr>
          <w:p w14:paraId="51709EF6" w14:textId="77777777" w:rsidR="00C515CD" w:rsidRDefault="00C515CD">
            <w:pPr>
              <w:jc w:val="right"/>
              <w:rPr>
                <w:sz w:val="20"/>
                <w:szCs w:val="20"/>
              </w:rPr>
            </w:pPr>
          </w:p>
        </w:tc>
      </w:tr>
      <w:tr w:rsidR="00C515CD" w14:paraId="1247FA75" w14:textId="77777777" w:rsidTr="00CF66BE">
        <w:trPr>
          <w:trHeight w:val="281"/>
        </w:trPr>
        <w:tc>
          <w:tcPr>
            <w:tcW w:w="2118" w:type="pct"/>
            <w:gridSpan w:val="4"/>
            <w:tcBorders>
              <w:top w:val="nil"/>
              <w:left w:val="nil"/>
              <w:bottom w:val="nil"/>
              <w:right w:val="nil"/>
            </w:tcBorders>
            <w:shd w:val="clear" w:color="auto" w:fill="auto"/>
            <w:vAlign w:val="center"/>
            <w:hideMark/>
          </w:tcPr>
          <w:p w14:paraId="55F5C533" w14:textId="77777777" w:rsidR="00C515CD" w:rsidRDefault="00C515CD">
            <w:pPr>
              <w:rPr>
                <w:rFonts w:ascii="Calibri" w:hAnsi="Calibri" w:cs="Calibri"/>
                <w:color w:val="000000"/>
                <w:sz w:val="20"/>
                <w:szCs w:val="20"/>
              </w:rPr>
            </w:pPr>
            <w:r>
              <w:rPr>
                <w:rFonts w:ascii="Calibri" w:hAnsi="Calibri" w:cs="Calibri"/>
                <w:color w:val="000000"/>
                <w:sz w:val="20"/>
                <w:szCs w:val="20"/>
              </w:rPr>
              <w:t>Credit cards</w:t>
            </w:r>
          </w:p>
        </w:tc>
        <w:tc>
          <w:tcPr>
            <w:tcW w:w="719" w:type="pct"/>
            <w:gridSpan w:val="2"/>
            <w:tcBorders>
              <w:top w:val="nil"/>
              <w:left w:val="nil"/>
              <w:bottom w:val="nil"/>
              <w:right w:val="nil"/>
            </w:tcBorders>
            <w:shd w:val="clear" w:color="auto" w:fill="auto"/>
            <w:vAlign w:val="center"/>
            <w:hideMark/>
          </w:tcPr>
          <w:p w14:paraId="509B1ECD"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(96.8)</w:t>
            </w:r>
          </w:p>
        </w:tc>
        <w:tc>
          <w:tcPr>
            <w:tcW w:w="720" w:type="pct"/>
            <w:gridSpan w:val="2"/>
            <w:tcBorders>
              <w:top w:val="nil"/>
              <w:left w:val="nil"/>
              <w:bottom w:val="nil"/>
              <w:right w:val="nil"/>
            </w:tcBorders>
            <w:shd w:val="clear" w:color="auto" w:fill="auto"/>
            <w:vAlign w:val="center"/>
            <w:hideMark/>
          </w:tcPr>
          <w:p w14:paraId="69F9802D"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(52.5)</w:t>
            </w:r>
          </w:p>
        </w:tc>
        <w:tc>
          <w:tcPr>
            <w:tcW w:w="719" w:type="pct"/>
            <w:gridSpan w:val="2"/>
            <w:tcBorders>
              <w:top w:val="nil"/>
              <w:left w:val="nil"/>
              <w:bottom w:val="nil"/>
              <w:right w:val="nil"/>
            </w:tcBorders>
            <w:shd w:val="clear" w:color="auto" w:fill="auto"/>
            <w:vAlign w:val="center"/>
            <w:hideMark/>
          </w:tcPr>
          <w:p w14:paraId="23B73928"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(66.9)</w:t>
            </w:r>
          </w:p>
        </w:tc>
        <w:tc>
          <w:tcPr>
            <w:tcW w:w="725" w:type="pct"/>
            <w:gridSpan w:val="2"/>
            <w:tcBorders>
              <w:top w:val="nil"/>
              <w:left w:val="nil"/>
              <w:bottom w:val="nil"/>
              <w:right w:val="nil"/>
            </w:tcBorders>
            <w:shd w:val="clear" w:color="auto" w:fill="auto"/>
            <w:vAlign w:val="center"/>
            <w:hideMark/>
          </w:tcPr>
          <w:p w14:paraId="47188235"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(216.2)</w:t>
            </w:r>
          </w:p>
        </w:tc>
      </w:tr>
      <w:tr w:rsidR="00C515CD" w14:paraId="6A8A0B9E" w14:textId="77777777" w:rsidTr="00CF66BE">
        <w:trPr>
          <w:trHeight w:val="281"/>
        </w:trPr>
        <w:tc>
          <w:tcPr>
            <w:tcW w:w="2118" w:type="pct"/>
            <w:gridSpan w:val="4"/>
            <w:tcBorders>
              <w:top w:val="nil"/>
              <w:left w:val="nil"/>
              <w:bottom w:val="nil"/>
              <w:right w:val="nil"/>
            </w:tcBorders>
            <w:shd w:val="clear" w:color="auto" w:fill="auto"/>
            <w:vAlign w:val="center"/>
            <w:hideMark/>
          </w:tcPr>
          <w:p w14:paraId="6E600DC1" w14:textId="5A1BF10A" w:rsidR="00C515CD" w:rsidRDefault="00C515CD">
            <w:pPr>
              <w:rPr>
                <w:rFonts w:ascii="Calibri" w:hAnsi="Calibri" w:cs="Calibri"/>
                <w:color w:val="000000"/>
                <w:sz w:val="20"/>
                <w:szCs w:val="20"/>
              </w:rPr>
            </w:pPr>
            <w:r>
              <w:rPr>
                <w:rFonts w:ascii="Calibri" w:hAnsi="Calibri" w:cs="Calibri"/>
                <w:color w:val="000000"/>
                <w:sz w:val="20"/>
                <w:szCs w:val="20"/>
              </w:rPr>
              <w:t>Vehicle finance</w:t>
            </w:r>
            <w:r w:rsidR="00D07A0B">
              <w:rPr>
                <w:rFonts w:ascii="Calibri" w:hAnsi="Calibri" w:cs="Calibri"/>
                <w:color w:val="000000"/>
                <w:sz w:val="20"/>
                <w:szCs w:val="20"/>
              </w:rPr>
              <w:t xml:space="preserve"> (restated)</w:t>
            </w:r>
            <w:r w:rsidR="00D07A0B" w:rsidRPr="00D07A0B">
              <w:rPr>
                <w:rFonts w:ascii="Calibri" w:hAnsi="Calibri" w:cs="Calibri"/>
                <w:color w:val="000000"/>
                <w:sz w:val="20"/>
                <w:szCs w:val="20"/>
                <w:vertAlign w:val="superscript"/>
              </w:rPr>
              <w:t>1</w:t>
            </w:r>
          </w:p>
        </w:tc>
        <w:tc>
          <w:tcPr>
            <w:tcW w:w="719" w:type="pct"/>
            <w:gridSpan w:val="2"/>
            <w:tcBorders>
              <w:top w:val="nil"/>
              <w:left w:val="nil"/>
              <w:bottom w:val="nil"/>
              <w:right w:val="nil"/>
            </w:tcBorders>
            <w:shd w:val="clear" w:color="auto" w:fill="auto"/>
            <w:vAlign w:val="center"/>
            <w:hideMark/>
          </w:tcPr>
          <w:p w14:paraId="75FC883E"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(20.7)</w:t>
            </w:r>
          </w:p>
        </w:tc>
        <w:tc>
          <w:tcPr>
            <w:tcW w:w="720" w:type="pct"/>
            <w:gridSpan w:val="2"/>
            <w:tcBorders>
              <w:top w:val="nil"/>
              <w:left w:val="nil"/>
              <w:bottom w:val="nil"/>
              <w:right w:val="nil"/>
            </w:tcBorders>
            <w:shd w:val="clear" w:color="auto" w:fill="auto"/>
            <w:vAlign w:val="center"/>
            <w:hideMark/>
          </w:tcPr>
          <w:p w14:paraId="74039859" w14:textId="4B242DC9" w:rsidR="00C515CD" w:rsidRDefault="00C515CD">
            <w:pPr>
              <w:jc w:val="right"/>
              <w:rPr>
                <w:rFonts w:ascii="Calibri" w:hAnsi="Calibri" w:cs="Calibri"/>
                <w:color w:val="000000"/>
                <w:sz w:val="20"/>
                <w:szCs w:val="20"/>
              </w:rPr>
            </w:pPr>
            <w:r>
              <w:rPr>
                <w:rFonts w:ascii="Calibri" w:hAnsi="Calibri" w:cs="Calibri"/>
                <w:color w:val="000000"/>
                <w:sz w:val="20"/>
                <w:szCs w:val="20"/>
              </w:rPr>
              <w:t>(2</w:t>
            </w:r>
            <w:r w:rsidR="0076040B">
              <w:rPr>
                <w:rFonts w:ascii="Calibri" w:hAnsi="Calibri" w:cs="Calibri"/>
                <w:color w:val="000000"/>
                <w:sz w:val="20"/>
                <w:szCs w:val="20"/>
              </w:rPr>
              <w:t>5.6</w:t>
            </w:r>
            <w:r>
              <w:rPr>
                <w:rFonts w:ascii="Calibri" w:hAnsi="Calibri" w:cs="Calibri"/>
                <w:color w:val="000000"/>
                <w:sz w:val="20"/>
                <w:szCs w:val="20"/>
              </w:rPr>
              <w:t>)</w:t>
            </w:r>
          </w:p>
        </w:tc>
        <w:tc>
          <w:tcPr>
            <w:tcW w:w="719" w:type="pct"/>
            <w:gridSpan w:val="2"/>
            <w:tcBorders>
              <w:top w:val="nil"/>
              <w:left w:val="nil"/>
              <w:bottom w:val="nil"/>
              <w:right w:val="nil"/>
            </w:tcBorders>
            <w:shd w:val="clear" w:color="auto" w:fill="auto"/>
            <w:vAlign w:val="center"/>
            <w:hideMark/>
          </w:tcPr>
          <w:p w14:paraId="48F888D7"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(319.6)</w:t>
            </w:r>
          </w:p>
        </w:tc>
        <w:tc>
          <w:tcPr>
            <w:tcW w:w="725" w:type="pct"/>
            <w:gridSpan w:val="2"/>
            <w:tcBorders>
              <w:top w:val="nil"/>
              <w:left w:val="nil"/>
              <w:bottom w:val="nil"/>
              <w:right w:val="nil"/>
            </w:tcBorders>
            <w:shd w:val="clear" w:color="auto" w:fill="auto"/>
            <w:vAlign w:val="center"/>
            <w:hideMark/>
          </w:tcPr>
          <w:p w14:paraId="01A67959" w14:textId="23B1E0A9" w:rsidR="00C515CD" w:rsidRDefault="00C515CD">
            <w:pPr>
              <w:jc w:val="right"/>
              <w:rPr>
                <w:rFonts w:ascii="Calibri" w:hAnsi="Calibri" w:cs="Calibri"/>
                <w:color w:val="000000"/>
                <w:sz w:val="20"/>
                <w:szCs w:val="20"/>
              </w:rPr>
            </w:pPr>
            <w:r>
              <w:rPr>
                <w:rFonts w:ascii="Calibri" w:hAnsi="Calibri" w:cs="Calibri"/>
                <w:color w:val="000000"/>
                <w:sz w:val="20"/>
                <w:szCs w:val="20"/>
              </w:rPr>
              <w:t>(36</w:t>
            </w:r>
            <w:r w:rsidR="0076040B">
              <w:rPr>
                <w:rFonts w:ascii="Calibri" w:hAnsi="Calibri" w:cs="Calibri"/>
                <w:color w:val="000000"/>
                <w:sz w:val="20"/>
                <w:szCs w:val="20"/>
              </w:rPr>
              <w:t>5</w:t>
            </w:r>
            <w:r>
              <w:rPr>
                <w:rFonts w:ascii="Calibri" w:hAnsi="Calibri" w:cs="Calibri"/>
                <w:color w:val="000000"/>
                <w:sz w:val="20"/>
                <w:szCs w:val="20"/>
              </w:rPr>
              <w:t>.</w:t>
            </w:r>
            <w:r w:rsidR="0076040B">
              <w:rPr>
                <w:rFonts w:ascii="Calibri" w:hAnsi="Calibri" w:cs="Calibri"/>
                <w:color w:val="000000"/>
                <w:sz w:val="20"/>
                <w:szCs w:val="20"/>
              </w:rPr>
              <w:t>9</w:t>
            </w:r>
            <w:r>
              <w:rPr>
                <w:rFonts w:ascii="Calibri" w:hAnsi="Calibri" w:cs="Calibri"/>
                <w:color w:val="000000"/>
                <w:sz w:val="20"/>
                <w:szCs w:val="20"/>
              </w:rPr>
              <w:t>)</w:t>
            </w:r>
          </w:p>
        </w:tc>
      </w:tr>
      <w:tr w:rsidR="00C515CD" w14:paraId="34DD2C54" w14:textId="77777777" w:rsidTr="00CF66BE">
        <w:trPr>
          <w:trHeight w:val="281"/>
        </w:trPr>
        <w:tc>
          <w:tcPr>
            <w:tcW w:w="2118" w:type="pct"/>
            <w:gridSpan w:val="4"/>
            <w:tcBorders>
              <w:top w:val="nil"/>
              <w:left w:val="nil"/>
              <w:bottom w:val="nil"/>
              <w:right w:val="nil"/>
            </w:tcBorders>
            <w:shd w:val="clear" w:color="auto" w:fill="auto"/>
            <w:vAlign w:val="center"/>
            <w:hideMark/>
          </w:tcPr>
          <w:p w14:paraId="4CECA6C2" w14:textId="77777777" w:rsidR="00C515CD" w:rsidRDefault="00C515CD">
            <w:pPr>
              <w:rPr>
                <w:rFonts w:ascii="Calibri" w:hAnsi="Calibri" w:cs="Calibri"/>
                <w:color w:val="000000"/>
                <w:sz w:val="20"/>
                <w:szCs w:val="20"/>
              </w:rPr>
            </w:pPr>
            <w:r>
              <w:rPr>
                <w:rFonts w:ascii="Calibri" w:hAnsi="Calibri" w:cs="Calibri"/>
                <w:color w:val="000000"/>
                <w:sz w:val="20"/>
                <w:szCs w:val="20"/>
              </w:rPr>
              <w:t>Personal loans</w:t>
            </w:r>
          </w:p>
        </w:tc>
        <w:tc>
          <w:tcPr>
            <w:tcW w:w="719" w:type="pct"/>
            <w:gridSpan w:val="2"/>
            <w:tcBorders>
              <w:top w:val="nil"/>
              <w:left w:val="nil"/>
              <w:bottom w:val="nil"/>
              <w:right w:val="nil"/>
            </w:tcBorders>
            <w:shd w:val="clear" w:color="auto" w:fill="auto"/>
            <w:vAlign w:val="center"/>
            <w:hideMark/>
          </w:tcPr>
          <w:p w14:paraId="2DC6372C"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(7.7)</w:t>
            </w:r>
          </w:p>
        </w:tc>
        <w:tc>
          <w:tcPr>
            <w:tcW w:w="720" w:type="pct"/>
            <w:gridSpan w:val="2"/>
            <w:tcBorders>
              <w:top w:val="nil"/>
              <w:left w:val="nil"/>
              <w:bottom w:val="nil"/>
              <w:right w:val="nil"/>
            </w:tcBorders>
            <w:shd w:val="clear" w:color="auto" w:fill="auto"/>
            <w:vAlign w:val="center"/>
            <w:hideMark/>
          </w:tcPr>
          <w:p w14:paraId="283F4C88"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(1.6)</w:t>
            </w:r>
          </w:p>
        </w:tc>
        <w:tc>
          <w:tcPr>
            <w:tcW w:w="719" w:type="pct"/>
            <w:gridSpan w:val="2"/>
            <w:tcBorders>
              <w:top w:val="nil"/>
              <w:left w:val="nil"/>
              <w:bottom w:val="nil"/>
              <w:right w:val="nil"/>
            </w:tcBorders>
            <w:shd w:val="clear" w:color="auto" w:fill="auto"/>
            <w:vAlign w:val="center"/>
            <w:hideMark/>
          </w:tcPr>
          <w:p w14:paraId="1F67C411"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(3.4)</w:t>
            </w:r>
          </w:p>
        </w:tc>
        <w:tc>
          <w:tcPr>
            <w:tcW w:w="725" w:type="pct"/>
            <w:gridSpan w:val="2"/>
            <w:tcBorders>
              <w:top w:val="nil"/>
              <w:left w:val="nil"/>
              <w:bottom w:val="nil"/>
              <w:right w:val="nil"/>
            </w:tcBorders>
            <w:shd w:val="clear" w:color="auto" w:fill="auto"/>
            <w:vAlign w:val="center"/>
            <w:hideMark/>
          </w:tcPr>
          <w:p w14:paraId="6AD97EAA"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(12.7)</w:t>
            </w:r>
          </w:p>
        </w:tc>
      </w:tr>
      <w:tr w:rsidR="00C515CD" w14:paraId="2D5DC1B6" w14:textId="77777777" w:rsidTr="00CF66BE">
        <w:trPr>
          <w:trHeight w:val="295"/>
        </w:trPr>
        <w:tc>
          <w:tcPr>
            <w:tcW w:w="2118" w:type="pct"/>
            <w:gridSpan w:val="4"/>
            <w:tcBorders>
              <w:top w:val="nil"/>
              <w:left w:val="nil"/>
              <w:bottom w:val="nil"/>
              <w:right w:val="nil"/>
            </w:tcBorders>
            <w:shd w:val="clear" w:color="auto" w:fill="auto"/>
            <w:vAlign w:val="center"/>
            <w:hideMark/>
          </w:tcPr>
          <w:p w14:paraId="23FA7400" w14:textId="77777777" w:rsidR="00C515CD" w:rsidRDefault="00C515CD">
            <w:pPr>
              <w:rPr>
                <w:rFonts w:ascii="Calibri" w:hAnsi="Calibri" w:cs="Calibri"/>
                <w:color w:val="000000"/>
                <w:sz w:val="20"/>
                <w:szCs w:val="20"/>
              </w:rPr>
            </w:pPr>
            <w:r>
              <w:rPr>
                <w:rFonts w:ascii="Calibri" w:hAnsi="Calibri" w:cs="Calibri"/>
                <w:color w:val="000000"/>
                <w:sz w:val="20"/>
                <w:szCs w:val="20"/>
              </w:rPr>
              <w:t>Second charge mortgages</w:t>
            </w:r>
          </w:p>
        </w:tc>
        <w:tc>
          <w:tcPr>
            <w:tcW w:w="719" w:type="pct"/>
            <w:gridSpan w:val="2"/>
            <w:tcBorders>
              <w:top w:val="nil"/>
              <w:left w:val="nil"/>
              <w:bottom w:val="nil"/>
              <w:right w:val="nil"/>
            </w:tcBorders>
            <w:shd w:val="clear" w:color="auto" w:fill="auto"/>
            <w:vAlign w:val="center"/>
            <w:hideMark/>
          </w:tcPr>
          <w:p w14:paraId="5A40E38A"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w:t>
            </w:r>
          </w:p>
        </w:tc>
        <w:tc>
          <w:tcPr>
            <w:tcW w:w="720" w:type="pct"/>
            <w:gridSpan w:val="2"/>
            <w:tcBorders>
              <w:top w:val="nil"/>
              <w:left w:val="nil"/>
              <w:bottom w:val="nil"/>
              <w:right w:val="nil"/>
            </w:tcBorders>
            <w:shd w:val="clear" w:color="auto" w:fill="auto"/>
            <w:vAlign w:val="center"/>
            <w:hideMark/>
          </w:tcPr>
          <w:p w14:paraId="0666002D"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w:t>
            </w:r>
          </w:p>
        </w:tc>
        <w:tc>
          <w:tcPr>
            <w:tcW w:w="719" w:type="pct"/>
            <w:gridSpan w:val="2"/>
            <w:tcBorders>
              <w:top w:val="nil"/>
              <w:left w:val="nil"/>
              <w:bottom w:val="nil"/>
              <w:right w:val="nil"/>
            </w:tcBorders>
            <w:shd w:val="clear" w:color="auto" w:fill="auto"/>
            <w:vAlign w:val="center"/>
            <w:hideMark/>
          </w:tcPr>
          <w:p w14:paraId="12216610"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w:t>
            </w:r>
          </w:p>
        </w:tc>
        <w:tc>
          <w:tcPr>
            <w:tcW w:w="725" w:type="pct"/>
            <w:gridSpan w:val="2"/>
            <w:tcBorders>
              <w:top w:val="nil"/>
              <w:left w:val="nil"/>
              <w:bottom w:val="nil"/>
              <w:right w:val="nil"/>
            </w:tcBorders>
            <w:shd w:val="clear" w:color="auto" w:fill="auto"/>
            <w:vAlign w:val="center"/>
            <w:hideMark/>
          </w:tcPr>
          <w:p w14:paraId="265531A1"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w:t>
            </w:r>
          </w:p>
        </w:tc>
      </w:tr>
      <w:tr w:rsidR="00C515CD" w14:paraId="2394BD23" w14:textId="77777777" w:rsidTr="00CF66BE">
        <w:trPr>
          <w:trHeight w:val="295"/>
        </w:trPr>
        <w:tc>
          <w:tcPr>
            <w:tcW w:w="2118" w:type="pct"/>
            <w:gridSpan w:val="4"/>
            <w:tcBorders>
              <w:top w:val="nil"/>
              <w:left w:val="nil"/>
              <w:bottom w:val="nil"/>
              <w:right w:val="nil"/>
            </w:tcBorders>
            <w:shd w:val="clear" w:color="auto" w:fill="auto"/>
            <w:vAlign w:val="center"/>
            <w:hideMark/>
          </w:tcPr>
          <w:p w14:paraId="00DD1CE4" w14:textId="77777777" w:rsidR="00C515CD" w:rsidRDefault="00C515CD">
            <w:pPr>
              <w:rPr>
                <w:rFonts w:ascii="Calibri" w:hAnsi="Calibri" w:cs="Calibri"/>
                <w:b/>
                <w:bCs/>
                <w:color w:val="000000"/>
                <w:sz w:val="20"/>
                <w:szCs w:val="20"/>
              </w:rPr>
            </w:pPr>
            <w:r>
              <w:rPr>
                <w:rFonts w:ascii="Calibri" w:hAnsi="Calibri" w:cs="Calibri"/>
                <w:b/>
                <w:bCs/>
                <w:color w:val="000000"/>
                <w:sz w:val="20"/>
                <w:szCs w:val="20"/>
              </w:rPr>
              <w:t>Total group</w:t>
            </w:r>
          </w:p>
        </w:tc>
        <w:tc>
          <w:tcPr>
            <w:tcW w:w="719" w:type="pct"/>
            <w:gridSpan w:val="2"/>
            <w:tcBorders>
              <w:top w:val="single" w:sz="8" w:space="0" w:color="auto"/>
              <w:left w:val="nil"/>
              <w:bottom w:val="single" w:sz="8" w:space="0" w:color="auto"/>
              <w:right w:val="nil"/>
            </w:tcBorders>
            <w:shd w:val="clear" w:color="auto" w:fill="auto"/>
            <w:vAlign w:val="center"/>
            <w:hideMark/>
          </w:tcPr>
          <w:p w14:paraId="3DAA0C07" w14:textId="77777777" w:rsidR="00C515CD" w:rsidRDefault="00C515CD">
            <w:pPr>
              <w:jc w:val="right"/>
              <w:rPr>
                <w:rFonts w:ascii="Calibri" w:hAnsi="Calibri" w:cs="Calibri"/>
                <w:b/>
                <w:bCs/>
                <w:color w:val="000000"/>
                <w:sz w:val="20"/>
                <w:szCs w:val="20"/>
              </w:rPr>
            </w:pPr>
            <w:r>
              <w:rPr>
                <w:rFonts w:ascii="Calibri" w:hAnsi="Calibri" w:cs="Calibri"/>
                <w:b/>
                <w:bCs/>
                <w:color w:val="000000"/>
                <w:sz w:val="20"/>
                <w:szCs w:val="20"/>
              </w:rPr>
              <w:t>(125.2)</w:t>
            </w:r>
          </w:p>
        </w:tc>
        <w:tc>
          <w:tcPr>
            <w:tcW w:w="720" w:type="pct"/>
            <w:gridSpan w:val="2"/>
            <w:tcBorders>
              <w:top w:val="single" w:sz="8" w:space="0" w:color="auto"/>
              <w:left w:val="nil"/>
              <w:bottom w:val="single" w:sz="8" w:space="0" w:color="auto"/>
              <w:right w:val="nil"/>
            </w:tcBorders>
            <w:shd w:val="clear" w:color="auto" w:fill="auto"/>
            <w:vAlign w:val="center"/>
            <w:hideMark/>
          </w:tcPr>
          <w:p w14:paraId="3F9C4109" w14:textId="48AA40BF" w:rsidR="00C515CD" w:rsidRDefault="00C515CD">
            <w:pPr>
              <w:jc w:val="right"/>
              <w:rPr>
                <w:rFonts w:ascii="Calibri" w:hAnsi="Calibri" w:cs="Calibri"/>
                <w:b/>
                <w:bCs/>
                <w:color w:val="000000"/>
                <w:sz w:val="20"/>
                <w:szCs w:val="20"/>
              </w:rPr>
            </w:pPr>
            <w:r>
              <w:rPr>
                <w:rFonts w:ascii="Calibri" w:hAnsi="Calibri" w:cs="Calibri"/>
                <w:b/>
                <w:bCs/>
                <w:color w:val="000000"/>
                <w:sz w:val="20"/>
                <w:szCs w:val="20"/>
              </w:rPr>
              <w:t>(7</w:t>
            </w:r>
            <w:r w:rsidR="0076040B">
              <w:rPr>
                <w:rFonts w:ascii="Calibri" w:hAnsi="Calibri" w:cs="Calibri"/>
                <w:b/>
                <w:bCs/>
                <w:color w:val="000000"/>
                <w:sz w:val="20"/>
                <w:szCs w:val="20"/>
              </w:rPr>
              <w:t>9.7</w:t>
            </w:r>
            <w:r>
              <w:rPr>
                <w:rFonts w:ascii="Calibri" w:hAnsi="Calibri" w:cs="Calibri"/>
                <w:b/>
                <w:bCs/>
                <w:color w:val="000000"/>
                <w:sz w:val="20"/>
                <w:szCs w:val="20"/>
              </w:rPr>
              <w:t>)</w:t>
            </w:r>
          </w:p>
        </w:tc>
        <w:tc>
          <w:tcPr>
            <w:tcW w:w="719" w:type="pct"/>
            <w:gridSpan w:val="2"/>
            <w:tcBorders>
              <w:top w:val="single" w:sz="8" w:space="0" w:color="auto"/>
              <w:left w:val="nil"/>
              <w:bottom w:val="single" w:sz="8" w:space="0" w:color="auto"/>
              <w:right w:val="nil"/>
            </w:tcBorders>
            <w:shd w:val="clear" w:color="auto" w:fill="auto"/>
            <w:vAlign w:val="center"/>
            <w:hideMark/>
          </w:tcPr>
          <w:p w14:paraId="6877C910" w14:textId="77777777" w:rsidR="00C515CD" w:rsidRDefault="00C515CD">
            <w:pPr>
              <w:jc w:val="right"/>
              <w:rPr>
                <w:rFonts w:ascii="Calibri" w:hAnsi="Calibri" w:cs="Calibri"/>
                <w:b/>
                <w:bCs/>
                <w:color w:val="000000"/>
                <w:sz w:val="20"/>
                <w:szCs w:val="20"/>
              </w:rPr>
            </w:pPr>
            <w:r>
              <w:rPr>
                <w:rFonts w:ascii="Calibri" w:hAnsi="Calibri" w:cs="Calibri"/>
                <w:b/>
                <w:bCs/>
                <w:color w:val="000000"/>
                <w:sz w:val="20"/>
                <w:szCs w:val="20"/>
              </w:rPr>
              <w:t>(389.9)</w:t>
            </w:r>
          </w:p>
        </w:tc>
        <w:tc>
          <w:tcPr>
            <w:tcW w:w="725" w:type="pct"/>
            <w:gridSpan w:val="2"/>
            <w:tcBorders>
              <w:top w:val="single" w:sz="8" w:space="0" w:color="auto"/>
              <w:left w:val="nil"/>
              <w:bottom w:val="single" w:sz="8" w:space="0" w:color="auto"/>
              <w:right w:val="nil"/>
            </w:tcBorders>
            <w:shd w:val="clear" w:color="auto" w:fill="auto"/>
            <w:vAlign w:val="center"/>
            <w:hideMark/>
          </w:tcPr>
          <w:p w14:paraId="56696000" w14:textId="649FD299" w:rsidR="00C515CD" w:rsidRDefault="00C515CD">
            <w:pPr>
              <w:jc w:val="right"/>
              <w:rPr>
                <w:rFonts w:ascii="Calibri" w:hAnsi="Calibri" w:cs="Calibri"/>
                <w:b/>
                <w:bCs/>
                <w:color w:val="000000"/>
                <w:sz w:val="20"/>
                <w:szCs w:val="20"/>
              </w:rPr>
            </w:pPr>
            <w:r>
              <w:rPr>
                <w:rFonts w:ascii="Calibri" w:hAnsi="Calibri" w:cs="Calibri"/>
                <w:b/>
                <w:bCs/>
                <w:color w:val="000000"/>
                <w:sz w:val="20"/>
                <w:szCs w:val="20"/>
              </w:rPr>
              <w:t>(59</w:t>
            </w:r>
            <w:r w:rsidR="0076040B">
              <w:rPr>
                <w:rFonts w:ascii="Calibri" w:hAnsi="Calibri" w:cs="Calibri"/>
                <w:b/>
                <w:bCs/>
                <w:color w:val="000000"/>
                <w:sz w:val="20"/>
                <w:szCs w:val="20"/>
              </w:rPr>
              <w:t>4</w:t>
            </w:r>
            <w:r>
              <w:rPr>
                <w:rFonts w:ascii="Calibri" w:hAnsi="Calibri" w:cs="Calibri"/>
                <w:b/>
                <w:bCs/>
                <w:color w:val="000000"/>
                <w:sz w:val="20"/>
                <w:szCs w:val="20"/>
              </w:rPr>
              <w:t>.</w:t>
            </w:r>
            <w:r w:rsidR="0076040B">
              <w:rPr>
                <w:rFonts w:ascii="Calibri" w:hAnsi="Calibri" w:cs="Calibri"/>
                <w:b/>
                <w:bCs/>
                <w:color w:val="000000"/>
                <w:sz w:val="20"/>
                <w:szCs w:val="20"/>
              </w:rPr>
              <w:t>8</w:t>
            </w:r>
            <w:r>
              <w:rPr>
                <w:rFonts w:ascii="Calibri" w:hAnsi="Calibri" w:cs="Calibri"/>
                <w:b/>
                <w:bCs/>
                <w:color w:val="000000"/>
                <w:sz w:val="20"/>
                <w:szCs w:val="20"/>
              </w:rPr>
              <w:t>)</w:t>
            </w:r>
          </w:p>
        </w:tc>
      </w:tr>
      <w:tr w:rsidR="00C515CD" w14:paraId="049BE531" w14:textId="77777777" w:rsidTr="00CF66BE">
        <w:trPr>
          <w:trHeight w:val="281"/>
        </w:trPr>
        <w:tc>
          <w:tcPr>
            <w:tcW w:w="2118" w:type="pct"/>
            <w:gridSpan w:val="4"/>
            <w:tcBorders>
              <w:top w:val="nil"/>
              <w:left w:val="nil"/>
              <w:bottom w:val="nil"/>
              <w:right w:val="nil"/>
            </w:tcBorders>
            <w:shd w:val="clear" w:color="auto" w:fill="auto"/>
            <w:vAlign w:val="center"/>
            <w:hideMark/>
          </w:tcPr>
          <w:p w14:paraId="1C28B917" w14:textId="77777777" w:rsidR="00C515CD" w:rsidRDefault="00C515CD">
            <w:pPr>
              <w:jc w:val="right"/>
              <w:rPr>
                <w:rFonts w:ascii="Calibri" w:hAnsi="Calibri" w:cs="Calibri"/>
                <w:b/>
                <w:bCs/>
                <w:color w:val="000000"/>
                <w:sz w:val="20"/>
                <w:szCs w:val="20"/>
              </w:rPr>
            </w:pPr>
          </w:p>
        </w:tc>
        <w:tc>
          <w:tcPr>
            <w:tcW w:w="719" w:type="pct"/>
            <w:gridSpan w:val="2"/>
            <w:tcBorders>
              <w:top w:val="nil"/>
              <w:left w:val="nil"/>
              <w:bottom w:val="nil"/>
              <w:right w:val="nil"/>
            </w:tcBorders>
            <w:shd w:val="clear" w:color="auto" w:fill="auto"/>
            <w:vAlign w:val="center"/>
            <w:hideMark/>
          </w:tcPr>
          <w:p w14:paraId="615164DF" w14:textId="77777777" w:rsidR="00C515CD" w:rsidRDefault="00C515CD">
            <w:pPr>
              <w:rPr>
                <w:sz w:val="20"/>
                <w:szCs w:val="20"/>
              </w:rPr>
            </w:pPr>
          </w:p>
        </w:tc>
        <w:tc>
          <w:tcPr>
            <w:tcW w:w="720" w:type="pct"/>
            <w:gridSpan w:val="2"/>
            <w:tcBorders>
              <w:top w:val="nil"/>
              <w:left w:val="nil"/>
              <w:bottom w:val="nil"/>
              <w:right w:val="nil"/>
            </w:tcBorders>
            <w:shd w:val="clear" w:color="auto" w:fill="auto"/>
            <w:vAlign w:val="center"/>
            <w:hideMark/>
          </w:tcPr>
          <w:p w14:paraId="0A979DBA" w14:textId="77777777" w:rsidR="00C515CD" w:rsidRDefault="00C515CD">
            <w:pPr>
              <w:jc w:val="right"/>
              <w:rPr>
                <w:sz w:val="20"/>
                <w:szCs w:val="20"/>
              </w:rPr>
            </w:pPr>
          </w:p>
        </w:tc>
        <w:tc>
          <w:tcPr>
            <w:tcW w:w="719" w:type="pct"/>
            <w:gridSpan w:val="2"/>
            <w:tcBorders>
              <w:top w:val="nil"/>
              <w:left w:val="nil"/>
              <w:bottom w:val="nil"/>
              <w:right w:val="nil"/>
            </w:tcBorders>
            <w:shd w:val="clear" w:color="auto" w:fill="auto"/>
            <w:vAlign w:val="center"/>
            <w:hideMark/>
          </w:tcPr>
          <w:p w14:paraId="758A8C75" w14:textId="77777777" w:rsidR="00C515CD" w:rsidRDefault="00C515CD">
            <w:pPr>
              <w:jc w:val="right"/>
              <w:rPr>
                <w:sz w:val="20"/>
                <w:szCs w:val="20"/>
              </w:rPr>
            </w:pPr>
          </w:p>
        </w:tc>
        <w:tc>
          <w:tcPr>
            <w:tcW w:w="725" w:type="pct"/>
            <w:gridSpan w:val="2"/>
            <w:tcBorders>
              <w:top w:val="nil"/>
              <w:left w:val="nil"/>
              <w:bottom w:val="nil"/>
              <w:right w:val="nil"/>
            </w:tcBorders>
            <w:shd w:val="clear" w:color="auto" w:fill="auto"/>
            <w:vAlign w:val="center"/>
            <w:hideMark/>
          </w:tcPr>
          <w:p w14:paraId="5F3B64EE" w14:textId="77777777" w:rsidR="00C515CD" w:rsidRDefault="00C515CD">
            <w:pPr>
              <w:jc w:val="right"/>
              <w:rPr>
                <w:sz w:val="20"/>
                <w:szCs w:val="20"/>
              </w:rPr>
            </w:pPr>
          </w:p>
        </w:tc>
      </w:tr>
      <w:tr w:rsidR="00C515CD" w14:paraId="1E4E8C6D" w14:textId="77777777" w:rsidTr="00CF66BE">
        <w:trPr>
          <w:trHeight w:val="281"/>
        </w:trPr>
        <w:tc>
          <w:tcPr>
            <w:tcW w:w="2118" w:type="pct"/>
            <w:gridSpan w:val="4"/>
            <w:tcBorders>
              <w:top w:val="nil"/>
              <w:left w:val="nil"/>
              <w:bottom w:val="nil"/>
              <w:right w:val="nil"/>
            </w:tcBorders>
            <w:shd w:val="clear" w:color="auto" w:fill="auto"/>
            <w:vAlign w:val="center"/>
            <w:hideMark/>
          </w:tcPr>
          <w:p w14:paraId="6BB43D66" w14:textId="77777777" w:rsidR="00C515CD" w:rsidRDefault="00C515CD">
            <w:pPr>
              <w:rPr>
                <w:rFonts w:ascii="Calibri" w:hAnsi="Calibri" w:cs="Calibri"/>
                <w:b/>
                <w:bCs/>
                <w:color w:val="000000"/>
                <w:sz w:val="20"/>
                <w:szCs w:val="20"/>
              </w:rPr>
            </w:pPr>
            <w:r>
              <w:rPr>
                <w:rFonts w:ascii="Calibri" w:hAnsi="Calibri" w:cs="Calibri"/>
                <w:b/>
                <w:bCs/>
                <w:color w:val="000000"/>
                <w:sz w:val="20"/>
                <w:szCs w:val="20"/>
              </w:rPr>
              <w:t>Net receivables</w:t>
            </w:r>
          </w:p>
        </w:tc>
        <w:tc>
          <w:tcPr>
            <w:tcW w:w="719" w:type="pct"/>
            <w:gridSpan w:val="2"/>
            <w:tcBorders>
              <w:top w:val="nil"/>
              <w:left w:val="nil"/>
              <w:bottom w:val="nil"/>
              <w:right w:val="nil"/>
            </w:tcBorders>
            <w:shd w:val="clear" w:color="auto" w:fill="auto"/>
            <w:vAlign w:val="center"/>
            <w:hideMark/>
          </w:tcPr>
          <w:p w14:paraId="7CA45F86" w14:textId="77777777" w:rsidR="00C515CD" w:rsidRDefault="00C515CD">
            <w:pPr>
              <w:rPr>
                <w:rFonts w:ascii="Calibri" w:hAnsi="Calibri" w:cs="Calibri"/>
                <w:b/>
                <w:bCs/>
                <w:color w:val="000000"/>
                <w:sz w:val="20"/>
                <w:szCs w:val="20"/>
              </w:rPr>
            </w:pPr>
          </w:p>
        </w:tc>
        <w:tc>
          <w:tcPr>
            <w:tcW w:w="720" w:type="pct"/>
            <w:gridSpan w:val="2"/>
            <w:tcBorders>
              <w:top w:val="nil"/>
              <w:left w:val="nil"/>
              <w:bottom w:val="nil"/>
              <w:right w:val="nil"/>
            </w:tcBorders>
            <w:shd w:val="clear" w:color="auto" w:fill="auto"/>
            <w:vAlign w:val="center"/>
            <w:hideMark/>
          </w:tcPr>
          <w:p w14:paraId="48F1800E" w14:textId="77777777" w:rsidR="00C515CD" w:rsidRDefault="00C515CD">
            <w:pPr>
              <w:jc w:val="right"/>
              <w:rPr>
                <w:sz w:val="20"/>
                <w:szCs w:val="20"/>
              </w:rPr>
            </w:pPr>
          </w:p>
        </w:tc>
        <w:tc>
          <w:tcPr>
            <w:tcW w:w="719" w:type="pct"/>
            <w:gridSpan w:val="2"/>
            <w:tcBorders>
              <w:top w:val="nil"/>
              <w:left w:val="nil"/>
              <w:bottom w:val="nil"/>
              <w:right w:val="nil"/>
            </w:tcBorders>
            <w:shd w:val="clear" w:color="auto" w:fill="auto"/>
            <w:vAlign w:val="center"/>
            <w:hideMark/>
          </w:tcPr>
          <w:p w14:paraId="73CA73F9" w14:textId="77777777" w:rsidR="00C515CD" w:rsidRDefault="00C515CD">
            <w:pPr>
              <w:jc w:val="right"/>
              <w:rPr>
                <w:sz w:val="20"/>
                <w:szCs w:val="20"/>
              </w:rPr>
            </w:pPr>
          </w:p>
        </w:tc>
        <w:tc>
          <w:tcPr>
            <w:tcW w:w="725" w:type="pct"/>
            <w:gridSpan w:val="2"/>
            <w:tcBorders>
              <w:top w:val="nil"/>
              <w:left w:val="nil"/>
              <w:bottom w:val="nil"/>
              <w:right w:val="nil"/>
            </w:tcBorders>
            <w:shd w:val="clear" w:color="auto" w:fill="auto"/>
            <w:vAlign w:val="center"/>
            <w:hideMark/>
          </w:tcPr>
          <w:p w14:paraId="38CFFDF6" w14:textId="77777777" w:rsidR="00C515CD" w:rsidRDefault="00C515CD">
            <w:pPr>
              <w:jc w:val="right"/>
              <w:rPr>
                <w:sz w:val="20"/>
                <w:szCs w:val="20"/>
              </w:rPr>
            </w:pPr>
          </w:p>
        </w:tc>
      </w:tr>
      <w:tr w:rsidR="00C515CD" w14:paraId="0DD17485" w14:textId="77777777" w:rsidTr="00CF66BE">
        <w:trPr>
          <w:trHeight w:val="281"/>
        </w:trPr>
        <w:tc>
          <w:tcPr>
            <w:tcW w:w="2118" w:type="pct"/>
            <w:gridSpan w:val="4"/>
            <w:tcBorders>
              <w:top w:val="nil"/>
              <w:left w:val="nil"/>
              <w:bottom w:val="nil"/>
              <w:right w:val="nil"/>
            </w:tcBorders>
            <w:shd w:val="clear" w:color="auto" w:fill="auto"/>
            <w:vAlign w:val="center"/>
            <w:hideMark/>
          </w:tcPr>
          <w:p w14:paraId="466E0511" w14:textId="77777777" w:rsidR="00C515CD" w:rsidRDefault="00C515CD">
            <w:pPr>
              <w:rPr>
                <w:rFonts w:ascii="Calibri" w:hAnsi="Calibri" w:cs="Calibri"/>
                <w:color w:val="000000"/>
                <w:sz w:val="20"/>
                <w:szCs w:val="20"/>
              </w:rPr>
            </w:pPr>
            <w:r>
              <w:rPr>
                <w:rFonts w:ascii="Calibri" w:hAnsi="Calibri" w:cs="Calibri"/>
                <w:color w:val="000000"/>
                <w:sz w:val="20"/>
                <w:szCs w:val="20"/>
              </w:rPr>
              <w:t>Credit cards</w:t>
            </w:r>
          </w:p>
        </w:tc>
        <w:tc>
          <w:tcPr>
            <w:tcW w:w="719" w:type="pct"/>
            <w:gridSpan w:val="2"/>
            <w:tcBorders>
              <w:top w:val="nil"/>
              <w:left w:val="nil"/>
              <w:bottom w:val="nil"/>
              <w:right w:val="nil"/>
            </w:tcBorders>
            <w:shd w:val="clear" w:color="auto" w:fill="auto"/>
            <w:vAlign w:val="center"/>
            <w:hideMark/>
          </w:tcPr>
          <w:p w14:paraId="05C5445B"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1,090.9</w:t>
            </w:r>
          </w:p>
        </w:tc>
        <w:tc>
          <w:tcPr>
            <w:tcW w:w="720" w:type="pct"/>
            <w:gridSpan w:val="2"/>
            <w:tcBorders>
              <w:top w:val="nil"/>
              <w:left w:val="nil"/>
              <w:bottom w:val="nil"/>
              <w:right w:val="nil"/>
            </w:tcBorders>
            <w:shd w:val="clear" w:color="auto" w:fill="auto"/>
            <w:vAlign w:val="center"/>
            <w:hideMark/>
          </w:tcPr>
          <w:p w14:paraId="7BDC0F1A"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86.9</w:t>
            </w:r>
          </w:p>
        </w:tc>
        <w:tc>
          <w:tcPr>
            <w:tcW w:w="719" w:type="pct"/>
            <w:gridSpan w:val="2"/>
            <w:tcBorders>
              <w:top w:val="nil"/>
              <w:left w:val="nil"/>
              <w:bottom w:val="nil"/>
              <w:right w:val="nil"/>
            </w:tcBorders>
            <w:shd w:val="clear" w:color="auto" w:fill="auto"/>
            <w:vAlign w:val="center"/>
            <w:hideMark/>
          </w:tcPr>
          <w:p w14:paraId="443C538D"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46.1</w:t>
            </w:r>
          </w:p>
        </w:tc>
        <w:tc>
          <w:tcPr>
            <w:tcW w:w="725" w:type="pct"/>
            <w:gridSpan w:val="2"/>
            <w:tcBorders>
              <w:top w:val="nil"/>
              <w:left w:val="nil"/>
              <w:bottom w:val="nil"/>
              <w:right w:val="nil"/>
            </w:tcBorders>
            <w:shd w:val="clear" w:color="auto" w:fill="auto"/>
            <w:vAlign w:val="center"/>
            <w:hideMark/>
          </w:tcPr>
          <w:p w14:paraId="595E32D8"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1,223.9</w:t>
            </w:r>
          </w:p>
        </w:tc>
      </w:tr>
      <w:tr w:rsidR="00C515CD" w14:paraId="00E3377F" w14:textId="77777777" w:rsidTr="00CF66BE">
        <w:trPr>
          <w:trHeight w:val="281"/>
        </w:trPr>
        <w:tc>
          <w:tcPr>
            <w:tcW w:w="2118" w:type="pct"/>
            <w:gridSpan w:val="4"/>
            <w:tcBorders>
              <w:top w:val="nil"/>
              <w:left w:val="nil"/>
              <w:bottom w:val="nil"/>
              <w:right w:val="nil"/>
            </w:tcBorders>
            <w:shd w:val="clear" w:color="auto" w:fill="auto"/>
            <w:vAlign w:val="center"/>
            <w:hideMark/>
          </w:tcPr>
          <w:p w14:paraId="376FC2F2" w14:textId="07458555" w:rsidR="00C515CD" w:rsidRDefault="00C515CD">
            <w:pPr>
              <w:rPr>
                <w:rFonts w:ascii="Calibri" w:hAnsi="Calibri" w:cs="Calibri"/>
                <w:color w:val="000000"/>
                <w:sz w:val="20"/>
                <w:szCs w:val="20"/>
              </w:rPr>
            </w:pPr>
            <w:r>
              <w:rPr>
                <w:rFonts w:ascii="Calibri" w:hAnsi="Calibri" w:cs="Calibri"/>
                <w:color w:val="000000"/>
                <w:sz w:val="20"/>
                <w:szCs w:val="20"/>
              </w:rPr>
              <w:t>Vehicle finance</w:t>
            </w:r>
            <w:r w:rsidR="00D07A0B">
              <w:rPr>
                <w:rFonts w:ascii="Calibri" w:hAnsi="Calibri" w:cs="Calibri"/>
                <w:color w:val="000000"/>
                <w:sz w:val="20"/>
                <w:szCs w:val="20"/>
              </w:rPr>
              <w:t xml:space="preserve"> (restated)</w:t>
            </w:r>
            <w:r w:rsidR="00D07A0B" w:rsidRPr="00D07A0B">
              <w:rPr>
                <w:rFonts w:ascii="Calibri" w:hAnsi="Calibri" w:cs="Calibri"/>
                <w:color w:val="000000"/>
                <w:sz w:val="20"/>
                <w:szCs w:val="20"/>
                <w:vertAlign w:val="superscript"/>
              </w:rPr>
              <w:t>1</w:t>
            </w:r>
          </w:p>
        </w:tc>
        <w:tc>
          <w:tcPr>
            <w:tcW w:w="719" w:type="pct"/>
            <w:gridSpan w:val="2"/>
            <w:tcBorders>
              <w:top w:val="nil"/>
              <w:left w:val="nil"/>
              <w:bottom w:val="nil"/>
              <w:right w:val="nil"/>
            </w:tcBorders>
            <w:shd w:val="clear" w:color="auto" w:fill="auto"/>
            <w:vAlign w:val="center"/>
            <w:hideMark/>
          </w:tcPr>
          <w:p w14:paraId="55969355"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402.3</w:t>
            </w:r>
          </w:p>
        </w:tc>
        <w:tc>
          <w:tcPr>
            <w:tcW w:w="720" w:type="pct"/>
            <w:gridSpan w:val="2"/>
            <w:tcBorders>
              <w:top w:val="nil"/>
              <w:left w:val="nil"/>
              <w:bottom w:val="nil"/>
              <w:right w:val="nil"/>
            </w:tcBorders>
            <w:shd w:val="clear" w:color="auto" w:fill="auto"/>
            <w:vAlign w:val="center"/>
            <w:hideMark/>
          </w:tcPr>
          <w:p w14:paraId="0C9F006B" w14:textId="6654F702" w:rsidR="00C515CD" w:rsidRDefault="00C515CD">
            <w:pPr>
              <w:jc w:val="right"/>
              <w:rPr>
                <w:rFonts w:ascii="Calibri" w:hAnsi="Calibri" w:cs="Calibri"/>
                <w:color w:val="000000"/>
                <w:sz w:val="20"/>
                <w:szCs w:val="20"/>
              </w:rPr>
            </w:pPr>
            <w:r>
              <w:rPr>
                <w:rFonts w:ascii="Calibri" w:hAnsi="Calibri" w:cs="Calibri"/>
                <w:color w:val="000000"/>
                <w:sz w:val="20"/>
                <w:szCs w:val="20"/>
              </w:rPr>
              <w:t>1</w:t>
            </w:r>
            <w:r w:rsidR="0076040B">
              <w:rPr>
                <w:rFonts w:ascii="Calibri" w:hAnsi="Calibri" w:cs="Calibri"/>
                <w:color w:val="000000"/>
                <w:sz w:val="20"/>
                <w:szCs w:val="20"/>
              </w:rPr>
              <w:t>77.9</w:t>
            </w:r>
          </w:p>
        </w:tc>
        <w:tc>
          <w:tcPr>
            <w:tcW w:w="719" w:type="pct"/>
            <w:gridSpan w:val="2"/>
            <w:tcBorders>
              <w:top w:val="nil"/>
              <w:left w:val="nil"/>
              <w:bottom w:val="nil"/>
              <w:right w:val="nil"/>
            </w:tcBorders>
            <w:shd w:val="clear" w:color="auto" w:fill="auto"/>
            <w:vAlign w:val="center"/>
            <w:hideMark/>
          </w:tcPr>
          <w:p w14:paraId="4ADFC8DC"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168.0</w:t>
            </w:r>
          </w:p>
        </w:tc>
        <w:tc>
          <w:tcPr>
            <w:tcW w:w="725" w:type="pct"/>
            <w:gridSpan w:val="2"/>
            <w:tcBorders>
              <w:top w:val="nil"/>
              <w:left w:val="nil"/>
              <w:bottom w:val="nil"/>
              <w:right w:val="nil"/>
            </w:tcBorders>
            <w:shd w:val="clear" w:color="auto" w:fill="auto"/>
            <w:vAlign w:val="center"/>
            <w:hideMark/>
          </w:tcPr>
          <w:p w14:paraId="06297E69" w14:textId="22FA54A3" w:rsidR="00C515CD" w:rsidRDefault="0076040B">
            <w:pPr>
              <w:jc w:val="right"/>
              <w:rPr>
                <w:rFonts w:ascii="Calibri" w:hAnsi="Calibri" w:cs="Calibri"/>
                <w:color w:val="000000"/>
                <w:sz w:val="20"/>
                <w:szCs w:val="20"/>
              </w:rPr>
            </w:pPr>
            <w:r>
              <w:rPr>
                <w:rFonts w:ascii="Calibri" w:hAnsi="Calibri" w:cs="Calibri"/>
                <w:color w:val="000000"/>
                <w:sz w:val="20"/>
                <w:szCs w:val="20"/>
              </w:rPr>
              <w:t>748.2</w:t>
            </w:r>
          </w:p>
        </w:tc>
      </w:tr>
      <w:tr w:rsidR="00C515CD" w14:paraId="2C76DFD3" w14:textId="77777777" w:rsidTr="00CF66BE">
        <w:trPr>
          <w:trHeight w:val="281"/>
        </w:trPr>
        <w:tc>
          <w:tcPr>
            <w:tcW w:w="2118" w:type="pct"/>
            <w:gridSpan w:val="4"/>
            <w:tcBorders>
              <w:top w:val="nil"/>
              <w:left w:val="nil"/>
              <w:bottom w:val="nil"/>
              <w:right w:val="nil"/>
            </w:tcBorders>
            <w:shd w:val="clear" w:color="auto" w:fill="auto"/>
            <w:vAlign w:val="center"/>
            <w:hideMark/>
          </w:tcPr>
          <w:p w14:paraId="27D4C334" w14:textId="77777777" w:rsidR="00C515CD" w:rsidRDefault="00C515CD">
            <w:pPr>
              <w:rPr>
                <w:rFonts w:ascii="Calibri" w:hAnsi="Calibri" w:cs="Calibri"/>
                <w:color w:val="000000"/>
                <w:sz w:val="20"/>
                <w:szCs w:val="20"/>
              </w:rPr>
            </w:pPr>
            <w:r>
              <w:rPr>
                <w:rFonts w:ascii="Calibri" w:hAnsi="Calibri" w:cs="Calibri"/>
                <w:color w:val="000000"/>
                <w:sz w:val="20"/>
                <w:szCs w:val="20"/>
              </w:rPr>
              <w:t>Personal loans</w:t>
            </w:r>
          </w:p>
        </w:tc>
        <w:tc>
          <w:tcPr>
            <w:tcW w:w="719" w:type="pct"/>
            <w:gridSpan w:val="2"/>
            <w:tcBorders>
              <w:top w:val="nil"/>
              <w:left w:val="nil"/>
              <w:bottom w:val="nil"/>
              <w:right w:val="nil"/>
            </w:tcBorders>
            <w:shd w:val="clear" w:color="auto" w:fill="auto"/>
            <w:vAlign w:val="center"/>
            <w:hideMark/>
          </w:tcPr>
          <w:p w14:paraId="285160FC"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125.1</w:t>
            </w:r>
          </w:p>
        </w:tc>
        <w:tc>
          <w:tcPr>
            <w:tcW w:w="720" w:type="pct"/>
            <w:gridSpan w:val="2"/>
            <w:tcBorders>
              <w:top w:val="nil"/>
              <w:left w:val="nil"/>
              <w:bottom w:val="nil"/>
              <w:right w:val="nil"/>
            </w:tcBorders>
            <w:shd w:val="clear" w:color="auto" w:fill="auto"/>
            <w:vAlign w:val="center"/>
            <w:hideMark/>
          </w:tcPr>
          <w:p w14:paraId="55026046"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2.3</w:t>
            </w:r>
          </w:p>
        </w:tc>
        <w:tc>
          <w:tcPr>
            <w:tcW w:w="719" w:type="pct"/>
            <w:gridSpan w:val="2"/>
            <w:tcBorders>
              <w:top w:val="nil"/>
              <w:left w:val="nil"/>
              <w:bottom w:val="nil"/>
              <w:right w:val="nil"/>
            </w:tcBorders>
            <w:shd w:val="clear" w:color="auto" w:fill="auto"/>
            <w:vAlign w:val="center"/>
            <w:hideMark/>
          </w:tcPr>
          <w:p w14:paraId="573452E1"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2.2</w:t>
            </w:r>
          </w:p>
        </w:tc>
        <w:tc>
          <w:tcPr>
            <w:tcW w:w="725" w:type="pct"/>
            <w:gridSpan w:val="2"/>
            <w:tcBorders>
              <w:top w:val="nil"/>
              <w:left w:val="nil"/>
              <w:bottom w:val="nil"/>
              <w:right w:val="nil"/>
            </w:tcBorders>
            <w:shd w:val="clear" w:color="auto" w:fill="auto"/>
            <w:vAlign w:val="center"/>
            <w:hideMark/>
          </w:tcPr>
          <w:p w14:paraId="0D5C640C"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129.6</w:t>
            </w:r>
          </w:p>
        </w:tc>
      </w:tr>
      <w:tr w:rsidR="00C515CD" w14:paraId="12B1B0DC" w14:textId="77777777" w:rsidTr="00CF66BE">
        <w:trPr>
          <w:trHeight w:val="295"/>
        </w:trPr>
        <w:tc>
          <w:tcPr>
            <w:tcW w:w="2118" w:type="pct"/>
            <w:gridSpan w:val="4"/>
            <w:tcBorders>
              <w:top w:val="nil"/>
              <w:left w:val="nil"/>
              <w:bottom w:val="nil"/>
              <w:right w:val="nil"/>
            </w:tcBorders>
            <w:shd w:val="clear" w:color="auto" w:fill="auto"/>
            <w:vAlign w:val="center"/>
            <w:hideMark/>
          </w:tcPr>
          <w:p w14:paraId="677575B8" w14:textId="77777777" w:rsidR="00C515CD" w:rsidRDefault="00C515CD">
            <w:pPr>
              <w:rPr>
                <w:rFonts w:ascii="Calibri" w:hAnsi="Calibri" w:cs="Calibri"/>
                <w:color w:val="000000"/>
                <w:sz w:val="20"/>
                <w:szCs w:val="20"/>
              </w:rPr>
            </w:pPr>
            <w:r>
              <w:rPr>
                <w:rFonts w:ascii="Calibri" w:hAnsi="Calibri" w:cs="Calibri"/>
                <w:color w:val="000000"/>
                <w:sz w:val="20"/>
                <w:szCs w:val="20"/>
              </w:rPr>
              <w:t>Second charge mortgages</w:t>
            </w:r>
          </w:p>
        </w:tc>
        <w:tc>
          <w:tcPr>
            <w:tcW w:w="719" w:type="pct"/>
            <w:gridSpan w:val="2"/>
            <w:tcBorders>
              <w:top w:val="nil"/>
              <w:left w:val="nil"/>
              <w:bottom w:val="nil"/>
              <w:right w:val="nil"/>
            </w:tcBorders>
            <w:shd w:val="clear" w:color="auto" w:fill="auto"/>
            <w:vAlign w:val="center"/>
            <w:hideMark/>
          </w:tcPr>
          <w:p w14:paraId="20320C68"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w:t>
            </w:r>
          </w:p>
        </w:tc>
        <w:tc>
          <w:tcPr>
            <w:tcW w:w="720" w:type="pct"/>
            <w:gridSpan w:val="2"/>
            <w:tcBorders>
              <w:top w:val="nil"/>
              <w:left w:val="nil"/>
              <w:bottom w:val="nil"/>
              <w:right w:val="nil"/>
            </w:tcBorders>
            <w:shd w:val="clear" w:color="auto" w:fill="auto"/>
            <w:vAlign w:val="center"/>
            <w:hideMark/>
          </w:tcPr>
          <w:p w14:paraId="3B12AF39"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w:t>
            </w:r>
          </w:p>
        </w:tc>
        <w:tc>
          <w:tcPr>
            <w:tcW w:w="719" w:type="pct"/>
            <w:gridSpan w:val="2"/>
            <w:tcBorders>
              <w:top w:val="nil"/>
              <w:left w:val="nil"/>
              <w:bottom w:val="nil"/>
              <w:right w:val="nil"/>
            </w:tcBorders>
            <w:shd w:val="clear" w:color="auto" w:fill="auto"/>
            <w:vAlign w:val="center"/>
            <w:hideMark/>
          </w:tcPr>
          <w:p w14:paraId="56D8F572"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w:t>
            </w:r>
          </w:p>
        </w:tc>
        <w:tc>
          <w:tcPr>
            <w:tcW w:w="725" w:type="pct"/>
            <w:gridSpan w:val="2"/>
            <w:tcBorders>
              <w:top w:val="nil"/>
              <w:left w:val="nil"/>
              <w:bottom w:val="nil"/>
              <w:right w:val="nil"/>
            </w:tcBorders>
            <w:shd w:val="clear" w:color="auto" w:fill="auto"/>
            <w:vAlign w:val="center"/>
            <w:hideMark/>
          </w:tcPr>
          <w:p w14:paraId="5C4D0B27" w14:textId="77777777" w:rsidR="00C515CD" w:rsidRDefault="00C515CD">
            <w:pPr>
              <w:jc w:val="right"/>
              <w:rPr>
                <w:rFonts w:ascii="Calibri" w:hAnsi="Calibri" w:cs="Calibri"/>
                <w:color w:val="000000"/>
                <w:sz w:val="20"/>
                <w:szCs w:val="20"/>
              </w:rPr>
            </w:pPr>
            <w:r>
              <w:rPr>
                <w:rFonts w:ascii="Calibri" w:hAnsi="Calibri" w:cs="Calibri"/>
                <w:color w:val="000000"/>
                <w:sz w:val="20"/>
                <w:szCs w:val="20"/>
              </w:rPr>
              <w:t>-</w:t>
            </w:r>
          </w:p>
        </w:tc>
      </w:tr>
      <w:tr w:rsidR="00C515CD" w14:paraId="536F24C8" w14:textId="77777777" w:rsidTr="00CF66BE">
        <w:trPr>
          <w:trHeight w:val="295"/>
        </w:trPr>
        <w:tc>
          <w:tcPr>
            <w:tcW w:w="2118" w:type="pct"/>
            <w:gridSpan w:val="4"/>
            <w:tcBorders>
              <w:top w:val="nil"/>
              <w:left w:val="nil"/>
              <w:bottom w:val="nil"/>
              <w:right w:val="nil"/>
            </w:tcBorders>
            <w:shd w:val="clear" w:color="auto" w:fill="auto"/>
            <w:vAlign w:val="center"/>
            <w:hideMark/>
          </w:tcPr>
          <w:p w14:paraId="45DAABA8" w14:textId="77777777" w:rsidR="00C515CD" w:rsidRDefault="00C515CD">
            <w:pPr>
              <w:rPr>
                <w:rFonts w:ascii="Calibri" w:hAnsi="Calibri" w:cs="Calibri"/>
                <w:b/>
                <w:bCs/>
                <w:color w:val="000000"/>
                <w:sz w:val="20"/>
                <w:szCs w:val="20"/>
              </w:rPr>
            </w:pPr>
            <w:r>
              <w:rPr>
                <w:rFonts w:ascii="Calibri" w:hAnsi="Calibri" w:cs="Calibri"/>
                <w:b/>
                <w:bCs/>
                <w:color w:val="000000"/>
                <w:sz w:val="20"/>
                <w:szCs w:val="20"/>
              </w:rPr>
              <w:t>Total group</w:t>
            </w:r>
          </w:p>
        </w:tc>
        <w:tc>
          <w:tcPr>
            <w:tcW w:w="719" w:type="pct"/>
            <w:gridSpan w:val="2"/>
            <w:tcBorders>
              <w:top w:val="single" w:sz="8" w:space="0" w:color="auto"/>
              <w:left w:val="nil"/>
              <w:bottom w:val="single" w:sz="8" w:space="0" w:color="auto"/>
              <w:right w:val="nil"/>
            </w:tcBorders>
            <w:shd w:val="clear" w:color="auto" w:fill="auto"/>
            <w:vAlign w:val="center"/>
            <w:hideMark/>
          </w:tcPr>
          <w:p w14:paraId="70F82DA9" w14:textId="77777777" w:rsidR="00C515CD" w:rsidRDefault="00C515CD">
            <w:pPr>
              <w:jc w:val="right"/>
              <w:rPr>
                <w:rFonts w:ascii="Calibri" w:hAnsi="Calibri" w:cs="Calibri"/>
                <w:b/>
                <w:bCs/>
                <w:color w:val="000000"/>
                <w:sz w:val="20"/>
                <w:szCs w:val="20"/>
              </w:rPr>
            </w:pPr>
            <w:r>
              <w:rPr>
                <w:rFonts w:ascii="Calibri" w:hAnsi="Calibri" w:cs="Calibri"/>
                <w:b/>
                <w:bCs/>
                <w:color w:val="000000"/>
                <w:sz w:val="20"/>
                <w:szCs w:val="20"/>
              </w:rPr>
              <w:t>1,618.3</w:t>
            </w:r>
          </w:p>
        </w:tc>
        <w:tc>
          <w:tcPr>
            <w:tcW w:w="720" w:type="pct"/>
            <w:gridSpan w:val="2"/>
            <w:tcBorders>
              <w:top w:val="single" w:sz="8" w:space="0" w:color="auto"/>
              <w:left w:val="nil"/>
              <w:bottom w:val="single" w:sz="8" w:space="0" w:color="auto"/>
              <w:right w:val="nil"/>
            </w:tcBorders>
            <w:shd w:val="clear" w:color="auto" w:fill="auto"/>
            <w:vAlign w:val="center"/>
            <w:hideMark/>
          </w:tcPr>
          <w:p w14:paraId="7BFCA03B" w14:textId="51A201FB" w:rsidR="00C515CD" w:rsidRDefault="0076040B">
            <w:pPr>
              <w:jc w:val="right"/>
              <w:rPr>
                <w:rFonts w:ascii="Calibri" w:hAnsi="Calibri" w:cs="Calibri"/>
                <w:b/>
                <w:bCs/>
                <w:color w:val="000000"/>
                <w:sz w:val="20"/>
                <w:szCs w:val="20"/>
              </w:rPr>
            </w:pPr>
            <w:r>
              <w:rPr>
                <w:rFonts w:ascii="Calibri" w:hAnsi="Calibri" w:cs="Calibri"/>
                <w:b/>
                <w:bCs/>
                <w:color w:val="000000"/>
                <w:sz w:val="20"/>
                <w:szCs w:val="20"/>
              </w:rPr>
              <w:t>267.1</w:t>
            </w:r>
          </w:p>
        </w:tc>
        <w:tc>
          <w:tcPr>
            <w:tcW w:w="719" w:type="pct"/>
            <w:gridSpan w:val="2"/>
            <w:tcBorders>
              <w:top w:val="single" w:sz="8" w:space="0" w:color="auto"/>
              <w:left w:val="nil"/>
              <w:bottom w:val="single" w:sz="8" w:space="0" w:color="auto"/>
              <w:right w:val="nil"/>
            </w:tcBorders>
            <w:shd w:val="clear" w:color="auto" w:fill="auto"/>
            <w:vAlign w:val="center"/>
            <w:hideMark/>
          </w:tcPr>
          <w:p w14:paraId="259BF0BF" w14:textId="77777777" w:rsidR="00C515CD" w:rsidRDefault="00C515CD">
            <w:pPr>
              <w:jc w:val="right"/>
              <w:rPr>
                <w:rFonts w:ascii="Calibri" w:hAnsi="Calibri" w:cs="Calibri"/>
                <w:b/>
                <w:bCs/>
                <w:color w:val="000000"/>
                <w:sz w:val="20"/>
                <w:szCs w:val="20"/>
              </w:rPr>
            </w:pPr>
            <w:r>
              <w:rPr>
                <w:rFonts w:ascii="Calibri" w:hAnsi="Calibri" w:cs="Calibri"/>
                <w:b/>
                <w:bCs/>
                <w:color w:val="000000"/>
                <w:sz w:val="20"/>
                <w:szCs w:val="20"/>
              </w:rPr>
              <w:t>216.3</w:t>
            </w:r>
          </w:p>
        </w:tc>
        <w:tc>
          <w:tcPr>
            <w:tcW w:w="725" w:type="pct"/>
            <w:gridSpan w:val="2"/>
            <w:tcBorders>
              <w:top w:val="single" w:sz="8" w:space="0" w:color="auto"/>
              <w:left w:val="nil"/>
              <w:bottom w:val="single" w:sz="8" w:space="0" w:color="auto"/>
              <w:right w:val="nil"/>
            </w:tcBorders>
            <w:shd w:val="clear" w:color="auto" w:fill="auto"/>
            <w:vAlign w:val="center"/>
            <w:hideMark/>
          </w:tcPr>
          <w:p w14:paraId="6A6F85DB" w14:textId="56995D6D" w:rsidR="00C515CD" w:rsidRDefault="00C515CD">
            <w:pPr>
              <w:jc w:val="right"/>
              <w:rPr>
                <w:rFonts w:ascii="Calibri" w:hAnsi="Calibri" w:cs="Calibri"/>
                <w:b/>
                <w:bCs/>
                <w:color w:val="000000"/>
                <w:sz w:val="20"/>
                <w:szCs w:val="20"/>
              </w:rPr>
            </w:pPr>
            <w:r>
              <w:rPr>
                <w:rFonts w:ascii="Calibri" w:hAnsi="Calibri" w:cs="Calibri"/>
                <w:b/>
                <w:bCs/>
                <w:color w:val="000000"/>
                <w:sz w:val="20"/>
                <w:szCs w:val="20"/>
              </w:rPr>
              <w:t>2,10</w:t>
            </w:r>
            <w:r w:rsidR="0076040B">
              <w:rPr>
                <w:rFonts w:ascii="Calibri" w:hAnsi="Calibri" w:cs="Calibri"/>
                <w:b/>
                <w:bCs/>
                <w:color w:val="000000"/>
                <w:sz w:val="20"/>
                <w:szCs w:val="20"/>
              </w:rPr>
              <w:t>1</w:t>
            </w:r>
            <w:r>
              <w:rPr>
                <w:rFonts w:ascii="Calibri" w:hAnsi="Calibri" w:cs="Calibri"/>
                <w:b/>
                <w:bCs/>
                <w:color w:val="000000"/>
                <w:sz w:val="20"/>
                <w:szCs w:val="20"/>
              </w:rPr>
              <w:t>.</w:t>
            </w:r>
            <w:r w:rsidR="0076040B">
              <w:rPr>
                <w:rFonts w:ascii="Calibri" w:hAnsi="Calibri" w:cs="Calibri"/>
                <w:b/>
                <w:bCs/>
                <w:color w:val="000000"/>
                <w:sz w:val="20"/>
                <w:szCs w:val="20"/>
              </w:rPr>
              <w:t>7</w:t>
            </w:r>
          </w:p>
        </w:tc>
      </w:tr>
    </w:tbl>
    <w:p w14:paraId="0C75B302" w14:textId="1903449E" w:rsidR="004B66D2" w:rsidRDefault="004B66D2" w:rsidP="004B66D2">
      <w:pPr>
        <w:rPr>
          <w:rFonts w:asciiTheme="minorHAnsi" w:hAnsiTheme="minorHAnsi" w:cs="Arial"/>
          <w:b/>
          <w:i/>
          <w:color w:val="4747FF"/>
          <w:sz w:val="22"/>
          <w:szCs w:val="22"/>
        </w:rPr>
      </w:pPr>
      <w:r w:rsidRPr="53EF174C">
        <w:rPr>
          <w:rFonts w:asciiTheme="minorHAnsi" w:hAnsiTheme="minorHAnsi" w:cs="Arial"/>
          <w:i/>
          <w:sz w:val="20"/>
          <w:szCs w:val="20"/>
          <w:vertAlign w:val="superscript"/>
        </w:rPr>
        <w:t>1</w:t>
      </w:r>
      <w:r w:rsidRPr="53EF174C">
        <w:rPr>
          <w:rFonts w:asciiTheme="minorHAnsi" w:hAnsiTheme="minorHAnsi" w:cs="Arial"/>
          <w:i/>
          <w:sz w:val="20"/>
          <w:szCs w:val="20"/>
        </w:rPr>
        <w:t xml:space="preserve"> Refer to note 2 for details of restatement.</w:t>
      </w:r>
    </w:p>
    <w:p w14:paraId="3509A0DB" w14:textId="77777777" w:rsidR="001A1D2F" w:rsidRDefault="001A1D2F"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59164A08" w14:textId="77777777" w:rsidR="00721043" w:rsidRDefault="00721043"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Cs/>
          <w:sz w:val="20"/>
          <w:szCs w:val="20"/>
        </w:rPr>
      </w:pPr>
    </w:p>
    <w:p w14:paraId="0C714687" w14:textId="59D19A38" w:rsidR="00487E38" w:rsidRPr="00701439" w:rsidRDefault="00AE716B"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Cs/>
          <w:sz w:val="20"/>
          <w:szCs w:val="20"/>
        </w:rPr>
      </w:pPr>
      <w:r w:rsidRPr="00AE716B">
        <w:rPr>
          <w:rFonts w:asciiTheme="minorHAnsi" w:hAnsiTheme="minorHAnsi" w:cs="Arial"/>
          <w:bCs/>
          <w:sz w:val="20"/>
          <w:szCs w:val="20"/>
        </w:rPr>
        <w:t>An increase of 1% of the gross exposure into stage 2 from stage 1 would result in an increase in the allowance account of £</w:t>
      </w:r>
      <w:r w:rsidR="00A217B8">
        <w:rPr>
          <w:rFonts w:asciiTheme="minorHAnsi" w:hAnsiTheme="minorHAnsi" w:cs="Arial"/>
          <w:bCs/>
          <w:sz w:val="20"/>
          <w:szCs w:val="20"/>
        </w:rPr>
        <w:t>4.3</w:t>
      </w:r>
      <w:r w:rsidRPr="00AE716B">
        <w:rPr>
          <w:rFonts w:asciiTheme="minorHAnsi" w:hAnsiTheme="minorHAnsi" w:cs="Arial"/>
          <w:bCs/>
          <w:sz w:val="20"/>
          <w:szCs w:val="20"/>
        </w:rPr>
        <w:t>m (</w:t>
      </w:r>
      <w:r w:rsidR="0059673B">
        <w:rPr>
          <w:rFonts w:asciiTheme="minorHAnsi" w:hAnsiTheme="minorHAnsi" w:cs="Arial"/>
          <w:bCs/>
          <w:sz w:val="20"/>
          <w:szCs w:val="20"/>
        </w:rPr>
        <w:t>FY23</w:t>
      </w:r>
      <w:r w:rsidRPr="00AE716B">
        <w:rPr>
          <w:rFonts w:asciiTheme="minorHAnsi" w:hAnsiTheme="minorHAnsi" w:cs="Arial"/>
          <w:bCs/>
          <w:sz w:val="20"/>
          <w:szCs w:val="20"/>
        </w:rPr>
        <w:t>: £</w:t>
      </w:r>
      <w:r w:rsidR="007F789B">
        <w:rPr>
          <w:rFonts w:asciiTheme="minorHAnsi" w:hAnsiTheme="minorHAnsi" w:cs="Arial"/>
          <w:bCs/>
          <w:sz w:val="20"/>
          <w:szCs w:val="20"/>
        </w:rPr>
        <w:t>2.7</w:t>
      </w:r>
      <w:r w:rsidRPr="00AE716B">
        <w:rPr>
          <w:rFonts w:asciiTheme="minorHAnsi" w:hAnsiTheme="minorHAnsi" w:cs="Arial"/>
          <w:bCs/>
          <w:sz w:val="20"/>
          <w:szCs w:val="20"/>
        </w:rPr>
        <w:t>m</w:t>
      </w:r>
      <w:r w:rsidR="007F789B">
        <w:rPr>
          <w:rFonts w:asciiTheme="minorHAnsi" w:hAnsiTheme="minorHAnsi" w:cs="Arial"/>
          <w:bCs/>
          <w:sz w:val="20"/>
          <w:szCs w:val="20"/>
        </w:rPr>
        <w:t xml:space="preserve">; </w:t>
      </w:r>
      <w:r w:rsidR="0059673B">
        <w:rPr>
          <w:rFonts w:asciiTheme="minorHAnsi" w:hAnsiTheme="minorHAnsi" w:cs="Arial"/>
          <w:bCs/>
          <w:sz w:val="20"/>
          <w:szCs w:val="20"/>
        </w:rPr>
        <w:t>1H23</w:t>
      </w:r>
      <w:r w:rsidR="007F789B">
        <w:rPr>
          <w:rFonts w:asciiTheme="minorHAnsi" w:hAnsiTheme="minorHAnsi" w:cs="Arial"/>
          <w:bCs/>
          <w:sz w:val="20"/>
          <w:szCs w:val="20"/>
        </w:rPr>
        <w:t>:</w:t>
      </w:r>
      <w:r w:rsidR="00672B6E">
        <w:rPr>
          <w:rFonts w:asciiTheme="minorHAnsi" w:hAnsiTheme="minorHAnsi" w:cs="Arial"/>
          <w:bCs/>
          <w:sz w:val="20"/>
          <w:szCs w:val="20"/>
        </w:rPr>
        <w:t xml:space="preserve"> </w:t>
      </w:r>
      <w:r w:rsidR="00B3059D">
        <w:rPr>
          <w:rFonts w:asciiTheme="minorHAnsi" w:hAnsiTheme="minorHAnsi" w:cs="Arial"/>
          <w:bCs/>
          <w:sz w:val="20"/>
          <w:szCs w:val="20"/>
        </w:rPr>
        <w:t>£</w:t>
      </w:r>
      <w:r w:rsidR="00672B6E">
        <w:rPr>
          <w:rFonts w:asciiTheme="minorHAnsi" w:hAnsiTheme="minorHAnsi" w:cs="Arial"/>
          <w:bCs/>
          <w:sz w:val="20"/>
          <w:szCs w:val="20"/>
        </w:rPr>
        <w:t>2.8m</w:t>
      </w:r>
      <w:r w:rsidRPr="00AE716B">
        <w:rPr>
          <w:rFonts w:asciiTheme="minorHAnsi" w:hAnsiTheme="minorHAnsi" w:cs="Arial"/>
          <w:bCs/>
          <w:sz w:val="20"/>
          <w:szCs w:val="20"/>
        </w:rPr>
        <w:t>) based on applying the difference between the coverage ratios from stage 1 to stage 2 to the movement in gross exposure.</w:t>
      </w:r>
    </w:p>
    <w:bookmarkEnd w:id="13"/>
    <w:bookmarkEnd w:id="14"/>
    <w:p w14:paraId="310179DF" w14:textId="77777777" w:rsidR="00C04CAA" w:rsidRDefault="00C04CAA"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Cs/>
          <w:sz w:val="20"/>
          <w:szCs w:val="20"/>
        </w:rPr>
      </w:pPr>
    </w:p>
    <w:p w14:paraId="644A01DC" w14:textId="66A05C4A" w:rsidR="008E44D3" w:rsidRDefault="005059A5"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Cs/>
          <w:sz w:val="20"/>
          <w:szCs w:val="20"/>
        </w:rPr>
      </w:pPr>
      <w:r w:rsidRPr="00306AF1">
        <w:rPr>
          <w:rFonts w:asciiTheme="minorHAnsi" w:hAnsiTheme="minorHAnsi" w:cs="Arial"/>
          <w:bCs/>
          <w:sz w:val="20"/>
          <w:szCs w:val="20"/>
        </w:rPr>
        <w:t xml:space="preserve">A breakdown of the post-model </w:t>
      </w:r>
      <w:r w:rsidR="0089389D" w:rsidRPr="00306AF1">
        <w:rPr>
          <w:rFonts w:asciiTheme="minorHAnsi" w:hAnsiTheme="minorHAnsi" w:cs="Arial"/>
          <w:bCs/>
          <w:sz w:val="20"/>
          <w:szCs w:val="20"/>
        </w:rPr>
        <w:t xml:space="preserve">adjustments </w:t>
      </w:r>
      <w:r w:rsidRPr="00306AF1">
        <w:rPr>
          <w:rFonts w:asciiTheme="minorHAnsi" w:hAnsiTheme="minorHAnsi" w:cs="Arial"/>
          <w:bCs/>
          <w:sz w:val="20"/>
          <w:szCs w:val="20"/>
        </w:rPr>
        <w:t>for credit cards is shown below:</w:t>
      </w:r>
    </w:p>
    <w:p w14:paraId="431B0EDF" w14:textId="77777777" w:rsidR="00EB214B" w:rsidRDefault="00EB214B"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Cs/>
          <w:sz w:val="20"/>
          <w:szCs w:val="20"/>
        </w:rPr>
      </w:pPr>
    </w:p>
    <w:tbl>
      <w:tblPr>
        <w:tblW w:w="4956" w:type="pct"/>
        <w:tblLayout w:type="fixed"/>
        <w:tblLook w:val="04A0" w:firstRow="1" w:lastRow="0" w:firstColumn="1" w:lastColumn="0" w:noHBand="0" w:noVBand="1"/>
      </w:tblPr>
      <w:tblGrid>
        <w:gridCol w:w="5197"/>
        <w:gridCol w:w="260"/>
        <w:gridCol w:w="260"/>
        <w:gridCol w:w="260"/>
        <w:gridCol w:w="1116"/>
        <w:gridCol w:w="1413"/>
        <w:gridCol w:w="1131"/>
      </w:tblGrid>
      <w:tr w:rsidR="00C4058F" w:rsidRPr="00951920" w14:paraId="5804BC57" w14:textId="0259471C" w:rsidTr="00327F5E">
        <w:trPr>
          <w:trHeight w:val="300"/>
        </w:trPr>
        <w:tc>
          <w:tcPr>
            <w:tcW w:w="2696" w:type="pct"/>
            <w:tcBorders>
              <w:left w:val="nil"/>
              <w:bottom w:val="nil"/>
              <w:right w:val="nil"/>
            </w:tcBorders>
            <w:shd w:val="clear" w:color="auto" w:fill="auto"/>
            <w:noWrap/>
            <w:vAlign w:val="bottom"/>
          </w:tcPr>
          <w:p w14:paraId="5A5133C0" w14:textId="77777777" w:rsidR="00F66E71" w:rsidRPr="00AD61D8" w:rsidRDefault="00F66E71" w:rsidP="005D59FA">
            <w:pPr>
              <w:rPr>
                <w:rFonts w:asciiTheme="minorHAnsi" w:hAnsiTheme="minorHAnsi" w:cstheme="minorHAnsi"/>
                <w:b/>
                <w:bCs/>
                <w:color w:val="000000"/>
                <w:sz w:val="20"/>
                <w:szCs w:val="20"/>
              </w:rPr>
            </w:pPr>
            <w:r w:rsidRPr="00095EB1">
              <w:rPr>
                <w:rFonts w:asciiTheme="minorHAnsi" w:hAnsiTheme="minorHAnsi" w:cstheme="minorHAnsi"/>
                <w:b/>
                <w:bCs/>
                <w:color w:val="000000"/>
                <w:sz w:val="20"/>
                <w:szCs w:val="20"/>
              </w:rPr>
              <w:t>Credit Cards</w:t>
            </w:r>
          </w:p>
        </w:tc>
        <w:tc>
          <w:tcPr>
            <w:tcW w:w="135" w:type="pct"/>
            <w:tcBorders>
              <w:left w:val="nil"/>
              <w:bottom w:val="nil"/>
              <w:right w:val="nil"/>
            </w:tcBorders>
            <w:shd w:val="clear" w:color="auto" w:fill="auto"/>
            <w:noWrap/>
            <w:vAlign w:val="bottom"/>
          </w:tcPr>
          <w:p w14:paraId="783B3E57" w14:textId="77777777" w:rsidR="00F66E71" w:rsidRPr="00B97C61" w:rsidRDefault="00F66E71" w:rsidP="005D59FA">
            <w:pPr>
              <w:rPr>
                <w:rFonts w:asciiTheme="minorHAnsi" w:hAnsiTheme="minorHAnsi" w:cstheme="minorHAnsi"/>
                <w:color w:val="000000"/>
                <w:sz w:val="20"/>
                <w:szCs w:val="20"/>
              </w:rPr>
            </w:pPr>
          </w:p>
        </w:tc>
        <w:tc>
          <w:tcPr>
            <w:tcW w:w="135" w:type="pct"/>
            <w:tcBorders>
              <w:left w:val="nil"/>
              <w:bottom w:val="nil"/>
              <w:right w:val="nil"/>
            </w:tcBorders>
            <w:shd w:val="clear" w:color="auto" w:fill="auto"/>
            <w:noWrap/>
            <w:vAlign w:val="bottom"/>
          </w:tcPr>
          <w:p w14:paraId="13D37789" w14:textId="77777777" w:rsidR="00F66E71" w:rsidRPr="00B97C61" w:rsidRDefault="00F66E71" w:rsidP="005D59FA">
            <w:pPr>
              <w:rPr>
                <w:rFonts w:asciiTheme="minorHAnsi" w:hAnsiTheme="minorHAnsi" w:cstheme="minorHAnsi"/>
                <w:sz w:val="20"/>
                <w:szCs w:val="20"/>
              </w:rPr>
            </w:pPr>
          </w:p>
        </w:tc>
        <w:tc>
          <w:tcPr>
            <w:tcW w:w="135" w:type="pct"/>
            <w:tcBorders>
              <w:left w:val="nil"/>
              <w:bottom w:val="nil"/>
              <w:right w:val="nil"/>
            </w:tcBorders>
            <w:shd w:val="clear" w:color="auto" w:fill="auto"/>
            <w:noWrap/>
            <w:vAlign w:val="bottom"/>
          </w:tcPr>
          <w:p w14:paraId="329D73D9" w14:textId="77777777" w:rsidR="00F66E71" w:rsidRPr="00B97C61" w:rsidRDefault="00F66E71" w:rsidP="005D59FA">
            <w:pPr>
              <w:rPr>
                <w:rFonts w:asciiTheme="minorHAnsi" w:hAnsiTheme="minorHAnsi" w:cstheme="minorHAnsi"/>
                <w:sz w:val="20"/>
                <w:szCs w:val="20"/>
              </w:rPr>
            </w:pPr>
          </w:p>
        </w:tc>
        <w:tc>
          <w:tcPr>
            <w:tcW w:w="579" w:type="pct"/>
            <w:tcBorders>
              <w:left w:val="nil"/>
              <w:bottom w:val="nil"/>
              <w:right w:val="nil"/>
            </w:tcBorders>
            <w:shd w:val="clear" w:color="auto" w:fill="F2F2F2" w:themeFill="background1" w:themeFillShade="F2"/>
            <w:noWrap/>
            <w:vAlign w:val="bottom"/>
          </w:tcPr>
          <w:p w14:paraId="5D7224B2" w14:textId="7E4039D8" w:rsidR="00F66E71" w:rsidRPr="00FB19BD" w:rsidRDefault="005B798E" w:rsidP="005D59FA">
            <w:pPr>
              <w:jc w:val="right"/>
              <w:rPr>
                <w:rFonts w:asciiTheme="minorHAnsi" w:hAnsiTheme="minorHAnsi" w:cstheme="minorHAnsi"/>
                <w:b/>
                <w:color w:val="000000"/>
                <w:sz w:val="20"/>
                <w:szCs w:val="20"/>
              </w:rPr>
            </w:pPr>
            <w:r>
              <w:rPr>
                <w:rFonts w:asciiTheme="minorHAnsi" w:hAnsiTheme="minorHAnsi" w:cstheme="minorHAnsi"/>
                <w:b/>
                <w:color w:val="000000"/>
                <w:sz w:val="20"/>
                <w:szCs w:val="20"/>
              </w:rPr>
              <w:t xml:space="preserve">30 June </w:t>
            </w:r>
            <w:r w:rsidR="00F66E71">
              <w:rPr>
                <w:rFonts w:asciiTheme="minorHAnsi" w:hAnsiTheme="minorHAnsi" w:cstheme="minorHAnsi"/>
                <w:b/>
                <w:color w:val="000000"/>
                <w:sz w:val="20"/>
                <w:szCs w:val="20"/>
              </w:rPr>
              <w:t>2024</w:t>
            </w:r>
          </w:p>
        </w:tc>
        <w:tc>
          <w:tcPr>
            <w:tcW w:w="733" w:type="pct"/>
            <w:tcBorders>
              <w:left w:val="nil"/>
              <w:bottom w:val="nil"/>
              <w:right w:val="nil"/>
            </w:tcBorders>
            <w:vAlign w:val="bottom"/>
          </w:tcPr>
          <w:p w14:paraId="6E6E4561" w14:textId="77777777" w:rsidR="00951920" w:rsidRPr="00951920" w:rsidRDefault="00951920" w:rsidP="00951920">
            <w:pPr>
              <w:jc w:val="right"/>
              <w:rPr>
                <w:rFonts w:asciiTheme="minorHAnsi" w:hAnsiTheme="minorHAnsi" w:cstheme="minorHAnsi"/>
                <w:color w:val="000000"/>
                <w:sz w:val="20"/>
                <w:szCs w:val="20"/>
              </w:rPr>
            </w:pPr>
            <w:r w:rsidRPr="00951920">
              <w:rPr>
                <w:rFonts w:asciiTheme="minorHAnsi" w:hAnsiTheme="minorHAnsi" w:cstheme="minorHAnsi"/>
                <w:color w:val="000000"/>
                <w:sz w:val="20"/>
                <w:szCs w:val="20"/>
              </w:rPr>
              <w:t>31 December</w:t>
            </w:r>
          </w:p>
          <w:p w14:paraId="5D314AEF" w14:textId="17689580" w:rsidR="00951920" w:rsidRPr="00951920" w:rsidRDefault="00951920" w:rsidP="00951920">
            <w:pPr>
              <w:jc w:val="right"/>
              <w:rPr>
                <w:rFonts w:asciiTheme="minorHAnsi" w:hAnsiTheme="minorHAnsi" w:cstheme="minorHAnsi"/>
                <w:color w:val="000000"/>
                <w:sz w:val="20"/>
                <w:szCs w:val="20"/>
              </w:rPr>
            </w:pPr>
            <w:r w:rsidRPr="00951920">
              <w:rPr>
                <w:rFonts w:asciiTheme="minorHAnsi" w:hAnsiTheme="minorHAnsi" w:cstheme="minorHAnsi"/>
                <w:color w:val="000000"/>
                <w:sz w:val="20"/>
                <w:szCs w:val="20"/>
              </w:rPr>
              <w:t>2023</w:t>
            </w:r>
          </w:p>
        </w:tc>
        <w:tc>
          <w:tcPr>
            <w:tcW w:w="587" w:type="pct"/>
            <w:tcBorders>
              <w:left w:val="nil"/>
              <w:bottom w:val="nil"/>
              <w:right w:val="nil"/>
            </w:tcBorders>
            <w:shd w:val="clear" w:color="auto" w:fill="auto"/>
            <w:noWrap/>
            <w:vAlign w:val="bottom"/>
          </w:tcPr>
          <w:p w14:paraId="7EF6AAD5" w14:textId="34EFFC9D" w:rsidR="00F66E71" w:rsidRPr="00750210" w:rsidRDefault="00220C6F" w:rsidP="00327F5E">
            <w:pPr>
              <w:jc w:val="right"/>
              <w:rPr>
                <w:rFonts w:asciiTheme="minorHAnsi" w:hAnsiTheme="minorHAnsi" w:cstheme="minorHAnsi"/>
                <w:color w:val="000000"/>
                <w:sz w:val="20"/>
                <w:szCs w:val="20"/>
              </w:rPr>
            </w:pPr>
            <w:r>
              <w:rPr>
                <w:rFonts w:asciiTheme="minorHAnsi" w:hAnsiTheme="minorHAnsi" w:cstheme="minorHAnsi"/>
                <w:color w:val="000000"/>
                <w:sz w:val="20"/>
                <w:szCs w:val="20"/>
              </w:rPr>
              <w:t>30 June</w:t>
            </w:r>
            <w:r w:rsidR="00CE1D85" w:rsidRPr="00750210">
              <w:rPr>
                <w:rFonts w:asciiTheme="minorHAnsi" w:hAnsiTheme="minorHAnsi" w:cstheme="minorHAnsi"/>
                <w:color w:val="000000"/>
                <w:sz w:val="20"/>
                <w:szCs w:val="20"/>
              </w:rPr>
              <w:t xml:space="preserve"> </w:t>
            </w:r>
            <w:r w:rsidR="00F66E71" w:rsidRPr="00750210">
              <w:rPr>
                <w:rFonts w:asciiTheme="minorHAnsi" w:hAnsiTheme="minorHAnsi" w:cstheme="minorHAnsi"/>
                <w:color w:val="000000"/>
                <w:sz w:val="20"/>
                <w:szCs w:val="20"/>
              </w:rPr>
              <w:t>2023</w:t>
            </w:r>
          </w:p>
        </w:tc>
      </w:tr>
      <w:tr w:rsidR="00C4058F" w:rsidRPr="00B97C61" w14:paraId="6E765759" w14:textId="00832B44" w:rsidTr="00327F5E">
        <w:trPr>
          <w:trHeight w:val="300"/>
        </w:trPr>
        <w:tc>
          <w:tcPr>
            <w:tcW w:w="2696" w:type="pct"/>
            <w:tcBorders>
              <w:left w:val="nil"/>
              <w:bottom w:val="nil"/>
              <w:right w:val="nil"/>
            </w:tcBorders>
            <w:shd w:val="clear" w:color="auto" w:fill="auto"/>
            <w:noWrap/>
            <w:vAlign w:val="bottom"/>
          </w:tcPr>
          <w:p w14:paraId="48BA4553" w14:textId="77777777" w:rsidR="00F66E71" w:rsidRPr="00B97C61" w:rsidRDefault="00F66E71" w:rsidP="005D59FA">
            <w:pPr>
              <w:rPr>
                <w:rFonts w:asciiTheme="minorHAnsi" w:hAnsiTheme="minorHAnsi" w:cstheme="minorHAnsi"/>
                <w:color w:val="000000"/>
                <w:sz w:val="20"/>
                <w:szCs w:val="20"/>
              </w:rPr>
            </w:pPr>
          </w:p>
        </w:tc>
        <w:tc>
          <w:tcPr>
            <w:tcW w:w="135" w:type="pct"/>
            <w:tcBorders>
              <w:left w:val="nil"/>
              <w:bottom w:val="nil"/>
              <w:right w:val="nil"/>
            </w:tcBorders>
            <w:shd w:val="clear" w:color="auto" w:fill="auto"/>
            <w:noWrap/>
            <w:vAlign w:val="bottom"/>
          </w:tcPr>
          <w:p w14:paraId="2D025453" w14:textId="77777777" w:rsidR="00F66E71" w:rsidRPr="00B97C61" w:rsidRDefault="00F66E71" w:rsidP="005D59FA">
            <w:pPr>
              <w:rPr>
                <w:rFonts w:asciiTheme="minorHAnsi" w:hAnsiTheme="minorHAnsi" w:cstheme="minorHAnsi"/>
                <w:color w:val="000000"/>
                <w:sz w:val="20"/>
                <w:szCs w:val="20"/>
              </w:rPr>
            </w:pPr>
          </w:p>
        </w:tc>
        <w:tc>
          <w:tcPr>
            <w:tcW w:w="135" w:type="pct"/>
            <w:tcBorders>
              <w:left w:val="nil"/>
              <w:bottom w:val="nil"/>
              <w:right w:val="nil"/>
            </w:tcBorders>
            <w:shd w:val="clear" w:color="auto" w:fill="auto"/>
            <w:noWrap/>
            <w:vAlign w:val="bottom"/>
          </w:tcPr>
          <w:p w14:paraId="4D69BF74" w14:textId="77777777" w:rsidR="00F66E71" w:rsidRPr="00B97C61" w:rsidRDefault="00F66E71" w:rsidP="005D59FA">
            <w:pPr>
              <w:rPr>
                <w:rFonts w:asciiTheme="minorHAnsi" w:hAnsiTheme="minorHAnsi" w:cstheme="minorHAnsi"/>
                <w:sz w:val="20"/>
                <w:szCs w:val="20"/>
              </w:rPr>
            </w:pPr>
          </w:p>
        </w:tc>
        <w:tc>
          <w:tcPr>
            <w:tcW w:w="135" w:type="pct"/>
            <w:tcBorders>
              <w:left w:val="nil"/>
              <w:bottom w:val="nil"/>
              <w:right w:val="nil"/>
            </w:tcBorders>
            <w:shd w:val="clear" w:color="auto" w:fill="auto"/>
            <w:noWrap/>
            <w:vAlign w:val="bottom"/>
          </w:tcPr>
          <w:p w14:paraId="6CE2B408" w14:textId="77777777" w:rsidR="00F66E71" w:rsidRPr="00B97C61" w:rsidRDefault="00F66E71" w:rsidP="005D59FA">
            <w:pPr>
              <w:rPr>
                <w:rFonts w:asciiTheme="minorHAnsi" w:hAnsiTheme="minorHAnsi" w:cstheme="minorHAnsi"/>
                <w:sz w:val="20"/>
                <w:szCs w:val="20"/>
              </w:rPr>
            </w:pPr>
          </w:p>
        </w:tc>
        <w:tc>
          <w:tcPr>
            <w:tcW w:w="579" w:type="pct"/>
            <w:tcBorders>
              <w:left w:val="nil"/>
              <w:bottom w:val="nil"/>
              <w:right w:val="nil"/>
            </w:tcBorders>
            <w:shd w:val="clear" w:color="auto" w:fill="F2F2F2" w:themeFill="background1" w:themeFillShade="F2"/>
            <w:noWrap/>
            <w:vAlign w:val="bottom"/>
          </w:tcPr>
          <w:p w14:paraId="50219084" w14:textId="77777777" w:rsidR="00F66E71" w:rsidRPr="00FB19BD" w:rsidRDefault="00F66E71" w:rsidP="005D59FA">
            <w:pPr>
              <w:jc w:val="right"/>
              <w:rPr>
                <w:rFonts w:asciiTheme="minorHAnsi" w:hAnsiTheme="minorHAnsi" w:cstheme="minorHAnsi"/>
                <w:b/>
                <w:color w:val="000000"/>
                <w:sz w:val="20"/>
                <w:szCs w:val="20"/>
              </w:rPr>
            </w:pPr>
            <w:r>
              <w:rPr>
                <w:rFonts w:asciiTheme="minorHAnsi" w:hAnsiTheme="minorHAnsi" w:cstheme="minorHAnsi"/>
                <w:b/>
                <w:color w:val="000000"/>
                <w:sz w:val="20"/>
                <w:szCs w:val="20"/>
              </w:rPr>
              <w:t>£m</w:t>
            </w:r>
          </w:p>
        </w:tc>
        <w:tc>
          <w:tcPr>
            <w:tcW w:w="733" w:type="pct"/>
            <w:tcBorders>
              <w:left w:val="nil"/>
              <w:bottom w:val="nil"/>
              <w:right w:val="nil"/>
            </w:tcBorders>
            <w:vAlign w:val="bottom"/>
          </w:tcPr>
          <w:p w14:paraId="33581A72" w14:textId="223BFB56" w:rsidR="00951920" w:rsidRPr="00750210" w:rsidRDefault="00951920" w:rsidP="00951920">
            <w:pPr>
              <w:jc w:val="right"/>
              <w:rPr>
                <w:rFonts w:asciiTheme="minorHAnsi" w:hAnsiTheme="minorHAnsi" w:cstheme="minorHAnsi"/>
                <w:color w:val="000000"/>
                <w:sz w:val="20"/>
                <w:szCs w:val="20"/>
              </w:rPr>
            </w:pPr>
            <w:r w:rsidRPr="00750210">
              <w:rPr>
                <w:rFonts w:asciiTheme="minorHAnsi" w:hAnsiTheme="minorHAnsi" w:cstheme="minorHAnsi"/>
                <w:color w:val="000000"/>
                <w:sz w:val="20"/>
                <w:szCs w:val="20"/>
              </w:rPr>
              <w:t>£m</w:t>
            </w:r>
          </w:p>
        </w:tc>
        <w:tc>
          <w:tcPr>
            <w:tcW w:w="587" w:type="pct"/>
            <w:tcBorders>
              <w:left w:val="nil"/>
              <w:bottom w:val="nil"/>
              <w:right w:val="nil"/>
            </w:tcBorders>
            <w:shd w:val="clear" w:color="auto" w:fill="auto"/>
            <w:noWrap/>
            <w:vAlign w:val="bottom"/>
          </w:tcPr>
          <w:p w14:paraId="32B1EA4D" w14:textId="77777777" w:rsidR="00F66E71" w:rsidRPr="00B97C61" w:rsidRDefault="00F66E71" w:rsidP="005D59FA">
            <w:pPr>
              <w:jc w:val="right"/>
              <w:rPr>
                <w:rFonts w:asciiTheme="minorHAnsi" w:hAnsiTheme="minorHAnsi" w:cstheme="minorHAnsi"/>
                <w:color w:val="000000"/>
                <w:sz w:val="20"/>
                <w:szCs w:val="20"/>
              </w:rPr>
            </w:pPr>
            <w:r>
              <w:rPr>
                <w:rFonts w:asciiTheme="minorHAnsi" w:hAnsiTheme="minorHAnsi" w:cstheme="minorHAnsi"/>
                <w:color w:val="000000"/>
                <w:sz w:val="20"/>
                <w:szCs w:val="20"/>
              </w:rPr>
              <w:t>£m</w:t>
            </w:r>
          </w:p>
        </w:tc>
      </w:tr>
      <w:tr w:rsidR="00F97F16" w:rsidRPr="00B97C61" w14:paraId="5CA6B335" w14:textId="1F354AF4" w:rsidTr="00327F5E">
        <w:trPr>
          <w:trHeight w:val="300"/>
        </w:trPr>
        <w:tc>
          <w:tcPr>
            <w:tcW w:w="2696" w:type="pct"/>
            <w:tcBorders>
              <w:left w:val="nil"/>
              <w:bottom w:val="nil"/>
              <w:right w:val="nil"/>
            </w:tcBorders>
            <w:shd w:val="clear" w:color="auto" w:fill="auto"/>
            <w:noWrap/>
            <w:vAlign w:val="bottom"/>
            <w:hideMark/>
          </w:tcPr>
          <w:p w14:paraId="4D01E732" w14:textId="77777777" w:rsidR="00F66E71" w:rsidRPr="00B97C61" w:rsidRDefault="00F66E71" w:rsidP="005D59FA">
            <w:pPr>
              <w:rPr>
                <w:rFonts w:asciiTheme="minorHAnsi" w:hAnsiTheme="minorHAnsi" w:cstheme="minorHAnsi"/>
                <w:color w:val="000000"/>
                <w:sz w:val="20"/>
                <w:szCs w:val="20"/>
              </w:rPr>
            </w:pPr>
            <w:r w:rsidRPr="00B97C61">
              <w:rPr>
                <w:rFonts w:asciiTheme="minorHAnsi" w:hAnsiTheme="minorHAnsi" w:cstheme="minorHAnsi"/>
                <w:color w:val="000000"/>
                <w:sz w:val="20"/>
                <w:szCs w:val="20"/>
              </w:rPr>
              <w:t>Core model</w:t>
            </w:r>
          </w:p>
        </w:tc>
        <w:tc>
          <w:tcPr>
            <w:tcW w:w="135" w:type="pct"/>
            <w:tcBorders>
              <w:left w:val="nil"/>
              <w:bottom w:val="nil"/>
              <w:right w:val="nil"/>
            </w:tcBorders>
            <w:shd w:val="clear" w:color="auto" w:fill="auto"/>
            <w:noWrap/>
            <w:vAlign w:val="bottom"/>
          </w:tcPr>
          <w:p w14:paraId="5D0F385D" w14:textId="77777777" w:rsidR="00F66E71" w:rsidRPr="00B97C61" w:rsidRDefault="00F66E71" w:rsidP="005D59FA">
            <w:pPr>
              <w:rPr>
                <w:rFonts w:asciiTheme="minorHAnsi" w:hAnsiTheme="minorHAnsi" w:cstheme="minorHAnsi"/>
                <w:color w:val="000000"/>
                <w:sz w:val="20"/>
                <w:szCs w:val="20"/>
              </w:rPr>
            </w:pPr>
          </w:p>
        </w:tc>
        <w:tc>
          <w:tcPr>
            <w:tcW w:w="135" w:type="pct"/>
            <w:tcBorders>
              <w:left w:val="nil"/>
              <w:bottom w:val="nil"/>
              <w:right w:val="nil"/>
            </w:tcBorders>
            <w:shd w:val="clear" w:color="auto" w:fill="auto"/>
            <w:noWrap/>
            <w:vAlign w:val="bottom"/>
            <w:hideMark/>
          </w:tcPr>
          <w:p w14:paraId="2BF22167" w14:textId="77777777" w:rsidR="00F66E71" w:rsidRPr="00B97C61" w:rsidRDefault="00F66E71" w:rsidP="005D59FA">
            <w:pPr>
              <w:rPr>
                <w:rFonts w:asciiTheme="minorHAnsi" w:hAnsiTheme="minorHAnsi" w:cstheme="minorHAnsi"/>
                <w:sz w:val="20"/>
                <w:szCs w:val="20"/>
              </w:rPr>
            </w:pPr>
          </w:p>
        </w:tc>
        <w:tc>
          <w:tcPr>
            <w:tcW w:w="135" w:type="pct"/>
            <w:tcBorders>
              <w:left w:val="nil"/>
              <w:bottom w:val="nil"/>
              <w:right w:val="nil"/>
            </w:tcBorders>
            <w:shd w:val="clear" w:color="auto" w:fill="auto"/>
            <w:noWrap/>
            <w:vAlign w:val="bottom"/>
            <w:hideMark/>
          </w:tcPr>
          <w:p w14:paraId="02F82930" w14:textId="77777777" w:rsidR="00F66E71" w:rsidRPr="00B97C61" w:rsidRDefault="00F66E71" w:rsidP="005D59FA">
            <w:pPr>
              <w:rPr>
                <w:rFonts w:asciiTheme="minorHAnsi" w:hAnsiTheme="minorHAnsi" w:cstheme="minorHAnsi"/>
                <w:sz w:val="20"/>
                <w:szCs w:val="20"/>
              </w:rPr>
            </w:pPr>
          </w:p>
        </w:tc>
        <w:tc>
          <w:tcPr>
            <w:tcW w:w="579" w:type="pct"/>
            <w:tcBorders>
              <w:top w:val="single" w:sz="4" w:space="0" w:color="auto"/>
              <w:left w:val="nil"/>
              <w:bottom w:val="nil"/>
              <w:right w:val="nil"/>
            </w:tcBorders>
            <w:shd w:val="clear" w:color="auto" w:fill="F2F2F2" w:themeFill="background1" w:themeFillShade="F2"/>
            <w:noWrap/>
            <w:vAlign w:val="bottom"/>
          </w:tcPr>
          <w:p w14:paraId="0550D5D5" w14:textId="7DC941A5" w:rsidR="00F66E71" w:rsidRPr="000F589C" w:rsidRDefault="00A92A66" w:rsidP="005D59FA">
            <w:pPr>
              <w:jc w:val="right"/>
              <w:rPr>
                <w:rFonts w:asciiTheme="minorHAnsi" w:hAnsiTheme="minorHAnsi" w:cstheme="minorHAnsi"/>
                <w:b/>
                <w:color w:val="000000"/>
                <w:sz w:val="20"/>
                <w:szCs w:val="20"/>
              </w:rPr>
            </w:pPr>
            <w:r w:rsidRPr="000F589C">
              <w:rPr>
                <w:rFonts w:asciiTheme="minorHAnsi" w:hAnsiTheme="minorHAnsi" w:cstheme="minorHAnsi"/>
                <w:b/>
                <w:color w:val="000000"/>
                <w:sz w:val="20"/>
                <w:szCs w:val="20"/>
              </w:rPr>
              <w:t>180.4</w:t>
            </w:r>
          </w:p>
        </w:tc>
        <w:tc>
          <w:tcPr>
            <w:tcW w:w="733" w:type="pct"/>
            <w:tcBorders>
              <w:top w:val="single" w:sz="4" w:space="0" w:color="auto"/>
              <w:left w:val="nil"/>
              <w:bottom w:val="nil"/>
              <w:right w:val="nil"/>
            </w:tcBorders>
            <w:vAlign w:val="bottom"/>
          </w:tcPr>
          <w:p w14:paraId="37FD14BA" w14:textId="7225CFAE" w:rsidR="00951920" w:rsidRPr="006D4208" w:rsidRDefault="00951920" w:rsidP="00951920">
            <w:pPr>
              <w:jc w:val="right"/>
              <w:rPr>
                <w:rFonts w:asciiTheme="minorHAnsi" w:hAnsiTheme="minorHAnsi" w:cstheme="minorHAnsi"/>
                <w:color w:val="000000"/>
                <w:sz w:val="20"/>
                <w:szCs w:val="20"/>
              </w:rPr>
            </w:pPr>
            <w:r w:rsidRPr="006D4208">
              <w:rPr>
                <w:rFonts w:asciiTheme="minorHAnsi" w:hAnsiTheme="minorHAnsi" w:cstheme="minorHAnsi"/>
                <w:color w:val="000000"/>
                <w:sz w:val="20"/>
                <w:szCs w:val="20"/>
              </w:rPr>
              <w:t>209.4</w:t>
            </w:r>
          </w:p>
        </w:tc>
        <w:tc>
          <w:tcPr>
            <w:tcW w:w="587" w:type="pct"/>
            <w:tcBorders>
              <w:top w:val="single" w:sz="4" w:space="0" w:color="auto"/>
              <w:left w:val="nil"/>
              <w:bottom w:val="nil"/>
              <w:right w:val="nil"/>
            </w:tcBorders>
            <w:shd w:val="clear" w:color="auto" w:fill="auto"/>
            <w:noWrap/>
            <w:vAlign w:val="bottom"/>
            <w:hideMark/>
          </w:tcPr>
          <w:p w14:paraId="0927F31F" w14:textId="6A2FA9A6" w:rsidR="00F66E71" w:rsidRPr="006D4208" w:rsidRDefault="00F66E71" w:rsidP="005D59FA">
            <w:pPr>
              <w:jc w:val="right"/>
              <w:rPr>
                <w:rFonts w:asciiTheme="minorHAnsi" w:hAnsiTheme="minorHAnsi" w:cstheme="minorHAnsi"/>
                <w:color w:val="000000"/>
                <w:sz w:val="20"/>
                <w:szCs w:val="20"/>
              </w:rPr>
            </w:pPr>
            <w:r w:rsidRPr="006D4208">
              <w:rPr>
                <w:rFonts w:asciiTheme="minorHAnsi" w:hAnsiTheme="minorHAnsi" w:cstheme="minorHAnsi"/>
                <w:color w:val="000000"/>
                <w:sz w:val="20"/>
                <w:szCs w:val="20"/>
              </w:rPr>
              <w:t>2</w:t>
            </w:r>
            <w:r w:rsidR="00C65923" w:rsidRPr="006D4208">
              <w:rPr>
                <w:rFonts w:asciiTheme="minorHAnsi" w:hAnsiTheme="minorHAnsi" w:cstheme="minorHAnsi"/>
                <w:color w:val="000000"/>
                <w:sz w:val="20"/>
                <w:szCs w:val="20"/>
              </w:rPr>
              <w:t>01.5</w:t>
            </w:r>
          </w:p>
        </w:tc>
      </w:tr>
      <w:tr w:rsidR="00C4058F" w:rsidRPr="00B97C61" w14:paraId="62813BE9" w14:textId="788AA113" w:rsidTr="00327F5E">
        <w:trPr>
          <w:trHeight w:val="288"/>
        </w:trPr>
        <w:tc>
          <w:tcPr>
            <w:tcW w:w="2696" w:type="pct"/>
            <w:tcBorders>
              <w:top w:val="nil"/>
              <w:left w:val="nil"/>
              <w:bottom w:val="nil"/>
              <w:right w:val="nil"/>
            </w:tcBorders>
            <w:shd w:val="clear" w:color="auto" w:fill="auto"/>
            <w:noWrap/>
            <w:vAlign w:val="bottom"/>
            <w:hideMark/>
          </w:tcPr>
          <w:p w14:paraId="0235E9BA" w14:textId="77777777" w:rsidR="00F66E71" w:rsidRPr="00B97C61" w:rsidRDefault="00F66E71" w:rsidP="005D59FA">
            <w:pPr>
              <w:rPr>
                <w:rFonts w:asciiTheme="minorHAnsi" w:hAnsiTheme="minorHAnsi" w:cstheme="minorHAnsi"/>
                <w:color w:val="000000"/>
                <w:sz w:val="20"/>
                <w:szCs w:val="20"/>
              </w:rPr>
            </w:pPr>
            <w:r w:rsidRPr="00B97C61">
              <w:rPr>
                <w:rFonts w:asciiTheme="minorHAnsi" w:hAnsiTheme="minorHAnsi" w:cstheme="minorHAnsi"/>
                <w:color w:val="000000"/>
                <w:sz w:val="20"/>
                <w:szCs w:val="20"/>
              </w:rPr>
              <w:t>New Model (under)/overlays (note (a))</w:t>
            </w:r>
          </w:p>
        </w:tc>
        <w:tc>
          <w:tcPr>
            <w:tcW w:w="135" w:type="pct"/>
            <w:tcBorders>
              <w:top w:val="nil"/>
              <w:left w:val="nil"/>
              <w:bottom w:val="nil"/>
              <w:right w:val="nil"/>
            </w:tcBorders>
            <w:shd w:val="clear" w:color="auto" w:fill="auto"/>
            <w:noWrap/>
            <w:vAlign w:val="bottom"/>
          </w:tcPr>
          <w:p w14:paraId="69543F9D" w14:textId="77777777" w:rsidR="00F66E71" w:rsidRPr="00B97C61" w:rsidRDefault="00F66E71" w:rsidP="005D59FA">
            <w:pPr>
              <w:rPr>
                <w:rFonts w:asciiTheme="minorHAnsi" w:hAnsiTheme="minorHAnsi" w:cstheme="minorHAnsi"/>
                <w:color w:val="000000"/>
                <w:sz w:val="20"/>
                <w:szCs w:val="20"/>
              </w:rPr>
            </w:pPr>
          </w:p>
        </w:tc>
        <w:tc>
          <w:tcPr>
            <w:tcW w:w="135" w:type="pct"/>
            <w:tcBorders>
              <w:top w:val="nil"/>
              <w:left w:val="nil"/>
              <w:bottom w:val="nil"/>
              <w:right w:val="nil"/>
            </w:tcBorders>
            <w:shd w:val="clear" w:color="auto" w:fill="auto"/>
            <w:noWrap/>
            <w:vAlign w:val="bottom"/>
            <w:hideMark/>
          </w:tcPr>
          <w:p w14:paraId="601948F8" w14:textId="77777777" w:rsidR="00F66E71" w:rsidRPr="00B97C61" w:rsidRDefault="00F66E71" w:rsidP="005D59FA">
            <w:pPr>
              <w:rPr>
                <w:rFonts w:asciiTheme="minorHAnsi" w:hAnsiTheme="minorHAnsi" w:cstheme="minorHAnsi"/>
                <w:sz w:val="20"/>
                <w:szCs w:val="20"/>
              </w:rPr>
            </w:pPr>
          </w:p>
        </w:tc>
        <w:tc>
          <w:tcPr>
            <w:tcW w:w="135" w:type="pct"/>
            <w:tcBorders>
              <w:top w:val="nil"/>
              <w:left w:val="nil"/>
              <w:bottom w:val="nil"/>
              <w:right w:val="nil"/>
            </w:tcBorders>
            <w:shd w:val="clear" w:color="auto" w:fill="auto"/>
            <w:noWrap/>
            <w:vAlign w:val="bottom"/>
            <w:hideMark/>
          </w:tcPr>
          <w:p w14:paraId="45114841" w14:textId="77777777" w:rsidR="00F66E71" w:rsidRPr="00B97C61" w:rsidRDefault="00F66E71" w:rsidP="005D59FA">
            <w:pPr>
              <w:rPr>
                <w:rFonts w:asciiTheme="minorHAnsi" w:hAnsiTheme="minorHAnsi" w:cstheme="minorHAnsi"/>
                <w:sz w:val="20"/>
                <w:szCs w:val="20"/>
              </w:rPr>
            </w:pPr>
          </w:p>
        </w:tc>
        <w:tc>
          <w:tcPr>
            <w:tcW w:w="579" w:type="pct"/>
            <w:tcBorders>
              <w:top w:val="nil"/>
              <w:left w:val="nil"/>
              <w:bottom w:val="nil"/>
              <w:right w:val="nil"/>
            </w:tcBorders>
            <w:shd w:val="clear" w:color="auto" w:fill="F2F2F2" w:themeFill="background1" w:themeFillShade="F2"/>
            <w:noWrap/>
            <w:vAlign w:val="bottom"/>
          </w:tcPr>
          <w:p w14:paraId="430DD09C" w14:textId="137FED77" w:rsidR="00F66E71" w:rsidRPr="000F589C" w:rsidRDefault="00A92A66" w:rsidP="005D59FA">
            <w:pPr>
              <w:jc w:val="right"/>
              <w:rPr>
                <w:rFonts w:asciiTheme="minorHAnsi" w:hAnsiTheme="minorHAnsi" w:cstheme="minorHAnsi"/>
                <w:b/>
                <w:color w:val="000000"/>
                <w:sz w:val="20"/>
                <w:szCs w:val="20"/>
              </w:rPr>
            </w:pPr>
            <w:r w:rsidRPr="000F589C">
              <w:rPr>
                <w:rFonts w:asciiTheme="minorHAnsi" w:hAnsiTheme="minorHAnsi" w:cstheme="minorHAnsi"/>
                <w:b/>
                <w:color w:val="000000"/>
                <w:sz w:val="20"/>
                <w:szCs w:val="20"/>
              </w:rPr>
              <w:t>-</w:t>
            </w:r>
          </w:p>
        </w:tc>
        <w:tc>
          <w:tcPr>
            <w:tcW w:w="733" w:type="pct"/>
            <w:tcBorders>
              <w:top w:val="nil"/>
              <w:left w:val="nil"/>
              <w:bottom w:val="nil"/>
              <w:right w:val="nil"/>
            </w:tcBorders>
            <w:vAlign w:val="bottom"/>
          </w:tcPr>
          <w:p w14:paraId="0830F6F7" w14:textId="2F9D4451" w:rsidR="00951920" w:rsidRPr="006D4208" w:rsidRDefault="00951920" w:rsidP="00951920">
            <w:pPr>
              <w:jc w:val="right"/>
              <w:rPr>
                <w:rFonts w:asciiTheme="minorHAnsi" w:hAnsiTheme="minorHAnsi" w:cstheme="minorHAnsi"/>
                <w:color w:val="000000"/>
                <w:sz w:val="20"/>
                <w:szCs w:val="20"/>
              </w:rPr>
            </w:pPr>
            <w:r w:rsidRPr="006D4208">
              <w:rPr>
                <w:rFonts w:asciiTheme="minorHAnsi" w:hAnsiTheme="minorHAnsi" w:cstheme="minorHAnsi"/>
                <w:color w:val="000000"/>
                <w:sz w:val="20"/>
                <w:szCs w:val="20"/>
              </w:rPr>
              <w:t>(12.7)</w:t>
            </w:r>
          </w:p>
        </w:tc>
        <w:tc>
          <w:tcPr>
            <w:tcW w:w="587" w:type="pct"/>
            <w:tcBorders>
              <w:top w:val="nil"/>
              <w:left w:val="nil"/>
              <w:bottom w:val="nil"/>
              <w:right w:val="nil"/>
            </w:tcBorders>
            <w:shd w:val="clear" w:color="auto" w:fill="auto"/>
            <w:noWrap/>
            <w:vAlign w:val="bottom"/>
            <w:hideMark/>
          </w:tcPr>
          <w:p w14:paraId="0408D933" w14:textId="77777777" w:rsidR="00F66E71" w:rsidRPr="006D4208" w:rsidRDefault="00F66E71" w:rsidP="005D59FA">
            <w:pPr>
              <w:jc w:val="right"/>
              <w:rPr>
                <w:rFonts w:asciiTheme="minorHAnsi" w:hAnsiTheme="minorHAnsi" w:cstheme="minorHAnsi"/>
                <w:color w:val="000000"/>
                <w:sz w:val="20"/>
                <w:szCs w:val="20"/>
              </w:rPr>
            </w:pPr>
            <w:r w:rsidRPr="006D4208">
              <w:rPr>
                <w:rFonts w:asciiTheme="minorHAnsi" w:hAnsiTheme="minorHAnsi" w:cstheme="minorHAnsi"/>
                <w:color w:val="000000"/>
                <w:sz w:val="20"/>
                <w:szCs w:val="20"/>
              </w:rPr>
              <w:t>-</w:t>
            </w:r>
          </w:p>
        </w:tc>
      </w:tr>
      <w:tr w:rsidR="00F97F16" w:rsidRPr="00B97C61" w14:paraId="4E1B992F" w14:textId="7C99F2F6" w:rsidTr="00327F5E">
        <w:trPr>
          <w:trHeight w:val="288"/>
        </w:trPr>
        <w:tc>
          <w:tcPr>
            <w:tcW w:w="2696" w:type="pct"/>
            <w:tcBorders>
              <w:top w:val="nil"/>
              <w:left w:val="nil"/>
              <w:bottom w:val="nil"/>
              <w:right w:val="nil"/>
            </w:tcBorders>
            <w:shd w:val="clear" w:color="auto" w:fill="auto"/>
            <w:noWrap/>
            <w:vAlign w:val="bottom"/>
            <w:hideMark/>
          </w:tcPr>
          <w:p w14:paraId="12E4574D" w14:textId="77777777" w:rsidR="00F66E71" w:rsidRPr="00B97C61" w:rsidRDefault="00F66E71" w:rsidP="005D59FA">
            <w:pPr>
              <w:rPr>
                <w:rFonts w:asciiTheme="minorHAnsi" w:hAnsiTheme="minorHAnsi" w:cstheme="minorHAnsi"/>
                <w:color w:val="000000"/>
                <w:sz w:val="20"/>
                <w:szCs w:val="20"/>
              </w:rPr>
            </w:pPr>
            <w:r w:rsidRPr="00B97C61">
              <w:rPr>
                <w:rFonts w:asciiTheme="minorHAnsi" w:hAnsiTheme="minorHAnsi" w:cstheme="minorHAnsi"/>
                <w:color w:val="000000"/>
                <w:sz w:val="20"/>
                <w:szCs w:val="20"/>
              </w:rPr>
              <w:t>Post Model (under)/overlays</w:t>
            </w:r>
          </w:p>
        </w:tc>
        <w:tc>
          <w:tcPr>
            <w:tcW w:w="135" w:type="pct"/>
            <w:tcBorders>
              <w:top w:val="nil"/>
              <w:left w:val="nil"/>
              <w:bottom w:val="nil"/>
              <w:right w:val="nil"/>
            </w:tcBorders>
            <w:shd w:val="clear" w:color="auto" w:fill="auto"/>
            <w:noWrap/>
            <w:vAlign w:val="bottom"/>
          </w:tcPr>
          <w:p w14:paraId="5CF5EFE6" w14:textId="77777777" w:rsidR="00F66E71" w:rsidRPr="00B97C61" w:rsidRDefault="00F66E71" w:rsidP="005D59FA">
            <w:pPr>
              <w:rPr>
                <w:rFonts w:asciiTheme="minorHAnsi" w:hAnsiTheme="minorHAnsi" w:cstheme="minorHAnsi"/>
                <w:color w:val="000000"/>
                <w:sz w:val="20"/>
                <w:szCs w:val="20"/>
              </w:rPr>
            </w:pPr>
          </w:p>
        </w:tc>
        <w:tc>
          <w:tcPr>
            <w:tcW w:w="135" w:type="pct"/>
            <w:tcBorders>
              <w:top w:val="nil"/>
              <w:left w:val="nil"/>
              <w:bottom w:val="nil"/>
              <w:right w:val="nil"/>
            </w:tcBorders>
            <w:shd w:val="clear" w:color="auto" w:fill="auto"/>
            <w:noWrap/>
            <w:vAlign w:val="bottom"/>
            <w:hideMark/>
          </w:tcPr>
          <w:p w14:paraId="62013CF8" w14:textId="77777777" w:rsidR="00F66E71" w:rsidRPr="00B97C61" w:rsidRDefault="00F66E71" w:rsidP="005D59FA">
            <w:pPr>
              <w:rPr>
                <w:rFonts w:asciiTheme="minorHAnsi" w:hAnsiTheme="minorHAnsi" w:cstheme="minorHAnsi"/>
                <w:sz w:val="20"/>
                <w:szCs w:val="20"/>
              </w:rPr>
            </w:pPr>
          </w:p>
        </w:tc>
        <w:tc>
          <w:tcPr>
            <w:tcW w:w="135" w:type="pct"/>
            <w:tcBorders>
              <w:top w:val="nil"/>
              <w:left w:val="nil"/>
              <w:bottom w:val="nil"/>
              <w:right w:val="nil"/>
            </w:tcBorders>
            <w:shd w:val="clear" w:color="auto" w:fill="auto"/>
            <w:noWrap/>
            <w:vAlign w:val="bottom"/>
            <w:hideMark/>
          </w:tcPr>
          <w:p w14:paraId="648CDDF1" w14:textId="77777777" w:rsidR="00F66E71" w:rsidRPr="00B97C61" w:rsidRDefault="00F66E71" w:rsidP="005D59FA">
            <w:pPr>
              <w:rPr>
                <w:rFonts w:asciiTheme="minorHAnsi" w:hAnsiTheme="minorHAnsi" w:cstheme="minorHAnsi"/>
                <w:sz w:val="20"/>
                <w:szCs w:val="20"/>
              </w:rPr>
            </w:pPr>
          </w:p>
        </w:tc>
        <w:tc>
          <w:tcPr>
            <w:tcW w:w="579" w:type="pct"/>
            <w:tcBorders>
              <w:top w:val="nil"/>
              <w:left w:val="nil"/>
              <w:bottom w:val="single" w:sz="4" w:space="0" w:color="auto"/>
              <w:right w:val="nil"/>
            </w:tcBorders>
            <w:shd w:val="clear" w:color="auto" w:fill="F2F2F2" w:themeFill="background1" w:themeFillShade="F2"/>
            <w:noWrap/>
            <w:vAlign w:val="bottom"/>
          </w:tcPr>
          <w:p w14:paraId="0B2B5D51" w14:textId="3CE0284F" w:rsidR="00F66E71" w:rsidRPr="000F589C" w:rsidRDefault="000F589C" w:rsidP="005D59FA">
            <w:pPr>
              <w:jc w:val="right"/>
              <w:rPr>
                <w:rFonts w:asciiTheme="minorHAnsi" w:hAnsiTheme="minorHAnsi" w:cstheme="minorHAnsi"/>
                <w:b/>
                <w:color w:val="000000"/>
                <w:sz w:val="20"/>
                <w:szCs w:val="20"/>
              </w:rPr>
            </w:pPr>
            <w:r w:rsidRPr="000F589C">
              <w:rPr>
                <w:rFonts w:asciiTheme="minorHAnsi" w:hAnsiTheme="minorHAnsi" w:cstheme="minorHAnsi"/>
                <w:b/>
                <w:color w:val="000000"/>
                <w:sz w:val="20"/>
                <w:szCs w:val="20"/>
              </w:rPr>
              <w:t>2.0</w:t>
            </w:r>
          </w:p>
        </w:tc>
        <w:tc>
          <w:tcPr>
            <w:tcW w:w="733" w:type="pct"/>
            <w:tcBorders>
              <w:top w:val="nil"/>
              <w:left w:val="nil"/>
              <w:bottom w:val="single" w:sz="4" w:space="0" w:color="auto"/>
              <w:right w:val="nil"/>
            </w:tcBorders>
            <w:vAlign w:val="bottom"/>
          </w:tcPr>
          <w:p w14:paraId="23E559EA" w14:textId="3F52A5E0" w:rsidR="00951920" w:rsidRPr="006D4208" w:rsidRDefault="00951920" w:rsidP="00951920">
            <w:pPr>
              <w:jc w:val="right"/>
              <w:rPr>
                <w:rFonts w:asciiTheme="minorHAnsi" w:hAnsiTheme="minorHAnsi" w:cstheme="minorHAnsi"/>
                <w:color w:val="000000"/>
                <w:sz w:val="20"/>
                <w:szCs w:val="20"/>
              </w:rPr>
            </w:pPr>
            <w:r w:rsidRPr="006D4208">
              <w:rPr>
                <w:rFonts w:asciiTheme="minorHAnsi" w:hAnsiTheme="minorHAnsi" w:cstheme="minorHAnsi"/>
                <w:color w:val="000000"/>
                <w:sz w:val="20"/>
                <w:szCs w:val="20"/>
              </w:rPr>
              <w:t>2.0</w:t>
            </w:r>
          </w:p>
        </w:tc>
        <w:tc>
          <w:tcPr>
            <w:tcW w:w="587" w:type="pct"/>
            <w:tcBorders>
              <w:top w:val="nil"/>
              <w:left w:val="nil"/>
              <w:bottom w:val="single" w:sz="4" w:space="0" w:color="auto"/>
              <w:right w:val="nil"/>
            </w:tcBorders>
            <w:shd w:val="clear" w:color="auto" w:fill="auto"/>
            <w:noWrap/>
            <w:vAlign w:val="bottom"/>
            <w:hideMark/>
          </w:tcPr>
          <w:p w14:paraId="19A79C15" w14:textId="63407220" w:rsidR="00F66E71" w:rsidRPr="006D4208" w:rsidRDefault="00F66E71" w:rsidP="005D59FA">
            <w:pPr>
              <w:jc w:val="right"/>
              <w:rPr>
                <w:rFonts w:asciiTheme="minorHAnsi" w:hAnsiTheme="minorHAnsi" w:cstheme="minorHAnsi"/>
                <w:color w:val="000000"/>
                <w:sz w:val="20"/>
                <w:szCs w:val="20"/>
              </w:rPr>
            </w:pPr>
            <w:r w:rsidRPr="006D4208">
              <w:rPr>
                <w:rFonts w:asciiTheme="minorHAnsi" w:hAnsiTheme="minorHAnsi" w:cstheme="minorHAnsi"/>
                <w:color w:val="000000"/>
                <w:sz w:val="20"/>
                <w:szCs w:val="20"/>
              </w:rPr>
              <w:t>1</w:t>
            </w:r>
            <w:r w:rsidR="00C65923" w:rsidRPr="006D4208">
              <w:rPr>
                <w:rFonts w:asciiTheme="minorHAnsi" w:hAnsiTheme="minorHAnsi" w:cstheme="minorHAnsi"/>
                <w:color w:val="000000"/>
                <w:sz w:val="20"/>
                <w:szCs w:val="20"/>
              </w:rPr>
              <w:t>4.7</w:t>
            </w:r>
          </w:p>
        </w:tc>
      </w:tr>
      <w:tr w:rsidR="00F97F16" w:rsidRPr="00B97C61" w14:paraId="352E7504" w14:textId="2F5A4CF5" w:rsidTr="00327F5E">
        <w:trPr>
          <w:trHeight w:val="288"/>
        </w:trPr>
        <w:tc>
          <w:tcPr>
            <w:tcW w:w="2696" w:type="pct"/>
            <w:tcBorders>
              <w:left w:val="nil"/>
              <w:right w:val="nil"/>
            </w:tcBorders>
            <w:shd w:val="clear" w:color="auto" w:fill="auto"/>
            <w:noWrap/>
            <w:vAlign w:val="bottom"/>
            <w:hideMark/>
          </w:tcPr>
          <w:p w14:paraId="13D08BD3" w14:textId="77777777" w:rsidR="00F66E71" w:rsidRPr="00B97C61" w:rsidRDefault="00F66E71" w:rsidP="005D59FA">
            <w:pPr>
              <w:rPr>
                <w:rFonts w:asciiTheme="minorHAnsi" w:hAnsiTheme="minorHAnsi" w:cstheme="minorHAnsi"/>
                <w:b/>
                <w:bCs/>
                <w:color w:val="000000"/>
                <w:sz w:val="20"/>
                <w:szCs w:val="20"/>
              </w:rPr>
            </w:pPr>
            <w:r w:rsidRPr="00B97C61">
              <w:rPr>
                <w:rFonts w:asciiTheme="minorHAnsi" w:hAnsiTheme="minorHAnsi" w:cstheme="minorHAnsi"/>
                <w:b/>
                <w:bCs/>
                <w:color w:val="000000"/>
                <w:sz w:val="20"/>
                <w:szCs w:val="20"/>
              </w:rPr>
              <w:t>Total allowance account</w:t>
            </w:r>
          </w:p>
        </w:tc>
        <w:tc>
          <w:tcPr>
            <w:tcW w:w="135" w:type="pct"/>
            <w:tcBorders>
              <w:left w:val="nil"/>
              <w:right w:val="nil"/>
            </w:tcBorders>
            <w:shd w:val="clear" w:color="auto" w:fill="auto"/>
            <w:noWrap/>
            <w:vAlign w:val="bottom"/>
          </w:tcPr>
          <w:p w14:paraId="4290D8C5" w14:textId="77777777" w:rsidR="00F66E71" w:rsidRPr="00B97C61" w:rsidRDefault="00F66E71" w:rsidP="005D59FA">
            <w:pPr>
              <w:rPr>
                <w:rFonts w:asciiTheme="minorHAnsi" w:hAnsiTheme="minorHAnsi" w:cstheme="minorHAnsi"/>
                <w:b/>
                <w:bCs/>
                <w:color w:val="000000"/>
                <w:sz w:val="20"/>
                <w:szCs w:val="20"/>
              </w:rPr>
            </w:pPr>
          </w:p>
        </w:tc>
        <w:tc>
          <w:tcPr>
            <w:tcW w:w="135" w:type="pct"/>
            <w:tcBorders>
              <w:left w:val="nil"/>
              <w:right w:val="nil"/>
            </w:tcBorders>
            <w:shd w:val="clear" w:color="auto" w:fill="auto"/>
            <w:noWrap/>
            <w:vAlign w:val="bottom"/>
            <w:hideMark/>
          </w:tcPr>
          <w:p w14:paraId="49D8E378" w14:textId="77777777" w:rsidR="00F66E71" w:rsidRPr="00B97C61" w:rsidRDefault="00F66E71" w:rsidP="005D59FA">
            <w:pPr>
              <w:rPr>
                <w:rFonts w:asciiTheme="minorHAnsi" w:hAnsiTheme="minorHAnsi" w:cstheme="minorHAnsi"/>
                <w:b/>
                <w:bCs/>
                <w:color w:val="000000"/>
                <w:sz w:val="20"/>
                <w:szCs w:val="20"/>
              </w:rPr>
            </w:pPr>
            <w:r w:rsidRPr="00B97C61">
              <w:rPr>
                <w:rFonts w:asciiTheme="minorHAnsi" w:hAnsiTheme="minorHAnsi" w:cstheme="minorHAnsi"/>
                <w:b/>
                <w:bCs/>
                <w:color w:val="000000"/>
                <w:sz w:val="20"/>
                <w:szCs w:val="20"/>
              </w:rPr>
              <w:t> </w:t>
            </w:r>
          </w:p>
        </w:tc>
        <w:tc>
          <w:tcPr>
            <w:tcW w:w="135" w:type="pct"/>
            <w:tcBorders>
              <w:left w:val="nil"/>
              <w:right w:val="nil"/>
            </w:tcBorders>
            <w:shd w:val="clear" w:color="auto" w:fill="auto"/>
            <w:noWrap/>
            <w:vAlign w:val="bottom"/>
            <w:hideMark/>
          </w:tcPr>
          <w:p w14:paraId="209B4DA2" w14:textId="77777777" w:rsidR="00F66E71" w:rsidRPr="00B97C61" w:rsidRDefault="00F66E71" w:rsidP="005D59FA">
            <w:pPr>
              <w:rPr>
                <w:rFonts w:asciiTheme="minorHAnsi" w:hAnsiTheme="minorHAnsi" w:cstheme="minorHAnsi"/>
                <w:b/>
                <w:bCs/>
                <w:color w:val="000000"/>
                <w:sz w:val="20"/>
                <w:szCs w:val="20"/>
              </w:rPr>
            </w:pPr>
            <w:r w:rsidRPr="00B97C61">
              <w:rPr>
                <w:rFonts w:asciiTheme="minorHAnsi" w:hAnsiTheme="minorHAnsi" w:cstheme="minorHAnsi"/>
                <w:b/>
                <w:bCs/>
                <w:color w:val="000000"/>
                <w:sz w:val="20"/>
                <w:szCs w:val="20"/>
              </w:rPr>
              <w:t> </w:t>
            </w:r>
          </w:p>
        </w:tc>
        <w:tc>
          <w:tcPr>
            <w:tcW w:w="579" w:type="pct"/>
            <w:tcBorders>
              <w:top w:val="single" w:sz="4" w:space="0" w:color="auto"/>
              <w:left w:val="nil"/>
              <w:bottom w:val="single" w:sz="8" w:space="0" w:color="auto"/>
              <w:right w:val="nil"/>
            </w:tcBorders>
            <w:shd w:val="clear" w:color="auto" w:fill="F2F2F2" w:themeFill="background1" w:themeFillShade="F2"/>
            <w:noWrap/>
            <w:vAlign w:val="bottom"/>
          </w:tcPr>
          <w:p w14:paraId="00FE0DEE" w14:textId="0C768DD5" w:rsidR="00F66E71" w:rsidRPr="000F589C" w:rsidRDefault="000F589C" w:rsidP="005D59FA">
            <w:pPr>
              <w:jc w:val="right"/>
              <w:rPr>
                <w:rFonts w:asciiTheme="minorHAnsi" w:hAnsiTheme="minorHAnsi" w:cstheme="minorHAnsi"/>
                <w:b/>
                <w:color w:val="000000"/>
                <w:sz w:val="20"/>
                <w:szCs w:val="20"/>
              </w:rPr>
            </w:pPr>
            <w:r w:rsidRPr="000F589C">
              <w:rPr>
                <w:rFonts w:asciiTheme="minorHAnsi" w:hAnsiTheme="minorHAnsi" w:cstheme="minorHAnsi"/>
                <w:b/>
                <w:color w:val="000000"/>
                <w:sz w:val="20"/>
                <w:szCs w:val="20"/>
              </w:rPr>
              <w:t>182.4</w:t>
            </w:r>
          </w:p>
        </w:tc>
        <w:tc>
          <w:tcPr>
            <w:tcW w:w="733" w:type="pct"/>
            <w:tcBorders>
              <w:top w:val="single" w:sz="4" w:space="0" w:color="auto"/>
              <w:left w:val="nil"/>
              <w:bottom w:val="single" w:sz="8" w:space="0" w:color="auto"/>
              <w:right w:val="nil"/>
            </w:tcBorders>
            <w:vAlign w:val="bottom"/>
          </w:tcPr>
          <w:p w14:paraId="72625E5B" w14:textId="60B26308" w:rsidR="00951920" w:rsidRPr="006D4208" w:rsidRDefault="00951920" w:rsidP="00951920">
            <w:pPr>
              <w:jc w:val="right"/>
              <w:rPr>
                <w:rFonts w:asciiTheme="minorHAnsi" w:hAnsiTheme="minorHAnsi" w:cstheme="minorHAnsi"/>
                <w:color w:val="000000"/>
                <w:sz w:val="20"/>
                <w:szCs w:val="20"/>
              </w:rPr>
            </w:pPr>
            <w:r w:rsidRPr="006D4208">
              <w:rPr>
                <w:rFonts w:asciiTheme="minorHAnsi" w:hAnsiTheme="minorHAnsi" w:cstheme="minorHAnsi"/>
                <w:color w:val="000000"/>
                <w:sz w:val="20"/>
                <w:szCs w:val="20"/>
              </w:rPr>
              <w:t>198.7</w:t>
            </w:r>
          </w:p>
        </w:tc>
        <w:tc>
          <w:tcPr>
            <w:tcW w:w="587" w:type="pct"/>
            <w:tcBorders>
              <w:top w:val="single" w:sz="4" w:space="0" w:color="auto"/>
              <w:left w:val="nil"/>
              <w:bottom w:val="single" w:sz="8" w:space="0" w:color="auto"/>
              <w:right w:val="nil"/>
            </w:tcBorders>
            <w:shd w:val="clear" w:color="auto" w:fill="auto"/>
            <w:noWrap/>
            <w:vAlign w:val="bottom"/>
            <w:hideMark/>
          </w:tcPr>
          <w:p w14:paraId="2D692147" w14:textId="5366F6DE" w:rsidR="00F66E71" w:rsidRPr="006D4208" w:rsidRDefault="00F66E71" w:rsidP="005D59FA">
            <w:pPr>
              <w:jc w:val="right"/>
              <w:rPr>
                <w:rFonts w:asciiTheme="minorHAnsi" w:hAnsiTheme="minorHAnsi" w:cstheme="minorHAnsi"/>
                <w:color w:val="000000"/>
                <w:sz w:val="20"/>
                <w:szCs w:val="20"/>
              </w:rPr>
            </w:pPr>
            <w:r w:rsidRPr="006D4208">
              <w:rPr>
                <w:rFonts w:asciiTheme="minorHAnsi" w:hAnsiTheme="minorHAnsi" w:cstheme="minorHAnsi"/>
                <w:color w:val="000000"/>
                <w:sz w:val="20"/>
                <w:szCs w:val="20"/>
              </w:rPr>
              <w:t>2</w:t>
            </w:r>
            <w:r w:rsidR="00C65923" w:rsidRPr="006D4208">
              <w:rPr>
                <w:rFonts w:asciiTheme="minorHAnsi" w:hAnsiTheme="minorHAnsi" w:cstheme="minorHAnsi"/>
                <w:color w:val="000000"/>
                <w:sz w:val="20"/>
                <w:szCs w:val="20"/>
              </w:rPr>
              <w:t>16.2</w:t>
            </w:r>
          </w:p>
        </w:tc>
      </w:tr>
      <w:tr w:rsidR="00C4058F" w:rsidRPr="00B97C61" w14:paraId="2113D5C9" w14:textId="6A8A278D" w:rsidTr="00327F5E">
        <w:trPr>
          <w:trHeight w:val="288"/>
        </w:trPr>
        <w:tc>
          <w:tcPr>
            <w:tcW w:w="2696" w:type="pct"/>
            <w:tcBorders>
              <w:top w:val="nil"/>
              <w:left w:val="nil"/>
              <w:right w:val="nil"/>
            </w:tcBorders>
            <w:shd w:val="clear" w:color="auto" w:fill="auto"/>
            <w:noWrap/>
            <w:vAlign w:val="bottom"/>
            <w:hideMark/>
          </w:tcPr>
          <w:p w14:paraId="524BDFB9" w14:textId="77777777" w:rsidR="00F66E71" w:rsidRPr="00B97C61" w:rsidRDefault="00F66E71" w:rsidP="005D59FA">
            <w:pPr>
              <w:jc w:val="right"/>
              <w:rPr>
                <w:rFonts w:asciiTheme="minorHAnsi" w:hAnsiTheme="minorHAnsi" w:cstheme="minorHAnsi"/>
                <w:color w:val="000000"/>
                <w:sz w:val="20"/>
                <w:szCs w:val="20"/>
              </w:rPr>
            </w:pPr>
          </w:p>
        </w:tc>
        <w:tc>
          <w:tcPr>
            <w:tcW w:w="135" w:type="pct"/>
            <w:tcBorders>
              <w:top w:val="nil"/>
              <w:left w:val="nil"/>
              <w:right w:val="nil"/>
            </w:tcBorders>
            <w:shd w:val="clear" w:color="auto" w:fill="auto"/>
            <w:noWrap/>
            <w:vAlign w:val="bottom"/>
            <w:hideMark/>
          </w:tcPr>
          <w:p w14:paraId="43D2A66B" w14:textId="77777777" w:rsidR="00F66E71" w:rsidRPr="00B97C61" w:rsidRDefault="00F66E71" w:rsidP="005D59FA">
            <w:pPr>
              <w:rPr>
                <w:rFonts w:asciiTheme="minorHAnsi" w:hAnsiTheme="minorHAnsi" w:cstheme="minorHAnsi"/>
                <w:sz w:val="20"/>
                <w:szCs w:val="20"/>
              </w:rPr>
            </w:pPr>
          </w:p>
        </w:tc>
        <w:tc>
          <w:tcPr>
            <w:tcW w:w="135" w:type="pct"/>
            <w:tcBorders>
              <w:top w:val="nil"/>
              <w:left w:val="nil"/>
              <w:right w:val="nil"/>
            </w:tcBorders>
            <w:shd w:val="clear" w:color="auto" w:fill="auto"/>
            <w:noWrap/>
            <w:vAlign w:val="bottom"/>
            <w:hideMark/>
          </w:tcPr>
          <w:p w14:paraId="03472FBD" w14:textId="77777777" w:rsidR="00F66E71" w:rsidRPr="00B97C61" w:rsidRDefault="00F66E71" w:rsidP="005D59FA">
            <w:pPr>
              <w:rPr>
                <w:rFonts w:asciiTheme="minorHAnsi" w:hAnsiTheme="minorHAnsi" w:cstheme="minorHAnsi"/>
                <w:sz w:val="20"/>
                <w:szCs w:val="20"/>
              </w:rPr>
            </w:pPr>
          </w:p>
        </w:tc>
        <w:tc>
          <w:tcPr>
            <w:tcW w:w="135" w:type="pct"/>
            <w:tcBorders>
              <w:top w:val="nil"/>
              <w:left w:val="nil"/>
              <w:right w:val="nil"/>
            </w:tcBorders>
            <w:shd w:val="clear" w:color="auto" w:fill="auto"/>
            <w:noWrap/>
            <w:vAlign w:val="bottom"/>
            <w:hideMark/>
          </w:tcPr>
          <w:p w14:paraId="5CFF2978" w14:textId="77777777" w:rsidR="00F66E71" w:rsidRPr="00B97C61" w:rsidRDefault="00F66E71" w:rsidP="005D59FA">
            <w:pPr>
              <w:rPr>
                <w:rFonts w:asciiTheme="minorHAnsi" w:hAnsiTheme="minorHAnsi" w:cstheme="minorHAnsi"/>
                <w:sz w:val="20"/>
                <w:szCs w:val="20"/>
              </w:rPr>
            </w:pPr>
          </w:p>
        </w:tc>
        <w:tc>
          <w:tcPr>
            <w:tcW w:w="579" w:type="pct"/>
            <w:tcBorders>
              <w:top w:val="single" w:sz="8" w:space="0" w:color="auto"/>
              <w:left w:val="nil"/>
              <w:bottom w:val="nil"/>
              <w:right w:val="nil"/>
            </w:tcBorders>
            <w:shd w:val="clear" w:color="auto" w:fill="auto"/>
            <w:noWrap/>
            <w:vAlign w:val="bottom"/>
            <w:hideMark/>
          </w:tcPr>
          <w:p w14:paraId="43E6C932" w14:textId="77777777" w:rsidR="00F66E71" w:rsidRPr="00F66E71" w:rsidRDefault="00F66E71" w:rsidP="005D59FA">
            <w:pPr>
              <w:rPr>
                <w:rFonts w:asciiTheme="minorHAnsi" w:hAnsiTheme="minorHAnsi" w:cstheme="minorHAnsi"/>
                <w:sz w:val="20"/>
                <w:szCs w:val="20"/>
                <w:highlight w:val="yellow"/>
              </w:rPr>
            </w:pPr>
          </w:p>
        </w:tc>
        <w:tc>
          <w:tcPr>
            <w:tcW w:w="733" w:type="pct"/>
            <w:tcBorders>
              <w:top w:val="single" w:sz="8" w:space="0" w:color="auto"/>
              <w:left w:val="nil"/>
              <w:bottom w:val="nil"/>
              <w:right w:val="nil"/>
            </w:tcBorders>
            <w:vAlign w:val="bottom"/>
          </w:tcPr>
          <w:p w14:paraId="5289FBE7" w14:textId="77777777" w:rsidR="00951920" w:rsidRPr="006D4208" w:rsidRDefault="00951920" w:rsidP="00951920">
            <w:pPr>
              <w:rPr>
                <w:rFonts w:asciiTheme="minorHAnsi" w:hAnsiTheme="minorHAnsi" w:cstheme="minorHAnsi"/>
                <w:sz w:val="20"/>
                <w:szCs w:val="20"/>
              </w:rPr>
            </w:pPr>
          </w:p>
        </w:tc>
        <w:tc>
          <w:tcPr>
            <w:tcW w:w="587" w:type="pct"/>
            <w:tcBorders>
              <w:top w:val="single" w:sz="8" w:space="0" w:color="auto"/>
              <w:left w:val="nil"/>
              <w:bottom w:val="nil"/>
              <w:right w:val="nil"/>
            </w:tcBorders>
            <w:shd w:val="clear" w:color="auto" w:fill="auto"/>
            <w:noWrap/>
            <w:vAlign w:val="bottom"/>
            <w:hideMark/>
          </w:tcPr>
          <w:p w14:paraId="07C16387" w14:textId="77777777" w:rsidR="00F66E71" w:rsidRPr="006D4208" w:rsidRDefault="00F66E71" w:rsidP="005D59FA">
            <w:pPr>
              <w:rPr>
                <w:rFonts w:asciiTheme="minorHAnsi" w:hAnsiTheme="minorHAnsi" w:cstheme="minorHAnsi"/>
                <w:sz w:val="20"/>
                <w:szCs w:val="20"/>
              </w:rPr>
            </w:pPr>
          </w:p>
        </w:tc>
      </w:tr>
      <w:tr w:rsidR="00C4058F" w:rsidRPr="004C69D5" w14:paraId="468C0CAC" w14:textId="2E79BE4F" w:rsidTr="00327F5E">
        <w:trPr>
          <w:trHeight w:val="288"/>
        </w:trPr>
        <w:tc>
          <w:tcPr>
            <w:tcW w:w="2696" w:type="pct"/>
            <w:tcBorders>
              <w:top w:val="nil"/>
              <w:left w:val="nil"/>
              <w:right w:val="nil"/>
            </w:tcBorders>
            <w:shd w:val="clear" w:color="auto" w:fill="auto"/>
            <w:noWrap/>
            <w:vAlign w:val="bottom"/>
            <w:hideMark/>
          </w:tcPr>
          <w:p w14:paraId="10FD4C26" w14:textId="77777777" w:rsidR="00F66E71" w:rsidRPr="00B97C61" w:rsidRDefault="00F66E71" w:rsidP="005D59FA">
            <w:pPr>
              <w:rPr>
                <w:rFonts w:asciiTheme="minorHAnsi" w:hAnsiTheme="minorHAnsi" w:cstheme="minorHAnsi"/>
                <w:b/>
                <w:color w:val="000000"/>
                <w:sz w:val="20"/>
                <w:szCs w:val="20"/>
              </w:rPr>
            </w:pPr>
          </w:p>
        </w:tc>
        <w:tc>
          <w:tcPr>
            <w:tcW w:w="135" w:type="pct"/>
            <w:tcBorders>
              <w:top w:val="nil"/>
              <w:left w:val="nil"/>
              <w:right w:val="nil"/>
            </w:tcBorders>
            <w:shd w:val="clear" w:color="auto" w:fill="auto"/>
            <w:noWrap/>
            <w:vAlign w:val="bottom"/>
            <w:hideMark/>
          </w:tcPr>
          <w:p w14:paraId="605F1642" w14:textId="77777777" w:rsidR="00F66E71" w:rsidRPr="00B97C61" w:rsidRDefault="00F66E71" w:rsidP="005D59FA">
            <w:pPr>
              <w:rPr>
                <w:rFonts w:asciiTheme="minorHAnsi" w:hAnsiTheme="minorHAnsi" w:cstheme="minorHAnsi"/>
                <w:color w:val="000000"/>
                <w:sz w:val="20"/>
                <w:szCs w:val="20"/>
              </w:rPr>
            </w:pPr>
            <w:r w:rsidRPr="00B97C61">
              <w:rPr>
                <w:rFonts w:asciiTheme="minorHAnsi" w:hAnsiTheme="minorHAnsi" w:cstheme="minorHAnsi"/>
                <w:color w:val="000000"/>
                <w:sz w:val="20"/>
                <w:szCs w:val="20"/>
              </w:rPr>
              <w:t> </w:t>
            </w:r>
          </w:p>
        </w:tc>
        <w:tc>
          <w:tcPr>
            <w:tcW w:w="135" w:type="pct"/>
            <w:tcBorders>
              <w:top w:val="nil"/>
              <w:left w:val="nil"/>
              <w:right w:val="nil"/>
            </w:tcBorders>
            <w:shd w:val="clear" w:color="auto" w:fill="auto"/>
            <w:noWrap/>
            <w:vAlign w:val="bottom"/>
            <w:hideMark/>
          </w:tcPr>
          <w:p w14:paraId="3AE5D49E" w14:textId="77777777" w:rsidR="00F66E71" w:rsidRPr="00B97C61" w:rsidRDefault="00F66E71" w:rsidP="005D59FA">
            <w:pPr>
              <w:rPr>
                <w:rFonts w:asciiTheme="minorHAnsi" w:hAnsiTheme="minorHAnsi" w:cstheme="minorHAnsi"/>
                <w:color w:val="000000"/>
                <w:sz w:val="20"/>
                <w:szCs w:val="20"/>
              </w:rPr>
            </w:pPr>
            <w:r w:rsidRPr="00B97C61">
              <w:rPr>
                <w:rFonts w:asciiTheme="minorHAnsi" w:hAnsiTheme="minorHAnsi" w:cstheme="minorHAnsi"/>
                <w:color w:val="000000"/>
                <w:sz w:val="20"/>
                <w:szCs w:val="20"/>
              </w:rPr>
              <w:t> </w:t>
            </w:r>
          </w:p>
        </w:tc>
        <w:tc>
          <w:tcPr>
            <w:tcW w:w="135" w:type="pct"/>
            <w:tcBorders>
              <w:top w:val="nil"/>
              <w:left w:val="nil"/>
              <w:right w:val="nil"/>
            </w:tcBorders>
            <w:shd w:val="clear" w:color="auto" w:fill="auto"/>
            <w:noWrap/>
            <w:vAlign w:val="bottom"/>
            <w:hideMark/>
          </w:tcPr>
          <w:p w14:paraId="1E1A87CB" w14:textId="77777777" w:rsidR="00F66E71" w:rsidRPr="00B97C61" w:rsidRDefault="00F66E71" w:rsidP="005D59FA">
            <w:pPr>
              <w:rPr>
                <w:rFonts w:asciiTheme="minorHAnsi" w:hAnsiTheme="minorHAnsi" w:cstheme="minorHAnsi"/>
                <w:color w:val="000000"/>
                <w:sz w:val="20"/>
                <w:szCs w:val="20"/>
              </w:rPr>
            </w:pPr>
            <w:r w:rsidRPr="00B97C61">
              <w:rPr>
                <w:rFonts w:asciiTheme="minorHAnsi" w:hAnsiTheme="minorHAnsi" w:cstheme="minorHAnsi"/>
                <w:color w:val="000000"/>
                <w:sz w:val="20"/>
                <w:szCs w:val="20"/>
              </w:rPr>
              <w:t> </w:t>
            </w:r>
          </w:p>
        </w:tc>
        <w:tc>
          <w:tcPr>
            <w:tcW w:w="579" w:type="pct"/>
            <w:tcBorders>
              <w:top w:val="nil"/>
              <w:left w:val="nil"/>
              <w:bottom w:val="single" w:sz="4" w:space="0" w:color="auto"/>
              <w:right w:val="nil"/>
            </w:tcBorders>
            <w:shd w:val="clear" w:color="auto" w:fill="auto"/>
            <w:noWrap/>
            <w:vAlign w:val="bottom"/>
            <w:hideMark/>
          </w:tcPr>
          <w:p w14:paraId="7AD83AC7" w14:textId="1E54C27A" w:rsidR="00F66E71" w:rsidRPr="00512540" w:rsidRDefault="005B798E" w:rsidP="005D59FA">
            <w:pPr>
              <w:jc w:val="right"/>
              <w:rPr>
                <w:rFonts w:asciiTheme="minorHAnsi" w:hAnsiTheme="minorHAnsi" w:cstheme="minorHAnsi"/>
                <w:b/>
                <w:color w:val="000000"/>
                <w:sz w:val="20"/>
                <w:szCs w:val="20"/>
              </w:rPr>
            </w:pPr>
            <w:r>
              <w:rPr>
                <w:rFonts w:asciiTheme="minorHAnsi" w:hAnsiTheme="minorHAnsi" w:cstheme="minorHAnsi"/>
                <w:b/>
                <w:color w:val="000000"/>
                <w:sz w:val="20"/>
                <w:szCs w:val="20"/>
              </w:rPr>
              <w:t xml:space="preserve">30 June </w:t>
            </w:r>
            <w:r w:rsidR="00F66E71" w:rsidRPr="00512540">
              <w:rPr>
                <w:rFonts w:asciiTheme="minorHAnsi" w:hAnsiTheme="minorHAnsi" w:cstheme="minorHAnsi"/>
                <w:b/>
                <w:color w:val="000000"/>
                <w:sz w:val="20"/>
                <w:szCs w:val="20"/>
              </w:rPr>
              <w:t>202</w:t>
            </w:r>
            <w:r w:rsidR="00F57A75" w:rsidRPr="00512540">
              <w:rPr>
                <w:rFonts w:asciiTheme="minorHAnsi" w:hAnsiTheme="minorHAnsi" w:cstheme="minorHAnsi"/>
                <w:b/>
                <w:color w:val="000000"/>
                <w:sz w:val="20"/>
                <w:szCs w:val="20"/>
              </w:rPr>
              <w:t>4</w:t>
            </w:r>
          </w:p>
          <w:p w14:paraId="5453E1CC" w14:textId="77777777" w:rsidR="00F66E71" w:rsidRPr="00512540" w:rsidRDefault="00F66E71" w:rsidP="005D59FA">
            <w:pPr>
              <w:jc w:val="right"/>
              <w:rPr>
                <w:rFonts w:asciiTheme="minorHAnsi" w:hAnsiTheme="minorHAnsi" w:cstheme="minorHAnsi"/>
                <w:b/>
                <w:color w:val="000000"/>
                <w:sz w:val="20"/>
                <w:szCs w:val="20"/>
              </w:rPr>
            </w:pPr>
            <w:r w:rsidRPr="00512540">
              <w:rPr>
                <w:rFonts w:asciiTheme="minorHAnsi" w:hAnsiTheme="minorHAnsi" w:cs="Arial"/>
                <w:b/>
                <w:sz w:val="20"/>
                <w:szCs w:val="20"/>
              </w:rPr>
              <w:t>£m </w:t>
            </w:r>
          </w:p>
        </w:tc>
        <w:tc>
          <w:tcPr>
            <w:tcW w:w="733" w:type="pct"/>
            <w:tcBorders>
              <w:top w:val="nil"/>
              <w:left w:val="nil"/>
              <w:bottom w:val="single" w:sz="4" w:space="0" w:color="auto"/>
              <w:right w:val="nil"/>
            </w:tcBorders>
            <w:vAlign w:val="bottom"/>
          </w:tcPr>
          <w:p w14:paraId="368E0FE2" w14:textId="77777777" w:rsidR="00951920" w:rsidRPr="00697F60" w:rsidRDefault="00951920" w:rsidP="00951920">
            <w:pPr>
              <w:jc w:val="right"/>
              <w:rPr>
                <w:rFonts w:asciiTheme="minorHAnsi" w:hAnsiTheme="minorHAnsi" w:cstheme="minorHAnsi"/>
                <w:color w:val="000000"/>
                <w:sz w:val="20"/>
                <w:szCs w:val="20"/>
              </w:rPr>
            </w:pPr>
            <w:r>
              <w:rPr>
                <w:rFonts w:asciiTheme="minorHAnsi" w:hAnsiTheme="minorHAnsi" w:cstheme="minorHAnsi"/>
                <w:color w:val="000000"/>
                <w:sz w:val="20"/>
                <w:szCs w:val="20"/>
              </w:rPr>
              <w:t xml:space="preserve">31 December </w:t>
            </w:r>
            <w:r w:rsidRPr="00697F60">
              <w:rPr>
                <w:rFonts w:asciiTheme="minorHAnsi" w:hAnsiTheme="minorHAnsi" w:cstheme="minorHAnsi"/>
                <w:color w:val="000000"/>
                <w:sz w:val="20"/>
                <w:szCs w:val="20"/>
              </w:rPr>
              <w:t>2023</w:t>
            </w:r>
          </w:p>
          <w:p w14:paraId="6A9972B7" w14:textId="0304331D" w:rsidR="00951920" w:rsidRDefault="00951920" w:rsidP="00951920">
            <w:pPr>
              <w:jc w:val="right"/>
              <w:rPr>
                <w:rFonts w:asciiTheme="minorHAnsi" w:hAnsiTheme="minorHAnsi" w:cstheme="minorHAnsi"/>
                <w:color w:val="000000"/>
                <w:sz w:val="20"/>
                <w:szCs w:val="20"/>
              </w:rPr>
            </w:pPr>
            <w:r w:rsidRPr="00697F60">
              <w:rPr>
                <w:rFonts w:asciiTheme="minorHAnsi" w:hAnsiTheme="minorHAnsi" w:cs="Arial"/>
                <w:sz w:val="20"/>
                <w:szCs w:val="20"/>
              </w:rPr>
              <w:t>£m </w:t>
            </w:r>
          </w:p>
        </w:tc>
        <w:tc>
          <w:tcPr>
            <w:tcW w:w="587" w:type="pct"/>
            <w:tcBorders>
              <w:top w:val="nil"/>
              <w:left w:val="nil"/>
              <w:bottom w:val="single" w:sz="4" w:space="0" w:color="auto"/>
              <w:right w:val="nil"/>
            </w:tcBorders>
            <w:shd w:val="clear" w:color="auto" w:fill="auto"/>
            <w:noWrap/>
            <w:vAlign w:val="bottom"/>
            <w:hideMark/>
          </w:tcPr>
          <w:p w14:paraId="310A328A" w14:textId="3BA2F8CA" w:rsidR="00F66E71" w:rsidRPr="00697F60" w:rsidRDefault="00697F60" w:rsidP="005D59FA">
            <w:pPr>
              <w:jc w:val="right"/>
              <w:rPr>
                <w:rFonts w:asciiTheme="minorHAnsi" w:hAnsiTheme="minorHAnsi" w:cstheme="minorHAnsi"/>
                <w:color w:val="000000"/>
                <w:sz w:val="20"/>
                <w:szCs w:val="20"/>
              </w:rPr>
            </w:pPr>
            <w:r>
              <w:rPr>
                <w:rFonts w:asciiTheme="minorHAnsi" w:hAnsiTheme="minorHAnsi" w:cstheme="minorHAnsi"/>
                <w:color w:val="000000"/>
                <w:sz w:val="20"/>
                <w:szCs w:val="20"/>
              </w:rPr>
              <w:t>30 June</w:t>
            </w:r>
            <w:r w:rsidR="00512540">
              <w:rPr>
                <w:rFonts w:asciiTheme="minorHAnsi" w:hAnsiTheme="minorHAnsi" w:cstheme="minorHAnsi"/>
                <w:color w:val="000000"/>
                <w:sz w:val="20"/>
                <w:szCs w:val="20"/>
              </w:rPr>
              <w:t xml:space="preserve"> </w:t>
            </w:r>
            <w:r w:rsidR="00F66E71" w:rsidRPr="00697F60">
              <w:rPr>
                <w:rFonts w:asciiTheme="minorHAnsi" w:hAnsiTheme="minorHAnsi" w:cstheme="minorHAnsi"/>
                <w:color w:val="000000"/>
                <w:sz w:val="20"/>
                <w:szCs w:val="20"/>
              </w:rPr>
              <w:t>202</w:t>
            </w:r>
            <w:r w:rsidR="00F57A75" w:rsidRPr="00697F60">
              <w:rPr>
                <w:rFonts w:asciiTheme="minorHAnsi" w:hAnsiTheme="minorHAnsi" w:cstheme="minorHAnsi"/>
                <w:color w:val="000000"/>
                <w:sz w:val="20"/>
                <w:szCs w:val="20"/>
              </w:rPr>
              <w:t>3</w:t>
            </w:r>
          </w:p>
          <w:p w14:paraId="6F41B365" w14:textId="77777777" w:rsidR="00F66E71" w:rsidRPr="00697F60" w:rsidRDefault="00F66E71" w:rsidP="005D59FA">
            <w:pPr>
              <w:jc w:val="right"/>
              <w:rPr>
                <w:rFonts w:asciiTheme="minorHAnsi" w:hAnsiTheme="minorHAnsi" w:cstheme="minorHAnsi"/>
                <w:color w:val="000000"/>
                <w:sz w:val="20"/>
                <w:szCs w:val="20"/>
              </w:rPr>
            </w:pPr>
            <w:r w:rsidRPr="00697F60">
              <w:rPr>
                <w:rFonts w:asciiTheme="minorHAnsi" w:hAnsiTheme="minorHAnsi" w:cs="Arial"/>
                <w:sz w:val="20"/>
                <w:szCs w:val="20"/>
              </w:rPr>
              <w:t>£m </w:t>
            </w:r>
          </w:p>
        </w:tc>
      </w:tr>
      <w:tr w:rsidR="00C4058F" w:rsidRPr="004C69D5" w14:paraId="285CE89D" w14:textId="32E5EF8E" w:rsidTr="00327F5E">
        <w:trPr>
          <w:trHeight w:val="288"/>
        </w:trPr>
        <w:tc>
          <w:tcPr>
            <w:tcW w:w="2696" w:type="pct"/>
            <w:tcBorders>
              <w:top w:val="nil"/>
              <w:left w:val="nil"/>
              <w:right w:val="nil"/>
            </w:tcBorders>
            <w:shd w:val="clear" w:color="auto" w:fill="auto"/>
            <w:noWrap/>
            <w:vAlign w:val="bottom"/>
            <w:hideMark/>
          </w:tcPr>
          <w:p w14:paraId="05CEFA61" w14:textId="77777777" w:rsidR="00F66E71" w:rsidRPr="00B97C61" w:rsidRDefault="00F66E71" w:rsidP="005D59FA">
            <w:pPr>
              <w:rPr>
                <w:rFonts w:asciiTheme="minorHAnsi" w:hAnsiTheme="minorHAnsi" w:cstheme="minorHAnsi"/>
                <w:b/>
                <w:bCs/>
                <w:color w:val="000000"/>
                <w:sz w:val="20"/>
                <w:szCs w:val="20"/>
              </w:rPr>
            </w:pPr>
            <w:r w:rsidRPr="00B97C61">
              <w:rPr>
                <w:rFonts w:asciiTheme="minorHAnsi" w:hAnsiTheme="minorHAnsi" w:cstheme="minorHAnsi"/>
                <w:b/>
                <w:bCs/>
                <w:color w:val="000000"/>
                <w:sz w:val="20"/>
                <w:szCs w:val="20"/>
              </w:rPr>
              <w:t>Post model (under)/overlays:</w:t>
            </w:r>
          </w:p>
        </w:tc>
        <w:tc>
          <w:tcPr>
            <w:tcW w:w="135" w:type="pct"/>
            <w:tcBorders>
              <w:top w:val="nil"/>
              <w:left w:val="nil"/>
              <w:right w:val="nil"/>
            </w:tcBorders>
            <w:shd w:val="clear" w:color="auto" w:fill="auto"/>
            <w:noWrap/>
            <w:vAlign w:val="bottom"/>
            <w:hideMark/>
          </w:tcPr>
          <w:p w14:paraId="7068112F" w14:textId="77777777" w:rsidR="00F66E71" w:rsidRPr="00B97C61" w:rsidRDefault="00F66E71" w:rsidP="005D59FA">
            <w:pPr>
              <w:rPr>
                <w:rFonts w:asciiTheme="minorHAnsi" w:hAnsiTheme="minorHAnsi" w:cstheme="minorHAnsi"/>
                <w:color w:val="000000"/>
                <w:sz w:val="20"/>
                <w:szCs w:val="20"/>
              </w:rPr>
            </w:pPr>
            <w:r w:rsidRPr="00B97C61">
              <w:rPr>
                <w:rFonts w:asciiTheme="minorHAnsi" w:hAnsiTheme="minorHAnsi" w:cstheme="minorHAnsi"/>
                <w:color w:val="000000"/>
                <w:sz w:val="20"/>
                <w:szCs w:val="20"/>
              </w:rPr>
              <w:t> </w:t>
            </w:r>
          </w:p>
        </w:tc>
        <w:tc>
          <w:tcPr>
            <w:tcW w:w="135" w:type="pct"/>
            <w:tcBorders>
              <w:top w:val="nil"/>
              <w:left w:val="nil"/>
              <w:right w:val="nil"/>
            </w:tcBorders>
            <w:shd w:val="clear" w:color="auto" w:fill="auto"/>
            <w:noWrap/>
            <w:vAlign w:val="bottom"/>
            <w:hideMark/>
          </w:tcPr>
          <w:p w14:paraId="63682FE2" w14:textId="77777777" w:rsidR="00F66E71" w:rsidRPr="00B97C61" w:rsidRDefault="00F66E71" w:rsidP="005D59FA">
            <w:pPr>
              <w:rPr>
                <w:rFonts w:asciiTheme="minorHAnsi" w:hAnsiTheme="minorHAnsi" w:cstheme="minorHAnsi"/>
                <w:color w:val="000000"/>
                <w:sz w:val="20"/>
                <w:szCs w:val="20"/>
              </w:rPr>
            </w:pPr>
            <w:r w:rsidRPr="00B97C61">
              <w:rPr>
                <w:rFonts w:asciiTheme="minorHAnsi" w:hAnsiTheme="minorHAnsi" w:cstheme="minorHAnsi"/>
                <w:color w:val="000000"/>
                <w:sz w:val="20"/>
                <w:szCs w:val="20"/>
              </w:rPr>
              <w:t> </w:t>
            </w:r>
          </w:p>
        </w:tc>
        <w:tc>
          <w:tcPr>
            <w:tcW w:w="135" w:type="pct"/>
            <w:tcBorders>
              <w:top w:val="nil"/>
              <w:left w:val="nil"/>
              <w:right w:val="nil"/>
            </w:tcBorders>
            <w:shd w:val="clear" w:color="auto" w:fill="auto"/>
            <w:noWrap/>
            <w:vAlign w:val="bottom"/>
            <w:hideMark/>
          </w:tcPr>
          <w:p w14:paraId="2F01DC07" w14:textId="77777777" w:rsidR="00F66E71" w:rsidRPr="00B97C61" w:rsidRDefault="00F66E71" w:rsidP="005D59FA">
            <w:pPr>
              <w:rPr>
                <w:rFonts w:asciiTheme="minorHAnsi" w:hAnsiTheme="minorHAnsi" w:cstheme="minorHAnsi"/>
                <w:color w:val="000000"/>
                <w:sz w:val="20"/>
                <w:szCs w:val="20"/>
              </w:rPr>
            </w:pPr>
            <w:r w:rsidRPr="00B97C61">
              <w:rPr>
                <w:rFonts w:asciiTheme="minorHAnsi" w:hAnsiTheme="minorHAnsi" w:cstheme="minorHAnsi"/>
                <w:color w:val="000000"/>
                <w:sz w:val="20"/>
                <w:szCs w:val="20"/>
              </w:rPr>
              <w:t> </w:t>
            </w:r>
          </w:p>
        </w:tc>
        <w:tc>
          <w:tcPr>
            <w:tcW w:w="579" w:type="pct"/>
            <w:tcBorders>
              <w:top w:val="nil"/>
              <w:left w:val="nil"/>
              <w:right w:val="nil"/>
            </w:tcBorders>
            <w:shd w:val="clear" w:color="auto" w:fill="F2F2F2" w:themeFill="background1" w:themeFillShade="F2"/>
            <w:noWrap/>
            <w:vAlign w:val="bottom"/>
            <w:hideMark/>
          </w:tcPr>
          <w:p w14:paraId="7562B3BC" w14:textId="77777777" w:rsidR="00F66E71" w:rsidRPr="000F589C" w:rsidRDefault="00F66E71" w:rsidP="005D59FA">
            <w:pPr>
              <w:jc w:val="right"/>
              <w:rPr>
                <w:rFonts w:asciiTheme="minorHAnsi" w:hAnsiTheme="minorHAnsi" w:cstheme="minorHAnsi"/>
                <w:b/>
                <w:color w:val="000000"/>
                <w:sz w:val="20"/>
                <w:szCs w:val="20"/>
              </w:rPr>
            </w:pPr>
            <w:r w:rsidRPr="000F589C">
              <w:rPr>
                <w:rFonts w:asciiTheme="minorHAnsi" w:hAnsiTheme="minorHAnsi" w:cstheme="minorHAnsi"/>
                <w:b/>
                <w:color w:val="000000"/>
                <w:sz w:val="20"/>
                <w:szCs w:val="20"/>
              </w:rPr>
              <w:t> </w:t>
            </w:r>
          </w:p>
        </w:tc>
        <w:tc>
          <w:tcPr>
            <w:tcW w:w="733" w:type="pct"/>
            <w:tcBorders>
              <w:top w:val="nil"/>
              <w:left w:val="nil"/>
              <w:right w:val="nil"/>
            </w:tcBorders>
            <w:vAlign w:val="bottom"/>
          </w:tcPr>
          <w:p w14:paraId="65BFB05F" w14:textId="53298320" w:rsidR="00951920" w:rsidRPr="006D4208" w:rsidRDefault="00951920" w:rsidP="00951920">
            <w:pPr>
              <w:jc w:val="right"/>
              <w:rPr>
                <w:rFonts w:asciiTheme="minorHAnsi" w:hAnsiTheme="minorHAnsi" w:cstheme="minorHAnsi"/>
                <w:color w:val="000000"/>
                <w:sz w:val="20"/>
                <w:szCs w:val="20"/>
              </w:rPr>
            </w:pPr>
            <w:r w:rsidRPr="006D4208">
              <w:rPr>
                <w:rFonts w:asciiTheme="minorHAnsi" w:hAnsiTheme="minorHAnsi" w:cstheme="minorHAnsi"/>
                <w:color w:val="000000"/>
                <w:sz w:val="20"/>
                <w:szCs w:val="20"/>
              </w:rPr>
              <w:t> </w:t>
            </w:r>
          </w:p>
        </w:tc>
        <w:tc>
          <w:tcPr>
            <w:tcW w:w="587" w:type="pct"/>
            <w:tcBorders>
              <w:top w:val="nil"/>
              <w:left w:val="nil"/>
              <w:right w:val="nil"/>
            </w:tcBorders>
            <w:shd w:val="clear" w:color="auto" w:fill="auto"/>
            <w:noWrap/>
            <w:vAlign w:val="bottom"/>
            <w:hideMark/>
          </w:tcPr>
          <w:p w14:paraId="6696202A" w14:textId="77777777" w:rsidR="00F66E71" w:rsidRPr="006D4208" w:rsidRDefault="00F66E71" w:rsidP="005D59FA">
            <w:pPr>
              <w:jc w:val="right"/>
              <w:rPr>
                <w:rFonts w:asciiTheme="minorHAnsi" w:hAnsiTheme="minorHAnsi" w:cstheme="minorHAnsi"/>
                <w:color w:val="000000"/>
                <w:sz w:val="20"/>
                <w:szCs w:val="20"/>
              </w:rPr>
            </w:pPr>
            <w:r w:rsidRPr="006D4208">
              <w:rPr>
                <w:rFonts w:asciiTheme="minorHAnsi" w:hAnsiTheme="minorHAnsi" w:cstheme="minorHAnsi"/>
                <w:color w:val="000000"/>
                <w:sz w:val="20"/>
                <w:szCs w:val="20"/>
              </w:rPr>
              <w:t> </w:t>
            </w:r>
          </w:p>
        </w:tc>
      </w:tr>
      <w:tr w:rsidR="00C4058F" w:rsidRPr="00B97C61" w14:paraId="52E53D02" w14:textId="3D3BD6D9" w:rsidTr="00327F5E">
        <w:trPr>
          <w:trHeight w:val="288"/>
        </w:trPr>
        <w:tc>
          <w:tcPr>
            <w:tcW w:w="2696" w:type="pct"/>
            <w:tcBorders>
              <w:top w:val="nil"/>
              <w:left w:val="nil"/>
              <w:bottom w:val="nil"/>
              <w:right w:val="nil"/>
            </w:tcBorders>
            <w:shd w:val="clear" w:color="auto" w:fill="auto"/>
            <w:noWrap/>
            <w:vAlign w:val="bottom"/>
          </w:tcPr>
          <w:p w14:paraId="0F54A475" w14:textId="77777777" w:rsidR="00F66E71" w:rsidRPr="00B97C61" w:rsidRDefault="00F66E71" w:rsidP="005D59FA">
            <w:pPr>
              <w:rPr>
                <w:rFonts w:asciiTheme="minorHAnsi" w:hAnsiTheme="minorHAnsi" w:cstheme="minorHAnsi"/>
                <w:color w:val="000000"/>
                <w:sz w:val="20"/>
                <w:szCs w:val="20"/>
              </w:rPr>
            </w:pPr>
            <w:r w:rsidRPr="00B97C61">
              <w:rPr>
                <w:rFonts w:asciiTheme="minorHAnsi" w:hAnsiTheme="minorHAnsi" w:cstheme="minorHAnsi"/>
                <w:color w:val="000000"/>
                <w:sz w:val="20"/>
                <w:szCs w:val="20"/>
              </w:rPr>
              <w:t>Affordability risk event (note (b))</w:t>
            </w:r>
          </w:p>
        </w:tc>
        <w:tc>
          <w:tcPr>
            <w:tcW w:w="135" w:type="pct"/>
            <w:tcBorders>
              <w:top w:val="nil"/>
              <w:left w:val="nil"/>
              <w:bottom w:val="nil"/>
              <w:right w:val="nil"/>
            </w:tcBorders>
            <w:shd w:val="clear" w:color="auto" w:fill="auto"/>
            <w:noWrap/>
            <w:vAlign w:val="bottom"/>
          </w:tcPr>
          <w:p w14:paraId="3D35D2AD" w14:textId="77777777" w:rsidR="00F66E71" w:rsidRPr="00B97C61" w:rsidRDefault="00F66E71" w:rsidP="005D59FA">
            <w:pPr>
              <w:rPr>
                <w:rFonts w:asciiTheme="minorHAnsi" w:hAnsiTheme="minorHAnsi" w:cstheme="minorHAnsi"/>
                <w:color w:val="000000"/>
                <w:sz w:val="20"/>
                <w:szCs w:val="20"/>
              </w:rPr>
            </w:pPr>
          </w:p>
        </w:tc>
        <w:tc>
          <w:tcPr>
            <w:tcW w:w="135" w:type="pct"/>
            <w:tcBorders>
              <w:top w:val="nil"/>
              <w:left w:val="nil"/>
              <w:bottom w:val="nil"/>
              <w:right w:val="nil"/>
            </w:tcBorders>
            <w:shd w:val="clear" w:color="auto" w:fill="auto"/>
            <w:noWrap/>
            <w:vAlign w:val="bottom"/>
          </w:tcPr>
          <w:p w14:paraId="54E01D33" w14:textId="77777777" w:rsidR="00F66E71" w:rsidRPr="00B97C61" w:rsidRDefault="00F66E71" w:rsidP="005D59FA">
            <w:pPr>
              <w:rPr>
                <w:rFonts w:asciiTheme="minorHAnsi" w:hAnsiTheme="minorHAnsi" w:cstheme="minorHAnsi"/>
                <w:sz w:val="20"/>
                <w:szCs w:val="20"/>
              </w:rPr>
            </w:pPr>
          </w:p>
        </w:tc>
        <w:tc>
          <w:tcPr>
            <w:tcW w:w="135" w:type="pct"/>
            <w:tcBorders>
              <w:top w:val="nil"/>
              <w:left w:val="nil"/>
              <w:bottom w:val="nil"/>
              <w:right w:val="nil"/>
            </w:tcBorders>
            <w:shd w:val="clear" w:color="auto" w:fill="auto"/>
            <w:noWrap/>
            <w:vAlign w:val="bottom"/>
          </w:tcPr>
          <w:p w14:paraId="34CD0C03" w14:textId="77777777" w:rsidR="00F66E71" w:rsidRPr="00B97C61" w:rsidRDefault="00F66E71" w:rsidP="005D59FA">
            <w:pPr>
              <w:rPr>
                <w:rFonts w:asciiTheme="minorHAnsi" w:hAnsiTheme="minorHAnsi" w:cstheme="minorHAnsi"/>
                <w:sz w:val="20"/>
                <w:szCs w:val="20"/>
              </w:rPr>
            </w:pPr>
          </w:p>
        </w:tc>
        <w:tc>
          <w:tcPr>
            <w:tcW w:w="579" w:type="pct"/>
            <w:tcBorders>
              <w:top w:val="nil"/>
              <w:left w:val="nil"/>
              <w:bottom w:val="nil"/>
              <w:right w:val="nil"/>
            </w:tcBorders>
            <w:shd w:val="clear" w:color="auto" w:fill="F2F2F2" w:themeFill="background1" w:themeFillShade="F2"/>
            <w:noWrap/>
            <w:vAlign w:val="bottom"/>
          </w:tcPr>
          <w:p w14:paraId="3952AACE" w14:textId="77777777" w:rsidR="00F66E71" w:rsidRPr="000F589C" w:rsidRDefault="00F66E71" w:rsidP="005D59FA">
            <w:pPr>
              <w:jc w:val="right"/>
              <w:rPr>
                <w:rFonts w:asciiTheme="minorHAnsi" w:hAnsiTheme="minorHAnsi" w:cstheme="minorHAnsi"/>
                <w:b/>
                <w:color w:val="000000"/>
                <w:sz w:val="20"/>
                <w:szCs w:val="20"/>
              </w:rPr>
            </w:pPr>
            <w:r w:rsidRPr="000F589C">
              <w:rPr>
                <w:rFonts w:asciiTheme="minorHAnsi" w:hAnsiTheme="minorHAnsi" w:cstheme="minorHAnsi"/>
                <w:b/>
                <w:color w:val="000000"/>
                <w:sz w:val="20"/>
                <w:szCs w:val="20"/>
              </w:rPr>
              <w:t>-</w:t>
            </w:r>
          </w:p>
        </w:tc>
        <w:tc>
          <w:tcPr>
            <w:tcW w:w="733" w:type="pct"/>
            <w:tcBorders>
              <w:top w:val="nil"/>
              <w:left w:val="nil"/>
              <w:bottom w:val="nil"/>
              <w:right w:val="nil"/>
            </w:tcBorders>
            <w:vAlign w:val="bottom"/>
          </w:tcPr>
          <w:p w14:paraId="5EFD5253" w14:textId="7A98472E" w:rsidR="00951920" w:rsidRPr="006D4208" w:rsidRDefault="00951920" w:rsidP="00951920">
            <w:pPr>
              <w:jc w:val="right"/>
              <w:rPr>
                <w:rFonts w:asciiTheme="minorHAnsi" w:hAnsiTheme="minorHAnsi" w:cstheme="minorHAnsi"/>
                <w:color w:val="000000"/>
                <w:sz w:val="20"/>
                <w:szCs w:val="20"/>
              </w:rPr>
            </w:pPr>
            <w:r w:rsidRPr="006D4208">
              <w:rPr>
                <w:rFonts w:asciiTheme="minorHAnsi" w:hAnsiTheme="minorHAnsi" w:cstheme="minorHAnsi"/>
                <w:color w:val="000000"/>
                <w:sz w:val="20"/>
                <w:szCs w:val="20"/>
              </w:rPr>
              <w:t>-</w:t>
            </w:r>
          </w:p>
        </w:tc>
        <w:tc>
          <w:tcPr>
            <w:tcW w:w="587" w:type="pct"/>
            <w:tcBorders>
              <w:top w:val="nil"/>
              <w:left w:val="nil"/>
              <w:bottom w:val="nil"/>
              <w:right w:val="nil"/>
            </w:tcBorders>
            <w:shd w:val="clear" w:color="auto" w:fill="auto"/>
            <w:noWrap/>
            <w:vAlign w:val="bottom"/>
          </w:tcPr>
          <w:p w14:paraId="336F60E7" w14:textId="77777777" w:rsidR="00F66E71" w:rsidRPr="006D4208" w:rsidRDefault="00F66E71" w:rsidP="005D59FA">
            <w:pPr>
              <w:jc w:val="right"/>
              <w:rPr>
                <w:rFonts w:asciiTheme="minorHAnsi" w:hAnsiTheme="minorHAnsi" w:cstheme="minorHAnsi"/>
                <w:color w:val="000000"/>
                <w:sz w:val="20"/>
                <w:szCs w:val="20"/>
              </w:rPr>
            </w:pPr>
            <w:r w:rsidRPr="006D4208">
              <w:rPr>
                <w:rFonts w:asciiTheme="minorHAnsi" w:hAnsiTheme="minorHAnsi" w:cstheme="minorHAnsi"/>
                <w:color w:val="000000"/>
                <w:sz w:val="20"/>
                <w:szCs w:val="20"/>
              </w:rPr>
              <w:t>0.3</w:t>
            </w:r>
          </w:p>
        </w:tc>
      </w:tr>
      <w:tr w:rsidR="00C4058F" w:rsidRPr="00B97C61" w14:paraId="0F85ECB5" w14:textId="1813FE54" w:rsidTr="00327F5E">
        <w:trPr>
          <w:trHeight w:val="288"/>
        </w:trPr>
        <w:tc>
          <w:tcPr>
            <w:tcW w:w="2696" w:type="pct"/>
            <w:tcBorders>
              <w:top w:val="nil"/>
              <w:left w:val="nil"/>
              <w:bottom w:val="nil"/>
              <w:right w:val="nil"/>
            </w:tcBorders>
            <w:shd w:val="clear" w:color="auto" w:fill="auto"/>
            <w:noWrap/>
            <w:vAlign w:val="bottom"/>
          </w:tcPr>
          <w:p w14:paraId="3F624D51" w14:textId="77777777" w:rsidR="00F66E71" w:rsidRPr="00B97C61" w:rsidRDefault="00F66E71" w:rsidP="005D59FA">
            <w:pPr>
              <w:rPr>
                <w:rFonts w:asciiTheme="minorHAnsi" w:hAnsiTheme="minorHAnsi" w:cstheme="minorHAnsi"/>
                <w:color w:val="000000"/>
                <w:sz w:val="20"/>
                <w:szCs w:val="20"/>
              </w:rPr>
            </w:pPr>
            <w:r w:rsidRPr="00B97C61">
              <w:rPr>
                <w:rFonts w:asciiTheme="minorHAnsi" w:hAnsiTheme="minorHAnsi" w:cstheme="minorHAnsi"/>
                <w:color w:val="000000"/>
                <w:sz w:val="20"/>
                <w:szCs w:val="20"/>
              </w:rPr>
              <w:t>Persistent debt (note (c))</w:t>
            </w:r>
          </w:p>
        </w:tc>
        <w:tc>
          <w:tcPr>
            <w:tcW w:w="135" w:type="pct"/>
            <w:tcBorders>
              <w:top w:val="nil"/>
              <w:left w:val="nil"/>
              <w:bottom w:val="nil"/>
              <w:right w:val="nil"/>
            </w:tcBorders>
            <w:shd w:val="clear" w:color="auto" w:fill="auto"/>
            <w:noWrap/>
            <w:vAlign w:val="bottom"/>
          </w:tcPr>
          <w:p w14:paraId="393D033A" w14:textId="77777777" w:rsidR="00F66E71" w:rsidRPr="00B97C61" w:rsidRDefault="00F66E71" w:rsidP="005D59FA">
            <w:pPr>
              <w:rPr>
                <w:rFonts w:asciiTheme="minorHAnsi" w:hAnsiTheme="minorHAnsi" w:cstheme="minorHAnsi"/>
                <w:color w:val="000000"/>
                <w:sz w:val="20"/>
                <w:szCs w:val="20"/>
              </w:rPr>
            </w:pPr>
          </w:p>
        </w:tc>
        <w:tc>
          <w:tcPr>
            <w:tcW w:w="135" w:type="pct"/>
            <w:tcBorders>
              <w:top w:val="nil"/>
              <w:left w:val="nil"/>
              <w:bottom w:val="nil"/>
              <w:right w:val="nil"/>
            </w:tcBorders>
            <w:shd w:val="clear" w:color="auto" w:fill="auto"/>
            <w:noWrap/>
            <w:vAlign w:val="bottom"/>
          </w:tcPr>
          <w:p w14:paraId="74B1AA00" w14:textId="77777777" w:rsidR="00F66E71" w:rsidRPr="00B97C61" w:rsidRDefault="00F66E71" w:rsidP="005D59FA">
            <w:pPr>
              <w:rPr>
                <w:rFonts w:asciiTheme="minorHAnsi" w:hAnsiTheme="minorHAnsi" w:cstheme="minorHAnsi"/>
                <w:sz w:val="20"/>
                <w:szCs w:val="20"/>
              </w:rPr>
            </w:pPr>
          </w:p>
        </w:tc>
        <w:tc>
          <w:tcPr>
            <w:tcW w:w="135" w:type="pct"/>
            <w:tcBorders>
              <w:top w:val="nil"/>
              <w:left w:val="nil"/>
              <w:bottom w:val="nil"/>
              <w:right w:val="nil"/>
            </w:tcBorders>
            <w:shd w:val="clear" w:color="auto" w:fill="auto"/>
            <w:noWrap/>
            <w:vAlign w:val="bottom"/>
          </w:tcPr>
          <w:p w14:paraId="5ED3AB59" w14:textId="77777777" w:rsidR="00F66E71" w:rsidRPr="00B97C61" w:rsidRDefault="00F66E71" w:rsidP="005D59FA">
            <w:pPr>
              <w:rPr>
                <w:rFonts w:asciiTheme="minorHAnsi" w:hAnsiTheme="minorHAnsi" w:cstheme="minorHAnsi"/>
                <w:sz w:val="20"/>
                <w:szCs w:val="20"/>
              </w:rPr>
            </w:pPr>
          </w:p>
        </w:tc>
        <w:tc>
          <w:tcPr>
            <w:tcW w:w="579" w:type="pct"/>
            <w:tcBorders>
              <w:top w:val="nil"/>
              <w:left w:val="nil"/>
              <w:bottom w:val="nil"/>
              <w:right w:val="nil"/>
            </w:tcBorders>
            <w:shd w:val="clear" w:color="auto" w:fill="F2F2F2" w:themeFill="background1" w:themeFillShade="F2"/>
            <w:noWrap/>
            <w:vAlign w:val="bottom"/>
          </w:tcPr>
          <w:p w14:paraId="79615E27" w14:textId="77777777" w:rsidR="00F66E71" w:rsidRPr="000F589C" w:rsidRDefault="00F66E71" w:rsidP="005D59FA">
            <w:pPr>
              <w:jc w:val="right"/>
              <w:rPr>
                <w:rFonts w:asciiTheme="minorHAnsi" w:hAnsiTheme="minorHAnsi" w:cstheme="minorHAnsi"/>
                <w:b/>
                <w:color w:val="000000"/>
                <w:sz w:val="20"/>
                <w:szCs w:val="20"/>
              </w:rPr>
            </w:pPr>
            <w:r w:rsidRPr="000F589C">
              <w:rPr>
                <w:rFonts w:asciiTheme="minorHAnsi" w:hAnsiTheme="minorHAnsi" w:cstheme="minorHAnsi"/>
                <w:b/>
                <w:color w:val="000000"/>
                <w:sz w:val="20"/>
                <w:szCs w:val="20"/>
              </w:rPr>
              <w:t>-</w:t>
            </w:r>
          </w:p>
        </w:tc>
        <w:tc>
          <w:tcPr>
            <w:tcW w:w="733" w:type="pct"/>
            <w:tcBorders>
              <w:top w:val="nil"/>
              <w:left w:val="nil"/>
              <w:bottom w:val="nil"/>
              <w:right w:val="nil"/>
            </w:tcBorders>
            <w:vAlign w:val="bottom"/>
          </w:tcPr>
          <w:p w14:paraId="0F8AE3F4" w14:textId="3EEF9769" w:rsidR="00951920" w:rsidRPr="006D4208" w:rsidRDefault="00951920" w:rsidP="00951920">
            <w:pPr>
              <w:jc w:val="right"/>
              <w:rPr>
                <w:rFonts w:asciiTheme="minorHAnsi" w:hAnsiTheme="minorHAnsi" w:cstheme="minorHAnsi"/>
                <w:color w:val="000000"/>
                <w:sz w:val="20"/>
                <w:szCs w:val="20"/>
              </w:rPr>
            </w:pPr>
            <w:r w:rsidRPr="006D4208">
              <w:rPr>
                <w:rFonts w:asciiTheme="minorHAnsi" w:hAnsiTheme="minorHAnsi" w:cstheme="minorHAnsi"/>
                <w:color w:val="000000"/>
                <w:sz w:val="20"/>
                <w:szCs w:val="20"/>
              </w:rPr>
              <w:t>-</w:t>
            </w:r>
          </w:p>
        </w:tc>
        <w:tc>
          <w:tcPr>
            <w:tcW w:w="587" w:type="pct"/>
            <w:tcBorders>
              <w:top w:val="nil"/>
              <w:left w:val="nil"/>
              <w:bottom w:val="nil"/>
              <w:right w:val="nil"/>
            </w:tcBorders>
            <w:shd w:val="clear" w:color="auto" w:fill="auto"/>
            <w:noWrap/>
            <w:vAlign w:val="bottom"/>
          </w:tcPr>
          <w:p w14:paraId="276602CB" w14:textId="25525007" w:rsidR="00F66E71" w:rsidRPr="006D4208" w:rsidRDefault="00F66E71" w:rsidP="005D59FA">
            <w:pPr>
              <w:jc w:val="right"/>
              <w:rPr>
                <w:rFonts w:asciiTheme="minorHAnsi" w:hAnsiTheme="minorHAnsi" w:cstheme="minorHAnsi"/>
                <w:color w:val="000000"/>
                <w:sz w:val="20"/>
                <w:szCs w:val="20"/>
              </w:rPr>
            </w:pPr>
            <w:r w:rsidRPr="006D4208">
              <w:rPr>
                <w:rFonts w:asciiTheme="minorHAnsi" w:hAnsiTheme="minorHAnsi" w:cstheme="minorHAnsi"/>
                <w:color w:val="000000"/>
                <w:sz w:val="20"/>
                <w:szCs w:val="20"/>
              </w:rPr>
              <w:t>2.</w:t>
            </w:r>
            <w:r w:rsidR="00C92C87" w:rsidRPr="006D4208">
              <w:rPr>
                <w:rFonts w:asciiTheme="minorHAnsi" w:hAnsiTheme="minorHAnsi" w:cstheme="minorHAnsi"/>
                <w:color w:val="000000"/>
                <w:sz w:val="20"/>
                <w:szCs w:val="20"/>
              </w:rPr>
              <w:t>2</w:t>
            </w:r>
          </w:p>
        </w:tc>
      </w:tr>
      <w:tr w:rsidR="00C4058F" w:rsidRPr="00B97C61" w14:paraId="6764F5D4" w14:textId="73B59DA4" w:rsidTr="00327F5E">
        <w:trPr>
          <w:trHeight w:val="288"/>
        </w:trPr>
        <w:tc>
          <w:tcPr>
            <w:tcW w:w="2696" w:type="pct"/>
            <w:tcBorders>
              <w:top w:val="nil"/>
              <w:left w:val="nil"/>
              <w:bottom w:val="nil"/>
              <w:right w:val="nil"/>
            </w:tcBorders>
            <w:shd w:val="clear" w:color="auto" w:fill="auto"/>
            <w:noWrap/>
            <w:vAlign w:val="bottom"/>
            <w:hideMark/>
          </w:tcPr>
          <w:p w14:paraId="1FD68FC2" w14:textId="77777777" w:rsidR="00F66E71" w:rsidRPr="00B97C61" w:rsidRDefault="00F66E71" w:rsidP="005D59FA">
            <w:pPr>
              <w:rPr>
                <w:rFonts w:asciiTheme="minorHAnsi" w:hAnsiTheme="minorHAnsi" w:cstheme="minorHAnsi"/>
                <w:color w:val="000000"/>
                <w:sz w:val="20"/>
                <w:szCs w:val="20"/>
              </w:rPr>
            </w:pPr>
            <w:r w:rsidRPr="00B97C61">
              <w:rPr>
                <w:rFonts w:asciiTheme="minorHAnsi" w:hAnsiTheme="minorHAnsi" w:cstheme="minorHAnsi"/>
                <w:color w:val="000000"/>
                <w:sz w:val="20"/>
                <w:szCs w:val="20"/>
              </w:rPr>
              <w:t>Cost of living (note (d))</w:t>
            </w:r>
          </w:p>
        </w:tc>
        <w:tc>
          <w:tcPr>
            <w:tcW w:w="135" w:type="pct"/>
            <w:tcBorders>
              <w:top w:val="nil"/>
              <w:left w:val="nil"/>
              <w:bottom w:val="nil"/>
              <w:right w:val="nil"/>
            </w:tcBorders>
            <w:shd w:val="clear" w:color="auto" w:fill="auto"/>
            <w:noWrap/>
            <w:vAlign w:val="bottom"/>
            <w:hideMark/>
          </w:tcPr>
          <w:p w14:paraId="0555BB34" w14:textId="77777777" w:rsidR="00F66E71" w:rsidRPr="00B97C61" w:rsidRDefault="00F66E71" w:rsidP="005D59FA">
            <w:pPr>
              <w:rPr>
                <w:rFonts w:asciiTheme="minorHAnsi" w:hAnsiTheme="minorHAnsi" w:cstheme="minorHAnsi"/>
                <w:color w:val="000000"/>
                <w:sz w:val="20"/>
                <w:szCs w:val="20"/>
              </w:rPr>
            </w:pPr>
          </w:p>
        </w:tc>
        <w:tc>
          <w:tcPr>
            <w:tcW w:w="135" w:type="pct"/>
            <w:tcBorders>
              <w:top w:val="nil"/>
              <w:left w:val="nil"/>
              <w:bottom w:val="nil"/>
              <w:right w:val="nil"/>
            </w:tcBorders>
            <w:shd w:val="clear" w:color="auto" w:fill="auto"/>
            <w:noWrap/>
            <w:vAlign w:val="bottom"/>
            <w:hideMark/>
          </w:tcPr>
          <w:p w14:paraId="44FB766F" w14:textId="77777777" w:rsidR="00F66E71" w:rsidRPr="00B97C61" w:rsidRDefault="00F66E71" w:rsidP="005D59FA">
            <w:pPr>
              <w:rPr>
                <w:rFonts w:asciiTheme="minorHAnsi" w:hAnsiTheme="minorHAnsi" w:cstheme="minorHAnsi"/>
                <w:sz w:val="20"/>
                <w:szCs w:val="20"/>
              </w:rPr>
            </w:pPr>
          </w:p>
        </w:tc>
        <w:tc>
          <w:tcPr>
            <w:tcW w:w="135" w:type="pct"/>
            <w:tcBorders>
              <w:top w:val="nil"/>
              <w:left w:val="nil"/>
              <w:bottom w:val="nil"/>
              <w:right w:val="nil"/>
            </w:tcBorders>
            <w:shd w:val="clear" w:color="auto" w:fill="auto"/>
            <w:noWrap/>
            <w:vAlign w:val="bottom"/>
            <w:hideMark/>
          </w:tcPr>
          <w:p w14:paraId="7DFB512B" w14:textId="77777777" w:rsidR="00F66E71" w:rsidRPr="00B97C61" w:rsidRDefault="00F66E71" w:rsidP="005D59FA">
            <w:pPr>
              <w:rPr>
                <w:rFonts w:asciiTheme="minorHAnsi" w:hAnsiTheme="minorHAnsi" w:cstheme="minorHAnsi"/>
                <w:sz w:val="20"/>
                <w:szCs w:val="20"/>
              </w:rPr>
            </w:pPr>
          </w:p>
        </w:tc>
        <w:tc>
          <w:tcPr>
            <w:tcW w:w="579" w:type="pct"/>
            <w:tcBorders>
              <w:top w:val="nil"/>
              <w:left w:val="nil"/>
              <w:bottom w:val="nil"/>
              <w:right w:val="nil"/>
            </w:tcBorders>
            <w:shd w:val="clear" w:color="auto" w:fill="F2F2F2" w:themeFill="background1" w:themeFillShade="F2"/>
            <w:noWrap/>
            <w:vAlign w:val="bottom"/>
          </w:tcPr>
          <w:p w14:paraId="2D65DE73" w14:textId="77777777" w:rsidR="00F66E71" w:rsidRPr="000F589C" w:rsidRDefault="00F66E71" w:rsidP="005D59FA">
            <w:pPr>
              <w:jc w:val="right"/>
              <w:rPr>
                <w:rFonts w:asciiTheme="minorHAnsi" w:hAnsiTheme="minorHAnsi" w:cstheme="minorHAnsi"/>
                <w:b/>
                <w:color w:val="000000"/>
                <w:sz w:val="20"/>
                <w:szCs w:val="20"/>
              </w:rPr>
            </w:pPr>
            <w:r w:rsidRPr="000F589C">
              <w:rPr>
                <w:rFonts w:asciiTheme="minorHAnsi" w:hAnsiTheme="minorHAnsi" w:cstheme="minorHAnsi"/>
                <w:b/>
                <w:color w:val="000000"/>
                <w:sz w:val="20"/>
                <w:szCs w:val="20"/>
              </w:rPr>
              <w:t>-</w:t>
            </w:r>
          </w:p>
        </w:tc>
        <w:tc>
          <w:tcPr>
            <w:tcW w:w="733" w:type="pct"/>
            <w:tcBorders>
              <w:top w:val="nil"/>
              <w:left w:val="nil"/>
              <w:bottom w:val="nil"/>
              <w:right w:val="nil"/>
            </w:tcBorders>
            <w:vAlign w:val="bottom"/>
          </w:tcPr>
          <w:p w14:paraId="3A12A0FA" w14:textId="08907FF9" w:rsidR="00951920" w:rsidRPr="006D4208" w:rsidRDefault="00951920" w:rsidP="00951920">
            <w:pPr>
              <w:jc w:val="right"/>
              <w:rPr>
                <w:rFonts w:asciiTheme="minorHAnsi" w:hAnsiTheme="minorHAnsi" w:cstheme="minorHAnsi"/>
                <w:color w:val="000000"/>
                <w:sz w:val="20"/>
                <w:szCs w:val="20"/>
              </w:rPr>
            </w:pPr>
            <w:r w:rsidRPr="006D4208">
              <w:rPr>
                <w:rFonts w:asciiTheme="minorHAnsi" w:hAnsiTheme="minorHAnsi" w:cstheme="minorHAnsi"/>
                <w:color w:val="000000"/>
                <w:sz w:val="20"/>
                <w:szCs w:val="20"/>
              </w:rPr>
              <w:t>-</w:t>
            </w:r>
          </w:p>
        </w:tc>
        <w:tc>
          <w:tcPr>
            <w:tcW w:w="587" w:type="pct"/>
            <w:tcBorders>
              <w:top w:val="nil"/>
              <w:left w:val="nil"/>
              <w:bottom w:val="nil"/>
              <w:right w:val="nil"/>
            </w:tcBorders>
            <w:shd w:val="clear" w:color="auto" w:fill="auto"/>
            <w:noWrap/>
            <w:vAlign w:val="bottom"/>
          </w:tcPr>
          <w:p w14:paraId="3813B71F" w14:textId="77777777" w:rsidR="00F66E71" w:rsidRPr="006D4208" w:rsidRDefault="00F66E71" w:rsidP="005D59FA">
            <w:pPr>
              <w:jc w:val="right"/>
              <w:rPr>
                <w:rFonts w:asciiTheme="minorHAnsi" w:hAnsiTheme="minorHAnsi" w:cstheme="minorHAnsi"/>
                <w:color w:val="000000"/>
                <w:sz w:val="20"/>
                <w:szCs w:val="20"/>
              </w:rPr>
            </w:pPr>
            <w:r w:rsidRPr="006D4208">
              <w:rPr>
                <w:rFonts w:asciiTheme="minorHAnsi" w:hAnsiTheme="minorHAnsi" w:cstheme="minorHAnsi"/>
                <w:color w:val="000000"/>
                <w:sz w:val="20"/>
                <w:szCs w:val="20"/>
              </w:rPr>
              <w:t>10.0</w:t>
            </w:r>
          </w:p>
        </w:tc>
      </w:tr>
      <w:tr w:rsidR="00C4058F" w:rsidRPr="00B97C61" w14:paraId="7EEC16CA" w14:textId="148B732B" w:rsidTr="00327F5E">
        <w:trPr>
          <w:trHeight w:val="288"/>
        </w:trPr>
        <w:tc>
          <w:tcPr>
            <w:tcW w:w="2696" w:type="pct"/>
            <w:tcBorders>
              <w:top w:val="nil"/>
              <w:left w:val="nil"/>
              <w:bottom w:val="nil"/>
              <w:right w:val="nil"/>
            </w:tcBorders>
            <w:shd w:val="clear" w:color="auto" w:fill="auto"/>
            <w:noWrap/>
            <w:vAlign w:val="bottom"/>
            <w:hideMark/>
          </w:tcPr>
          <w:p w14:paraId="2737B07E" w14:textId="77777777" w:rsidR="00F66E71" w:rsidRPr="00B97C61" w:rsidRDefault="00F66E71" w:rsidP="005D59FA">
            <w:pPr>
              <w:rPr>
                <w:rFonts w:asciiTheme="minorHAnsi" w:hAnsiTheme="minorHAnsi" w:cstheme="minorHAnsi"/>
                <w:color w:val="000000"/>
                <w:sz w:val="20"/>
                <w:szCs w:val="20"/>
              </w:rPr>
            </w:pPr>
            <w:r w:rsidRPr="00B97C61">
              <w:rPr>
                <w:rFonts w:asciiTheme="minorHAnsi" w:hAnsiTheme="minorHAnsi" w:cstheme="minorHAnsi"/>
                <w:color w:val="000000"/>
                <w:sz w:val="20"/>
                <w:szCs w:val="20"/>
              </w:rPr>
              <w:t>Recoveries (note (e))</w:t>
            </w:r>
          </w:p>
        </w:tc>
        <w:tc>
          <w:tcPr>
            <w:tcW w:w="135" w:type="pct"/>
            <w:tcBorders>
              <w:top w:val="nil"/>
              <w:left w:val="nil"/>
              <w:bottom w:val="nil"/>
              <w:right w:val="nil"/>
            </w:tcBorders>
            <w:shd w:val="clear" w:color="auto" w:fill="auto"/>
            <w:noWrap/>
            <w:vAlign w:val="bottom"/>
            <w:hideMark/>
          </w:tcPr>
          <w:p w14:paraId="1E7A8986" w14:textId="77777777" w:rsidR="00F66E71" w:rsidRPr="00B97C61" w:rsidRDefault="00F66E71" w:rsidP="005D59FA">
            <w:pPr>
              <w:rPr>
                <w:rFonts w:asciiTheme="minorHAnsi" w:hAnsiTheme="minorHAnsi" w:cstheme="minorHAnsi"/>
                <w:color w:val="000000"/>
                <w:sz w:val="20"/>
                <w:szCs w:val="20"/>
              </w:rPr>
            </w:pPr>
          </w:p>
        </w:tc>
        <w:tc>
          <w:tcPr>
            <w:tcW w:w="135" w:type="pct"/>
            <w:tcBorders>
              <w:top w:val="nil"/>
              <w:left w:val="nil"/>
              <w:bottom w:val="nil"/>
              <w:right w:val="nil"/>
            </w:tcBorders>
            <w:shd w:val="clear" w:color="auto" w:fill="auto"/>
            <w:noWrap/>
            <w:vAlign w:val="bottom"/>
            <w:hideMark/>
          </w:tcPr>
          <w:p w14:paraId="5DFA928C" w14:textId="77777777" w:rsidR="00F66E71" w:rsidRPr="00B97C61" w:rsidRDefault="00F66E71" w:rsidP="005D59FA">
            <w:pPr>
              <w:rPr>
                <w:rFonts w:asciiTheme="minorHAnsi" w:hAnsiTheme="minorHAnsi" w:cstheme="minorHAnsi"/>
                <w:sz w:val="20"/>
                <w:szCs w:val="20"/>
              </w:rPr>
            </w:pPr>
          </w:p>
        </w:tc>
        <w:tc>
          <w:tcPr>
            <w:tcW w:w="135" w:type="pct"/>
            <w:tcBorders>
              <w:top w:val="nil"/>
              <w:left w:val="nil"/>
              <w:bottom w:val="nil"/>
              <w:right w:val="nil"/>
            </w:tcBorders>
            <w:shd w:val="clear" w:color="auto" w:fill="auto"/>
            <w:noWrap/>
            <w:vAlign w:val="bottom"/>
            <w:hideMark/>
          </w:tcPr>
          <w:p w14:paraId="70D4FFE4" w14:textId="77777777" w:rsidR="00F66E71" w:rsidRPr="00B97C61" w:rsidRDefault="00F66E71" w:rsidP="005D59FA">
            <w:pPr>
              <w:rPr>
                <w:rFonts w:asciiTheme="minorHAnsi" w:hAnsiTheme="minorHAnsi" w:cstheme="minorHAnsi"/>
                <w:sz w:val="20"/>
                <w:szCs w:val="20"/>
              </w:rPr>
            </w:pPr>
          </w:p>
        </w:tc>
        <w:tc>
          <w:tcPr>
            <w:tcW w:w="579" w:type="pct"/>
            <w:tcBorders>
              <w:top w:val="nil"/>
              <w:left w:val="nil"/>
              <w:bottom w:val="nil"/>
              <w:right w:val="nil"/>
            </w:tcBorders>
            <w:shd w:val="clear" w:color="auto" w:fill="F2F2F2" w:themeFill="background1" w:themeFillShade="F2"/>
            <w:noWrap/>
            <w:vAlign w:val="bottom"/>
          </w:tcPr>
          <w:p w14:paraId="3669B169" w14:textId="77777777" w:rsidR="00F66E71" w:rsidRPr="000F589C" w:rsidRDefault="00F66E71" w:rsidP="005D59FA">
            <w:pPr>
              <w:jc w:val="right"/>
              <w:rPr>
                <w:rFonts w:asciiTheme="minorHAnsi" w:hAnsiTheme="minorHAnsi" w:cstheme="minorHAnsi"/>
                <w:b/>
                <w:color w:val="000000"/>
                <w:sz w:val="20"/>
                <w:szCs w:val="20"/>
              </w:rPr>
            </w:pPr>
            <w:r w:rsidRPr="000F589C">
              <w:rPr>
                <w:rFonts w:asciiTheme="minorHAnsi" w:hAnsiTheme="minorHAnsi" w:cstheme="minorHAnsi"/>
                <w:b/>
                <w:color w:val="000000"/>
                <w:sz w:val="20"/>
                <w:szCs w:val="20"/>
              </w:rPr>
              <w:t>-</w:t>
            </w:r>
          </w:p>
        </w:tc>
        <w:tc>
          <w:tcPr>
            <w:tcW w:w="733" w:type="pct"/>
            <w:tcBorders>
              <w:top w:val="nil"/>
              <w:left w:val="nil"/>
              <w:bottom w:val="nil"/>
              <w:right w:val="nil"/>
            </w:tcBorders>
            <w:vAlign w:val="bottom"/>
          </w:tcPr>
          <w:p w14:paraId="77107760" w14:textId="2A8A2B5B" w:rsidR="00951920" w:rsidRPr="006D4208" w:rsidRDefault="00951920" w:rsidP="00951920">
            <w:pPr>
              <w:jc w:val="right"/>
              <w:rPr>
                <w:rFonts w:asciiTheme="minorHAnsi" w:hAnsiTheme="minorHAnsi" w:cstheme="minorHAnsi"/>
                <w:color w:val="000000"/>
                <w:sz w:val="20"/>
                <w:szCs w:val="20"/>
              </w:rPr>
            </w:pPr>
            <w:r w:rsidRPr="006D4208">
              <w:rPr>
                <w:rFonts w:asciiTheme="minorHAnsi" w:hAnsiTheme="minorHAnsi" w:cstheme="minorHAnsi"/>
                <w:color w:val="000000"/>
                <w:sz w:val="20"/>
                <w:szCs w:val="20"/>
              </w:rPr>
              <w:t>-</w:t>
            </w:r>
          </w:p>
        </w:tc>
        <w:tc>
          <w:tcPr>
            <w:tcW w:w="587" w:type="pct"/>
            <w:tcBorders>
              <w:top w:val="nil"/>
              <w:left w:val="nil"/>
              <w:bottom w:val="nil"/>
              <w:right w:val="nil"/>
            </w:tcBorders>
            <w:shd w:val="clear" w:color="auto" w:fill="auto"/>
            <w:noWrap/>
            <w:vAlign w:val="bottom"/>
          </w:tcPr>
          <w:p w14:paraId="0FC7CC0F" w14:textId="41DA60D3" w:rsidR="00F66E71" w:rsidRPr="006D4208" w:rsidRDefault="00F66E71" w:rsidP="005D59FA">
            <w:pPr>
              <w:jc w:val="right"/>
              <w:rPr>
                <w:rFonts w:asciiTheme="minorHAnsi" w:hAnsiTheme="minorHAnsi" w:cstheme="minorHAnsi"/>
                <w:color w:val="000000"/>
                <w:sz w:val="20"/>
                <w:szCs w:val="20"/>
              </w:rPr>
            </w:pPr>
            <w:r w:rsidRPr="006D4208">
              <w:rPr>
                <w:rFonts w:asciiTheme="minorHAnsi" w:hAnsiTheme="minorHAnsi" w:cstheme="minorHAnsi"/>
                <w:color w:val="000000"/>
                <w:sz w:val="20"/>
                <w:szCs w:val="20"/>
              </w:rPr>
              <w:t>2.</w:t>
            </w:r>
            <w:r w:rsidR="00C92C87" w:rsidRPr="006D4208">
              <w:rPr>
                <w:rFonts w:asciiTheme="minorHAnsi" w:hAnsiTheme="minorHAnsi" w:cstheme="minorHAnsi"/>
                <w:color w:val="000000"/>
                <w:sz w:val="20"/>
                <w:szCs w:val="20"/>
              </w:rPr>
              <w:t>2</w:t>
            </w:r>
          </w:p>
        </w:tc>
      </w:tr>
      <w:tr w:rsidR="00C4058F" w:rsidRPr="00B97C61" w14:paraId="1B4DA1E3" w14:textId="1731C4DF" w:rsidTr="00327F5E">
        <w:trPr>
          <w:trHeight w:val="288"/>
        </w:trPr>
        <w:tc>
          <w:tcPr>
            <w:tcW w:w="2696" w:type="pct"/>
            <w:tcBorders>
              <w:top w:val="nil"/>
              <w:left w:val="nil"/>
              <w:bottom w:val="nil"/>
              <w:right w:val="nil"/>
            </w:tcBorders>
            <w:shd w:val="clear" w:color="auto" w:fill="auto"/>
            <w:noWrap/>
            <w:vAlign w:val="bottom"/>
            <w:hideMark/>
          </w:tcPr>
          <w:p w14:paraId="42333E31" w14:textId="77777777" w:rsidR="00F66E71" w:rsidRPr="00B97C61" w:rsidRDefault="00F66E71" w:rsidP="005D59FA">
            <w:pPr>
              <w:rPr>
                <w:rFonts w:asciiTheme="minorHAnsi" w:hAnsiTheme="minorHAnsi" w:cstheme="minorHAnsi"/>
                <w:color w:val="000000"/>
                <w:sz w:val="20"/>
                <w:szCs w:val="20"/>
              </w:rPr>
            </w:pPr>
            <w:r w:rsidRPr="00B97C61">
              <w:rPr>
                <w:rFonts w:asciiTheme="minorHAnsi" w:hAnsiTheme="minorHAnsi" w:cstheme="minorHAnsi"/>
                <w:color w:val="000000"/>
                <w:sz w:val="20"/>
                <w:szCs w:val="20"/>
              </w:rPr>
              <w:t>Other</w:t>
            </w:r>
            <w:r>
              <w:rPr>
                <w:rFonts w:asciiTheme="minorHAnsi" w:hAnsiTheme="minorHAnsi" w:cstheme="minorHAnsi"/>
                <w:color w:val="000000"/>
                <w:sz w:val="20"/>
                <w:szCs w:val="20"/>
              </w:rPr>
              <w:t xml:space="preserve"> (note (f))</w:t>
            </w:r>
          </w:p>
        </w:tc>
        <w:tc>
          <w:tcPr>
            <w:tcW w:w="135" w:type="pct"/>
            <w:tcBorders>
              <w:top w:val="nil"/>
              <w:left w:val="nil"/>
              <w:bottom w:val="nil"/>
              <w:right w:val="nil"/>
            </w:tcBorders>
            <w:shd w:val="clear" w:color="auto" w:fill="auto"/>
            <w:noWrap/>
            <w:vAlign w:val="bottom"/>
            <w:hideMark/>
          </w:tcPr>
          <w:p w14:paraId="42E5AC8D" w14:textId="77777777" w:rsidR="00F66E71" w:rsidRPr="00B97C61" w:rsidRDefault="00F66E71" w:rsidP="005D59FA">
            <w:pPr>
              <w:rPr>
                <w:rFonts w:asciiTheme="minorHAnsi" w:hAnsiTheme="minorHAnsi" w:cstheme="minorHAnsi"/>
                <w:color w:val="000000"/>
                <w:sz w:val="20"/>
                <w:szCs w:val="20"/>
              </w:rPr>
            </w:pPr>
          </w:p>
        </w:tc>
        <w:tc>
          <w:tcPr>
            <w:tcW w:w="135" w:type="pct"/>
            <w:tcBorders>
              <w:top w:val="nil"/>
              <w:left w:val="nil"/>
              <w:bottom w:val="nil"/>
              <w:right w:val="nil"/>
            </w:tcBorders>
            <w:shd w:val="clear" w:color="auto" w:fill="auto"/>
            <w:noWrap/>
            <w:vAlign w:val="bottom"/>
            <w:hideMark/>
          </w:tcPr>
          <w:p w14:paraId="00197365" w14:textId="77777777" w:rsidR="00F66E71" w:rsidRPr="00B97C61" w:rsidRDefault="00F66E71" w:rsidP="005D59FA">
            <w:pPr>
              <w:rPr>
                <w:rFonts w:asciiTheme="minorHAnsi" w:hAnsiTheme="minorHAnsi" w:cstheme="minorHAnsi"/>
                <w:sz w:val="20"/>
                <w:szCs w:val="20"/>
              </w:rPr>
            </w:pPr>
          </w:p>
        </w:tc>
        <w:tc>
          <w:tcPr>
            <w:tcW w:w="135" w:type="pct"/>
            <w:tcBorders>
              <w:top w:val="nil"/>
              <w:left w:val="nil"/>
              <w:bottom w:val="nil"/>
              <w:right w:val="nil"/>
            </w:tcBorders>
            <w:shd w:val="clear" w:color="auto" w:fill="auto"/>
            <w:noWrap/>
            <w:vAlign w:val="bottom"/>
            <w:hideMark/>
          </w:tcPr>
          <w:p w14:paraId="6B6C98D2" w14:textId="77777777" w:rsidR="00F66E71" w:rsidRPr="00B97C61" w:rsidRDefault="00F66E71" w:rsidP="005D59FA">
            <w:pPr>
              <w:rPr>
                <w:rFonts w:asciiTheme="minorHAnsi" w:hAnsiTheme="minorHAnsi" w:cstheme="minorHAnsi"/>
                <w:sz w:val="20"/>
                <w:szCs w:val="20"/>
              </w:rPr>
            </w:pPr>
          </w:p>
        </w:tc>
        <w:tc>
          <w:tcPr>
            <w:tcW w:w="579" w:type="pct"/>
            <w:tcBorders>
              <w:top w:val="nil"/>
              <w:left w:val="nil"/>
              <w:bottom w:val="nil"/>
              <w:right w:val="nil"/>
            </w:tcBorders>
            <w:shd w:val="clear" w:color="auto" w:fill="F2F2F2" w:themeFill="background1" w:themeFillShade="F2"/>
            <w:noWrap/>
            <w:vAlign w:val="bottom"/>
          </w:tcPr>
          <w:p w14:paraId="402F93CC" w14:textId="01B32B03" w:rsidR="00F66E71" w:rsidRPr="000F589C" w:rsidRDefault="000F589C" w:rsidP="005D59FA">
            <w:pPr>
              <w:jc w:val="right"/>
              <w:rPr>
                <w:rFonts w:asciiTheme="minorHAnsi" w:hAnsiTheme="minorHAnsi" w:cstheme="minorHAnsi"/>
                <w:b/>
                <w:color w:val="000000"/>
                <w:sz w:val="20"/>
                <w:szCs w:val="20"/>
              </w:rPr>
            </w:pPr>
            <w:r w:rsidRPr="000F589C">
              <w:rPr>
                <w:rFonts w:asciiTheme="minorHAnsi" w:hAnsiTheme="minorHAnsi" w:cstheme="minorHAnsi"/>
                <w:b/>
                <w:color w:val="000000"/>
                <w:sz w:val="20"/>
                <w:szCs w:val="20"/>
              </w:rPr>
              <w:t>2.0</w:t>
            </w:r>
          </w:p>
        </w:tc>
        <w:tc>
          <w:tcPr>
            <w:tcW w:w="733" w:type="pct"/>
            <w:tcBorders>
              <w:top w:val="nil"/>
              <w:left w:val="nil"/>
              <w:bottom w:val="nil"/>
              <w:right w:val="nil"/>
            </w:tcBorders>
            <w:vAlign w:val="bottom"/>
          </w:tcPr>
          <w:p w14:paraId="68BC6285" w14:textId="11AE08DE" w:rsidR="00951920" w:rsidRPr="006D4208" w:rsidRDefault="00951920" w:rsidP="00951920">
            <w:pPr>
              <w:jc w:val="right"/>
              <w:rPr>
                <w:rFonts w:asciiTheme="minorHAnsi" w:hAnsiTheme="minorHAnsi" w:cstheme="minorHAnsi"/>
                <w:color w:val="000000"/>
                <w:sz w:val="20"/>
                <w:szCs w:val="20"/>
              </w:rPr>
            </w:pPr>
            <w:r w:rsidRPr="006D4208">
              <w:rPr>
                <w:rFonts w:asciiTheme="minorHAnsi" w:hAnsiTheme="minorHAnsi" w:cstheme="minorHAnsi"/>
                <w:color w:val="000000"/>
                <w:sz w:val="20"/>
                <w:szCs w:val="20"/>
              </w:rPr>
              <w:t>2.0</w:t>
            </w:r>
          </w:p>
        </w:tc>
        <w:tc>
          <w:tcPr>
            <w:tcW w:w="587" w:type="pct"/>
            <w:tcBorders>
              <w:top w:val="nil"/>
              <w:left w:val="nil"/>
              <w:bottom w:val="nil"/>
              <w:right w:val="nil"/>
            </w:tcBorders>
            <w:shd w:val="clear" w:color="auto" w:fill="auto"/>
            <w:noWrap/>
            <w:vAlign w:val="bottom"/>
          </w:tcPr>
          <w:p w14:paraId="7C45C2C3" w14:textId="454AD191" w:rsidR="00F66E71" w:rsidRPr="006D4208" w:rsidRDefault="004C69D5" w:rsidP="005D59FA">
            <w:pPr>
              <w:jc w:val="right"/>
              <w:rPr>
                <w:rFonts w:asciiTheme="minorHAnsi" w:hAnsiTheme="minorHAnsi" w:cstheme="minorHAnsi"/>
                <w:color w:val="000000"/>
                <w:sz w:val="20"/>
                <w:szCs w:val="20"/>
              </w:rPr>
            </w:pPr>
            <w:r w:rsidRPr="006D4208">
              <w:rPr>
                <w:rFonts w:asciiTheme="minorHAnsi" w:hAnsiTheme="minorHAnsi" w:cstheme="minorHAnsi"/>
                <w:color w:val="000000"/>
                <w:sz w:val="20"/>
                <w:szCs w:val="20"/>
              </w:rPr>
              <w:t>-</w:t>
            </w:r>
          </w:p>
        </w:tc>
      </w:tr>
      <w:tr w:rsidR="00F97F16" w:rsidRPr="00B97C61" w14:paraId="2B341361" w14:textId="5C4AD1CA" w:rsidTr="00327F5E">
        <w:trPr>
          <w:trHeight w:val="288"/>
        </w:trPr>
        <w:tc>
          <w:tcPr>
            <w:tcW w:w="2696" w:type="pct"/>
            <w:tcBorders>
              <w:left w:val="nil"/>
              <w:right w:val="nil"/>
            </w:tcBorders>
            <w:shd w:val="clear" w:color="auto" w:fill="auto"/>
            <w:noWrap/>
            <w:vAlign w:val="bottom"/>
            <w:hideMark/>
          </w:tcPr>
          <w:p w14:paraId="0C483C70" w14:textId="77777777" w:rsidR="00F66E71" w:rsidRPr="00B97C61" w:rsidRDefault="00F66E71" w:rsidP="005D59FA">
            <w:pPr>
              <w:rPr>
                <w:rFonts w:asciiTheme="minorHAnsi" w:hAnsiTheme="minorHAnsi" w:cstheme="minorHAnsi"/>
                <w:b/>
                <w:bCs/>
                <w:color w:val="000000"/>
                <w:sz w:val="20"/>
                <w:szCs w:val="20"/>
              </w:rPr>
            </w:pPr>
            <w:r w:rsidRPr="00B97C61">
              <w:rPr>
                <w:rFonts w:asciiTheme="minorHAnsi" w:hAnsiTheme="minorHAnsi" w:cstheme="minorHAnsi"/>
                <w:b/>
                <w:bCs/>
                <w:color w:val="000000"/>
                <w:sz w:val="20"/>
                <w:szCs w:val="20"/>
              </w:rPr>
              <w:t>Total post model (under)/overlays</w:t>
            </w:r>
          </w:p>
        </w:tc>
        <w:tc>
          <w:tcPr>
            <w:tcW w:w="135" w:type="pct"/>
            <w:tcBorders>
              <w:left w:val="nil"/>
              <w:right w:val="nil"/>
            </w:tcBorders>
            <w:shd w:val="clear" w:color="auto" w:fill="auto"/>
            <w:noWrap/>
            <w:vAlign w:val="bottom"/>
            <w:hideMark/>
          </w:tcPr>
          <w:p w14:paraId="4A43464A" w14:textId="77777777" w:rsidR="00F66E71" w:rsidRPr="00B97C61" w:rsidRDefault="00F66E71" w:rsidP="005D59FA">
            <w:pPr>
              <w:rPr>
                <w:rFonts w:asciiTheme="minorHAnsi" w:hAnsiTheme="minorHAnsi" w:cstheme="minorHAnsi"/>
                <w:b/>
                <w:bCs/>
                <w:color w:val="000000"/>
                <w:sz w:val="20"/>
                <w:szCs w:val="20"/>
              </w:rPr>
            </w:pPr>
            <w:r w:rsidRPr="00B97C61">
              <w:rPr>
                <w:rFonts w:asciiTheme="minorHAnsi" w:hAnsiTheme="minorHAnsi" w:cstheme="minorHAnsi"/>
                <w:b/>
                <w:bCs/>
                <w:color w:val="000000"/>
                <w:sz w:val="20"/>
                <w:szCs w:val="20"/>
              </w:rPr>
              <w:t> </w:t>
            </w:r>
          </w:p>
        </w:tc>
        <w:tc>
          <w:tcPr>
            <w:tcW w:w="135" w:type="pct"/>
            <w:tcBorders>
              <w:left w:val="nil"/>
              <w:right w:val="nil"/>
            </w:tcBorders>
            <w:shd w:val="clear" w:color="auto" w:fill="auto"/>
            <w:noWrap/>
            <w:vAlign w:val="bottom"/>
            <w:hideMark/>
          </w:tcPr>
          <w:p w14:paraId="11EC682A" w14:textId="77777777" w:rsidR="00F66E71" w:rsidRPr="00B97C61" w:rsidRDefault="00F66E71" w:rsidP="005D59FA">
            <w:pPr>
              <w:rPr>
                <w:rFonts w:asciiTheme="minorHAnsi" w:hAnsiTheme="minorHAnsi" w:cstheme="minorHAnsi"/>
                <w:b/>
                <w:bCs/>
                <w:color w:val="000000"/>
                <w:sz w:val="20"/>
                <w:szCs w:val="20"/>
              </w:rPr>
            </w:pPr>
            <w:r w:rsidRPr="00B97C61">
              <w:rPr>
                <w:rFonts w:asciiTheme="minorHAnsi" w:hAnsiTheme="minorHAnsi" w:cstheme="minorHAnsi"/>
                <w:b/>
                <w:bCs/>
                <w:color w:val="000000"/>
                <w:sz w:val="20"/>
                <w:szCs w:val="20"/>
              </w:rPr>
              <w:t> </w:t>
            </w:r>
          </w:p>
        </w:tc>
        <w:tc>
          <w:tcPr>
            <w:tcW w:w="135" w:type="pct"/>
            <w:tcBorders>
              <w:left w:val="nil"/>
              <w:right w:val="nil"/>
            </w:tcBorders>
            <w:shd w:val="clear" w:color="auto" w:fill="auto"/>
            <w:noWrap/>
            <w:vAlign w:val="bottom"/>
            <w:hideMark/>
          </w:tcPr>
          <w:p w14:paraId="3564E096" w14:textId="77777777" w:rsidR="00F66E71" w:rsidRPr="00B97C61" w:rsidRDefault="00F66E71" w:rsidP="005D59FA">
            <w:pPr>
              <w:rPr>
                <w:rFonts w:asciiTheme="minorHAnsi" w:hAnsiTheme="minorHAnsi" w:cstheme="minorHAnsi"/>
                <w:b/>
                <w:bCs/>
                <w:color w:val="000000"/>
                <w:sz w:val="20"/>
                <w:szCs w:val="20"/>
              </w:rPr>
            </w:pPr>
            <w:r w:rsidRPr="00B97C61">
              <w:rPr>
                <w:rFonts w:asciiTheme="minorHAnsi" w:hAnsiTheme="minorHAnsi" w:cstheme="minorHAnsi"/>
                <w:b/>
                <w:bCs/>
                <w:color w:val="000000"/>
                <w:sz w:val="20"/>
                <w:szCs w:val="20"/>
              </w:rPr>
              <w:t> </w:t>
            </w:r>
          </w:p>
        </w:tc>
        <w:tc>
          <w:tcPr>
            <w:tcW w:w="579" w:type="pct"/>
            <w:tcBorders>
              <w:top w:val="single" w:sz="4" w:space="0" w:color="auto"/>
              <w:left w:val="nil"/>
              <w:bottom w:val="single" w:sz="4" w:space="0" w:color="auto"/>
              <w:right w:val="nil"/>
            </w:tcBorders>
            <w:shd w:val="clear" w:color="auto" w:fill="F2F2F2" w:themeFill="background1" w:themeFillShade="F2"/>
            <w:noWrap/>
            <w:vAlign w:val="bottom"/>
            <w:hideMark/>
          </w:tcPr>
          <w:p w14:paraId="7A089F59" w14:textId="5833032B" w:rsidR="00F66E71" w:rsidRPr="000F589C" w:rsidRDefault="000F589C" w:rsidP="005D59FA">
            <w:pPr>
              <w:jc w:val="right"/>
              <w:rPr>
                <w:rFonts w:asciiTheme="minorHAnsi" w:hAnsiTheme="minorHAnsi" w:cstheme="minorHAnsi"/>
                <w:b/>
                <w:color w:val="000000"/>
                <w:sz w:val="20"/>
                <w:szCs w:val="20"/>
              </w:rPr>
            </w:pPr>
            <w:r w:rsidRPr="000F589C">
              <w:rPr>
                <w:rFonts w:asciiTheme="minorHAnsi" w:hAnsiTheme="minorHAnsi" w:cstheme="minorHAnsi"/>
                <w:b/>
                <w:color w:val="000000"/>
                <w:sz w:val="20"/>
                <w:szCs w:val="20"/>
              </w:rPr>
              <w:t>2.0</w:t>
            </w:r>
          </w:p>
        </w:tc>
        <w:tc>
          <w:tcPr>
            <w:tcW w:w="733" w:type="pct"/>
            <w:tcBorders>
              <w:top w:val="single" w:sz="4" w:space="0" w:color="auto"/>
              <w:left w:val="nil"/>
              <w:bottom w:val="single" w:sz="4" w:space="0" w:color="auto"/>
              <w:right w:val="nil"/>
            </w:tcBorders>
            <w:vAlign w:val="bottom"/>
          </w:tcPr>
          <w:p w14:paraId="53D15D7A" w14:textId="5C96F913" w:rsidR="00951920" w:rsidRPr="006D4208" w:rsidRDefault="00951920" w:rsidP="00951920">
            <w:pPr>
              <w:jc w:val="right"/>
              <w:rPr>
                <w:rFonts w:asciiTheme="minorHAnsi" w:hAnsiTheme="minorHAnsi" w:cstheme="minorHAnsi"/>
                <w:color w:val="000000"/>
                <w:sz w:val="20"/>
                <w:szCs w:val="20"/>
              </w:rPr>
            </w:pPr>
            <w:r w:rsidRPr="006D4208">
              <w:rPr>
                <w:rFonts w:asciiTheme="minorHAnsi" w:hAnsiTheme="minorHAnsi" w:cstheme="minorHAnsi"/>
                <w:color w:val="000000"/>
                <w:sz w:val="20"/>
                <w:szCs w:val="20"/>
              </w:rPr>
              <w:t>2.0</w:t>
            </w:r>
          </w:p>
        </w:tc>
        <w:tc>
          <w:tcPr>
            <w:tcW w:w="587" w:type="pct"/>
            <w:tcBorders>
              <w:top w:val="single" w:sz="4" w:space="0" w:color="auto"/>
              <w:left w:val="nil"/>
              <w:bottom w:val="single" w:sz="4" w:space="0" w:color="auto"/>
              <w:right w:val="nil"/>
            </w:tcBorders>
            <w:shd w:val="clear" w:color="auto" w:fill="auto"/>
            <w:noWrap/>
            <w:vAlign w:val="bottom"/>
          </w:tcPr>
          <w:p w14:paraId="37D616C3" w14:textId="4D8986B0" w:rsidR="00F66E71" w:rsidRPr="006D4208" w:rsidRDefault="00F66E71" w:rsidP="005D59FA">
            <w:pPr>
              <w:jc w:val="right"/>
              <w:rPr>
                <w:rFonts w:asciiTheme="minorHAnsi" w:hAnsiTheme="minorHAnsi" w:cstheme="minorHAnsi"/>
                <w:color w:val="000000"/>
                <w:sz w:val="20"/>
                <w:szCs w:val="20"/>
              </w:rPr>
            </w:pPr>
            <w:r w:rsidRPr="006D4208">
              <w:rPr>
                <w:rFonts w:asciiTheme="minorHAnsi" w:hAnsiTheme="minorHAnsi" w:cstheme="minorHAnsi"/>
                <w:color w:val="000000"/>
                <w:sz w:val="20"/>
                <w:szCs w:val="20"/>
              </w:rPr>
              <w:t>1</w:t>
            </w:r>
            <w:r w:rsidR="004C69D5" w:rsidRPr="006D4208">
              <w:rPr>
                <w:rFonts w:asciiTheme="minorHAnsi" w:hAnsiTheme="minorHAnsi" w:cstheme="minorHAnsi"/>
                <w:color w:val="000000"/>
                <w:sz w:val="20"/>
                <w:szCs w:val="20"/>
              </w:rPr>
              <w:t>4.7</w:t>
            </w:r>
          </w:p>
        </w:tc>
      </w:tr>
      <w:tr w:rsidR="00F97F16" w:rsidRPr="00B97C61" w14:paraId="79E7AF2F" w14:textId="108B7C05" w:rsidTr="00327F5E">
        <w:trPr>
          <w:trHeight w:val="288"/>
        </w:trPr>
        <w:tc>
          <w:tcPr>
            <w:tcW w:w="2696" w:type="pct"/>
            <w:tcBorders>
              <w:left w:val="nil"/>
              <w:right w:val="nil"/>
            </w:tcBorders>
            <w:shd w:val="clear" w:color="auto" w:fill="auto"/>
            <w:noWrap/>
            <w:vAlign w:val="bottom"/>
            <w:hideMark/>
          </w:tcPr>
          <w:p w14:paraId="536A6293" w14:textId="77777777" w:rsidR="00F66E71" w:rsidRPr="00B97C61" w:rsidRDefault="00F66E71" w:rsidP="005D59FA">
            <w:pPr>
              <w:rPr>
                <w:rFonts w:asciiTheme="minorHAnsi" w:hAnsiTheme="minorHAnsi" w:cstheme="minorHAnsi"/>
                <w:b/>
                <w:bCs/>
                <w:color w:val="000000"/>
                <w:sz w:val="20"/>
                <w:szCs w:val="20"/>
              </w:rPr>
            </w:pPr>
            <w:r w:rsidRPr="00B97C61">
              <w:rPr>
                <w:rFonts w:asciiTheme="minorHAnsi" w:hAnsiTheme="minorHAnsi" w:cstheme="minorHAnsi"/>
                <w:b/>
                <w:bCs/>
                <w:color w:val="000000"/>
                <w:sz w:val="20"/>
                <w:szCs w:val="20"/>
              </w:rPr>
              <w:t>Total (under)/overlays</w:t>
            </w:r>
          </w:p>
        </w:tc>
        <w:tc>
          <w:tcPr>
            <w:tcW w:w="135" w:type="pct"/>
            <w:tcBorders>
              <w:left w:val="nil"/>
              <w:right w:val="nil"/>
            </w:tcBorders>
            <w:shd w:val="clear" w:color="auto" w:fill="auto"/>
            <w:noWrap/>
            <w:vAlign w:val="bottom"/>
            <w:hideMark/>
          </w:tcPr>
          <w:p w14:paraId="33548AC1" w14:textId="77777777" w:rsidR="00F66E71" w:rsidRPr="00B97C61" w:rsidRDefault="00F66E71" w:rsidP="005D59FA">
            <w:pPr>
              <w:rPr>
                <w:rFonts w:asciiTheme="minorHAnsi" w:hAnsiTheme="minorHAnsi" w:cstheme="minorHAnsi"/>
                <w:b/>
                <w:bCs/>
                <w:color w:val="000000"/>
                <w:sz w:val="20"/>
                <w:szCs w:val="20"/>
              </w:rPr>
            </w:pPr>
            <w:r w:rsidRPr="00B97C61">
              <w:rPr>
                <w:rFonts w:asciiTheme="minorHAnsi" w:hAnsiTheme="minorHAnsi" w:cstheme="minorHAnsi"/>
                <w:b/>
                <w:bCs/>
                <w:color w:val="000000"/>
                <w:sz w:val="20"/>
                <w:szCs w:val="20"/>
              </w:rPr>
              <w:t> </w:t>
            </w:r>
          </w:p>
        </w:tc>
        <w:tc>
          <w:tcPr>
            <w:tcW w:w="135" w:type="pct"/>
            <w:tcBorders>
              <w:left w:val="nil"/>
              <w:right w:val="nil"/>
            </w:tcBorders>
            <w:shd w:val="clear" w:color="auto" w:fill="auto"/>
            <w:noWrap/>
            <w:vAlign w:val="bottom"/>
            <w:hideMark/>
          </w:tcPr>
          <w:p w14:paraId="4D5BD06D" w14:textId="77777777" w:rsidR="00F66E71" w:rsidRPr="00B97C61" w:rsidRDefault="00F66E71" w:rsidP="005D59FA">
            <w:pPr>
              <w:rPr>
                <w:rFonts w:asciiTheme="minorHAnsi" w:hAnsiTheme="minorHAnsi" w:cstheme="minorHAnsi"/>
                <w:b/>
                <w:bCs/>
                <w:color w:val="000000"/>
                <w:sz w:val="20"/>
                <w:szCs w:val="20"/>
              </w:rPr>
            </w:pPr>
            <w:r w:rsidRPr="00B97C61">
              <w:rPr>
                <w:rFonts w:asciiTheme="minorHAnsi" w:hAnsiTheme="minorHAnsi" w:cstheme="minorHAnsi"/>
                <w:b/>
                <w:bCs/>
                <w:color w:val="000000"/>
                <w:sz w:val="20"/>
                <w:szCs w:val="20"/>
              </w:rPr>
              <w:t> </w:t>
            </w:r>
          </w:p>
        </w:tc>
        <w:tc>
          <w:tcPr>
            <w:tcW w:w="135" w:type="pct"/>
            <w:tcBorders>
              <w:left w:val="nil"/>
              <w:right w:val="nil"/>
            </w:tcBorders>
            <w:shd w:val="clear" w:color="auto" w:fill="auto"/>
            <w:noWrap/>
            <w:vAlign w:val="bottom"/>
            <w:hideMark/>
          </w:tcPr>
          <w:p w14:paraId="5657B5EB" w14:textId="77777777" w:rsidR="00F66E71" w:rsidRPr="00B97C61" w:rsidRDefault="00F66E71" w:rsidP="005D59FA">
            <w:pPr>
              <w:rPr>
                <w:rFonts w:asciiTheme="minorHAnsi" w:hAnsiTheme="minorHAnsi" w:cstheme="minorHAnsi"/>
                <w:b/>
                <w:bCs/>
                <w:color w:val="000000"/>
                <w:sz w:val="20"/>
                <w:szCs w:val="20"/>
              </w:rPr>
            </w:pPr>
            <w:r w:rsidRPr="00B97C61">
              <w:rPr>
                <w:rFonts w:asciiTheme="minorHAnsi" w:hAnsiTheme="minorHAnsi" w:cstheme="minorHAnsi"/>
                <w:b/>
                <w:bCs/>
                <w:color w:val="000000"/>
                <w:sz w:val="20"/>
                <w:szCs w:val="20"/>
              </w:rPr>
              <w:t> </w:t>
            </w:r>
          </w:p>
        </w:tc>
        <w:tc>
          <w:tcPr>
            <w:tcW w:w="579" w:type="pct"/>
            <w:tcBorders>
              <w:top w:val="single" w:sz="4" w:space="0" w:color="auto"/>
              <w:left w:val="nil"/>
              <w:bottom w:val="single" w:sz="18" w:space="0" w:color="auto"/>
              <w:right w:val="nil"/>
            </w:tcBorders>
            <w:shd w:val="clear" w:color="auto" w:fill="F2F2F2" w:themeFill="background1" w:themeFillShade="F2"/>
            <w:noWrap/>
            <w:vAlign w:val="bottom"/>
            <w:hideMark/>
          </w:tcPr>
          <w:p w14:paraId="7DEAEDC8" w14:textId="385BB433" w:rsidR="00F66E71" w:rsidRPr="000F589C" w:rsidRDefault="000F589C" w:rsidP="005D59FA">
            <w:pPr>
              <w:jc w:val="right"/>
              <w:rPr>
                <w:rFonts w:asciiTheme="minorHAnsi" w:hAnsiTheme="minorHAnsi" w:cstheme="minorHAnsi"/>
                <w:b/>
                <w:color w:val="000000"/>
                <w:sz w:val="20"/>
                <w:szCs w:val="20"/>
              </w:rPr>
            </w:pPr>
            <w:r w:rsidRPr="000F589C">
              <w:rPr>
                <w:rFonts w:asciiTheme="minorHAnsi" w:hAnsiTheme="minorHAnsi" w:cstheme="minorHAnsi"/>
                <w:b/>
                <w:color w:val="000000"/>
                <w:sz w:val="20"/>
                <w:szCs w:val="20"/>
              </w:rPr>
              <w:t>2.0</w:t>
            </w:r>
          </w:p>
        </w:tc>
        <w:tc>
          <w:tcPr>
            <w:tcW w:w="733" w:type="pct"/>
            <w:tcBorders>
              <w:top w:val="single" w:sz="4" w:space="0" w:color="auto"/>
              <w:left w:val="nil"/>
              <w:bottom w:val="single" w:sz="18" w:space="0" w:color="auto"/>
              <w:right w:val="nil"/>
            </w:tcBorders>
            <w:vAlign w:val="bottom"/>
          </w:tcPr>
          <w:p w14:paraId="10D6593D" w14:textId="11145B3F" w:rsidR="00951920" w:rsidRPr="006D4208" w:rsidRDefault="00B22BFB" w:rsidP="00951920">
            <w:pPr>
              <w:jc w:val="right"/>
              <w:rPr>
                <w:rFonts w:asciiTheme="minorHAnsi" w:hAnsiTheme="minorHAnsi" w:cstheme="minorHAnsi"/>
                <w:color w:val="000000"/>
                <w:sz w:val="20"/>
                <w:szCs w:val="20"/>
              </w:rPr>
            </w:pPr>
            <w:r>
              <w:rPr>
                <w:rFonts w:asciiTheme="minorHAnsi" w:hAnsiTheme="minorHAnsi" w:cstheme="minorHAnsi"/>
                <w:color w:val="000000"/>
                <w:sz w:val="20"/>
                <w:szCs w:val="20"/>
              </w:rPr>
              <w:t>10.7</w:t>
            </w:r>
          </w:p>
        </w:tc>
        <w:tc>
          <w:tcPr>
            <w:tcW w:w="587" w:type="pct"/>
            <w:tcBorders>
              <w:top w:val="single" w:sz="4" w:space="0" w:color="auto"/>
              <w:left w:val="nil"/>
              <w:bottom w:val="single" w:sz="18" w:space="0" w:color="auto"/>
              <w:right w:val="nil"/>
            </w:tcBorders>
            <w:shd w:val="clear" w:color="auto" w:fill="auto"/>
            <w:noWrap/>
            <w:vAlign w:val="bottom"/>
            <w:hideMark/>
          </w:tcPr>
          <w:p w14:paraId="38B103B3" w14:textId="3E5883F8" w:rsidR="00F66E71" w:rsidRPr="006D4208" w:rsidRDefault="00F66E71" w:rsidP="005D59FA">
            <w:pPr>
              <w:jc w:val="right"/>
              <w:rPr>
                <w:rFonts w:asciiTheme="minorHAnsi" w:hAnsiTheme="minorHAnsi" w:cstheme="minorHAnsi"/>
                <w:color w:val="000000"/>
                <w:sz w:val="20"/>
                <w:szCs w:val="20"/>
              </w:rPr>
            </w:pPr>
            <w:r w:rsidRPr="006D4208">
              <w:rPr>
                <w:rFonts w:asciiTheme="minorHAnsi" w:hAnsiTheme="minorHAnsi" w:cstheme="minorHAnsi"/>
                <w:color w:val="000000"/>
                <w:sz w:val="20"/>
                <w:szCs w:val="20"/>
              </w:rPr>
              <w:t>1</w:t>
            </w:r>
            <w:r w:rsidR="004C69D5" w:rsidRPr="006D4208">
              <w:rPr>
                <w:rFonts w:asciiTheme="minorHAnsi" w:hAnsiTheme="minorHAnsi" w:cstheme="minorHAnsi"/>
                <w:color w:val="000000"/>
                <w:sz w:val="20"/>
                <w:szCs w:val="20"/>
              </w:rPr>
              <w:t>4.7</w:t>
            </w:r>
          </w:p>
        </w:tc>
      </w:tr>
    </w:tbl>
    <w:p w14:paraId="6530CEEA" w14:textId="77777777" w:rsidR="006E50E0" w:rsidRPr="00306AF1" w:rsidRDefault="006E50E0" w:rsidP="009E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sz w:val="20"/>
          <w:szCs w:val="20"/>
        </w:rPr>
      </w:pPr>
    </w:p>
    <w:p w14:paraId="77C6DF93" w14:textId="77777777" w:rsidR="007B33A9" w:rsidRDefault="007B33A9" w:rsidP="009E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sz w:val="20"/>
          <w:szCs w:val="20"/>
        </w:rPr>
      </w:pPr>
    </w:p>
    <w:p w14:paraId="32BEB0CE" w14:textId="20CBECE1" w:rsidR="009E39DB" w:rsidRPr="00A057F5" w:rsidRDefault="009E39DB" w:rsidP="009E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sz w:val="20"/>
          <w:szCs w:val="20"/>
        </w:rPr>
      </w:pPr>
      <w:r w:rsidRPr="00306AF1">
        <w:rPr>
          <w:rFonts w:asciiTheme="minorHAnsi" w:hAnsiTheme="minorHAnsi" w:cs="Arial"/>
          <w:b/>
          <w:sz w:val="20"/>
          <w:szCs w:val="20"/>
        </w:rPr>
        <w:t>(</w:t>
      </w:r>
      <w:r w:rsidR="004172EF" w:rsidRPr="00306AF1">
        <w:rPr>
          <w:rFonts w:asciiTheme="minorHAnsi" w:hAnsiTheme="minorHAnsi" w:cs="Arial"/>
          <w:b/>
          <w:sz w:val="20"/>
          <w:szCs w:val="20"/>
        </w:rPr>
        <w:t>a</w:t>
      </w:r>
      <w:r w:rsidRPr="00A057F5">
        <w:rPr>
          <w:rFonts w:asciiTheme="minorHAnsi" w:hAnsiTheme="minorHAnsi" w:cs="Arial"/>
          <w:b/>
          <w:sz w:val="20"/>
          <w:szCs w:val="20"/>
        </w:rPr>
        <w:t xml:space="preserve">) </w:t>
      </w:r>
      <w:r w:rsidR="00402D8D" w:rsidRPr="00A057F5">
        <w:rPr>
          <w:rFonts w:asciiTheme="minorHAnsi" w:hAnsiTheme="minorHAnsi" w:cs="Arial"/>
          <w:b/>
          <w:sz w:val="20"/>
          <w:szCs w:val="20"/>
        </w:rPr>
        <w:t>Model overlay</w:t>
      </w:r>
    </w:p>
    <w:p w14:paraId="23741668" w14:textId="7C5E1308" w:rsidR="006B24AB" w:rsidRPr="00A057F5" w:rsidRDefault="00402D8D" w:rsidP="103F7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A057F5">
        <w:rPr>
          <w:rFonts w:asciiTheme="minorHAnsi" w:hAnsiTheme="minorHAnsi" w:cs="Arial"/>
          <w:sz w:val="20"/>
          <w:szCs w:val="20"/>
        </w:rPr>
        <w:t xml:space="preserve">Throughout 2023 the Group, in line with its ongoing commitment to continue to enhance the quality and accuracy of expected credit loss modelling, </w:t>
      </w:r>
      <w:r w:rsidR="00DB3691">
        <w:rPr>
          <w:rFonts w:asciiTheme="minorHAnsi" w:hAnsiTheme="minorHAnsi" w:cs="Arial"/>
          <w:sz w:val="20"/>
          <w:szCs w:val="20"/>
        </w:rPr>
        <w:t>took</w:t>
      </w:r>
      <w:r w:rsidRPr="00A057F5">
        <w:rPr>
          <w:rFonts w:asciiTheme="minorHAnsi" w:hAnsiTheme="minorHAnsi" w:cs="Arial"/>
          <w:sz w:val="20"/>
          <w:szCs w:val="20"/>
        </w:rPr>
        <w:t xml:space="preserve"> steps to refine and re-calibrate the IFRS 9 model suite across the credit cards, vehicle finance and personal loans resulting in a release of £57.7m across all portfolios. Enhanced segmentation, refreshed data calibration, and a refinement to model input parameters indicated the need for a model rebuild underlay at Dec’23. The resultant level of ECL provision </w:t>
      </w:r>
      <w:r w:rsidR="00954FBA" w:rsidRPr="00A057F5">
        <w:rPr>
          <w:rFonts w:asciiTheme="minorHAnsi" w:hAnsiTheme="minorHAnsi" w:cs="Arial"/>
          <w:sz w:val="20"/>
          <w:szCs w:val="20"/>
        </w:rPr>
        <w:t>was</w:t>
      </w:r>
      <w:r w:rsidRPr="00A057F5">
        <w:rPr>
          <w:rFonts w:asciiTheme="minorHAnsi" w:hAnsiTheme="minorHAnsi" w:cs="Arial"/>
          <w:sz w:val="20"/>
          <w:szCs w:val="20"/>
        </w:rPr>
        <w:t xml:space="preserve"> considered to more accurately reflect the Groups’ exposure to credit risk and </w:t>
      </w:r>
      <w:r w:rsidR="00F72C96">
        <w:rPr>
          <w:rFonts w:asciiTheme="minorHAnsi" w:hAnsiTheme="minorHAnsi" w:cs="Arial"/>
          <w:sz w:val="20"/>
          <w:szCs w:val="20"/>
        </w:rPr>
        <w:t>took</w:t>
      </w:r>
      <w:r w:rsidRPr="00A057F5">
        <w:rPr>
          <w:rFonts w:asciiTheme="minorHAnsi" w:hAnsiTheme="minorHAnsi" w:cs="Arial"/>
          <w:sz w:val="20"/>
          <w:szCs w:val="20"/>
        </w:rPr>
        <w:t xml:space="preserve"> into account how our receivables mix ha</w:t>
      </w:r>
      <w:r w:rsidR="00954FBA" w:rsidRPr="00A057F5">
        <w:rPr>
          <w:rFonts w:asciiTheme="minorHAnsi" w:hAnsiTheme="minorHAnsi" w:cs="Arial"/>
          <w:sz w:val="20"/>
          <w:szCs w:val="20"/>
        </w:rPr>
        <w:t>d</w:t>
      </w:r>
      <w:r w:rsidRPr="00A057F5">
        <w:rPr>
          <w:rFonts w:asciiTheme="minorHAnsi" w:hAnsiTheme="minorHAnsi" w:cs="Arial"/>
          <w:sz w:val="20"/>
          <w:szCs w:val="20"/>
        </w:rPr>
        <w:t xml:space="preserve"> evolved throughout </w:t>
      </w:r>
      <w:r w:rsidR="00E104D9" w:rsidRPr="00A057F5">
        <w:rPr>
          <w:rFonts w:asciiTheme="minorHAnsi" w:hAnsiTheme="minorHAnsi" w:cs="Arial"/>
          <w:sz w:val="20"/>
          <w:szCs w:val="20"/>
        </w:rPr>
        <w:t>later</w:t>
      </w:r>
      <w:r w:rsidRPr="00A057F5">
        <w:rPr>
          <w:rFonts w:asciiTheme="minorHAnsi" w:hAnsiTheme="minorHAnsi" w:cs="Arial"/>
          <w:sz w:val="20"/>
          <w:szCs w:val="20"/>
        </w:rPr>
        <w:t xml:space="preserve"> months</w:t>
      </w:r>
      <w:r w:rsidR="00E104D9" w:rsidRPr="00A057F5">
        <w:rPr>
          <w:rFonts w:asciiTheme="minorHAnsi" w:hAnsiTheme="minorHAnsi" w:cs="Arial"/>
          <w:sz w:val="20"/>
          <w:szCs w:val="20"/>
        </w:rPr>
        <w:t xml:space="preserve"> of 2023</w:t>
      </w:r>
      <w:r w:rsidRPr="00A057F5">
        <w:rPr>
          <w:rFonts w:asciiTheme="minorHAnsi" w:hAnsiTheme="minorHAnsi" w:cs="Arial"/>
          <w:sz w:val="20"/>
          <w:szCs w:val="20"/>
        </w:rPr>
        <w:t xml:space="preserve">. The new model underlay was released in 1H24 when the incumbent IFRS9 models </w:t>
      </w:r>
      <w:r w:rsidR="005E5C3C" w:rsidRPr="00A057F5">
        <w:rPr>
          <w:rFonts w:asciiTheme="minorHAnsi" w:hAnsiTheme="minorHAnsi" w:cs="Arial"/>
          <w:sz w:val="20"/>
          <w:szCs w:val="20"/>
        </w:rPr>
        <w:t>were</w:t>
      </w:r>
      <w:r w:rsidRPr="00A057F5">
        <w:rPr>
          <w:rFonts w:asciiTheme="minorHAnsi" w:hAnsiTheme="minorHAnsi" w:cs="Arial"/>
          <w:sz w:val="20"/>
          <w:szCs w:val="20"/>
        </w:rPr>
        <w:t xml:space="preserve"> substituted with the new suite of IFRS 9 models.</w:t>
      </w:r>
    </w:p>
    <w:p w14:paraId="3A5B62C6" w14:textId="77777777" w:rsidR="103F77E5" w:rsidRPr="00A057F5" w:rsidRDefault="103F77E5" w:rsidP="103F7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sz w:val="20"/>
          <w:szCs w:val="20"/>
        </w:rPr>
      </w:pPr>
    </w:p>
    <w:p w14:paraId="6B4C8034" w14:textId="7981A573" w:rsidR="003A3982" w:rsidRPr="00A057F5" w:rsidRDefault="003A3982" w:rsidP="003A3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sz w:val="20"/>
          <w:szCs w:val="20"/>
        </w:rPr>
      </w:pPr>
      <w:r w:rsidRPr="00A057F5">
        <w:rPr>
          <w:rFonts w:asciiTheme="minorHAnsi" w:hAnsiTheme="minorHAnsi" w:cs="Arial"/>
          <w:b/>
          <w:sz w:val="20"/>
          <w:szCs w:val="20"/>
        </w:rPr>
        <w:t>(</w:t>
      </w:r>
      <w:r w:rsidR="00265FD5" w:rsidRPr="00A057F5">
        <w:rPr>
          <w:rFonts w:asciiTheme="minorHAnsi" w:hAnsiTheme="minorHAnsi" w:cs="Arial"/>
          <w:b/>
          <w:sz w:val="20"/>
          <w:szCs w:val="20"/>
        </w:rPr>
        <w:t>b</w:t>
      </w:r>
      <w:r w:rsidRPr="00A057F5">
        <w:rPr>
          <w:rFonts w:asciiTheme="minorHAnsi" w:hAnsiTheme="minorHAnsi" w:cs="Arial"/>
          <w:b/>
          <w:sz w:val="20"/>
          <w:szCs w:val="20"/>
        </w:rPr>
        <w:t xml:space="preserve">) </w:t>
      </w:r>
      <w:r w:rsidR="000F7FD0" w:rsidRPr="00A057F5">
        <w:rPr>
          <w:rFonts w:asciiTheme="minorHAnsi" w:hAnsiTheme="minorHAnsi" w:cs="Arial"/>
          <w:b/>
          <w:sz w:val="20"/>
          <w:szCs w:val="20"/>
        </w:rPr>
        <w:t>Affordability</w:t>
      </w:r>
    </w:p>
    <w:p w14:paraId="16888A79" w14:textId="7E3C4D63" w:rsidR="004A5238" w:rsidRPr="00A057F5" w:rsidRDefault="006F4425" w:rsidP="00D86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A057F5">
        <w:rPr>
          <w:rFonts w:asciiTheme="minorHAnsi" w:hAnsiTheme="minorHAnsi" w:cs="Arial"/>
          <w:sz w:val="20"/>
          <w:szCs w:val="20"/>
        </w:rPr>
        <w:t xml:space="preserve">An additional IFRS 9 impairment provision had been created to cover the principal balance of those customers impacted by risk events which may need to be written off. These risk events arose from minor temporary data misalignment instances impacting a small number of accounts which have now been remediated. This overlay </w:t>
      </w:r>
      <w:r w:rsidR="00FC1D68">
        <w:rPr>
          <w:rFonts w:asciiTheme="minorHAnsi" w:hAnsiTheme="minorHAnsi" w:cs="Arial"/>
          <w:sz w:val="20"/>
          <w:szCs w:val="20"/>
        </w:rPr>
        <w:t>was</w:t>
      </w:r>
      <w:r w:rsidRPr="00A057F5">
        <w:rPr>
          <w:rFonts w:asciiTheme="minorHAnsi" w:hAnsiTheme="minorHAnsi" w:cs="Arial"/>
          <w:sz w:val="20"/>
          <w:szCs w:val="20"/>
        </w:rPr>
        <w:t xml:space="preserve"> fully released in 2023.</w:t>
      </w:r>
    </w:p>
    <w:p w14:paraId="30B3D765" w14:textId="77777777" w:rsidR="007B33A9" w:rsidRPr="00A057F5" w:rsidRDefault="007B33A9" w:rsidP="00D86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sz w:val="20"/>
          <w:szCs w:val="20"/>
        </w:rPr>
      </w:pPr>
    </w:p>
    <w:p w14:paraId="06A43BB0" w14:textId="1AAF4A26" w:rsidR="009E39DB" w:rsidRPr="00A057F5" w:rsidRDefault="009E39DB" w:rsidP="009E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sz w:val="20"/>
          <w:szCs w:val="20"/>
        </w:rPr>
      </w:pPr>
      <w:r w:rsidRPr="00A057F5">
        <w:rPr>
          <w:rFonts w:asciiTheme="minorHAnsi" w:hAnsiTheme="minorHAnsi" w:cs="Arial"/>
          <w:b/>
          <w:sz w:val="20"/>
          <w:szCs w:val="20"/>
        </w:rPr>
        <w:t>(</w:t>
      </w:r>
      <w:r w:rsidR="00DD2CBA" w:rsidRPr="00A057F5">
        <w:rPr>
          <w:rFonts w:asciiTheme="minorHAnsi" w:hAnsiTheme="minorHAnsi" w:cs="Arial"/>
          <w:b/>
          <w:sz w:val="20"/>
          <w:szCs w:val="20"/>
        </w:rPr>
        <w:t>c</w:t>
      </w:r>
      <w:r w:rsidRPr="00A057F5">
        <w:rPr>
          <w:rFonts w:asciiTheme="minorHAnsi" w:hAnsiTheme="minorHAnsi" w:cs="Arial"/>
          <w:b/>
          <w:sz w:val="20"/>
          <w:szCs w:val="20"/>
        </w:rPr>
        <w:t xml:space="preserve">) </w:t>
      </w:r>
      <w:r w:rsidR="000F7FD0" w:rsidRPr="00A057F5">
        <w:rPr>
          <w:rFonts w:asciiTheme="minorHAnsi" w:hAnsiTheme="minorHAnsi" w:cs="Arial"/>
          <w:b/>
          <w:sz w:val="20"/>
          <w:szCs w:val="20"/>
        </w:rPr>
        <w:t>Persistent debt</w:t>
      </w:r>
    </w:p>
    <w:p w14:paraId="5AB2E864" w14:textId="6D3D383A" w:rsidR="004A5238" w:rsidRPr="00A057F5" w:rsidRDefault="00E36174" w:rsidP="00C77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A057F5">
        <w:rPr>
          <w:rFonts w:asciiTheme="minorHAnsi" w:hAnsiTheme="minorHAnsi" w:cs="Arial"/>
          <w:sz w:val="20"/>
          <w:szCs w:val="20"/>
        </w:rPr>
        <w:t>A post-model overlay was calculated to refine provisioning for those customers who ha</w:t>
      </w:r>
      <w:r w:rsidR="00D275A8">
        <w:rPr>
          <w:rFonts w:asciiTheme="minorHAnsi" w:hAnsiTheme="minorHAnsi" w:cs="Arial"/>
          <w:sz w:val="20"/>
          <w:szCs w:val="20"/>
        </w:rPr>
        <w:t>d</w:t>
      </w:r>
      <w:r w:rsidRPr="00A057F5">
        <w:rPr>
          <w:rFonts w:asciiTheme="minorHAnsi" w:hAnsiTheme="minorHAnsi" w:cs="Arial"/>
          <w:sz w:val="20"/>
          <w:szCs w:val="20"/>
        </w:rPr>
        <w:t xml:space="preserve"> entered into persistent debt 36 months. These customers </w:t>
      </w:r>
      <w:r w:rsidR="00A84B02">
        <w:rPr>
          <w:rFonts w:asciiTheme="minorHAnsi" w:hAnsiTheme="minorHAnsi" w:cs="Arial"/>
          <w:sz w:val="20"/>
          <w:szCs w:val="20"/>
        </w:rPr>
        <w:t>were</w:t>
      </w:r>
      <w:r w:rsidRPr="00A057F5">
        <w:rPr>
          <w:rFonts w:asciiTheme="minorHAnsi" w:hAnsiTheme="minorHAnsi" w:cs="Arial"/>
          <w:sz w:val="20"/>
          <w:szCs w:val="20"/>
        </w:rPr>
        <w:t xml:space="preserve"> split into two categories: those who ha</w:t>
      </w:r>
      <w:r w:rsidR="00A84B02">
        <w:rPr>
          <w:rFonts w:asciiTheme="minorHAnsi" w:hAnsiTheme="minorHAnsi" w:cs="Arial"/>
          <w:sz w:val="20"/>
          <w:szCs w:val="20"/>
        </w:rPr>
        <w:t>d</w:t>
      </w:r>
      <w:r w:rsidRPr="00A057F5">
        <w:rPr>
          <w:rFonts w:asciiTheme="minorHAnsi" w:hAnsiTheme="minorHAnsi" w:cs="Arial"/>
          <w:sz w:val="20"/>
          <w:szCs w:val="20"/>
        </w:rPr>
        <w:t xml:space="preserve"> responded to communications and agreed to pay down their outstanding balance; and those who </w:t>
      </w:r>
      <w:r w:rsidR="00A84B02">
        <w:rPr>
          <w:rFonts w:asciiTheme="minorHAnsi" w:hAnsiTheme="minorHAnsi" w:cs="Arial"/>
          <w:sz w:val="20"/>
          <w:szCs w:val="20"/>
        </w:rPr>
        <w:t>were</w:t>
      </w:r>
      <w:r w:rsidRPr="00A057F5">
        <w:rPr>
          <w:rFonts w:asciiTheme="minorHAnsi" w:hAnsiTheme="minorHAnsi" w:cs="Arial"/>
          <w:sz w:val="20"/>
          <w:szCs w:val="20"/>
        </w:rPr>
        <w:t xml:space="preserve"> making minimum payments but ha</w:t>
      </w:r>
      <w:r w:rsidR="00A84B02">
        <w:rPr>
          <w:rFonts w:asciiTheme="minorHAnsi" w:hAnsiTheme="minorHAnsi" w:cs="Arial"/>
          <w:sz w:val="20"/>
          <w:szCs w:val="20"/>
        </w:rPr>
        <w:t>d</w:t>
      </w:r>
      <w:r w:rsidRPr="00A057F5">
        <w:rPr>
          <w:rFonts w:asciiTheme="minorHAnsi" w:hAnsiTheme="minorHAnsi" w:cs="Arial"/>
          <w:sz w:val="20"/>
          <w:szCs w:val="20"/>
        </w:rPr>
        <w:t xml:space="preserve"> not responded. This overlay </w:t>
      </w:r>
      <w:r w:rsidR="00A84B02">
        <w:rPr>
          <w:rFonts w:asciiTheme="minorHAnsi" w:hAnsiTheme="minorHAnsi" w:cs="Arial"/>
          <w:sz w:val="20"/>
          <w:szCs w:val="20"/>
        </w:rPr>
        <w:t>w</w:t>
      </w:r>
      <w:r w:rsidRPr="00A057F5">
        <w:rPr>
          <w:rFonts w:asciiTheme="minorHAnsi" w:hAnsiTheme="minorHAnsi" w:cs="Arial"/>
          <w:sz w:val="20"/>
          <w:szCs w:val="20"/>
        </w:rPr>
        <w:t>as  fully released in 2023, as this model drawback was remediated in the new model and hence included in the model overlay</w:t>
      </w:r>
      <w:r w:rsidR="000F7FD0" w:rsidRPr="00A057F5">
        <w:rPr>
          <w:rFonts w:asciiTheme="minorHAnsi" w:hAnsiTheme="minorHAnsi" w:cs="Arial"/>
          <w:sz w:val="20"/>
          <w:szCs w:val="20"/>
        </w:rPr>
        <w:t>.</w:t>
      </w:r>
    </w:p>
    <w:p w14:paraId="057AA6EA" w14:textId="77777777" w:rsidR="007B33A9" w:rsidRPr="00A057F5" w:rsidRDefault="007B33A9" w:rsidP="00C77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sz w:val="20"/>
          <w:szCs w:val="20"/>
        </w:rPr>
      </w:pPr>
    </w:p>
    <w:p w14:paraId="3AA4E247" w14:textId="1B085038" w:rsidR="00C77C81" w:rsidRPr="00A057F5" w:rsidRDefault="00C77C81" w:rsidP="00C77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sz w:val="20"/>
          <w:szCs w:val="20"/>
        </w:rPr>
      </w:pPr>
      <w:r w:rsidRPr="00A057F5">
        <w:rPr>
          <w:rFonts w:asciiTheme="minorHAnsi" w:hAnsiTheme="minorHAnsi" w:cs="Arial"/>
          <w:b/>
          <w:sz w:val="20"/>
          <w:szCs w:val="20"/>
        </w:rPr>
        <w:t>(</w:t>
      </w:r>
      <w:r w:rsidR="00A14842" w:rsidRPr="00A057F5">
        <w:rPr>
          <w:rFonts w:asciiTheme="minorHAnsi" w:hAnsiTheme="minorHAnsi" w:cs="Arial"/>
          <w:b/>
          <w:sz w:val="20"/>
          <w:szCs w:val="20"/>
        </w:rPr>
        <w:t>d</w:t>
      </w:r>
      <w:r w:rsidRPr="00A057F5">
        <w:rPr>
          <w:rFonts w:asciiTheme="minorHAnsi" w:hAnsiTheme="minorHAnsi" w:cs="Arial"/>
          <w:b/>
          <w:sz w:val="20"/>
          <w:szCs w:val="20"/>
        </w:rPr>
        <w:t xml:space="preserve">) </w:t>
      </w:r>
      <w:r w:rsidR="00497AEF" w:rsidRPr="00A057F5">
        <w:rPr>
          <w:rFonts w:asciiTheme="minorHAnsi" w:hAnsiTheme="minorHAnsi" w:cs="Arial"/>
          <w:b/>
          <w:sz w:val="20"/>
          <w:szCs w:val="20"/>
        </w:rPr>
        <w:t>Cost of living</w:t>
      </w:r>
    </w:p>
    <w:p w14:paraId="28D10C3E" w14:textId="77777777" w:rsidR="00D47586" w:rsidRDefault="00E8206D" w:rsidP="00C77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A057F5">
        <w:rPr>
          <w:rFonts w:asciiTheme="minorHAnsi" w:hAnsiTheme="minorHAnsi" w:cs="Arial"/>
          <w:sz w:val="20"/>
          <w:szCs w:val="20"/>
        </w:rPr>
        <w:t>A cost of living overlay was initially raised in 2021 due to rising inflation and higher energy costs, which might have impacted customers’ ability to make repayments. The actual effect on the customers’ ability to make repayments was</w:t>
      </w:r>
    </w:p>
    <w:p w14:paraId="634C44B5" w14:textId="77777777" w:rsidR="00FC771A" w:rsidRDefault="00FC771A" w:rsidP="00C77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6CDAF0F3" w14:textId="509445F2" w:rsidR="006638A2" w:rsidRPr="00A057F5" w:rsidRDefault="00E8206D" w:rsidP="00C77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A057F5">
        <w:rPr>
          <w:rFonts w:asciiTheme="minorHAnsi" w:hAnsiTheme="minorHAnsi" w:cs="Arial"/>
          <w:sz w:val="20"/>
          <w:szCs w:val="20"/>
        </w:rPr>
        <w:t>closely monitored s</w:t>
      </w:r>
      <w:r w:rsidR="00235493">
        <w:rPr>
          <w:rFonts w:asciiTheme="minorHAnsi" w:hAnsiTheme="minorHAnsi" w:cs="Arial"/>
          <w:sz w:val="20"/>
          <w:szCs w:val="20"/>
        </w:rPr>
        <w:t>ubsequently</w:t>
      </w:r>
      <w:r w:rsidRPr="00A057F5">
        <w:rPr>
          <w:rFonts w:asciiTheme="minorHAnsi" w:hAnsiTheme="minorHAnsi" w:cs="Arial"/>
          <w:sz w:val="20"/>
          <w:szCs w:val="20"/>
        </w:rPr>
        <w:t>, however the underlying credit metrics of the book remained stable and showed no signs of significant increase in credit risk. In 2023, both inflation and energy costs started stabilising and management decided to gradually release the overlay with full release by the end of 2023</w:t>
      </w:r>
      <w:r w:rsidR="009C731A" w:rsidRPr="00A057F5">
        <w:rPr>
          <w:rFonts w:asciiTheme="minorHAnsi" w:hAnsiTheme="minorHAnsi" w:cs="Arial"/>
          <w:sz w:val="20"/>
          <w:szCs w:val="20"/>
        </w:rPr>
        <w:t>.</w:t>
      </w:r>
    </w:p>
    <w:p w14:paraId="44388A11" w14:textId="5C4A91E9" w:rsidR="007B33A9" w:rsidRPr="00FC2436" w:rsidRDefault="007B33A9" w:rsidP="00C77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highlight w:val="yellow"/>
        </w:rPr>
      </w:pPr>
    </w:p>
    <w:p w14:paraId="13EF8D26" w14:textId="7E00EB6D" w:rsidR="006638A2" w:rsidRPr="00A057F5" w:rsidRDefault="006638A2" w:rsidP="00C77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sz w:val="20"/>
          <w:szCs w:val="20"/>
        </w:rPr>
      </w:pPr>
      <w:r w:rsidRPr="00A057F5">
        <w:rPr>
          <w:rFonts w:asciiTheme="minorHAnsi" w:hAnsiTheme="minorHAnsi" w:cs="Arial"/>
          <w:b/>
          <w:sz w:val="20"/>
          <w:szCs w:val="20"/>
        </w:rPr>
        <w:t xml:space="preserve">(e) </w:t>
      </w:r>
      <w:r w:rsidR="009C731A" w:rsidRPr="00A057F5">
        <w:rPr>
          <w:rFonts w:asciiTheme="minorHAnsi" w:hAnsiTheme="minorHAnsi" w:cs="Arial"/>
          <w:b/>
          <w:sz w:val="20"/>
          <w:szCs w:val="20"/>
        </w:rPr>
        <w:t>Recoveries</w:t>
      </w:r>
    </w:p>
    <w:p w14:paraId="6327027D" w14:textId="368DCEDD" w:rsidR="00065271" w:rsidRPr="00A057F5" w:rsidRDefault="00790A92" w:rsidP="00C77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A057F5">
        <w:rPr>
          <w:rFonts w:asciiTheme="minorHAnsi" w:hAnsiTheme="minorHAnsi" w:cs="Arial"/>
          <w:sz w:val="20"/>
          <w:szCs w:val="20"/>
        </w:rPr>
        <w:t>A post-model overlay was created in 2021 to account for an estimated reduction in recoveries for debt sold to debt collection agencies. Updated information and further refinement in understanding the extent of the exposure led to management fully releasing this overlay in 2023.</w:t>
      </w:r>
    </w:p>
    <w:p w14:paraId="7D4F1047" w14:textId="77777777" w:rsidR="007B33A9" w:rsidRPr="00A057F5" w:rsidRDefault="007B33A9" w:rsidP="00C77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60BB164F" w14:textId="33FF7715" w:rsidR="00790A92" w:rsidRPr="00A057F5" w:rsidRDefault="00790A92" w:rsidP="794EB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sz w:val="20"/>
          <w:szCs w:val="20"/>
        </w:rPr>
      </w:pPr>
      <w:r w:rsidRPr="00A057F5">
        <w:rPr>
          <w:rFonts w:asciiTheme="minorHAnsi" w:hAnsiTheme="minorHAnsi" w:cs="Arial"/>
          <w:b/>
          <w:sz w:val="20"/>
          <w:szCs w:val="20"/>
        </w:rPr>
        <w:t>(f) Other</w:t>
      </w:r>
    </w:p>
    <w:p w14:paraId="19E1BDE1" w14:textId="630982F8" w:rsidR="00790A92" w:rsidRDefault="00107253" w:rsidP="794EB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A057F5">
        <w:rPr>
          <w:rFonts w:asciiTheme="minorHAnsi" w:hAnsiTheme="minorHAnsi" w:cs="Arial"/>
          <w:sz w:val="20"/>
          <w:szCs w:val="20"/>
        </w:rPr>
        <w:t>Other includes adjustment for fraud and one day interest adjustment due to known model deficiencies</w:t>
      </w:r>
      <w:r>
        <w:rPr>
          <w:rFonts w:asciiTheme="minorHAnsi" w:hAnsiTheme="minorHAnsi" w:cs="Arial"/>
          <w:bCs/>
          <w:sz w:val="20"/>
          <w:szCs w:val="20"/>
        </w:rPr>
        <w:t>.</w:t>
      </w:r>
    </w:p>
    <w:p w14:paraId="6257DD66" w14:textId="77777777" w:rsidR="00CA224A" w:rsidRPr="00306AF1" w:rsidRDefault="00CA224A" w:rsidP="00A8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400FC11A" w14:textId="5BAB67AC" w:rsidR="00A860CE" w:rsidRDefault="00A860CE" w:rsidP="00A8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Cs/>
          <w:sz w:val="20"/>
          <w:szCs w:val="20"/>
        </w:rPr>
      </w:pPr>
      <w:r w:rsidRPr="00306AF1">
        <w:rPr>
          <w:rFonts w:asciiTheme="minorHAnsi" w:hAnsiTheme="minorHAnsi" w:cs="Arial"/>
          <w:bCs/>
          <w:sz w:val="20"/>
          <w:szCs w:val="20"/>
        </w:rPr>
        <w:t xml:space="preserve">A breakdown of the post-model </w:t>
      </w:r>
      <w:r w:rsidR="006313A2" w:rsidRPr="00306AF1">
        <w:rPr>
          <w:rFonts w:asciiTheme="minorHAnsi" w:hAnsiTheme="minorHAnsi" w:cs="Arial"/>
          <w:bCs/>
          <w:sz w:val="20"/>
          <w:szCs w:val="20"/>
        </w:rPr>
        <w:t xml:space="preserve">adjustments </w:t>
      </w:r>
      <w:r w:rsidRPr="00306AF1">
        <w:rPr>
          <w:rFonts w:asciiTheme="minorHAnsi" w:hAnsiTheme="minorHAnsi" w:cs="Arial"/>
          <w:bCs/>
          <w:sz w:val="20"/>
          <w:szCs w:val="20"/>
        </w:rPr>
        <w:t xml:space="preserve">for </w:t>
      </w:r>
      <w:r w:rsidR="00494235" w:rsidRPr="00306AF1">
        <w:rPr>
          <w:rFonts w:asciiTheme="minorHAnsi" w:hAnsiTheme="minorHAnsi" w:cs="Arial"/>
          <w:bCs/>
          <w:sz w:val="20"/>
          <w:szCs w:val="20"/>
        </w:rPr>
        <w:t>vehicle finance</w:t>
      </w:r>
      <w:r w:rsidRPr="00306AF1">
        <w:rPr>
          <w:rFonts w:asciiTheme="minorHAnsi" w:hAnsiTheme="minorHAnsi" w:cs="Arial"/>
          <w:bCs/>
          <w:sz w:val="20"/>
          <w:szCs w:val="20"/>
        </w:rPr>
        <w:t xml:space="preserve"> is shown below:</w:t>
      </w:r>
    </w:p>
    <w:p w14:paraId="4B7AD517" w14:textId="77777777" w:rsidR="00DA177F" w:rsidRDefault="00DA177F" w:rsidP="00A8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Cs/>
          <w:sz w:val="20"/>
          <w:szCs w:val="20"/>
        </w:rPr>
      </w:pPr>
    </w:p>
    <w:tbl>
      <w:tblPr>
        <w:tblW w:w="5000" w:type="pct"/>
        <w:tblLook w:val="04A0" w:firstRow="1" w:lastRow="0" w:firstColumn="1" w:lastColumn="0" w:noHBand="0" w:noVBand="1"/>
      </w:tblPr>
      <w:tblGrid>
        <w:gridCol w:w="3389"/>
        <w:gridCol w:w="264"/>
        <w:gridCol w:w="251"/>
        <w:gridCol w:w="1910"/>
        <w:gridCol w:w="1276"/>
        <w:gridCol w:w="1418"/>
        <w:gridCol w:w="1215"/>
      </w:tblGrid>
      <w:tr w:rsidR="000203B9" w14:paraId="3FA980A3" w14:textId="77777777" w:rsidTr="002725AC">
        <w:trPr>
          <w:trHeight w:val="778"/>
        </w:trPr>
        <w:tc>
          <w:tcPr>
            <w:tcW w:w="2008" w:type="pct"/>
            <w:gridSpan w:val="3"/>
            <w:vMerge w:val="restart"/>
            <w:tcBorders>
              <w:top w:val="nil"/>
              <w:left w:val="nil"/>
              <w:bottom w:val="nil"/>
              <w:right w:val="nil"/>
            </w:tcBorders>
            <w:shd w:val="clear" w:color="auto" w:fill="auto"/>
            <w:noWrap/>
            <w:vAlign w:val="center"/>
            <w:hideMark/>
          </w:tcPr>
          <w:p w14:paraId="0D21E8F4" w14:textId="77777777" w:rsidR="000203B9" w:rsidRDefault="000203B9">
            <w:pPr>
              <w:rPr>
                <w:rFonts w:asciiTheme="minorHAnsi" w:eastAsiaTheme="minorEastAsia" w:hAnsiTheme="minorHAnsi" w:cstheme="minorBidi"/>
                <w:b/>
                <w:color w:val="000000"/>
                <w:sz w:val="20"/>
                <w:szCs w:val="20"/>
              </w:rPr>
            </w:pPr>
            <w:r w:rsidRPr="7ACEA165">
              <w:rPr>
                <w:rFonts w:asciiTheme="minorHAnsi" w:eastAsiaTheme="minorEastAsia" w:hAnsiTheme="minorHAnsi" w:cstheme="minorBidi"/>
                <w:b/>
                <w:color w:val="000000" w:themeColor="text1"/>
                <w:sz w:val="20"/>
                <w:szCs w:val="20"/>
              </w:rPr>
              <w:t>Vehicle finance</w:t>
            </w:r>
          </w:p>
        </w:tc>
        <w:tc>
          <w:tcPr>
            <w:tcW w:w="981" w:type="pct"/>
            <w:vMerge w:val="restart"/>
            <w:tcBorders>
              <w:top w:val="nil"/>
              <w:left w:val="nil"/>
              <w:bottom w:val="nil"/>
              <w:right w:val="nil"/>
            </w:tcBorders>
            <w:shd w:val="clear" w:color="auto" w:fill="auto"/>
            <w:noWrap/>
            <w:vAlign w:val="center"/>
            <w:hideMark/>
          </w:tcPr>
          <w:p w14:paraId="68F29628" w14:textId="77777777" w:rsidR="000203B9" w:rsidRDefault="000203B9">
            <w:pPr>
              <w:rPr>
                <w:rFonts w:asciiTheme="minorHAnsi" w:eastAsiaTheme="minorEastAsia" w:hAnsiTheme="minorHAnsi" w:cstheme="minorBidi"/>
                <w:b/>
                <w:color w:val="000000"/>
                <w:sz w:val="20"/>
                <w:szCs w:val="20"/>
              </w:rPr>
            </w:pPr>
          </w:p>
        </w:tc>
        <w:tc>
          <w:tcPr>
            <w:tcW w:w="656" w:type="pct"/>
            <w:tcBorders>
              <w:top w:val="nil"/>
              <w:left w:val="nil"/>
              <w:bottom w:val="nil"/>
              <w:right w:val="nil"/>
            </w:tcBorders>
            <w:shd w:val="clear" w:color="auto" w:fill="F2F2F2" w:themeFill="background1" w:themeFillShade="F2"/>
            <w:vAlign w:val="center"/>
            <w:hideMark/>
          </w:tcPr>
          <w:p w14:paraId="4CB5237D" w14:textId="77777777" w:rsidR="000203B9" w:rsidRDefault="000203B9">
            <w:pPr>
              <w:jc w:val="right"/>
              <w:rPr>
                <w:rFonts w:asciiTheme="minorHAnsi" w:eastAsiaTheme="minorEastAsia" w:hAnsiTheme="minorHAnsi" w:cstheme="minorBidi"/>
                <w:b/>
                <w:color w:val="000000"/>
                <w:sz w:val="20"/>
                <w:szCs w:val="20"/>
              </w:rPr>
            </w:pPr>
            <w:r w:rsidRPr="7ACEA165">
              <w:rPr>
                <w:rFonts w:asciiTheme="minorHAnsi" w:eastAsiaTheme="minorEastAsia" w:hAnsiTheme="minorHAnsi" w:cstheme="minorBidi"/>
                <w:b/>
                <w:color w:val="000000" w:themeColor="text1"/>
                <w:sz w:val="20"/>
                <w:szCs w:val="20"/>
              </w:rPr>
              <w:t>30 June 2024</w:t>
            </w:r>
          </w:p>
          <w:p w14:paraId="3D775B3E" w14:textId="77777777" w:rsidR="000203B9" w:rsidRDefault="000203B9">
            <w:pPr>
              <w:jc w:val="right"/>
              <w:rPr>
                <w:rFonts w:asciiTheme="minorHAnsi" w:eastAsiaTheme="minorEastAsia" w:hAnsiTheme="minorHAnsi" w:cstheme="minorBidi"/>
                <w:b/>
                <w:color w:val="000000"/>
                <w:sz w:val="20"/>
                <w:szCs w:val="20"/>
              </w:rPr>
            </w:pPr>
          </w:p>
        </w:tc>
        <w:tc>
          <w:tcPr>
            <w:tcW w:w="729" w:type="pct"/>
            <w:tcBorders>
              <w:top w:val="nil"/>
              <w:left w:val="nil"/>
              <w:bottom w:val="nil"/>
              <w:right w:val="nil"/>
            </w:tcBorders>
            <w:shd w:val="clear" w:color="auto" w:fill="auto"/>
            <w:vAlign w:val="center"/>
            <w:hideMark/>
          </w:tcPr>
          <w:p w14:paraId="26F423C7" w14:textId="2ABAE553" w:rsidR="000203B9" w:rsidRDefault="000203B9">
            <w:pPr>
              <w:jc w:val="right"/>
              <w:rPr>
                <w:rFonts w:asciiTheme="minorHAnsi" w:eastAsiaTheme="minorEastAsia" w:hAnsiTheme="minorHAnsi" w:cstheme="minorBidi"/>
                <w:color w:val="000000"/>
                <w:sz w:val="20"/>
                <w:szCs w:val="20"/>
              </w:rPr>
            </w:pPr>
            <w:r w:rsidRPr="7ACEA165">
              <w:rPr>
                <w:rFonts w:asciiTheme="minorHAnsi" w:eastAsiaTheme="minorEastAsia" w:hAnsiTheme="minorHAnsi" w:cstheme="minorBidi"/>
                <w:color w:val="000000" w:themeColor="text1"/>
                <w:sz w:val="20"/>
                <w:szCs w:val="20"/>
              </w:rPr>
              <w:t>31 December 2023</w:t>
            </w:r>
            <w:r w:rsidR="00CE6B02" w:rsidRPr="7ACEA165">
              <w:rPr>
                <w:rFonts w:asciiTheme="minorHAnsi" w:eastAsiaTheme="minorEastAsia" w:hAnsiTheme="minorHAnsi" w:cstheme="minorBidi"/>
                <w:color w:val="000000" w:themeColor="text1"/>
                <w:sz w:val="20"/>
                <w:szCs w:val="20"/>
              </w:rPr>
              <w:t xml:space="preserve"> (restated)</w:t>
            </w:r>
            <w:r w:rsidR="004B66D2" w:rsidRPr="004B66D2">
              <w:rPr>
                <w:rFonts w:asciiTheme="minorHAnsi" w:eastAsiaTheme="minorEastAsia" w:hAnsiTheme="minorHAnsi" w:cstheme="minorBidi"/>
                <w:color w:val="000000" w:themeColor="text1"/>
                <w:sz w:val="20"/>
                <w:szCs w:val="20"/>
                <w:vertAlign w:val="superscript"/>
              </w:rPr>
              <w:t>1</w:t>
            </w:r>
          </w:p>
        </w:tc>
        <w:tc>
          <w:tcPr>
            <w:tcW w:w="626" w:type="pct"/>
            <w:tcBorders>
              <w:top w:val="nil"/>
              <w:left w:val="nil"/>
              <w:bottom w:val="nil"/>
              <w:right w:val="nil"/>
            </w:tcBorders>
            <w:shd w:val="clear" w:color="auto" w:fill="auto"/>
            <w:vAlign w:val="center"/>
            <w:hideMark/>
          </w:tcPr>
          <w:p w14:paraId="7F0D635A" w14:textId="6ABC1114" w:rsidR="000203B9" w:rsidRDefault="000203B9">
            <w:pPr>
              <w:jc w:val="right"/>
              <w:rPr>
                <w:rFonts w:asciiTheme="minorHAnsi" w:eastAsiaTheme="minorEastAsia" w:hAnsiTheme="minorHAnsi" w:cstheme="minorBidi"/>
                <w:color w:val="000000"/>
                <w:sz w:val="20"/>
                <w:szCs w:val="20"/>
              </w:rPr>
            </w:pPr>
            <w:r w:rsidRPr="7ACEA165">
              <w:rPr>
                <w:rFonts w:asciiTheme="minorHAnsi" w:eastAsiaTheme="minorEastAsia" w:hAnsiTheme="minorHAnsi" w:cstheme="minorBidi"/>
                <w:color w:val="000000" w:themeColor="text1"/>
                <w:sz w:val="20"/>
                <w:szCs w:val="20"/>
              </w:rPr>
              <w:t>30 June 202</w:t>
            </w:r>
            <w:r w:rsidR="0016436F">
              <w:rPr>
                <w:rFonts w:asciiTheme="minorHAnsi" w:eastAsiaTheme="minorEastAsia" w:hAnsiTheme="minorHAnsi" w:cstheme="minorBidi"/>
                <w:color w:val="000000" w:themeColor="text1"/>
                <w:sz w:val="20"/>
                <w:szCs w:val="20"/>
              </w:rPr>
              <w:t>3</w:t>
            </w:r>
            <w:r w:rsidR="00CE6B02" w:rsidRPr="7ACEA165">
              <w:rPr>
                <w:rFonts w:asciiTheme="minorHAnsi" w:eastAsiaTheme="minorEastAsia" w:hAnsiTheme="minorHAnsi" w:cstheme="minorBidi"/>
                <w:color w:val="000000" w:themeColor="text1"/>
                <w:sz w:val="20"/>
                <w:szCs w:val="20"/>
              </w:rPr>
              <w:t xml:space="preserve"> (restated)</w:t>
            </w:r>
            <w:r w:rsidR="004B66D2" w:rsidRPr="004B66D2">
              <w:rPr>
                <w:rFonts w:asciiTheme="minorHAnsi" w:eastAsiaTheme="minorEastAsia" w:hAnsiTheme="minorHAnsi" w:cstheme="minorBidi"/>
                <w:color w:val="000000" w:themeColor="text1"/>
                <w:sz w:val="20"/>
                <w:szCs w:val="20"/>
                <w:vertAlign w:val="superscript"/>
              </w:rPr>
              <w:t>1</w:t>
            </w:r>
          </w:p>
        </w:tc>
      </w:tr>
      <w:tr w:rsidR="000203B9" w14:paraId="0FB6E2D9" w14:textId="77777777" w:rsidTr="002725AC">
        <w:trPr>
          <w:trHeight w:val="303"/>
        </w:trPr>
        <w:tc>
          <w:tcPr>
            <w:tcW w:w="2008" w:type="pct"/>
            <w:gridSpan w:val="3"/>
            <w:vMerge/>
            <w:vAlign w:val="center"/>
            <w:hideMark/>
          </w:tcPr>
          <w:p w14:paraId="7A183E5A" w14:textId="77777777" w:rsidR="000203B9" w:rsidRDefault="000203B9">
            <w:pPr>
              <w:rPr>
                <w:rFonts w:ascii="Calibri" w:hAnsi="Calibri" w:cs="Calibri"/>
                <w:b/>
                <w:bCs/>
                <w:color w:val="000000"/>
                <w:sz w:val="20"/>
                <w:szCs w:val="20"/>
              </w:rPr>
            </w:pPr>
          </w:p>
        </w:tc>
        <w:tc>
          <w:tcPr>
            <w:tcW w:w="981" w:type="pct"/>
            <w:vMerge/>
            <w:vAlign w:val="center"/>
            <w:hideMark/>
          </w:tcPr>
          <w:p w14:paraId="0F1CFEA1" w14:textId="77777777" w:rsidR="000203B9" w:rsidRDefault="000203B9">
            <w:pPr>
              <w:rPr>
                <w:rFonts w:ascii="Calibri" w:hAnsi="Calibri" w:cs="Calibri"/>
                <w:b/>
                <w:bCs/>
                <w:color w:val="000000"/>
                <w:sz w:val="20"/>
                <w:szCs w:val="20"/>
              </w:rPr>
            </w:pPr>
          </w:p>
        </w:tc>
        <w:tc>
          <w:tcPr>
            <w:tcW w:w="656" w:type="pct"/>
            <w:tcBorders>
              <w:top w:val="nil"/>
              <w:left w:val="nil"/>
              <w:bottom w:val="single" w:sz="8" w:space="0" w:color="auto"/>
              <w:right w:val="nil"/>
            </w:tcBorders>
            <w:shd w:val="clear" w:color="auto" w:fill="F2F2F2" w:themeFill="background1" w:themeFillShade="F2"/>
            <w:noWrap/>
            <w:vAlign w:val="center"/>
            <w:hideMark/>
          </w:tcPr>
          <w:p w14:paraId="66612ABF" w14:textId="77777777" w:rsidR="000203B9" w:rsidRDefault="000203B9">
            <w:pPr>
              <w:jc w:val="right"/>
              <w:rPr>
                <w:rFonts w:asciiTheme="minorHAnsi" w:eastAsiaTheme="minorEastAsia" w:hAnsiTheme="minorHAnsi" w:cstheme="minorBidi"/>
                <w:b/>
                <w:color w:val="000000"/>
                <w:sz w:val="20"/>
                <w:szCs w:val="20"/>
              </w:rPr>
            </w:pPr>
            <w:r w:rsidRPr="7ACEA165">
              <w:rPr>
                <w:rFonts w:asciiTheme="minorHAnsi" w:eastAsiaTheme="minorEastAsia" w:hAnsiTheme="minorHAnsi" w:cstheme="minorBidi"/>
                <w:b/>
                <w:color w:val="000000" w:themeColor="text1"/>
                <w:sz w:val="20"/>
                <w:szCs w:val="20"/>
              </w:rPr>
              <w:t>£m </w:t>
            </w:r>
          </w:p>
        </w:tc>
        <w:tc>
          <w:tcPr>
            <w:tcW w:w="729" w:type="pct"/>
            <w:tcBorders>
              <w:top w:val="nil"/>
              <w:left w:val="nil"/>
              <w:bottom w:val="single" w:sz="8" w:space="0" w:color="auto"/>
              <w:right w:val="nil"/>
            </w:tcBorders>
            <w:shd w:val="clear" w:color="auto" w:fill="auto"/>
            <w:noWrap/>
            <w:vAlign w:val="center"/>
            <w:hideMark/>
          </w:tcPr>
          <w:p w14:paraId="38B1CD6F" w14:textId="77777777" w:rsidR="000203B9" w:rsidRDefault="000203B9">
            <w:pPr>
              <w:jc w:val="right"/>
              <w:rPr>
                <w:rFonts w:asciiTheme="minorHAnsi" w:eastAsiaTheme="minorEastAsia" w:hAnsiTheme="minorHAnsi" w:cstheme="minorBidi"/>
                <w:color w:val="000000"/>
                <w:sz w:val="20"/>
                <w:szCs w:val="20"/>
              </w:rPr>
            </w:pPr>
            <w:r w:rsidRPr="7ACEA165">
              <w:rPr>
                <w:rFonts w:asciiTheme="minorHAnsi" w:eastAsiaTheme="minorEastAsia" w:hAnsiTheme="minorHAnsi" w:cstheme="minorBidi"/>
                <w:color w:val="000000" w:themeColor="text1"/>
                <w:sz w:val="20"/>
                <w:szCs w:val="20"/>
              </w:rPr>
              <w:t>£m</w:t>
            </w:r>
          </w:p>
        </w:tc>
        <w:tc>
          <w:tcPr>
            <w:tcW w:w="626" w:type="pct"/>
            <w:tcBorders>
              <w:top w:val="nil"/>
              <w:left w:val="nil"/>
              <w:bottom w:val="single" w:sz="8" w:space="0" w:color="auto"/>
              <w:right w:val="nil"/>
            </w:tcBorders>
            <w:shd w:val="clear" w:color="auto" w:fill="auto"/>
            <w:noWrap/>
            <w:vAlign w:val="center"/>
            <w:hideMark/>
          </w:tcPr>
          <w:p w14:paraId="1822F252" w14:textId="77777777" w:rsidR="000203B9" w:rsidRDefault="000203B9">
            <w:pPr>
              <w:jc w:val="right"/>
              <w:rPr>
                <w:rFonts w:asciiTheme="minorHAnsi" w:eastAsiaTheme="minorEastAsia" w:hAnsiTheme="minorHAnsi" w:cstheme="minorBidi"/>
                <w:color w:val="000000"/>
                <w:sz w:val="20"/>
                <w:szCs w:val="20"/>
              </w:rPr>
            </w:pPr>
            <w:r w:rsidRPr="7ACEA165">
              <w:rPr>
                <w:rFonts w:asciiTheme="minorHAnsi" w:eastAsiaTheme="minorEastAsia" w:hAnsiTheme="minorHAnsi" w:cstheme="minorBidi"/>
                <w:color w:val="000000" w:themeColor="text1"/>
                <w:sz w:val="20"/>
                <w:szCs w:val="20"/>
              </w:rPr>
              <w:t>£m</w:t>
            </w:r>
          </w:p>
        </w:tc>
      </w:tr>
      <w:tr w:rsidR="00C85F68" w14:paraId="27818FD3" w14:textId="77777777" w:rsidTr="00C85F68">
        <w:trPr>
          <w:trHeight w:val="288"/>
        </w:trPr>
        <w:tc>
          <w:tcPr>
            <w:tcW w:w="1743" w:type="pct"/>
            <w:tcBorders>
              <w:top w:val="nil"/>
              <w:left w:val="nil"/>
              <w:bottom w:val="nil"/>
              <w:right w:val="nil"/>
            </w:tcBorders>
            <w:shd w:val="clear" w:color="auto" w:fill="auto"/>
            <w:noWrap/>
            <w:vAlign w:val="center"/>
            <w:hideMark/>
          </w:tcPr>
          <w:p w14:paraId="76295501" w14:textId="77777777" w:rsidR="000203B9" w:rsidRDefault="000203B9">
            <w:pPr>
              <w:rPr>
                <w:rFonts w:asciiTheme="minorHAnsi" w:eastAsiaTheme="minorEastAsia" w:hAnsiTheme="minorHAnsi" w:cstheme="minorBidi"/>
                <w:color w:val="000000"/>
                <w:sz w:val="20"/>
                <w:szCs w:val="20"/>
              </w:rPr>
            </w:pPr>
            <w:r w:rsidRPr="7ACEA165">
              <w:rPr>
                <w:rFonts w:asciiTheme="minorHAnsi" w:eastAsiaTheme="minorEastAsia" w:hAnsiTheme="minorHAnsi" w:cstheme="minorBidi"/>
                <w:color w:val="000000" w:themeColor="text1"/>
                <w:sz w:val="20"/>
                <w:szCs w:val="20"/>
              </w:rPr>
              <w:t>Core model</w:t>
            </w:r>
          </w:p>
        </w:tc>
        <w:tc>
          <w:tcPr>
            <w:tcW w:w="136" w:type="pct"/>
            <w:tcBorders>
              <w:top w:val="nil"/>
              <w:left w:val="nil"/>
              <w:bottom w:val="nil"/>
              <w:right w:val="nil"/>
            </w:tcBorders>
            <w:shd w:val="clear" w:color="auto" w:fill="auto"/>
            <w:noWrap/>
            <w:vAlign w:val="bottom"/>
            <w:hideMark/>
          </w:tcPr>
          <w:p w14:paraId="2AAEEDB8" w14:textId="77777777" w:rsidR="000203B9" w:rsidRDefault="000203B9">
            <w:pPr>
              <w:rPr>
                <w:rFonts w:asciiTheme="minorHAnsi" w:eastAsiaTheme="minorEastAsia" w:hAnsiTheme="minorHAnsi" w:cstheme="minorBidi"/>
                <w:color w:val="000000"/>
                <w:sz w:val="20"/>
                <w:szCs w:val="20"/>
              </w:rPr>
            </w:pPr>
          </w:p>
        </w:tc>
        <w:tc>
          <w:tcPr>
            <w:tcW w:w="129" w:type="pct"/>
            <w:tcBorders>
              <w:top w:val="nil"/>
              <w:left w:val="nil"/>
              <w:bottom w:val="nil"/>
              <w:right w:val="nil"/>
            </w:tcBorders>
            <w:shd w:val="clear" w:color="auto" w:fill="auto"/>
            <w:noWrap/>
            <w:vAlign w:val="bottom"/>
            <w:hideMark/>
          </w:tcPr>
          <w:p w14:paraId="13E2641E" w14:textId="77777777" w:rsidR="000203B9" w:rsidRDefault="000203B9">
            <w:pPr>
              <w:rPr>
                <w:rFonts w:asciiTheme="minorHAnsi" w:eastAsiaTheme="minorEastAsia" w:hAnsiTheme="minorHAnsi" w:cstheme="minorBidi"/>
                <w:sz w:val="20"/>
                <w:szCs w:val="20"/>
              </w:rPr>
            </w:pPr>
          </w:p>
        </w:tc>
        <w:tc>
          <w:tcPr>
            <w:tcW w:w="981" w:type="pct"/>
            <w:tcBorders>
              <w:top w:val="nil"/>
              <w:left w:val="nil"/>
              <w:bottom w:val="nil"/>
              <w:right w:val="nil"/>
            </w:tcBorders>
            <w:shd w:val="clear" w:color="auto" w:fill="auto"/>
            <w:noWrap/>
            <w:vAlign w:val="bottom"/>
            <w:hideMark/>
          </w:tcPr>
          <w:p w14:paraId="6F27962E" w14:textId="77777777" w:rsidR="000203B9" w:rsidRDefault="000203B9">
            <w:pPr>
              <w:rPr>
                <w:rFonts w:asciiTheme="minorHAnsi" w:eastAsiaTheme="minorEastAsia" w:hAnsiTheme="minorHAnsi" w:cstheme="minorBidi"/>
                <w:sz w:val="20"/>
                <w:szCs w:val="20"/>
              </w:rPr>
            </w:pPr>
          </w:p>
        </w:tc>
        <w:tc>
          <w:tcPr>
            <w:tcW w:w="656" w:type="pct"/>
            <w:tcBorders>
              <w:top w:val="nil"/>
              <w:left w:val="nil"/>
              <w:bottom w:val="nil"/>
              <w:right w:val="nil"/>
            </w:tcBorders>
            <w:shd w:val="clear" w:color="auto" w:fill="F2F2F2" w:themeFill="background1" w:themeFillShade="F2"/>
            <w:noWrap/>
            <w:vAlign w:val="center"/>
            <w:hideMark/>
          </w:tcPr>
          <w:p w14:paraId="5CB96742" w14:textId="77777777" w:rsidR="000203B9" w:rsidRDefault="000203B9">
            <w:pPr>
              <w:jc w:val="right"/>
              <w:rPr>
                <w:rFonts w:asciiTheme="minorHAnsi" w:eastAsiaTheme="minorEastAsia" w:hAnsiTheme="minorHAnsi" w:cstheme="minorBidi"/>
                <w:b/>
                <w:color w:val="000000"/>
                <w:sz w:val="20"/>
                <w:szCs w:val="20"/>
              </w:rPr>
            </w:pPr>
            <w:r w:rsidRPr="7ACEA165">
              <w:rPr>
                <w:rFonts w:asciiTheme="minorHAnsi" w:eastAsiaTheme="minorEastAsia" w:hAnsiTheme="minorHAnsi" w:cstheme="minorBidi"/>
                <w:b/>
                <w:color w:val="000000" w:themeColor="text1"/>
                <w:sz w:val="20"/>
                <w:szCs w:val="20"/>
              </w:rPr>
              <w:t>165.7</w:t>
            </w:r>
          </w:p>
        </w:tc>
        <w:tc>
          <w:tcPr>
            <w:tcW w:w="729" w:type="pct"/>
            <w:tcBorders>
              <w:top w:val="nil"/>
              <w:left w:val="nil"/>
              <w:bottom w:val="nil"/>
              <w:right w:val="nil"/>
            </w:tcBorders>
            <w:shd w:val="clear" w:color="auto" w:fill="auto"/>
            <w:noWrap/>
            <w:vAlign w:val="center"/>
            <w:hideMark/>
          </w:tcPr>
          <w:p w14:paraId="4FBB3541" w14:textId="0C199872" w:rsidR="000203B9" w:rsidRDefault="00E7741C">
            <w:pPr>
              <w:jc w:val="right"/>
              <w:rPr>
                <w:rFonts w:asciiTheme="minorHAnsi" w:eastAsiaTheme="minorEastAsia" w:hAnsiTheme="minorHAnsi" w:cstheme="minorBidi"/>
                <w:color w:val="000000"/>
                <w:sz w:val="20"/>
                <w:szCs w:val="20"/>
              </w:rPr>
            </w:pPr>
            <w:r>
              <w:rPr>
                <w:rFonts w:asciiTheme="minorHAnsi" w:eastAsiaTheme="minorEastAsia" w:hAnsiTheme="minorHAnsi" w:cstheme="minorBidi"/>
                <w:color w:val="000000" w:themeColor="text1"/>
                <w:sz w:val="20"/>
                <w:szCs w:val="20"/>
              </w:rPr>
              <w:t>419.5</w:t>
            </w:r>
          </w:p>
        </w:tc>
        <w:tc>
          <w:tcPr>
            <w:tcW w:w="626" w:type="pct"/>
            <w:tcBorders>
              <w:top w:val="nil"/>
              <w:left w:val="nil"/>
              <w:bottom w:val="nil"/>
              <w:right w:val="nil"/>
            </w:tcBorders>
            <w:shd w:val="clear" w:color="auto" w:fill="auto"/>
            <w:noWrap/>
            <w:vAlign w:val="center"/>
            <w:hideMark/>
          </w:tcPr>
          <w:p w14:paraId="5BF6D621" w14:textId="07078993" w:rsidR="000203B9" w:rsidRDefault="00D225FC">
            <w:pPr>
              <w:jc w:val="right"/>
              <w:rPr>
                <w:rFonts w:asciiTheme="minorHAnsi" w:eastAsiaTheme="minorEastAsia" w:hAnsiTheme="minorHAnsi" w:cstheme="minorBidi"/>
                <w:color w:val="000000"/>
                <w:sz w:val="20"/>
                <w:szCs w:val="20"/>
              </w:rPr>
            </w:pPr>
            <w:r>
              <w:rPr>
                <w:rFonts w:asciiTheme="minorHAnsi" w:eastAsiaTheme="minorEastAsia" w:hAnsiTheme="minorHAnsi" w:cstheme="minorBidi"/>
                <w:color w:val="000000" w:themeColor="text1"/>
                <w:sz w:val="20"/>
                <w:szCs w:val="20"/>
              </w:rPr>
              <w:t>375.9</w:t>
            </w:r>
          </w:p>
        </w:tc>
      </w:tr>
      <w:tr w:rsidR="000203B9" w14:paraId="338D26C9" w14:textId="77777777" w:rsidTr="002725AC">
        <w:trPr>
          <w:trHeight w:val="288"/>
        </w:trPr>
        <w:tc>
          <w:tcPr>
            <w:tcW w:w="2990" w:type="pct"/>
            <w:gridSpan w:val="4"/>
            <w:tcBorders>
              <w:top w:val="nil"/>
              <w:left w:val="nil"/>
              <w:bottom w:val="nil"/>
              <w:right w:val="nil"/>
            </w:tcBorders>
            <w:shd w:val="clear" w:color="auto" w:fill="auto"/>
            <w:noWrap/>
            <w:vAlign w:val="center"/>
            <w:hideMark/>
          </w:tcPr>
          <w:p w14:paraId="30775158" w14:textId="77777777" w:rsidR="000203B9" w:rsidRDefault="000203B9">
            <w:pPr>
              <w:rPr>
                <w:rFonts w:asciiTheme="minorHAnsi" w:eastAsiaTheme="minorEastAsia" w:hAnsiTheme="minorHAnsi" w:cstheme="minorBidi"/>
                <w:color w:val="000000"/>
                <w:sz w:val="20"/>
                <w:szCs w:val="20"/>
              </w:rPr>
            </w:pPr>
            <w:r w:rsidRPr="7ACEA165">
              <w:rPr>
                <w:rFonts w:asciiTheme="minorHAnsi" w:eastAsiaTheme="minorEastAsia" w:hAnsiTheme="minorHAnsi" w:cstheme="minorBidi"/>
                <w:color w:val="000000" w:themeColor="text1"/>
                <w:sz w:val="20"/>
                <w:szCs w:val="20"/>
              </w:rPr>
              <w:t>New Model (under)/overlays (note (a))</w:t>
            </w:r>
          </w:p>
        </w:tc>
        <w:tc>
          <w:tcPr>
            <w:tcW w:w="656" w:type="pct"/>
            <w:tcBorders>
              <w:top w:val="nil"/>
              <w:left w:val="nil"/>
              <w:bottom w:val="nil"/>
              <w:right w:val="nil"/>
            </w:tcBorders>
            <w:shd w:val="clear" w:color="auto" w:fill="F2F2F2" w:themeFill="background1" w:themeFillShade="F2"/>
            <w:noWrap/>
            <w:vAlign w:val="center"/>
            <w:hideMark/>
          </w:tcPr>
          <w:p w14:paraId="6C785F94" w14:textId="77777777" w:rsidR="000203B9" w:rsidRPr="002725AC" w:rsidRDefault="000203B9">
            <w:pPr>
              <w:jc w:val="right"/>
              <w:rPr>
                <w:rFonts w:asciiTheme="minorHAnsi" w:eastAsiaTheme="minorEastAsia" w:hAnsiTheme="minorHAnsi" w:cstheme="minorBidi"/>
                <w:b/>
                <w:color w:val="000000"/>
                <w:sz w:val="20"/>
                <w:szCs w:val="20"/>
              </w:rPr>
            </w:pPr>
            <w:r w:rsidRPr="002725AC">
              <w:rPr>
                <w:rFonts w:asciiTheme="minorHAnsi" w:eastAsiaTheme="minorEastAsia" w:hAnsiTheme="minorHAnsi" w:cstheme="minorBidi"/>
                <w:b/>
                <w:color w:val="000000" w:themeColor="text1"/>
                <w:sz w:val="20"/>
                <w:szCs w:val="20"/>
              </w:rPr>
              <w:t>-</w:t>
            </w:r>
          </w:p>
        </w:tc>
        <w:tc>
          <w:tcPr>
            <w:tcW w:w="729" w:type="pct"/>
            <w:tcBorders>
              <w:top w:val="nil"/>
              <w:left w:val="nil"/>
              <w:bottom w:val="nil"/>
              <w:right w:val="nil"/>
            </w:tcBorders>
            <w:shd w:val="clear" w:color="auto" w:fill="auto"/>
            <w:noWrap/>
            <w:vAlign w:val="center"/>
            <w:hideMark/>
          </w:tcPr>
          <w:p w14:paraId="60F79CF6" w14:textId="77777777" w:rsidR="000203B9" w:rsidRDefault="000203B9">
            <w:pPr>
              <w:jc w:val="right"/>
              <w:rPr>
                <w:rFonts w:asciiTheme="minorHAnsi" w:eastAsiaTheme="minorEastAsia" w:hAnsiTheme="minorHAnsi" w:cstheme="minorBidi"/>
                <w:color w:val="000000"/>
                <w:sz w:val="20"/>
                <w:szCs w:val="20"/>
              </w:rPr>
            </w:pPr>
            <w:r w:rsidRPr="7ACEA165">
              <w:rPr>
                <w:rFonts w:asciiTheme="minorHAnsi" w:eastAsiaTheme="minorEastAsia" w:hAnsiTheme="minorHAnsi" w:cstheme="minorBidi"/>
                <w:color w:val="000000" w:themeColor="text1"/>
                <w:sz w:val="20"/>
                <w:szCs w:val="20"/>
              </w:rPr>
              <w:t>(47.0)</w:t>
            </w:r>
          </w:p>
        </w:tc>
        <w:tc>
          <w:tcPr>
            <w:tcW w:w="626" w:type="pct"/>
            <w:tcBorders>
              <w:top w:val="nil"/>
              <w:left w:val="nil"/>
              <w:bottom w:val="nil"/>
              <w:right w:val="nil"/>
            </w:tcBorders>
            <w:shd w:val="clear" w:color="auto" w:fill="auto"/>
            <w:noWrap/>
            <w:vAlign w:val="center"/>
            <w:hideMark/>
          </w:tcPr>
          <w:p w14:paraId="164D6E4C" w14:textId="77777777" w:rsidR="000203B9" w:rsidRDefault="000203B9">
            <w:pPr>
              <w:jc w:val="right"/>
              <w:rPr>
                <w:rFonts w:asciiTheme="minorHAnsi" w:eastAsiaTheme="minorEastAsia" w:hAnsiTheme="minorHAnsi" w:cstheme="minorBidi"/>
                <w:color w:val="000000"/>
                <w:sz w:val="20"/>
                <w:szCs w:val="20"/>
              </w:rPr>
            </w:pPr>
            <w:r w:rsidRPr="7ACEA165">
              <w:rPr>
                <w:rFonts w:asciiTheme="minorHAnsi" w:eastAsiaTheme="minorEastAsia" w:hAnsiTheme="minorHAnsi" w:cstheme="minorBidi"/>
                <w:color w:val="000000" w:themeColor="text1"/>
                <w:sz w:val="20"/>
                <w:szCs w:val="20"/>
              </w:rPr>
              <w:t>-</w:t>
            </w:r>
          </w:p>
        </w:tc>
      </w:tr>
      <w:tr w:rsidR="00C85F68" w14:paraId="0C76A460" w14:textId="77777777" w:rsidTr="00C85F68">
        <w:trPr>
          <w:trHeight w:val="303"/>
        </w:trPr>
        <w:tc>
          <w:tcPr>
            <w:tcW w:w="2008" w:type="pct"/>
            <w:gridSpan w:val="3"/>
            <w:tcBorders>
              <w:top w:val="nil"/>
              <w:left w:val="nil"/>
              <w:bottom w:val="nil"/>
              <w:right w:val="nil"/>
            </w:tcBorders>
            <w:shd w:val="clear" w:color="auto" w:fill="auto"/>
            <w:noWrap/>
            <w:vAlign w:val="center"/>
            <w:hideMark/>
          </w:tcPr>
          <w:p w14:paraId="4915CA4E" w14:textId="77777777" w:rsidR="000203B9" w:rsidRDefault="000203B9">
            <w:pPr>
              <w:rPr>
                <w:rFonts w:asciiTheme="minorHAnsi" w:eastAsiaTheme="minorEastAsia" w:hAnsiTheme="minorHAnsi" w:cstheme="minorBidi"/>
                <w:color w:val="000000"/>
                <w:sz w:val="20"/>
                <w:szCs w:val="20"/>
              </w:rPr>
            </w:pPr>
            <w:r w:rsidRPr="7ACEA165">
              <w:rPr>
                <w:rFonts w:asciiTheme="minorHAnsi" w:eastAsiaTheme="minorEastAsia" w:hAnsiTheme="minorHAnsi" w:cstheme="minorBidi"/>
                <w:color w:val="000000" w:themeColor="text1"/>
                <w:sz w:val="20"/>
                <w:szCs w:val="20"/>
              </w:rPr>
              <w:t>Post Model (under)/overlays</w:t>
            </w:r>
          </w:p>
        </w:tc>
        <w:tc>
          <w:tcPr>
            <w:tcW w:w="981" w:type="pct"/>
            <w:tcBorders>
              <w:top w:val="nil"/>
              <w:left w:val="nil"/>
              <w:bottom w:val="nil"/>
              <w:right w:val="nil"/>
            </w:tcBorders>
            <w:shd w:val="clear" w:color="auto" w:fill="auto"/>
            <w:noWrap/>
            <w:vAlign w:val="bottom"/>
            <w:hideMark/>
          </w:tcPr>
          <w:p w14:paraId="63FEF1A5" w14:textId="77777777" w:rsidR="000203B9" w:rsidRDefault="000203B9">
            <w:pPr>
              <w:rPr>
                <w:rFonts w:asciiTheme="minorHAnsi" w:eastAsiaTheme="minorEastAsia" w:hAnsiTheme="minorHAnsi" w:cstheme="minorBidi"/>
                <w:color w:val="000000"/>
                <w:sz w:val="20"/>
                <w:szCs w:val="20"/>
              </w:rPr>
            </w:pPr>
          </w:p>
        </w:tc>
        <w:tc>
          <w:tcPr>
            <w:tcW w:w="656" w:type="pct"/>
            <w:tcBorders>
              <w:top w:val="nil"/>
              <w:left w:val="nil"/>
              <w:bottom w:val="nil"/>
              <w:right w:val="nil"/>
            </w:tcBorders>
            <w:shd w:val="clear" w:color="auto" w:fill="F2F2F2" w:themeFill="background1" w:themeFillShade="F2"/>
            <w:noWrap/>
            <w:vAlign w:val="center"/>
            <w:hideMark/>
          </w:tcPr>
          <w:p w14:paraId="46892294" w14:textId="77777777" w:rsidR="000203B9" w:rsidRDefault="000203B9">
            <w:pPr>
              <w:jc w:val="right"/>
              <w:rPr>
                <w:rFonts w:asciiTheme="minorHAnsi" w:eastAsiaTheme="minorEastAsia" w:hAnsiTheme="minorHAnsi" w:cstheme="minorBidi"/>
                <w:b/>
                <w:color w:val="000000"/>
                <w:sz w:val="20"/>
                <w:szCs w:val="20"/>
              </w:rPr>
            </w:pPr>
            <w:r w:rsidRPr="7ACEA165">
              <w:rPr>
                <w:rFonts w:asciiTheme="minorHAnsi" w:eastAsiaTheme="minorEastAsia" w:hAnsiTheme="minorHAnsi" w:cstheme="minorBidi"/>
                <w:b/>
                <w:color w:val="000000" w:themeColor="text1"/>
                <w:sz w:val="20"/>
                <w:szCs w:val="20"/>
              </w:rPr>
              <w:t>(5.3)</w:t>
            </w:r>
          </w:p>
        </w:tc>
        <w:tc>
          <w:tcPr>
            <w:tcW w:w="729" w:type="pct"/>
            <w:tcBorders>
              <w:top w:val="nil"/>
              <w:left w:val="nil"/>
              <w:bottom w:val="nil"/>
              <w:right w:val="nil"/>
            </w:tcBorders>
            <w:shd w:val="clear" w:color="auto" w:fill="auto"/>
            <w:noWrap/>
            <w:vAlign w:val="center"/>
            <w:hideMark/>
          </w:tcPr>
          <w:p w14:paraId="1600673A" w14:textId="39331CAF" w:rsidR="000203B9" w:rsidRDefault="000203B9">
            <w:pPr>
              <w:jc w:val="right"/>
              <w:rPr>
                <w:rFonts w:asciiTheme="minorHAnsi" w:eastAsiaTheme="minorEastAsia" w:hAnsiTheme="minorHAnsi" w:cstheme="minorBidi"/>
                <w:color w:val="000000"/>
                <w:sz w:val="20"/>
                <w:szCs w:val="20"/>
              </w:rPr>
            </w:pPr>
            <w:r w:rsidRPr="7ACEA165">
              <w:rPr>
                <w:rFonts w:asciiTheme="minorHAnsi" w:eastAsiaTheme="minorEastAsia" w:hAnsiTheme="minorHAnsi" w:cstheme="minorBidi"/>
                <w:color w:val="000000" w:themeColor="text1"/>
                <w:sz w:val="20"/>
                <w:szCs w:val="20"/>
              </w:rPr>
              <w:t>(</w:t>
            </w:r>
            <w:r w:rsidR="00564B2B">
              <w:rPr>
                <w:rFonts w:asciiTheme="minorHAnsi" w:eastAsiaTheme="minorEastAsia" w:hAnsiTheme="minorHAnsi" w:cstheme="minorBidi"/>
                <w:color w:val="000000" w:themeColor="text1"/>
                <w:sz w:val="20"/>
                <w:szCs w:val="20"/>
              </w:rPr>
              <w:t>4.4</w:t>
            </w:r>
            <w:r w:rsidRPr="7ACEA165">
              <w:rPr>
                <w:rFonts w:asciiTheme="minorHAnsi" w:eastAsiaTheme="minorEastAsia" w:hAnsiTheme="minorHAnsi" w:cstheme="minorBidi"/>
                <w:color w:val="000000" w:themeColor="text1"/>
                <w:sz w:val="20"/>
                <w:szCs w:val="20"/>
              </w:rPr>
              <w:t>)</w:t>
            </w:r>
          </w:p>
        </w:tc>
        <w:tc>
          <w:tcPr>
            <w:tcW w:w="626" w:type="pct"/>
            <w:tcBorders>
              <w:top w:val="nil"/>
              <w:left w:val="nil"/>
              <w:bottom w:val="nil"/>
              <w:right w:val="nil"/>
            </w:tcBorders>
            <w:shd w:val="clear" w:color="auto" w:fill="auto"/>
            <w:noWrap/>
            <w:vAlign w:val="center"/>
            <w:hideMark/>
          </w:tcPr>
          <w:p w14:paraId="2884DF48" w14:textId="77777777" w:rsidR="000203B9" w:rsidRDefault="000203B9">
            <w:pPr>
              <w:jc w:val="right"/>
              <w:rPr>
                <w:rFonts w:asciiTheme="minorHAnsi" w:eastAsiaTheme="minorEastAsia" w:hAnsiTheme="minorHAnsi" w:cstheme="minorBidi"/>
                <w:color w:val="000000"/>
                <w:sz w:val="20"/>
                <w:szCs w:val="20"/>
              </w:rPr>
            </w:pPr>
            <w:r w:rsidRPr="7ACEA165">
              <w:rPr>
                <w:rFonts w:asciiTheme="minorHAnsi" w:eastAsiaTheme="minorEastAsia" w:hAnsiTheme="minorHAnsi" w:cstheme="minorBidi"/>
                <w:color w:val="000000" w:themeColor="text1"/>
                <w:sz w:val="20"/>
                <w:szCs w:val="20"/>
              </w:rPr>
              <w:t>(10.0)</w:t>
            </w:r>
          </w:p>
        </w:tc>
      </w:tr>
      <w:tr w:rsidR="00C85F68" w14:paraId="6DBD41BD" w14:textId="77777777" w:rsidTr="00C85F68">
        <w:trPr>
          <w:trHeight w:val="303"/>
        </w:trPr>
        <w:tc>
          <w:tcPr>
            <w:tcW w:w="2008" w:type="pct"/>
            <w:gridSpan w:val="3"/>
            <w:tcBorders>
              <w:top w:val="nil"/>
              <w:left w:val="nil"/>
              <w:bottom w:val="nil"/>
              <w:right w:val="nil"/>
            </w:tcBorders>
            <w:shd w:val="clear" w:color="auto" w:fill="auto"/>
            <w:noWrap/>
            <w:vAlign w:val="center"/>
            <w:hideMark/>
          </w:tcPr>
          <w:p w14:paraId="3E8CBAD6" w14:textId="77777777" w:rsidR="000203B9" w:rsidRDefault="000203B9">
            <w:pPr>
              <w:rPr>
                <w:rFonts w:asciiTheme="minorHAnsi" w:eastAsiaTheme="minorEastAsia" w:hAnsiTheme="minorHAnsi" w:cstheme="minorBidi"/>
                <w:b/>
                <w:color w:val="000000"/>
                <w:sz w:val="20"/>
                <w:szCs w:val="20"/>
              </w:rPr>
            </w:pPr>
            <w:r w:rsidRPr="7ACEA165">
              <w:rPr>
                <w:rFonts w:asciiTheme="minorHAnsi" w:eastAsiaTheme="minorEastAsia" w:hAnsiTheme="minorHAnsi" w:cstheme="minorBidi"/>
                <w:b/>
                <w:color w:val="000000" w:themeColor="text1"/>
                <w:sz w:val="20"/>
                <w:szCs w:val="20"/>
              </w:rPr>
              <w:t>Total allowance account</w:t>
            </w:r>
          </w:p>
        </w:tc>
        <w:tc>
          <w:tcPr>
            <w:tcW w:w="981" w:type="pct"/>
            <w:tcBorders>
              <w:top w:val="nil"/>
              <w:left w:val="nil"/>
              <w:bottom w:val="nil"/>
              <w:right w:val="nil"/>
            </w:tcBorders>
            <w:shd w:val="clear" w:color="auto" w:fill="auto"/>
            <w:noWrap/>
            <w:vAlign w:val="center"/>
            <w:hideMark/>
          </w:tcPr>
          <w:p w14:paraId="37E873EB" w14:textId="77777777" w:rsidR="000203B9" w:rsidRDefault="000203B9">
            <w:pPr>
              <w:rPr>
                <w:rFonts w:asciiTheme="minorHAnsi" w:eastAsiaTheme="minorEastAsia" w:hAnsiTheme="minorHAnsi" w:cstheme="minorBidi"/>
                <w:b/>
                <w:color w:val="000000"/>
                <w:sz w:val="20"/>
                <w:szCs w:val="20"/>
              </w:rPr>
            </w:pPr>
          </w:p>
        </w:tc>
        <w:tc>
          <w:tcPr>
            <w:tcW w:w="656" w:type="pct"/>
            <w:tcBorders>
              <w:top w:val="single" w:sz="8" w:space="0" w:color="auto"/>
              <w:left w:val="nil"/>
              <w:bottom w:val="single" w:sz="8" w:space="0" w:color="auto"/>
              <w:right w:val="nil"/>
            </w:tcBorders>
            <w:shd w:val="clear" w:color="auto" w:fill="F2F2F2" w:themeFill="background1" w:themeFillShade="F2"/>
            <w:noWrap/>
            <w:vAlign w:val="center"/>
            <w:hideMark/>
          </w:tcPr>
          <w:p w14:paraId="6BB3BF7B" w14:textId="77777777" w:rsidR="000203B9" w:rsidRDefault="000203B9">
            <w:pPr>
              <w:jc w:val="right"/>
              <w:rPr>
                <w:rFonts w:asciiTheme="minorHAnsi" w:eastAsiaTheme="minorEastAsia" w:hAnsiTheme="minorHAnsi" w:cstheme="minorBidi"/>
                <w:b/>
                <w:color w:val="000000"/>
                <w:sz w:val="20"/>
                <w:szCs w:val="20"/>
              </w:rPr>
            </w:pPr>
            <w:r w:rsidRPr="7ACEA165">
              <w:rPr>
                <w:rFonts w:asciiTheme="minorHAnsi" w:eastAsiaTheme="minorEastAsia" w:hAnsiTheme="minorHAnsi" w:cstheme="minorBidi"/>
                <w:b/>
                <w:color w:val="000000" w:themeColor="text1"/>
                <w:sz w:val="20"/>
                <w:szCs w:val="20"/>
              </w:rPr>
              <w:t>160.4</w:t>
            </w:r>
          </w:p>
        </w:tc>
        <w:tc>
          <w:tcPr>
            <w:tcW w:w="729" w:type="pct"/>
            <w:tcBorders>
              <w:top w:val="single" w:sz="8" w:space="0" w:color="auto"/>
              <w:left w:val="nil"/>
              <w:bottom w:val="single" w:sz="8" w:space="0" w:color="auto"/>
              <w:right w:val="nil"/>
            </w:tcBorders>
            <w:shd w:val="clear" w:color="auto" w:fill="auto"/>
            <w:vAlign w:val="center"/>
            <w:hideMark/>
          </w:tcPr>
          <w:p w14:paraId="69C5CBF7" w14:textId="77777777" w:rsidR="000203B9" w:rsidRDefault="000203B9">
            <w:pPr>
              <w:jc w:val="right"/>
              <w:rPr>
                <w:rFonts w:asciiTheme="minorHAnsi" w:eastAsiaTheme="minorEastAsia" w:hAnsiTheme="minorHAnsi" w:cstheme="minorBidi"/>
                <w:color w:val="000000"/>
                <w:sz w:val="20"/>
                <w:szCs w:val="20"/>
              </w:rPr>
            </w:pPr>
            <w:r w:rsidRPr="7ACEA165">
              <w:rPr>
                <w:rFonts w:asciiTheme="minorHAnsi" w:eastAsiaTheme="minorEastAsia" w:hAnsiTheme="minorHAnsi" w:cstheme="minorBidi"/>
                <w:color w:val="000000" w:themeColor="text1"/>
                <w:sz w:val="20"/>
                <w:szCs w:val="20"/>
              </w:rPr>
              <w:t>368.1</w:t>
            </w:r>
          </w:p>
        </w:tc>
        <w:tc>
          <w:tcPr>
            <w:tcW w:w="626" w:type="pct"/>
            <w:tcBorders>
              <w:top w:val="single" w:sz="8" w:space="0" w:color="auto"/>
              <w:left w:val="nil"/>
              <w:bottom w:val="single" w:sz="8" w:space="0" w:color="auto"/>
              <w:right w:val="nil"/>
            </w:tcBorders>
            <w:shd w:val="clear" w:color="auto" w:fill="auto"/>
            <w:noWrap/>
            <w:vAlign w:val="center"/>
            <w:hideMark/>
          </w:tcPr>
          <w:p w14:paraId="642EAD5A" w14:textId="7753132D" w:rsidR="000203B9" w:rsidRDefault="000203B9">
            <w:pPr>
              <w:jc w:val="right"/>
              <w:rPr>
                <w:rFonts w:asciiTheme="minorHAnsi" w:eastAsiaTheme="minorEastAsia" w:hAnsiTheme="minorHAnsi" w:cstheme="minorBidi"/>
                <w:color w:val="000000"/>
                <w:sz w:val="20"/>
                <w:szCs w:val="20"/>
              </w:rPr>
            </w:pPr>
            <w:r w:rsidRPr="7ACEA165">
              <w:rPr>
                <w:rFonts w:asciiTheme="minorHAnsi" w:eastAsiaTheme="minorEastAsia" w:hAnsiTheme="minorHAnsi" w:cstheme="minorBidi"/>
                <w:color w:val="000000" w:themeColor="text1"/>
                <w:sz w:val="20"/>
                <w:szCs w:val="20"/>
              </w:rPr>
              <w:t>36</w:t>
            </w:r>
            <w:r w:rsidR="00D225FC">
              <w:rPr>
                <w:rFonts w:asciiTheme="minorHAnsi" w:eastAsiaTheme="minorEastAsia" w:hAnsiTheme="minorHAnsi" w:cstheme="minorBidi"/>
                <w:color w:val="000000" w:themeColor="text1"/>
                <w:sz w:val="20"/>
                <w:szCs w:val="20"/>
              </w:rPr>
              <w:t>5</w:t>
            </w:r>
            <w:r w:rsidRPr="7ACEA165">
              <w:rPr>
                <w:rFonts w:asciiTheme="minorHAnsi" w:eastAsiaTheme="minorEastAsia" w:hAnsiTheme="minorHAnsi" w:cstheme="minorBidi"/>
                <w:color w:val="000000" w:themeColor="text1"/>
                <w:sz w:val="20"/>
                <w:szCs w:val="20"/>
              </w:rPr>
              <w:t>.</w:t>
            </w:r>
            <w:r w:rsidR="00D225FC">
              <w:rPr>
                <w:rFonts w:asciiTheme="minorHAnsi" w:eastAsiaTheme="minorEastAsia" w:hAnsiTheme="minorHAnsi" w:cstheme="minorBidi"/>
                <w:color w:val="000000" w:themeColor="text1"/>
                <w:sz w:val="20"/>
                <w:szCs w:val="20"/>
              </w:rPr>
              <w:t>9</w:t>
            </w:r>
          </w:p>
        </w:tc>
      </w:tr>
      <w:tr w:rsidR="00C85F68" w14:paraId="4B05229C" w14:textId="77777777" w:rsidTr="00C85F68">
        <w:trPr>
          <w:trHeight w:val="658"/>
        </w:trPr>
        <w:tc>
          <w:tcPr>
            <w:tcW w:w="1743" w:type="pct"/>
            <w:tcBorders>
              <w:top w:val="nil"/>
              <w:left w:val="nil"/>
              <w:bottom w:val="nil"/>
              <w:right w:val="nil"/>
            </w:tcBorders>
            <w:shd w:val="clear" w:color="auto" w:fill="auto"/>
            <w:noWrap/>
            <w:vAlign w:val="bottom"/>
            <w:hideMark/>
          </w:tcPr>
          <w:p w14:paraId="108FED05" w14:textId="77777777" w:rsidR="000203B9" w:rsidRDefault="000203B9" w:rsidP="00C04CAA">
            <w:pPr>
              <w:rPr>
                <w:rFonts w:asciiTheme="minorHAnsi" w:eastAsiaTheme="minorEastAsia" w:hAnsiTheme="minorHAnsi" w:cstheme="minorBidi"/>
                <w:color w:val="000000"/>
                <w:sz w:val="20"/>
                <w:szCs w:val="20"/>
              </w:rPr>
            </w:pPr>
          </w:p>
        </w:tc>
        <w:tc>
          <w:tcPr>
            <w:tcW w:w="136" w:type="pct"/>
            <w:tcBorders>
              <w:top w:val="nil"/>
              <w:left w:val="nil"/>
              <w:bottom w:val="nil"/>
              <w:right w:val="nil"/>
            </w:tcBorders>
            <w:shd w:val="clear" w:color="auto" w:fill="auto"/>
            <w:noWrap/>
            <w:vAlign w:val="bottom"/>
            <w:hideMark/>
          </w:tcPr>
          <w:p w14:paraId="7C8487F1" w14:textId="77777777" w:rsidR="000203B9" w:rsidRDefault="000203B9">
            <w:pPr>
              <w:rPr>
                <w:rFonts w:asciiTheme="minorHAnsi" w:eastAsiaTheme="minorEastAsia" w:hAnsiTheme="minorHAnsi" w:cstheme="minorBidi"/>
                <w:sz w:val="20"/>
                <w:szCs w:val="20"/>
              </w:rPr>
            </w:pPr>
          </w:p>
        </w:tc>
        <w:tc>
          <w:tcPr>
            <w:tcW w:w="129" w:type="pct"/>
            <w:tcBorders>
              <w:top w:val="nil"/>
              <w:left w:val="nil"/>
              <w:bottom w:val="nil"/>
              <w:right w:val="nil"/>
            </w:tcBorders>
            <w:shd w:val="clear" w:color="auto" w:fill="auto"/>
            <w:noWrap/>
            <w:vAlign w:val="bottom"/>
            <w:hideMark/>
          </w:tcPr>
          <w:p w14:paraId="0360326C" w14:textId="77777777" w:rsidR="000203B9" w:rsidRDefault="000203B9">
            <w:pPr>
              <w:rPr>
                <w:rFonts w:asciiTheme="minorHAnsi" w:eastAsiaTheme="minorEastAsia" w:hAnsiTheme="minorHAnsi" w:cstheme="minorBidi"/>
                <w:sz w:val="20"/>
                <w:szCs w:val="20"/>
              </w:rPr>
            </w:pPr>
          </w:p>
        </w:tc>
        <w:tc>
          <w:tcPr>
            <w:tcW w:w="981" w:type="pct"/>
            <w:tcBorders>
              <w:top w:val="nil"/>
              <w:left w:val="nil"/>
              <w:bottom w:val="nil"/>
              <w:right w:val="nil"/>
            </w:tcBorders>
            <w:shd w:val="clear" w:color="auto" w:fill="auto"/>
            <w:noWrap/>
            <w:vAlign w:val="bottom"/>
            <w:hideMark/>
          </w:tcPr>
          <w:p w14:paraId="1C7B151B" w14:textId="77777777" w:rsidR="000203B9" w:rsidRDefault="000203B9">
            <w:pPr>
              <w:rPr>
                <w:rFonts w:asciiTheme="minorHAnsi" w:eastAsiaTheme="minorEastAsia" w:hAnsiTheme="minorHAnsi" w:cstheme="minorBidi"/>
                <w:sz w:val="20"/>
                <w:szCs w:val="20"/>
              </w:rPr>
            </w:pPr>
          </w:p>
        </w:tc>
        <w:tc>
          <w:tcPr>
            <w:tcW w:w="656" w:type="pct"/>
            <w:tcBorders>
              <w:top w:val="nil"/>
              <w:left w:val="nil"/>
              <w:bottom w:val="nil"/>
              <w:right w:val="nil"/>
            </w:tcBorders>
            <w:shd w:val="clear" w:color="auto" w:fill="auto"/>
            <w:noWrap/>
            <w:vAlign w:val="center"/>
            <w:hideMark/>
          </w:tcPr>
          <w:p w14:paraId="424720A6" w14:textId="77777777" w:rsidR="00361D37" w:rsidRDefault="00361D37">
            <w:pPr>
              <w:jc w:val="right"/>
              <w:rPr>
                <w:rFonts w:asciiTheme="minorHAnsi" w:eastAsiaTheme="minorEastAsia" w:hAnsiTheme="minorHAnsi" w:cstheme="minorBidi"/>
                <w:b/>
                <w:color w:val="000000" w:themeColor="text1"/>
                <w:sz w:val="20"/>
                <w:szCs w:val="20"/>
              </w:rPr>
            </w:pPr>
          </w:p>
          <w:p w14:paraId="7B62AB90" w14:textId="77777777" w:rsidR="00361D37" w:rsidRDefault="00361D37">
            <w:pPr>
              <w:jc w:val="right"/>
              <w:rPr>
                <w:rFonts w:asciiTheme="minorHAnsi" w:eastAsiaTheme="minorEastAsia" w:hAnsiTheme="minorHAnsi" w:cstheme="minorBidi"/>
                <w:b/>
                <w:color w:val="000000" w:themeColor="text1"/>
                <w:sz w:val="20"/>
                <w:szCs w:val="20"/>
              </w:rPr>
            </w:pPr>
          </w:p>
          <w:p w14:paraId="6431F9CA" w14:textId="77777777" w:rsidR="00361D37" w:rsidRDefault="00361D37">
            <w:pPr>
              <w:jc w:val="right"/>
              <w:rPr>
                <w:rFonts w:asciiTheme="minorHAnsi" w:eastAsiaTheme="minorEastAsia" w:hAnsiTheme="minorHAnsi" w:cstheme="minorBidi"/>
                <w:b/>
                <w:color w:val="000000" w:themeColor="text1"/>
                <w:sz w:val="20"/>
                <w:szCs w:val="20"/>
              </w:rPr>
            </w:pPr>
          </w:p>
          <w:p w14:paraId="38E5654E" w14:textId="135CA4FB" w:rsidR="000203B9" w:rsidRDefault="000203B9">
            <w:pPr>
              <w:jc w:val="right"/>
              <w:rPr>
                <w:rFonts w:asciiTheme="minorHAnsi" w:eastAsiaTheme="minorEastAsia" w:hAnsiTheme="minorHAnsi" w:cstheme="minorBidi"/>
                <w:b/>
                <w:color w:val="000000"/>
                <w:sz w:val="20"/>
                <w:szCs w:val="20"/>
              </w:rPr>
            </w:pPr>
            <w:r w:rsidRPr="7ACEA165">
              <w:rPr>
                <w:rFonts w:asciiTheme="minorHAnsi" w:eastAsiaTheme="minorEastAsia" w:hAnsiTheme="minorHAnsi" w:cstheme="minorBidi"/>
                <w:b/>
                <w:color w:val="000000" w:themeColor="text1"/>
                <w:sz w:val="20"/>
                <w:szCs w:val="20"/>
              </w:rPr>
              <w:t> </w:t>
            </w:r>
          </w:p>
        </w:tc>
        <w:tc>
          <w:tcPr>
            <w:tcW w:w="729" w:type="pct"/>
            <w:tcBorders>
              <w:top w:val="nil"/>
              <w:left w:val="nil"/>
              <w:bottom w:val="nil"/>
              <w:right w:val="nil"/>
            </w:tcBorders>
            <w:shd w:val="clear" w:color="auto" w:fill="auto"/>
            <w:vAlign w:val="center"/>
            <w:hideMark/>
          </w:tcPr>
          <w:p w14:paraId="536C3987" w14:textId="77777777" w:rsidR="000203B9" w:rsidRDefault="000203B9">
            <w:pPr>
              <w:jc w:val="right"/>
              <w:rPr>
                <w:rFonts w:asciiTheme="minorHAnsi" w:eastAsiaTheme="minorEastAsia" w:hAnsiTheme="minorHAnsi" w:cstheme="minorBidi"/>
                <w:b/>
                <w:color w:val="000000"/>
                <w:sz w:val="20"/>
                <w:szCs w:val="20"/>
              </w:rPr>
            </w:pPr>
          </w:p>
        </w:tc>
        <w:tc>
          <w:tcPr>
            <w:tcW w:w="626" w:type="pct"/>
            <w:tcBorders>
              <w:top w:val="nil"/>
              <w:left w:val="nil"/>
              <w:bottom w:val="nil"/>
              <w:right w:val="nil"/>
            </w:tcBorders>
            <w:shd w:val="clear" w:color="auto" w:fill="auto"/>
            <w:noWrap/>
            <w:vAlign w:val="center"/>
            <w:hideMark/>
          </w:tcPr>
          <w:p w14:paraId="79E7C1DD" w14:textId="77777777" w:rsidR="000203B9" w:rsidRDefault="000203B9">
            <w:pPr>
              <w:jc w:val="right"/>
              <w:rPr>
                <w:rFonts w:asciiTheme="minorHAnsi" w:eastAsiaTheme="minorEastAsia" w:hAnsiTheme="minorHAnsi" w:cstheme="minorBidi"/>
                <w:sz w:val="20"/>
                <w:szCs w:val="20"/>
              </w:rPr>
            </w:pPr>
          </w:p>
        </w:tc>
      </w:tr>
      <w:tr w:rsidR="00C85F68" w14:paraId="0A970DE7" w14:textId="77777777" w:rsidTr="00C85F68">
        <w:trPr>
          <w:trHeight w:val="288"/>
        </w:trPr>
        <w:tc>
          <w:tcPr>
            <w:tcW w:w="1743" w:type="pct"/>
            <w:vMerge w:val="restart"/>
            <w:tcBorders>
              <w:top w:val="nil"/>
              <w:left w:val="nil"/>
              <w:bottom w:val="nil"/>
              <w:right w:val="nil"/>
            </w:tcBorders>
            <w:shd w:val="clear" w:color="auto" w:fill="auto"/>
            <w:noWrap/>
            <w:vAlign w:val="bottom"/>
            <w:hideMark/>
          </w:tcPr>
          <w:p w14:paraId="1F0DA718" w14:textId="77777777" w:rsidR="000203B9" w:rsidRDefault="000203B9">
            <w:pPr>
              <w:jc w:val="right"/>
              <w:rPr>
                <w:rFonts w:asciiTheme="minorHAnsi" w:eastAsiaTheme="minorEastAsia" w:hAnsiTheme="minorHAnsi" w:cstheme="minorBidi"/>
                <w:sz w:val="20"/>
                <w:szCs w:val="20"/>
              </w:rPr>
            </w:pPr>
          </w:p>
        </w:tc>
        <w:tc>
          <w:tcPr>
            <w:tcW w:w="136" w:type="pct"/>
            <w:vMerge w:val="restart"/>
            <w:tcBorders>
              <w:top w:val="nil"/>
              <w:left w:val="nil"/>
              <w:bottom w:val="nil"/>
              <w:right w:val="nil"/>
            </w:tcBorders>
            <w:shd w:val="clear" w:color="auto" w:fill="auto"/>
            <w:noWrap/>
            <w:vAlign w:val="center"/>
            <w:hideMark/>
          </w:tcPr>
          <w:p w14:paraId="69D01730" w14:textId="77777777" w:rsidR="000203B9" w:rsidRDefault="000203B9">
            <w:pPr>
              <w:rPr>
                <w:rFonts w:asciiTheme="minorHAnsi" w:eastAsiaTheme="minorEastAsia" w:hAnsiTheme="minorHAnsi" w:cstheme="minorBidi"/>
                <w:sz w:val="20"/>
                <w:szCs w:val="20"/>
              </w:rPr>
            </w:pPr>
          </w:p>
        </w:tc>
        <w:tc>
          <w:tcPr>
            <w:tcW w:w="129" w:type="pct"/>
            <w:vMerge w:val="restart"/>
            <w:tcBorders>
              <w:top w:val="nil"/>
              <w:left w:val="nil"/>
              <w:bottom w:val="nil"/>
              <w:right w:val="nil"/>
            </w:tcBorders>
            <w:shd w:val="clear" w:color="auto" w:fill="auto"/>
            <w:noWrap/>
            <w:vAlign w:val="center"/>
            <w:hideMark/>
          </w:tcPr>
          <w:p w14:paraId="6F16739C" w14:textId="77777777" w:rsidR="000203B9" w:rsidRDefault="000203B9">
            <w:pPr>
              <w:rPr>
                <w:rFonts w:asciiTheme="minorHAnsi" w:eastAsiaTheme="minorEastAsia" w:hAnsiTheme="minorHAnsi" w:cstheme="minorBidi"/>
                <w:sz w:val="20"/>
                <w:szCs w:val="20"/>
              </w:rPr>
            </w:pPr>
          </w:p>
        </w:tc>
        <w:tc>
          <w:tcPr>
            <w:tcW w:w="981" w:type="pct"/>
            <w:vMerge w:val="restart"/>
            <w:tcBorders>
              <w:top w:val="nil"/>
              <w:left w:val="nil"/>
              <w:bottom w:val="nil"/>
              <w:right w:val="nil"/>
            </w:tcBorders>
            <w:shd w:val="clear" w:color="auto" w:fill="auto"/>
            <w:noWrap/>
            <w:vAlign w:val="center"/>
            <w:hideMark/>
          </w:tcPr>
          <w:p w14:paraId="4B5E2C72" w14:textId="77777777" w:rsidR="000203B9" w:rsidRDefault="000203B9">
            <w:pPr>
              <w:rPr>
                <w:rFonts w:asciiTheme="minorHAnsi" w:eastAsiaTheme="minorEastAsia" w:hAnsiTheme="minorHAnsi" w:cstheme="minorBidi"/>
                <w:sz w:val="20"/>
                <w:szCs w:val="20"/>
              </w:rPr>
            </w:pPr>
          </w:p>
        </w:tc>
        <w:tc>
          <w:tcPr>
            <w:tcW w:w="656" w:type="pct"/>
            <w:tcBorders>
              <w:top w:val="nil"/>
              <w:left w:val="nil"/>
              <w:bottom w:val="nil"/>
              <w:right w:val="nil"/>
            </w:tcBorders>
            <w:shd w:val="clear" w:color="auto" w:fill="F2F2F2" w:themeFill="background1" w:themeFillShade="F2"/>
            <w:vAlign w:val="center"/>
            <w:hideMark/>
          </w:tcPr>
          <w:p w14:paraId="76DBE628" w14:textId="77777777" w:rsidR="000203B9" w:rsidRDefault="000203B9">
            <w:pPr>
              <w:jc w:val="right"/>
              <w:rPr>
                <w:rFonts w:asciiTheme="minorHAnsi" w:eastAsiaTheme="minorEastAsia" w:hAnsiTheme="minorHAnsi" w:cstheme="minorBidi"/>
                <w:b/>
                <w:color w:val="000000"/>
                <w:sz w:val="20"/>
                <w:szCs w:val="20"/>
              </w:rPr>
            </w:pPr>
            <w:r w:rsidRPr="7ACEA165">
              <w:rPr>
                <w:rFonts w:asciiTheme="minorHAnsi" w:eastAsiaTheme="minorEastAsia" w:hAnsiTheme="minorHAnsi" w:cstheme="minorBidi"/>
                <w:b/>
                <w:color w:val="000000" w:themeColor="text1"/>
                <w:sz w:val="20"/>
                <w:szCs w:val="20"/>
              </w:rPr>
              <w:t>30 June 2024</w:t>
            </w:r>
          </w:p>
        </w:tc>
        <w:tc>
          <w:tcPr>
            <w:tcW w:w="729" w:type="pct"/>
            <w:tcBorders>
              <w:top w:val="nil"/>
              <w:left w:val="nil"/>
              <w:bottom w:val="nil"/>
              <w:right w:val="nil"/>
            </w:tcBorders>
            <w:shd w:val="clear" w:color="auto" w:fill="auto"/>
            <w:vAlign w:val="center"/>
            <w:hideMark/>
          </w:tcPr>
          <w:p w14:paraId="6D197714" w14:textId="77777777" w:rsidR="000203B9" w:rsidRDefault="000203B9">
            <w:pPr>
              <w:jc w:val="right"/>
              <w:rPr>
                <w:rFonts w:asciiTheme="minorHAnsi" w:eastAsiaTheme="minorEastAsia" w:hAnsiTheme="minorHAnsi" w:cstheme="minorBidi"/>
                <w:color w:val="000000"/>
                <w:sz w:val="20"/>
                <w:szCs w:val="20"/>
              </w:rPr>
            </w:pPr>
            <w:r w:rsidRPr="7ACEA165">
              <w:rPr>
                <w:rFonts w:asciiTheme="minorHAnsi" w:eastAsiaTheme="minorEastAsia" w:hAnsiTheme="minorHAnsi" w:cstheme="minorBidi"/>
                <w:color w:val="000000" w:themeColor="text1"/>
                <w:sz w:val="20"/>
                <w:szCs w:val="20"/>
              </w:rPr>
              <w:t>31 December 2023</w:t>
            </w:r>
          </w:p>
        </w:tc>
        <w:tc>
          <w:tcPr>
            <w:tcW w:w="626" w:type="pct"/>
            <w:tcBorders>
              <w:top w:val="nil"/>
              <w:left w:val="nil"/>
              <w:bottom w:val="nil"/>
              <w:right w:val="nil"/>
            </w:tcBorders>
            <w:shd w:val="clear" w:color="auto" w:fill="auto"/>
            <w:vAlign w:val="center"/>
            <w:hideMark/>
          </w:tcPr>
          <w:p w14:paraId="04FA1F7F" w14:textId="3025D640" w:rsidR="000203B9" w:rsidRDefault="000203B9">
            <w:pPr>
              <w:jc w:val="right"/>
              <w:rPr>
                <w:rFonts w:asciiTheme="minorHAnsi" w:eastAsiaTheme="minorEastAsia" w:hAnsiTheme="minorHAnsi" w:cstheme="minorBidi"/>
                <w:color w:val="000000"/>
                <w:sz w:val="20"/>
                <w:szCs w:val="20"/>
              </w:rPr>
            </w:pPr>
            <w:r w:rsidRPr="7ACEA165">
              <w:rPr>
                <w:rFonts w:asciiTheme="minorHAnsi" w:eastAsiaTheme="minorEastAsia" w:hAnsiTheme="minorHAnsi" w:cstheme="minorBidi"/>
                <w:color w:val="000000" w:themeColor="text1"/>
                <w:sz w:val="20"/>
                <w:szCs w:val="20"/>
              </w:rPr>
              <w:t xml:space="preserve">30 June </w:t>
            </w:r>
            <w:r w:rsidR="0016436F">
              <w:rPr>
                <w:rFonts w:asciiTheme="minorHAnsi" w:eastAsiaTheme="minorEastAsia" w:hAnsiTheme="minorHAnsi" w:cstheme="minorBidi"/>
                <w:color w:val="000000" w:themeColor="text1"/>
                <w:sz w:val="20"/>
                <w:szCs w:val="20"/>
              </w:rPr>
              <w:t>2023</w:t>
            </w:r>
          </w:p>
        </w:tc>
      </w:tr>
      <w:tr w:rsidR="00C85F68" w14:paraId="0D119986" w14:textId="77777777" w:rsidTr="00C85F68">
        <w:trPr>
          <w:trHeight w:val="303"/>
        </w:trPr>
        <w:tc>
          <w:tcPr>
            <w:tcW w:w="1743" w:type="pct"/>
            <w:vMerge/>
            <w:vAlign w:val="center"/>
            <w:hideMark/>
          </w:tcPr>
          <w:p w14:paraId="6FABD051" w14:textId="77777777" w:rsidR="000203B9" w:rsidRDefault="000203B9">
            <w:pPr>
              <w:rPr>
                <w:sz w:val="20"/>
                <w:szCs w:val="20"/>
              </w:rPr>
            </w:pPr>
          </w:p>
        </w:tc>
        <w:tc>
          <w:tcPr>
            <w:tcW w:w="136" w:type="pct"/>
            <w:vMerge/>
            <w:vAlign w:val="center"/>
            <w:hideMark/>
          </w:tcPr>
          <w:p w14:paraId="2D63ADA3" w14:textId="77777777" w:rsidR="000203B9" w:rsidRDefault="000203B9">
            <w:pPr>
              <w:rPr>
                <w:sz w:val="20"/>
                <w:szCs w:val="20"/>
              </w:rPr>
            </w:pPr>
          </w:p>
        </w:tc>
        <w:tc>
          <w:tcPr>
            <w:tcW w:w="129" w:type="pct"/>
            <w:vMerge/>
            <w:vAlign w:val="center"/>
            <w:hideMark/>
          </w:tcPr>
          <w:p w14:paraId="64090394" w14:textId="77777777" w:rsidR="000203B9" w:rsidRDefault="000203B9">
            <w:pPr>
              <w:rPr>
                <w:sz w:val="20"/>
                <w:szCs w:val="20"/>
              </w:rPr>
            </w:pPr>
          </w:p>
        </w:tc>
        <w:tc>
          <w:tcPr>
            <w:tcW w:w="981" w:type="pct"/>
            <w:vMerge/>
            <w:vAlign w:val="center"/>
            <w:hideMark/>
          </w:tcPr>
          <w:p w14:paraId="48DB3BE7" w14:textId="77777777" w:rsidR="000203B9" w:rsidRDefault="000203B9">
            <w:pPr>
              <w:rPr>
                <w:sz w:val="20"/>
                <w:szCs w:val="20"/>
              </w:rPr>
            </w:pPr>
          </w:p>
        </w:tc>
        <w:tc>
          <w:tcPr>
            <w:tcW w:w="656" w:type="pct"/>
            <w:tcBorders>
              <w:top w:val="nil"/>
              <w:left w:val="nil"/>
              <w:bottom w:val="single" w:sz="8" w:space="0" w:color="auto"/>
              <w:right w:val="nil"/>
            </w:tcBorders>
            <w:shd w:val="clear" w:color="auto" w:fill="F2F2F2" w:themeFill="background1" w:themeFillShade="F2"/>
            <w:noWrap/>
            <w:vAlign w:val="center"/>
            <w:hideMark/>
          </w:tcPr>
          <w:p w14:paraId="1D95DF6B" w14:textId="06FE7AA3" w:rsidR="000203B9" w:rsidRDefault="000203B9">
            <w:pPr>
              <w:jc w:val="right"/>
              <w:rPr>
                <w:rFonts w:asciiTheme="minorHAnsi" w:eastAsiaTheme="minorEastAsia" w:hAnsiTheme="minorHAnsi" w:cstheme="minorBidi"/>
                <w:b/>
                <w:color w:val="000000"/>
                <w:sz w:val="20"/>
                <w:szCs w:val="20"/>
              </w:rPr>
            </w:pPr>
            <w:r w:rsidRPr="7ACEA165">
              <w:rPr>
                <w:rFonts w:asciiTheme="minorHAnsi" w:eastAsiaTheme="minorEastAsia" w:hAnsiTheme="minorHAnsi" w:cstheme="minorBidi"/>
                <w:b/>
                <w:color w:val="000000" w:themeColor="text1"/>
                <w:sz w:val="20"/>
                <w:szCs w:val="20"/>
              </w:rPr>
              <w:t>£m</w:t>
            </w:r>
          </w:p>
        </w:tc>
        <w:tc>
          <w:tcPr>
            <w:tcW w:w="729" w:type="pct"/>
            <w:tcBorders>
              <w:top w:val="nil"/>
              <w:left w:val="nil"/>
              <w:bottom w:val="single" w:sz="8" w:space="0" w:color="auto"/>
              <w:right w:val="nil"/>
            </w:tcBorders>
            <w:shd w:val="clear" w:color="auto" w:fill="auto"/>
            <w:vAlign w:val="center"/>
            <w:hideMark/>
          </w:tcPr>
          <w:p w14:paraId="19A8BED3" w14:textId="5C1BDACD" w:rsidR="000203B9" w:rsidRDefault="0016436F" w:rsidP="0016436F">
            <w:pPr>
              <w:jc w:val="right"/>
              <w:rPr>
                <w:rFonts w:asciiTheme="minorHAnsi" w:eastAsiaTheme="minorEastAsia" w:hAnsiTheme="minorHAnsi" w:cstheme="minorBidi"/>
                <w:color w:val="000000"/>
                <w:sz w:val="20"/>
                <w:szCs w:val="20"/>
              </w:rPr>
            </w:pPr>
            <w:r w:rsidRPr="7ACEA165">
              <w:rPr>
                <w:rFonts w:asciiTheme="minorHAnsi" w:eastAsiaTheme="minorEastAsia" w:hAnsiTheme="minorHAnsi" w:cstheme="minorBidi"/>
                <w:color w:val="000000" w:themeColor="text1"/>
                <w:sz w:val="20"/>
                <w:szCs w:val="20"/>
              </w:rPr>
              <w:t>£m</w:t>
            </w:r>
          </w:p>
        </w:tc>
        <w:tc>
          <w:tcPr>
            <w:tcW w:w="626" w:type="pct"/>
            <w:tcBorders>
              <w:top w:val="nil"/>
              <w:left w:val="nil"/>
              <w:bottom w:val="single" w:sz="8" w:space="0" w:color="auto"/>
              <w:right w:val="nil"/>
            </w:tcBorders>
            <w:shd w:val="clear" w:color="auto" w:fill="auto"/>
            <w:noWrap/>
            <w:vAlign w:val="center"/>
            <w:hideMark/>
          </w:tcPr>
          <w:p w14:paraId="79AD6BE8" w14:textId="7CF559DD" w:rsidR="000203B9" w:rsidRDefault="000203B9">
            <w:pPr>
              <w:jc w:val="right"/>
              <w:rPr>
                <w:rFonts w:asciiTheme="minorHAnsi" w:eastAsiaTheme="minorEastAsia" w:hAnsiTheme="minorHAnsi" w:cstheme="minorBidi"/>
                <w:color w:val="000000"/>
                <w:sz w:val="20"/>
                <w:szCs w:val="20"/>
              </w:rPr>
            </w:pPr>
            <w:r w:rsidRPr="7ACEA165">
              <w:rPr>
                <w:rFonts w:asciiTheme="minorHAnsi" w:eastAsiaTheme="minorEastAsia" w:hAnsiTheme="minorHAnsi" w:cstheme="minorBidi"/>
                <w:color w:val="000000" w:themeColor="text1"/>
                <w:sz w:val="20"/>
                <w:szCs w:val="20"/>
              </w:rPr>
              <w:t>£m</w:t>
            </w:r>
          </w:p>
        </w:tc>
      </w:tr>
      <w:tr w:rsidR="000203B9" w14:paraId="2C6A1108" w14:textId="77777777" w:rsidTr="002725AC">
        <w:trPr>
          <w:trHeight w:val="288"/>
        </w:trPr>
        <w:tc>
          <w:tcPr>
            <w:tcW w:w="2008" w:type="pct"/>
            <w:gridSpan w:val="3"/>
            <w:tcBorders>
              <w:top w:val="nil"/>
              <w:left w:val="nil"/>
              <w:bottom w:val="nil"/>
              <w:right w:val="nil"/>
            </w:tcBorders>
            <w:shd w:val="clear" w:color="auto" w:fill="auto"/>
            <w:noWrap/>
            <w:vAlign w:val="center"/>
            <w:hideMark/>
          </w:tcPr>
          <w:p w14:paraId="773B4F11" w14:textId="77777777" w:rsidR="000203B9" w:rsidRDefault="000203B9">
            <w:pPr>
              <w:rPr>
                <w:rFonts w:asciiTheme="minorHAnsi" w:eastAsiaTheme="minorEastAsia" w:hAnsiTheme="minorHAnsi" w:cstheme="minorBidi"/>
                <w:b/>
                <w:color w:val="000000"/>
                <w:sz w:val="20"/>
                <w:szCs w:val="20"/>
              </w:rPr>
            </w:pPr>
            <w:r w:rsidRPr="7ACEA165">
              <w:rPr>
                <w:rFonts w:asciiTheme="minorHAnsi" w:eastAsiaTheme="minorEastAsia" w:hAnsiTheme="minorHAnsi" w:cstheme="minorBidi"/>
                <w:b/>
                <w:color w:val="000000" w:themeColor="text1"/>
                <w:sz w:val="20"/>
                <w:szCs w:val="20"/>
              </w:rPr>
              <w:t>Post-model overlays:</w:t>
            </w:r>
          </w:p>
        </w:tc>
        <w:tc>
          <w:tcPr>
            <w:tcW w:w="981" w:type="pct"/>
            <w:tcBorders>
              <w:top w:val="nil"/>
              <w:left w:val="nil"/>
              <w:bottom w:val="nil"/>
              <w:right w:val="nil"/>
            </w:tcBorders>
            <w:shd w:val="clear" w:color="auto" w:fill="auto"/>
            <w:noWrap/>
            <w:vAlign w:val="center"/>
            <w:hideMark/>
          </w:tcPr>
          <w:p w14:paraId="39553184" w14:textId="77777777" w:rsidR="000203B9" w:rsidRDefault="000203B9">
            <w:pPr>
              <w:rPr>
                <w:rFonts w:asciiTheme="minorHAnsi" w:eastAsiaTheme="minorEastAsia" w:hAnsiTheme="minorHAnsi" w:cstheme="minorBidi"/>
                <w:b/>
                <w:color w:val="000000"/>
                <w:sz w:val="20"/>
                <w:szCs w:val="20"/>
              </w:rPr>
            </w:pPr>
          </w:p>
        </w:tc>
        <w:tc>
          <w:tcPr>
            <w:tcW w:w="656" w:type="pct"/>
            <w:tcBorders>
              <w:top w:val="nil"/>
              <w:left w:val="nil"/>
              <w:bottom w:val="nil"/>
              <w:right w:val="nil"/>
            </w:tcBorders>
            <w:shd w:val="clear" w:color="auto" w:fill="F2F2F2" w:themeFill="background1" w:themeFillShade="F2"/>
            <w:noWrap/>
            <w:vAlign w:val="center"/>
            <w:hideMark/>
          </w:tcPr>
          <w:p w14:paraId="145975FD" w14:textId="77777777" w:rsidR="000203B9" w:rsidRDefault="000203B9">
            <w:pPr>
              <w:rPr>
                <w:rFonts w:asciiTheme="minorHAnsi" w:eastAsiaTheme="minorEastAsia" w:hAnsiTheme="minorHAnsi" w:cstheme="minorBidi"/>
                <w:b/>
                <w:color w:val="000000"/>
                <w:sz w:val="20"/>
                <w:szCs w:val="20"/>
              </w:rPr>
            </w:pPr>
            <w:r w:rsidRPr="7ACEA165">
              <w:rPr>
                <w:rFonts w:asciiTheme="minorHAnsi" w:eastAsiaTheme="minorEastAsia" w:hAnsiTheme="minorHAnsi" w:cstheme="minorBidi"/>
                <w:b/>
                <w:color w:val="000000" w:themeColor="text1"/>
                <w:sz w:val="20"/>
                <w:szCs w:val="20"/>
              </w:rPr>
              <w:t> </w:t>
            </w:r>
          </w:p>
        </w:tc>
        <w:tc>
          <w:tcPr>
            <w:tcW w:w="729" w:type="pct"/>
            <w:tcBorders>
              <w:top w:val="nil"/>
              <w:left w:val="nil"/>
              <w:bottom w:val="nil"/>
              <w:right w:val="nil"/>
            </w:tcBorders>
            <w:shd w:val="clear" w:color="auto" w:fill="auto"/>
            <w:vAlign w:val="center"/>
            <w:hideMark/>
          </w:tcPr>
          <w:p w14:paraId="47102701" w14:textId="77777777" w:rsidR="000203B9" w:rsidRDefault="000203B9">
            <w:pPr>
              <w:rPr>
                <w:rFonts w:asciiTheme="minorHAnsi" w:eastAsiaTheme="minorEastAsia" w:hAnsiTheme="minorHAnsi" w:cstheme="minorBidi"/>
                <w:b/>
                <w:color w:val="000000"/>
                <w:sz w:val="20"/>
                <w:szCs w:val="20"/>
              </w:rPr>
            </w:pPr>
          </w:p>
        </w:tc>
        <w:tc>
          <w:tcPr>
            <w:tcW w:w="626" w:type="pct"/>
            <w:tcBorders>
              <w:top w:val="nil"/>
              <w:left w:val="nil"/>
              <w:bottom w:val="nil"/>
              <w:right w:val="nil"/>
            </w:tcBorders>
            <w:shd w:val="clear" w:color="auto" w:fill="auto"/>
            <w:noWrap/>
            <w:vAlign w:val="center"/>
            <w:hideMark/>
          </w:tcPr>
          <w:p w14:paraId="51B51EC3" w14:textId="77777777" w:rsidR="000203B9" w:rsidRDefault="000203B9">
            <w:pPr>
              <w:rPr>
                <w:rFonts w:asciiTheme="minorHAnsi" w:eastAsiaTheme="minorEastAsia" w:hAnsiTheme="minorHAnsi" w:cstheme="minorBidi"/>
                <w:sz w:val="20"/>
                <w:szCs w:val="20"/>
              </w:rPr>
            </w:pPr>
          </w:p>
        </w:tc>
      </w:tr>
      <w:tr w:rsidR="00C85F68" w14:paraId="3F877C6D" w14:textId="77777777" w:rsidTr="00C85F68">
        <w:trPr>
          <w:trHeight w:val="288"/>
        </w:trPr>
        <w:tc>
          <w:tcPr>
            <w:tcW w:w="1879" w:type="pct"/>
            <w:gridSpan w:val="2"/>
            <w:tcBorders>
              <w:top w:val="nil"/>
              <w:left w:val="nil"/>
              <w:bottom w:val="nil"/>
              <w:right w:val="nil"/>
            </w:tcBorders>
            <w:shd w:val="clear" w:color="auto" w:fill="auto"/>
            <w:noWrap/>
            <w:vAlign w:val="center"/>
            <w:hideMark/>
          </w:tcPr>
          <w:p w14:paraId="7C1C32D9" w14:textId="77777777" w:rsidR="000203B9" w:rsidRDefault="000203B9">
            <w:pPr>
              <w:rPr>
                <w:rFonts w:asciiTheme="minorHAnsi" w:eastAsiaTheme="minorEastAsia" w:hAnsiTheme="minorHAnsi" w:cstheme="minorBidi"/>
                <w:color w:val="000000"/>
                <w:sz w:val="20"/>
                <w:szCs w:val="20"/>
              </w:rPr>
            </w:pPr>
            <w:r w:rsidRPr="7ACEA165">
              <w:rPr>
                <w:rFonts w:asciiTheme="minorHAnsi" w:eastAsiaTheme="minorEastAsia" w:hAnsiTheme="minorHAnsi" w:cstheme="minorBidi"/>
                <w:color w:val="000000" w:themeColor="text1"/>
                <w:sz w:val="20"/>
                <w:szCs w:val="20"/>
              </w:rPr>
              <w:t>Fraud (note (b))</w:t>
            </w:r>
          </w:p>
        </w:tc>
        <w:tc>
          <w:tcPr>
            <w:tcW w:w="129" w:type="pct"/>
            <w:tcBorders>
              <w:top w:val="nil"/>
              <w:left w:val="nil"/>
              <w:bottom w:val="nil"/>
              <w:right w:val="nil"/>
            </w:tcBorders>
            <w:shd w:val="clear" w:color="auto" w:fill="auto"/>
            <w:noWrap/>
            <w:vAlign w:val="center"/>
            <w:hideMark/>
          </w:tcPr>
          <w:p w14:paraId="60D7B1F4" w14:textId="77777777" w:rsidR="000203B9" w:rsidRDefault="000203B9">
            <w:pPr>
              <w:rPr>
                <w:rFonts w:asciiTheme="minorHAnsi" w:eastAsiaTheme="minorEastAsia" w:hAnsiTheme="minorHAnsi" w:cstheme="minorBidi"/>
                <w:color w:val="000000"/>
                <w:sz w:val="20"/>
                <w:szCs w:val="20"/>
              </w:rPr>
            </w:pPr>
          </w:p>
        </w:tc>
        <w:tc>
          <w:tcPr>
            <w:tcW w:w="981" w:type="pct"/>
            <w:tcBorders>
              <w:top w:val="nil"/>
              <w:left w:val="nil"/>
              <w:bottom w:val="nil"/>
              <w:right w:val="nil"/>
            </w:tcBorders>
            <w:shd w:val="clear" w:color="auto" w:fill="auto"/>
            <w:noWrap/>
            <w:vAlign w:val="center"/>
            <w:hideMark/>
          </w:tcPr>
          <w:p w14:paraId="4DD2D90C" w14:textId="77777777" w:rsidR="000203B9" w:rsidRDefault="000203B9">
            <w:pPr>
              <w:rPr>
                <w:rFonts w:asciiTheme="minorHAnsi" w:eastAsiaTheme="minorEastAsia" w:hAnsiTheme="minorHAnsi" w:cstheme="minorBidi"/>
                <w:sz w:val="20"/>
                <w:szCs w:val="20"/>
              </w:rPr>
            </w:pPr>
          </w:p>
        </w:tc>
        <w:tc>
          <w:tcPr>
            <w:tcW w:w="656" w:type="pct"/>
            <w:tcBorders>
              <w:top w:val="nil"/>
              <w:left w:val="nil"/>
              <w:bottom w:val="nil"/>
              <w:right w:val="nil"/>
            </w:tcBorders>
            <w:shd w:val="clear" w:color="auto" w:fill="F2F2F2" w:themeFill="background1" w:themeFillShade="F2"/>
            <w:noWrap/>
            <w:vAlign w:val="center"/>
            <w:hideMark/>
          </w:tcPr>
          <w:p w14:paraId="2CDD816B" w14:textId="77777777" w:rsidR="000203B9" w:rsidRDefault="000203B9">
            <w:pPr>
              <w:jc w:val="right"/>
              <w:rPr>
                <w:rFonts w:asciiTheme="minorHAnsi" w:eastAsiaTheme="minorEastAsia" w:hAnsiTheme="minorHAnsi" w:cstheme="minorBidi"/>
                <w:b/>
                <w:color w:val="000000"/>
                <w:sz w:val="20"/>
                <w:szCs w:val="20"/>
              </w:rPr>
            </w:pPr>
            <w:r w:rsidRPr="7ACEA165">
              <w:rPr>
                <w:rFonts w:asciiTheme="minorHAnsi" w:eastAsiaTheme="minorEastAsia" w:hAnsiTheme="minorHAnsi" w:cstheme="minorBidi"/>
                <w:b/>
                <w:color w:val="000000" w:themeColor="text1"/>
                <w:sz w:val="20"/>
                <w:szCs w:val="20"/>
              </w:rPr>
              <w:t>(5.3)</w:t>
            </w:r>
          </w:p>
        </w:tc>
        <w:tc>
          <w:tcPr>
            <w:tcW w:w="729" w:type="pct"/>
            <w:tcBorders>
              <w:top w:val="nil"/>
              <w:left w:val="nil"/>
              <w:bottom w:val="nil"/>
              <w:right w:val="nil"/>
            </w:tcBorders>
            <w:shd w:val="clear" w:color="auto" w:fill="auto"/>
            <w:noWrap/>
            <w:vAlign w:val="center"/>
            <w:hideMark/>
          </w:tcPr>
          <w:p w14:paraId="48BABA77" w14:textId="77777777" w:rsidR="000203B9" w:rsidRDefault="000203B9">
            <w:pPr>
              <w:jc w:val="right"/>
              <w:rPr>
                <w:rFonts w:asciiTheme="minorHAnsi" w:eastAsiaTheme="minorEastAsia" w:hAnsiTheme="minorHAnsi" w:cstheme="minorBidi"/>
                <w:color w:val="000000"/>
                <w:sz w:val="20"/>
                <w:szCs w:val="20"/>
              </w:rPr>
            </w:pPr>
            <w:r w:rsidRPr="7ACEA165">
              <w:rPr>
                <w:rFonts w:asciiTheme="minorHAnsi" w:eastAsiaTheme="minorEastAsia" w:hAnsiTheme="minorHAnsi" w:cstheme="minorBidi"/>
                <w:color w:val="000000" w:themeColor="text1"/>
                <w:sz w:val="20"/>
                <w:szCs w:val="20"/>
              </w:rPr>
              <w:t>(5.2)</w:t>
            </w:r>
          </w:p>
        </w:tc>
        <w:tc>
          <w:tcPr>
            <w:tcW w:w="626" w:type="pct"/>
            <w:tcBorders>
              <w:top w:val="nil"/>
              <w:left w:val="nil"/>
              <w:bottom w:val="nil"/>
              <w:right w:val="nil"/>
            </w:tcBorders>
            <w:shd w:val="clear" w:color="auto" w:fill="auto"/>
            <w:noWrap/>
            <w:vAlign w:val="center"/>
            <w:hideMark/>
          </w:tcPr>
          <w:p w14:paraId="3E9043D8" w14:textId="77777777" w:rsidR="000203B9" w:rsidRDefault="000203B9">
            <w:pPr>
              <w:jc w:val="right"/>
              <w:rPr>
                <w:rFonts w:asciiTheme="minorHAnsi" w:eastAsiaTheme="minorEastAsia" w:hAnsiTheme="minorHAnsi" w:cstheme="minorBidi"/>
                <w:color w:val="000000"/>
                <w:sz w:val="20"/>
                <w:szCs w:val="20"/>
              </w:rPr>
            </w:pPr>
            <w:r w:rsidRPr="7ACEA165">
              <w:rPr>
                <w:rFonts w:asciiTheme="minorHAnsi" w:eastAsiaTheme="minorEastAsia" w:hAnsiTheme="minorHAnsi" w:cstheme="minorBidi"/>
                <w:color w:val="000000" w:themeColor="text1"/>
                <w:sz w:val="20"/>
                <w:szCs w:val="20"/>
              </w:rPr>
              <w:t>(4.4)</w:t>
            </w:r>
          </w:p>
        </w:tc>
      </w:tr>
      <w:tr w:rsidR="00C85F68" w14:paraId="2C14F12F" w14:textId="77777777" w:rsidTr="00C85F68">
        <w:trPr>
          <w:trHeight w:val="303"/>
        </w:trPr>
        <w:tc>
          <w:tcPr>
            <w:tcW w:w="2008" w:type="pct"/>
            <w:gridSpan w:val="3"/>
            <w:tcBorders>
              <w:top w:val="nil"/>
              <w:left w:val="nil"/>
              <w:bottom w:val="nil"/>
              <w:right w:val="nil"/>
            </w:tcBorders>
            <w:shd w:val="clear" w:color="auto" w:fill="auto"/>
            <w:noWrap/>
            <w:vAlign w:val="center"/>
          </w:tcPr>
          <w:p w14:paraId="59DB4FFA" w14:textId="59DFFAD5" w:rsidR="00EE0947" w:rsidRPr="7ACEA165" w:rsidRDefault="00D43F41" w:rsidP="0016436F">
            <w:pPr>
              <w:rPr>
                <w:rFonts w:asciiTheme="minorHAnsi" w:eastAsiaTheme="minorEastAsia" w:hAnsiTheme="minorHAnsi" w:cstheme="minorBidi"/>
                <w:color w:val="000000" w:themeColor="text1"/>
                <w:sz w:val="20"/>
                <w:szCs w:val="20"/>
              </w:rPr>
            </w:pPr>
            <w:r w:rsidRPr="7ACEA165">
              <w:rPr>
                <w:rFonts w:asciiTheme="minorHAnsi" w:eastAsiaTheme="minorEastAsia" w:hAnsiTheme="minorHAnsi" w:cstheme="minorBidi"/>
                <w:color w:val="000000" w:themeColor="text1"/>
                <w:sz w:val="20"/>
                <w:szCs w:val="20"/>
              </w:rPr>
              <w:t>Borrowers in financial difficulty (note (</w:t>
            </w:r>
            <w:r w:rsidR="00130B98">
              <w:rPr>
                <w:rFonts w:asciiTheme="minorHAnsi" w:eastAsiaTheme="minorEastAsia" w:hAnsiTheme="minorHAnsi" w:cstheme="minorBidi"/>
                <w:color w:val="000000" w:themeColor="text1"/>
                <w:sz w:val="20"/>
                <w:szCs w:val="20"/>
              </w:rPr>
              <w:t>c</w:t>
            </w:r>
            <w:r w:rsidRPr="7ACEA165">
              <w:rPr>
                <w:rFonts w:asciiTheme="minorHAnsi" w:eastAsiaTheme="minorEastAsia" w:hAnsiTheme="minorHAnsi" w:cstheme="minorBidi"/>
                <w:color w:val="000000" w:themeColor="text1"/>
                <w:sz w:val="20"/>
                <w:szCs w:val="20"/>
              </w:rPr>
              <w:t>))</w:t>
            </w:r>
          </w:p>
        </w:tc>
        <w:tc>
          <w:tcPr>
            <w:tcW w:w="981" w:type="pct"/>
            <w:tcBorders>
              <w:top w:val="nil"/>
              <w:left w:val="nil"/>
              <w:bottom w:val="nil"/>
              <w:right w:val="nil"/>
            </w:tcBorders>
            <w:shd w:val="clear" w:color="auto" w:fill="auto"/>
            <w:noWrap/>
            <w:vAlign w:val="bottom"/>
          </w:tcPr>
          <w:p w14:paraId="4D9801EF" w14:textId="77777777" w:rsidR="00EE0947" w:rsidRDefault="00EE0947" w:rsidP="0016436F">
            <w:pPr>
              <w:rPr>
                <w:rFonts w:asciiTheme="minorHAnsi" w:eastAsiaTheme="minorEastAsia" w:hAnsiTheme="minorHAnsi" w:cstheme="minorBidi"/>
                <w:color w:val="000000"/>
                <w:sz w:val="20"/>
                <w:szCs w:val="20"/>
              </w:rPr>
            </w:pPr>
          </w:p>
        </w:tc>
        <w:tc>
          <w:tcPr>
            <w:tcW w:w="656" w:type="pct"/>
            <w:tcBorders>
              <w:top w:val="nil"/>
              <w:left w:val="nil"/>
              <w:bottom w:val="nil"/>
              <w:right w:val="nil"/>
            </w:tcBorders>
            <w:shd w:val="clear" w:color="auto" w:fill="F2F2F2" w:themeFill="background1" w:themeFillShade="F2"/>
            <w:noWrap/>
            <w:vAlign w:val="center"/>
          </w:tcPr>
          <w:p w14:paraId="5B8F1F0A" w14:textId="31E6DE2F" w:rsidR="00EE0947" w:rsidRPr="002725AC" w:rsidRDefault="00E26D5C" w:rsidP="0016436F">
            <w:pPr>
              <w:jc w:val="right"/>
              <w:rPr>
                <w:rFonts w:asciiTheme="minorHAnsi" w:eastAsiaTheme="minorEastAsia" w:hAnsiTheme="minorHAnsi" w:cstheme="minorBidi"/>
                <w:b/>
                <w:color w:val="000000" w:themeColor="text1"/>
                <w:sz w:val="20"/>
                <w:szCs w:val="20"/>
              </w:rPr>
            </w:pPr>
            <w:r w:rsidRPr="002725AC">
              <w:rPr>
                <w:rFonts w:asciiTheme="minorHAnsi" w:eastAsiaTheme="minorEastAsia" w:hAnsiTheme="minorHAnsi" w:cstheme="minorBidi"/>
                <w:b/>
                <w:color w:val="000000" w:themeColor="text1"/>
                <w:sz w:val="20"/>
                <w:szCs w:val="20"/>
              </w:rPr>
              <w:t>-</w:t>
            </w:r>
          </w:p>
        </w:tc>
        <w:tc>
          <w:tcPr>
            <w:tcW w:w="729" w:type="pct"/>
            <w:tcBorders>
              <w:top w:val="nil"/>
              <w:left w:val="nil"/>
              <w:bottom w:val="nil"/>
              <w:right w:val="nil"/>
            </w:tcBorders>
            <w:shd w:val="clear" w:color="auto" w:fill="auto"/>
            <w:noWrap/>
            <w:vAlign w:val="center"/>
          </w:tcPr>
          <w:p w14:paraId="1CA6AE15" w14:textId="2EE86040" w:rsidR="00EE0947" w:rsidRPr="7ACEA165" w:rsidRDefault="00E26D5C" w:rsidP="0016436F">
            <w:pPr>
              <w:jc w:val="right"/>
              <w:rPr>
                <w:rFonts w:asciiTheme="minorHAnsi" w:eastAsiaTheme="minorEastAsia" w:hAnsiTheme="minorHAnsi" w:cstheme="minorBidi"/>
                <w:color w:val="000000" w:themeColor="text1"/>
                <w:sz w:val="20"/>
                <w:szCs w:val="20"/>
              </w:rPr>
            </w:pPr>
            <w:r>
              <w:rPr>
                <w:rFonts w:asciiTheme="minorHAnsi" w:eastAsiaTheme="minorEastAsia" w:hAnsiTheme="minorHAnsi" w:cstheme="minorBidi"/>
                <w:color w:val="000000" w:themeColor="text1"/>
                <w:sz w:val="20"/>
                <w:szCs w:val="20"/>
              </w:rPr>
              <w:t>0.8</w:t>
            </w:r>
          </w:p>
        </w:tc>
        <w:tc>
          <w:tcPr>
            <w:tcW w:w="626" w:type="pct"/>
            <w:tcBorders>
              <w:top w:val="nil"/>
              <w:left w:val="nil"/>
              <w:bottom w:val="nil"/>
              <w:right w:val="nil"/>
            </w:tcBorders>
            <w:shd w:val="clear" w:color="auto" w:fill="auto"/>
            <w:noWrap/>
            <w:vAlign w:val="center"/>
          </w:tcPr>
          <w:p w14:paraId="4171213D" w14:textId="23C14567" w:rsidR="00EE0947" w:rsidRPr="7ACEA165" w:rsidRDefault="00E26D5C" w:rsidP="0016436F">
            <w:pPr>
              <w:jc w:val="right"/>
              <w:rPr>
                <w:rFonts w:asciiTheme="minorHAnsi" w:eastAsiaTheme="minorEastAsia" w:hAnsiTheme="minorHAnsi" w:cstheme="minorBidi"/>
                <w:color w:val="000000" w:themeColor="text1"/>
                <w:sz w:val="20"/>
                <w:szCs w:val="20"/>
              </w:rPr>
            </w:pPr>
            <w:r>
              <w:rPr>
                <w:rFonts w:asciiTheme="minorHAnsi" w:eastAsiaTheme="minorEastAsia" w:hAnsiTheme="minorHAnsi" w:cstheme="minorBidi"/>
                <w:color w:val="000000" w:themeColor="text1"/>
                <w:sz w:val="20"/>
                <w:szCs w:val="20"/>
              </w:rPr>
              <w:t>-</w:t>
            </w:r>
          </w:p>
        </w:tc>
      </w:tr>
      <w:tr w:rsidR="00C85F68" w14:paraId="441E1030" w14:textId="77777777" w:rsidTr="00C85F68">
        <w:trPr>
          <w:trHeight w:val="303"/>
        </w:trPr>
        <w:tc>
          <w:tcPr>
            <w:tcW w:w="2008" w:type="pct"/>
            <w:gridSpan w:val="3"/>
            <w:tcBorders>
              <w:top w:val="nil"/>
              <w:left w:val="nil"/>
              <w:bottom w:val="nil"/>
              <w:right w:val="nil"/>
            </w:tcBorders>
            <w:shd w:val="clear" w:color="auto" w:fill="auto"/>
            <w:noWrap/>
            <w:vAlign w:val="center"/>
            <w:hideMark/>
          </w:tcPr>
          <w:p w14:paraId="4BBD3BF6" w14:textId="25124F48" w:rsidR="000203B9" w:rsidRDefault="000203B9">
            <w:pPr>
              <w:rPr>
                <w:rFonts w:asciiTheme="minorHAnsi" w:eastAsiaTheme="minorEastAsia" w:hAnsiTheme="minorHAnsi" w:cstheme="minorBidi"/>
                <w:color w:val="000000"/>
                <w:sz w:val="20"/>
                <w:szCs w:val="20"/>
              </w:rPr>
            </w:pPr>
            <w:r w:rsidRPr="7ACEA165">
              <w:rPr>
                <w:rFonts w:asciiTheme="minorHAnsi" w:eastAsiaTheme="minorEastAsia" w:hAnsiTheme="minorHAnsi" w:cstheme="minorBidi"/>
                <w:color w:val="000000" w:themeColor="text1"/>
                <w:sz w:val="20"/>
                <w:szCs w:val="20"/>
              </w:rPr>
              <w:t>Cost of living (note (</w:t>
            </w:r>
            <w:r w:rsidR="00E26D5C">
              <w:rPr>
                <w:rFonts w:asciiTheme="minorHAnsi" w:eastAsiaTheme="minorEastAsia" w:hAnsiTheme="minorHAnsi" w:cstheme="minorBidi"/>
                <w:color w:val="000000" w:themeColor="text1"/>
                <w:sz w:val="20"/>
                <w:szCs w:val="20"/>
              </w:rPr>
              <w:t>d</w:t>
            </w:r>
            <w:r w:rsidRPr="7ACEA165">
              <w:rPr>
                <w:rFonts w:asciiTheme="minorHAnsi" w:eastAsiaTheme="minorEastAsia" w:hAnsiTheme="minorHAnsi" w:cstheme="minorBidi"/>
                <w:color w:val="000000" w:themeColor="text1"/>
                <w:sz w:val="20"/>
                <w:szCs w:val="20"/>
              </w:rPr>
              <w:t>))</w:t>
            </w:r>
          </w:p>
        </w:tc>
        <w:tc>
          <w:tcPr>
            <w:tcW w:w="981" w:type="pct"/>
            <w:tcBorders>
              <w:top w:val="nil"/>
              <w:left w:val="nil"/>
              <w:bottom w:val="nil"/>
              <w:right w:val="nil"/>
            </w:tcBorders>
            <w:shd w:val="clear" w:color="auto" w:fill="auto"/>
            <w:noWrap/>
            <w:vAlign w:val="bottom"/>
            <w:hideMark/>
          </w:tcPr>
          <w:p w14:paraId="35B22874" w14:textId="77777777" w:rsidR="000203B9" w:rsidRDefault="000203B9">
            <w:pPr>
              <w:rPr>
                <w:rFonts w:asciiTheme="minorHAnsi" w:eastAsiaTheme="minorEastAsia" w:hAnsiTheme="minorHAnsi" w:cstheme="minorBidi"/>
                <w:color w:val="000000"/>
                <w:sz w:val="20"/>
                <w:szCs w:val="20"/>
              </w:rPr>
            </w:pPr>
          </w:p>
        </w:tc>
        <w:tc>
          <w:tcPr>
            <w:tcW w:w="656" w:type="pct"/>
            <w:tcBorders>
              <w:top w:val="nil"/>
              <w:left w:val="nil"/>
              <w:bottom w:val="nil"/>
              <w:right w:val="nil"/>
            </w:tcBorders>
            <w:shd w:val="clear" w:color="auto" w:fill="F2F2F2" w:themeFill="background1" w:themeFillShade="F2"/>
            <w:noWrap/>
            <w:vAlign w:val="center"/>
            <w:hideMark/>
          </w:tcPr>
          <w:p w14:paraId="0EC6CD0D" w14:textId="77777777" w:rsidR="000203B9" w:rsidRPr="002725AC" w:rsidRDefault="000203B9">
            <w:pPr>
              <w:jc w:val="right"/>
              <w:rPr>
                <w:rFonts w:asciiTheme="minorHAnsi" w:eastAsiaTheme="minorEastAsia" w:hAnsiTheme="minorHAnsi" w:cstheme="minorBidi"/>
                <w:b/>
                <w:color w:val="000000"/>
                <w:sz w:val="20"/>
                <w:szCs w:val="20"/>
              </w:rPr>
            </w:pPr>
            <w:r w:rsidRPr="002725AC">
              <w:rPr>
                <w:rFonts w:asciiTheme="minorHAnsi" w:eastAsiaTheme="minorEastAsia" w:hAnsiTheme="minorHAnsi" w:cstheme="minorBidi"/>
                <w:b/>
                <w:color w:val="000000" w:themeColor="text1"/>
                <w:sz w:val="20"/>
                <w:szCs w:val="20"/>
              </w:rPr>
              <w:t>-</w:t>
            </w:r>
          </w:p>
        </w:tc>
        <w:tc>
          <w:tcPr>
            <w:tcW w:w="729" w:type="pct"/>
            <w:tcBorders>
              <w:top w:val="nil"/>
              <w:left w:val="nil"/>
              <w:bottom w:val="nil"/>
              <w:right w:val="nil"/>
            </w:tcBorders>
            <w:shd w:val="clear" w:color="auto" w:fill="auto"/>
            <w:noWrap/>
            <w:vAlign w:val="center"/>
            <w:hideMark/>
          </w:tcPr>
          <w:p w14:paraId="7BB51634" w14:textId="77777777" w:rsidR="000203B9" w:rsidRDefault="000203B9">
            <w:pPr>
              <w:jc w:val="right"/>
              <w:rPr>
                <w:rFonts w:asciiTheme="minorHAnsi" w:eastAsiaTheme="minorEastAsia" w:hAnsiTheme="minorHAnsi" w:cstheme="minorBidi"/>
                <w:color w:val="000000"/>
                <w:sz w:val="20"/>
                <w:szCs w:val="20"/>
              </w:rPr>
            </w:pPr>
            <w:r w:rsidRPr="7ACEA165">
              <w:rPr>
                <w:rFonts w:asciiTheme="minorHAnsi" w:eastAsiaTheme="minorEastAsia" w:hAnsiTheme="minorHAnsi" w:cstheme="minorBidi"/>
                <w:color w:val="000000" w:themeColor="text1"/>
                <w:sz w:val="20"/>
                <w:szCs w:val="20"/>
              </w:rPr>
              <w:t>-</w:t>
            </w:r>
          </w:p>
        </w:tc>
        <w:tc>
          <w:tcPr>
            <w:tcW w:w="626" w:type="pct"/>
            <w:tcBorders>
              <w:top w:val="nil"/>
              <w:left w:val="nil"/>
              <w:bottom w:val="nil"/>
              <w:right w:val="nil"/>
            </w:tcBorders>
            <w:shd w:val="clear" w:color="auto" w:fill="auto"/>
            <w:noWrap/>
            <w:vAlign w:val="center"/>
            <w:hideMark/>
          </w:tcPr>
          <w:p w14:paraId="6D21C8B7" w14:textId="77777777" w:rsidR="000203B9" w:rsidRDefault="000203B9">
            <w:pPr>
              <w:jc w:val="right"/>
              <w:rPr>
                <w:rFonts w:asciiTheme="minorHAnsi" w:eastAsiaTheme="minorEastAsia" w:hAnsiTheme="minorHAnsi" w:cstheme="minorBidi"/>
                <w:color w:val="000000"/>
                <w:sz w:val="20"/>
                <w:szCs w:val="20"/>
              </w:rPr>
            </w:pPr>
            <w:r w:rsidRPr="7ACEA165">
              <w:rPr>
                <w:rFonts w:asciiTheme="minorHAnsi" w:eastAsiaTheme="minorEastAsia" w:hAnsiTheme="minorHAnsi" w:cstheme="minorBidi"/>
                <w:color w:val="000000" w:themeColor="text1"/>
                <w:sz w:val="20"/>
                <w:szCs w:val="20"/>
              </w:rPr>
              <w:t>0.5</w:t>
            </w:r>
          </w:p>
        </w:tc>
      </w:tr>
      <w:tr w:rsidR="000203B9" w14:paraId="1100C801" w14:textId="77777777" w:rsidTr="002725AC">
        <w:trPr>
          <w:trHeight w:val="318"/>
        </w:trPr>
        <w:tc>
          <w:tcPr>
            <w:tcW w:w="2990" w:type="pct"/>
            <w:gridSpan w:val="4"/>
            <w:tcBorders>
              <w:top w:val="nil"/>
              <w:left w:val="nil"/>
              <w:bottom w:val="nil"/>
              <w:right w:val="nil"/>
            </w:tcBorders>
            <w:shd w:val="clear" w:color="auto" w:fill="auto"/>
            <w:noWrap/>
            <w:vAlign w:val="center"/>
            <w:hideMark/>
          </w:tcPr>
          <w:p w14:paraId="505FD714" w14:textId="11BF141F" w:rsidR="000203B9" w:rsidRDefault="00D43F41">
            <w:pPr>
              <w:rPr>
                <w:rFonts w:asciiTheme="minorHAnsi" w:eastAsiaTheme="minorEastAsia" w:hAnsiTheme="minorHAnsi" w:cstheme="minorBidi"/>
                <w:color w:val="000000"/>
                <w:sz w:val="20"/>
                <w:szCs w:val="20"/>
              </w:rPr>
            </w:pPr>
            <w:r w:rsidRPr="00B02648">
              <w:rPr>
                <w:rFonts w:asciiTheme="minorHAnsi" w:eastAsiaTheme="minorEastAsia" w:hAnsiTheme="minorHAnsi" w:cstheme="minorBidi"/>
                <w:color w:val="000000" w:themeColor="text1"/>
                <w:sz w:val="20"/>
                <w:szCs w:val="20"/>
              </w:rPr>
              <w:t>Near prime customers (note (</w:t>
            </w:r>
            <w:r w:rsidR="00130B98">
              <w:rPr>
                <w:rFonts w:asciiTheme="minorHAnsi" w:eastAsiaTheme="minorEastAsia" w:hAnsiTheme="minorHAnsi" w:cstheme="minorBidi"/>
                <w:color w:val="000000" w:themeColor="text1"/>
                <w:sz w:val="20"/>
                <w:szCs w:val="20"/>
              </w:rPr>
              <w:t>e</w:t>
            </w:r>
            <w:r w:rsidRPr="00B02648">
              <w:rPr>
                <w:rFonts w:asciiTheme="minorHAnsi" w:eastAsiaTheme="minorEastAsia" w:hAnsiTheme="minorHAnsi" w:cstheme="minorBidi"/>
                <w:color w:val="000000" w:themeColor="text1"/>
                <w:sz w:val="20"/>
                <w:szCs w:val="20"/>
              </w:rPr>
              <w:t>))</w:t>
            </w:r>
          </w:p>
        </w:tc>
        <w:tc>
          <w:tcPr>
            <w:tcW w:w="656" w:type="pct"/>
            <w:tcBorders>
              <w:top w:val="nil"/>
              <w:left w:val="nil"/>
              <w:bottom w:val="nil"/>
              <w:right w:val="nil"/>
            </w:tcBorders>
            <w:shd w:val="clear" w:color="auto" w:fill="F2F2F2" w:themeFill="background1" w:themeFillShade="F2"/>
            <w:noWrap/>
            <w:vAlign w:val="center"/>
            <w:hideMark/>
          </w:tcPr>
          <w:p w14:paraId="07CB0BB6" w14:textId="77777777" w:rsidR="000203B9" w:rsidRPr="002725AC" w:rsidRDefault="000203B9">
            <w:pPr>
              <w:jc w:val="right"/>
              <w:rPr>
                <w:rFonts w:asciiTheme="minorHAnsi" w:eastAsiaTheme="minorEastAsia" w:hAnsiTheme="minorHAnsi" w:cstheme="minorBidi"/>
                <w:b/>
                <w:color w:val="000000"/>
                <w:sz w:val="20"/>
                <w:szCs w:val="20"/>
              </w:rPr>
            </w:pPr>
            <w:r w:rsidRPr="002725AC">
              <w:rPr>
                <w:rFonts w:asciiTheme="minorHAnsi" w:eastAsiaTheme="minorEastAsia" w:hAnsiTheme="minorHAnsi" w:cstheme="minorBidi"/>
                <w:b/>
                <w:color w:val="000000" w:themeColor="text1"/>
                <w:sz w:val="20"/>
                <w:szCs w:val="20"/>
              </w:rPr>
              <w:t>-</w:t>
            </w:r>
          </w:p>
        </w:tc>
        <w:tc>
          <w:tcPr>
            <w:tcW w:w="729" w:type="pct"/>
            <w:tcBorders>
              <w:top w:val="nil"/>
              <w:left w:val="nil"/>
              <w:bottom w:val="nil"/>
              <w:right w:val="nil"/>
            </w:tcBorders>
            <w:shd w:val="clear" w:color="auto" w:fill="auto"/>
            <w:noWrap/>
            <w:vAlign w:val="center"/>
            <w:hideMark/>
          </w:tcPr>
          <w:p w14:paraId="138CF8BF" w14:textId="77777777" w:rsidR="000203B9" w:rsidRDefault="000203B9">
            <w:pPr>
              <w:jc w:val="right"/>
              <w:rPr>
                <w:rFonts w:asciiTheme="minorHAnsi" w:eastAsiaTheme="minorEastAsia" w:hAnsiTheme="minorHAnsi" w:cstheme="minorBidi"/>
                <w:color w:val="000000"/>
                <w:sz w:val="20"/>
                <w:szCs w:val="20"/>
              </w:rPr>
            </w:pPr>
            <w:r w:rsidRPr="7ACEA165">
              <w:rPr>
                <w:rFonts w:asciiTheme="minorHAnsi" w:eastAsiaTheme="minorEastAsia" w:hAnsiTheme="minorHAnsi" w:cstheme="minorBidi"/>
                <w:color w:val="000000" w:themeColor="text1"/>
                <w:sz w:val="20"/>
                <w:szCs w:val="20"/>
              </w:rPr>
              <w:t>-</w:t>
            </w:r>
          </w:p>
        </w:tc>
        <w:tc>
          <w:tcPr>
            <w:tcW w:w="626" w:type="pct"/>
            <w:tcBorders>
              <w:top w:val="nil"/>
              <w:left w:val="nil"/>
              <w:bottom w:val="nil"/>
              <w:right w:val="nil"/>
            </w:tcBorders>
            <w:shd w:val="clear" w:color="auto" w:fill="auto"/>
            <w:noWrap/>
            <w:vAlign w:val="center"/>
            <w:hideMark/>
          </w:tcPr>
          <w:p w14:paraId="222F70A2" w14:textId="77777777" w:rsidR="000203B9" w:rsidRDefault="000203B9">
            <w:pPr>
              <w:jc w:val="right"/>
              <w:rPr>
                <w:rFonts w:asciiTheme="minorHAnsi" w:eastAsiaTheme="minorEastAsia" w:hAnsiTheme="minorHAnsi" w:cstheme="minorBidi"/>
                <w:color w:val="000000"/>
                <w:sz w:val="20"/>
                <w:szCs w:val="20"/>
              </w:rPr>
            </w:pPr>
            <w:r w:rsidRPr="7ACEA165">
              <w:rPr>
                <w:rFonts w:asciiTheme="minorHAnsi" w:eastAsiaTheme="minorEastAsia" w:hAnsiTheme="minorHAnsi" w:cstheme="minorBidi"/>
                <w:color w:val="000000" w:themeColor="text1"/>
                <w:sz w:val="20"/>
                <w:szCs w:val="20"/>
              </w:rPr>
              <w:t>(6.1)</w:t>
            </w:r>
          </w:p>
        </w:tc>
      </w:tr>
      <w:tr w:rsidR="000203B9" w14:paraId="2F56D3B9" w14:textId="77777777" w:rsidTr="002725AC">
        <w:trPr>
          <w:trHeight w:val="303"/>
        </w:trPr>
        <w:tc>
          <w:tcPr>
            <w:tcW w:w="2990" w:type="pct"/>
            <w:gridSpan w:val="4"/>
            <w:tcBorders>
              <w:top w:val="nil"/>
              <w:left w:val="nil"/>
              <w:bottom w:val="nil"/>
              <w:right w:val="nil"/>
            </w:tcBorders>
            <w:shd w:val="clear" w:color="auto" w:fill="auto"/>
            <w:noWrap/>
            <w:vAlign w:val="center"/>
            <w:hideMark/>
          </w:tcPr>
          <w:p w14:paraId="660576F9" w14:textId="77777777" w:rsidR="000203B9" w:rsidRDefault="000203B9">
            <w:pPr>
              <w:rPr>
                <w:rFonts w:asciiTheme="minorHAnsi" w:eastAsiaTheme="minorEastAsia" w:hAnsiTheme="minorHAnsi" w:cstheme="minorBidi"/>
                <w:b/>
                <w:color w:val="000000"/>
                <w:sz w:val="20"/>
                <w:szCs w:val="20"/>
              </w:rPr>
            </w:pPr>
            <w:r w:rsidRPr="7ACEA165">
              <w:rPr>
                <w:rFonts w:asciiTheme="minorHAnsi" w:eastAsiaTheme="minorEastAsia" w:hAnsiTheme="minorHAnsi" w:cstheme="minorBidi"/>
                <w:b/>
                <w:color w:val="000000" w:themeColor="text1"/>
                <w:sz w:val="20"/>
                <w:szCs w:val="20"/>
              </w:rPr>
              <w:t>Total post model (under)/overlays</w:t>
            </w:r>
          </w:p>
        </w:tc>
        <w:tc>
          <w:tcPr>
            <w:tcW w:w="656" w:type="pct"/>
            <w:tcBorders>
              <w:top w:val="single" w:sz="8" w:space="0" w:color="auto"/>
              <w:left w:val="nil"/>
              <w:bottom w:val="single" w:sz="8" w:space="0" w:color="auto"/>
              <w:right w:val="nil"/>
            </w:tcBorders>
            <w:shd w:val="clear" w:color="auto" w:fill="F2F2F2" w:themeFill="background1" w:themeFillShade="F2"/>
            <w:noWrap/>
            <w:vAlign w:val="center"/>
            <w:hideMark/>
          </w:tcPr>
          <w:p w14:paraId="7AB21987" w14:textId="77777777" w:rsidR="000203B9" w:rsidRDefault="000203B9">
            <w:pPr>
              <w:jc w:val="right"/>
              <w:rPr>
                <w:rFonts w:asciiTheme="minorHAnsi" w:eastAsiaTheme="minorEastAsia" w:hAnsiTheme="minorHAnsi" w:cstheme="minorBidi"/>
                <w:b/>
                <w:color w:val="000000"/>
                <w:sz w:val="20"/>
                <w:szCs w:val="20"/>
              </w:rPr>
            </w:pPr>
            <w:r w:rsidRPr="7ACEA165">
              <w:rPr>
                <w:rFonts w:asciiTheme="minorHAnsi" w:eastAsiaTheme="minorEastAsia" w:hAnsiTheme="minorHAnsi" w:cstheme="minorBidi"/>
                <w:b/>
                <w:color w:val="000000" w:themeColor="text1"/>
                <w:sz w:val="20"/>
                <w:szCs w:val="20"/>
              </w:rPr>
              <w:t>(5.3)</w:t>
            </w:r>
          </w:p>
        </w:tc>
        <w:tc>
          <w:tcPr>
            <w:tcW w:w="729" w:type="pct"/>
            <w:tcBorders>
              <w:top w:val="single" w:sz="8" w:space="0" w:color="auto"/>
              <w:left w:val="nil"/>
              <w:bottom w:val="single" w:sz="8" w:space="0" w:color="auto"/>
              <w:right w:val="nil"/>
            </w:tcBorders>
            <w:shd w:val="clear" w:color="auto" w:fill="auto"/>
            <w:vAlign w:val="center"/>
            <w:hideMark/>
          </w:tcPr>
          <w:p w14:paraId="1D8A3F8A" w14:textId="559766D0" w:rsidR="000203B9" w:rsidRDefault="000203B9">
            <w:pPr>
              <w:jc w:val="right"/>
              <w:rPr>
                <w:rFonts w:asciiTheme="minorHAnsi" w:eastAsiaTheme="minorEastAsia" w:hAnsiTheme="minorHAnsi" w:cstheme="minorBidi"/>
                <w:color w:val="000000"/>
                <w:sz w:val="20"/>
                <w:szCs w:val="20"/>
              </w:rPr>
            </w:pPr>
            <w:r w:rsidRPr="7ACEA165">
              <w:rPr>
                <w:rFonts w:asciiTheme="minorHAnsi" w:eastAsiaTheme="minorEastAsia" w:hAnsiTheme="minorHAnsi" w:cstheme="minorBidi"/>
                <w:color w:val="000000" w:themeColor="text1"/>
                <w:sz w:val="20"/>
                <w:szCs w:val="20"/>
              </w:rPr>
              <w:t>(</w:t>
            </w:r>
            <w:r w:rsidR="00487F93">
              <w:rPr>
                <w:rFonts w:asciiTheme="minorHAnsi" w:eastAsiaTheme="minorEastAsia" w:hAnsiTheme="minorHAnsi" w:cstheme="minorBidi"/>
                <w:color w:val="000000" w:themeColor="text1"/>
                <w:sz w:val="20"/>
                <w:szCs w:val="20"/>
              </w:rPr>
              <w:t>4.4</w:t>
            </w:r>
            <w:r w:rsidRPr="7ACEA165">
              <w:rPr>
                <w:rFonts w:asciiTheme="minorHAnsi" w:eastAsiaTheme="minorEastAsia" w:hAnsiTheme="minorHAnsi" w:cstheme="minorBidi"/>
                <w:color w:val="000000" w:themeColor="text1"/>
                <w:sz w:val="20"/>
                <w:szCs w:val="20"/>
              </w:rPr>
              <w:t>)</w:t>
            </w:r>
          </w:p>
        </w:tc>
        <w:tc>
          <w:tcPr>
            <w:tcW w:w="626" w:type="pct"/>
            <w:tcBorders>
              <w:top w:val="single" w:sz="8" w:space="0" w:color="auto"/>
              <w:left w:val="nil"/>
              <w:bottom w:val="single" w:sz="8" w:space="0" w:color="auto"/>
              <w:right w:val="nil"/>
            </w:tcBorders>
            <w:shd w:val="clear" w:color="auto" w:fill="auto"/>
            <w:vAlign w:val="center"/>
            <w:hideMark/>
          </w:tcPr>
          <w:p w14:paraId="5BB44F66" w14:textId="77777777" w:rsidR="000203B9" w:rsidRDefault="000203B9">
            <w:pPr>
              <w:jc w:val="right"/>
              <w:rPr>
                <w:rFonts w:asciiTheme="minorHAnsi" w:eastAsiaTheme="minorEastAsia" w:hAnsiTheme="minorHAnsi" w:cstheme="minorBidi"/>
                <w:color w:val="000000"/>
                <w:sz w:val="20"/>
                <w:szCs w:val="20"/>
              </w:rPr>
            </w:pPr>
            <w:r w:rsidRPr="7ACEA165">
              <w:rPr>
                <w:rFonts w:asciiTheme="minorHAnsi" w:eastAsiaTheme="minorEastAsia" w:hAnsiTheme="minorHAnsi" w:cstheme="minorBidi"/>
                <w:color w:val="000000" w:themeColor="text1"/>
                <w:sz w:val="20"/>
                <w:szCs w:val="20"/>
              </w:rPr>
              <w:t>(10.0)</w:t>
            </w:r>
          </w:p>
        </w:tc>
      </w:tr>
      <w:tr w:rsidR="00C85F68" w14:paraId="03B73722" w14:textId="77777777" w:rsidTr="00C85F68">
        <w:trPr>
          <w:trHeight w:val="303"/>
        </w:trPr>
        <w:tc>
          <w:tcPr>
            <w:tcW w:w="2008" w:type="pct"/>
            <w:gridSpan w:val="3"/>
            <w:tcBorders>
              <w:top w:val="nil"/>
              <w:left w:val="nil"/>
              <w:bottom w:val="nil"/>
              <w:right w:val="nil"/>
            </w:tcBorders>
            <w:shd w:val="clear" w:color="auto" w:fill="auto"/>
            <w:noWrap/>
            <w:vAlign w:val="center"/>
            <w:hideMark/>
          </w:tcPr>
          <w:p w14:paraId="3105279D" w14:textId="77777777" w:rsidR="000203B9" w:rsidRDefault="000203B9">
            <w:pPr>
              <w:rPr>
                <w:rFonts w:asciiTheme="minorHAnsi" w:eastAsiaTheme="minorEastAsia" w:hAnsiTheme="minorHAnsi" w:cstheme="minorBidi"/>
                <w:b/>
                <w:color w:val="000000"/>
                <w:sz w:val="20"/>
                <w:szCs w:val="20"/>
              </w:rPr>
            </w:pPr>
            <w:r w:rsidRPr="7ACEA165">
              <w:rPr>
                <w:rFonts w:asciiTheme="minorHAnsi" w:eastAsiaTheme="minorEastAsia" w:hAnsiTheme="minorHAnsi" w:cstheme="minorBidi"/>
                <w:b/>
                <w:color w:val="000000" w:themeColor="text1"/>
                <w:sz w:val="20"/>
                <w:szCs w:val="20"/>
              </w:rPr>
              <w:t>Total (under)/overlays</w:t>
            </w:r>
          </w:p>
        </w:tc>
        <w:tc>
          <w:tcPr>
            <w:tcW w:w="981" w:type="pct"/>
            <w:tcBorders>
              <w:top w:val="nil"/>
              <w:left w:val="nil"/>
              <w:bottom w:val="nil"/>
              <w:right w:val="nil"/>
            </w:tcBorders>
            <w:shd w:val="clear" w:color="auto" w:fill="auto"/>
            <w:noWrap/>
            <w:vAlign w:val="center"/>
            <w:hideMark/>
          </w:tcPr>
          <w:p w14:paraId="2DCD8FD9" w14:textId="77777777" w:rsidR="000203B9" w:rsidRDefault="000203B9">
            <w:pPr>
              <w:rPr>
                <w:rFonts w:asciiTheme="minorHAnsi" w:eastAsiaTheme="minorEastAsia" w:hAnsiTheme="minorHAnsi" w:cstheme="minorBidi"/>
                <w:b/>
                <w:color w:val="000000"/>
                <w:sz w:val="20"/>
                <w:szCs w:val="20"/>
              </w:rPr>
            </w:pPr>
          </w:p>
        </w:tc>
        <w:tc>
          <w:tcPr>
            <w:tcW w:w="656" w:type="pct"/>
            <w:tcBorders>
              <w:top w:val="nil"/>
              <w:left w:val="nil"/>
              <w:bottom w:val="single" w:sz="8" w:space="0" w:color="auto"/>
              <w:right w:val="nil"/>
            </w:tcBorders>
            <w:shd w:val="clear" w:color="auto" w:fill="F2F2F2" w:themeFill="background1" w:themeFillShade="F2"/>
            <w:noWrap/>
            <w:vAlign w:val="center"/>
            <w:hideMark/>
          </w:tcPr>
          <w:p w14:paraId="42143B31" w14:textId="77777777" w:rsidR="000203B9" w:rsidRDefault="000203B9">
            <w:pPr>
              <w:jc w:val="right"/>
              <w:rPr>
                <w:rFonts w:asciiTheme="minorHAnsi" w:eastAsiaTheme="minorEastAsia" w:hAnsiTheme="minorHAnsi" w:cstheme="minorBidi"/>
                <w:b/>
                <w:color w:val="000000"/>
                <w:sz w:val="20"/>
                <w:szCs w:val="20"/>
              </w:rPr>
            </w:pPr>
            <w:r w:rsidRPr="7ACEA165">
              <w:rPr>
                <w:rFonts w:asciiTheme="minorHAnsi" w:eastAsiaTheme="minorEastAsia" w:hAnsiTheme="minorHAnsi" w:cstheme="minorBidi"/>
                <w:b/>
                <w:color w:val="000000" w:themeColor="text1"/>
                <w:sz w:val="20"/>
                <w:szCs w:val="20"/>
              </w:rPr>
              <w:t>(5.3)</w:t>
            </w:r>
          </w:p>
        </w:tc>
        <w:tc>
          <w:tcPr>
            <w:tcW w:w="729" w:type="pct"/>
            <w:tcBorders>
              <w:top w:val="nil"/>
              <w:left w:val="nil"/>
              <w:bottom w:val="single" w:sz="8" w:space="0" w:color="auto"/>
              <w:right w:val="nil"/>
            </w:tcBorders>
            <w:shd w:val="clear" w:color="auto" w:fill="auto"/>
            <w:vAlign w:val="center"/>
            <w:hideMark/>
          </w:tcPr>
          <w:p w14:paraId="1D2FABF5" w14:textId="15C8F652" w:rsidR="000203B9" w:rsidRDefault="000203B9">
            <w:pPr>
              <w:jc w:val="right"/>
              <w:rPr>
                <w:rFonts w:asciiTheme="minorHAnsi" w:eastAsiaTheme="minorEastAsia" w:hAnsiTheme="minorHAnsi" w:cstheme="minorBidi"/>
                <w:color w:val="000000"/>
                <w:sz w:val="20"/>
                <w:szCs w:val="20"/>
              </w:rPr>
            </w:pPr>
            <w:r w:rsidRPr="7ACEA165">
              <w:rPr>
                <w:rFonts w:asciiTheme="minorHAnsi" w:eastAsiaTheme="minorEastAsia" w:hAnsiTheme="minorHAnsi" w:cstheme="minorBidi"/>
                <w:color w:val="000000" w:themeColor="text1"/>
                <w:sz w:val="20"/>
                <w:szCs w:val="20"/>
              </w:rPr>
              <w:t>(</w:t>
            </w:r>
            <w:r w:rsidR="00765321">
              <w:rPr>
                <w:rFonts w:asciiTheme="minorHAnsi" w:eastAsiaTheme="minorEastAsia" w:hAnsiTheme="minorHAnsi" w:cstheme="minorBidi"/>
                <w:color w:val="000000" w:themeColor="text1"/>
                <w:sz w:val="20"/>
                <w:szCs w:val="20"/>
              </w:rPr>
              <w:t>51.4</w:t>
            </w:r>
            <w:r w:rsidRPr="7ACEA165">
              <w:rPr>
                <w:rFonts w:asciiTheme="minorHAnsi" w:eastAsiaTheme="minorEastAsia" w:hAnsiTheme="minorHAnsi" w:cstheme="minorBidi"/>
                <w:color w:val="000000" w:themeColor="text1"/>
                <w:sz w:val="20"/>
                <w:szCs w:val="20"/>
              </w:rPr>
              <w:t>)</w:t>
            </w:r>
          </w:p>
        </w:tc>
        <w:tc>
          <w:tcPr>
            <w:tcW w:w="626" w:type="pct"/>
            <w:tcBorders>
              <w:top w:val="nil"/>
              <w:left w:val="nil"/>
              <w:bottom w:val="single" w:sz="8" w:space="0" w:color="auto"/>
              <w:right w:val="nil"/>
            </w:tcBorders>
            <w:shd w:val="clear" w:color="auto" w:fill="auto"/>
            <w:vAlign w:val="center"/>
            <w:hideMark/>
          </w:tcPr>
          <w:p w14:paraId="48E491B9" w14:textId="77777777" w:rsidR="000203B9" w:rsidRDefault="000203B9">
            <w:pPr>
              <w:jc w:val="right"/>
              <w:rPr>
                <w:rFonts w:asciiTheme="minorHAnsi" w:eastAsiaTheme="minorEastAsia" w:hAnsiTheme="minorHAnsi" w:cstheme="minorBidi"/>
                <w:color w:val="000000"/>
                <w:sz w:val="20"/>
                <w:szCs w:val="20"/>
              </w:rPr>
            </w:pPr>
            <w:r w:rsidRPr="7ACEA165">
              <w:rPr>
                <w:rFonts w:asciiTheme="minorHAnsi" w:eastAsiaTheme="minorEastAsia" w:hAnsiTheme="minorHAnsi" w:cstheme="minorBidi"/>
                <w:color w:val="000000" w:themeColor="text1"/>
                <w:sz w:val="20"/>
                <w:szCs w:val="20"/>
              </w:rPr>
              <w:t>(10.0)</w:t>
            </w:r>
          </w:p>
        </w:tc>
      </w:tr>
    </w:tbl>
    <w:p w14:paraId="38B2C3A3" w14:textId="77777777" w:rsidR="00A319A4" w:rsidRDefault="00A319A4" w:rsidP="00A8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Cs/>
          <w:sz w:val="20"/>
          <w:szCs w:val="20"/>
        </w:rPr>
      </w:pPr>
    </w:p>
    <w:p w14:paraId="19982294" w14:textId="152BF72F" w:rsidR="008C36F3" w:rsidRPr="00306AF1" w:rsidRDefault="00F630BE" w:rsidP="009F7014">
      <w:pPr>
        <w:rPr>
          <w:rFonts w:asciiTheme="minorHAnsi" w:eastAsiaTheme="minorEastAsia" w:hAnsiTheme="minorHAnsi" w:cs="Arial"/>
          <w:i/>
          <w:sz w:val="20"/>
          <w:szCs w:val="20"/>
          <w:lang w:eastAsia="en-US"/>
        </w:rPr>
      </w:pPr>
      <w:r w:rsidRPr="6374C43D">
        <w:rPr>
          <w:rFonts w:asciiTheme="minorHAnsi" w:hAnsiTheme="minorHAnsi" w:cs="Arial"/>
          <w:sz w:val="20"/>
          <w:szCs w:val="20"/>
          <w:vertAlign w:val="superscript"/>
        </w:rPr>
        <w:t>1</w:t>
      </w:r>
      <w:r w:rsidRPr="6374C43D">
        <w:rPr>
          <w:rFonts w:asciiTheme="minorHAnsi" w:hAnsiTheme="minorHAnsi" w:cs="Arial"/>
          <w:sz w:val="20"/>
          <w:szCs w:val="20"/>
        </w:rPr>
        <w:t xml:space="preserve"> </w:t>
      </w:r>
      <w:r w:rsidRPr="6374C43D">
        <w:rPr>
          <w:rFonts w:asciiTheme="minorHAnsi" w:eastAsiaTheme="minorEastAsia" w:hAnsiTheme="minorHAnsi" w:cs="Arial"/>
          <w:i/>
          <w:sz w:val="20"/>
          <w:szCs w:val="20"/>
          <w:lang w:eastAsia="en-US"/>
        </w:rPr>
        <w:t xml:space="preserve"> Vehicle Finance receivables have been retrospectively restated, see note 2</w:t>
      </w:r>
    </w:p>
    <w:p w14:paraId="3FB3F810" w14:textId="155155DC" w:rsidR="008C36F3" w:rsidRPr="00306AF1" w:rsidRDefault="008C36F3" w:rsidP="17F7DDCC">
      <w:pPr>
        <w:rPr>
          <w:rFonts w:asciiTheme="minorHAnsi" w:eastAsiaTheme="minorEastAsia" w:hAnsiTheme="minorHAnsi" w:cs="Arial"/>
          <w:i/>
          <w:iCs/>
          <w:sz w:val="20"/>
          <w:szCs w:val="20"/>
          <w:highlight w:val="yellow"/>
          <w:lang w:eastAsia="en-US"/>
        </w:rPr>
      </w:pPr>
    </w:p>
    <w:p w14:paraId="6A52468E" w14:textId="5004242E" w:rsidR="0060214B" w:rsidRPr="00FD5626" w:rsidRDefault="0060214B" w:rsidP="00602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sz w:val="20"/>
          <w:szCs w:val="20"/>
        </w:rPr>
      </w:pPr>
      <w:r w:rsidRPr="00FD5626">
        <w:rPr>
          <w:rFonts w:asciiTheme="minorHAnsi" w:hAnsiTheme="minorHAnsi" w:cs="Arial"/>
          <w:b/>
          <w:sz w:val="20"/>
          <w:szCs w:val="20"/>
        </w:rPr>
        <w:t xml:space="preserve">(a) </w:t>
      </w:r>
      <w:r w:rsidR="003A4FF9" w:rsidRPr="00FD5626">
        <w:rPr>
          <w:rFonts w:asciiTheme="minorHAnsi" w:hAnsiTheme="minorHAnsi" w:cs="Arial"/>
          <w:b/>
          <w:sz w:val="20"/>
          <w:szCs w:val="20"/>
        </w:rPr>
        <w:t>Model overlay</w:t>
      </w:r>
    </w:p>
    <w:p w14:paraId="5C5453B5" w14:textId="30D1680F" w:rsidR="001D34E6" w:rsidRPr="00FD5626" w:rsidRDefault="00446741" w:rsidP="00602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FD5626">
        <w:rPr>
          <w:rFonts w:asciiTheme="minorHAnsi" w:hAnsiTheme="minorHAnsi" w:cs="Arial"/>
          <w:sz w:val="20"/>
          <w:szCs w:val="20"/>
        </w:rPr>
        <w:t>Relates to new model development executed in 2023. Refer to Cards section for further details.</w:t>
      </w:r>
    </w:p>
    <w:p w14:paraId="31323FF0" w14:textId="77777777" w:rsidR="00446741" w:rsidRPr="00FD5626" w:rsidRDefault="00446741" w:rsidP="00602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sz w:val="20"/>
          <w:szCs w:val="20"/>
        </w:rPr>
      </w:pPr>
    </w:p>
    <w:p w14:paraId="36DBE316" w14:textId="7345EAF9" w:rsidR="0060214B" w:rsidRPr="00FD5626" w:rsidRDefault="0060214B" w:rsidP="00602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sz w:val="20"/>
          <w:szCs w:val="20"/>
        </w:rPr>
      </w:pPr>
      <w:r w:rsidRPr="00FD5626">
        <w:rPr>
          <w:rFonts w:asciiTheme="minorHAnsi" w:hAnsiTheme="minorHAnsi" w:cs="Arial"/>
          <w:b/>
          <w:sz w:val="20"/>
          <w:szCs w:val="20"/>
        </w:rPr>
        <w:t xml:space="preserve">(b) Fraud </w:t>
      </w:r>
    </w:p>
    <w:p w14:paraId="1CCF22FA" w14:textId="55666F4C" w:rsidR="003A4FF9" w:rsidRPr="00FD5626" w:rsidRDefault="0060214B" w:rsidP="00602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FD5626">
        <w:rPr>
          <w:rFonts w:asciiTheme="minorHAnsi" w:hAnsiTheme="minorHAnsi" w:cs="Arial"/>
          <w:sz w:val="20"/>
          <w:szCs w:val="20"/>
        </w:rPr>
        <w:t xml:space="preserve">The fraud </w:t>
      </w:r>
      <w:r w:rsidR="00CF0DF9" w:rsidRPr="00FD5626">
        <w:rPr>
          <w:rFonts w:asciiTheme="minorHAnsi" w:hAnsiTheme="minorHAnsi" w:cs="Arial"/>
          <w:sz w:val="20"/>
          <w:szCs w:val="20"/>
        </w:rPr>
        <w:t>overlay</w:t>
      </w:r>
      <w:r w:rsidR="0089389D" w:rsidRPr="00FD5626">
        <w:rPr>
          <w:rFonts w:asciiTheme="minorHAnsi" w:hAnsiTheme="minorHAnsi" w:cs="Arial"/>
          <w:sz w:val="20"/>
          <w:szCs w:val="20"/>
        </w:rPr>
        <w:t xml:space="preserve"> </w:t>
      </w:r>
      <w:r w:rsidRPr="00FD5626">
        <w:rPr>
          <w:rFonts w:asciiTheme="minorHAnsi" w:hAnsiTheme="minorHAnsi" w:cs="Arial"/>
          <w:sz w:val="20"/>
          <w:szCs w:val="20"/>
        </w:rPr>
        <w:t xml:space="preserve">represents </w:t>
      </w:r>
      <w:r w:rsidR="00CF0DF9" w:rsidRPr="00FD5626">
        <w:rPr>
          <w:rFonts w:asciiTheme="minorHAnsi" w:hAnsiTheme="minorHAnsi" w:cs="Arial"/>
          <w:sz w:val="20"/>
          <w:szCs w:val="20"/>
        </w:rPr>
        <w:t>a</w:t>
      </w:r>
      <w:r w:rsidRPr="00FD5626">
        <w:rPr>
          <w:rFonts w:asciiTheme="minorHAnsi" w:hAnsiTheme="minorHAnsi" w:cs="Arial"/>
          <w:sz w:val="20"/>
          <w:szCs w:val="20"/>
        </w:rPr>
        <w:t xml:space="preserve"> cohort of live accounts within the vehicle finance portfolio that have been identified as fraud customers.</w:t>
      </w:r>
      <w:r w:rsidR="00BC1737" w:rsidRPr="00FD5626">
        <w:rPr>
          <w:rFonts w:asciiTheme="minorHAnsi" w:hAnsiTheme="minorHAnsi" w:cs="Arial"/>
          <w:sz w:val="20"/>
          <w:szCs w:val="20"/>
        </w:rPr>
        <w:t xml:space="preserve"> There is a corresponding adjustment within gross receivables for these accounts.</w:t>
      </w:r>
    </w:p>
    <w:p w14:paraId="0A829BA4" w14:textId="2DC2F27B" w:rsidR="00CF0DF9" w:rsidRDefault="00CF0DF9" w:rsidP="00CF0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sz w:val="20"/>
          <w:szCs w:val="20"/>
        </w:rPr>
      </w:pPr>
    </w:p>
    <w:p w14:paraId="6A0AF9C9" w14:textId="043DE91D" w:rsidR="00DE2FA7" w:rsidRPr="00FD5626" w:rsidRDefault="00DE2FA7" w:rsidP="6A763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bCs/>
          <w:sz w:val="20"/>
          <w:szCs w:val="20"/>
        </w:rPr>
      </w:pPr>
      <w:r w:rsidRPr="6A7632AC">
        <w:rPr>
          <w:rFonts w:asciiTheme="minorHAnsi" w:hAnsiTheme="minorHAnsi" w:cs="Arial"/>
          <w:b/>
          <w:bCs/>
          <w:sz w:val="20"/>
          <w:szCs w:val="20"/>
        </w:rPr>
        <w:t>(c) Borrowers in financial difficulty</w:t>
      </w:r>
    </w:p>
    <w:p w14:paraId="421D7859" w14:textId="6CCECFA6" w:rsidR="00DE2FA7" w:rsidRPr="00306AF1" w:rsidRDefault="00DE2FA7" w:rsidP="6A763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6A7632AC">
        <w:rPr>
          <w:rFonts w:asciiTheme="minorHAnsi" w:hAnsiTheme="minorHAnsi" w:cs="Arial"/>
          <w:sz w:val="20"/>
          <w:szCs w:val="20"/>
        </w:rPr>
        <w:t xml:space="preserve">An overlay </w:t>
      </w:r>
      <w:r w:rsidR="00CD6721">
        <w:rPr>
          <w:rFonts w:asciiTheme="minorHAnsi" w:hAnsiTheme="minorHAnsi" w:cs="Arial"/>
          <w:sz w:val="20"/>
          <w:szCs w:val="20"/>
        </w:rPr>
        <w:t>was</w:t>
      </w:r>
      <w:r w:rsidRPr="6A7632AC">
        <w:rPr>
          <w:rFonts w:asciiTheme="minorHAnsi" w:hAnsiTheme="minorHAnsi" w:cs="Arial"/>
          <w:sz w:val="20"/>
          <w:szCs w:val="20"/>
        </w:rPr>
        <w:t xml:space="preserve">  recognised for a selection of customer accounts that are deemed to be borrowers in financial difficulty.</w:t>
      </w:r>
      <w:r w:rsidR="00733AAF">
        <w:rPr>
          <w:rFonts w:asciiTheme="minorHAnsi" w:hAnsiTheme="minorHAnsi" w:cs="Arial"/>
          <w:sz w:val="20"/>
          <w:szCs w:val="20"/>
        </w:rPr>
        <w:t xml:space="preserve"> </w:t>
      </w:r>
      <w:r w:rsidR="00041A6B">
        <w:rPr>
          <w:rFonts w:asciiTheme="minorHAnsi" w:hAnsiTheme="minorHAnsi" w:cs="Arial"/>
          <w:sz w:val="20"/>
          <w:szCs w:val="20"/>
        </w:rPr>
        <w:t>The overlay was release</w:t>
      </w:r>
      <w:r w:rsidR="00763BCE">
        <w:rPr>
          <w:rFonts w:asciiTheme="minorHAnsi" w:hAnsiTheme="minorHAnsi" w:cs="Arial"/>
          <w:sz w:val="20"/>
          <w:szCs w:val="20"/>
        </w:rPr>
        <w:t>d</w:t>
      </w:r>
      <w:r w:rsidR="00041A6B">
        <w:rPr>
          <w:rFonts w:asciiTheme="minorHAnsi" w:hAnsiTheme="minorHAnsi" w:cs="Arial"/>
          <w:sz w:val="20"/>
          <w:szCs w:val="20"/>
        </w:rPr>
        <w:t xml:space="preserve"> in </w:t>
      </w:r>
      <w:r w:rsidR="00543AF2">
        <w:rPr>
          <w:rFonts w:asciiTheme="minorHAnsi" w:hAnsiTheme="minorHAnsi" w:cs="Arial"/>
          <w:sz w:val="20"/>
          <w:szCs w:val="20"/>
        </w:rPr>
        <w:t xml:space="preserve">1H24 as a result </w:t>
      </w:r>
      <w:r w:rsidR="00D61067">
        <w:rPr>
          <w:rFonts w:asciiTheme="minorHAnsi" w:hAnsiTheme="minorHAnsi" w:cs="Arial"/>
          <w:sz w:val="20"/>
          <w:szCs w:val="20"/>
        </w:rPr>
        <w:t xml:space="preserve">of the </w:t>
      </w:r>
      <w:r w:rsidR="00461395">
        <w:rPr>
          <w:rFonts w:asciiTheme="minorHAnsi" w:hAnsiTheme="minorHAnsi" w:cs="Arial"/>
          <w:sz w:val="20"/>
          <w:szCs w:val="20"/>
        </w:rPr>
        <w:t>model update.</w:t>
      </w:r>
    </w:p>
    <w:p w14:paraId="0D8C330B" w14:textId="77777777" w:rsidR="006E7299" w:rsidRPr="00FD5626" w:rsidRDefault="006E7299" w:rsidP="00CF0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577FC6D3" w14:textId="02AA6839" w:rsidR="003A4FF9" w:rsidRPr="00FD5626" w:rsidRDefault="003A4FF9" w:rsidP="00602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sz w:val="20"/>
          <w:szCs w:val="20"/>
        </w:rPr>
      </w:pPr>
      <w:r w:rsidRPr="00FD5626">
        <w:rPr>
          <w:rFonts w:asciiTheme="minorHAnsi" w:hAnsiTheme="minorHAnsi" w:cs="Arial"/>
          <w:b/>
          <w:sz w:val="20"/>
          <w:szCs w:val="20"/>
        </w:rPr>
        <w:t>(</w:t>
      </w:r>
      <w:r w:rsidR="00E26D5C">
        <w:rPr>
          <w:rFonts w:asciiTheme="minorHAnsi" w:hAnsiTheme="minorHAnsi" w:cs="Arial"/>
          <w:b/>
          <w:sz w:val="20"/>
          <w:szCs w:val="20"/>
        </w:rPr>
        <w:t>d</w:t>
      </w:r>
      <w:r w:rsidRPr="00FD5626">
        <w:rPr>
          <w:rFonts w:asciiTheme="minorHAnsi" w:hAnsiTheme="minorHAnsi" w:cs="Arial"/>
          <w:b/>
          <w:sz w:val="20"/>
          <w:szCs w:val="20"/>
        </w:rPr>
        <w:t>) Cost of living</w:t>
      </w:r>
    </w:p>
    <w:p w14:paraId="4FE9F745" w14:textId="353EC521" w:rsidR="00F81FCB" w:rsidRPr="00FD5626" w:rsidRDefault="00EE1056" w:rsidP="00602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Pr>
          <w:rFonts w:asciiTheme="minorHAnsi" w:hAnsiTheme="minorHAnsi" w:cs="Arial"/>
          <w:sz w:val="20"/>
          <w:szCs w:val="20"/>
        </w:rPr>
        <w:t xml:space="preserve"> The</w:t>
      </w:r>
      <w:r w:rsidR="00EC4579" w:rsidRPr="00FD5626">
        <w:rPr>
          <w:rFonts w:asciiTheme="minorHAnsi" w:hAnsiTheme="minorHAnsi" w:cs="Arial"/>
          <w:sz w:val="20"/>
          <w:szCs w:val="20"/>
        </w:rPr>
        <w:t xml:space="preserve"> cost of living overlay was fully released in 2023. Refer to Cards section for further details</w:t>
      </w:r>
    </w:p>
    <w:p w14:paraId="5EC3562F" w14:textId="77777777" w:rsidR="00D47586" w:rsidRDefault="00D47586" w:rsidP="6A763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bCs/>
          <w:sz w:val="20"/>
          <w:szCs w:val="20"/>
        </w:rPr>
      </w:pPr>
    </w:p>
    <w:p w14:paraId="37EEC6E6" w14:textId="3A6B59B5" w:rsidR="00DE2FA7" w:rsidRDefault="00DE2FA7" w:rsidP="6A763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bCs/>
          <w:sz w:val="20"/>
          <w:szCs w:val="20"/>
        </w:rPr>
      </w:pPr>
      <w:r w:rsidRPr="6A7632AC">
        <w:rPr>
          <w:rFonts w:asciiTheme="minorHAnsi" w:hAnsiTheme="minorHAnsi" w:cs="Arial"/>
          <w:b/>
          <w:bCs/>
          <w:sz w:val="20"/>
          <w:szCs w:val="20"/>
        </w:rPr>
        <w:t>(e) Near prime customers</w:t>
      </w:r>
    </w:p>
    <w:p w14:paraId="5E513248" w14:textId="7E523CB4" w:rsidR="00DE2FA7" w:rsidRDefault="00DE2FA7" w:rsidP="6A763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6A7632AC">
        <w:rPr>
          <w:rFonts w:asciiTheme="minorHAnsi" w:hAnsiTheme="minorHAnsi" w:cs="Arial"/>
          <w:sz w:val="20"/>
          <w:szCs w:val="20"/>
        </w:rPr>
        <w:t xml:space="preserve">The near prime customers post model overlay was introduced in 2023 due to an increased volume of new near prime customers, for whom the model did not accurately predict a significant increase in credit risk for this customer segment. This was because the Group’s available historical data relating to this segment on which the models operated was minimal, due to low historic lending volumes to this customer segment. Therefore a post model overlay was created to address the model shortcomings. This overlay was released in </w:t>
      </w:r>
      <w:r w:rsidR="003E3300">
        <w:rPr>
          <w:rFonts w:asciiTheme="minorHAnsi" w:hAnsiTheme="minorHAnsi" w:cs="Arial"/>
          <w:sz w:val="20"/>
          <w:szCs w:val="20"/>
        </w:rPr>
        <w:t>2</w:t>
      </w:r>
      <w:r w:rsidRPr="6A7632AC">
        <w:rPr>
          <w:rFonts w:asciiTheme="minorHAnsi" w:hAnsiTheme="minorHAnsi" w:cs="Arial"/>
          <w:sz w:val="20"/>
          <w:szCs w:val="20"/>
        </w:rPr>
        <w:t>H2</w:t>
      </w:r>
      <w:r w:rsidR="003E3300">
        <w:rPr>
          <w:rFonts w:asciiTheme="minorHAnsi" w:hAnsiTheme="minorHAnsi" w:cs="Arial"/>
          <w:sz w:val="20"/>
          <w:szCs w:val="20"/>
        </w:rPr>
        <w:t>3</w:t>
      </w:r>
      <w:r w:rsidRPr="6A7632AC">
        <w:rPr>
          <w:rFonts w:asciiTheme="minorHAnsi" w:hAnsiTheme="minorHAnsi" w:cs="Arial"/>
          <w:sz w:val="20"/>
          <w:szCs w:val="20"/>
        </w:rPr>
        <w:t xml:space="preserve"> as the model was updated to address this limitation.</w:t>
      </w:r>
    </w:p>
    <w:p w14:paraId="3B81B912" w14:textId="77777777" w:rsidR="00C04CAA" w:rsidRDefault="00C04CAA" w:rsidP="0090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Cs/>
          <w:sz w:val="20"/>
          <w:szCs w:val="20"/>
        </w:rPr>
      </w:pPr>
    </w:p>
    <w:p w14:paraId="1548CD77" w14:textId="7AA5B576" w:rsidR="00907A93" w:rsidRDefault="00907A93" w:rsidP="0090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Cs/>
          <w:sz w:val="20"/>
          <w:szCs w:val="20"/>
        </w:rPr>
      </w:pPr>
      <w:r w:rsidRPr="00306AF1">
        <w:rPr>
          <w:rFonts w:asciiTheme="minorHAnsi" w:hAnsiTheme="minorHAnsi" w:cs="Arial"/>
          <w:bCs/>
          <w:sz w:val="20"/>
          <w:szCs w:val="20"/>
        </w:rPr>
        <w:t xml:space="preserve">A breakdown of the post-model </w:t>
      </w:r>
      <w:r w:rsidR="00F86CA1" w:rsidRPr="00306AF1">
        <w:rPr>
          <w:rFonts w:asciiTheme="minorHAnsi" w:hAnsiTheme="minorHAnsi" w:cs="Arial"/>
          <w:bCs/>
          <w:sz w:val="20"/>
          <w:szCs w:val="20"/>
        </w:rPr>
        <w:t>adjustment</w:t>
      </w:r>
      <w:r w:rsidR="00855C68" w:rsidRPr="00306AF1">
        <w:rPr>
          <w:rFonts w:asciiTheme="minorHAnsi" w:hAnsiTheme="minorHAnsi" w:cs="Arial"/>
          <w:bCs/>
          <w:sz w:val="20"/>
          <w:szCs w:val="20"/>
        </w:rPr>
        <w:t>s</w:t>
      </w:r>
      <w:r w:rsidR="00F86CA1" w:rsidRPr="00306AF1">
        <w:rPr>
          <w:rFonts w:asciiTheme="minorHAnsi" w:hAnsiTheme="minorHAnsi" w:cs="Arial"/>
          <w:bCs/>
          <w:sz w:val="20"/>
          <w:szCs w:val="20"/>
        </w:rPr>
        <w:t xml:space="preserve"> </w:t>
      </w:r>
      <w:r w:rsidRPr="00306AF1">
        <w:rPr>
          <w:rFonts w:asciiTheme="minorHAnsi" w:hAnsiTheme="minorHAnsi" w:cs="Arial"/>
          <w:bCs/>
          <w:sz w:val="20"/>
          <w:szCs w:val="20"/>
        </w:rPr>
        <w:t>for personal loans is shown below:</w:t>
      </w:r>
    </w:p>
    <w:p w14:paraId="26698604" w14:textId="77777777" w:rsidR="00854006" w:rsidRDefault="00854006" w:rsidP="0090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Cs/>
          <w:sz w:val="20"/>
          <w:szCs w:val="20"/>
        </w:rPr>
      </w:pPr>
    </w:p>
    <w:tbl>
      <w:tblPr>
        <w:tblW w:w="4947" w:type="pct"/>
        <w:tblLook w:val="04A0" w:firstRow="1" w:lastRow="0" w:firstColumn="1" w:lastColumn="0" w:noHBand="0" w:noVBand="1"/>
      </w:tblPr>
      <w:tblGrid>
        <w:gridCol w:w="3547"/>
        <w:gridCol w:w="937"/>
        <w:gridCol w:w="937"/>
        <w:gridCol w:w="391"/>
        <w:gridCol w:w="1276"/>
        <w:gridCol w:w="1595"/>
        <w:gridCol w:w="937"/>
      </w:tblGrid>
      <w:tr w:rsidR="00561549" w:rsidRPr="00B97C61" w14:paraId="7D0E87AD" w14:textId="1C25FEE1" w:rsidTr="00A906A8">
        <w:trPr>
          <w:trHeight w:val="300"/>
        </w:trPr>
        <w:tc>
          <w:tcPr>
            <w:tcW w:w="1844" w:type="pct"/>
            <w:tcBorders>
              <w:top w:val="nil"/>
              <w:left w:val="nil"/>
              <w:right w:val="nil"/>
            </w:tcBorders>
            <w:shd w:val="clear" w:color="auto" w:fill="auto"/>
            <w:noWrap/>
            <w:vAlign w:val="bottom"/>
            <w:hideMark/>
          </w:tcPr>
          <w:p w14:paraId="3198C096" w14:textId="77777777" w:rsidR="00561549" w:rsidRPr="00B97C61" w:rsidRDefault="00561549" w:rsidP="005D59FA">
            <w:pPr>
              <w:rPr>
                <w:rFonts w:asciiTheme="minorHAnsi" w:hAnsiTheme="minorHAnsi" w:cstheme="minorHAnsi"/>
                <w:b/>
                <w:bCs/>
                <w:color w:val="000000"/>
                <w:sz w:val="20"/>
                <w:szCs w:val="20"/>
              </w:rPr>
            </w:pPr>
            <w:r w:rsidRPr="00B97C61">
              <w:rPr>
                <w:rFonts w:asciiTheme="minorHAnsi" w:hAnsiTheme="minorHAnsi" w:cstheme="minorHAnsi"/>
                <w:b/>
                <w:bCs/>
                <w:color w:val="000000"/>
                <w:sz w:val="20"/>
                <w:szCs w:val="20"/>
              </w:rPr>
              <w:t>Personal loans</w:t>
            </w:r>
          </w:p>
        </w:tc>
        <w:tc>
          <w:tcPr>
            <w:tcW w:w="487" w:type="pct"/>
            <w:tcBorders>
              <w:top w:val="nil"/>
              <w:left w:val="nil"/>
              <w:right w:val="nil"/>
            </w:tcBorders>
            <w:shd w:val="clear" w:color="auto" w:fill="auto"/>
            <w:noWrap/>
            <w:vAlign w:val="bottom"/>
            <w:hideMark/>
          </w:tcPr>
          <w:p w14:paraId="4C210186" w14:textId="77777777" w:rsidR="00561549" w:rsidRPr="00B97C61" w:rsidRDefault="00561549" w:rsidP="005D59FA">
            <w:pPr>
              <w:rPr>
                <w:rFonts w:asciiTheme="minorHAnsi" w:hAnsiTheme="minorHAnsi" w:cstheme="minorHAnsi"/>
                <w:b/>
                <w:bCs/>
                <w:color w:val="000000"/>
                <w:sz w:val="20"/>
                <w:szCs w:val="20"/>
              </w:rPr>
            </w:pPr>
            <w:r w:rsidRPr="00B97C61">
              <w:rPr>
                <w:rFonts w:asciiTheme="minorHAnsi" w:hAnsiTheme="minorHAnsi" w:cstheme="minorHAnsi"/>
                <w:b/>
                <w:bCs/>
                <w:color w:val="000000"/>
                <w:sz w:val="20"/>
                <w:szCs w:val="20"/>
              </w:rPr>
              <w:t> </w:t>
            </w:r>
          </w:p>
        </w:tc>
        <w:tc>
          <w:tcPr>
            <w:tcW w:w="487" w:type="pct"/>
            <w:tcBorders>
              <w:top w:val="nil"/>
              <w:left w:val="nil"/>
              <w:right w:val="nil"/>
            </w:tcBorders>
            <w:shd w:val="clear" w:color="auto" w:fill="auto"/>
            <w:noWrap/>
            <w:vAlign w:val="bottom"/>
            <w:hideMark/>
          </w:tcPr>
          <w:p w14:paraId="29445303" w14:textId="77777777" w:rsidR="00561549" w:rsidRPr="00B97C61" w:rsidRDefault="00561549" w:rsidP="005D59FA">
            <w:pPr>
              <w:rPr>
                <w:rFonts w:asciiTheme="minorHAnsi" w:hAnsiTheme="minorHAnsi" w:cstheme="minorHAnsi"/>
                <w:b/>
                <w:bCs/>
                <w:color w:val="000000"/>
                <w:sz w:val="20"/>
                <w:szCs w:val="20"/>
              </w:rPr>
            </w:pPr>
            <w:r w:rsidRPr="00B97C61">
              <w:rPr>
                <w:rFonts w:asciiTheme="minorHAnsi" w:hAnsiTheme="minorHAnsi" w:cstheme="minorHAnsi"/>
                <w:b/>
                <w:bCs/>
                <w:color w:val="000000"/>
                <w:sz w:val="20"/>
                <w:szCs w:val="20"/>
              </w:rPr>
              <w:t> </w:t>
            </w:r>
          </w:p>
        </w:tc>
        <w:tc>
          <w:tcPr>
            <w:tcW w:w="203" w:type="pct"/>
            <w:tcBorders>
              <w:top w:val="nil"/>
              <w:left w:val="nil"/>
              <w:right w:val="nil"/>
            </w:tcBorders>
            <w:shd w:val="clear" w:color="auto" w:fill="auto"/>
            <w:noWrap/>
            <w:vAlign w:val="bottom"/>
            <w:hideMark/>
          </w:tcPr>
          <w:p w14:paraId="3D31720E" w14:textId="77777777" w:rsidR="00561549" w:rsidRPr="00B97C61" w:rsidRDefault="00561549" w:rsidP="005D59FA">
            <w:pPr>
              <w:rPr>
                <w:rFonts w:asciiTheme="minorHAnsi" w:hAnsiTheme="minorHAnsi" w:cstheme="minorHAnsi"/>
                <w:b/>
                <w:bCs/>
                <w:color w:val="000000"/>
                <w:sz w:val="20"/>
                <w:szCs w:val="20"/>
              </w:rPr>
            </w:pPr>
            <w:r w:rsidRPr="00B97C61">
              <w:rPr>
                <w:rFonts w:asciiTheme="minorHAnsi" w:hAnsiTheme="minorHAnsi" w:cstheme="minorHAnsi"/>
                <w:b/>
                <w:bCs/>
                <w:color w:val="000000"/>
                <w:sz w:val="20"/>
                <w:szCs w:val="20"/>
              </w:rPr>
              <w:t> </w:t>
            </w:r>
          </w:p>
        </w:tc>
        <w:tc>
          <w:tcPr>
            <w:tcW w:w="663" w:type="pct"/>
            <w:tcBorders>
              <w:top w:val="nil"/>
              <w:left w:val="nil"/>
              <w:bottom w:val="single" w:sz="4" w:space="0" w:color="auto"/>
              <w:right w:val="nil"/>
            </w:tcBorders>
            <w:shd w:val="clear" w:color="auto" w:fill="F2F2F2" w:themeFill="background1" w:themeFillShade="F2"/>
            <w:noWrap/>
            <w:vAlign w:val="bottom"/>
            <w:hideMark/>
          </w:tcPr>
          <w:p w14:paraId="22AEAD6B" w14:textId="77777777" w:rsidR="005B798E" w:rsidRDefault="005B798E" w:rsidP="005D59FA">
            <w:pPr>
              <w:jc w:val="right"/>
              <w:rPr>
                <w:rFonts w:asciiTheme="minorHAnsi" w:hAnsiTheme="minorHAnsi" w:cstheme="minorHAnsi"/>
                <w:b/>
                <w:color w:val="000000"/>
                <w:sz w:val="20"/>
                <w:szCs w:val="20"/>
              </w:rPr>
            </w:pPr>
            <w:r>
              <w:rPr>
                <w:rFonts w:asciiTheme="minorHAnsi" w:hAnsiTheme="minorHAnsi" w:cstheme="minorHAnsi"/>
                <w:b/>
                <w:color w:val="000000"/>
                <w:sz w:val="20"/>
                <w:szCs w:val="20"/>
              </w:rPr>
              <w:t xml:space="preserve">30 June </w:t>
            </w:r>
          </w:p>
          <w:p w14:paraId="2CF1665E" w14:textId="2220E97D" w:rsidR="00561549" w:rsidRPr="00EF43FB" w:rsidRDefault="00561549" w:rsidP="005D59FA">
            <w:pPr>
              <w:jc w:val="right"/>
              <w:rPr>
                <w:rFonts w:asciiTheme="minorHAnsi" w:hAnsiTheme="minorHAnsi" w:cstheme="minorHAnsi"/>
                <w:b/>
                <w:color w:val="000000"/>
                <w:sz w:val="20"/>
                <w:szCs w:val="20"/>
              </w:rPr>
            </w:pPr>
            <w:r w:rsidRPr="00EF43FB">
              <w:rPr>
                <w:rFonts w:asciiTheme="minorHAnsi" w:hAnsiTheme="minorHAnsi" w:cstheme="minorHAnsi"/>
                <w:b/>
                <w:color w:val="000000"/>
                <w:sz w:val="20"/>
                <w:szCs w:val="20"/>
              </w:rPr>
              <w:t>202</w:t>
            </w:r>
            <w:r>
              <w:rPr>
                <w:rFonts w:asciiTheme="minorHAnsi" w:hAnsiTheme="minorHAnsi" w:cstheme="minorHAnsi"/>
                <w:b/>
                <w:color w:val="000000"/>
                <w:sz w:val="20"/>
                <w:szCs w:val="20"/>
              </w:rPr>
              <w:t>4</w:t>
            </w:r>
          </w:p>
          <w:p w14:paraId="43F0F179" w14:textId="77777777" w:rsidR="00561549" w:rsidRPr="00EF43FB" w:rsidRDefault="00561549" w:rsidP="005D59FA">
            <w:pPr>
              <w:jc w:val="right"/>
              <w:rPr>
                <w:rFonts w:asciiTheme="minorHAnsi" w:hAnsiTheme="minorHAnsi" w:cstheme="minorHAnsi"/>
                <w:b/>
                <w:color w:val="000000"/>
                <w:sz w:val="20"/>
                <w:szCs w:val="20"/>
              </w:rPr>
            </w:pPr>
            <w:r w:rsidRPr="00EF43FB">
              <w:rPr>
                <w:rFonts w:asciiTheme="minorHAnsi" w:hAnsiTheme="minorHAnsi" w:cs="Arial"/>
                <w:b/>
                <w:sz w:val="20"/>
                <w:szCs w:val="20"/>
              </w:rPr>
              <w:t>£m </w:t>
            </w:r>
          </w:p>
        </w:tc>
        <w:tc>
          <w:tcPr>
            <w:tcW w:w="829" w:type="pct"/>
            <w:tcBorders>
              <w:top w:val="nil"/>
              <w:left w:val="nil"/>
              <w:bottom w:val="single" w:sz="4" w:space="0" w:color="auto"/>
              <w:right w:val="nil"/>
            </w:tcBorders>
          </w:tcPr>
          <w:p w14:paraId="7B6FEFC1" w14:textId="77777777" w:rsidR="00123ADF" w:rsidRDefault="00123ADF" w:rsidP="00123ADF">
            <w:pPr>
              <w:jc w:val="right"/>
              <w:rPr>
                <w:rFonts w:asciiTheme="minorHAnsi" w:hAnsiTheme="minorHAnsi" w:cstheme="minorHAnsi"/>
                <w:color w:val="000000"/>
                <w:sz w:val="20"/>
                <w:szCs w:val="20"/>
              </w:rPr>
            </w:pPr>
            <w:r>
              <w:rPr>
                <w:rFonts w:asciiTheme="minorHAnsi" w:hAnsiTheme="minorHAnsi" w:cstheme="minorHAnsi"/>
                <w:color w:val="000000"/>
                <w:sz w:val="20"/>
                <w:szCs w:val="20"/>
              </w:rPr>
              <w:t>31 December 2023</w:t>
            </w:r>
          </w:p>
          <w:p w14:paraId="6003A8AF" w14:textId="104DA924" w:rsidR="00123ADF" w:rsidRDefault="00123ADF" w:rsidP="00123ADF">
            <w:pPr>
              <w:jc w:val="right"/>
              <w:rPr>
                <w:rFonts w:asciiTheme="minorHAnsi" w:hAnsiTheme="minorHAnsi" w:cstheme="minorHAnsi"/>
                <w:color w:val="000000"/>
                <w:sz w:val="20"/>
                <w:szCs w:val="20"/>
              </w:rPr>
            </w:pPr>
            <w:r>
              <w:rPr>
                <w:rFonts w:asciiTheme="minorHAnsi" w:hAnsiTheme="minorHAnsi" w:cstheme="minorHAnsi"/>
                <w:color w:val="000000"/>
                <w:sz w:val="20"/>
                <w:szCs w:val="20"/>
              </w:rPr>
              <w:t>£m</w:t>
            </w:r>
          </w:p>
        </w:tc>
        <w:tc>
          <w:tcPr>
            <w:tcW w:w="487" w:type="pct"/>
            <w:tcBorders>
              <w:top w:val="nil"/>
              <w:left w:val="nil"/>
              <w:bottom w:val="single" w:sz="4" w:space="0" w:color="auto"/>
              <w:right w:val="nil"/>
            </w:tcBorders>
            <w:shd w:val="clear" w:color="auto" w:fill="auto"/>
            <w:noWrap/>
            <w:vAlign w:val="bottom"/>
            <w:hideMark/>
          </w:tcPr>
          <w:p w14:paraId="34F5221B" w14:textId="3FBA0FF9" w:rsidR="005B798E" w:rsidRDefault="005B798E" w:rsidP="005D59FA">
            <w:pPr>
              <w:jc w:val="right"/>
              <w:rPr>
                <w:rFonts w:asciiTheme="minorHAnsi" w:hAnsiTheme="minorHAnsi" w:cstheme="minorHAnsi"/>
                <w:color w:val="000000"/>
                <w:sz w:val="20"/>
                <w:szCs w:val="20"/>
              </w:rPr>
            </w:pPr>
            <w:r>
              <w:rPr>
                <w:rFonts w:asciiTheme="minorHAnsi" w:hAnsiTheme="minorHAnsi" w:cstheme="minorHAnsi"/>
                <w:color w:val="000000"/>
                <w:sz w:val="20"/>
                <w:szCs w:val="20"/>
              </w:rPr>
              <w:t xml:space="preserve">30 June </w:t>
            </w:r>
          </w:p>
          <w:p w14:paraId="0D6C9A2F" w14:textId="269B7570" w:rsidR="00561549" w:rsidRPr="00B97C61" w:rsidRDefault="00561549" w:rsidP="005D59FA">
            <w:pPr>
              <w:jc w:val="right"/>
              <w:rPr>
                <w:rFonts w:asciiTheme="minorHAnsi" w:hAnsiTheme="minorHAnsi" w:cstheme="minorHAnsi"/>
                <w:color w:val="000000"/>
                <w:sz w:val="20"/>
                <w:szCs w:val="20"/>
              </w:rPr>
            </w:pPr>
            <w:r w:rsidRPr="00B97C61">
              <w:rPr>
                <w:rFonts w:asciiTheme="minorHAnsi" w:hAnsiTheme="minorHAnsi" w:cstheme="minorHAnsi"/>
                <w:color w:val="000000"/>
                <w:sz w:val="20"/>
                <w:szCs w:val="20"/>
              </w:rPr>
              <w:t>202</w:t>
            </w:r>
            <w:r>
              <w:rPr>
                <w:rFonts w:asciiTheme="minorHAnsi" w:hAnsiTheme="minorHAnsi" w:cstheme="minorHAnsi"/>
                <w:color w:val="000000"/>
                <w:sz w:val="20"/>
                <w:szCs w:val="20"/>
              </w:rPr>
              <w:t>3</w:t>
            </w:r>
          </w:p>
          <w:p w14:paraId="1A63ADC8" w14:textId="77777777" w:rsidR="00561549" w:rsidRPr="00B97C61" w:rsidRDefault="00561549" w:rsidP="005D59FA">
            <w:pPr>
              <w:jc w:val="right"/>
              <w:rPr>
                <w:rFonts w:asciiTheme="minorHAnsi" w:hAnsiTheme="minorHAnsi" w:cstheme="minorHAnsi"/>
                <w:color w:val="000000"/>
                <w:sz w:val="20"/>
                <w:szCs w:val="20"/>
              </w:rPr>
            </w:pPr>
            <w:r w:rsidRPr="00B97C61">
              <w:rPr>
                <w:rFonts w:asciiTheme="minorHAnsi" w:hAnsiTheme="minorHAnsi" w:cs="Arial"/>
                <w:sz w:val="20"/>
                <w:szCs w:val="20"/>
              </w:rPr>
              <w:t>£m</w:t>
            </w:r>
          </w:p>
        </w:tc>
      </w:tr>
      <w:tr w:rsidR="00561549" w:rsidRPr="00B97C61" w14:paraId="124B8E95" w14:textId="69F7366D" w:rsidTr="002725AC">
        <w:trPr>
          <w:trHeight w:val="300"/>
        </w:trPr>
        <w:tc>
          <w:tcPr>
            <w:tcW w:w="1844" w:type="pct"/>
            <w:tcBorders>
              <w:top w:val="nil"/>
              <w:left w:val="nil"/>
              <w:bottom w:val="nil"/>
              <w:right w:val="nil"/>
            </w:tcBorders>
            <w:shd w:val="clear" w:color="auto" w:fill="auto"/>
            <w:noWrap/>
            <w:vAlign w:val="bottom"/>
            <w:hideMark/>
          </w:tcPr>
          <w:p w14:paraId="3177F6A1" w14:textId="77777777" w:rsidR="00561549" w:rsidRPr="00B97C61" w:rsidRDefault="00561549" w:rsidP="005D59FA">
            <w:pPr>
              <w:rPr>
                <w:rFonts w:asciiTheme="minorHAnsi" w:hAnsiTheme="minorHAnsi" w:cstheme="minorHAnsi"/>
                <w:color w:val="000000"/>
                <w:sz w:val="20"/>
                <w:szCs w:val="20"/>
              </w:rPr>
            </w:pPr>
            <w:r w:rsidRPr="00B97C61">
              <w:rPr>
                <w:rFonts w:asciiTheme="minorHAnsi" w:hAnsiTheme="minorHAnsi" w:cstheme="minorHAnsi"/>
                <w:color w:val="000000"/>
                <w:sz w:val="20"/>
                <w:szCs w:val="20"/>
              </w:rPr>
              <w:t>Core model</w:t>
            </w:r>
          </w:p>
        </w:tc>
        <w:tc>
          <w:tcPr>
            <w:tcW w:w="487" w:type="pct"/>
            <w:tcBorders>
              <w:top w:val="nil"/>
              <w:left w:val="nil"/>
              <w:bottom w:val="nil"/>
              <w:right w:val="nil"/>
            </w:tcBorders>
            <w:shd w:val="clear" w:color="auto" w:fill="auto"/>
            <w:noWrap/>
            <w:vAlign w:val="bottom"/>
            <w:hideMark/>
          </w:tcPr>
          <w:p w14:paraId="623D3EDA" w14:textId="77777777" w:rsidR="00561549" w:rsidRPr="00B97C61" w:rsidRDefault="00561549" w:rsidP="005D59FA">
            <w:pPr>
              <w:rPr>
                <w:rFonts w:asciiTheme="minorHAnsi" w:hAnsiTheme="minorHAnsi" w:cstheme="minorHAnsi"/>
                <w:color w:val="000000"/>
                <w:sz w:val="20"/>
                <w:szCs w:val="20"/>
              </w:rPr>
            </w:pPr>
          </w:p>
        </w:tc>
        <w:tc>
          <w:tcPr>
            <w:tcW w:w="487" w:type="pct"/>
            <w:tcBorders>
              <w:top w:val="nil"/>
              <w:left w:val="nil"/>
              <w:bottom w:val="nil"/>
              <w:right w:val="nil"/>
            </w:tcBorders>
            <w:shd w:val="clear" w:color="auto" w:fill="auto"/>
            <w:noWrap/>
            <w:vAlign w:val="bottom"/>
            <w:hideMark/>
          </w:tcPr>
          <w:p w14:paraId="62A10C28" w14:textId="77777777" w:rsidR="00561549" w:rsidRPr="00B97C61" w:rsidRDefault="00561549" w:rsidP="005D59FA">
            <w:pPr>
              <w:rPr>
                <w:rFonts w:asciiTheme="minorHAnsi" w:hAnsiTheme="minorHAnsi" w:cstheme="minorHAnsi"/>
                <w:sz w:val="20"/>
                <w:szCs w:val="20"/>
              </w:rPr>
            </w:pPr>
          </w:p>
        </w:tc>
        <w:tc>
          <w:tcPr>
            <w:tcW w:w="203" w:type="pct"/>
            <w:tcBorders>
              <w:top w:val="nil"/>
              <w:left w:val="nil"/>
              <w:bottom w:val="nil"/>
              <w:right w:val="nil"/>
            </w:tcBorders>
            <w:shd w:val="clear" w:color="auto" w:fill="auto"/>
            <w:noWrap/>
            <w:vAlign w:val="bottom"/>
            <w:hideMark/>
          </w:tcPr>
          <w:p w14:paraId="575C4800" w14:textId="77777777" w:rsidR="00561549" w:rsidRPr="00B97C61" w:rsidRDefault="00561549" w:rsidP="005D59FA">
            <w:pPr>
              <w:rPr>
                <w:rFonts w:asciiTheme="minorHAnsi" w:hAnsiTheme="minorHAnsi" w:cstheme="minorHAnsi"/>
                <w:sz w:val="20"/>
                <w:szCs w:val="20"/>
              </w:rPr>
            </w:pPr>
          </w:p>
        </w:tc>
        <w:tc>
          <w:tcPr>
            <w:tcW w:w="663" w:type="pct"/>
            <w:tcBorders>
              <w:top w:val="single" w:sz="4" w:space="0" w:color="auto"/>
              <w:left w:val="nil"/>
              <w:bottom w:val="nil"/>
              <w:right w:val="nil"/>
            </w:tcBorders>
            <w:shd w:val="clear" w:color="auto" w:fill="F2F2F2" w:themeFill="background1" w:themeFillShade="F2"/>
            <w:noWrap/>
            <w:vAlign w:val="center"/>
          </w:tcPr>
          <w:p w14:paraId="0A43104E" w14:textId="6EAC27C5" w:rsidR="00561549" w:rsidRPr="001006BB" w:rsidRDefault="00F37DAC" w:rsidP="005D59FA">
            <w:pPr>
              <w:jc w:val="right"/>
              <w:rPr>
                <w:rFonts w:asciiTheme="minorHAnsi" w:hAnsiTheme="minorHAnsi" w:cstheme="minorHAnsi"/>
                <w:b/>
                <w:color w:val="000000"/>
                <w:sz w:val="20"/>
                <w:szCs w:val="20"/>
              </w:rPr>
            </w:pPr>
            <w:r w:rsidRPr="001006BB">
              <w:rPr>
                <w:rFonts w:asciiTheme="minorHAnsi" w:hAnsiTheme="minorHAnsi" w:cstheme="minorHAnsi"/>
                <w:b/>
                <w:color w:val="000000"/>
                <w:sz w:val="20"/>
                <w:szCs w:val="20"/>
              </w:rPr>
              <w:t>9.9</w:t>
            </w:r>
          </w:p>
        </w:tc>
        <w:tc>
          <w:tcPr>
            <w:tcW w:w="829" w:type="pct"/>
            <w:tcBorders>
              <w:top w:val="single" w:sz="4" w:space="0" w:color="auto"/>
              <w:left w:val="nil"/>
              <w:bottom w:val="nil"/>
              <w:right w:val="nil"/>
            </w:tcBorders>
            <w:vAlign w:val="center"/>
          </w:tcPr>
          <w:p w14:paraId="56912DD5" w14:textId="0E5E7E75" w:rsidR="00123ADF" w:rsidRPr="006D4208" w:rsidRDefault="00123ADF" w:rsidP="00123ADF">
            <w:pPr>
              <w:jc w:val="right"/>
              <w:rPr>
                <w:rFonts w:asciiTheme="minorHAnsi" w:hAnsiTheme="minorHAnsi" w:cstheme="minorHAnsi"/>
                <w:color w:val="000000"/>
                <w:sz w:val="20"/>
                <w:szCs w:val="20"/>
              </w:rPr>
            </w:pPr>
            <w:r w:rsidRPr="006D4208">
              <w:rPr>
                <w:rFonts w:asciiTheme="minorHAnsi" w:hAnsiTheme="minorHAnsi" w:cstheme="minorHAnsi"/>
                <w:color w:val="000000"/>
                <w:sz w:val="20"/>
                <w:szCs w:val="20"/>
              </w:rPr>
              <w:t>13.1</w:t>
            </w:r>
          </w:p>
        </w:tc>
        <w:tc>
          <w:tcPr>
            <w:tcW w:w="487" w:type="pct"/>
            <w:tcBorders>
              <w:top w:val="single" w:sz="4" w:space="0" w:color="auto"/>
              <w:left w:val="nil"/>
              <w:bottom w:val="nil"/>
              <w:right w:val="nil"/>
            </w:tcBorders>
            <w:shd w:val="clear" w:color="auto" w:fill="auto"/>
            <w:noWrap/>
            <w:vAlign w:val="center"/>
            <w:hideMark/>
          </w:tcPr>
          <w:p w14:paraId="49D52DD1" w14:textId="34164CE8" w:rsidR="00561549" w:rsidRPr="006D4208" w:rsidRDefault="00350AFF" w:rsidP="005D59FA">
            <w:pPr>
              <w:jc w:val="right"/>
              <w:rPr>
                <w:rFonts w:asciiTheme="minorHAnsi" w:hAnsiTheme="minorHAnsi" w:cstheme="minorHAnsi"/>
                <w:color w:val="000000"/>
                <w:sz w:val="20"/>
                <w:szCs w:val="20"/>
              </w:rPr>
            </w:pPr>
            <w:r w:rsidRPr="006D4208">
              <w:rPr>
                <w:rFonts w:asciiTheme="minorHAnsi" w:hAnsiTheme="minorHAnsi" w:cstheme="minorHAnsi"/>
                <w:color w:val="000000"/>
                <w:sz w:val="20"/>
                <w:szCs w:val="20"/>
              </w:rPr>
              <w:t>12.4</w:t>
            </w:r>
          </w:p>
        </w:tc>
      </w:tr>
      <w:tr w:rsidR="00561549" w:rsidRPr="00B97C61" w14:paraId="33ACDE31" w14:textId="309F51F2" w:rsidTr="002725AC">
        <w:trPr>
          <w:trHeight w:val="288"/>
        </w:trPr>
        <w:tc>
          <w:tcPr>
            <w:tcW w:w="1844" w:type="pct"/>
            <w:tcBorders>
              <w:top w:val="nil"/>
              <w:left w:val="nil"/>
              <w:bottom w:val="nil"/>
              <w:right w:val="nil"/>
            </w:tcBorders>
            <w:shd w:val="clear" w:color="auto" w:fill="auto"/>
            <w:noWrap/>
            <w:vAlign w:val="bottom"/>
            <w:hideMark/>
          </w:tcPr>
          <w:p w14:paraId="77A9B3EE" w14:textId="77777777" w:rsidR="00561549" w:rsidRPr="00B97C61" w:rsidRDefault="00561549" w:rsidP="005D59FA">
            <w:pPr>
              <w:rPr>
                <w:rFonts w:asciiTheme="minorHAnsi" w:hAnsiTheme="minorHAnsi" w:cstheme="minorHAnsi"/>
                <w:color w:val="000000"/>
                <w:sz w:val="20"/>
                <w:szCs w:val="20"/>
              </w:rPr>
            </w:pPr>
            <w:r w:rsidRPr="00B97C61">
              <w:rPr>
                <w:rFonts w:asciiTheme="minorHAnsi" w:hAnsiTheme="minorHAnsi" w:cstheme="minorHAnsi"/>
                <w:color w:val="000000"/>
                <w:sz w:val="20"/>
                <w:szCs w:val="20"/>
              </w:rPr>
              <w:t>New Model (under)/overlays (note (a))</w:t>
            </w:r>
          </w:p>
        </w:tc>
        <w:tc>
          <w:tcPr>
            <w:tcW w:w="487" w:type="pct"/>
            <w:tcBorders>
              <w:top w:val="nil"/>
              <w:left w:val="nil"/>
              <w:bottom w:val="nil"/>
              <w:right w:val="nil"/>
            </w:tcBorders>
            <w:shd w:val="clear" w:color="auto" w:fill="auto"/>
            <w:noWrap/>
            <w:vAlign w:val="bottom"/>
            <w:hideMark/>
          </w:tcPr>
          <w:p w14:paraId="4468AE71" w14:textId="77777777" w:rsidR="00561549" w:rsidRPr="00B97C61" w:rsidRDefault="00561549" w:rsidP="005D59FA">
            <w:pPr>
              <w:rPr>
                <w:rFonts w:asciiTheme="minorHAnsi" w:hAnsiTheme="minorHAnsi" w:cstheme="minorHAnsi"/>
                <w:color w:val="000000"/>
                <w:sz w:val="20"/>
                <w:szCs w:val="20"/>
              </w:rPr>
            </w:pPr>
          </w:p>
        </w:tc>
        <w:tc>
          <w:tcPr>
            <w:tcW w:w="487" w:type="pct"/>
            <w:tcBorders>
              <w:top w:val="nil"/>
              <w:left w:val="nil"/>
              <w:bottom w:val="nil"/>
              <w:right w:val="nil"/>
            </w:tcBorders>
            <w:shd w:val="clear" w:color="auto" w:fill="auto"/>
            <w:noWrap/>
            <w:vAlign w:val="bottom"/>
            <w:hideMark/>
          </w:tcPr>
          <w:p w14:paraId="7EF8FDFD" w14:textId="77777777" w:rsidR="00561549" w:rsidRPr="00B97C61" w:rsidRDefault="00561549" w:rsidP="005D59FA">
            <w:pPr>
              <w:rPr>
                <w:rFonts w:asciiTheme="minorHAnsi" w:hAnsiTheme="minorHAnsi" w:cstheme="minorHAnsi"/>
                <w:sz w:val="20"/>
                <w:szCs w:val="20"/>
              </w:rPr>
            </w:pPr>
          </w:p>
        </w:tc>
        <w:tc>
          <w:tcPr>
            <w:tcW w:w="203" w:type="pct"/>
            <w:tcBorders>
              <w:top w:val="nil"/>
              <w:left w:val="nil"/>
              <w:bottom w:val="nil"/>
              <w:right w:val="nil"/>
            </w:tcBorders>
            <w:shd w:val="clear" w:color="auto" w:fill="auto"/>
            <w:noWrap/>
            <w:vAlign w:val="bottom"/>
            <w:hideMark/>
          </w:tcPr>
          <w:p w14:paraId="3134C40E" w14:textId="77777777" w:rsidR="00561549" w:rsidRPr="00B97C61" w:rsidRDefault="00561549" w:rsidP="005D59FA">
            <w:pPr>
              <w:rPr>
                <w:rFonts w:asciiTheme="minorHAnsi" w:hAnsiTheme="minorHAnsi" w:cstheme="minorHAnsi"/>
                <w:sz w:val="20"/>
                <w:szCs w:val="20"/>
              </w:rPr>
            </w:pPr>
          </w:p>
        </w:tc>
        <w:tc>
          <w:tcPr>
            <w:tcW w:w="663" w:type="pct"/>
            <w:tcBorders>
              <w:top w:val="nil"/>
              <w:left w:val="nil"/>
              <w:bottom w:val="nil"/>
              <w:right w:val="nil"/>
            </w:tcBorders>
            <w:shd w:val="clear" w:color="auto" w:fill="F2F2F2" w:themeFill="background1" w:themeFillShade="F2"/>
            <w:noWrap/>
            <w:vAlign w:val="center"/>
          </w:tcPr>
          <w:p w14:paraId="50520B5A" w14:textId="5F81509F" w:rsidR="00561549" w:rsidRPr="001006BB" w:rsidRDefault="00F37DAC" w:rsidP="005D59FA">
            <w:pPr>
              <w:jc w:val="right"/>
              <w:rPr>
                <w:rFonts w:asciiTheme="minorHAnsi" w:hAnsiTheme="minorHAnsi" w:cstheme="minorHAnsi"/>
                <w:b/>
                <w:color w:val="000000"/>
                <w:sz w:val="20"/>
                <w:szCs w:val="20"/>
              </w:rPr>
            </w:pPr>
            <w:r w:rsidRPr="001006BB">
              <w:rPr>
                <w:rFonts w:asciiTheme="minorHAnsi" w:hAnsiTheme="minorHAnsi" w:cstheme="minorHAnsi"/>
                <w:b/>
                <w:color w:val="000000"/>
                <w:sz w:val="20"/>
                <w:szCs w:val="20"/>
              </w:rPr>
              <w:t>-</w:t>
            </w:r>
          </w:p>
        </w:tc>
        <w:tc>
          <w:tcPr>
            <w:tcW w:w="829" w:type="pct"/>
            <w:tcBorders>
              <w:top w:val="nil"/>
              <w:left w:val="nil"/>
              <w:bottom w:val="nil"/>
              <w:right w:val="nil"/>
            </w:tcBorders>
            <w:vAlign w:val="center"/>
          </w:tcPr>
          <w:p w14:paraId="379D427E" w14:textId="5A2600B4" w:rsidR="00123ADF" w:rsidRPr="006D4208" w:rsidRDefault="00123ADF" w:rsidP="00123ADF">
            <w:pPr>
              <w:jc w:val="right"/>
              <w:rPr>
                <w:rFonts w:asciiTheme="minorHAnsi" w:hAnsiTheme="minorHAnsi" w:cstheme="minorHAnsi"/>
                <w:color w:val="000000"/>
                <w:sz w:val="20"/>
                <w:szCs w:val="20"/>
              </w:rPr>
            </w:pPr>
            <w:r w:rsidRPr="006D4208">
              <w:rPr>
                <w:rFonts w:asciiTheme="minorHAnsi" w:hAnsiTheme="minorHAnsi" w:cstheme="minorHAnsi"/>
                <w:color w:val="000000"/>
                <w:sz w:val="20"/>
                <w:szCs w:val="20"/>
              </w:rPr>
              <w:t>2.0</w:t>
            </w:r>
          </w:p>
        </w:tc>
        <w:tc>
          <w:tcPr>
            <w:tcW w:w="487" w:type="pct"/>
            <w:tcBorders>
              <w:top w:val="nil"/>
              <w:left w:val="nil"/>
              <w:bottom w:val="nil"/>
              <w:right w:val="nil"/>
            </w:tcBorders>
            <w:shd w:val="clear" w:color="auto" w:fill="auto"/>
            <w:noWrap/>
            <w:vAlign w:val="center"/>
            <w:hideMark/>
          </w:tcPr>
          <w:p w14:paraId="768A535C" w14:textId="3B1534F4" w:rsidR="00561549" w:rsidRPr="006D4208" w:rsidRDefault="00561549" w:rsidP="005D59FA">
            <w:pPr>
              <w:jc w:val="right"/>
              <w:rPr>
                <w:rFonts w:asciiTheme="minorHAnsi" w:hAnsiTheme="minorHAnsi" w:cstheme="minorHAnsi"/>
                <w:color w:val="000000"/>
                <w:sz w:val="20"/>
                <w:szCs w:val="20"/>
              </w:rPr>
            </w:pPr>
            <w:r w:rsidRPr="006D4208">
              <w:rPr>
                <w:rFonts w:asciiTheme="minorHAnsi" w:hAnsiTheme="minorHAnsi" w:cstheme="minorHAnsi"/>
                <w:color w:val="000000"/>
                <w:sz w:val="20"/>
                <w:szCs w:val="20"/>
              </w:rPr>
              <w:t>-</w:t>
            </w:r>
          </w:p>
        </w:tc>
      </w:tr>
      <w:tr w:rsidR="00561549" w:rsidRPr="00B97C61" w14:paraId="3F68BF79" w14:textId="0CFECF14" w:rsidTr="002725AC">
        <w:trPr>
          <w:trHeight w:val="288"/>
        </w:trPr>
        <w:tc>
          <w:tcPr>
            <w:tcW w:w="1844" w:type="pct"/>
            <w:tcBorders>
              <w:top w:val="nil"/>
              <w:left w:val="nil"/>
              <w:bottom w:val="nil"/>
              <w:right w:val="nil"/>
            </w:tcBorders>
            <w:shd w:val="clear" w:color="auto" w:fill="auto"/>
            <w:noWrap/>
            <w:vAlign w:val="bottom"/>
            <w:hideMark/>
          </w:tcPr>
          <w:p w14:paraId="09D4DBB1" w14:textId="77777777" w:rsidR="00561549" w:rsidRPr="00B97C61" w:rsidRDefault="00561549" w:rsidP="005D59FA">
            <w:pPr>
              <w:rPr>
                <w:rFonts w:asciiTheme="minorHAnsi" w:hAnsiTheme="minorHAnsi" w:cstheme="minorHAnsi"/>
                <w:color w:val="000000"/>
                <w:sz w:val="20"/>
                <w:szCs w:val="20"/>
              </w:rPr>
            </w:pPr>
            <w:r w:rsidRPr="00B97C61">
              <w:rPr>
                <w:rFonts w:asciiTheme="minorHAnsi" w:hAnsiTheme="minorHAnsi" w:cstheme="minorHAnsi"/>
                <w:color w:val="000000"/>
                <w:sz w:val="20"/>
                <w:szCs w:val="20"/>
              </w:rPr>
              <w:t>Post Model (under)/overlays</w:t>
            </w:r>
          </w:p>
        </w:tc>
        <w:tc>
          <w:tcPr>
            <w:tcW w:w="487" w:type="pct"/>
            <w:tcBorders>
              <w:top w:val="nil"/>
              <w:left w:val="nil"/>
              <w:bottom w:val="nil"/>
              <w:right w:val="nil"/>
            </w:tcBorders>
            <w:shd w:val="clear" w:color="auto" w:fill="auto"/>
            <w:noWrap/>
            <w:vAlign w:val="bottom"/>
            <w:hideMark/>
          </w:tcPr>
          <w:p w14:paraId="45FCB944" w14:textId="77777777" w:rsidR="00561549" w:rsidRPr="00B97C61" w:rsidRDefault="00561549" w:rsidP="005D59FA">
            <w:pPr>
              <w:rPr>
                <w:rFonts w:asciiTheme="minorHAnsi" w:hAnsiTheme="minorHAnsi" w:cstheme="minorHAnsi"/>
                <w:color w:val="000000"/>
                <w:sz w:val="20"/>
                <w:szCs w:val="20"/>
              </w:rPr>
            </w:pPr>
          </w:p>
        </w:tc>
        <w:tc>
          <w:tcPr>
            <w:tcW w:w="487" w:type="pct"/>
            <w:tcBorders>
              <w:top w:val="nil"/>
              <w:left w:val="nil"/>
              <w:bottom w:val="nil"/>
              <w:right w:val="nil"/>
            </w:tcBorders>
            <w:shd w:val="clear" w:color="auto" w:fill="auto"/>
            <w:noWrap/>
            <w:vAlign w:val="bottom"/>
            <w:hideMark/>
          </w:tcPr>
          <w:p w14:paraId="0B5C46BD" w14:textId="77777777" w:rsidR="00561549" w:rsidRPr="00B97C61" w:rsidRDefault="00561549" w:rsidP="005D59FA">
            <w:pPr>
              <w:rPr>
                <w:rFonts w:asciiTheme="minorHAnsi" w:hAnsiTheme="minorHAnsi" w:cstheme="minorHAnsi"/>
                <w:sz w:val="20"/>
                <w:szCs w:val="20"/>
              </w:rPr>
            </w:pPr>
          </w:p>
        </w:tc>
        <w:tc>
          <w:tcPr>
            <w:tcW w:w="203" w:type="pct"/>
            <w:tcBorders>
              <w:top w:val="nil"/>
              <w:left w:val="nil"/>
              <w:bottom w:val="nil"/>
              <w:right w:val="nil"/>
            </w:tcBorders>
            <w:shd w:val="clear" w:color="auto" w:fill="auto"/>
            <w:noWrap/>
            <w:vAlign w:val="bottom"/>
            <w:hideMark/>
          </w:tcPr>
          <w:p w14:paraId="6E127CC0" w14:textId="77777777" w:rsidR="00561549" w:rsidRPr="00B97C61" w:rsidRDefault="00561549" w:rsidP="005D59FA">
            <w:pPr>
              <w:rPr>
                <w:rFonts w:asciiTheme="minorHAnsi" w:hAnsiTheme="minorHAnsi" w:cstheme="minorHAnsi"/>
                <w:sz w:val="20"/>
                <w:szCs w:val="20"/>
              </w:rPr>
            </w:pPr>
          </w:p>
        </w:tc>
        <w:tc>
          <w:tcPr>
            <w:tcW w:w="663" w:type="pct"/>
            <w:tcBorders>
              <w:top w:val="nil"/>
              <w:left w:val="nil"/>
              <w:bottom w:val="nil"/>
              <w:right w:val="nil"/>
            </w:tcBorders>
            <w:shd w:val="clear" w:color="auto" w:fill="F2F2F2" w:themeFill="background1" w:themeFillShade="F2"/>
            <w:noWrap/>
            <w:vAlign w:val="center"/>
          </w:tcPr>
          <w:p w14:paraId="5648C583" w14:textId="77777777" w:rsidR="00561549" w:rsidRPr="001006BB" w:rsidRDefault="00561549" w:rsidP="005D59FA">
            <w:pPr>
              <w:jc w:val="right"/>
              <w:rPr>
                <w:rFonts w:asciiTheme="minorHAnsi" w:hAnsiTheme="minorHAnsi" w:cstheme="minorHAnsi"/>
                <w:b/>
                <w:color w:val="000000"/>
                <w:sz w:val="20"/>
                <w:szCs w:val="20"/>
              </w:rPr>
            </w:pPr>
            <w:r w:rsidRPr="001006BB">
              <w:rPr>
                <w:rFonts w:asciiTheme="minorHAnsi" w:hAnsiTheme="minorHAnsi" w:cstheme="minorHAnsi"/>
                <w:b/>
                <w:color w:val="000000"/>
                <w:sz w:val="20"/>
                <w:szCs w:val="20"/>
              </w:rPr>
              <w:t>-</w:t>
            </w:r>
          </w:p>
        </w:tc>
        <w:tc>
          <w:tcPr>
            <w:tcW w:w="829" w:type="pct"/>
            <w:tcBorders>
              <w:top w:val="nil"/>
              <w:left w:val="nil"/>
              <w:bottom w:val="nil"/>
              <w:right w:val="nil"/>
            </w:tcBorders>
            <w:vAlign w:val="center"/>
          </w:tcPr>
          <w:p w14:paraId="42AE4314" w14:textId="7EF5EE0D" w:rsidR="00123ADF" w:rsidRPr="006D4208" w:rsidRDefault="00123ADF" w:rsidP="00123ADF">
            <w:pPr>
              <w:jc w:val="right"/>
              <w:rPr>
                <w:rFonts w:asciiTheme="minorHAnsi" w:hAnsiTheme="minorHAnsi" w:cstheme="minorHAnsi"/>
                <w:color w:val="000000"/>
                <w:sz w:val="20"/>
                <w:szCs w:val="20"/>
              </w:rPr>
            </w:pPr>
            <w:r w:rsidRPr="006D4208">
              <w:rPr>
                <w:rFonts w:asciiTheme="minorHAnsi" w:hAnsiTheme="minorHAnsi" w:cstheme="minorHAnsi"/>
                <w:color w:val="000000"/>
                <w:sz w:val="20"/>
                <w:szCs w:val="20"/>
              </w:rPr>
              <w:t>-</w:t>
            </w:r>
          </w:p>
        </w:tc>
        <w:tc>
          <w:tcPr>
            <w:tcW w:w="487" w:type="pct"/>
            <w:tcBorders>
              <w:top w:val="nil"/>
              <w:left w:val="nil"/>
              <w:bottom w:val="nil"/>
              <w:right w:val="nil"/>
            </w:tcBorders>
            <w:shd w:val="clear" w:color="auto" w:fill="auto"/>
            <w:noWrap/>
            <w:vAlign w:val="center"/>
            <w:hideMark/>
          </w:tcPr>
          <w:p w14:paraId="40CE24DB" w14:textId="353EBB90" w:rsidR="00561549" w:rsidRPr="006D4208" w:rsidRDefault="00561549" w:rsidP="005D59FA">
            <w:pPr>
              <w:jc w:val="right"/>
              <w:rPr>
                <w:rFonts w:asciiTheme="minorHAnsi" w:hAnsiTheme="minorHAnsi" w:cstheme="minorHAnsi"/>
                <w:color w:val="000000"/>
                <w:sz w:val="20"/>
                <w:szCs w:val="20"/>
              </w:rPr>
            </w:pPr>
            <w:r w:rsidRPr="006D4208">
              <w:rPr>
                <w:rFonts w:asciiTheme="minorHAnsi" w:hAnsiTheme="minorHAnsi" w:cstheme="minorHAnsi"/>
                <w:color w:val="000000"/>
                <w:sz w:val="20"/>
                <w:szCs w:val="20"/>
              </w:rPr>
              <w:t>0.</w:t>
            </w:r>
            <w:r w:rsidR="00350AFF" w:rsidRPr="006D4208">
              <w:rPr>
                <w:rFonts w:asciiTheme="minorHAnsi" w:hAnsiTheme="minorHAnsi" w:cstheme="minorHAnsi"/>
                <w:color w:val="000000"/>
                <w:sz w:val="20"/>
                <w:szCs w:val="20"/>
              </w:rPr>
              <w:t>3</w:t>
            </w:r>
          </w:p>
        </w:tc>
      </w:tr>
      <w:tr w:rsidR="00561549" w:rsidRPr="00B97C61" w14:paraId="34A807B2" w14:textId="24A3415B" w:rsidTr="002725AC">
        <w:trPr>
          <w:trHeight w:val="288"/>
        </w:trPr>
        <w:tc>
          <w:tcPr>
            <w:tcW w:w="1844" w:type="pct"/>
            <w:tcBorders>
              <w:left w:val="nil"/>
              <w:right w:val="nil"/>
            </w:tcBorders>
            <w:shd w:val="clear" w:color="auto" w:fill="auto"/>
            <w:noWrap/>
            <w:vAlign w:val="bottom"/>
            <w:hideMark/>
          </w:tcPr>
          <w:p w14:paraId="30865D99" w14:textId="77777777" w:rsidR="00561549" w:rsidRPr="00B97C61" w:rsidRDefault="00561549" w:rsidP="005D59FA">
            <w:pPr>
              <w:rPr>
                <w:rFonts w:asciiTheme="minorHAnsi" w:hAnsiTheme="minorHAnsi" w:cstheme="minorHAnsi"/>
                <w:b/>
                <w:bCs/>
                <w:color w:val="000000"/>
                <w:sz w:val="20"/>
                <w:szCs w:val="20"/>
              </w:rPr>
            </w:pPr>
            <w:r w:rsidRPr="00B97C61">
              <w:rPr>
                <w:rFonts w:asciiTheme="minorHAnsi" w:hAnsiTheme="minorHAnsi" w:cstheme="minorHAnsi"/>
                <w:b/>
                <w:bCs/>
                <w:color w:val="000000"/>
                <w:sz w:val="20"/>
                <w:szCs w:val="20"/>
              </w:rPr>
              <w:t>Total allowance account</w:t>
            </w:r>
          </w:p>
        </w:tc>
        <w:tc>
          <w:tcPr>
            <w:tcW w:w="487" w:type="pct"/>
            <w:tcBorders>
              <w:left w:val="nil"/>
              <w:right w:val="nil"/>
            </w:tcBorders>
            <w:shd w:val="clear" w:color="auto" w:fill="auto"/>
            <w:noWrap/>
            <w:vAlign w:val="bottom"/>
            <w:hideMark/>
          </w:tcPr>
          <w:p w14:paraId="2DC18BDA" w14:textId="77777777" w:rsidR="00561549" w:rsidRPr="00B97C61" w:rsidRDefault="00561549" w:rsidP="005D59FA">
            <w:pPr>
              <w:rPr>
                <w:rFonts w:asciiTheme="minorHAnsi" w:hAnsiTheme="minorHAnsi" w:cstheme="minorHAnsi"/>
                <w:b/>
                <w:bCs/>
                <w:color w:val="000000"/>
                <w:sz w:val="20"/>
                <w:szCs w:val="20"/>
              </w:rPr>
            </w:pPr>
            <w:r w:rsidRPr="00B97C61">
              <w:rPr>
                <w:rFonts w:asciiTheme="minorHAnsi" w:hAnsiTheme="minorHAnsi" w:cstheme="minorHAnsi"/>
                <w:b/>
                <w:bCs/>
                <w:color w:val="000000"/>
                <w:sz w:val="20"/>
                <w:szCs w:val="20"/>
              </w:rPr>
              <w:t> </w:t>
            </w:r>
          </w:p>
        </w:tc>
        <w:tc>
          <w:tcPr>
            <w:tcW w:w="487" w:type="pct"/>
            <w:tcBorders>
              <w:left w:val="nil"/>
              <w:right w:val="nil"/>
            </w:tcBorders>
            <w:shd w:val="clear" w:color="auto" w:fill="auto"/>
            <w:noWrap/>
            <w:vAlign w:val="bottom"/>
            <w:hideMark/>
          </w:tcPr>
          <w:p w14:paraId="751EF8CB" w14:textId="77777777" w:rsidR="00561549" w:rsidRPr="00B97C61" w:rsidRDefault="00561549" w:rsidP="005D59FA">
            <w:pPr>
              <w:rPr>
                <w:rFonts w:asciiTheme="minorHAnsi" w:hAnsiTheme="minorHAnsi" w:cstheme="minorHAnsi"/>
                <w:b/>
                <w:bCs/>
                <w:color w:val="000000"/>
                <w:sz w:val="20"/>
                <w:szCs w:val="20"/>
              </w:rPr>
            </w:pPr>
            <w:r w:rsidRPr="00B97C61">
              <w:rPr>
                <w:rFonts w:asciiTheme="minorHAnsi" w:hAnsiTheme="minorHAnsi" w:cstheme="minorHAnsi"/>
                <w:b/>
                <w:bCs/>
                <w:color w:val="000000"/>
                <w:sz w:val="20"/>
                <w:szCs w:val="20"/>
              </w:rPr>
              <w:t> </w:t>
            </w:r>
          </w:p>
        </w:tc>
        <w:tc>
          <w:tcPr>
            <w:tcW w:w="203" w:type="pct"/>
            <w:tcBorders>
              <w:left w:val="nil"/>
              <w:right w:val="nil"/>
            </w:tcBorders>
            <w:shd w:val="clear" w:color="auto" w:fill="auto"/>
            <w:noWrap/>
            <w:vAlign w:val="bottom"/>
            <w:hideMark/>
          </w:tcPr>
          <w:p w14:paraId="403B7257" w14:textId="77777777" w:rsidR="00561549" w:rsidRPr="00B97C61" w:rsidRDefault="00561549" w:rsidP="005D59FA">
            <w:pPr>
              <w:rPr>
                <w:rFonts w:asciiTheme="minorHAnsi" w:hAnsiTheme="minorHAnsi" w:cstheme="minorHAnsi"/>
                <w:b/>
                <w:bCs/>
                <w:color w:val="000000"/>
                <w:sz w:val="20"/>
                <w:szCs w:val="20"/>
              </w:rPr>
            </w:pPr>
            <w:r w:rsidRPr="00B97C61">
              <w:rPr>
                <w:rFonts w:asciiTheme="minorHAnsi" w:hAnsiTheme="minorHAnsi" w:cstheme="minorHAnsi"/>
                <w:b/>
                <w:bCs/>
                <w:color w:val="000000"/>
                <w:sz w:val="20"/>
                <w:szCs w:val="20"/>
              </w:rPr>
              <w:t> </w:t>
            </w:r>
          </w:p>
        </w:tc>
        <w:tc>
          <w:tcPr>
            <w:tcW w:w="663" w:type="pct"/>
            <w:tcBorders>
              <w:top w:val="single" w:sz="4" w:space="0" w:color="auto"/>
              <w:left w:val="nil"/>
              <w:bottom w:val="single" w:sz="4" w:space="0" w:color="auto"/>
              <w:right w:val="nil"/>
            </w:tcBorders>
            <w:shd w:val="clear" w:color="auto" w:fill="F2F2F2" w:themeFill="background1" w:themeFillShade="F2"/>
            <w:noWrap/>
            <w:vAlign w:val="center"/>
          </w:tcPr>
          <w:p w14:paraId="439E5157" w14:textId="3A1935E5" w:rsidR="00561549" w:rsidRPr="001006BB" w:rsidRDefault="001006BB" w:rsidP="005D59FA">
            <w:pPr>
              <w:jc w:val="right"/>
              <w:rPr>
                <w:rFonts w:asciiTheme="minorHAnsi" w:hAnsiTheme="minorHAnsi" w:cstheme="minorHAnsi"/>
                <w:b/>
                <w:color w:val="000000"/>
                <w:sz w:val="20"/>
                <w:szCs w:val="20"/>
              </w:rPr>
            </w:pPr>
            <w:r w:rsidRPr="001006BB">
              <w:rPr>
                <w:rFonts w:asciiTheme="minorHAnsi" w:hAnsiTheme="minorHAnsi" w:cstheme="minorHAnsi"/>
                <w:b/>
                <w:color w:val="000000"/>
                <w:sz w:val="20"/>
                <w:szCs w:val="20"/>
              </w:rPr>
              <w:t>9.9</w:t>
            </w:r>
          </w:p>
        </w:tc>
        <w:tc>
          <w:tcPr>
            <w:tcW w:w="829" w:type="pct"/>
            <w:tcBorders>
              <w:top w:val="single" w:sz="4" w:space="0" w:color="auto"/>
              <w:left w:val="nil"/>
              <w:bottom w:val="single" w:sz="4" w:space="0" w:color="auto"/>
              <w:right w:val="nil"/>
            </w:tcBorders>
            <w:vAlign w:val="center"/>
          </w:tcPr>
          <w:p w14:paraId="15E44821" w14:textId="3BBA61CF" w:rsidR="00123ADF" w:rsidRPr="006D4208" w:rsidRDefault="00123ADF" w:rsidP="00123ADF">
            <w:pPr>
              <w:jc w:val="right"/>
              <w:rPr>
                <w:rFonts w:asciiTheme="minorHAnsi" w:hAnsiTheme="minorHAnsi" w:cstheme="minorHAnsi"/>
                <w:color w:val="000000"/>
                <w:sz w:val="20"/>
                <w:szCs w:val="20"/>
              </w:rPr>
            </w:pPr>
            <w:r w:rsidRPr="006D4208">
              <w:rPr>
                <w:rFonts w:asciiTheme="minorHAnsi" w:hAnsiTheme="minorHAnsi" w:cstheme="minorHAnsi"/>
                <w:color w:val="000000"/>
                <w:sz w:val="20"/>
                <w:szCs w:val="20"/>
              </w:rPr>
              <w:t>15.1</w:t>
            </w:r>
          </w:p>
        </w:tc>
        <w:tc>
          <w:tcPr>
            <w:tcW w:w="487" w:type="pct"/>
            <w:tcBorders>
              <w:top w:val="single" w:sz="4" w:space="0" w:color="auto"/>
              <w:left w:val="nil"/>
              <w:bottom w:val="single" w:sz="4" w:space="0" w:color="auto"/>
              <w:right w:val="nil"/>
            </w:tcBorders>
            <w:shd w:val="clear" w:color="auto" w:fill="auto"/>
            <w:noWrap/>
            <w:vAlign w:val="center"/>
            <w:hideMark/>
          </w:tcPr>
          <w:p w14:paraId="2BA3595D" w14:textId="7BC37ECC" w:rsidR="00561549" w:rsidRPr="006D4208" w:rsidRDefault="00350AFF" w:rsidP="005D59FA">
            <w:pPr>
              <w:jc w:val="right"/>
              <w:rPr>
                <w:rFonts w:asciiTheme="minorHAnsi" w:hAnsiTheme="minorHAnsi" w:cstheme="minorHAnsi"/>
                <w:color w:val="000000"/>
                <w:sz w:val="20"/>
                <w:szCs w:val="20"/>
              </w:rPr>
            </w:pPr>
            <w:r w:rsidRPr="006D4208">
              <w:rPr>
                <w:rFonts w:asciiTheme="minorHAnsi" w:hAnsiTheme="minorHAnsi" w:cstheme="minorHAnsi"/>
                <w:color w:val="000000"/>
                <w:sz w:val="20"/>
                <w:szCs w:val="20"/>
              </w:rPr>
              <w:t>12.7</w:t>
            </w:r>
          </w:p>
        </w:tc>
      </w:tr>
      <w:tr w:rsidR="00561549" w:rsidRPr="00B97C61" w14:paraId="4E7F56B5" w14:textId="2EA381DB" w:rsidTr="00C04CAA">
        <w:trPr>
          <w:trHeight w:val="288"/>
        </w:trPr>
        <w:tc>
          <w:tcPr>
            <w:tcW w:w="1844" w:type="pct"/>
            <w:tcBorders>
              <w:left w:val="nil"/>
              <w:bottom w:val="nil"/>
              <w:right w:val="nil"/>
            </w:tcBorders>
            <w:shd w:val="clear" w:color="auto" w:fill="auto"/>
            <w:noWrap/>
            <w:vAlign w:val="bottom"/>
            <w:hideMark/>
          </w:tcPr>
          <w:p w14:paraId="2D3C195F" w14:textId="77777777" w:rsidR="00561549" w:rsidRPr="00B97C61" w:rsidRDefault="00561549" w:rsidP="005D59FA">
            <w:pPr>
              <w:jc w:val="right"/>
              <w:rPr>
                <w:rFonts w:asciiTheme="minorHAnsi" w:hAnsiTheme="minorHAnsi" w:cstheme="minorHAnsi"/>
                <w:b/>
                <w:bCs/>
                <w:color w:val="000000"/>
                <w:sz w:val="20"/>
                <w:szCs w:val="20"/>
              </w:rPr>
            </w:pPr>
          </w:p>
        </w:tc>
        <w:tc>
          <w:tcPr>
            <w:tcW w:w="487" w:type="pct"/>
            <w:tcBorders>
              <w:left w:val="nil"/>
              <w:bottom w:val="nil"/>
              <w:right w:val="nil"/>
            </w:tcBorders>
            <w:shd w:val="clear" w:color="auto" w:fill="auto"/>
            <w:noWrap/>
            <w:vAlign w:val="bottom"/>
            <w:hideMark/>
          </w:tcPr>
          <w:p w14:paraId="75A625F4" w14:textId="77777777" w:rsidR="00561549" w:rsidRPr="00B97C61" w:rsidRDefault="00561549" w:rsidP="005D59FA">
            <w:pPr>
              <w:rPr>
                <w:rFonts w:asciiTheme="minorHAnsi" w:hAnsiTheme="minorHAnsi" w:cstheme="minorHAnsi"/>
                <w:sz w:val="20"/>
                <w:szCs w:val="20"/>
              </w:rPr>
            </w:pPr>
          </w:p>
        </w:tc>
        <w:tc>
          <w:tcPr>
            <w:tcW w:w="487" w:type="pct"/>
            <w:tcBorders>
              <w:left w:val="nil"/>
              <w:bottom w:val="nil"/>
              <w:right w:val="nil"/>
            </w:tcBorders>
            <w:shd w:val="clear" w:color="auto" w:fill="auto"/>
            <w:noWrap/>
            <w:vAlign w:val="bottom"/>
            <w:hideMark/>
          </w:tcPr>
          <w:p w14:paraId="020AF6AF" w14:textId="77777777" w:rsidR="00561549" w:rsidRPr="00B97C61" w:rsidRDefault="00561549" w:rsidP="005D59FA">
            <w:pPr>
              <w:rPr>
                <w:rFonts w:asciiTheme="minorHAnsi" w:hAnsiTheme="minorHAnsi" w:cstheme="minorHAnsi"/>
                <w:sz w:val="20"/>
                <w:szCs w:val="20"/>
              </w:rPr>
            </w:pPr>
          </w:p>
        </w:tc>
        <w:tc>
          <w:tcPr>
            <w:tcW w:w="203" w:type="pct"/>
            <w:tcBorders>
              <w:left w:val="nil"/>
              <w:bottom w:val="nil"/>
              <w:right w:val="nil"/>
            </w:tcBorders>
            <w:shd w:val="clear" w:color="auto" w:fill="auto"/>
            <w:noWrap/>
            <w:vAlign w:val="bottom"/>
            <w:hideMark/>
          </w:tcPr>
          <w:p w14:paraId="79A6408F" w14:textId="77777777" w:rsidR="00561549" w:rsidRPr="00B97C61" w:rsidRDefault="00561549" w:rsidP="005D59FA">
            <w:pPr>
              <w:rPr>
                <w:rFonts w:asciiTheme="minorHAnsi" w:hAnsiTheme="minorHAnsi" w:cstheme="minorHAnsi"/>
                <w:sz w:val="20"/>
                <w:szCs w:val="20"/>
              </w:rPr>
            </w:pPr>
          </w:p>
        </w:tc>
        <w:tc>
          <w:tcPr>
            <w:tcW w:w="663" w:type="pct"/>
            <w:tcBorders>
              <w:top w:val="nil"/>
              <w:left w:val="nil"/>
              <w:bottom w:val="nil"/>
              <w:right w:val="nil"/>
            </w:tcBorders>
            <w:shd w:val="clear" w:color="auto" w:fill="auto"/>
            <w:noWrap/>
            <w:vAlign w:val="bottom"/>
          </w:tcPr>
          <w:p w14:paraId="7A079580" w14:textId="77777777" w:rsidR="00561549" w:rsidRPr="00561549" w:rsidRDefault="00561549" w:rsidP="005D59FA">
            <w:pPr>
              <w:jc w:val="right"/>
              <w:rPr>
                <w:rFonts w:asciiTheme="minorHAnsi" w:hAnsiTheme="minorHAnsi" w:cstheme="minorHAnsi"/>
                <w:b/>
                <w:color w:val="000000"/>
                <w:sz w:val="20"/>
                <w:szCs w:val="20"/>
                <w:highlight w:val="yellow"/>
              </w:rPr>
            </w:pPr>
          </w:p>
        </w:tc>
        <w:tc>
          <w:tcPr>
            <w:tcW w:w="829" w:type="pct"/>
            <w:tcBorders>
              <w:top w:val="nil"/>
              <w:left w:val="nil"/>
              <w:bottom w:val="nil"/>
              <w:right w:val="nil"/>
            </w:tcBorders>
            <w:shd w:val="clear" w:color="auto" w:fill="auto"/>
          </w:tcPr>
          <w:p w14:paraId="7CE4F03F" w14:textId="77777777" w:rsidR="00123ADF" w:rsidRPr="006D4208" w:rsidRDefault="00123ADF" w:rsidP="00123ADF">
            <w:pPr>
              <w:jc w:val="right"/>
              <w:rPr>
                <w:rFonts w:asciiTheme="minorHAnsi" w:hAnsiTheme="minorHAnsi" w:cstheme="minorHAnsi"/>
                <w:color w:val="000000"/>
                <w:sz w:val="20"/>
                <w:szCs w:val="20"/>
              </w:rPr>
            </w:pPr>
          </w:p>
        </w:tc>
        <w:tc>
          <w:tcPr>
            <w:tcW w:w="487" w:type="pct"/>
            <w:tcBorders>
              <w:top w:val="nil"/>
              <w:left w:val="nil"/>
              <w:bottom w:val="nil"/>
              <w:right w:val="nil"/>
            </w:tcBorders>
            <w:shd w:val="clear" w:color="auto" w:fill="auto"/>
            <w:noWrap/>
            <w:vAlign w:val="bottom"/>
          </w:tcPr>
          <w:p w14:paraId="0FFF4178" w14:textId="58743368" w:rsidR="00561549" w:rsidRPr="006D4208" w:rsidRDefault="00561549" w:rsidP="005D59FA">
            <w:pPr>
              <w:jc w:val="right"/>
              <w:rPr>
                <w:rFonts w:asciiTheme="minorHAnsi" w:hAnsiTheme="minorHAnsi" w:cstheme="minorHAnsi"/>
                <w:color w:val="000000"/>
                <w:sz w:val="20"/>
                <w:szCs w:val="20"/>
              </w:rPr>
            </w:pPr>
          </w:p>
        </w:tc>
      </w:tr>
      <w:tr w:rsidR="00561549" w:rsidRPr="00B97C61" w14:paraId="4339846F" w14:textId="3258D2E0" w:rsidTr="00A906A8">
        <w:trPr>
          <w:trHeight w:val="288"/>
        </w:trPr>
        <w:tc>
          <w:tcPr>
            <w:tcW w:w="1844" w:type="pct"/>
            <w:tcBorders>
              <w:top w:val="nil"/>
              <w:left w:val="nil"/>
              <w:right w:val="nil"/>
            </w:tcBorders>
            <w:shd w:val="clear" w:color="auto" w:fill="auto"/>
            <w:noWrap/>
            <w:vAlign w:val="bottom"/>
            <w:hideMark/>
          </w:tcPr>
          <w:p w14:paraId="581522E8" w14:textId="77777777" w:rsidR="00561549" w:rsidRPr="00B97C61" w:rsidRDefault="00561549" w:rsidP="005D59FA">
            <w:pPr>
              <w:rPr>
                <w:rFonts w:asciiTheme="minorHAnsi" w:hAnsiTheme="minorHAnsi" w:cstheme="minorHAnsi"/>
                <w:b/>
                <w:bCs/>
                <w:color w:val="000000"/>
                <w:sz w:val="20"/>
                <w:szCs w:val="20"/>
              </w:rPr>
            </w:pPr>
          </w:p>
        </w:tc>
        <w:tc>
          <w:tcPr>
            <w:tcW w:w="487" w:type="pct"/>
            <w:tcBorders>
              <w:top w:val="nil"/>
              <w:left w:val="nil"/>
              <w:right w:val="nil"/>
            </w:tcBorders>
            <w:shd w:val="clear" w:color="auto" w:fill="auto"/>
            <w:noWrap/>
            <w:vAlign w:val="bottom"/>
            <w:hideMark/>
          </w:tcPr>
          <w:p w14:paraId="3DE8FEDD" w14:textId="77777777" w:rsidR="00561549" w:rsidRPr="00B97C61" w:rsidRDefault="00561549" w:rsidP="005D59FA">
            <w:pPr>
              <w:rPr>
                <w:rFonts w:asciiTheme="minorHAnsi" w:hAnsiTheme="minorHAnsi" w:cstheme="minorHAnsi"/>
                <w:color w:val="000000"/>
                <w:sz w:val="20"/>
                <w:szCs w:val="20"/>
              </w:rPr>
            </w:pPr>
            <w:r w:rsidRPr="00B97C61">
              <w:rPr>
                <w:rFonts w:asciiTheme="minorHAnsi" w:hAnsiTheme="minorHAnsi" w:cstheme="minorHAnsi"/>
                <w:color w:val="000000"/>
                <w:sz w:val="20"/>
                <w:szCs w:val="20"/>
              </w:rPr>
              <w:t> </w:t>
            </w:r>
          </w:p>
        </w:tc>
        <w:tc>
          <w:tcPr>
            <w:tcW w:w="487" w:type="pct"/>
            <w:tcBorders>
              <w:top w:val="nil"/>
              <w:left w:val="nil"/>
              <w:right w:val="nil"/>
            </w:tcBorders>
            <w:shd w:val="clear" w:color="auto" w:fill="auto"/>
            <w:noWrap/>
            <w:vAlign w:val="bottom"/>
            <w:hideMark/>
          </w:tcPr>
          <w:p w14:paraId="2E86434C" w14:textId="77777777" w:rsidR="00561549" w:rsidRPr="00B97C61" w:rsidRDefault="00561549" w:rsidP="005D59FA">
            <w:pPr>
              <w:rPr>
                <w:rFonts w:asciiTheme="minorHAnsi" w:hAnsiTheme="minorHAnsi" w:cstheme="minorHAnsi"/>
                <w:color w:val="000000"/>
                <w:sz w:val="20"/>
                <w:szCs w:val="20"/>
              </w:rPr>
            </w:pPr>
            <w:r w:rsidRPr="00B97C61">
              <w:rPr>
                <w:rFonts w:asciiTheme="minorHAnsi" w:hAnsiTheme="minorHAnsi" w:cstheme="minorHAnsi"/>
                <w:color w:val="000000"/>
                <w:sz w:val="20"/>
                <w:szCs w:val="20"/>
              </w:rPr>
              <w:t> </w:t>
            </w:r>
          </w:p>
        </w:tc>
        <w:tc>
          <w:tcPr>
            <w:tcW w:w="203" w:type="pct"/>
            <w:tcBorders>
              <w:top w:val="nil"/>
              <w:left w:val="nil"/>
              <w:right w:val="nil"/>
            </w:tcBorders>
            <w:shd w:val="clear" w:color="auto" w:fill="auto"/>
            <w:noWrap/>
            <w:vAlign w:val="bottom"/>
            <w:hideMark/>
          </w:tcPr>
          <w:p w14:paraId="6FD07A5F" w14:textId="77777777" w:rsidR="00561549" w:rsidRPr="00B97C61" w:rsidRDefault="00561549" w:rsidP="005D59FA">
            <w:pPr>
              <w:rPr>
                <w:rFonts w:asciiTheme="minorHAnsi" w:hAnsiTheme="minorHAnsi" w:cstheme="minorHAnsi"/>
                <w:color w:val="000000"/>
                <w:sz w:val="20"/>
                <w:szCs w:val="20"/>
              </w:rPr>
            </w:pPr>
            <w:r w:rsidRPr="00B97C61">
              <w:rPr>
                <w:rFonts w:asciiTheme="minorHAnsi" w:hAnsiTheme="minorHAnsi" w:cstheme="minorHAnsi"/>
                <w:color w:val="000000"/>
                <w:sz w:val="20"/>
                <w:szCs w:val="20"/>
              </w:rPr>
              <w:t> </w:t>
            </w:r>
          </w:p>
        </w:tc>
        <w:tc>
          <w:tcPr>
            <w:tcW w:w="663" w:type="pct"/>
            <w:tcBorders>
              <w:top w:val="nil"/>
              <w:left w:val="nil"/>
              <w:bottom w:val="single" w:sz="4" w:space="0" w:color="auto"/>
              <w:right w:val="nil"/>
            </w:tcBorders>
            <w:shd w:val="clear" w:color="auto" w:fill="F2F2F2" w:themeFill="background1" w:themeFillShade="F2"/>
            <w:noWrap/>
            <w:vAlign w:val="bottom"/>
            <w:hideMark/>
          </w:tcPr>
          <w:p w14:paraId="773053C4" w14:textId="77777777" w:rsidR="005B798E" w:rsidRDefault="005B798E" w:rsidP="005D59FA">
            <w:pPr>
              <w:jc w:val="right"/>
              <w:rPr>
                <w:rFonts w:asciiTheme="minorHAnsi" w:hAnsiTheme="minorHAnsi" w:cstheme="minorHAnsi"/>
                <w:b/>
                <w:color w:val="000000"/>
                <w:sz w:val="20"/>
                <w:szCs w:val="20"/>
              </w:rPr>
            </w:pPr>
            <w:r>
              <w:rPr>
                <w:rFonts w:asciiTheme="minorHAnsi" w:hAnsiTheme="minorHAnsi" w:cstheme="minorHAnsi"/>
                <w:b/>
                <w:color w:val="000000"/>
                <w:sz w:val="20"/>
                <w:szCs w:val="20"/>
              </w:rPr>
              <w:t xml:space="preserve">30 June </w:t>
            </w:r>
          </w:p>
          <w:p w14:paraId="2BF37E75" w14:textId="36AD4056" w:rsidR="00561549" w:rsidRPr="00FD3B9C" w:rsidRDefault="00561549" w:rsidP="005D59FA">
            <w:pPr>
              <w:jc w:val="right"/>
              <w:rPr>
                <w:rFonts w:asciiTheme="minorHAnsi" w:hAnsiTheme="minorHAnsi" w:cstheme="minorHAnsi"/>
                <w:b/>
                <w:color w:val="000000"/>
                <w:sz w:val="20"/>
                <w:szCs w:val="20"/>
              </w:rPr>
            </w:pPr>
            <w:r w:rsidRPr="00FD3B9C">
              <w:rPr>
                <w:rFonts w:asciiTheme="minorHAnsi" w:hAnsiTheme="minorHAnsi" w:cstheme="minorHAnsi"/>
                <w:b/>
                <w:color w:val="000000"/>
                <w:sz w:val="20"/>
                <w:szCs w:val="20"/>
              </w:rPr>
              <w:t>202</w:t>
            </w:r>
            <w:r w:rsidR="00F57A75" w:rsidRPr="00FD3B9C">
              <w:rPr>
                <w:rFonts w:asciiTheme="minorHAnsi" w:hAnsiTheme="minorHAnsi" w:cstheme="minorHAnsi"/>
                <w:b/>
                <w:color w:val="000000"/>
                <w:sz w:val="20"/>
                <w:szCs w:val="20"/>
              </w:rPr>
              <w:t>4</w:t>
            </w:r>
          </w:p>
          <w:p w14:paraId="3747105E" w14:textId="77777777" w:rsidR="00561549" w:rsidRPr="00FD3B9C" w:rsidRDefault="00561549" w:rsidP="005D59FA">
            <w:pPr>
              <w:jc w:val="right"/>
              <w:rPr>
                <w:rFonts w:asciiTheme="minorHAnsi" w:hAnsiTheme="minorHAnsi" w:cstheme="minorHAnsi"/>
                <w:b/>
                <w:color w:val="000000"/>
                <w:sz w:val="20"/>
                <w:szCs w:val="20"/>
              </w:rPr>
            </w:pPr>
            <w:r w:rsidRPr="00FD3B9C">
              <w:rPr>
                <w:rFonts w:asciiTheme="minorHAnsi" w:hAnsiTheme="minorHAnsi" w:cs="Arial"/>
                <w:b/>
                <w:sz w:val="20"/>
                <w:szCs w:val="20"/>
              </w:rPr>
              <w:t>£m </w:t>
            </w:r>
          </w:p>
        </w:tc>
        <w:tc>
          <w:tcPr>
            <w:tcW w:w="829" w:type="pct"/>
            <w:tcBorders>
              <w:top w:val="nil"/>
              <w:left w:val="nil"/>
              <w:bottom w:val="single" w:sz="4" w:space="0" w:color="auto"/>
              <w:right w:val="nil"/>
            </w:tcBorders>
          </w:tcPr>
          <w:p w14:paraId="78470A0D" w14:textId="77777777" w:rsidR="00123ADF" w:rsidRPr="00FD3B9C" w:rsidRDefault="00123ADF" w:rsidP="00123ADF">
            <w:pPr>
              <w:jc w:val="right"/>
              <w:rPr>
                <w:rFonts w:asciiTheme="minorHAnsi" w:hAnsiTheme="minorHAnsi" w:cstheme="minorHAnsi"/>
                <w:color w:val="000000"/>
                <w:sz w:val="20"/>
                <w:szCs w:val="20"/>
              </w:rPr>
            </w:pPr>
            <w:r>
              <w:rPr>
                <w:rFonts w:asciiTheme="minorHAnsi" w:hAnsiTheme="minorHAnsi" w:cstheme="minorHAnsi"/>
                <w:color w:val="000000"/>
                <w:sz w:val="20"/>
                <w:szCs w:val="20"/>
              </w:rPr>
              <w:t xml:space="preserve">31 December </w:t>
            </w:r>
            <w:r w:rsidRPr="00FD3B9C">
              <w:rPr>
                <w:rFonts w:asciiTheme="minorHAnsi" w:hAnsiTheme="minorHAnsi" w:cstheme="minorHAnsi"/>
                <w:color w:val="000000"/>
                <w:sz w:val="20"/>
                <w:szCs w:val="20"/>
              </w:rPr>
              <w:t>2023</w:t>
            </w:r>
          </w:p>
          <w:p w14:paraId="5BAA9409" w14:textId="58599C57" w:rsidR="00123ADF" w:rsidRDefault="00123ADF" w:rsidP="00123ADF">
            <w:pPr>
              <w:jc w:val="right"/>
              <w:rPr>
                <w:rFonts w:asciiTheme="minorHAnsi" w:hAnsiTheme="minorHAnsi" w:cstheme="minorHAnsi"/>
                <w:color w:val="000000"/>
                <w:sz w:val="20"/>
                <w:szCs w:val="20"/>
              </w:rPr>
            </w:pPr>
            <w:r w:rsidRPr="00FD3B9C">
              <w:rPr>
                <w:rFonts w:asciiTheme="minorHAnsi" w:hAnsiTheme="minorHAnsi" w:cstheme="minorHAnsi"/>
                <w:color w:val="000000"/>
                <w:sz w:val="20"/>
                <w:szCs w:val="20"/>
              </w:rPr>
              <w:t>£m</w:t>
            </w:r>
          </w:p>
        </w:tc>
        <w:tc>
          <w:tcPr>
            <w:tcW w:w="487" w:type="pct"/>
            <w:tcBorders>
              <w:top w:val="nil"/>
              <w:left w:val="nil"/>
              <w:bottom w:val="single" w:sz="4" w:space="0" w:color="auto"/>
              <w:right w:val="nil"/>
            </w:tcBorders>
            <w:shd w:val="clear" w:color="auto" w:fill="auto"/>
            <w:noWrap/>
            <w:vAlign w:val="bottom"/>
            <w:hideMark/>
          </w:tcPr>
          <w:p w14:paraId="66262CF7" w14:textId="6D727976" w:rsidR="005B798E" w:rsidRDefault="005B798E" w:rsidP="005D59FA">
            <w:pPr>
              <w:jc w:val="right"/>
              <w:rPr>
                <w:rFonts w:asciiTheme="minorHAnsi" w:hAnsiTheme="minorHAnsi" w:cstheme="minorHAnsi"/>
                <w:color w:val="000000"/>
                <w:sz w:val="20"/>
                <w:szCs w:val="20"/>
              </w:rPr>
            </w:pPr>
            <w:r>
              <w:rPr>
                <w:rFonts w:asciiTheme="minorHAnsi" w:hAnsiTheme="minorHAnsi" w:cstheme="minorHAnsi"/>
                <w:color w:val="000000"/>
                <w:sz w:val="20"/>
                <w:szCs w:val="20"/>
              </w:rPr>
              <w:t xml:space="preserve">30 June </w:t>
            </w:r>
          </w:p>
          <w:p w14:paraId="3C4BB307" w14:textId="0E762997" w:rsidR="00561549" w:rsidRPr="00FD3B9C" w:rsidRDefault="00561549" w:rsidP="005D59FA">
            <w:pPr>
              <w:jc w:val="right"/>
              <w:rPr>
                <w:rFonts w:asciiTheme="minorHAnsi" w:hAnsiTheme="minorHAnsi" w:cstheme="minorHAnsi"/>
                <w:color w:val="000000"/>
                <w:sz w:val="20"/>
                <w:szCs w:val="20"/>
              </w:rPr>
            </w:pPr>
            <w:r w:rsidRPr="00FD3B9C">
              <w:rPr>
                <w:rFonts w:asciiTheme="minorHAnsi" w:hAnsiTheme="minorHAnsi" w:cstheme="minorHAnsi"/>
                <w:color w:val="000000"/>
                <w:sz w:val="20"/>
                <w:szCs w:val="20"/>
              </w:rPr>
              <w:t>202</w:t>
            </w:r>
            <w:r w:rsidR="00F57A75" w:rsidRPr="00FD3B9C">
              <w:rPr>
                <w:rFonts w:asciiTheme="minorHAnsi" w:hAnsiTheme="minorHAnsi" w:cstheme="minorHAnsi"/>
                <w:color w:val="000000"/>
                <w:sz w:val="20"/>
                <w:szCs w:val="20"/>
              </w:rPr>
              <w:t>3</w:t>
            </w:r>
          </w:p>
          <w:p w14:paraId="3F1FD4F5" w14:textId="77777777" w:rsidR="00561549" w:rsidRPr="00FD3B9C" w:rsidRDefault="00561549" w:rsidP="005D59FA">
            <w:pPr>
              <w:jc w:val="right"/>
              <w:rPr>
                <w:rFonts w:asciiTheme="minorHAnsi" w:hAnsiTheme="minorHAnsi" w:cstheme="minorHAnsi"/>
                <w:color w:val="000000"/>
                <w:sz w:val="20"/>
                <w:szCs w:val="20"/>
              </w:rPr>
            </w:pPr>
            <w:r w:rsidRPr="00FD3B9C">
              <w:rPr>
                <w:rFonts w:asciiTheme="minorHAnsi" w:hAnsiTheme="minorHAnsi" w:cs="Arial"/>
                <w:sz w:val="20"/>
                <w:szCs w:val="20"/>
              </w:rPr>
              <w:t>£m </w:t>
            </w:r>
          </w:p>
        </w:tc>
      </w:tr>
      <w:tr w:rsidR="00561549" w:rsidRPr="00B97C61" w14:paraId="702F1D1D" w14:textId="096717D4" w:rsidTr="002725AC">
        <w:trPr>
          <w:trHeight w:val="288"/>
        </w:trPr>
        <w:tc>
          <w:tcPr>
            <w:tcW w:w="1844" w:type="pct"/>
            <w:tcBorders>
              <w:top w:val="nil"/>
              <w:left w:val="nil"/>
              <w:right w:val="nil"/>
            </w:tcBorders>
            <w:shd w:val="clear" w:color="auto" w:fill="auto"/>
            <w:noWrap/>
            <w:vAlign w:val="bottom"/>
            <w:hideMark/>
          </w:tcPr>
          <w:p w14:paraId="109A7077" w14:textId="77777777" w:rsidR="00561549" w:rsidRPr="00B97C61" w:rsidRDefault="00561549" w:rsidP="005D59FA">
            <w:pPr>
              <w:rPr>
                <w:rFonts w:asciiTheme="minorHAnsi" w:hAnsiTheme="minorHAnsi" w:cstheme="minorHAnsi"/>
                <w:b/>
                <w:bCs/>
                <w:color w:val="000000"/>
                <w:sz w:val="20"/>
                <w:szCs w:val="20"/>
              </w:rPr>
            </w:pPr>
            <w:r w:rsidRPr="00B97C61">
              <w:rPr>
                <w:rFonts w:asciiTheme="minorHAnsi" w:hAnsiTheme="minorHAnsi" w:cstheme="minorHAnsi"/>
                <w:b/>
                <w:bCs/>
                <w:color w:val="000000"/>
                <w:sz w:val="20"/>
                <w:szCs w:val="20"/>
              </w:rPr>
              <w:t>Post-model overlays:</w:t>
            </w:r>
          </w:p>
        </w:tc>
        <w:tc>
          <w:tcPr>
            <w:tcW w:w="487" w:type="pct"/>
            <w:tcBorders>
              <w:top w:val="nil"/>
              <w:left w:val="nil"/>
              <w:right w:val="nil"/>
            </w:tcBorders>
            <w:shd w:val="clear" w:color="auto" w:fill="auto"/>
            <w:noWrap/>
            <w:vAlign w:val="bottom"/>
            <w:hideMark/>
          </w:tcPr>
          <w:p w14:paraId="0FD94C6A" w14:textId="77777777" w:rsidR="00561549" w:rsidRPr="00B97C61" w:rsidRDefault="00561549" w:rsidP="005D59FA">
            <w:pPr>
              <w:rPr>
                <w:rFonts w:asciiTheme="minorHAnsi" w:hAnsiTheme="minorHAnsi" w:cstheme="minorHAnsi"/>
                <w:color w:val="000000"/>
                <w:sz w:val="20"/>
                <w:szCs w:val="20"/>
              </w:rPr>
            </w:pPr>
            <w:r w:rsidRPr="00B97C61">
              <w:rPr>
                <w:rFonts w:asciiTheme="minorHAnsi" w:hAnsiTheme="minorHAnsi" w:cstheme="minorHAnsi"/>
                <w:color w:val="000000"/>
                <w:sz w:val="20"/>
                <w:szCs w:val="20"/>
              </w:rPr>
              <w:t> </w:t>
            </w:r>
          </w:p>
        </w:tc>
        <w:tc>
          <w:tcPr>
            <w:tcW w:w="487" w:type="pct"/>
            <w:tcBorders>
              <w:top w:val="nil"/>
              <w:left w:val="nil"/>
              <w:right w:val="nil"/>
            </w:tcBorders>
            <w:shd w:val="clear" w:color="auto" w:fill="auto"/>
            <w:noWrap/>
            <w:vAlign w:val="bottom"/>
            <w:hideMark/>
          </w:tcPr>
          <w:p w14:paraId="1E55476A" w14:textId="77777777" w:rsidR="00561549" w:rsidRPr="00B97C61" w:rsidRDefault="00561549" w:rsidP="005D59FA">
            <w:pPr>
              <w:rPr>
                <w:rFonts w:asciiTheme="minorHAnsi" w:hAnsiTheme="minorHAnsi" w:cstheme="minorHAnsi"/>
                <w:color w:val="000000"/>
                <w:sz w:val="20"/>
                <w:szCs w:val="20"/>
              </w:rPr>
            </w:pPr>
            <w:r w:rsidRPr="00B97C61">
              <w:rPr>
                <w:rFonts w:asciiTheme="minorHAnsi" w:hAnsiTheme="minorHAnsi" w:cstheme="minorHAnsi"/>
                <w:color w:val="000000"/>
                <w:sz w:val="20"/>
                <w:szCs w:val="20"/>
              </w:rPr>
              <w:t> </w:t>
            </w:r>
          </w:p>
        </w:tc>
        <w:tc>
          <w:tcPr>
            <w:tcW w:w="203" w:type="pct"/>
            <w:tcBorders>
              <w:top w:val="nil"/>
              <w:left w:val="nil"/>
              <w:right w:val="nil"/>
            </w:tcBorders>
            <w:shd w:val="clear" w:color="auto" w:fill="auto"/>
            <w:noWrap/>
            <w:vAlign w:val="bottom"/>
            <w:hideMark/>
          </w:tcPr>
          <w:p w14:paraId="48A17D3B" w14:textId="77777777" w:rsidR="00561549" w:rsidRPr="00B97C61" w:rsidRDefault="00561549" w:rsidP="005D59FA">
            <w:pPr>
              <w:rPr>
                <w:rFonts w:asciiTheme="minorHAnsi" w:hAnsiTheme="minorHAnsi" w:cstheme="minorHAnsi"/>
                <w:color w:val="000000"/>
                <w:sz w:val="20"/>
                <w:szCs w:val="20"/>
              </w:rPr>
            </w:pPr>
            <w:r w:rsidRPr="00B97C61">
              <w:rPr>
                <w:rFonts w:asciiTheme="minorHAnsi" w:hAnsiTheme="minorHAnsi" w:cstheme="minorHAnsi"/>
                <w:color w:val="000000"/>
                <w:sz w:val="20"/>
                <w:szCs w:val="20"/>
              </w:rPr>
              <w:t> </w:t>
            </w:r>
          </w:p>
        </w:tc>
        <w:tc>
          <w:tcPr>
            <w:tcW w:w="663" w:type="pct"/>
            <w:tcBorders>
              <w:top w:val="single" w:sz="4" w:space="0" w:color="auto"/>
              <w:left w:val="nil"/>
              <w:right w:val="nil"/>
            </w:tcBorders>
            <w:shd w:val="clear" w:color="auto" w:fill="F2F2F2" w:themeFill="background1" w:themeFillShade="F2"/>
            <w:noWrap/>
            <w:vAlign w:val="center"/>
            <w:hideMark/>
          </w:tcPr>
          <w:p w14:paraId="764E2476" w14:textId="77777777" w:rsidR="00561549" w:rsidRPr="00650EB3" w:rsidRDefault="00561549" w:rsidP="002725AC">
            <w:pPr>
              <w:jc w:val="right"/>
              <w:rPr>
                <w:rFonts w:asciiTheme="minorHAnsi" w:hAnsiTheme="minorHAnsi" w:cstheme="minorHAnsi"/>
                <w:b/>
                <w:color w:val="000000"/>
                <w:sz w:val="20"/>
                <w:szCs w:val="20"/>
              </w:rPr>
            </w:pPr>
            <w:r w:rsidRPr="00650EB3">
              <w:rPr>
                <w:rFonts w:asciiTheme="minorHAnsi" w:hAnsiTheme="minorHAnsi" w:cstheme="minorHAnsi"/>
                <w:b/>
                <w:color w:val="000000"/>
                <w:sz w:val="20"/>
                <w:szCs w:val="20"/>
              </w:rPr>
              <w:t> </w:t>
            </w:r>
          </w:p>
        </w:tc>
        <w:tc>
          <w:tcPr>
            <w:tcW w:w="829" w:type="pct"/>
            <w:tcBorders>
              <w:top w:val="single" w:sz="4" w:space="0" w:color="auto"/>
              <w:left w:val="nil"/>
              <w:right w:val="nil"/>
            </w:tcBorders>
            <w:vAlign w:val="center"/>
          </w:tcPr>
          <w:p w14:paraId="52BFC6A1" w14:textId="77777777" w:rsidR="00123ADF" w:rsidRPr="00650EB3" w:rsidRDefault="00123ADF" w:rsidP="002725AC">
            <w:pPr>
              <w:jc w:val="right"/>
              <w:rPr>
                <w:rFonts w:asciiTheme="minorHAnsi" w:hAnsiTheme="minorHAnsi" w:cstheme="minorHAnsi"/>
                <w:color w:val="000000"/>
                <w:sz w:val="20"/>
                <w:szCs w:val="20"/>
              </w:rPr>
            </w:pPr>
          </w:p>
        </w:tc>
        <w:tc>
          <w:tcPr>
            <w:tcW w:w="487" w:type="pct"/>
            <w:tcBorders>
              <w:top w:val="single" w:sz="4" w:space="0" w:color="auto"/>
              <w:left w:val="nil"/>
              <w:right w:val="nil"/>
            </w:tcBorders>
            <w:shd w:val="clear" w:color="auto" w:fill="auto"/>
            <w:noWrap/>
            <w:vAlign w:val="center"/>
            <w:hideMark/>
          </w:tcPr>
          <w:p w14:paraId="2ED9AF84" w14:textId="3001DE74" w:rsidR="00561549" w:rsidRPr="00650EB3" w:rsidRDefault="00561549" w:rsidP="002725AC">
            <w:pPr>
              <w:jc w:val="right"/>
              <w:rPr>
                <w:rFonts w:asciiTheme="minorHAnsi" w:hAnsiTheme="minorHAnsi" w:cstheme="minorHAnsi"/>
                <w:color w:val="000000"/>
                <w:sz w:val="20"/>
                <w:szCs w:val="20"/>
              </w:rPr>
            </w:pPr>
            <w:r w:rsidRPr="00650EB3">
              <w:rPr>
                <w:rFonts w:asciiTheme="minorHAnsi" w:hAnsiTheme="minorHAnsi" w:cstheme="minorHAnsi"/>
                <w:color w:val="000000"/>
                <w:sz w:val="20"/>
                <w:szCs w:val="20"/>
              </w:rPr>
              <w:t> </w:t>
            </w:r>
          </w:p>
        </w:tc>
      </w:tr>
      <w:tr w:rsidR="00561549" w:rsidRPr="00B97C61" w14:paraId="25DCA441" w14:textId="3BBB1397" w:rsidTr="002725AC">
        <w:trPr>
          <w:trHeight w:val="288"/>
        </w:trPr>
        <w:tc>
          <w:tcPr>
            <w:tcW w:w="1844" w:type="pct"/>
            <w:tcBorders>
              <w:top w:val="nil"/>
              <w:left w:val="nil"/>
              <w:bottom w:val="nil"/>
              <w:right w:val="nil"/>
            </w:tcBorders>
            <w:shd w:val="clear" w:color="auto" w:fill="auto"/>
            <w:noWrap/>
            <w:vAlign w:val="bottom"/>
            <w:hideMark/>
          </w:tcPr>
          <w:p w14:paraId="5A7CCA49" w14:textId="77777777" w:rsidR="00561549" w:rsidRPr="00B97C61" w:rsidRDefault="00561549" w:rsidP="005D59FA">
            <w:pPr>
              <w:rPr>
                <w:rFonts w:asciiTheme="minorHAnsi" w:hAnsiTheme="minorHAnsi" w:cstheme="minorHAnsi"/>
                <w:color w:val="000000"/>
                <w:sz w:val="20"/>
                <w:szCs w:val="20"/>
              </w:rPr>
            </w:pPr>
            <w:r w:rsidRPr="00B97C61">
              <w:rPr>
                <w:rFonts w:asciiTheme="minorHAnsi" w:hAnsiTheme="minorHAnsi" w:cstheme="minorHAnsi"/>
                <w:color w:val="000000"/>
                <w:sz w:val="20"/>
                <w:szCs w:val="20"/>
              </w:rPr>
              <w:t>Cost of living (note (b))</w:t>
            </w:r>
          </w:p>
        </w:tc>
        <w:tc>
          <w:tcPr>
            <w:tcW w:w="487" w:type="pct"/>
            <w:tcBorders>
              <w:top w:val="nil"/>
              <w:left w:val="nil"/>
              <w:bottom w:val="nil"/>
              <w:right w:val="nil"/>
            </w:tcBorders>
            <w:shd w:val="clear" w:color="auto" w:fill="auto"/>
            <w:noWrap/>
            <w:vAlign w:val="bottom"/>
            <w:hideMark/>
          </w:tcPr>
          <w:p w14:paraId="006929F7" w14:textId="77777777" w:rsidR="00561549" w:rsidRPr="00B97C61" w:rsidRDefault="00561549" w:rsidP="005D59FA">
            <w:pPr>
              <w:rPr>
                <w:rFonts w:asciiTheme="minorHAnsi" w:hAnsiTheme="minorHAnsi" w:cstheme="minorHAnsi"/>
                <w:color w:val="000000"/>
                <w:sz w:val="20"/>
                <w:szCs w:val="20"/>
              </w:rPr>
            </w:pPr>
          </w:p>
        </w:tc>
        <w:tc>
          <w:tcPr>
            <w:tcW w:w="487" w:type="pct"/>
            <w:tcBorders>
              <w:top w:val="nil"/>
              <w:left w:val="nil"/>
              <w:bottom w:val="nil"/>
              <w:right w:val="nil"/>
            </w:tcBorders>
            <w:shd w:val="clear" w:color="auto" w:fill="auto"/>
            <w:noWrap/>
            <w:vAlign w:val="bottom"/>
            <w:hideMark/>
          </w:tcPr>
          <w:p w14:paraId="5D7B9B3B" w14:textId="77777777" w:rsidR="00561549" w:rsidRPr="00B97C61" w:rsidRDefault="00561549" w:rsidP="005D59FA">
            <w:pPr>
              <w:rPr>
                <w:rFonts w:asciiTheme="minorHAnsi" w:hAnsiTheme="minorHAnsi" w:cstheme="minorHAnsi"/>
                <w:sz w:val="20"/>
                <w:szCs w:val="20"/>
              </w:rPr>
            </w:pPr>
          </w:p>
        </w:tc>
        <w:tc>
          <w:tcPr>
            <w:tcW w:w="203" w:type="pct"/>
            <w:tcBorders>
              <w:top w:val="nil"/>
              <w:left w:val="nil"/>
              <w:bottom w:val="nil"/>
              <w:right w:val="nil"/>
            </w:tcBorders>
            <w:shd w:val="clear" w:color="auto" w:fill="auto"/>
            <w:noWrap/>
            <w:vAlign w:val="bottom"/>
            <w:hideMark/>
          </w:tcPr>
          <w:p w14:paraId="69FF109B" w14:textId="77777777" w:rsidR="00561549" w:rsidRPr="00B97C61" w:rsidRDefault="00561549" w:rsidP="005D59FA">
            <w:pPr>
              <w:rPr>
                <w:rFonts w:asciiTheme="minorHAnsi" w:hAnsiTheme="minorHAnsi" w:cstheme="minorHAnsi"/>
                <w:sz w:val="20"/>
                <w:szCs w:val="20"/>
              </w:rPr>
            </w:pPr>
          </w:p>
        </w:tc>
        <w:tc>
          <w:tcPr>
            <w:tcW w:w="663" w:type="pct"/>
            <w:tcBorders>
              <w:left w:val="nil"/>
              <w:bottom w:val="nil"/>
              <w:right w:val="nil"/>
            </w:tcBorders>
            <w:shd w:val="clear" w:color="auto" w:fill="F2F2F2" w:themeFill="background1" w:themeFillShade="F2"/>
            <w:noWrap/>
            <w:vAlign w:val="center"/>
          </w:tcPr>
          <w:p w14:paraId="792D014B" w14:textId="77777777" w:rsidR="00561549" w:rsidRPr="001006BB" w:rsidRDefault="00561549" w:rsidP="005D59FA">
            <w:pPr>
              <w:jc w:val="right"/>
              <w:rPr>
                <w:rFonts w:asciiTheme="minorHAnsi" w:hAnsiTheme="minorHAnsi" w:cstheme="minorHAnsi"/>
                <w:b/>
                <w:color w:val="000000"/>
                <w:sz w:val="20"/>
                <w:szCs w:val="20"/>
              </w:rPr>
            </w:pPr>
            <w:r w:rsidRPr="001006BB">
              <w:rPr>
                <w:rFonts w:asciiTheme="minorHAnsi" w:hAnsiTheme="minorHAnsi" w:cstheme="minorHAnsi"/>
                <w:b/>
                <w:color w:val="000000"/>
                <w:sz w:val="20"/>
                <w:szCs w:val="20"/>
              </w:rPr>
              <w:t>-</w:t>
            </w:r>
          </w:p>
        </w:tc>
        <w:tc>
          <w:tcPr>
            <w:tcW w:w="829" w:type="pct"/>
            <w:tcBorders>
              <w:left w:val="nil"/>
              <w:bottom w:val="nil"/>
              <w:right w:val="nil"/>
            </w:tcBorders>
            <w:vAlign w:val="center"/>
          </w:tcPr>
          <w:p w14:paraId="3474B7EF" w14:textId="00CFAD1F" w:rsidR="00123ADF" w:rsidRPr="006D4208" w:rsidRDefault="00123ADF" w:rsidP="00123ADF">
            <w:pPr>
              <w:jc w:val="right"/>
              <w:rPr>
                <w:rFonts w:asciiTheme="minorHAnsi" w:hAnsiTheme="minorHAnsi" w:cstheme="minorHAnsi"/>
                <w:color w:val="000000"/>
                <w:sz w:val="20"/>
                <w:szCs w:val="20"/>
              </w:rPr>
            </w:pPr>
            <w:r w:rsidRPr="006D4208">
              <w:rPr>
                <w:rFonts w:asciiTheme="minorHAnsi" w:hAnsiTheme="minorHAnsi" w:cstheme="minorHAnsi"/>
                <w:color w:val="000000"/>
                <w:sz w:val="20"/>
                <w:szCs w:val="20"/>
              </w:rPr>
              <w:t>-</w:t>
            </w:r>
          </w:p>
        </w:tc>
        <w:tc>
          <w:tcPr>
            <w:tcW w:w="487" w:type="pct"/>
            <w:tcBorders>
              <w:left w:val="nil"/>
              <w:bottom w:val="nil"/>
              <w:right w:val="nil"/>
            </w:tcBorders>
            <w:shd w:val="clear" w:color="auto" w:fill="auto"/>
            <w:noWrap/>
            <w:vAlign w:val="center"/>
            <w:hideMark/>
          </w:tcPr>
          <w:p w14:paraId="4E97852B" w14:textId="2E8B637E" w:rsidR="00561549" w:rsidRPr="006D4208" w:rsidRDefault="00561549" w:rsidP="005D59FA">
            <w:pPr>
              <w:jc w:val="right"/>
              <w:rPr>
                <w:rFonts w:asciiTheme="minorHAnsi" w:hAnsiTheme="minorHAnsi" w:cstheme="minorHAnsi"/>
                <w:color w:val="000000"/>
                <w:sz w:val="20"/>
                <w:szCs w:val="20"/>
              </w:rPr>
            </w:pPr>
            <w:r w:rsidRPr="006D4208">
              <w:rPr>
                <w:rFonts w:asciiTheme="minorHAnsi" w:hAnsiTheme="minorHAnsi" w:cstheme="minorHAnsi"/>
                <w:color w:val="000000"/>
                <w:sz w:val="20"/>
                <w:szCs w:val="20"/>
              </w:rPr>
              <w:t>0.3</w:t>
            </w:r>
          </w:p>
        </w:tc>
      </w:tr>
      <w:tr w:rsidR="00561549" w:rsidRPr="00B97C61" w14:paraId="720BAC85" w14:textId="140E0BDE" w:rsidTr="002725AC">
        <w:trPr>
          <w:trHeight w:val="288"/>
        </w:trPr>
        <w:tc>
          <w:tcPr>
            <w:tcW w:w="1844" w:type="pct"/>
            <w:tcBorders>
              <w:left w:val="nil"/>
              <w:right w:val="nil"/>
            </w:tcBorders>
            <w:shd w:val="clear" w:color="auto" w:fill="auto"/>
            <w:noWrap/>
            <w:vAlign w:val="bottom"/>
            <w:hideMark/>
          </w:tcPr>
          <w:p w14:paraId="7690159B" w14:textId="77777777" w:rsidR="00561549" w:rsidRPr="00B97C61" w:rsidRDefault="00561549" w:rsidP="005D59FA">
            <w:pPr>
              <w:rPr>
                <w:rFonts w:asciiTheme="minorHAnsi" w:hAnsiTheme="minorHAnsi" w:cstheme="minorHAnsi"/>
                <w:b/>
                <w:bCs/>
                <w:color w:val="000000"/>
                <w:sz w:val="20"/>
                <w:szCs w:val="20"/>
              </w:rPr>
            </w:pPr>
            <w:r w:rsidRPr="00B97C61">
              <w:rPr>
                <w:rFonts w:asciiTheme="minorHAnsi" w:hAnsiTheme="minorHAnsi" w:cstheme="minorHAnsi"/>
                <w:b/>
                <w:bCs/>
                <w:color w:val="000000"/>
                <w:sz w:val="20"/>
                <w:szCs w:val="20"/>
              </w:rPr>
              <w:t>Total post model (under)/overlays</w:t>
            </w:r>
          </w:p>
        </w:tc>
        <w:tc>
          <w:tcPr>
            <w:tcW w:w="487" w:type="pct"/>
            <w:tcBorders>
              <w:left w:val="nil"/>
              <w:right w:val="nil"/>
            </w:tcBorders>
            <w:shd w:val="clear" w:color="auto" w:fill="auto"/>
            <w:noWrap/>
            <w:vAlign w:val="bottom"/>
            <w:hideMark/>
          </w:tcPr>
          <w:p w14:paraId="1099DBBD" w14:textId="77777777" w:rsidR="00561549" w:rsidRPr="00B97C61" w:rsidRDefault="00561549" w:rsidP="005D59FA">
            <w:pPr>
              <w:rPr>
                <w:rFonts w:asciiTheme="minorHAnsi" w:hAnsiTheme="minorHAnsi" w:cstheme="minorHAnsi"/>
                <w:b/>
                <w:bCs/>
                <w:color w:val="000000"/>
                <w:sz w:val="20"/>
                <w:szCs w:val="20"/>
              </w:rPr>
            </w:pPr>
            <w:r w:rsidRPr="00B97C61">
              <w:rPr>
                <w:rFonts w:asciiTheme="minorHAnsi" w:hAnsiTheme="minorHAnsi" w:cstheme="minorHAnsi"/>
                <w:b/>
                <w:bCs/>
                <w:color w:val="000000"/>
                <w:sz w:val="20"/>
                <w:szCs w:val="20"/>
              </w:rPr>
              <w:t> </w:t>
            </w:r>
          </w:p>
        </w:tc>
        <w:tc>
          <w:tcPr>
            <w:tcW w:w="487" w:type="pct"/>
            <w:tcBorders>
              <w:left w:val="nil"/>
              <w:right w:val="nil"/>
            </w:tcBorders>
            <w:shd w:val="clear" w:color="auto" w:fill="auto"/>
            <w:noWrap/>
            <w:vAlign w:val="bottom"/>
            <w:hideMark/>
          </w:tcPr>
          <w:p w14:paraId="798FA205" w14:textId="77777777" w:rsidR="00561549" w:rsidRPr="00B97C61" w:rsidRDefault="00561549" w:rsidP="005D59FA">
            <w:pPr>
              <w:rPr>
                <w:rFonts w:asciiTheme="minorHAnsi" w:hAnsiTheme="minorHAnsi" w:cstheme="minorHAnsi"/>
                <w:b/>
                <w:bCs/>
                <w:color w:val="000000"/>
                <w:sz w:val="20"/>
                <w:szCs w:val="20"/>
              </w:rPr>
            </w:pPr>
            <w:r w:rsidRPr="00B97C61">
              <w:rPr>
                <w:rFonts w:asciiTheme="minorHAnsi" w:hAnsiTheme="minorHAnsi" w:cstheme="minorHAnsi"/>
                <w:b/>
                <w:bCs/>
                <w:color w:val="000000"/>
                <w:sz w:val="20"/>
                <w:szCs w:val="20"/>
              </w:rPr>
              <w:t> </w:t>
            </w:r>
          </w:p>
        </w:tc>
        <w:tc>
          <w:tcPr>
            <w:tcW w:w="203" w:type="pct"/>
            <w:tcBorders>
              <w:left w:val="nil"/>
              <w:right w:val="nil"/>
            </w:tcBorders>
            <w:shd w:val="clear" w:color="auto" w:fill="auto"/>
            <w:noWrap/>
            <w:vAlign w:val="bottom"/>
            <w:hideMark/>
          </w:tcPr>
          <w:p w14:paraId="16479B25" w14:textId="77777777" w:rsidR="00561549" w:rsidRPr="00B97C61" w:rsidRDefault="00561549" w:rsidP="005D59FA">
            <w:pPr>
              <w:rPr>
                <w:rFonts w:asciiTheme="minorHAnsi" w:hAnsiTheme="minorHAnsi" w:cstheme="minorHAnsi"/>
                <w:b/>
                <w:bCs/>
                <w:color w:val="000000"/>
                <w:sz w:val="20"/>
                <w:szCs w:val="20"/>
              </w:rPr>
            </w:pPr>
            <w:r w:rsidRPr="00B97C61">
              <w:rPr>
                <w:rFonts w:asciiTheme="minorHAnsi" w:hAnsiTheme="minorHAnsi" w:cstheme="minorHAnsi"/>
                <w:b/>
                <w:bCs/>
                <w:color w:val="000000"/>
                <w:sz w:val="20"/>
                <w:szCs w:val="20"/>
              </w:rPr>
              <w:t> </w:t>
            </w:r>
          </w:p>
        </w:tc>
        <w:tc>
          <w:tcPr>
            <w:tcW w:w="663" w:type="pct"/>
            <w:tcBorders>
              <w:top w:val="single" w:sz="4" w:space="0" w:color="auto"/>
              <w:left w:val="nil"/>
              <w:bottom w:val="single" w:sz="4" w:space="0" w:color="auto"/>
              <w:right w:val="nil"/>
            </w:tcBorders>
            <w:shd w:val="clear" w:color="auto" w:fill="F2F2F2" w:themeFill="background1" w:themeFillShade="F2"/>
            <w:noWrap/>
            <w:vAlign w:val="center"/>
          </w:tcPr>
          <w:p w14:paraId="5417A1B3" w14:textId="77777777" w:rsidR="00561549" w:rsidRPr="001006BB" w:rsidRDefault="00561549" w:rsidP="005D59FA">
            <w:pPr>
              <w:jc w:val="right"/>
              <w:rPr>
                <w:rFonts w:asciiTheme="minorHAnsi" w:hAnsiTheme="minorHAnsi" w:cstheme="minorHAnsi"/>
                <w:b/>
                <w:color w:val="000000"/>
                <w:sz w:val="20"/>
                <w:szCs w:val="20"/>
              </w:rPr>
            </w:pPr>
            <w:r w:rsidRPr="001006BB">
              <w:rPr>
                <w:rFonts w:asciiTheme="minorHAnsi" w:hAnsiTheme="minorHAnsi" w:cstheme="minorHAnsi"/>
                <w:b/>
                <w:color w:val="000000"/>
                <w:sz w:val="20"/>
                <w:szCs w:val="20"/>
              </w:rPr>
              <w:t>-</w:t>
            </w:r>
          </w:p>
        </w:tc>
        <w:tc>
          <w:tcPr>
            <w:tcW w:w="829" w:type="pct"/>
            <w:tcBorders>
              <w:top w:val="single" w:sz="4" w:space="0" w:color="auto"/>
              <w:left w:val="nil"/>
              <w:bottom w:val="single" w:sz="4" w:space="0" w:color="auto"/>
              <w:right w:val="nil"/>
            </w:tcBorders>
            <w:vAlign w:val="center"/>
          </w:tcPr>
          <w:p w14:paraId="3F7C4CCF" w14:textId="0AAD2417" w:rsidR="00123ADF" w:rsidRPr="006D4208" w:rsidRDefault="00123ADF" w:rsidP="00123ADF">
            <w:pPr>
              <w:jc w:val="right"/>
              <w:rPr>
                <w:rFonts w:asciiTheme="minorHAnsi" w:hAnsiTheme="minorHAnsi" w:cstheme="minorHAnsi"/>
                <w:color w:val="000000"/>
                <w:sz w:val="20"/>
                <w:szCs w:val="20"/>
              </w:rPr>
            </w:pPr>
            <w:r w:rsidRPr="006D4208">
              <w:rPr>
                <w:rFonts w:asciiTheme="minorHAnsi" w:hAnsiTheme="minorHAnsi" w:cstheme="minorHAnsi"/>
                <w:color w:val="000000"/>
                <w:sz w:val="20"/>
                <w:szCs w:val="20"/>
              </w:rPr>
              <w:t>-</w:t>
            </w:r>
          </w:p>
        </w:tc>
        <w:tc>
          <w:tcPr>
            <w:tcW w:w="487" w:type="pct"/>
            <w:tcBorders>
              <w:top w:val="single" w:sz="4" w:space="0" w:color="auto"/>
              <w:left w:val="nil"/>
              <w:bottom w:val="single" w:sz="4" w:space="0" w:color="auto"/>
              <w:right w:val="nil"/>
            </w:tcBorders>
            <w:shd w:val="clear" w:color="auto" w:fill="auto"/>
            <w:noWrap/>
            <w:vAlign w:val="center"/>
            <w:hideMark/>
          </w:tcPr>
          <w:p w14:paraId="29A31FE7" w14:textId="6F7A3CD3" w:rsidR="00561549" w:rsidRPr="006D4208" w:rsidRDefault="00561549" w:rsidP="005D59FA">
            <w:pPr>
              <w:jc w:val="right"/>
              <w:rPr>
                <w:rFonts w:asciiTheme="minorHAnsi" w:hAnsiTheme="minorHAnsi" w:cstheme="minorHAnsi"/>
                <w:color w:val="000000"/>
                <w:sz w:val="20"/>
                <w:szCs w:val="20"/>
              </w:rPr>
            </w:pPr>
            <w:r w:rsidRPr="006D4208">
              <w:rPr>
                <w:rFonts w:asciiTheme="minorHAnsi" w:hAnsiTheme="minorHAnsi" w:cstheme="minorHAnsi"/>
                <w:color w:val="000000"/>
                <w:sz w:val="20"/>
                <w:szCs w:val="20"/>
              </w:rPr>
              <w:t>0.</w:t>
            </w:r>
            <w:r w:rsidR="00350AFF" w:rsidRPr="006D4208">
              <w:rPr>
                <w:rFonts w:asciiTheme="minorHAnsi" w:hAnsiTheme="minorHAnsi" w:cstheme="minorHAnsi"/>
                <w:color w:val="000000"/>
                <w:sz w:val="20"/>
                <w:szCs w:val="20"/>
              </w:rPr>
              <w:t>3</w:t>
            </w:r>
          </w:p>
        </w:tc>
      </w:tr>
      <w:tr w:rsidR="00561549" w:rsidRPr="00B97C61" w14:paraId="10E605EF" w14:textId="50D452F8" w:rsidTr="002725AC">
        <w:trPr>
          <w:trHeight w:val="288"/>
        </w:trPr>
        <w:tc>
          <w:tcPr>
            <w:tcW w:w="1844" w:type="pct"/>
            <w:tcBorders>
              <w:left w:val="nil"/>
              <w:right w:val="nil"/>
            </w:tcBorders>
            <w:shd w:val="clear" w:color="auto" w:fill="auto"/>
            <w:noWrap/>
            <w:vAlign w:val="bottom"/>
            <w:hideMark/>
          </w:tcPr>
          <w:p w14:paraId="44E64EB8" w14:textId="77777777" w:rsidR="00561549" w:rsidRPr="00B97C61" w:rsidRDefault="00561549" w:rsidP="005D59FA">
            <w:pPr>
              <w:rPr>
                <w:rFonts w:asciiTheme="minorHAnsi" w:hAnsiTheme="minorHAnsi" w:cstheme="minorHAnsi"/>
                <w:b/>
                <w:bCs/>
                <w:color w:val="000000"/>
                <w:sz w:val="20"/>
                <w:szCs w:val="20"/>
              </w:rPr>
            </w:pPr>
            <w:r w:rsidRPr="00B97C61">
              <w:rPr>
                <w:rFonts w:asciiTheme="minorHAnsi" w:hAnsiTheme="minorHAnsi" w:cstheme="minorHAnsi"/>
                <w:b/>
                <w:bCs/>
                <w:color w:val="000000"/>
                <w:sz w:val="20"/>
                <w:szCs w:val="20"/>
              </w:rPr>
              <w:t>Total (under)/overlays</w:t>
            </w:r>
          </w:p>
        </w:tc>
        <w:tc>
          <w:tcPr>
            <w:tcW w:w="487" w:type="pct"/>
            <w:tcBorders>
              <w:left w:val="nil"/>
              <w:right w:val="nil"/>
            </w:tcBorders>
            <w:shd w:val="clear" w:color="auto" w:fill="auto"/>
            <w:noWrap/>
            <w:vAlign w:val="bottom"/>
            <w:hideMark/>
          </w:tcPr>
          <w:p w14:paraId="5266D1F8" w14:textId="77777777" w:rsidR="00561549" w:rsidRPr="00B97C61" w:rsidRDefault="00561549" w:rsidP="005D59FA">
            <w:pPr>
              <w:rPr>
                <w:rFonts w:asciiTheme="minorHAnsi" w:hAnsiTheme="minorHAnsi" w:cstheme="minorHAnsi"/>
                <w:b/>
                <w:bCs/>
                <w:color w:val="000000"/>
                <w:sz w:val="20"/>
                <w:szCs w:val="20"/>
              </w:rPr>
            </w:pPr>
            <w:r w:rsidRPr="00B97C61">
              <w:rPr>
                <w:rFonts w:asciiTheme="minorHAnsi" w:hAnsiTheme="minorHAnsi" w:cstheme="minorHAnsi"/>
                <w:b/>
                <w:bCs/>
                <w:color w:val="000000"/>
                <w:sz w:val="20"/>
                <w:szCs w:val="20"/>
              </w:rPr>
              <w:t> </w:t>
            </w:r>
          </w:p>
        </w:tc>
        <w:tc>
          <w:tcPr>
            <w:tcW w:w="487" w:type="pct"/>
            <w:tcBorders>
              <w:left w:val="nil"/>
              <w:right w:val="nil"/>
            </w:tcBorders>
            <w:shd w:val="clear" w:color="auto" w:fill="auto"/>
            <w:noWrap/>
            <w:vAlign w:val="bottom"/>
            <w:hideMark/>
          </w:tcPr>
          <w:p w14:paraId="4D91EADD" w14:textId="77777777" w:rsidR="00561549" w:rsidRPr="00B97C61" w:rsidRDefault="00561549" w:rsidP="005D59FA">
            <w:pPr>
              <w:rPr>
                <w:rFonts w:asciiTheme="minorHAnsi" w:hAnsiTheme="minorHAnsi" w:cstheme="minorHAnsi"/>
                <w:b/>
                <w:bCs/>
                <w:color w:val="000000"/>
                <w:sz w:val="20"/>
                <w:szCs w:val="20"/>
              </w:rPr>
            </w:pPr>
            <w:r w:rsidRPr="00B97C61">
              <w:rPr>
                <w:rFonts w:asciiTheme="minorHAnsi" w:hAnsiTheme="minorHAnsi" w:cstheme="minorHAnsi"/>
                <w:b/>
                <w:bCs/>
                <w:color w:val="000000"/>
                <w:sz w:val="20"/>
                <w:szCs w:val="20"/>
              </w:rPr>
              <w:t> </w:t>
            </w:r>
          </w:p>
        </w:tc>
        <w:tc>
          <w:tcPr>
            <w:tcW w:w="203" w:type="pct"/>
            <w:tcBorders>
              <w:left w:val="nil"/>
              <w:right w:val="nil"/>
            </w:tcBorders>
            <w:shd w:val="clear" w:color="auto" w:fill="auto"/>
            <w:noWrap/>
            <w:vAlign w:val="bottom"/>
            <w:hideMark/>
          </w:tcPr>
          <w:p w14:paraId="71EBFCF8" w14:textId="77777777" w:rsidR="00561549" w:rsidRPr="00B97C61" w:rsidRDefault="00561549" w:rsidP="005D59FA">
            <w:pPr>
              <w:rPr>
                <w:rFonts w:asciiTheme="minorHAnsi" w:hAnsiTheme="minorHAnsi" w:cstheme="minorHAnsi"/>
                <w:b/>
                <w:bCs/>
                <w:color w:val="000000"/>
                <w:sz w:val="20"/>
                <w:szCs w:val="20"/>
              </w:rPr>
            </w:pPr>
            <w:r w:rsidRPr="00B97C61">
              <w:rPr>
                <w:rFonts w:asciiTheme="minorHAnsi" w:hAnsiTheme="minorHAnsi" w:cstheme="minorHAnsi"/>
                <w:b/>
                <w:bCs/>
                <w:color w:val="000000"/>
                <w:sz w:val="20"/>
                <w:szCs w:val="20"/>
              </w:rPr>
              <w:t> </w:t>
            </w:r>
          </w:p>
        </w:tc>
        <w:tc>
          <w:tcPr>
            <w:tcW w:w="663" w:type="pct"/>
            <w:tcBorders>
              <w:top w:val="single" w:sz="4" w:space="0" w:color="auto"/>
              <w:left w:val="nil"/>
              <w:bottom w:val="single" w:sz="12" w:space="0" w:color="auto"/>
              <w:right w:val="nil"/>
            </w:tcBorders>
            <w:shd w:val="clear" w:color="auto" w:fill="F2F2F2" w:themeFill="background1" w:themeFillShade="F2"/>
            <w:noWrap/>
            <w:vAlign w:val="center"/>
          </w:tcPr>
          <w:p w14:paraId="0554AA63" w14:textId="3D53A50C" w:rsidR="00561549" w:rsidRPr="001006BB" w:rsidRDefault="001006BB" w:rsidP="005D59FA">
            <w:pPr>
              <w:jc w:val="right"/>
              <w:rPr>
                <w:rFonts w:asciiTheme="minorHAnsi" w:hAnsiTheme="minorHAnsi" w:cstheme="minorHAnsi"/>
                <w:b/>
                <w:color w:val="000000"/>
                <w:sz w:val="20"/>
                <w:szCs w:val="20"/>
              </w:rPr>
            </w:pPr>
            <w:r w:rsidRPr="001006BB">
              <w:rPr>
                <w:rFonts w:asciiTheme="minorHAnsi" w:hAnsiTheme="minorHAnsi" w:cstheme="minorHAnsi"/>
                <w:b/>
                <w:color w:val="000000"/>
                <w:sz w:val="20"/>
                <w:szCs w:val="20"/>
              </w:rPr>
              <w:t>-</w:t>
            </w:r>
          </w:p>
        </w:tc>
        <w:tc>
          <w:tcPr>
            <w:tcW w:w="829" w:type="pct"/>
            <w:tcBorders>
              <w:top w:val="single" w:sz="4" w:space="0" w:color="auto"/>
              <w:left w:val="nil"/>
              <w:bottom w:val="single" w:sz="12" w:space="0" w:color="auto"/>
              <w:right w:val="nil"/>
            </w:tcBorders>
            <w:vAlign w:val="center"/>
          </w:tcPr>
          <w:p w14:paraId="796CEDED" w14:textId="2F4E3496" w:rsidR="00123ADF" w:rsidRPr="006D4208" w:rsidRDefault="00123ADF" w:rsidP="00123ADF">
            <w:pPr>
              <w:jc w:val="right"/>
              <w:rPr>
                <w:rFonts w:asciiTheme="minorHAnsi" w:hAnsiTheme="minorHAnsi" w:cstheme="minorHAnsi"/>
                <w:color w:val="000000"/>
                <w:sz w:val="20"/>
                <w:szCs w:val="20"/>
              </w:rPr>
            </w:pPr>
            <w:r w:rsidRPr="006D4208">
              <w:rPr>
                <w:rFonts w:asciiTheme="minorHAnsi" w:hAnsiTheme="minorHAnsi" w:cstheme="minorHAnsi"/>
                <w:color w:val="000000"/>
                <w:sz w:val="20"/>
                <w:szCs w:val="20"/>
              </w:rPr>
              <w:t>2.0</w:t>
            </w:r>
          </w:p>
        </w:tc>
        <w:tc>
          <w:tcPr>
            <w:tcW w:w="487" w:type="pct"/>
            <w:tcBorders>
              <w:top w:val="single" w:sz="4" w:space="0" w:color="auto"/>
              <w:left w:val="nil"/>
              <w:bottom w:val="single" w:sz="12" w:space="0" w:color="auto"/>
              <w:right w:val="nil"/>
            </w:tcBorders>
            <w:shd w:val="clear" w:color="auto" w:fill="auto"/>
            <w:noWrap/>
            <w:vAlign w:val="center"/>
            <w:hideMark/>
          </w:tcPr>
          <w:p w14:paraId="1C1947D9" w14:textId="4F9A9C59" w:rsidR="00561549" w:rsidRPr="006D4208" w:rsidRDefault="00561549" w:rsidP="005D59FA">
            <w:pPr>
              <w:jc w:val="right"/>
              <w:rPr>
                <w:rFonts w:asciiTheme="minorHAnsi" w:hAnsiTheme="minorHAnsi" w:cstheme="minorHAnsi"/>
                <w:color w:val="000000"/>
                <w:sz w:val="20"/>
                <w:szCs w:val="20"/>
              </w:rPr>
            </w:pPr>
            <w:r w:rsidRPr="006D4208">
              <w:rPr>
                <w:rFonts w:asciiTheme="minorHAnsi" w:hAnsiTheme="minorHAnsi" w:cstheme="minorHAnsi"/>
                <w:color w:val="000000"/>
                <w:sz w:val="20"/>
                <w:szCs w:val="20"/>
              </w:rPr>
              <w:t>0.</w:t>
            </w:r>
            <w:r w:rsidR="00350AFF" w:rsidRPr="006D4208">
              <w:rPr>
                <w:rFonts w:asciiTheme="minorHAnsi" w:hAnsiTheme="minorHAnsi" w:cstheme="minorHAnsi"/>
                <w:color w:val="000000"/>
                <w:sz w:val="20"/>
                <w:szCs w:val="20"/>
              </w:rPr>
              <w:t>3</w:t>
            </w:r>
          </w:p>
        </w:tc>
      </w:tr>
    </w:tbl>
    <w:p w14:paraId="3BD8C4BF" w14:textId="77777777" w:rsidR="00CA61BF" w:rsidRPr="00306AF1" w:rsidRDefault="00CA61BF" w:rsidP="00602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Cs/>
          <w:sz w:val="20"/>
          <w:szCs w:val="20"/>
        </w:rPr>
      </w:pPr>
    </w:p>
    <w:p w14:paraId="68785837" w14:textId="14702AB9" w:rsidR="008104B6" w:rsidRPr="00D01AA6" w:rsidRDefault="008104B6" w:rsidP="00810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sz w:val="20"/>
          <w:szCs w:val="20"/>
        </w:rPr>
      </w:pPr>
      <w:r w:rsidRPr="00D01AA6">
        <w:rPr>
          <w:rFonts w:asciiTheme="minorHAnsi" w:hAnsiTheme="minorHAnsi" w:cs="Arial"/>
          <w:b/>
          <w:sz w:val="20"/>
          <w:szCs w:val="20"/>
        </w:rPr>
        <w:t xml:space="preserve">(a) </w:t>
      </w:r>
      <w:r w:rsidR="002A750E" w:rsidRPr="00D01AA6">
        <w:rPr>
          <w:rFonts w:asciiTheme="minorHAnsi" w:hAnsiTheme="minorHAnsi" w:cs="Arial"/>
          <w:b/>
          <w:sz w:val="20"/>
          <w:szCs w:val="20"/>
        </w:rPr>
        <w:t>Model overlay</w:t>
      </w:r>
    </w:p>
    <w:p w14:paraId="4849FFAF" w14:textId="41A60A5B" w:rsidR="000A4FE1" w:rsidRPr="00D01AA6" w:rsidRDefault="00D57D7F" w:rsidP="00810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D01AA6">
        <w:rPr>
          <w:rFonts w:asciiTheme="minorHAnsi" w:hAnsiTheme="minorHAnsi" w:cs="Arial"/>
          <w:sz w:val="20"/>
          <w:szCs w:val="20"/>
        </w:rPr>
        <w:t>Relates to new model development executed in 2023. Refer to Cards section for further details.</w:t>
      </w:r>
    </w:p>
    <w:p w14:paraId="2843093D" w14:textId="33A61BBC" w:rsidR="00D57D7F" w:rsidRPr="00D01AA6" w:rsidRDefault="00D57D7F" w:rsidP="10C5A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sz w:val="20"/>
          <w:szCs w:val="20"/>
        </w:rPr>
      </w:pPr>
    </w:p>
    <w:p w14:paraId="648CD681" w14:textId="5D260753" w:rsidR="008E0033" w:rsidRPr="00D01AA6" w:rsidRDefault="008E0033" w:rsidP="00810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sz w:val="20"/>
          <w:szCs w:val="20"/>
        </w:rPr>
      </w:pPr>
      <w:r w:rsidRPr="00D01AA6">
        <w:rPr>
          <w:rFonts w:asciiTheme="minorHAnsi" w:hAnsiTheme="minorHAnsi" w:cs="Arial"/>
          <w:b/>
          <w:sz w:val="20"/>
          <w:szCs w:val="20"/>
        </w:rPr>
        <w:t xml:space="preserve">(b) </w:t>
      </w:r>
      <w:r w:rsidR="00D57D7F" w:rsidRPr="00D01AA6">
        <w:rPr>
          <w:rFonts w:asciiTheme="minorHAnsi" w:hAnsiTheme="minorHAnsi" w:cs="Arial"/>
          <w:b/>
          <w:sz w:val="20"/>
          <w:szCs w:val="20"/>
        </w:rPr>
        <w:t>Cost of living</w:t>
      </w:r>
    </w:p>
    <w:p w14:paraId="6EA25071" w14:textId="77777777" w:rsidR="00180666" w:rsidRDefault="00180666"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Cs/>
          <w:sz w:val="20"/>
          <w:szCs w:val="20"/>
        </w:rPr>
      </w:pPr>
      <w:r w:rsidRPr="00D01AA6">
        <w:rPr>
          <w:rFonts w:asciiTheme="minorHAnsi" w:hAnsiTheme="minorHAnsi" w:cs="Arial"/>
          <w:sz w:val="20"/>
          <w:szCs w:val="20"/>
        </w:rPr>
        <w:t>A cost of living overlay was fully released in 2023. Refer to Cards section for further details</w:t>
      </w:r>
      <w:r w:rsidRPr="00180666">
        <w:rPr>
          <w:rFonts w:asciiTheme="minorHAnsi" w:hAnsiTheme="minorHAnsi" w:cs="Arial"/>
          <w:bCs/>
          <w:sz w:val="20"/>
          <w:szCs w:val="20"/>
        </w:rPr>
        <w:t>.</w:t>
      </w:r>
      <w:r>
        <w:rPr>
          <w:rFonts w:asciiTheme="minorHAnsi" w:hAnsiTheme="minorHAnsi" w:cs="Arial"/>
          <w:bCs/>
          <w:sz w:val="20"/>
          <w:szCs w:val="20"/>
        </w:rPr>
        <w:t xml:space="preserve"> </w:t>
      </w:r>
    </w:p>
    <w:p w14:paraId="0C68EDF1" w14:textId="7AA7F6D6" w:rsidR="00180666" w:rsidRDefault="00180666"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Cs/>
          <w:sz w:val="20"/>
          <w:szCs w:val="20"/>
        </w:rPr>
      </w:pPr>
    </w:p>
    <w:p w14:paraId="72396237" w14:textId="77777777" w:rsidR="00A3021A" w:rsidRDefault="00A3021A"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Cs/>
          <w:sz w:val="20"/>
          <w:szCs w:val="20"/>
        </w:rPr>
      </w:pPr>
      <w:r w:rsidRPr="00306AF1">
        <w:rPr>
          <w:rFonts w:asciiTheme="minorHAnsi" w:hAnsiTheme="minorHAnsi" w:cs="Arial"/>
          <w:bCs/>
          <w:sz w:val="20"/>
          <w:szCs w:val="20"/>
        </w:rPr>
        <w:t>The impairment charge in respect of amounts receivable from customers can be analysed as follows:</w:t>
      </w:r>
    </w:p>
    <w:p w14:paraId="34F64386" w14:textId="77777777" w:rsidR="00292DBD" w:rsidRDefault="00292DBD"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Cs/>
          <w:sz w:val="20"/>
          <w:szCs w:val="20"/>
        </w:rPr>
      </w:pPr>
    </w:p>
    <w:tbl>
      <w:tblPr>
        <w:tblW w:w="5000" w:type="pct"/>
        <w:tblLook w:val="0000" w:firstRow="0" w:lastRow="0" w:firstColumn="0" w:lastColumn="0" w:noHBand="0" w:noVBand="0"/>
      </w:tblPr>
      <w:tblGrid>
        <w:gridCol w:w="7487"/>
        <w:gridCol w:w="1118"/>
        <w:gridCol w:w="1118"/>
      </w:tblGrid>
      <w:tr w:rsidR="00A5280E" w:rsidRPr="00B97C61" w14:paraId="1BB17B6A" w14:textId="77777777" w:rsidTr="00D42DB7">
        <w:tc>
          <w:tcPr>
            <w:tcW w:w="3850" w:type="pct"/>
            <w:vAlign w:val="bottom"/>
          </w:tcPr>
          <w:p w14:paraId="608E7511" w14:textId="77777777" w:rsidR="00A5280E" w:rsidRPr="00B97C61" w:rsidRDefault="00A5280E" w:rsidP="005D59FA">
            <w:pPr>
              <w:rPr>
                <w:rFonts w:asciiTheme="minorHAnsi" w:hAnsiTheme="minorHAnsi" w:cs="Arial"/>
                <w:sz w:val="20"/>
                <w:szCs w:val="20"/>
              </w:rPr>
            </w:pPr>
          </w:p>
        </w:tc>
        <w:tc>
          <w:tcPr>
            <w:tcW w:w="1150" w:type="pct"/>
            <w:gridSpan w:val="2"/>
            <w:shd w:val="clear" w:color="auto" w:fill="auto"/>
            <w:vAlign w:val="bottom"/>
          </w:tcPr>
          <w:p w14:paraId="01D3214F" w14:textId="777B08F0" w:rsidR="00A5280E" w:rsidRPr="00B97C61" w:rsidRDefault="00A5280E" w:rsidP="005D59FA">
            <w:pPr>
              <w:jc w:val="right"/>
              <w:rPr>
                <w:rFonts w:asciiTheme="minorHAnsi" w:hAnsiTheme="minorHAnsi" w:cs="Arial"/>
                <w:sz w:val="20"/>
                <w:szCs w:val="20"/>
              </w:rPr>
            </w:pPr>
            <w:r>
              <w:rPr>
                <w:rFonts w:asciiTheme="minorHAnsi" w:hAnsiTheme="minorHAnsi" w:cs="Arial"/>
                <w:sz w:val="20"/>
                <w:szCs w:val="20"/>
              </w:rPr>
              <w:t>Six months ended</w:t>
            </w:r>
          </w:p>
        </w:tc>
      </w:tr>
      <w:tr w:rsidR="00292DBD" w:rsidRPr="00B97C61" w14:paraId="4A888F7F" w14:textId="77777777" w:rsidTr="005D59FA">
        <w:tc>
          <w:tcPr>
            <w:tcW w:w="3850" w:type="pct"/>
            <w:vAlign w:val="bottom"/>
          </w:tcPr>
          <w:p w14:paraId="48606A66" w14:textId="77777777" w:rsidR="00292DBD" w:rsidRPr="00B97C61" w:rsidRDefault="00292DBD" w:rsidP="005D59FA">
            <w:pPr>
              <w:rPr>
                <w:rFonts w:asciiTheme="minorHAnsi" w:hAnsiTheme="minorHAnsi" w:cs="Arial"/>
                <w:sz w:val="20"/>
                <w:szCs w:val="20"/>
              </w:rPr>
            </w:pPr>
          </w:p>
        </w:tc>
        <w:tc>
          <w:tcPr>
            <w:tcW w:w="575" w:type="pct"/>
            <w:shd w:val="clear" w:color="auto" w:fill="F2F2F2" w:themeFill="background1" w:themeFillShade="F2"/>
            <w:vAlign w:val="bottom"/>
          </w:tcPr>
          <w:p w14:paraId="4AF8E3C7" w14:textId="77777777" w:rsidR="00596F4C" w:rsidRDefault="00292DBD" w:rsidP="005D59FA">
            <w:pPr>
              <w:jc w:val="right"/>
              <w:rPr>
                <w:rFonts w:asciiTheme="minorHAnsi" w:hAnsiTheme="minorHAnsi" w:cs="Arial"/>
                <w:b/>
                <w:sz w:val="20"/>
                <w:szCs w:val="20"/>
              </w:rPr>
            </w:pPr>
            <w:r w:rsidRPr="00EF43FB">
              <w:rPr>
                <w:rFonts w:asciiTheme="minorHAnsi" w:hAnsiTheme="minorHAnsi" w:cs="Arial"/>
                <w:b/>
                <w:sz w:val="20"/>
                <w:szCs w:val="20"/>
              </w:rPr>
              <w:t>202</w:t>
            </w:r>
            <w:r>
              <w:rPr>
                <w:rFonts w:asciiTheme="minorHAnsi" w:hAnsiTheme="minorHAnsi" w:cs="Arial"/>
                <w:b/>
                <w:sz w:val="20"/>
                <w:szCs w:val="20"/>
              </w:rPr>
              <w:t>4</w:t>
            </w:r>
          </w:p>
          <w:p w14:paraId="35DE9ADB" w14:textId="0CDE65ED" w:rsidR="00292DBD" w:rsidRPr="00EF43FB" w:rsidRDefault="00292DBD" w:rsidP="005D59FA">
            <w:pPr>
              <w:jc w:val="right"/>
              <w:rPr>
                <w:rFonts w:asciiTheme="minorHAnsi" w:hAnsiTheme="minorHAnsi" w:cs="Arial"/>
                <w:b/>
                <w:sz w:val="20"/>
                <w:szCs w:val="20"/>
              </w:rPr>
            </w:pPr>
            <w:r w:rsidRPr="00EF43FB">
              <w:rPr>
                <w:rFonts w:asciiTheme="minorHAnsi" w:hAnsiTheme="minorHAnsi" w:cs="Arial"/>
                <w:b/>
                <w:sz w:val="20"/>
                <w:szCs w:val="20"/>
              </w:rPr>
              <w:t>  </w:t>
            </w:r>
          </w:p>
        </w:tc>
        <w:tc>
          <w:tcPr>
            <w:tcW w:w="575" w:type="pct"/>
            <w:vAlign w:val="bottom"/>
          </w:tcPr>
          <w:p w14:paraId="7982262C" w14:textId="77777777" w:rsidR="00292DBD" w:rsidRDefault="00292DBD" w:rsidP="005D59FA">
            <w:pPr>
              <w:jc w:val="right"/>
              <w:rPr>
                <w:rFonts w:asciiTheme="minorHAnsi" w:hAnsiTheme="minorHAnsi" w:cs="Arial"/>
                <w:sz w:val="20"/>
                <w:szCs w:val="20"/>
              </w:rPr>
            </w:pPr>
            <w:r w:rsidRPr="00B97C61">
              <w:rPr>
                <w:rFonts w:asciiTheme="minorHAnsi" w:hAnsiTheme="minorHAnsi" w:cs="Arial"/>
                <w:sz w:val="20"/>
                <w:szCs w:val="20"/>
              </w:rPr>
              <w:t>202</w:t>
            </w:r>
            <w:r>
              <w:rPr>
                <w:rFonts w:asciiTheme="minorHAnsi" w:hAnsiTheme="minorHAnsi" w:cs="Arial"/>
                <w:sz w:val="20"/>
                <w:szCs w:val="20"/>
              </w:rPr>
              <w:t>3</w:t>
            </w:r>
          </w:p>
          <w:p w14:paraId="37E79694" w14:textId="32F0CF1D" w:rsidR="00A5280E" w:rsidRPr="00B97C61" w:rsidRDefault="00A5280E" w:rsidP="005D59FA">
            <w:pPr>
              <w:jc w:val="right"/>
              <w:rPr>
                <w:rFonts w:asciiTheme="minorHAnsi" w:hAnsiTheme="minorHAnsi" w:cs="Arial"/>
                <w:sz w:val="20"/>
                <w:szCs w:val="20"/>
              </w:rPr>
            </w:pPr>
            <w:r>
              <w:rPr>
                <w:rFonts w:asciiTheme="minorHAnsi" w:hAnsiTheme="minorHAnsi" w:cs="Arial"/>
                <w:sz w:val="20"/>
                <w:szCs w:val="20"/>
              </w:rPr>
              <w:t>(restated)</w:t>
            </w:r>
            <w:r w:rsidR="004B66D2" w:rsidRPr="004B66D2">
              <w:rPr>
                <w:rFonts w:asciiTheme="minorHAnsi" w:hAnsiTheme="minorHAnsi" w:cs="Arial"/>
                <w:sz w:val="20"/>
                <w:szCs w:val="20"/>
                <w:vertAlign w:val="superscript"/>
              </w:rPr>
              <w:t>1</w:t>
            </w:r>
          </w:p>
        </w:tc>
      </w:tr>
      <w:tr w:rsidR="00292DBD" w:rsidRPr="00B97C61" w14:paraId="5B5CABD1" w14:textId="77777777" w:rsidTr="005D59FA">
        <w:tc>
          <w:tcPr>
            <w:tcW w:w="3850" w:type="pct"/>
            <w:vAlign w:val="bottom"/>
          </w:tcPr>
          <w:p w14:paraId="73F5CBE8" w14:textId="77777777" w:rsidR="00292DBD" w:rsidRPr="00B97C61" w:rsidRDefault="00292DBD" w:rsidP="005D59FA">
            <w:pPr>
              <w:rPr>
                <w:rFonts w:asciiTheme="minorHAnsi" w:hAnsiTheme="minorHAnsi" w:cs="Arial"/>
                <w:bCs/>
                <w:sz w:val="20"/>
                <w:szCs w:val="20"/>
              </w:rPr>
            </w:pPr>
          </w:p>
        </w:tc>
        <w:tc>
          <w:tcPr>
            <w:tcW w:w="575" w:type="pct"/>
            <w:tcBorders>
              <w:top w:val="nil"/>
              <w:left w:val="nil"/>
              <w:bottom w:val="single" w:sz="4" w:space="0" w:color="auto"/>
              <w:right w:val="nil"/>
            </w:tcBorders>
            <w:shd w:val="clear" w:color="auto" w:fill="F2F2F2" w:themeFill="background1" w:themeFillShade="F2"/>
            <w:vAlign w:val="bottom"/>
          </w:tcPr>
          <w:p w14:paraId="379C7C24" w14:textId="77777777" w:rsidR="00292DBD" w:rsidRPr="00EF43FB" w:rsidRDefault="00292DBD" w:rsidP="005D59FA">
            <w:pPr>
              <w:jc w:val="right"/>
              <w:rPr>
                <w:rFonts w:asciiTheme="minorHAnsi" w:hAnsiTheme="minorHAnsi" w:cs="Arial"/>
                <w:b/>
                <w:sz w:val="20"/>
                <w:szCs w:val="20"/>
              </w:rPr>
            </w:pPr>
            <w:r w:rsidRPr="00EF43FB">
              <w:rPr>
                <w:rFonts w:asciiTheme="minorHAnsi" w:hAnsiTheme="minorHAnsi" w:cs="Arial"/>
                <w:b/>
                <w:sz w:val="20"/>
                <w:szCs w:val="20"/>
              </w:rPr>
              <w:t>£m </w:t>
            </w:r>
          </w:p>
        </w:tc>
        <w:tc>
          <w:tcPr>
            <w:tcW w:w="575" w:type="pct"/>
            <w:tcBorders>
              <w:top w:val="nil"/>
              <w:left w:val="nil"/>
              <w:bottom w:val="single" w:sz="4" w:space="0" w:color="auto"/>
              <w:right w:val="nil"/>
            </w:tcBorders>
            <w:vAlign w:val="bottom"/>
          </w:tcPr>
          <w:p w14:paraId="09534A79" w14:textId="77777777" w:rsidR="00292DBD" w:rsidRPr="00B97C61" w:rsidRDefault="00292DBD" w:rsidP="005D59FA">
            <w:pPr>
              <w:jc w:val="right"/>
              <w:rPr>
                <w:rFonts w:asciiTheme="minorHAnsi" w:hAnsiTheme="minorHAnsi" w:cs="Arial"/>
                <w:sz w:val="20"/>
                <w:szCs w:val="20"/>
              </w:rPr>
            </w:pPr>
            <w:r w:rsidRPr="00B97C61">
              <w:rPr>
                <w:rFonts w:asciiTheme="minorHAnsi" w:hAnsiTheme="minorHAnsi" w:cs="Arial"/>
                <w:sz w:val="20"/>
                <w:szCs w:val="20"/>
              </w:rPr>
              <w:t>£m </w:t>
            </w:r>
          </w:p>
        </w:tc>
      </w:tr>
      <w:tr w:rsidR="00292DBD" w:rsidRPr="00B97C61" w14:paraId="0ED15321" w14:textId="77777777" w:rsidTr="005D59FA">
        <w:tc>
          <w:tcPr>
            <w:tcW w:w="3850" w:type="pct"/>
            <w:vAlign w:val="bottom"/>
          </w:tcPr>
          <w:p w14:paraId="0D38630C" w14:textId="77777777" w:rsidR="00292DBD" w:rsidRPr="00B97C61" w:rsidRDefault="00292DBD" w:rsidP="005D59FA">
            <w:pPr>
              <w:rPr>
                <w:rFonts w:asciiTheme="minorHAnsi" w:hAnsiTheme="minorHAnsi" w:cs="Arial"/>
                <w:sz w:val="20"/>
                <w:szCs w:val="20"/>
              </w:rPr>
            </w:pPr>
            <w:r w:rsidRPr="00B97C61">
              <w:rPr>
                <w:rFonts w:asciiTheme="minorHAnsi" w:hAnsiTheme="minorHAnsi" w:cs="Arial"/>
                <w:sz w:val="20"/>
                <w:szCs w:val="20"/>
              </w:rPr>
              <w:t>Credit cards</w:t>
            </w:r>
          </w:p>
        </w:tc>
        <w:tc>
          <w:tcPr>
            <w:tcW w:w="575" w:type="pct"/>
            <w:shd w:val="clear" w:color="auto" w:fill="F2F2F2" w:themeFill="background1" w:themeFillShade="F2"/>
            <w:vAlign w:val="bottom"/>
          </w:tcPr>
          <w:p w14:paraId="473C68F9" w14:textId="5F36C1E9" w:rsidR="00292DBD" w:rsidRPr="006D4208" w:rsidRDefault="00687FBD" w:rsidP="005D59FA">
            <w:pPr>
              <w:jc w:val="right"/>
              <w:rPr>
                <w:rFonts w:asciiTheme="minorHAnsi" w:hAnsiTheme="minorHAnsi" w:cs="Arial"/>
                <w:b/>
                <w:sz w:val="20"/>
                <w:szCs w:val="20"/>
              </w:rPr>
            </w:pPr>
            <w:r w:rsidRPr="006D4208">
              <w:rPr>
                <w:rFonts w:asciiTheme="minorHAnsi" w:hAnsiTheme="minorHAnsi" w:cs="Arial"/>
                <w:b/>
                <w:sz w:val="20"/>
                <w:szCs w:val="20"/>
              </w:rPr>
              <w:t>66.1</w:t>
            </w:r>
          </w:p>
        </w:tc>
        <w:tc>
          <w:tcPr>
            <w:tcW w:w="575" w:type="pct"/>
            <w:vAlign w:val="bottom"/>
          </w:tcPr>
          <w:p w14:paraId="7393F956" w14:textId="3708CDD9" w:rsidR="00292DBD" w:rsidRPr="006D4208" w:rsidRDefault="00350AFF" w:rsidP="005D59FA">
            <w:pPr>
              <w:jc w:val="right"/>
              <w:rPr>
                <w:rFonts w:asciiTheme="minorHAnsi" w:hAnsiTheme="minorHAnsi" w:cs="Arial"/>
                <w:sz w:val="20"/>
                <w:szCs w:val="20"/>
              </w:rPr>
            </w:pPr>
            <w:r w:rsidRPr="006D4208">
              <w:rPr>
                <w:rFonts w:asciiTheme="minorHAnsi" w:hAnsiTheme="minorHAnsi" w:cs="Arial"/>
                <w:sz w:val="20"/>
                <w:szCs w:val="20"/>
              </w:rPr>
              <w:t>55.4</w:t>
            </w:r>
          </w:p>
        </w:tc>
      </w:tr>
      <w:tr w:rsidR="00292DBD" w:rsidRPr="00B97C61" w14:paraId="1477A693" w14:textId="77777777" w:rsidTr="005D59FA">
        <w:tc>
          <w:tcPr>
            <w:tcW w:w="3850" w:type="pct"/>
            <w:vAlign w:val="bottom"/>
          </w:tcPr>
          <w:p w14:paraId="0F6EC845" w14:textId="77777777" w:rsidR="00292DBD" w:rsidRPr="00B97C61" w:rsidRDefault="00292DBD" w:rsidP="005D59FA">
            <w:pPr>
              <w:rPr>
                <w:rFonts w:asciiTheme="minorHAnsi" w:hAnsiTheme="minorHAnsi" w:cs="Arial"/>
                <w:sz w:val="20"/>
                <w:szCs w:val="20"/>
              </w:rPr>
            </w:pPr>
            <w:r w:rsidRPr="00B97C61">
              <w:rPr>
                <w:rFonts w:asciiTheme="minorHAnsi" w:hAnsiTheme="minorHAnsi" w:cs="Arial"/>
                <w:sz w:val="20"/>
                <w:szCs w:val="20"/>
              </w:rPr>
              <w:t>Vehicle finance</w:t>
            </w:r>
          </w:p>
        </w:tc>
        <w:tc>
          <w:tcPr>
            <w:tcW w:w="575" w:type="pct"/>
            <w:shd w:val="clear" w:color="auto" w:fill="F2F2F2" w:themeFill="background1" w:themeFillShade="F2"/>
            <w:vAlign w:val="bottom"/>
          </w:tcPr>
          <w:p w14:paraId="2805CA25" w14:textId="7BC8E686" w:rsidR="00292DBD" w:rsidRPr="006D4208" w:rsidRDefault="00782120" w:rsidP="005D59FA">
            <w:pPr>
              <w:jc w:val="right"/>
              <w:rPr>
                <w:rFonts w:asciiTheme="minorHAnsi" w:hAnsiTheme="minorHAnsi" w:cs="Arial"/>
                <w:b/>
                <w:sz w:val="20"/>
                <w:szCs w:val="20"/>
              </w:rPr>
            </w:pPr>
            <w:r w:rsidRPr="006D4208">
              <w:rPr>
                <w:rFonts w:asciiTheme="minorHAnsi" w:hAnsiTheme="minorHAnsi" w:cs="Arial"/>
                <w:b/>
                <w:sz w:val="20"/>
                <w:szCs w:val="20"/>
              </w:rPr>
              <w:t>30.3</w:t>
            </w:r>
          </w:p>
        </w:tc>
        <w:tc>
          <w:tcPr>
            <w:tcW w:w="575" w:type="pct"/>
            <w:vAlign w:val="bottom"/>
          </w:tcPr>
          <w:p w14:paraId="0128C76F" w14:textId="0223C181" w:rsidR="00292DBD" w:rsidRPr="006D4208" w:rsidRDefault="00B95575" w:rsidP="005D59FA">
            <w:pPr>
              <w:jc w:val="right"/>
              <w:rPr>
                <w:rFonts w:asciiTheme="minorHAnsi" w:hAnsiTheme="minorHAnsi" w:cs="Arial"/>
                <w:sz w:val="20"/>
                <w:szCs w:val="20"/>
              </w:rPr>
            </w:pPr>
            <w:r>
              <w:rPr>
                <w:rFonts w:asciiTheme="minorHAnsi" w:hAnsiTheme="minorHAnsi" w:cs="Arial"/>
                <w:sz w:val="20"/>
                <w:szCs w:val="20"/>
              </w:rPr>
              <w:t>26.6</w:t>
            </w:r>
          </w:p>
        </w:tc>
      </w:tr>
      <w:tr w:rsidR="00292DBD" w:rsidRPr="00B97C61" w14:paraId="4D68E6C1" w14:textId="77777777" w:rsidTr="005D59FA">
        <w:tc>
          <w:tcPr>
            <w:tcW w:w="3850" w:type="pct"/>
            <w:vAlign w:val="bottom"/>
          </w:tcPr>
          <w:p w14:paraId="4D3E0030" w14:textId="77777777" w:rsidR="00292DBD" w:rsidRPr="00B97C61" w:rsidRDefault="00292DBD" w:rsidP="005D59FA">
            <w:pPr>
              <w:rPr>
                <w:rFonts w:asciiTheme="minorHAnsi" w:hAnsiTheme="minorHAnsi" w:cs="Arial"/>
                <w:sz w:val="20"/>
                <w:szCs w:val="20"/>
              </w:rPr>
            </w:pPr>
            <w:r w:rsidRPr="00B97C61">
              <w:rPr>
                <w:rFonts w:asciiTheme="minorHAnsi" w:hAnsiTheme="minorHAnsi" w:cs="Arial"/>
                <w:sz w:val="20"/>
                <w:szCs w:val="20"/>
              </w:rPr>
              <w:t>Personal loans</w:t>
            </w:r>
          </w:p>
        </w:tc>
        <w:tc>
          <w:tcPr>
            <w:tcW w:w="575" w:type="pct"/>
            <w:tcBorders>
              <w:bottom w:val="single" w:sz="4" w:space="0" w:color="auto"/>
            </w:tcBorders>
            <w:shd w:val="clear" w:color="auto" w:fill="F2F2F2" w:themeFill="background1" w:themeFillShade="F2"/>
            <w:vAlign w:val="bottom"/>
          </w:tcPr>
          <w:p w14:paraId="5E9A0BE9" w14:textId="51ADF736" w:rsidR="00292DBD" w:rsidRPr="006D4208" w:rsidRDefault="00235EBD" w:rsidP="005D59FA">
            <w:pPr>
              <w:jc w:val="right"/>
              <w:rPr>
                <w:rFonts w:asciiTheme="minorHAnsi" w:hAnsiTheme="minorHAnsi" w:cs="Arial"/>
                <w:b/>
                <w:sz w:val="20"/>
                <w:szCs w:val="20"/>
              </w:rPr>
            </w:pPr>
            <w:r w:rsidRPr="006D4208">
              <w:rPr>
                <w:rFonts w:asciiTheme="minorHAnsi" w:hAnsiTheme="minorHAnsi" w:cs="Arial"/>
                <w:b/>
                <w:sz w:val="20"/>
                <w:szCs w:val="20"/>
              </w:rPr>
              <w:t>4.9</w:t>
            </w:r>
          </w:p>
        </w:tc>
        <w:tc>
          <w:tcPr>
            <w:tcW w:w="575" w:type="pct"/>
            <w:tcBorders>
              <w:bottom w:val="single" w:sz="4" w:space="0" w:color="auto"/>
            </w:tcBorders>
            <w:vAlign w:val="bottom"/>
          </w:tcPr>
          <w:p w14:paraId="56C7E354" w14:textId="42702AA8" w:rsidR="00292DBD" w:rsidRPr="006D4208" w:rsidRDefault="00350AFF" w:rsidP="005D59FA">
            <w:pPr>
              <w:jc w:val="right"/>
              <w:rPr>
                <w:rFonts w:asciiTheme="minorHAnsi" w:hAnsiTheme="minorHAnsi" w:cs="Arial"/>
                <w:sz w:val="20"/>
                <w:szCs w:val="20"/>
              </w:rPr>
            </w:pPr>
            <w:r w:rsidRPr="006D4208">
              <w:rPr>
                <w:rFonts w:asciiTheme="minorHAnsi" w:hAnsiTheme="minorHAnsi" w:cs="Arial"/>
                <w:sz w:val="20"/>
                <w:szCs w:val="20"/>
              </w:rPr>
              <w:t>11.0</w:t>
            </w:r>
          </w:p>
        </w:tc>
      </w:tr>
      <w:tr w:rsidR="00292DBD" w:rsidRPr="00B97C61" w14:paraId="73E8120A" w14:textId="77777777" w:rsidTr="00C04CAA">
        <w:tc>
          <w:tcPr>
            <w:tcW w:w="3850" w:type="pct"/>
            <w:vAlign w:val="bottom"/>
          </w:tcPr>
          <w:p w14:paraId="4C6960C4" w14:textId="77777777" w:rsidR="00292DBD" w:rsidRPr="00B97C61" w:rsidRDefault="00292DBD" w:rsidP="005D59FA">
            <w:pPr>
              <w:rPr>
                <w:rFonts w:asciiTheme="minorHAnsi" w:hAnsiTheme="minorHAnsi" w:cs="Arial"/>
                <w:b/>
                <w:sz w:val="20"/>
                <w:szCs w:val="20"/>
              </w:rPr>
            </w:pPr>
            <w:r w:rsidRPr="00B97C61">
              <w:rPr>
                <w:rFonts w:asciiTheme="minorHAnsi" w:hAnsiTheme="minorHAnsi" w:cs="Arial"/>
                <w:b/>
                <w:sz w:val="20"/>
                <w:szCs w:val="20"/>
              </w:rPr>
              <w:t>Total impairment charge</w:t>
            </w:r>
          </w:p>
        </w:tc>
        <w:tc>
          <w:tcPr>
            <w:tcW w:w="575" w:type="pct"/>
            <w:tcBorders>
              <w:top w:val="single" w:sz="4" w:space="0" w:color="auto"/>
              <w:left w:val="nil"/>
              <w:bottom w:val="single" w:sz="4" w:space="0" w:color="auto"/>
              <w:right w:val="nil"/>
            </w:tcBorders>
            <w:shd w:val="clear" w:color="auto" w:fill="F2F2F2" w:themeFill="background1" w:themeFillShade="F2"/>
            <w:vAlign w:val="bottom"/>
          </w:tcPr>
          <w:p w14:paraId="01B21334" w14:textId="3F2F52FB" w:rsidR="00292DBD" w:rsidRPr="006D4208" w:rsidRDefault="00294FB7" w:rsidP="005D59FA">
            <w:pPr>
              <w:jc w:val="right"/>
              <w:rPr>
                <w:rFonts w:asciiTheme="minorHAnsi" w:hAnsiTheme="minorHAnsi" w:cs="Arial"/>
                <w:b/>
                <w:sz w:val="20"/>
                <w:szCs w:val="20"/>
              </w:rPr>
            </w:pPr>
            <w:r w:rsidRPr="006D4208">
              <w:rPr>
                <w:rFonts w:asciiTheme="minorHAnsi" w:hAnsiTheme="minorHAnsi" w:cs="Arial"/>
                <w:b/>
                <w:sz w:val="20"/>
                <w:szCs w:val="20"/>
              </w:rPr>
              <w:t>101.3</w:t>
            </w:r>
          </w:p>
        </w:tc>
        <w:tc>
          <w:tcPr>
            <w:tcW w:w="575" w:type="pct"/>
            <w:tcBorders>
              <w:top w:val="single" w:sz="4" w:space="0" w:color="auto"/>
              <w:left w:val="nil"/>
              <w:bottom w:val="single" w:sz="4" w:space="0" w:color="auto"/>
              <w:right w:val="nil"/>
            </w:tcBorders>
            <w:vAlign w:val="bottom"/>
          </w:tcPr>
          <w:p w14:paraId="279756C2" w14:textId="2B0A5DFA" w:rsidR="00292DBD" w:rsidRPr="006D4208" w:rsidRDefault="00B95575" w:rsidP="005D59FA">
            <w:pPr>
              <w:jc w:val="right"/>
              <w:rPr>
                <w:rFonts w:asciiTheme="minorHAnsi" w:hAnsiTheme="minorHAnsi" w:cs="Arial"/>
                <w:sz w:val="20"/>
                <w:szCs w:val="20"/>
              </w:rPr>
            </w:pPr>
            <w:r>
              <w:rPr>
                <w:rFonts w:asciiTheme="minorHAnsi" w:hAnsiTheme="minorHAnsi" w:cs="Arial"/>
                <w:sz w:val="20"/>
                <w:szCs w:val="20"/>
              </w:rPr>
              <w:t>93.0</w:t>
            </w:r>
          </w:p>
        </w:tc>
      </w:tr>
      <w:tr w:rsidR="00C04CAA" w:rsidRPr="00B97C61" w14:paraId="69422C50" w14:textId="77777777" w:rsidTr="00186E32">
        <w:tc>
          <w:tcPr>
            <w:tcW w:w="3850" w:type="pct"/>
            <w:vAlign w:val="bottom"/>
          </w:tcPr>
          <w:p w14:paraId="735FD57E" w14:textId="77777777" w:rsidR="00C04CAA" w:rsidRPr="00B97C61" w:rsidRDefault="00C04CAA" w:rsidP="005D59FA">
            <w:pPr>
              <w:rPr>
                <w:rFonts w:asciiTheme="minorHAnsi" w:hAnsiTheme="minorHAnsi" w:cs="Arial"/>
                <w:b/>
                <w:sz w:val="20"/>
                <w:szCs w:val="20"/>
              </w:rPr>
            </w:pPr>
          </w:p>
        </w:tc>
        <w:tc>
          <w:tcPr>
            <w:tcW w:w="575" w:type="pct"/>
            <w:tcBorders>
              <w:top w:val="single" w:sz="4" w:space="0" w:color="auto"/>
              <w:left w:val="nil"/>
              <w:right w:val="nil"/>
            </w:tcBorders>
            <w:shd w:val="clear" w:color="auto" w:fill="auto"/>
            <w:vAlign w:val="bottom"/>
          </w:tcPr>
          <w:p w14:paraId="3E8E40BA" w14:textId="77777777" w:rsidR="00C04CAA" w:rsidRPr="006D4208" w:rsidRDefault="00C04CAA" w:rsidP="005D59FA">
            <w:pPr>
              <w:jc w:val="right"/>
              <w:rPr>
                <w:rFonts w:asciiTheme="minorHAnsi" w:hAnsiTheme="minorHAnsi" w:cs="Arial"/>
                <w:b/>
                <w:sz w:val="20"/>
                <w:szCs w:val="20"/>
              </w:rPr>
            </w:pPr>
          </w:p>
        </w:tc>
        <w:tc>
          <w:tcPr>
            <w:tcW w:w="575" w:type="pct"/>
            <w:tcBorders>
              <w:top w:val="single" w:sz="4" w:space="0" w:color="auto"/>
              <w:left w:val="nil"/>
              <w:right w:val="nil"/>
            </w:tcBorders>
            <w:shd w:val="clear" w:color="auto" w:fill="auto"/>
            <w:vAlign w:val="bottom"/>
          </w:tcPr>
          <w:p w14:paraId="72560672" w14:textId="77777777" w:rsidR="00C04CAA" w:rsidRPr="006D4208" w:rsidRDefault="00C04CAA" w:rsidP="005D59FA">
            <w:pPr>
              <w:jc w:val="right"/>
              <w:rPr>
                <w:rFonts w:asciiTheme="minorHAnsi" w:hAnsiTheme="minorHAnsi" w:cs="Arial"/>
                <w:sz w:val="20"/>
                <w:szCs w:val="20"/>
              </w:rPr>
            </w:pPr>
          </w:p>
        </w:tc>
      </w:tr>
    </w:tbl>
    <w:p w14:paraId="28953761" w14:textId="07374C02" w:rsidR="007F0B2A" w:rsidRPr="00F645E0" w:rsidRDefault="004B66D2" w:rsidP="00F645E0">
      <w:pPr>
        <w:rPr>
          <w:rFonts w:asciiTheme="minorHAnsi" w:hAnsiTheme="minorHAnsi" w:cs="Arial"/>
          <w:b/>
          <w:i/>
          <w:color w:val="4747FF"/>
          <w:sz w:val="22"/>
          <w:szCs w:val="22"/>
        </w:rPr>
      </w:pPr>
      <w:r w:rsidRPr="53EF174C">
        <w:rPr>
          <w:rFonts w:asciiTheme="minorHAnsi" w:hAnsiTheme="minorHAnsi" w:cs="Arial"/>
          <w:i/>
          <w:sz w:val="20"/>
          <w:szCs w:val="20"/>
          <w:vertAlign w:val="superscript"/>
        </w:rPr>
        <w:t>1</w:t>
      </w:r>
      <w:r w:rsidRPr="53EF174C">
        <w:rPr>
          <w:rFonts w:asciiTheme="minorHAnsi" w:hAnsiTheme="minorHAnsi" w:cs="Arial"/>
          <w:i/>
          <w:sz w:val="20"/>
          <w:szCs w:val="20"/>
        </w:rPr>
        <w:t xml:space="preserve"> Refer to note 2 for details of restatement.</w:t>
      </w:r>
    </w:p>
    <w:p w14:paraId="4677BA69" w14:textId="412D8C29" w:rsidR="007E79B4" w:rsidRDefault="007E79B4" w:rsidP="6A7632AC">
      <w:pPr>
        <w:ind w:left="567" w:hanging="567"/>
        <w:jc w:val="both"/>
        <w:rPr>
          <w:rFonts w:asciiTheme="minorHAnsi" w:hAnsiTheme="minorHAnsi" w:cs="Arial"/>
          <w:b/>
          <w:bCs/>
          <w:color w:val="4747FF"/>
          <w:sz w:val="22"/>
          <w:szCs w:val="22"/>
        </w:rPr>
      </w:pPr>
    </w:p>
    <w:p w14:paraId="32E8AA7E" w14:textId="276CF202" w:rsidR="007E79B4" w:rsidRDefault="007E79B4" w:rsidP="6A7632AC">
      <w:pPr>
        <w:ind w:left="567" w:hanging="567"/>
        <w:jc w:val="both"/>
        <w:rPr>
          <w:rFonts w:asciiTheme="minorHAnsi" w:hAnsiTheme="minorHAnsi" w:cs="Arial"/>
          <w:b/>
          <w:bCs/>
          <w:color w:val="4747FF"/>
          <w:sz w:val="22"/>
          <w:szCs w:val="22"/>
        </w:rPr>
      </w:pPr>
    </w:p>
    <w:p w14:paraId="68063F5D" w14:textId="3BF61B0F" w:rsidR="00A3021A" w:rsidRDefault="006133EC" w:rsidP="00A3021A">
      <w:pPr>
        <w:ind w:left="567" w:hanging="567"/>
        <w:jc w:val="both"/>
        <w:rPr>
          <w:rFonts w:asciiTheme="minorHAnsi" w:hAnsiTheme="minorHAnsi" w:cs="Arial"/>
          <w:b/>
          <w:bCs/>
          <w:color w:val="4747FF"/>
          <w:sz w:val="22"/>
          <w:szCs w:val="22"/>
        </w:rPr>
      </w:pPr>
      <w:r>
        <w:rPr>
          <w:rFonts w:asciiTheme="minorHAnsi" w:hAnsiTheme="minorHAnsi" w:cs="Arial"/>
          <w:b/>
          <w:bCs/>
          <w:color w:val="4747FF"/>
          <w:sz w:val="22"/>
          <w:szCs w:val="22"/>
        </w:rPr>
        <w:t>9</w:t>
      </w:r>
      <w:r w:rsidR="00A3021A" w:rsidRPr="00306AF1">
        <w:rPr>
          <w:rFonts w:asciiTheme="minorHAnsi" w:hAnsiTheme="minorHAnsi" w:cs="Arial"/>
          <w:b/>
          <w:bCs/>
          <w:color w:val="4747FF"/>
          <w:sz w:val="22"/>
          <w:szCs w:val="22"/>
        </w:rPr>
        <w:t>.</w:t>
      </w:r>
      <w:r w:rsidR="00A3021A" w:rsidRPr="00306AF1">
        <w:rPr>
          <w:rFonts w:asciiTheme="minorHAnsi" w:hAnsiTheme="minorHAnsi" w:cs="Arial"/>
          <w:b/>
          <w:bCs/>
          <w:color w:val="4747FF"/>
          <w:sz w:val="22"/>
          <w:szCs w:val="22"/>
        </w:rPr>
        <w:tab/>
        <w:t>Investments</w:t>
      </w:r>
    </w:p>
    <w:p w14:paraId="620EC77E" w14:textId="77777777" w:rsidR="00CA6349" w:rsidRDefault="00CA6349" w:rsidP="00A3021A">
      <w:pPr>
        <w:ind w:left="567" w:hanging="567"/>
        <w:jc w:val="both"/>
        <w:rPr>
          <w:rFonts w:asciiTheme="minorHAnsi" w:hAnsiTheme="minorHAnsi" w:cs="Arial"/>
          <w:b/>
          <w:bCs/>
          <w:color w:val="4747FF"/>
          <w:sz w:val="22"/>
          <w:szCs w:val="22"/>
        </w:rPr>
      </w:pPr>
    </w:p>
    <w:tbl>
      <w:tblPr>
        <w:tblW w:w="4884" w:type="pct"/>
        <w:tblLook w:val="0000" w:firstRow="0" w:lastRow="0" w:firstColumn="0" w:lastColumn="0" w:noHBand="0" w:noVBand="0"/>
      </w:tblPr>
      <w:tblGrid>
        <w:gridCol w:w="5530"/>
        <w:gridCol w:w="1274"/>
        <w:gridCol w:w="1419"/>
        <w:gridCol w:w="1274"/>
      </w:tblGrid>
      <w:tr w:rsidR="00CA6349" w:rsidRPr="00A17326" w14:paraId="2D3B7CE9" w14:textId="2507479E" w:rsidTr="00245356">
        <w:tc>
          <w:tcPr>
            <w:tcW w:w="2911" w:type="pct"/>
          </w:tcPr>
          <w:p w14:paraId="2869C9FF" w14:textId="77777777" w:rsidR="00CA6349" w:rsidRPr="00B97C61" w:rsidRDefault="00CA6349" w:rsidP="005D59FA">
            <w:pPr>
              <w:jc w:val="both"/>
              <w:rPr>
                <w:rFonts w:asciiTheme="minorHAnsi" w:eastAsiaTheme="minorEastAsia" w:hAnsiTheme="minorHAnsi" w:cstheme="minorBidi"/>
                <w:sz w:val="20"/>
                <w:szCs w:val="20"/>
              </w:rPr>
            </w:pPr>
          </w:p>
        </w:tc>
        <w:tc>
          <w:tcPr>
            <w:tcW w:w="671" w:type="pct"/>
            <w:shd w:val="clear" w:color="auto" w:fill="F2F2F2" w:themeFill="background1" w:themeFillShade="F2"/>
          </w:tcPr>
          <w:p w14:paraId="7D77134D" w14:textId="3512FB1D" w:rsidR="00CA6349" w:rsidRPr="00A705C8" w:rsidRDefault="005B798E" w:rsidP="005D59FA">
            <w:pPr>
              <w:jc w:val="right"/>
              <w:rPr>
                <w:rFonts w:asciiTheme="minorHAnsi" w:eastAsiaTheme="minorEastAsia" w:hAnsiTheme="minorHAnsi" w:cstheme="minorBidi"/>
                <w:b/>
                <w:sz w:val="20"/>
                <w:szCs w:val="20"/>
              </w:rPr>
            </w:pPr>
            <w:r w:rsidRPr="7ACEA165">
              <w:rPr>
                <w:rFonts w:asciiTheme="minorHAnsi" w:eastAsiaTheme="minorEastAsia" w:hAnsiTheme="minorHAnsi" w:cstheme="minorBidi"/>
                <w:b/>
                <w:sz w:val="20"/>
                <w:szCs w:val="20"/>
              </w:rPr>
              <w:t xml:space="preserve">30 June </w:t>
            </w:r>
            <w:r w:rsidR="00CA6349" w:rsidRPr="7ACEA165">
              <w:rPr>
                <w:rFonts w:asciiTheme="minorHAnsi" w:eastAsiaTheme="minorEastAsia" w:hAnsiTheme="minorHAnsi" w:cstheme="minorBidi"/>
                <w:b/>
                <w:sz w:val="20"/>
                <w:szCs w:val="20"/>
              </w:rPr>
              <w:t>2024 </w:t>
            </w:r>
          </w:p>
        </w:tc>
        <w:tc>
          <w:tcPr>
            <w:tcW w:w="747" w:type="pct"/>
          </w:tcPr>
          <w:p w14:paraId="6FB135C1" w14:textId="349B6BD6" w:rsidR="00123ADF" w:rsidRDefault="00123ADF" w:rsidP="00123ADF">
            <w:pPr>
              <w:jc w:val="right"/>
              <w:rPr>
                <w:rFonts w:asciiTheme="minorHAnsi" w:eastAsiaTheme="minorEastAsia" w:hAnsiTheme="minorHAnsi" w:cstheme="minorBidi"/>
                <w:sz w:val="20"/>
                <w:szCs w:val="20"/>
              </w:rPr>
            </w:pPr>
            <w:r w:rsidRPr="7ACEA165">
              <w:rPr>
                <w:rFonts w:asciiTheme="minorHAnsi" w:eastAsiaTheme="minorEastAsia" w:hAnsiTheme="minorHAnsi" w:cstheme="minorBidi"/>
                <w:sz w:val="20"/>
                <w:szCs w:val="20"/>
              </w:rPr>
              <w:t>31 December 2023</w:t>
            </w:r>
          </w:p>
        </w:tc>
        <w:tc>
          <w:tcPr>
            <w:tcW w:w="671" w:type="pct"/>
            <w:shd w:val="clear" w:color="auto" w:fill="auto"/>
          </w:tcPr>
          <w:p w14:paraId="5C2C5EBE" w14:textId="26C85D54" w:rsidR="00CA6349" w:rsidRPr="00A17326" w:rsidRDefault="005B798E" w:rsidP="005D59FA">
            <w:pPr>
              <w:jc w:val="right"/>
              <w:rPr>
                <w:rFonts w:asciiTheme="minorHAnsi" w:eastAsiaTheme="minorEastAsia" w:hAnsiTheme="minorHAnsi" w:cstheme="minorBidi"/>
                <w:sz w:val="20"/>
                <w:szCs w:val="20"/>
              </w:rPr>
            </w:pPr>
            <w:r w:rsidRPr="7ACEA165">
              <w:rPr>
                <w:rFonts w:asciiTheme="minorHAnsi" w:eastAsiaTheme="minorEastAsia" w:hAnsiTheme="minorHAnsi" w:cstheme="minorBidi"/>
                <w:sz w:val="20"/>
                <w:szCs w:val="20"/>
              </w:rPr>
              <w:t xml:space="preserve">30 June </w:t>
            </w:r>
            <w:r w:rsidR="00650EB3" w:rsidRPr="7ACEA165">
              <w:rPr>
                <w:rFonts w:asciiTheme="minorHAnsi" w:eastAsiaTheme="minorEastAsia" w:hAnsiTheme="minorHAnsi" w:cstheme="minorBidi"/>
                <w:sz w:val="20"/>
                <w:szCs w:val="20"/>
              </w:rPr>
              <w:t>2023</w:t>
            </w:r>
          </w:p>
        </w:tc>
      </w:tr>
      <w:tr w:rsidR="00CA6349" w:rsidRPr="00A17326" w14:paraId="2390540E" w14:textId="70DA567D" w:rsidTr="00245356">
        <w:tc>
          <w:tcPr>
            <w:tcW w:w="2911" w:type="pct"/>
          </w:tcPr>
          <w:p w14:paraId="5E33C0F9" w14:textId="77777777" w:rsidR="00CA6349" w:rsidRPr="00890573" w:rsidRDefault="00CA6349" w:rsidP="005D59FA">
            <w:pPr>
              <w:pStyle w:val="Heading5"/>
              <w:overflowPunct/>
              <w:autoSpaceDE/>
              <w:adjustRightInd/>
              <w:rPr>
                <w:rFonts w:asciiTheme="minorHAnsi" w:eastAsiaTheme="minorEastAsia" w:hAnsiTheme="minorHAnsi" w:cstheme="minorBidi"/>
                <w:sz w:val="20"/>
                <w:highlight w:val="green"/>
              </w:rPr>
            </w:pPr>
          </w:p>
        </w:tc>
        <w:tc>
          <w:tcPr>
            <w:tcW w:w="671" w:type="pct"/>
            <w:tcBorders>
              <w:top w:val="nil"/>
              <w:left w:val="nil"/>
              <w:bottom w:val="single" w:sz="4" w:space="0" w:color="auto"/>
              <w:right w:val="nil"/>
            </w:tcBorders>
            <w:shd w:val="clear" w:color="auto" w:fill="F2F2F2" w:themeFill="background1" w:themeFillShade="F2"/>
          </w:tcPr>
          <w:p w14:paraId="027EF17E" w14:textId="77777777" w:rsidR="00CA6349" w:rsidRPr="00A705C8" w:rsidRDefault="00CA6349" w:rsidP="005D59FA">
            <w:pPr>
              <w:jc w:val="right"/>
              <w:rPr>
                <w:rFonts w:asciiTheme="minorHAnsi" w:eastAsiaTheme="minorEastAsia" w:hAnsiTheme="minorHAnsi" w:cstheme="minorBidi"/>
                <w:b/>
                <w:sz w:val="20"/>
                <w:szCs w:val="20"/>
              </w:rPr>
            </w:pPr>
            <w:r w:rsidRPr="7ACEA165">
              <w:rPr>
                <w:rFonts w:asciiTheme="minorHAnsi" w:eastAsiaTheme="minorEastAsia" w:hAnsiTheme="minorHAnsi" w:cstheme="minorBidi"/>
                <w:b/>
                <w:sz w:val="20"/>
                <w:szCs w:val="20"/>
              </w:rPr>
              <w:t>£m </w:t>
            </w:r>
          </w:p>
        </w:tc>
        <w:tc>
          <w:tcPr>
            <w:tcW w:w="747" w:type="pct"/>
            <w:tcBorders>
              <w:top w:val="nil"/>
              <w:left w:val="nil"/>
              <w:bottom w:val="single" w:sz="4" w:space="0" w:color="auto"/>
              <w:right w:val="nil"/>
            </w:tcBorders>
          </w:tcPr>
          <w:p w14:paraId="1D5F10EF" w14:textId="4984B4DA" w:rsidR="00123ADF" w:rsidRDefault="00123ADF" w:rsidP="00123ADF">
            <w:pPr>
              <w:jc w:val="right"/>
              <w:rPr>
                <w:rFonts w:asciiTheme="minorHAnsi" w:eastAsiaTheme="minorEastAsia" w:hAnsiTheme="minorHAnsi" w:cstheme="minorBidi"/>
                <w:sz w:val="20"/>
                <w:szCs w:val="20"/>
              </w:rPr>
            </w:pPr>
            <w:r w:rsidRPr="7ACEA165">
              <w:rPr>
                <w:rFonts w:asciiTheme="minorHAnsi" w:eastAsiaTheme="minorEastAsia" w:hAnsiTheme="minorHAnsi" w:cstheme="minorBidi"/>
                <w:sz w:val="20"/>
                <w:szCs w:val="20"/>
              </w:rPr>
              <w:t>£m</w:t>
            </w:r>
          </w:p>
        </w:tc>
        <w:tc>
          <w:tcPr>
            <w:tcW w:w="671" w:type="pct"/>
            <w:tcBorders>
              <w:top w:val="nil"/>
              <w:left w:val="nil"/>
              <w:bottom w:val="single" w:sz="4" w:space="0" w:color="auto"/>
              <w:right w:val="nil"/>
            </w:tcBorders>
            <w:shd w:val="clear" w:color="auto" w:fill="auto"/>
          </w:tcPr>
          <w:p w14:paraId="5B032ADD" w14:textId="652A2876" w:rsidR="00CA6349" w:rsidRPr="00A17326" w:rsidRDefault="00CA6349" w:rsidP="005D59FA">
            <w:pPr>
              <w:jc w:val="right"/>
              <w:rPr>
                <w:rFonts w:asciiTheme="minorHAnsi" w:eastAsiaTheme="minorEastAsia" w:hAnsiTheme="minorHAnsi" w:cstheme="minorBidi"/>
                <w:sz w:val="20"/>
                <w:szCs w:val="20"/>
              </w:rPr>
            </w:pPr>
            <w:r w:rsidRPr="7ACEA165">
              <w:rPr>
                <w:rFonts w:asciiTheme="minorHAnsi" w:eastAsiaTheme="minorEastAsia" w:hAnsiTheme="minorHAnsi" w:cstheme="minorBidi"/>
                <w:sz w:val="20"/>
                <w:szCs w:val="20"/>
              </w:rPr>
              <w:t>£m </w:t>
            </w:r>
          </w:p>
        </w:tc>
      </w:tr>
      <w:tr w:rsidR="00CA6349" w:rsidRPr="00A17326" w14:paraId="6E63A67C" w14:textId="4B5037FE" w:rsidTr="00245356">
        <w:tc>
          <w:tcPr>
            <w:tcW w:w="2911" w:type="pct"/>
          </w:tcPr>
          <w:p w14:paraId="72F5598D" w14:textId="77EE6587" w:rsidR="00CA6349" w:rsidRPr="00B97C61" w:rsidRDefault="00CA6349" w:rsidP="005D59FA">
            <w:pPr>
              <w:pStyle w:val="Heading5"/>
              <w:tabs>
                <w:tab w:val="clear" w:pos="720"/>
                <w:tab w:val="right" w:pos="4680"/>
              </w:tabs>
              <w:jc w:val="left"/>
              <w:rPr>
                <w:rFonts w:asciiTheme="minorHAnsi" w:eastAsiaTheme="minorEastAsia" w:hAnsiTheme="minorHAnsi" w:cstheme="minorBidi"/>
                <w:b w:val="0"/>
                <w:sz w:val="20"/>
              </w:rPr>
            </w:pPr>
            <w:r w:rsidRPr="7ACEA165">
              <w:rPr>
                <w:rFonts w:asciiTheme="minorHAnsi" w:eastAsiaTheme="minorEastAsia" w:hAnsiTheme="minorHAnsi" w:cstheme="minorBidi"/>
                <w:b w:val="0"/>
                <w:sz w:val="20"/>
              </w:rPr>
              <w:t>Visa Inc. shares</w:t>
            </w:r>
          </w:p>
        </w:tc>
        <w:tc>
          <w:tcPr>
            <w:tcW w:w="671" w:type="pct"/>
            <w:tcBorders>
              <w:left w:val="nil"/>
              <w:bottom w:val="single" w:sz="18" w:space="0" w:color="auto"/>
              <w:right w:val="nil"/>
            </w:tcBorders>
            <w:shd w:val="clear" w:color="auto" w:fill="F2F2F2" w:themeFill="background1" w:themeFillShade="F2"/>
            <w:vAlign w:val="bottom"/>
          </w:tcPr>
          <w:p w14:paraId="49796677" w14:textId="2A17C4C0" w:rsidR="00CA6349" w:rsidRPr="006D4208" w:rsidRDefault="00BD5735" w:rsidP="005D59FA">
            <w:pPr>
              <w:jc w:val="right"/>
              <w:rPr>
                <w:rFonts w:asciiTheme="minorHAnsi" w:eastAsiaTheme="minorEastAsia" w:hAnsiTheme="minorHAnsi" w:cstheme="minorBidi"/>
                <w:b/>
                <w:sz w:val="20"/>
                <w:szCs w:val="20"/>
              </w:rPr>
            </w:pPr>
            <w:r w:rsidRPr="7ACEA165">
              <w:rPr>
                <w:rFonts w:asciiTheme="minorHAnsi" w:eastAsiaTheme="minorEastAsia" w:hAnsiTheme="minorHAnsi" w:cstheme="minorBidi"/>
                <w:b/>
                <w:sz w:val="20"/>
                <w:szCs w:val="20"/>
              </w:rPr>
              <w:t>5.1</w:t>
            </w:r>
          </w:p>
        </w:tc>
        <w:tc>
          <w:tcPr>
            <w:tcW w:w="747" w:type="pct"/>
            <w:tcBorders>
              <w:left w:val="nil"/>
              <w:bottom w:val="single" w:sz="18" w:space="0" w:color="auto"/>
              <w:right w:val="nil"/>
            </w:tcBorders>
          </w:tcPr>
          <w:p w14:paraId="57AC4B93" w14:textId="031AED4F" w:rsidR="00123ADF" w:rsidRPr="006D4208" w:rsidRDefault="00123ADF" w:rsidP="00123ADF">
            <w:pPr>
              <w:jc w:val="right"/>
              <w:rPr>
                <w:rFonts w:asciiTheme="minorHAnsi" w:eastAsiaTheme="minorEastAsia" w:hAnsiTheme="minorHAnsi" w:cstheme="minorBidi"/>
                <w:sz w:val="20"/>
                <w:szCs w:val="20"/>
              </w:rPr>
            </w:pPr>
            <w:r w:rsidRPr="7ACEA165">
              <w:rPr>
                <w:rFonts w:asciiTheme="minorHAnsi" w:eastAsiaTheme="minorEastAsia" w:hAnsiTheme="minorHAnsi" w:cstheme="minorBidi"/>
                <w:sz w:val="20"/>
                <w:szCs w:val="20"/>
              </w:rPr>
              <w:t>5.4</w:t>
            </w:r>
          </w:p>
        </w:tc>
        <w:tc>
          <w:tcPr>
            <w:tcW w:w="671" w:type="pct"/>
            <w:tcBorders>
              <w:left w:val="nil"/>
              <w:bottom w:val="single" w:sz="18" w:space="0" w:color="auto"/>
              <w:right w:val="nil"/>
            </w:tcBorders>
            <w:vAlign w:val="bottom"/>
          </w:tcPr>
          <w:p w14:paraId="515CC0F7" w14:textId="7929E7BE" w:rsidR="00CA6349" w:rsidRPr="006D4208" w:rsidRDefault="00AD4474" w:rsidP="005D59FA">
            <w:pPr>
              <w:jc w:val="right"/>
              <w:rPr>
                <w:rFonts w:asciiTheme="minorHAnsi" w:eastAsiaTheme="minorEastAsia" w:hAnsiTheme="minorHAnsi" w:cstheme="minorBidi"/>
                <w:sz w:val="20"/>
                <w:szCs w:val="20"/>
              </w:rPr>
            </w:pPr>
            <w:r w:rsidRPr="7ACEA165">
              <w:rPr>
                <w:rFonts w:asciiTheme="minorHAnsi" w:eastAsiaTheme="minorEastAsia" w:hAnsiTheme="minorHAnsi" w:cstheme="minorBidi"/>
                <w:sz w:val="20"/>
                <w:szCs w:val="20"/>
              </w:rPr>
              <w:t>4.9</w:t>
            </w:r>
          </w:p>
        </w:tc>
      </w:tr>
    </w:tbl>
    <w:p w14:paraId="42AA137A" w14:textId="139093E8" w:rsidR="008D51AF" w:rsidRDefault="008D51AF" w:rsidP="414F5E4B">
      <w:pPr>
        <w:jc w:val="both"/>
        <w:rPr>
          <w:rFonts w:asciiTheme="minorHAnsi" w:hAnsiTheme="minorHAnsi" w:cs="Arial"/>
          <w:b/>
          <w:sz w:val="20"/>
          <w:szCs w:val="20"/>
        </w:rPr>
      </w:pPr>
    </w:p>
    <w:p w14:paraId="3D32392C" w14:textId="77777777" w:rsidR="00A3021A" w:rsidRPr="00306AF1" w:rsidRDefault="00A3021A" w:rsidP="00A3021A">
      <w:pPr>
        <w:jc w:val="both"/>
        <w:rPr>
          <w:rFonts w:asciiTheme="minorHAnsi" w:hAnsiTheme="minorHAnsi" w:cs="Arial"/>
          <w:b/>
          <w:sz w:val="20"/>
          <w:szCs w:val="20"/>
        </w:rPr>
      </w:pPr>
      <w:r w:rsidRPr="00306AF1">
        <w:rPr>
          <w:rFonts w:asciiTheme="minorHAnsi" w:hAnsiTheme="minorHAnsi" w:cs="Arial"/>
          <w:b/>
          <w:sz w:val="20"/>
          <w:szCs w:val="20"/>
        </w:rPr>
        <w:t>Visa Inc. shares</w:t>
      </w:r>
    </w:p>
    <w:p w14:paraId="060E89C9" w14:textId="3B4D3324" w:rsidR="00A3021A" w:rsidRPr="00306AF1" w:rsidRDefault="00A3021A" w:rsidP="00A3021A">
      <w:pPr>
        <w:autoSpaceDE w:val="0"/>
        <w:autoSpaceDN w:val="0"/>
        <w:adjustRightInd w:val="0"/>
        <w:jc w:val="both"/>
        <w:rPr>
          <w:rFonts w:ascii="Calibri" w:hAnsi="Calibri" w:cs="Poppins-Light"/>
          <w:sz w:val="20"/>
          <w:szCs w:val="20"/>
        </w:rPr>
      </w:pPr>
      <w:r w:rsidRPr="00306AF1">
        <w:rPr>
          <w:rFonts w:ascii="Calibri" w:hAnsi="Calibri" w:cs="Poppins-Light"/>
          <w:sz w:val="20"/>
          <w:szCs w:val="20"/>
        </w:rPr>
        <w:t>The Visa Inc shares represent preferred stock in Visa Inc held by Vanquis Bank Limited following completion of Visa Inc’s</w:t>
      </w:r>
      <w:r w:rsidR="2E3EC4E5" w:rsidRPr="7DBA5192">
        <w:rPr>
          <w:rFonts w:ascii="Calibri" w:hAnsi="Calibri" w:cs="Poppins-Light"/>
          <w:sz w:val="20"/>
          <w:szCs w:val="20"/>
        </w:rPr>
        <w:t xml:space="preserve"> </w:t>
      </w:r>
      <w:r w:rsidRPr="00306AF1">
        <w:rPr>
          <w:rFonts w:ascii="Calibri" w:hAnsi="Calibri" w:cs="Poppins-Light"/>
          <w:sz w:val="20"/>
          <w:szCs w:val="20"/>
        </w:rPr>
        <w:t xml:space="preserve">acquisition of Visa Europe Limited </w:t>
      </w:r>
      <w:r w:rsidR="00657F15">
        <w:rPr>
          <w:rFonts w:ascii="Calibri" w:hAnsi="Calibri" w:cs="Poppins-Light"/>
          <w:sz w:val="20"/>
          <w:szCs w:val="20"/>
        </w:rPr>
        <w:t>in</w:t>
      </w:r>
      <w:r w:rsidRPr="00306AF1">
        <w:rPr>
          <w:rFonts w:ascii="Calibri" w:hAnsi="Calibri" w:cs="Poppins-Light"/>
          <w:sz w:val="20"/>
          <w:szCs w:val="20"/>
        </w:rPr>
        <w:t xml:space="preserve"> 2016.</w:t>
      </w:r>
    </w:p>
    <w:p w14:paraId="19FC8AB1" w14:textId="77777777" w:rsidR="00A3021A" w:rsidRPr="00306AF1" w:rsidRDefault="00A3021A" w:rsidP="00A3021A">
      <w:pPr>
        <w:autoSpaceDE w:val="0"/>
        <w:autoSpaceDN w:val="0"/>
        <w:adjustRightInd w:val="0"/>
        <w:jc w:val="both"/>
        <w:rPr>
          <w:rFonts w:ascii="Calibri" w:hAnsi="Calibri" w:cs="Poppins-Light"/>
          <w:sz w:val="20"/>
          <w:szCs w:val="20"/>
        </w:rPr>
      </w:pPr>
    </w:p>
    <w:p w14:paraId="08616DFD" w14:textId="6A96E86E" w:rsidR="00A3021A" w:rsidRPr="00306AF1" w:rsidRDefault="00A3021A" w:rsidP="00A3021A">
      <w:pPr>
        <w:autoSpaceDE w:val="0"/>
        <w:autoSpaceDN w:val="0"/>
        <w:adjustRightInd w:val="0"/>
        <w:jc w:val="both"/>
        <w:rPr>
          <w:rFonts w:ascii="Calibri" w:hAnsi="Calibri" w:cs="Poppins-Light"/>
          <w:sz w:val="20"/>
          <w:szCs w:val="20"/>
        </w:rPr>
      </w:pPr>
      <w:r w:rsidRPr="00306AF1">
        <w:rPr>
          <w:rFonts w:ascii="Calibri" w:hAnsi="Calibri" w:cs="Poppins-Light"/>
          <w:sz w:val="20"/>
          <w:szCs w:val="20"/>
        </w:rPr>
        <w:t>The valuation of the preferred stock has been determined using the common stock’s value as an approximation as both classes of stock have similar dividend rights. However, adjustments have been made for: (</w:t>
      </w:r>
      <w:proofErr w:type="spellStart"/>
      <w:r w:rsidRPr="00306AF1">
        <w:rPr>
          <w:rFonts w:ascii="Calibri" w:hAnsi="Calibri" w:cs="Poppins-Light"/>
          <w:sz w:val="20"/>
          <w:szCs w:val="20"/>
        </w:rPr>
        <w:t>i</w:t>
      </w:r>
      <w:proofErr w:type="spellEnd"/>
      <w:r w:rsidRPr="00306AF1">
        <w:rPr>
          <w:rFonts w:ascii="Calibri" w:hAnsi="Calibri" w:cs="Poppins-Light"/>
          <w:sz w:val="20"/>
          <w:szCs w:val="20"/>
        </w:rPr>
        <w:t>) illiquidity</w:t>
      </w:r>
      <w:r w:rsidR="001E22BC" w:rsidRPr="00306AF1">
        <w:rPr>
          <w:rFonts w:ascii="Calibri" w:hAnsi="Calibri" w:cs="Poppins-Light"/>
          <w:sz w:val="20"/>
          <w:szCs w:val="20"/>
        </w:rPr>
        <w:t>;</w:t>
      </w:r>
      <w:r w:rsidRPr="00306AF1">
        <w:rPr>
          <w:rFonts w:ascii="Calibri" w:hAnsi="Calibri" w:cs="Poppins-Light"/>
          <w:sz w:val="20"/>
          <w:szCs w:val="20"/>
        </w:rPr>
        <w:t xml:space="preserve"> as the preferred stock is not tradeable on an open market and can only be transferred to other Visa members; and (ii) future litigation costs which could affect the valuation of the stock prior to conversion.</w:t>
      </w:r>
    </w:p>
    <w:p w14:paraId="7E6B5F9B" w14:textId="77777777" w:rsidR="004D21F7" w:rsidRPr="00306AF1" w:rsidRDefault="004D21F7" w:rsidP="0002541E">
      <w:pPr>
        <w:autoSpaceDE w:val="0"/>
        <w:autoSpaceDN w:val="0"/>
        <w:adjustRightInd w:val="0"/>
        <w:rPr>
          <w:rFonts w:ascii="Calibri" w:hAnsi="Calibri" w:cs="Poppins-Light"/>
          <w:sz w:val="20"/>
          <w:szCs w:val="20"/>
        </w:rPr>
      </w:pPr>
    </w:p>
    <w:p w14:paraId="201964B0" w14:textId="0BDC5168" w:rsidR="004D21F7" w:rsidRPr="00701439" w:rsidRDefault="004D21F7" w:rsidP="00CF66B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rPr>
          <w:rFonts w:asciiTheme="minorHAnsi" w:hAnsiTheme="minorHAnsi" w:cs="Arial"/>
          <w:b/>
          <w:color w:val="4747FF"/>
          <w:sz w:val="22"/>
          <w:szCs w:val="22"/>
        </w:rPr>
      </w:pPr>
      <w:r w:rsidRPr="00701439">
        <w:rPr>
          <w:rFonts w:asciiTheme="minorHAnsi" w:hAnsiTheme="minorHAnsi" w:cs="Arial"/>
          <w:b/>
          <w:color w:val="4747FF"/>
          <w:sz w:val="22"/>
          <w:szCs w:val="22"/>
        </w:rPr>
        <w:t>1</w:t>
      </w:r>
      <w:r w:rsidR="006133EC">
        <w:rPr>
          <w:rFonts w:asciiTheme="minorHAnsi" w:hAnsiTheme="minorHAnsi" w:cs="Arial"/>
          <w:b/>
          <w:color w:val="4747FF"/>
          <w:sz w:val="22"/>
          <w:szCs w:val="22"/>
        </w:rPr>
        <w:t>0</w:t>
      </w:r>
      <w:r w:rsidRPr="00701439">
        <w:rPr>
          <w:rFonts w:asciiTheme="minorHAnsi" w:hAnsiTheme="minorHAnsi" w:cs="Arial"/>
          <w:b/>
          <w:color w:val="4747FF"/>
          <w:sz w:val="22"/>
          <w:szCs w:val="22"/>
        </w:rPr>
        <w:t xml:space="preserve">. </w:t>
      </w:r>
      <w:r>
        <w:rPr>
          <w:rFonts w:asciiTheme="minorHAnsi" w:hAnsiTheme="minorHAnsi" w:cs="Arial"/>
          <w:b/>
          <w:color w:val="4747FF"/>
          <w:sz w:val="22"/>
          <w:szCs w:val="22"/>
        </w:rPr>
        <w:t xml:space="preserve">     </w:t>
      </w:r>
      <w:r w:rsidRPr="00701439">
        <w:rPr>
          <w:rFonts w:asciiTheme="minorHAnsi" w:hAnsiTheme="minorHAnsi" w:cs="Arial"/>
          <w:b/>
          <w:color w:val="4747FF"/>
          <w:sz w:val="22"/>
          <w:szCs w:val="22"/>
        </w:rPr>
        <w:t>Other intangible assets</w:t>
      </w:r>
    </w:p>
    <w:p w14:paraId="4D14EA5B" w14:textId="77777777" w:rsidR="00EA4105" w:rsidRPr="00701439" w:rsidRDefault="00EA4105" w:rsidP="004D21F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Arial"/>
          <w:b/>
          <w:color w:val="4747FF"/>
          <w:sz w:val="22"/>
          <w:szCs w:val="22"/>
        </w:rPr>
      </w:pPr>
    </w:p>
    <w:tbl>
      <w:tblPr>
        <w:tblW w:w="9723" w:type="dxa"/>
        <w:tblLook w:val="0000" w:firstRow="0" w:lastRow="0" w:firstColumn="0" w:lastColumn="0" w:noHBand="0" w:noVBand="0"/>
      </w:tblPr>
      <w:tblGrid>
        <w:gridCol w:w="5159"/>
        <w:gridCol w:w="1787"/>
        <w:gridCol w:w="1500"/>
        <w:gridCol w:w="1277"/>
      </w:tblGrid>
      <w:tr w:rsidR="00B56461" w:rsidRPr="004C7C84" w14:paraId="2502109B" w14:textId="77777777" w:rsidTr="002725AC">
        <w:trPr>
          <w:trHeight w:val="300"/>
        </w:trPr>
        <w:tc>
          <w:tcPr>
            <w:tcW w:w="5159" w:type="dxa"/>
            <w:shd w:val="clear" w:color="auto" w:fill="auto"/>
          </w:tcPr>
          <w:p w14:paraId="078E19EE" w14:textId="77777777" w:rsidR="00B56461" w:rsidRPr="00B97C61" w:rsidRDefault="00B56461">
            <w:pPr>
              <w:rPr>
                <w:rFonts w:asciiTheme="minorHAnsi" w:hAnsiTheme="minorHAnsi" w:cs="Arial"/>
                <w:sz w:val="20"/>
                <w:szCs w:val="20"/>
              </w:rPr>
            </w:pPr>
          </w:p>
        </w:tc>
        <w:tc>
          <w:tcPr>
            <w:tcW w:w="4564" w:type="dxa"/>
            <w:gridSpan w:val="3"/>
            <w:tcBorders>
              <w:top w:val="nil"/>
              <w:left w:val="nil"/>
              <w:right w:val="nil"/>
            </w:tcBorders>
            <w:shd w:val="clear" w:color="auto" w:fill="F2F2F2" w:themeFill="background1" w:themeFillShade="F2"/>
            <w:vAlign w:val="bottom"/>
          </w:tcPr>
          <w:p w14:paraId="718561B3" w14:textId="6C59D018" w:rsidR="00B56461" w:rsidRPr="002F6001" w:rsidRDefault="00B56461">
            <w:pPr>
              <w:jc w:val="center"/>
              <w:rPr>
                <w:rFonts w:asciiTheme="minorHAnsi" w:hAnsiTheme="minorHAnsi" w:cs="Arial"/>
                <w:b/>
                <w:sz w:val="20"/>
                <w:szCs w:val="20"/>
              </w:rPr>
            </w:pPr>
            <w:r w:rsidRPr="002F6001">
              <w:rPr>
                <w:rFonts w:asciiTheme="minorHAnsi" w:hAnsiTheme="minorHAnsi" w:cs="Arial"/>
                <w:b/>
                <w:sz w:val="20"/>
                <w:szCs w:val="20"/>
              </w:rPr>
              <w:t>3</w:t>
            </w:r>
            <w:r>
              <w:rPr>
                <w:rFonts w:asciiTheme="minorHAnsi" w:hAnsiTheme="minorHAnsi" w:cs="Arial"/>
                <w:b/>
                <w:sz w:val="20"/>
                <w:szCs w:val="20"/>
              </w:rPr>
              <w:t>0 June</w:t>
            </w:r>
            <w:r w:rsidRPr="002F6001">
              <w:rPr>
                <w:rFonts w:asciiTheme="minorHAnsi" w:hAnsiTheme="minorHAnsi" w:cs="Arial"/>
                <w:b/>
                <w:sz w:val="20"/>
                <w:szCs w:val="20"/>
              </w:rPr>
              <w:t xml:space="preserve"> 202</w:t>
            </w:r>
            <w:r>
              <w:rPr>
                <w:rFonts w:asciiTheme="minorHAnsi" w:hAnsiTheme="minorHAnsi" w:cs="Arial"/>
                <w:b/>
                <w:sz w:val="20"/>
                <w:szCs w:val="20"/>
              </w:rPr>
              <w:t>4</w:t>
            </w:r>
          </w:p>
        </w:tc>
      </w:tr>
      <w:tr w:rsidR="00B56461" w:rsidRPr="004C7C84" w14:paraId="11499E29" w14:textId="77777777" w:rsidTr="002725AC">
        <w:trPr>
          <w:trHeight w:val="300"/>
        </w:trPr>
        <w:tc>
          <w:tcPr>
            <w:tcW w:w="5159" w:type="dxa"/>
            <w:shd w:val="clear" w:color="auto" w:fill="auto"/>
          </w:tcPr>
          <w:p w14:paraId="5B43D875" w14:textId="77777777" w:rsidR="00B56461" w:rsidRPr="00B97C61" w:rsidRDefault="00B56461">
            <w:pPr>
              <w:rPr>
                <w:rFonts w:asciiTheme="minorHAnsi" w:hAnsiTheme="minorHAnsi" w:cs="Arial"/>
                <w:sz w:val="20"/>
                <w:szCs w:val="20"/>
              </w:rPr>
            </w:pPr>
          </w:p>
        </w:tc>
        <w:tc>
          <w:tcPr>
            <w:tcW w:w="1787" w:type="dxa"/>
            <w:tcBorders>
              <w:top w:val="nil"/>
              <w:left w:val="nil"/>
              <w:right w:val="nil"/>
            </w:tcBorders>
            <w:shd w:val="clear" w:color="auto" w:fill="F2F2F2" w:themeFill="background1" w:themeFillShade="F2"/>
            <w:vAlign w:val="bottom"/>
          </w:tcPr>
          <w:p w14:paraId="54D3EBA7" w14:textId="77777777" w:rsidR="00B56461" w:rsidRPr="00EA4105" w:rsidRDefault="00B56461">
            <w:pPr>
              <w:jc w:val="right"/>
              <w:rPr>
                <w:rFonts w:asciiTheme="minorHAnsi" w:hAnsiTheme="minorHAnsi" w:cs="Arial"/>
                <w:sz w:val="20"/>
                <w:szCs w:val="20"/>
              </w:rPr>
            </w:pPr>
            <w:r w:rsidRPr="00EA4105">
              <w:rPr>
                <w:rFonts w:asciiTheme="minorHAnsi" w:hAnsiTheme="minorHAnsi" w:cs="Arial"/>
                <w:sz w:val="20"/>
                <w:szCs w:val="20"/>
              </w:rPr>
              <w:t>Acquisition intangibles</w:t>
            </w:r>
          </w:p>
        </w:tc>
        <w:tc>
          <w:tcPr>
            <w:tcW w:w="1500" w:type="dxa"/>
            <w:tcBorders>
              <w:top w:val="nil"/>
              <w:left w:val="nil"/>
              <w:right w:val="nil"/>
            </w:tcBorders>
            <w:shd w:val="clear" w:color="auto" w:fill="F2F2F2" w:themeFill="background1" w:themeFillShade="F2"/>
            <w:vAlign w:val="bottom"/>
          </w:tcPr>
          <w:p w14:paraId="610435C4" w14:textId="77777777" w:rsidR="00B56461" w:rsidRPr="00EA4105" w:rsidRDefault="00B56461">
            <w:pPr>
              <w:jc w:val="right"/>
              <w:rPr>
                <w:rFonts w:asciiTheme="minorHAnsi" w:hAnsiTheme="minorHAnsi" w:cs="Arial"/>
                <w:sz w:val="20"/>
                <w:szCs w:val="20"/>
              </w:rPr>
            </w:pPr>
            <w:r w:rsidRPr="00EA4105">
              <w:rPr>
                <w:rFonts w:asciiTheme="minorHAnsi" w:hAnsiTheme="minorHAnsi" w:cs="Arial"/>
                <w:sz w:val="20"/>
                <w:szCs w:val="20"/>
              </w:rPr>
              <w:t xml:space="preserve">Computer software </w:t>
            </w:r>
          </w:p>
        </w:tc>
        <w:tc>
          <w:tcPr>
            <w:tcW w:w="1277" w:type="dxa"/>
            <w:tcBorders>
              <w:top w:val="nil"/>
              <w:left w:val="nil"/>
              <w:right w:val="nil"/>
            </w:tcBorders>
            <w:shd w:val="clear" w:color="auto" w:fill="F2F2F2" w:themeFill="background1" w:themeFillShade="F2"/>
            <w:vAlign w:val="bottom"/>
          </w:tcPr>
          <w:p w14:paraId="798F80B5" w14:textId="77777777" w:rsidR="00B56461" w:rsidRPr="00EA4105" w:rsidRDefault="00B56461">
            <w:pPr>
              <w:jc w:val="right"/>
              <w:rPr>
                <w:rFonts w:asciiTheme="minorHAnsi" w:hAnsiTheme="minorHAnsi" w:cs="Arial"/>
                <w:sz w:val="20"/>
                <w:szCs w:val="20"/>
              </w:rPr>
            </w:pPr>
            <w:r w:rsidRPr="00EA4105">
              <w:rPr>
                <w:rFonts w:asciiTheme="minorHAnsi" w:hAnsiTheme="minorHAnsi" w:cs="Arial"/>
                <w:sz w:val="20"/>
                <w:szCs w:val="20"/>
              </w:rPr>
              <w:t>Total</w:t>
            </w:r>
          </w:p>
        </w:tc>
      </w:tr>
      <w:tr w:rsidR="00B56461" w:rsidRPr="004C7C84" w14:paraId="1A8D8870" w14:textId="77777777" w:rsidTr="002725AC">
        <w:trPr>
          <w:trHeight w:val="300"/>
        </w:trPr>
        <w:tc>
          <w:tcPr>
            <w:tcW w:w="5159" w:type="dxa"/>
            <w:shd w:val="clear" w:color="auto" w:fill="auto"/>
          </w:tcPr>
          <w:p w14:paraId="50454EDB" w14:textId="77777777" w:rsidR="00B56461" w:rsidRPr="00B97C61" w:rsidRDefault="00B56461">
            <w:pPr>
              <w:rPr>
                <w:rFonts w:asciiTheme="minorHAnsi" w:hAnsiTheme="minorHAnsi" w:cs="Arial"/>
                <w:sz w:val="20"/>
                <w:szCs w:val="20"/>
              </w:rPr>
            </w:pPr>
          </w:p>
        </w:tc>
        <w:tc>
          <w:tcPr>
            <w:tcW w:w="1787" w:type="dxa"/>
            <w:tcBorders>
              <w:left w:val="nil"/>
              <w:bottom w:val="single" w:sz="4" w:space="0" w:color="auto"/>
              <w:right w:val="nil"/>
            </w:tcBorders>
            <w:shd w:val="clear" w:color="auto" w:fill="F2F2F2" w:themeFill="background1" w:themeFillShade="F2"/>
            <w:vAlign w:val="bottom"/>
          </w:tcPr>
          <w:p w14:paraId="0DEEF7BC" w14:textId="77777777" w:rsidR="00B56461" w:rsidRPr="00EA4105" w:rsidRDefault="00B56461">
            <w:pPr>
              <w:jc w:val="right"/>
              <w:rPr>
                <w:rFonts w:asciiTheme="minorHAnsi" w:hAnsiTheme="minorHAnsi" w:cs="Arial"/>
                <w:sz w:val="20"/>
                <w:szCs w:val="20"/>
              </w:rPr>
            </w:pPr>
            <w:r w:rsidRPr="00EA4105">
              <w:rPr>
                <w:rFonts w:asciiTheme="minorHAnsi" w:hAnsiTheme="minorHAnsi" w:cs="Arial"/>
                <w:sz w:val="20"/>
                <w:szCs w:val="20"/>
              </w:rPr>
              <w:t>£m </w:t>
            </w:r>
          </w:p>
        </w:tc>
        <w:tc>
          <w:tcPr>
            <w:tcW w:w="1500" w:type="dxa"/>
            <w:tcBorders>
              <w:left w:val="nil"/>
              <w:bottom w:val="single" w:sz="4" w:space="0" w:color="auto"/>
              <w:right w:val="nil"/>
            </w:tcBorders>
            <w:shd w:val="clear" w:color="auto" w:fill="F2F2F2" w:themeFill="background1" w:themeFillShade="F2"/>
            <w:vAlign w:val="bottom"/>
          </w:tcPr>
          <w:p w14:paraId="23A2A869" w14:textId="77777777" w:rsidR="00B56461" w:rsidRPr="00EA4105" w:rsidRDefault="00B56461">
            <w:pPr>
              <w:jc w:val="right"/>
              <w:rPr>
                <w:rFonts w:asciiTheme="minorHAnsi" w:hAnsiTheme="minorHAnsi" w:cs="Arial"/>
                <w:sz w:val="20"/>
                <w:szCs w:val="20"/>
              </w:rPr>
            </w:pPr>
            <w:r w:rsidRPr="00EA4105">
              <w:rPr>
                <w:rFonts w:asciiTheme="minorHAnsi" w:hAnsiTheme="minorHAnsi" w:cs="Arial"/>
                <w:sz w:val="20"/>
                <w:szCs w:val="20"/>
              </w:rPr>
              <w:t>£m </w:t>
            </w:r>
          </w:p>
        </w:tc>
        <w:tc>
          <w:tcPr>
            <w:tcW w:w="1277" w:type="dxa"/>
            <w:tcBorders>
              <w:left w:val="nil"/>
              <w:bottom w:val="single" w:sz="4" w:space="0" w:color="auto"/>
              <w:right w:val="nil"/>
            </w:tcBorders>
            <w:shd w:val="clear" w:color="auto" w:fill="F2F2F2" w:themeFill="background1" w:themeFillShade="F2"/>
            <w:vAlign w:val="bottom"/>
          </w:tcPr>
          <w:p w14:paraId="32239811" w14:textId="77777777" w:rsidR="00B56461" w:rsidRPr="00EA4105" w:rsidRDefault="00B56461">
            <w:pPr>
              <w:jc w:val="right"/>
              <w:rPr>
                <w:rFonts w:asciiTheme="minorHAnsi" w:hAnsiTheme="minorHAnsi" w:cs="Arial"/>
                <w:sz w:val="20"/>
                <w:szCs w:val="20"/>
              </w:rPr>
            </w:pPr>
            <w:r w:rsidRPr="00EA4105">
              <w:rPr>
                <w:rFonts w:asciiTheme="minorHAnsi" w:hAnsiTheme="minorHAnsi" w:cs="Arial"/>
                <w:sz w:val="20"/>
                <w:szCs w:val="20"/>
              </w:rPr>
              <w:t>£m </w:t>
            </w:r>
          </w:p>
        </w:tc>
      </w:tr>
      <w:tr w:rsidR="00B56461" w:rsidRPr="004C7C84" w14:paraId="6A2EE9A7" w14:textId="77777777" w:rsidTr="002725AC">
        <w:trPr>
          <w:trHeight w:val="300"/>
        </w:trPr>
        <w:tc>
          <w:tcPr>
            <w:tcW w:w="5159" w:type="dxa"/>
            <w:shd w:val="clear" w:color="auto" w:fill="auto"/>
            <w:vAlign w:val="bottom"/>
          </w:tcPr>
          <w:p w14:paraId="42B7F65F" w14:textId="77777777" w:rsidR="00B56461" w:rsidRPr="00B97C61" w:rsidRDefault="00B56461">
            <w:pPr>
              <w:rPr>
                <w:rFonts w:asciiTheme="minorHAnsi" w:hAnsiTheme="minorHAnsi" w:cs="Arial"/>
                <w:b/>
                <w:sz w:val="20"/>
                <w:szCs w:val="20"/>
              </w:rPr>
            </w:pPr>
            <w:r w:rsidRPr="00B97C61">
              <w:rPr>
                <w:rFonts w:asciiTheme="minorHAnsi" w:hAnsiTheme="minorHAnsi" w:cs="Arial"/>
                <w:b/>
                <w:sz w:val="20"/>
                <w:szCs w:val="20"/>
              </w:rPr>
              <w:t>Cost</w:t>
            </w:r>
          </w:p>
        </w:tc>
        <w:tc>
          <w:tcPr>
            <w:tcW w:w="1787" w:type="dxa"/>
            <w:tcBorders>
              <w:top w:val="single" w:sz="4" w:space="0" w:color="auto"/>
              <w:left w:val="nil"/>
              <w:right w:val="nil"/>
            </w:tcBorders>
            <w:shd w:val="clear" w:color="auto" w:fill="F2F2F2" w:themeFill="background1" w:themeFillShade="F2"/>
            <w:vAlign w:val="bottom"/>
          </w:tcPr>
          <w:p w14:paraId="26737181" w14:textId="77777777" w:rsidR="00B56461" w:rsidRPr="004C7C84" w:rsidRDefault="00B56461">
            <w:pPr>
              <w:jc w:val="right"/>
              <w:rPr>
                <w:rFonts w:asciiTheme="minorHAnsi" w:hAnsiTheme="minorHAnsi" w:cs="Arial"/>
                <w:b/>
                <w:sz w:val="20"/>
                <w:szCs w:val="20"/>
              </w:rPr>
            </w:pPr>
          </w:p>
        </w:tc>
        <w:tc>
          <w:tcPr>
            <w:tcW w:w="1500" w:type="dxa"/>
            <w:tcBorders>
              <w:top w:val="single" w:sz="4" w:space="0" w:color="auto"/>
              <w:left w:val="nil"/>
              <w:right w:val="nil"/>
            </w:tcBorders>
            <w:shd w:val="clear" w:color="auto" w:fill="F2F2F2" w:themeFill="background1" w:themeFillShade="F2"/>
            <w:vAlign w:val="bottom"/>
          </w:tcPr>
          <w:p w14:paraId="35D63748" w14:textId="77777777" w:rsidR="00B56461" w:rsidRPr="004C7C84" w:rsidRDefault="00B56461">
            <w:pPr>
              <w:jc w:val="right"/>
              <w:rPr>
                <w:rFonts w:asciiTheme="minorHAnsi" w:hAnsiTheme="minorHAnsi" w:cs="Arial"/>
                <w:b/>
                <w:sz w:val="20"/>
                <w:szCs w:val="20"/>
              </w:rPr>
            </w:pPr>
          </w:p>
        </w:tc>
        <w:tc>
          <w:tcPr>
            <w:tcW w:w="1277" w:type="dxa"/>
            <w:tcBorders>
              <w:top w:val="single" w:sz="4" w:space="0" w:color="auto"/>
              <w:left w:val="nil"/>
              <w:right w:val="nil"/>
            </w:tcBorders>
            <w:shd w:val="clear" w:color="auto" w:fill="F2F2F2" w:themeFill="background1" w:themeFillShade="F2"/>
            <w:vAlign w:val="bottom"/>
          </w:tcPr>
          <w:p w14:paraId="7613A1B1" w14:textId="77777777" w:rsidR="00B56461" w:rsidRPr="004C7C84" w:rsidRDefault="00B56461">
            <w:pPr>
              <w:jc w:val="right"/>
              <w:rPr>
                <w:rFonts w:asciiTheme="minorHAnsi" w:hAnsiTheme="minorHAnsi" w:cs="Arial"/>
                <w:b/>
                <w:sz w:val="20"/>
                <w:szCs w:val="20"/>
              </w:rPr>
            </w:pPr>
          </w:p>
        </w:tc>
      </w:tr>
      <w:tr w:rsidR="00B56461" w:rsidRPr="004C7C84" w14:paraId="4F975364" w14:textId="77777777" w:rsidTr="002725AC">
        <w:trPr>
          <w:trHeight w:val="300"/>
        </w:trPr>
        <w:tc>
          <w:tcPr>
            <w:tcW w:w="5159" w:type="dxa"/>
            <w:shd w:val="clear" w:color="auto" w:fill="auto"/>
            <w:vAlign w:val="bottom"/>
          </w:tcPr>
          <w:p w14:paraId="24C68A4E" w14:textId="77777777" w:rsidR="00B56461" w:rsidRPr="00B97C61" w:rsidRDefault="00B56461">
            <w:pPr>
              <w:rPr>
                <w:rFonts w:asciiTheme="minorHAnsi" w:hAnsiTheme="minorHAnsi" w:cs="Arial"/>
                <w:sz w:val="20"/>
                <w:szCs w:val="20"/>
              </w:rPr>
            </w:pPr>
            <w:r w:rsidRPr="00B97C61">
              <w:rPr>
                <w:rFonts w:asciiTheme="minorHAnsi" w:hAnsiTheme="minorHAnsi" w:cs="Arial"/>
                <w:sz w:val="20"/>
                <w:szCs w:val="20"/>
              </w:rPr>
              <w:t>At 1 January</w:t>
            </w:r>
          </w:p>
        </w:tc>
        <w:tc>
          <w:tcPr>
            <w:tcW w:w="1787" w:type="dxa"/>
            <w:shd w:val="clear" w:color="auto" w:fill="F2F2F2" w:themeFill="background1" w:themeFillShade="F2"/>
            <w:vAlign w:val="bottom"/>
          </w:tcPr>
          <w:p w14:paraId="6FB4959E" w14:textId="13EB94C7" w:rsidR="00B56461" w:rsidRPr="00D42DB7" w:rsidRDefault="005B606B">
            <w:pPr>
              <w:jc w:val="right"/>
              <w:rPr>
                <w:rFonts w:asciiTheme="minorHAnsi" w:hAnsiTheme="minorHAnsi" w:cs="Arial"/>
                <w:b/>
                <w:sz w:val="20"/>
                <w:szCs w:val="20"/>
              </w:rPr>
            </w:pPr>
            <w:r w:rsidRPr="00D42DB7">
              <w:rPr>
                <w:rFonts w:asciiTheme="minorHAnsi" w:hAnsiTheme="minorHAnsi" w:cs="Arial"/>
                <w:b/>
                <w:sz w:val="20"/>
                <w:szCs w:val="20"/>
              </w:rPr>
              <w:t>86.1</w:t>
            </w:r>
          </w:p>
        </w:tc>
        <w:tc>
          <w:tcPr>
            <w:tcW w:w="1500" w:type="dxa"/>
            <w:shd w:val="clear" w:color="auto" w:fill="F2F2F2" w:themeFill="background1" w:themeFillShade="F2"/>
            <w:vAlign w:val="bottom"/>
          </w:tcPr>
          <w:p w14:paraId="7DDCD2F1" w14:textId="49952E33" w:rsidR="00B56461" w:rsidRPr="00D42DB7" w:rsidRDefault="005B606B">
            <w:pPr>
              <w:jc w:val="right"/>
              <w:rPr>
                <w:rFonts w:asciiTheme="minorHAnsi" w:hAnsiTheme="minorHAnsi" w:cs="Arial"/>
                <w:b/>
                <w:sz w:val="20"/>
                <w:szCs w:val="20"/>
              </w:rPr>
            </w:pPr>
            <w:r w:rsidRPr="00D42DB7">
              <w:rPr>
                <w:rFonts w:asciiTheme="minorHAnsi" w:hAnsiTheme="minorHAnsi" w:cs="Arial"/>
                <w:b/>
                <w:sz w:val="20"/>
                <w:szCs w:val="20"/>
              </w:rPr>
              <w:t>85.1</w:t>
            </w:r>
          </w:p>
        </w:tc>
        <w:tc>
          <w:tcPr>
            <w:tcW w:w="1277" w:type="dxa"/>
            <w:shd w:val="clear" w:color="auto" w:fill="F2F2F2" w:themeFill="background1" w:themeFillShade="F2"/>
            <w:vAlign w:val="bottom"/>
          </w:tcPr>
          <w:p w14:paraId="1B957432" w14:textId="35E21CA2" w:rsidR="00B56461" w:rsidRPr="00D42DB7" w:rsidRDefault="005B606B">
            <w:pPr>
              <w:jc w:val="right"/>
              <w:rPr>
                <w:rFonts w:asciiTheme="minorHAnsi" w:hAnsiTheme="minorHAnsi" w:cs="Arial"/>
                <w:b/>
                <w:sz w:val="20"/>
                <w:szCs w:val="20"/>
              </w:rPr>
            </w:pPr>
            <w:r w:rsidRPr="00D42DB7">
              <w:rPr>
                <w:rFonts w:asciiTheme="minorHAnsi" w:hAnsiTheme="minorHAnsi" w:cs="Arial"/>
                <w:b/>
                <w:sz w:val="20"/>
                <w:szCs w:val="20"/>
              </w:rPr>
              <w:t>171.2</w:t>
            </w:r>
          </w:p>
        </w:tc>
      </w:tr>
      <w:tr w:rsidR="00B56461" w:rsidRPr="004C7C84" w14:paraId="7B1D4087" w14:textId="77777777" w:rsidTr="002725AC">
        <w:trPr>
          <w:trHeight w:val="300"/>
        </w:trPr>
        <w:tc>
          <w:tcPr>
            <w:tcW w:w="5159" w:type="dxa"/>
            <w:shd w:val="clear" w:color="auto" w:fill="auto"/>
            <w:vAlign w:val="bottom"/>
          </w:tcPr>
          <w:p w14:paraId="7B670A20" w14:textId="77777777" w:rsidR="00B56461" w:rsidRPr="00B97C61" w:rsidRDefault="00B56461">
            <w:pPr>
              <w:rPr>
                <w:rFonts w:asciiTheme="minorHAnsi" w:hAnsiTheme="minorHAnsi" w:cs="Arial"/>
                <w:sz w:val="20"/>
                <w:szCs w:val="20"/>
              </w:rPr>
            </w:pPr>
            <w:r w:rsidRPr="00B97C61">
              <w:rPr>
                <w:rFonts w:asciiTheme="minorHAnsi" w:hAnsiTheme="minorHAnsi" w:cs="Arial"/>
                <w:sz w:val="20"/>
                <w:szCs w:val="20"/>
              </w:rPr>
              <w:t>Additions</w:t>
            </w:r>
          </w:p>
        </w:tc>
        <w:tc>
          <w:tcPr>
            <w:tcW w:w="1787" w:type="dxa"/>
            <w:shd w:val="clear" w:color="auto" w:fill="F2F2F2" w:themeFill="background1" w:themeFillShade="F2"/>
            <w:vAlign w:val="bottom"/>
          </w:tcPr>
          <w:p w14:paraId="3AFC75EC" w14:textId="2E65E57A" w:rsidR="00B56461" w:rsidRPr="00D42DB7" w:rsidRDefault="00D2482C">
            <w:pPr>
              <w:jc w:val="right"/>
              <w:rPr>
                <w:rFonts w:asciiTheme="minorHAnsi" w:hAnsiTheme="minorHAnsi" w:cs="Arial"/>
                <w:b/>
                <w:sz w:val="20"/>
                <w:szCs w:val="20"/>
              </w:rPr>
            </w:pPr>
            <w:r w:rsidRPr="00D42DB7">
              <w:rPr>
                <w:rFonts w:asciiTheme="minorHAnsi" w:hAnsiTheme="minorHAnsi" w:cs="Arial"/>
                <w:b/>
                <w:sz w:val="20"/>
                <w:szCs w:val="20"/>
              </w:rPr>
              <w:t>-</w:t>
            </w:r>
          </w:p>
        </w:tc>
        <w:tc>
          <w:tcPr>
            <w:tcW w:w="1500" w:type="dxa"/>
            <w:shd w:val="clear" w:color="auto" w:fill="F2F2F2" w:themeFill="background1" w:themeFillShade="F2"/>
            <w:vAlign w:val="bottom"/>
          </w:tcPr>
          <w:p w14:paraId="0244A1CD" w14:textId="2835145A" w:rsidR="00B56461" w:rsidRPr="00D42DB7" w:rsidRDefault="0028540B">
            <w:pPr>
              <w:jc w:val="right"/>
              <w:rPr>
                <w:rFonts w:asciiTheme="minorHAnsi" w:hAnsiTheme="minorHAnsi" w:cs="Arial"/>
                <w:b/>
                <w:sz w:val="20"/>
                <w:szCs w:val="20"/>
              </w:rPr>
            </w:pPr>
            <w:r w:rsidRPr="00D42DB7">
              <w:rPr>
                <w:rFonts w:asciiTheme="minorHAnsi" w:hAnsiTheme="minorHAnsi" w:cs="Arial"/>
                <w:b/>
                <w:sz w:val="20"/>
                <w:szCs w:val="20"/>
              </w:rPr>
              <w:t>4.5</w:t>
            </w:r>
          </w:p>
        </w:tc>
        <w:tc>
          <w:tcPr>
            <w:tcW w:w="1277" w:type="dxa"/>
            <w:shd w:val="clear" w:color="auto" w:fill="F2F2F2" w:themeFill="background1" w:themeFillShade="F2"/>
            <w:vAlign w:val="bottom"/>
          </w:tcPr>
          <w:p w14:paraId="1DFFD864" w14:textId="00AE176D" w:rsidR="00B56461" w:rsidRPr="00D42DB7" w:rsidRDefault="00F72176">
            <w:pPr>
              <w:jc w:val="right"/>
              <w:rPr>
                <w:rFonts w:asciiTheme="minorHAnsi" w:hAnsiTheme="minorHAnsi" w:cs="Arial"/>
                <w:b/>
                <w:sz w:val="20"/>
                <w:szCs w:val="20"/>
              </w:rPr>
            </w:pPr>
            <w:r w:rsidRPr="00D42DB7">
              <w:rPr>
                <w:rFonts w:asciiTheme="minorHAnsi" w:hAnsiTheme="minorHAnsi" w:cs="Arial"/>
                <w:b/>
                <w:sz w:val="20"/>
                <w:szCs w:val="20"/>
              </w:rPr>
              <w:t>4.5</w:t>
            </w:r>
          </w:p>
        </w:tc>
      </w:tr>
      <w:tr w:rsidR="00B56461" w:rsidRPr="004C7C84" w14:paraId="6699EC66" w14:textId="77777777" w:rsidTr="002725AC">
        <w:trPr>
          <w:trHeight w:val="300"/>
        </w:trPr>
        <w:tc>
          <w:tcPr>
            <w:tcW w:w="5159" w:type="dxa"/>
            <w:shd w:val="clear" w:color="auto" w:fill="auto"/>
            <w:vAlign w:val="bottom"/>
          </w:tcPr>
          <w:p w14:paraId="2C4187D6" w14:textId="77777777" w:rsidR="00B56461" w:rsidRPr="00B97C61" w:rsidRDefault="00B56461">
            <w:pPr>
              <w:rPr>
                <w:rFonts w:asciiTheme="minorHAnsi" w:hAnsiTheme="minorHAnsi" w:cs="Arial"/>
                <w:sz w:val="20"/>
                <w:szCs w:val="20"/>
              </w:rPr>
            </w:pPr>
            <w:r w:rsidRPr="00B97C61">
              <w:rPr>
                <w:rFonts w:asciiTheme="minorHAnsi" w:hAnsiTheme="minorHAnsi" w:cs="Arial"/>
                <w:sz w:val="20"/>
                <w:szCs w:val="20"/>
              </w:rPr>
              <w:t>Disposals</w:t>
            </w:r>
          </w:p>
        </w:tc>
        <w:tc>
          <w:tcPr>
            <w:tcW w:w="1787" w:type="dxa"/>
            <w:tcBorders>
              <w:bottom w:val="single" w:sz="4" w:space="0" w:color="auto"/>
            </w:tcBorders>
            <w:shd w:val="clear" w:color="auto" w:fill="F2F2F2" w:themeFill="background1" w:themeFillShade="F2"/>
            <w:vAlign w:val="bottom"/>
          </w:tcPr>
          <w:p w14:paraId="6904DBE8" w14:textId="77777777" w:rsidR="00B56461" w:rsidRPr="00D42DB7" w:rsidRDefault="00B56461">
            <w:pPr>
              <w:jc w:val="right"/>
              <w:rPr>
                <w:rFonts w:asciiTheme="minorHAnsi" w:hAnsiTheme="minorHAnsi" w:cs="Arial"/>
                <w:b/>
                <w:sz w:val="20"/>
                <w:szCs w:val="20"/>
              </w:rPr>
            </w:pPr>
            <w:r w:rsidRPr="00D42DB7">
              <w:rPr>
                <w:rFonts w:asciiTheme="minorHAnsi" w:hAnsiTheme="minorHAnsi" w:cs="Arial"/>
                <w:b/>
                <w:sz w:val="20"/>
                <w:szCs w:val="20"/>
              </w:rPr>
              <w:t>-</w:t>
            </w:r>
          </w:p>
        </w:tc>
        <w:tc>
          <w:tcPr>
            <w:tcW w:w="1500" w:type="dxa"/>
            <w:tcBorders>
              <w:bottom w:val="single" w:sz="4" w:space="0" w:color="auto"/>
            </w:tcBorders>
            <w:shd w:val="clear" w:color="auto" w:fill="F2F2F2" w:themeFill="background1" w:themeFillShade="F2"/>
            <w:vAlign w:val="bottom"/>
          </w:tcPr>
          <w:p w14:paraId="7A7531D6" w14:textId="2F14452F" w:rsidR="00B56461" w:rsidRPr="00D42DB7" w:rsidRDefault="003F3A4D">
            <w:pPr>
              <w:jc w:val="right"/>
              <w:rPr>
                <w:rFonts w:asciiTheme="minorHAnsi" w:hAnsiTheme="minorHAnsi" w:cs="Arial"/>
                <w:b/>
                <w:sz w:val="20"/>
                <w:szCs w:val="20"/>
              </w:rPr>
            </w:pPr>
            <w:r w:rsidRPr="00D42DB7">
              <w:rPr>
                <w:rFonts w:asciiTheme="minorHAnsi" w:hAnsiTheme="minorHAnsi" w:cs="Arial"/>
                <w:b/>
                <w:sz w:val="20"/>
                <w:szCs w:val="20"/>
              </w:rPr>
              <w:t>(14.2)</w:t>
            </w:r>
          </w:p>
        </w:tc>
        <w:tc>
          <w:tcPr>
            <w:tcW w:w="1277" w:type="dxa"/>
            <w:tcBorders>
              <w:bottom w:val="single" w:sz="4" w:space="0" w:color="auto"/>
            </w:tcBorders>
            <w:shd w:val="clear" w:color="auto" w:fill="F2F2F2" w:themeFill="background1" w:themeFillShade="F2"/>
            <w:vAlign w:val="bottom"/>
          </w:tcPr>
          <w:p w14:paraId="7D05E7C8" w14:textId="674ADCA2" w:rsidR="00B56461" w:rsidRPr="00D42DB7" w:rsidRDefault="00B56461">
            <w:pPr>
              <w:jc w:val="right"/>
              <w:rPr>
                <w:rFonts w:asciiTheme="minorHAnsi" w:hAnsiTheme="minorHAnsi" w:cs="Arial"/>
                <w:b/>
                <w:sz w:val="20"/>
                <w:szCs w:val="20"/>
              </w:rPr>
            </w:pPr>
            <w:r w:rsidRPr="00D42DB7">
              <w:rPr>
                <w:rFonts w:asciiTheme="minorHAnsi" w:hAnsiTheme="minorHAnsi" w:cs="Arial"/>
                <w:b/>
                <w:sz w:val="20"/>
                <w:szCs w:val="20"/>
              </w:rPr>
              <w:t>(</w:t>
            </w:r>
            <w:r w:rsidR="00F72176" w:rsidRPr="00D42DB7">
              <w:rPr>
                <w:rFonts w:asciiTheme="minorHAnsi" w:hAnsiTheme="minorHAnsi" w:cs="Arial"/>
                <w:b/>
                <w:sz w:val="20"/>
                <w:szCs w:val="20"/>
              </w:rPr>
              <w:t>14.</w:t>
            </w:r>
            <w:r w:rsidRPr="00D42DB7">
              <w:rPr>
                <w:rFonts w:asciiTheme="minorHAnsi" w:hAnsiTheme="minorHAnsi" w:cs="Arial"/>
                <w:b/>
                <w:sz w:val="20"/>
                <w:szCs w:val="20"/>
              </w:rPr>
              <w:t>2)</w:t>
            </w:r>
          </w:p>
        </w:tc>
      </w:tr>
      <w:tr w:rsidR="00B56461" w:rsidRPr="004C7C84" w14:paraId="5CDC1A61" w14:textId="77777777" w:rsidTr="002725AC">
        <w:trPr>
          <w:trHeight w:val="300"/>
        </w:trPr>
        <w:tc>
          <w:tcPr>
            <w:tcW w:w="5159" w:type="dxa"/>
            <w:shd w:val="clear" w:color="auto" w:fill="auto"/>
            <w:vAlign w:val="bottom"/>
          </w:tcPr>
          <w:p w14:paraId="3A0EF1ED" w14:textId="03F44325" w:rsidR="00B56461" w:rsidRPr="00B97C61" w:rsidRDefault="00B56461">
            <w:pPr>
              <w:ind w:left="142" w:hanging="142"/>
              <w:rPr>
                <w:rFonts w:asciiTheme="minorHAnsi" w:hAnsiTheme="minorHAnsi" w:cs="Arial"/>
                <w:sz w:val="20"/>
                <w:szCs w:val="20"/>
              </w:rPr>
            </w:pPr>
            <w:r w:rsidRPr="00B97C61">
              <w:rPr>
                <w:rFonts w:asciiTheme="minorHAnsi" w:hAnsiTheme="minorHAnsi" w:cs="Arial"/>
                <w:sz w:val="20"/>
                <w:szCs w:val="20"/>
              </w:rPr>
              <w:t xml:space="preserve">At </w:t>
            </w:r>
            <w:r>
              <w:rPr>
                <w:rFonts w:asciiTheme="minorHAnsi" w:hAnsiTheme="minorHAnsi" w:cs="Arial"/>
                <w:sz w:val="20"/>
                <w:szCs w:val="20"/>
              </w:rPr>
              <w:t>30 June</w:t>
            </w:r>
          </w:p>
        </w:tc>
        <w:tc>
          <w:tcPr>
            <w:tcW w:w="1787" w:type="dxa"/>
            <w:tcBorders>
              <w:top w:val="single" w:sz="4" w:space="0" w:color="auto"/>
              <w:bottom w:val="single" w:sz="4" w:space="0" w:color="auto"/>
            </w:tcBorders>
            <w:shd w:val="clear" w:color="auto" w:fill="F2F2F2" w:themeFill="background1" w:themeFillShade="F2"/>
            <w:vAlign w:val="bottom"/>
          </w:tcPr>
          <w:p w14:paraId="6A63E803" w14:textId="77777777" w:rsidR="00B56461" w:rsidRPr="00D42DB7" w:rsidRDefault="00B56461">
            <w:pPr>
              <w:jc w:val="right"/>
              <w:rPr>
                <w:rFonts w:asciiTheme="minorHAnsi" w:hAnsiTheme="minorHAnsi" w:cs="Arial"/>
                <w:b/>
                <w:sz w:val="20"/>
                <w:szCs w:val="20"/>
              </w:rPr>
            </w:pPr>
            <w:r w:rsidRPr="00D42DB7">
              <w:rPr>
                <w:rFonts w:asciiTheme="minorHAnsi" w:hAnsiTheme="minorHAnsi" w:cs="Arial"/>
                <w:b/>
                <w:sz w:val="20"/>
                <w:szCs w:val="20"/>
              </w:rPr>
              <w:t>86.1</w:t>
            </w:r>
          </w:p>
        </w:tc>
        <w:tc>
          <w:tcPr>
            <w:tcW w:w="1500" w:type="dxa"/>
            <w:tcBorders>
              <w:top w:val="single" w:sz="4" w:space="0" w:color="auto"/>
              <w:bottom w:val="single" w:sz="4" w:space="0" w:color="auto"/>
            </w:tcBorders>
            <w:shd w:val="clear" w:color="auto" w:fill="F2F2F2" w:themeFill="background1" w:themeFillShade="F2"/>
            <w:vAlign w:val="bottom"/>
          </w:tcPr>
          <w:p w14:paraId="15C8AFE8" w14:textId="2D525107" w:rsidR="00B56461" w:rsidRPr="00D42DB7" w:rsidRDefault="00CB16F4">
            <w:pPr>
              <w:jc w:val="right"/>
              <w:rPr>
                <w:rFonts w:asciiTheme="minorHAnsi" w:hAnsiTheme="minorHAnsi" w:cs="Arial"/>
                <w:b/>
                <w:sz w:val="20"/>
                <w:szCs w:val="20"/>
              </w:rPr>
            </w:pPr>
            <w:r w:rsidRPr="00D42DB7">
              <w:rPr>
                <w:rFonts w:asciiTheme="minorHAnsi" w:hAnsiTheme="minorHAnsi" w:cs="Arial"/>
                <w:b/>
                <w:sz w:val="20"/>
                <w:szCs w:val="20"/>
              </w:rPr>
              <w:t>75.4</w:t>
            </w:r>
          </w:p>
        </w:tc>
        <w:tc>
          <w:tcPr>
            <w:tcW w:w="1277" w:type="dxa"/>
            <w:tcBorders>
              <w:top w:val="single" w:sz="4" w:space="0" w:color="auto"/>
              <w:bottom w:val="single" w:sz="4" w:space="0" w:color="auto"/>
            </w:tcBorders>
            <w:shd w:val="clear" w:color="auto" w:fill="F2F2F2" w:themeFill="background1" w:themeFillShade="F2"/>
            <w:vAlign w:val="bottom"/>
          </w:tcPr>
          <w:p w14:paraId="4F111193" w14:textId="48CDF118" w:rsidR="00B56461" w:rsidRPr="00D42DB7" w:rsidRDefault="00B56461">
            <w:pPr>
              <w:jc w:val="right"/>
              <w:rPr>
                <w:rFonts w:asciiTheme="minorHAnsi" w:hAnsiTheme="minorHAnsi" w:cs="Arial"/>
                <w:b/>
                <w:sz w:val="20"/>
                <w:szCs w:val="20"/>
              </w:rPr>
            </w:pPr>
            <w:r w:rsidRPr="00D42DB7">
              <w:rPr>
                <w:rFonts w:asciiTheme="minorHAnsi" w:hAnsiTheme="minorHAnsi" w:cs="Arial"/>
                <w:b/>
                <w:sz w:val="20"/>
                <w:szCs w:val="20"/>
              </w:rPr>
              <w:t>1</w:t>
            </w:r>
            <w:r w:rsidR="006616F8" w:rsidRPr="00D42DB7">
              <w:rPr>
                <w:rFonts w:asciiTheme="minorHAnsi" w:hAnsiTheme="minorHAnsi" w:cs="Arial"/>
                <w:b/>
                <w:sz w:val="20"/>
                <w:szCs w:val="20"/>
              </w:rPr>
              <w:t>61.5</w:t>
            </w:r>
          </w:p>
        </w:tc>
      </w:tr>
      <w:tr w:rsidR="00B56461" w:rsidRPr="004C7C84" w14:paraId="2FD77B8B" w14:textId="77777777" w:rsidTr="002725AC">
        <w:trPr>
          <w:trHeight w:val="300"/>
        </w:trPr>
        <w:tc>
          <w:tcPr>
            <w:tcW w:w="5159" w:type="dxa"/>
            <w:shd w:val="clear" w:color="auto" w:fill="auto"/>
            <w:vAlign w:val="bottom"/>
          </w:tcPr>
          <w:p w14:paraId="02ECDD40" w14:textId="77777777" w:rsidR="00B56461" w:rsidRPr="00B97C61" w:rsidRDefault="00B56461">
            <w:pPr>
              <w:ind w:left="142" w:hanging="142"/>
              <w:rPr>
                <w:rFonts w:asciiTheme="minorHAnsi" w:hAnsiTheme="minorHAnsi" w:cs="Arial"/>
                <w:sz w:val="20"/>
                <w:szCs w:val="20"/>
              </w:rPr>
            </w:pPr>
          </w:p>
        </w:tc>
        <w:tc>
          <w:tcPr>
            <w:tcW w:w="1787" w:type="dxa"/>
            <w:tcBorders>
              <w:top w:val="single" w:sz="4" w:space="0" w:color="auto"/>
            </w:tcBorders>
            <w:shd w:val="clear" w:color="auto" w:fill="F2F2F2" w:themeFill="background1" w:themeFillShade="F2"/>
            <w:vAlign w:val="bottom"/>
          </w:tcPr>
          <w:p w14:paraId="53F083D7" w14:textId="77777777" w:rsidR="00B56461" w:rsidRPr="00D42DB7" w:rsidRDefault="00B56461">
            <w:pPr>
              <w:jc w:val="right"/>
              <w:rPr>
                <w:rFonts w:asciiTheme="minorHAnsi" w:hAnsiTheme="minorHAnsi" w:cs="Arial"/>
                <w:b/>
                <w:sz w:val="20"/>
                <w:szCs w:val="20"/>
              </w:rPr>
            </w:pPr>
          </w:p>
        </w:tc>
        <w:tc>
          <w:tcPr>
            <w:tcW w:w="1500" w:type="dxa"/>
            <w:tcBorders>
              <w:top w:val="single" w:sz="4" w:space="0" w:color="auto"/>
            </w:tcBorders>
            <w:shd w:val="clear" w:color="auto" w:fill="F2F2F2" w:themeFill="background1" w:themeFillShade="F2"/>
            <w:vAlign w:val="bottom"/>
          </w:tcPr>
          <w:p w14:paraId="4CFEB3A9" w14:textId="77777777" w:rsidR="00B56461" w:rsidRPr="00D42DB7" w:rsidRDefault="00B56461">
            <w:pPr>
              <w:jc w:val="right"/>
              <w:rPr>
                <w:rFonts w:asciiTheme="minorHAnsi" w:hAnsiTheme="minorHAnsi" w:cs="Arial"/>
                <w:b/>
                <w:sz w:val="20"/>
                <w:szCs w:val="20"/>
              </w:rPr>
            </w:pPr>
          </w:p>
        </w:tc>
        <w:tc>
          <w:tcPr>
            <w:tcW w:w="1277" w:type="dxa"/>
            <w:tcBorders>
              <w:top w:val="single" w:sz="4" w:space="0" w:color="auto"/>
            </w:tcBorders>
            <w:shd w:val="clear" w:color="auto" w:fill="F2F2F2" w:themeFill="background1" w:themeFillShade="F2"/>
            <w:vAlign w:val="bottom"/>
          </w:tcPr>
          <w:p w14:paraId="623F4218" w14:textId="77777777" w:rsidR="00B56461" w:rsidRPr="00D42DB7" w:rsidRDefault="00B56461">
            <w:pPr>
              <w:jc w:val="right"/>
              <w:rPr>
                <w:rFonts w:asciiTheme="minorHAnsi" w:hAnsiTheme="minorHAnsi" w:cs="Arial"/>
                <w:b/>
                <w:sz w:val="20"/>
                <w:szCs w:val="20"/>
              </w:rPr>
            </w:pPr>
          </w:p>
        </w:tc>
      </w:tr>
      <w:tr w:rsidR="00B56461" w:rsidRPr="004C7C84" w14:paraId="71E12891" w14:textId="77777777" w:rsidTr="002725AC">
        <w:trPr>
          <w:trHeight w:val="300"/>
        </w:trPr>
        <w:tc>
          <w:tcPr>
            <w:tcW w:w="5159" w:type="dxa"/>
            <w:shd w:val="clear" w:color="auto" w:fill="auto"/>
            <w:vAlign w:val="bottom"/>
          </w:tcPr>
          <w:p w14:paraId="78AB61C1" w14:textId="77777777" w:rsidR="00B56461" w:rsidRPr="00B97C61" w:rsidRDefault="00B56461">
            <w:pPr>
              <w:ind w:left="142" w:hanging="142"/>
              <w:rPr>
                <w:rFonts w:asciiTheme="minorHAnsi" w:hAnsiTheme="minorHAnsi" w:cs="Arial"/>
                <w:b/>
                <w:sz w:val="20"/>
                <w:szCs w:val="20"/>
              </w:rPr>
            </w:pPr>
            <w:r w:rsidRPr="00B97C61">
              <w:rPr>
                <w:rFonts w:asciiTheme="minorHAnsi" w:hAnsiTheme="minorHAnsi" w:cs="Arial"/>
                <w:b/>
                <w:sz w:val="20"/>
                <w:szCs w:val="20"/>
              </w:rPr>
              <w:t>Accumulated amortisation and impairment</w:t>
            </w:r>
          </w:p>
        </w:tc>
        <w:tc>
          <w:tcPr>
            <w:tcW w:w="1787" w:type="dxa"/>
            <w:shd w:val="clear" w:color="auto" w:fill="F2F2F2" w:themeFill="background1" w:themeFillShade="F2"/>
            <w:vAlign w:val="bottom"/>
          </w:tcPr>
          <w:p w14:paraId="61D21648" w14:textId="77777777" w:rsidR="00B56461" w:rsidRPr="00D42DB7" w:rsidRDefault="00B56461">
            <w:pPr>
              <w:jc w:val="right"/>
              <w:rPr>
                <w:rFonts w:asciiTheme="minorHAnsi" w:hAnsiTheme="minorHAnsi" w:cs="Arial"/>
                <w:b/>
                <w:sz w:val="20"/>
                <w:szCs w:val="20"/>
              </w:rPr>
            </w:pPr>
          </w:p>
        </w:tc>
        <w:tc>
          <w:tcPr>
            <w:tcW w:w="1500" w:type="dxa"/>
            <w:shd w:val="clear" w:color="auto" w:fill="F2F2F2" w:themeFill="background1" w:themeFillShade="F2"/>
            <w:vAlign w:val="bottom"/>
          </w:tcPr>
          <w:p w14:paraId="53ADBB05" w14:textId="77777777" w:rsidR="00B56461" w:rsidRPr="00D42DB7" w:rsidRDefault="00B56461">
            <w:pPr>
              <w:jc w:val="right"/>
              <w:rPr>
                <w:rFonts w:asciiTheme="minorHAnsi" w:hAnsiTheme="minorHAnsi" w:cs="Arial"/>
                <w:b/>
                <w:sz w:val="20"/>
                <w:szCs w:val="20"/>
              </w:rPr>
            </w:pPr>
          </w:p>
        </w:tc>
        <w:tc>
          <w:tcPr>
            <w:tcW w:w="1277" w:type="dxa"/>
            <w:shd w:val="clear" w:color="auto" w:fill="F2F2F2" w:themeFill="background1" w:themeFillShade="F2"/>
            <w:vAlign w:val="bottom"/>
          </w:tcPr>
          <w:p w14:paraId="4AEC9A1D" w14:textId="77777777" w:rsidR="00B56461" w:rsidRPr="00D42DB7" w:rsidRDefault="00B56461">
            <w:pPr>
              <w:jc w:val="right"/>
              <w:rPr>
                <w:rFonts w:asciiTheme="minorHAnsi" w:hAnsiTheme="minorHAnsi" w:cs="Arial"/>
                <w:b/>
                <w:sz w:val="20"/>
                <w:szCs w:val="20"/>
              </w:rPr>
            </w:pPr>
          </w:p>
        </w:tc>
      </w:tr>
      <w:tr w:rsidR="00B56461" w:rsidRPr="004C7C84" w14:paraId="17B8650C" w14:textId="77777777" w:rsidTr="002725AC">
        <w:trPr>
          <w:trHeight w:val="300"/>
        </w:trPr>
        <w:tc>
          <w:tcPr>
            <w:tcW w:w="5159" w:type="dxa"/>
            <w:shd w:val="clear" w:color="auto" w:fill="auto"/>
            <w:vAlign w:val="bottom"/>
          </w:tcPr>
          <w:p w14:paraId="65DE414D" w14:textId="77777777" w:rsidR="00B56461" w:rsidRPr="00B97C61" w:rsidRDefault="00B56461">
            <w:pPr>
              <w:rPr>
                <w:rFonts w:asciiTheme="minorHAnsi" w:hAnsiTheme="minorHAnsi" w:cs="Arial"/>
                <w:sz w:val="20"/>
                <w:szCs w:val="20"/>
              </w:rPr>
            </w:pPr>
            <w:r w:rsidRPr="00B97C61">
              <w:rPr>
                <w:rFonts w:asciiTheme="minorHAnsi" w:hAnsiTheme="minorHAnsi" w:cs="Arial"/>
                <w:sz w:val="20"/>
                <w:szCs w:val="20"/>
              </w:rPr>
              <w:t>At 1 January</w:t>
            </w:r>
          </w:p>
        </w:tc>
        <w:tc>
          <w:tcPr>
            <w:tcW w:w="1787" w:type="dxa"/>
            <w:shd w:val="clear" w:color="auto" w:fill="F2F2F2" w:themeFill="background1" w:themeFillShade="F2"/>
            <w:vAlign w:val="bottom"/>
          </w:tcPr>
          <w:p w14:paraId="1A7C2647" w14:textId="61D8EB64" w:rsidR="00B56461" w:rsidRPr="00D42DB7" w:rsidRDefault="005B606B">
            <w:pPr>
              <w:jc w:val="right"/>
              <w:rPr>
                <w:rFonts w:asciiTheme="minorHAnsi" w:hAnsiTheme="minorHAnsi" w:cs="Arial"/>
                <w:b/>
                <w:sz w:val="20"/>
                <w:szCs w:val="20"/>
              </w:rPr>
            </w:pPr>
            <w:r w:rsidRPr="00D42DB7">
              <w:rPr>
                <w:rFonts w:asciiTheme="minorHAnsi" w:hAnsiTheme="minorHAnsi" w:cs="Arial"/>
                <w:b/>
                <w:sz w:val="20"/>
                <w:szCs w:val="20"/>
              </w:rPr>
              <w:t>70.4</w:t>
            </w:r>
          </w:p>
        </w:tc>
        <w:tc>
          <w:tcPr>
            <w:tcW w:w="1500" w:type="dxa"/>
            <w:shd w:val="clear" w:color="auto" w:fill="F2F2F2" w:themeFill="background1" w:themeFillShade="F2"/>
            <w:vAlign w:val="bottom"/>
          </w:tcPr>
          <w:p w14:paraId="27D53C93" w14:textId="68E52930" w:rsidR="00B56461" w:rsidRPr="00D42DB7" w:rsidRDefault="005B606B">
            <w:pPr>
              <w:jc w:val="right"/>
              <w:rPr>
                <w:rFonts w:asciiTheme="minorHAnsi" w:hAnsiTheme="minorHAnsi" w:cs="Arial"/>
                <w:b/>
                <w:sz w:val="20"/>
                <w:szCs w:val="20"/>
              </w:rPr>
            </w:pPr>
            <w:r w:rsidRPr="00D42DB7">
              <w:rPr>
                <w:rFonts w:asciiTheme="minorHAnsi" w:hAnsiTheme="minorHAnsi" w:cs="Arial"/>
                <w:b/>
                <w:sz w:val="20"/>
                <w:szCs w:val="20"/>
              </w:rPr>
              <w:t>26.4</w:t>
            </w:r>
          </w:p>
        </w:tc>
        <w:tc>
          <w:tcPr>
            <w:tcW w:w="1277" w:type="dxa"/>
            <w:shd w:val="clear" w:color="auto" w:fill="F2F2F2" w:themeFill="background1" w:themeFillShade="F2"/>
            <w:vAlign w:val="bottom"/>
          </w:tcPr>
          <w:p w14:paraId="3A819185" w14:textId="125B0A1B" w:rsidR="00B56461" w:rsidRPr="00D42DB7" w:rsidRDefault="005B606B">
            <w:pPr>
              <w:jc w:val="right"/>
              <w:rPr>
                <w:rFonts w:asciiTheme="minorHAnsi" w:hAnsiTheme="minorHAnsi" w:cs="Arial"/>
                <w:b/>
                <w:sz w:val="20"/>
                <w:szCs w:val="20"/>
              </w:rPr>
            </w:pPr>
            <w:r w:rsidRPr="00D42DB7">
              <w:rPr>
                <w:rFonts w:asciiTheme="minorHAnsi" w:hAnsiTheme="minorHAnsi" w:cs="Arial"/>
                <w:b/>
                <w:sz w:val="20"/>
                <w:szCs w:val="20"/>
              </w:rPr>
              <w:t>96.8</w:t>
            </w:r>
          </w:p>
        </w:tc>
      </w:tr>
      <w:tr w:rsidR="00B56461" w:rsidRPr="004C7C84" w14:paraId="44779A27" w14:textId="77777777" w:rsidTr="002725AC">
        <w:trPr>
          <w:trHeight w:val="300"/>
        </w:trPr>
        <w:tc>
          <w:tcPr>
            <w:tcW w:w="5159" w:type="dxa"/>
            <w:shd w:val="clear" w:color="auto" w:fill="auto"/>
            <w:vAlign w:val="bottom"/>
          </w:tcPr>
          <w:p w14:paraId="18094D03" w14:textId="77777777" w:rsidR="00B56461" w:rsidRPr="00B97C61" w:rsidRDefault="00B56461">
            <w:pPr>
              <w:rPr>
                <w:rFonts w:asciiTheme="minorHAnsi" w:hAnsiTheme="minorHAnsi" w:cs="Arial"/>
                <w:sz w:val="20"/>
                <w:szCs w:val="20"/>
              </w:rPr>
            </w:pPr>
            <w:r w:rsidRPr="00B97C61">
              <w:rPr>
                <w:rFonts w:asciiTheme="minorHAnsi" w:hAnsiTheme="minorHAnsi" w:cs="Arial"/>
                <w:sz w:val="20"/>
                <w:szCs w:val="20"/>
              </w:rPr>
              <w:t>Charged to the income statement</w:t>
            </w:r>
          </w:p>
        </w:tc>
        <w:tc>
          <w:tcPr>
            <w:tcW w:w="1787" w:type="dxa"/>
            <w:shd w:val="clear" w:color="auto" w:fill="F2F2F2" w:themeFill="background1" w:themeFillShade="F2"/>
            <w:vAlign w:val="bottom"/>
          </w:tcPr>
          <w:p w14:paraId="37DC22CA" w14:textId="7EEE78ED" w:rsidR="00B56461" w:rsidRPr="00D42DB7" w:rsidRDefault="00D2482C">
            <w:pPr>
              <w:jc w:val="right"/>
              <w:rPr>
                <w:rFonts w:asciiTheme="minorHAnsi" w:hAnsiTheme="minorHAnsi" w:cs="Arial"/>
                <w:b/>
                <w:sz w:val="20"/>
                <w:szCs w:val="20"/>
              </w:rPr>
            </w:pPr>
            <w:r w:rsidRPr="00D42DB7">
              <w:rPr>
                <w:rFonts w:asciiTheme="minorHAnsi" w:hAnsiTheme="minorHAnsi" w:cs="Arial"/>
                <w:b/>
                <w:sz w:val="20"/>
                <w:szCs w:val="20"/>
              </w:rPr>
              <w:t>4.2</w:t>
            </w:r>
          </w:p>
        </w:tc>
        <w:tc>
          <w:tcPr>
            <w:tcW w:w="1500" w:type="dxa"/>
            <w:tcBorders>
              <w:bottom w:val="none" w:sz="12" w:space="0" w:color="000000" w:themeColor="text1"/>
            </w:tcBorders>
            <w:shd w:val="clear" w:color="auto" w:fill="F2F2F2" w:themeFill="background1" w:themeFillShade="F2"/>
            <w:vAlign w:val="bottom"/>
          </w:tcPr>
          <w:p w14:paraId="132F69CA" w14:textId="3D20008D" w:rsidR="00B56461" w:rsidRPr="00D42DB7" w:rsidRDefault="00681030">
            <w:pPr>
              <w:jc w:val="right"/>
              <w:rPr>
                <w:rFonts w:asciiTheme="minorHAnsi" w:hAnsiTheme="minorHAnsi" w:cs="Arial"/>
                <w:b/>
                <w:sz w:val="20"/>
                <w:szCs w:val="20"/>
              </w:rPr>
            </w:pPr>
            <w:r w:rsidRPr="00D42DB7">
              <w:rPr>
                <w:rFonts w:asciiTheme="minorHAnsi" w:hAnsiTheme="minorHAnsi" w:cs="Arial"/>
                <w:b/>
                <w:sz w:val="20"/>
                <w:szCs w:val="20"/>
              </w:rPr>
              <w:t>6.</w:t>
            </w:r>
            <w:r w:rsidR="2C7D93C9" w:rsidRPr="5866A31E">
              <w:rPr>
                <w:rFonts w:asciiTheme="minorHAnsi" w:hAnsiTheme="minorHAnsi" w:cs="Arial"/>
                <w:b/>
                <w:bCs/>
                <w:sz w:val="20"/>
                <w:szCs w:val="20"/>
              </w:rPr>
              <w:t>0</w:t>
            </w:r>
          </w:p>
        </w:tc>
        <w:tc>
          <w:tcPr>
            <w:tcW w:w="1277" w:type="dxa"/>
            <w:tcBorders>
              <w:bottom w:val="none" w:sz="12" w:space="0" w:color="000000" w:themeColor="text1"/>
            </w:tcBorders>
            <w:shd w:val="clear" w:color="auto" w:fill="F2F2F2" w:themeFill="background1" w:themeFillShade="F2"/>
            <w:vAlign w:val="bottom"/>
          </w:tcPr>
          <w:p w14:paraId="1CFA2C06" w14:textId="0FC1EC01" w:rsidR="00B56461" w:rsidRPr="00D42DB7" w:rsidRDefault="00B56461">
            <w:pPr>
              <w:jc w:val="right"/>
              <w:rPr>
                <w:rFonts w:asciiTheme="minorHAnsi" w:hAnsiTheme="minorHAnsi" w:cs="Arial"/>
                <w:b/>
                <w:sz w:val="20"/>
                <w:szCs w:val="20"/>
              </w:rPr>
            </w:pPr>
            <w:r w:rsidRPr="00D42DB7">
              <w:rPr>
                <w:rFonts w:asciiTheme="minorHAnsi" w:hAnsiTheme="minorHAnsi" w:cs="Arial"/>
                <w:b/>
                <w:sz w:val="20"/>
                <w:szCs w:val="20"/>
              </w:rPr>
              <w:t>1</w:t>
            </w:r>
            <w:r w:rsidR="00B96BBD" w:rsidRPr="00D42DB7">
              <w:rPr>
                <w:rFonts w:asciiTheme="minorHAnsi" w:hAnsiTheme="minorHAnsi" w:cs="Arial"/>
                <w:b/>
                <w:sz w:val="20"/>
                <w:szCs w:val="20"/>
              </w:rPr>
              <w:t>0.</w:t>
            </w:r>
            <w:r w:rsidR="32392E51" w:rsidRPr="5866A31E">
              <w:rPr>
                <w:rFonts w:asciiTheme="minorHAnsi" w:hAnsiTheme="minorHAnsi" w:cs="Arial"/>
                <w:b/>
                <w:bCs/>
                <w:sz w:val="20"/>
                <w:szCs w:val="20"/>
              </w:rPr>
              <w:t>2</w:t>
            </w:r>
          </w:p>
        </w:tc>
      </w:tr>
      <w:tr w:rsidR="00C93135" w:rsidRPr="004C7C84" w14:paraId="2D0C52AC" w14:textId="77777777" w:rsidTr="002725AC">
        <w:trPr>
          <w:trHeight w:val="300"/>
        </w:trPr>
        <w:tc>
          <w:tcPr>
            <w:tcW w:w="5159" w:type="dxa"/>
            <w:shd w:val="clear" w:color="auto" w:fill="auto"/>
            <w:vAlign w:val="bottom"/>
          </w:tcPr>
          <w:p w14:paraId="318A0314" w14:textId="465940FA" w:rsidR="00C93135" w:rsidRPr="009A011A" w:rsidRDefault="00C93135">
            <w:pPr>
              <w:rPr>
                <w:rFonts w:asciiTheme="minorHAnsi" w:hAnsiTheme="minorHAnsi" w:cs="Arial"/>
                <w:sz w:val="20"/>
                <w:szCs w:val="20"/>
              </w:rPr>
            </w:pPr>
            <w:r w:rsidRPr="009A011A">
              <w:rPr>
                <w:rFonts w:asciiTheme="minorHAnsi" w:hAnsiTheme="minorHAnsi" w:cs="Arial"/>
                <w:sz w:val="20"/>
                <w:szCs w:val="20"/>
              </w:rPr>
              <w:t>Impairment</w:t>
            </w:r>
          </w:p>
        </w:tc>
        <w:tc>
          <w:tcPr>
            <w:tcW w:w="1787" w:type="dxa"/>
            <w:tcBorders>
              <w:left w:val="nil"/>
              <w:bottom w:val="none" w:sz="4" w:space="0" w:color="000000" w:themeColor="text1"/>
              <w:right w:val="none" w:sz="12" w:space="0" w:color="000000" w:themeColor="text1"/>
            </w:tcBorders>
            <w:shd w:val="clear" w:color="auto" w:fill="F2F2F2" w:themeFill="background1" w:themeFillShade="F2"/>
            <w:vAlign w:val="bottom"/>
          </w:tcPr>
          <w:p w14:paraId="16A4E3BF" w14:textId="1241CB9A" w:rsidR="00C93135" w:rsidRPr="009A011A" w:rsidRDefault="556B7A4F">
            <w:pPr>
              <w:jc w:val="right"/>
              <w:rPr>
                <w:rFonts w:asciiTheme="minorHAnsi" w:hAnsiTheme="minorHAnsi" w:cs="Arial"/>
                <w:b/>
                <w:sz w:val="20"/>
                <w:szCs w:val="20"/>
              </w:rPr>
            </w:pPr>
            <w:r w:rsidRPr="002725AC">
              <w:rPr>
                <w:rFonts w:asciiTheme="minorHAnsi" w:hAnsiTheme="minorHAnsi" w:cs="Arial"/>
                <w:b/>
                <w:bCs/>
                <w:sz w:val="20"/>
                <w:szCs w:val="20"/>
              </w:rPr>
              <w:t>-</w:t>
            </w:r>
          </w:p>
        </w:tc>
        <w:tc>
          <w:tcPr>
            <w:tcW w:w="1500" w:type="dxa"/>
            <w:tcBorders>
              <w:top w:val="none" w:sz="12" w:space="0" w:color="000000" w:themeColor="text1"/>
              <w:left w:val="none" w:sz="12" w:space="0" w:color="000000" w:themeColor="text1"/>
              <w:bottom w:val="none" w:sz="4" w:space="0" w:color="000000" w:themeColor="text1"/>
              <w:right w:val="none" w:sz="12" w:space="0" w:color="000000" w:themeColor="text1"/>
            </w:tcBorders>
            <w:shd w:val="clear" w:color="auto" w:fill="F2F2F2" w:themeFill="background1" w:themeFillShade="F2"/>
            <w:vAlign w:val="bottom"/>
          </w:tcPr>
          <w:p w14:paraId="4EC1C2D2" w14:textId="4FC9CAE4" w:rsidR="00C93135" w:rsidRPr="009A011A" w:rsidRDefault="7BA56A43">
            <w:pPr>
              <w:jc w:val="right"/>
              <w:rPr>
                <w:rFonts w:asciiTheme="minorHAnsi" w:hAnsiTheme="minorHAnsi" w:cs="Arial"/>
                <w:b/>
                <w:sz w:val="20"/>
                <w:szCs w:val="20"/>
              </w:rPr>
            </w:pPr>
            <w:r w:rsidRPr="002725AC">
              <w:rPr>
                <w:rFonts w:asciiTheme="minorHAnsi" w:hAnsiTheme="minorHAnsi" w:cs="Arial"/>
                <w:b/>
                <w:bCs/>
                <w:sz w:val="20"/>
                <w:szCs w:val="20"/>
              </w:rPr>
              <w:t>8.5</w:t>
            </w:r>
          </w:p>
        </w:tc>
        <w:tc>
          <w:tcPr>
            <w:tcW w:w="1277" w:type="dxa"/>
            <w:tcBorders>
              <w:top w:val="none" w:sz="12" w:space="0" w:color="000000" w:themeColor="text1"/>
              <w:left w:val="none" w:sz="12" w:space="0" w:color="000000" w:themeColor="text1"/>
              <w:bottom w:val="none" w:sz="4" w:space="0" w:color="000000" w:themeColor="text1"/>
              <w:right w:val="none" w:sz="12" w:space="0" w:color="000000" w:themeColor="text1"/>
            </w:tcBorders>
            <w:shd w:val="clear" w:color="auto" w:fill="F2F2F2" w:themeFill="background1" w:themeFillShade="F2"/>
            <w:vAlign w:val="bottom"/>
          </w:tcPr>
          <w:p w14:paraId="7A5BC11C" w14:textId="24C422DA" w:rsidR="00C93135" w:rsidRPr="009A011A" w:rsidRDefault="30D91ED2">
            <w:pPr>
              <w:jc w:val="right"/>
              <w:rPr>
                <w:rFonts w:asciiTheme="minorHAnsi" w:hAnsiTheme="minorHAnsi" w:cs="Arial"/>
                <w:b/>
                <w:sz w:val="20"/>
                <w:szCs w:val="20"/>
              </w:rPr>
            </w:pPr>
            <w:r w:rsidRPr="002725AC">
              <w:rPr>
                <w:rFonts w:asciiTheme="minorHAnsi" w:hAnsiTheme="minorHAnsi" w:cs="Arial"/>
                <w:b/>
                <w:bCs/>
                <w:sz w:val="20"/>
                <w:szCs w:val="20"/>
              </w:rPr>
              <w:t>8.5</w:t>
            </w:r>
          </w:p>
        </w:tc>
      </w:tr>
      <w:tr w:rsidR="00B56461" w:rsidRPr="004C7C84" w14:paraId="6A208FEC" w14:textId="77777777" w:rsidTr="002725AC">
        <w:trPr>
          <w:trHeight w:val="300"/>
        </w:trPr>
        <w:tc>
          <w:tcPr>
            <w:tcW w:w="5159" w:type="dxa"/>
            <w:shd w:val="clear" w:color="auto" w:fill="auto"/>
            <w:vAlign w:val="bottom"/>
          </w:tcPr>
          <w:p w14:paraId="3B6197F2" w14:textId="77777777" w:rsidR="00B56461" w:rsidRPr="00B97C61" w:rsidRDefault="00B56461">
            <w:pPr>
              <w:rPr>
                <w:rFonts w:asciiTheme="minorHAnsi" w:hAnsiTheme="minorHAnsi" w:cs="Arial"/>
                <w:sz w:val="20"/>
                <w:szCs w:val="20"/>
              </w:rPr>
            </w:pPr>
            <w:r w:rsidRPr="00B97C61">
              <w:rPr>
                <w:rFonts w:asciiTheme="minorHAnsi" w:hAnsiTheme="minorHAnsi" w:cs="Arial"/>
                <w:sz w:val="20"/>
                <w:szCs w:val="20"/>
              </w:rPr>
              <w:t>Disposals</w:t>
            </w:r>
          </w:p>
        </w:tc>
        <w:tc>
          <w:tcPr>
            <w:tcW w:w="1787" w:type="dxa"/>
            <w:tcBorders>
              <w:top w:val="none" w:sz="4" w:space="0" w:color="000000" w:themeColor="text1"/>
              <w:left w:val="nil"/>
              <w:bottom w:val="single" w:sz="4" w:space="0" w:color="auto"/>
              <w:right w:val="nil"/>
            </w:tcBorders>
            <w:shd w:val="clear" w:color="auto" w:fill="F2F2F2" w:themeFill="background1" w:themeFillShade="F2"/>
            <w:vAlign w:val="bottom"/>
          </w:tcPr>
          <w:p w14:paraId="2A0EE739" w14:textId="77777777" w:rsidR="00B56461" w:rsidRPr="00D42DB7" w:rsidRDefault="00B56461">
            <w:pPr>
              <w:jc w:val="right"/>
              <w:rPr>
                <w:rFonts w:asciiTheme="minorHAnsi" w:hAnsiTheme="minorHAnsi" w:cs="Arial"/>
                <w:b/>
                <w:sz w:val="20"/>
                <w:szCs w:val="20"/>
              </w:rPr>
            </w:pPr>
            <w:r w:rsidRPr="00D42DB7">
              <w:rPr>
                <w:rFonts w:asciiTheme="minorHAnsi" w:hAnsiTheme="minorHAnsi" w:cs="Arial"/>
                <w:b/>
                <w:sz w:val="20"/>
                <w:szCs w:val="20"/>
              </w:rPr>
              <w:t>-</w:t>
            </w:r>
          </w:p>
        </w:tc>
        <w:tc>
          <w:tcPr>
            <w:tcW w:w="1500" w:type="dxa"/>
            <w:tcBorders>
              <w:top w:val="none" w:sz="4" w:space="0" w:color="000000" w:themeColor="text1"/>
              <w:left w:val="nil"/>
              <w:bottom w:val="single" w:sz="4" w:space="0" w:color="auto"/>
              <w:right w:val="nil"/>
            </w:tcBorders>
            <w:shd w:val="clear" w:color="auto" w:fill="F2F2F2" w:themeFill="background1" w:themeFillShade="F2"/>
            <w:vAlign w:val="bottom"/>
          </w:tcPr>
          <w:p w14:paraId="18C9340D" w14:textId="77245869" w:rsidR="00B56461" w:rsidRPr="00D42DB7" w:rsidRDefault="007126A1">
            <w:pPr>
              <w:jc w:val="right"/>
              <w:rPr>
                <w:rFonts w:asciiTheme="minorHAnsi" w:hAnsiTheme="minorHAnsi" w:cs="Arial"/>
                <w:b/>
                <w:sz w:val="20"/>
                <w:szCs w:val="20"/>
              </w:rPr>
            </w:pPr>
            <w:r w:rsidRPr="00D42DB7">
              <w:rPr>
                <w:rFonts w:asciiTheme="minorHAnsi" w:hAnsiTheme="minorHAnsi" w:cs="Arial"/>
                <w:b/>
                <w:sz w:val="20"/>
                <w:szCs w:val="20"/>
              </w:rPr>
              <w:t>(</w:t>
            </w:r>
            <w:r w:rsidR="12D4769D" w:rsidRPr="5866A31E">
              <w:rPr>
                <w:rFonts w:asciiTheme="minorHAnsi" w:hAnsiTheme="minorHAnsi" w:cs="Arial"/>
                <w:b/>
                <w:bCs/>
                <w:sz w:val="20"/>
                <w:szCs w:val="20"/>
              </w:rPr>
              <w:t>14.2)</w:t>
            </w:r>
          </w:p>
        </w:tc>
        <w:tc>
          <w:tcPr>
            <w:tcW w:w="1277" w:type="dxa"/>
            <w:tcBorders>
              <w:top w:val="none" w:sz="4" w:space="0" w:color="000000" w:themeColor="text1"/>
              <w:left w:val="nil"/>
              <w:bottom w:val="single" w:sz="4" w:space="0" w:color="auto"/>
              <w:right w:val="nil"/>
            </w:tcBorders>
            <w:shd w:val="clear" w:color="auto" w:fill="F2F2F2" w:themeFill="background1" w:themeFillShade="F2"/>
            <w:vAlign w:val="bottom"/>
          </w:tcPr>
          <w:p w14:paraId="79DE8EFE" w14:textId="3F6C9DAB" w:rsidR="00B56461" w:rsidRPr="00D42DB7" w:rsidRDefault="00B56461">
            <w:pPr>
              <w:jc w:val="right"/>
              <w:rPr>
                <w:rFonts w:asciiTheme="minorHAnsi" w:hAnsiTheme="minorHAnsi" w:cs="Arial"/>
                <w:b/>
                <w:sz w:val="20"/>
                <w:szCs w:val="20"/>
              </w:rPr>
            </w:pPr>
            <w:r w:rsidRPr="00D42DB7">
              <w:rPr>
                <w:rFonts w:asciiTheme="minorHAnsi" w:hAnsiTheme="minorHAnsi" w:cs="Arial"/>
                <w:b/>
                <w:sz w:val="20"/>
                <w:szCs w:val="20"/>
              </w:rPr>
              <w:t>(</w:t>
            </w:r>
            <w:r w:rsidR="19FEF0A3" w:rsidRPr="5866A31E">
              <w:rPr>
                <w:rFonts w:asciiTheme="minorHAnsi" w:hAnsiTheme="minorHAnsi" w:cs="Arial"/>
                <w:b/>
                <w:bCs/>
                <w:sz w:val="20"/>
                <w:szCs w:val="20"/>
              </w:rPr>
              <w:t>14.2</w:t>
            </w:r>
            <w:r w:rsidRPr="00D42DB7">
              <w:rPr>
                <w:rFonts w:asciiTheme="minorHAnsi" w:hAnsiTheme="minorHAnsi" w:cs="Arial"/>
                <w:b/>
                <w:sz w:val="20"/>
                <w:szCs w:val="20"/>
              </w:rPr>
              <w:t>)</w:t>
            </w:r>
          </w:p>
        </w:tc>
      </w:tr>
      <w:tr w:rsidR="00B56461" w:rsidRPr="004C7C84" w14:paraId="025583A2" w14:textId="77777777" w:rsidTr="002725AC">
        <w:trPr>
          <w:trHeight w:val="300"/>
        </w:trPr>
        <w:tc>
          <w:tcPr>
            <w:tcW w:w="5159" w:type="dxa"/>
            <w:shd w:val="clear" w:color="auto" w:fill="auto"/>
            <w:vAlign w:val="bottom"/>
          </w:tcPr>
          <w:p w14:paraId="7E3E2F11" w14:textId="65D9DF04" w:rsidR="00B56461" w:rsidRPr="00B97C61" w:rsidRDefault="00B56461">
            <w:pPr>
              <w:rPr>
                <w:rFonts w:asciiTheme="minorHAnsi" w:hAnsiTheme="minorHAnsi" w:cs="Arial"/>
                <w:sz w:val="20"/>
                <w:szCs w:val="20"/>
              </w:rPr>
            </w:pPr>
            <w:r w:rsidRPr="00B97C61">
              <w:rPr>
                <w:rFonts w:asciiTheme="minorHAnsi" w:hAnsiTheme="minorHAnsi" w:cs="Arial"/>
                <w:sz w:val="20"/>
                <w:szCs w:val="20"/>
              </w:rPr>
              <w:t>At 3</w:t>
            </w:r>
            <w:r>
              <w:rPr>
                <w:rFonts w:asciiTheme="minorHAnsi" w:hAnsiTheme="minorHAnsi" w:cs="Arial"/>
                <w:sz w:val="20"/>
                <w:szCs w:val="20"/>
              </w:rPr>
              <w:t xml:space="preserve">0 </w:t>
            </w:r>
            <w:r w:rsidR="00D914C4">
              <w:rPr>
                <w:rFonts w:asciiTheme="minorHAnsi" w:hAnsiTheme="minorHAnsi" w:cs="Arial"/>
                <w:sz w:val="20"/>
                <w:szCs w:val="20"/>
              </w:rPr>
              <w:t>June</w:t>
            </w:r>
          </w:p>
        </w:tc>
        <w:tc>
          <w:tcPr>
            <w:tcW w:w="1787" w:type="dxa"/>
            <w:tcBorders>
              <w:left w:val="nil"/>
              <w:bottom w:val="single" w:sz="4" w:space="0" w:color="auto"/>
              <w:right w:val="nil"/>
            </w:tcBorders>
            <w:shd w:val="clear" w:color="auto" w:fill="F2F2F2" w:themeFill="background1" w:themeFillShade="F2"/>
            <w:vAlign w:val="bottom"/>
          </w:tcPr>
          <w:p w14:paraId="32A09351" w14:textId="56ABB346" w:rsidR="00B56461" w:rsidRPr="00D42DB7" w:rsidRDefault="00B56461">
            <w:pPr>
              <w:jc w:val="right"/>
              <w:rPr>
                <w:rFonts w:asciiTheme="minorHAnsi" w:hAnsiTheme="minorHAnsi" w:cs="Arial"/>
                <w:b/>
                <w:sz w:val="20"/>
                <w:szCs w:val="20"/>
              </w:rPr>
            </w:pPr>
            <w:r w:rsidRPr="00D42DB7">
              <w:rPr>
                <w:rFonts w:asciiTheme="minorHAnsi" w:hAnsiTheme="minorHAnsi" w:cs="Arial"/>
                <w:b/>
                <w:sz w:val="20"/>
                <w:szCs w:val="20"/>
              </w:rPr>
              <w:t>7</w:t>
            </w:r>
            <w:r w:rsidR="005B5A01" w:rsidRPr="00D42DB7">
              <w:rPr>
                <w:rFonts w:asciiTheme="minorHAnsi" w:hAnsiTheme="minorHAnsi" w:cs="Arial"/>
                <w:b/>
                <w:sz w:val="20"/>
                <w:szCs w:val="20"/>
              </w:rPr>
              <w:t>4</w:t>
            </w:r>
            <w:r w:rsidRPr="00D42DB7">
              <w:rPr>
                <w:rFonts w:asciiTheme="minorHAnsi" w:hAnsiTheme="minorHAnsi" w:cs="Arial"/>
                <w:b/>
                <w:sz w:val="20"/>
                <w:szCs w:val="20"/>
              </w:rPr>
              <w:t>.</w:t>
            </w:r>
            <w:r w:rsidR="005B5A01" w:rsidRPr="00D42DB7">
              <w:rPr>
                <w:rFonts w:asciiTheme="minorHAnsi" w:hAnsiTheme="minorHAnsi" w:cs="Arial"/>
                <w:b/>
                <w:sz w:val="20"/>
                <w:szCs w:val="20"/>
              </w:rPr>
              <w:t>6</w:t>
            </w:r>
          </w:p>
        </w:tc>
        <w:tc>
          <w:tcPr>
            <w:tcW w:w="1500" w:type="dxa"/>
            <w:tcBorders>
              <w:left w:val="nil"/>
              <w:bottom w:val="single" w:sz="4" w:space="0" w:color="auto"/>
              <w:right w:val="nil"/>
            </w:tcBorders>
            <w:shd w:val="clear" w:color="auto" w:fill="F2F2F2" w:themeFill="background1" w:themeFillShade="F2"/>
            <w:vAlign w:val="bottom"/>
          </w:tcPr>
          <w:p w14:paraId="554052E1" w14:textId="6030CDA4" w:rsidR="00B56461" w:rsidRPr="00D42DB7" w:rsidRDefault="00A5303B">
            <w:pPr>
              <w:jc w:val="right"/>
              <w:rPr>
                <w:rFonts w:asciiTheme="minorHAnsi" w:hAnsiTheme="minorHAnsi" w:cs="Arial"/>
                <w:b/>
                <w:sz w:val="20"/>
                <w:szCs w:val="20"/>
              </w:rPr>
            </w:pPr>
            <w:r w:rsidRPr="00D42DB7">
              <w:rPr>
                <w:rFonts w:asciiTheme="minorHAnsi" w:hAnsiTheme="minorHAnsi" w:cs="Arial"/>
                <w:b/>
                <w:sz w:val="20"/>
                <w:szCs w:val="20"/>
              </w:rPr>
              <w:t>26.7</w:t>
            </w:r>
          </w:p>
        </w:tc>
        <w:tc>
          <w:tcPr>
            <w:tcW w:w="1277" w:type="dxa"/>
            <w:tcBorders>
              <w:left w:val="nil"/>
              <w:bottom w:val="single" w:sz="4" w:space="0" w:color="auto"/>
              <w:right w:val="nil"/>
            </w:tcBorders>
            <w:shd w:val="clear" w:color="auto" w:fill="F2F2F2" w:themeFill="background1" w:themeFillShade="F2"/>
            <w:vAlign w:val="bottom"/>
          </w:tcPr>
          <w:p w14:paraId="1FB87462" w14:textId="7717865C" w:rsidR="00B56461" w:rsidRPr="00D42DB7" w:rsidRDefault="00E734C7">
            <w:pPr>
              <w:jc w:val="right"/>
              <w:rPr>
                <w:rFonts w:asciiTheme="minorHAnsi" w:hAnsiTheme="minorHAnsi" w:cs="Arial"/>
                <w:b/>
                <w:sz w:val="20"/>
                <w:szCs w:val="20"/>
              </w:rPr>
            </w:pPr>
            <w:r w:rsidRPr="00D42DB7">
              <w:rPr>
                <w:rFonts w:asciiTheme="minorHAnsi" w:hAnsiTheme="minorHAnsi" w:cs="Arial"/>
                <w:b/>
                <w:sz w:val="20"/>
                <w:szCs w:val="20"/>
              </w:rPr>
              <w:t>101.3</w:t>
            </w:r>
          </w:p>
        </w:tc>
      </w:tr>
      <w:tr w:rsidR="00B56461" w:rsidRPr="004C7C84" w14:paraId="7565A941" w14:textId="77777777" w:rsidTr="002725AC">
        <w:trPr>
          <w:trHeight w:val="300"/>
        </w:trPr>
        <w:tc>
          <w:tcPr>
            <w:tcW w:w="5159" w:type="dxa"/>
            <w:shd w:val="clear" w:color="auto" w:fill="auto"/>
            <w:vAlign w:val="bottom"/>
          </w:tcPr>
          <w:p w14:paraId="25A7A1E3" w14:textId="77777777" w:rsidR="00B56461" w:rsidRPr="00B97C61" w:rsidRDefault="00B56461">
            <w:pPr>
              <w:rPr>
                <w:rFonts w:asciiTheme="minorHAnsi" w:hAnsiTheme="minorHAnsi" w:cs="Arial"/>
                <w:sz w:val="20"/>
                <w:szCs w:val="20"/>
              </w:rPr>
            </w:pPr>
          </w:p>
        </w:tc>
        <w:tc>
          <w:tcPr>
            <w:tcW w:w="1787" w:type="dxa"/>
            <w:tcBorders>
              <w:top w:val="single" w:sz="4" w:space="0" w:color="auto"/>
              <w:left w:val="nil"/>
              <w:right w:val="nil"/>
            </w:tcBorders>
            <w:shd w:val="clear" w:color="auto" w:fill="F2F2F2" w:themeFill="background1" w:themeFillShade="F2"/>
            <w:vAlign w:val="bottom"/>
          </w:tcPr>
          <w:p w14:paraId="2AFA589C" w14:textId="77777777" w:rsidR="00B56461" w:rsidRPr="00D42DB7" w:rsidRDefault="00B56461">
            <w:pPr>
              <w:jc w:val="right"/>
              <w:rPr>
                <w:rFonts w:asciiTheme="minorHAnsi" w:hAnsiTheme="minorHAnsi" w:cs="Arial"/>
                <w:b/>
                <w:sz w:val="20"/>
                <w:szCs w:val="20"/>
              </w:rPr>
            </w:pPr>
          </w:p>
        </w:tc>
        <w:tc>
          <w:tcPr>
            <w:tcW w:w="1500" w:type="dxa"/>
            <w:tcBorders>
              <w:top w:val="single" w:sz="4" w:space="0" w:color="auto"/>
              <w:left w:val="nil"/>
              <w:right w:val="nil"/>
            </w:tcBorders>
            <w:shd w:val="clear" w:color="auto" w:fill="F2F2F2" w:themeFill="background1" w:themeFillShade="F2"/>
            <w:vAlign w:val="bottom"/>
          </w:tcPr>
          <w:p w14:paraId="61262CAA" w14:textId="77777777" w:rsidR="00B56461" w:rsidRPr="00D42DB7" w:rsidRDefault="00B56461">
            <w:pPr>
              <w:jc w:val="right"/>
              <w:rPr>
                <w:rFonts w:asciiTheme="minorHAnsi" w:hAnsiTheme="minorHAnsi" w:cs="Arial"/>
                <w:b/>
                <w:sz w:val="20"/>
                <w:szCs w:val="20"/>
              </w:rPr>
            </w:pPr>
          </w:p>
        </w:tc>
        <w:tc>
          <w:tcPr>
            <w:tcW w:w="1277" w:type="dxa"/>
            <w:tcBorders>
              <w:top w:val="single" w:sz="4" w:space="0" w:color="auto"/>
              <w:left w:val="nil"/>
              <w:right w:val="nil"/>
            </w:tcBorders>
            <w:shd w:val="clear" w:color="auto" w:fill="F2F2F2" w:themeFill="background1" w:themeFillShade="F2"/>
            <w:vAlign w:val="bottom"/>
          </w:tcPr>
          <w:p w14:paraId="108C675A" w14:textId="77777777" w:rsidR="00B56461" w:rsidRPr="00D42DB7" w:rsidRDefault="00B56461">
            <w:pPr>
              <w:jc w:val="right"/>
              <w:rPr>
                <w:rFonts w:asciiTheme="minorHAnsi" w:hAnsiTheme="minorHAnsi" w:cs="Arial"/>
                <w:b/>
                <w:sz w:val="20"/>
                <w:szCs w:val="20"/>
              </w:rPr>
            </w:pPr>
          </w:p>
        </w:tc>
      </w:tr>
      <w:tr w:rsidR="00B56461" w:rsidRPr="004C7C84" w14:paraId="7FFAAF8D" w14:textId="77777777" w:rsidTr="002725AC">
        <w:trPr>
          <w:trHeight w:val="300"/>
        </w:trPr>
        <w:tc>
          <w:tcPr>
            <w:tcW w:w="5159" w:type="dxa"/>
            <w:shd w:val="clear" w:color="auto" w:fill="auto"/>
            <w:vAlign w:val="bottom"/>
          </w:tcPr>
          <w:p w14:paraId="581B2058" w14:textId="77777777" w:rsidR="00B56461" w:rsidRPr="00B97C61" w:rsidRDefault="00B56461">
            <w:pPr>
              <w:rPr>
                <w:rFonts w:asciiTheme="minorHAnsi" w:hAnsiTheme="minorHAnsi" w:cs="Arial"/>
                <w:b/>
                <w:sz w:val="20"/>
                <w:szCs w:val="20"/>
              </w:rPr>
            </w:pPr>
            <w:r w:rsidRPr="00B97C61">
              <w:rPr>
                <w:rFonts w:asciiTheme="minorHAnsi" w:hAnsiTheme="minorHAnsi" w:cs="Arial"/>
                <w:b/>
                <w:sz w:val="20"/>
                <w:szCs w:val="20"/>
              </w:rPr>
              <w:t>Net book value</w:t>
            </w:r>
          </w:p>
        </w:tc>
        <w:tc>
          <w:tcPr>
            <w:tcW w:w="1787" w:type="dxa"/>
            <w:tcBorders>
              <w:top w:val="nil"/>
              <w:left w:val="nil"/>
              <w:right w:val="nil"/>
            </w:tcBorders>
            <w:shd w:val="clear" w:color="auto" w:fill="F2F2F2" w:themeFill="background1" w:themeFillShade="F2"/>
            <w:vAlign w:val="bottom"/>
          </w:tcPr>
          <w:p w14:paraId="23B4A204" w14:textId="77777777" w:rsidR="00B56461" w:rsidRPr="00D42DB7" w:rsidRDefault="00B56461">
            <w:pPr>
              <w:jc w:val="right"/>
              <w:rPr>
                <w:rFonts w:asciiTheme="minorHAnsi" w:hAnsiTheme="minorHAnsi" w:cs="Arial"/>
                <w:b/>
                <w:sz w:val="20"/>
                <w:szCs w:val="20"/>
              </w:rPr>
            </w:pPr>
          </w:p>
        </w:tc>
        <w:tc>
          <w:tcPr>
            <w:tcW w:w="1500" w:type="dxa"/>
            <w:tcBorders>
              <w:top w:val="nil"/>
              <w:left w:val="nil"/>
              <w:right w:val="nil"/>
            </w:tcBorders>
            <w:shd w:val="clear" w:color="auto" w:fill="F2F2F2" w:themeFill="background1" w:themeFillShade="F2"/>
            <w:vAlign w:val="bottom"/>
          </w:tcPr>
          <w:p w14:paraId="63B84952" w14:textId="77777777" w:rsidR="00B56461" w:rsidRPr="00D42DB7" w:rsidRDefault="00B56461">
            <w:pPr>
              <w:jc w:val="right"/>
              <w:rPr>
                <w:rFonts w:asciiTheme="minorHAnsi" w:hAnsiTheme="minorHAnsi" w:cs="Arial"/>
                <w:b/>
                <w:sz w:val="20"/>
                <w:szCs w:val="20"/>
              </w:rPr>
            </w:pPr>
          </w:p>
        </w:tc>
        <w:tc>
          <w:tcPr>
            <w:tcW w:w="1277" w:type="dxa"/>
            <w:tcBorders>
              <w:top w:val="nil"/>
              <w:left w:val="nil"/>
              <w:right w:val="nil"/>
            </w:tcBorders>
            <w:shd w:val="clear" w:color="auto" w:fill="F2F2F2" w:themeFill="background1" w:themeFillShade="F2"/>
            <w:vAlign w:val="bottom"/>
          </w:tcPr>
          <w:p w14:paraId="2FE1AEC6" w14:textId="77777777" w:rsidR="00B56461" w:rsidRPr="00D42DB7" w:rsidRDefault="00B56461">
            <w:pPr>
              <w:jc w:val="right"/>
              <w:rPr>
                <w:rFonts w:asciiTheme="minorHAnsi" w:hAnsiTheme="minorHAnsi" w:cs="Arial"/>
                <w:b/>
                <w:sz w:val="20"/>
                <w:szCs w:val="20"/>
              </w:rPr>
            </w:pPr>
          </w:p>
        </w:tc>
      </w:tr>
      <w:tr w:rsidR="00B56461" w:rsidRPr="004C7C84" w14:paraId="09762CD7" w14:textId="77777777" w:rsidTr="002725AC">
        <w:trPr>
          <w:trHeight w:val="300"/>
        </w:trPr>
        <w:tc>
          <w:tcPr>
            <w:tcW w:w="5159" w:type="dxa"/>
            <w:shd w:val="clear" w:color="auto" w:fill="auto"/>
            <w:vAlign w:val="bottom"/>
          </w:tcPr>
          <w:p w14:paraId="4F2DBB51" w14:textId="561AE641" w:rsidR="00B56461" w:rsidRPr="00B97C61" w:rsidRDefault="00B56461">
            <w:pPr>
              <w:rPr>
                <w:rFonts w:asciiTheme="minorHAnsi" w:hAnsiTheme="minorHAnsi" w:cs="Arial"/>
                <w:sz w:val="20"/>
                <w:szCs w:val="20"/>
              </w:rPr>
            </w:pPr>
            <w:r w:rsidRPr="00B97C61">
              <w:rPr>
                <w:rFonts w:asciiTheme="minorHAnsi" w:hAnsiTheme="minorHAnsi" w:cs="Arial"/>
                <w:sz w:val="20"/>
                <w:szCs w:val="20"/>
              </w:rPr>
              <w:t>At 3</w:t>
            </w:r>
            <w:r w:rsidR="00F75A5F">
              <w:rPr>
                <w:rFonts w:asciiTheme="minorHAnsi" w:hAnsiTheme="minorHAnsi" w:cs="Arial"/>
                <w:sz w:val="20"/>
                <w:szCs w:val="20"/>
              </w:rPr>
              <w:t>0 June</w:t>
            </w:r>
          </w:p>
        </w:tc>
        <w:tc>
          <w:tcPr>
            <w:tcW w:w="1787" w:type="dxa"/>
            <w:tcBorders>
              <w:top w:val="nil"/>
              <w:left w:val="nil"/>
              <w:bottom w:val="single" w:sz="12" w:space="0" w:color="auto"/>
              <w:right w:val="nil"/>
            </w:tcBorders>
            <w:shd w:val="clear" w:color="auto" w:fill="F2F2F2" w:themeFill="background1" w:themeFillShade="F2"/>
            <w:vAlign w:val="bottom"/>
          </w:tcPr>
          <w:p w14:paraId="2877FF73" w14:textId="2FC035B2" w:rsidR="00B56461" w:rsidRPr="00D42DB7" w:rsidRDefault="00B56461">
            <w:pPr>
              <w:jc w:val="right"/>
              <w:rPr>
                <w:rFonts w:asciiTheme="minorHAnsi" w:hAnsiTheme="minorHAnsi" w:cs="Arial"/>
                <w:b/>
                <w:sz w:val="20"/>
                <w:szCs w:val="20"/>
              </w:rPr>
            </w:pPr>
            <w:r w:rsidRPr="00D42DB7">
              <w:rPr>
                <w:rFonts w:asciiTheme="minorHAnsi" w:hAnsiTheme="minorHAnsi" w:cs="Arial"/>
                <w:b/>
                <w:sz w:val="20"/>
                <w:szCs w:val="20"/>
              </w:rPr>
              <w:t>1</w:t>
            </w:r>
            <w:r w:rsidR="00C05A84" w:rsidRPr="00D42DB7">
              <w:rPr>
                <w:rFonts w:asciiTheme="minorHAnsi" w:hAnsiTheme="minorHAnsi" w:cs="Arial"/>
                <w:b/>
                <w:sz w:val="20"/>
                <w:szCs w:val="20"/>
              </w:rPr>
              <w:t>1.5</w:t>
            </w:r>
          </w:p>
        </w:tc>
        <w:tc>
          <w:tcPr>
            <w:tcW w:w="1500" w:type="dxa"/>
            <w:tcBorders>
              <w:top w:val="nil"/>
              <w:left w:val="nil"/>
              <w:bottom w:val="single" w:sz="12" w:space="0" w:color="auto"/>
              <w:right w:val="nil"/>
            </w:tcBorders>
            <w:shd w:val="clear" w:color="auto" w:fill="F2F2F2" w:themeFill="background1" w:themeFillShade="F2"/>
            <w:vAlign w:val="bottom"/>
          </w:tcPr>
          <w:p w14:paraId="1E8F9D45" w14:textId="2BABE28D" w:rsidR="00B56461" w:rsidRPr="00D42DB7" w:rsidRDefault="00C672CD">
            <w:pPr>
              <w:jc w:val="right"/>
              <w:rPr>
                <w:rFonts w:asciiTheme="minorHAnsi" w:hAnsiTheme="minorHAnsi" w:cs="Arial"/>
                <w:b/>
                <w:sz w:val="20"/>
                <w:szCs w:val="20"/>
              </w:rPr>
            </w:pPr>
            <w:r w:rsidRPr="00D42DB7">
              <w:rPr>
                <w:rFonts w:asciiTheme="minorHAnsi" w:hAnsiTheme="minorHAnsi" w:cs="Arial"/>
                <w:b/>
                <w:sz w:val="20"/>
                <w:szCs w:val="20"/>
              </w:rPr>
              <w:t>48</w:t>
            </w:r>
            <w:r w:rsidR="00B56461" w:rsidRPr="00D42DB7">
              <w:rPr>
                <w:rFonts w:asciiTheme="minorHAnsi" w:hAnsiTheme="minorHAnsi" w:cs="Arial"/>
                <w:b/>
                <w:sz w:val="20"/>
                <w:szCs w:val="20"/>
              </w:rPr>
              <w:t>.7</w:t>
            </w:r>
          </w:p>
        </w:tc>
        <w:tc>
          <w:tcPr>
            <w:tcW w:w="1277" w:type="dxa"/>
            <w:tcBorders>
              <w:top w:val="nil"/>
              <w:left w:val="nil"/>
              <w:bottom w:val="single" w:sz="12" w:space="0" w:color="auto"/>
              <w:right w:val="nil"/>
            </w:tcBorders>
            <w:shd w:val="clear" w:color="auto" w:fill="F2F2F2" w:themeFill="background1" w:themeFillShade="F2"/>
            <w:vAlign w:val="bottom"/>
          </w:tcPr>
          <w:p w14:paraId="06912647" w14:textId="7739567D" w:rsidR="00B56461" w:rsidRPr="00D42DB7" w:rsidRDefault="000F32A2">
            <w:pPr>
              <w:jc w:val="right"/>
              <w:rPr>
                <w:rFonts w:asciiTheme="minorHAnsi" w:hAnsiTheme="minorHAnsi" w:cs="Arial"/>
                <w:b/>
                <w:sz w:val="20"/>
                <w:szCs w:val="20"/>
              </w:rPr>
            </w:pPr>
            <w:r w:rsidRPr="00D42DB7">
              <w:rPr>
                <w:rFonts w:asciiTheme="minorHAnsi" w:hAnsiTheme="minorHAnsi" w:cs="Arial"/>
                <w:b/>
                <w:sz w:val="20"/>
                <w:szCs w:val="20"/>
              </w:rPr>
              <w:t>60.2</w:t>
            </w:r>
          </w:p>
        </w:tc>
      </w:tr>
      <w:tr w:rsidR="00B56461" w:rsidRPr="004C7C84" w14:paraId="4D59876F" w14:textId="77777777" w:rsidTr="002725AC">
        <w:trPr>
          <w:trHeight w:val="300"/>
        </w:trPr>
        <w:tc>
          <w:tcPr>
            <w:tcW w:w="5159" w:type="dxa"/>
            <w:shd w:val="clear" w:color="auto" w:fill="auto"/>
            <w:vAlign w:val="bottom"/>
          </w:tcPr>
          <w:p w14:paraId="15A2ECAE" w14:textId="77777777" w:rsidR="00B56461" w:rsidRPr="00B97C61" w:rsidRDefault="00B56461">
            <w:pPr>
              <w:rPr>
                <w:rFonts w:asciiTheme="minorHAnsi" w:hAnsiTheme="minorHAnsi" w:cs="Arial"/>
                <w:sz w:val="20"/>
                <w:szCs w:val="20"/>
              </w:rPr>
            </w:pPr>
            <w:r w:rsidRPr="00B97C61">
              <w:rPr>
                <w:rFonts w:asciiTheme="minorHAnsi" w:hAnsiTheme="minorHAnsi" w:cs="Arial"/>
                <w:sz w:val="20"/>
                <w:szCs w:val="20"/>
              </w:rPr>
              <w:t>At 1 January</w:t>
            </w:r>
          </w:p>
        </w:tc>
        <w:tc>
          <w:tcPr>
            <w:tcW w:w="1787" w:type="dxa"/>
            <w:tcBorders>
              <w:top w:val="single" w:sz="12" w:space="0" w:color="auto"/>
              <w:left w:val="nil"/>
              <w:bottom w:val="single" w:sz="12" w:space="0" w:color="auto"/>
              <w:right w:val="nil"/>
            </w:tcBorders>
            <w:shd w:val="clear" w:color="auto" w:fill="F2F2F2" w:themeFill="background1" w:themeFillShade="F2"/>
            <w:vAlign w:val="bottom"/>
          </w:tcPr>
          <w:p w14:paraId="265E8802" w14:textId="01EFC421" w:rsidR="00B56461" w:rsidRPr="00D42DB7" w:rsidRDefault="005B606B">
            <w:pPr>
              <w:jc w:val="right"/>
              <w:rPr>
                <w:rFonts w:asciiTheme="minorHAnsi" w:hAnsiTheme="minorHAnsi" w:cs="Arial"/>
                <w:b/>
                <w:sz w:val="20"/>
                <w:szCs w:val="20"/>
              </w:rPr>
            </w:pPr>
            <w:r w:rsidRPr="00D42DB7">
              <w:rPr>
                <w:rFonts w:asciiTheme="minorHAnsi" w:hAnsiTheme="minorHAnsi" w:cs="Arial"/>
                <w:b/>
                <w:sz w:val="20"/>
                <w:szCs w:val="20"/>
              </w:rPr>
              <w:t>15.7</w:t>
            </w:r>
          </w:p>
        </w:tc>
        <w:tc>
          <w:tcPr>
            <w:tcW w:w="1500" w:type="dxa"/>
            <w:tcBorders>
              <w:top w:val="single" w:sz="12" w:space="0" w:color="auto"/>
              <w:left w:val="nil"/>
              <w:bottom w:val="single" w:sz="12" w:space="0" w:color="auto"/>
              <w:right w:val="nil"/>
            </w:tcBorders>
            <w:shd w:val="clear" w:color="auto" w:fill="F2F2F2" w:themeFill="background1" w:themeFillShade="F2"/>
            <w:vAlign w:val="bottom"/>
          </w:tcPr>
          <w:p w14:paraId="1394826E" w14:textId="52093247" w:rsidR="00B56461" w:rsidRPr="00D42DB7" w:rsidRDefault="005B606B">
            <w:pPr>
              <w:jc w:val="right"/>
              <w:rPr>
                <w:rFonts w:asciiTheme="minorHAnsi" w:hAnsiTheme="minorHAnsi" w:cs="Arial"/>
                <w:b/>
                <w:sz w:val="20"/>
                <w:szCs w:val="20"/>
              </w:rPr>
            </w:pPr>
            <w:r w:rsidRPr="00D42DB7">
              <w:rPr>
                <w:rFonts w:asciiTheme="minorHAnsi" w:hAnsiTheme="minorHAnsi" w:cs="Arial"/>
                <w:b/>
                <w:sz w:val="20"/>
                <w:szCs w:val="20"/>
              </w:rPr>
              <w:t>58.7</w:t>
            </w:r>
          </w:p>
        </w:tc>
        <w:tc>
          <w:tcPr>
            <w:tcW w:w="1277" w:type="dxa"/>
            <w:tcBorders>
              <w:top w:val="single" w:sz="12" w:space="0" w:color="auto"/>
              <w:left w:val="nil"/>
              <w:bottom w:val="single" w:sz="12" w:space="0" w:color="auto"/>
              <w:right w:val="nil"/>
            </w:tcBorders>
            <w:shd w:val="clear" w:color="auto" w:fill="F2F2F2" w:themeFill="background1" w:themeFillShade="F2"/>
            <w:vAlign w:val="bottom"/>
          </w:tcPr>
          <w:p w14:paraId="435C774C" w14:textId="715AB824" w:rsidR="00B56461" w:rsidRPr="00D42DB7" w:rsidRDefault="005B606B">
            <w:pPr>
              <w:jc w:val="right"/>
              <w:rPr>
                <w:rFonts w:asciiTheme="minorHAnsi" w:hAnsiTheme="minorHAnsi" w:cs="Arial"/>
                <w:b/>
                <w:sz w:val="20"/>
                <w:szCs w:val="20"/>
              </w:rPr>
            </w:pPr>
            <w:r w:rsidRPr="00D42DB7">
              <w:rPr>
                <w:rFonts w:asciiTheme="minorHAnsi" w:hAnsiTheme="minorHAnsi" w:cs="Arial"/>
                <w:b/>
                <w:sz w:val="20"/>
                <w:szCs w:val="20"/>
              </w:rPr>
              <w:t>74.4</w:t>
            </w:r>
          </w:p>
        </w:tc>
      </w:tr>
    </w:tbl>
    <w:p w14:paraId="7B41BBC1" w14:textId="77777777" w:rsidR="004C7C84" w:rsidRDefault="004C7C84" w:rsidP="00F7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Arial"/>
          <w:b/>
          <w:sz w:val="20"/>
          <w:szCs w:val="20"/>
        </w:rPr>
      </w:pPr>
    </w:p>
    <w:p w14:paraId="1844ECA7" w14:textId="77777777" w:rsidR="007F0B2A" w:rsidRDefault="007F0B2A" w:rsidP="004D21F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rPr>
          <w:rFonts w:asciiTheme="minorHAnsi" w:hAnsiTheme="minorHAnsi" w:cs="Arial"/>
          <w:b/>
          <w:sz w:val="20"/>
          <w:szCs w:val="20"/>
        </w:rPr>
      </w:pPr>
    </w:p>
    <w:p w14:paraId="14AB2767" w14:textId="77777777" w:rsidR="007F0B2A" w:rsidRDefault="007F0B2A" w:rsidP="004D21F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rPr>
          <w:rFonts w:asciiTheme="minorHAnsi" w:hAnsiTheme="minorHAnsi" w:cs="Arial"/>
          <w:b/>
          <w:sz w:val="20"/>
          <w:szCs w:val="20"/>
        </w:rPr>
      </w:pPr>
    </w:p>
    <w:p w14:paraId="51BCAF0F" w14:textId="77777777" w:rsidR="007F0B2A" w:rsidRDefault="007F0B2A" w:rsidP="004D21F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rPr>
          <w:rFonts w:asciiTheme="minorHAnsi" w:hAnsiTheme="minorHAnsi" w:cs="Arial"/>
          <w:b/>
          <w:sz w:val="20"/>
          <w:szCs w:val="20"/>
        </w:rPr>
      </w:pPr>
    </w:p>
    <w:p w14:paraId="3AAAAD26" w14:textId="77777777" w:rsidR="007F0B2A" w:rsidRDefault="007F0B2A" w:rsidP="004D21F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rPr>
          <w:rFonts w:asciiTheme="minorHAnsi" w:hAnsiTheme="minorHAnsi" w:cs="Arial"/>
          <w:b/>
          <w:sz w:val="20"/>
          <w:szCs w:val="20"/>
        </w:rPr>
      </w:pPr>
    </w:p>
    <w:p w14:paraId="53A11DBF" w14:textId="77777777" w:rsidR="007F0B2A" w:rsidRDefault="007F0B2A" w:rsidP="004D21F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rPr>
          <w:rFonts w:asciiTheme="minorHAnsi" w:hAnsiTheme="minorHAnsi" w:cs="Arial"/>
          <w:b/>
          <w:sz w:val="20"/>
          <w:szCs w:val="20"/>
        </w:rPr>
      </w:pPr>
    </w:p>
    <w:p w14:paraId="601F1B94" w14:textId="77777777" w:rsidR="007F0B2A" w:rsidRDefault="007F0B2A" w:rsidP="004D21F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rPr>
          <w:rFonts w:asciiTheme="minorHAnsi" w:hAnsiTheme="minorHAnsi" w:cs="Arial"/>
          <w:b/>
          <w:sz w:val="20"/>
          <w:szCs w:val="20"/>
        </w:rPr>
      </w:pPr>
    </w:p>
    <w:p w14:paraId="3A4735D6" w14:textId="77777777" w:rsidR="00C85F68" w:rsidRDefault="00C85F68" w:rsidP="004D21F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rPr>
          <w:rFonts w:asciiTheme="minorHAnsi" w:hAnsiTheme="minorHAnsi" w:cs="Arial"/>
          <w:b/>
          <w:sz w:val="20"/>
          <w:szCs w:val="20"/>
        </w:rPr>
      </w:pPr>
    </w:p>
    <w:p w14:paraId="3E62688F" w14:textId="77777777" w:rsidR="007F0B2A" w:rsidRDefault="007F0B2A" w:rsidP="004D21F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rPr>
          <w:rFonts w:asciiTheme="minorHAnsi" w:hAnsiTheme="minorHAnsi" w:cs="Arial"/>
          <w:b/>
          <w:sz w:val="20"/>
          <w:szCs w:val="20"/>
        </w:rPr>
      </w:pPr>
    </w:p>
    <w:p w14:paraId="10BDE73F" w14:textId="77777777" w:rsidR="007F0B2A" w:rsidRDefault="007F0B2A" w:rsidP="004D21F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rPr>
          <w:rFonts w:asciiTheme="minorHAnsi" w:hAnsiTheme="minorHAnsi" w:cs="Arial"/>
          <w:b/>
          <w:sz w:val="20"/>
          <w:szCs w:val="20"/>
        </w:rPr>
      </w:pPr>
    </w:p>
    <w:p w14:paraId="1DEE7A58" w14:textId="77777777" w:rsidR="007F0B2A" w:rsidRDefault="007F0B2A" w:rsidP="004D21F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rPr>
          <w:rFonts w:asciiTheme="minorHAnsi" w:hAnsiTheme="minorHAnsi" w:cs="Arial"/>
          <w:b/>
          <w:sz w:val="20"/>
          <w:szCs w:val="20"/>
        </w:rPr>
      </w:pPr>
    </w:p>
    <w:tbl>
      <w:tblPr>
        <w:tblW w:w="5000" w:type="pct"/>
        <w:tblLook w:val="0000" w:firstRow="0" w:lastRow="0" w:firstColumn="0" w:lastColumn="0" w:noHBand="0" w:noVBand="0"/>
      </w:tblPr>
      <w:tblGrid>
        <w:gridCol w:w="5159"/>
        <w:gridCol w:w="1787"/>
        <w:gridCol w:w="1587"/>
        <w:gridCol w:w="1190"/>
      </w:tblGrid>
      <w:tr w:rsidR="004C7C84" w:rsidRPr="004C7C84" w14:paraId="7DCCC917" w14:textId="77777777" w:rsidTr="004C7C84">
        <w:tc>
          <w:tcPr>
            <w:tcW w:w="1837" w:type="pct"/>
            <w:shd w:val="clear" w:color="auto" w:fill="auto"/>
          </w:tcPr>
          <w:p w14:paraId="06DD22CF" w14:textId="07CAF8FC" w:rsidR="004C7C84" w:rsidRPr="00B97C61" w:rsidRDefault="004C7C84">
            <w:pPr>
              <w:rPr>
                <w:rFonts w:asciiTheme="minorHAnsi" w:hAnsiTheme="minorHAnsi" w:cs="Arial"/>
                <w:sz w:val="20"/>
                <w:szCs w:val="20"/>
              </w:rPr>
            </w:pPr>
          </w:p>
        </w:tc>
        <w:tc>
          <w:tcPr>
            <w:tcW w:w="1625" w:type="pct"/>
            <w:gridSpan w:val="3"/>
            <w:tcBorders>
              <w:top w:val="nil"/>
              <w:left w:val="nil"/>
              <w:right w:val="nil"/>
            </w:tcBorders>
            <w:shd w:val="clear" w:color="auto" w:fill="auto"/>
            <w:vAlign w:val="bottom"/>
          </w:tcPr>
          <w:p w14:paraId="6C8D24E1" w14:textId="6E367A1B" w:rsidR="004C7C84" w:rsidRPr="00950FA1" w:rsidRDefault="00E26219">
            <w:pPr>
              <w:jc w:val="center"/>
              <w:rPr>
                <w:rFonts w:asciiTheme="minorHAnsi" w:hAnsiTheme="minorHAnsi" w:cs="Arial"/>
                <w:sz w:val="20"/>
                <w:szCs w:val="20"/>
              </w:rPr>
            </w:pPr>
            <w:r w:rsidRPr="00950FA1">
              <w:rPr>
                <w:rFonts w:asciiTheme="minorHAnsi" w:hAnsiTheme="minorHAnsi" w:cs="Arial"/>
                <w:sz w:val="20"/>
                <w:szCs w:val="20"/>
              </w:rPr>
              <w:t xml:space="preserve">31 December </w:t>
            </w:r>
            <w:r w:rsidR="004C7C84" w:rsidRPr="00950FA1">
              <w:rPr>
                <w:rFonts w:asciiTheme="minorHAnsi" w:hAnsiTheme="minorHAnsi" w:cs="Arial"/>
                <w:sz w:val="20"/>
                <w:szCs w:val="20"/>
              </w:rPr>
              <w:t>2023</w:t>
            </w:r>
          </w:p>
        </w:tc>
      </w:tr>
      <w:tr w:rsidR="004C7C84" w:rsidRPr="004C7C84" w14:paraId="5346F83E" w14:textId="77777777" w:rsidTr="004C7C84">
        <w:tc>
          <w:tcPr>
            <w:tcW w:w="1837" w:type="pct"/>
            <w:shd w:val="clear" w:color="auto" w:fill="auto"/>
          </w:tcPr>
          <w:p w14:paraId="344B7337" w14:textId="77777777" w:rsidR="004C7C84" w:rsidRPr="00B97C61" w:rsidRDefault="004C7C84">
            <w:pPr>
              <w:rPr>
                <w:rFonts w:asciiTheme="minorHAnsi" w:hAnsiTheme="minorHAnsi" w:cs="Arial"/>
                <w:sz w:val="20"/>
                <w:szCs w:val="20"/>
              </w:rPr>
            </w:pPr>
          </w:p>
        </w:tc>
        <w:tc>
          <w:tcPr>
            <w:tcW w:w="636" w:type="pct"/>
            <w:tcBorders>
              <w:top w:val="nil"/>
              <w:left w:val="nil"/>
              <w:right w:val="nil"/>
            </w:tcBorders>
            <w:shd w:val="clear" w:color="auto" w:fill="auto"/>
            <w:vAlign w:val="bottom"/>
          </w:tcPr>
          <w:p w14:paraId="4D8FC232" w14:textId="77777777" w:rsidR="004C7C84" w:rsidRPr="00EA4105" w:rsidRDefault="004C7C84">
            <w:pPr>
              <w:jc w:val="right"/>
              <w:rPr>
                <w:rFonts w:asciiTheme="minorHAnsi" w:hAnsiTheme="minorHAnsi" w:cs="Arial"/>
                <w:sz w:val="20"/>
                <w:szCs w:val="20"/>
              </w:rPr>
            </w:pPr>
            <w:r w:rsidRPr="00EA4105">
              <w:rPr>
                <w:rFonts w:asciiTheme="minorHAnsi" w:hAnsiTheme="minorHAnsi" w:cs="Arial"/>
                <w:sz w:val="20"/>
                <w:szCs w:val="20"/>
              </w:rPr>
              <w:t>Acquisition intangibles</w:t>
            </w:r>
          </w:p>
        </w:tc>
        <w:tc>
          <w:tcPr>
            <w:tcW w:w="565" w:type="pct"/>
            <w:tcBorders>
              <w:top w:val="nil"/>
              <w:left w:val="nil"/>
              <w:right w:val="nil"/>
            </w:tcBorders>
            <w:shd w:val="clear" w:color="auto" w:fill="auto"/>
            <w:vAlign w:val="bottom"/>
          </w:tcPr>
          <w:p w14:paraId="1F19E15E" w14:textId="77777777" w:rsidR="004C7C84" w:rsidRPr="00EA4105" w:rsidRDefault="004C7C84">
            <w:pPr>
              <w:jc w:val="right"/>
              <w:rPr>
                <w:rFonts w:asciiTheme="minorHAnsi" w:hAnsiTheme="minorHAnsi" w:cs="Arial"/>
                <w:sz w:val="20"/>
                <w:szCs w:val="20"/>
              </w:rPr>
            </w:pPr>
            <w:r w:rsidRPr="00EA4105">
              <w:rPr>
                <w:rFonts w:asciiTheme="minorHAnsi" w:hAnsiTheme="minorHAnsi" w:cs="Arial"/>
                <w:sz w:val="20"/>
                <w:szCs w:val="20"/>
              </w:rPr>
              <w:t xml:space="preserve">Computer software </w:t>
            </w:r>
          </w:p>
        </w:tc>
        <w:tc>
          <w:tcPr>
            <w:tcW w:w="424" w:type="pct"/>
            <w:tcBorders>
              <w:top w:val="nil"/>
              <w:left w:val="nil"/>
              <w:right w:val="nil"/>
            </w:tcBorders>
            <w:shd w:val="clear" w:color="auto" w:fill="auto"/>
            <w:vAlign w:val="bottom"/>
          </w:tcPr>
          <w:p w14:paraId="3EE78786" w14:textId="77777777" w:rsidR="004C7C84" w:rsidRPr="00EA4105" w:rsidRDefault="004C7C84">
            <w:pPr>
              <w:jc w:val="right"/>
              <w:rPr>
                <w:rFonts w:asciiTheme="minorHAnsi" w:hAnsiTheme="minorHAnsi" w:cs="Arial"/>
                <w:sz w:val="20"/>
                <w:szCs w:val="20"/>
              </w:rPr>
            </w:pPr>
            <w:r w:rsidRPr="00EA4105">
              <w:rPr>
                <w:rFonts w:asciiTheme="minorHAnsi" w:hAnsiTheme="minorHAnsi" w:cs="Arial"/>
                <w:sz w:val="20"/>
                <w:szCs w:val="20"/>
              </w:rPr>
              <w:t>Total</w:t>
            </w:r>
          </w:p>
        </w:tc>
      </w:tr>
      <w:tr w:rsidR="004C7C84" w:rsidRPr="004C7C84" w14:paraId="23EA2FBA" w14:textId="77777777" w:rsidTr="004C7C84">
        <w:tc>
          <w:tcPr>
            <w:tcW w:w="1837" w:type="pct"/>
            <w:shd w:val="clear" w:color="auto" w:fill="auto"/>
          </w:tcPr>
          <w:p w14:paraId="64AE572F" w14:textId="77777777" w:rsidR="004C7C84" w:rsidRPr="00B97C61" w:rsidRDefault="004C7C84">
            <w:pPr>
              <w:rPr>
                <w:rFonts w:asciiTheme="minorHAnsi" w:hAnsiTheme="minorHAnsi" w:cs="Arial"/>
                <w:sz w:val="20"/>
                <w:szCs w:val="20"/>
              </w:rPr>
            </w:pPr>
          </w:p>
        </w:tc>
        <w:tc>
          <w:tcPr>
            <w:tcW w:w="636" w:type="pct"/>
            <w:tcBorders>
              <w:left w:val="nil"/>
              <w:bottom w:val="single" w:sz="4" w:space="0" w:color="auto"/>
              <w:right w:val="nil"/>
            </w:tcBorders>
            <w:shd w:val="clear" w:color="auto" w:fill="auto"/>
            <w:vAlign w:val="bottom"/>
          </w:tcPr>
          <w:p w14:paraId="0F539F29" w14:textId="77777777" w:rsidR="004C7C84" w:rsidRPr="00EA4105" w:rsidRDefault="004C7C84">
            <w:pPr>
              <w:jc w:val="right"/>
              <w:rPr>
                <w:rFonts w:asciiTheme="minorHAnsi" w:hAnsiTheme="minorHAnsi" w:cs="Arial"/>
                <w:sz w:val="20"/>
                <w:szCs w:val="20"/>
              </w:rPr>
            </w:pPr>
            <w:r w:rsidRPr="00EA4105">
              <w:rPr>
                <w:rFonts w:asciiTheme="minorHAnsi" w:hAnsiTheme="minorHAnsi" w:cs="Arial"/>
                <w:sz w:val="20"/>
                <w:szCs w:val="20"/>
              </w:rPr>
              <w:t>£m </w:t>
            </w:r>
          </w:p>
        </w:tc>
        <w:tc>
          <w:tcPr>
            <w:tcW w:w="565" w:type="pct"/>
            <w:tcBorders>
              <w:left w:val="nil"/>
              <w:bottom w:val="single" w:sz="4" w:space="0" w:color="auto"/>
              <w:right w:val="nil"/>
            </w:tcBorders>
            <w:shd w:val="clear" w:color="auto" w:fill="auto"/>
            <w:vAlign w:val="bottom"/>
          </w:tcPr>
          <w:p w14:paraId="160DAFC1" w14:textId="77777777" w:rsidR="004C7C84" w:rsidRPr="00EA4105" w:rsidRDefault="004C7C84">
            <w:pPr>
              <w:jc w:val="right"/>
              <w:rPr>
                <w:rFonts w:asciiTheme="minorHAnsi" w:hAnsiTheme="minorHAnsi" w:cs="Arial"/>
                <w:sz w:val="20"/>
                <w:szCs w:val="20"/>
              </w:rPr>
            </w:pPr>
            <w:r w:rsidRPr="00EA4105">
              <w:rPr>
                <w:rFonts w:asciiTheme="minorHAnsi" w:hAnsiTheme="minorHAnsi" w:cs="Arial"/>
                <w:sz w:val="20"/>
                <w:szCs w:val="20"/>
              </w:rPr>
              <w:t>£m </w:t>
            </w:r>
          </w:p>
        </w:tc>
        <w:tc>
          <w:tcPr>
            <w:tcW w:w="424" w:type="pct"/>
            <w:tcBorders>
              <w:left w:val="nil"/>
              <w:bottom w:val="single" w:sz="4" w:space="0" w:color="auto"/>
              <w:right w:val="nil"/>
            </w:tcBorders>
            <w:shd w:val="clear" w:color="auto" w:fill="auto"/>
            <w:vAlign w:val="bottom"/>
          </w:tcPr>
          <w:p w14:paraId="261C3A02" w14:textId="77777777" w:rsidR="004C7C84" w:rsidRPr="00EA4105" w:rsidRDefault="004C7C84">
            <w:pPr>
              <w:jc w:val="right"/>
              <w:rPr>
                <w:rFonts w:asciiTheme="minorHAnsi" w:hAnsiTheme="minorHAnsi" w:cs="Arial"/>
                <w:sz w:val="20"/>
                <w:szCs w:val="20"/>
              </w:rPr>
            </w:pPr>
            <w:r w:rsidRPr="00EA4105">
              <w:rPr>
                <w:rFonts w:asciiTheme="minorHAnsi" w:hAnsiTheme="minorHAnsi" w:cs="Arial"/>
                <w:sz w:val="20"/>
                <w:szCs w:val="20"/>
              </w:rPr>
              <w:t>£m </w:t>
            </w:r>
          </w:p>
        </w:tc>
      </w:tr>
      <w:tr w:rsidR="004C7C84" w:rsidRPr="004C7C84" w14:paraId="0327F85D" w14:textId="77777777" w:rsidTr="004C7C84">
        <w:tc>
          <w:tcPr>
            <w:tcW w:w="1837" w:type="pct"/>
            <w:shd w:val="clear" w:color="auto" w:fill="auto"/>
            <w:vAlign w:val="bottom"/>
          </w:tcPr>
          <w:p w14:paraId="6A35B39B" w14:textId="77777777" w:rsidR="004C7C84" w:rsidRPr="00B97C61" w:rsidRDefault="004C7C84">
            <w:pPr>
              <w:rPr>
                <w:rFonts w:asciiTheme="minorHAnsi" w:hAnsiTheme="minorHAnsi" w:cs="Arial"/>
                <w:b/>
                <w:sz w:val="20"/>
                <w:szCs w:val="20"/>
              </w:rPr>
            </w:pPr>
            <w:r w:rsidRPr="00B97C61">
              <w:rPr>
                <w:rFonts w:asciiTheme="minorHAnsi" w:hAnsiTheme="minorHAnsi" w:cs="Arial"/>
                <w:b/>
                <w:sz w:val="20"/>
                <w:szCs w:val="20"/>
              </w:rPr>
              <w:t>Cost</w:t>
            </w:r>
          </w:p>
        </w:tc>
        <w:tc>
          <w:tcPr>
            <w:tcW w:w="636" w:type="pct"/>
            <w:tcBorders>
              <w:top w:val="single" w:sz="4" w:space="0" w:color="auto"/>
              <w:left w:val="nil"/>
              <w:right w:val="nil"/>
            </w:tcBorders>
            <w:shd w:val="clear" w:color="auto" w:fill="auto"/>
            <w:vAlign w:val="bottom"/>
          </w:tcPr>
          <w:p w14:paraId="293834A0" w14:textId="77777777" w:rsidR="004C7C84" w:rsidRPr="004C7C84" w:rsidRDefault="004C7C84">
            <w:pPr>
              <w:jc w:val="right"/>
              <w:rPr>
                <w:rFonts w:asciiTheme="minorHAnsi" w:hAnsiTheme="minorHAnsi" w:cs="Arial"/>
                <w:b/>
                <w:sz w:val="20"/>
                <w:szCs w:val="20"/>
              </w:rPr>
            </w:pPr>
          </w:p>
        </w:tc>
        <w:tc>
          <w:tcPr>
            <w:tcW w:w="565" w:type="pct"/>
            <w:tcBorders>
              <w:top w:val="single" w:sz="4" w:space="0" w:color="auto"/>
              <w:left w:val="nil"/>
              <w:right w:val="nil"/>
            </w:tcBorders>
            <w:shd w:val="clear" w:color="auto" w:fill="auto"/>
            <w:vAlign w:val="bottom"/>
          </w:tcPr>
          <w:p w14:paraId="6C47A681" w14:textId="77777777" w:rsidR="004C7C84" w:rsidRPr="004C7C84" w:rsidRDefault="004C7C84">
            <w:pPr>
              <w:jc w:val="right"/>
              <w:rPr>
                <w:rFonts w:asciiTheme="minorHAnsi" w:hAnsiTheme="minorHAnsi" w:cs="Arial"/>
                <w:b/>
                <w:sz w:val="20"/>
                <w:szCs w:val="20"/>
              </w:rPr>
            </w:pPr>
          </w:p>
        </w:tc>
        <w:tc>
          <w:tcPr>
            <w:tcW w:w="424" w:type="pct"/>
            <w:tcBorders>
              <w:top w:val="single" w:sz="4" w:space="0" w:color="auto"/>
              <w:left w:val="nil"/>
              <w:right w:val="nil"/>
            </w:tcBorders>
            <w:shd w:val="clear" w:color="auto" w:fill="auto"/>
            <w:vAlign w:val="bottom"/>
          </w:tcPr>
          <w:p w14:paraId="13CB8E8A" w14:textId="77777777" w:rsidR="004C7C84" w:rsidRPr="004C7C84" w:rsidRDefault="004C7C84">
            <w:pPr>
              <w:jc w:val="right"/>
              <w:rPr>
                <w:rFonts w:asciiTheme="minorHAnsi" w:hAnsiTheme="minorHAnsi" w:cs="Arial"/>
                <w:b/>
                <w:sz w:val="20"/>
                <w:szCs w:val="20"/>
              </w:rPr>
            </w:pPr>
          </w:p>
        </w:tc>
      </w:tr>
      <w:tr w:rsidR="004C7C84" w:rsidRPr="004C7C84" w14:paraId="1DAA59ED" w14:textId="77777777" w:rsidTr="004C7C84">
        <w:tc>
          <w:tcPr>
            <w:tcW w:w="1837" w:type="pct"/>
            <w:shd w:val="clear" w:color="auto" w:fill="auto"/>
            <w:vAlign w:val="bottom"/>
          </w:tcPr>
          <w:p w14:paraId="2F6FAC0D" w14:textId="72EB06D8" w:rsidR="004C7C84" w:rsidRPr="00B97C61" w:rsidRDefault="004C7C84">
            <w:pPr>
              <w:rPr>
                <w:rFonts w:asciiTheme="minorHAnsi" w:hAnsiTheme="minorHAnsi" w:cs="Arial"/>
                <w:sz w:val="20"/>
                <w:szCs w:val="20"/>
              </w:rPr>
            </w:pPr>
            <w:r w:rsidRPr="00B97C61">
              <w:rPr>
                <w:rFonts w:asciiTheme="minorHAnsi" w:hAnsiTheme="minorHAnsi" w:cs="Arial"/>
                <w:sz w:val="20"/>
                <w:szCs w:val="20"/>
              </w:rPr>
              <w:t xml:space="preserve">At 1 </w:t>
            </w:r>
            <w:r w:rsidR="008A7AC6">
              <w:rPr>
                <w:rFonts w:asciiTheme="minorHAnsi" w:hAnsiTheme="minorHAnsi" w:cs="Arial"/>
                <w:sz w:val="20"/>
                <w:szCs w:val="20"/>
              </w:rPr>
              <w:t>Jan</w:t>
            </w:r>
            <w:r w:rsidR="00392FC0">
              <w:rPr>
                <w:rFonts w:asciiTheme="minorHAnsi" w:hAnsiTheme="minorHAnsi" w:cs="Arial"/>
                <w:sz w:val="20"/>
                <w:szCs w:val="20"/>
              </w:rPr>
              <w:t>uary</w:t>
            </w:r>
          </w:p>
        </w:tc>
        <w:tc>
          <w:tcPr>
            <w:tcW w:w="636" w:type="pct"/>
            <w:shd w:val="clear" w:color="auto" w:fill="auto"/>
            <w:vAlign w:val="bottom"/>
          </w:tcPr>
          <w:p w14:paraId="6A284544" w14:textId="77777777" w:rsidR="004C7C84" w:rsidRPr="006D4208" w:rsidRDefault="004C7C84">
            <w:pPr>
              <w:jc w:val="right"/>
              <w:rPr>
                <w:rFonts w:asciiTheme="minorHAnsi" w:hAnsiTheme="minorHAnsi" w:cs="Arial"/>
                <w:sz w:val="20"/>
                <w:szCs w:val="20"/>
              </w:rPr>
            </w:pPr>
            <w:r w:rsidRPr="006D4208">
              <w:rPr>
                <w:rFonts w:asciiTheme="minorHAnsi" w:hAnsiTheme="minorHAnsi" w:cs="Arial"/>
                <w:sz w:val="20"/>
                <w:szCs w:val="20"/>
              </w:rPr>
              <w:t>75.0</w:t>
            </w:r>
          </w:p>
        </w:tc>
        <w:tc>
          <w:tcPr>
            <w:tcW w:w="565" w:type="pct"/>
            <w:shd w:val="clear" w:color="auto" w:fill="auto"/>
            <w:vAlign w:val="bottom"/>
          </w:tcPr>
          <w:p w14:paraId="25F62AAE" w14:textId="77777777" w:rsidR="004C7C84" w:rsidRPr="006D4208" w:rsidRDefault="004C7C84">
            <w:pPr>
              <w:jc w:val="right"/>
              <w:rPr>
                <w:rFonts w:asciiTheme="minorHAnsi" w:hAnsiTheme="minorHAnsi" w:cs="Arial"/>
                <w:sz w:val="20"/>
                <w:szCs w:val="20"/>
              </w:rPr>
            </w:pPr>
            <w:r w:rsidRPr="006D4208">
              <w:rPr>
                <w:rFonts w:asciiTheme="minorHAnsi" w:hAnsiTheme="minorHAnsi" w:cs="Arial"/>
                <w:sz w:val="20"/>
                <w:szCs w:val="20"/>
              </w:rPr>
              <w:t>68.5</w:t>
            </w:r>
          </w:p>
        </w:tc>
        <w:tc>
          <w:tcPr>
            <w:tcW w:w="424" w:type="pct"/>
            <w:shd w:val="clear" w:color="auto" w:fill="auto"/>
            <w:vAlign w:val="bottom"/>
          </w:tcPr>
          <w:p w14:paraId="6FD01B0B" w14:textId="77777777" w:rsidR="004C7C84" w:rsidRPr="006D4208" w:rsidRDefault="004C7C84">
            <w:pPr>
              <w:jc w:val="right"/>
              <w:rPr>
                <w:rFonts w:asciiTheme="minorHAnsi" w:hAnsiTheme="minorHAnsi" w:cs="Arial"/>
                <w:sz w:val="20"/>
                <w:szCs w:val="20"/>
              </w:rPr>
            </w:pPr>
            <w:r w:rsidRPr="006D4208">
              <w:rPr>
                <w:rFonts w:asciiTheme="minorHAnsi" w:hAnsiTheme="minorHAnsi" w:cs="Arial"/>
                <w:sz w:val="20"/>
                <w:szCs w:val="20"/>
              </w:rPr>
              <w:t>143.5</w:t>
            </w:r>
          </w:p>
        </w:tc>
      </w:tr>
      <w:tr w:rsidR="004C7C84" w:rsidRPr="004C7C84" w14:paraId="331F9EA5" w14:textId="77777777" w:rsidTr="004C7C84">
        <w:tc>
          <w:tcPr>
            <w:tcW w:w="1837" w:type="pct"/>
            <w:shd w:val="clear" w:color="auto" w:fill="auto"/>
            <w:vAlign w:val="bottom"/>
          </w:tcPr>
          <w:p w14:paraId="2B48A65A" w14:textId="77777777" w:rsidR="004C7C84" w:rsidRPr="00B97C61" w:rsidRDefault="004C7C84">
            <w:pPr>
              <w:rPr>
                <w:rFonts w:asciiTheme="minorHAnsi" w:hAnsiTheme="minorHAnsi" w:cs="Arial"/>
                <w:sz w:val="20"/>
                <w:szCs w:val="20"/>
              </w:rPr>
            </w:pPr>
            <w:r w:rsidRPr="00B97C61">
              <w:rPr>
                <w:rFonts w:asciiTheme="minorHAnsi" w:hAnsiTheme="minorHAnsi" w:cs="Arial"/>
                <w:sz w:val="20"/>
                <w:szCs w:val="20"/>
              </w:rPr>
              <w:t>Additions</w:t>
            </w:r>
          </w:p>
        </w:tc>
        <w:tc>
          <w:tcPr>
            <w:tcW w:w="636" w:type="pct"/>
            <w:shd w:val="clear" w:color="auto" w:fill="auto"/>
            <w:vAlign w:val="bottom"/>
          </w:tcPr>
          <w:p w14:paraId="1D228897" w14:textId="77777777" w:rsidR="004C7C84" w:rsidRPr="006D4208" w:rsidRDefault="004C7C84">
            <w:pPr>
              <w:jc w:val="right"/>
              <w:rPr>
                <w:rFonts w:asciiTheme="minorHAnsi" w:hAnsiTheme="minorHAnsi" w:cs="Arial"/>
                <w:sz w:val="20"/>
                <w:szCs w:val="20"/>
              </w:rPr>
            </w:pPr>
            <w:r w:rsidRPr="006D4208">
              <w:rPr>
                <w:rFonts w:asciiTheme="minorHAnsi" w:hAnsiTheme="minorHAnsi" w:cs="Arial"/>
                <w:sz w:val="20"/>
                <w:szCs w:val="20"/>
              </w:rPr>
              <w:t>11.1</w:t>
            </w:r>
          </w:p>
        </w:tc>
        <w:tc>
          <w:tcPr>
            <w:tcW w:w="565" w:type="pct"/>
            <w:shd w:val="clear" w:color="auto" w:fill="auto"/>
            <w:vAlign w:val="bottom"/>
          </w:tcPr>
          <w:p w14:paraId="50DEBDAE" w14:textId="77777777" w:rsidR="004C7C84" w:rsidRPr="006D4208" w:rsidRDefault="004C7C84">
            <w:pPr>
              <w:jc w:val="right"/>
              <w:rPr>
                <w:rFonts w:asciiTheme="minorHAnsi" w:hAnsiTheme="minorHAnsi" w:cs="Arial"/>
                <w:sz w:val="20"/>
                <w:szCs w:val="20"/>
              </w:rPr>
            </w:pPr>
            <w:r w:rsidRPr="006D4208">
              <w:rPr>
                <w:rFonts w:asciiTheme="minorHAnsi" w:hAnsiTheme="minorHAnsi" w:cs="Arial"/>
                <w:sz w:val="20"/>
                <w:szCs w:val="20"/>
              </w:rPr>
              <w:t>19.0</w:t>
            </w:r>
          </w:p>
        </w:tc>
        <w:tc>
          <w:tcPr>
            <w:tcW w:w="424" w:type="pct"/>
            <w:shd w:val="clear" w:color="auto" w:fill="auto"/>
            <w:vAlign w:val="bottom"/>
          </w:tcPr>
          <w:p w14:paraId="0C1F983A" w14:textId="77777777" w:rsidR="004C7C84" w:rsidRPr="006D4208" w:rsidRDefault="004C7C84">
            <w:pPr>
              <w:jc w:val="right"/>
              <w:rPr>
                <w:rFonts w:asciiTheme="minorHAnsi" w:hAnsiTheme="minorHAnsi" w:cs="Arial"/>
                <w:sz w:val="20"/>
                <w:szCs w:val="20"/>
              </w:rPr>
            </w:pPr>
            <w:r w:rsidRPr="006D4208">
              <w:rPr>
                <w:rFonts w:asciiTheme="minorHAnsi" w:hAnsiTheme="minorHAnsi" w:cs="Arial"/>
                <w:sz w:val="20"/>
                <w:szCs w:val="20"/>
              </w:rPr>
              <w:t>30.1</w:t>
            </w:r>
          </w:p>
        </w:tc>
      </w:tr>
      <w:tr w:rsidR="004C7C84" w:rsidRPr="004C7C84" w14:paraId="46EE0412" w14:textId="77777777" w:rsidTr="004C7C84">
        <w:tc>
          <w:tcPr>
            <w:tcW w:w="1837" w:type="pct"/>
            <w:shd w:val="clear" w:color="auto" w:fill="auto"/>
            <w:vAlign w:val="bottom"/>
          </w:tcPr>
          <w:p w14:paraId="5F15F4E9" w14:textId="77777777" w:rsidR="004C7C84" w:rsidRPr="00B97C61" w:rsidRDefault="004C7C84">
            <w:pPr>
              <w:rPr>
                <w:rFonts w:asciiTheme="minorHAnsi" w:hAnsiTheme="minorHAnsi" w:cs="Arial"/>
                <w:sz w:val="20"/>
                <w:szCs w:val="20"/>
              </w:rPr>
            </w:pPr>
            <w:r w:rsidRPr="00B97C61">
              <w:rPr>
                <w:rFonts w:asciiTheme="minorHAnsi" w:hAnsiTheme="minorHAnsi" w:cs="Arial"/>
                <w:sz w:val="20"/>
                <w:szCs w:val="20"/>
              </w:rPr>
              <w:t>Disposals</w:t>
            </w:r>
          </w:p>
        </w:tc>
        <w:tc>
          <w:tcPr>
            <w:tcW w:w="636" w:type="pct"/>
            <w:tcBorders>
              <w:bottom w:val="single" w:sz="4" w:space="0" w:color="auto"/>
            </w:tcBorders>
            <w:shd w:val="clear" w:color="auto" w:fill="auto"/>
            <w:vAlign w:val="bottom"/>
          </w:tcPr>
          <w:p w14:paraId="686167BB" w14:textId="77777777" w:rsidR="004C7C84" w:rsidRPr="006D4208" w:rsidRDefault="004C7C84">
            <w:pPr>
              <w:jc w:val="right"/>
              <w:rPr>
                <w:rFonts w:asciiTheme="minorHAnsi" w:hAnsiTheme="minorHAnsi" w:cs="Arial"/>
                <w:sz w:val="20"/>
                <w:szCs w:val="20"/>
              </w:rPr>
            </w:pPr>
            <w:r w:rsidRPr="006D4208">
              <w:rPr>
                <w:rFonts w:asciiTheme="minorHAnsi" w:hAnsiTheme="minorHAnsi" w:cs="Arial"/>
                <w:sz w:val="20"/>
                <w:szCs w:val="20"/>
              </w:rPr>
              <w:t>-</w:t>
            </w:r>
          </w:p>
        </w:tc>
        <w:tc>
          <w:tcPr>
            <w:tcW w:w="565" w:type="pct"/>
            <w:tcBorders>
              <w:bottom w:val="single" w:sz="4" w:space="0" w:color="auto"/>
            </w:tcBorders>
            <w:shd w:val="clear" w:color="auto" w:fill="auto"/>
            <w:vAlign w:val="bottom"/>
          </w:tcPr>
          <w:p w14:paraId="7BD57002" w14:textId="77777777" w:rsidR="004C7C84" w:rsidRPr="006D4208" w:rsidRDefault="004C7C84">
            <w:pPr>
              <w:jc w:val="right"/>
              <w:rPr>
                <w:rFonts w:asciiTheme="minorHAnsi" w:hAnsiTheme="minorHAnsi" w:cs="Arial"/>
                <w:sz w:val="20"/>
                <w:szCs w:val="20"/>
              </w:rPr>
            </w:pPr>
            <w:r w:rsidRPr="006D4208">
              <w:rPr>
                <w:rFonts w:asciiTheme="minorHAnsi" w:hAnsiTheme="minorHAnsi" w:cs="Arial"/>
                <w:sz w:val="20"/>
                <w:szCs w:val="20"/>
              </w:rPr>
              <w:t>(2.4)</w:t>
            </w:r>
          </w:p>
        </w:tc>
        <w:tc>
          <w:tcPr>
            <w:tcW w:w="424" w:type="pct"/>
            <w:tcBorders>
              <w:bottom w:val="single" w:sz="4" w:space="0" w:color="auto"/>
            </w:tcBorders>
            <w:shd w:val="clear" w:color="auto" w:fill="auto"/>
            <w:vAlign w:val="bottom"/>
          </w:tcPr>
          <w:p w14:paraId="4636FF54" w14:textId="77777777" w:rsidR="004C7C84" w:rsidRPr="006D4208" w:rsidRDefault="004C7C84">
            <w:pPr>
              <w:jc w:val="right"/>
              <w:rPr>
                <w:rFonts w:asciiTheme="minorHAnsi" w:hAnsiTheme="minorHAnsi" w:cs="Arial"/>
                <w:sz w:val="20"/>
                <w:szCs w:val="20"/>
              </w:rPr>
            </w:pPr>
            <w:r w:rsidRPr="006D4208">
              <w:rPr>
                <w:rFonts w:asciiTheme="minorHAnsi" w:hAnsiTheme="minorHAnsi" w:cs="Arial"/>
                <w:sz w:val="20"/>
                <w:szCs w:val="20"/>
              </w:rPr>
              <w:t>(2.4)</w:t>
            </w:r>
          </w:p>
        </w:tc>
      </w:tr>
      <w:tr w:rsidR="004C7C84" w:rsidRPr="004C7C84" w14:paraId="6F576356" w14:textId="77777777" w:rsidTr="004C7C84">
        <w:tc>
          <w:tcPr>
            <w:tcW w:w="1837" w:type="pct"/>
            <w:shd w:val="clear" w:color="auto" w:fill="auto"/>
            <w:vAlign w:val="bottom"/>
          </w:tcPr>
          <w:p w14:paraId="341EF61D" w14:textId="77777777" w:rsidR="004C7C84" w:rsidRPr="00B97C61" w:rsidRDefault="004C7C84">
            <w:pPr>
              <w:ind w:left="142" w:hanging="142"/>
              <w:rPr>
                <w:rFonts w:asciiTheme="minorHAnsi" w:hAnsiTheme="minorHAnsi" w:cs="Arial"/>
                <w:sz w:val="20"/>
                <w:szCs w:val="20"/>
              </w:rPr>
            </w:pPr>
            <w:r w:rsidRPr="00B97C61">
              <w:rPr>
                <w:rFonts w:asciiTheme="minorHAnsi" w:hAnsiTheme="minorHAnsi" w:cs="Arial"/>
                <w:sz w:val="20"/>
                <w:szCs w:val="20"/>
              </w:rPr>
              <w:t>At 31 December</w:t>
            </w:r>
          </w:p>
        </w:tc>
        <w:tc>
          <w:tcPr>
            <w:tcW w:w="636" w:type="pct"/>
            <w:tcBorders>
              <w:top w:val="single" w:sz="4" w:space="0" w:color="auto"/>
              <w:bottom w:val="single" w:sz="4" w:space="0" w:color="auto"/>
            </w:tcBorders>
            <w:shd w:val="clear" w:color="auto" w:fill="auto"/>
            <w:vAlign w:val="bottom"/>
          </w:tcPr>
          <w:p w14:paraId="22D48CA1" w14:textId="77777777" w:rsidR="004C7C84" w:rsidRPr="006D4208" w:rsidRDefault="004C7C84">
            <w:pPr>
              <w:jc w:val="right"/>
              <w:rPr>
                <w:rFonts w:asciiTheme="minorHAnsi" w:hAnsiTheme="minorHAnsi" w:cs="Arial"/>
                <w:sz w:val="20"/>
                <w:szCs w:val="20"/>
              </w:rPr>
            </w:pPr>
            <w:r w:rsidRPr="006D4208">
              <w:rPr>
                <w:rFonts w:asciiTheme="minorHAnsi" w:hAnsiTheme="minorHAnsi" w:cs="Arial"/>
                <w:sz w:val="20"/>
                <w:szCs w:val="20"/>
              </w:rPr>
              <w:t>86.1</w:t>
            </w:r>
          </w:p>
        </w:tc>
        <w:tc>
          <w:tcPr>
            <w:tcW w:w="565" w:type="pct"/>
            <w:tcBorders>
              <w:top w:val="single" w:sz="4" w:space="0" w:color="auto"/>
              <w:bottom w:val="single" w:sz="4" w:space="0" w:color="auto"/>
            </w:tcBorders>
            <w:shd w:val="clear" w:color="auto" w:fill="auto"/>
            <w:vAlign w:val="bottom"/>
          </w:tcPr>
          <w:p w14:paraId="4F23CB03" w14:textId="77777777" w:rsidR="004C7C84" w:rsidRPr="006D4208" w:rsidRDefault="004C7C84">
            <w:pPr>
              <w:jc w:val="right"/>
              <w:rPr>
                <w:rFonts w:asciiTheme="minorHAnsi" w:hAnsiTheme="minorHAnsi" w:cs="Arial"/>
                <w:sz w:val="20"/>
                <w:szCs w:val="20"/>
              </w:rPr>
            </w:pPr>
            <w:r w:rsidRPr="006D4208">
              <w:rPr>
                <w:rFonts w:asciiTheme="minorHAnsi" w:hAnsiTheme="minorHAnsi" w:cs="Arial"/>
                <w:sz w:val="20"/>
                <w:szCs w:val="20"/>
              </w:rPr>
              <w:t>85.1</w:t>
            </w:r>
          </w:p>
        </w:tc>
        <w:tc>
          <w:tcPr>
            <w:tcW w:w="424" w:type="pct"/>
            <w:tcBorders>
              <w:top w:val="single" w:sz="4" w:space="0" w:color="auto"/>
              <w:bottom w:val="single" w:sz="4" w:space="0" w:color="auto"/>
            </w:tcBorders>
            <w:shd w:val="clear" w:color="auto" w:fill="auto"/>
            <w:vAlign w:val="bottom"/>
          </w:tcPr>
          <w:p w14:paraId="2B3019B8" w14:textId="77777777" w:rsidR="004C7C84" w:rsidRPr="006D4208" w:rsidRDefault="004C7C84">
            <w:pPr>
              <w:jc w:val="right"/>
              <w:rPr>
                <w:rFonts w:asciiTheme="minorHAnsi" w:hAnsiTheme="minorHAnsi" w:cs="Arial"/>
                <w:sz w:val="20"/>
                <w:szCs w:val="20"/>
              </w:rPr>
            </w:pPr>
            <w:r w:rsidRPr="006D4208">
              <w:rPr>
                <w:rFonts w:asciiTheme="minorHAnsi" w:hAnsiTheme="minorHAnsi" w:cs="Arial"/>
                <w:sz w:val="20"/>
                <w:szCs w:val="20"/>
              </w:rPr>
              <w:t>171.2</w:t>
            </w:r>
          </w:p>
        </w:tc>
      </w:tr>
      <w:tr w:rsidR="004C7C84" w:rsidRPr="004C7C84" w14:paraId="4211FF1C" w14:textId="77777777" w:rsidTr="004C7C84">
        <w:tc>
          <w:tcPr>
            <w:tcW w:w="1837" w:type="pct"/>
            <w:shd w:val="clear" w:color="auto" w:fill="auto"/>
            <w:vAlign w:val="bottom"/>
          </w:tcPr>
          <w:p w14:paraId="068ABCA0" w14:textId="77777777" w:rsidR="004C7C84" w:rsidRPr="00B97C61" w:rsidRDefault="004C7C84">
            <w:pPr>
              <w:ind w:left="142" w:hanging="142"/>
              <w:rPr>
                <w:rFonts w:asciiTheme="minorHAnsi" w:hAnsiTheme="minorHAnsi" w:cs="Arial"/>
                <w:sz w:val="20"/>
                <w:szCs w:val="20"/>
              </w:rPr>
            </w:pPr>
          </w:p>
        </w:tc>
        <w:tc>
          <w:tcPr>
            <w:tcW w:w="636" w:type="pct"/>
            <w:tcBorders>
              <w:top w:val="single" w:sz="4" w:space="0" w:color="auto"/>
            </w:tcBorders>
            <w:shd w:val="clear" w:color="auto" w:fill="auto"/>
            <w:vAlign w:val="bottom"/>
          </w:tcPr>
          <w:p w14:paraId="13730CA3" w14:textId="77777777" w:rsidR="004C7C84" w:rsidRPr="006D4208" w:rsidRDefault="004C7C84">
            <w:pPr>
              <w:jc w:val="right"/>
              <w:rPr>
                <w:rFonts w:asciiTheme="minorHAnsi" w:hAnsiTheme="minorHAnsi" w:cs="Arial"/>
                <w:sz w:val="20"/>
                <w:szCs w:val="20"/>
              </w:rPr>
            </w:pPr>
          </w:p>
        </w:tc>
        <w:tc>
          <w:tcPr>
            <w:tcW w:w="565" w:type="pct"/>
            <w:tcBorders>
              <w:top w:val="single" w:sz="4" w:space="0" w:color="auto"/>
            </w:tcBorders>
            <w:shd w:val="clear" w:color="auto" w:fill="auto"/>
            <w:vAlign w:val="bottom"/>
          </w:tcPr>
          <w:p w14:paraId="3FB879C5" w14:textId="77777777" w:rsidR="004C7C84" w:rsidRPr="006D4208" w:rsidRDefault="004C7C84">
            <w:pPr>
              <w:jc w:val="right"/>
              <w:rPr>
                <w:rFonts w:asciiTheme="minorHAnsi" w:hAnsiTheme="minorHAnsi" w:cs="Arial"/>
                <w:sz w:val="20"/>
                <w:szCs w:val="20"/>
              </w:rPr>
            </w:pPr>
          </w:p>
        </w:tc>
        <w:tc>
          <w:tcPr>
            <w:tcW w:w="424" w:type="pct"/>
            <w:tcBorders>
              <w:top w:val="single" w:sz="4" w:space="0" w:color="auto"/>
            </w:tcBorders>
            <w:shd w:val="clear" w:color="auto" w:fill="auto"/>
            <w:vAlign w:val="bottom"/>
          </w:tcPr>
          <w:p w14:paraId="23244905" w14:textId="77777777" w:rsidR="004C7C84" w:rsidRPr="006D4208" w:rsidRDefault="004C7C84">
            <w:pPr>
              <w:jc w:val="right"/>
              <w:rPr>
                <w:rFonts w:asciiTheme="minorHAnsi" w:hAnsiTheme="minorHAnsi" w:cs="Arial"/>
                <w:sz w:val="20"/>
                <w:szCs w:val="20"/>
              </w:rPr>
            </w:pPr>
          </w:p>
        </w:tc>
      </w:tr>
      <w:tr w:rsidR="004C7C84" w:rsidRPr="004C7C84" w14:paraId="44A9AEED" w14:textId="77777777" w:rsidTr="004C7C84">
        <w:tc>
          <w:tcPr>
            <w:tcW w:w="1837" w:type="pct"/>
            <w:shd w:val="clear" w:color="auto" w:fill="auto"/>
            <w:vAlign w:val="bottom"/>
          </w:tcPr>
          <w:p w14:paraId="4774BB26" w14:textId="77777777" w:rsidR="004C7C84" w:rsidRPr="00B97C61" w:rsidRDefault="004C7C84">
            <w:pPr>
              <w:ind w:left="142" w:hanging="142"/>
              <w:rPr>
                <w:rFonts w:asciiTheme="minorHAnsi" w:hAnsiTheme="minorHAnsi" w:cs="Arial"/>
                <w:b/>
                <w:sz w:val="20"/>
                <w:szCs w:val="20"/>
              </w:rPr>
            </w:pPr>
            <w:r w:rsidRPr="00B97C61">
              <w:rPr>
                <w:rFonts w:asciiTheme="minorHAnsi" w:hAnsiTheme="minorHAnsi" w:cs="Arial"/>
                <w:b/>
                <w:sz w:val="20"/>
                <w:szCs w:val="20"/>
              </w:rPr>
              <w:t>Accumulated amortisation and impairment</w:t>
            </w:r>
          </w:p>
        </w:tc>
        <w:tc>
          <w:tcPr>
            <w:tcW w:w="636" w:type="pct"/>
            <w:shd w:val="clear" w:color="auto" w:fill="auto"/>
            <w:vAlign w:val="bottom"/>
          </w:tcPr>
          <w:p w14:paraId="643C82CF" w14:textId="77777777" w:rsidR="004C7C84" w:rsidRPr="006D4208" w:rsidRDefault="004C7C84">
            <w:pPr>
              <w:jc w:val="right"/>
              <w:rPr>
                <w:rFonts w:asciiTheme="minorHAnsi" w:hAnsiTheme="minorHAnsi" w:cs="Arial"/>
                <w:sz w:val="20"/>
                <w:szCs w:val="20"/>
              </w:rPr>
            </w:pPr>
          </w:p>
        </w:tc>
        <w:tc>
          <w:tcPr>
            <w:tcW w:w="565" w:type="pct"/>
            <w:shd w:val="clear" w:color="auto" w:fill="auto"/>
            <w:vAlign w:val="bottom"/>
          </w:tcPr>
          <w:p w14:paraId="00732F85" w14:textId="77777777" w:rsidR="004C7C84" w:rsidRPr="006D4208" w:rsidRDefault="004C7C84">
            <w:pPr>
              <w:jc w:val="right"/>
              <w:rPr>
                <w:rFonts w:asciiTheme="minorHAnsi" w:hAnsiTheme="minorHAnsi" w:cs="Arial"/>
                <w:sz w:val="20"/>
                <w:szCs w:val="20"/>
              </w:rPr>
            </w:pPr>
          </w:p>
        </w:tc>
        <w:tc>
          <w:tcPr>
            <w:tcW w:w="424" w:type="pct"/>
            <w:shd w:val="clear" w:color="auto" w:fill="auto"/>
            <w:vAlign w:val="bottom"/>
          </w:tcPr>
          <w:p w14:paraId="5DF2BF81" w14:textId="77777777" w:rsidR="004C7C84" w:rsidRPr="006D4208" w:rsidRDefault="004C7C84">
            <w:pPr>
              <w:jc w:val="right"/>
              <w:rPr>
                <w:rFonts w:asciiTheme="minorHAnsi" w:hAnsiTheme="minorHAnsi" w:cs="Arial"/>
                <w:sz w:val="20"/>
                <w:szCs w:val="20"/>
              </w:rPr>
            </w:pPr>
          </w:p>
        </w:tc>
      </w:tr>
      <w:tr w:rsidR="004C7C84" w:rsidRPr="004C7C84" w14:paraId="739AAD9C" w14:textId="77777777" w:rsidTr="004C7C84">
        <w:tc>
          <w:tcPr>
            <w:tcW w:w="1837" w:type="pct"/>
            <w:shd w:val="clear" w:color="auto" w:fill="auto"/>
            <w:vAlign w:val="bottom"/>
          </w:tcPr>
          <w:p w14:paraId="3CA89117" w14:textId="20E3C076" w:rsidR="004C7C84" w:rsidRPr="00B97C61" w:rsidRDefault="004C7C84">
            <w:pPr>
              <w:rPr>
                <w:rFonts w:asciiTheme="minorHAnsi" w:hAnsiTheme="minorHAnsi" w:cs="Arial"/>
                <w:sz w:val="20"/>
                <w:szCs w:val="20"/>
              </w:rPr>
            </w:pPr>
            <w:r w:rsidRPr="00B97C61">
              <w:rPr>
                <w:rFonts w:asciiTheme="minorHAnsi" w:hAnsiTheme="minorHAnsi" w:cs="Arial"/>
                <w:sz w:val="20"/>
                <w:szCs w:val="20"/>
              </w:rPr>
              <w:t xml:space="preserve">At 1 </w:t>
            </w:r>
            <w:r w:rsidR="00D9512B">
              <w:rPr>
                <w:rFonts w:asciiTheme="minorHAnsi" w:hAnsiTheme="minorHAnsi" w:cs="Arial"/>
                <w:sz w:val="20"/>
                <w:szCs w:val="20"/>
              </w:rPr>
              <w:t>January</w:t>
            </w:r>
          </w:p>
        </w:tc>
        <w:tc>
          <w:tcPr>
            <w:tcW w:w="636" w:type="pct"/>
            <w:shd w:val="clear" w:color="auto" w:fill="auto"/>
            <w:vAlign w:val="bottom"/>
          </w:tcPr>
          <w:p w14:paraId="29D2F4C7" w14:textId="77777777" w:rsidR="004C7C84" w:rsidRPr="006D4208" w:rsidRDefault="004C7C84">
            <w:pPr>
              <w:jc w:val="right"/>
              <w:rPr>
                <w:rFonts w:asciiTheme="minorHAnsi" w:hAnsiTheme="minorHAnsi" w:cs="Arial"/>
                <w:sz w:val="20"/>
                <w:szCs w:val="20"/>
              </w:rPr>
            </w:pPr>
            <w:r w:rsidRPr="006D4208">
              <w:rPr>
                <w:rFonts w:asciiTheme="minorHAnsi" w:hAnsiTheme="minorHAnsi" w:cs="Arial"/>
                <w:sz w:val="20"/>
                <w:szCs w:val="20"/>
              </w:rPr>
              <w:t>62.5</w:t>
            </w:r>
          </w:p>
        </w:tc>
        <w:tc>
          <w:tcPr>
            <w:tcW w:w="565" w:type="pct"/>
            <w:shd w:val="clear" w:color="auto" w:fill="auto"/>
            <w:vAlign w:val="bottom"/>
          </w:tcPr>
          <w:p w14:paraId="1D052C78" w14:textId="77777777" w:rsidR="004C7C84" w:rsidRPr="006D4208" w:rsidRDefault="004C7C84">
            <w:pPr>
              <w:jc w:val="right"/>
              <w:rPr>
                <w:rFonts w:asciiTheme="minorHAnsi" w:hAnsiTheme="minorHAnsi" w:cs="Arial"/>
                <w:sz w:val="20"/>
                <w:szCs w:val="20"/>
              </w:rPr>
            </w:pPr>
            <w:r w:rsidRPr="006D4208">
              <w:rPr>
                <w:rFonts w:asciiTheme="minorHAnsi" w:hAnsiTheme="minorHAnsi" w:cs="Arial"/>
                <w:sz w:val="20"/>
                <w:szCs w:val="20"/>
              </w:rPr>
              <w:t>17.7</w:t>
            </w:r>
          </w:p>
        </w:tc>
        <w:tc>
          <w:tcPr>
            <w:tcW w:w="424" w:type="pct"/>
            <w:shd w:val="clear" w:color="auto" w:fill="auto"/>
            <w:vAlign w:val="bottom"/>
          </w:tcPr>
          <w:p w14:paraId="6A87B795" w14:textId="77777777" w:rsidR="004C7C84" w:rsidRPr="006D4208" w:rsidRDefault="004C7C84">
            <w:pPr>
              <w:jc w:val="right"/>
              <w:rPr>
                <w:rFonts w:asciiTheme="minorHAnsi" w:hAnsiTheme="minorHAnsi" w:cs="Arial"/>
                <w:sz w:val="20"/>
                <w:szCs w:val="20"/>
              </w:rPr>
            </w:pPr>
            <w:r w:rsidRPr="006D4208">
              <w:rPr>
                <w:rFonts w:asciiTheme="minorHAnsi" w:hAnsiTheme="minorHAnsi" w:cs="Arial"/>
                <w:sz w:val="20"/>
                <w:szCs w:val="20"/>
              </w:rPr>
              <w:t>80.2</w:t>
            </w:r>
          </w:p>
        </w:tc>
      </w:tr>
      <w:tr w:rsidR="004C7C84" w:rsidRPr="004C7C84" w14:paraId="50F4B6CC" w14:textId="77777777" w:rsidTr="004C7C84">
        <w:tc>
          <w:tcPr>
            <w:tcW w:w="1837" w:type="pct"/>
            <w:shd w:val="clear" w:color="auto" w:fill="auto"/>
            <w:vAlign w:val="bottom"/>
          </w:tcPr>
          <w:p w14:paraId="10033BC0" w14:textId="77777777" w:rsidR="004C7C84" w:rsidRPr="00B97C61" w:rsidRDefault="004C7C84">
            <w:pPr>
              <w:rPr>
                <w:rFonts w:asciiTheme="minorHAnsi" w:hAnsiTheme="minorHAnsi" w:cs="Arial"/>
                <w:sz w:val="20"/>
                <w:szCs w:val="20"/>
              </w:rPr>
            </w:pPr>
            <w:r w:rsidRPr="00B97C61">
              <w:rPr>
                <w:rFonts w:asciiTheme="minorHAnsi" w:hAnsiTheme="minorHAnsi" w:cs="Arial"/>
                <w:sz w:val="20"/>
                <w:szCs w:val="20"/>
              </w:rPr>
              <w:t>Charged to the income statement</w:t>
            </w:r>
          </w:p>
        </w:tc>
        <w:tc>
          <w:tcPr>
            <w:tcW w:w="636" w:type="pct"/>
            <w:shd w:val="clear" w:color="auto" w:fill="auto"/>
            <w:vAlign w:val="bottom"/>
          </w:tcPr>
          <w:p w14:paraId="6717F4D0" w14:textId="77777777" w:rsidR="004C7C84" w:rsidRPr="006D4208" w:rsidRDefault="004C7C84">
            <w:pPr>
              <w:jc w:val="right"/>
              <w:rPr>
                <w:rFonts w:asciiTheme="minorHAnsi" w:hAnsiTheme="minorHAnsi" w:cs="Arial"/>
                <w:sz w:val="20"/>
                <w:szCs w:val="20"/>
              </w:rPr>
            </w:pPr>
            <w:r w:rsidRPr="006D4208">
              <w:rPr>
                <w:rFonts w:asciiTheme="minorHAnsi" w:hAnsiTheme="minorHAnsi" w:cs="Arial"/>
                <w:sz w:val="20"/>
                <w:szCs w:val="20"/>
              </w:rPr>
              <w:t>7.9</w:t>
            </w:r>
          </w:p>
        </w:tc>
        <w:tc>
          <w:tcPr>
            <w:tcW w:w="565" w:type="pct"/>
            <w:shd w:val="clear" w:color="auto" w:fill="auto"/>
            <w:vAlign w:val="bottom"/>
          </w:tcPr>
          <w:p w14:paraId="1D17B505" w14:textId="77777777" w:rsidR="004C7C84" w:rsidRPr="006D4208" w:rsidRDefault="004C7C84">
            <w:pPr>
              <w:jc w:val="right"/>
              <w:rPr>
                <w:rFonts w:asciiTheme="minorHAnsi" w:hAnsiTheme="minorHAnsi" w:cs="Arial"/>
                <w:sz w:val="20"/>
                <w:szCs w:val="20"/>
              </w:rPr>
            </w:pPr>
            <w:r w:rsidRPr="006D4208">
              <w:rPr>
                <w:rFonts w:asciiTheme="minorHAnsi" w:hAnsiTheme="minorHAnsi" w:cs="Arial"/>
                <w:sz w:val="20"/>
                <w:szCs w:val="20"/>
              </w:rPr>
              <w:t>10.6</w:t>
            </w:r>
          </w:p>
        </w:tc>
        <w:tc>
          <w:tcPr>
            <w:tcW w:w="424" w:type="pct"/>
            <w:shd w:val="clear" w:color="auto" w:fill="auto"/>
            <w:vAlign w:val="bottom"/>
          </w:tcPr>
          <w:p w14:paraId="3188320C" w14:textId="77777777" w:rsidR="004C7C84" w:rsidRPr="006D4208" w:rsidRDefault="004C7C84">
            <w:pPr>
              <w:jc w:val="right"/>
              <w:rPr>
                <w:rFonts w:asciiTheme="minorHAnsi" w:hAnsiTheme="minorHAnsi" w:cs="Arial"/>
                <w:sz w:val="20"/>
                <w:szCs w:val="20"/>
              </w:rPr>
            </w:pPr>
            <w:r w:rsidRPr="006D4208">
              <w:rPr>
                <w:rFonts w:asciiTheme="minorHAnsi" w:hAnsiTheme="minorHAnsi" w:cs="Arial"/>
                <w:sz w:val="20"/>
                <w:szCs w:val="20"/>
              </w:rPr>
              <w:t>18.5</w:t>
            </w:r>
          </w:p>
        </w:tc>
      </w:tr>
      <w:tr w:rsidR="004C7C84" w:rsidRPr="004C7C84" w14:paraId="2F286ECF" w14:textId="77777777" w:rsidTr="004C7C84">
        <w:tc>
          <w:tcPr>
            <w:tcW w:w="1837" w:type="pct"/>
            <w:shd w:val="clear" w:color="auto" w:fill="auto"/>
            <w:vAlign w:val="bottom"/>
          </w:tcPr>
          <w:p w14:paraId="5715920A" w14:textId="77777777" w:rsidR="004C7C84" w:rsidRPr="00B97C61" w:rsidRDefault="004C7C84">
            <w:pPr>
              <w:rPr>
                <w:rFonts w:asciiTheme="minorHAnsi" w:hAnsiTheme="minorHAnsi" w:cs="Arial"/>
                <w:sz w:val="20"/>
                <w:szCs w:val="20"/>
              </w:rPr>
            </w:pPr>
            <w:r w:rsidRPr="00B97C61">
              <w:rPr>
                <w:rFonts w:asciiTheme="minorHAnsi" w:hAnsiTheme="minorHAnsi" w:cs="Arial"/>
                <w:sz w:val="20"/>
                <w:szCs w:val="20"/>
              </w:rPr>
              <w:t>Disposals</w:t>
            </w:r>
          </w:p>
        </w:tc>
        <w:tc>
          <w:tcPr>
            <w:tcW w:w="636" w:type="pct"/>
            <w:tcBorders>
              <w:left w:val="nil"/>
              <w:bottom w:val="single" w:sz="4" w:space="0" w:color="auto"/>
              <w:right w:val="nil"/>
            </w:tcBorders>
            <w:shd w:val="clear" w:color="auto" w:fill="auto"/>
            <w:vAlign w:val="bottom"/>
          </w:tcPr>
          <w:p w14:paraId="719072FB" w14:textId="77777777" w:rsidR="004C7C84" w:rsidRPr="006D4208" w:rsidRDefault="004C7C84">
            <w:pPr>
              <w:jc w:val="right"/>
              <w:rPr>
                <w:rFonts w:asciiTheme="minorHAnsi" w:hAnsiTheme="minorHAnsi" w:cs="Arial"/>
                <w:sz w:val="20"/>
                <w:szCs w:val="20"/>
              </w:rPr>
            </w:pPr>
            <w:r w:rsidRPr="006D4208">
              <w:rPr>
                <w:rFonts w:asciiTheme="minorHAnsi" w:hAnsiTheme="minorHAnsi" w:cs="Arial"/>
                <w:sz w:val="20"/>
                <w:szCs w:val="20"/>
              </w:rPr>
              <w:t>-</w:t>
            </w:r>
          </w:p>
        </w:tc>
        <w:tc>
          <w:tcPr>
            <w:tcW w:w="565" w:type="pct"/>
            <w:tcBorders>
              <w:left w:val="nil"/>
              <w:bottom w:val="single" w:sz="4" w:space="0" w:color="auto"/>
              <w:right w:val="nil"/>
            </w:tcBorders>
            <w:shd w:val="clear" w:color="auto" w:fill="auto"/>
            <w:vAlign w:val="bottom"/>
          </w:tcPr>
          <w:p w14:paraId="4D97EFDC" w14:textId="77777777" w:rsidR="004C7C84" w:rsidRPr="006D4208" w:rsidRDefault="004C7C84">
            <w:pPr>
              <w:jc w:val="right"/>
              <w:rPr>
                <w:rFonts w:asciiTheme="minorHAnsi" w:hAnsiTheme="minorHAnsi" w:cs="Arial"/>
                <w:sz w:val="20"/>
                <w:szCs w:val="20"/>
              </w:rPr>
            </w:pPr>
            <w:r w:rsidRPr="006D4208">
              <w:rPr>
                <w:rFonts w:asciiTheme="minorHAnsi" w:hAnsiTheme="minorHAnsi" w:cs="Arial"/>
                <w:sz w:val="20"/>
                <w:szCs w:val="20"/>
              </w:rPr>
              <w:t>(1.9)</w:t>
            </w:r>
          </w:p>
        </w:tc>
        <w:tc>
          <w:tcPr>
            <w:tcW w:w="424" w:type="pct"/>
            <w:tcBorders>
              <w:left w:val="nil"/>
              <w:bottom w:val="single" w:sz="4" w:space="0" w:color="auto"/>
              <w:right w:val="nil"/>
            </w:tcBorders>
            <w:shd w:val="clear" w:color="auto" w:fill="auto"/>
            <w:vAlign w:val="bottom"/>
          </w:tcPr>
          <w:p w14:paraId="58D99B52" w14:textId="77777777" w:rsidR="004C7C84" w:rsidRPr="006D4208" w:rsidRDefault="004C7C84">
            <w:pPr>
              <w:jc w:val="right"/>
              <w:rPr>
                <w:rFonts w:asciiTheme="minorHAnsi" w:hAnsiTheme="minorHAnsi" w:cs="Arial"/>
                <w:sz w:val="20"/>
                <w:szCs w:val="20"/>
              </w:rPr>
            </w:pPr>
            <w:r w:rsidRPr="006D4208">
              <w:rPr>
                <w:rFonts w:asciiTheme="minorHAnsi" w:hAnsiTheme="minorHAnsi" w:cs="Arial"/>
                <w:sz w:val="20"/>
                <w:szCs w:val="20"/>
              </w:rPr>
              <w:t>(1.9)</w:t>
            </w:r>
          </w:p>
        </w:tc>
      </w:tr>
      <w:tr w:rsidR="004C7C84" w:rsidRPr="004C7C84" w14:paraId="180DDBB3" w14:textId="77777777" w:rsidTr="004C7C84">
        <w:tc>
          <w:tcPr>
            <w:tcW w:w="1837" w:type="pct"/>
            <w:shd w:val="clear" w:color="auto" w:fill="auto"/>
            <w:vAlign w:val="bottom"/>
          </w:tcPr>
          <w:p w14:paraId="3D2FC2C2" w14:textId="77777777" w:rsidR="004C7C84" w:rsidRPr="00B97C61" w:rsidRDefault="004C7C84">
            <w:pPr>
              <w:rPr>
                <w:rFonts w:asciiTheme="minorHAnsi" w:hAnsiTheme="minorHAnsi" w:cs="Arial"/>
                <w:sz w:val="20"/>
                <w:szCs w:val="20"/>
              </w:rPr>
            </w:pPr>
            <w:r w:rsidRPr="00B97C61">
              <w:rPr>
                <w:rFonts w:asciiTheme="minorHAnsi" w:hAnsiTheme="minorHAnsi" w:cs="Arial"/>
                <w:sz w:val="20"/>
                <w:szCs w:val="20"/>
              </w:rPr>
              <w:t>At 31 December</w:t>
            </w:r>
          </w:p>
        </w:tc>
        <w:tc>
          <w:tcPr>
            <w:tcW w:w="636" w:type="pct"/>
            <w:tcBorders>
              <w:left w:val="nil"/>
              <w:bottom w:val="single" w:sz="4" w:space="0" w:color="auto"/>
              <w:right w:val="nil"/>
            </w:tcBorders>
            <w:shd w:val="clear" w:color="auto" w:fill="auto"/>
            <w:vAlign w:val="bottom"/>
          </w:tcPr>
          <w:p w14:paraId="6C4F51DC" w14:textId="77777777" w:rsidR="004C7C84" w:rsidRPr="006D4208" w:rsidRDefault="004C7C84">
            <w:pPr>
              <w:jc w:val="right"/>
              <w:rPr>
                <w:rFonts w:asciiTheme="minorHAnsi" w:hAnsiTheme="minorHAnsi" w:cs="Arial"/>
                <w:sz w:val="20"/>
                <w:szCs w:val="20"/>
              </w:rPr>
            </w:pPr>
            <w:r w:rsidRPr="006D4208">
              <w:rPr>
                <w:rFonts w:asciiTheme="minorHAnsi" w:hAnsiTheme="minorHAnsi" w:cs="Arial"/>
                <w:sz w:val="20"/>
                <w:szCs w:val="20"/>
              </w:rPr>
              <w:t>70.4</w:t>
            </w:r>
          </w:p>
        </w:tc>
        <w:tc>
          <w:tcPr>
            <w:tcW w:w="565" w:type="pct"/>
            <w:tcBorders>
              <w:left w:val="nil"/>
              <w:bottom w:val="single" w:sz="4" w:space="0" w:color="auto"/>
              <w:right w:val="nil"/>
            </w:tcBorders>
            <w:shd w:val="clear" w:color="auto" w:fill="auto"/>
            <w:vAlign w:val="bottom"/>
          </w:tcPr>
          <w:p w14:paraId="3A044667" w14:textId="77777777" w:rsidR="004C7C84" w:rsidRPr="006D4208" w:rsidRDefault="004C7C84">
            <w:pPr>
              <w:jc w:val="right"/>
              <w:rPr>
                <w:rFonts w:asciiTheme="minorHAnsi" w:hAnsiTheme="minorHAnsi" w:cs="Arial"/>
                <w:sz w:val="20"/>
                <w:szCs w:val="20"/>
              </w:rPr>
            </w:pPr>
            <w:r w:rsidRPr="006D4208">
              <w:rPr>
                <w:rFonts w:asciiTheme="minorHAnsi" w:hAnsiTheme="minorHAnsi" w:cs="Arial"/>
                <w:sz w:val="20"/>
                <w:szCs w:val="20"/>
              </w:rPr>
              <w:t>26.4</w:t>
            </w:r>
          </w:p>
        </w:tc>
        <w:tc>
          <w:tcPr>
            <w:tcW w:w="424" w:type="pct"/>
            <w:tcBorders>
              <w:left w:val="nil"/>
              <w:bottom w:val="single" w:sz="4" w:space="0" w:color="auto"/>
              <w:right w:val="nil"/>
            </w:tcBorders>
            <w:shd w:val="clear" w:color="auto" w:fill="auto"/>
            <w:vAlign w:val="bottom"/>
          </w:tcPr>
          <w:p w14:paraId="510DC365" w14:textId="77777777" w:rsidR="004C7C84" w:rsidRPr="006D4208" w:rsidRDefault="004C7C84">
            <w:pPr>
              <w:jc w:val="right"/>
              <w:rPr>
                <w:rFonts w:asciiTheme="minorHAnsi" w:hAnsiTheme="minorHAnsi" w:cs="Arial"/>
                <w:sz w:val="20"/>
                <w:szCs w:val="20"/>
              </w:rPr>
            </w:pPr>
            <w:r w:rsidRPr="006D4208">
              <w:rPr>
                <w:rFonts w:asciiTheme="minorHAnsi" w:hAnsiTheme="minorHAnsi" w:cs="Arial"/>
                <w:sz w:val="20"/>
                <w:szCs w:val="20"/>
              </w:rPr>
              <w:t>96.8</w:t>
            </w:r>
          </w:p>
        </w:tc>
      </w:tr>
      <w:tr w:rsidR="004C7C84" w:rsidRPr="004C7C84" w14:paraId="6B7B26B6" w14:textId="77777777" w:rsidTr="004C7C84">
        <w:tc>
          <w:tcPr>
            <w:tcW w:w="1837" w:type="pct"/>
            <w:shd w:val="clear" w:color="auto" w:fill="auto"/>
            <w:vAlign w:val="bottom"/>
          </w:tcPr>
          <w:p w14:paraId="66B22BFB" w14:textId="77777777" w:rsidR="004C7C84" w:rsidRPr="00B97C61" w:rsidRDefault="004C7C84">
            <w:pPr>
              <w:rPr>
                <w:rFonts w:asciiTheme="minorHAnsi" w:hAnsiTheme="minorHAnsi" w:cs="Arial"/>
                <w:sz w:val="20"/>
                <w:szCs w:val="20"/>
              </w:rPr>
            </w:pPr>
          </w:p>
        </w:tc>
        <w:tc>
          <w:tcPr>
            <w:tcW w:w="636" w:type="pct"/>
            <w:tcBorders>
              <w:top w:val="single" w:sz="4" w:space="0" w:color="auto"/>
              <w:left w:val="nil"/>
              <w:right w:val="nil"/>
            </w:tcBorders>
            <w:shd w:val="clear" w:color="auto" w:fill="auto"/>
            <w:vAlign w:val="bottom"/>
          </w:tcPr>
          <w:p w14:paraId="5C4E20BC" w14:textId="77777777" w:rsidR="004C7C84" w:rsidRPr="006D4208" w:rsidRDefault="004C7C84">
            <w:pPr>
              <w:jc w:val="right"/>
              <w:rPr>
                <w:rFonts w:asciiTheme="minorHAnsi" w:hAnsiTheme="minorHAnsi" w:cs="Arial"/>
                <w:sz w:val="20"/>
                <w:szCs w:val="20"/>
              </w:rPr>
            </w:pPr>
          </w:p>
        </w:tc>
        <w:tc>
          <w:tcPr>
            <w:tcW w:w="565" w:type="pct"/>
            <w:tcBorders>
              <w:top w:val="single" w:sz="4" w:space="0" w:color="auto"/>
              <w:left w:val="nil"/>
              <w:right w:val="nil"/>
            </w:tcBorders>
            <w:shd w:val="clear" w:color="auto" w:fill="auto"/>
            <w:vAlign w:val="bottom"/>
          </w:tcPr>
          <w:p w14:paraId="3C4AC35C" w14:textId="77777777" w:rsidR="004C7C84" w:rsidRPr="006D4208" w:rsidRDefault="004C7C84">
            <w:pPr>
              <w:jc w:val="right"/>
              <w:rPr>
                <w:rFonts w:asciiTheme="minorHAnsi" w:hAnsiTheme="minorHAnsi" w:cs="Arial"/>
                <w:sz w:val="20"/>
                <w:szCs w:val="20"/>
              </w:rPr>
            </w:pPr>
          </w:p>
        </w:tc>
        <w:tc>
          <w:tcPr>
            <w:tcW w:w="424" w:type="pct"/>
            <w:tcBorders>
              <w:top w:val="single" w:sz="4" w:space="0" w:color="auto"/>
              <w:left w:val="nil"/>
              <w:right w:val="nil"/>
            </w:tcBorders>
            <w:shd w:val="clear" w:color="auto" w:fill="auto"/>
            <w:vAlign w:val="bottom"/>
          </w:tcPr>
          <w:p w14:paraId="1B356BF4" w14:textId="77777777" w:rsidR="004C7C84" w:rsidRPr="006D4208" w:rsidRDefault="004C7C84">
            <w:pPr>
              <w:jc w:val="right"/>
              <w:rPr>
                <w:rFonts w:asciiTheme="minorHAnsi" w:hAnsiTheme="minorHAnsi" w:cs="Arial"/>
                <w:sz w:val="20"/>
                <w:szCs w:val="20"/>
              </w:rPr>
            </w:pPr>
          </w:p>
        </w:tc>
      </w:tr>
      <w:tr w:rsidR="004C7C84" w:rsidRPr="004C7C84" w14:paraId="50951595" w14:textId="77777777" w:rsidTr="004C7C84">
        <w:tc>
          <w:tcPr>
            <w:tcW w:w="1837" w:type="pct"/>
            <w:shd w:val="clear" w:color="auto" w:fill="auto"/>
            <w:vAlign w:val="bottom"/>
          </w:tcPr>
          <w:p w14:paraId="6E89015C" w14:textId="77777777" w:rsidR="004C7C84" w:rsidRPr="00B97C61" w:rsidRDefault="004C7C84">
            <w:pPr>
              <w:rPr>
                <w:rFonts w:asciiTheme="minorHAnsi" w:hAnsiTheme="minorHAnsi" w:cs="Arial"/>
                <w:b/>
                <w:sz w:val="20"/>
                <w:szCs w:val="20"/>
              </w:rPr>
            </w:pPr>
            <w:r w:rsidRPr="00B97C61">
              <w:rPr>
                <w:rFonts w:asciiTheme="minorHAnsi" w:hAnsiTheme="minorHAnsi" w:cs="Arial"/>
                <w:b/>
                <w:sz w:val="20"/>
                <w:szCs w:val="20"/>
              </w:rPr>
              <w:t>Net book value</w:t>
            </w:r>
          </w:p>
        </w:tc>
        <w:tc>
          <w:tcPr>
            <w:tcW w:w="636" w:type="pct"/>
            <w:tcBorders>
              <w:top w:val="nil"/>
              <w:left w:val="nil"/>
              <w:right w:val="nil"/>
            </w:tcBorders>
            <w:shd w:val="clear" w:color="auto" w:fill="auto"/>
            <w:vAlign w:val="bottom"/>
          </w:tcPr>
          <w:p w14:paraId="19062055" w14:textId="77777777" w:rsidR="004C7C84" w:rsidRPr="006D4208" w:rsidRDefault="004C7C84">
            <w:pPr>
              <w:jc w:val="right"/>
              <w:rPr>
                <w:rFonts w:asciiTheme="minorHAnsi" w:hAnsiTheme="minorHAnsi" w:cs="Arial"/>
                <w:sz w:val="20"/>
                <w:szCs w:val="20"/>
              </w:rPr>
            </w:pPr>
          </w:p>
        </w:tc>
        <w:tc>
          <w:tcPr>
            <w:tcW w:w="565" w:type="pct"/>
            <w:tcBorders>
              <w:top w:val="nil"/>
              <w:left w:val="nil"/>
              <w:right w:val="nil"/>
            </w:tcBorders>
            <w:shd w:val="clear" w:color="auto" w:fill="auto"/>
            <w:vAlign w:val="bottom"/>
          </w:tcPr>
          <w:p w14:paraId="1B1324BD" w14:textId="77777777" w:rsidR="004C7C84" w:rsidRPr="006D4208" w:rsidRDefault="004C7C84">
            <w:pPr>
              <w:jc w:val="right"/>
              <w:rPr>
                <w:rFonts w:asciiTheme="minorHAnsi" w:hAnsiTheme="minorHAnsi" w:cs="Arial"/>
                <w:sz w:val="20"/>
                <w:szCs w:val="20"/>
              </w:rPr>
            </w:pPr>
          </w:p>
        </w:tc>
        <w:tc>
          <w:tcPr>
            <w:tcW w:w="424" w:type="pct"/>
            <w:tcBorders>
              <w:top w:val="nil"/>
              <w:left w:val="nil"/>
              <w:right w:val="nil"/>
            </w:tcBorders>
            <w:shd w:val="clear" w:color="auto" w:fill="auto"/>
            <w:vAlign w:val="bottom"/>
          </w:tcPr>
          <w:p w14:paraId="4875218E" w14:textId="77777777" w:rsidR="004C7C84" w:rsidRPr="006D4208" w:rsidRDefault="004C7C84">
            <w:pPr>
              <w:jc w:val="right"/>
              <w:rPr>
                <w:rFonts w:asciiTheme="minorHAnsi" w:hAnsiTheme="minorHAnsi" w:cs="Arial"/>
                <w:sz w:val="20"/>
                <w:szCs w:val="20"/>
              </w:rPr>
            </w:pPr>
          </w:p>
        </w:tc>
      </w:tr>
      <w:tr w:rsidR="004C7C84" w:rsidRPr="004C7C84" w14:paraId="7926CD40" w14:textId="77777777" w:rsidTr="004C7C84">
        <w:tc>
          <w:tcPr>
            <w:tcW w:w="1837" w:type="pct"/>
            <w:shd w:val="clear" w:color="auto" w:fill="auto"/>
            <w:vAlign w:val="bottom"/>
          </w:tcPr>
          <w:p w14:paraId="0269DC89" w14:textId="77777777" w:rsidR="004C7C84" w:rsidRPr="00B97C61" w:rsidRDefault="004C7C84">
            <w:pPr>
              <w:rPr>
                <w:rFonts w:asciiTheme="minorHAnsi" w:hAnsiTheme="minorHAnsi" w:cs="Arial"/>
                <w:sz w:val="20"/>
                <w:szCs w:val="20"/>
              </w:rPr>
            </w:pPr>
            <w:r w:rsidRPr="00B97C61">
              <w:rPr>
                <w:rFonts w:asciiTheme="minorHAnsi" w:hAnsiTheme="minorHAnsi" w:cs="Arial"/>
                <w:sz w:val="20"/>
                <w:szCs w:val="20"/>
              </w:rPr>
              <w:t>At 31 December</w:t>
            </w:r>
          </w:p>
        </w:tc>
        <w:tc>
          <w:tcPr>
            <w:tcW w:w="636" w:type="pct"/>
            <w:tcBorders>
              <w:top w:val="nil"/>
              <w:left w:val="nil"/>
              <w:bottom w:val="single" w:sz="12" w:space="0" w:color="auto"/>
              <w:right w:val="nil"/>
            </w:tcBorders>
            <w:shd w:val="clear" w:color="auto" w:fill="auto"/>
            <w:vAlign w:val="bottom"/>
          </w:tcPr>
          <w:p w14:paraId="323E1A5C" w14:textId="77777777" w:rsidR="004C7C84" w:rsidRPr="006D4208" w:rsidRDefault="004C7C84">
            <w:pPr>
              <w:jc w:val="right"/>
              <w:rPr>
                <w:rFonts w:asciiTheme="minorHAnsi" w:hAnsiTheme="minorHAnsi" w:cs="Arial"/>
                <w:sz w:val="20"/>
                <w:szCs w:val="20"/>
              </w:rPr>
            </w:pPr>
            <w:r w:rsidRPr="006D4208">
              <w:rPr>
                <w:rFonts w:asciiTheme="minorHAnsi" w:hAnsiTheme="minorHAnsi" w:cs="Arial"/>
                <w:sz w:val="20"/>
                <w:szCs w:val="20"/>
              </w:rPr>
              <w:t>15.7</w:t>
            </w:r>
          </w:p>
        </w:tc>
        <w:tc>
          <w:tcPr>
            <w:tcW w:w="565" w:type="pct"/>
            <w:tcBorders>
              <w:top w:val="nil"/>
              <w:left w:val="nil"/>
              <w:bottom w:val="single" w:sz="12" w:space="0" w:color="auto"/>
              <w:right w:val="nil"/>
            </w:tcBorders>
            <w:shd w:val="clear" w:color="auto" w:fill="auto"/>
            <w:vAlign w:val="bottom"/>
          </w:tcPr>
          <w:p w14:paraId="138603CF" w14:textId="77777777" w:rsidR="004C7C84" w:rsidRPr="006D4208" w:rsidRDefault="004C7C84">
            <w:pPr>
              <w:jc w:val="right"/>
              <w:rPr>
                <w:rFonts w:asciiTheme="minorHAnsi" w:hAnsiTheme="minorHAnsi" w:cs="Arial"/>
                <w:sz w:val="20"/>
                <w:szCs w:val="20"/>
              </w:rPr>
            </w:pPr>
            <w:r w:rsidRPr="006D4208">
              <w:rPr>
                <w:rFonts w:asciiTheme="minorHAnsi" w:hAnsiTheme="minorHAnsi" w:cs="Arial"/>
                <w:sz w:val="20"/>
                <w:szCs w:val="20"/>
              </w:rPr>
              <w:t>58.7</w:t>
            </w:r>
          </w:p>
        </w:tc>
        <w:tc>
          <w:tcPr>
            <w:tcW w:w="424" w:type="pct"/>
            <w:tcBorders>
              <w:top w:val="nil"/>
              <w:left w:val="nil"/>
              <w:bottom w:val="single" w:sz="12" w:space="0" w:color="auto"/>
              <w:right w:val="nil"/>
            </w:tcBorders>
            <w:shd w:val="clear" w:color="auto" w:fill="auto"/>
            <w:vAlign w:val="bottom"/>
          </w:tcPr>
          <w:p w14:paraId="174CD227" w14:textId="77777777" w:rsidR="004C7C84" w:rsidRPr="006D4208" w:rsidRDefault="004C7C84">
            <w:pPr>
              <w:jc w:val="right"/>
              <w:rPr>
                <w:rFonts w:asciiTheme="minorHAnsi" w:hAnsiTheme="minorHAnsi" w:cs="Arial"/>
                <w:sz w:val="20"/>
                <w:szCs w:val="20"/>
              </w:rPr>
            </w:pPr>
            <w:r w:rsidRPr="006D4208">
              <w:rPr>
                <w:rFonts w:asciiTheme="minorHAnsi" w:hAnsiTheme="minorHAnsi" w:cs="Arial"/>
                <w:sz w:val="20"/>
                <w:szCs w:val="20"/>
              </w:rPr>
              <w:t>74.4</w:t>
            </w:r>
          </w:p>
        </w:tc>
      </w:tr>
      <w:tr w:rsidR="004C7C84" w:rsidRPr="004C7C84" w14:paraId="00365143" w14:textId="77777777" w:rsidTr="004C7C84">
        <w:tc>
          <w:tcPr>
            <w:tcW w:w="1837" w:type="pct"/>
            <w:shd w:val="clear" w:color="auto" w:fill="auto"/>
            <w:vAlign w:val="bottom"/>
          </w:tcPr>
          <w:p w14:paraId="609CFB19" w14:textId="7C227043" w:rsidR="004C7C84" w:rsidRPr="00B97C61" w:rsidRDefault="004C7C84">
            <w:pPr>
              <w:rPr>
                <w:rFonts w:asciiTheme="minorHAnsi" w:hAnsiTheme="minorHAnsi" w:cs="Arial"/>
                <w:sz w:val="20"/>
                <w:szCs w:val="20"/>
              </w:rPr>
            </w:pPr>
            <w:r w:rsidRPr="00B97C61">
              <w:rPr>
                <w:rFonts w:asciiTheme="minorHAnsi" w:hAnsiTheme="minorHAnsi" w:cs="Arial"/>
                <w:sz w:val="20"/>
                <w:szCs w:val="20"/>
              </w:rPr>
              <w:t xml:space="preserve">At 1 </w:t>
            </w:r>
            <w:r w:rsidR="00D9512B">
              <w:rPr>
                <w:rFonts w:asciiTheme="minorHAnsi" w:hAnsiTheme="minorHAnsi" w:cs="Arial"/>
                <w:sz w:val="20"/>
                <w:szCs w:val="20"/>
              </w:rPr>
              <w:t>January</w:t>
            </w:r>
          </w:p>
        </w:tc>
        <w:tc>
          <w:tcPr>
            <w:tcW w:w="636" w:type="pct"/>
            <w:tcBorders>
              <w:top w:val="single" w:sz="12" w:space="0" w:color="auto"/>
              <w:left w:val="nil"/>
              <w:bottom w:val="single" w:sz="12" w:space="0" w:color="auto"/>
              <w:right w:val="nil"/>
            </w:tcBorders>
            <w:shd w:val="clear" w:color="auto" w:fill="auto"/>
            <w:vAlign w:val="bottom"/>
          </w:tcPr>
          <w:p w14:paraId="0159C8D3" w14:textId="77777777" w:rsidR="004C7C84" w:rsidRPr="006D4208" w:rsidRDefault="004C7C84">
            <w:pPr>
              <w:jc w:val="right"/>
              <w:rPr>
                <w:rFonts w:asciiTheme="minorHAnsi" w:hAnsiTheme="minorHAnsi" w:cs="Arial"/>
                <w:sz w:val="20"/>
                <w:szCs w:val="20"/>
              </w:rPr>
            </w:pPr>
            <w:r w:rsidRPr="006D4208">
              <w:rPr>
                <w:rFonts w:asciiTheme="minorHAnsi" w:hAnsiTheme="minorHAnsi" w:cs="Arial"/>
                <w:sz w:val="20"/>
                <w:szCs w:val="20"/>
              </w:rPr>
              <w:t>12.5</w:t>
            </w:r>
          </w:p>
        </w:tc>
        <w:tc>
          <w:tcPr>
            <w:tcW w:w="565" w:type="pct"/>
            <w:tcBorders>
              <w:top w:val="single" w:sz="12" w:space="0" w:color="auto"/>
              <w:left w:val="nil"/>
              <w:bottom w:val="single" w:sz="12" w:space="0" w:color="auto"/>
              <w:right w:val="nil"/>
            </w:tcBorders>
            <w:shd w:val="clear" w:color="auto" w:fill="auto"/>
            <w:vAlign w:val="bottom"/>
          </w:tcPr>
          <w:p w14:paraId="6C79F8DA" w14:textId="77777777" w:rsidR="004C7C84" w:rsidRPr="006D4208" w:rsidRDefault="004C7C84">
            <w:pPr>
              <w:jc w:val="right"/>
              <w:rPr>
                <w:rFonts w:asciiTheme="minorHAnsi" w:hAnsiTheme="minorHAnsi" w:cs="Arial"/>
                <w:sz w:val="20"/>
                <w:szCs w:val="20"/>
              </w:rPr>
            </w:pPr>
            <w:r w:rsidRPr="006D4208">
              <w:rPr>
                <w:rFonts w:asciiTheme="minorHAnsi" w:hAnsiTheme="minorHAnsi" w:cs="Arial"/>
                <w:sz w:val="20"/>
                <w:szCs w:val="20"/>
              </w:rPr>
              <w:t>50.8</w:t>
            </w:r>
          </w:p>
        </w:tc>
        <w:tc>
          <w:tcPr>
            <w:tcW w:w="424" w:type="pct"/>
            <w:tcBorders>
              <w:top w:val="single" w:sz="12" w:space="0" w:color="auto"/>
              <w:left w:val="nil"/>
              <w:bottom w:val="single" w:sz="12" w:space="0" w:color="auto"/>
              <w:right w:val="nil"/>
            </w:tcBorders>
            <w:shd w:val="clear" w:color="auto" w:fill="auto"/>
            <w:vAlign w:val="bottom"/>
          </w:tcPr>
          <w:p w14:paraId="1E4CB7DD" w14:textId="77777777" w:rsidR="004C7C84" w:rsidRPr="006D4208" w:rsidRDefault="004C7C84">
            <w:pPr>
              <w:jc w:val="right"/>
              <w:rPr>
                <w:rFonts w:asciiTheme="minorHAnsi" w:hAnsiTheme="minorHAnsi" w:cs="Arial"/>
                <w:sz w:val="20"/>
                <w:szCs w:val="20"/>
              </w:rPr>
            </w:pPr>
            <w:r w:rsidRPr="006D4208">
              <w:rPr>
                <w:rFonts w:asciiTheme="minorHAnsi" w:hAnsiTheme="minorHAnsi" w:cs="Arial"/>
                <w:sz w:val="20"/>
                <w:szCs w:val="20"/>
              </w:rPr>
              <w:t>63.3</w:t>
            </w:r>
          </w:p>
        </w:tc>
      </w:tr>
    </w:tbl>
    <w:p w14:paraId="503B9371" w14:textId="69318618" w:rsidR="74C4B8E0" w:rsidRDefault="74C4B8E0" w:rsidP="74C4B8E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Arial"/>
          <w:b/>
          <w:bCs/>
          <w:sz w:val="20"/>
          <w:szCs w:val="20"/>
        </w:rPr>
      </w:pPr>
    </w:p>
    <w:p w14:paraId="0A997C75" w14:textId="77777777" w:rsidR="00EA4105" w:rsidRDefault="00EA4105" w:rsidP="004D21F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rPr>
          <w:rFonts w:asciiTheme="minorHAnsi" w:hAnsiTheme="minorHAnsi" w:cs="Arial"/>
          <w:b/>
          <w:sz w:val="20"/>
          <w:szCs w:val="20"/>
        </w:rPr>
      </w:pPr>
    </w:p>
    <w:tbl>
      <w:tblPr>
        <w:tblW w:w="5000" w:type="pct"/>
        <w:tblLook w:val="0000" w:firstRow="0" w:lastRow="0" w:firstColumn="0" w:lastColumn="0" w:noHBand="0" w:noVBand="0"/>
      </w:tblPr>
      <w:tblGrid>
        <w:gridCol w:w="5159"/>
        <w:gridCol w:w="1787"/>
        <w:gridCol w:w="1587"/>
        <w:gridCol w:w="1190"/>
      </w:tblGrid>
      <w:tr w:rsidR="00EA4105" w:rsidRPr="004C7C84" w14:paraId="20DA658A" w14:textId="77777777">
        <w:tc>
          <w:tcPr>
            <w:tcW w:w="1837" w:type="pct"/>
            <w:shd w:val="clear" w:color="auto" w:fill="auto"/>
          </w:tcPr>
          <w:p w14:paraId="65B6E7B4" w14:textId="77777777" w:rsidR="00EA4105" w:rsidRPr="00B97C61" w:rsidRDefault="00EA4105">
            <w:pPr>
              <w:rPr>
                <w:rFonts w:asciiTheme="minorHAnsi" w:hAnsiTheme="minorHAnsi" w:cs="Arial"/>
                <w:sz w:val="20"/>
                <w:szCs w:val="20"/>
              </w:rPr>
            </w:pPr>
          </w:p>
        </w:tc>
        <w:tc>
          <w:tcPr>
            <w:tcW w:w="1625" w:type="pct"/>
            <w:gridSpan w:val="3"/>
            <w:tcBorders>
              <w:top w:val="nil"/>
              <w:left w:val="nil"/>
              <w:right w:val="nil"/>
            </w:tcBorders>
            <w:shd w:val="clear" w:color="auto" w:fill="auto"/>
            <w:vAlign w:val="bottom"/>
          </w:tcPr>
          <w:p w14:paraId="34E3C3C6" w14:textId="28BF824E" w:rsidR="00EA4105" w:rsidRPr="00950FA1" w:rsidRDefault="000E27B7">
            <w:pPr>
              <w:jc w:val="center"/>
              <w:rPr>
                <w:rFonts w:asciiTheme="minorHAnsi" w:hAnsiTheme="minorHAnsi" w:cs="Arial"/>
                <w:sz w:val="20"/>
                <w:szCs w:val="20"/>
              </w:rPr>
            </w:pPr>
            <w:r w:rsidRPr="00950FA1">
              <w:rPr>
                <w:rFonts w:asciiTheme="minorHAnsi" w:hAnsiTheme="minorHAnsi" w:cs="Arial"/>
                <w:sz w:val="20"/>
                <w:szCs w:val="20"/>
              </w:rPr>
              <w:t xml:space="preserve">30 June </w:t>
            </w:r>
            <w:r w:rsidR="00EA4105" w:rsidRPr="00950FA1">
              <w:rPr>
                <w:rFonts w:asciiTheme="minorHAnsi" w:hAnsiTheme="minorHAnsi" w:cs="Arial"/>
                <w:sz w:val="20"/>
                <w:szCs w:val="20"/>
              </w:rPr>
              <w:t>2023</w:t>
            </w:r>
          </w:p>
        </w:tc>
      </w:tr>
      <w:tr w:rsidR="00EA4105" w:rsidRPr="004C7C84" w14:paraId="29D3EB38" w14:textId="77777777">
        <w:tc>
          <w:tcPr>
            <w:tcW w:w="1837" w:type="pct"/>
            <w:shd w:val="clear" w:color="auto" w:fill="auto"/>
          </w:tcPr>
          <w:p w14:paraId="7576141B" w14:textId="77777777" w:rsidR="00EA4105" w:rsidRPr="00B97C61" w:rsidRDefault="00EA4105">
            <w:pPr>
              <w:rPr>
                <w:rFonts w:asciiTheme="minorHAnsi" w:hAnsiTheme="minorHAnsi" w:cs="Arial"/>
                <w:sz w:val="20"/>
                <w:szCs w:val="20"/>
              </w:rPr>
            </w:pPr>
          </w:p>
        </w:tc>
        <w:tc>
          <w:tcPr>
            <w:tcW w:w="636" w:type="pct"/>
            <w:tcBorders>
              <w:top w:val="nil"/>
              <w:left w:val="nil"/>
              <w:right w:val="nil"/>
            </w:tcBorders>
            <w:shd w:val="clear" w:color="auto" w:fill="auto"/>
            <w:vAlign w:val="bottom"/>
          </w:tcPr>
          <w:p w14:paraId="4DEE39C2" w14:textId="77777777" w:rsidR="00EA4105" w:rsidRPr="00EA4105" w:rsidRDefault="00EA4105">
            <w:pPr>
              <w:jc w:val="right"/>
              <w:rPr>
                <w:rFonts w:asciiTheme="minorHAnsi" w:hAnsiTheme="minorHAnsi" w:cs="Arial"/>
                <w:bCs/>
                <w:sz w:val="20"/>
                <w:szCs w:val="20"/>
              </w:rPr>
            </w:pPr>
            <w:r w:rsidRPr="00EA4105">
              <w:rPr>
                <w:rFonts w:asciiTheme="minorHAnsi" w:hAnsiTheme="minorHAnsi" w:cs="Arial"/>
                <w:bCs/>
                <w:sz w:val="20"/>
                <w:szCs w:val="20"/>
              </w:rPr>
              <w:t>Acquisition intangibles</w:t>
            </w:r>
          </w:p>
        </w:tc>
        <w:tc>
          <w:tcPr>
            <w:tcW w:w="565" w:type="pct"/>
            <w:tcBorders>
              <w:top w:val="nil"/>
              <w:left w:val="nil"/>
              <w:right w:val="nil"/>
            </w:tcBorders>
            <w:shd w:val="clear" w:color="auto" w:fill="auto"/>
            <w:vAlign w:val="bottom"/>
          </w:tcPr>
          <w:p w14:paraId="472A9B52" w14:textId="77777777" w:rsidR="00EA4105" w:rsidRPr="00EA4105" w:rsidRDefault="00EA4105">
            <w:pPr>
              <w:jc w:val="right"/>
              <w:rPr>
                <w:rFonts w:asciiTheme="minorHAnsi" w:hAnsiTheme="minorHAnsi" w:cs="Arial"/>
                <w:bCs/>
                <w:sz w:val="20"/>
                <w:szCs w:val="20"/>
              </w:rPr>
            </w:pPr>
            <w:r w:rsidRPr="00EA4105">
              <w:rPr>
                <w:rFonts w:asciiTheme="minorHAnsi" w:hAnsiTheme="minorHAnsi" w:cs="Arial"/>
                <w:bCs/>
                <w:sz w:val="20"/>
                <w:szCs w:val="20"/>
              </w:rPr>
              <w:t xml:space="preserve">Computer software </w:t>
            </w:r>
          </w:p>
        </w:tc>
        <w:tc>
          <w:tcPr>
            <w:tcW w:w="424" w:type="pct"/>
            <w:tcBorders>
              <w:top w:val="nil"/>
              <w:left w:val="nil"/>
              <w:right w:val="nil"/>
            </w:tcBorders>
            <w:shd w:val="clear" w:color="auto" w:fill="auto"/>
            <w:vAlign w:val="bottom"/>
          </w:tcPr>
          <w:p w14:paraId="48957C72" w14:textId="77777777" w:rsidR="00EA4105" w:rsidRPr="00EA4105" w:rsidRDefault="00EA4105">
            <w:pPr>
              <w:jc w:val="right"/>
              <w:rPr>
                <w:rFonts w:asciiTheme="minorHAnsi" w:hAnsiTheme="minorHAnsi" w:cs="Arial"/>
                <w:bCs/>
                <w:sz w:val="20"/>
                <w:szCs w:val="20"/>
              </w:rPr>
            </w:pPr>
            <w:r w:rsidRPr="00EA4105">
              <w:rPr>
                <w:rFonts w:asciiTheme="minorHAnsi" w:hAnsiTheme="minorHAnsi" w:cs="Arial"/>
                <w:bCs/>
                <w:sz w:val="20"/>
                <w:szCs w:val="20"/>
              </w:rPr>
              <w:t>Total</w:t>
            </w:r>
          </w:p>
        </w:tc>
      </w:tr>
      <w:tr w:rsidR="00EA4105" w:rsidRPr="004C7C84" w14:paraId="04D15E35" w14:textId="77777777">
        <w:tc>
          <w:tcPr>
            <w:tcW w:w="1837" w:type="pct"/>
            <w:shd w:val="clear" w:color="auto" w:fill="auto"/>
          </w:tcPr>
          <w:p w14:paraId="41F399F6" w14:textId="77777777" w:rsidR="00EA4105" w:rsidRPr="00B97C61" w:rsidRDefault="00EA4105">
            <w:pPr>
              <w:rPr>
                <w:rFonts w:asciiTheme="minorHAnsi" w:hAnsiTheme="minorHAnsi" w:cs="Arial"/>
                <w:sz w:val="20"/>
                <w:szCs w:val="20"/>
              </w:rPr>
            </w:pPr>
          </w:p>
        </w:tc>
        <w:tc>
          <w:tcPr>
            <w:tcW w:w="636" w:type="pct"/>
            <w:tcBorders>
              <w:left w:val="nil"/>
              <w:bottom w:val="single" w:sz="4" w:space="0" w:color="auto"/>
              <w:right w:val="nil"/>
            </w:tcBorders>
            <w:shd w:val="clear" w:color="auto" w:fill="auto"/>
            <w:vAlign w:val="bottom"/>
          </w:tcPr>
          <w:p w14:paraId="39664B4F" w14:textId="77777777" w:rsidR="00EA4105" w:rsidRPr="00EA4105" w:rsidRDefault="00EA4105">
            <w:pPr>
              <w:jc w:val="right"/>
              <w:rPr>
                <w:rFonts w:asciiTheme="minorHAnsi" w:hAnsiTheme="minorHAnsi" w:cs="Arial"/>
                <w:bCs/>
                <w:sz w:val="20"/>
                <w:szCs w:val="20"/>
              </w:rPr>
            </w:pPr>
            <w:r w:rsidRPr="00EA4105">
              <w:rPr>
                <w:rFonts w:asciiTheme="minorHAnsi" w:hAnsiTheme="minorHAnsi" w:cs="Arial"/>
                <w:bCs/>
                <w:sz w:val="20"/>
                <w:szCs w:val="20"/>
              </w:rPr>
              <w:t>£m </w:t>
            </w:r>
          </w:p>
        </w:tc>
        <w:tc>
          <w:tcPr>
            <w:tcW w:w="565" w:type="pct"/>
            <w:tcBorders>
              <w:left w:val="nil"/>
              <w:bottom w:val="single" w:sz="4" w:space="0" w:color="auto"/>
              <w:right w:val="nil"/>
            </w:tcBorders>
            <w:shd w:val="clear" w:color="auto" w:fill="auto"/>
            <w:vAlign w:val="bottom"/>
          </w:tcPr>
          <w:p w14:paraId="2463E07B" w14:textId="77777777" w:rsidR="00EA4105" w:rsidRPr="00EA4105" w:rsidRDefault="00EA4105">
            <w:pPr>
              <w:jc w:val="right"/>
              <w:rPr>
                <w:rFonts w:asciiTheme="minorHAnsi" w:hAnsiTheme="minorHAnsi" w:cs="Arial"/>
                <w:bCs/>
                <w:sz w:val="20"/>
                <w:szCs w:val="20"/>
              </w:rPr>
            </w:pPr>
            <w:r w:rsidRPr="00EA4105">
              <w:rPr>
                <w:rFonts w:asciiTheme="minorHAnsi" w:hAnsiTheme="minorHAnsi" w:cs="Arial"/>
                <w:bCs/>
                <w:sz w:val="20"/>
                <w:szCs w:val="20"/>
              </w:rPr>
              <w:t>£m </w:t>
            </w:r>
          </w:p>
        </w:tc>
        <w:tc>
          <w:tcPr>
            <w:tcW w:w="424" w:type="pct"/>
            <w:tcBorders>
              <w:left w:val="nil"/>
              <w:bottom w:val="single" w:sz="4" w:space="0" w:color="auto"/>
              <w:right w:val="nil"/>
            </w:tcBorders>
            <w:shd w:val="clear" w:color="auto" w:fill="auto"/>
            <w:vAlign w:val="bottom"/>
          </w:tcPr>
          <w:p w14:paraId="26A78CCD" w14:textId="77777777" w:rsidR="00EA4105" w:rsidRPr="00EA4105" w:rsidRDefault="00EA4105">
            <w:pPr>
              <w:jc w:val="right"/>
              <w:rPr>
                <w:rFonts w:asciiTheme="minorHAnsi" w:hAnsiTheme="minorHAnsi" w:cs="Arial"/>
                <w:bCs/>
                <w:sz w:val="20"/>
                <w:szCs w:val="20"/>
              </w:rPr>
            </w:pPr>
            <w:r w:rsidRPr="00EA4105">
              <w:rPr>
                <w:rFonts w:asciiTheme="minorHAnsi" w:hAnsiTheme="minorHAnsi" w:cs="Arial"/>
                <w:bCs/>
                <w:sz w:val="20"/>
                <w:szCs w:val="20"/>
              </w:rPr>
              <w:t>£m </w:t>
            </w:r>
          </w:p>
        </w:tc>
      </w:tr>
      <w:tr w:rsidR="00EA4105" w:rsidRPr="004C7C84" w14:paraId="794F57E8" w14:textId="77777777">
        <w:tc>
          <w:tcPr>
            <w:tcW w:w="1837" w:type="pct"/>
            <w:shd w:val="clear" w:color="auto" w:fill="auto"/>
            <w:vAlign w:val="bottom"/>
          </w:tcPr>
          <w:p w14:paraId="6F17C089" w14:textId="77777777" w:rsidR="00EA4105" w:rsidRPr="00B97C61" w:rsidRDefault="00EA4105">
            <w:pPr>
              <w:rPr>
                <w:rFonts w:asciiTheme="minorHAnsi" w:hAnsiTheme="minorHAnsi" w:cs="Arial"/>
                <w:b/>
                <w:sz w:val="20"/>
                <w:szCs w:val="20"/>
              </w:rPr>
            </w:pPr>
            <w:r w:rsidRPr="00B97C61">
              <w:rPr>
                <w:rFonts w:asciiTheme="minorHAnsi" w:hAnsiTheme="minorHAnsi" w:cs="Arial"/>
                <w:b/>
                <w:sz w:val="20"/>
                <w:szCs w:val="20"/>
              </w:rPr>
              <w:t>Cost</w:t>
            </w:r>
          </w:p>
        </w:tc>
        <w:tc>
          <w:tcPr>
            <w:tcW w:w="636" w:type="pct"/>
            <w:tcBorders>
              <w:top w:val="single" w:sz="4" w:space="0" w:color="auto"/>
              <w:left w:val="nil"/>
              <w:right w:val="nil"/>
            </w:tcBorders>
            <w:shd w:val="clear" w:color="auto" w:fill="auto"/>
            <w:vAlign w:val="bottom"/>
          </w:tcPr>
          <w:p w14:paraId="7D424B31" w14:textId="77777777" w:rsidR="00EA4105" w:rsidRPr="004C7C84" w:rsidRDefault="00EA4105">
            <w:pPr>
              <w:jc w:val="right"/>
              <w:rPr>
                <w:rFonts w:asciiTheme="minorHAnsi" w:hAnsiTheme="minorHAnsi" w:cs="Arial"/>
                <w:b/>
                <w:sz w:val="20"/>
                <w:szCs w:val="20"/>
              </w:rPr>
            </w:pPr>
          </w:p>
        </w:tc>
        <w:tc>
          <w:tcPr>
            <w:tcW w:w="565" w:type="pct"/>
            <w:tcBorders>
              <w:top w:val="single" w:sz="4" w:space="0" w:color="auto"/>
              <w:left w:val="nil"/>
              <w:right w:val="nil"/>
            </w:tcBorders>
            <w:shd w:val="clear" w:color="auto" w:fill="auto"/>
            <w:vAlign w:val="bottom"/>
          </w:tcPr>
          <w:p w14:paraId="734B87B7" w14:textId="77777777" w:rsidR="00EA4105" w:rsidRPr="004C7C84" w:rsidRDefault="00EA4105">
            <w:pPr>
              <w:jc w:val="right"/>
              <w:rPr>
                <w:rFonts w:asciiTheme="minorHAnsi" w:hAnsiTheme="minorHAnsi" w:cs="Arial"/>
                <w:b/>
                <w:sz w:val="20"/>
                <w:szCs w:val="20"/>
              </w:rPr>
            </w:pPr>
          </w:p>
        </w:tc>
        <w:tc>
          <w:tcPr>
            <w:tcW w:w="424" w:type="pct"/>
            <w:tcBorders>
              <w:top w:val="single" w:sz="4" w:space="0" w:color="auto"/>
              <w:left w:val="nil"/>
              <w:right w:val="nil"/>
            </w:tcBorders>
            <w:shd w:val="clear" w:color="auto" w:fill="auto"/>
            <w:vAlign w:val="bottom"/>
          </w:tcPr>
          <w:p w14:paraId="33A26D7E" w14:textId="77777777" w:rsidR="00EA4105" w:rsidRPr="004C7C84" w:rsidRDefault="00EA4105">
            <w:pPr>
              <w:jc w:val="right"/>
              <w:rPr>
                <w:rFonts w:asciiTheme="minorHAnsi" w:hAnsiTheme="minorHAnsi" w:cs="Arial"/>
                <w:b/>
                <w:sz w:val="20"/>
                <w:szCs w:val="20"/>
              </w:rPr>
            </w:pPr>
          </w:p>
        </w:tc>
      </w:tr>
      <w:tr w:rsidR="00EA4105" w:rsidRPr="004C7C84" w14:paraId="34192088" w14:textId="77777777">
        <w:tc>
          <w:tcPr>
            <w:tcW w:w="1837" w:type="pct"/>
            <w:shd w:val="clear" w:color="auto" w:fill="auto"/>
            <w:vAlign w:val="bottom"/>
          </w:tcPr>
          <w:p w14:paraId="73EC5704" w14:textId="77777777" w:rsidR="00EA4105" w:rsidRPr="00B97C61" w:rsidRDefault="00EA4105">
            <w:pPr>
              <w:rPr>
                <w:rFonts w:asciiTheme="minorHAnsi" w:hAnsiTheme="minorHAnsi" w:cs="Arial"/>
                <w:sz w:val="20"/>
                <w:szCs w:val="20"/>
              </w:rPr>
            </w:pPr>
            <w:r w:rsidRPr="00B97C61">
              <w:rPr>
                <w:rFonts w:asciiTheme="minorHAnsi" w:hAnsiTheme="minorHAnsi" w:cs="Arial"/>
                <w:sz w:val="20"/>
                <w:szCs w:val="20"/>
              </w:rPr>
              <w:t>At 1 January</w:t>
            </w:r>
          </w:p>
        </w:tc>
        <w:tc>
          <w:tcPr>
            <w:tcW w:w="636" w:type="pct"/>
            <w:shd w:val="clear" w:color="auto" w:fill="auto"/>
            <w:vAlign w:val="bottom"/>
          </w:tcPr>
          <w:p w14:paraId="4CD3187B" w14:textId="77777777" w:rsidR="00EA4105" w:rsidRPr="006D4208" w:rsidRDefault="00EA4105">
            <w:pPr>
              <w:jc w:val="right"/>
              <w:rPr>
                <w:rFonts w:asciiTheme="minorHAnsi" w:hAnsiTheme="minorHAnsi" w:cs="Arial"/>
                <w:sz w:val="20"/>
                <w:szCs w:val="20"/>
              </w:rPr>
            </w:pPr>
            <w:r w:rsidRPr="006D4208">
              <w:rPr>
                <w:rFonts w:asciiTheme="minorHAnsi" w:hAnsiTheme="minorHAnsi" w:cs="Arial"/>
                <w:sz w:val="20"/>
                <w:szCs w:val="20"/>
              </w:rPr>
              <w:t>75.0</w:t>
            </w:r>
          </w:p>
        </w:tc>
        <w:tc>
          <w:tcPr>
            <w:tcW w:w="565" w:type="pct"/>
            <w:shd w:val="clear" w:color="auto" w:fill="auto"/>
            <w:vAlign w:val="bottom"/>
          </w:tcPr>
          <w:p w14:paraId="595F1367" w14:textId="77777777" w:rsidR="00EA4105" w:rsidRPr="006D4208" w:rsidRDefault="00EA4105">
            <w:pPr>
              <w:jc w:val="right"/>
              <w:rPr>
                <w:rFonts w:asciiTheme="minorHAnsi" w:hAnsiTheme="minorHAnsi" w:cs="Arial"/>
                <w:sz w:val="20"/>
                <w:szCs w:val="20"/>
              </w:rPr>
            </w:pPr>
            <w:r w:rsidRPr="006D4208">
              <w:rPr>
                <w:rFonts w:asciiTheme="minorHAnsi" w:hAnsiTheme="minorHAnsi" w:cs="Arial"/>
                <w:sz w:val="20"/>
                <w:szCs w:val="20"/>
              </w:rPr>
              <w:t>68.5</w:t>
            </w:r>
          </w:p>
        </w:tc>
        <w:tc>
          <w:tcPr>
            <w:tcW w:w="424" w:type="pct"/>
            <w:shd w:val="clear" w:color="auto" w:fill="auto"/>
            <w:vAlign w:val="bottom"/>
          </w:tcPr>
          <w:p w14:paraId="2F7845C3" w14:textId="77777777" w:rsidR="00EA4105" w:rsidRPr="006D4208" w:rsidRDefault="00EA4105">
            <w:pPr>
              <w:jc w:val="right"/>
              <w:rPr>
                <w:rFonts w:asciiTheme="minorHAnsi" w:hAnsiTheme="minorHAnsi" w:cs="Arial"/>
                <w:sz w:val="20"/>
                <w:szCs w:val="20"/>
              </w:rPr>
            </w:pPr>
            <w:r w:rsidRPr="006D4208">
              <w:rPr>
                <w:rFonts w:asciiTheme="minorHAnsi" w:hAnsiTheme="minorHAnsi" w:cs="Arial"/>
                <w:sz w:val="20"/>
                <w:szCs w:val="20"/>
              </w:rPr>
              <w:t>143.5</w:t>
            </w:r>
          </w:p>
        </w:tc>
      </w:tr>
      <w:tr w:rsidR="00EA4105" w:rsidRPr="004C7C84" w14:paraId="1C52CB06" w14:textId="77777777">
        <w:tc>
          <w:tcPr>
            <w:tcW w:w="1837" w:type="pct"/>
            <w:shd w:val="clear" w:color="auto" w:fill="auto"/>
            <w:vAlign w:val="bottom"/>
          </w:tcPr>
          <w:p w14:paraId="4301E151" w14:textId="77777777" w:rsidR="00EA4105" w:rsidRPr="00B97C61" w:rsidRDefault="00EA4105">
            <w:pPr>
              <w:rPr>
                <w:rFonts w:asciiTheme="minorHAnsi" w:hAnsiTheme="minorHAnsi" w:cs="Arial"/>
                <w:sz w:val="20"/>
                <w:szCs w:val="20"/>
              </w:rPr>
            </w:pPr>
            <w:r w:rsidRPr="00B97C61">
              <w:rPr>
                <w:rFonts w:asciiTheme="minorHAnsi" w:hAnsiTheme="minorHAnsi" w:cs="Arial"/>
                <w:sz w:val="20"/>
                <w:szCs w:val="20"/>
              </w:rPr>
              <w:t>Additions</w:t>
            </w:r>
          </w:p>
        </w:tc>
        <w:tc>
          <w:tcPr>
            <w:tcW w:w="636" w:type="pct"/>
            <w:shd w:val="clear" w:color="auto" w:fill="auto"/>
            <w:vAlign w:val="bottom"/>
          </w:tcPr>
          <w:p w14:paraId="3A2DA715" w14:textId="6327E6DE" w:rsidR="00EA4105" w:rsidRPr="006D4208" w:rsidRDefault="00F863F4">
            <w:pPr>
              <w:jc w:val="right"/>
              <w:rPr>
                <w:rFonts w:asciiTheme="minorHAnsi" w:hAnsiTheme="minorHAnsi" w:cs="Arial"/>
                <w:sz w:val="20"/>
                <w:szCs w:val="20"/>
              </w:rPr>
            </w:pPr>
            <w:r w:rsidRPr="006D4208">
              <w:rPr>
                <w:rFonts w:asciiTheme="minorHAnsi" w:hAnsiTheme="minorHAnsi" w:cs="Arial"/>
                <w:sz w:val="20"/>
                <w:szCs w:val="20"/>
              </w:rPr>
              <w:t>-</w:t>
            </w:r>
          </w:p>
        </w:tc>
        <w:tc>
          <w:tcPr>
            <w:tcW w:w="565" w:type="pct"/>
            <w:shd w:val="clear" w:color="auto" w:fill="auto"/>
            <w:vAlign w:val="bottom"/>
          </w:tcPr>
          <w:p w14:paraId="046FB57D" w14:textId="2E9C7504" w:rsidR="00EA4105" w:rsidRPr="006D4208" w:rsidRDefault="00EA4105">
            <w:pPr>
              <w:jc w:val="right"/>
              <w:rPr>
                <w:rFonts w:asciiTheme="minorHAnsi" w:hAnsiTheme="minorHAnsi" w:cs="Arial"/>
                <w:sz w:val="20"/>
                <w:szCs w:val="20"/>
              </w:rPr>
            </w:pPr>
            <w:r w:rsidRPr="006D4208">
              <w:rPr>
                <w:rFonts w:asciiTheme="minorHAnsi" w:hAnsiTheme="minorHAnsi" w:cs="Arial"/>
                <w:sz w:val="20"/>
                <w:szCs w:val="20"/>
              </w:rPr>
              <w:t>1</w:t>
            </w:r>
            <w:r w:rsidR="00F863F4" w:rsidRPr="006D4208">
              <w:rPr>
                <w:rFonts w:asciiTheme="minorHAnsi" w:hAnsiTheme="minorHAnsi" w:cs="Arial"/>
                <w:sz w:val="20"/>
                <w:szCs w:val="20"/>
              </w:rPr>
              <w:t>1.3</w:t>
            </w:r>
          </w:p>
        </w:tc>
        <w:tc>
          <w:tcPr>
            <w:tcW w:w="424" w:type="pct"/>
            <w:shd w:val="clear" w:color="auto" w:fill="auto"/>
            <w:vAlign w:val="bottom"/>
          </w:tcPr>
          <w:p w14:paraId="4C921C41" w14:textId="32ACC46D" w:rsidR="00EA4105" w:rsidRPr="006D4208" w:rsidRDefault="00F863F4">
            <w:pPr>
              <w:jc w:val="right"/>
              <w:rPr>
                <w:rFonts w:asciiTheme="minorHAnsi" w:hAnsiTheme="minorHAnsi" w:cs="Arial"/>
                <w:sz w:val="20"/>
                <w:szCs w:val="20"/>
              </w:rPr>
            </w:pPr>
            <w:r w:rsidRPr="006D4208">
              <w:rPr>
                <w:rFonts w:asciiTheme="minorHAnsi" w:hAnsiTheme="minorHAnsi" w:cs="Arial"/>
                <w:sz w:val="20"/>
                <w:szCs w:val="20"/>
              </w:rPr>
              <w:t>11.3</w:t>
            </w:r>
          </w:p>
        </w:tc>
      </w:tr>
      <w:tr w:rsidR="00EA4105" w:rsidRPr="004C7C84" w14:paraId="3AB47CF2" w14:textId="77777777">
        <w:tc>
          <w:tcPr>
            <w:tcW w:w="1837" w:type="pct"/>
            <w:shd w:val="clear" w:color="auto" w:fill="auto"/>
            <w:vAlign w:val="bottom"/>
          </w:tcPr>
          <w:p w14:paraId="2F435DC0" w14:textId="77777777" w:rsidR="00EA4105" w:rsidRPr="00B97C61" w:rsidRDefault="00EA4105">
            <w:pPr>
              <w:rPr>
                <w:rFonts w:asciiTheme="minorHAnsi" w:hAnsiTheme="minorHAnsi" w:cs="Arial"/>
                <w:sz w:val="20"/>
                <w:szCs w:val="20"/>
              </w:rPr>
            </w:pPr>
            <w:r w:rsidRPr="00B97C61">
              <w:rPr>
                <w:rFonts w:asciiTheme="minorHAnsi" w:hAnsiTheme="minorHAnsi" w:cs="Arial"/>
                <w:sz w:val="20"/>
                <w:szCs w:val="20"/>
              </w:rPr>
              <w:t>Disposals</w:t>
            </w:r>
          </w:p>
        </w:tc>
        <w:tc>
          <w:tcPr>
            <w:tcW w:w="636" w:type="pct"/>
            <w:tcBorders>
              <w:bottom w:val="single" w:sz="4" w:space="0" w:color="auto"/>
            </w:tcBorders>
            <w:shd w:val="clear" w:color="auto" w:fill="auto"/>
            <w:vAlign w:val="bottom"/>
          </w:tcPr>
          <w:p w14:paraId="46706DE9" w14:textId="77777777" w:rsidR="00EA4105" w:rsidRPr="006D4208" w:rsidRDefault="00EA4105">
            <w:pPr>
              <w:jc w:val="right"/>
              <w:rPr>
                <w:rFonts w:asciiTheme="minorHAnsi" w:hAnsiTheme="minorHAnsi" w:cs="Arial"/>
                <w:sz w:val="20"/>
                <w:szCs w:val="20"/>
              </w:rPr>
            </w:pPr>
            <w:r w:rsidRPr="006D4208">
              <w:rPr>
                <w:rFonts w:asciiTheme="minorHAnsi" w:hAnsiTheme="minorHAnsi" w:cs="Arial"/>
                <w:sz w:val="20"/>
                <w:szCs w:val="20"/>
              </w:rPr>
              <w:t>-</w:t>
            </w:r>
          </w:p>
        </w:tc>
        <w:tc>
          <w:tcPr>
            <w:tcW w:w="565" w:type="pct"/>
            <w:tcBorders>
              <w:bottom w:val="single" w:sz="4" w:space="0" w:color="auto"/>
            </w:tcBorders>
            <w:shd w:val="clear" w:color="auto" w:fill="auto"/>
            <w:vAlign w:val="bottom"/>
          </w:tcPr>
          <w:p w14:paraId="62355158" w14:textId="601CEF9B" w:rsidR="00EA4105" w:rsidRPr="006D4208" w:rsidRDefault="00EA4105">
            <w:pPr>
              <w:jc w:val="right"/>
              <w:rPr>
                <w:rFonts w:asciiTheme="minorHAnsi" w:hAnsiTheme="minorHAnsi" w:cs="Arial"/>
                <w:sz w:val="20"/>
                <w:szCs w:val="20"/>
              </w:rPr>
            </w:pPr>
            <w:r w:rsidRPr="006D4208">
              <w:rPr>
                <w:rFonts w:asciiTheme="minorHAnsi" w:hAnsiTheme="minorHAnsi" w:cs="Arial"/>
                <w:sz w:val="20"/>
                <w:szCs w:val="20"/>
              </w:rPr>
              <w:t>(2.</w:t>
            </w:r>
            <w:r w:rsidR="00403B45" w:rsidRPr="006D4208">
              <w:rPr>
                <w:rFonts w:asciiTheme="minorHAnsi" w:hAnsiTheme="minorHAnsi" w:cs="Arial"/>
                <w:sz w:val="20"/>
                <w:szCs w:val="20"/>
              </w:rPr>
              <w:t>2</w:t>
            </w:r>
            <w:r w:rsidRPr="006D4208">
              <w:rPr>
                <w:rFonts w:asciiTheme="minorHAnsi" w:hAnsiTheme="minorHAnsi" w:cs="Arial"/>
                <w:sz w:val="20"/>
                <w:szCs w:val="20"/>
              </w:rPr>
              <w:t>)</w:t>
            </w:r>
          </w:p>
        </w:tc>
        <w:tc>
          <w:tcPr>
            <w:tcW w:w="424" w:type="pct"/>
            <w:tcBorders>
              <w:bottom w:val="single" w:sz="4" w:space="0" w:color="auto"/>
            </w:tcBorders>
            <w:shd w:val="clear" w:color="auto" w:fill="auto"/>
            <w:vAlign w:val="bottom"/>
          </w:tcPr>
          <w:p w14:paraId="327E84AC" w14:textId="78F6CFF4" w:rsidR="00EA4105" w:rsidRPr="006D4208" w:rsidRDefault="00EA4105">
            <w:pPr>
              <w:jc w:val="right"/>
              <w:rPr>
                <w:rFonts w:asciiTheme="minorHAnsi" w:hAnsiTheme="minorHAnsi" w:cs="Arial"/>
                <w:sz w:val="20"/>
                <w:szCs w:val="20"/>
              </w:rPr>
            </w:pPr>
            <w:r w:rsidRPr="006D4208">
              <w:rPr>
                <w:rFonts w:asciiTheme="minorHAnsi" w:hAnsiTheme="minorHAnsi" w:cs="Arial"/>
                <w:sz w:val="20"/>
                <w:szCs w:val="20"/>
              </w:rPr>
              <w:t>(2.</w:t>
            </w:r>
            <w:r w:rsidR="00403B45" w:rsidRPr="006D4208">
              <w:rPr>
                <w:rFonts w:asciiTheme="minorHAnsi" w:hAnsiTheme="minorHAnsi" w:cs="Arial"/>
                <w:sz w:val="20"/>
                <w:szCs w:val="20"/>
              </w:rPr>
              <w:t>2</w:t>
            </w:r>
            <w:r w:rsidRPr="006D4208">
              <w:rPr>
                <w:rFonts w:asciiTheme="minorHAnsi" w:hAnsiTheme="minorHAnsi" w:cs="Arial"/>
                <w:sz w:val="20"/>
                <w:szCs w:val="20"/>
              </w:rPr>
              <w:t>)</w:t>
            </w:r>
          </w:p>
        </w:tc>
      </w:tr>
      <w:tr w:rsidR="00EA4105" w:rsidRPr="004C7C84" w14:paraId="7A3EAF08" w14:textId="77777777">
        <w:tc>
          <w:tcPr>
            <w:tcW w:w="1837" w:type="pct"/>
            <w:shd w:val="clear" w:color="auto" w:fill="auto"/>
            <w:vAlign w:val="bottom"/>
          </w:tcPr>
          <w:p w14:paraId="392A2E2D" w14:textId="236A5FA2" w:rsidR="00EA4105" w:rsidRPr="00B97C61" w:rsidRDefault="00EA4105">
            <w:pPr>
              <w:ind w:left="142" w:hanging="142"/>
              <w:rPr>
                <w:rFonts w:asciiTheme="minorHAnsi" w:hAnsiTheme="minorHAnsi" w:cs="Arial"/>
                <w:sz w:val="20"/>
                <w:szCs w:val="20"/>
              </w:rPr>
            </w:pPr>
            <w:r w:rsidRPr="00B97C61">
              <w:rPr>
                <w:rFonts w:asciiTheme="minorHAnsi" w:hAnsiTheme="minorHAnsi" w:cs="Arial"/>
                <w:sz w:val="20"/>
                <w:szCs w:val="20"/>
              </w:rPr>
              <w:t>At 3</w:t>
            </w:r>
            <w:r w:rsidR="00E47E05">
              <w:rPr>
                <w:rFonts w:asciiTheme="minorHAnsi" w:hAnsiTheme="minorHAnsi" w:cs="Arial"/>
                <w:sz w:val="20"/>
                <w:szCs w:val="20"/>
              </w:rPr>
              <w:t>0 June</w:t>
            </w:r>
          </w:p>
        </w:tc>
        <w:tc>
          <w:tcPr>
            <w:tcW w:w="636" w:type="pct"/>
            <w:tcBorders>
              <w:top w:val="single" w:sz="4" w:space="0" w:color="auto"/>
              <w:bottom w:val="single" w:sz="4" w:space="0" w:color="auto"/>
            </w:tcBorders>
            <w:shd w:val="clear" w:color="auto" w:fill="auto"/>
            <w:vAlign w:val="bottom"/>
          </w:tcPr>
          <w:p w14:paraId="223A3B28" w14:textId="1AE49C8D" w:rsidR="00EA4105" w:rsidRPr="006D4208" w:rsidRDefault="00CB1964">
            <w:pPr>
              <w:jc w:val="right"/>
              <w:rPr>
                <w:rFonts w:asciiTheme="minorHAnsi" w:hAnsiTheme="minorHAnsi" w:cs="Arial"/>
                <w:sz w:val="20"/>
                <w:szCs w:val="20"/>
              </w:rPr>
            </w:pPr>
            <w:r w:rsidRPr="006D4208">
              <w:rPr>
                <w:rFonts w:asciiTheme="minorHAnsi" w:hAnsiTheme="minorHAnsi" w:cs="Arial"/>
                <w:sz w:val="20"/>
                <w:szCs w:val="20"/>
              </w:rPr>
              <w:t>75.0</w:t>
            </w:r>
          </w:p>
        </w:tc>
        <w:tc>
          <w:tcPr>
            <w:tcW w:w="565" w:type="pct"/>
            <w:tcBorders>
              <w:top w:val="single" w:sz="4" w:space="0" w:color="auto"/>
              <w:bottom w:val="single" w:sz="4" w:space="0" w:color="auto"/>
            </w:tcBorders>
            <w:shd w:val="clear" w:color="auto" w:fill="auto"/>
            <w:vAlign w:val="bottom"/>
          </w:tcPr>
          <w:p w14:paraId="2EFC39F6" w14:textId="3733EB29" w:rsidR="00EA4105" w:rsidRPr="006D4208" w:rsidRDefault="00C4329C">
            <w:pPr>
              <w:jc w:val="right"/>
              <w:rPr>
                <w:rFonts w:asciiTheme="minorHAnsi" w:hAnsiTheme="minorHAnsi" w:cs="Arial"/>
                <w:sz w:val="20"/>
                <w:szCs w:val="20"/>
              </w:rPr>
            </w:pPr>
            <w:r w:rsidRPr="006D4208">
              <w:rPr>
                <w:rFonts w:asciiTheme="minorHAnsi" w:hAnsiTheme="minorHAnsi" w:cs="Arial"/>
                <w:sz w:val="20"/>
                <w:szCs w:val="20"/>
              </w:rPr>
              <w:t>77.6</w:t>
            </w:r>
          </w:p>
        </w:tc>
        <w:tc>
          <w:tcPr>
            <w:tcW w:w="424" w:type="pct"/>
            <w:tcBorders>
              <w:top w:val="single" w:sz="4" w:space="0" w:color="auto"/>
              <w:bottom w:val="single" w:sz="4" w:space="0" w:color="auto"/>
            </w:tcBorders>
            <w:shd w:val="clear" w:color="auto" w:fill="auto"/>
            <w:vAlign w:val="bottom"/>
          </w:tcPr>
          <w:p w14:paraId="1D485056" w14:textId="33A3BA43" w:rsidR="00EA4105" w:rsidRPr="006D4208" w:rsidRDefault="00EA4105">
            <w:pPr>
              <w:jc w:val="right"/>
              <w:rPr>
                <w:rFonts w:asciiTheme="minorHAnsi" w:hAnsiTheme="minorHAnsi" w:cs="Arial"/>
                <w:sz w:val="20"/>
                <w:szCs w:val="20"/>
              </w:rPr>
            </w:pPr>
            <w:r w:rsidRPr="006D4208">
              <w:rPr>
                <w:rFonts w:asciiTheme="minorHAnsi" w:hAnsiTheme="minorHAnsi" w:cs="Arial"/>
                <w:sz w:val="20"/>
                <w:szCs w:val="20"/>
              </w:rPr>
              <w:t>1</w:t>
            </w:r>
            <w:r w:rsidR="00216D00" w:rsidRPr="006D4208">
              <w:rPr>
                <w:rFonts w:asciiTheme="minorHAnsi" w:hAnsiTheme="minorHAnsi" w:cs="Arial"/>
                <w:sz w:val="20"/>
                <w:szCs w:val="20"/>
              </w:rPr>
              <w:t>52</w:t>
            </w:r>
            <w:r w:rsidRPr="006D4208">
              <w:rPr>
                <w:rFonts w:asciiTheme="minorHAnsi" w:hAnsiTheme="minorHAnsi" w:cs="Arial"/>
                <w:sz w:val="20"/>
                <w:szCs w:val="20"/>
              </w:rPr>
              <w:t>.</w:t>
            </w:r>
            <w:r w:rsidR="00216D00" w:rsidRPr="006D4208">
              <w:rPr>
                <w:rFonts w:asciiTheme="minorHAnsi" w:hAnsiTheme="minorHAnsi" w:cs="Arial"/>
                <w:sz w:val="20"/>
                <w:szCs w:val="20"/>
              </w:rPr>
              <w:t>6</w:t>
            </w:r>
          </w:p>
        </w:tc>
      </w:tr>
      <w:tr w:rsidR="00EA4105" w:rsidRPr="004C7C84" w14:paraId="7C7EC02A" w14:textId="77777777">
        <w:tc>
          <w:tcPr>
            <w:tcW w:w="1837" w:type="pct"/>
            <w:shd w:val="clear" w:color="auto" w:fill="auto"/>
            <w:vAlign w:val="bottom"/>
          </w:tcPr>
          <w:p w14:paraId="51CDC429" w14:textId="77777777" w:rsidR="00EA4105" w:rsidRPr="00B97C61" w:rsidRDefault="00EA4105">
            <w:pPr>
              <w:ind w:left="142" w:hanging="142"/>
              <w:rPr>
                <w:rFonts w:asciiTheme="minorHAnsi" w:hAnsiTheme="minorHAnsi" w:cs="Arial"/>
                <w:sz w:val="20"/>
                <w:szCs w:val="20"/>
              </w:rPr>
            </w:pPr>
          </w:p>
        </w:tc>
        <w:tc>
          <w:tcPr>
            <w:tcW w:w="636" w:type="pct"/>
            <w:tcBorders>
              <w:top w:val="single" w:sz="4" w:space="0" w:color="auto"/>
            </w:tcBorders>
            <w:shd w:val="clear" w:color="auto" w:fill="auto"/>
            <w:vAlign w:val="bottom"/>
          </w:tcPr>
          <w:p w14:paraId="5DEB3548" w14:textId="77777777" w:rsidR="00EA4105" w:rsidRPr="006D4208" w:rsidRDefault="00EA4105">
            <w:pPr>
              <w:jc w:val="right"/>
              <w:rPr>
                <w:rFonts w:asciiTheme="minorHAnsi" w:hAnsiTheme="minorHAnsi" w:cs="Arial"/>
                <w:sz w:val="20"/>
                <w:szCs w:val="20"/>
              </w:rPr>
            </w:pPr>
          </w:p>
        </w:tc>
        <w:tc>
          <w:tcPr>
            <w:tcW w:w="565" w:type="pct"/>
            <w:tcBorders>
              <w:top w:val="single" w:sz="4" w:space="0" w:color="auto"/>
            </w:tcBorders>
            <w:shd w:val="clear" w:color="auto" w:fill="auto"/>
            <w:vAlign w:val="bottom"/>
          </w:tcPr>
          <w:p w14:paraId="2367E393" w14:textId="77777777" w:rsidR="00EA4105" w:rsidRPr="006D4208" w:rsidRDefault="00EA4105">
            <w:pPr>
              <w:jc w:val="right"/>
              <w:rPr>
                <w:rFonts w:asciiTheme="minorHAnsi" w:hAnsiTheme="minorHAnsi" w:cs="Arial"/>
                <w:sz w:val="20"/>
                <w:szCs w:val="20"/>
              </w:rPr>
            </w:pPr>
          </w:p>
        </w:tc>
        <w:tc>
          <w:tcPr>
            <w:tcW w:w="424" w:type="pct"/>
            <w:tcBorders>
              <w:top w:val="single" w:sz="4" w:space="0" w:color="auto"/>
            </w:tcBorders>
            <w:shd w:val="clear" w:color="auto" w:fill="auto"/>
            <w:vAlign w:val="bottom"/>
          </w:tcPr>
          <w:p w14:paraId="63923EC4" w14:textId="77777777" w:rsidR="00EA4105" w:rsidRPr="006D4208" w:rsidRDefault="00EA4105">
            <w:pPr>
              <w:jc w:val="right"/>
              <w:rPr>
                <w:rFonts w:asciiTheme="minorHAnsi" w:hAnsiTheme="minorHAnsi" w:cs="Arial"/>
                <w:sz w:val="20"/>
                <w:szCs w:val="20"/>
              </w:rPr>
            </w:pPr>
          </w:p>
        </w:tc>
      </w:tr>
      <w:tr w:rsidR="00EA4105" w:rsidRPr="004C7C84" w14:paraId="18C32211" w14:textId="77777777">
        <w:tc>
          <w:tcPr>
            <w:tcW w:w="1837" w:type="pct"/>
            <w:shd w:val="clear" w:color="auto" w:fill="auto"/>
            <w:vAlign w:val="bottom"/>
          </w:tcPr>
          <w:p w14:paraId="259EF8BB" w14:textId="77777777" w:rsidR="00EA4105" w:rsidRPr="00B97C61" w:rsidRDefault="00EA4105">
            <w:pPr>
              <w:ind w:left="142" w:hanging="142"/>
              <w:rPr>
                <w:rFonts w:asciiTheme="minorHAnsi" w:hAnsiTheme="minorHAnsi" w:cs="Arial"/>
                <w:b/>
                <w:sz w:val="20"/>
                <w:szCs w:val="20"/>
              </w:rPr>
            </w:pPr>
            <w:r w:rsidRPr="00B97C61">
              <w:rPr>
                <w:rFonts w:asciiTheme="minorHAnsi" w:hAnsiTheme="minorHAnsi" w:cs="Arial"/>
                <w:b/>
                <w:sz w:val="20"/>
                <w:szCs w:val="20"/>
              </w:rPr>
              <w:t>Accumulated amortisation and impairment</w:t>
            </w:r>
          </w:p>
        </w:tc>
        <w:tc>
          <w:tcPr>
            <w:tcW w:w="636" w:type="pct"/>
            <w:shd w:val="clear" w:color="auto" w:fill="auto"/>
            <w:vAlign w:val="bottom"/>
          </w:tcPr>
          <w:p w14:paraId="5EB8DFF2" w14:textId="77777777" w:rsidR="00EA4105" w:rsidRPr="006D4208" w:rsidRDefault="00EA4105">
            <w:pPr>
              <w:jc w:val="right"/>
              <w:rPr>
                <w:rFonts w:asciiTheme="minorHAnsi" w:hAnsiTheme="minorHAnsi" w:cs="Arial"/>
                <w:sz w:val="20"/>
                <w:szCs w:val="20"/>
              </w:rPr>
            </w:pPr>
          </w:p>
        </w:tc>
        <w:tc>
          <w:tcPr>
            <w:tcW w:w="565" w:type="pct"/>
            <w:shd w:val="clear" w:color="auto" w:fill="auto"/>
            <w:vAlign w:val="bottom"/>
          </w:tcPr>
          <w:p w14:paraId="757421B9" w14:textId="77777777" w:rsidR="00EA4105" w:rsidRPr="006D4208" w:rsidRDefault="00EA4105">
            <w:pPr>
              <w:jc w:val="right"/>
              <w:rPr>
                <w:rFonts w:asciiTheme="minorHAnsi" w:hAnsiTheme="minorHAnsi" w:cs="Arial"/>
                <w:sz w:val="20"/>
                <w:szCs w:val="20"/>
              </w:rPr>
            </w:pPr>
          </w:p>
        </w:tc>
        <w:tc>
          <w:tcPr>
            <w:tcW w:w="424" w:type="pct"/>
            <w:shd w:val="clear" w:color="auto" w:fill="auto"/>
            <w:vAlign w:val="bottom"/>
          </w:tcPr>
          <w:p w14:paraId="033EBC1C" w14:textId="77777777" w:rsidR="00EA4105" w:rsidRPr="006D4208" w:rsidRDefault="00EA4105">
            <w:pPr>
              <w:jc w:val="right"/>
              <w:rPr>
                <w:rFonts w:asciiTheme="minorHAnsi" w:hAnsiTheme="minorHAnsi" w:cs="Arial"/>
                <w:sz w:val="20"/>
                <w:szCs w:val="20"/>
              </w:rPr>
            </w:pPr>
          </w:p>
        </w:tc>
      </w:tr>
      <w:tr w:rsidR="00EA4105" w:rsidRPr="004C7C84" w14:paraId="28C8A565" w14:textId="77777777">
        <w:tc>
          <w:tcPr>
            <w:tcW w:w="1837" w:type="pct"/>
            <w:shd w:val="clear" w:color="auto" w:fill="auto"/>
            <w:vAlign w:val="bottom"/>
          </w:tcPr>
          <w:p w14:paraId="10FE99E2" w14:textId="77777777" w:rsidR="00EA4105" w:rsidRPr="00B97C61" w:rsidRDefault="00EA4105">
            <w:pPr>
              <w:rPr>
                <w:rFonts w:asciiTheme="minorHAnsi" w:hAnsiTheme="minorHAnsi" w:cs="Arial"/>
                <w:sz w:val="20"/>
                <w:szCs w:val="20"/>
              </w:rPr>
            </w:pPr>
            <w:r w:rsidRPr="00B97C61">
              <w:rPr>
                <w:rFonts w:asciiTheme="minorHAnsi" w:hAnsiTheme="minorHAnsi" w:cs="Arial"/>
                <w:sz w:val="20"/>
                <w:szCs w:val="20"/>
              </w:rPr>
              <w:t>At 1 January</w:t>
            </w:r>
          </w:p>
        </w:tc>
        <w:tc>
          <w:tcPr>
            <w:tcW w:w="636" w:type="pct"/>
            <w:shd w:val="clear" w:color="auto" w:fill="auto"/>
            <w:vAlign w:val="bottom"/>
          </w:tcPr>
          <w:p w14:paraId="126223F5" w14:textId="77777777" w:rsidR="00EA4105" w:rsidRPr="006D4208" w:rsidRDefault="00EA4105">
            <w:pPr>
              <w:jc w:val="right"/>
              <w:rPr>
                <w:rFonts w:asciiTheme="minorHAnsi" w:hAnsiTheme="minorHAnsi" w:cs="Arial"/>
                <w:sz w:val="20"/>
                <w:szCs w:val="20"/>
              </w:rPr>
            </w:pPr>
            <w:r w:rsidRPr="006D4208">
              <w:rPr>
                <w:rFonts w:asciiTheme="minorHAnsi" w:hAnsiTheme="minorHAnsi" w:cs="Arial"/>
                <w:sz w:val="20"/>
                <w:szCs w:val="20"/>
              </w:rPr>
              <w:t>62.5</w:t>
            </w:r>
          </w:p>
        </w:tc>
        <w:tc>
          <w:tcPr>
            <w:tcW w:w="565" w:type="pct"/>
            <w:shd w:val="clear" w:color="auto" w:fill="auto"/>
            <w:vAlign w:val="bottom"/>
          </w:tcPr>
          <w:p w14:paraId="5A0A31F6" w14:textId="77777777" w:rsidR="00EA4105" w:rsidRPr="006D4208" w:rsidRDefault="00EA4105">
            <w:pPr>
              <w:jc w:val="right"/>
              <w:rPr>
                <w:rFonts w:asciiTheme="minorHAnsi" w:hAnsiTheme="minorHAnsi" w:cs="Arial"/>
                <w:sz w:val="20"/>
                <w:szCs w:val="20"/>
              </w:rPr>
            </w:pPr>
            <w:r w:rsidRPr="006D4208">
              <w:rPr>
                <w:rFonts w:asciiTheme="minorHAnsi" w:hAnsiTheme="minorHAnsi" w:cs="Arial"/>
                <w:sz w:val="20"/>
                <w:szCs w:val="20"/>
              </w:rPr>
              <w:t>17.7</w:t>
            </w:r>
          </w:p>
        </w:tc>
        <w:tc>
          <w:tcPr>
            <w:tcW w:w="424" w:type="pct"/>
            <w:shd w:val="clear" w:color="auto" w:fill="auto"/>
            <w:vAlign w:val="bottom"/>
          </w:tcPr>
          <w:p w14:paraId="542BA0E7" w14:textId="77777777" w:rsidR="00EA4105" w:rsidRPr="006D4208" w:rsidRDefault="00EA4105">
            <w:pPr>
              <w:jc w:val="right"/>
              <w:rPr>
                <w:rFonts w:asciiTheme="minorHAnsi" w:hAnsiTheme="minorHAnsi" w:cs="Arial"/>
                <w:sz w:val="20"/>
                <w:szCs w:val="20"/>
              </w:rPr>
            </w:pPr>
            <w:r w:rsidRPr="006D4208">
              <w:rPr>
                <w:rFonts w:asciiTheme="minorHAnsi" w:hAnsiTheme="minorHAnsi" w:cs="Arial"/>
                <w:sz w:val="20"/>
                <w:szCs w:val="20"/>
              </w:rPr>
              <w:t>80.2</w:t>
            </w:r>
          </w:p>
        </w:tc>
      </w:tr>
      <w:tr w:rsidR="00EA4105" w:rsidRPr="004C7C84" w14:paraId="4F127C94" w14:textId="77777777">
        <w:tc>
          <w:tcPr>
            <w:tcW w:w="1837" w:type="pct"/>
            <w:shd w:val="clear" w:color="auto" w:fill="auto"/>
            <w:vAlign w:val="bottom"/>
          </w:tcPr>
          <w:p w14:paraId="347DE79D" w14:textId="77777777" w:rsidR="00EA4105" w:rsidRPr="00B97C61" w:rsidRDefault="00EA4105">
            <w:pPr>
              <w:rPr>
                <w:rFonts w:asciiTheme="minorHAnsi" w:hAnsiTheme="minorHAnsi" w:cs="Arial"/>
                <w:sz w:val="20"/>
                <w:szCs w:val="20"/>
              </w:rPr>
            </w:pPr>
            <w:r w:rsidRPr="00B97C61">
              <w:rPr>
                <w:rFonts w:asciiTheme="minorHAnsi" w:hAnsiTheme="minorHAnsi" w:cs="Arial"/>
                <w:sz w:val="20"/>
                <w:szCs w:val="20"/>
              </w:rPr>
              <w:t>Charged to the income statement</w:t>
            </w:r>
          </w:p>
        </w:tc>
        <w:tc>
          <w:tcPr>
            <w:tcW w:w="636" w:type="pct"/>
            <w:shd w:val="clear" w:color="auto" w:fill="auto"/>
            <w:vAlign w:val="bottom"/>
          </w:tcPr>
          <w:p w14:paraId="5D2B364B" w14:textId="3DF15A01" w:rsidR="00EA4105" w:rsidRPr="006D4208" w:rsidRDefault="00483321">
            <w:pPr>
              <w:jc w:val="right"/>
              <w:rPr>
                <w:rFonts w:asciiTheme="minorHAnsi" w:hAnsiTheme="minorHAnsi" w:cs="Arial"/>
                <w:sz w:val="20"/>
                <w:szCs w:val="20"/>
              </w:rPr>
            </w:pPr>
            <w:r w:rsidRPr="006D4208">
              <w:rPr>
                <w:rFonts w:asciiTheme="minorHAnsi" w:hAnsiTheme="minorHAnsi" w:cs="Arial"/>
                <w:sz w:val="20"/>
                <w:szCs w:val="20"/>
              </w:rPr>
              <w:t>-</w:t>
            </w:r>
          </w:p>
        </w:tc>
        <w:tc>
          <w:tcPr>
            <w:tcW w:w="565" w:type="pct"/>
            <w:shd w:val="clear" w:color="auto" w:fill="auto"/>
            <w:vAlign w:val="bottom"/>
          </w:tcPr>
          <w:p w14:paraId="5DCEC74B" w14:textId="3DFA7F80" w:rsidR="00EA4105" w:rsidRPr="006D4208" w:rsidRDefault="00483321">
            <w:pPr>
              <w:jc w:val="right"/>
              <w:rPr>
                <w:rFonts w:asciiTheme="minorHAnsi" w:hAnsiTheme="minorHAnsi" w:cs="Arial"/>
                <w:sz w:val="20"/>
                <w:szCs w:val="20"/>
              </w:rPr>
            </w:pPr>
            <w:r w:rsidRPr="006D4208">
              <w:rPr>
                <w:rFonts w:asciiTheme="minorHAnsi" w:hAnsiTheme="minorHAnsi" w:cs="Arial"/>
                <w:sz w:val="20"/>
                <w:szCs w:val="20"/>
              </w:rPr>
              <w:t>8.9</w:t>
            </w:r>
          </w:p>
        </w:tc>
        <w:tc>
          <w:tcPr>
            <w:tcW w:w="424" w:type="pct"/>
            <w:shd w:val="clear" w:color="auto" w:fill="auto"/>
            <w:vAlign w:val="bottom"/>
          </w:tcPr>
          <w:p w14:paraId="60C05F3C" w14:textId="145712C5" w:rsidR="00EA4105" w:rsidRPr="006D4208" w:rsidRDefault="00483321">
            <w:pPr>
              <w:jc w:val="right"/>
              <w:rPr>
                <w:rFonts w:asciiTheme="minorHAnsi" w:hAnsiTheme="minorHAnsi" w:cs="Arial"/>
                <w:sz w:val="20"/>
                <w:szCs w:val="20"/>
              </w:rPr>
            </w:pPr>
            <w:r w:rsidRPr="006D4208">
              <w:rPr>
                <w:rFonts w:asciiTheme="minorHAnsi" w:hAnsiTheme="minorHAnsi" w:cs="Arial"/>
                <w:sz w:val="20"/>
                <w:szCs w:val="20"/>
              </w:rPr>
              <w:t>8.9</w:t>
            </w:r>
          </w:p>
        </w:tc>
      </w:tr>
      <w:tr w:rsidR="00EA4105" w:rsidRPr="004C7C84" w14:paraId="26A7F687" w14:textId="77777777">
        <w:tc>
          <w:tcPr>
            <w:tcW w:w="1837" w:type="pct"/>
            <w:shd w:val="clear" w:color="auto" w:fill="auto"/>
            <w:vAlign w:val="bottom"/>
          </w:tcPr>
          <w:p w14:paraId="1342164E" w14:textId="77777777" w:rsidR="00EA4105" w:rsidRPr="00B97C61" w:rsidRDefault="00EA4105">
            <w:pPr>
              <w:rPr>
                <w:rFonts w:asciiTheme="minorHAnsi" w:hAnsiTheme="minorHAnsi" w:cs="Arial"/>
                <w:sz w:val="20"/>
                <w:szCs w:val="20"/>
              </w:rPr>
            </w:pPr>
            <w:r w:rsidRPr="00B97C61">
              <w:rPr>
                <w:rFonts w:asciiTheme="minorHAnsi" w:hAnsiTheme="minorHAnsi" w:cs="Arial"/>
                <w:sz w:val="20"/>
                <w:szCs w:val="20"/>
              </w:rPr>
              <w:t>Disposals</w:t>
            </w:r>
          </w:p>
        </w:tc>
        <w:tc>
          <w:tcPr>
            <w:tcW w:w="636" w:type="pct"/>
            <w:tcBorders>
              <w:left w:val="nil"/>
              <w:bottom w:val="single" w:sz="4" w:space="0" w:color="auto"/>
              <w:right w:val="nil"/>
            </w:tcBorders>
            <w:shd w:val="clear" w:color="auto" w:fill="auto"/>
            <w:vAlign w:val="bottom"/>
          </w:tcPr>
          <w:p w14:paraId="695E6E53" w14:textId="77777777" w:rsidR="00EA4105" w:rsidRPr="006D4208" w:rsidRDefault="00EA4105">
            <w:pPr>
              <w:jc w:val="right"/>
              <w:rPr>
                <w:rFonts w:asciiTheme="minorHAnsi" w:hAnsiTheme="minorHAnsi" w:cs="Arial"/>
                <w:sz w:val="20"/>
                <w:szCs w:val="20"/>
              </w:rPr>
            </w:pPr>
            <w:r w:rsidRPr="006D4208">
              <w:rPr>
                <w:rFonts w:asciiTheme="minorHAnsi" w:hAnsiTheme="minorHAnsi" w:cs="Arial"/>
                <w:sz w:val="20"/>
                <w:szCs w:val="20"/>
              </w:rPr>
              <w:t>-</w:t>
            </w:r>
          </w:p>
        </w:tc>
        <w:tc>
          <w:tcPr>
            <w:tcW w:w="565" w:type="pct"/>
            <w:tcBorders>
              <w:left w:val="nil"/>
              <w:bottom w:val="single" w:sz="4" w:space="0" w:color="auto"/>
              <w:right w:val="nil"/>
            </w:tcBorders>
            <w:shd w:val="clear" w:color="auto" w:fill="auto"/>
            <w:vAlign w:val="bottom"/>
          </w:tcPr>
          <w:p w14:paraId="66BB44A3" w14:textId="322DCEC7" w:rsidR="00EA4105" w:rsidRPr="006D4208" w:rsidRDefault="00EA4105">
            <w:pPr>
              <w:jc w:val="right"/>
              <w:rPr>
                <w:rFonts w:asciiTheme="minorHAnsi" w:hAnsiTheme="minorHAnsi" w:cs="Arial"/>
                <w:sz w:val="20"/>
                <w:szCs w:val="20"/>
              </w:rPr>
            </w:pPr>
            <w:r w:rsidRPr="006D4208">
              <w:rPr>
                <w:rFonts w:asciiTheme="minorHAnsi" w:hAnsiTheme="minorHAnsi" w:cs="Arial"/>
                <w:sz w:val="20"/>
                <w:szCs w:val="20"/>
              </w:rPr>
              <w:t>(1.</w:t>
            </w:r>
            <w:r w:rsidR="009C5E09" w:rsidRPr="006D4208">
              <w:rPr>
                <w:rFonts w:asciiTheme="minorHAnsi" w:hAnsiTheme="minorHAnsi" w:cs="Arial"/>
                <w:sz w:val="20"/>
                <w:szCs w:val="20"/>
              </w:rPr>
              <w:t>8</w:t>
            </w:r>
            <w:r w:rsidRPr="006D4208">
              <w:rPr>
                <w:rFonts w:asciiTheme="minorHAnsi" w:hAnsiTheme="minorHAnsi" w:cs="Arial"/>
                <w:sz w:val="20"/>
                <w:szCs w:val="20"/>
              </w:rPr>
              <w:t>)</w:t>
            </w:r>
          </w:p>
        </w:tc>
        <w:tc>
          <w:tcPr>
            <w:tcW w:w="424" w:type="pct"/>
            <w:tcBorders>
              <w:left w:val="nil"/>
              <w:bottom w:val="single" w:sz="4" w:space="0" w:color="auto"/>
              <w:right w:val="nil"/>
            </w:tcBorders>
            <w:shd w:val="clear" w:color="auto" w:fill="auto"/>
            <w:vAlign w:val="bottom"/>
          </w:tcPr>
          <w:p w14:paraId="3944FCEE" w14:textId="37DF4742" w:rsidR="00EA4105" w:rsidRPr="006D4208" w:rsidRDefault="00EA4105">
            <w:pPr>
              <w:jc w:val="right"/>
              <w:rPr>
                <w:rFonts w:asciiTheme="minorHAnsi" w:hAnsiTheme="minorHAnsi" w:cs="Arial"/>
                <w:sz w:val="20"/>
                <w:szCs w:val="20"/>
              </w:rPr>
            </w:pPr>
            <w:r w:rsidRPr="006D4208">
              <w:rPr>
                <w:rFonts w:asciiTheme="minorHAnsi" w:hAnsiTheme="minorHAnsi" w:cs="Arial"/>
                <w:sz w:val="20"/>
                <w:szCs w:val="20"/>
              </w:rPr>
              <w:t>(1.</w:t>
            </w:r>
            <w:r w:rsidR="009C5E09" w:rsidRPr="006D4208">
              <w:rPr>
                <w:rFonts w:asciiTheme="minorHAnsi" w:hAnsiTheme="minorHAnsi" w:cs="Arial"/>
                <w:sz w:val="20"/>
                <w:szCs w:val="20"/>
              </w:rPr>
              <w:t>8</w:t>
            </w:r>
            <w:r w:rsidRPr="006D4208">
              <w:rPr>
                <w:rFonts w:asciiTheme="minorHAnsi" w:hAnsiTheme="minorHAnsi" w:cs="Arial"/>
                <w:sz w:val="20"/>
                <w:szCs w:val="20"/>
              </w:rPr>
              <w:t>)</w:t>
            </w:r>
          </w:p>
        </w:tc>
      </w:tr>
      <w:tr w:rsidR="00EA4105" w:rsidRPr="004C7C84" w14:paraId="6AD7B079" w14:textId="77777777">
        <w:tc>
          <w:tcPr>
            <w:tcW w:w="1837" w:type="pct"/>
            <w:shd w:val="clear" w:color="auto" w:fill="auto"/>
            <w:vAlign w:val="bottom"/>
          </w:tcPr>
          <w:p w14:paraId="14A95823" w14:textId="79AF1AE2" w:rsidR="00EA4105" w:rsidRPr="00B97C61" w:rsidRDefault="00EA4105">
            <w:pPr>
              <w:rPr>
                <w:rFonts w:asciiTheme="minorHAnsi" w:hAnsiTheme="minorHAnsi" w:cs="Arial"/>
                <w:sz w:val="20"/>
                <w:szCs w:val="20"/>
              </w:rPr>
            </w:pPr>
            <w:r w:rsidRPr="00B97C61">
              <w:rPr>
                <w:rFonts w:asciiTheme="minorHAnsi" w:hAnsiTheme="minorHAnsi" w:cs="Arial"/>
                <w:sz w:val="20"/>
                <w:szCs w:val="20"/>
              </w:rPr>
              <w:t>At 3</w:t>
            </w:r>
            <w:r w:rsidR="00E47E05">
              <w:rPr>
                <w:rFonts w:asciiTheme="minorHAnsi" w:hAnsiTheme="minorHAnsi" w:cs="Arial"/>
                <w:sz w:val="20"/>
                <w:szCs w:val="20"/>
              </w:rPr>
              <w:t>0 June</w:t>
            </w:r>
          </w:p>
        </w:tc>
        <w:tc>
          <w:tcPr>
            <w:tcW w:w="636" w:type="pct"/>
            <w:tcBorders>
              <w:left w:val="nil"/>
              <w:bottom w:val="single" w:sz="4" w:space="0" w:color="auto"/>
              <w:right w:val="nil"/>
            </w:tcBorders>
            <w:shd w:val="clear" w:color="auto" w:fill="auto"/>
            <w:vAlign w:val="bottom"/>
          </w:tcPr>
          <w:p w14:paraId="3FA6E7F1" w14:textId="453CC621" w:rsidR="00EA4105" w:rsidRPr="006D4208" w:rsidRDefault="009C5E09">
            <w:pPr>
              <w:jc w:val="right"/>
              <w:rPr>
                <w:rFonts w:asciiTheme="minorHAnsi" w:hAnsiTheme="minorHAnsi" w:cs="Arial"/>
                <w:sz w:val="20"/>
                <w:szCs w:val="20"/>
              </w:rPr>
            </w:pPr>
            <w:r w:rsidRPr="006D4208">
              <w:rPr>
                <w:rFonts w:asciiTheme="minorHAnsi" w:hAnsiTheme="minorHAnsi" w:cs="Arial"/>
                <w:sz w:val="20"/>
                <w:szCs w:val="20"/>
              </w:rPr>
              <w:t>62.5</w:t>
            </w:r>
          </w:p>
        </w:tc>
        <w:tc>
          <w:tcPr>
            <w:tcW w:w="565" w:type="pct"/>
            <w:tcBorders>
              <w:left w:val="nil"/>
              <w:bottom w:val="single" w:sz="4" w:space="0" w:color="auto"/>
              <w:right w:val="nil"/>
            </w:tcBorders>
            <w:shd w:val="clear" w:color="auto" w:fill="auto"/>
            <w:vAlign w:val="bottom"/>
          </w:tcPr>
          <w:p w14:paraId="011CEF5B" w14:textId="7A6B0D20" w:rsidR="00EA4105" w:rsidRPr="006D4208" w:rsidRDefault="00EA4105">
            <w:pPr>
              <w:jc w:val="right"/>
              <w:rPr>
                <w:rFonts w:asciiTheme="minorHAnsi" w:hAnsiTheme="minorHAnsi" w:cs="Arial"/>
                <w:sz w:val="20"/>
                <w:szCs w:val="20"/>
              </w:rPr>
            </w:pPr>
            <w:r w:rsidRPr="006D4208">
              <w:rPr>
                <w:rFonts w:asciiTheme="minorHAnsi" w:hAnsiTheme="minorHAnsi" w:cs="Arial"/>
                <w:sz w:val="20"/>
                <w:szCs w:val="20"/>
              </w:rPr>
              <w:t>2</w:t>
            </w:r>
            <w:r w:rsidR="00663940" w:rsidRPr="006D4208">
              <w:rPr>
                <w:rFonts w:asciiTheme="minorHAnsi" w:hAnsiTheme="minorHAnsi" w:cs="Arial"/>
                <w:sz w:val="20"/>
                <w:szCs w:val="20"/>
              </w:rPr>
              <w:t>4.8</w:t>
            </w:r>
          </w:p>
        </w:tc>
        <w:tc>
          <w:tcPr>
            <w:tcW w:w="424" w:type="pct"/>
            <w:tcBorders>
              <w:left w:val="nil"/>
              <w:bottom w:val="single" w:sz="4" w:space="0" w:color="auto"/>
              <w:right w:val="nil"/>
            </w:tcBorders>
            <w:shd w:val="clear" w:color="auto" w:fill="auto"/>
            <w:vAlign w:val="bottom"/>
          </w:tcPr>
          <w:p w14:paraId="4E1731A0" w14:textId="64D414B0" w:rsidR="00EA4105" w:rsidRPr="006D4208" w:rsidRDefault="00C761DA">
            <w:pPr>
              <w:jc w:val="right"/>
              <w:rPr>
                <w:rFonts w:asciiTheme="minorHAnsi" w:hAnsiTheme="minorHAnsi" w:cs="Arial"/>
                <w:sz w:val="20"/>
                <w:szCs w:val="20"/>
              </w:rPr>
            </w:pPr>
            <w:r w:rsidRPr="006D4208">
              <w:rPr>
                <w:rFonts w:asciiTheme="minorHAnsi" w:hAnsiTheme="minorHAnsi" w:cs="Arial"/>
                <w:sz w:val="20"/>
                <w:szCs w:val="20"/>
              </w:rPr>
              <w:t>87.3</w:t>
            </w:r>
          </w:p>
        </w:tc>
      </w:tr>
      <w:tr w:rsidR="00EA4105" w:rsidRPr="004C7C84" w14:paraId="35C35010" w14:textId="77777777">
        <w:tc>
          <w:tcPr>
            <w:tcW w:w="1837" w:type="pct"/>
            <w:shd w:val="clear" w:color="auto" w:fill="auto"/>
            <w:vAlign w:val="bottom"/>
          </w:tcPr>
          <w:p w14:paraId="6F9A0618" w14:textId="77777777" w:rsidR="00EA4105" w:rsidRPr="00B97C61" w:rsidRDefault="00EA4105">
            <w:pPr>
              <w:rPr>
                <w:rFonts w:asciiTheme="minorHAnsi" w:hAnsiTheme="minorHAnsi" w:cs="Arial"/>
                <w:sz w:val="20"/>
                <w:szCs w:val="20"/>
              </w:rPr>
            </w:pPr>
          </w:p>
        </w:tc>
        <w:tc>
          <w:tcPr>
            <w:tcW w:w="636" w:type="pct"/>
            <w:tcBorders>
              <w:top w:val="single" w:sz="4" w:space="0" w:color="auto"/>
              <w:left w:val="nil"/>
              <w:right w:val="nil"/>
            </w:tcBorders>
            <w:shd w:val="clear" w:color="auto" w:fill="auto"/>
            <w:vAlign w:val="bottom"/>
          </w:tcPr>
          <w:p w14:paraId="02E8B58B" w14:textId="77777777" w:rsidR="00EA4105" w:rsidRPr="006D4208" w:rsidRDefault="00EA4105">
            <w:pPr>
              <w:jc w:val="right"/>
              <w:rPr>
                <w:rFonts w:asciiTheme="minorHAnsi" w:hAnsiTheme="minorHAnsi" w:cs="Arial"/>
                <w:sz w:val="20"/>
                <w:szCs w:val="20"/>
              </w:rPr>
            </w:pPr>
          </w:p>
        </w:tc>
        <w:tc>
          <w:tcPr>
            <w:tcW w:w="565" w:type="pct"/>
            <w:tcBorders>
              <w:top w:val="single" w:sz="4" w:space="0" w:color="auto"/>
              <w:left w:val="nil"/>
              <w:right w:val="nil"/>
            </w:tcBorders>
            <w:shd w:val="clear" w:color="auto" w:fill="auto"/>
            <w:vAlign w:val="bottom"/>
          </w:tcPr>
          <w:p w14:paraId="34893B7C" w14:textId="77777777" w:rsidR="00EA4105" w:rsidRPr="006D4208" w:rsidRDefault="00EA4105">
            <w:pPr>
              <w:jc w:val="right"/>
              <w:rPr>
                <w:rFonts w:asciiTheme="minorHAnsi" w:hAnsiTheme="minorHAnsi" w:cs="Arial"/>
                <w:sz w:val="20"/>
                <w:szCs w:val="20"/>
              </w:rPr>
            </w:pPr>
          </w:p>
        </w:tc>
        <w:tc>
          <w:tcPr>
            <w:tcW w:w="424" w:type="pct"/>
            <w:tcBorders>
              <w:top w:val="single" w:sz="4" w:space="0" w:color="auto"/>
              <w:left w:val="nil"/>
              <w:right w:val="nil"/>
            </w:tcBorders>
            <w:shd w:val="clear" w:color="auto" w:fill="auto"/>
            <w:vAlign w:val="bottom"/>
          </w:tcPr>
          <w:p w14:paraId="0FBBE16A" w14:textId="77777777" w:rsidR="00EA4105" w:rsidRPr="006D4208" w:rsidRDefault="00EA4105">
            <w:pPr>
              <w:jc w:val="right"/>
              <w:rPr>
                <w:rFonts w:asciiTheme="minorHAnsi" w:hAnsiTheme="minorHAnsi" w:cs="Arial"/>
                <w:sz w:val="20"/>
                <w:szCs w:val="20"/>
              </w:rPr>
            </w:pPr>
          </w:p>
        </w:tc>
      </w:tr>
      <w:tr w:rsidR="00EA4105" w:rsidRPr="004C7C84" w14:paraId="6FD4A6F3" w14:textId="77777777">
        <w:tc>
          <w:tcPr>
            <w:tcW w:w="1837" w:type="pct"/>
            <w:shd w:val="clear" w:color="auto" w:fill="auto"/>
            <w:vAlign w:val="bottom"/>
          </w:tcPr>
          <w:p w14:paraId="20E34444" w14:textId="77777777" w:rsidR="00EA4105" w:rsidRPr="00B97C61" w:rsidRDefault="00EA4105">
            <w:pPr>
              <w:rPr>
                <w:rFonts w:asciiTheme="minorHAnsi" w:hAnsiTheme="minorHAnsi" w:cs="Arial"/>
                <w:b/>
                <w:sz w:val="20"/>
                <w:szCs w:val="20"/>
              </w:rPr>
            </w:pPr>
            <w:r w:rsidRPr="00B97C61">
              <w:rPr>
                <w:rFonts w:asciiTheme="minorHAnsi" w:hAnsiTheme="minorHAnsi" w:cs="Arial"/>
                <w:b/>
                <w:sz w:val="20"/>
                <w:szCs w:val="20"/>
              </w:rPr>
              <w:t>Net book value</w:t>
            </w:r>
          </w:p>
        </w:tc>
        <w:tc>
          <w:tcPr>
            <w:tcW w:w="636" w:type="pct"/>
            <w:tcBorders>
              <w:top w:val="nil"/>
              <w:left w:val="nil"/>
              <w:right w:val="nil"/>
            </w:tcBorders>
            <w:shd w:val="clear" w:color="auto" w:fill="auto"/>
            <w:vAlign w:val="bottom"/>
          </w:tcPr>
          <w:p w14:paraId="49BE9EFF" w14:textId="77777777" w:rsidR="00EA4105" w:rsidRPr="006D4208" w:rsidRDefault="00EA4105">
            <w:pPr>
              <w:jc w:val="right"/>
              <w:rPr>
                <w:rFonts w:asciiTheme="minorHAnsi" w:hAnsiTheme="minorHAnsi" w:cs="Arial"/>
                <w:sz w:val="20"/>
                <w:szCs w:val="20"/>
              </w:rPr>
            </w:pPr>
          </w:p>
        </w:tc>
        <w:tc>
          <w:tcPr>
            <w:tcW w:w="565" w:type="pct"/>
            <w:tcBorders>
              <w:top w:val="nil"/>
              <w:left w:val="nil"/>
              <w:right w:val="nil"/>
            </w:tcBorders>
            <w:shd w:val="clear" w:color="auto" w:fill="auto"/>
            <w:vAlign w:val="bottom"/>
          </w:tcPr>
          <w:p w14:paraId="30E6829E" w14:textId="77777777" w:rsidR="00EA4105" w:rsidRPr="006D4208" w:rsidRDefault="00EA4105">
            <w:pPr>
              <w:jc w:val="right"/>
              <w:rPr>
                <w:rFonts w:asciiTheme="minorHAnsi" w:hAnsiTheme="minorHAnsi" w:cs="Arial"/>
                <w:sz w:val="20"/>
                <w:szCs w:val="20"/>
              </w:rPr>
            </w:pPr>
          </w:p>
        </w:tc>
        <w:tc>
          <w:tcPr>
            <w:tcW w:w="424" w:type="pct"/>
            <w:tcBorders>
              <w:top w:val="nil"/>
              <w:left w:val="nil"/>
              <w:right w:val="nil"/>
            </w:tcBorders>
            <w:shd w:val="clear" w:color="auto" w:fill="auto"/>
            <w:vAlign w:val="bottom"/>
          </w:tcPr>
          <w:p w14:paraId="162DA30B" w14:textId="77777777" w:rsidR="00EA4105" w:rsidRPr="006D4208" w:rsidRDefault="00EA4105">
            <w:pPr>
              <w:jc w:val="right"/>
              <w:rPr>
                <w:rFonts w:asciiTheme="minorHAnsi" w:hAnsiTheme="minorHAnsi" w:cs="Arial"/>
                <w:sz w:val="20"/>
                <w:szCs w:val="20"/>
              </w:rPr>
            </w:pPr>
          </w:p>
        </w:tc>
      </w:tr>
      <w:tr w:rsidR="00EA4105" w:rsidRPr="004C7C84" w14:paraId="48F1591A" w14:textId="77777777">
        <w:tc>
          <w:tcPr>
            <w:tcW w:w="1837" w:type="pct"/>
            <w:shd w:val="clear" w:color="auto" w:fill="auto"/>
            <w:vAlign w:val="bottom"/>
          </w:tcPr>
          <w:p w14:paraId="4C159CD5" w14:textId="7D792FCA" w:rsidR="00EA4105" w:rsidRPr="00B97C61" w:rsidRDefault="00EA4105">
            <w:pPr>
              <w:rPr>
                <w:rFonts w:asciiTheme="minorHAnsi" w:hAnsiTheme="minorHAnsi" w:cs="Arial"/>
                <w:sz w:val="20"/>
                <w:szCs w:val="20"/>
              </w:rPr>
            </w:pPr>
            <w:r w:rsidRPr="00B97C61">
              <w:rPr>
                <w:rFonts w:asciiTheme="minorHAnsi" w:hAnsiTheme="minorHAnsi" w:cs="Arial"/>
                <w:sz w:val="20"/>
                <w:szCs w:val="20"/>
              </w:rPr>
              <w:t>At 3</w:t>
            </w:r>
            <w:r w:rsidR="00E47E05">
              <w:rPr>
                <w:rFonts w:asciiTheme="minorHAnsi" w:hAnsiTheme="minorHAnsi" w:cs="Arial"/>
                <w:sz w:val="20"/>
                <w:szCs w:val="20"/>
              </w:rPr>
              <w:t>0 June</w:t>
            </w:r>
          </w:p>
        </w:tc>
        <w:tc>
          <w:tcPr>
            <w:tcW w:w="636" w:type="pct"/>
            <w:tcBorders>
              <w:top w:val="nil"/>
              <w:left w:val="nil"/>
              <w:bottom w:val="single" w:sz="12" w:space="0" w:color="auto"/>
              <w:right w:val="nil"/>
            </w:tcBorders>
            <w:shd w:val="clear" w:color="auto" w:fill="auto"/>
            <w:vAlign w:val="bottom"/>
          </w:tcPr>
          <w:p w14:paraId="742E6839" w14:textId="34BFD3C3" w:rsidR="00EA4105" w:rsidRPr="006D4208" w:rsidRDefault="00EA4105">
            <w:pPr>
              <w:jc w:val="right"/>
              <w:rPr>
                <w:rFonts w:asciiTheme="minorHAnsi" w:hAnsiTheme="minorHAnsi" w:cs="Arial"/>
                <w:sz w:val="20"/>
                <w:szCs w:val="20"/>
              </w:rPr>
            </w:pPr>
            <w:r w:rsidRPr="006D4208">
              <w:rPr>
                <w:rFonts w:asciiTheme="minorHAnsi" w:hAnsiTheme="minorHAnsi" w:cs="Arial"/>
                <w:sz w:val="20"/>
                <w:szCs w:val="20"/>
              </w:rPr>
              <w:t>1</w:t>
            </w:r>
            <w:r w:rsidR="009D5176" w:rsidRPr="006D4208">
              <w:rPr>
                <w:rFonts w:asciiTheme="minorHAnsi" w:hAnsiTheme="minorHAnsi" w:cs="Arial"/>
                <w:sz w:val="20"/>
                <w:szCs w:val="20"/>
              </w:rPr>
              <w:t>2</w:t>
            </w:r>
            <w:r w:rsidRPr="006D4208">
              <w:rPr>
                <w:rFonts w:asciiTheme="minorHAnsi" w:hAnsiTheme="minorHAnsi" w:cs="Arial"/>
                <w:sz w:val="20"/>
                <w:szCs w:val="20"/>
              </w:rPr>
              <w:t>.</w:t>
            </w:r>
            <w:r w:rsidR="009D5176" w:rsidRPr="006D4208">
              <w:rPr>
                <w:rFonts w:asciiTheme="minorHAnsi" w:hAnsiTheme="minorHAnsi" w:cs="Arial"/>
                <w:sz w:val="20"/>
                <w:szCs w:val="20"/>
              </w:rPr>
              <w:t>5</w:t>
            </w:r>
          </w:p>
        </w:tc>
        <w:tc>
          <w:tcPr>
            <w:tcW w:w="565" w:type="pct"/>
            <w:tcBorders>
              <w:top w:val="nil"/>
              <w:left w:val="nil"/>
              <w:bottom w:val="single" w:sz="12" w:space="0" w:color="auto"/>
              <w:right w:val="nil"/>
            </w:tcBorders>
            <w:shd w:val="clear" w:color="auto" w:fill="auto"/>
            <w:vAlign w:val="bottom"/>
          </w:tcPr>
          <w:p w14:paraId="33615289" w14:textId="45AAB28E" w:rsidR="00EA4105" w:rsidRPr="006D4208" w:rsidRDefault="00EA4105">
            <w:pPr>
              <w:jc w:val="right"/>
              <w:rPr>
                <w:rFonts w:asciiTheme="minorHAnsi" w:hAnsiTheme="minorHAnsi" w:cs="Arial"/>
                <w:sz w:val="20"/>
                <w:szCs w:val="20"/>
              </w:rPr>
            </w:pPr>
            <w:r w:rsidRPr="006D4208">
              <w:rPr>
                <w:rFonts w:asciiTheme="minorHAnsi" w:hAnsiTheme="minorHAnsi" w:cs="Arial"/>
                <w:sz w:val="20"/>
                <w:szCs w:val="20"/>
              </w:rPr>
              <w:t>5</w:t>
            </w:r>
            <w:r w:rsidR="003B61D8">
              <w:rPr>
                <w:rFonts w:asciiTheme="minorHAnsi" w:hAnsiTheme="minorHAnsi" w:cs="Arial"/>
                <w:sz w:val="20"/>
                <w:szCs w:val="20"/>
              </w:rPr>
              <w:t>2</w:t>
            </w:r>
            <w:r w:rsidR="00A17329" w:rsidRPr="006D4208">
              <w:rPr>
                <w:rFonts w:asciiTheme="minorHAnsi" w:hAnsiTheme="minorHAnsi" w:cs="Arial"/>
                <w:sz w:val="20"/>
                <w:szCs w:val="20"/>
              </w:rPr>
              <w:t>.8</w:t>
            </w:r>
          </w:p>
        </w:tc>
        <w:tc>
          <w:tcPr>
            <w:tcW w:w="424" w:type="pct"/>
            <w:tcBorders>
              <w:top w:val="nil"/>
              <w:left w:val="nil"/>
              <w:bottom w:val="single" w:sz="12" w:space="0" w:color="auto"/>
              <w:right w:val="nil"/>
            </w:tcBorders>
            <w:shd w:val="clear" w:color="auto" w:fill="auto"/>
            <w:vAlign w:val="bottom"/>
          </w:tcPr>
          <w:p w14:paraId="37A8271D" w14:textId="4090D8C3" w:rsidR="00EA4105" w:rsidRPr="006D4208" w:rsidRDefault="00252015">
            <w:pPr>
              <w:jc w:val="right"/>
              <w:rPr>
                <w:rFonts w:asciiTheme="minorHAnsi" w:hAnsiTheme="minorHAnsi" w:cs="Arial"/>
                <w:sz w:val="20"/>
                <w:szCs w:val="20"/>
              </w:rPr>
            </w:pPr>
            <w:r w:rsidRPr="006D4208">
              <w:rPr>
                <w:rFonts w:asciiTheme="minorHAnsi" w:hAnsiTheme="minorHAnsi" w:cs="Arial"/>
                <w:sz w:val="20"/>
                <w:szCs w:val="20"/>
              </w:rPr>
              <w:t>6</w:t>
            </w:r>
            <w:r w:rsidR="000012F3">
              <w:rPr>
                <w:rFonts w:asciiTheme="minorHAnsi" w:hAnsiTheme="minorHAnsi" w:cs="Arial"/>
                <w:sz w:val="20"/>
                <w:szCs w:val="20"/>
              </w:rPr>
              <w:t>5</w:t>
            </w:r>
            <w:r w:rsidRPr="006D4208">
              <w:rPr>
                <w:rFonts w:asciiTheme="minorHAnsi" w:hAnsiTheme="minorHAnsi" w:cs="Arial"/>
                <w:sz w:val="20"/>
                <w:szCs w:val="20"/>
              </w:rPr>
              <w:t>.3</w:t>
            </w:r>
          </w:p>
        </w:tc>
      </w:tr>
      <w:tr w:rsidR="00EA4105" w:rsidRPr="004C7C84" w14:paraId="5DDD0136" w14:textId="77777777">
        <w:tc>
          <w:tcPr>
            <w:tcW w:w="1837" w:type="pct"/>
            <w:shd w:val="clear" w:color="auto" w:fill="auto"/>
            <w:vAlign w:val="bottom"/>
          </w:tcPr>
          <w:p w14:paraId="6DF424EA" w14:textId="77777777" w:rsidR="00EA4105" w:rsidRPr="00B97C61" w:rsidRDefault="00EA4105">
            <w:pPr>
              <w:rPr>
                <w:rFonts w:asciiTheme="minorHAnsi" w:hAnsiTheme="minorHAnsi" w:cs="Arial"/>
                <w:sz w:val="20"/>
                <w:szCs w:val="20"/>
              </w:rPr>
            </w:pPr>
            <w:r w:rsidRPr="00B97C61">
              <w:rPr>
                <w:rFonts w:asciiTheme="minorHAnsi" w:hAnsiTheme="minorHAnsi" w:cs="Arial"/>
                <w:sz w:val="20"/>
                <w:szCs w:val="20"/>
              </w:rPr>
              <w:t>At 1 January</w:t>
            </w:r>
          </w:p>
        </w:tc>
        <w:tc>
          <w:tcPr>
            <w:tcW w:w="636" w:type="pct"/>
            <w:tcBorders>
              <w:top w:val="single" w:sz="12" w:space="0" w:color="auto"/>
              <w:left w:val="nil"/>
              <w:bottom w:val="single" w:sz="12" w:space="0" w:color="auto"/>
              <w:right w:val="nil"/>
            </w:tcBorders>
            <w:shd w:val="clear" w:color="auto" w:fill="auto"/>
            <w:vAlign w:val="bottom"/>
          </w:tcPr>
          <w:p w14:paraId="4A39297B" w14:textId="77777777" w:rsidR="00EA4105" w:rsidRPr="006D4208" w:rsidRDefault="00EA4105">
            <w:pPr>
              <w:jc w:val="right"/>
              <w:rPr>
                <w:rFonts w:asciiTheme="minorHAnsi" w:hAnsiTheme="minorHAnsi" w:cs="Arial"/>
                <w:sz w:val="20"/>
                <w:szCs w:val="20"/>
              </w:rPr>
            </w:pPr>
            <w:r w:rsidRPr="006D4208">
              <w:rPr>
                <w:rFonts w:asciiTheme="minorHAnsi" w:hAnsiTheme="minorHAnsi" w:cs="Arial"/>
                <w:sz w:val="20"/>
                <w:szCs w:val="20"/>
              </w:rPr>
              <w:t>12.5</w:t>
            </w:r>
          </w:p>
        </w:tc>
        <w:tc>
          <w:tcPr>
            <w:tcW w:w="565" w:type="pct"/>
            <w:tcBorders>
              <w:top w:val="single" w:sz="12" w:space="0" w:color="auto"/>
              <w:left w:val="nil"/>
              <w:bottom w:val="single" w:sz="12" w:space="0" w:color="auto"/>
              <w:right w:val="nil"/>
            </w:tcBorders>
            <w:shd w:val="clear" w:color="auto" w:fill="auto"/>
            <w:vAlign w:val="bottom"/>
          </w:tcPr>
          <w:p w14:paraId="0DF932EC" w14:textId="150A922E" w:rsidR="00EA4105" w:rsidRPr="006D4208" w:rsidRDefault="00EA4105">
            <w:pPr>
              <w:jc w:val="right"/>
              <w:rPr>
                <w:rFonts w:asciiTheme="minorHAnsi" w:hAnsiTheme="minorHAnsi" w:cs="Arial"/>
                <w:sz w:val="20"/>
                <w:szCs w:val="20"/>
              </w:rPr>
            </w:pPr>
            <w:r w:rsidRPr="006D4208">
              <w:rPr>
                <w:rFonts w:asciiTheme="minorHAnsi" w:hAnsiTheme="minorHAnsi" w:cs="Arial"/>
                <w:sz w:val="20"/>
                <w:szCs w:val="20"/>
              </w:rPr>
              <w:t>5</w:t>
            </w:r>
            <w:r w:rsidR="00E97711">
              <w:rPr>
                <w:rFonts w:asciiTheme="minorHAnsi" w:hAnsiTheme="minorHAnsi" w:cs="Arial"/>
                <w:sz w:val="20"/>
                <w:szCs w:val="20"/>
              </w:rPr>
              <w:t>0</w:t>
            </w:r>
            <w:r w:rsidRPr="006D4208">
              <w:rPr>
                <w:rFonts w:asciiTheme="minorHAnsi" w:hAnsiTheme="minorHAnsi" w:cs="Arial"/>
                <w:sz w:val="20"/>
                <w:szCs w:val="20"/>
              </w:rPr>
              <w:t>.8</w:t>
            </w:r>
          </w:p>
        </w:tc>
        <w:tc>
          <w:tcPr>
            <w:tcW w:w="424" w:type="pct"/>
            <w:tcBorders>
              <w:top w:val="single" w:sz="12" w:space="0" w:color="auto"/>
              <w:left w:val="nil"/>
              <w:bottom w:val="single" w:sz="12" w:space="0" w:color="auto"/>
              <w:right w:val="nil"/>
            </w:tcBorders>
            <w:shd w:val="clear" w:color="auto" w:fill="auto"/>
            <w:vAlign w:val="bottom"/>
          </w:tcPr>
          <w:p w14:paraId="2C23360B" w14:textId="01FC5EFF" w:rsidR="00EA4105" w:rsidRPr="006D4208" w:rsidRDefault="00EA4105">
            <w:pPr>
              <w:jc w:val="right"/>
              <w:rPr>
                <w:rFonts w:asciiTheme="minorHAnsi" w:hAnsiTheme="minorHAnsi" w:cs="Arial"/>
                <w:sz w:val="20"/>
                <w:szCs w:val="20"/>
              </w:rPr>
            </w:pPr>
            <w:r w:rsidRPr="006D4208">
              <w:rPr>
                <w:rFonts w:asciiTheme="minorHAnsi" w:hAnsiTheme="minorHAnsi" w:cs="Arial"/>
                <w:sz w:val="20"/>
                <w:szCs w:val="20"/>
              </w:rPr>
              <w:t>6</w:t>
            </w:r>
            <w:r w:rsidR="003B36F6">
              <w:rPr>
                <w:rFonts w:asciiTheme="minorHAnsi" w:hAnsiTheme="minorHAnsi" w:cs="Arial"/>
                <w:sz w:val="20"/>
                <w:szCs w:val="20"/>
              </w:rPr>
              <w:t>3</w:t>
            </w:r>
            <w:r w:rsidRPr="006D4208">
              <w:rPr>
                <w:rFonts w:asciiTheme="minorHAnsi" w:hAnsiTheme="minorHAnsi" w:cs="Arial"/>
                <w:sz w:val="20"/>
                <w:szCs w:val="20"/>
              </w:rPr>
              <w:t>.3</w:t>
            </w:r>
          </w:p>
        </w:tc>
      </w:tr>
    </w:tbl>
    <w:p w14:paraId="599FF432" w14:textId="77777777" w:rsidR="005C11FF" w:rsidRDefault="005C11FF" w:rsidP="00F7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Arial"/>
          <w:b/>
          <w:sz w:val="20"/>
          <w:szCs w:val="20"/>
        </w:rPr>
      </w:pPr>
    </w:p>
    <w:p w14:paraId="1FB86688" w14:textId="582FDE57" w:rsidR="004D21F7" w:rsidRPr="009F7244" w:rsidRDefault="004D21F7" w:rsidP="004D21F7">
      <w:pPr>
        <w:jc w:val="both"/>
        <w:rPr>
          <w:rFonts w:asciiTheme="minorHAnsi" w:hAnsiTheme="minorHAnsi" w:cs="Poppins Light"/>
          <w:color w:val="000000"/>
          <w:sz w:val="20"/>
          <w:szCs w:val="20"/>
        </w:rPr>
      </w:pPr>
      <w:r w:rsidRPr="02F96343">
        <w:rPr>
          <w:rFonts w:asciiTheme="minorHAnsi" w:hAnsiTheme="minorHAnsi" w:cs="Poppins Light"/>
          <w:color w:val="000000" w:themeColor="text1"/>
          <w:sz w:val="20"/>
          <w:szCs w:val="20"/>
        </w:rPr>
        <w:t>Acquisition intangibles represent the fair value of the broker relationships arising on the acquisition of Moneybarn in August 2014</w:t>
      </w:r>
      <w:r w:rsidR="3AFD16CC" w:rsidRPr="02F96343">
        <w:rPr>
          <w:rFonts w:asciiTheme="minorHAnsi" w:hAnsiTheme="minorHAnsi" w:cs="Poppins Light"/>
          <w:color w:val="000000" w:themeColor="text1"/>
          <w:sz w:val="20"/>
          <w:szCs w:val="20"/>
        </w:rPr>
        <w:t>.</w:t>
      </w:r>
      <w:r w:rsidR="72D496D6" w:rsidRPr="02F96343">
        <w:rPr>
          <w:rFonts w:asciiTheme="minorHAnsi" w:hAnsiTheme="minorHAnsi" w:cs="Poppins Light"/>
          <w:color w:val="000000" w:themeColor="text1"/>
          <w:sz w:val="20"/>
          <w:szCs w:val="20"/>
        </w:rPr>
        <w:t xml:space="preserve"> </w:t>
      </w:r>
      <w:r w:rsidRPr="02F96343">
        <w:rPr>
          <w:rFonts w:asciiTheme="minorHAnsi" w:hAnsiTheme="minorHAnsi" w:cs="Poppins Light"/>
          <w:color w:val="000000" w:themeColor="text1"/>
          <w:sz w:val="20"/>
          <w:szCs w:val="20"/>
        </w:rPr>
        <w:t xml:space="preserve"> The intangible asset was calculated based on the discounted cash flows associated with vehicle finance core broker relationships and is being amortised over an estimated useful life of 10 years. Additions to acquisition intangibles in 202</w:t>
      </w:r>
      <w:r w:rsidR="0971390D" w:rsidRPr="02F96343">
        <w:rPr>
          <w:rFonts w:asciiTheme="minorHAnsi" w:hAnsiTheme="minorHAnsi" w:cs="Poppins Light"/>
          <w:color w:val="000000" w:themeColor="text1"/>
          <w:sz w:val="20"/>
          <w:szCs w:val="20"/>
        </w:rPr>
        <w:t>3</w:t>
      </w:r>
      <w:r w:rsidRPr="02F96343">
        <w:rPr>
          <w:rFonts w:asciiTheme="minorHAnsi" w:hAnsiTheme="minorHAnsi" w:cs="Poppins Light"/>
          <w:color w:val="000000" w:themeColor="text1"/>
          <w:sz w:val="20"/>
          <w:szCs w:val="20"/>
        </w:rPr>
        <w:t xml:space="preserve"> comprise</w:t>
      </w:r>
      <w:r w:rsidR="00017A34" w:rsidRPr="02F96343">
        <w:rPr>
          <w:rFonts w:asciiTheme="minorHAnsi" w:hAnsiTheme="minorHAnsi" w:cs="Poppins Light"/>
          <w:color w:val="000000" w:themeColor="text1"/>
          <w:sz w:val="20"/>
          <w:szCs w:val="20"/>
        </w:rPr>
        <w:t>d</w:t>
      </w:r>
      <w:r w:rsidRPr="02F96343">
        <w:rPr>
          <w:rFonts w:asciiTheme="minorHAnsi" w:hAnsiTheme="minorHAnsi" w:cs="Poppins Light"/>
          <w:color w:val="000000" w:themeColor="text1"/>
          <w:sz w:val="20"/>
          <w:szCs w:val="20"/>
        </w:rPr>
        <w:t xml:space="preserve"> £</w:t>
      </w:r>
      <w:r w:rsidR="00BC1DBE" w:rsidRPr="02F96343">
        <w:rPr>
          <w:rFonts w:asciiTheme="minorHAnsi" w:hAnsiTheme="minorHAnsi" w:cs="Poppins Light"/>
          <w:color w:val="000000" w:themeColor="text1"/>
          <w:sz w:val="20"/>
          <w:szCs w:val="20"/>
        </w:rPr>
        <w:t>10.1</w:t>
      </w:r>
      <w:r w:rsidRPr="02F96343">
        <w:rPr>
          <w:rFonts w:asciiTheme="minorHAnsi" w:hAnsiTheme="minorHAnsi" w:cs="Poppins Light"/>
          <w:color w:val="000000" w:themeColor="text1"/>
          <w:sz w:val="20"/>
          <w:szCs w:val="20"/>
        </w:rPr>
        <w:t>m of internally generated core platform and technology, and £</w:t>
      </w:r>
      <w:r w:rsidR="00581FEA" w:rsidRPr="02F96343">
        <w:rPr>
          <w:rFonts w:asciiTheme="minorHAnsi" w:hAnsiTheme="minorHAnsi" w:cs="Poppins Light"/>
          <w:color w:val="000000" w:themeColor="text1"/>
          <w:sz w:val="20"/>
          <w:szCs w:val="20"/>
        </w:rPr>
        <w:t>1.0</w:t>
      </w:r>
      <w:r w:rsidRPr="02F96343">
        <w:rPr>
          <w:rFonts w:asciiTheme="minorHAnsi" w:hAnsiTheme="minorHAnsi" w:cs="Poppins Light"/>
          <w:color w:val="000000" w:themeColor="text1"/>
          <w:sz w:val="20"/>
          <w:szCs w:val="20"/>
        </w:rPr>
        <w:t>m in relation to the ‘Snoop’ brand name arising on the acquisition of Snoop on 7 August 2023.</w:t>
      </w:r>
    </w:p>
    <w:p w14:paraId="004244C1" w14:textId="77777777" w:rsidR="004D21F7" w:rsidRPr="00180E0A" w:rsidRDefault="004D21F7" w:rsidP="004D21F7">
      <w:pPr>
        <w:jc w:val="both"/>
        <w:rPr>
          <w:rFonts w:asciiTheme="minorHAnsi" w:hAnsiTheme="minorHAnsi" w:cs="Poppins Light"/>
          <w:color w:val="000000"/>
          <w:sz w:val="20"/>
          <w:szCs w:val="20"/>
          <w:highlight w:val="yellow"/>
        </w:rPr>
      </w:pPr>
    </w:p>
    <w:p w14:paraId="2DBC240B" w14:textId="6F6EB917" w:rsidR="004D21F7" w:rsidRDefault="004D21F7" w:rsidP="004D21F7">
      <w:pPr>
        <w:jc w:val="both"/>
        <w:rPr>
          <w:rFonts w:asciiTheme="minorHAnsi" w:hAnsiTheme="minorHAnsi" w:cs="Poppins Light"/>
          <w:color w:val="000000" w:themeColor="text1"/>
          <w:sz w:val="20"/>
          <w:szCs w:val="20"/>
        </w:rPr>
      </w:pPr>
      <w:r w:rsidRPr="3441915A">
        <w:rPr>
          <w:rFonts w:asciiTheme="minorHAnsi" w:hAnsiTheme="minorHAnsi" w:cs="Poppins Light"/>
          <w:color w:val="000000" w:themeColor="text1"/>
          <w:sz w:val="20"/>
          <w:szCs w:val="20"/>
        </w:rPr>
        <w:t>Additions to computer software of £</w:t>
      </w:r>
      <w:r w:rsidR="64D8B512" w:rsidRPr="3441915A">
        <w:rPr>
          <w:rFonts w:asciiTheme="minorHAnsi" w:hAnsiTheme="minorHAnsi" w:cs="Poppins Light"/>
          <w:color w:val="000000" w:themeColor="text1"/>
          <w:sz w:val="20"/>
          <w:szCs w:val="20"/>
        </w:rPr>
        <w:t>4.5</w:t>
      </w:r>
      <w:r w:rsidRPr="3441915A">
        <w:rPr>
          <w:rFonts w:asciiTheme="minorHAnsi" w:hAnsiTheme="minorHAnsi" w:cs="Poppins Light"/>
          <w:color w:val="000000" w:themeColor="text1"/>
          <w:sz w:val="20"/>
          <w:szCs w:val="20"/>
        </w:rPr>
        <w:t>m (</w:t>
      </w:r>
      <w:r w:rsidR="20086530" w:rsidRPr="3441915A">
        <w:rPr>
          <w:rFonts w:asciiTheme="minorHAnsi" w:hAnsiTheme="minorHAnsi" w:cs="Poppins Light"/>
          <w:color w:val="000000" w:themeColor="text1"/>
          <w:sz w:val="20"/>
          <w:szCs w:val="20"/>
        </w:rPr>
        <w:t>1H</w:t>
      </w:r>
      <w:r w:rsidRPr="7E55116C">
        <w:rPr>
          <w:rFonts w:asciiTheme="minorHAnsi" w:hAnsiTheme="minorHAnsi" w:cs="Poppins Light"/>
          <w:color w:val="000000" w:themeColor="text1"/>
          <w:sz w:val="20"/>
          <w:szCs w:val="20"/>
        </w:rPr>
        <w:t>2</w:t>
      </w:r>
      <w:r w:rsidR="00244F09" w:rsidRPr="7E55116C">
        <w:rPr>
          <w:rFonts w:asciiTheme="minorHAnsi" w:hAnsiTheme="minorHAnsi" w:cs="Poppins Light"/>
          <w:color w:val="000000" w:themeColor="text1"/>
          <w:sz w:val="20"/>
          <w:szCs w:val="20"/>
        </w:rPr>
        <w:t>3</w:t>
      </w:r>
      <w:r w:rsidRPr="00DB2D40">
        <w:rPr>
          <w:rFonts w:asciiTheme="minorHAnsi" w:hAnsiTheme="minorHAnsi" w:cs="Poppins Light"/>
          <w:color w:val="000000" w:themeColor="text1"/>
          <w:sz w:val="20"/>
          <w:szCs w:val="20"/>
        </w:rPr>
        <w:t>: £</w:t>
      </w:r>
      <w:r w:rsidR="24787D49" w:rsidRPr="5040D4F9">
        <w:rPr>
          <w:rFonts w:asciiTheme="minorHAnsi" w:hAnsiTheme="minorHAnsi" w:cs="Poppins Light"/>
          <w:color w:val="000000" w:themeColor="text1"/>
          <w:sz w:val="20"/>
          <w:szCs w:val="20"/>
        </w:rPr>
        <w:t>11.3</w:t>
      </w:r>
      <w:r w:rsidRPr="5040D4F9">
        <w:rPr>
          <w:rFonts w:asciiTheme="minorHAnsi" w:hAnsiTheme="minorHAnsi" w:cs="Poppins Light"/>
          <w:color w:val="000000" w:themeColor="text1"/>
          <w:sz w:val="20"/>
          <w:szCs w:val="20"/>
        </w:rPr>
        <w:t>m</w:t>
      </w:r>
      <w:r w:rsidRPr="3441915A">
        <w:rPr>
          <w:rFonts w:asciiTheme="minorHAnsi" w:hAnsiTheme="minorHAnsi" w:cs="Poppins Light"/>
          <w:color w:val="000000" w:themeColor="text1"/>
          <w:sz w:val="20"/>
          <w:szCs w:val="20"/>
        </w:rPr>
        <w:t xml:space="preserve">) </w:t>
      </w:r>
      <w:r w:rsidRPr="6A7632AC">
        <w:rPr>
          <w:rFonts w:asciiTheme="minorHAnsi" w:hAnsiTheme="minorHAnsi" w:cs="Poppins Light"/>
          <w:color w:val="000000" w:themeColor="text1"/>
          <w:sz w:val="20"/>
          <w:szCs w:val="20"/>
        </w:rPr>
        <w:t xml:space="preserve">comprise </w:t>
      </w:r>
      <w:r w:rsidR="006325C4" w:rsidRPr="6A7632AC">
        <w:rPr>
          <w:rFonts w:asciiTheme="minorHAnsi" w:hAnsiTheme="minorHAnsi" w:cs="Poppins Light"/>
          <w:color w:val="000000" w:themeColor="text1"/>
          <w:sz w:val="20"/>
          <w:szCs w:val="20"/>
        </w:rPr>
        <w:t>costs associated with the Gateway platform development</w:t>
      </w:r>
      <w:r w:rsidR="4B78E523" w:rsidRPr="6A7632AC">
        <w:rPr>
          <w:rFonts w:asciiTheme="minorHAnsi" w:hAnsiTheme="minorHAnsi" w:cs="Poppins Light"/>
          <w:color w:val="000000" w:themeColor="text1"/>
          <w:sz w:val="20"/>
          <w:szCs w:val="20"/>
        </w:rPr>
        <w:t>.</w:t>
      </w:r>
      <w:r w:rsidR="4B78E523" w:rsidRPr="3441915A">
        <w:rPr>
          <w:rFonts w:asciiTheme="minorHAnsi" w:hAnsiTheme="minorHAnsi" w:cs="Poppins Light"/>
          <w:color w:val="000000" w:themeColor="text1"/>
          <w:sz w:val="20"/>
          <w:szCs w:val="20"/>
        </w:rPr>
        <w:t xml:space="preserve"> </w:t>
      </w:r>
      <w:r w:rsidR="62221040" w:rsidRPr="3441915A">
        <w:rPr>
          <w:rFonts w:asciiTheme="minorHAnsi" w:hAnsiTheme="minorHAnsi" w:cs="Poppins Light"/>
          <w:color w:val="000000" w:themeColor="text1"/>
          <w:sz w:val="20"/>
          <w:szCs w:val="20"/>
        </w:rPr>
        <w:t xml:space="preserve">In </w:t>
      </w:r>
      <w:r w:rsidR="00304459" w:rsidRPr="3441915A">
        <w:rPr>
          <w:rFonts w:asciiTheme="minorHAnsi" w:hAnsiTheme="minorHAnsi" w:cs="Poppins Light"/>
          <w:color w:val="000000" w:themeColor="text1"/>
          <w:sz w:val="20"/>
          <w:szCs w:val="20"/>
        </w:rPr>
        <w:t xml:space="preserve">1H24 </w:t>
      </w:r>
      <w:r w:rsidR="5BA1D430" w:rsidRPr="3441915A">
        <w:rPr>
          <w:rFonts w:asciiTheme="minorHAnsi" w:hAnsiTheme="minorHAnsi" w:cs="Poppins Light"/>
          <w:color w:val="000000" w:themeColor="text1"/>
          <w:sz w:val="20"/>
          <w:szCs w:val="20"/>
        </w:rPr>
        <w:t>£</w:t>
      </w:r>
      <w:r w:rsidR="00E433AC">
        <w:rPr>
          <w:rFonts w:asciiTheme="minorHAnsi" w:hAnsiTheme="minorHAnsi" w:cs="Poppins Light"/>
          <w:color w:val="000000" w:themeColor="text1"/>
          <w:sz w:val="20"/>
          <w:szCs w:val="20"/>
        </w:rPr>
        <w:t>8.5</w:t>
      </w:r>
      <w:r w:rsidR="5BA1D430" w:rsidRPr="6A7632AC">
        <w:rPr>
          <w:rFonts w:asciiTheme="minorHAnsi" w:hAnsiTheme="minorHAnsi" w:cs="Poppins Light"/>
          <w:color w:val="000000" w:themeColor="text1"/>
          <w:sz w:val="20"/>
          <w:szCs w:val="20"/>
        </w:rPr>
        <w:t>m</w:t>
      </w:r>
      <w:r w:rsidR="5BA1D430" w:rsidRPr="3441915A">
        <w:rPr>
          <w:rFonts w:asciiTheme="minorHAnsi" w:hAnsiTheme="minorHAnsi" w:cs="Poppins Light"/>
          <w:color w:val="000000" w:themeColor="text1"/>
          <w:sz w:val="20"/>
          <w:szCs w:val="20"/>
        </w:rPr>
        <w:t xml:space="preserve"> </w:t>
      </w:r>
      <w:r w:rsidR="18716829" w:rsidRPr="3441915A">
        <w:rPr>
          <w:rFonts w:asciiTheme="minorHAnsi" w:hAnsiTheme="minorHAnsi" w:cs="Poppins Light"/>
          <w:color w:val="000000" w:themeColor="text1"/>
          <w:sz w:val="20"/>
          <w:szCs w:val="20"/>
        </w:rPr>
        <w:t>of</w:t>
      </w:r>
      <w:r w:rsidR="76190A3C" w:rsidRPr="3441915A">
        <w:rPr>
          <w:rFonts w:asciiTheme="minorHAnsi" w:hAnsiTheme="minorHAnsi" w:cs="Poppins Light"/>
          <w:color w:val="000000" w:themeColor="text1"/>
          <w:sz w:val="20"/>
          <w:szCs w:val="20"/>
        </w:rPr>
        <w:t xml:space="preserve"> </w:t>
      </w:r>
      <w:r w:rsidR="00E433AC">
        <w:rPr>
          <w:rFonts w:asciiTheme="minorHAnsi" w:hAnsiTheme="minorHAnsi" w:cs="Poppins Light"/>
          <w:color w:val="000000" w:themeColor="text1"/>
          <w:sz w:val="20"/>
          <w:szCs w:val="20"/>
        </w:rPr>
        <w:t>impairment relates to the</w:t>
      </w:r>
      <w:r w:rsidR="00304459" w:rsidRPr="3441915A">
        <w:rPr>
          <w:rFonts w:asciiTheme="minorHAnsi" w:hAnsiTheme="minorHAnsi" w:cs="Poppins Light"/>
          <w:color w:val="000000" w:themeColor="text1"/>
          <w:sz w:val="20"/>
          <w:szCs w:val="20"/>
        </w:rPr>
        <w:t xml:space="preserve"> </w:t>
      </w:r>
      <w:r w:rsidR="23B6E035" w:rsidRPr="3441915A">
        <w:rPr>
          <w:rFonts w:asciiTheme="minorHAnsi" w:hAnsiTheme="minorHAnsi" w:cs="Poppins Light"/>
          <w:color w:val="000000" w:themeColor="text1"/>
          <w:sz w:val="20"/>
          <w:szCs w:val="20"/>
        </w:rPr>
        <w:t>write down of</w:t>
      </w:r>
      <w:r w:rsidR="00304459" w:rsidRPr="3441915A">
        <w:rPr>
          <w:rFonts w:asciiTheme="minorHAnsi" w:hAnsiTheme="minorHAnsi" w:cs="Poppins Light"/>
          <w:color w:val="000000" w:themeColor="text1"/>
          <w:sz w:val="20"/>
          <w:szCs w:val="20"/>
        </w:rPr>
        <w:t xml:space="preserve"> </w:t>
      </w:r>
      <w:r w:rsidR="615B450C" w:rsidRPr="3441915A">
        <w:rPr>
          <w:rFonts w:asciiTheme="minorHAnsi" w:hAnsiTheme="minorHAnsi" w:cs="Poppins Light"/>
          <w:color w:val="000000" w:themeColor="text1"/>
          <w:sz w:val="20"/>
          <w:szCs w:val="20"/>
        </w:rPr>
        <w:t>development costs for a</w:t>
      </w:r>
      <w:r w:rsidR="00F92B18" w:rsidRPr="3441915A">
        <w:rPr>
          <w:rFonts w:asciiTheme="minorHAnsi" w:hAnsiTheme="minorHAnsi" w:cs="Poppins Light"/>
          <w:color w:val="000000" w:themeColor="text1"/>
          <w:sz w:val="20"/>
          <w:szCs w:val="20"/>
        </w:rPr>
        <w:t xml:space="preserve"> </w:t>
      </w:r>
      <w:r w:rsidR="00304459" w:rsidRPr="3441915A">
        <w:rPr>
          <w:rFonts w:asciiTheme="minorHAnsi" w:hAnsiTheme="minorHAnsi" w:cs="Poppins Light"/>
          <w:color w:val="000000" w:themeColor="text1"/>
          <w:sz w:val="20"/>
          <w:szCs w:val="20"/>
        </w:rPr>
        <w:t>mobi</w:t>
      </w:r>
      <w:r w:rsidR="00F92B18" w:rsidRPr="3441915A">
        <w:rPr>
          <w:rFonts w:asciiTheme="minorHAnsi" w:hAnsiTheme="minorHAnsi" w:cs="Poppins Light"/>
          <w:color w:val="000000" w:themeColor="text1"/>
          <w:sz w:val="20"/>
          <w:szCs w:val="20"/>
        </w:rPr>
        <w:t>l</w:t>
      </w:r>
      <w:r w:rsidR="00304459" w:rsidRPr="3441915A">
        <w:rPr>
          <w:rFonts w:asciiTheme="minorHAnsi" w:hAnsiTheme="minorHAnsi" w:cs="Poppins Light"/>
          <w:color w:val="000000" w:themeColor="text1"/>
          <w:sz w:val="20"/>
          <w:szCs w:val="20"/>
        </w:rPr>
        <w:t xml:space="preserve">e app </w:t>
      </w:r>
      <w:r w:rsidR="00F92B18" w:rsidRPr="3441915A">
        <w:rPr>
          <w:rFonts w:asciiTheme="minorHAnsi" w:hAnsiTheme="minorHAnsi" w:cs="Poppins Light"/>
          <w:color w:val="000000" w:themeColor="text1"/>
          <w:sz w:val="20"/>
          <w:szCs w:val="20"/>
        </w:rPr>
        <w:t xml:space="preserve">which is now considered redundant. </w:t>
      </w:r>
    </w:p>
    <w:p w14:paraId="26753DDC" w14:textId="26C43474" w:rsidR="007F0B2A" w:rsidRDefault="007F0B2A" w:rsidP="3441915A">
      <w:pPr>
        <w:jc w:val="both"/>
        <w:rPr>
          <w:rFonts w:asciiTheme="minorHAnsi" w:hAnsiTheme="minorHAnsi" w:cs="Poppins Light"/>
          <w:color w:val="000000" w:themeColor="text1"/>
          <w:sz w:val="20"/>
          <w:szCs w:val="20"/>
        </w:rPr>
      </w:pPr>
    </w:p>
    <w:p w14:paraId="16B7184E" w14:textId="77777777" w:rsidR="00FC771A" w:rsidRDefault="00FC771A" w:rsidP="3441915A">
      <w:pPr>
        <w:jc w:val="both"/>
        <w:rPr>
          <w:rFonts w:asciiTheme="minorHAnsi" w:hAnsiTheme="minorHAnsi" w:cs="Poppins Light"/>
          <w:color w:val="000000" w:themeColor="text1"/>
          <w:sz w:val="20"/>
          <w:szCs w:val="20"/>
        </w:rPr>
      </w:pPr>
    </w:p>
    <w:p w14:paraId="062B4A2D" w14:textId="77777777" w:rsidR="00FC771A" w:rsidRDefault="00FC771A" w:rsidP="3441915A">
      <w:pPr>
        <w:jc w:val="both"/>
        <w:rPr>
          <w:rFonts w:asciiTheme="minorHAnsi" w:hAnsiTheme="minorHAnsi" w:cs="Poppins Light"/>
          <w:color w:val="000000" w:themeColor="text1"/>
          <w:sz w:val="20"/>
          <w:szCs w:val="20"/>
        </w:rPr>
      </w:pPr>
    </w:p>
    <w:p w14:paraId="4277F1CC" w14:textId="77777777" w:rsidR="00FC771A" w:rsidRDefault="00FC771A" w:rsidP="3441915A">
      <w:pPr>
        <w:jc w:val="both"/>
        <w:rPr>
          <w:rFonts w:asciiTheme="minorHAnsi" w:hAnsiTheme="minorHAnsi" w:cs="Poppins Light"/>
          <w:color w:val="000000" w:themeColor="text1"/>
          <w:sz w:val="20"/>
          <w:szCs w:val="20"/>
        </w:rPr>
      </w:pPr>
    </w:p>
    <w:p w14:paraId="2753D126" w14:textId="77777777" w:rsidR="00CA61BF" w:rsidRDefault="00CA61BF" w:rsidP="00A3021A">
      <w:pPr>
        <w:jc w:val="both"/>
        <w:rPr>
          <w:rFonts w:asciiTheme="minorHAnsi" w:hAnsiTheme="minorHAnsi" w:cs="Arial"/>
          <w:b/>
          <w:color w:val="4747FF"/>
          <w:sz w:val="22"/>
          <w:szCs w:val="22"/>
        </w:rPr>
      </w:pPr>
    </w:p>
    <w:p w14:paraId="1C7F20A1" w14:textId="0DFBD3A7" w:rsidR="00A3021A" w:rsidRPr="00306AF1" w:rsidRDefault="00A3021A" w:rsidP="00CF66BE">
      <w:pPr>
        <w:ind w:left="567" w:hanging="567"/>
        <w:jc w:val="both"/>
        <w:rPr>
          <w:rFonts w:asciiTheme="minorHAnsi" w:hAnsiTheme="minorHAnsi" w:cs="Arial"/>
          <w:b/>
          <w:color w:val="4747FF"/>
          <w:sz w:val="22"/>
          <w:szCs w:val="22"/>
        </w:rPr>
      </w:pPr>
      <w:r w:rsidRPr="00306AF1">
        <w:rPr>
          <w:rFonts w:asciiTheme="minorHAnsi" w:hAnsiTheme="minorHAnsi" w:cs="Arial"/>
          <w:b/>
          <w:color w:val="4747FF"/>
          <w:sz w:val="22"/>
          <w:szCs w:val="22"/>
        </w:rPr>
        <w:t>1</w:t>
      </w:r>
      <w:r w:rsidR="006133EC">
        <w:rPr>
          <w:rFonts w:asciiTheme="minorHAnsi" w:hAnsiTheme="minorHAnsi" w:cs="Arial"/>
          <w:b/>
          <w:color w:val="4747FF"/>
          <w:sz w:val="22"/>
          <w:szCs w:val="22"/>
        </w:rPr>
        <w:t>1</w:t>
      </w:r>
      <w:r w:rsidRPr="00306AF1">
        <w:rPr>
          <w:rFonts w:asciiTheme="minorHAnsi" w:hAnsiTheme="minorHAnsi" w:cs="Arial"/>
          <w:b/>
          <w:color w:val="4747FF"/>
          <w:sz w:val="22"/>
          <w:szCs w:val="22"/>
        </w:rPr>
        <w:t>.</w:t>
      </w:r>
      <w:r w:rsidRPr="00306AF1">
        <w:rPr>
          <w:rFonts w:asciiTheme="minorHAnsi" w:hAnsiTheme="minorHAnsi" w:cs="Arial"/>
          <w:b/>
          <w:color w:val="4747FF"/>
          <w:sz w:val="22"/>
          <w:szCs w:val="22"/>
        </w:rPr>
        <w:tab/>
      </w:r>
      <w:r w:rsidRPr="00531C4A">
        <w:rPr>
          <w:rFonts w:asciiTheme="minorHAnsi" w:hAnsiTheme="minorHAnsi" w:cs="Arial"/>
          <w:b/>
          <w:color w:val="4747FF"/>
          <w:sz w:val="22"/>
          <w:szCs w:val="22"/>
        </w:rPr>
        <w:t>Retirement benefit asset</w:t>
      </w:r>
    </w:p>
    <w:p w14:paraId="54137310" w14:textId="77777777" w:rsidR="00A3021A" w:rsidRPr="00306AF1" w:rsidRDefault="00A3021A" w:rsidP="00A3021A">
      <w:pPr>
        <w:pStyle w:val="bodycop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olor w:val="auto"/>
          <w:sz w:val="20"/>
          <w:lang w:eastAsia="en-GB"/>
        </w:rPr>
      </w:pPr>
    </w:p>
    <w:p w14:paraId="09321DF5" w14:textId="77777777" w:rsidR="00A3021A" w:rsidRPr="00306AF1" w:rsidRDefault="00A3021A"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306AF1">
        <w:rPr>
          <w:rFonts w:asciiTheme="minorHAnsi" w:hAnsiTheme="minorHAnsi" w:cs="Arial"/>
          <w:sz w:val="20"/>
          <w:szCs w:val="20"/>
        </w:rPr>
        <w:t xml:space="preserve">The group operates a defined benefit pension scheme: the Provident Financial Staff Pension Scheme. The scheme is of the funded, defined benefit type and it is now also closed to future accrual. </w:t>
      </w:r>
    </w:p>
    <w:p w14:paraId="62B3FE1E" w14:textId="77777777" w:rsidR="00A3021A" w:rsidRPr="00306AF1" w:rsidRDefault="00A3021A"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2E28B4FE" w14:textId="77777777" w:rsidR="00A3021A" w:rsidRPr="00306AF1" w:rsidRDefault="00A3021A" w:rsidP="00A3021A">
      <w:pPr>
        <w:jc w:val="both"/>
        <w:rPr>
          <w:rFonts w:asciiTheme="minorHAnsi" w:hAnsiTheme="minorHAnsi" w:cs="Arial"/>
          <w:sz w:val="20"/>
          <w:szCs w:val="20"/>
        </w:rPr>
      </w:pPr>
      <w:r w:rsidRPr="00306AF1">
        <w:rPr>
          <w:rFonts w:asciiTheme="minorHAnsi" w:hAnsiTheme="minorHAnsi" w:cs="Arial"/>
          <w:sz w:val="20"/>
          <w:szCs w:val="20"/>
        </w:rPr>
        <w:t>The scheme provides pension benefits which were accrued on a final salary and, more recently, on a cash balance basis. With effect from 1 August 2021 it was fully closed to future accrual and benefits are no longer linked to final salary, although accrued benefits are subject to statutory inflationary increases.</w:t>
      </w:r>
    </w:p>
    <w:p w14:paraId="6AB443EC" w14:textId="77777777" w:rsidR="00A3021A" w:rsidRPr="00306AF1" w:rsidRDefault="00A3021A" w:rsidP="00A3021A">
      <w:pPr>
        <w:jc w:val="both"/>
        <w:rPr>
          <w:rFonts w:asciiTheme="minorHAnsi" w:hAnsiTheme="minorHAnsi" w:cs="Arial"/>
          <w:sz w:val="20"/>
          <w:szCs w:val="20"/>
        </w:rPr>
      </w:pPr>
    </w:p>
    <w:p w14:paraId="209E91CC" w14:textId="77777777" w:rsidR="00A3021A" w:rsidRPr="00306AF1" w:rsidRDefault="00A3021A"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306AF1">
        <w:rPr>
          <w:rFonts w:asciiTheme="minorHAnsi" w:hAnsiTheme="minorHAnsi" w:cs="Arial"/>
          <w:sz w:val="20"/>
          <w:szCs w:val="20"/>
        </w:rPr>
        <w:t>The scheme is a UK registered pension scheme under UK legislation. The scheme is governed by a Trust Deed and Rules, with trustees responsible for the operation and the governance of the scheme. The trustees work closely with the Group on funding and investment strategy decisions. The most recent actuarial valuation of the scheme was carried out as at 1 June 2021 by a qualified independent actuary. The valuation used for the purposes of IAS 19 ‘Employee benefits’ has been based on the results of the 2021 valuation to take account of the requirements of IAS 19 in order to assess the liabilities of the scheme at the balance sheet date. Scheme assets are stated at fair value as at the balance sheet date.</w:t>
      </w:r>
    </w:p>
    <w:p w14:paraId="7E4C0982" w14:textId="77777777" w:rsidR="00A3021A" w:rsidRPr="00306AF1" w:rsidRDefault="00A3021A"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4615CE97" w14:textId="66BF2E25" w:rsidR="00A3021A" w:rsidRPr="00306AF1" w:rsidRDefault="00A3021A"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306AF1">
        <w:rPr>
          <w:rFonts w:asciiTheme="minorHAnsi" w:hAnsiTheme="minorHAnsi" w:cs="Arial"/>
          <w:sz w:val="20"/>
          <w:szCs w:val="20"/>
        </w:rPr>
        <w:t>The group is entitled to a refund of any surplus, subject to tax, if the scheme winds up after all benefits have been paid.</w:t>
      </w:r>
    </w:p>
    <w:p w14:paraId="4DA35531" w14:textId="77777777" w:rsidR="00A3021A" w:rsidRPr="00306AF1" w:rsidRDefault="00A3021A" w:rsidP="00A3021A">
      <w:pPr>
        <w:autoSpaceDE w:val="0"/>
        <w:autoSpaceDN w:val="0"/>
        <w:adjustRightInd w:val="0"/>
        <w:jc w:val="both"/>
        <w:rPr>
          <w:rFonts w:asciiTheme="minorHAnsi" w:hAnsiTheme="minorHAnsi" w:cs="Poppins-Light"/>
          <w:sz w:val="20"/>
          <w:szCs w:val="20"/>
        </w:rPr>
      </w:pPr>
      <w:r w:rsidRPr="00306AF1">
        <w:rPr>
          <w:rFonts w:asciiTheme="minorHAnsi" w:hAnsiTheme="minorHAnsi" w:cs="Poppins-Light"/>
          <w:sz w:val="20"/>
          <w:szCs w:val="20"/>
        </w:rPr>
        <w:t>As a result, the Group recognises surplus assets under IAS 19.</w:t>
      </w:r>
    </w:p>
    <w:p w14:paraId="74D756ED" w14:textId="21A29384" w:rsidR="008D51AF" w:rsidRDefault="008D51AF" w:rsidP="414F5E4B">
      <w:pPr>
        <w:autoSpaceDE w:val="0"/>
        <w:autoSpaceDN w:val="0"/>
        <w:adjustRightInd w:val="0"/>
        <w:jc w:val="both"/>
        <w:rPr>
          <w:rFonts w:asciiTheme="minorHAnsi" w:hAnsiTheme="minorHAnsi" w:cs="Poppins-Light"/>
          <w:sz w:val="20"/>
          <w:szCs w:val="20"/>
        </w:rPr>
      </w:pPr>
    </w:p>
    <w:p w14:paraId="64F12412" w14:textId="77777777" w:rsidR="00A3021A" w:rsidRPr="00306AF1" w:rsidRDefault="00A3021A" w:rsidP="00A3021A">
      <w:pPr>
        <w:autoSpaceDE w:val="0"/>
        <w:autoSpaceDN w:val="0"/>
        <w:adjustRightInd w:val="0"/>
        <w:jc w:val="both"/>
        <w:rPr>
          <w:rFonts w:asciiTheme="minorHAnsi" w:hAnsiTheme="minorHAnsi" w:cs="Poppins-Light"/>
          <w:sz w:val="20"/>
          <w:szCs w:val="20"/>
        </w:rPr>
      </w:pPr>
      <w:r w:rsidRPr="00306AF1">
        <w:rPr>
          <w:rFonts w:asciiTheme="minorHAnsi" w:hAnsiTheme="minorHAnsi" w:cs="Poppins-Light"/>
          <w:sz w:val="20"/>
          <w:szCs w:val="20"/>
        </w:rPr>
        <w:t>The Group is exposed to a number of risks, the most significant of which are as follows:</w:t>
      </w:r>
    </w:p>
    <w:p w14:paraId="1201AB3F" w14:textId="77777777" w:rsidR="00A3021A" w:rsidRPr="00306AF1" w:rsidRDefault="00A3021A" w:rsidP="00A3021A">
      <w:pPr>
        <w:autoSpaceDE w:val="0"/>
        <w:autoSpaceDN w:val="0"/>
        <w:adjustRightInd w:val="0"/>
        <w:jc w:val="both"/>
        <w:rPr>
          <w:rFonts w:asciiTheme="minorHAnsi" w:hAnsiTheme="minorHAnsi" w:cs="Poppins-Light"/>
          <w:sz w:val="20"/>
          <w:szCs w:val="20"/>
        </w:rPr>
      </w:pPr>
    </w:p>
    <w:p w14:paraId="65134828" w14:textId="77777777" w:rsidR="00A3021A" w:rsidRPr="00306AF1" w:rsidRDefault="00A3021A" w:rsidP="007B19E6">
      <w:pPr>
        <w:pStyle w:val="ListParagraph"/>
        <w:numPr>
          <w:ilvl w:val="0"/>
          <w:numId w:val="5"/>
        </w:numPr>
        <w:autoSpaceDE w:val="0"/>
        <w:autoSpaceDN w:val="0"/>
        <w:adjustRightInd w:val="0"/>
        <w:jc w:val="both"/>
        <w:rPr>
          <w:rFonts w:asciiTheme="minorHAnsi" w:hAnsiTheme="minorHAnsi" w:cs="Poppins-Light"/>
          <w:sz w:val="20"/>
          <w:szCs w:val="20"/>
        </w:rPr>
      </w:pPr>
      <w:r w:rsidRPr="00306AF1">
        <w:rPr>
          <w:rFonts w:asciiTheme="minorHAnsi" w:hAnsiTheme="minorHAnsi" w:cs="Poppins-Light"/>
          <w:sz w:val="20"/>
          <w:szCs w:val="20"/>
        </w:rPr>
        <w:t>Investment risk – the liabilities for IAS 19 purposes are calculated using a discount rate set with reference to corporate bond yields. If the assets underperform this yield a deficit will arise. The scheme has a long-term objective to reduce the level of investment risk by investing in assets that better match liabilities.</w:t>
      </w:r>
    </w:p>
    <w:p w14:paraId="2FC4102E" w14:textId="77777777" w:rsidR="00A3021A" w:rsidRPr="00306AF1" w:rsidRDefault="00A3021A" w:rsidP="007B19E6">
      <w:pPr>
        <w:pStyle w:val="ListParagraph"/>
        <w:numPr>
          <w:ilvl w:val="0"/>
          <w:numId w:val="5"/>
        </w:numPr>
        <w:autoSpaceDE w:val="0"/>
        <w:autoSpaceDN w:val="0"/>
        <w:adjustRightInd w:val="0"/>
        <w:jc w:val="both"/>
        <w:rPr>
          <w:rFonts w:asciiTheme="minorHAnsi" w:hAnsiTheme="minorHAnsi" w:cs="Poppins-Light"/>
          <w:sz w:val="20"/>
          <w:szCs w:val="20"/>
        </w:rPr>
      </w:pPr>
      <w:r w:rsidRPr="00306AF1">
        <w:rPr>
          <w:rFonts w:asciiTheme="minorHAnsi" w:hAnsiTheme="minorHAnsi" w:cs="Poppins-Light"/>
          <w:sz w:val="20"/>
          <w:szCs w:val="20"/>
        </w:rPr>
        <w:t>Change in bond yields – a decrease in corporate bond yields will increase the liabilities, although this will be partly offset by an increase in matching assets.</w:t>
      </w:r>
    </w:p>
    <w:p w14:paraId="0FAD92E6" w14:textId="77777777" w:rsidR="00A3021A" w:rsidRPr="00306AF1" w:rsidRDefault="00A3021A" w:rsidP="007B19E6">
      <w:pPr>
        <w:pStyle w:val="ListParagraph"/>
        <w:numPr>
          <w:ilvl w:val="0"/>
          <w:numId w:val="5"/>
        </w:numPr>
        <w:autoSpaceDE w:val="0"/>
        <w:autoSpaceDN w:val="0"/>
        <w:adjustRightInd w:val="0"/>
        <w:jc w:val="both"/>
        <w:rPr>
          <w:rFonts w:asciiTheme="minorHAnsi" w:hAnsiTheme="minorHAnsi" w:cs="Poppins-Light"/>
          <w:sz w:val="20"/>
          <w:szCs w:val="20"/>
        </w:rPr>
      </w:pPr>
      <w:r w:rsidRPr="00306AF1">
        <w:rPr>
          <w:rFonts w:asciiTheme="minorHAnsi" w:hAnsiTheme="minorHAnsi" w:cs="Poppins-Light"/>
          <w:sz w:val="20"/>
          <w:szCs w:val="20"/>
        </w:rPr>
        <w:t>Inflation risk – some of the liabilities are linked to inflation. If inflation increases then liabilities will increase, although this will be partly offset by an increase in assets. As part of a long-term de-risking strategy, the scheme has increased its portfolio in inflation matched assets.</w:t>
      </w:r>
    </w:p>
    <w:p w14:paraId="10E94166" w14:textId="77777777" w:rsidR="00A3021A" w:rsidRPr="00306AF1" w:rsidRDefault="00A3021A" w:rsidP="007B19E6">
      <w:pPr>
        <w:pStyle w:val="ListParagraph"/>
        <w:numPr>
          <w:ilvl w:val="0"/>
          <w:numId w:val="5"/>
        </w:numPr>
        <w:autoSpaceDE w:val="0"/>
        <w:autoSpaceDN w:val="0"/>
        <w:adjustRightInd w:val="0"/>
        <w:jc w:val="both"/>
        <w:rPr>
          <w:rFonts w:asciiTheme="minorHAnsi" w:hAnsiTheme="minorHAnsi" w:cs="Poppins-Light"/>
          <w:sz w:val="20"/>
          <w:szCs w:val="20"/>
        </w:rPr>
      </w:pPr>
      <w:r w:rsidRPr="00306AF1">
        <w:rPr>
          <w:rFonts w:asciiTheme="minorHAnsi" w:hAnsiTheme="minorHAnsi" w:cs="Poppins-Light"/>
          <w:sz w:val="20"/>
          <w:szCs w:val="20"/>
        </w:rPr>
        <w:t>Life expectancies – the scheme’s final salary benefits provide pensions for the rest of members’ lives (and for their spouses’ lives). If members live longer than assumed, then the liabilities in respect of final salary benefits increase.</w:t>
      </w:r>
    </w:p>
    <w:p w14:paraId="47971B17" w14:textId="77777777" w:rsidR="005E6C7F" w:rsidRPr="00306AF1" w:rsidRDefault="005E6C7F" w:rsidP="00A3021A">
      <w:pPr>
        <w:rPr>
          <w:rFonts w:asciiTheme="minorHAnsi" w:hAnsiTheme="minorHAnsi" w:cs="Arial"/>
          <w:b/>
          <w:color w:val="4747FF"/>
          <w:sz w:val="22"/>
          <w:szCs w:val="22"/>
        </w:rPr>
      </w:pPr>
    </w:p>
    <w:p w14:paraId="42A1F6DD" w14:textId="248D9EFA" w:rsidR="00A3021A" w:rsidRDefault="00A3021A"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306AF1">
        <w:rPr>
          <w:rFonts w:asciiTheme="minorHAnsi" w:hAnsiTheme="minorHAnsi" w:cs="Arial"/>
          <w:sz w:val="20"/>
          <w:szCs w:val="20"/>
        </w:rPr>
        <w:t xml:space="preserve">The net retirement benefit asset recognised in the balance sheet of the </w:t>
      </w:r>
      <w:r w:rsidR="00551C30" w:rsidRPr="00306AF1">
        <w:rPr>
          <w:rFonts w:asciiTheme="minorHAnsi" w:hAnsiTheme="minorHAnsi" w:cs="Arial"/>
          <w:sz w:val="20"/>
          <w:szCs w:val="20"/>
        </w:rPr>
        <w:t>G</w:t>
      </w:r>
      <w:r w:rsidRPr="00306AF1">
        <w:rPr>
          <w:rFonts w:asciiTheme="minorHAnsi" w:hAnsiTheme="minorHAnsi" w:cs="Arial"/>
          <w:sz w:val="20"/>
          <w:szCs w:val="20"/>
        </w:rPr>
        <w:t>roup is as follows:</w:t>
      </w:r>
    </w:p>
    <w:p w14:paraId="73DC8C99" w14:textId="77777777" w:rsidR="001A5640" w:rsidRDefault="001A5640"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tbl>
      <w:tblPr>
        <w:tblW w:w="5030" w:type="pct"/>
        <w:tblLayout w:type="fixed"/>
        <w:tblLook w:val="0000" w:firstRow="0" w:lastRow="0" w:firstColumn="0" w:lastColumn="0" w:noHBand="0" w:noVBand="0"/>
      </w:tblPr>
      <w:tblGrid>
        <w:gridCol w:w="6095"/>
        <w:gridCol w:w="1135"/>
        <w:gridCol w:w="1416"/>
        <w:gridCol w:w="1135"/>
      </w:tblGrid>
      <w:tr w:rsidR="00097994" w:rsidRPr="00AD61D8" w14:paraId="5F3FFE34" w14:textId="77777777" w:rsidTr="00132A61">
        <w:tc>
          <w:tcPr>
            <w:tcW w:w="3116" w:type="pct"/>
          </w:tcPr>
          <w:p w14:paraId="3FB3C9C6" w14:textId="77777777" w:rsidR="00097994" w:rsidRPr="00B97C61" w:rsidRDefault="00097994" w:rsidP="005D59FA">
            <w:pPr>
              <w:jc w:val="both"/>
              <w:rPr>
                <w:rFonts w:asciiTheme="minorHAnsi" w:hAnsiTheme="minorHAnsi" w:cs="Arial"/>
                <w:sz w:val="20"/>
                <w:szCs w:val="20"/>
              </w:rPr>
            </w:pPr>
          </w:p>
        </w:tc>
        <w:tc>
          <w:tcPr>
            <w:tcW w:w="580" w:type="pct"/>
            <w:shd w:val="clear" w:color="auto" w:fill="F2F2F2" w:themeFill="background1" w:themeFillShade="F2"/>
          </w:tcPr>
          <w:p w14:paraId="6F50927C" w14:textId="3ABEE51F" w:rsidR="00097994" w:rsidRPr="000E0F97" w:rsidRDefault="00CD4F61" w:rsidP="005D59FA">
            <w:pPr>
              <w:jc w:val="right"/>
              <w:rPr>
                <w:rFonts w:asciiTheme="minorHAnsi" w:hAnsiTheme="minorHAnsi" w:cs="Arial"/>
                <w:b/>
                <w:sz w:val="20"/>
                <w:szCs w:val="20"/>
              </w:rPr>
            </w:pPr>
            <w:r>
              <w:rPr>
                <w:rFonts w:asciiTheme="minorHAnsi" w:hAnsiTheme="minorHAnsi" w:cs="Arial"/>
                <w:b/>
                <w:sz w:val="20"/>
                <w:szCs w:val="20"/>
              </w:rPr>
              <w:t>30 June</w:t>
            </w:r>
          </w:p>
        </w:tc>
        <w:tc>
          <w:tcPr>
            <w:tcW w:w="724" w:type="pct"/>
          </w:tcPr>
          <w:p w14:paraId="01108BEC" w14:textId="0197AE46" w:rsidR="00097994" w:rsidRPr="00B7427E" w:rsidRDefault="00CD4F61" w:rsidP="005D59FA">
            <w:pPr>
              <w:jc w:val="right"/>
              <w:rPr>
                <w:rFonts w:asciiTheme="minorHAnsi" w:hAnsiTheme="minorHAnsi" w:cs="Arial"/>
                <w:sz w:val="20"/>
                <w:szCs w:val="20"/>
              </w:rPr>
            </w:pPr>
            <w:r w:rsidRPr="00B7427E">
              <w:rPr>
                <w:rFonts w:asciiTheme="minorHAnsi" w:hAnsiTheme="minorHAnsi" w:cs="Arial"/>
                <w:sz w:val="20"/>
                <w:szCs w:val="20"/>
              </w:rPr>
              <w:t xml:space="preserve">31 </w:t>
            </w:r>
            <w:r w:rsidR="00132A61" w:rsidRPr="00B7427E">
              <w:rPr>
                <w:rFonts w:asciiTheme="minorHAnsi" w:hAnsiTheme="minorHAnsi" w:cs="Arial"/>
                <w:sz w:val="20"/>
                <w:szCs w:val="20"/>
              </w:rPr>
              <w:t>D</w:t>
            </w:r>
            <w:r w:rsidRPr="00B7427E">
              <w:rPr>
                <w:rFonts w:asciiTheme="minorHAnsi" w:hAnsiTheme="minorHAnsi" w:cs="Arial"/>
                <w:sz w:val="20"/>
                <w:szCs w:val="20"/>
              </w:rPr>
              <w:t>ecember</w:t>
            </w:r>
          </w:p>
        </w:tc>
        <w:tc>
          <w:tcPr>
            <w:tcW w:w="580" w:type="pct"/>
          </w:tcPr>
          <w:p w14:paraId="72D48D5C" w14:textId="01F6EB1A" w:rsidR="00097994" w:rsidRPr="00B7427E" w:rsidRDefault="000B00D4" w:rsidP="005D59FA">
            <w:pPr>
              <w:jc w:val="right"/>
              <w:rPr>
                <w:rFonts w:asciiTheme="minorHAnsi" w:hAnsiTheme="minorHAnsi" w:cs="Arial"/>
                <w:sz w:val="20"/>
                <w:szCs w:val="20"/>
              </w:rPr>
            </w:pPr>
            <w:r w:rsidRPr="00B7427E">
              <w:rPr>
                <w:rFonts w:asciiTheme="minorHAnsi" w:hAnsiTheme="minorHAnsi" w:cs="Arial"/>
                <w:sz w:val="20"/>
                <w:szCs w:val="20"/>
              </w:rPr>
              <w:t xml:space="preserve">30 June </w:t>
            </w:r>
          </w:p>
        </w:tc>
      </w:tr>
      <w:tr w:rsidR="00514785" w:rsidRPr="00AD61D8" w14:paraId="4784E9B7" w14:textId="77777777" w:rsidTr="00132A61">
        <w:tc>
          <w:tcPr>
            <w:tcW w:w="3116" w:type="pct"/>
          </w:tcPr>
          <w:p w14:paraId="6D7EBD23" w14:textId="77777777" w:rsidR="00514785" w:rsidRPr="00B97C61" w:rsidRDefault="00514785" w:rsidP="005D59FA">
            <w:pPr>
              <w:jc w:val="both"/>
              <w:rPr>
                <w:rFonts w:asciiTheme="minorHAnsi" w:eastAsiaTheme="minorEastAsia" w:hAnsiTheme="minorHAnsi" w:cstheme="minorBidi"/>
                <w:sz w:val="20"/>
                <w:szCs w:val="20"/>
              </w:rPr>
            </w:pPr>
          </w:p>
        </w:tc>
        <w:tc>
          <w:tcPr>
            <w:tcW w:w="580" w:type="pct"/>
            <w:shd w:val="clear" w:color="auto" w:fill="F2F2F2" w:themeFill="background1" w:themeFillShade="F2"/>
          </w:tcPr>
          <w:p w14:paraId="322AD5C9" w14:textId="640AE15B" w:rsidR="00514785" w:rsidRPr="000E0F97" w:rsidRDefault="00514785" w:rsidP="005D59FA">
            <w:pPr>
              <w:jc w:val="right"/>
              <w:rPr>
                <w:rFonts w:asciiTheme="minorHAnsi" w:eastAsiaTheme="minorEastAsia" w:hAnsiTheme="minorHAnsi" w:cstheme="minorBidi"/>
                <w:b/>
                <w:sz w:val="20"/>
                <w:szCs w:val="20"/>
              </w:rPr>
            </w:pPr>
            <w:r w:rsidRPr="44DC74BF">
              <w:rPr>
                <w:rFonts w:asciiTheme="minorHAnsi" w:eastAsiaTheme="minorEastAsia" w:hAnsiTheme="minorHAnsi" w:cstheme="minorBidi"/>
                <w:b/>
                <w:sz w:val="20"/>
                <w:szCs w:val="20"/>
              </w:rPr>
              <w:t>2024 </w:t>
            </w:r>
          </w:p>
        </w:tc>
        <w:tc>
          <w:tcPr>
            <w:tcW w:w="724" w:type="pct"/>
          </w:tcPr>
          <w:p w14:paraId="2F4996B6" w14:textId="5D78B377" w:rsidR="00514785" w:rsidRPr="00B7427E" w:rsidRDefault="001C3F0E" w:rsidP="005D59FA">
            <w:pPr>
              <w:jc w:val="right"/>
              <w:rPr>
                <w:rFonts w:asciiTheme="minorHAnsi" w:eastAsiaTheme="minorEastAsia" w:hAnsiTheme="minorHAnsi" w:cstheme="minorBidi"/>
                <w:sz w:val="20"/>
                <w:szCs w:val="20"/>
              </w:rPr>
            </w:pPr>
            <w:r w:rsidRPr="00B7427E">
              <w:rPr>
                <w:rFonts w:asciiTheme="minorHAnsi" w:eastAsiaTheme="minorEastAsia" w:hAnsiTheme="minorHAnsi" w:cstheme="minorBidi"/>
                <w:sz w:val="20"/>
                <w:szCs w:val="20"/>
              </w:rPr>
              <w:t>2023</w:t>
            </w:r>
          </w:p>
        </w:tc>
        <w:tc>
          <w:tcPr>
            <w:tcW w:w="580" w:type="pct"/>
          </w:tcPr>
          <w:p w14:paraId="3058536A" w14:textId="5C29164E" w:rsidR="00514785" w:rsidRPr="00B7427E" w:rsidRDefault="00514785" w:rsidP="005D59FA">
            <w:pPr>
              <w:jc w:val="right"/>
              <w:rPr>
                <w:rFonts w:asciiTheme="minorHAnsi" w:eastAsiaTheme="minorEastAsia" w:hAnsiTheme="minorHAnsi" w:cstheme="minorBidi"/>
                <w:sz w:val="20"/>
                <w:szCs w:val="20"/>
              </w:rPr>
            </w:pPr>
            <w:r w:rsidRPr="00B7427E">
              <w:rPr>
                <w:rFonts w:asciiTheme="minorHAnsi" w:eastAsiaTheme="minorEastAsia" w:hAnsiTheme="minorHAnsi" w:cstheme="minorBidi"/>
                <w:sz w:val="20"/>
                <w:szCs w:val="20"/>
              </w:rPr>
              <w:t>2023</w:t>
            </w:r>
          </w:p>
        </w:tc>
      </w:tr>
      <w:tr w:rsidR="00514785" w:rsidRPr="00AD61D8" w14:paraId="1E523BBA" w14:textId="77777777" w:rsidTr="00132A61">
        <w:tc>
          <w:tcPr>
            <w:tcW w:w="3116" w:type="pct"/>
          </w:tcPr>
          <w:p w14:paraId="5106F403" w14:textId="77777777" w:rsidR="00514785" w:rsidRPr="00B97C61" w:rsidRDefault="00514785" w:rsidP="005D59FA">
            <w:pPr>
              <w:pStyle w:val="Heading5"/>
              <w:overflowPunct/>
              <w:autoSpaceDE/>
              <w:adjustRightInd/>
              <w:rPr>
                <w:rFonts w:asciiTheme="minorHAnsi" w:eastAsiaTheme="minorEastAsia" w:hAnsiTheme="minorHAnsi" w:cstheme="minorBidi"/>
                <w:sz w:val="20"/>
              </w:rPr>
            </w:pPr>
          </w:p>
        </w:tc>
        <w:tc>
          <w:tcPr>
            <w:tcW w:w="580" w:type="pct"/>
            <w:tcBorders>
              <w:top w:val="nil"/>
              <w:left w:val="nil"/>
              <w:bottom w:val="single" w:sz="4" w:space="0" w:color="auto"/>
              <w:right w:val="nil"/>
            </w:tcBorders>
            <w:shd w:val="clear" w:color="auto" w:fill="F2F2F2" w:themeFill="background1" w:themeFillShade="F2"/>
          </w:tcPr>
          <w:p w14:paraId="12CBEB76" w14:textId="77777777" w:rsidR="00514785" w:rsidRPr="000E0F97" w:rsidRDefault="00514785" w:rsidP="005D59FA">
            <w:pPr>
              <w:jc w:val="right"/>
              <w:rPr>
                <w:rFonts w:asciiTheme="minorHAnsi" w:eastAsiaTheme="minorEastAsia" w:hAnsiTheme="minorHAnsi" w:cstheme="minorBidi"/>
                <w:b/>
                <w:sz w:val="20"/>
                <w:szCs w:val="20"/>
              </w:rPr>
            </w:pPr>
            <w:r w:rsidRPr="44DC74BF">
              <w:rPr>
                <w:rFonts w:asciiTheme="minorHAnsi" w:eastAsiaTheme="minorEastAsia" w:hAnsiTheme="minorHAnsi" w:cstheme="minorBidi"/>
                <w:b/>
                <w:sz w:val="20"/>
                <w:szCs w:val="20"/>
              </w:rPr>
              <w:t>£m </w:t>
            </w:r>
          </w:p>
        </w:tc>
        <w:tc>
          <w:tcPr>
            <w:tcW w:w="724" w:type="pct"/>
            <w:tcBorders>
              <w:top w:val="nil"/>
              <w:left w:val="nil"/>
              <w:bottom w:val="single" w:sz="4" w:space="0" w:color="auto"/>
              <w:right w:val="nil"/>
            </w:tcBorders>
          </w:tcPr>
          <w:p w14:paraId="1A66294E" w14:textId="181D102F" w:rsidR="00514785" w:rsidRPr="00B7427E" w:rsidRDefault="00CC2655" w:rsidP="005D59FA">
            <w:pPr>
              <w:jc w:val="right"/>
              <w:rPr>
                <w:rFonts w:asciiTheme="minorHAnsi" w:eastAsiaTheme="minorEastAsia" w:hAnsiTheme="minorHAnsi" w:cstheme="minorBidi"/>
                <w:sz w:val="20"/>
                <w:szCs w:val="20"/>
              </w:rPr>
            </w:pPr>
            <w:r w:rsidRPr="00B7427E">
              <w:rPr>
                <w:rFonts w:asciiTheme="minorHAnsi" w:eastAsiaTheme="minorEastAsia" w:hAnsiTheme="minorHAnsi" w:cstheme="minorBidi"/>
                <w:sz w:val="20"/>
                <w:szCs w:val="20"/>
              </w:rPr>
              <w:t>£m</w:t>
            </w:r>
          </w:p>
        </w:tc>
        <w:tc>
          <w:tcPr>
            <w:tcW w:w="580" w:type="pct"/>
            <w:tcBorders>
              <w:top w:val="nil"/>
              <w:left w:val="nil"/>
              <w:bottom w:val="single" w:sz="4" w:space="0" w:color="auto"/>
              <w:right w:val="nil"/>
            </w:tcBorders>
          </w:tcPr>
          <w:p w14:paraId="3414D593" w14:textId="43DD4328" w:rsidR="00514785" w:rsidRPr="00B7427E" w:rsidRDefault="00514785" w:rsidP="005D59FA">
            <w:pPr>
              <w:jc w:val="right"/>
              <w:rPr>
                <w:rFonts w:asciiTheme="minorHAnsi" w:eastAsiaTheme="minorEastAsia" w:hAnsiTheme="minorHAnsi" w:cstheme="minorBidi"/>
                <w:sz w:val="20"/>
                <w:szCs w:val="20"/>
              </w:rPr>
            </w:pPr>
            <w:r w:rsidRPr="00B7427E">
              <w:rPr>
                <w:rFonts w:asciiTheme="minorHAnsi" w:eastAsiaTheme="minorEastAsia" w:hAnsiTheme="minorHAnsi" w:cstheme="minorBidi"/>
                <w:sz w:val="20"/>
                <w:szCs w:val="20"/>
              </w:rPr>
              <w:t>£m </w:t>
            </w:r>
          </w:p>
        </w:tc>
      </w:tr>
      <w:tr w:rsidR="00514785" w:rsidRPr="00AD61D8" w14:paraId="703A2436" w14:textId="77777777" w:rsidTr="00132A61">
        <w:tc>
          <w:tcPr>
            <w:tcW w:w="3116" w:type="pct"/>
          </w:tcPr>
          <w:p w14:paraId="53CA0172" w14:textId="77777777" w:rsidR="00514785" w:rsidRPr="00B97C61" w:rsidRDefault="00514785" w:rsidP="005D59FA">
            <w:pPr>
              <w:tabs>
                <w:tab w:val="right" w:pos="4680"/>
              </w:tabs>
              <w:rPr>
                <w:rFonts w:asciiTheme="minorHAnsi" w:eastAsiaTheme="minorEastAsia" w:hAnsiTheme="minorHAnsi" w:cstheme="minorBidi"/>
                <w:sz w:val="20"/>
                <w:szCs w:val="20"/>
              </w:rPr>
            </w:pPr>
            <w:r w:rsidRPr="44DC74BF">
              <w:rPr>
                <w:rFonts w:asciiTheme="minorHAnsi" w:eastAsiaTheme="minorEastAsia" w:hAnsiTheme="minorHAnsi" w:cstheme="minorBidi"/>
                <w:sz w:val="20"/>
                <w:szCs w:val="20"/>
              </w:rPr>
              <w:t>Fair value of scheme assets</w:t>
            </w:r>
          </w:p>
        </w:tc>
        <w:tc>
          <w:tcPr>
            <w:tcW w:w="580" w:type="pct"/>
            <w:tcBorders>
              <w:top w:val="single" w:sz="4" w:space="0" w:color="auto"/>
              <w:left w:val="nil"/>
              <w:bottom w:val="nil"/>
              <w:right w:val="nil"/>
            </w:tcBorders>
            <w:shd w:val="clear" w:color="auto" w:fill="F2F2F2" w:themeFill="background1" w:themeFillShade="F2"/>
            <w:vAlign w:val="bottom"/>
          </w:tcPr>
          <w:p w14:paraId="07A65912" w14:textId="3837EB73" w:rsidR="00514785" w:rsidRPr="006D4208" w:rsidRDefault="00514785" w:rsidP="005D59FA">
            <w:pPr>
              <w:jc w:val="right"/>
              <w:rPr>
                <w:rFonts w:asciiTheme="minorHAnsi" w:eastAsiaTheme="minorEastAsia" w:hAnsiTheme="minorHAnsi" w:cstheme="minorBidi"/>
                <w:b/>
                <w:sz w:val="20"/>
                <w:szCs w:val="20"/>
              </w:rPr>
            </w:pPr>
            <w:r w:rsidRPr="44DC74BF">
              <w:rPr>
                <w:rFonts w:asciiTheme="minorHAnsi" w:eastAsiaTheme="minorEastAsia" w:hAnsiTheme="minorHAnsi" w:cstheme="minorBidi"/>
                <w:b/>
                <w:sz w:val="20"/>
                <w:szCs w:val="20"/>
              </w:rPr>
              <w:t>481</w:t>
            </w:r>
            <w:r w:rsidR="00E11D95">
              <w:rPr>
                <w:rFonts w:asciiTheme="minorHAnsi" w:eastAsiaTheme="minorEastAsia" w:hAnsiTheme="minorHAnsi" w:cstheme="minorBidi"/>
                <w:b/>
                <w:sz w:val="20"/>
                <w:szCs w:val="20"/>
              </w:rPr>
              <w:t>.0</w:t>
            </w:r>
          </w:p>
        </w:tc>
        <w:tc>
          <w:tcPr>
            <w:tcW w:w="724" w:type="pct"/>
            <w:tcBorders>
              <w:top w:val="single" w:sz="4" w:space="0" w:color="auto"/>
              <w:left w:val="nil"/>
              <w:bottom w:val="nil"/>
              <w:right w:val="nil"/>
            </w:tcBorders>
          </w:tcPr>
          <w:p w14:paraId="354C0F5E" w14:textId="49BEC076" w:rsidR="00514785" w:rsidRPr="00B7427E" w:rsidRDefault="002D3805" w:rsidP="005D59FA">
            <w:pPr>
              <w:jc w:val="right"/>
              <w:rPr>
                <w:rFonts w:asciiTheme="minorHAnsi" w:eastAsiaTheme="minorEastAsia" w:hAnsiTheme="minorHAnsi" w:cstheme="minorBidi"/>
                <w:sz w:val="20"/>
                <w:szCs w:val="20"/>
              </w:rPr>
            </w:pPr>
            <w:r w:rsidRPr="00B7427E">
              <w:rPr>
                <w:rFonts w:asciiTheme="minorHAnsi" w:eastAsiaTheme="minorEastAsia" w:hAnsiTheme="minorHAnsi" w:cstheme="minorBidi"/>
                <w:sz w:val="20"/>
                <w:szCs w:val="20"/>
              </w:rPr>
              <w:t>512.9</w:t>
            </w:r>
          </w:p>
        </w:tc>
        <w:tc>
          <w:tcPr>
            <w:tcW w:w="580" w:type="pct"/>
            <w:tcBorders>
              <w:top w:val="single" w:sz="4" w:space="0" w:color="auto"/>
              <w:left w:val="nil"/>
              <w:bottom w:val="nil"/>
              <w:right w:val="nil"/>
            </w:tcBorders>
            <w:vAlign w:val="bottom"/>
          </w:tcPr>
          <w:p w14:paraId="13B3B52C" w14:textId="23560009" w:rsidR="00514785" w:rsidRPr="00B7427E" w:rsidRDefault="00514785" w:rsidP="005D59FA">
            <w:pPr>
              <w:jc w:val="right"/>
              <w:rPr>
                <w:rFonts w:asciiTheme="minorHAnsi" w:eastAsiaTheme="minorEastAsia" w:hAnsiTheme="minorHAnsi" w:cstheme="minorBidi"/>
                <w:sz w:val="20"/>
                <w:szCs w:val="20"/>
              </w:rPr>
            </w:pPr>
            <w:r w:rsidRPr="00B7427E">
              <w:rPr>
                <w:rFonts w:asciiTheme="minorHAnsi" w:eastAsiaTheme="minorEastAsia" w:hAnsiTheme="minorHAnsi" w:cstheme="minorBidi"/>
                <w:sz w:val="20"/>
                <w:szCs w:val="20"/>
              </w:rPr>
              <w:t>490.4</w:t>
            </w:r>
          </w:p>
        </w:tc>
      </w:tr>
      <w:tr w:rsidR="00514785" w:rsidRPr="00AD61D8" w14:paraId="17ED1A70" w14:textId="77777777" w:rsidTr="00132A61">
        <w:trPr>
          <w:trHeight w:val="260"/>
        </w:trPr>
        <w:tc>
          <w:tcPr>
            <w:tcW w:w="3116" w:type="pct"/>
          </w:tcPr>
          <w:p w14:paraId="018C138C" w14:textId="77777777" w:rsidR="00514785" w:rsidRPr="00B97C61" w:rsidRDefault="00514785" w:rsidP="005D59FA">
            <w:pPr>
              <w:tabs>
                <w:tab w:val="right" w:pos="4680"/>
              </w:tabs>
              <w:rPr>
                <w:rFonts w:asciiTheme="minorHAnsi" w:eastAsiaTheme="minorEastAsia" w:hAnsiTheme="minorHAnsi" w:cstheme="minorBidi"/>
                <w:sz w:val="20"/>
                <w:szCs w:val="20"/>
              </w:rPr>
            </w:pPr>
            <w:r w:rsidRPr="44DC74BF">
              <w:rPr>
                <w:rFonts w:asciiTheme="minorHAnsi" w:eastAsiaTheme="minorEastAsia" w:hAnsiTheme="minorHAnsi" w:cstheme="minorBidi"/>
                <w:sz w:val="20"/>
                <w:szCs w:val="20"/>
              </w:rPr>
              <w:t>Present value of defined benefit obligation</w:t>
            </w:r>
          </w:p>
        </w:tc>
        <w:tc>
          <w:tcPr>
            <w:tcW w:w="580" w:type="pct"/>
            <w:tcBorders>
              <w:top w:val="nil"/>
              <w:left w:val="nil"/>
              <w:bottom w:val="single" w:sz="4" w:space="0" w:color="auto"/>
              <w:right w:val="nil"/>
            </w:tcBorders>
            <w:shd w:val="clear" w:color="auto" w:fill="F2F2F2" w:themeFill="background1" w:themeFillShade="F2"/>
          </w:tcPr>
          <w:p w14:paraId="75D692EF" w14:textId="715C5788" w:rsidR="00514785" w:rsidRPr="006D4208" w:rsidRDefault="00514785" w:rsidP="005D59FA">
            <w:pPr>
              <w:jc w:val="right"/>
              <w:rPr>
                <w:rFonts w:asciiTheme="minorHAnsi" w:eastAsiaTheme="minorEastAsia" w:hAnsiTheme="minorHAnsi" w:cstheme="minorBidi"/>
                <w:b/>
                <w:sz w:val="20"/>
                <w:szCs w:val="20"/>
              </w:rPr>
            </w:pPr>
            <w:r w:rsidRPr="44DC74BF">
              <w:rPr>
                <w:rFonts w:asciiTheme="minorHAnsi" w:eastAsiaTheme="minorEastAsia" w:hAnsiTheme="minorHAnsi" w:cstheme="minorBidi"/>
                <w:b/>
                <w:sz w:val="20"/>
                <w:szCs w:val="20"/>
              </w:rPr>
              <w:t>(446.6)</w:t>
            </w:r>
          </w:p>
        </w:tc>
        <w:tc>
          <w:tcPr>
            <w:tcW w:w="724" w:type="pct"/>
            <w:tcBorders>
              <w:top w:val="nil"/>
              <w:left w:val="nil"/>
              <w:bottom w:val="single" w:sz="4" w:space="0" w:color="auto"/>
              <w:right w:val="nil"/>
            </w:tcBorders>
          </w:tcPr>
          <w:p w14:paraId="03E9018D" w14:textId="1C62CE2F" w:rsidR="00514785" w:rsidRPr="00B7427E" w:rsidRDefault="00AE2499" w:rsidP="005D59FA">
            <w:pPr>
              <w:jc w:val="right"/>
              <w:rPr>
                <w:rFonts w:asciiTheme="minorHAnsi" w:eastAsiaTheme="minorEastAsia" w:hAnsiTheme="minorHAnsi" w:cstheme="minorBidi"/>
                <w:sz w:val="20"/>
                <w:szCs w:val="20"/>
              </w:rPr>
            </w:pPr>
            <w:r w:rsidRPr="00B7427E">
              <w:rPr>
                <w:rFonts w:asciiTheme="minorHAnsi" w:eastAsiaTheme="minorEastAsia" w:hAnsiTheme="minorHAnsi" w:cstheme="minorBidi"/>
                <w:sz w:val="20"/>
                <w:szCs w:val="20"/>
              </w:rPr>
              <w:t>(474.7)</w:t>
            </w:r>
          </w:p>
        </w:tc>
        <w:tc>
          <w:tcPr>
            <w:tcW w:w="580" w:type="pct"/>
            <w:tcBorders>
              <w:top w:val="nil"/>
              <w:left w:val="nil"/>
              <w:bottom w:val="single" w:sz="4" w:space="0" w:color="auto"/>
              <w:right w:val="nil"/>
            </w:tcBorders>
            <w:vAlign w:val="bottom"/>
          </w:tcPr>
          <w:p w14:paraId="43CFDA0E" w14:textId="337AAA6E" w:rsidR="00514785" w:rsidRPr="00B7427E" w:rsidRDefault="00514785" w:rsidP="005D59FA">
            <w:pPr>
              <w:jc w:val="right"/>
              <w:rPr>
                <w:rFonts w:asciiTheme="minorHAnsi" w:eastAsiaTheme="minorEastAsia" w:hAnsiTheme="minorHAnsi" w:cstheme="minorBidi"/>
                <w:sz w:val="20"/>
                <w:szCs w:val="20"/>
              </w:rPr>
            </w:pPr>
            <w:r w:rsidRPr="00B7427E">
              <w:rPr>
                <w:rFonts w:asciiTheme="minorHAnsi" w:eastAsiaTheme="minorEastAsia" w:hAnsiTheme="minorHAnsi" w:cstheme="minorBidi"/>
                <w:sz w:val="20"/>
                <w:szCs w:val="20"/>
              </w:rPr>
              <w:t>(453.6)</w:t>
            </w:r>
          </w:p>
        </w:tc>
      </w:tr>
      <w:tr w:rsidR="00514785" w:rsidRPr="00AD61D8" w14:paraId="3EF7E766" w14:textId="77777777" w:rsidTr="00132A61">
        <w:tc>
          <w:tcPr>
            <w:tcW w:w="3116" w:type="pct"/>
          </w:tcPr>
          <w:p w14:paraId="7E1BFBDF" w14:textId="5B88117C" w:rsidR="00514785" w:rsidRPr="00B97C61" w:rsidRDefault="00514785" w:rsidP="005D59FA">
            <w:pPr>
              <w:pStyle w:val="Heading5"/>
              <w:tabs>
                <w:tab w:val="clear" w:pos="720"/>
                <w:tab w:val="right" w:pos="4680"/>
              </w:tabs>
              <w:jc w:val="left"/>
              <w:rPr>
                <w:rFonts w:asciiTheme="minorHAnsi" w:eastAsiaTheme="minorEastAsia" w:hAnsiTheme="minorHAnsi" w:cstheme="minorBidi"/>
                <w:sz w:val="20"/>
              </w:rPr>
            </w:pPr>
            <w:r w:rsidRPr="49B2F372">
              <w:rPr>
                <w:rFonts w:asciiTheme="minorHAnsi" w:eastAsiaTheme="minorEastAsia" w:hAnsiTheme="minorHAnsi" w:cstheme="minorBidi"/>
                <w:sz w:val="20"/>
              </w:rPr>
              <w:t>Net</w:t>
            </w:r>
            <w:r w:rsidRPr="44DC74BF">
              <w:rPr>
                <w:rFonts w:asciiTheme="minorHAnsi" w:eastAsiaTheme="minorEastAsia" w:hAnsiTheme="minorHAnsi" w:cstheme="minorBidi"/>
                <w:sz w:val="20"/>
              </w:rPr>
              <w:t xml:space="preserve"> retirement benefit asset recognised in the balance sheet</w:t>
            </w:r>
          </w:p>
        </w:tc>
        <w:tc>
          <w:tcPr>
            <w:tcW w:w="580" w:type="pct"/>
            <w:tcBorders>
              <w:top w:val="single" w:sz="4" w:space="0" w:color="auto"/>
              <w:left w:val="nil"/>
              <w:bottom w:val="single" w:sz="18" w:space="0" w:color="auto"/>
              <w:right w:val="nil"/>
            </w:tcBorders>
            <w:shd w:val="clear" w:color="auto" w:fill="F2F2F2" w:themeFill="background1" w:themeFillShade="F2"/>
          </w:tcPr>
          <w:p w14:paraId="129A9B44" w14:textId="5CC4C80F" w:rsidR="00514785" w:rsidRPr="006D4208" w:rsidRDefault="00514785" w:rsidP="005D59FA">
            <w:pPr>
              <w:jc w:val="right"/>
              <w:rPr>
                <w:rFonts w:asciiTheme="minorHAnsi" w:eastAsiaTheme="minorEastAsia" w:hAnsiTheme="minorHAnsi" w:cstheme="minorBidi"/>
                <w:b/>
                <w:sz w:val="20"/>
                <w:szCs w:val="20"/>
              </w:rPr>
            </w:pPr>
            <w:r w:rsidRPr="44DC74BF">
              <w:rPr>
                <w:rFonts w:asciiTheme="minorHAnsi" w:eastAsiaTheme="minorEastAsia" w:hAnsiTheme="minorHAnsi" w:cstheme="minorBidi"/>
                <w:b/>
                <w:sz w:val="20"/>
                <w:szCs w:val="20"/>
              </w:rPr>
              <w:t>34.4</w:t>
            </w:r>
          </w:p>
        </w:tc>
        <w:tc>
          <w:tcPr>
            <w:tcW w:w="724" w:type="pct"/>
            <w:tcBorders>
              <w:top w:val="single" w:sz="4" w:space="0" w:color="auto"/>
              <w:left w:val="nil"/>
              <w:bottom w:val="single" w:sz="18" w:space="0" w:color="auto"/>
              <w:right w:val="nil"/>
            </w:tcBorders>
          </w:tcPr>
          <w:p w14:paraId="01BA5B79" w14:textId="36FF970C" w:rsidR="00514785" w:rsidRPr="00B7427E" w:rsidRDefault="00AE2499" w:rsidP="005D59FA">
            <w:pPr>
              <w:jc w:val="right"/>
              <w:rPr>
                <w:rFonts w:asciiTheme="minorHAnsi" w:eastAsiaTheme="minorEastAsia" w:hAnsiTheme="minorHAnsi" w:cstheme="minorBidi"/>
                <w:sz w:val="20"/>
                <w:szCs w:val="20"/>
              </w:rPr>
            </w:pPr>
            <w:r w:rsidRPr="00B7427E">
              <w:rPr>
                <w:rFonts w:asciiTheme="minorHAnsi" w:eastAsiaTheme="minorEastAsia" w:hAnsiTheme="minorHAnsi" w:cstheme="minorBidi"/>
                <w:sz w:val="20"/>
                <w:szCs w:val="20"/>
              </w:rPr>
              <w:t>38.2</w:t>
            </w:r>
          </w:p>
        </w:tc>
        <w:tc>
          <w:tcPr>
            <w:tcW w:w="580" w:type="pct"/>
            <w:tcBorders>
              <w:top w:val="single" w:sz="4" w:space="0" w:color="auto"/>
              <w:left w:val="nil"/>
              <w:bottom w:val="single" w:sz="18" w:space="0" w:color="auto"/>
              <w:right w:val="nil"/>
            </w:tcBorders>
            <w:vAlign w:val="bottom"/>
          </w:tcPr>
          <w:p w14:paraId="50433FEA" w14:textId="6AC0CE61" w:rsidR="00514785" w:rsidRPr="00B7427E" w:rsidRDefault="00514785" w:rsidP="005D59FA">
            <w:pPr>
              <w:jc w:val="right"/>
              <w:rPr>
                <w:rFonts w:asciiTheme="minorHAnsi" w:eastAsiaTheme="minorEastAsia" w:hAnsiTheme="minorHAnsi" w:cstheme="minorBidi"/>
                <w:sz w:val="20"/>
                <w:szCs w:val="20"/>
              </w:rPr>
            </w:pPr>
            <w:r w:rsidRPr="00B7427E">
              <w:rPr>
                <w:rFonts w:asciiTheme="minorHAnsi" w:eastAsiaTheme="minorEastAsia" w:hAnsiTheme="minorHAnsi" w:cstheme="minorBidi"/>
                <w:sz w:val="20"/>
                <w:szCs w:val="20"/>
              </w:rPr>
              <w:t>36.8</w:t>
            </w:r>
          </w:p>
        </w:tc>
      </w:tr>
    </w:tbl>
    <w:p w14:paraId="08BB9A80" w14:textId="77777777" w:rsidR="001A5640" w:rsidRPr="00306AF1" w:rsidRDefault="001A5640"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EastAsia" w:hAnsiTheme="minorHAnsi" w:cstheme="minorBidi"/>
          <w:sz w:val="20"/>
          <w:szCs w:val="20"/>
        </w:rPr>
      </w:pPr>
    </w:p>
    <w:p w14:paraId="3E1B6D05" w14:textId="77777777" w:rsidR="00692E17" w:rsidRPr="00306AF1" w:rsidRDefault="00692E17" w:rsidP="00A3021A">
      <w:pPr>
        <w:rPr>
          <w:rFonts w:asciiTheme="minorHAnsi" w:eastAsiaTheme="minorEastAsia" w:hAnsiTheme="minorHAnsi" w:cstheme="minorBidi"/>
          <w:sz w:val="20"/>
          <w:szCs w:val="20"/>
        </w:rPr>
      </w:pPr>
    </w:p>
    <w:p w14:paraId="5D2FC781" w14:textId="77777777" w:rsidR="0002311A" w:rsidRDefault="0002311A" w:rsidP="00A3021A">
      <w:pPr>
        <w:rPr>
          <w:rFonts w:asciiTheme="minorHAnsi" w:hAnsiTheme="minorHAnsi" w:cs="Arial"/>
          <w:sz w:val="20"/>
          <w:szCs w:val="20"/>
        </w:rPr>
      </w:pPr>
    </w:p>
    <w:p w14:paraId="1528D68D" w14:textId="1788263E" w:rsidR="00A3021A" w:rsidRDefault="00A3021A" w:rsidP="00A3021A">
      <w:pPr>
        <w:rPr>
          <w:rFonts w:asciiTheme="minorHAnsi" w:hAnsiTheme="minorHAnsi" w:cs="Arial"/>
          <w:sz w:val="20"/>
          <w:szCs w:val="20"/>
        </w:rPr>
      </w:pPr>
      <w:r w:rsidRPr="00306AF1">
        <w:rPr>
          <w:rFonts w:asciiTheme="minorHAnsi" w:hAnsiTheme="minorHAnsi" w:cs="Arial"/>
          <w:sz w:val="20"/>
          <w:szCs w:val="20"/>
        </w:rPr>
        <w:t>The amounts recognised in the income statement were as follows:</w:t>
      </w:r>
    </w:p>
    <w:p w14:paraId="2576E770" w14:textId="48A1A135" w:rsidR="0002311A" w:rsidRDefault="00EB3995" w:rsidP="00A3021A">
      <w:pPr>
        <w:rPr>
          <w:rFonts w:asciiTheme="minorHAnsi" w:hAnsiTheme="minorHAnsi" w:cs="Arial"/>
          <w:sz w:val="20"/>
          <w:szCs w:val="20"/>
        </w:rPr>
      </w:pP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sidRPr="000E61EF">
        <w:rPr>
          <w:rFonts w:asciiTheme="minorHAnsi" w:hAnsiTheme="minorHAnsi" w:cs="Arial"/>
          <w:sz w:val="20"/>
          <w:szCs w:val="20"/>
        </w:rPr>
        <w:t>Six months ended 30 June</w:t>
      </w:r>
    </w:p>
    <w:tbl>
      <w:tblPr>
        <w:tblW w:w="4968" w:type="pct"/>
        <w:tblLook w:val="0000" w:firstRow="0" w:lastRow="0" w:firstColumn="0" w:lastColumn="0" w:noHBand="0" w:noVBand="0"/>
      </w:tblPr>
      <w:tblGrid>
        <w:gridCol w:w="7393"/>
        <w:gridCol w:w="1134"/>
        <w:gridCol w:w="1134"/>
      </w:tblGrid>
      <w:tr w:rsidR="00DA5274" w:rsidRPr="00B97C61" w14:paraId="5FE5AD10" w14:textId="77777777" w:rsidTr="005D59FA">
        <w:tc>
          <w:tcPr>
            <w:tcW w:w="3826" w:type="pct"/>
          </w:tcPr>
          <w:p w14:paraId="4AAB806A" w14:textId="77777777" w:rsidR="00DA5274" w:rsidRPr="00B97C61" w:rsidRDefault="00DA5274" w:rsidP="005D59FA">
            <w:pPr>
              <w:jc w:val="both"/>
              <w:rPr>
                <w:rFonts w:asciiTheme="minorHAnsi" w:hAnsiTheme="minorHAnsi" w:cs="Arial"/>
                <w:sz w:val="20"/>
                <w:szCs w:val="20"/>
              </w:rPr>
            </w:pPr>
          </w:p>
        </w:tc>
        <w:tc>
          <w:tcPr>
            <w:tcW w:w="587" w:type="pct"/>
            <w:shd w:val="clear" w:color="auto" w:fill="F2F2F2" w:themeFill="background1" w:themeFillShade="F2"/>
          </w:tcPr>
          <w:p w14:paraId="306A3B73" w14:textId="019A081C" w:rsidR="00DA5274" w:rsidRPr="000E0F97" w:rsidRDefault="00DA5274" w:rsidP="005D59FA">
            <w:pPr>
              <w:jc w:val="right"/>
              <w:rPr>
                <w:rFonts w:asciiTheme="minorHAnsi" w:hAnsiTheme="minorHAnsi" w:cs="Arial"/>
                <w:b/>
                <w:sz w:val="20"/>
                <w:szCs w:val="20"/>
              </w:rPr>
            </w:pPr>
            <w:r w:rsidRPr="000E0F97">
              <w:rPr>
                <w:rFonts w:asciiTheme="minorHAnsi" w:hAnsiTheme="minorHAnsi" w:cs="Arial"/>
                <w:b/>
                <w:sz w:val="20"/>
                <w:szCs w:val="20"/>
              </w:rPr>
              <w:t>202</w:t>
            </w:r>
            <w:r>
              <w:rPr>
                <w:rFonts w:asciiTheme="minorHAnsi" w:hAnsiTheme="minorHAnsi" w:cs="Arial"/>
                <w:b/>
                <w:sz w:val="20"/>
                <w:szCs w:val="20"/>
              </w:rPr>
              <w:t>4</w:t>
            </w:r>
            <w:r w:rsidRPr="000E0F97">
              <w:rPr>
                <w:rFonts w:asciiTheme="minorHAnsi" w:hAnsiTheme="minorHAnsi" w:cs="Arial"/>
                <w:b/>
                <w:sz w:val="20"/>
                <w:szCs w:val="20"/>
              </w:rPr>
              <w:t> </w:t>
            </w:r>
          </w:p>
        </w:tc>
        <w:tc>
          <w:tcPr>
            <w:tcW w:w="587" w:type="pct"/>
          </w:tcPr>
          <w:p w14:paraId="7677758E" w14:textId="6119EDC4" w:rsidR="00DA5274" w:rsidRPr="00B97C61" w:rsidRDefault="00DA5274" w:rsidP="005D59FA">
            <w:pPr>
              <w:jc w:val="right"/>
              <w:rPr>
                <w:rFonts w:asciiTheme="minorHAnsi" w:hAnsiTheme="minorHAnsi" w:cs="Arial"/>
                <w:sz w:val="20"/>
                <w:szCs w:val="20"/>
              </w:rPr>
            </w:pPr>
            <w:r w:rsidRPr="00B97C61">
              <w:rPr>
                <w:rFonts w:asciiTheme="minorHAnsi" w:hAnsiTheme="minorHAnsi" w:cs="Arial"/>
                <w:sz w:val="20"/>
                <w:szCs w:val="20"/>
              </w:rPr>
              <w:t>202</w:t>
            </w:r>
            <w:r>
              <w:rPr>
                <w:rFonts w:asciiTheme="minorHAnsi" w:hAnsiTheme="minorHAnsi" w:cs="Arial"/>
                <w:sz w:val="20"/>
                <w:szCs w:val="20"/>
              </w:rPr>
              <w:t>3</w:t>
            </w:r>
          </w:p>
        </w:tc>
      </w:tr>
      <w:tr w:rsidR="00DA5274" w:rsidRPr="00B97C61" w14:paraId="3BCB8B49" w14:textId="77777777" w:rsidTr="005D59FA">
        <w:tc>
          <w:tcPr>
            <w:tcW w:w="3826" w:type="pct"/>
          </w:tcPr>
          <w:p w14:paraId="092D2EFC" w14:textId="77777777" w:rsidR="00DA5274" w:rsidRPr="00B97C61" w:rsidRDefault="00DA5274" w:rsidP="005D59FA">
            <w:pPr>
              <w:pStyle w:val="Heading5"/>
              <w:overflowPunct/>
              <w:autoSpaceDE/>
              <w:adjustRightInd/>
              <w:rPr>
                <w:rFonts w:asciiTheme="minorHAnsi" w:hAnsiTheme="minorHAnsi" w:cs="Arial"/>
                <w:bCs/>
                <w:sz w:val="20"/>
              </w:rPr>
            </w:pPr>
          </w:p>
        </w:tc>
        <w:tc>
          <w:tcPr>
            <w:tcW w:w="587" w:type="pct"/>
            <w:tcBorders>
              <w:top w:val="nil"/>
              <w:left w:val="nil"/>
              <w:bottom w:val="single" w:sz="4" w:space="0" w:color="auto"/>
              <w:right w:val="nil"/>
            </w:tcBorders>
            <w:shd w:val="clear" w:color="auto" w:fill="F2F2F2" w:themeFill="background1" w:themeFillShade="F2"/>
          </w:tcPr>
          <w:p w14:paraId="257029CD" w14:textId="77777777" w:rsidR="00DA5274" w:rsidRPr="000E0F97" w:rsidRDefault="00DA5274" w:rsidP="005D59FA">
            <w:pPr>
              <w:jc w:val="right"/>
              <w:rPr>
                <w:rFonts w:asciiTheme="minorHAnsi" w:hAnsiTheme="minorHAnsi" w:cs="Arial"/>
                <w:b/>
                <w:sz w:val="20"/>
                <w:szCs w:val="20"/>
              </w:rPr>
            </w:pPr>
            <w:r w:rsidRPr="000E0F97">
              <w:rPr>
                <w:rFonts w:asciiTheme="minorHAnsi" w:hAnsiTheme="minorHAnsi" w:cs="Arial"/>
                <w:b/>
                <w:sz w:val="20"/>
                <w:szCs w:val="20"/>
              </w:rPr>
              <w:t>£m </w:t>
            </w:r>
          </w:p>
        </w:tc>
        <w:tc>
          <w:tcPr>
            <w:tcW w:w="587" w:type="pct"/>
            <w:tcBorders>
              <w:top w:val="nil"/>
              <w:left w:val="nil"/>
              <w:bottom w:val="single" w:sz="4" w:space="0" w:color="auto"/>
              <w:right w:val="nil"/>
            </w:tcBorders>
          </w:tcPr>
          <w:p w14:paraId="5B007669" w14:textId="77777777" w:rsidR="00DA5274" w:rsidRPr="00B97C61" w:rsidRDefault="00DA5274" w:rsidP="005D59FA">
            <w:pPr>
              <w:jc w:val="right"/>
              <w:rPr>
                <w:rFonts w:asciiTheme="minorHAnsi" w:hAnsiTheme="minorHAnsi" w:cs="Arial"/>
                <w:sz w:val="20"/>
                <w:szCs w:val="20"/>
              </w:rPr>
            </w:pPr>
            <w:r w:rsidRPr="00B97C61">
              <w:rPr>
                <w:rFonts w:asciiTheme="minorHAnsi" w:hAnsiTheme="minorHAnsi" w:cs="Arial"/>
                <w:sz w:val="20"/>
                <w:szCs w:val="20"/>
              </w:rPr>
              <w:t>£m </w:t>
            </w:r>
          </w:p>
        </w:tc>
      </w:tr>
      <w:tr w:rsidR="00DA5274" w:rsidRPr="00B97C61" w14:paraId="77FE0730" w14:textId="77777777" w:rsidTr="005D59FA">
        <w:tc>
          <w:tcPr>
            <w:tcW w:w="3826" w:type="pct"/>
            <w:vAlign w:val="bottom"/>
          </w:tcPr>
          <w:p w14:paraId="0AAB5400" w14:textId="77777777" w:rsidR="00DA5274" w:rsidRPr="00B97C61" w:rsidRDefault="00DA5274" w:rsidP="005D59FA">
            <w:pPr>
              <w:tabs>
                <w:tab w:val="right" w:pos="4680"/>
              </w:tabs>
              <w:rPr>
                <w:rFonts w:asciiTheme="minorHAnsi" w:hAnsiTheme="minorHAnsi" w:cs="Arial"/>
                <w:sz w:val="20"/>
                <w:szCs w:val="20"/>
              </w:rPr>
            </w:pPr>
            <w:r w:rsidRPr="00B97C61">
              <w:rPr>
                <w:rFonts w:asciiTheme="minorHAnsi" w:hAnsiTheme="minorHAnsi" w:cs="Arial"/>
                <w:sz w:val="20"/>
                <w:szCs w:val="20"/>
              </w:rPr>
              <w:t>Administration costs and taxes</w:t>
            </w:r>
          </w:p>
        </w:tc>
        <w:tc>
          <w:tcPr>
            <w:tcW w:w="587" w:type="pct"/>
            <w:tcBorders>
              <w:top w:val="single" w:sz="4" w:space="0" w:color="auto"/>
              <w:left w:val="nil"/>
              <w:bottom w:val="nil"/>
              <w:right w:val="nil"/>
            </w:tcBorders>
            <w:shd w:val="clear" w:color="auto" w:fill="F2F2F2" w:themeFill="background1" w:themeFillShade="F2"/>
            <w:vAlign w:val="bottom"/>
          </w:tcPr>
          <w:p w14:paraId="69C24DBA" w14:textId="3F1F420D" w:rsidR="00DA5274" w:rsidRPr="006D4208" w:rsidRDefault="00DA5274" w:rsidP="005D59FA">
            <w:pPr>
              <w:jc w:val="right"/>
              <w:rPr>
                <w:rFonts w:asciiTheme="minorHAnsi" w:hAnsiTheme="minorHAnsi" w:cs="Arial"/>
                <w:b/>
                <w:sz w:val="20"/>
                <w:szCs w:val="20"/>
              </w:rPr>
            </w:pPr>
            <w:r w:rsidRPr="006D4208">
              <w:rPr>
                <w:rFonts w:asciiTheme="minorHAnsi" w:hAnsiTheme="minorHAnsi" w:cs="Arial"/>
                <w:b/>
                <w:sz w:val="20"/>
                <w:szCs w:val="20"/>
              </w:rPr>
              <w:t>(</w:t>
            </w:r>
            <w:r w:rsidR="00902FC5" w:rsidRPr="006D4208">
              <w:rPr>
                <w:rFonts w:asciiTheme="minorHAnsi" w:hAnsiTheme="minorHAnsi" w:cs="Arial"/>
                <w:b/>
                <w:sz w:val="20"/>
                <w:szCs w:val="20"/>
              </w:rPr>
              <w:t>0.5</w:t>
            </w:r>
            <w:r w:rsidRPr="006D4208">
              <w:rPr>
                <w:rFonts w:asciiTheme="minorHAnsi" w:hAnsiTheme="minorHAnsi" w:cs="Arial"/>
                <w:b/>
                <w:sz w:val="20"/>
                <w:szCs w:val="20"/>
              </w:rPr>
              <w:t>)</w:t>
            </w:r>
          </w:p>
        </w:tc>
        <w:tc>
          <w:tcPr>
            <w:tcW w:w="587" w:type="pct"/>
            <w:tcBorders>
              <w:top w:val="single" w:sz="4" w:space="0" w:color="auto"/>
              <w:left w:val="nil"/>
              <w:bottom w:val="nil"/>
              <w:right w:val="nil"/>
            </w:tcBorders>
            <w:vAlign w:val="bottom"/>
          </w:tcPr>
          <w:p w14:paraId="5E2CCE95" w14:textId="2C910376" w:rsidR="00DA5274" w:rsidRPr="006D4208" w:rsidRDefault="00DA5274" w:rsidP="005D59FA">
            <w:pPr>
              <w:jc w:val="right"/>
              <w:rPr>
                <w:rFonts w:asciiTheme="minorHAnsi" w:hAnsiTheme="minorHAnsi" w:cs="Arial"/>
                <w:sz w:val="20"/>
                <w:szCs w:val="20"/>
              </w:rPr>
            </w:pPr>
            <w:r w:rsidRPr="006D4208">
              <w:rPr>
                <w:rFonts w:asciiTheme="minorHAnsi" w:hAnsiTheme="minorHAnsi" w:cs="Arial"/>
                <w:sz w:val="20"/>
                <w:szCs w:val="20"/>
              </w:rPr>
              <w:t>(</w:t>
            </w:r>
            <w:r w:rsidR="0043284D" w:rsidRPr="006D4208">
              <w:rPr>
                <w:rFonts w:asciiTheme="minorHAnsi" w:hAnsiTheme="minorHAnsi" w:cs="Arial"/>
                <w:sz w:val="20"/>
                <w:szCs w:val="20"/>
              </w:rPr>
              <w:t>0.5</w:t>
            </w:r>
            <w:r w:rsidRPr="006D4208">
              <w:rPr>
                <w:rFonts w:asciiTheme="minorHAnsi" w:hAnsiTheme="minorHAnsi" w:cs="Arial"/>
                <w:sz w:val="20"/>
                <w:szCs w:val="20"/>
              </w:rPr>
              <w:t>)</w:t>
            </w:r>
          </w:p>
        </w:tc>
      </w:tr>
      <w:tr w:rsidR="00DA5274" w:rsidRPr="00B97C61" w14:paraId="1098EAED" w14:textId="77777777" w:rsidTr="005D59FA">
        <w:tc>
          <w:tcPr>
            <w:tcW w:w="3826" w:type="pct"/>
            <w:vAlign w:val="bottom"/>
          </w:tcPr>
          <w:p w14:paraId="6766AD34" w14:textId="77777777" w:rsidR="00DA5274" w:rsidRPr="00B97C61" w:rsidRDefault="00DA5274" w:rsidP="005D59FA">
            <w:pPr>
              <w:tabs>
                <w:tab w:val="right" w:pos="4680"/>
              </w:tabs>
              <w:rPr>
                <w:rFonts w:asciiTheme="minorHAnsi" w:hAnsiTheme="minorHAnsi" w:cs="Arial"/>
                <w:sz w:val="20"/>
                <w:szCs w:val="20"/>
              </w:rPr>
            </w:pPr>
            <w:r w:rsidRPr="00B97C61">
              <w:rPr>
                <w:rFonts w:asciiTheme="minorHAnsi" w:hAnsiTheme="minorHAnsi" w:cs="Arial"/>
                <w:sz w:val="20"/>
                <w:szCs w:val="20"/>
              </w:rPr>
              <w:t>Interest on scheme liabilities</w:t>
            </w:r>
          </w:p>
        </w:tc>
        <w:tc>
          <w:tcPr>
            <w:tcW w:w="587" w:type="pct"/>
            <w:shd w:val="clear" w:color="auto" w:fill="F2F2F2" w:themeFill="background1" w:themeFillShade="F2"/>
            <w:vAlign w:val="bottom"/>
          </w:tcPr>
          <w:p w14:paraId="690F8BF7" w14:textId="72E773E5" w:rsidR="00DA5274" w:rsidRPr="006D4208" w:rsidRDefault="00DA5274" w:rsidP="005D59FA">
            <w:pPr>
              <w:jc w:val="right"/>
              <w:rPr>
                <w:rFonts w:asciiTheme="minorHAnsi" w:hAnsiTheme="minorHAnsi" w:cs="Arial"/>
                <w:b/>
                <w:sz w:val="20"/>
                <w:szCs w:val="20"/>
              </w:rPr>
            </w:pPr>
            <w:r w:rsidRPr="006D4208">
              <w:rPr>
                <w:rFonts w:asciiTheme="minorHAnsi" w:hAnsiTheme="minorHAnsi" w:cs="Arial"/>
                <w:b/>
                <w:sz w:val="20"/>
                <w:szCs w:val="20"/>
              </w:rPr>
              <w:t>(</w:t>
            </w:r>
            <w:r w:rsidR="009205BA" w:rsidRPr="006D4208">
              <w:rPr>
                <w:rFonts w:asciiTheme="minorHAnsi" w:hAnsiTheme="minorHAnsi" w:cs="Arial"/>
                <w:b/>
                <w:sz w:val="20"/>
                <w:szCs w:val="20"/>
              </w:rPr>
              <w:t>10.9</w:t>
            </w:r>
            <w:r w:rsidRPr="006D4208">
              <w:rPr>
                <w:rFonts w:asciiTheme="minorHAnsi" w:hAnsiTheme="minorHAnsi" w:cs="Arial"/>
                <w:b/>
                <w:sz w:val="20"/>
                <w:szCs w:val="20"/>
              </w:rPr>
              <w:t>)</w:t>
            </w:r>
          </w:p>
        </w:tc>
        <w:tc>
          <w:tcPr>
            <w:tcW w:w="587" w:type="pct"/>
            <w:vAlign w:val="bottom"/>
          </w:tcPr>
          <w:p w14:paraId="14796809" w14:textId="64E059E0" w:rsidR="00DA5274" w:rsidRPr="006D4208" w:rsidRDefault="00DA5274" w:rsidP="005D59FA">
            <w:pPr>
              <w:jc w:val="right"/>
              <w:rPr>
                <w:rFonts w:asciiTheme="minorHAnsi" w:hAnsiTheme="minorHAnsi" w:cs="Arial"/>
                <w:sz w:val="20"/>
                <w:szCs w:val="20"/>
              </w:rPr>
            </w:pPr>
            <w:r w:rsidRPr="006D4208">
              <w:rPr>
                <w:rFonts w:asciiTheme="minorHAnsi" w:hAnsiTheme="minorHAnsi" w:cs="Arial"/>
                <w:sz w:val="20"/>
                <w:szCs w:val="20"/>
              </w:rPr>
              <w:t>(1</w:t>
            </w:r>
            <w:r w:rsidR="0043284D" w:rsidRPr="006D4208">
              <w:rPr>
                <w:rFonts w:asciiTheme="minorHAnsi" w:hAnsiTheme="minorHAnsi" w:cs="Arial"/>
                <w:sz w:val="20"/>
                <w:szCs w:val="20"/>
              </w:rPr>
              <w:t>1.5</w:t>
            </w:r>
            <w:r w:rsidRPr="006D4208">
              <w:rPr>
                <w:rFonts w:asciiTheme="minorHAnsi" w:hAnsiTheme="minorHAnsi" w:cs="Arial"/>
                <w:sz w:val="20"/>
                <w:szCs w:val="20"/>
              </w:rPr>
              <w:t>)</w:t>
            </w:r>
          </w:p>
        </w:tc>
      </w:tr>
      <w:tr w:rsidR="00DA5274" w:rsidRPr="00B97C61" w14:paraId="340BDCDB" w14:textId="77777777" w:rsidTr="005D59FA">
        <w:tc>
          <w:tcPr>
            <w:tcW w:w="3826" w:type="pct"/>
            <w:vAlign w:val="bottom"/>
          </w:tcPr>
          <w:p w14:paraId="55794EC7" w14:textId="77777777" w:rsidR="00DA5274" w:rsidRPr="00B97C61" w:rsidRDefault="00DA5274" w:rsidP="005D59FA">
            <w:pPr>
              <w:tabs>
                <w:tab w:val="right" w:pos="4680"/>
              </w:tabs>
              <w:rPr>
                <w:rFonts w:asciiTheme="minorHAnsi" w:hAnsiTheme="minorHAnsi" w:cs="Arial"/>
                <w:sz w:val="20"/>
                <w:szCs w:val="20"/>
              </w:rPr>
            </w:pPr>
            <w:r w:rsidRPr="00B97C61">
              <w:rPr>
                <w:rFonts w:asciiTheme="minorHAnsi" w:hAnsiTheme="minorHAnsi" w:cs="Arial"/>
                <w:sz w:val="20"/>
                <w:szCs w:val="20"/>
              </w:rPr>
              <w:t>Interest on scheme assets</w:t>
            </w:r>
          </w:p>
        </w:tc>
        <w:tc>
          <w:tcPr>
            <w:tcW w:w="587" w:type="pct"/>
            <w:tcBorders>
              <w:top w:val="nil"/>
              <w:left w:val="nil"/>
              <w:bottom w:val="single" w:sz="4" w:space="0" w:color="auto"/>
              <w:right w:val="nil"/>
            </w:tcBorders>
            <w:shd w:val="clear" w:color="auto" w:fill="F2F2F2" w:themeFill="background1" w:themeFillShade="F2"/>
            <w:vAlign w:val="bottom"/>
          </w:tcPr>
          <w:p w14:paraId="29D0097A" w14:textId="52F7E28C" w:rsidR="00DA5274" w:rsidRPr="006D4208" w:rsidRDefault="009C5486" w:rsidP="005D59FA">
            <w:pPr>
              <w:jc w:val="right"/>
              <w:rPr>
                <w:rFonts w:asciiTheme="minorHAnsi" w:hAnsiTheme="minorHAnsi" w:cs="Arial"/>
                <w:b/>
                <w:sz w:val="20"/>
                <w:szCs w:val="20"/>
              </w:rPr>
            </w:pPr>
            <w:r w:rsidRPr="006D4208">
              <w:rPr>
                <w:rFonts w:asciiTheme="minorHAnsi" w:hAnsiTheme="minorHAnsi" w:cs="Arial"/>
                <w:b/>
                <w:sz w:val="20"/>
                <w:szCs w:val="20"/>
              </w:rPr>
              <w:t>11.7</w:t>
            </w:r>
          </w:p>
        </w:tc>
        <w:tc>
          <w:tcPr>
            <w:tcW w:w="587" w:type="pct"/>
            <w:tcBorders>
              <w:top w:val="nil"/>
              <w:left w:val="nil"/>
              <w:bottom w:val="single" w:sz="4" w:space="0" w:color="auto"/>
              <w:right w:val="nil"/>
            </w:tcBorders>
            <w:vAlign w:val="bottom"/>
          </w:tcPr>
          <w:p w14:paraId="2D08575A" w14:textId="0B45862A" w:rsidR="00DA5274" w:rsidRPr="006D4208" w:rsidRDefault="00361DAE" w:rsidP="005D59FA">
            <w:pPr>
              <w:jc w:val="right"/>
              <w:rPr>
                <w:rFonts w:asciiTheme="minorHAnsi" w:hAnsiTheme="minorHAnsi" w:cs="Arial"/>
                <w:sz w:val="20"/>
                <w:szCs w:val="20"/>
              </w:rPr>
            </w:pPr>
            <w:r w:rsidRPr="006D4208">
              <w:rPr>
                <w:rFonts w:asciiTheme="minorHAnsi" w:hAnsiTheme="minorHAnsi" w:cs="Arial"/>
                <w:sz w:val="20"/>
                <w:szCs w:val="20"/>
              </w:rPr>
              <w:t>12.2</w:t>
            </w:r>
          </w:p>
        </w:tc>
      </w:tr>
      <w:tr w:rsidR="00DA5274" w:rsidRPr="00B97C61" w14:paraId="147A6CB5" w14:textId="77777777" w:rsidTr="005D59FA">
        <w:tc>
          <w:tcPr>
            <w:tcW w:w="3826" w:type="pct"/>
            <w:vAlign w:val="bottom"/>
          </w:tcPr>
          <w:p w14:paraId="46248A23" w14:textId="77777777" w:rsidR="00DA5274" w:rsidRPr="00B97C61" w:rsidRDefault="00DA5274" w:rsidP="005D59FA">
            <w:pPr>
              <w:tabs>
                <w:tab w:val="right" w:pos="4680"/>
              </w:tabs>
              <w:rPr>
                <w:rFonts w:asciiTheme="minorHAnsi" w:hAnsiTheme="minorHAnsi" w:cs="Arial"/>
                <w:b/>
                <w:sz w:val="20"/>
                <w:szCs w:val="20"/>
              </w:rPr>
            </w:pPr>
            <w:r w:rsidRPr="00B97C61">
              <w:rPr>
                <w:rFonts w:asciiTheme="minorHAnsi" w:hAnsiTheme="minorHAnsi" w:cs="Arial"/>
                <w:b/>
                <w:sz w:val="20"/>
                <w:szCs w:val="20"/>
              </w:rPr>
              <w:t>Net credit recognised in the income statement</w:t>
            </w:r>
          </w:p>
        </w:tc>
        <w:tc>
          <w:tcPr>
            <w:tcW w:w="587" w:type="pct"/>
            <w:tcBorders>
              <w:top w:val="single" w:sz="4" w:space="0" w:color="auto"/>
              <w:left w:val="nil"/>
              <w:bottom w:val="single" w:sz="12" w:space="0" w:color="auto"/>
              <w:right w:val="nil"/>
            </w:tcBorders>
            <w:shd w:val="clear" w:color="auto" w:fill="F2F2F2" w:themeFill="background1" w:themeFillShade="F2"/>
          </w:tcPr>
          <w:p w14:paraId="02D42C9F" w14:textId="0F613BAE" w:rsidR="00DA5274" w:rsidRPr="006D4208" w:rsidRDefault="000F12A3" w:rsidP="005D59FA">
            <w:pPr>
              <w:jc w:val="right"/>
              <w:rPr>
                <w:rFonts w:asciiTheme="minorHAnsi" w:hAnsiTheme="minorHAnsi" w:cs="Arial"/>
                <w:b/>
                <w:sz w:val="20"/>
                <w:szCs w:val="20"/>
              </w:rPr>
            </w:pPr>
            <w:r w:rsidRPr="006D4208">
              <w:rPr>
                <w:rFonts w:asciiTheme="minorHAnsi" w:hAnsiTheme="minorHAnsi" w:cs="Arial"/>
                <w:b/>
                <w:sz w:val="20"/>
                <w:szCs w:val="20"/>
              </w:rPr>
              <w:t>0.3</w:t>
            </w:r>
          </w:p>
        </w:tc>
        <w:tc>
          <w:tcPr>
            <w:tcW w:w="587" w:type="pct"/>
            <w:tcBorders>
              <w:top w:val="single" w:sz="4" w:space="0" w:color="auto"/>
              <w:left w:val="nil"/>
              <w:bottom w:val="single" w:sz="12" w:space="0" w:color="auto"/>
              <w:right w:val="nil"/>
            </w:tcBorders>
          </w:tcPr>
          <w:p w14:paraId="20C08351" w14:textId="68AF4C55" w:rsidR="00DA5274" w:rsidRPr="006D4208" w:rsidRDefault="00DA5274" w:rsidP="005D59FA">
            <w:pPr>
              <w:jc w:val="right"/>
              <w:rPr>
                <w:rFonts w:asciiTheme="minorHAnsi" w:hAnsiTheme="minorHAnsi" w:cs="Arial"/>
                <w:sz w:val="20"/>
                <w:szCs w:val="20"/>
              </w:rPr>
            </w:pPr>
            <w:r w:rsidRPr="006D4208">
              <w:rPr>
                <w:rFonts w:asciiTheme="minorHAnsi" w:hAnsiTheme="minorHAnsi" w:cs="Arial"/>
                <w:sz w:val="20"/>
                <w:szCs w:val="20"/>
              </w:rPr>
              <w:t>0.</w:t>
            </w:r>
            <w:r w:rsidR="00361DAE" w:rsidRPr="006D4208">
              <w:rPr>
                <w:rFonts w:asciiTheme="minorHAnsi" w:hAnsiTheme="minorHAnsi" w:cs="Arial"/>
                <w:sz w:val="20"/>
                <w:szCs w:val="20"/>
              </w:rPr>
              <w:t>2</w:t>
            </w:r>
          </w:p>
        </w:tc>
      </w:tr>
    </w:tbl>
    <w:p w14:paraId="4BAB7FAF" w14:textId="77777777" w:rsidR="00A3021A" w:rsidRPr="00306AF1" w:rsidRDefault="00A3021A"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0D4E361E" w14:textId="31B8C10F" w:rsidR="00A3021A" w:rsidRPr="00306AF1" w:rsidRDefault="00A3021A"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306AF1">
        <w:rPr>
          <w:rFonts w:asciiTheme="minorHAnsi" w:hAnsiTheme="minorHAnsi" w:cs="Arial"/>
          <w:sz w:val="20"/>
          <w:szCs w:val="20"/>
        </w:rPr>
        <w:t>The net credit recognised in the income statement has been included within operating costs.</w:t>
      </w:r>
    </w:p>
    <w:p w14:paraId="457A5C16" w14:textId="77777777" w:rsidR="007F0B2A" w:rsidRDefault="007F0B2A"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5A86C112" w14:textId="77777777" w:rsidR="007F0B2A" w:rsidRDefault="007F0B2A"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4E74CFAC" w14:textId="77777777" w:rsidR="007F0B2A" w:rsidRDefault="007F0B2A"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79E9BA27" w14:textId="77777777" w:rsidR="007F0B2A" w:rsidRDefault="007F0B2A"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620C45D6" w14:textId="77777777" w:rsidR="00960214" w:rsidRDefault="00960214"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7865E089" w14:textId="7DD42DF7" w:rsidR="00A3021A" w:rsidRDefault="00A3021A"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306AF1">
        <w:rPr>
          <w:rFonts w:asciiTheme="minorHAnsi" w:hAnsiTheme="minorHAnsi" w:cs="Arial"/>
          <w:sz w:val="20"/>
          <w:szCs w:val="20"/>
        </w:rPr>
        <w:t>Movements in the fair value of scheme assets were as follows:</w:t>
      </w:r>
    </w:p>
    <w:tbl>
      <w:tblPr>
        <w:tblW w:w="5000" w:type="pct"/>
        <w:tblLook w:val="0000" w:firstRow="0" w:lastRow="0" w:firstColumn="0" w:lastColumn="0" w:noHBand="0" w:noVBand="0"/>
      </w:tblPr>
      <w:tblGrid>
        <w:gridCol w:w="5752"/>
        <w:gridCol w:w="1280"/>
        <w:gridCol w:w="1328"/>
        <w:gridCol w:w="1363"/>
      </w:tblGrid>
      <w:tr w:rsidR="00014EE5" w:rsidRPr="00B97C61" w14:paraId="4D31466C" w14:textId="77777777" w:rsidTr="00F96E0B">
        <w:tc>
          <w:tcPr>
            <w:tcW w:w="2957" w:type="pct"/>
          </w:tcPr>
          <w:p w14:paraId="6450BC32" w14:textId="77777777" w:rsidR="00014EE5" w:rsidRPr="00B97C61" w:rsidRDefault="00014EE5" w:rsidP="00014EE5">
            <w:pPr>
              <w:rPr>
                <w:rFonts w:asciiTheme="minorHAnsi" w:hAnsiTheme="minorHAnsi" w:cs="Arial"/>
                <w:sz w:val="20"/>
                <w:szCs w:val="20"/>
              </w:rPr>
            </w:pPr>
          </w:p>
        </w:tc>
        <w:tc>
          <w:tcPr>
            <w:tcW w:w="658" w:type="pct"/>
            <w:shd w:val="clear" w:color="auto" w:fill="F2F2F2" w:themeFill="background1" w:themeFillShade="F2"/>
          </w:tcPr>
          <w:p w14:paraId="0850BF95" w14:textId="1195CBC2" w:rsidR="00014EE5" w:rsidRPr="000E0F97" w:rsidRDefault="00014EE5" w:rsidP="00014EE5">
            <w:pPr>
              <w:jc w:val="right"/>
              <w:rPr>
                <w:rFonts w:asciiTheme="minorHAnsi" w:hAnsiTheme="minorHAnsi" w:cs="Arial"/>
                <w:b/>
                <w:sz w:val="20"/>
                <w:szCs w:val="20"/>
              </w:rPr>
            </w:pPr>
            <w:r>
              <w:rPr>
                <w:rFonts w:asciiTheme="minorHAnsi" w:hAnsiTheme="minorHAnsi" w:cs="Arial"/>
                <w:b/>
                <w:sz w:val="20"/>
                <w:szCs w:val="20"/>
              </w:rPr>
              <w:t>30 June</w:t>
            </w:r>
          </w:p>
        </w:tc>
        <w:tc>
          <w:tcPr>
            <w:tcW w:w="683" w:type="pct"/>
          </w:tcPr>
          <w:p w14:paraId="0B541F78" w14:textId="16B8C15E" w:rsidR="00014EE5" w:rsidRPr="00B7427E" w:rsidRDefault="00014EE5" w:rsidP="00014EE5">
            <w:pPr>
              <w:jc w:val="right"/>
              <w:rPr>
                <w:rFonts w:asciiTheme="minorHAnsi" w:hAnsiTheme="minorHAnsi" w:cs="Arial"/>
                <w:sz w:val="20"/>
                <w:szCs w:val="20"/>
              </w:rPr>
            </w:pPr>
            <w:r w:rsidRPr="00B7427E">
              <w:rPr>
                <w:rFonts w:asciiTheme="minorHAnsi" w:hAnsiTheme="minorHAnsi" w:cs="Arial"/>
                <w:sz w:val="20"/>
                <w:szCs w:val="20"/>
              </w:rPr>
              <w:t>31 December</w:t>
            </w:r>
          </w:p>
        </w:tc>
        <w:tc>
          <w:tcPr>
            <w:tcW w:w="701" w:type="pct"/>
          </w:tcPr>
          <w:p w14:paraId="1CD25C72" w14:textId="5B829555" w:rsidR="00014EE5" w:rsidRPr="00B97C61" w:rsidRDefault="00014EE5" w:rsidP="00014EE5">
            <w:pPr>
              <w:jc w:val="right"/>
              <w:rPr>
                <w:rFonts w:asciiTheme="minorHAnsi" w:hAnsiTheme="minorHAnsi" w:cs="Arial"/>
                <w:sz w:val="20"/>
                <w:szCs w:val="20"/>
              </w:rPr>
            </w:pPr>
            <w:r w:rsidRPr="00B7427E">
              <w:rPr>
                <w:rFonts w:asciiTheme="minorHAnsi" w:hAnsiTheme="minorHAnsi" w:cs="Arial"/>
                <w:sz w:val="20"/>
                <w:szCs w:val="20"/>
              </w:rPr>
              <w:t xml:space="preserve">30 June </w:t>
            </w:r>
          </w:p>
        </w:tc>
      </w:tr>
      <w:tr w:rsidR="00014EE5" w:rsidRPr="00B97C61" w14:paraId="480DCD30" w14:textId="77777777" w:rsidTr="00F96E0B">
        <w:tc>
          <w:tcPr>
            <w:tcW w:w="2957" w:type="pct"/>
          </w:tcPr>
          <w:p w14:paraId="3C6A023E" w14:textId="77777777" w:rsidR="00014EE5" w:rsidRPr="00B97C61" w:rsidRDefault="00014EE5" w:rsidP="00014EE5">
            <w:pPr>
              <w:rPr>
                <w:rFonts w:asciiTheme="minorHAnsi" w:hAnsiTheme="minorHAnsi" w:cs="Arial"/>
                <w:sz w:val="20"/>
                <w:szCs w:val="20"/>
              </w:rPr>
            </w:pPr>
          </w:p>
        </w:tc>
        <w:tc>
          <w:tcPr>
            <w:tcW w:w="658" w:type="pct"/>
            <w:shd w:val="clear" w:color="auto" w:fill="F2F2F2" w:themeFill="background1" w:themeFillShade="F2"/>
          </w:tcPr>
          <w:p w14:paraId="49E4CD47" w14:textId="3FE303B1" w:rsidR="00014EE5" w:rsidRPr="000E0F97" w:rsidRDefault="00014EE5" w:rsidP="00014EE5">
            <w:pPr>
              <w:jc w:val="right"/>
              <w:rPr>
                <w:rFonts w:asciiTheme="minorHAnsi" w:hAnsiTheme="minorHAnsi" w:cs="Arial"/>
                <w:b/>
                <w:sz w:val="20"/>
                <w:szCs w:val="20"/>
              </w:rPr>
            </w:pPr>
            <w:r w:rsidRPr="000E0F97">
              <w:rPr>
                <w:rFonts w:asciiTheme="minorHAnsi" w:hAnsiTheme="minorHAnsi" w:cs="Arial"/>
                <w:b/>
                <w:sz w:val="20"/>
                <w:szCs w:val="20"/>
              </w:rPr>
              <w:t>202</w:t>
            </w:r>
            <w:r>
              <w:rPr>
                <w:rFonts w:asciiTheme="minorHAnsi" w:hAnsiTheme="minorHAnsi" w:cs="Arial"/>
                <w:b/>
                <w:sz w:val="20"/>
                <w:szCs w:val="20"/>
              </w:rPr>
              <w:t>4</w:t>
            </w:r>
          </w:p>
        </w:tc>
        <w:tc>
          <w:tcPr>
            <w:tcW w:w="683" w:type="pct"/>
          </w:tcPr>
          <w:p w14:paraId="69A404F1" w14:textId="48DF0053" w:rsidR="00014EE5" w:rsidRPr="00B97C61" w:rsidRDefault="00014EE5" w:rsidP="00014EE5">
            <w:pPr>
              <w:jc w:val="right"/>
              <w:rPr>
                <w:rFonts w:asciiTheme="minorHAnsi" w:hAnsiTheme="minorHAnsi" w:cs="Arial"/>
                <w:sz w:val="20"/>
                <w:szCs w:val="20"/>
              </w:rPr>
            </w:pPr>
            <w:r w:rsidRPr="00B7427E">
              <w:rPr>
                <w:rFonts w:asciiTheme="minorHAnsi" w:hAnsiTheme="minorHAnsi" w:cs="Arial"/>
                <w:sz w:val="20"/>
                <w:szCs w:val="20"/>
              </w:rPr>
              <w:t>2023</w:t>
            </w:r>
          </w:p>
        </w:tc>
        <w:tc>
          <w:tcPr>
            <w:tcW w:w="701" w:type="pct"/>
          </w:tcPr>
          <w:p w14:paraId="545E7DD2" w14:textId="74BE753E" w:rsidR="00014EE5" w:rsidRPr="00B97C61" w:rsidRDefault="00F96E0B" w:rsidP="00014EE5">
            <w:pPr>
              <w:jc w:val="right"/>
              <w:rPr>
                <w:rFonts w:asciiTheme="minorHAnsi" w:hAnsiTheme="minorHAnsi" w:cs="Arial"/>
                <w:sz w:val="20"/>
                <w:szCs w:val="20"/>
              </w:rPr>
            </w:pPr>
            <w:r w:rsidRPr="00B7427E">
              <w:rPr>
                <w:rFonts w:asciiTheme="minorHAnsi" w:hAnsiTheme="minorHAnsi" w:cs="Arial"/>
                <w:sz w:val="20"/>
                <w:szCs w:val="20"/>
              </w:rPr>
              <w:t>2023</w:t>
            </w:r>
          </w:p>
        </w:tc>
      </w:tr>
      <w:tr w:rsidR="00014EE5" w:rsidRPr="00B97C61" w14:paraId="6F4FF520" w14:textId="77777777" w:rsidTr="00F96E0B">
        <w:tc>
          <w:tcPr>
            <w:tcW w:w="2957" w:type="pct"/>
          </w:tcPr>
          <w:p w14:paraId="7667823C" w14:textId="77777777" w:rsidR="00014EE5" w:rsidRPr="00B97C61" w:rsidRDefault="00014EE5" w:rsidP="00014EE5">
            <w:pPr>
              <w:rPr>
                <w:rFonts w:asciiTheme="minorHAnsi" w:hAnsiTheme="minorHAnsi" w:cs="Arial"/>
                <w:bCs/>
                <w:sz w:val="20"/>
                <w:szCs w:val="20"/>
              </w:rPr>
            </w:pPr>
          </w:p>
        </w:tc>
        <w:tc>
          <w:tcPr>
            <w:tcW w:w="658" w:type="pct"/>
            <w:tcBorders>
              <w:top w:val="nil"/>
              <w:left w:val="nil"/>
              <w:bottom w:val="single" w:sz="4" w:space="0" w:color="auto"/>
              <w:right w:val="nil"/>
            </w:tcBorders>
            <w:shd w:val="clear" w:color="auto" w:fill="F2F2F2" w:themeFill="background1" w:themeFillShade="F2"/>
          </w:tcPr>
          <w:p w14:paraId="7BFC324D" w14:textId="77777777" w:rsidR="00014EE5" w:rsidRPr="000E0F97" w:rsidRDefault="00014EE5" w:rsidP="00014EE5">
            <w:pPr>
              <w:jc w:val="right"/>
              <w:rPr>
                <w:rFonts w:asciiTheme="minorHAnsi" w:hAnsiTheme="minorHAnsi" w:cs="Arial"/>
                <w:b/>
                <w:sz w:val="20"/>
                <w:szCs w:val="20"/>
              </w:rPr>
            </w:pPr>
            <w:r w:rsidRPr="000E0F97">
              <w:rPr>
                <w:rFonts w:asciiTheme="minorHAnsi" w:hAnsiTheme="minorHAnsi" w:cs="Arial"/>
                <w:b/>
                <w:sz w:val="20"/>
                <w:szCs w:val="20"/>
              </w:rPr>
              <w:t>£m </w:t>
            </w:r>
          </w:p>
        </w:tc>
        <w:tc>
          <w:tcPr>
            <w:tcW w:w="683" w:type="pct"/>
            <w:tcBorders>
              <w:top w:val="nil"/>
              <w:left w:val="nil"/>
              <w:bottom w:val="single" w:sz="4" w:space="0" w:color="auto"/>
              <w:right w:val="nil"/>
            </w:tcBorders>
          </w:tcPr>
          <w:p w14:paraId="40E51A3F" w14:textId="34B82981" w:rsidR="00014EE5" w:rsidRPr="00B97C61" w:rsidRDefault="00CC2655" w:rsidP="00014EE5">
            <w:pPr>
              <w:jc w:val="right"/>
              <w:rPr>
                <w:rFonts w:asciiTheme="minorHAnsi" w:hAnsiTheme="minorHAnsi" w:cs="Arial"/>
                <w:sz w:val="20"/>
                <w:szCs w:val="20"/>
              </w:rPr>
            </w:pPr>
            <w:r w:rsidRPr="00B7427E">
              <w:rPr>
                <w:rFonts w:asciiTheme="minorHAnsi" w:hAnsiTheme="minorHAnsi" w:cs="Arial"/>
                <w:sz w:val="20"/>
                <w:szCs w:val="20"/>
              </w:rPr>
              <w:t>£m</w:t>
            </w:r>
          </w:p>
        </w:tc>
        <w:tc>
          <w:tcPr>
            <w:tcW w:w="701" w:type="pct"/>
            <w:tcBorders>
              <w:top w:val="nil"/>
              <w:left w:val="nil"/>
              <w:bottom w:val="single" w:sz="4" w:space="0" w:color="auto"/>
              <w:right w:val="nil"/>
            </w:tcBorders>
          </w:tcPr>
          <w:p w14:paraId="1522B394" w14:textId="59B2F16F" w:rsidR="00014EE5" w:rsidRPr="00B97C61" w:rsidRDefault="00014EE5" w:rsidP="00014EE5">
            <w:pPr>
              <w:jc w:val="right"/>
              <w:rPr>
                <w:rFonts w:asciiTheme="minorHAnsi" w:hAnsiTheme="minorHAnsi" w:cs="Arial"/>
                <w:sz w:val="20"/>
                <w:szCs w:val="20"/>
              </w:rPr>
            </w:pPr>
            <w:r w:rsidRPr="00B97C61">
              <w:rPr>
                <w:rFonts w:asciiTheme="minorHAnsi" w:hAnsiTheme="minorHAnsi" w:cs="Arial"/>
                <w:sz w:val="20"/>
                <w:szCs w:val="20"/>
              </w:rPr>
              <w:t>£m </w:t>
            </w:r>
          </w:p>
        </w:tc>
      </w:tr>
      <w:tr w:rsidR="00014EE5" w:rsidRPr="00B97C61" w14:paraId="6E5F6290" w14:textId="77777777" w:rsidTr="00F96E0B">
        <w:tc>
          <w:tcPr>
            <w:tcW w:w="2957" w:type="pct"/>
            <w:vAlign w:val="bottom"/>
          </w:tcPr>
          <w:p w14:paraId="697BCDF3" w14:textId="77777777" w:rsidR="00014EE5" w:rsidRPr="00B97C61" w:rsidRDefault="00014EE5" w:rsidP="00014EE5">
            <w:pPr>
              <w:rPr>
                <w:rFonts w:asciiTheme="minorHAnsi" w:hAnsiTheme="minorHAnsi" w:cs="Arial"/>
                <w:sz w:val="20"/>
                <w:szCs w:val="20"/>
              </w:rPr>
            </w:pPr>
            <w:r w:rsidRPr="00B97C61">
              <w:rPr>
                <w:rFonts w:asciiTheme="minorHAnsi" w:hAnsiTheme="minorHAnsi" w:cs="Arial"/>
                <w:sz w:val="20"/>
                <w:szCs w:val="20"/>
              </w:rPr>
              <w:t>Fair value of scheme assets at 1 January</w:t>
            </w:r>
          </w:p>
        </w:tc>
        <w:tc>
          <w:tcPr>
            <w:tcW w:w="658" w:type="pct"/>
            <w:tcBorders>
              <w:top w:val="single" w:sz="4" w:space="0" w:color="auto"/>
              <w:left w:val="nil"/>
              <w:bottom w:val="nil"/>
              <w:right w:val="nil"/>
            </w:tcBorders>
            <w:shd w:val="clear" w:color="auto" w:fill="F2F2F2" w:themeFill="background1" w:themeFillShade="F2"/>
            <w:vAlign w:val="bottom"/>
          </w:tcPr>
          <w:p w14:paraId="4D98D0E6" w14:textId="3E909241" w:rsidR="00014EE5" w:rsidRPr="006D4208" w:rsidRDefault="00014EE5" w:rsidP="00014EE5">
            <w:pPr>
              <w:jc w:val="right"/>
              <w:rPr>
                <w:rFonts w:asciiTheme="minorHAnsi" w:hAnsiTheme="minorHAnsi" w:cs="Arial"/>
                <w:b/>
                <w:sz w:val="20"/>
                <w:szCs w:val="20"/>
              </w:rPr>
            </w:pPr>
            <w:r w:rsidRPr="006D4208">
              <w:rPr>
                <w:rFonts w:asciiTheme="minorHAnsi" w:hAnsiTheme="minorHAnsi" w:cs="Arial"/>
                <w:b/>
                <w:sz w:val="20"/>
                <w:szCs w:val="20"/>
              </w:rPr>
              <w:t>512.9</w:t>
            </w:r>
          </w:p>
        </w:tc>
        <w:tc>
          <w:tcPr>
            <w:tcW w:w="683" w:type="pct"/>
            <w:tcBorders>
              <w:top w:val="single" w:sz="4" w:space="0" w:color="auto"/>
              <w:left w:val="nil"/>
              <w:bottom w:val="nil"/>
              <w:right w:val="nil"/>
            </w:tcBorders>
          </w:tcPr>
          <w:p w14:paraId="5380801E" w14:textId="516DEDE5" w:rsidR="00014EE5" w:rsidRPr="00B7427E" w:rsidRDefault="003B304C" w:rsidP="00014EE5">
            <w:pPr>
              <w:jc w:val="right"/>
              <w:rPr>
                <w:rFonts w:asciiTheme="minorHAnsi" w:hAnsiTheme="minorHAnsi" w:cs="Arial"/>
                <w:sz w:val="20"/>
                <w:szCs w:val="20"/>
              </w:rPr>
            </w:pPr>
            <w:r w:rsidRPr="00B7427E">
              <w:rPr>
                <w:rFonts w:asciiTheme="minorHAnsi" w:hAnsiTheme="minorHAnsi" w:cs="Arial"/>
                <w:sz w:val="20"/>
                <w:szCs w:val="20"/>
              </w:rPr>
              <w:t>520.7</w:t>
            </w:r>
          </w:p>
        </w:tc>
        <w:tc>
          <w:tcPr>
            <w:tcW w:w="701" w:type="pct"/>
            <w:tcBorders>
              <w:top w:val="single" w:sz="4" w:space="0" w:color="auto"/>
              <w:left w:val="nil"/>
              <w:bottom w:val="nil"/>
              <w:right w:val="nil"/>
            </w:tcBorders>
            <w:vAlign w:val="bottom"/>
          </w:tcPr>
          <w:p w14:paraId="7A92D76D" w14:textId="7F64A7A6" w:rsidR="00014EE5" w:rsidRPr="006D4208" w:rsidRDefault="00014EE5" w:rsidP="00014EE5">
            <w:pPr>
              <w:jc w:val="right"/>
              <w:rPr>
                <w:rFonts w:asciiTheme="minorHAnsi" w:hAnsiTheme="minorHAnsi" w:cs="Arial"/>
                <w:sz w:val="20"/>
                <w:szCs w:val="20"/>
              </w:rPr>
            </w:pPr>
            <w:r w:rsidRPr="006D4208">
              <w:rPr>
                <w:rFonts w:asciiTheme="minorHAnsi" w:hAnsiTheme="minorHAnsi" w:cs="Arial"/>
                <w:sz w:val="20"/>
                <w:szCs w:val="20"/>
              </w:rPr>
              <w:t>520.7</w:t>
            </w:r>
          </w:p>
        </w:tc>
      </w:tr>
      <w:tr w:rsidR="00014EE5" w:rsidRPr="00B97C61" w14:paraId="60F4C30B" w14:textId="77777777" w:rsidTr="00F96E0B">
        <w:tc>
          <w:tcPr>
            <w:tcW w:w="2957" w:type="pct"/>
            <w:vAlign w:val="bottom"/>
          </w:tcPr>
          <w:p w14:paraId="5C5512CA" w14:textId="77777777" w:rsidR="00014EE5" w:rsidRPr="00B97C61" w:rsidRDefault="00014EE5" w:rsidP="00014EE5">
            <w:pPr>
              <w:rPr>
                <w:rFonts w:asciiTheme="minorHAnsi" w:hAnsiTheme="minorHAnsi" w:cs="Arial"/>
                <w:sz w:val="20"/>
                <w:szCs w:val="20"/>
              </w:rPr>
            </w:pPr>
            <w:r w:rsidRPr="00B97C61">
              <w:rPr>
                <w:rFonts w:asciiTheme="minorHAnsi" w:hAnsiTheme="minorHAnsi" w:cs="Arial"/>
                <w:sz w:val="20"/>
                <w:szCs w:val="20"/>
              </w:rPr>
              <w:t>Interest on scheme assets</w:t>
            </w:r>
          </w:p>
        </w:tc>
        <w:tc>
          <w:tcPr>
            <w:tcW w:w="658" w:type="pct"/>
            <w:shd w:val="clear" w:color="auto" w:fill="F2F2F2" w:themeFill="background1" w:themeFillShade="F2"/>
          </w:tcPr>
          <w:p w14:paraId="46BEBF8D" w14:textId="2D58FE1D" w:rsidR="00014EE5" w:rsidRPr="006D4208" w:rsidRDefault="00014EE5" w:rsidP="00014EE5">
            <w:pPr>
              <w:jc w:val="right"/>
              <w:rPr>
                <w:rFonts w:asciiTheme="minorHAnsi" w:hAnsiTheme="minorHAnsi" w:cs="Arial"/>
                <w:b/>
                <w:sz w:val="20"/>
                <w:szCs w:val="20"/>
              </w:rPr>
            </w:pPr>
            <w:r w:rsidRPr="006D4208">
              <w:rPr>
                <w:rFonts w:asciiTheme="minorHAnsi" w:hAnsiTheme="minorHAnsi" w:cs="Arial"/>
                <w:b/>
                <w:sz w:val="20"/>
                <w:szCs w:val="20"/>
              </w:rPr>
              <w:t>11.7</w:t>
            </w:r>
          </w:p>
        </w:tc>
        <w:tc>
          <w:tcPr>
            <w:tcW w:w="683" w:type="pct"/>
          </w:tcPr>
          <w:p w14:paraId="7973F205" w14:textId="773BC395" w:rsidR="00014EE5" w:rsidRPr="00B7427E" w:rsidRDefault="005659E8" w:rsidP="00014EE5">
            <w:pPr>
              <w:jc w:val="right"/>
              <w:rPr>
                <w:rFonts w:asciiTheme="minorHAnsi" w:hAnsiTheme="minorHAnsi" w:cs="Arial"/>
                <w:sz w:val="20"/>
                <w:szCs w:val="20"/>
              </w:rPr>
            </w:pPr>
            <w:r w:rsidRPr="00B7427E">
              <w:rPr>
                <w:rFonts w:asciiTheme="minorHAnsi" w:hAnsiTheme="minorHAnsi" w:cs="Arial"/>
                <w:sz w:val="20"/>
                <w:szCs w:val="20"/>
              </w:rPr>
              <w:t>24.4</w:t>
            </w:r>
          </w:p>
        </w:tc>
        <w:tc>
          <w:tcPr>
            <w:tcW w:w="701" w:type="pct"/>
            <w:vAlign w:val="bottom"/>
          </w:tcPr>
          <w:p w14:paraId="1EC75AD8" w14:textId="71CA5035" w:rsidR="00014EE5" w:rsidRPr="006D4208" w:rsidRDefault="00014EE5" w:rsidP="00014EE5">
            <w:pPr>
              <w:jc w:val="right"/>
              <w:rPr>
                <w:rFonts w:asciiTheme="minorHAnsi" w:hAnsiTheme="minorHAnsi" w:cs="Arial"/>
                <w:sz w:val="20"/>
                <w:szCs w:val="20"/>
              </w:rPr>
            </w:pPr>
            <w:r w:rsidRPr="006D4208">
              <w:rPr>
                <w:rFonts w:asciiTheme="minorHAnsi" w:hAnsiTheme="minorHAnsi" w:cs="Arial"/>
                <w:sz w:val="20"/>
                <w:szCs w:val="20"/>
              </w:rPr>
              <w:t>12.2</w:t>
            </w:r>
          </w:p>
        </w:tc>
      </w:tr>
      <w:tr w:rsidR="00014EE5" w:rsidRPr="00B97C61" w14:paraId="1AB48CD8" w14:textId="77777777" w:rsidTr="00F96E0B">
        <w:tc>
          <w:tcPr>
            <w:tcW w:w="2957" w:type="pct"/>
            <w:vAlign w:val="bottom"/>
          </w:tcPr>
          <w:p w14:paraId="28EB6E24" w14:textId="77777777" w:rsidR="00014EE5" w:rsidRPr="00B97C61" w:rsidRDefault="00014EE5" w:rsidP="00014EE5">
            <w:pPr>
              <w:rPr>
                <w:rFonts w:asciiTheme="minorHAnsi" w:hAnsiTheme="minorHAnsi" w:cs="Arial"/>
                <w:sz w:val="20"/>
                <w:szCs w:val="20"/>
              </w:rPr>
            </w:pPr>
            <w:r w:rsidRPr="00B97C61">
              <w:rPr>
                <w:rFonts w:asciiTheme="minorHAnsi" w:hAnsiTheme="minorHAnsi" w:cs="Arial"/>
                <w:sz w:val="20"/>
                <w:szCs w:val="20"/>
              </w:rPr>
              <w:t>Actuarial movements on scheme assets</w:t>
            </w:r>
          </w:p>
        </w:tc>
        <w:tc>
          <w:tcPr>
            <w:tcW w:w="658" w:type="pct"/>
            <w:shd w:val="clear" w:color="auto" w:fill="F2F2F2" w:themeFill="background1" w:themeFillShade="F2"/>
          </w:tcPr>
          <w:p w14:paraId="6AED1931" w14:textId="06922D6B" w:rsidR="00014EE5" w:rsidRPr="006D4208" w:rsidRDefault="00014EE5" w:rsidP="00014EE5">
            <w:pPr>
              <w:jc w:val="right"/>
              <w:rPr>
                <w:rFonts w:asciiTheme="minorHAnsi" w:hAnsiTheme="minorHAnsi" w:cs="Arial"/>
                <w:b/>
                <w:sz w:val="20"/>
                <w:szCs w:val="20"/>
              </w:rPr>
            </w:pPr>
            <w:r w:rsidRPr="006D4208">
              <w:rPr>
                <w:rFonts w:asciiTheme="minorHAnsi" w:hAnsiTheme="minorHAnsi" w:cs="Arial"/>
                <w:b/>
                <w:sz w:val="20"/>
                <w:szCs w:val="20"/>
              </w:rPr>
              <w:t>(31.4)</w:t>
            </w:r>
          </w:p>
        </w:tc>
        <w:tc>
          <w:tcPr>
            <w:tcW w:w="683" w:type="pct"/>
          </w:tcPr>
          <w:p w14:paraId="71E7DE3E" w14:textId="305AD95B" w:rsidR="00014EE5" w:rsidRPr="00B7427E" w:rsidRDefault="005659E8" w:rsidP="00014EE5">
            <w:pPr>
              <w:jc w:val="right"/>
              <w:rPr>
                <w:rFonts w:asciiTheme="minorHAnsi" w:hAnsiTheme="minorHAnsi" w:cs="Arial"/>
                <w:sz w:val="20"/>
                <w:szCs w:val="20"/>
              </w:rPr>
            </w:pPr>
            <w:r w:rsidRPr="00B7427E">
              <w:rPr>
                <w:rFonts w:asciiTheme="minorHAnsi" w:hAnsiTheme="minorHAnsi" w:cs="Arial"/>
                <w:sz w:val="20"/>
                <w:szCs w:val="20"/>
              </w:rPr>
              <w:t>(7.8)</w:t>
            </w:r>
          </w:p>
        </w:tc>
        <w:tc>
          <w:tcPr>
            <w:tcW w:w="701" w:type="pct"/>
            <w:vAlign w:val="bottom"/>
          </w:tcPr>
          <w:p w14:paraId="24EC5CE5" w14:textId="4CE46AF4" w:rsidR="00014EE5" w:rsidRPr="006D4208" w:rsidRDefault="00014EE5" w:rsidP="00014EE5">
            <w:pPr>
              <w:jc w:val="right"/>
              <w:rPr>
                <w:rFonts w:asciiTheme="minorHAnsi" w:hAnsiTheme="minorHAnsi" w:cs="Arial"/>
                <w:sz w:val="20"/>
                <w:szCs w:val="20"/>
              </w:rPr>
            </w:pPr>
            <w:r w:rsidRPr="006D4208">
              <w:rPr>
                <w:rFonts w:asciiTheme="minorHAnsi" w:hAnsiTheme="minorHAnsi" w:cs="Arial"/>
                <w:sz w:val="20"/>
                <w:szCs w:val="20"/>
              </w:rPr>
              <w:t>(32.2)</w:t>
            </w:r>
          </w:p>
        </w:tc>
      </w:tr>
      <w:tr w:rsidR="00014EE5" w:rsidRPr="00B97C61" w14:paraId="36156A0C" w14:textId="77777777" w:rsidTr="00F96E0B">
        <w:tc>
          <w:tcPr>
            <w:tcW w:w="2957" w:type="pct"/>
            <w:vAlign w:val="bottom"/>
          </w:tcPr>
          <w:p w14:paraId="1B8BF12B" w14:textId="77777777" w:rsidR="00014EE5" w:rsidRPr="00B97C61" w:rsidRDefault="00014EE5" w:rsidP="00014EE5">
            <w:pPr>
              <w:rPr>
                <w:rFonts w:asciiTheme="minorHAnsi" w:hAnsiTheme="minorHAnsi" w:cs="Arial"/>
                <w:sz w:val="20"/>
                <w:szCs w:val="20"/>
              </w:rPr>
            </w:pPr>
            <w:r w:rsidRPr="00B97C61">
              <w:rPr>
                <w:rFonts w:asciiTheme="minorHAnsi" w:hAnsiTheme="minorHAnsi" w:cs="Arial"/>
                <w:sz w:val="20"/>
                <w:szCs w:val="20"/>
              </w:rPr>
              <w:t>Contributions by the Group</w:t>
            </w:r>
          </w:p>
        </w:tc>
        <w:tc>
          <w:tcPr>
            <w:tcW w:w="658" w:type="pct"/>
            <w:shd w:val="clear" w:color="auto" w:fill="F2F2F2" w:themeFill="background1" w:themeFillShade="F2"/>
          </w:tcPr>
          <w:p w14:paraId="62AFC906" w14:textId="66B40C4F" w:rsidR="00014EE5" w:rsidRPr="006D4208" w:rsidRDefault="00014EE5" w:rsidP="00014EE5">
            <w:pPr>
              <w:jc w:val="right"/>
              <w:rPr>
                <w:rFonts w:asciiTheme="minorHAnsi" w:hAnsiTheme="minorHAnsi" w:cs="Arial"/>
                <w:b/>
                <w:sz w:val="20"/>
                <w:szCs w:val="20"/>
              </w:rPr>
            </w:pPr>
            <w:r w:rsidRPr="006D4208">
              <w:rPr>
                <w:rFonts w:asciiTheme="minorHAnsi" w:hAnsiTheme="minorHAnsi" w:cs="Arial"/>
                <w:b/>
                <w:sz w:val="20"/>
                <w:szCs w:val="20"/>
              </w:rPr>
              <w:t>0.4</w:t>
            </w:r>
          </w:p>
        </w:tc>
        <w:tc>
          <w:tcPr>
            <w:tcW w:w="683" w:type="pct"/>
          </w:tcPr>
          <w:p w14:paraId="58520428" w14:textId="00823541" w:rsidR="00014EE5" w:rsidRPr="00B7427E" w:rsidRDefault="003E4510" w:rsidP="00014EE5">
            <w:pPr>
              <w:jc w:val="right"/>
              <w:rPr>
                <w:rFonts w:asciiTheme="minorHAnsi" w:hAnsiTheme="minorHAnsi" w:cs="Arial"/>
                <w:sz w:val="20"/>
                <w:szCs w:val="20"/>
              </w:rPr>
            </w:pPr>
            <w:r w:rsidRPr="00B7427E">
              <w:rPr>
                <w:rFonts w:asciiTheme="minorHAnsi" w:hAnsiTheme="minorHAnsi" w:cs="Arial"/>
                <w:sz w:val="20"/>
                <w:szCs w:val="20"/>
              </w:rPr>
              <w:t>0.8</w:t>
            </w:r>
          </w:p>
        </w:tc>
        <w:tc>
          <w:tcPr>
            <w:tcW w:w="701" w:type="pct"/>
            <w:vAlign w:val="bottom"/>
          </w:tcPr>
          <w:p w14:paraId="0CBFD32F" w14:textId="7B326B79" w:rsidR="00014EE5" w:rsidRPr="006D4208" w:rsidRDefault="00014EE5" w:rsidP="00014EE5">
            <w:pPr>
              <w:jc w:val="right"/>
              <w:rPr>
                <w:rFonts w:asciiTheme="minorHAnsi" w:hAnsiTheme="minorHAnsi" w:cs="Arial"/>
                <w:sz w:val="20"/>
                <w:szCs w:val="20"/>
              </w:rPr>
            </w:pPr>
            <w:r w:rsidRPr="006D4208">
              <w:rPr>
                <w:rFonts w:asciiTheme="minorHAnsi" w:hAnsiTheme="minorHAnsi" w:cs="Arial"/>
                <w:sz w:val="20"/>
                <w:szCs w:val="20"/>
              </w:rPr>
              <w:t>0.4</w:t>
            </w:r>
          </w:p>
        </w:tc>
      </w:tr>
      <w:tr w:rsidR="00014EE5" w:rsidRPr="00B97C61" w14:paraId="217D4BE6" w14:textId="77777777" w:rsidTr="00F96E0B">
        <w:tc>
          <w:tcPr>
            <w:tcW w:w="2957" w:type="pct"/>
            <w:vAlign w:val="bottom"/>
          </w:tcPr>
          <w:p w14:paraId="6E921C22" w14:textId="77777777" w:rsidR="00014EE5" w:rsidRPr="00B97C61" w:rsidRDefault="00014EE5" w:rsidP="00014EE5">
            <w:pPr>
              <w:rPr>
                <w:rFonts w:asciiTheme="minorHAnsi" w:hAnsiTheme="minorHAnsi" w:cs="Arial"/>
                <w:sz w:val="20"/>
                <w:szCs w:val="20"/>
              </w:rPr>
            </w:pPr>
            <w:r w:rsidRPr="00B97C61">
              <w:rPr>
                <w:rFonts w:asciiTheme="minorHAnsi" w:hAnsiTheme="minorHAnsi" w:cs="Arial"/>
                <w:sz w:val="20"/>
                <w:szCs w:val="20"/>
              </w:rPr>
              <w:t>Net benefits paid out</w:t>
            </w:r>
          </w:p>
        </w:tc>
        <w:tc>
          <w:tcPr>
            <w:tcW w:w="658" w:type="pct"/>
            <w:tcBorders>
              <w:top w:val="nil"/>
              <w:left w:val="nil"/>
              <w:bottom w:val="single" w:sz="4" w:space="0" w:color="auto"/>
              <w:right w:val="nil"/>
            </w:tcBorders>
            <w:shd w:val="clear" w:color="auto" w:fill="F2F2F2" w:themeFill="background1" w:themeFillShade="F2"/>
          </w:tcPr>
          <w:p w14:paraId="764E3305" w14:textId="1D05D8CA" w:rsidR="00014EE5" w:rsidRPr="006D4208" w:rsidRDefault="00014EE5" w:rsidP="00014EE5">
            <w:pPr>
              <w:jc w:val="right"/>
              <w:rPr>
                <w:rFonts w:asciiTheme="minorHAnsi" w:hAnsiTheme="minorHAnsi" w:cs="Arial"/>
                <w:b/>
                <w:sz w:val="20"/>
                <w:szCs w:val="20"/>
              </w:rPr>
            </w:pPr>
            <w:r w:rsidRPr="006D4208">
              <w:rPr>
                <w:rFonts w:asciiTheme="minorHAnsi" w:hAnsiTheme="minorHAnsi" w:cs="Arial"/>
                <w:b/>
                <w:sz w:val="20"/>
                <w:szCs w:val="20"/>
              </w:rPr>
              <w:t>(12.6)</w:t>
            </w:r>
          </w:p>
        </w:tc>
        <w:tc>
          <w:tcPr>
            <w:tcW w:w="683" w:type="pct"/>
            <w:tcBorders>
              <w:top w:val="nil"/>
              <w:left w:val="nil"/>
              <w:bottom w:val="single" w:sz="4" w:space="0" w:color="auto"/>
              <w:right w:val="nil"/>
            </w:tcBorders>
          </w:tcPr>
          <w:p w14:paraId="57CCB722" w14:textId="639E67C9" w:rsidR="00014EE5" w:rsidRPr="00B7427E" w:rsidRDefault="003E4510" w:rsidP="00014EE5">
            <w:pPr>
              <w:jc w:val="right"/>
              <w:rPr>
                <w:rFonts w:asciiTheme="minorHAnsi" w:hAnsiTheme="minorHAnsi" w:cs="Arial"/>
                <w:sz w:val="20"/>
                <w:szCs w:val="20"/>
              </w:rPr>
            </w:pPr>
            <w:r w:rsidRPr="00B7427E">
              <w:rPr>
                <w:rFonts w:asciiTheme="minorHAnsi" w:hAnsiTheme="minorHAnsi" w:cs="Arial"/>
                <w:sz w:val="20"/>
                <w:szCs w:val="20"/>
              </w:rPr>
              <w:t>(25.2)</w:t>
            </w:r>
          </w:p>
        </w:tc>
        <w:tc>
          <w:tcPr>
            <w:tcW w:w="701" w:type="pct"/>
            <w:tcBorders>
              <w:top w:val="nil"/>
              <w:left w:val="nil"/>
              <w:bottom w:val="single" w:sz="4" w:space="0" w:color="auto"/>
              <w:right w:val="nil"/>
            </w:tcBorders>
            <w:vAlign w:val="bottom"/>
          </w:tcPr>
          <w:p w14:paraId="31082B99" w14:textId="73AD3B66" w:rsidR="00014EE5" w:rsidRPr="006D4208" w:rsidRDefault="00014EE5" w:rsidP="00014EE5">
            <w:pPr>
              <w:jc w:val="right"/>
              <w:rPr>
                <w:rFonts w:asciiTheme="minorHAnsi" w:hAnsiTheme="minorHAnsi" w:cs="Arial"/>
                <w:sz w:val="20"/>
                <w:szCs w:val="20"/>
              </w:rPr>
            </w:pPr>
            <w:r w:rsidRPr="006D4208">
              <w:rPr>
                <w:rFonts w:asciiTheme="minorHAnsi" w:hAnsiTheme="minorHAnsi" w:cs="Arial"/>
                <w:sz w:val="20"/>
                <w:szCs w:val="20"/>
              </w:rPr>
              <w:t>(10.7)</w:t>
            </w:r>
          </w:p>
        </w:tc>
      </w:tr>
      <w:tr w:rsidR="00014EE5" w:rsidRPr="00B97C61" w14:paraId="6500903E" w14:textId="77777777" w:rsidTr="00F96E0B">
        <w:tc>
          <w:tcPr>
            <w:tcW w:w="2957" w:type="pct"/>
            <w:vAlign w:val="bottom"/>
          </w:tcPr>
          <w:p w14:paraId="5ED57CB0" w14:textId="0B9F57C0" w:rsidR="00014EE5" w:rsidRPr="00B97C61" w:rsidRDefault="00014EE5" w:rsidP="00014EE5">
            <w:pPr>
              <w:rPr>
                <w:rFonts w:asciiTheme="minorHAnsi" w:hAnsiTheme="minorHAnsi" w:cs="Arial"/>
                <w:b/>
                <w:sz w:val="20"/>
                <w:szCs w:val="20"/>
              </w:rPr>
            </w:pPr>
            <w:r w:rsidRPr="00B97C61">
              <w:rPr>
                <w:rFonts w:asciiTheme="minorHAnsi" w:hAnsiTheme="minorHAnsi" w:cs="Arial"/>
                <w:b/>
                <w:sz w:val="20"/>
                <w:szCs w:val="20"/>
              </w:rPr>
              <w:t xml:space="preserve">Fair value of scheme assets at </w:t>
            </w:r>
            <w:r w:rsidR="003366F7">
              <w:rPr>
                <w:rFonts w:asciiTheme="minorHAnsi" w:hAnsiTheme="minorHAnsi" w:cs="Arial"/>
                <w:b/>
                <w:sz w:val="20"/>
                <w:szCs w:val="20"/>
              </w:rPr>
              <w:t>period end</w:t>
            </w:r>
          </w:p>
        </w:tc>
        <w:tc>
          <w:tcPr>
            <w:tcW w:w="658" w:type="pct"/>
            <w:tcBorders>
              <w:top w:val="single" w:sz="4" w:space="0" w:color="auto"/>
              <w:left w:val="nil"/>
              <w:bottom w:val="single" w:sz="18" w:space="0" w:color="auto"/>
              <w:right w:val="nil"/>
            </w:tcBorders>
            <w:shd w:val="clear" w:color="auto" w:fill="F2F2F2" w:themeFill="background1" w:themeFillShade="F2"/>
          </w:tcPr>
          <w:p w14:paraId="3F1D4660" w14:textId="6AA39C60" w:rsidR="00014EE5" w:rsidRPr="006D4208" w:rsidRDefault="00014EE5" w:rsidP="00014EE5">
            <w:pPr>
              <w:jc w:val="right"/>
              <w:rPr>
                <w:rFonts w:asciiTheme="minorHAnsi" w:hAnsiTheme="minorHAnsi" w:cs="Arial"/>
                <w:b/>
                <w:sz w:val="20"/>
                <w:szCs w:val="20"/>
              </w:rPr>
            </w:pPr>
            <w:r w:rsidRPr="006D4208">
              <w:rPr>
                <w:rFonts w:asciiTheme="minorHAnsi" w:hAnsiTheme="minorHAnsi" w:cs="Arial"/>
                <w:b/>
                <w:sz w:val="20"/>
                <w:szCs w:val="20"/>
              </w:rPr>
              <w:t>481.0</w:t>
            </w:r>
          </w:p>
        </w:tc>
        <w:tc>
          <w:tcPr>
            <w:tcW w:w="683" w:type="pct"/>
            <w:tcBorders>
              <w:top w:val="single" w:sz="4" w:space="0" w:color="auto"/>
              <w:left w:val="nil"/>
              <w:bottom w:val="single" w:sz="18" w:space="0" w:color="auto"/>
              <w:right w:val="nil"/>
            </w:tcBorders>
          </w:tcPr>
          <w:p w14:paraId="226CAC0C" w14:textId="61BA432B" w:rsidR="00014EE5" w:rsidRPr="00B7427E" w:rsidRDefault="006E2186" w:rsidP="00014EE5">
            <w:pPr>
              <w:jc w:val="right"/>
              <w:rPr>
                <w:rFonts w:asciiTheme="minorHAnsi" w:hAnsiTheme="minorHAnsi" w:cs="Arial"/>
                <w:sz w:val="20"/>
                <w:szCs w:val="20"/>
              </w:rPr>
            </w:pPr>
            <w:r w:rsidRPr="00B7427E">
              <w:rPr>
                <w:rFonts w:asciiTheme="minorHAnsi" w:hAnsiTheme="minorHAnsi" w:cs="Arial"/>
                <w:sz w:val="20"/>
                <w:szCs w:val="20"/>
              </w:rPr>
              <w:t>512.9</w:t>
            </w:r>
          </w:p>
        </w:tc>
        <w:tc>
          <w:tcPr>
            <w:tcW w:w="701" w:type="pct"/>
            <w:tcBorders>
              <w:top w:val="single" w:sz="4" w:space="0" w:color="auto"/>
              <w:left w:val="nil"/>
              <w:bottom w:val="single" w:sz="18" w:space="0" w:color="auto"/>
              <w:right w:val="nil"/>
            </w:tcBorders>
            <w:vAlign w:val="bottom"/>
          </w:tcPr>
          <w:p w14:paraId="6121B3EE" w14:textId="420DB1D9" w:rsidR="00014EE5" w:rsidRPr="006D4208" w:rsidRDefault="00014EE5" w:rsidP="00014EE5">
            <w:pPr>
              <w:jc w:val="right"/>
              <w:rPr>
                <w:rFonts w:asciiTheme="minorHAnsi" w:hAnsiTheme="minorHAnsi" w:cs="Arial"/>
                <w:sz w:val="20"/>
                <w:szCs w:val="20"/>
              </w:rPr>
            </w:pPr>
            <w:r w:rsidRPr="006D4208">
              <w:rPr>
                <w:rFonts w:asciiTheme="minorHAnsi" w:hAnsiTheme="minorHAnsi" w:cs="Arial"/>
                <w:sz w:val="20"/>
                <w:szCs w:val="20"/>
              </w:rPr>
              <w:t>490.4</w:t>
            </w:r>
          </w:p>
        </w:tc>
      </w:tr>
    </w:tbl>
    <w:p w14:paraId="7DF49633" w14:textId="77777777" w:rsidR="008C6566" w:rsidRDefault="008C6566" w:rsidP="00692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Arial"/>
          <w:sz w:val="20"/>
          <w:szCs w:val="20"/>
        </w:rPr>
      </w:pPr>
    </w:p>
    <w:p w14:paraId="0A4B4D74" w14:textId="5B19384A" w:rsidR="00A3021A" w:rsidRDefault="00A3021A" w:rsidP="00692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Arial"/>
          <w:sz w:val="20"/>
          <w:szCs w:val="20"/>
        </w:rPr>
      </w:pPr>
      <w:r w:rsidRPr="00306AF1">
        <w:rPr>
          <w:rFonts w:asciiTheme="minorHAnsi" w:hAnsiTheme="minorHAnsi" w:cs="Arial"/>
          <w:sz w:val="20"/>
          <w:szCs w:val="20"/>
        </w:rPr>
        <w:t>Movements in the present value of the defined benefit obligation were as follows:</w:t>
      </w:r>
    </w:p>
    <w:p w14:paraId="580307E4" w14:textId="77777777" w:rsidR="00027E13" w:rsidRDefault="00027E13" w:rsidP="00692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Arial"/>
          <w:sz w:val="20"/>
          <w:szCs w:val="20"/>
        </w:rPr>
      </w:pPr>
    </w:p>
    <w:tbl>
      <w:tblPr>
        <w:tblW w:w="5000" w:type="pct"/>
        <w:tblLook w:val="0000" w:firstRow="0" w:lastRow="0" w:firstColumn="0" w:lastColumn="0" w:noHBand="0" w:noVBand="0"/>
      </w:tblPr>
      <w:tblGrid>
        <w:gridCol w:w="5812"/>
        <w:gridCol w:w="1418"/>
        <w:gridCol w:w="1460"/>
        <w:gridCol w:w="1033"/>
      </w:tblGrid>
      <w:tr w:rsidR="00CC2655" w:rsidRPr="00B97C61" w14:paraId="36F739B3" w14:textId="77777777" w:rsidTr="00CC2655">
        <w:tc>
          <w:tcPr>
            <w:tcW w:w="2989" w:type="pct"/>
          </w:tcPr>
          <w:p w14:paraId="132EF414" w14:textId="77777777" w:rsidR="00CC2655" w:rsidRPr="00B97C61" w:rsidRDefault="00CC2655" w:rsidP="00CC2655">
            <w:pPr>
              <w:jc w:val="both"/>
              <w:rPr>
                <w:rFonts w:asciiTheme="minorHAnsi" w:hAnsiTheme="minorHAnsi" w:cs="Arial"/>
                <w:sz w:val="20"/>
                <w:szCs w:val="20"/>
              </w:rPr>
            </w:pPr>
          </w:p>
        </w:tc>
        <w:tc>
          <w:tcPr>
            <w:tcW w:w="729" w:type="pct"/>
            <w:shd w:val="clear" w:color="auto" w:fill="F2F2F2" w:themeFill="background1" w:themeFillShade="F2"/>
          </w:tcPr>
          <w:p w14:paraId="0B56613C" w14:textId="0E43E0E6" w:rsidR="00CC2655" w:rsidRPr="000E0F97" w:rsidRDefault="00CC2655" w:rsidP="00CC2655">
            <w:pPr>
              <w:jc w:val="right"/>
              <w:rPr>
                <w:rFonts w:asciiTheme="minorHAnsi" w:hAnsiTheme="minorHAnsi" w:cs="Arial"/>
                <w:b/>
                <w:sz w:val="20"/>
                <w:szCs w:val="20"/>
              </w:rPr>
            </w:pPr>
            <w:r>
              <w:rPr>
                <w:rFonts w:asciiTheme="minorHAnsi" w:hAnsiTheme="minorHAnsi" w:cs="Arial"/>
                <w:b/>
                <w:sz w:val="20"/>
                <w:szCs w:val="20"/>
              </w:rPr>
              <w:t>30 June</w:t>
            </w:r>
          </w:p>
        </w:tc>
        <w:tc>
          <w:tcPr>
            <w:tcW w:w="751" w:type="pct"/>
          </w:tcPr>
          <w:p w14:paraId="0BDCF698" w14:textId="0D971C75" w:rsidR="00CC2655" w:rsidRPr="00B97C61" w:rsidRDefault="00CC2655" w:rsidP="00CC2655">
            <w:pPr>
              <w:jc w:val="right"/>
              <w:rPr>
                <w:rFonts w:asciiTheme="minorHAnsi" w:hAnsiTheme="minorHAnsi" w:cs="Arial"/>
                <w:sz w:val="20"/>
                <w:szCs w:val="20"/>
              </w:rPr>
            </w:pPr>
            <w:r w:rsidRPr="00B7427E">
              <w:rPr>
                <w:rFonts w:asciiTheme="minorHAnsi" w:hAnsiTheme="minorHAnsi" w:cs="Arial"/>
                <w:sz w:val="20"/>
                <w:szCs w:val="20"/>
              </w:rPr>
              <w:t>31 December</w:t>
            </w:r>
          </w:p>
        </w:tc>
        <w:tc>
          <w:tcPr>
            <w:tcW w:w="531" w:type="pct"/>
          </w:tcPr>
          <w:p w14:paraId="36ECD6BF" w14:textId="0C0ADDC9" w:rsidR="00CC2655" w:rsidRPr="00B97C61" w:rsidRDefault="00CC2655" w:rsidP="00CC2655">
            <w:pPr>
              <w:jc w:val="right"/>
              <w:rPr>
                <w:rFonts w:asciiTheme="minorHAnsi" w:hAnsiTheme="minorHAnsi" w:cs="Arial"/>
                <w:sz w:val="20"/>
                <w:szCs w:val="20"/>
              </w:rPr>
            </w:pPr>
            <w:r>
              <w:rPr>
                <w:rFonts w:asciiTheme="minorHAnsi" w:hAnsiTheme="minorHAnsi" w:cs="Arial"/>
                <w:b/>
                <w:sz w:val="20"/>
                <w:szCs w:val="20"/>
              </w:rPr>
              <w:t>30 June</w:t>
            </w:r>
          </w:p>
        </w:tc>
      </w:tr>
      <w:tr w:rsidR="00CC2655" w:rsidRPr="00B97C61" w14:paraId="4D17545F" w14:textId="77777777" w:rsidTr="00CC2655">
        <w:tc>
          <w:tcPr>
            <w:tcW w:w="2989" w:type="pct"/>
          </w:tcPr>
          <w:p w14:paraId="12D2CE53" w14:textId="77777777" w:rsidR="00CC2655" w:rsidRPr="00B97C61" w:rsidRDefault="00CC2655" w:rsidP="00CC2655">
            <w:pPr>
              <w:jc w:val="both"/>
              <w:rPr>
                <w:rFonts w:asciiTheme="minorHAnsi" w:hAnsiTheme="minorHAnsi" w:cs="Arial"/>
                <w:sz w:val="20"/>
                <w:szCs w:val="20"/>
              </w:rPr>
            </w:pPr>
          </w:p>
        </w:tc>
        <w:tc>
          <w:tcPr>
            <w:tcW w:w="729" w:type="pct"/>
            <w:shd w:val="clear" w:color="auto" w:fill="F2F2F2" w:themeFill="background1" w:themeFillShade="F2"/>
          </w:tcPr>
          <w:p w14:paraId="3C41EF4A" w14:textId="033288C0" w:rsidR="00CC2655" w:rsidRPr="000E0F97" w:rsidRDefault="00CC2655" w:rsidP="00CC2655">
            <w:pPr>
              <w:jc w:val="right"/>
              <w:rPr>
                <w:rFonts w:asciiTheme="minorHAnsi" w:hAnsiTheme="minorHAnsi" w:cs="Arial"/>
                <w:b/>
                <w:sz w:val="20"/>
                <w:szCs w:val="20"/>
              </w:rPr>
            </w:pPr>
            <w:r w:rsidRPr="000E0F97">
              <w:rPr>
                <w:rFonts w:asciiTheme="minorHAnsi" w:hAnsiTheme="minorHAnsi" w:cs="Arial"/>
                <w:b/>
                <w:sz w:val="20"/>
                <w:szCs w:val="20"/>
              </w:rPr>
              <w:t>202</w:t>
            </w:r>
            <w:r>
              <w:rPr>
                <w:rFonts w:asciiTheme="minorHAnsi" w:hAnsiTheme="minorHAnsi" w:cs="Arial"/>
                <w:b/>
                <w:sz w:val="20"/>
                <w:szCs w:val="20"/>
              </w:rPr>
              <w:t>4</w:t>
            </w:r>
            <w:r w:rsidRPr="000E0F97">
              <w:rPr>
                <w:rFonts w:asciiTheme="minorHAnsi" w:hAnsiTheme="minorHAnsi" w:cs="Arial"/>
                <w:b/>
                <w:sz w:val="20"/>
                <w:szCs w:val="20"/>
              </w:rPr>
              <w:t> </w:t>
            </w:r>
          </w:p>
        </w:tc>
        <w:tc>
          <w:tcPr>
            <w:tcW w:w="751" w:type="pct"/>
          </w:tcPr>
          <w:p w14:paraId="6A5ECF67" w14:textId="792B64E8" w:rsidR="00CC2655" w:rsidRPr="00B7427E" w:rsidRDefault="00CC2655" w:rsidP="00CC2655">
            <w:pPr>
              <w:jc w:val="right"/>
              <w:rPr>
                <w:rFonts w:asciiTheme="minorHAnsi" w:hAnsiTheme="minorHAnsi" w:cs="Arial"/>
                <w:sz w:val="20"/>
                <w:szCs w:val="20"/>
              </w:rPr>
            </w:pPr>
            <w:r w:rsidRPr="00B7427E">
              <w:rPr>
                <w:rFonts w:asciiTheme="minorHAnsi" w:hAnsiTheme="minorHAnsi" w:cs="Arial"/>
                <w:sz w:val="20"/>
                <w:szCs w:val="20"/>
              </w:rPr>
              <w:t>2023</w:t>
            </w:r>
          </w:p>
        </w:tc>
        <w:tc>
          <w:tcPr>
            <w:tcW w:w="531" w:type="pct"/>
          </w:tcPr>
          <w:p w14:paraId="4885B902" w14:textId="6AB859AA" w:rsidR="00CC2655" w:rsidRPr="00CC2655" w:rsidRDefault="00CC2655" w:rsidP="00CC2655">
            <w:pPr>
              <w:jc w:val="right"/>
              <w:rPr>
                <w:rFonts w:asciiTheme="minorHAnsi" w:hAnsiTheme="minorHAnsi" w:cs="Arial"/>
                <w:b/>
                <w:bCs/>
                <w:sz w:val="20"/>
                <w:szCs w:val="20"/>
              </w:rPr>
            </w:pPr>
            <w:r w:rsidRPr="00CC2655">
              <w:rPr>
                <w:rFonts w:asciiTheme="minorHAnsi" w:hAnsiTheme="minorHAnsi" w:cs="Arial"/>
                <w:b/>
                <w:bCs/>
                <w:sz w:val="20"/>
                <w:szCs w:val="20"/>
              </w:rPr>
              <w:t>2023 </w:t>
            </w:r>
          </w:p>
        </w:tc>
      </w:tr>
      <w:tr w:rsidR="00CC2655" w:rsidRPr="00B97C61" w14:paraId="4C8CA3A7" w14:textId="77777777" w:rsidTr="00CC2655">
        <w:tc>
          <w:tcPr>
            <w:tcW w:w="2989" w:type="pct"/>
          </w:tcPr>
          <w:p w14:paraId="130CA7C4" w14:textId="77777777" w:rsidR="00CC2655" w:rsidRPr="00B97C61" w:rsidRDefault="00CC2655" w:rsidP="00CC2655">
            <w:pPr>
              <w:pStyle w:val="Heading5"/>
              <w:overflowPunct/>
              <w:autoSpaceDE/>
              <w:adjustRightInd/>
              <w:rPr>
                <w:rFonts w:asciiTheme="minorHAnsi" w:hAnsiTheme="minorHAnsi" w:cs="Arial"/>
                <w:bCs/>
                <w:sz w:val="20"/>
              </w:rPr>
            </w:pPr>
          </w:p>
        </w:tc>
        <w:tc>
          <w:tcPr>
            <w:tcW w:w="729" w:type="pct"/>
            <w:tcBorders>
              <w:top w:val="nil"/>
              <w:left w:val="nil"/>
              <w:bottom w:val="single" w:sz="4" w:space="0" w:color="auto"/>
              <w:right w:val="nil"/>
            </w:tcBorders>
            <w:shd w:val="clear" w:color="auto" w:fill="F2F2F2" w:themeFill="background1" w:themeFillShade="F2"/>
          </w:tcPr>
          <w:p w14:paraId="678CC937" w14:textId="77777777" w:rsidR="00CC2655" w:rsidRPr="000E0F97" w:rsidRDefault="00CC2655" w:rsidP="00CC2655">
            <w:pPr>
              <w:jc w:val="right"/>
              <w:rPr>
                <w:rFonts w:asciiTheme="minorHAnsi" w:hAnsiTheme="minorHAnsi" w:cs="Arial"/>
                <w:b/>
                <w:sz w:val="20"/>
                <w:szCs w:val="20"/>
              </w:rPr>
            </w:pPr>
            <w:r w:rsidRPr="000E0F97">
              <w:rPr>
                <w:rFonts w:asciiTheme="minorHAnsi" w:hAnsiTheme="minorHAnsi" w:cs="Arial"/>
                <w:b/>
                <w:sz w:val="20"/>
                <w:szCs w:val="20"/>
              </w:rPr>
              <w:t>£m </w:t>
            </w:r>
          </w:p>
        </w:tc>
        <w:tc>
          <w:tcPr>
            <w:tcW w:w="751" w:type="pct"/>
            <w:tcBorders>
              <w:top w:val="nil"/>
              <w:left w:val="nil"/>
              <w:bottom w:val="single" w:sz="4" w:space="0" w:color="auto"/>
              <w:right w:val="nil"/>
            </w:tcBorders>
          </w:tcPr>
          <w:p w14:paraId="63008869" w14:textId="1B4B5993" w:rsidR="00CC2655" w:rsidRPr="00B7427E" w:rsidRDefault="00CC2655" w:rsidP="00CC2655">
            <w:pPr>
              <w:jc w:val="right"/>
              <w:rPr>
                <w:rFonts w:asciiTheme="minorHAnsi" w:hAnsiTheme="minorHAnsi" w:cs="Arial"/>
                <w:sz w:val="20"/>
                <w:szCs w:val="20"/>
              </w:rPr>
            </w:pPr>
            <w:r w:rsidRPr="00B7427E">
              <w:rPr>
                <w:rFonts w:asciiTheme="minorHAnsi" w:hAnsiTheme="minorHAnsi" w:cs="Arial"/>
                <w:sz w:val="20"/>
                <w:szCs w:val="20"/>
              </w:rPr>
              <w:t>£m</w:t>
            </w:r>
          </w:p>
        </w:tc>
        <w:tc>
          <w:tcPr>
            <w:tcW w:w="531" w:type="pct"/>
            <w:tcBorders>
              <w:top w:val="nil"/>
              <w:left w:val="nil"/>
              <w:bottom w:val="single" w:sz="4" w:space="0" w:color="auto"/>
              <w:right w:val="nil"/>
            </w:tcBorders>
          </w:tcPr>
          <w:p w14:paraId="1F1039F8" w14:textId="77777777" w:rsidR="00CC2655" w:rsidRPr="00B97C61" w:rsidRDefault="00CC2655" w:rsidP="00CC2655">
            <w:pPr>
              <w:jc w:val="right"/>
              <w:rPr>
                <w:rFonts w:asciiTheme="minorHAnsi" w:hAnsiTheme="minorHAnsi" w:cs="Arial"/>
                <w:sz w:val="20"/>
                <w:szCs w:val="20"/>
              </w:rPr>
            </w:pPr>
            <w:r w:rsidRPr="00B97C61">
              <w:rPr>
                <w:rFonts w:asciiTheme="minorHAnsi" w:hAnsiTheme="minorHAnsi" w:cs="Arial"/>
                <w:sz w:val="20"/>
                <w:szCs w:val="20"/>
              </w:rPr>
              <w:t>£m </w:t>
            </w:r>
          </w:p>
        </w:tc>
      </w:tr>
      <w:tr w:rsidR="00CC2655" w:rsidRPr="00B97C61" w14:paraId="60908606" w14:textId="77777777" w:rsidTr="00CC2655">
        <w:tc>
          <w:tcPr>
            <w:tcW w:w="2989" w:type="pct"/>
            <w:vAlign w:val="bottom"/>
          </w:tcPr>
          <w:p w14:paraId="4A6F1F39" w14:textId="77777777" w:rsidR="00CC2655" w:rsidRPr="00B97C61" w:rsidRDefault="00CC2655" w:rsidP="00CC2655">
            <w:pPr>
              <w:tabs>
                <w:tab w:val="right" w:pos="4680"/>
              </w:tabs>
              <w:rPr>
                <w:rFonts w:asciiTheme="minorHAnsi" w:hAnsiTheme="minorHAnsi" w:cs="Arial"/>
                <w:sz w:val="20"/>
                <w:szCs w:val="20"/>
              </w:rPr>
            </w:pPr>
            <w:r w:rsidRPr="00B97C61">
              <w:rPr>
                <w:rFonts w:asciiTheme="minorHAnsi" w:hAnsiTheme="minorHAnsi" w:cs="Arial"/>
                <w:sz w:val="20"/>
                <w:szCs w:val="20"/>
              </w:rPr>
              <w:t>Present value of defined benefit obligation at 1 January</w:t>
            </w:r>
          </w:p>
        </w:tc>
        <w:tc>
          <w:tcPr>
            <w:tcW w:w="729" w:type="pct"/>
            <w:tcBorders>
              <w:top w:val="single" w:sz="4" w:space="0" w:color="auto"/>
              <w:left w:val="nil"/>
              <w:bottom w:val="nil"/>
              <w:right w:val="nil"/>
            </w:tcBorders>
            <w:shd w:val="clear" w:color="auto" w:fill="F2F2F2" w:themeFill="background1" w:themeFillShade="F2"/>
            <w:vAlign w:val="bottom"/>
          </w:tcPr>
          <w:p w14:paraId="240DBA94" w14:textId="22971560" w:rsidR="00CC2655" w:rsidRPr="006D4208" w:rsidRDefault="00CC2655" w:rsidP="00CC2655">
            <w:pPr>
              <w:jc w:val="right"/>
              <w:rPr>
                <w:rFonts w:asciiTheme="minorHAnsi" w:hAnsiTheme="minorHAnsi" w:cs="Arial"/>
                <w:b/>
                <w:sz w:val="20"/>
                <w:szCs w:val="20"/>
              </w:rPr>
            </w:pPr>
            <w:r w:rsidRPr="006D4208">
              <w:rPr>
                <w:rFonts w:asciiTheme="minorHAnsi" w:hAnsiTheme="minorHAnsi" w:cs="Arial"/>
                <w:b/>
                <w:sz w:val="20"/>
                <w:szCs w:val="20"/>
              </w:rPr>
              <w:t>(474.7)</w:t>
            </w:r>
          </w:p>
        </w:tc>
        <w:tc>
          <w:tcPr>
            <w:tcW w:w="751" w:type="pct"/>
            <w:tcBorders>
              <w:top w:val="single" w:sz="4" w:space="0" w:color="auto"/>
              <w:left w:val="nil"/>
              <w:bottom w:val="nil"/>
              <w:right w:val="nil"/>
            </w:tcBorders>
          </w:tcPr>
          <w:p w14:paraId="1FD34087" w14:textId="3905E365" w:rsidR="00CC2655" w:rsidRPr="00B7427E" w:rsidRDefault="009C3EC9" w:rsidP="00CC2655">
            <w:pPr>
              <w:jc w:val="right"/>
              <w:rPr>
                <w:rFonts w:asciiTheme="minorHAnsi" w:hAnsiTheme="minorHAnsi" w:cs="Arial"/>
                <w:sz w:val="20"/>
                <w:szCs w:val="20"/>
              </w:rPr>
            </w:pPr>
            <w:r w:rsidRPr="00B7427E">
              <w:rPr>
                <w:rFonts w:asciiTheme="minorHAnsi" w:hAnsiTheme="minorHAnsi" w:cs="Arial"/>
                <w:sz w:val="20"/>
                <w:szCs w:val="20"/>
              </w:rPr>
              <w:t>(490.0)</w:t>
            </w:r>
          </w:p>
        </w:tc>
        <w:tc>
          <w:tcPr>
            <w:tcW w:w="531" w:type="pct"/>
            <w:tcBorders>
              <w:top w:val="single" w:sz="4" w:space="0" w:color="auto"/>
              <w:left w:val="nil"/>
              <w:bottom w:val="nil"/>
              <w:right w:val="nil"/>
            </w:tcBorders>
            <w:vAlign w:val="bottom"/>
          </w:tcPr>
          <w:p w14:paraId="3DBB96AF" w14:textId="47C32824" w:rsidR="00CC2655" w:rsidRPr="006D4208" w:rsidRDefault="00CC2655" w:rsidP="00CC2655">
            <w:pPr>
              <w:jc w:val="right"/>
              <w:rPr>
                <w:rFonts w:asciiTheme="minorHAnsi" w:hAnsiTheme="minorHAnsi" w:cs="Arial"/>
                <w:sz w:val="20"/>
                <w:szCs w:val="20"/>
              </w:rPr>
            </w:pPr>
            <w:r w:rsidRPr="006D4208">
              <w:rPr>
                <w:rFonts w:asciiTheme="minorHAnsi" w:hAnsiTheme="minorHAnsi" w:cs="Arial"/>
                <w:sz w:val="20"/>
                <w:szCs w:val="20"/>
              </w:rPr>
              <w:t>(490.0)</w:t>
            </w:r>
          </w:p>
        </w:tc>
      </w:tr>
      <w:tr w:rsidR="00CC2655" w:rsidRPr="00B97C61" w14:paraId="039CCC27" w14:textId="77777777" w:rsidTr="00CC2655">
        <w:tc>
          <w:tcPr>
            <w:tcW w:w="2989" w:type="pct"/>
            <w:vAlign w:val="bottom"/>
          </w:tcPr>
          <w:p w14:paraId="237274D7" w14:textId="77777777" w:rsidR="00CC2655" w:rsidRPr="00B97C61" w:rsidRDefault="00CC2655" w:rsidP="00CC2655">
            <w:pPr>
              <w:tabs>
                <w:tab w:val="right" w:pos="4680"/>
              </w:tabs>
              <w:rPr>
                <w:rFonts w:asciiTheme="minorHAnsi" w:hAnsiTheme="minorHAnsi" w:cs="Arial"/>
                <w:sz w:val="20"/>
                <w:szCs w:val="20"/>
              </w:rPr>
            </w:pPr>
            <w:r w:rsidRPr="00B97C61">
              <w:rPr>
                <w:rFonts w:asciiTheme="minorHAnsi" w:hAnsiTheme="minorHAnsi" w:cs="Arial"/>
                <w:sz w:val="20"/>
                <w:szCs w:val="20"/>
              </w:rPr>
              <w:t>Current service cost</w:t>
            </w:r>
          </w:p>
        </w:tc>
        <w:tc>
          <w:tcPr>
            <w:tcW w:w="729" w:type="pct"/>
            <w:shd w:val="clear" w:color="auto" w:fill="F2F2F2" w:themeFill="background1" w:themeFillShade="F2"/>
          </w:tcPr>
          <w:p w14:paraId="78F91BB7" w14:textId="3FB1C3B3" w:rsidR="00CC2655" w:rsidRPr="006D4208" w:rsidRDefault="00CC2655" w:rsidP="00CC2655">
            <w:pPr>
              <w:jc w:val="right"/>
              <w:rPr>
                <w:rFonts w:asciiTheme="minorHAnsi" w:hAnsiTheme="minorHAnsi" w:cs="Arial"/>
                <w:b/>
                <w:sz w:val="20"/>
                <w:szCs w:val="20"/>
              </w:rPr>
            </w:pPr>
            <w:r w:rsidRPr="006D4208">
              <w:rPr>
                <w:rFonts w:asciiTheme="minorHAnsi" w:hAnsiTheme="minorHAnsi" w:cs="Arial"/>
                <w:b/>
                <w:sz w:val="20"/>
                <w:szCs w:val="20"/>
              </w:rPr>
              <w:t>(0.5)</w:t>
            </w:r>
          </w:p>
        </w:tc>
        <w:tc>
          <w:tcPr>
            <w:tcW w:w="751" w:type="pct"/>
          </w:tcPr>
          <w:p w14:paraId="702EC362" w14:textId="41FC5E9E" w:rsidR="00CC2655" w:rsidRPr="00B7427E" w:rsidRDefault="00577F3C" w:rsidP="00CC2655">
            <w:pPr>
              <w:jc w:val="right"/>
              <w:rPr>
                <w:rFonts w:asciiTheme="minorHAnsi" w:hAnsiTheme="minorHAnsi" w:cs="Arial"/>
                <w:sz w:val="20"/>
                <w:szCs w:val="20"/>
              </w:rPr>
            </w:pPr>
            <w:r w:rsidRPr="00B7427E">
              <w:rPr>
                <w:rFonts w:asciiTheme="minorHAnsi" w:hAnsiTheme="minorHAnsi" w:cs="Arial"/>
                <w:sz w:val="20"/>
                <w:szCs w:val="20"/>
              </w:rPr>
              <w:t>(1.1)</w:t>
            </w:r>
          </w:p>
        </w:tc>
        <w:tc>
          <w:tcPr>
            <w:tcW w:w="531" w:type="pct"/>
            <w:vAlign w:val="bottom"/>
          </w:tcPr>
          <w:p w14:paraId="07A943DB" w14:textId="4E9F6DE4" w:rsidR="00CC2655" w:rsidRPr="006D4208" w:rsidRDefault="00CC2655" w:rsidP="00CC2655">
            <w:pPr>
              <w:jc w:val="right"/>
              <w:rPr>
                <w:rFonts w:asciiTheme="minorHAnsi" w:hAnsiTheme="minorHAnsi" w:cs="Arial"/>
                <w:sz w:val="20"/>
                <w:szCs w:val="20"/>
              </w:rPr>
            </w:pPr>
            <w:r w:rsidRPr="006D4208">
              <w:rPr>
                <w:rFonts w:asciiTheme="minorHAnsi" w:hAnsiTheme="minorHAnsi" w:cs="Arial"/>
                <w:sz w:val="20"/>
                <w:szCs w:val="20"/>
              </w:rPr>
              <w:t>(0.5)</w:t>
            </w:r>
          </w:p>
        </w:tc>
      </w:tr>
      <w:tr w:rsidR="00CC2655" w:rsidRPr="00B97C61" w14:paraId="105936D2" w14:textId="77777777" w:rsidTr="00CC2655">
        <w:tc>
          <w:tcPr>
            <w:tcW w:w="2989" w:type="pct"/>
            <w:vAlign w:val="bottom"/>
          </w:tcPr>
          <w:p w14:paraId="3150B25C" w14:textId="77777777" w:rsidR="00CC2655" w:rsidRPr="00B97C61" w:rsidRDefault="00CC2655" w:rsidP="00CC2655">
            <w:pPr>
              <w:tabs>
                <w:tab w:val="right" w:pos="4680"/>
              </w:tabs>
              <w:rPr>
                <w:rFonts w:asciiTheme="minorHAnsi" w:hAnsiTheme="minorHAnsi" w:cs="Arial"/>
                <w:sz w:val="20"/>
                <w:szCs w:val="20"/>
              </w:rPr>
            </w:pPr>
            <w:r w:rsidRPr="00B97C61">
              <w:rPr>
                <w:rFonts w:asciiTheme="minorHAnsi" w:hAnsiTheme="minorHAnsi" w:cs="Arial"/>
                <w:sz w:val="20"/>
                <w:szCs w:val="20"/>
              </w:rPr>
              <w:t>Interest on scheme liabilities</w:t>
            </w:r>
          </w:p>
        </w:tc>
        <w:tc>
          <w:tcPr>
            <w:tcW w:w="729" w:type="pct"/>
            <w:shd w:val="clear" w:color="auto" w:fill="F2F2F2" w:themeFill="background1" w:themeFillShade="F2"/>
          </w:tcPr>
          <w:p w14:paraId="7FD7441E" w14:textId="5A413083" w:rsidR="00CC2655" w:rsidRPr="006D4208" w:rsidRDefault="00CC2655" w:rsidP="00CC2655">
            <w:pPr>
              <w:jc w:val="right"/>
              <w:rPr>
                <w:rFonts w:asciiTheme="minorHAnsi" w:hAnsiTheme="minorHAnsi" w:cs="Arial"/>
                <w:b/>
                <w:sz w:val="20"/>
                <w:szCs w:val="20"/>
              </w:rPr>
            </w:pPr>
            <w:r w:rsidRPr="006D4208">
              <w:rPr>
                <w:rFonts w:asciiTheme="minorHAnsi" w:hAnsiTheme="minorHAnsi" w:cs="Arial"/>
                <w:b/>
                <w:sz w:val="20"/>
                <w:szCs w:val="20"/>
              </w:rPr>
              <w:t>(10.9)</w:t>
            </w:r>
          </w:p>
        </w:tc>
        <w:tc>
          <w:tcPr>
            <w:tcW w:w="751" w:type="pct"/>
          </w:tcPr>
          <w:p w14:paraId="5134E824" w14:textId="2421EB3B" w:rsidR="00CC2655" w:rsidRPr="00B7427E" w:rsidRDefault="00651464" w:rsidP="00CC2655">
            <w:pPr>
              <w:jc w:val="right"/>
              <w:rPr>
                <w:rFonts w:asciiTheme="minorHAnsi" w:hAnsiTheme="minorHAnsi" w:cs="Arial"/>
                <w:sz w:val="20"/>
                <w:szCs w:val="20"/>
              </w:rPr>
            </w:pPr>
            <w:r w:rsidRPr="00B7427E">
              <w:rPr>
                <w:rFonts w:asciiTheme="minorHAnsi" w:hAnsiTheme="minorHAnsi" w:cs="Arial"/>
                <w:sz w:val="20"/>
                <w:szCs w:val="20"/>
              </w:rPr>
              <w:t>(23.0</w:t>
            </w:r>
            <w:r w:rsidR="004B718B" w:rsidRPr="00B7427E">
              <w:rPr>
                <w:rFonts w:asciiTheme="minorHAnsi" w:hAnsiTheme="minorHAnsi" w:cs="Arial"/>
                <w:sz w:val="20"/>
                <w:szCs w:val="20"/>
              </w:rPr>
              <w:t>)</w:t>
            </w:r>
          </w:p>
        </w:tc>
        <w:tc>
          <w:tcPr>
            <w:tcW w:w="531" w:type="pct"/>
            <w:vAlign w:val="bottom"/>
          </w:tcPr>
          <w:p w14:paraId="005D24CB" w14:textId="5BE716D2" w:rsidR="00CC2655" w:rsidRPr="006D4208" w:rsidRDefault="00CC2655" w:rsidP="00CC2655">
            <w:pPr>
              <w:jc w:val="right"/>
              <w:rPr>
                <w:rFonts w:asciiTheme="minorHAnsi" w:hAnsiTheme="minorHAnsi" w:cs="Arial"/>
                <w:sz w:val="20"/>
                <w:szCs w:val="20"/>
              </w:rPr>
            </w:pPr>
            <w:r w:rsidRPr="006D4208">
              <w:rPr>
                <w:rFonts w:asciiTheme="minorHAnsi" w:hAnsiTheme="minorHAnsi" w:cs="Arial"/>
                <w:sz w:val="20"/>
                <w:szCs w:val="20"/>
              </w:rPr>
              <w:t>(11.5)</w:t>
            </w:r>
          </w:p>
        </w:tc>
      </w:tr>
      <w:tr w:rsidR="00CC2655" w:rsidRPr="00B97C61" w14:paraId="0FC9F973" w14:textId="77777777" w:rsidTr="00CC2655">
        <w:tc>
          <w:tcPr>
            <w:tcW w:w="2989" w:type="pct"/>
            <w:vAlign w:val="bottom"/>
          </w:tcPr>
          <w:p w14:paraId="4998DD2C" w14:textId="77777777" w:rsidR="00CC2655" w:rsidRPr="00B97C61" w:rsidRDefault="00CC2655" w:rsidP="00CC2655">
            <w:pPr>
              <w:tabs>
                <w:tab w:val="right" w:pos="4680"/>
              </w:tabs>
              <w:rPr>
                <w:rFonts w:asciiTheme="minorHAnsi" w:hAnsiTheme="minorHAnsi" w:cs="Arial"/>
                <w:sz w:val="20"/>
                <w:szCs w:val="20"/>
              </w:rPr>
            </w:pPr>
            <w:r w:rsidRPr="00B97C61">
              <w:rPr>
                <w:rFonts w:asciiTheme="minorHAnsi" w:hAnsiTheme="minorHAnsi" w:cs="Arial"/>
                <w:sz w:val="20"/>
                <w:szCs w:val="20"/>
              </w:rPr>
              <w:t xml:space="preserve">Actuarial movement – experience </w:t>
            </w:r>
          </w:p>
        </w:tc>
        <w:tc>
          <w:tcPr>
            <w:tcW w:w="729" w:type="pct"/>
            <w:shd w:val="clear" w:color="auto" w:fill="F2F2F2" w:themeFill="background1" w:themeFillShade="F2"/>
          </w:tcPr>
          <w:p w14:paraId="0869C2C0" w14:textId="39F58927" w:rsidR="00CC2655" w:rsidRPr="006D4208" w:rsidRDefault="00CC2655" w:rsidP="00CC2655">
            <w:pPr>
              <w:jc w:val="right"/>
              <w:rPr>
                <w:rFonts w:asciiTheme="minorHAnsi" w:hAnsiTheme="minorHAnsi" w:cs="Arial"/>
                <w:b/>
                <w:sz w:val="20"/>
                <w:szCs w:val="20"/>
              </w:rPr>
            </w:pPr>
            <w:r w:rsidRPr="006D4208">
              <w:rPr>
                <w:rFonts w:asciiTheme="minorHAnsi" w:hAnsiTheme="minorHAnsi" w:cs="Arial"/>
                <w:b/>
                <w:sz w:val="20"/>
                <w:szCs w:val="20"/>
              </w:rPr>
              <w:t>26.9</w:t>
            </w:r>
          </w:p>
        </w:tc>
        <w:tc>
          <w:tcPr>
            <w:tcW w:w="751" w:type="pct"/>
          </w:tcPr>
          <w:p w14:paraId="5683D206" w14:textId="381EC679" w:rsidR="00CC2655" w:rsidRPr="00B7427E" w:rsidRDefault="00E16706" w:rsidP="00CC2655">
            <w:pPr>
              <w:jc w:val="right"/>
              <w:rPr>
                <w:rFonts w:asciiTheme="minorHAnsi" w:hAnsiTheme="minorHAnsi" w:cs="Arial"/>
                <w:sz w:val="20"/>
                <w:szCs w:val="20"/>
              </w:rPr>
            </w:pPr>
            <w:r w:rsidRPr="00B7427E">
              <w:rPr>
                <w:rFonts w:asciiTheme="minorHAnsi" w:hAnsiTheme="minorHAnsi" w:cs="Arial"/>
                <w:sz w:val="20"/>
                <w:szCs w:val="20"/>
              </w:rPr>
              <w:t>1.2</w:t>
            </w:r>
          </w:p>
        </w:tc>
        <w:tc>
          <w:tcPr>
            <w:tcW w:w="531" w:type="pct"/>
            <w:vAlign w:val="bottom"/>
          </w:tcPr>
          <w:p w14:paraId="5C60FCAA" w14:textId="0734ADA4" w:rsidR="00CC2655" w:rsidRPr="006D4208" w:rsidRDefault="00CC2655" w:rsidP="00CC2655">
            <w:pPr>
              <w:jc w:val="right"/>
              <w:rPr>
                <w:rFonts w:asciiTheme="minorHAnsi" w:hAnsiTheme="minorHAnsi" w:cs="Arial"/>
                <w:sz w:val="20"/>
                <w:szCs w:val="20"/>
              </w:rPr>
            </w:pPr>
            <w:r w:rsidRPr="006D4208">
              <w:rPr>
                <w:rFonts w:asciiTheme="minorHAnsi" w:hAnsiTheme="minorHAnsi" w:cs="Arial"/>
                <w:sz w:val="20"/>
                <w:szCs w:val="20"/>
              </w:rPr>
              <w:t>37.7</w:t>
            </w:r>
          </w:p>
        </w:tc>
      </w:tr>
      <w:tr w:rsidR="00CC2655" w:rsidRPr="00B97C61" w14:paraId="437CA7E9" w14:textId="77777777" w:rsidTr="00CC2655">
        <w:tc>
          <w:tcPr>
            <w:tcW w:w="2989" w:type="pct"/>
            <w:vAlign w:val="bottom"/>
          </w:tcPr>
          <w:p w14:paraId="527375A3" w14:textId="77777777" w:rsidR="00CC2655" w:rsidRPr="00B97C61" w:rsidRDefault="00CC2655" w:rsidP="00CC2655">
            <w:pPr>
              <w:tabs>
                <w:tab w:val="right" w:pos="4680"/>
              </w:tabs>
              <w:rPr>
                <w:rFonts w:asciiTheme="minorHAnsi" w:hAnsiTheme="minorHAnsi" w:cs="Arial"/>
                <w:sz w:val="20"/>
                <w:szCs w:val="20"/>
              </w:rPr>
            </w:pPr>
            <w:r w:rsidRPr="00B97C61">
              <w:rPr>
                <w:rFonts w:asciiTheme="minorHAnsi" w:hAnsiTheme="minorHAnsi" w:cs="Arial"/>
                <w:sz w:val="20"/>
                <w:szCs w:val="20"/>
              </w:rPr>
              <w:t>Actuarial movement – demographic assumptions</w:t>
            </w:r>
          </w:p>
        </w:tc>
        <w:tc>
          <w:tcPr>
            <w:tcW w:w="729" w:type="pct"/>
            <w:shd w:val="clear" w:color="auto" w:fill="F2F2F2" w:themeFill="background1" w:themeFillShade="F2"/>
          </w:tcPr>
          <w:p w14:paraId="3274C548" w14:textId="7176217E" w:rsidR="00CC2655" w:rsidRPr="006D4208" w:rsidRDefault="00CC2655" w:rsidP="00CC2655">
            <w:pPr>
              <w:jc w:val="right"/>
              <w:rPr>
                <w:rFonts w:asciiTheme="minorHAnsi" w:hAnsiTheme="minorHAnsi" w:cs="Arial"/>
                <w:b/>
                <w:sz w:val="20"/>
                <w:szCs w:val="20"/>
              </w:rPr>
            </w:pPr>
            <w:r w:rsidRPr="006D4208">
              <w:rPr>
                <w:rFonts w:asciiTheme="minorHAnsi" w:hAnsiTheme="minorHAnsi" w:cs="Arial"/>
                <w:b/>
                <w:sz w:val="20"/>
                <w:szCs w:val="20"/>
              </w:rPr>
              <w:t>-</w:t>
            </w:r>
          </w:p>
        </w:tc>
        <w:tc>
          <w:tcPr>
            <w:tcW w:w="751" w:type="pct"/>
          </w:tcPr>
          <w:p w14:paraId="3F62E10E" w14:textId="41F9005B" w:rsidR="00CC2655" w:rsidRPr="00B7427E" w:rsidRDefault="004E6E59" w:rsidP="00CC2655">
            <w:pPr>
              <w:jc w:val="right"/>
              <w:rPr>
                <w:rFonts w:asciiTheme="minorHAnsi" w:hAnsiTheme="minorHAnsi" w:cs="Arial"/>
                <w:sz w:val="20"/>
                <w:szCs w:val="20"/>
              </w:rPr>
            </w:pPr>
            <w:r w:rsidRPr="00B7427E">
              <w:rPr>
                <w:rFonts w:asciiTheme="minorHAnsi" w:hAnsiTheme="minorHAnsi" w:cs="Arial"/>
                <w:sz w:val="20"/>
                <w:szCs w:val="20"/>
              </w:rPr>
              <w:t>19.3</w:t>
            </w:r>
          </w:p>
        </w:tc>
        <w:tc>
          <w:tcPr>
            <w:tcW w:w="531" w:type="pct"/>
            <w:vAlign w:val="bottom"/>
          </w:tcPr>
          <w:p w14:paraId="44C1378B" w14:textId="27B554D8" w:rsidR="00CC2655" w:rsidRPr="006D4208" w:rsidRDefault="00CC2655" w:rsidP="00CC2655">
            <w:pPr>
              <w:jc w:val="right"/>
              <w:rPr>
                <w:rFonts w:asciiTheme="minorHAnsi" w:hAnsiTheme="minorHAnsi" w:cs="Arial"/>
                <w:sz w:val="20"/>
                <w:szCs w:val="20"/>
              </w:rPr>
            </w:pPr>
            <w:r w:rsidRPr="006D4208">
              <w:rPr>
                <w:rFonts w:asciiTheme="minorHAnsi" w:hAnsiTheme="minorHAnsi" w:cs="Arial"/>
                <w:sz w:val="20"/>
                <w:szCs w:val="20"/>
              </w:rPr>
              <w:t>-</w:t>
            </w:r>
          </w:p>
        </w:tc>
      </w:tr>
      <w:tr w:rsidR="00CC2655" w:rsidRPr="00B97C61" w14:paraId="490C2BE6" w14:textId="77777777" w:rsidTr="00CC2655">
        <w:tc>
          <w:tcPr>
            <w:tcW w:w="2989" w:type="pct"/>
            <w:vAlign w:val="bottom"/>
          </w:tcPr>
          <w:p w14:paraId="20427C60" w14:textId="77777777" w:rsidR="00CC2655" w:rsidRPr="00B97C61" w:rsidRDefault="00CC2655" w:rsidP="00CC2655">
            <w:pPr>
              <w:tabs>
                <w:tab w:val="right" w:pos="4680"/>
              </w:tabs>
              <w:rPr>
                <w:rFonts w:asciiTheme="minorHAnsi" w:hAnsiTheme="minorHAnsi" w:cs="Arial"/>
                <w:sz w:val="20"/>
                <w:szCs w:val="20"/>
              </w:rPr>
            </w:pPr>
            <w:r w:rsidRPr="00B97C61">
              <w:rPr>
                <w:rFonts w:asciiTheme="minorHAnsi" w:hAnsiTheme="minorHAnsi" w:cs="Arial"/>
                <w:sz w:val="20"/>
                <w:szCs w:val="20"/>
              </w:rPr>
              <w:t>Actuarial movement – financial assumptions</w:t>
            </w:r>
          </w:p>
        </w:tc>
        <w:tc>
          <w:tcPr>
            <w:tcW w:w="729" w:type="pct"/>
            <w:shd w:val="clear" w:color="auto" w:fill="F2F2F2" w:themeFill="background1" w:themeFillShade="F2"/>
          </w:tcPr>
          <w:p w14:paraId="31AA237A" w14:textId="3A930202" w:rsidR="00CC2655" w:rsidRPr="006D4208" w:rsidRDefault="00CC2655" w:rsidP="00CC2655">
            <w:pPr>
              <w:jc w:val="right"/>
              <w:rPr>
                <w:rFonts w:asciiTheme="minorHAnsi" w:hAnsiTheme="minorHAnsi" w:cs="Arial"/>
                <w:b/>
                <w:sz w:val="20"/>
                <w:szCs w:val="20"/>
              </w:rPr>
            </w:pPr>
            <w:r w:rsidRPr="006D4208">
              <w:rPr>
                <w:rFonts w:asciiTheme="minorHAnsi" w:hAnsiTheme="minorHAnsi" w:cs="Arial"/>
                <w:b/>
                <w:sz w:val="20"/>
                <w:szCs w:val="20"/>
              </w:rPr>
              <w:t>-</w:t>
            </w:r>
          </w:p>
        </w:tc>
        <w:tc>
          <w:tcPr>
            <w:tcW w:w="751" w:type="pct"/>
          </w:tcPr>
          <w:p w14:paraId="2F575E83" w14:textId="3AEB5C59" w:rsidR="00CC2655" w:rsidRPr="00B7427E" w:rsidRDefault="001678A5" w:rsidP="00CC2655">
            <w:pPr>
              <w:jc w:val="right"/>
              <w:rPr>
                <w:rFonts w:asciiTheme="minorHAnsi" w:hAnsiTheme="minorHAnsi" w:cs="Arial"/>
                <w:sz w:val="20"/>
                <w:szCs w:val="20"/>
              </w:rPr>
            </w:pPr>
            <w:r w:rsidRPr="00B7427E">
              <w:rPr>
                <w:rFonts w:asciiTheme="minorHAnsi" w:hAnsiTheme="minorHAnsi" w:cs="Arial"/>
                <w:sz w:val="20"/>
                <w:szCs w:val="20"/>
              </w:rPr>
              <w:t>(6.3)</w:t>
            </w:r>
          </w:p>
        </w:tc>
        <w:tc>
          <w:tcPr>
            <w:tcW w:w="531" w:type="pct"/>
            <w:vAlign w:val="bottom"/>
          </w:tcPr>
          <w:p w14:paraId="671FC66D" w14:textId="4B862F93" w:rsidR="00CC2655" w:rsidRPr="006D4208" w:rsidRDefault="00CC2655" w:rsidP="00CC2655">
            <w:pPr>
              <w:jc w:val="right"/>
              <w:rPr>
                <w:rFonts w:asciiTheme="minorHAnsi" w:hAnsiTheme="minorHAnsi" w:cs="Arial"/>
                <w:sz w:val="20"/>
                <w:szCs w:val="20"/>
              </w:rPr>
            </w:pPr>
            <w:r w:rsidRPr="006D4208">
              <w:rPr>
                <w:rFonts w:asciiTheme="minorHAnsi" w:hAnsiTheme="minorHAnsi" w:cs="Arial"/>
                <w:sz w:val="20"/>
                <w:szCs w:val="20"/>
              </w:rPr>
              <w:t>-</w:t>
            </w:r>
          </w:p>
        </w:tc>
      </w:tr>
      <w:tr w:rsidR="00CC2655" w:rsidRPr="00B97C61" w14:paraId="0858852C" w14:textId="77777777" w:rsidTr="00CC2655">
        <w:tc>
          <w:tcPr>
            <w:tcW w:w="2989" w:type="pct"/>
            <w:vAlign w:val="bottom"/>
          </w:tcPr>
          <w:p w14:paraId="72FCEA66" w14:textId="77777777" w:rsidR="00CC2655" w:rsidRPr="00B97C61" w:rsidRDefault="00CC2655" w:rsidP="00CC2655">
            <w:pPr>
              <w:tabs>
                <w:tab w:val="right" w:pos="4680"/>
              </w:tabs>
              <w:rPr>
                <w:rFonts w:asciiTheme="minorHAnsi" w:hAnsiTheme="minorHAnsi" w:cs="Arial"/>
                <w:sz w:val="20"/>
                <w:szCs w:val="20"/>
              </w:rPr>
            </w:pPr>
            <w:r w:rsidRPr="00B97C61">
              <w:rPr>
                <w:rFonts w:asciiTheme="minorHAnsi" w:hAnsiTheme="minorHAnsi" w:cs="Arial"/>
                <w:sz w:val="20"/>
                <w:szCs w:val="20"/>
              </w:rPr>
              <w:t>Net benefits paid out</w:t>
            </w:r>
          </w:p>
        </w:tc>
        <w:tc>
          <w:tcPr>
            <w:tcW w:w="729" w:type="pct"/>
            <w:tcBorders>
              <w:top w:val="nil"/>
              <w:left w:val="nil"/>
              <w:bottom w:val="single" w:sz="4" w:space="0" w:color="auto"/>
              <w:right w:val="nil"/>
            </w:tcBorders>
            <w:shd w:val="clear" w:color="auto" w:fill="F2F2F2" w:themeFill="background1" w:themeFillShade="F2"/>
          </w:tcPr>
          <w:p w14:paraId="6BB92EB5" w14:textId="5C2796E8" w:rsidR="00CC2655" w:rsidRPr="006D4208" w:rsidRDefault="00CC2655" w:rsidP="00CC2655">
            <w:pPr>
              <w:jc w:val="right"/>
              <w:rPr>
                <w:rFonts w:asciiTheme="minorHAnsi" w:hAnsiTheme="minorHAnsi" w:cs="Arial"/>
                <w:b/>
                <w:sz w:val="20"/>
                <w:szCs w:val="20"/>
              </w:rPr>
            </w:pPr>
            <w:r w:rsidRPr="006D4208">
              <w:rPr>
                <w:rFonts w:asciiTheme="minorHAnsi" w:hAnsiTheme="minorHAnsi" w:cs="Arial"/>
                <w:b/>
                <w:sz w:val="20"/>
                <w:szCs w:val="20"/>
              </w:rPr>
              <w:t>12.6</w:t>
            </w:r>
          </w:p>
        </w:tc>
        <w:tc>
          <w:tcPr>
            <w:tcW w:w="751" w:type="pct"/>
            <w:tcBorders>
              <w:top w:val="nil"/>
              <w:left w:val="nil"/>
              <w:bottom w:val="single" w:sz="4" w:space="0" w:color="auto"/>
              <w:right w:val="nil"/>
            </w:tcBorders>
          </w:tcPr>
          <w:p w14:paraId="62BD1ED7" w14:textId="217EB71A" w:rsidR="00CC2655" w:rsidRPr="00B7427E" w:rsidRDefault="009838DD" w:rsidP="00CC2655">
            <w:pPr>
              <w:jc w:val="right"/>
              <w:rPr>
                <w:rFonts w:asciiTheme="minorHAnsi" w:hAnsiTheme="minorHAnsi" w:cs="Arial"/>
                <w:sz w:val="20"/>
                <w:szCs w:val="20"/>
              </w:rPr>
            </w:pPr>
            <w:r w:rsidRPr="00B7427E">
              <w:rPr>
                <w:rFonts w:asciiTheme="minorHAnsi" w:hAnsiTheme="minorHAnsi" w:cs="Arial"/>
                <w:sz w:val="20"/>
                <w:szCs w:val="20"/>
              </w:rPr>
              <w:t>25.2</w:t>
            </w:r>
          </w:p>
        </w:tc>
        <w:tc>
          <w:tcPr>
            <w:tcW w:w="531" w:type="pct"/>
            <w:tcBorders>
              <w:top w:val="nil"/>
              <w:left w:val="nil"/>
              <w:bottom w:val="single" w:sz="4" w:space="0" w:color="auto"/>
              <w:right w:val="nil"/>
            </w:tcBorders>
            <w:vAlign w:val="bottom"/>
          </w:tcPr>
          <w:p w14:paraId="3A41C612" w14:textId="3867BE79" w:rsidR="00CC2655" w:rsidRPr="006D4208" w:rsidRDefault="00CC2655" w:rsidP="00CC2655">
            <w:pPr>
              <w:jc w:val="right"/>
              <w:rPr>
                <w:rFonts w:asciiTheme="minorHAnsi" w:hAnsiTheme="minorHAnsi" w:cs="Arial"/>
                <w:sz w:val="20"/>
                <w:szCs w:val="20"/>
              </w:rPr>
            </w:pPr>
            <w:r w:rsidRPr="006D4208">
              <w:rPr>
                <w:rFonts w:asciiTheme="minorHAnsi" w:hAnsiTheme="minorHAnsi" w:cs="Arial"/>
                <w:sz w:val="20"/>
                <w:szCs w:val="20"/>
              </w:rPr>
              <w:t>10.7</w:t>
            </w:r>
          </w:p>
        </w:tc>
      </w:tr>
      <w:tr w:rsidR="00CC2655" w:rsidRPr="00B97C61" w14:paraId="58E66406" w14:textId="77777777" w:rsidTr="00CC2655">
        <w:tc>
          <w:tcPr>
            <w:tcW w:w="2989" w:type="pct"/>
            <w:vAlign w:val="bottom"/>
          </w:tcPr>
          <w:p w14:paraId="46F99A49" w14:textId="7AF6120D" w:rsidR="00CC2655" w:rsidRPr="00B97C61" w:rsidRDefault="00CC2655" w:rsidP="00CC2655">
            <w:pPr>
              <w:rPr>
                <w:rFonts w:asciiTheme="minorHAnsi" w:hAnsiTheme="minorHAnsi" w:cs="Arial"/>
                <w:b/>
                <w:sz w:val="20"/>
                <w:szCs w:val="20"/>
              </w:rPr>
            </w:pPr>
            <w:r w:rsidRPr="00B97C61">
              <w:rPr>
                <w:rFonts w:asciiTheme="minorHAnsi" w:hAnsiTheme="minorHAnsi" w:cs="Arial"/>
                <w:b/>
                <w:sz w:val="20"/>
                <w:szCs w:val="20"/>
              </w:rPr>
              <w:t xml:space="preserve">Present value of defined benefit obligation at </w:t>
            </w:r>
            <w:r w:rsidR="003366F7">
              <w:rPr>
                <w:rFonts w:asciiTheme="minorHAnsi" w:hAnsiTheme="minorHAnsi" w:cs="Arial"/>
                <w:b/>
                <w:sz w:val="20"/>
                <w:szCs w:val="20"/>
              </w:rPr>
              <w:t>period end</w:t>
            </w:r>
          </w:p>
        </w:tc>
        <w:tc>
          <w:tcPr>
            <w:tcW w:w="729" w:type="pct"/>
            <w:tcBorders>
              <w:top w:val="single" w:sz="4" w:space="0" w:color="auto"/>
              <w:left w:val="nil"/>
              <w:bottom w:val="single" w:sz="12" w:space="0" w:color="auto"/>
              <w:right w:val="nil"/>
            </w:tcBorders>
            <w:shd w:val="clear" w:color="auto" w:fill="F2F2F2" w:themeFill="background1" w:themeFillShade="F2"/>
          </w:tcPr>
          <w:p w14:paraId="70A0D049" w14:textId="150AEFCE" w:rsidR="00CC2655" w:rsidRPr="006D4208" w:rsidRDefault="00CC2655" w:rsidP="00CC2655">
            <w:pPr>
              <w:jc w:val="right"/>
              <w:rPr>
                <w:rFonts w:asciiTheme="minorHAnsi" w:hAnsiTheme="minorHAnsi" w:cs="Arial"/>
                <w:b/>
                <w:sz w:val="20"/>
                <w:szCs w:val="20"/>
              </w:rPr>
            </w:pPr>
            <w:r w:rsidRPr="006D4208">
              <w:rPr>
                <w:rFonts w:asciiTheme="minorHAnsi" w:hAnsiTheme="minorHAnsi" w:cs="Arial"/>
                <w:b/>
                <w:sz w:val="20"/>
                <w:szCs w:val="20"/>
              </w:rPr>
              <w:t>(446.6)</w:t>
            </w:r>
          </w:p>
        </w:tc>
        <w:tc>
          <w:tcPr>
            <w:tcW w:w="751" w:type="pct"/>
            <w:tcBorders>
              <w:top w:val="single" w:sz="4" w:space="0" w:color="auto"/>
              <w:left w:val="nil"/>
              <w:bottom w:val="single" w:sz="12" w:space="0" w:color="auto"/>
              <w:right w:val="nil"/>
            </w:tcBorders>
          </w:tcPr>
          <w:p w14:paraId="0A46711E" w14:textId="3DF8ABFA" w:rsidR="00CC2655" w:rsidRPr="00B7427E" w:rsidRDefault="00C94302" w:rsidP="00CC2655">
            <w:pPr>
              <w:jc w:val="right"/>
              <w:rPr>
                <w:rFonts w:asciiTheme="minorHAnsi" w:hAnsiTheme="minorHAnsi" w:cs="Arial"/>
                <w:sz w:val="20"/>
                <w:szCs w:val="20"/>
              </w:rPr>
            </w:pPr>
            <w:r w:rsidRPr="00B7427E">
              <w:rPr>
                <w:rFonts w:asciiTheme="minorHAnsi" w:hAnsiTheme="minorHAnsi" w:cs="Arial"/>
                <w:sz w:val="20"/>
                <w:szCs w:val="20"/>
              </w:rPr>
              <w:t>(474.7)</w:t>
            </w:r>
          </w:p>
        </w:tc>
        <w:tc>
          <w:tcPr>
            <w:tcW w:w="531" w:type="pct"/>
            <w:tcBorders>
              <w:top w:val="single" w:sz="4" w:space="0" w:color="auto"/>
              <w:left w:val="nil"/>
              <w:bottom w:val="single" w:sz="12" w:space="0" w:color="auto"/>
              <w:right w:val="nil"/>
            </w:tcBorders>
            <w:vAlign w:val="bottom"/>
          </w:tcPr>
          <w:p w14:paraId="646384B1" w14:textId="3B87323E" w:rsidR="00CC2655" w:rsidRPr="006D4208" w:rsidRDefault="00CC2655" w:rsidP="00CC2655">
            <w:pPr>
              <w:jc w:val="right"/>
              <w:rPr>
                <w:rFonts w:asciiTheme="minorHAnsi" w:hAnsiTheme="minorHAnsi" w:cs="Arial"/>
                <w:sz w:val="20"/>
                <w:szCs w:val="20"/>
              </w:rPr>
            </w:pPr>
            <w:r w:rsidRPr="006D4208">
              <w:rPr>
                <w:rFonts w:asciiTheme="minorHAnsi" w:hAnsiTheme="minorHAnsi" w:cs="Arial"/>
                <w:sz w:val="20"/>
                <w:szCs w:val="20"/>
              </w:rPr>
              <w:t>(453.6)</w:t>
            </w:r>
          </w:p>
        </w:tc>
      </w:tr>
    </w:tbl>
    <w:p w14:paraId="5B32D84C" w14:textId="77777777" w:rsidR="00632C29" w:rsidRDefault="00632C29"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1F5D9CB5" w14:textId="48A0B034" w:rsidR="00A3021A" w:rsidRDefault="00A3021A"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306AF1">
        <w:rPr>
          <w:rFonts w:asciiTheme="minorHAnsi" w:hAnsiTheme="minorHAnsi" w:cs="Arial"/>
          <w:sz w:val="20"/>
          <w:szCs w:val="20"/>
        </w:rPr>
        <w:t>The principal actuarial assumptions used at the balance sheet date were as follows:</w:t>
      </w:r>
    </w:p>
    <w:p w14:paraId="59FDB0A7" w14:textId="77777777" w:rsidR="00632C29" w:rsidRDefault="00632C29"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tbl>
      <w:tblPr>
        <w:tblW w:w="5000" w:type="pct"/>
        <w:tblLayout w:type="fixed"/>
        <w:tblLook w:val="0000" w:firstRow="0" w:lastRow="0" w:firstColumn="0" w:lastColumn="0" w:noHBand="0" w:noVBand="0"/>
      </w:tblPr>
      <w:tblGrid>
        <w:gridCol w:w="5812"/>
        <w:gridCol w:w="1418"/>
        <w:gridCol w:w="1560"/>
        <w:gridCol w:w="933"/>
      </w:tblGrid>
      <w:tr w:rsidR="008409D8" w:rsidRPr="00B97C61" w14:paraId="55C96BC3" w14:textId="77777777" w:rsidTr="00FC5F4A">
        <w:trPr>
          <w:gridAfter w:val="3"/>
          <w:wAfter w:w="3911" w:type="dxa"/>
          <w:trHeight w:val="344"/>
        </w:trPr>
        <w:tc>
          <w:tcPr>
            <w:tcW w:w="2989" w:type="pct"/>
          </w:tcPr>
          <w:p w14:paraId="39158EE6" w14:textId="77777777" w:rsidR="008409D8" w:rsidRPr="00B97C61" w:rsidRDefault="008409D8" w:rsidP="008409D8">
            <w:pPr>
              <w:jc w:val="both"/>
              <w:rPr>
                <w:rFonts w:asciiTheme="minorHAnsi" w:hAnsiTheme="minorHAnsi" w:cs="Arial"/>
                <w:sz w:val="20"/>
                <w:szCs w:val="20"/>
              </w:rPr>
            </w:pPr>
          </w:p>
        </w:tc>
      </w:tr>
      <w:tr w:rsidR="008409D8" w:rsidRPr="00B97C61" w14:paraId="561B33F0" w14:textId="7A75E343" w:rsidTr="001B0946">
        <w:tc>
          <w:tcPr>
            <w:tcW w:w="2989" w:type="pct"/>
          </w:tcPr>
          <w:p w14:paraId="580D8B9B" w14:textId="77777777" w:rsidR="008409D8" w:rsidRPr="00B97C61" w:rsidRDefault="008409D8" w:rsidP="008409D8">
            <w:pPr>
              <w:jc w:val="both"/>
              <w:rPr>
                <w:rFonts w:asciiTheme="minorHAnsi" w:hAnsiTheme="minorHAnsi" w:cs="Arial"/>
                <w:sz w:val="20"/>
                <w:szCs w:val="20"/>
              </w:rPr>
            </w:pPr>
          </w:p>
        </w:tc>
        <w:tc>
          <w:tcPr>
            <w:tcW w:w="729" w:type="pct"/>
            <w:shd w:val="clear" w:color="auto" w:fill="F2F2F2" w:themeFill="background1" w:themeFillShade="F2"/>
          </w:tcPr>
          <w:p w14:paraId="15F6C2D9" w14:textId="77777777" w:rsidR="0070153B" w:rsidRDefault="0070153B" w:rsidP="008409D8">
            <w:pPr>
              <w:jc w:val="right"/>
              <w:rPr>
                <w:rFonts w:asciiTheme="minorHAnsi" w:hAnsiTheme="minorHAnsi" w:cs="Arial"/>
                <w:b/>
                <w:sz w:val="20"/>
                <w:szCs w:val="20"/>
              </w:rPr>
            </w:pPr>
            <w:r>
              <w:rPr>
                <w:rFonts w:asciiTheme="minorHAnsi" w:hAnsiTheme="minorHAnsi" w:cs="Arial"/>
                <w:b/>
                <w:sz w:val="20"/>
                <w:szCs w:val="20"/>
              </w:rPr>
              <w:t>30 June</w:t>
            </w:r>
          </w:p>
          <w:p w14:paraId="1AB1A62F" w14:textId="6564AAB7" w:rsidR="008409D8" w:rsidRPr="000E0F97" w:rsidRDefault="008409D8" w:rsidP="008409D8">
            <w:pPr>
              <w:jc w:val="right"/>
              <w:rPr>
                <w:rFonts w:asciiTheme="minorHAnsi" w:hAnsiTheme="minorHAnsi" w:cs="Arial"/>
                <w:b/>
                <w:sz w:val="20"/>
                <w:szCs w:val="20"/>
              </w:rPr>
            </w:pPr>
            <w:r w:rsidRPr="000E0F97">
              <w:rPr>
                <w:rFonts w:asciiTheme="minorHAnsi" w:hAnsiTheme="minorHAnsi" w:cs="Arial"/>
                <w:b/>
                <w:sz w:val="20"/>
                <w:szCs w:val="20"/>
              </w:rPr>
              <w:t>202</w:t>
            </w:r>
            <w:r>
              <w:rPr>
                <w:rFonts w:asciiTheme="minorHAnsi" w:hAnsiTheme="minorHAnsi" w:cs="Arial"/>
                <w:b/>
                <w:sz w:val="20"/>
                <w:szCs w:val="20"/>
              </w:rPr>
              <w:t>4</w:t>
            </w:r>
            <w:r w:rsidRPr="000E0F97">
              <w:rPr>
                <w:rFonts w:asciiTheme="minorHAnsi" w:hAnsiTheme="minorHAnsi" w:cs="Arial"/>
                <w:b/>
                <w:sz w:val="20"/>
                <w:szCs w:val="20"/>
              </w:rPr>
              <w:t> </w:t>
            </w:r>
          </w:p>
        </w:tc>
        <w:tc>
          <w:tcPr>
            <w:tcW w:w="802" w:type="pct"/>
          </w:tcPr>
          <w:p w14:paraId="2C4109A1" w14:textId="2D35760F" w:rsidR="008409D8" w:rsidRPr="00B97C61" w:rsidRDefault="0070153B" w:rsidP="008409D8">
            <w:pPr>
              <w:jc w:val="right"/>
              <w:rPr>
                <w:rFonts w:asciiTheme="minorHAnsi" w:hAnsiTheme="minorHAnsi" w:cs="Arial"/>
                <w:sz w:val="20"/>
                <w:szCs w:val="20"/>
              </w:rPr>
            </w:pPr>
            <w:r>
              <w:rPr>
                <w:rFonts w:asciiTheme="minorHAnsi" w:hAnsiTheme="minorHAnsi" w:cs="Arial"/>
                <w:sz w:val="20"/>
                <w:szCs w:val="20"/>
              </w:rPr>
              <w:t xml:space="preserve">31 </w:t>
            </w:r>
            <w:r w:rsidR="001B0946">
              <w:rPr>
                <w:rFonts w:asciiTheme="minorHAnsi" w:hAnsiTheme="minorHAnsi" w:cs="Arial"/>
                <w:sz w:val="20"/>
                <w:szCs w:val="20"/>
              </w:rPr>
              <w:t>December</w:t>
            </w:r>
            <w:r>
              <w:rPr>
                <w:rFonts w:asciiTheme="minorHAnsi" w:hAnsiTheme="minorHAnsi" w:cs="Arial"/>
                <w:sz w:val="20"/>
                <w:szCs w:val="20"/>
              </w:rPr>
              <w:t xml:space="preserve"> </w:t>
            </w:r>
            <w:r w:rsidR="008409D8" w:rsidRPr="00B97C61">
              <w:rPr>
                <w:rFonts w:asciiTheme="minorHAnsi" w:hAnsiTheme="minorHAnsi" w:cs="Arial"/>
                <w:sz w:val="20"/>
                <w:szCs w:val="20"/>
              </w:rPr>
              <w:t>202</w:t>
            </w:r>
            <w:r w:rsidR="008409D8">
              <w:rPr>
                <w:rFonts w:asciiTheme="minorHAnsi" w:hAnsiTheme="minorHAnsi" w:cs="Arial"/>
                <w:sz w:val="20"/>
                <w:szCs w:val="20"/>
              </w:rPr>
              <w:t>3</w:t>
            </w:r>
            <w:r w:rsidR="008409D8" w:rsidRPr="00B97C61">
              <w:rPr>
                <w:rFonts w:asciiTheme="minorHAnsi" w:hAnsiTheme="minorHAnsi" w:cs="Arial"/>
                <w:sz w:val="20"/>
                <w:szCs w:val="20"/>
              </w:rPr>
              <w:t> </w:t>
            </w:r>
          </w:p>
        </w:tc>
        <w:tc>
          <w:tcPr>
            <w:tcW w:w="480" w:type="pct"/>
          </w:tcPr>
          <w:p w14:paraId="179C6A9E" w14:textId="767AC826" w:rsidR="008409D8" w:rsidRPr="00B97C61" w:rsidRDefault="001B0946" w:rsidP="008409D8">
            <w:pPr>
              <w:jc w:val="right"/>
              <w:rPr>
                <w:rFonts w:asciiTheme="minorHAnsi" w:hAnsiTheme="minorHAnsi" w:cs="Arial"/>
                <w:sz w:val="20"/>
                <w:szCs w:val="20"/>
              </w:rPr>
            </w:pPr>
            <w:r>
              <w:rPr>
                <w:rFonts w:asciiTheme="minorHAnsi" w:hAnsiTheme="minorHAnsi" w:cs="Arial"/>
                <w:sz w:val="20"/>
                <w:szCs w:val="20"/>
              </w:rPr>
              <w:t xml:space="preserve">30 June </w:t>
            </w:r>
            <w:r w:rsidR="008409D8" w:rsidRPr="00B97C61">
              <w:rPr>
                <w:rFonts w:asciiTheme="minorHAnsi" w:hAnsiTheme="minorHAnsi" w:cs="Arial"/>
                <w:sz w:val="20"/>
                <w:szCs w:val="20"/>
              </w:rPr>
              <w:t>202</w:t>
            </w:r>
            <w:r w:rsidR="008409D8">
              <w:rPr>
                <w:rFonts w:asciiTheme="minorHAnsi" w:hAnsiTheme="minorHAnsi" w:cs="Arial"/>
                <w:sz w:val="20"/>
                <w:szCs w:val="20"/>
              </w:rPr>
              <w:t>3</w:t>
            </w:r>
            <w:r w:rsidR="008409D8" w:rsidRPr="00B97C61">
              <w:rPr>
                <w:rFonts w:asciiTheme="minorHAnsi" w:hAnsiTheme="minorHAnsi" w:cs="Arial"/>
                <w:sz w:val="20"/>
                <w:szCs w:val="20"/>
              </w:rPr>
              <w:t> </w:t>
            </w:r>
          </w:p>
        </w:tc>
      </w:tr>
      <w:tr w:rsidR="008409D8" w:rsidRPr="00B97C61" w14:paraId="6810CE22" w14:textId="580FE728" w:rsidTr="001B0946">
        <w:tc>
          <w:tcPr>
            <w:tcW w:w="2989" w:type="pct"/>
          </w:tcPr>
          <w:p w14:paraId="6CA45ED8" w14:textId="77777777" w:rsidR="008409D8" w:rsidRPr="00B97C61" w:rsidRDefault="008409D8" w:rsidP="008409D8">
            <w:pPr>
              <w:pStyle w:val="Heading5"/>
              <w:overflowPunct/>
              <w:autoSpaceDE/>
              <w:adjustRightInd/>
              <w:rPr>
                <w:rFonts w:asciiTheme="minorHAnsi" w:hAnsiTheme="minorHAnsi" w:cs="Arial"/>
                <w:bCs/>
                <w:sz w:val="20"/>
              </w:rPr>
            </w:pPr>
          </w:p>
        </w:tc>
        <w:tc>
          <w:tcPr>
            <w:tcW w:w="729" w:type="pct"/>
            <w:tcBorders>
              <w:top w:val="nil"/>
              <w:left w:val="nil"/>
              <w:bottom w:val="single" w:sz="4" w:space="0" w:color="auto"/>
              <w:right w:val="nil"/>
            </w:tcBorders>
            <w:shd w:val="clear" w:color="auto" w:fill="F2F2F2" w:themeFill="background1" w:themeFillShade="F2"/>
          </w:tcPr>
          <w:p w14:paraId="78D76A71" w14:textId="77777777" w:rsidR="008409D8" w:rsidRPr="000E0F97" w:rsidRDefault="008409D8" w:rsidP="008409D8">
            <w:pPr>
              <w:jc w:val="right"/>
              <w:rPr>
                <w:rFonts w:asciiTheme="minorHAnsi" w:hAnsiTheme="minorHAnsi" w:cs="Arial"/>
                <w:b/>
                <w:sz w:val="20"/>
                <w:szCs w:val="20"/>
              </w:rPr>
            </w:pPr>
            <w:r w:rsidRPr="000E0F97">
              <w:rPr>
                <w:rFonts w:asciiTheme="minorHAnsi" w:hAnsiTheme="minorHAnsi" w:cs="Arial"/>
                <w:b/>
                <w:sz w:val="20"/>
                <w:szCs w:val="20"/>
              </w:rPr>
              <w:t>% </w:t>
            </w:r>
          </w:p>
        </w:tc>
        <w:tc>
          <w:tcPr>
            <w:tcW w:w="802" w:type="pct"/>
            <w:tcBorders>
              <w:top w:val="nil"/>
              <w:left w:val="nil"/>
              <w:bottom w:val="single" w:sz="4" w:space="0" w:color="auto"/>
              <w:right w:val="nil"/>
            </w:tcBorders>
          </w:tcPr>
          <w:p w14:paraId="7B1B797E" w14:textId="77777777" w:rsidR="008409D8" w:rsidRPr="00B97C61" w:rsidRDefault="008409D8" w:rsidP="008409D8">
            <w:pPr>
              <w:jc w:val="right"/>
              <w:rPr>
                <w:rFonts w:asciiTheme="minorHAnsi" w:hAnsiTheme="minorHAnsi" w:cs="Arial"/>
                <w:sz w:val="20"/>
                <w:szCs w:val="20"/>
              </w:rPr>
            </w:pPr>
            <w:r w:rsidRPr="00B97C61">
              <w:rPr>
                <w:rFonts w:asciiTheme="minorHAnsi" w:hAnsiTheme="minorHAnsi" w:cs="Arial"/>
                <w:sz w:val="20"/>
                <w:szCs w:val="20"/>
              </w:rPr>
              <w:t>% </w:t>
            </w:r>
          </w:p>
        </w:tc>
        <w:tc>
          <w:tcPr>
            <w:tcW w:w="480" w:type="pct"/>
            <w:tcBorders>
              <w:top w:val="nil"/>
              <w:left w:val="nil"/>
              <w:bottom w:val="single" w:sz="4" w:space="0" w:color="auto"/>
              <w:right w:val="nil"/>
            </w:tcBorders>
          </w:tcPr>
          <w:p w14:paraId="7523DF8A" w14:textId="73F61E8F" w:rsidR="008409D8" w:rsidRPr="00B97C61" w:rsidRDefault="008409D8" w:rsidP="008409D8">
            <w:pPr>
              <w:jc w:val="right"/>
              <w:rPr>
                <w:rFonts w:asciiTheme="minorHAnsi" w:hAnsiTheme="minorHAnsi" w:cs="Arial"/>
                <w:sz w:val="20"/>
                <w:szCs w:val="20"/>
              </w:rPr>
            </w:pPr>
            <w:r w:rsidRPr="00B97C61">
              <w:rPr>
                <w:rFonts w:asciiTheme="minorHAnsi" w:hAnsiTheme="minorHAnsi" w:cs="Arial"/>
                <w:sz w:val="20"/>
                <w:szCs w:val="20"/>
              </w:rPr>
              <w:t>% </w:t>
            </w:r>
          </w:p>
        </w:tc>
      </w:tr>
      <w:tr w:rsidR="008409D8" w:rsidRPr="00B97C61" w14:paraId="1DFB718A" w14:textId="63EAD083" w:rsidTr="001B0946">
        <w:tc>
          <w:tcPr>
            <w:tcW w:w="2989" w:type="pct"/>
            <w:vAlign w:val="bottom"/>
          </w:tcPr>
          <w:p w14:paraId="67C0D5D3" w14:textId="77777777" w:rsidR="008409D8" w:rsidRPr="00B97C61" w:rsidRDefault="008409D8" w:rsidP="008409D8">
            <w:pPr>
              <w:rPr>
                <w:rFonts w:asciiTheme="minorHAnsi" w:hAnsiTheme="minorHAnsi" w:cs="Arial"/>
                <w:sz w:val="20"/>
                <w:szCs w:val="20"/>
              </w:rPr>
            </w:pPr>
            <w:r w:rsidRPr="00B97C61">
              <w:rPr>
                <w:rFonts w:asciiTheme="minorHAnsi" w:hAnsiTheme="minorHAnsi" w:cs="Arial"/>
                <w:sz w:val="20"/>
                <w:szCs w:val="20"/>
              </w:rPr>
              <w:t xml:space="preserve">Price inflation – RPI </w:t>
            </w:r>
          </w:p>
        </w:tc>
        <w:tc>
          <w:tcPr>
            <w:tcW w:w="729" w:type="pct"/>
            <w:tcBorders>
              <w:top w:val="single" w:sz="4" w:space="0" w:color="auto"/>
              <w:left w:val="nil"/>
              <w:bottom w:val="nil"/>
              <w:right w:val="nil"/>
            </w:tcBorders>
            <w:shd w:val="clear" w:color="auto" w:fill="F2F2F2" w:themeFill="background1" w:themeFillShade="F2"/>
            <w:vAlign w:val="bottom"/>
          </w:tcPr>
          <w:p w14:paraId="6BD7F9EF" w14:textId="0E76AEF4" w:rsidR="008409D8" w:rsidRPr="006D4208" w:rsidRDefault="008409D8" w:rsidP="008409D8">
            <w:pPr>
              <w:jc w:val="right"/>
              <w:rPr>
                <w:rFonts w:asciiTheme="minorHAnsi" w:hAnsiTheme="minorHAnsi" w:cs="Arial"/>
                <w:b/>
                <w:sz w:val="20"/>
                <w:szCs w:val="20"/>
              </w:rPr>
            </w:pPr>
            <w:r w:rsidRPr="006D4208">
              <w:rPr>
                <w:rFonts w:asciiTheme="minorHAnsi" w:hAnsiTheme="minorHAnsi" w:cs="Arial"/>
                <w:b/>
                <w:sz w:val="20"/>
                <w:szCs w:val="20"/>
              </w:rPr>
              <w:t>3.25</w:t>
            </w:r>
          </w:p>
        </w:tc>
        <w:tc>
          <w:tcPr>
            <w:tcW w:w="802" w:type="pct"/>
            <w:tcBorders>
              <w:top w:val="single" w:sz="4" w:space="0" w:color="auto"/>
              <w:left w:val="nil"/>
              <w:bottom w:val="nil"/>
              <w:right w:val="nil"/>
            </w:tcBorders>
            <w:vAlign w:val="bottom"/>
          </w:tcPr>
          <w:p w14:paraId="579C3072" w14:textId="5BB143D0" w:rsidR="008409D8" w:rsidRPr="00B7427E" w:rsidRDefault="00090F64" w:rsidP="008409D8">
            <w:pPr>
              <w:jc w:val="right"/>
              <w:rPr>
                <w:rFonts w:asciiTheme="minorHAnsi" w:hAnsiTheme="minorHAnsi" w:cs="Arial"/>
                <w:sz w:val="20"/>
                <w:szCs w:val="20"/>
              </w:rPr>
            </w:pPr>
            <w:r w:rsidRPr="00B7427E">
              <w:rPr>
                <w:rFonts w:asciiTheme="minorHAnsi" w:hAnsiTheme="minorHAnsi" w:cs="Arial"/>
                <w:sz w:val="20"/>
                <w:szCs w:val="20"/>
              </w:rPr>
              <w:t>3.10</w:t>
            </w:r>
          </w:p>
        </w:tc>
        <w:tc>
          <w:tcPr>
            <w:tcW w:w="480" w:type="pct"/>
            <w:tcBorders>
              <w:top w:val="single" w:sz="4" w:space="0" w:color="auto"/>
              <w:left w:val="nil"/>
              <w:bottom w:val="nil"/>
              <w:right w:val="nil"/>
            </w:tcBorders>
            <w:vAlign w:val="bottom"/>
          </w:tcPr>
          <w:p w14:paraId="424E0EA7" w14:textId="43FF4D7C" w:rsidR="008409D8" w:rsidRPr="006D4208" w:rsidRDefault="008409D8" w:rsidP="008409D8">
            <w:pPr>
              <w:jc w:val="right"/>
              <w:rPr>
                <w:rFonts w:asciiTheme="minorHAnsi" w:hAnsiTheme="minorHAnsi" w:cs="Arial"/>
                <w:sz w:val="20"/>
                <w:szCs w:val="20"/>
              </w:rPr>
            </w:pPr>
            <w:r w:rsidRPr="006D4208">
              <w:rPr>
                <w:rFonts w:asciiTheme="minorHAnsi" w:hAnsiTheme="minorHAnsi" w:cs="Arial"/>
                <w:sz w:val="20"/>
                <w:szCs w:val="20"/>
              </w:rPr>
              <w:t>3.35</w:t>
            </w:r>
          </w:p>
        </w:tc>
      </w:tr>
      <w:tr w:rsidR="008409D8" w:rsidRPr="00B97C61" w14:paraId="2FCD7FCD" w14:textId="3C1CDD78" w:rsidTr="001B0946">
        <w:tc>
          <w:tcPr>
            <w:tcW w:w="2989" w:type="pct"/>
            <w:vAlign w:val="bottom"/>
          </w:tcPr>
          <w:p w14:paraId="523F72BB" w14:textId="77777777" w:rsidR="008409D8" w:rsidRPr="00B97C61" w:rsidRDefault="008409D8" w:rsidP="008409D8">
            <w:pPr>
              <w:rPr>
                <w:rFonts w:asciiTheme="minorHAnsi" w:hAnsiTheme="minorHAnsi" w:cs="Arial"/>
                <w:sz w:val="20"/>
                <w:szCs w:val="20"/>
              </w:rPr>
            </w:pPr>
            <w:r w:rsidRPr="00B97C61">
              <w:rPr>
                <w:rFonts w:asciiTheme="minorHAnsi" w:hAnsiTheme="minorHAnsi" w:cs="Arial"/>
                <w:sz w:val="20"/>
                <w:szCs w:val="20"/>
              </w:rPr>
              <w:t xml:space="preserve">Price inflation – CPI </w:t>
            </w:r>
          </w:p>
        </w:tc>
        <w:tc>
          <w:tcPr>
            <w:tcW w:w="729" w:type="pct"/>
            <w:shd w:val="clear" w:color="auto" w:fill="F2F2F2" w:themeFill="background1" w:themeFillShade="F2"/>
          </w:tcPr>
          <w:p w14:paraId="6721413B" w14:textId="2BC7807A" w:rsidR="008409D8" w:rsidRPr="006D4208" w:rsidRDefault="008409D8" w:rsidP="008409D8">
            <w:pPr>
              <w:jc w:val="right"/>
              <w:rPr>
                <w:rFonts w:asciiTheme="minorHAnsi" w:hAnsiTheme="minorHAnsi" w:cs="Arial"/>
                <w:b/>
                <w:sz w:val="20"/>
                <w:szCs w:val="20"/>
              </w:rPr>
            </w:pPr>
            <w:r w:rsidRPr="006D4208">
              <w:rPr>
                <w:rFonts w:asciiTheme="minorHAnsi" w:hAnsiTheme="minorHAnsi" w:cs="Arial"/>
                <w:b/>
                <w:sz w:val="20"/>
                <w:szCs w:val="20"/>
              </w:rPr>
              <w:t>2.75</w:t>
            </w:r>
          </w:p>
        </w:tc>
        <w:tc>
          <w:tcPr>
            <w:tcW w:w="802" w:type="pct"/>
            <w:vAlign w:val="bottom"/>
          </w:tcPr>
          <w:p w14:paraId="01D05159" w14:textId="22DB10CB" w:rsidR="008409D8" w:rsidRPr="00B7427E" w:rsidRDefault="003B0F8A" w:rsidP="008409D8">
            <w:pPr>
              <w:jc w:val="right"/>
              <w:rPr>
                <w:rFonts w:asciiTheme="minorHAnsi" w:hAnsiTheme="minorHAnsi" w:cs="Arial"/>
                <w:sz w:val="20"/>
                <w:szCs w:val="20"/>
              </w:rPr>
            </w:pPr>
            <w:r w:rsidRPr="00B7427E">
              <w:rPr>
                <w:rFonts w:asciiTheme="minorHAnsi" w:hAnsiTheme="minorHAnsi" w:cs="Arial"/>
                <w:sz w:val="20"/>
                <w:szCs w:val="20"/>
              </w:rPr>
              <w:t>2.60</w:t>
            </w:r>
          </w:p>
        </w:tc>
        <w:tc>
          <w:tcPr>
            <w:tcW w:w="480" w:type="pct"/>
            <w:vAlign w:val="bottom"/>
          </w:tcPr>
          <w:p w14:paraId="3A69125F" w14:textId="344C5980" w:rsidR="008409D8" w:rsidRPr="006D4208" w:rsidRDefault="008409D8" w:rsidP="008409D8">
            <w:pPr>
              <w:jc w:val="right"/>
              <w:rPr>
                <w:rFonts w:asciiTheme="minorHAnsi" w:hAnsiTheme="minorHAnsi" w:cs="Arial"/>
                <w:sz w:val="20"/>
                <w:szCs w:val="20"/>
              </w:rPr>
            </w:pPr>
            <w:r w:rsidRPr="006D4208">
              <w:rPr>
                <w:rFonts w:asciiTheme="minorHAnsi" w:hAnsiTheme="minorHAnsi" w:cs="Arial"/>
                <w:sz w:val="20"/>
                <w:szCs w:val="20"/>
              </w:rPr>
              <w:t>2.85</w:t>
            </w:r>
          </w:p>
        </w:tc>
      </w:tr>
      <w:tr w:rsidR="008409D8" w:rsidRPr="00B97C61" w14:paraId="5515877B" w14:textId="50801B1F" w:rsidTr="001B0946">
        <w:tc>
          <w:tcPr>
            <w:tcW w:w="2989" w:type="pct"/>
            <w:vAlign w:val="bottom"/>
          </w:tcPr>
          <w:p w14:paraId="79ACA55A" w14:textId="77777777" w:rsidR="008409D8" w:rsidRPr="00B97C61" w:rsidRDefault="008409D8" w:rsidP="008409D8">
            <w:pPr>
              <w:rPr>
                <w:rFonts w:asciiTheme="minorHAnsi" w:hAnsiTheme="minorHAnsi" w:cs="Arial"/>
                <w:sz w:val="20"/>
                <w:szCs w:val="20"/>
              </w:rPr>
            </w:pPr>
            <w:r w:rsidRPr="00B97C61">
              <w:rPr>
                <w:rFonts w:asciiTheme="minorHAnsi" w:hAnsiTheme="minorHAnsi" w:cs="Arial"/>
                <w:sz w:val="20"/>
                <w:szCs w:val="20"/>
              </w:rPr>
              <w:t>Rate of increase to pensions in payment</w:t>
            </w:r>
          </w:p>
        </w:tc>
        <w:tc>
          <w:tcPr>
            <w:tcW w:w="729" w:type="pct"/>
            <w:shd w:val="clear" w:color="auto" w:fill="F2F2F2" w:themeFill="background1" w:themeFillShade="F2"/>
          </w:tcPr>
          <w:p w14:paraId="6F506248" w14:textId="6774C674" w:rsidR="008409D8" w:rsidRPr="006D4208" w:rsidRDefault="008409D8" w:rsidP="008409D8">
            <w:pPr>
              <w:jc w:val="right"/>
              <w:rPr>
                <w:rFonts w:asciiTheme="minorHAnsi" w:hAnsiTheme="minorHAnsi" w:cs="Arial"/>
                <w:b/>
                <w:sz w:val="20"/>
                <w:szCs w:val="20"/>
              </w:rPr>
            </w:pPr>
            <w:r w:rsidRPr="006D4208">
              <w:rPr>
                <w:rFonts w:asciiTheme="minorHAnsi" w:hAnsiTheme="minorHAnsi" w:cs="Arial"/>
                <w:b/>
                <w:sz w:val="20"/>
                <w:szCs w:val="20"/>
              </w:rPr>
              <w:t>3.00</w:t>
            </w:r>
          </w:p>
        </w:tc>
        <w:tc>
          <w:tcPr>
            <w:tcW w:w="802" w:type="pct"/>
            <w:vAlign w:val="bottom"/>
          </w:tcPr>
          <w:p w14:paraId="79D75645" w14:textId="0621E8EF" w:rsidR="008409D8" w:rsidRPr="00B7427E" w:rsidRDefault="009B6B61" w:rsidP="008409D8">
            <w:pPr>
              <w:jc w:val="right"/>
              <w:rPr>
                <w:rFonts w:asciiTheme="minorHAnsi" w:hAnsiTheme="minorHAnsi" w:cs="Arial"/>
                <w:sz w:val="20"/>
                <w:szCs w:val="20"/>
              </w:rPr>
            </w:pPr>
            <w:r w:rsidRPr="00B7427E">
              <w:rPr>
                <w:rFonts w:asciiTheme="minorHAnsi" w:hAnsiTheme="minorHAnsi" w:cs="Arial"/>
                <w:sz w:val="20"/>
                <w:szCs w:val="20"/>
              </w:rPr>
              <w:t>2.95</w:t>
            </w:r>
          </w:p>
        </w:tc>
        <w:tc>
          <w:tcPr>
            <w:tcW w:w="480" w:type="pct"/>
            <w:vAlign w:val="bottom"/>
          </w:tcPr>
          <w:p w14:paraId="5D9D5DE9" w14:textId="701259F7" w:rsidR="008409D8" w:rsidRPr="006D4208" w:rsidRDefault="008409D8" w:rsidP="008409D8">
            <w:pPr>
              <w:jc w:val="right"/>
              <w:rPr>
                <w:rFonts w:asciiTheme="minorHAnsi" w:hAnsiTheme="minorHAnsi" w:cs="Arial"/>
                <w:sz w:val="20"/>
                <w:szCs w:val="20"/>
              </w:rPr>
            </w:pPr>
            <w:r w:rsidRPr="006D4208">
              <w:rPr>
                <w:rFonts w:asciiTheme="minorHAnsi" w:hAnsiTheme="minorHAnsi" w:cs="Arial"/>
                <w:sz w:val="20"/>
                <w:szCs w:val="20"/>
              </w:rPr>
              <w:t>3.05</w:t>
            </w:r>
          </w:p>
        </w:tc>
      </w:tr>
      <w:tr w:rsidR="008409D8" w:rsidRPr="00B97C61" w14:paraId="48D37356" w14:textId="5E982CE4" w:rsidTr="001B0946">
        <w:tc>
          <w:tcPr>
            <w:tcW w:w="2989" w:type="pct"/>
            <w:vAlign w:val="bottom"/>
          </w:tcPr>
          <w:p w14:paraId="35FB619C" w14:textId="77777777" w:rsidR="008409D8" w:rsidRPr="00B97C61" w:rsidRDefault="008409D8" w:rsidP="008409D8">
            <w:pPr>
              <w:rPr>
                <w:rFonts w:asciiTheme="minorHAnsi" w:hAnsiTheme="minorHAnsi" w:cs="Arial"/>
                <w:sz w:val="20"/>
                <w:szCs w:val="20"/>
              </w:rPr>
            </w:pPr>
            <w:r w:rsidRPr="00B97C61">
              <w:rPr>
                <w:rFonts w:asciiTheme="minorHAnsi" w:hAnsiTheme="minorHAnsi" w:cs="Arial"/>
                <w:sz w:val="20"/>
                <w:szCs w:val="20"/>
              </w:rPr>
              <w:t>Inflationary increases to pensions in deferment</w:t>
            </w:r>
          </w:p>
        </w:tc>
        <w:tc>
          <w:tcPr>
            <w:tcW w:w="729" w:type="pct"/>
            <w:tcBorders>
              <w:top w:val="nil"/>
              <w:left w:val="nil"/>
              <w:right w:val="nil"/>
            </w:tcBorders>
            <w:shd w:val="clear" w:color="auto" w:fill="F2F2F2" w:themeFill="background1" w:themeFillShade="F2"/>
          </w:tcPr>
          <w:p w14:paraId="07DC750B" w14:textId="5AC3485A" w:rsidR="008409D8" w:rsidRPr="006D4208" w:rsidRDefault="008409D8" w:rsidP="008409D8">
            <w:pPr>
              <w:jc w:val="right"/>
              <w:rPr>
                <w:rFonts w:asciiTheme="minorHAnsi" w:hAnsiTheme="minorHAnsi" w:cs="Arial"/>
                <w:b/>
                <w:sz w:val="20"/>
                <w:szCs w:val="20"/>
              </w:rPr>
            </w:pPr>
            <w:r w:rsidRPr="006D4208">
              <w:rPr>
                <w:rFonts w:asciiTheme="minorHAnsi" w:hAnsiTheme="minorHAnsi" w:cs="Arial"/>
                <w:b/>
                <w:sz w:val="20"/>
                <w:szCs w:val="20"/>
              </w:rPr>
              <w:t>2.75</w:t>
            </w:r>
          </w:p>
        </w:tc>
        <w:tc>
          <w:tcPr>
            <w:tcW w:w="802" w:type="pct"/>
            <w:tcBorders>
              <w:top w:val="nil"/>
              <w:left w:val="nil"/>
              <w:right w:val="nil"/>
            </w:tcBorders>
            <w:vAlign w:val="bottom"/>
          </w:tcPr>
          <w:p w14:paraId="2F82D288" w14:textId="16BD42AF" w:rsidR="008409D8" w:rsidRPr="00B7427E" w:rsidRDefault="00956BD9" w:rsidP="008409D8">
            <w:pPr>
              <w:jc w:val="right"/>
              <w:rPr>
                <w:rFonts w:asciiTheme="minorHAnsi" w:hAnsiTheme="minorHAnsi" w:cs="Arial"/>
                <w:sz w:val="20"/>
                <w:szCs w:val="20"/>
              </w:rPr>
            </w:pPr>
            <w:r w:rsidRPr="00B7427E">
              <w:rPr>
                <w:rFonts w:asciiTheme="minorHAnsi" w:hAnsiTheme="minorHAnsi" w:cs="Arial"/>
                <w:sz w:val="20"/>
                <w:szCs w:val="20"/>
              </w:rPr>
              <w:t>2.60</w:t>
            </w:r>
          </w:p>
        </w:tc>
        <w:tc>
          <w:tcPr>
            <w:tcW w:w="480" w:type="pct"/>
            <w:tcBorders>
              <w:top w:val="nil"/>
              <w:left w:val="nil"/>
              <w:right w:val="nil"/>
            </w:tcBorders>
            <w:vAlign w:val="bottom"/>
          </w:tcPr>
          <w:p w14:paraId="0EFF0AC9" w14:textId="0B124A1A" w:rsidR="008409D8" w:rsidRPr="006D4208" w:rsidRDefault="008409D8" w:rsidP="008409D8">
            <w:pPr>
              <w:jc w:val="right"/>
              <w:rPr>
                <w:rFonts w:asciiTheme="minorHAnsi" w:hAnsiTheme="minorHAnsi" w:cs="Arial"/>
                <w:sz w:val="20"/>
                <w:szCs w:val="20"/>
              </w:rPr>
            </w:pPr>
            <w:r w:rsidRPr="006D4208">
              <w:rPr>
                <w:rFonts w:asciiTheme="minorHAnsi" w:hAnsiTheme="minorHAnsi" w:cs="Arial"/>
                <w:sz w:val="20"/>
                <w:szCs w:val="20"/>
              </w:rPr>
              <w:t>2.85</w:t>
            </w:r>
          </w:p>
        </w:tc>
      </w:tr>
      <w:tr w:rsidR="008409D8" w:rsidRPr="00B97C61" w14:paraId="2EDD1EAF" w14:textId="27DD2251" w:rsidTr="001B0946">
        <w:tc>
          <w:tcPr>
            <w:tcW w:w="2989" w:type="pct"/>
            <w:vAlign w:val="bottom"/>
          </w:tcPr>
          <w:p w14:paraId="72FC9277" w14:textId="77777777" w:rsidR="008409D8" w:rsidRPr="00B97C61" w:rsidRDefault="008409D8" w:rsidP="008409D8">
            <w:pPr>
              <w:rPr>
                <w:rFonts w:asciiTheme="minorHAnsi" w:hAnsiTheme="minorHAnsi" w:cs="Arial"/>
                <w:sz w:val="20"/>
                <w:szCs w:val="20"/>
              </w:rPr>
            </w:pPr>
            <w:r w:rsidRPr="00B97C61">
              <w:rPr>
                <w:rFonts w:asciiTheme="minorHAnsi" w:hAnsiTheme="minorHAnsi" w:cs="Arial"/>
                <w:sz w:val="20"/>
                <w:szCs w:val="20"/>
              </w:rPr>
              <w:t>Discount rate</w:t>
            </w:r>
          </w:p>
        </w:tc>
        <w:tc>
          <w:tcPr>
            <w:tcW w:w="729" w:type="pct"/>
            <w:tcBorders>
              <w:left w:val="nil"/>
              <w:bottom w:val="single" w:sz="18" w:space="0" w:color="auto"/>
              <w:right w:val="nil"/>
            </w:tcBorders>
            <w:shd w:val="clear" w:color="auto" w:fill="F2F2F2" w:themeFill="background1" w:themeFillShade="F2"/>
          </w:tcPr>
          <w:p w14:paraId="5E8BD278" w14:textId="11E05E10" w:rsidR="008409D8" w:rsidRPr="006D4208" w:rsidRDefault="008409D8" w:rsidP="008409D8">
            <w:pPr>
              <w:jc w:val="right"/>
              <w:rPr>
                <w:rFonts w:asciiTheme="minorHAnsi" w:hAnsiTheme="minorHAnsi" w:cs="Arial"/>
                <w:b/>
                <w:sz w:val="20"/>
                <w:szCs w:val="20"/>
              </w:rPr>
            </w:pPr>
            <w:r w:rsidRPr="006D4208">
              <w:rPr>
                <w:rFonts w:asciiTheme="minorHAnsi" w:hAnsiTheme="minorHAnsi" w:cs="Arial"/>
                <w:b/>
                <w:sz w:val="20"/>
                <w:szCs w:val="20"/>
              </w:rPr>
              <w:t>5.25</w:t>
            </w:r>
          </w:p>
        </w:tc>
        <w:tc>
          <w:tcPr>
            <w:tcW w:w="802" w:type="pct"/>
            <w:tcBorders>
              <w:left w:val="nil"/>
              <w:bottom w:val="single" w:sz="18" w:space="0" w:color="auto"/>
              <w:right w:val="nil"/>
            </w:tcBorders>
            <w:vAlign w:val="bottom"/>
          </w:tcPr>
          <w:p w14:paraId="35162D85" w14:textId="694EC196" w:rsidR="008409D8" w:rsidRPr="00B7427E" w:rsidRDefault="00EA7ACD" w:rsidP="008409D8">
            <w:pPr>
              <w:jc w:val="right"/>
              <w:rPr>
                <w:rFonts w:asciiTheme="minorHAnsi" w:hAnsiTheme="minorHAnsi" w:cs="Arial"/>
                <w:sz w:val="20"/>
                <w:szCs w:val="20"/>
              </w:rPr>
            </w:pPr>
            <w:r w:rsidRPr="00B7427E">
              <w:rPr>
                <w:rFonts w:asciiTheme="minorHAnsi" w:hAnsiTheme="minorHAnsi" w:cs="Arial"/>
                <w:sz w:val="20"/>
                <w:szCs w:val="20"/>
              </w:rPr>
              <w:t>4.65</w:t>
            </w:r>
          </w:p>
        </w:tc>
        <w:tc>
          <w:tcPr>
            <w:tcW w:w="480" w:type="pct"/>
            <w:tcBorders>
              <w:left w:val="nil"/>
              <w:bottom w:val="single" w:sz="18" w:space="0" w:color="auto"/>
              <w:right w:val="nil"/>
            </w:tcBorders>
            <w:vAlign w:val="bottom"/>
          </w:tcPr>
          <w:p w14:paraId="697A3A1E" w14:textId="57B1742D" w:rsidR="008409D8" w:rsidRPr="006D4208" w:rsidRDefault="008409D8" w:rsidP="008409D8">
            <w:pPr>
              <w:jc w:val="right"/>
              <w:rPr>
                <w:rFonts w:asciiTheme="minorHAnsi" w:hAnsiTheme="minorHAnsi" w:cs="Arial"/>
                <w:sz w:val="20"/>
                <w:szCs w:val="20"/>
              </w:rPr>
            </w:pPr>
            <w:r w:rsidRPr="006D4208">
              <w:rPr>
                <w:rFonts w:asciiTheme="minorHAnsi" w:hAnsiTheme="minorHAnsi" w:cs="Arial"/>
                <w:sz w:val="20"/>
                <w:szCs w:val="20"/>
              </w:rPr>
              <w:t>5.25</w:t>
            </w:r>
          </w:p>
        </w:tc>
      </w:tr>
    </w:tbl>
    <w:p w14:paraId="459798D8" w14:textId="77777777" w:rsidR="00A3021A" w:rsidRPr="00306AF1" w:rsidRDefault="00A3021A"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63CF70E8" w14:textId="5D52DE0A" w:rsidR="00A3021A" w:rsidRPr="00306AF1" w:rsidRDefault="00A3021A" w:rsidP="00A3021A">
      <w:pPr>
        <w:autoSpaceDE w:val="0"/>
        <w:autoSpaceDN w:val="0"/>
        <w:adjustRightInd w:val="0"/>
        <w:jc w:val="both"/>
        <w:rPr>
          <w:rFonts w:asciiTheme="minorHAnsi" w:hAnsiTheme="minorHAnsi" w:cs="Poppins-Light"/>
          <w:sz w:val="20"/>
          <w:szCs w:val="20"/>
        </w:rPr>
      </w:pPr>
      <w:r w:rsidRPr="00306AF1">
        <w:rPr>
          <w:rFonts w:asciiTheme="minorHAnsi" w:hAnsiTheme="minorHAnsi" w:cs="Poppins-Light"/>
          <w:sz w:val="20"/>
          <w:szCs w:val="20"/>
        </w:rPr>
        <w:t>The mortality assumptions are based on the self-administered pension scheme (SAPS) series 3 tables (202</w:t>
      </w:r>
      <w:r w:rsidR="00563A90">
        <w:rPr>
          <w:rFonts w:asciiTheme="minorHAnsi" w:hAnsiTheme="minorHAnsi" w:cs="Poppins-Light"/>
          <w:sz w:val="20"/>
          <w:szCs w:val="20"/>
        </w:rPr>
        <w:t>3</w:t>
      </w:r>
      <w:r w:rsidRPr="00306AF1">
        <w:rPr>
          <w:rFonts w:asciiTheme="minorHAnsi" w:hAnsiTheme="minorHAnsi" w:cs="Poppins-Light"/>
          <w:sz w:val="20"/>
          <w:szCs w:val="20"/>
        </w:rPr>
        <w:t xml:space="preserve">: SAPS series </w:t>
      </w:r>
      <w:r w:rsidR="009C2D7B" w:rsidRPr="00306AF1">
        <w:rPr>
          <w:rFonts w:asciiTheme="minorHAnsi" w:hAnsiTheme="minorHAnsi" w:cs="Poppins-Light"/>
          <w:sz w:val="20"/>
          <w:szCs w:val="20"/>
        </w:rPr>
        <w:t>3</w:t>
      </w:r>
      <w:r w:rsidRPr="00306AF1">
        <w:rPr>
          <w:rFonts w:asciiTheme="minorHAnsi" w:hAnsiTheme="minorHAnsi" w:cs="Poppins-Light"/>
          <w:sz w:val="20"/>
          <w:szCs w:val="20"/>
        </w:rPr>
        <w:t xml:space="preserve"> tables):</w:t>
      </w:r>
    </w:p>
    <w:p w14:paraId="282B5757" w14:textId="77777777" w:rsidR="00A3021A" w:rsidRPr="00306AF1" w:rsidRDefault="00A3021A" w:rsidP="00A3021A">
      <w:pPr>
        <w:autoSpaceDE w:val="0"/>
        <w:autoSpaceDN w:val="0"/>
        <w:adjustRightInd w:val="0"/>
        <w:jc w:val="both"/>
        <w:rPr>
          <w:rFonts w:asciiTheme="minorHAnsi" w:hAnsiTheme="minorHAnsi" w:cs="Poppins-Light"/>
          <w:sz w:val="20"/>
          <w:szCs w:val="20"/>
        </w:rPr>
      </w:pPr>
    </w:p>
    <w:p w14:paraId="21C25D07" w14:textId="51969E4B" w:rsidR="00A3021A" w:rsidRPr="00306AF1" w:rsidRDefault="009F6E30" w:rsidP="007B19E6">
      <w:pPr>
        <w:pStyle w:val="ListParagraph"/>
        <w:numPr>
          <w:ilvl w:val="0"/>
          <w:numId w:val="10"/>
        </w:numPr>
        <w:autoSpaceDE w:val="0"/>
        <w:autoSpaceDN w:val="0"/>
        <w:adjustRightInd w:val="0"/>
        <w:jc w:val="both"/>
        <w:rPr>
          <w:rFonts w:asciiTheme="minorHAnsi" w:hAnsiTheme="minorHAnsi" w:cs="Poppins-Light"/>
          <w:sz w:val="20"/>
          <w:szCs w:val="20"/>
        </w:rPr>
      </w:pPr>
      <w:r w:rsidRPr="00306AF1">
        <w:rPr>
          <w:rFonts w:asciiTheme="minorHAnsi" w:hAnsiTheme="minorHAnsi" w:cs="Poppins-Light"/>
          <w:sz w:val="20"/>
          <w:szCs w:val="20"/>
        </w:rPr>
        <w:t>for</w:t>
      </w:r>
      <w:r w:rsidR="00A3021A" w:rsidRPr="00306AF1">
        <w:rPr>
          <w:rFonts w:asciiTheme="minorHAnsi" w:hAnsiTheme="minorHAnsi" w:cs="Poppins-Light"/>
          <w:sz w:val="20"/>
          <w:szCs w:val="20"/>
        </w:rPr>
        <w:t xml:space="preserve"> non-pensioners: 105% of the ‘Middle’ table (</w:t>
      </w:r>
      <w:r w:rsidR="00D0735E" w:rsidRPr="00306AF1">
        <w:rPr>
          <w:rFonts w:asciiTheme="minorHAnsi" w:hAnsiTheme="minorHAnsi" w:cs="Poppins-Light"/>
          <w:sz w:val="20"/>
          <w:szCs w:val="20"/>
        </w:rPr>
        <w:t xml:space="preserve">31 December </w:t>
      </w:r>
      <w:r w:rsidR="00A3021A" w:rsidRPr="00306AF1">
        <w:rPr>
          <w:rFonts w:asciiTheme="minorHAnsi" w:hAnsiTheme="minorHAnsi" w:cs="Poppins-Light"/>
          <w:sz w:val="20"/>
          <w:szCs w:val="20"/>
        </w:rPr>
        <w:t>2</w:t>
      </w:r>
      <w:r w:rsidR="00DD511C">
        <w:rPr>
          <w:rFonts w:asciiTheme="minorHAnsi" w:hAnsiTheme="minorHAnsi" w:cs="Poppins-Light"/>
          <w:sz w:val="20"/>
          <w:szCs w:val="20"/>
        </w:rPr>
        <w:t>023</w:t>
      </w:r>
      <w:r w:rsidR="00D0735E" w:rsidRPr="00306AF1">
        <w:rPr>
          <w:rFonts w:asciiTheme="minorHAnsi" w:hAnsiTheme="minorHAnsi" w:cs="Poppins-Light"/>
          <w:sz w:val="20"/>
          <w:szCs w:val="20"/>
        </w:rPr>
        <w:t xml:space="preserve"> and 30 June 202</w:t>
      </w:r>
      <w:r w:rsidR="008C6B22">
        <w:rPr>
          <w:rFonts w:asciiTheme="minorHAnsi" w:hAnsiTheme="minorHAnsi" w:cs="Poppins-Light"/>
          <w:sz w:val="20"/>
          <w:szCs w:val="20"/>
        </w:rPr>
        <w:t>3</w:t>
      </w:r>
      <w:r w:rsidR="00A3021A" w:rsidRPr="00306AF1">
        <w:rPr>
          <w:rFonts w:asciiTheme="minorHAnsi" w:hAnsiTheme="minorHAnsi" w:cs="Poppins-Light"/>
          <w:sz w:val="20"/>
          <w:szCs w:val="20"/>
        </w:rPr>
        <w:t xml:space="preserve">: </w:t>
      </w:r>
      <w:r w:rsidR="00926894" w:rsidRPr="00306AF1">
        <w:rPr>
          <w:rFonts w:asciiTheme="minorHAnsi" w:hAnsiTheme="minorHAnsi" w:cs="Poppins-Light"/>
          <w:sz w:val="20"/>
          <w:szCs w:val="20"/>
        </w:rPr>
        <w:t>105%</w:t>
      </w:r>
      <w:r w:rsidR="00A3021A" w:rsidRPr="00306AF1">
        <w:rPr>
          <w:rFonts w:asciiTheme="minorHAnsi" w:hAnsiTheme="minorHAnsi" w:cs="Poppins-Light"/>
          <w:sz w:val="20"/>
          <w:szCs w:val="20"/>
        </w:rPr>
        <w:t xml:space="preserve"> of the ‘</w:t>
      </w:r>
      <w:r w:rsidR="00850F08" w:rsidRPr="00306AF1">
        <w:rPr>
          <w:rFonts w:asciiTheme="minorHAnsi" w:hAnsiTheme="minorHAnsi" w:cs="Poppins-Light"/>
          <w:sz w:val="20"/>
          <w:szCs w:val="20"/>
        </w:rPr>
        <w:t xml:space="preserve">Middle’ </w:t>
      </w:r>
      <w:r w:rsidR="00A3021A" w:rsidRPr="00306AF1">
        <w:rPr>
          <w:rFonts w:asciiTheme="minorHAnsi" w:hAnsiTheme="minorHAnsi" w:cs="Poppins-Light"/>
          <w:sz w:val="20"/>
          <w:szCs w:val="20"/>
        </w:rPr>
        <w:t>table);</w:t>
      </w:r>
    </w:p>
    <w:p w14:paraId="61458325" w14:textId="1A437AD7" w:rsidR="00A3021A" w:rsidRPr="00306AF1" w:rsidRDefault="00A3021A" w:rsidP="007B19E6">
      <w:pPr>
        <w:pStyle w:val="ListParagraph"/>
        <w:numPr>
          <w:ilvl w:val="0"/>
          <w:numId w:val="10"/>
        </w:numPr>
        <w:autoSpaceDE w:val="0"/>
        <w:autoSpaceDN w:val="0"/>
        <w:adjustRightInd w:val="0"/>
        <w:jc w:val="both"/>
        <w:rPr>
          <w:rFonts w:asciiTheme="minorHAnsi" w:hAnsiTheme="minorHAnsi" w:cs="Poppins-Light"/>
          <w:sz w:val="20"/>
          <w:szCs w:val="20"/>
        </w:rPr>
      </w:pPr>
      <w:r w:rsidRPr="00306AF1">
        <w:rPr>
          <w:rFonts w:asciiTheme="minorHAnsi" w:hAnsiTheme="minorHAnsi" w:cs="Poppins-Light"/>
          <w:sz w:val="20"/>
          <w:szCs w:val="20"/>
        </w:rPr>
        <w:t xml:space="preserve">male pensioners: </w:t>
      </w:r>
      <w:r w:rsidR="0012389A" w:rsidRPr="00306AF1">
        <w:rPr>
          <w:rFonts w:asciiTheme="minorHAnsi" w:hAnsiTheme="minorHAnsi" w:cs="Poppins-Light"/>
          <w:sz w:val="20"/>
          <w:szCs w:val="20"/>
        </w:rPr>
        <w:t>99</w:t>
      </w:r>
      <w:r w:rsidRPr="00306AF1">
        <w:rPr>
          <w:rFonts w:asciiTheme="minorHAnsi" w:hAnsiTheme="minorHAnsi" w:cs="Poppins-Light"/>
          <w:sz w:val="20"/>
          <w:szCs w:val="20"/>
        </w:rPr>
        <w:t>% of the ‘</w:t>
      </w:r>
      <w:r w:rsidR="00550614" w:rsidRPr="00306AF1">
        <w:rPr>
          <w:rFonts w:asciiTheme="minorHAnsi" w:hAnsiTheme="minorHAnsi" w:cs="Poppins-Light"/>
          <w:sz w:val="20"/>
          <w:szCs w:val="20"/>
        </w:rPr>
        <w:t>All</w:t>
      </w:r>
      <w:r w:rsidRPr="00306AF1">
        <w:rPr>
          <w:rFonts w:asciiTheme="minorHAnsi" w:hAnsiTheme="minorHAnsi" w:cs="Poppins-Light"/>
          <w:sz w:val="20"/>
          <w:szCs w:val="20"/>
        </w:rPr>
        <w:t>’ table (</w:t>
      </w:r>
      <w:r w:rsidR="00926894" w:rsidRPr="00306AF1">
        <w:rPr>
          <w:rFonts w:asciiTheme="minorHAnsi" w:hAnsiTheme="minorHAnsi" w:cs="Poppins-Light"/>
          <w:sz w:val="20"/>
          <w:szCs w:val="20"/>
        </w:rPr>
        <w:t xml:space="preserve">31 December </w:t>
      </w:r>
      <w:r w:rsidRPr="00306AF1">
        <w:rPr>
          <w:rFonts w:asciiTheme="minorHAnsi" w:hAnsiTheme="minorHAnsi" w:cs="Poppins-Light"/>
          <w:sz w:val="20"/>
          <w:szCs w:val="20"/>
        </w:rPr>
        <w:t>20</w:t>
      </w:r>
      <w:r w:rsidR="00DD511C">
        <w:rPr>
          <w:rFonts w:asciiTheme="minorHAnsi" w:hAnsiTheme="minorHAnsi" w:cs="Poppins-Light"/>
          <w:sz w:val="20"/>
          <w:szCs w:val="20"/>
        </w:rPr>
        <w:t>23</w:t>
      </w:r>
      <w:r w:rsidR="00926894" w:rsidRPr="00306AF1">
        <w:rPr>
          <w:rFonts w:asciiTheme="minorHAnsi" w:hAnsiTheme="minorHAnsi" w:cs="Poppins-Light"/>
          <w:sz w:val="20"/>
          <w:szCs w:val="20"/>
        </w:rPr>
        <w:t xml:space="preserve"> and 30 June </w:t>
      </w:r>
      <w:r w:rsidRPr="00306AF1">
        <w:rPr>
          <w:rFonts w:asciiTheme="minorHAnsi" w:hAnsiTheme="minorHAnsi" w:cs="Poppins-Light"/>
          <w:sz w:val="20"/>
          <w:szCs w:val="20"/>
        </w:rPr>
        <w:t>20</w:t>
      </w:r>
      <w:r w:rsidR="00DD511C">
        <w:rPr>
          <w:rFonts w:asciiTheme="minorHAnsi" w:hAnsiTheme="minorHAnsi" w:cs="Poppins-Light"/>
          <w:sz w:val="20"/>
          <w:szCs w:val="20"/>
        </w:rPr>
        <w:t>2</w:t>
      </w:r>
      <w:r w:rsidR="00D51A21">
        <w:rPr>
          <w:rFonts w:asciiTheme="minorHAnsi" w:hAnsiTheme="minorHAnsi" w:cs="Poppins-Light"/>
          <w:sz w:val="20"/>
          <w:szCs w:val="20"/>
        </w:rPr>
        <w:t>3</w:t>
      </w:r>
      <w:r w:rsidRPr="00306AF1">
        <w:rPr>
          <w:rFonts w:asciiTheme="minorHAnsi" w:hAnsiTheme="minorHAnsi" w:cs="Poppins-Light"/>
          <w:sz w:val="20"/>
          <w:szCs w:val="20"/>
        </w:rPr>
        <w:t xml:space="preserve">: </w:t>
      </w:r>
      <w:r w:rsidR="004449B4" w:rsidRPr="00306AF1">
        <w:rPr>
          <w:rFonts w:asciiTheme="minorHAnsi" w:hAnsiTheme="minorHAnsi" w:cs="Poppins-Light"/>
          <w:sz w:val="20"/>
          <w:szCs w:val="20"/>
        </w:rPr>
        <w:t>99</w:t>
      </w:r>
      <w:r w:rsidRPr="00306AF1">
        <w:rPr>
          <w:rFonts w:asciiTheme="minorHAnsi" w:hAnsiTheme="minorHAnsi" w:cs="Poppins-Light"/>
          <w:sz w:val="20"/>
          <w:szCs w:val="20"/>
        </w:rPr>
        <w:t>% of the ‘All’ table); and</w:t>
      </w:r>
    </w:p>
    <w:p w14:paraId="42C50965" w14:textId="29CC4A8C" w:rsidR="00A3021A" w:rsidRPr="00306AF1" w:rsidRDefault="00F20E75" w:rsidP="007B19E6">
      <w:pPr>
        <w:pStyle w:val="ListParagraph"/>
        <w:numPr>
          <w:ilvl w:val="0"/>
          <w:numId w:val="10"/>
        </w:numPr>
        <w:autoSpaceDE w:val="0"/>
        <w:autoSpaceDN w:val="0"/>
        <w:adjustRightInd w:val="0"/>
        <w:jc w:val="both"/>
        <w:rPr>
          <w:rFonts w:asciiTheme="minorHAnsi" w:hAnsiTheme="minorHAnsi" w:cs="Poppins-Light"/>
          <w:sz w:val="20"/>
          <w:szCs w:val="20"/>
        </w:rPr>
      </w:pPr>
      <w:r w:rsidRPr="00306AF1">
        <w:rPr>
          <w:rFonts w:asciiTheme="minorHAnsi" w:hAnsiTheme="minorHAnsi" w:cs="Poppins-Light"/>
          <w:sz w:val="20"/>
          <w:szCs w:val="20"/>
        </w:rPr>
        <w:t>fe</w:t>
      </w:r>
      <w:r w:rsidR="00A3021A" w:rsidRPr="00306AF1">
        <w:rPr>
          <w:rFonts w:asciiTheme="minorHAnsi" w:hAnsiTheme="minorHAnsi" w:cs="Poppins-Light"/>
          <w:sz w:val="20"/>
          <w:szCs w:val="20"/>
        </w:rPr>
        <w:t>male</w:t>
      </w:r>
      <w:r w:rsidR="00076D20" w:rsidRPr="00306AF1">
        <w:rPr>
          <w:rFonts w:asciiTheme="minorHAnsi" w:hAnsiTheme="minorHAnsi" w:cs="Poppins-Light"/>
          <w:sz w:val="20"/>
          <w:szCs w:val="20"/>
        </w:rPr>
        <w:t xml:space="preserve"> </w:t>
      </w:r>
      <w:r w:rsidR="00A3021A" w:rsidRPr="00306AF1">
        <w:rPr>
          <w:rFonts w:asciiTheme="minorHAnsi" w:hAnsiTheme="minorHAnsi" w:cs="Poppins-Light"/>
          <w:sz w:val="20"/>
          <w:szCs w:val="20"/>
        </w:rPr>
        <w:t xml:space="preserve">pensioners: </w:t>
      </w:r>
      <w:r w:rsidR="00C07BC9" w:rsidRPr="00306AF1">
        <w:rPr>
          <w:rFonts w:asciiTheme="minorHAnsi" w:hAnsiTheme="minorHAnsi" w:cs="Poppins-Light"/>
          <w:sz w:val="20"/>
          <w:szCs w:val="20"/>
        </w:rPr>
        <w:t>102</w:t>
      </w:r>
      <w:r w:rsidR="00A3021A" w:rsidRPr="00306AF1">
        <w:rPr>
          <w:rFonts w:asciiTheme="minorHAnsi" w:hAnsiTheme="minorHAnsi" w:cs="Poppins-Light"/>
          <w:sz w:val="20"/>
          <w:szCs w:val="20"/>
        </w:rPr>
        <w:t>% of the ‘</w:t>
      </w:r>
      <w:r w:rsidR="00C07BC9" w:rsidRPr="00306AF1">
        <w:rPr>
          <w:rFonts w:asciiTheme="minorHAnsi" w:hAnsiTheme="minorHAnsi" w:cs="Poppins-Light"/>
          <w:sz w:val="20"/>
          <w:szCs w:val="20"/>
        </w:rPr>
        <w:t>Middle</w:t>
      </w:r>
      <w:r w:rsidR="00A3021A" w:rsidRPr="00306AF1">
        <w:rPr>
          <w:rFonts w:asciiTheme="minorHAnsi" w:hAnsiTheme="minorHAnsi" w:cs="Poppins-Light"/>
          <w:sz w:val="20"/>
          <w:szCs w:val="20"/>
        </w:rPr>
        <w:t>’ table (</w:t>
      </w:r>
      <w:r w:rsidR="004449B4" w:rsidRPr="00306AF1">
        <w:rPr>
          <w:rFonts w:asciiTheme="minorHAnsi" w:hAnsiTheme="minorHAnsi" w:cs="Poppins-Light"/>
          <w:sz w:val="20"/>
          <w:szCs w:val="20"/>
        </w:rPr>
        <w:t xml:space="preserve">31 December </w:t>
      </w:r>
      <w:r w:rsidR="00A3021A" w:rsidRPr="00306AF1">
        <w:rPr>
          <w:rFonts w:asciiTheme="minorHAnsi" w:hAnsiTheme="minorHAnsi" w:cs="Poppins-Light"/>
          <w:sz w:val="20"/>
          <w:szCs w:val="20"/>
        </w:rPr>
        <w:t>20</w:t>
      </w:r>
      <w:r w:rsidR="00DD511C">
        <w:rPr>
          <w:rFonts w:asciiTheme="minorHAnsi" w:hAnsiTheme="minorHAnsi" w:cs="Poppins-Light"/>
          <w:sz w:val="20"/>
          <w:szCs w:val="20"/>
        </w:rPr>
        <w:t>23</w:t>
      </w:r>
      <w:r w:rsidR="004449B4" w:rsidRPr="00306AF1">
        <w:rPr>
          <w:rFonts w:asciiTheme="minorHAnsi" w:hAnsiTheme="minorHAnsi" w:cs="Poppins-Light"/>
          <w:sz w:val="20"/>
          <w:szCs w:val="20"/>
        </w:rPr>
        <w:t xml:space="preserve"> and 30 June </w:t>
      </w:r>
      <w:r w:rsidR="00A3021A" w:rsidRPr="00306AF1">
        <w:rPr>
          <w:rFonts w:asciiTheme="minorHAnsi" w:hAnsiTheme="minorHAnsi" w:cs="Poppins-Light"/>
          <w:sz w:val="20"/>
          <w:szCs w:val="20"/>
        </w:rPr>
        <w:t>20</w:t>
      </w:r>
      <w:r w:rsidR="00DD511C">
        <w:rPr>
          <w:rFonts w:asciiTheme="minorHAnsi" w:hAnsiTheme="minorHAnsi" w:cs="Poppins-Light"/>
          <w:sz w:val="20"/>
          <w:szCs w:val="20"/>
        </w:rPr>
        <w:t>2</w:t>
      </w:r>
      <w:r w:rsidR="00D51A21">
        <w:rPr>
          <w:rFonts w:asciiTheme="minorHAnsi" w:hAnsiTheme="minorHAnsi" w:cs="Poppins-Light"/>
          <w:sz w:val="20"/>
          <w:szCs w:val="20"/>
        </w:rPr>
        <w:t>3</w:t>
      </w:r>
      <w:r w:rsidR="00A3021A" w:rsidRPr="00306AF1">
        <w:rPr>
          <w:rFonts w:asciiTheme="minorHAnsi" w:hAnsiTheme="minorHAnsi" w:cs="Poppins-Light"/>
          <w:sz w:val="20"/>
          <w:szCs w:val="20"/>
        </w:rPr>
        <w:t xml:space="preserve">: </w:t>
      </w:r>
      <w:r w:rsidR="00850F08" w:rsidRPr="00306AF1">
        <w:rPr>
          <w:rFonts w:asciiTheme="minorHAnsi" w:hAnsiTheme="minorHAnsi" w:cs="Poppins-Light"/>
          <w:sz w:val="20"/>
          <w:szCs w:val="20"/>
        </w:rPr>
        <w:t>102</w:t>
      </w:r>
      <w:r w:rsidR="00A3021A" w:rsidRPr="00306AF1">
        <w:rPr>
          <w:rFonts w:asciiTheme="minorHAnsi" w:hAnsiTheme="minorHAnsi" w:cs="Poppins-Light"/>
          <w:sz w:val="20"/>
          <w:szCs w:val="20"/>
        </w:rPr>
        <w:t>% of the ‘</w:t>
      </w:r>
      <w:r w:rsidR="00850F08" w:rsidRPr="00306AF1">
        <w:rPr>
          <w:rFonts w:asciiTheme="minorHAnsi" w:hAnsiTheme="minorHAnsi" w:cs="Poppins-Light"/>
          <w:sz w:val="20"/>
          <w:szCs w:val="20"/>
        </w:rPr>
        <w:t xml:space="preserve">Middle’ </w:t>
      </w:r>
      <w:r w:rsidR="00A3021A" w:rsidRPr="00306AF1">
        <w:rPr>
          <w:rFonts w:asciiTheme="minorHAnsi" w:hAnsiTheme="minorHAnsi" w:cs="Poppins-Light"/>
          <w:sz w:val="20"/>
          <w:szCs w:val="20"/>
        </w:rPr>
        <w:t>table).</w:t>
      </w:r>
    </w:p>
    <w:p w14:paraId="1C063133" w14:textId="77777777" w:rsidR="00A3021A" w:rsidRPr="00306AF1" w:rsidRDefault="00A3021A" w:rsidP="00A3021A">
      <w:pPr>
        <w:pStyle w:val="ListParagraph"/>
        <w:autoSpaceDE w:val="0"/>
        <w:autoSpaceDN w:val="0"/>
        <w:adjustRightInd w:val="0"/>
        <w:jc w:val="both"/>
        <w:rPr>
          <w:rFonts w:asciiTheme="minorHAnsi" w:hAnsiTheme="minorHAnsi" w:cs="Poppins-Light"/>
          <w:sz w:val="20"/>
          <w:szCs w:val="20"/>
        </w:rPr>
      </w:pPr>
    </w:p>
    <w:p w14:paraId="349A2C46" w14:textId="6ED9A610" w:rsidR="00A3021A" w:rsidRPr="00306AF1" w:rsidRDefault="00A3021A" w:rsidP="00A3021A">
      <w:pPr>
        <w:autoSpaceDE w:val="0"/>
        <w:autoSpaceDN w:val="0"/>
        <w:adjustRightInd w:val="0"/>
        <w:jc w:val="both"/>
        <w:rPr>
          <w:rFonts w:asciiTheme="minorHAnsi" w:hAnsiTheme="minorHAnsi" w:cs="Poppins-Light"/>
          <w:sz w:val="20"/>
          <w:szCs w:val="20"/>
        </w:rPr>
      </w:pPr>
      <w:r w:rsidRPr="00306AF1">
        <w:rPr>
          <w:rFonts w:asciiTheme="minorHAnsi" w:hAnsiTheme="minorHAnsi" w:cs="Poppins-Light"/>
          <w:sz w:val="20"/>
          <w:szCs w:val="20"/>
        </w:rPr>
        <w:t>The above multipliers and table types were chosen following a study of the scheme’s membership. Where the multiplier is greater than 100%, this reflects a shorter life expectancy within the scheme compared to average pension schemes, with the opposite being true where the multiplier is less than 100%. Also, the use of the ‘Middle’ table typically leads to slightly lower life expectancy compared to using the corresponding ‘All’ table.</w:t>
      </w:r>
    </w:p>
    <w:p w14:paraId="6AAE0897" w14:textId="09FD56DB" w:rsidR="00A3021A" w:rsidRDefault="00A3021A" w:rsidP="00A3021A">
      <w:pPr>
        <w:autoSpaceDE w:val="0"/>
        <w:autoSpaceDN w:val="0"/>
        <w:adjustRightInd w:val="0"/>
        <w:jc w:val="both"/>
        <w:rPr>
          <w:rFonts w:asciiTheme="minorHAnsi" w:hAnsiTheme="minorHAnsi" w:cs="Poppins-Light"/>
          <w:sz w:val="20"/>
          <w:szCs w:val="20"/>
        </w:rPr>
      </w:pPr>
    </w:p>
    <w:p w14:paraId="335500E7" w14:textId="0F90CC4D" w:rsidR="00AA351E" w:rsidRDefault="00A3021A" w:rsidP="6A7632AC">
      <w:pPr>
        <w:autoSpaceDE w:val="0"/>
        <w:autoSpaceDN w:val="0"/>
        <w:adjustRightInd w:val="0"/>
        <w:jc w:val="both"/>
        <w:rPr>
          <w:rFonts w:asciiTheme="minorHAnsi" w:hAnsiTheme="minorHAnsi" w:cs="Poppins-Light"/>
          <w:sz w:val="20"/>
          <w:szCs w:val="20"/>
        </w:rPr>
      </w:pPr>
      <w:r w:rsidRPr="006D4208">
        <w:rPr>
          <w:rFonts w:asciiTheme="minorHAnsi" w:hAnsiTheme="minorHAnsi" w:cs="Poppins-Light"/>
          <w:sz w:val="20"/>
          <w:szCs w:val="20"/>
        </w:rPr>
        <w:t>Future improvements in mortality are based on the Continuous Mortality Investigation (CMI) 202</w:t>
      </w:r>
      <w:r w:rsidR="00DD511C" w:rsidRPr="006D4208">
        <w:rPr>
          <w:rFonts w:asciiTheme="minorHAnsi" w:hAnsiTheme="minorHAnsi" w:cs="Poppins-Light"/>
          <w:sz w:val="20"/>
          <w:szCs w:val="20"/>
        </w:rPr>
        <w:t>3</w:t>
      </w:r>
      <w:r w:rsidRPr="006D4208">
        <w:rPr>
          <w:rFonts w:asciiTheme="minorHAnsi" w:hAnsiTheme="minorHAnsi" w:cs="Poppins-Light"/>
          <w:sz w:val="20"/>
          <w:szCs w:val="20"/>
        </w:rPr>
        <w:t xml:space="preserve"> model </w:t>
      </w:r>
      <w:r w:rsidR="00B345D7" w:rsidRPr="006D4208">
        <w:rPr>
          <w:rFonts w:asciiTheme="minorHAnsi" w:hAnsiTheme="minorHAnsi" w:cs="Poppins-Light"/>
          <w:sz w:val="20"/>
          <w:szCs w:val="20"/>
        </w:rPr>
        <w:t xml:space="preserve">with a long-term improvement trend of 1.00% per annum and </w:t>
      </w:r>
      <w:r w:rsidR="00DA389C" w:rsidRPr="006D4208">
        <w:rPr>
          <w:rFonts w:asciiTheme="minorHAnsi" w:hAnsiTheme="minorHAnsi" w:cs="Poppins-Light"/>
          <w:sz w:val="20"/>
          <w:szCs w:val="20"/>
        </w:rPr>
        <w:t>the core parameters for the initial addition and smoothing parameter but with a weighting of 0%, 0%, 25%, 25% on 2020, 2021, 2022 and 2023 experience respectively</w:t>
      </w:r>
      <w:r w:rsidR="00B345D7" w:rsidRPr="00306AF1">
        <w:rPr>
          <w:rFonts w:asciiTheme="minorHAnsi" w:hAnsiTheme="minorHAnsi" w:cs="Poppins-Light"/>
          <w:sz w:val="20"/>
          <w:szCs w:val="20"/>
        </w:rPr>
        <w:t xml:space="preserve"> </w:t>
      </w:r>
      <w:r w:rsidR="00B345D7" w:rsidRPr="006D4208">
        <w:rPr>
          <w:rFonts w:asciiTheme="minorHAnsi" w:hAnsiTheme="minorHAnsi" w:cs="Poppins-Light"/>
          <w:sz w:val="20"/>
          <w:szCs w:val="20"/>
        </w:rPr>
        <w:t>(December 202</w:t>
      </w:r>
      <w:r w:rsidR="00497F8B" w:rsidRPr="006D4208">
        <w:rPr>
          <w:rFonts w:asciiTheme="minorHAnsi" w:hAnsiTheme="minorHAnsi" w:cs="Poppins-Light"/>
          <w:sz w:val="20"/>
          <w:szCs w:val="20"/>
        </w:rPr>
        <w:t>3</w:t>
      </w:r>
      <w:r w:rsidR="00B345D7" w:rsidRPr="006D4208">
        <w:rPr>
          <w:rFonts w:asciiTheme="minorHAnsi" w:hAnsiTheme="minorHAnsi" w:cs="Poppins-Light"/>
          <w:sz w:val="20"/>
          <w:szCs w:val="20"/>
        </w:rPr>
        <w:t>: 202</w:t>
      </w:r>
      <w:r w:rsidR="00A5543C" w:rsidRPr="006D4208">
        <w:rPr>
          <w:rFonts w:asciiTheme="minorHAnsi" w:hAnsiTheme="minorHAnsi" w:cs="Poppins-Light"/>
          <w:sz w:val="20"/>
          <w:szCs w:val="20"/>
        </w:rPr>
        <w:t>2</w:t>
      </w:r>
      <w:r w:rsidR="00B345D7" w:rsidRPr="006D4208">
        <w:rPr>
          <w:rFonts w:asciiTheme="minorHAnsi" w:hAnsiTheme="minorHAnsi" w:cs="Poppins-Light"/>
          <w:sz w:val="20"/>
          <w:szCs w:val="20"/>
        </w:rPr>
        <w:t xml:space="preserve"> </w:t>
      </w:r>
    </w:p>
    <w:p w14:paraId="629B62EE" w14:textId="7EBF1256" w:rsidR="00AA351E" w:rsidRDefault="00AA351E" w:rsidP="6A7632AC">
      <w:pPr>
        <w:autoSpaceDE w:val="0"/>
        <w:autoSpaceDN w:val="0"/>
        <w:adjustRightInd w:val="0"/>
        <w:jc w:val="both"/>
        <w:rPr>
          <w:rFonts w:asciiTheme="minorHAnsi" w:hAnsiTheme="minorHAnsi" w:cs="Poppins-Light"/>
          <w:sz w:val="20"/>
          <w:szCs w:val="20"/>
        </w:rPr>
      </w:pPr>
    </w:p>
    <w:p w14:paraId="7C829022" w14:textId="1D54986E" w:rsidR="00A3021A" w:rsidRDefault="00B345D7" w:rsidP="413B0042">
      <w:pPr>
        <w:autoSpaceDE w:val="0"/>
        <w:autoSpaceDN w:val="0"/>
        <w:adjustRightInd w:val="0"/>
        <w:jc w:val="both"/>
        <w:rPr>
          <w:rFonts w:asciiTheme="minorHAnsi" w:hAnsiTheme="minorHAnsi" w:cs="Poppins-Light"/>
          <w:sz w:val="20"/>
          <w:szCs w:val="20"/>
        </w:rPr>
      </w:pPr>
      <w:r w:rsidRPr="006D4208">
        <w:rPr>
          <w:rFonts w:asciiTheme="minorHAnsi" w:hAnsiTheme="minorHAnsi" w:cs="Poppins-Light"/>
          <w:sz w:val="20"/>
          <w:szCs w:val="20"/>
        </w:rPr>
        <w:t>model and a modest allowance (</w:t>
      </w:r>
      <w:r w:rsidR="0047650A">
        <w:rPr>
          <w:rFonts w:asciiTheme="minorHAnsi" w:hAnsiTheme="minorHAnsi" w:cs="Poppins-Light"/>
          <w:sz w:val="20"/>
          <w:szCs w:val="20"/>
        </w:rPr>
        <w:t>0</w:t>
      </w:r>
      <w:r w:rsidRPr="006D4208">
        <w:rPr>
          <w:rFonts w:asciiTheme="minorHAnsi" w:hAnsiTheme="minorHAnsi" w:cs="Poppins-Light"/>
          <w:sz w:val="20"/>
          <w:szCs w:val="20"/>
        </w:rPr>
        <w:t>%) for the experience during 2020 and 2021</w:t>
      </w:r>
      <w:r w:rsidR="00811E47">
        <w:rPr>
          <w:rFonts w:asciiTheme="minorHAnsi" w:hAnsiTheme="minorHAnsi" w:cs="Poppins-Light"/>
          <w:sz w:val="20"/>
          <w:szCs w:val="20"/>
        </w:rPr>
        <w:t xml:space="preserve"> and 50% for </w:t>
      </w:r>
      <w:r w:rsidR="00731B9F">
        <w:rPr>
          <w:rFonts w:asciiTheme="minorHAnsi" w:hAnsiTheme="minorHAnsi" w:cs="Poppins-Light"/>
          <w:sz w:val="20"/>
          <w:szCs w:val="20"/>
        </w:rPr>
        <w:t>2022</w:t>
      </w:r>
      <w:r w:rsidRPr="006D4208">
        <w:rPr>
          <w:rFonts w:asciiTheme="minorHAnsi" w:hAnsiTheme="minorHAnsi" w:cs="Poppins-Light"/>
          <w:sz w:val="20"/>
          <w:szCs w:val="20"/>
        </w:rPr>
        <w:t>. June 202</w:t>
      </w:r>
      <w:r w:rsidR="00A5543C" w:rsidRPr="006D4208">
        <w:rPr>
          <w:rFonts w:asciiTheme="minorHAnsi" w:hAnsiTheme="minorHAnsi" w:cs="Poppins-Light"/>
          <w:sz w:val="20"/>
          <w:szCs w:val="20"/>
        </w:rPr>
        <w:t>3</w:t>
      </w:r>
      <w:r w:rsidRPr="006D4208">
        <w:rPr>
          <w:rFonts w:asciiTheme="minorHAnsi" w:hAnsiTheme="minorHAnsi" w:cs="Poppins-Light"/>
          <w:sz w:val="20"/>
          <w:szCs w:val="20"/>
        </w:rPr>
        <w:t>: 202</w:t>
      </w:r>
      <w:r w:rsidR="00647659" w:rsidRPr="006D4208">
        <w:rPr>
          <w:rFonts w:asciiTheme="minorHAnsi" w:hAnsiTheme="minorHAnsi" w:cs="Poppins-Light"/>
          <w:sz w:val="20"/>
          <w:szCs w:val="20"/>
        </w:rPr>
        <w:t>2</w:t>
      </w:r>
      <w:r w:rsidRPr="006D4208">
        <w:rPr>
          <w:rFonts w:asciiTheme="minorHAnsi" w:hAnsiTheme="minorHAnsi" w:cs="Poppins-Light"/>
          <w:sz w:val="20"/>
          <w:szCs w:val="20"/>
        </w:rPr>
        <w:t xml:space="preserve"> model and</w:t>
      </w:r>
      <w:r w:rsidR="005B6C39" w:rsidRPr="006D4208">
        <w:rPr>
          <w:rFonts w:asciiTheme="minorHAnsi" w:hAnsiTheme="minorHAnsi" w:cs="Poppins-Light"/>
          <w:sz w:val="20"/>
          <w:szCs w:val="20"/>
        </w:rPr>
        <w:t xml:space="preserve"> a modest allowance (5%)</w:t>
      </w:r>
      <w:r w:rsidR="003A1C88" w:rsidRPr="006D4208">
        <w:rPr>
          <w:rFonts w:asciiTheme="minorHAnsi" w:hAnsiTheme="minorHAnsi" w:cs="Poppins-Light"/>
          <w:sz w:val="20"/>
          <w:szCs w:val="20"/>
        </w:rPr>
        <w:t xml:space="preserve"> </w:t>
      </w:r>
      <w:r w:rsidRPr="006D4208">
        <w:rPr>
          <w:rFonts w:asciiTheme="minorHAnsi" w:hAnsiTheme="minorHAnsi" w:cs="Poppins-Light"/>
          <w:sz w:val="20"/>
          <w:szCs w:val="20"/>
        </w:rPr>
        <w:t>for the experience during 2020 and 2021</w:t>
      </w:r>
      <w:r w:rsidR="0026674E">
        <w:rPr>
          <w:rFonts w:asciiTheme="minorHAnsi" w:hAnsiTheme="minorHAnsi" w:cs="Poppins-Light"/>
          <w:sz w:val="20"/>
          <w:szCs w:val="20"/>
        </w:rPr>
        <w:t>)</w:t>
      </w:r>
      <w:r w:rsidRPr="006D4208">
        <w:rPr>
          <w:rFonts w:asciiTheme="minorHAnsi" w:hAnsiTheme="minorHAnsi" w:cs="Poppins-Light"/>
          <w:sz w:val="20"/>
          <w:szCs w:val="20"/>
        </w:rPr>
        <w:t xml:space="preserve">.  </w:t>
      </w:r>
    </w:p>
    <w:p w14:paraId="18F0CA6A" w14:textId="7F501998" w:rsidR="006B4089" w:rsidRDefault="006B4089" w:rsidP="413B0042">
      <w:pPr>
        <w:autoSpaceDE w:val="0"/>
        <w:autoSpaceDN w:val="0"/>
        <w:adjustRightInd w:val="0"/>
        <w:jc w:val="both"/>
        <w:rPr>
          <w:rFonts w:asciiTheme="minorHAnsi" w:hAnsiTheme="minorHAnsi" w:cs="Poppins-Light"/>
          <w:sz w:val="20"/>
          <w:szCs w:val="20"/>
        </w:rPr>
      </w:pPr>
    </w:p>
    <w:p w14:paraId="599A770D" w14:textId="4D1F6A7E" w:rsidR="00A3021A" w:rsidRDefault="00B345D7" w:rsidP="00A3021A">
      <w:pPr>
        <w:autoSpaceDE w:val="0"/>
        <w:autoSpaceDN w:val="0"/>
        <w:adjustRightInd w:val="0"/>
        <w:jc w:val="both"/>
        <w:rPr>
          <w:rFonts w:asciiTheme="minorHAnsi" w:hAnsiTheme="minorHAnsi" w:cs="Poppins-Light"/>
          <w:sz w:val="20"/>
          <w:szCs w:val="20"/>
        </w:rPr>
      </w:pPr>
      <w:r w:rsidRPr="006D4208">
        <w:rPr>
          <w:rFonts w:asciiTheme="minorHAnsi" w:hAnsiTheme="minorHAnsi" w:cs="Poppins-Light"/>
          <w:sz w:val="20"/>
          <w:szCs w:val="20"/>
        </w:rPr>
        <w:t>All other available parameters for the mortality improvements model were adopted at the default level.</w:t>
      </w:r>
      <w:r w:rsidRPr="00306AF1">
        <w:rPr>
          <w:rFonts w:asciiTheme="minorHAnsi" w:hAnsiTheme="minorHAnsi" w:cs="Poppins-Light"/>
          <w:sz w:val="20"/>
          <w:szCs w:val="20"/>
        </w:rPr>
        <w:t xml:space="preserve">  Under these mortality assumptions, the life expectancies of members are as follows</w:t>
      </w:r>
      <w:r w:rsidR="00A04B10" w:rsidRPr="00306AF1">
        <w:rPr>
          <w:rFonts w:asciiTheme="minorHAnsi" w:hAnsiTheme="minorHAnsi" w:cs="Poppins-Light"/>
          <w:sz w:val="20"/>
          <w:szCs w:val="20"/>
        </w:rPr>
        <w:t>:</w:t>
      </w:r>
    </w:p>
    <w:p w14:paraId="38231947" w14:textId="77777777" w:rsidR="006E7368" w:rsidRDefault="006E7368" w:rsidP="00A3021A">
      <w:pPr>
        <w:autoSpaceDE w:val="0"/>
        <w:autoSpaceDN w:val="0"/>
        <w:adjustRightInd w:val="0"/>
        <w:jc w:val="both"/>
        <w:rPr>
          <w:rFonts w:asciiTheme="minorHAnsi" w:hAnsiTheme="minorHAnsi" w:cs="Poppins-Light"/>
          <w:sz w:val="20"/>
          <w:szCs w:val="20"/>
        </w:rPr>
      </w:pPr>
    </w:p>
    <w:tbl>
      <w:tblPr>
        <w:tblW w:w="9915" w:type="dxa"/>
        <w:tblInd w:w="8" w:type="dxa"/>
        <w:tblLayout w:type="fixed"/>
        <w:tblLook w:val="0000" w:firstRow="0" w:lastRow="0" w:firstColumn="0" w:lastColumn="0" w:noHBand="0" w:noVBand="0"/>
      </w:tblPr>
      <w:tblGrid>
        <w:gridCol w:w="3536"/>
        <w:gridCol w:w="992"/>
        <w:gridCol w:w="1276"/>
        <w:gridCol w:w="992"/>
        <w:gridCol w:w="993"/>
        <w:gridCol w:w="1275"/>
        <w:gridCol w:w="851"/>
      </w:tblGrid>
      <w:tr w:rsidR="00972667" w:rsidRPr="00A61A03" w14:paraId="2DF118BF" w14:textId="77777777">
        <w:tc>
          <w:tcPr>
            <w:tcW w:w="3536" w:type="dxa"/>
            <w:tcBorders>
              <w:top w:val="nil"/>
              <w:left w:val="nil"/>
              <w:bottom w:val="nil"/>
              <w:right w:val="nil"/>
            </w:tcBorders>
            <w:vAlign w:val="bottom"/>
          </w:tcPr>
          <w:p w14:paraId="1CEC9297" w14:textId="77777777" w:rsidR="00972667" w:rsidRPr="00A61A03" w:rsidRDefault="00972667">
            <w:pPr>
              <w:rPr>
                <w:rFonts w:ascii="Calibri" w:hAnsi="Calibri" w:cs="Arial"/>
                <w:sz w:val="20"/>
                <w:szCs w:val="20"/>
              </w:rPr>
            </w:pPr>
            <w:r w:rsidRPr="00A61A03">
              <w:rPr>
                <w:rFonts w:ascii="Calibri" w:hAnsi="Calibri"/>
                <w:bCs/>
                <w:sz w:val="20"/>
                <w:szCs w:val="20"/>
              </w:rPr>
              <w:br w:type="page"/>
            </w:r>
          </w:p>
        </w:tc>
        <w:tc>
          <w:tcPr>
            <w:tcW w:w="3260" w:type="dxa"/>
            <w:gridSpan w:val="3"/>
            <w:tcBorders>
              <w:top w:val="nil"/>
              <w:left w:val="nil"/>
              <w:bottom w:val="nil"/>
              <w:right w:val="nil"/>
            </w:tcBorders>
            <w:vAlign w:val="bottom"/>
          </w:tcPr>
          <w:p w14:paraId="3AC06D51" w14:textId="77777777" w:rsidR="00972667" w:rsidRPr="00A61A03" w:rsidRDefault="00972667">
            <w:pPr>
              <w:jc w:val="center"/>
              <w:rPr>
                <w:rFonts w:ascii="Calibri" w:hAnsi="Calibri" w:cs="Arial"/>
                <w:sz w:val="20"/>
                <w:szCs w:val="20"/>
              </w:rPr>
            </w:pPr>
            <w:r w:rsidRPr="00A61A03">
              <w:rPr>
                <w:rFonts w:ascii="Calibri" w:hAnsi="Calibri" w:cs="Arial"/>
                <w:sz w:val="20"/>
                <w:szCs w:val="20"/>
              </w:rPr>
              <w:t>Male</w:t>
            </w:r>
          </w:p>
        </w:tc>
        <w:tc>
          <w:tcPr>
            <w:tcW w:w="3119" w:type="dxa"/>
            <w:gridSpan w:val="3"/>
            <w:tcBorders>
              <w:top w:val="nil"/>
              <w:left w:val="nil"/>
              <w:bottom w:val="nil"/>
              <w:right w:val="nil"/>
            </w:tcBorders>
            <w:vAlign w:val="bottom"/>
          </w:tcPr>
          <w:p w14:paraId="032E9AB1" w14:textId="77777777" w:rsidR="00972667" w:rsidRPr="00A61A03" w:rsidRDefault="00972667">
            <w:pPr>
              <w:jc w:val="center"/>
              <w:rPr>
                <w:rFonts w:ascii="Calibri" w:hAnsi="Calibri" w:cs="Arial"/>
                <w:sz w:val="20"/>
                <w:szCs w:val="20"/>
              </w:rPr>
            </w:pPr>
            <w:r w:rsidRPr="00A61A03">
              <w:rPr>
                <w:rFonts w:ascii="Calibri" w:hAnsi="Calibri" w:cs="Arial"/>
                <w:sz w:val="20"/>
                <w:szCs w:val="20"/>
              </w:rPr>
              <w:t>Female</w:t>
            </w:r>
          </w:p>
        </w:tc>
      </w:tr>
      <w:tr w:rsidR="00972667" w:rsidRPr="00A61A03" w14:paraId="6B7BBFD3" w14:textId="77777777" w:rsidTr="00673F0D">
        <w:tc>
          <w:tcPr>
            <w:tcW w:w="3536" w:type="dxa"/>
            <w:tcBorders>
              <w:top w:val="nil"/>
              <w:left w:val="nil"/>
              <w:bottom w:val="nil"/>
              <w:right w:val="nil"/>
            </w:tcBorders>
            <w:vAlign w:val="bottom"/>
          </w:tcPr>
          <w:p w14:paraId="154F23D2" w14:textId="77777777" w:rsidR="00972667" w:rsidRPr="00A61A03" w:rsidRDefault="00972667">
            <w:pPr>
              <w:rPr>
                <w:rFonts w:ascii="Calibri" w:hAnsi="Calibri" w:cs="Arial"/>
                <w:sz w:val="20"/>
                <w:szCs w:val="20"/>
              </w:rPr>
            </w:pPr>
          </w:p>
        </w:tc>
        <w:tc>
          <w:tcPr>
            <w:tcW w:w="992" w:type="dxa"/>
            <w:tcBorders>
              <w:top w:val="nil"/>
              <w:left w:val="nil"/>
              <w:bottom w:val="nil"/>
              <w:right w:val="nil"/>
            </w:tcBorders>
            <w:shd w:val="clear" w:color="auto" w:fill="F2F2F2" w:themeFill="background1" w:themeFillShade="F2"/>
            <w:vAlign w:val="bottom"/>
          </w:tcPr>
          <w:p w14:paraId="181DDDE6" w14:textId="77777777" w:rsidR="00972667" w:rsidRPr="00673F0D" w:rsidRDefault="00972667">
            <w:pPr>
              <w:jc w:val="right"/>
              <w:rPr>
                <w:rFonts w:ascii="Calibri" w:hAnsi="Calibri" w:cs="Arial"/>
                <w:b/>
                <w:sz w:val="20"/>
                <w:szCs w:val="20"/>
              </w:rPr>
            </w:pPr>
            <w:r w:rsidRPr="00673F0D">
              <w:rPr>
                <w:rFonts w:ascii="Calibri" w:hAnsi="Calibri" w:cs="Arial"/>
                <w:b/>
                <w:sz w:val="20"/>
                <w:szCs w:val="20"/>
              </w:rPr>
              <w:t>30 June 2024</w:t>
            </w:r>
          </w:p>
        </w:tc>
        <w:tc>
          <w:tcPr>
            <w:tcW w:w="1276" w:type="dxa"/>
            <w:tcBorders>
              <w:top w:val="nil"/>
              <w:left w:val="nil"/>
              <w:bottom w:val="nil"/>
              <w:right w:val="nil"/>
            </w:tcBorders>
          </w:tcPr>
          <w:p w14:paraId="4CD67348" w14:textId="77777777" w:rsidR="00972667" w:rsidRPr="00A61A03" w:rsidRDefault="00972667">
            <w:pPr>
              <w:ind w:left="-108"/>
              <w:jc w:val="right"/>
              <w:rPr>
                <w:rFonts w:ascii="Calibri" w:hAnsi="Calibri" w:cs="Arial"/>
                <w:sz w:val="20"/>
                <w:szCs w:val="20"/>
              </w:rPr>
            </w:pPr>
            <w:r w:rsidRPr="00A61A03">
              <w:rPr>
                <w:rFonts w:ascii="Calibri" w:hAnsi="Calibri" w:cs="Arial"/>
                <w:sz w:val="20"/>
                <w:szCs w:val="20"/>
              </w:rPr>
              <w:t>31 December</w:t>
            </w:r>
          </w:p>
          <w:p w14:paraId="5A1169DF" w14:textId="77777777" w:rsidR="00972667" w:rsidRPr="00A61A03" w:rsidRDefault="00972667">
            <w:pPr>
              <w:ind w:left="-108"/>
              <w:jc w:val="right"/>
              <w:rPr>
                <w:rFonts w:ascii="Calibri" w:hAnsi="Calibri" w:cs="Arial"/>
                <w:sz w:val="20"/>
                <w:szCs w:val="20"/>
              </w:rPr>
            </w:pPr>
            <w:r>
              <w:rPr>
                <w:rFonts w:ascii="Calibri" w:hAnsi="Calibri" w:cs="Arial"/>
                <w:sz w:val="20"/>
                <w:szCs w:val="20"/>
              </w:rPr>
              <w:t>2023</w:t>
            </w:r>
          </w:p>
        </w:tc>
        <w:tc>
          <w:tcPr>
            <w:tcW w:w="992" w:type="dxa"/>
            <w:tcBorders>
              <w:top w:val="nil"/>
              <w:left w:val="nil"/>
              <w:bottom w:val="nil"/>
              <w:right w:val="nil"/>
            </w:tcBorders>
            <w:vAlign w:val="bottom"/>
          </w:tcPr>
          <w:p w14:paraId="69176C3F" w14:textId="77777777" w:rsidR="00972667" w:rsidRPr="00A61A03" w:rsidRDefault="00972667">
            <w:pPr>
              <w:jc w:val="right"/>
              <w:rPr>
                <w:rFonts w:ascii="Calibri" w:hAnsi="Calibri" w:cs="Arial"/>
                <w:sz w:val="20"/>
                <w:szCs w:val="20"/>
              </w:rPr>
            </w:pPr>
            <w:r w:rsidRPr="00A61A03">
              <w:rPr>
                <w:rFonts w:ascii="Calibri" w:hAnsi="Calibri" w:cs="Arial"/>
                <w:sz w:val="20"/>
                <w:szCs w:val="20"/>
              </w:rPr>
              <w:t xml:space="preserve">30 June </w:t>
            </w:r>
            <w:r>
              <w:rPr>
                <w:rFonts w:ascii="Calibri" w:hAnsi="Calibri" w:cs="Arial"/>
                <w:sz w:val="20"/>
                <w:szCs w:val="20"/>
              </w:rPr>
              <w:t>2023</w:t>
            </w:r>
          </w:p>
        </w:tc>
        <w:tc>
          <w:tcPr>
            <w:tcW w:w="993" w:type="dxa"/>
            <w:tcBorders>
              <w:top w:val="nil"/>
              <w:left w:val="nil"/>
              <w:bottom w:val="nil"/>
              <w:right w:val="nil"/>
            </w:tcBorders>
            <w:shd w:val="clear" w:color="auto" w:fill="F2F2F2" w:themeFill="background1" w:themeFillShade="F2"/>
            <w:vAlign w:val="bottom"/>
          </w:tcPr>
          <w:p w14:paraId="42A09DBB" w14:textId="77777777" w:rsidR="00972667" w:rsidRPr="00673F0D" w:rsidRDefault="00972667">
            <w:pPr>
              <w:jc w:val="right"/>
              <w:rPr>
                <w:rFonts w:ascii="Calibri" w:hAnsi="Calibri" w:cs="Arial"/>
                <w:b/>
                <w:sz w:val="20"/>
                <w:szCs w:val="20"/>
              </w:rPr>
            </w:pPr>
            <w:r w:rsidRPr="00673F0D">
              <w:rPr>
                <w:rFonts w:ascii="Calibri" w:hAnsi="Calibri" w:cs="Arial"/>
                <w:b/>
                <w:sz w:val="20"/>
                <w:szCs w:val="20"/>
              </w:rPr>
              <w:t>30 June</w:t>
            </w:r>
          </w:p>
          <w:p w14:paraId="26CFD78A" w14:textId="77777777" w:rsidR="00972667" w:rsidRPr="00673F0D" w:rsidRDefault="00972667">
            <w:pPr>
              <w:jc w:val="right"/>
              <w:rPr>
                <w:rFonts w:ascii="Calibri" w:hAnsi="Calibri" w:cs="Arial"/>
                <w:b/>
                <w:sz w:val="20"/>
                <w:szCs w:val="20"/>
              </w:rPr>
            </w:pPr>
            <w:r w:rsidRPr="00673F0D">
              <w:rPr>
                <w:rFonts w:ascii="Calibri" w:hAnsi="Calibri" w:cs="Arial"/>
                <w:b/>
                <w:sz w:val="20"/>
                <w:szCs w:val="20"/>
              </w:rPr>
              <w:t>2024</w:t>
            </w:r>
          </w:p>
        </w:tc>
        <w:tc>
          <w:tcPr>
            <w:tcW w:w="1275" w:type="dxa"/>
            <w:tcBorders>
              <w:top w:val="nil"/>
              <w:left w:val="nil"/>
              <w:bottom w:val="nil"/>
              <w:right w:val="nil"/>
            </w:tcBorders>
          </w:tcPr>
          <w:p w14:paraId="0E8CA35A" w14:textId="77777777" w:rsidR="00972667" w:rsidRPr="00A61A03" w:rsidRDefault="00972667">
            <w:pPr>
              <w:ind w:left="-108"/>
              <w:jc w:val="right"/>
              <w:rPr>
                <w:rFonts w:ascii="Calibri" w:hAnsi="Calibri" w:cs="Arial"/>
                <w:sz w:val="20"/>
                <w:szCs w:val="20"/>
              </w:rPr>
            </w:pPr>
            <w:r w:rsidRPr="00A61A03">
              <w:rPr>
                <w:rFonts w:ascii="Calibri" w:hAnsi="Calibri" w:cs="Arial"/>
                <w:sz w:val="20"/>
                <w:szCs w:val="20"/>
              </w:rPr>
              <w:t>31 December</w:t>
            </w:r>
          </w:p>
          <w:p w14:paraId="44635B7B" w14:textId="77777777" w:rsidR="00972667" w:rsidRPr="00A61A03" w:rsidRDefault="00972667">
            <w:pPr>
              <w:jc w:val="right"/>
              <w:rPr>
                <w:rFonts w:ascii="Calibri" w:hAnsi="Calibri" w:cs="Arial"/>
                <w:sz w:val="20"/>
                <w:szCs w:val="20"/>
              </w:rPr>
            </w:pPr>
            <w:r>
              <w:rPr>
                <w:rFonts w:ascii="Calibri" w:hAnsi="Calibri" w:cs="Arial"/>
                <w:sz w:val="20"/>
                <w:szCs w:val="20"/>
              </w:rPr>
              <w:t>2023</w:t>
            </w:r>
          </w:p>
        </w:tc>
        <w:tc>
          <w:tcPr>
            <w:tcW w:w="851" w:type="dxa"/>
            <w:tcBorders>
              <w:top w:val="nil"/>
              <w:left w:val="nil"/>
              <w:bottom w:val="nil"/>
              <w:right w:val="nil"/>
            </w:tcBorders>
            <w:vAlign w:val="bottom"/>
          </w:tcPr>
          <w:p w14:paraId="32B968D5" w14:textId="77777777" w:rsidR="00972667" w:rsidRPr="00A61A03" w:rsidRDefault="00972667">
            <w:pPr>
              <w:jc w:val="right"/>
              <w:rPr>
                <w:rFonts w:ascii="Calibri" w:hAnsi="Calibri" w:cs="Arial"/>
                <w:sz w:val="20"/>
                <w:szCs w:val="20"/>
              </w:rPr>
            </w:pPr>
            <w:r w:rsidRPr="00A61A03">
              <w:rPr>
                <w:rFonts w:ascii="Calibri" w:hAnsi="Calibri" w:cs="Arial"/>
                <w:sz w:val="20"/>
                <w:szCs w:val="20"/>
              </w:rPr>
              <w:t>30 June</w:t>
            </w:r>
          </w:p>
          <w:p w14:paraId="0DF7837B" w14:textId="77777777" w:rsidR="00972667" w:rsidRPr="00A61A03" w:rsidRDefault="00972667">
            <w:pPr>
              <w:jc w:val="right"/>
              <w:rPr>
                <w:rFonts w:ascii="Calibri" w:hAnsi="Calibri" w:cs="Arial"/>
                <w:sz w:val="20"/>
                <w:szCs w:val="20"/>
              </w:rPr>
            </w:pPr>
            <w:r>
              <w:rPr>
                <w:rFonts w:ascii="Calibri" w:hAnsi="Calibri" w:cs="Arial"/>
                <w:sz w:val="20"/>
                <w:szCs w:val="20"/>
              </w:rPr>
              <w:t>2023</w:t>
            </w:r>
          </w:p>
        </w:tc>
      </w:tr>
      <w:tr w:rsidR="00972667" w:rsidRPr="00A61A03" w14:paraId="34B6735F" w14:textId="77777777" w:rsidTr="00673F0D">
        <w:tc>
          <w:tcPr>
            <w:tcW w:w="3536" w:type="dxa"/>
            <w:tcBorders>
              <w:top w:val="nil"/>
              <w:left w:val="nil"/>
              <w:bottom w:val="nil"/>
              <w:right w:val="nil"/>
            </w:tcBorders>
            <w:vAlign w:val="bottom"/>
          </w:tcPr>
          <w:p w14:paraId="057B000F" w14:textId="77777777" w:rsidR="00972667" w:rsidRPr="00A61A03" w:rsidRDefault="00972667">
            <w:pPr>
              <w:keepNext/>
              <w:tabs>
                <w:tab w:val="left" w:pos="720"/>
              </w:tabs>
              <w:overflowPunct w:val="0"/>
              <w:autoSpaceDE w:val="0"/>
              <w:autoSpaceDN w:val="0"/>
              <w:adjustRightInd w:val="0"/>
              <w:outlineLvl w:val="4"/>
              <w:rPr>
                <w:rFonts w:ascii="Calibri" w:hAnsi="Calibri" w:cs="Arial"/>
                <w:bCs/>
                <w:sz w:val="20"/>
                <w:szCs w:val="20"/>
                <w:lang w:eastAsia="en-US"/>
              </w:rPr>
            </w:pPr>
          </w:p>
        </w:tc>
        <w:tc>
          <w:tcPr>
            <w:tcW w:w="992" w:type="dxa"/>
            <w:tcBorders>
              <w:top w:val="nil"/>
              <w:left w:val="nil"/>
              <w:bottom w:val="single" w:sz="4" w:space="0" w:color="auto"/>
              <w:right w:val="nil"/>
            </w:tcBorders>
            <w:shd w:val="clear" w:color="auto" w:fill="F2F2F2" w:themeFill="background1" w:themeFillShade="F2"/>
            <w:vAlign w:val="bottom"/>
          </w:tcPr>
          <w:p w14:paraId="5ABE0368" w14:textId="77777777" w:rsidR="00972667" w:rsidRPr="00673F0D" w:rsidRDefault="00972667">
            <w:pPr>
              <w:jc w:val="right"/>
              <w:rPr>
                <w:rFonts w:ascii="Calibri" w:hAnsi="Calibri" w:cs="Arial"/>
                <w:b/>
                <w:sz w:val="20"/>
                <w:szCs w:val="20"/>
              </w:rPr>
            </w:pPr>
            <w:r w:rsidRPr="00673F0D">
              <w:rPr>
                <w:rFonts w:ascii="Calibri" w:hAnsi="Calibri" w:cs="Arial"/>
                <w:b/>
                <w:sz w:val="20"/>
                <w:szCs w:val="20"/>
              </w:rPr>
              <w:t>Years</w:t>
            </w:r>
          </w:p>
        </w:tc>
        <w:tc>
          <w:tcPr>
            <w:tcW w:w="1276" w:type="dxa"/>
            <w:tcBorders>
              <w:top w:val="nil"/>
              <w:left w:val="nil"/>
              <w:bottom w:val="single" w:sz="4" w:space="0" w:color="auto"/>
              <w:right w:val="nil"/>
            </w:tcBorders>
          </w:tcPr>
          <w:p w14:paraId="4695A351" w14:textId="77777777" w:rsidR="00972667" w:rsidRPr="00A61A03" w:rsidRDefault="00972667">
            <w:pPr>
              <w:ind w:left="-108"/>
              <w:jc w:val="right"/>
              <w:rPr>
                <w:rFonts w:ascii="Calibri" w:hAnsi="Calibri" w:cs="Arial"/>
                <w:sz w:val="20"/>
                <w:szCs w:val="20"/>
              </w:rPr>
            </w:pPr>
            <w:r w:rsidRPr="00A61A03">
              <w:rPr>
                <w:rFonts w:ascii="Calibri" w:hAnsi="Calibri" w:cs="Arial"/>
                <w:sz w:val="20"/>
                <w:szCs w:val="20"/>
              </w:rPr>
              <w:t>Years</w:t>
            </w:r>
          </w:p>
        </w:tc>
        <w:tc>
          <w:tcPr>
            <w:tcW w:w="992" w:type="dxa"/>
            <w:tcBorders>
              <w:top w:val="nil"/>
              <w:left w:val="nil"/>
              <w:bottom w:val="single" w:sz="4" w:space="0" w:color="auto"/>
              <w:right w:val="nil"/>
            </w:tcBorders>
            <w:vAlign w:val="bottom"/>
          </w:tcPr>
          <w:p w14:paraId="75A741E6" w14:textId="77777777" w:rsidR="00972667" w:rsidRPr="00A61A03" w:rsidRDefault="00972667">
            <w:pPr>
              <w:jc w:val="right"/>
              <w:rPr>
                <w:rFonts w:ascii="Calibri" w:hAnsi="Calibri" w:cs="Arial"/>
                <w:sz w:val="20"/>
                <w:szCs w:val="20"/>
              </w:rPr>
            </w:pPr>
            <w:r w:rsidRPr="00A61A03">
              <w:rPr>
                <w:rFonts w:ascii="Calibri" w:hAnsi="Calibri" w:cs="Arial"/>
                <w:sz w:val="20"/>
                <w:szCs w:val="20"/>
              </w:rPr>
              <w:t>Years</w:t>
            </w:r>
          </w:p>
        </w:tc>
        <w:tc>
          <w:tcPr>
            <w:tcW w:w="993" w:type="dxa"/>
            <w:tcBorders>
              <w:top w:val="nil"/>
              <w:left w:val="nil"/>
              <w:bottom w:val="single" w:sz="4" w:space="0" w:color="auto"/>
              <w:right w:val="nil"/>
            </w:tcBorders>
            <w:shd w:val="clear" w:color="auto" w:fill="F2F2F2" w:themeFill="background1" w:themeFillShade="F2"/>
            <w:vAlign w:val="bottom"/>
          </w:tcPr>
          <w:p w14:paraId="2C980ED7" w14:textId="77777777" w:rsidR="00972667" w:rsidRPr="00673F0D" w:rsidRDefault="00972667">
            <w:pPr>
              <w:jc w:val="right"/>
              <w:rPr>
                <w:rFonts w:ascii="Calibri" w:hAnsi="Calibri" w:cs="Arial"/>
                <w:b/>
                <w:sz w:val="20"/>
                <w:szCs w:val="20"/>
              </w:rPr>
            </w:pPr>
            <w:r w:rsidRPr="00673F0D">
              <w:rPr>
                <w:rFonts w:ascii="Calibri" w:hAnsi="Calibri" w:cs="Arial"/>
                <w:b/>
                <w:sz w:val="20"/>
                <w:szCs w:val="20"/>
              </w:rPr>
              <w:t>Years</w:t>
            </w:r>
          </w:p>
        </w:tc>
        <w:tc>
          <w:tcPr>
            <w:tcW w:w="1275" w:type="dxa"/>
            <w:tcBorders>
              <w:top w:val="nil"/>
              <w:left w:val="nil"/>
              <w:bottom w:val="single" w:sz="4" w:space="0" w:color="auto"/>
              <w:right w:val="nil"/>
            </w:tcBorders>
          </w:tcPr>
          <w:p w14:paraId="607E125D" w14:textId="77777777" w:rsidR="00972667" w:rsidRPr="00A61A03" w:rsidRDefault="00972667">
            <w:pPr>
              <w:jc w:val="right"/>
              <w:rPr>
                <w:rFonts w:ascii="Calibri" w:hAnsi="Calibri" w:cs="Arial"/>
                <w:sz w:val="20"/>
                <w:szCs w:val="20"/>
              </w:rPr>
            </w:pPr>
            <w:r w:rsidRPr="00A61A03">
              <w:rPr>
                <w:rFonts w:ascii="Calibri" w:hAnsi="Calibri" w:cs="Arial"/>
                <w:sz w:val="20"/>
                <w:szCs w:val="20"/>
              </w:rPr>
              <w:t>Years</w:t>
            </w:r>
          </w:p>
        </w:tc>
        <w:tc>
          <w:tcPr>
            <w:tcW w:w="851" w:type="dxa"/>
            <w:tcBorders>
              <w:top w:val="nil"/>
              <w:left w:val="nil"/>
              <w:bottom w:val="single" w:sz="4" w:space="0" w:color="auto"/>
              <w:right w:val="nil"/>
            </w:tcBorders>
            <w:vAlign w:val="bottom"/>
          </w:tcPr>
          <w:p w14:paraId="5F9365D5" w14:textId="77777777" w:rsidR="00972667" w:rsidRPr="00A61A03" w:rsidRDefault="00972667">
            <w:pPr>
              <w:jc w:val="right"/>
              <w:rPr>
                <w:rFonts w:ascii="Calibri" w:hAnsi="Calibri" w:cs="Arial"/>
                <w:sz w:val="20"/>
                <w:szCs w:val="20"/>
              </w:rPr>
            </w:pPr>
            <w:r w:rsidRPr="00A61A03">
              <w:rPr>
                <w:rFonts w:ascii="Calibri" w:hAnsi="Calibri" w:cs="Arial"/>
                <w:sz w:val="20"/>
                <w:szCs w:val="20"/>
              </w:rPr>
              <w:t>years</w:t>
            </w:r>
          </w:p>
        </w:tc>
      </w:tr>
      <w:tr w:rsidR="00972667" w:rsidRPr="00A61A03" w14:paraId="4F849187" w14:textId="77777777" w:rsidTr="00673F0D">
        <w:tc>
          <w:tcPr>
            <w:tcW w:w="3536" w:type="dxa"/>
            <w:tcBorders>
              <w:top w:val="nil"/>
              <w:left w:val="nil"/>
              <w:bottom w:val="nil"/>
              <w:right w:val="nil"/>
            </w:tcBorders>
            <w:vAlign w:val="bottom"/>
          </w:tcPr>
          <w:p w14:paraId="5674D8EE" w14:textId="77777777" w:rsidR="00972667" w:rsidRPr="00A61A03" w:rsidRDefault="00972667">
            <w:pPr>
              <w:rPr>
                <w:rFonts w:ascii="Calibri" w:hAnsi="Calibri" w:cs="Arial"/>
                <w:sz w:val="20"/>
                <w:szCs w:val="20"/>
              </w:rPr>
            </w:pPr>
            <w:r w:rsidRPr="00A61A03">
              <w:rPr>
                <w:rFonts w:ascii="Calibri" w:hAnsi="Calibri" w:cs="Arial"/>
                <w:sz w:val="20"/>
                <w:szCs w:val="20"/>
              </w:rPr>
              <w:t xml:space="preserve">Current pensioner aged 65 </w:t>
            </w:r>
          </w:p>
        </w:tc>
        <w:tc>
          <w:tcPr>
            <w:tcW w:w="992" w:type="dxa"/>
            <w:tcBorders>
              <w:top w:val="single" w:sz="4" w:space="0" w:color="auto"/>
              <w:left w:val="nil"/>
              <w:bottom w:val="nil"/>
              <w:right w:val="nil"/>
            </w:tcBorders>
            <w:shd w:val="clear" w:color="auto" w:fill="F2F2F2" w:themeFill="background1" w:themeFillShade="F2"/>
          </w:tcPr>
          <w:p w14:paraId="5BB2FEFF" w14:textId="598F65D6" w:rsidR="00972667" w:rsidRPr="00673F0D" w:rsidRDefault="00972667">
            <w:pPr>
              <w:jc w:val="right"/>
              <w:rPr>
                <w:rFonts w:ascii="Calibri" w:hAnsi="Calibri" w:cs="Arial"/>
                <w:b/>
                <w:sz w:val="20"/>
                <w:szCs w:val="20"/>
              </w:rPr>
            </w:pPr>
            <w:r w:rsidRPr="00673F0D">
              <w:rPr>
                <w:rFonts w:ascii="Calibri" w:hAnsi="Calibri" w:cs="Arial"/>
                <w:b/>
                <w:sz w:val="20"/>
                <w:szCs w:val="20"/>
              </w:rPr>
              <w:t>21.</w:t>
            </w:r>
            <w:r w:rsidR="00804F12" w:rsidRPr="00673F0D">
              <w:rPr>
                <w:rFonts w:ascii="Calibri" w:hAnsi="Calibri" w:cs="Arial"/>
                <w:b/>
                <w:sz w:val="20"/>
                <w:szCs w:val="20"/>
              </w:rPr>
              <w:t>2</w:t>
            </w:r>
          </w:p>
        </w:tc>
        <w:tc>
          <w:tcPr>
            <w:tcW w:w="1276" w:type="dxa"/>
            <w:tcBorders>
              <w:top w:val="single" w:sz="4" w:space="0" w:color="auto"/>
              <w:left w:val="nil"/>
              <w:bottom w:val="nil"/>
              <w:right w:val="nil"/>
            </w:tcBorders>
          </w:tcPr>
          <w:p w14:paraId="7CED62FC" w14:textId="77777777" w:rsidR="00972667" w:rsidRPr="00A61A03" w:rsidRDefault="00972667">
            <w:pPr>
              <w:ind w:left="-108"/>
              <w:jc w:val="right"/>
              <w:rPr>
                <w:rFonts w:ascii="Calibri" w:hAnsi="Calibri" w:cs="Arial"/>
                <w:sz w:val="20"/>
                <w:szCs w:val="20"/>
              </w:rPr>
            </w:pPr>
            <w:r w:rsidRPr="006D4208">
              <w:rPr>
                <w:rFonts w:ascii="Calibri" w:hAnsi="Calibri" w:cs="Arial"/>
                <w:sz w:val="20"/>
                <w:szCs w:val="20"/>
              </w:rPr>
              <w:t>21.2</w:t>
            </w:r>
          </w:p>
        </w:tc>
        <w:tc>
          <w:tcPr>
            <w:tcW w:w="992" w:type="dxa"/>
            <w:tcBorders>
              <w:top w:val="single" w:sz="4" w:space="0" w:color="auto"/>
              <w:left w:val="nil"/>
              <w:bottom w:val="nil"/>
              <w:right w:val="nil"/>
            </w:tcBorders>
          </w:tcPr>
          <w:p w14:paraId="39FB6265" w14:textId="77777777" w:rsidR="00972667" w:rsidRPr="00A61A03" w:rsidRDefault="00972667">
            <w:pPr>
              <w:jc w:val="right"/>
              <w:rPr>
                <w:rFonts w:ascii="Calibri" w:hAnsi="Calibri" w:cs="Arial"/>
                <w:sz w:val="20"/>
                <w:szCs w:val="20"/>
              </w:rPr>
            </w:pPr>
            <w:r w:rsidRPr="006D4208">
              <w:rPr>
                <w:rFonts w:ascii="Calibri" w:hAnsi="Calibri" w:cs="Arial"/>
                <w:sz w:val="20"/>
                <w:szCs w:val="20"/>
              </w:rPr>
              <w:t>21.3</w:t>
            </w:r>
          </w:p>
        </w:tc>
        <w:tc>
          <w:tcPr>
            <w:tcW w:w="993" w:type="dxa"/>
            <w:tcBorders>
              <w:top w:val="single" w:sz="4" w:space="0" w:color="auto"/>
              <w:left w:val="nil"/>
              <w:bottom w:val="nil"/>
              <w:right w:val="nil"/>
            </w:tcBorders>
            <w:shd w:val="clear" w:color="auto" w:fill="F2F2F2" w:themeFill="background1" w:themeFillShade="F2"/>
          </w:tcPr>
          <w:p w14:paraId="7BFA987A" w14:textId="77777777" w:rsidR="00972667" w:rsidRPr="00673F0D" w:rsidRDefault="00972667">
            <w:pPr>
              <w:jc w:val="right"/>
              <w:rPr>
                <w:rFonts w:ascii="Calibri" w:hAnsi="Calibri" w:cs="Arial"/>
                <w:b/>
                <w:sz w:val="20"/>
                <w:szCs w:val="20"/>
              </w:rPr>
            </w:pPr>
            <w:r w:rsidRPr="00673F0D">
              <w:rPr>
                <w:rFonts w:ascii="Calibri" w:hAnsi="Calibri" w:cs="Arial"/>
                <w:b/>
                <w:sz w:val="20"/>
                <w:szCs w:val="20"/>
              </w:rPr>
              <w:t>23.0</w:t>
            </w:r>
          </w:p>
        </w:tc>
        <w:tc>
          <w:tcPr>
            <w:tcW w:w="1275" w:type="dxa"/>
            <w:tcBorders>
              <w:top w:val="single" w:sz="4" w:space="0" w:color="auto"/>
              <w:left w:val="nil"/>
              <w:bottom w:val="nil"/>
              <w:right w:val="nil"/>
            </w:tcBorders>
          </w:tcPr>
          <w:p w14:paraId="57B86DB7" w14:textId="77777777" w:rsidR="00972667" w:rsidRPr="00A61A03" w:rsidRDefault="00972667">
            <w:pPr>
              <w:jc w:val="right"/>
              <w:rPr>
                <w:rFonts w:ascii="Calibri" w:hAnsi="Calibri" w:cs="Arial"/>
                <w:sz w:val="20"/>
                <w:szCs w:val="20"/>
              </w:rPr>
            </w:pPr>
            <w:r w:rsidRPr="006D4208">
              <w:rPr>
                <w:rFonts w:ascii="Calibri" w:hAnsi="Calibri" w:cs="Arial"/>
                <w:sz w:val="20"/>
                <w:szCs w:val="20"/>
              </w:rPr>
              <w:t>22.9</w:t>
            </w:r>
          </w:p>
        </w:tc>
        <w:tc>
          <w:tcPr>
            <w:tcW w:w="851" w:type="dxa"/>
            <w:tcBorders>
              <w:top w:val="single" w:sz="4" w:space="0" w:color="auto"/>
              <w:left w:val="nil"/>
              <w:bottom w:val="nil"/>
              <w:right w:val="nil"/>
            </w:tcBorders>
          </w:tcPr>
          <w:p w14:paraId="5955E6D0" w14:textId="77777777" w:rsidR="00972667" w:rsidRPr="00A61A03" w:rsidRDefault="00972667">
            <w:pPr>
              <w:jc w:val="right"/>
              <w:rPr>
                <w:rFonts w:ascii="Calibri" w:hAnsi="Calibri" w:cs="Arial"/>
                <w:sz w:val="20"/>
                <w:szCs w:val="20"/>
              </w:rPr>
            </w:pPr>
            <w:r w:rsidRPr="006D4208">
              <w:rPr>
                <w:rFonts w:ascii="Calibri" w:hAnsi="Calibri" w:cs="Arial"/>
                <w:sz w:val="20"/>
                <w:szCs w:val="20"/>
              </w:rPr>
              <w:t>23.0</w:t>
            </w:r>
          </w:p>
        </w:tc>
      </w:tr>
      <w:tr w:rsidR="00972667" w:rsidRPr="00A61A03" w14:paraId="2A1F8FAA" w14:textId="77777777" w:rsidTr="00673F0D">
        <w:tc>
          <w:tcPr>
            <w:tcW w:w="3536" w:type="dxa"/>
            <w:tcBorders>
              <w:top w:val="nil"/>
              <w:left w:val="nil"/>
              <w:bottom w:val="nil"/>
              <w:right w:val="nil"/>
            </w:tcBorders>
            <w:vAlign w:val="bottom"/>
          </w:tcPr>
          <w:p w14:paraId="2BCFCB53" w14:textId="77777777" w:rsidR="00972667" w:rsidRPr="00A61A03" w:rsidRDefault="00972667">
            <w:pPr>
              <w:rPr>
                <w:rFonts w:ascii="Calibri" w:hAnsi="Calibri" w:cs="Arial"/>
                <w:sz w:val="20"/>
                <w:szCs w:val="20"/>
              </w:rPr>
            </w:pPr>
            <w:r w:rsidRPr="00A61A03">
              <w:rPr>
                <w:rFonts w:ascii="Calibri" w:hAnsi="Calibri" w:cs="Arial"/>
                <w:sz w:val="20"/>
                <w:szCs w:val="20"/>
              </w:rPr>
              <w:t>Current member aged 45 from age 65</w:t>
            </w:r>
          </w:p>
        </w:tc>
        <w:tc>
          <w:tcPr>
            <w:tcW w:w="992" w:type="dxa"/>
            <w:tcBorders>
              <w:top w:val="nil"/>
              <w:left w:val="nil"/>
              <w:bottom w:val="single" w:sz="4" w:space="0" w:color="auto"/>
              <w:right w:val="nil"/>
            </w:tcBorders>
            <w:shd w:val="clear" w:color="auto" w:fill="F2F2F2" w:themeFill="background1" w:themeFillShade="F2"/>
          </w:tcPr>
          <w:p w14:paraId="5DB7FC7A" w14:textId="2FCE4E2E" w:rsidR="00972667" w:rsidRPr="00673F0D" w:rsidRDefault="00972667">
            <w:pPr>
              <w:jc w:val="right"/>
              <w:rPr>
                <w:rFonts w:ascii="Calibri" w:hAnsi="Calibri" w:cs="Arial"/>
                <w:b/>
                <w:sz w:val="20"/>
                <w:szCs w:val="20"/>
              </w:rPr>
            </w:pPr>
            <w:r w:rsidRPr="00673F0D">
              <w:rPr>
                <w:rFonts w:ascii="Calibri" w:hAnsi="Calibri" w:cs="Arial"/>
                <w:b/>
                <w:sz w:val="20"/>
                <w:szCs w:val="20"/>
              </w:rPr>
              <w:t>21.</w:t>
            </w:r>
            <w:r w:rsidR="00804F12" w:rsidRPr="00673F0D">
              <w:rPr>
                <w:rFonts w:ascii="Calibri" w:hAnsi="Calibri" w:cs="Arial"/>
                <w:b/>
                <w:sz w:val="20"/>
                <w:szCs w:val="20"/>
              </w:rPr>
              <w:t>1</w:t>
            </w:r>
            <w:r w:rsidRPr="00673F0D">
              <w:rPr>
                <w:rFonts w:ascii="Calibri" w:hAnsi="Calibri" w:cs="Arial"/>
                <w:b/>
                <w:sz w:val="20"/>
                <w:szCs w:val="20"/>
              </w:rPr>
              <w:t xml:space="preserve"> </w:t>
            </w:r>
          </w:p>
        </w:tc>
        <w:tc>
          <w:tcPr>
            <w:tcW w:w="1276" w:type="dxa"/>
            <w:tcBorders>
              <w:top w:val="nil"/>
              <w:left w:val="nil"/>
              <w:bottom w:val="single" w:sz="4" w:space="0" w:color="auto"/>
              <w:right w:val="nil"/>
            </w:tcBorders>
          </w:tcPr>
          <w:p w14:paraId="765DBF8A" w14:textId="77777777" w:rsidR="00972667" w:rsidRPr="00A61A03" w:rsidRDefault="00972667">
            <w:pPr>
              <w:ind w:left="-108"/>
              <w:jc w:val="right"/>
              <w:rPr>
                <w:rFonts w:ascii="Calibri" w:hAnsi="Calibri" w:cs="Arial"/>
                <w:sz w:val="20"/>
                <w:szCs w:val="20"/>
              </w:rPr>
            </w:pPr>
            <w:r w:rsidRPr="006D4208">
              <w:rPr>
                <w:rFonts w:ascii="Calibri" w:hAnsi="Calibri" w:cs="Arial"/>
                <w:sz w:val="20"/>
                <w:szCs w:val="20"/>
              </w:rPr>
              <w:t>21.1</w:t>
            </w:r>
          </w:p>
        </w:tc>
        <w:tc>
          <w:tcPr>
            <w:tcW w:w="992" w:type="dxa"/>
            <w:tcBorders>
              <w:top w:val="nil"/>
              <w:left w:val="nil"/>
              <w:bottom w:val="single" w:sz="4" w:space="0" w:color="auto"/>
              <w:right w:val="nil"/>
            </w:tcBorders>
          </w:tcPr>
          <w:p w14:paraId="058A0E91" w14:textId="77777777" w:rsidR="00972667" w:rsidRPr="00A61A03" w:rsidRDefault="00972667">
            <w:pPr>
              <w:jc w:val="right"/>
              <w:rPr>
                <w:rFonts w:ascii="Calibri" w:hAnsi="Calibri" w:cs="Arial"/>
                <w:sz w:val="20"/>
                <w:szCs w:val="20"/>
              </w:rPr>
            </w:pPr>
            <w:r w:rsidRPr="006D4208">
              <w:rPr>
                <w:rFonts w:ascii="Calibri" w:hAnsi="Calibri" w:cs="Arial"/>
                <w:sz w:val="20"/>
                <w:szCs w:val="20"/>
              </w:rPr>
              <w:t xml:space="preserve">21.2 </w:t>
            </w:r>
          </w:p>
        </w:tc>
        <w:tc>
          <w:tcPr>
            <w:tcW w:w="993" w:type="dxa"/>
            <w:tcBorders>
              <w:top w:val="nil"/>
              <w:left w:val="nil"/>
              <w:bottom w:val="single" w:sz="4" w:space="0" w:color="auto"/>
              <w:right w:val="nil"/>
            </w:tcBorders>
            <w:shd w:val="clear" w:color="auto" w:fill="F2F2F2" w:themeFill="background1" w:themeFillShade="F2"/>
          </w:tcPr>
          <w:p w14:paraId="1C5D86DA" w14:textId="77777777" w:rsidR="00972667" w:rsidRPr="00673F0D" w:rsidRDefault="00972667">
            <w:pPr>
              <w:jc w:val="right"/>
              <w:rPr>
                <w:rFonts w:ascii="Calibri" w:hAnsi="Calibri" w:cs="Arial"/>
                <w:b/>
                <w:sz w:val="20"/>
                <w:szCs w:val="20"/>
              </w:rPr>
            </w:pPr>
            <w:r w:rsidRPr="00673F0D">
              <w:rPr>
                <w:rFonts w:ascii="Calibri" w:hAnsi="Calibri" w:cs="Arial"/>
                <w:b/>
                <w:sz w:val="20"/>
                <w:szCs w:val="20"/>
              </w:rPr>
              <w:t>23.9</w:t>
            </w:r>
          </w:p>
        </w:tc>
        <w:tc>
          <w:tcPr>
            <w:tcW w:w="1275" w:type="dxa"/>
            <w:tcBorders>
              <w:top w:val="nil"/>
              <w:left w:val="nil"/>
              <w:bottom w:val="single" w:sz="4" w:space="0" w:color="auto"/>
              <w:right w:val="nil"/>
            </w:tcBorders>
          </w:tcPr>
          <w:p w14:paraId="4B0B192F" w14:textId="77777777" w:rsidR="00972667" w:rsidRPr="00A61A03" w:rsidRDefault="00972667">
            <w:pPr>
              <w:jc w:val="right"/>
              <w:rPr>
                <w:rFonts w:ascii="Calibri" w:hAnsi="Calibri" w:cs="Arial"/>
                <w:sz w:val="20"/>
                <w:szCs w:val="20"/>
              </w:rPr>
            </w:pPr>
            <w:r w:rsidRPr="006D4208">
              <w:rPr>
                <w:rFonts w:ascii="Calibri" w:hAnsi="Calibri" w:cs="Arial"/>
                <w:sz w:val="20"/>
                <w:szCs w:val="20"/>
              </w:rPr>
              <w:t>23.8</w:t>
            </w:r>
          </w:p>
        </w:tc>
        <w:tc>
          <w:tcPr>
            <w:tcW w:w="851" w:type="dxa"/>
            <w:tcBorders>
              <w:top w:val="nil"/>
              <w:left w:val="nil"/>
              <w:bottom w:val="single" w:sz="4" w:space="0" w:color="auto"/>
              <w:right w:val="nil"/>
            </w:tcBorders>
          </w:tcPr>
          <w:p w14:paraId="03D1FE90" w14:textId="77777777" w:rsidR="00972667" w:rsidRPr="00A61A03" w:rsidRDefault="00972667">
            <w:pPr>
              <w:jc w:val="right"/>
              <w:rPr>
                <w:rFonts w:ascii="Calibri" w:hAnsi="Calibri" w:cs="Arial"/>
                <w:sz w:val="20"/>
                <w:szCs w:val="20"/>
              </w:rPr>
            </w:pPr>
            <w:r w:rsidRPr="006D4208">
              <w:rPr>
                <w:rFonts w:ascii="Calibri" w:hAnsi="Calibri" w:cs="Arial"/>
                <w:sz w:val="20"/>
                <w:szCs w:val="20"/>
              </w:rPr>
              <w:t>23.9</w:t>
            </w:r>
          </w:p>
        </w:tc>
      </w:tr>
    </w:tbl>
    <w:p w14:paraId="2E05A249" w14:textId="7E39F8CF" w:rsidR="008471DD" w:rsidRPr="00306AF1" w:rsidRDefault="008471DD" w:rsidP="00A3021A">
      <w:pPr>
        <w:autoSpaceDE w:val="0"/>
        <w:autoSpaceDN w:val="0"/>
        <w:adjustRightInd w:val="0"/>
        <w:jc w:val="both"/>
        <w:rPr>
          <w:rFonts w:asciiTheme="minorHAnsi" w:hAnsiTheme="minorHAnsi" w:cs="Poppins-Light"/>
          <w:sz w:val="20"/>
          <w:szCs w:val="20"/>
        </w:rPr>
      </w:pPr>
    </w:p>
    <w:p w14:paraId="29BE881A" w14:textId="77777777" w:rsidR="00124C31" w:rsidRPr="00306AF1" w:rsidRDefault="00124C31"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5F6B68DE" w14:textId="00F4BABA" w:rsidR="00A3021A" w:rsidRPr="00306AF1" w:rsidRDefault="00A3021A"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2725AC">
        <w:rPr>
          <w:rFonts w:asciiTheme="minorHAnsi" w:hAnsiTheme="minorHAnsi" w:cs="Arial"/>
          <w:sz w:val="20"/>
          <w:szCs w:val="20"/>
        </w:rPr>
        <w:t xml:space="preserve">If the discount rate decreased by </w:t>
      </w:r>
      <w:r w:rsidR="00007FF0" w:rsidRPr="002725AC">
        <w:rPr>
          <w:rFonts w:asciiTheme="minorHAnsi" w:hAnsiTheme="minorHAnsi" w:cs="Arial"/>
          <w:sz w:val="20"/>
          <w:szCs w:val="20"/>
        </w:rPr>
        <w:t>0.5</w:t>
      </w:r>
      <w:r w:rsidRPr="002725AC">
        <w:rPr>
          <w:rFonts w:asciiTheme="minorHAnsi" w:hAnsiTheme="minorHAnsi" w:cs="Arial"/>
          <w:sz w:val="20"/>
          <w:szCs w:val="20"/>
        </w:rPr>
        <w:t xml:space="preserve">% </w:t>
      </w:r>
      <w:r w:rsidRPr="006D4208">
        <w:rPr>
          <w:rFonts w:asciiTheme="minorHAnsi" w:hAnsiTheme="minorHAnsi" w:cs="Arial"/>
          <w:sz w:val="20"/>
          <w:szCs w:val="20"/>
        </w:rPr>
        <w:t>(</w:t>
      </w:r>
      <w:r w:rsidR="0088701D" w:rsidRPr="006D4208">
        <w:rPr>
          <w:rFonts w:asciiTheme="minorHAnsi" w:hAnsiTheme="minorHAnsi" w:cs="Arial"/>
          <w:sz w:val="20"/>
          <w:szCs w:val="20"/>
        </w:rPr>
        <w:t xml:space="preserve">31 December </w:t>
      </w:r>
      <w:r w:rsidRPr="006D4208">
        <w:rPr>
          <w:rFonts w:asciiTheme="minorHAnsi" w:hAnsiTheme="minorHAnsi" w:cs="Arial"/>
          <w:sz w:val="20"/>
          <w:szCs w:val="20"/>
        </w:rPr>
        <w:t>202</w:t>
      </w:r>
      <w:r w:rsidR="00814CC6" w:rsidRPr="006D4208">
        <w:rPr>
          <w:rFonts w:asciiTheme="minorHAnsi" w:hAnsiTheme="minorHAnsi" w:cs="Arial"/>
          <w:sz w:val="20"/>
          <w:szCs w:val="20"/>
        </w:rPr>
        <w:t>3</w:t>
      </w:r>
      <w:r w:rsidRPr="006D4208">
        <w:rPr>
          <w:rFonts w:asciiTheme="minorHAnsi" w:hAnsiTheme="minorHAnsi" w:cs="Arial"/>
          <w:sz w:val="20"/>
          <w:szCs w:val="20"/>
        </w:rPr>
        <w:t xml:space="preserve">: </w:t>
      </w:r>
      <w:r w:rsidR="00340BB6" w:rsidRPr="006D4208">
        <w:rPr>
          <w:rFonts w:asciiTheme="minorHAnsi" w:hAnsiTheme="minorHAnsi" w:cs="Arial"/>
          <w:sz w:val="20"/>
          <w:szCs w:val="20"/>
        </w:rPr>
        <w:t>0.5</w:t>
      </w:r>
      <w:r w:rsidRPr="006D4208">
        <w:rPr>
          <w:rFonts w:asciiTheme="minorHAnsi" w:hAnsiTheme="minorHAnsi" w:cs="Arial"/>
          <w:sz w:val="20"/>
          <w:szCs w:val="20"/>
        </w:rPr>
        <w:t>%</w:t>
      </w:r>
      <w:r w:rsidR="00476378" w:rsidRPr="006D4208">
        <w:rPr>
          <w:rFonts w:asciiTheme="minorHAnsi" w:hAnsiTheme="minorHAnsi" w:cs="Arial"/>
          <w:sz w:val="20"/>
          <w:szCs w:val="20"/>
        </w:rPr>
        <w:t>, 30 June 202</w:t>
      </w:r>
      <w:r w:rsidR="00CB275A" w:rsidRPr="006D4208">
        <w:rPr>
          <w:rFonts w:asciiTheme="minorHAnsi" w:hAnsiTheme="minorHAnsi" w:cs="Arial"/>
          <w:sz w:val="20"/>
          <w:szCs w:val="20"/>
        </w:rPr>
        <w:t>3</w:t>
      </w:r>
      <w:r w:rsidR="000A4FD6" w:rsidRPr="006D4208">
        <w:rPr>
          <w:rFonts w:asciiTheme="minorHAnsi" w:hAnsiTheme="minorHAnsi" w:cs="Arial"/>
          <w:sz w:val="20"/>
          <w:szCs w:val="20"/>
        </w:rPr>
        <w:t>:</w:t>
      </w:r>
      <w:r w:rsidR="006403C9" w:rsidRPr="006D4208">
        <w:rPr>
          <w:rFonts w:asciiTheme="minorHAnsi" w:hAnsiTheme="minorHAnsi" w:cs="Arial"/>
          <w:sz w:val="20"/>
          <w:szCs w:val="20"/>
        </w:rPr>
        <w:t xml:space="preserve"> </w:t>
      </w:r>
      <w:r w:rsidR="001874F2" w:rsidRPr="006D4208">
        <w:rPr>
          <w:rFonts w:asciiTheme="minorHAnsi" w:hAnsiTheme="minorHAnsi" w:cs="Arial"/>
          <w:sz w:val="20"/>
          <w:szCs w:val="20"/>
        </w:rPr>
        <w:t>2</w:t>
      </w:r>
      <w:r w:rsidRPr="006D4208">
        <w:rPr>
          <w:rFonts w:asciiTheme="minorHAnsi" w:hAnsiTheme="minorHAnsi" w:cs="Arial"/>
          <w:sz w:val="20"/>
          <w:szCs w:val="20"/>
        </w:rPr>
        <w:t xml:space="preserve">%), the </w:t>
      </w:r>
      <w:r w:rsidR="00466780" w:rsidRPr="006D4208">
        <w:rPr>
          <w:rFonts w:asciiTheme="minorHAnsi" w:hAnsiTheme="minorHAnsi" w:cs="Arial"/>
          <w:sz w:val="20"/>
          <w:szCs w:val="20"/>
        </w:rPr>
        <w:t>defined benefit</w:t>
      </w:r>
      <w:r w:rsidR="006A45C4" w:rsidRPr="006D4208">
        <w:rPr>
          <w:rFonts w:asciiTheme="minorHAnsi" w:hAnsiTheme="minorHAnsi" w:cs="Arial"/>
          <w:sz w:val="20"/>
          <w:szCs w:val="20"/>
        </w:rPr>
        <w:t xml:space="preserve"> obligation</w:t>
      </w:r>
      <w:r w:rsidR="00466780" w:rsidRPr="006D4208">
        <w:rPr>
          <w:rFonts w:asciiTheme="minorHAnsi" w:hAnsiTheme="minorHAnsi" w:cs="Arial"/>
          <w:sz w:val="20"/>
          <w:szCs w:val="20"/>
        </w:rPr>
        <w:t xml:space="preserve"> </w:t>
      </w:r>
      <w:r w:rsidR="00B62406" w:rsidRPr="006D4208">
        <w:rPr>
          <w:rFonts w:asciiTheme="minorHAnsi" w:hAnsiTheme="minorHAnsi" w:cs="Arial"/>
          <w:sz w:val="20"/>
          <w:szCs w:val="20"/>
        </w:rPr>
        <w:t xml:space="preserve">(not including any </w:t>
      </w:r>
      <w:r w:rsidR="00DA3C65" w:rsidRPr="006D4208">
        <w:rPr>
          <w:rFonts w:asciiTheme="minorHAnsi" w:hAnsiTheme="minorHAnsi" w:cs="Arial"/>
          <w:sz w:val="20"/>
          <w:szCs w:val="20"/>
        </w:rPr>
        <w:t>impact on assets</w:t>
      </w:r>
      <w:r w:rsidR="006A45C4" w:rsidRPr="002725AC">
        <w:rPr>
          <w:rFonts w:asciiTheme="minorHAnsi" w:hAnsiTheme="minorHAnsi" w:cs="Arial"/>
          <w:sz w:val="20"/>
          <w:szCs w:val="20"/>
        </w:rPr>
        <w:t>)</w:t>
      </w:r>
      <w:r w:rsidRPr="002725AC">
        <w:rPr>
          <w:rFonts w:asciiTheme="minorHAnsi" w:hAnsiTheme="minorHAnsi" w:cs="Arial"/>
          <w:sz w:val="20"/>
          <w:szCs w:val="20"/>
        </w:rPr>
        <w:t xml:space="preserve"> would have been increased by approximately £</w:t>
      </w:r>
      <w:r w:rsidR="00007FF0" w:rsidRPr="002725AC">
        <w:rPr>
          <w:rFonts w:asciiTheme="minorHAnsi" w:hAnsiTheme="minorHAnsi" w:cs="Arial"/>
          <w:sz w:val="20"/>
          <w:szCs w:val="20"/>
        </w:rPr>
        <w:t>27</w:t>
      </w:r>
      <w:r w:rsidR="00404D3A" w:rsidRPr="002725AC">
        <w:rPr>
          <w:rFonts w:asciiTheme="minorHAnsi" w:hAnsiTheme="minorHAnsi" w:cs="Arial"/>
          <w:sz w:val="20"/>
          <w:szCs w:val="20"/>
        </w:rPr>
        <w:t xml:space="preserve">m </w:t>
      </w:r>
      <w:r w:rsidRPr="006D4208">
        <w:rPr>
          <w:rFonts w:asciiTheme="minorHAnsi" w:hAnsiTheme="minorHAnsi" w:cs="Arial"/>
          <w:sz w:val="20"/>
          <w:szCs w:val="20"/>
        </w:rPr>
        <w:t>(</w:t>
      </w:r>
      <w:r w:rsidR="00CE0EA3" w:rsidRPr="006D4208">
        <w:rPr>
          <w:rFonts w:asciiTheme="minorHAnsi" w:hAnsiTheme="minorHAnsi" w:cs="Arial"/>
          <w:sz w:val="20"/>
          <w:szCs w:val="20"/>
        </w:rPr>
        <w:t xml:space="preserve">31 December </w:t>
      </w:r>
      <w:r w:rsidRPr="006D4208">
        <w:rPr>
          <w:rFonts w:asciiTheme="minorHAnsi" w:hAnsiTheme="minorHAnsi" w:cs="Arial"/>
          <w:sz w:val="20"/>
          <w:szCs w:val="20"/>
        </w:rPr>
        <w:t>202</w:t>
      </w:r>
      <w:r w:rsidR="001874F2" w:rsidRPr="006D4208">
        <w:rPr>
          <w:rFonts w:asciiTheme="minorHAnsi" w:hAnsiTheme="minorHAnsi" w:cs="Arial"/>
          <w:sz w:val="20"/>
          <w:szCs w:val="20"/>
        </w:rPr>
        <w:t>3</w:t>
      </w:r>
      <w:r w:rsidRPr="006D4208">
        <w:rPr>
          <w:rFonts w:asciiTheme="minorHAnsi" w:hAnsiTheme="minorHAnsi" w:cs="Arial"/>
          <w:sz w:val="20"/>
          <w:szCs w:val="20"/>
        </w:rPr>
        <w:t>: £</w:t>
      </w:r>
      <w:r w:rsidR="00BB1ADC" w:rsidRPr="006D4208">
        <w:rPr>
          <w:rFonts w:asciiTheme="minorHAnsi" w:hAnsiTheme="minorHAnsi" w:cstheme="minorHAnsi"/>
          <w:sz w:val="20"/>
          <w:szCs w:val="20"/>
        </w:rPr>
        <w:t>31</w:t>
      </w:r>
      <w:r w:rsidR="00744BCC" w:rsidRPr="006D4208">
        <w:rPr>
          <w:rFonts w:asciiTheme="minorHAnsi" w:hAnsiTheme="minorHAnsi" w:cs="Arial"/>
          <w:sz w:val="20"/>
          <w:szCs w:val="20"/>
        </w:rPr>
        <w:t>m, 30 June 202</w:t>
      </w:r>
      <w:r w:rsidR="00BB1ADC" w:rsidRPr="006D4208">
        <w:rPr>
          <w:rFonts w:asciiTheme="minorHAnsi" w:hAnsiTheme="minorHAnsi" w:cs="Arial"/>
          <w:sz w:val="20"/>
          <w:szCs w:val="20"/>
        </w:rPr>
        <w:t>3</w:t>
      </w:r>
      <w:r w:rsidR="00DF5ACC" w:rsidRPr="006D4208">
        <w:rPr>
          <w:rFonts w:asciiTheme="minorHAnsi" w:hAnsiTheme="minorHAnsi" w:cs="Arial"/>
          <w:sz w:val="20"/>
          <w:szCs w:val="20"/>
        </w:rPr>
        <w:t>: £</w:t>
      </w:r>
      <w:r w:rsidR="0049533F" w:rsidRPr="006D4208">
        <w:rPr>
          <w:rFonts w:asciiTheme="minorHAnsi" w:hAnsiTheme="minorHAnsi" w:cs="Arial"/>
          <w:sz w:val="20"/>
          <w:szCs w:val="20"/>
        </w:rPr>
        <w:t>148</w:t>
      </w:r>
      <w:r w:rsidR="00901C2D" w:rsidRPr="006D4208">
        <w:rPr>
          <w:rFonts w:asciiTheme="minorHAnsi" w:hAnsiTheme="minorHAnsi" w:cs="Arial"/>
          <w:sz w:val="20"/>
          <w:szCs w:val="20"/>
        </w:rPr>
        <w:t>m</w:t>
      </w:r>
      <w:r w:rsidRPr="006D4208">
        <w:rPr>
          <w:rFonts w:asciiTheme="minorHAnsi" w:hAnsiTheme="minorHAnsi" w:cs="Arial"/>
          <w:sz w:val="20"/>
          <w:szCs w:val="20"/>
        </w:rPr>
        <w:t>).</w:t>
      </w:r>
    </w:p>
    <w:p w14:paraId="5066CAF3" w14:textId="77777777" w:rsidR="005E7DED" w:rsidRPr="00306AF1" w:rsidRDefault="005E7DED"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Cs/>
          <w:sz w:val="20"/>
          <w:szCs w:val="20"/>
        </w:rPr>
      </w:pPr>
    </w:p>
    <w:p w14:paraId="278A205F" w14:textId="6CDC0989" w:rsidR="00A3021A" w:rsidRDefault="00A3021A"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Cs/>
          <w:sz w:val="20"/>
          <w:szCs w:val="20"/>
        </w:rPr>
      </w:pPr>
      <w:r w:rsidRPr="00306AF1">
        <w:rPr>
          <w:rFonts w:asciiTheme="minorHAnsi" w:hAnsiTheme="minorHAnsi" w:cs="Arial"/>
          <w:bCs/>
          <w:sz w:val="20"/>
          <w:szCs w:val="20"/>
        </w:rPr>
        <w:t>An analysis of amounts recognised in the statement of comprehensive income is set out below:</w:t>
      </w:r>
    </w:p>
    <w:p w14:paraId="00979827" w14:textId="77777777" w:rsidR="00D07030" w:rsidRDefault="00D07030"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Cs/>
          <w:sz w:val="20"/>
          <w:szCs w:val="20"/>
        </w:rPr>
      </w:pPr>
    </w:p>
    <w:tbl>
      <w:tblPr>
        <w:tblW w:w="9723" w:type="dxa"/>
        <w:tblLook w:val="0000" w:firstRow="0" w:lastRow="0" w:firstColumn="0" w:lastColumn="0" w:noHBand="0" w:noVBand="0"/>
      </w:tblPr>
      <w:tblGrid>
        <w:gridCol w:w="6237"/>
        <w:gridCol w:w="1134"/>
        <w:gridCol w:w="1418"/>
        <w:gridCol w:w="934"/>
      </w:tblGrid>
      <w:tr w:rsidR="00965450" w:rsidRPr="00B97C61" w14:paraId="7E798776" w14:textId="77777777" w:rsidTr="007740CE">
        <w:tc>
          <w:tcPr>
            <w:tcW w:w="6237" w:type="dxa"/>
          </w:tcPr>
          <w:p w14:paraId="0F4FCC6A" w14:textId="77777777" w:rsidR="00965450" w:rsidRPr="00B97C61" w:rsidRDefault="00965450" w:rsidP="005D59FA">
            <w:pPr>
              <w:jc w:val="both"/>
              <w:rPr>
                <w:rFonts w:asciiTheme="minorHAnsi" w:hAnsiTheme="minorHAnsi" w:cs="Arial"/>
                <w:sz w:val="20"/>
                <w:szCs w:val="20"/>
              </w:rPr>
            </w:pPr>
          </w:p>
        </w:tc>
        <w:tc>
          <w:tcPr>
            <w:tcW w:w="1134" w:type="dxa"/>
            <w:shd w:val="clear" w:color="auto" w:fill="F2F2F2" w:themeFill="background1" w:themeFillShade="F2"/>
          </w:tcPr>
          <w:p w14:paraId="0361AB52" w14:textId="7C21DEAF" w:rsidR="00965450" w:rsidRPr="000E0F97" w:rsidRDefault="00965450" w:rsidP="005D59FA">
            <w:pPr>
              <w:jc w:val="right"/>
              <w:rPr>
                <w:rFonts w:asciiTheme="minorHAnsi" w:hAnsiTheme="minorHAnsi" w:cs="Arial"/>
                <w:b/>
                <w:sz w:val="20"/>
                <w:szCs w:val="20"/>
              </w:rPr>
            </w:pPr>
            <w:r>
              <w:rPr>
                <w:rFonts w:asciiTheme="minorHAnsi" w:hAnsiTheme="minorHAnsi" w:cs="Arial"/>
                <w:b/>
                <w:sz w:val="20"/>
                <w:szCs w:val="20"/>
              </w:rPr>
              <w:t>30 June</w:t>
            </w:r>
          </w:p>
        </w:tc>
        <w:tc>
          <w:tcPr>
            <w:tcW w:w="1418" w:type="dxa"/>
          </w:tcPr>
          <w:p w14:paraId="4D777398" w14:textId="56EA7480" w:rsidR="00965450" w:rsidRPr="00B97C61" w:rsidRDefault="00965450" w:rsidP="005D59FA">
            <w:pPr>
              <w:jc w:val="right"/>
              <w:rPr>
                <w:rFonts w:asciiTheme="minorHAnsi" w:hAnsiTheme="minorHAnsi" w:cs="Arial"/>
                <w:sz w:val="20"/>
                <w:szCs w:val="20"/>
              </w:rPr>
            </w:pPr>
            <w:r w:rsidRPr="00B7427E">
              <w:rPr>
                <w:rFonts w:asciiTheme="minorHAnsi" w:hAnsiTheme="minorHAnsi" w:cs="Arial"/>
                <w:sz w:val="20"/>
                <w:szCs w:val="20"/>
              </w:rPr>
              <w:t>31 December</w:t>
            </w:r>
          </w:p>
        </w:tc>
        <w:tc>
          <w:tcPr>
            <w:tcW w:w="934" w:type="dxa"/>
          </w:tcPr>
          <w:p w14:paraId="54F60DBA" w14:textId="6A664216" w:rsidR="00965450" w:rsidRPr="00B97C61" w:rsidRDefault="00965450" w:rsidP="005D59FA">
            <w:pPr>
              <w:jc w:val="right"/>
              <w:rPr>
                <w:rFonts w:asciiTheme="minorHAnsi" w:hAnsiTheme="minorHAnsi" w:cs="Arial"/>
                <w:sz w:val="20"/>
                <w:szCs w:val="20"/>
              </w:rPr>
            </w:pPr>
            <w:r w:rsidRPr="00B7427E">
              <w:rPr>
                <w:rFonts w:asciiTheme="minorHAnsi" w:hAnsiTheme="minorHAnsi" w:cs="Arial"/>
                <w:sz w:val="20"/>
                <w:szCs w:val="20"/>
              </w:rPr>
              <w:t>30 June</w:t>
            </w:r>
          </w:p>
        </w:tc>
      </w:tr>
      <w:tr w:rsidR="00456D00" w:rsidRPr="00B97C61" w14:paraId="029E197E" w14:textId="77777777" w:rsidTr="007740CE">
        <w:tc>
          <w:tcPr>
            <w:tcW w:w="6237" w:type="dxa"/>
          </w:tcPr>
          <w:p w14:paraId="61DD43DF" w14:textId="77777777" w:rsidR="00456D00" w:rsidRPr="00B97C61" w:rsidRDefault="00456D00" w:rsidP="005D59FA">
            <w:pPr>
              <w:jc w:val="both"/>
              <w:rPr>
                <w:rFonts w:asciiTheme="minorHAnsi" w:hAnsiTheme="minorHAnsi" w:cs="Arial"/>
                <w:sz w:val="20"/>
                <w:szCs w:val="20"/>
              </w:rPr>
            </w:pPr>
          </w:p>
        </w:tc>
        <w:tc>
          <w:tcPr>
            <w:tcW w:w="1134" w:type="dxa"/>
            <w:shd w:val="clear" w:color="auto" w:fill="F2F2F2" w:themeFill="background1" w:themeFillShade="F2"/>
          </w:tcPr>
          <w:p w14:paraId="0081AEBD" w14:textId="1F301CD4" w:rsidR="00456D00" w:rsidRPr="000E0F97" w:rsidRDefault="00456D00" w:rsidP="005D59FA">
            <w:pPr>
              <w:jc w:val="right"/>
              <w:rPr>
                <w:rFonts w:asciiTheme="minorHAnsi" w:hAnsiTheme="minorHAnsi" w:cs="Arial"/>
                <w:b/>
                <w:sz w:val="20"/>
                <w:szCs w:val="20"/>
              </w:rPr>
            </w:pPr>
            <w:r w:rsidRPr="000E0F97">
              <w:rPr>
                <w:rFonts w:asciiTheme="minorHAnsi" w:hAnsiTheme="minorHAnsi" w:cs="Arial"/>
                <w:b/>
                <w:sz w:val="20"/>
                <w:szCs w:val="20"/>
              </w:rPr>
              <w:t>202</w:t>
            </w:r>
            <w:r>
              <w:rPr>
                <w:rFonts w:asciiTheme="minorHAnsi" w:hAnsiTheme="minorHAnsi" w:cs="Arial"/>
                <w:b/>
                <w:sz w:val="20"/>
                <w:szCs w:val="20"/>
              </w:rPr>
              <w:t>4</w:t>
            </w:r>
            <w:r w:rsidRPr="000E0F97">
              <w:rPr>
                <w:rFonts w:asciiTheme="minorHAnsi" w:hAnsiTheme="minorHAnsi" w:cs="Arial"/>
                <w:b/>
                <w:sz w:val="20"/>
                <w:szCs w:val="20"/>
              </w:rPr>
              <w:t> </w:t>
            </w:r>
          </w:p>
        </w:tc>
        <w:tc>
          <w:tcPr>
            <w:tcW w:w="1418" w:type="dxa"/>
          </w:tcPr>
          <w:p w14:paraId="3B92712A" w14:textId="7452B68E" w:rsidR="00965450" w:rsidRPr="00B97C61" w:rsidRDefault="00F3600C" w:rsidP="005D59FA">
            <w:pPr>
              <w:jc w:val="right"/>
              <w:rPr>
                <w:rFonts w:asciiTheme="minorHAnsi" w:hAnsiTheme="minorHAnsi" w:cs="Arial"/>
                <w:sz w:val="20"/>
                <w:szCs w:val="20"/>
              </w:rPr>
            </w:pPr>
            <w:r w:rsidRPr="00B97C61">
              <w:rPr>
                <w:rFonts w:asciiTheme="minorHAnsi" w:hAnsiTheme="minorHAnsi" w:cs="Arial"/>
                <w:sz w:val="20"/>
                <w:szCs w:val="20"/>
              </w:rPr>
              <w:t>202</w:t>
            </w:r>
            <w:r>
              <w:rPr>
                <w:rFonts w:asciiTheme="minorHAnsi" w:hAnsiTheme="minorHAnsi" w:cs="Arial"/>
                <w:sz w:val="20"/>
                <w:szCs w:val="20"/>
              </w:rPr>
              <w:t>3</w:t>
            </w:r>
          </w:p>
        </w:tc>
        <w:tc>
          <w:tcPr>
            <w:tcW w:w="934" w:type="dxa"/>
          </w:tcPr>
          <w:p w14:paraId="0A192B48" w14:textId="3EB186F0" w:rsidR="00456D00" w:rsidRPr="00B97C61" w:rsidRDefault="00456D00" w:rsidP="005D59FA">
            <w:pPr>
              <w:jc w:val="right"/>
              <w:rPr>
                <w:rFonts w:asciiTheme="minorHAnsi" w:hAnsiTheme="minorHAnsi" w:cs="Arial"/>
                <w:sz w:val="20"/>
                <w:szCs w:val="20"/>
              </w:rPr>
            </w:pPr>
            <w:r w:rsidRPr="00B97C61">
              <w:rPr>
                <w:rFonts w:asciiTheme="minorHAnsi" w:hAnsiTheme="minorHAnsi" w:cs="Arial"/>
                <w:sz w:val="20"/>
                <w:szCs w:val="20"/>
              </w:rPr>
              <w:t>202</w:t>
            </w:r>
            <w:r>
              <w:rPr>
                <w:rFonts w:asciiTheme="minorHAnsi" w:hAnsiTheme="minorHAnsi" w:cs="Arial"/>
                <w:sz w:val="20"/>
                <w:szCs w:val="20"/>
              </w:rPr>
              <w:t>3</w:t>
            </w:r>
          </w:p>
        </w:tc>
      </w:tr>
      <w:tr w:rsidR="00456D00" w:rsidRPr="00B97C61" w14:paraId="1D7FBAE8" w14:textId="77777777" w:rsidTr="007740CE">
        <w:tc>
          <w:tcPr>
            <w:tcW w:w="6237" w:type="dxa"/>
          </w:tcPr>
          <w:p w14:paraId="06449576" w14:textId="77777777" w:rsidR="00456D00" w:rsidRPr="00B97C61" w:rsidRDefault="00456D00" w:rsidP="005D59FA">
            <w:pPr>
              <w:pStyle w:val="Heading5"/>
              <w:overflowPunct/>
              <w:autoSpaceDE/>
              <w:adjustRightInd/>
              <w:rPr>
                <w:rFonts w:asciiTheme="minorHAnsi" w:hAnsiTheme="minorHAnsi" w:cs="Arial"/>
                <w:bCs/>
                <w:sz w:val="20"/>
              </w:rPr>
            </w:pPr>
          </w:p>
        </w:tc>
        <w:tc>
          <w:tcPr>
            <w:tcW w:w="1134" w:type="dxa"/>
            <w:tcBorders>
              <w:top w:val="nil"/>
              <w:left w:val="nil"/>
              <w:bottom w:val="single" w:sz="4" w:space="0" w:color="auto"/>
              <w:right w:val="nil"/>
            </w:tcBorders>
            <w:shd w:val="clear" w:color="auto" w:fill="F2F2F2" w:themeFill="background1" w:themeFillShade="F2"/>
          </w:tcPr>
          <w:p w14:paraId="10267ED1" w14:textId="77777777" w:rsidR="00456D00" w:rsidRPr="000E0F97" w:rsidRDefault="00456D00" w:rsidP="005D59FA">
            <w:pPr>
              <w:jc w:val="right"/>
              <w:rPr>
                <w:rFonts w:asciiTheme="minorHAnsi" w:hAnsiTheme="minorHAnsi" w:cs="Arial"/>
                <w:b/>
                <w:sz w:val="20"/>
                <w:szCs w:val="20"/>
              </w:rPr>
            </w:pPr>
            <w:r w:rsidRPr="000E0F97">
              <w:rPr>
                <w:rFonts w:asciiTheme="minorHAnsi" w:hAnsiTheme="minorHAnsi" w:cs="Arial"/>
                <w:b/>
                <w:sz w:val="20"/>
                <w:szCs w:val="20"/>
              </w:rPr>
              <w:t>£m </w:t>
            </w:r>
          </w:p>
        </w:tc>
        <w:tc>
          <w:tcPr>
            <w:tcW w:w="1418" w:type="dxa"/>
            <w:tcBorders>
              <w:top w:val="nil"/>
              <w:left w:val="nil"/>
              <w:bottom w:val="single" w:sz="4" w:space="0" w:color="auto"/>
              <w:right w:val="nil"/>
            </w:tcBorders>
          </w:tcPr>
          <w:p w14:paraId="762E3138" w14:textId="135F21E9" w:rsidR="00965450" w:rsidRPr="00B97C61" w:rsidRDefault="00F3600C" w:rsidP="005D59FA">
            <w:pPr>
              <w:jc w:val="right"/>
              <w:rPr>
                <w:rFonts w:asciiTheme="minorHAnsi" w:hAnsiTheme="minorHAnsi" w:cs="Arial"/>
                <w:sz w:val="20"/>
                <w:szCs w:val="20"/>
              </w:rPr>
            </w:pPr>
            <w:r w:rsidRPr="00B97C61">
              <w:rPr>
                <w:rFonts w:asciiTheme="minorHAnsi" w:hAnsiTheme="minorHAnsi" w:cs="Arial"/>
                <w:sz w:val="20"/>
                <w:szCs w:val="20"/>
              </w:rPr>
              <w:t>£m</w:t>
            </w:r>
          </w:p>
        </w:tc>
        <w:tc>
          <w:tcPr>
            <w:tcW w:w="934" w:type="dxa"/>
            <w:tcBorders>
              <w:top w:val="nil"/>
              <w:left w:val="nil"/>
              <w:bottom w:val="single" w:sz="4" w:space="0" w:color="auto"/>
              <w:right w:val="nil"/>
            </w:tcBorders>
          </w:tcPr>
          <w:p w14:paraId="2FDBC776" w14:textId="17E6393A" w:rsidR="00456D00" w:rsidRPr="00B97C61" w:rsidRDefault="00456D00" w:rsidP="005D59FA">
            <w:pPr>
              <w:jc w:val="right"/>
              <w:rPr>
                <w:rFonts w:asciiTheme="minorHAnsi" w:hAnsiTheme="minorHAnsi" w:cs="Arial"/>
                <w:sz w:val="20"/>
                <w:szCs w:val="20"/>
              </w:rPr>
            </w:pPr>
            <w:r w:rsidRPr="00B97C61">
              <w:rPr>
                <w:rFonts w:asciiTheme="minorHAnsi" w:hAnsiTheme="minorHAnsi" w:cs="Arial"/>
                <w:sz w:val="20"/>
                <w:szCs w:val="20"/>
              </w:rPr>
              <w:t>£m </w:t>
            </w:r>
          </w:p>
        </w:tc>
      </w:tr>
      <w:tr w:rsidR="00456D00" w:rsidRPr="00B97C61" w14:paraId="5B078154" w14:textId="77777777" w:rsidTr="007740CE">
        <w:tc>
          <w:tcPr>
            <w:tcW w:w="6237" w:type="dxa"/>
            <w:vAlign w:val="bottom"/>
          </w:tcPr>
          <w:p w14:paraId="4832233C" w14:textId="77777777" w:rsidR="00456D00" w:rsidRPr="00B97C61" w:rsidRDefault="00456D00" w:rsidP="005D59FA">
            <w:pPr>
              <w:tabs>
                <w:tab w:val="right" w:pos="4680"/>
              </w:tabs>
              <w:rPr>
                <w:rFonts w:asciiTheme="minorHAnsi" w:hAnsiTheme="minorHAnsi" w:cs="Arial"/>
                <w:sz w:val="20"/>
                <w:szCs w:val="20"/>
              </w:rPr>
            </w:pPr>
            <w:r w:rsidRPr="00B97C61">
              <w:rPr>
                <w:rFonts w:asciiTheme="minorHAnsi" w:hAnsiTheme="minorHAnsi" w:cs="Arial"/>
                <w:sz w:val="20"/>
                <w:szCs w:val="20"/>
              </w:rPr>
              <w:t>Actuarial movements on scheme assets</w:t>
            </w:r>
          </w:p>
        </w:tc>
        <w:tc>
          <w:tcPr>
            <w:tcW w:w="1134" w:type="dxa"/>
            <w:tcBorders>
              <w:top w:val="single" w:sz="4" w:space="0" w:color="auto"/>
              <w:left w:val="nil"/>
              <w:bottom w:val="nil"/>
              <w:right w:val="nil"/>
            </w:tcBorders>
            <w:shd w:val="clear" w:color="auto" w:fill="F2F2F2" w:themeFill="background1" w:themeFillShade="F2"/>
            <w:vAlign w:val="bottom"/>
          </w:tcPr>
          <w:p w14:paraId="467E7D2D" w14:textId="60BCF949" w:rsidR="00456D00" w:rsidRPr="006D4208" w:rsidRDefault="00456D00" w:rsidP="005D59FA">
            <w:pPr>
              <w:jc w:val="right"/>
              <w:rPr>
                <w:rFonts w:asciiTheme="minorHAnsi" w:hAnsiTheme="minorHAnsi" w:cs="Arial"/>
                <w:b/>
                <w:sz w:val="20"/>
                <w:szCs w:val="20"/>
              </w:rPr>
            </w:pPr>
            <w:r w:rsidRPr="006D4208">
              <w:rPr>
                <w:rFonts w:asciiTheme="minorHAnsi" w:hAnsiTheme="minorHAnsi" w:cs="Arial"/>
                <w:b/>
                <w:sz w:val="20"/>
                <w:szCs w:val="20"/>
              </w:rPr>
              <w:t>(</w:t>
            </w:r>
            <w:r w:rsidR="002A54A3" w:rsidRPr="006D4208">
              <w:rPr>
                <w:rFonts w:asciiTheme="minorHAnsi" w:hAnsiTheme="minorHAnsi" w:cs="Arial"/>
                <w:b/>
                <w:sz w:val="20"/>
                <w:szCs w:val="20"/>
              </w:rPr>
              <w:t>31.4</w:t>
            </w:r>
            <w:r w:rsidRPr="006D4208">
              <w:rPr>
                <w:rFonts w:asciiTheme="minorHAnsi" w:hAnsiTheme="minorHAnsi" w:cs="Arial"/>
                <w:b/>
                <w:sz w:val="20"/>
                <w:szCs w:val="20"/>
              </w:rPr>
              <w:t>)</w:t>
            </w:r>
          </w:p>
        </w:tc>
        <w:tc>
          <w:tcPr>
            <w:tcW w:w="1418" w:type="dxa"/>
            <w:tcBorders>
              <w:top w:val="single" w:sz="4" w:space="0" w:color="auto"/>
              <w:left w:val="nil"/>
              <w:bottom w:val="nil"/>
              <w:right w:val="nil"/>
            </w:tcBorders>
          </w:tcPr>
          <w:p w14:paraId="4AD52A61" w14:textId="082433EA" w:rsidR="00965450" w:rsidRPr="00B7427E" w:rsidRDefault="003E69FF" w:rsidP="005D59FA">
            <w:pPr>
              <w:jc w:val="right"/>
              <w:rPr>
                <w:rFonts w:asciiTheme="minorHAnsi" w:hAnsiTheme="minorHAnsi" w:cs="Arial"/>
                <w:sz w:val="20"/>
                <w:szCs w:val="20"/>
              </w:rPr>
            </w:pPr>
            <w:r w:rsidRPr="00B7427E">
              <w:rPr>
                <w:rFonts w:asciiTheme="minorHAnsi" w:hAnsiTheme="minorHAnsi" w:cs="Arial"/>
                <w:sz w:val="20"/>
                <w:szCs w:val="20"/>
              </w:rPr>
              <w:t>(7.8)</w:t>
            </w:r>
          </w:p>
        </w:tc>
        <w:tc>
          <w:tcPr>
            <w:tcW w:w="934" w:type="dxa"/>
            <w:tcBorders>
              <w:top w:val="single" w:sz="4" w:space="0" w:color="auto"/>
              <w:left w:val="nil"/>
              <w:bottom w:val="nil"/>
              <w:right w:val="nil"/>
            </w:tcBorders>
            <w:vAlign w:val="bottom"/>
          </w:tcPr>
          <w:p w14:paraId="7D951304" w14:textId="59A5DB26" w:rsidR="00456D00" w:rsidRPr="006D4208" w:rsidRDefault="00456D00" w:rsidP="005D59FA">
            <w:pPr>
              <w:jc w:val="right"/>
              <w:rPr>
                <w:rFonts w:asciiTheme="minorHAnsi" w:hAnsiTheme="minorHAnsi" w:cs="Arial"/>
                <w:sz w:val="20"/>
                <w:szCs w:val="20"/>
              </w:rPr>
            </w:pPr>
            <w:r w:rsidRPr="006D4208">
              <w:rPr>
                <w:rFonts w:asciiTheme="minorHAnsi" w:hAnsiTheme="minorHAnsi" w:cs="Arial"/>
                <w:sz w:val="20"/>
                <w:szCs w:val="20"/>
              </w:rPr>
              <w:t>(3</w:t>
            </w:r>
            <w:r w:rsidR="0079425F" w:rsidRPr="006D4208">
              <w:rPr>
                <w:rFonts w:asciiTheme="minorHAnsi" w:hAnsiTheme="minorHAnsi" w:cs="Arial"/>
                <w:sz w:val="20"/>
                <w:szCs w:val="20"/>
              </w:rPr>
              <w:t>2</w:t>
            </w:r>
            <w:r w:rsidRPr="006D4208">
              <w:rPr>
                <w:rFonts w:asciiTheme="minorHAnsi" w:hAnsiTheme="minorHAnsi" w:cs="Arial"/>
                <w:sz w:val="20"/>
                <w:szCs w:val="20"/>
              </w:rPr>
              <w:t>.2)</w:t>
            </w:r>
          </w:p>
        </w:tc>
      </w:tr>
      <w:tr w:rsidR="00456D00" w:rsidRPr="00B97C61" w14:paraId="5ADF8240" w14:textId="77777777" w:rsidTr="007740CE">
        <w:tc>
          <w:tcPr>
            <w:tcW w:w="6237" w:type="dxa"/>
            <w:vAlign w:val="bottom"/>
          </w:tcPr>
          <w:p w14:paraId="49F95D8A" w14:textId="77777777" w:rsidR="00456D00" w:rsidRPr="00B97C61" w:rsidRDefault="00456D00" w:rsidP="005D59FA">
            <w:pPr>
              <w:tabs>
                <w:tab w:val="right" w:pos="4680"/>
              </w:tabs>
              <w:rPr>
                <w:rFonts w:asciiTheme="minorHAnsi" w:hAnsiTheme="minorHAnsi" w:cs="Arial"/>
                <w:sz w:val="20"/>
                <w:szCs w:val="20"/>
              </w:rPr>
            </w:pPr>
            <w:r w:rsidRPr="00B97C61">
              <w:rPr>
                <w:rFonts w:asciiTheme="minorHAnsi" w:hAnsiTheme="minorHAnsi" w:cs="Arial"/>
                <w:sz w:val="20"/>
                <w:szCs w:val="20"/>
              </w:rPr>
              <w:t>Actuarial movements on scheme liabilities</w:t>
            </w:r>
          </w:p>
        </w:tc>
        <w:tc>
          <w:tcPr>
            <w:tcW w:w="1134" w:type="dxa"/>
            <w:tcBorders>
              <w:top w:val="nil"/>
              <w:left w:val="nil"/>
              <w:bottom w:val="single" w:sz="4" w:space="0" w:color="auto"/>
              <w:right w:val="nil"/>
            </w:tcBorders>
            <w:shd w:val="clear" w:color="auto" w:fill="F2F2F2" w:themeFill="background1" w:themeFillShade="F2"/>
            <w:vAlign w:val="bottom"/>
          </w:tcPr>
          <w:p w14:paraId="7E8651CB" w14:textId="49869446" w:rsidR="00456D00" w:rsidRPr="006D4208" w:rsidRDefault="003F3425" w:rsidP="005D59FA">
            <w:pPr>
              <w:jc w:val="right"/>
              <w:rPr>
                <w:rFonts w:asciiTheme="minorHAnsi" w:hAnsiTheme="minorHAnsi" w:cs="Arial"/>
                <w:b/>
                <w:sz w:val="20"/>
                <w:szCs w:val="20"/>
              </w:rPr>
            </w:pPr>
            <w:r w:rsidRPr="006D4208">
              <w:rPr>
                <w:rFonts w:asciiTheme="minorHAnsi" w:hAnsiTheme="minorHAnsi" w:cs="Arial"/>
                <w:b/>
                <w:sz w:val="20"/>
                <w:szCs w:val="20"/>
              </w:rPr>
              <w:t>26.9</w:t>
            </w:r>
          </w:p>
        </w:tc>
        <w:tc>
          <w:tcPr>
            <w:tcW w:w="1418" w:type="dxa"/>
            <w:tcBorders>
              <w:top w:val="nil"/>
              <w:left w:val="nil"/>
              <w:bottom w:val="single" w:sz="4" w:space="0" w:color="auto"/>
              <w:right w:val="nil"/>
            </w:tcBorders>
          </w:tcPr>
          <w:p w14:paraId="051AFDD8" w14:textId="78FACFC7" w:rsidR="00965450" w:rsidRPr="00B7427E" w:rsidRDefault="002D3DE2" w:rsidP="005D59FA">
            <w:pPr>
              <w:jc w:val="right"/>
              <w:rPr>
                <w:rFonts w:asciiTheme="minorHAnsi" w:hAnsiTheme="minorHAnsi" w:cs="Arial"/>
                <w:sz w:val="20"/>
                <w:szCs w:val="20"/>
              </w:rPr>
            </w:pPr>
            <w:r w:rsidRPr="00B7427E">
              <w:rPr>
                <w:rFonts w:asciiTheme="minorHAnsi" w:hAnsiTheme="minorHAnsi" w:cs="Arial"/>
                <w:sz w:val="20"/>
                <w:szCs w:val="20"/>
              </w:rPr>
              <w:t>14.2</w:t>
            </w:r>
          </w:p>
        </w:tc>
        <w:tc>
          <w:tcPr>
            <w:tcW w:w="934" w:type="dxa"/>
            <w:tcBorders>
              <w:top w:val="nil"/>
              <w:left w:val="nil"/>
              <w:bottom w:val="single" w:sz="4" w:space="0" w:color="auto"/>
              <w:right w:val="nil"/>
            </w:tcBorders>
            <w:vAlign w:val="bottom"/>
          </w:tcPr>
          <w:p w14:paraId="01FCD0B6" w14:textId="2FC0737B" w:rsidR="00456D00" w:rsidRPr="006D4208" w:rsidRDefault="0079425F" w:rsidP="005D59FA">
            <w:pPr>
              <w:jc w:val="right"/>
              <w:rPr>
                <w:rFonts w:asciiTheme="minorHAnsi" w:hAnsiTheme="minorHAnsi" w:cs="Arial"/>
                <w:sz w:val="20"/>
                <w:szCs w:val="20"/>
              </w:rPr>
            </w:pPr>
            <w:r w:rsidRPr="006D4208">
              <w:rPr>
                <w:rFonts w:asciiTheme="minorHAnsi" w:hAnsiTheme="minorHAnsi" w:cs="Arial"/>
                <w:sz w:val="20"/>
                <w:szCs w:val="20"/>
              </w:rPr>
              <w:t>37.7</w:t>
            </w:r>
          </w:p>
        </w:tc>
      </w:tr>
      <w:tr w:rsidR="00456D00" w:rsidRPr="00B97C61" w14:paraId="350E5611" w14:textId="77777777" w:rsidTr="007740CE">
        <w:tc>
          <w:tcPr>
            <w:tcW w:w="6237" w:type="dxa"/>
            <w:vAlign w:val="bottom"/>
          </w:tcPr>
          <w:p w14:paraId="4B94AA91" w14:textId="77777777" w:rsidR="00456D00" w:rsidRPr="00B97C61" w:rsidRDefault="00456D00" w:rsidP="005D59FA">
            <w:pPr>
              <w:tabs>
                <w:tab w:val="right" w:pos="4680"/>
              </w:tabs>
              <w:rPr>
                <w:rFonts w:asciiTheme="minorHAnsi" w:hAnsiTheme="minorHAnsi" w:cs="Arial"/>
                <w:b/>
                <w:sz w:val="20"/>
                <w:szCs w:val="20"/>
              </w:rPr>
            </w:pPr>
            <w:r w:rsidRPr="00B97C61">
              <w:rPr>
                <w:rFonts w:asciiTheme="minorHAnsi" w:hAnsiTheme="minorHAnsi" w:cs="Arial"/>
                <w:b/>
                <w:sz w:val="20"/>
                <w:szCs w:val="20"/>
              </w:rPr>
              <w:t>Total movement recognised in other comprehensive income in the year</w:t>
            </w:r>
          </w:p>
        </w:tc>
        <w:tc>
          <w:tcPr>
            <w:tcW w:w="1134" w:type="dxa"/>
            <w:tcBorders>
              <w:top w:val="single" w:sz="4" w:space="0" w:color="auto"/>
              <w:left w:val="nil"/>
              <w:bottom w:val="single" w:sz="4" w:space="0" w:color="auto"/>
              <w:right w:val="nil"/>
            </w:tcBorders>
            <w:shd w:val="clear" w:color="auto" w:fill="F2F2F2" w:themeFill="background1" w:themeFillShade="F2"/>
            <w:vAlign w:val="bottom"/>
          </w:tcPr>
          <w:p w14:paraId="21605AF0" w14:textId="561313C4" w:rsidR="00456D00" w:rsidRPr="006D4208" w:rsidRDefault="00321C2A" w:rsidP="005D59FA">
            <w:pPr>
              <w:jc w:val="right"/>
              <w:rPr>
                <w:rFonts w:asciiTheme="minorHAnsi" w:hAnsiTheme="minorHAnsi" w:cs="Arial"/>
                <w:b/>
                <w:sz w:val="20"/>
                <w:szCs w:val="20"/>
              </w:rPr>
            </w:pPr>
            <w:r>
              <w:rPr>
                <w:rFonts w:asciiTheme="minorHAnsi" w:hAnsiTheme="minorHAnsi" w:cs="Arial"/>
                <w:b/>
                <w:sz w:val="20"/>
                <w:szCs w:val="20"/>
              </w:rPr>
              <w:t>(</w:t>
            </w:r>
            <w:r w:rsidR="003F3425" w:rsidRPr="006D4208">
              <w:rPr>
                <w:rFonts w:asciiTheme="minorHAnsi" w:hAnsiTheme="minorHAnsi" w:cs="Arial"/>
                <w:b/>
                <w:sz w:val="20"/>
                <w:szCs w:val="20"/>
              </w:rPr>
              <w:t>4.5</w:t>
            </w:r>
            <w:r>
              <w:rPr>
                <w:rFonts w:asciiTheme="minorHAnsi" w:hAnsiTheme="minorHAnsi" w:cs="Arial"/>
                <w:b/>
                <w:sz w:val="20"/>
                <w:szCs w:val="20"/>
              </w:rPr>
              <w:t>)</w:t>
            </w:r>
          </w:p>
        </w:tc>
        <w:tc>
          <w:tcPr>
            <w:tcW w:w="1418" w:type="dxa"/>
            <w:tcBorders>
              <w:top w:val="single" w:sz="4" w:space="0" w:color="auto"/>
              <w:left w:val="nil"/>
              <w:bottom w:val="single" w:sz="4" w:space="0" w:color="auto"/>
              <w:right w:val="nil"/>
            </w:tcBorders>
          </w:tcPr>
          <w:p w14:paraId="562739E2" w14:textId="1CFF72ED" w:rsidR="00965450" w:rsidRPr="00B7427E" w:rsidRDefault="00402902" w:rsidP="005D59FA">
            <w:pPr>
              <w:jc w:val="right"/>
              <w:rPr>
                <w:rFonts w:asciiTheme="minorHAnsi" w:hAnsiTheme="minorHAnsi" w:cs="Arial"/>
                <w:sz w:val="20"/>
                <w:szCs w:val="20"/>
              </w:rPr>
            </w:pPr>
            <w:r w:rsidRPr="00B7427E">
              <w:rPr>
                <w:rFonts w:asciiTheme="minorHAnsi" w:hAnsiTheme="minorHAnsi" w:cs="Arial"/>
                <w:sz w:val="20"/>
                <w:szCs w:val="20"/>
              </w:rPr>
              <w:t>6.4</w:t>
            </w:r>
          </w:p>
        </w:tc>
        <w:tc>
          <w:tcPr>
            <w:tcW w:w="934" w:type="dxa"/>
            <w:tcBorders>
              <w:top w:val="single" w:sz="4" w:space="0" w:color="auto"/>
              <w:left w:val="nil"/>
              <w:bottom w:val="single" w:sz="4" w:space="0" w:color="auto"/>
              <w:right w:val="nil"/>
            </w:tcBorders>
            <w:vAlign w:val="bottom"/>
          </w:tcPr>
          <w:p w14:paraId="088D7000" w14:textId="1CED4971" w:rsidR="00456D00" w:rsidRPr="006D4208" w:rsidRDefault="00520D45" w:rsidP="005D59FA">
            <w:pPr>
              <w:jc w:val="right"/>
              <w:rPr>
                <w:rFonts w:asciiTheme="minorHAnsi" w:hAnsiTheme="minorHAnsi" w:cs="Arial"/>
                <w:sz w:val="20"/>
                <w:szCs w:val="20"/>
              </w:rPr>
            </w:pPr>
            <w:r w:rsidRPr="006D4208">
              <w:rPr>
                <w:rFonts w:asciiTheme="minorHAnsi" w:hAnsiTheme="minorHAnsi" w:cs="Arial"/>
                <w:sz w:val="20"/>
                <w:szCs w:val="20"/>
              </w:rPr>
              <w:t>5.5</w:t>
            </w:r>
          </w:p>
        </w:tc>
      </w:tr>
      <w:tr w:rsidR="00456D00" w:rsidRPr="00B97C61" w14:paraId="34E31B41" w14:textId="77777777" w:rsidTr="007740CE">
        <w:tc>
          <w:tcPr>
            <w:tcW w:w="6237" w:type="dxa"/>
            <w:vAlign w:val="bottom"/>
          </w:tcPr>
          <w:p w14:paraId="02088825" w14:textId="77777777" w:rsidR="00456D00" w:rsidRPr="00B97C61" w:rsidRDefault="00456D00" w:rsidP="005D59FA">
            <w:pPr>
              <w:tabs>
                <w:tab w:val="right" w:pos="4680"/>
              </w:tabs>
              <w:rPr>
                <w:rFonts w:asciiTheme="minorHAnsi" w:hAnsiTheme="minorHAnsi" w:cs="Arial"/>
                <w:b/>
                <w:sz w:val="20"/>
                <w:szCs w:val="20"/>
              </w:rPr>
            </w:pPr>
            <w:r w:rsidRPr="00B97C61">
              <w:rPr>
                <w:rFonts w:asciiTheme="minorHAnsi" w:hAnsiTheme="minorHAnsi" w:cs="Poppins-Regular"/>
                <w:b/>
                <w:sz w:val="20"/>
                <w:szCs w:val="20"/>
              </w:rPr>
              <w:t>Cumulative movement recognised in other comprehensive income</w:t>
            </w:r>
          </w:p>
        </w:tc>
        <w:tc>
          <w:tcPr>
            <w:tcW w:w="1134" w:type="dxa"/>
            <w:tcBorders>
              <w:top w:val="single" w:sz="4" w:space="0" w:color="auto"/>
              <w:left w:val="nil"/>
              <w:bottom w:val="single" w:sz="18" w:space="0" w:color="auto"/>
              <w:right w:val="nil"/>
            </w:tcBorders>
            <w:shd w:val="clear" w:color="auto" w:fill="F2F2F2" w:themeFill="background1" w:themeFillShade="F2"/>
            <w:vAlign w:val="bottom"/>
          </w:tcPr>
          <w:p w14:paraId="1C5BAF3D" w14:textId="47AC2C3D" w:rsidR="00456D00" w:rsidRPr="006D4208" w:rsidRDefault="00321C2A" w:rsidP="005D59FA">
            <w:pPr>
              <w:jc w:val="right"/>
              <w:rPr>
                <w:rFonts w:asciiTheme="minorHAnsi" w:hAnsiTheme="minorHAnsi" w:cs="Arial"/>
                <w:b/>
                <w:sz w:val="20"/>
                <w:szCs w:val="20"/>
              </w:rPr>
            </w:pPr>
            <w:r>
              <w:rPr>
                <w:rFonts w:asciiTheme="minorHAnsi" w:hAnsiTheme="minorHAnsi" w:cs="Arial"/>
                <w:b/>
                <w:sz w:val="20"/>
                <w:szCs w:val="20"/>
              </w:rPr>
              <w:t>(</w:t>
            </w:r>
            <w:r w:rsidR="00D902AC">
              <w:rPr>
                <w:rFonts w:asciiTheme="minorHAnsi" w:hAnsiTheme="minorHAnsi" w:cs="Arial"/>
                <w:b/>
                <w:sz w:val="20"/>
                <w:szCs w:val="20"/>
              </w:rPr>
              <w:t>152.8</w:t>
            </w:r>
            <w:r>
              <w:rPr>
                <w:rFonts w:asciiTheme="minorHAnsi" w:hAnsiTheme="minorHAnsi" w:cs="Arial"/>
                <w:b/>
                <w:sz w:val="20"/>
                <w:szCs w:val="20"/>
              </w:rPr>
              <w:t>)</w:t>
            </w:r>
          </w:p>
        </w:tc>
        <w:tc>
          <w:tcPr>
            <w:tcW w:w="1418" w:type="dxa"/>
            <w:tcBorders>
              <w:top w:val="single" w:sz="4" w:space="0" w:color="auto"/>
              <w:left w:val="nil"/>
              <w:bottom w:val="single" w:sz="18" w:space="0" w:color="auto"/>
              <w:right w:val="nil"/>
            </w:tcBorders>
          </w:tcPr>
          <w:p w14:paraId="6B810250" w14:textId="2209B75D" w:rsidR="00965450" w:rsidRPr="00B7427E" w:rsidRDefault="00A37FEF" w:rsidP="005D59FA">
            <w:pPr>
              <w:jc w:val="right"/>
              <w:rPr>
                <w:rFonts w:asciiTheme="minorHAnsi" w:hAnsiTheme="minorHAnsi" w:cs="Arial"/>
                <w:sz w:val="20"/>
                <w:szCs w:val="20"/>
              </w:rPr>
            </w:pPr>
            <w:r>
              <w:rPr>
                <w:rFonts w:asciiTheme="minorHAnsi" w:hAnsiTheme="minorHAnsi" w:cs="Arial"/>
                <w:sz w:val="20"/>
                <w:szCs w:val="20"/>
              </w:rPr>
              <w:t>(</w:t>
            </w:r>
            <w:r w:rsidR="00D902AC">
              <w:rPr>
                <w:rFonts w:asciiTheme="minorHAnsi" w:hAnsiTheme="minorHAnsi" w:cs="Arial"/>
                <w:sz w:val="20"/>
                <w:szCs w:val="20"/>
              </w:rPr>
              <w:t>148.3</w:t>
            </w:r>
            <w:r>
              <w:rPr>
                <w:rFonts w:asciiTheme="minorHAnsi" w:hAnsiTheme="minorHAnsi" w:cs="Arial"/>
                <w:sz w:val="20"/>
                <w:szCs w:val="20"/>
              </w:rPr>
              <w:t>)</w:t>
            </w:r>
          </w:p>
        </w:tc>
        <w:tc>
          <w:tcPr>
            <w:tcW w:w="934" w:type="dxa"/>
            <w:tcBorders>
              <w:top w:val="single" w:sz="4" w:space="0" w:color="auto"/>
              <w:left w:val="nil"/>
              <w:bottom w:val="single" w:sz="18" w:space="0" w:color="auto"/>
              <w:right w:val="nil"/>
            </w:tcBorders>
            <w:vAlign w:val="bottom"/>
          </w:tcPr>
          <w:p w14:paraId="045E68B2" w14:textId="741B2765" w:rsidR="00456D00" w:rsidRPr="006D4208" w:rsidRDefault="00A37FEF" w:rsidP="005D59FA">
            <w:pPr>
              <w:jc w:val="right"/>
              <w:rPr>
                <w:rFonts w:asciiTheme="minorHAnsi" w:hAnsiTheme="minorHAnsi" w:cs="Arial"/>
                <w:sz w:val="20"/>
                <w:szCs w:val="20"/>
              </w:rPr>
            </w:pPr>
            <w:r>
              <w:rPr>
                <w:rFonts w:asciiTheme="minorHAnsi" w:hAnsiTheme="minorHAnsi" w:cs="Arial"/>
                <w:sz w:val="20"/>
                <w:szCs w:val="20"/>
              </w:rPr>
              <w:t>(</w:t>
            </w:r>
            <w:r w:rsidR="00D902AC">
              <w:rPr>
                <w:rFonts w:asciiTheme="minorHAnsi" w:hAnsiTheme="minorHAnsi" w:cs="Arial"/>
                <w:sz w:val="20"/>
                <w:szCs w:val="20"/>
              </w:rPr>
              <w:t>149.2</w:t>
            </w:r>
            <w:r>
              <w:rPr>
                <w:rFonts w:asciiTheme="minorHAnsi" w:hAnsiTheme="minorHAnsi" w:cs="Arial"/>
                <w:sz w:val="20"/>
                <w:szCs w:val="20"/>
              </w:rPr>
              <w:t>)</w:t>
            </w:r>
          </w:p>
        </w:tc>
      </w:tr>
    </w:tbl>
    <w:p w14:paraId="79089860" w14:textId="77777777" w:rsidR="00A3021A" w:rsidRPr="00306AF1" w:rsidRDefault="00A3021A" w:rsidP="00A3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Cs/>
          <w:sz w:val="20"/>
          <w:szCs w:val="20"/>
        </w:rPr>
      </w:pPr>
    </w:p>
    <w:p w14:paraId="39F60CF7" w14:textId="77777777" w:rsidR="007B4219" w:rsidRPr="006D4208" w:rsidRDefault="007B4219" w:rsidP="0029129D">
      <w:pPr>
        <w:jc w:val="both"/>
        <w:rPr>
          <w:rFonts w:asciiTheme="minorHAnsi" w:hAnsiTheme="minorHAnsi" w:cs="Arial"/>
          <w:sz w:val="20"/>
          <w:szCs w:val="20"/>
        </w:rPr>
      </w:pPr>
      <w:r w:rsidRPr="006D4208">
        <w:rPr>
          <w:rFonts w:asciiTheme="minorHAnsi" w:hAnsiTheme="minorHAnsi" w:cs="Arial"/>
          <w:sz w:val="20"/>
          <w:szCs w:val="20"/>
        </w:rPr>
        <w:t>In June 2023, the UK High Court issued a ruling in the case of Virgin Media Limited v NTL Pension Trustees II Limited and others relating to the validity of certain historical pension changes. This case may have implications for other defined benefit schemes in the UK, although is subject to possible appeal in 2024. The Company are aware of this legal ruling and are assessing whether there is any potential impact upon the Company although currently no conclusion has been reached therefore no quantification of any potential impact has been determined.</w:t>
      </w:r>
    </w:p>
    <w:p w14:paraId="2DE6A775" w14:textId="77777777" w:rsidR="00456D00" w:rsidRPr="00306AF1" w:rsidRDefault="00456D00" w:rsidP="00A3021A">
      <w:pPr>
        <w:ind w:left="567" w:hanging="567"/>
        <w:jc w:val="both"/>
        <w:rPr>
          <w:rFonts w:asciiTheme="minorHAnsi" w:hAnsiTheme="minorHAnsi" w:cs="Arial"/>
          <w:b/>
          <w:color w:val="4747FF"/>
          <w:sz w:val="22"/>
          <w:szCs w:val="22"/>
        </w:rPr>
      </w:pPr>
    </w:p>
    <w:p w14:paraId="27483E43" w14:textId="03CA3E91" w:rsidR="00C31E4A" w:rsidRPr="0012605F" w:rsidRDefault="00C31E4A" w:rsidP="00CF66BE">
      <w:pPr>
        <w:ind w:left="567" w:hanging="567"/>
        <w:rPr>
          <w:rFonts w:asciiTheme="minorHAnsi" w:hAnsiTheme="minorHAnsi" w:cs="Arial"/>
          <w:b/>
          <w:color w:val="4747FF"/>
          <w:sz w:val="22"/>
          <w:szCs w:val="22"/>
        </w:rPr>
      </w:pPr>
      <w:r w:rsidRPr="0012605F">
        <w:rPr>
          <w:rFonts w:asciiTheme="minorHAnsi" w:hAnsiTheme="minorHAnsi" w:cs="Arial"/>
          <w:b/>
          <w:color w:val="4747FF"/>
          <w:sz w:val="22"/>
          <w:szCs w:val="22"/>
        </w:rPr>
        <w:t>1</w:t>
      </w:r>
      <w:r w:rsidR="006133EC">
        <w:rPr>
          <w:rFonts w:asciiTheme="minorHAnsi" w:hAnsiTheme="minorHAnsi" w:cs="Arial"/>
          <w:b/>
          <w:color w:val="4747FF"/>
          <w:sz w:val="22"/>
          <w:szCs w:val="22"/>
        </w:rPr>
        <w:t>2</w:t>
      </w:r>
      <w:r w:rsidRPr="0012605F">
        <w:rPr>
          <w:rFonts w:asciiTheme="minorHAnsi" w:hAnsiTheme="minorHAnsi" w:cs="Arial"/>
          <w:b/>
          <w:color w:val="4747FF"/>
          <w:sz w:val="22"/>
          <w:szCs w:val="22"/>
        </w:rPr>
        <w:t>.</w:t>
      </w:r>
      <w:r w:rsidRPr="0012605F">
        <w:rPr>
          <w:rFonts w:asciiTheme="minorHAnsi" w:hAnsiTheme="minorHAnsi" w:cs="Arial"/>
          <w:b/>
          <w:color w:val="4747FF"/>
          <w:sz w:val="22"/>
          <w:szCs w:val="22"/>
        </w:rPr>
        <w:tab/>
        <w:t>Fair value disclosures</w:t>
      </w:r>
    </w:p>
    <w:p w14:paraId="198961F0" w14:textId="77777777" w:rsidR="00C31E4A" w:rsidRPr="00306AF1" w:rsidRDefault="00C31E4A" w:rsidP="00C31E4A">
      <w:pPr>
        <w:tabs>
          <w:tab w:val="left" w:pos="5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467F069C" w14:textId="77777777" w:rsidR="00C31E4A" w:rsidRPr="00306AF1" w:rsidRDefault="00C31E4A" w:rsidP="00C31E4A">
      <w:pPr>
        <w:tabs>
          <w:tab w:val="left" w:pos="5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306AF1">
        <w:rPr>
          <w:rFonts w:asciiTheme="minorHAnsi" w:hAnsiTheme="minorHAnsi" w:cs="Arial"/>
          <w:sz w:val="20"/>
          <w:szCs w:val="20"/>
        </w:rPr>
        <w:t xml:space="preserve">The Group holds the following financial instruments at fair value: </w:t>
      </w:r>
    </w:p>
    <w:p w14:paraId="122D6105" w14:textId="77777777" w:rsidR="00C31E4A" w:rsidRPr="00306AF1" w:rsidRDefault="00C31E4A" w:rsidP="00C31E4A">
      <w:pPr>
        <w:tabs>
          <w:tab w:val="left" w:pos="5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sz w:val="20"/>
          <w:szCs w:val="20"/>
        </w:rPr>
      </w:pPr>
    </w:p>
    <w:tbl>
      <w:tblPr>
        <w:tblW w:w="9889" w:type="dxa"/>
        <w:tblLook w:val="0000" w:firstRow="0" w:lastRow="0" w:firstColumn="0" w:lastColumn="0" w:noHBand="0" w:noVBand="0"/>
      </w:tblPr>
      <w:tblGrid>
        <w:gridCol w:w="6122"/>
        <w:gridCol w:w="1168"/>
        <w:gridCol w:w="1431"/>
        <w:gridCol w:w="1168"/>
      </w:tblGrid>
      <w:tr w:rsidR="00C31E4A" w:rsidRPr="00306AF1" w14:paraId="7C843186" w14:textId="77777777" w:rsidTr="00673F0D">
        <w:tc>
          <w:tcPr>
            <w:tcW w:w="6122" w:type="dxa"/>
          </w:tcPr>
          <w:p w14:paraId="71EFC831" w14:textId="77777777" w:rsidR="00C31E4A" w:rsidRPr="00306AF1" w:rsidRDefault="00C31E4A">
            <w:pPr>
              <w:rPr>
                <w:rFonts w:asciiTheme="minorHAnsi" w:hAnsiTheme="minorHAnsi" w:cs="Arial"/>
                <w:sz w:val="20"/>
                <w:szCs w:val="20"/>
              </w:rPr>
            </w:pPr>
          </w:p>
        </w:tc>
        <w:tc>
          <w:tcPr>
            <w:tcW w:w="1168" w:type="dxa"/>
            <w:shd w:val="clear" w:color="auto" w:fill="F2F2F2" w:themeFill="background1" w:themeFillShade="F2"/>
          </w:tcPr>
          <w:p w14:paraId="16DFF5AA" w14:textId="77777777" w:rsidR="00C31E4A" w:rsidRPr="00673F0D" w:rsidRDefault="00C31E4A">
            <w:pPr>
              <w:ind w:hanging="250"/>
              <w:jc w:val="right"/>
              <w:rPr>
                <w:rFonts w:asciiTheme="minorHAnsi" w:hAnsiTheme="minorHAnsi" w:cs="Arial"/>
                <w:b/>
                <w:sz w:val="20"/>
                <w:szCs w:val="20"/>
              </w:rPr>
            </w:pPr>
            <w:r w:rsidRPr="00673F0D">
              <w:rPr>
                <w:rFonts w:asciiTheme="minorHAnsi" w:hAnsiTheme="minorHAnsi" w:cs="Arial"/>
                <w:b/>
                <w:sz w:val="20"/>
                <w:szCs w:val="20"/>
              </w:rPr>
              <w:t>30 June</w:t>
            </w:r>
          </w:p>
        </w:tc>
        <w:tc>
          <w:tcPr>
            <w:tcW w:w="1431" w:type="dxa"/>
          </w:tcPr>
          <w:p w14:paraId="28E049F5" w14:textId="77777777" w:rsidR="00C31E4A" w:rsidRPr="004440B7" w:rsidRDefault="00C31E4A">
            <w:pPr>
              <w:jc w:val="right"/>
              <w:rPr>
                <w:rFonts w:asciiTheme="minorHAnsi" w:hAnsiTheme="minorHAnsi" w:cs="Arial"/>
                <w:sz w:val="20"/>
                <w:szCs w:val="20"/>
              </w:rPr>
            </w:pPr>
            <w:r w:rsidRPr="004440B7">
              <w:rPr>
                <w:rFonts w:asciiTheme="minorHAnsi" w:hAnsiTheme="minorHAnsi" w:cs="Arial"/>
                <w:sz w:val="20"/>
                <w:szCs w:val="20"/>
              </w:rPr>
              <w:t>31 December </w:t>
            </w:r>
          </w:p>
        </w:tc>
        <w:tc>
          <w:tcPr>
            <w:tcW w:w="1168" w:type="dxa"/>
          </w:tcPr>
          <w:p w14:paraId="3F82159E" w14:textId="77777777" w:rsidR="00C31E4A" w:rsidRPr="004440B7" w:rsidRDefault="00C31E4A">
            <w:pPr>
              <w:ind w:hanging="250"/>
              <w:jc w:val="right"/>
              <w:rPr>
                <w:rFonts w:asciiTheme="minorHAnsi" w:hAnsiTheme="minorHAnsi" w:cs="Arial"/>
                <w:sz w:val="20"/>
                <w:szCs w:val="20"/>
              </w:rPr>
            </w:pPr>
            <w:r w:rsidRPr="004440B7">
              <w:rPr>
                <w:rFonts w:asciiTheme="minorHAnsi" w:hAnsiTheme="minorHAnsi" w:cs="Arial"/>
                <w:sz w:val="20"/>
                <w:szCs w:val="20"/>
              </w:rPr>
              <w:t>30 June </w:t>
            </w:r>
          </w:p>
        </w:tc>
      </w:tr>
      <w:tr w:rsidR="00C31E4A" w:rsidRPr="00306AF1" w14:paraId="0E1F742D" w14:textId="77777777" w:rsidTr="00673F0D">
        <w:tc>
          <w:tcPr>
            <w:tcW w:w="6122" w:type="dxa"/>
          </w:tcPr>
          <w:p w14:paraId="766CEDCB" w14:textId="77777777" w:rsidR="00C31E4A" w:rsidRPr="00306AF1" w:rsidRDefault="00C31E4A">
            <w:pPr>
              <w:rPr>
                <w:rFonts w:asciiTheme="minorHAnsi" w:hAnsiTheme="minorHAnsi" w:cs="Arial"/>
                <w:sz w:val="20"/>
                <w:szCs w:val="20"/>
              </w:rPr>
            </w:pPr>
          </w:p>
        </w:tc>
        <w:tc>
          <w:tcPr>
            <w:tcW w:w="1168" w:type="dxa"/>
            <w:shd w:val="clear" w:color="auto" w:fill="F2F2F2" w:themeFill="background1" w:themeFillShade="F2"/>
          </w:tcPr>
          <w:p w14:paraId="4BEB785C" w14:textId="66C7AAEA" w:rsidR="00C31E4A" w:rsidRPr="00673F0D" w:rsidRDefault="00C31E4A">
            <w:pPr>
              <w:jc w:val="right"/>
              <w:rPr>
                <w:rFonts w:asciiTheme="minorHAnsi" w:hAnsiTheme="minorHAnsi" w:cs="Arial"/>
                <w:b/>
                <w:sz w:val="20"/>
                <w:szCs w:val="20"/>
              </w:rPr>
            </w:pPr>
            <w:r w:rsidRPr="00673F0D">
              <w:rPr>
                <w:rFonts w:asciiTheme="minorHAnsi" w:hAnsiTheme="minorHAnsi" w:cs="Arial"/>
                <w:b/>
                <w:sz w:val="20"/>
                <w:szCs w:val="20"/>
              </w:rPr>
              <w:t>202</w:t>
            </w:r>
            <w:r w:rsidR="00412F9C" w:rsidRPr="00673F0D">
              <w:rPr>
                <w:rFonts w:asciiTheme="minorHAnsi" w:hAnsiTheme="minorHAnsi" w:cs="Arial"/>
                <w:b/>
                <w:sz w:val="20"/>
                <w:szCs w:val="20"/>
              </w:rPr>
              <w:t>4</w:t>
            </w:r>
          </w:p>
        </w:tc>
        <w:tc>
          <w:tcPr>
            <w:tcW w:w="1431" w:type="dxa"/>
          </w:tcPr>
          <w:p w14:paraId="237545C1" w14:textId="0C4C9357" w:rsidR="00C31E4A" w:rsidRPr="004440B7" w:rsidRDefault="00C31E4A">
            <w:pPr>
              <w:jc w:val="right"/>
              <w:rPr>
                <w:rFonts w:asciiTheme="minorHAnsi" w:hAnsiTheme="minorHAnsi" w:cs="Arial"/>
                <w:sz w:val="20"/>
                <w:szCs w:val="20"/>
              </w:rPr>
            </w:pPr>
            <w:r w:rsidRPr="004440B7">
              <w:rPr>
                <w:rFonts w:asciiTheme="minorHAnsi" w:hAnsiTheme="minorHAnsi" w:cs="Arial"/>
                <w:sz w:val="20"/>
                <w:szCs w:val="20"/>
              </w:rPr>
              <w:t>202</w:t>
            </w:r>
            <w:r w:rsidR="00412F9C" w:rsidRPr="004440B7">
              <w:rPr>
                <w:rFonts w:asciiTheme="minorHAnsi" w:hAnsiTheme="minorHAnsi" w:cs="Arial"/>
                <w:sz w:val="20"/>
                <w:szCs w:val="20"/>
              </w:rPr>
              <w:t>3</w:t>
            </w:r>
            <w:r w:rsidRPr="004440B7">
              <w:rPr>
                <w:rFonts w:asciiTheme="minorHAnsi" w:hAnsiTheme="minorHAnsi" w:cs="Arial"/>
                <w:sz w:val="20"/>
                <w:szCs w:val="20"/>
              </w:rPr>
              <w:t> </w:t>
            </w:r>
          </w:p>
        </w:tc>
        <w:tc>
          <w:tcPr>
            <w:tcW w:w="1168" w:type="dxa"/>
          </w:tcPr>
          <w:p w14:paraId="6501B8E7" w14:textId="23B0A4B5" w:rsidR="00C31E4A" w:rsidRPr="004440B7" w:rsidRDefault="00C31E4A">
            <w:pPr>
              <w:jc w:val="right"/>
              <w:rPr>
                <w:rFonts w:asciiTheme="minorHAnsi" w:hAnsiTheme="minorHAnsi" w:cs="Arial"/>
                <w:sz w:val="20"/>
                <w:szCs w:val="20"/>
              </w:rPr>
            </w:pPr>
            <w:r w:rsidRPr="004440B7">
              <w:rPr>
                <w:rFonts w:asciiTheme="minorHAnsi" w:hAnsiTheme="minorHAnsi" w:cs="Arial"/>
                <w:sz w:val="20"/>
                <w:szCs w:val="20"/>
              </w:rPr>
              <w:t>202</w:t>
            </w:r>
            <w:r w:rsidR="00412F9C" w:rsidRPr="004440B7">
              <w:rPr>
                <w:rFonts w:asciiTheme="minorHAnsi" w:hAnsiTheme="minorHAnsi" w:cs="Arial"/>
                <w:sz w:val="20"/>
                <w:szCs w:val="20"/>
              </w:rPr>
              <w:t>3</w:t>
            </w:r>
            <w:r w:rsidRPr="004440B7">
              <w:rPr>
                <w:rFonts w:asciiTheme="minorHAnsi" w:hAnsiTheme="minorHAnsi" w:cs="Arial"/>
                <w:sz w:val="20"/>
                <w:szCs w:val="20"/>
              </w:rPr>
              <w:t> </w:t>
            </w:r>
          </w:p>
        </w:tc>
      </w:tr>
      <w:tr w:rsidR="00C31E4A" w:rsidRPr="00306AF1" w14:paraId="58EA4823" w14:textId="77777777" w:rsidTr="00673F0D">
        <w:tc>
          <w:tcPr>
            <w:tcW w:w="6122" w:type="dxa"/>
          </w:tcPr>
          <w:p w14:paraId="67B8984B" w14:textId="77777777" w:rsidR="00C31E4A" w:rsidRPr="00306AF1" w:rsidRDefault="00C31E4A">
            <w:pPr>
              <w:rPr>
                <w:rFonts w:asciiTheme="minorHAnsi" w:hAnsiTheme="minorHAnsi" w:cs="Arial"/>
                <w:sz w:val="20"/>
                <w:szCs w:val="20"/>
              </w:rPr>
            </w:pPr>
          </w:p>
        </w:tc>
        <w:tc>
          <w:tcPr>
            <w:tcW w:w="1168" w:type="dxa"/>
            <w:tcBorders>
              <w:top w:val="nil"/>
              <w:left w:val="nil"/>
              <w:bottom w:val="single" w:sz="4" w:space="0" w:color="auto"/>
              <w:right w:val="nil"/>
            </w:tcBorders>
            <w:shd w:val="clear" w:color="auto" w:fill="F2F2F2" w:themeFill="background1" w:themeFillShade="F2"/>
          </w:tcPr>
          <w:p w14:paraId="2FB76D0F" w14:textId="77777777" w:rsidR="00C31E4A" w:rsidRPr="00673F0D" w:rsidRDefault="00C31E4A">
            <w:pPr>
              <w:jc w:val="right"/>
              <w:rPr>
                <w:rFonts w:asciiTheme="minorHAnsi" w:hAnsiTheme="minorHAnsi" w:cs="Arial"/>
                <w:b/>
                <w:sz w:val="20"/>
                <w:szCs w:val="20"/>
              </w:rPr>
            </w:pPr>
            <w:r w:rsidRPr="00673F0D">
              <w:rPr>
                <w:rFonts w:asciiTheme="minorHAnsi" w:hAnsiTheme="minorHAnsi" w:cs="Arial"/>
                <w:b/>
                <w:sz w:val="20"/>
                <w:szCs w:val="20"/>
              </w:rPr>
              <w:t>£m </w:t>
            </w:r>
          </w:p>
        </w:tc>
        <w:tc>
          <w:tcPr>
            <w:tcW w:w="1431" w:type="dxa"/>
            <w:tcBorders>
              <w:top w:val="nil"/>
              <w:left w:val="nil"/>
              <w:bottom w:val="single" w:sz="4" w:space="0" w:color="auto"/>
              <w:right w:val="nil"/>
            </w:tcBorders>
          </w:tcPr>
          <w:p w14:paraId="2ADF9CEF" w14:textId="77777777" w:rsidR="00C31E4A" w:rsidRPr="004440B7" w:rsidRDefault="00C31E4A">
            <w:pPr>
              <w:jc w:val="right"/>
              <w:rPr>
                <w:rFonts w:asciiTheme="minorHAnsi" w:hAnsiTheme="minorHAnsi" w:cs="Arial"/>
                <w:sz w:val="20"/>
                <w:szCs w:val="20"/>
              </w:rPr>
            </w:pPr>
            <w:r w:rsidRPr="004440B7">
              <w:rPr>
                <w:rFonts w:asciiTheme="minorHAnsi" w:hAnsiTheme="minorHAnsi" w:cs="Arial"/>
                <w:sz w:val="20"/>
                <w:szCs w:val="20"/>
              </w:rPr>
              <w:t>£m </w:t>
            </w:r>
          </w:p>
        </w:tc>
        <w:tc>
          <w:tcPr>
            <w:tcW w:w="1168" w:type="dxa"/>
            <w:tcBorders>
              <w:top w:val="nil"/>
              <w:left w:val="nil"/>
              <w:bottom w:val="single" w:sz="4" w:space="0" w:color="auto"/>
              <w:right w:val="nil"/>
            </w:tcBorders>
          </w:tcPr>
          <w:p w14:paraId="5F945769" w14:textId="77777777" w:rsidR="00C31E4A" w:rsidRPr="004440B7" w:rsidRDefault="00C31E4A">
            <w:pPr>
              <w:jc w:val="right"/>
              <w:rPr>
                <w:rFonts w:asciiTheme="minorHAnsi" w:hAnsiTheme="minorHAnsi" w:cs="Arial"/>
                <w:sz w:val="20"/>
                <w:szCs w:val="20"/>
              </w:rPr>
            </w:pPr>
            <w:r w:rsidRPr="004440B7">
              <w:rPr>
                <w:rFonts w:asciiTheme="minorHAnsi" w:hAnsiTheme="minorHAnsi" w:cs="Arial"/>
                <w:sz w:val="20"/>
                <w:szCs w:val="20"/>
              </w:rPr>
              <w:t>£m </w:t>
            </w:r>
          </w:p>
        </w:tc>
      </w:tr>
      <w:tr w:rsidR="00C31E4A" w:rsidRPr="005D35B7" w14:paraId="75768094" w14:textId="77777777" w:rsidTr="00673F0D">
        <w:tc>
          <w:tcPr>
            <w:tcW w:w="6122" w:type="dxa"/>
            <w:vAlign w:val="bottom"/>
          </w:tcPr>
          <w:p w14:paraId="2EDE3D42" w14:textId="77777777" w:rsidR="00C31E4A" w:rsidRPr="00306AF1" w:rsidRDefault="00C31E4A">
            <w:pPr>
              <w:rPr>
                <w:rFonts w:asciiTheme="minorHAnsi" w:hAnsiTheme="minorHAnsi" w:cs="Arial"/>
                <w:b/>
                <w:sz w:val="20"/>
                <w:szCs w:val="20"/>
              </w:rPr>
            </w:pPr>
            <w:r w:rsidRPr="00306AF1">
              <w:rPr>
                <w:rFonts w:asciiTheme="minorHAnsi" w:hAnsiTheme="minorHAnsi" w:cs="Arial"/>
                <w:b/>
                <w:sz w:val="20"/>
                <w:szCs w:val="20"/>
              </w:rPr>
              <w:t>Financial assets</w:t>
            </w:r>
          </w:p>
          <w:p w14:paraId="1EE0DEF3" w14:textId="77777777" w:rsidR="00C31E4A" w:rsidRPr="00306AF1" w:rsidRDefault="00C31E4A">
            <w:pPr>
              <w:rPr>
                <w:rFonts w:asciiTheme="minorHAnsi" w:hAnsiTheme="minorHAnsi" w:cs="Arial"/>
                <w:sz w:val="20"/>
                <w:szCs w:val="20"/>
              </w:rPr>
            </w:pPr>
            <w:r w:rsidRPr="00306AF1">
              <w:rPr>
                <w:rFonts w:asciiTheme="minorHAnsi" w:hAnsiTheme="minorHAnsi" w:cs="Arial"/>
                <w:sz w:val="20"/>
                <w:szCs w:val="20"/>
              </w:rPr>
              <w:t>Derivatives</w:t>
            </w:r>
          </w:p>
        </w:tc>
        <w:tc>
          <w:tcPr>
            <w:tcW w:w="1168" w:type="dxa"/>
            <w:shd w:val="clear" w:color="auto" w:fill="F2F2F2" w:themeFill="background1" w:themeFillShade="F2"/>
            <w:vAlign w:val="bottom"/>
          </w:tcPr>
          <w:p w14:paraId="33D5DF2E" w14:textId="2D24B592" w:rsidR="00C31E4A" w:rsidRPr="00673F0D" w:rsidRDefault="00067547">
            <w:pPr>
              <w:jc w:val="right"/>
              <w:rPr>
                <w:rFonts w:asciiTheme="minorHAnsi" w:hAnsiTheme="minorHAnsi" w:cs="Arial"/>
                <w:b/>
                <w:sz w:val="20"/>
                <w:szCs w:val="20"/>
              </w:rPr>
            </w:pPr>
            <w:r w:rsidRPr="00673F0D">
              <w:rPr>
                <w:rFonts w:asciiTheme="minorHAnsi" w:hAnsiTheme="minorHAnsi" w:cs="Arial"/>
                <w:b/>
                <w:sz w:val="20"/>
                <w:szCs w:val="20"/>
              </w:rPr>
              <w:t>1.</w:t>
            </w:r>
            <w:r w:rsidR="00E76589" w:rsidRPr="00673F0D">
              <w:rPr>
                <w:rFonts w:asciiTheme="minorHAnsi" w:hAnsiTheme="minorHAnsi" w:cs="Arial"/>
                <w:b/>
                <w:sz w:val="20"/>
                <w:szCs w:val="20"/>
              </w:rPr>
              <w:t>1</w:t>
            </w:r>
          </w:p>
        </w:tc>
        <w:tc>
          <w:tcPr>
            <w:tcW w:w="1431" w:type="dxa"/>
            <w:vAlign w:val="bottom"/>
          </w:tcPr>
          <w:p w14:paraId="2EDFA574" w14:textId="6CC481B5" w:rsidR="00C31E4A" w:rsidRPr="006D4208" w:rsidRDefault="00C31E4A">
            <w:pPr>
              <w:jc w:val="right"/>
              <w:rPr>
                <w:rFonts w:asciiTheme="minorHAnsi" w:hAnsiTheme="minorHAnsi" w:cs="Arial"/>
                <w:sz w:val="20"/>
                <w:szCs w:val="20"/>
              </w:rPr>
            </w:pPr>
            <w:r w:rsidRPr="006D4208">
              <w:rPr>
                <w:rFonts w:asciiTheme="minorHAnsi" w:hAnsiTheme="minorHAnsi" w:cs="Arial"/>
                <w:sz w:val="20"/>
                <w:szCs w:val="20"/>
              </w:rPr>
              <w:t>1.3</w:t>
            </w:r>
          </w:p>
        </w:tc>
        <w:tc>
          <w:tcPr>
            <w:tcW w:w="1168" w:type="dxa"/>
            <w:vAlign w:val="bottom"/>
          </w:tcPr>
          <w:p w14:paraId="54DB2064" w14:textId="30724A0E" w:rsidR="00C31E4A" w:rsidRPr="006D4208" w:rsidRDefault="004440B7">
            <w:pPr>
              <w:jc w:val="right"/>
              <w:rPr>
                <w:rFonts w:asciiTheme="minorHAnsi" w:hAnsiTheme="minorHAnsi" w:cs="Arial"/>
                <w:sz w:val="20"/>
                <w:szCs w:val="20"/>
              </w:rPr>
            </w:pPr>
            <w:r w:rsidRPr="006D4208">
              <w:rPr>
                <w:rFonts w:asciiTheme="minorHAnsi" w:hAnsiTheme="minorHAnsi" w:cs="Arial"/>
                <w:sz w:val="20"/>
                <w:szCs w:val="20"/>
              </w:rPr>
              <w:t>13.4</w:t>
            </w:r>
          </w:p>
        </w:tc>
      </w:tr>
      <w:tr w:rsidR="00C31E4A" w:rsidRPr="005D35B7" w14:paraId="29DB9303" w14:textId="77777777" w:rsidTr="00673F0D">
        <w:tc>
          <w:tcPr>
            <w:tcW w:w="6122" w:type="dxa"/>
          </w:tcPr>
          <w:p w14:paraId="5E2FAF51" w14:textId="77777777" w:rsidR="00C31E4A" w:rsidRPr="00306AF1" w:rsidRDefault="00C31E4A">
            <w:pPr>
              <w:pStyle w:val="Heading5"/>
              <w:tabs>
                <w:tab w:val="clear" w:pos="720"/>
                <w:tab w:val="right" w:pos="4680"/>
              </w:tabs>
              <w:jc w:val="left"/>
              <w:rPr>
                <w:rFonts w:asciiTheme="minorHAnsi" w:hAnsiTheme="minorHAnsi" w:cs="Arial"/>
                <w:b w:val="0"/>
                <w:sz w:val="20"/>
              </w:rPr>
            </w:pPr>
            <w:r w:rsidRPr="00306AF1">
              <w:rPr>
                <w:rFonts w:asciiTheme="minorHAnsi" w:hAnsiTheme="minorHAnsi" w:cs="Arial"/>
                <w:b w:val="0"/>
                <w:sz w:val="20"/>
              </w:rPr>
              <w:t>Visa Inc. shares</w:t>
            </w:r>
          </w:p>
        </w:tc>
        <w:tc>
          <w:tcPr>
            <w:tcW w:w="1168" w:type="dxa"/>
            <w:tcBorders>
              <w:bottom w:val="single" w:sz="4" w:space="0" w:color="auto"/>
            </w:tcBorders>
            <w:shd w:val="clear" w:color="auto" w:fill="F2F2F2" w:themeFill="background1" w:themeFillShade="F2"/>
            <w:vAlign w:val="bottom"/>
          </w:tcPr>
          <w:p w14:paraId="66659283" w14:textId="195C1E07" w:rsidR="00C31E4A" w:rsidRPr="00673F0D" w:rsidRDefault="007C0631">
            <w:pPr>
              <w:jc w:val="right"/>
              <w:rPr>
                <w:rFonts w:asciiTheme="minorHAnsi" w:hAnsiTheme="minorHAnsi" w:cs="Arial"/>
                <w:b/>
                <w:sz w:val="20"/>
                <w:szCs w:val="20"/>
              </w:rPr>
            </w:pPr>
            <w:r w:rsidRPr="00673F0D">
              <w:rPr>
                <w:rFonts w:asciiTheme="minorHAnsi" w:hAnsiTheme="minorHAnsi" w:cs="Arial"/>
                <w:b/>
                <w:sz w:val="20"/>
                <w:szCs w:val="20"/>
              </w:rPr>
              <w:t>5.1</w:t>
            </w:r>
          </w:p>
        </w:tc>
        <w:tc>
          <w:tcPr>
            <w:tcW w:w="1431" w:type="dxa"/>
            <w:tcBorders>
              <w:bottom w:val="single" w:sz="4" w:space="0" w:color="auto"/>
            </w:tcBorders>
            <w:vAlign w:val="bottom"/>
          </w:tcPr>
          <w:p w14:paraId="61B28E7E" w14:textId="389439F9" w:rsidR="00C31E4A" w:rsidRPr="006D4208" w:rsidRDefault="001370FF">
            <w:pPr>
              <w:jc w:val="right"/>
              <w:rPr>
                <w:rFonts w:asciiTheme="minorHAnsi" w:hAnsiTheme="minorHAnsi" w:cs="Arial"/>
                <w:sz w:val="20"/>
                <w:szCs w:val="20"/>
              </w:rPr>
            </w:pPr>
            <w:r w:rsidRPr="006D4208">
              <w:rPr>
                <w:rFonts w:asciiTheme="minorHAnsi" w:hAnsiTheme="minorHAnsi" w:cs="Arial"/>
                <w:sz w:val="20"/>
                <w:szCs w:val="20"/>
              </w:rPr>
              <w:t>5.4</w:t>
            </w:r>
          </w:p>
        </w:tc>
        <w:tc>
          <w:tcPr>
            <w:tcW w:w="1168" w:type="dxa"/>
            <w:tcBorders>
              <w:bottom w:val="single" w:sz="4" w:space="0" w:color="auto"/>
            </w:tcBorders>
            <w:vAlign w:val="bottom"/>
          </w:tcPr>
          <w:p w14:paraId="1A116EFD" w14:textId="33F3F79C" w:rsidR="00C31E4A" w:rsidRPr="006D4208" w:rsidRDefault="004440B7">
            <w:pPr>
              <w:jc w:val="right"/>
              <w:rPr>
                <w:rFonts w:asciiTheme="minorHAnsi" w:hAnsiTheme="minorHAnsi" w:cs="Arial"/>
                <w:sz w:val="20"/>
                <w:szCs w:val="20"/>
              </w:rPr>
            </w:pPr>
            <w:r w:rsidRPr="006D4208">
              <w:rPr>
                <w:rFonts w:asciiTheme="minorHAnsi" w:hAnsiTheme="minorHAnsi" w:cs="Arial"/>
                <w:sz w:val="20"/>
                <w:szCs w:val="20"/>
              </w:rPr>
              <w:t>4.9</w:t>
            </w:r>
          </w:p>
        </w:tc>
      </w:tr>
      <w:tr w:rsidR="00C31E4A" w:rsidRPr="005D35B7" w14:paraId="442ACD20" w14:textId="77777777" w:rsidTr="00673F0D">
        <w:tc>
          <w:tcPr>
            <w:tcW w:w="6122" w:type="dxa"/>
            <w:vAlign w:val="bottom"/>
          </w:tcPr>
          <w:p w14:paraId="67A3AF48" w14:textId="77777777" w:rsidR="00C31E4A" w:rsidRPr="00306AF1" w:rsidRDefault="00C31E4A">
            <w:pPr>
              <w:rPr>
                <w:rFonts w:asciiTheme="minorHAnsi" w:hAnsiTheme="minorHAnsi" w:cs="Arial"/>
                <w:sz w:val="20"/>
                <w:szCs w:val="20"/>
                <w:lang w:val="en-US"/>
              </w:rPr>
            </w:pPr>
          </w:p>
        </w:tc>
        <w:tc>
          <w:tcPr>
            <w:tcW w:w="1168" w:type="dxa"/>
            <w:tcBorders>
              <w:top w:val="single" w:sz="4" w:space="0" w:color="auto"/>
              <w:bottom w:val="single" w:sz="12" w:space="0" w:color="auto"/>
            </w:tcBorders>
            <w:shd w:val="clear" w:color="auto" w:fill="F2F2F2" w:themeFill="background1" w:themeFillShade="F2"/>
            <w:vAlign w:val="bottom"/>
          </w:tcPr>
          <w:p w14:paraId="0D884B28" w14:textId="306EAB5E" w:rsidR="00C31E4A" w:rsidRPr="00673F0D" w:rsidRDefault="007A7948">
            <w:pPr>
              <w:jc w:val="right"/>
              <w:rPr>
                <w:rFonts w:asciiTheme="minorHAnsi" w:hAnsiTheme="minorHAnsi" w:cs="Arial"/>
                <w:b/>
                <w:sz w:val="20"/>
                <w:szCs w:val="20"/>
              </w:rPr>
            </w:pPr>
            <w:r w:rsidRPr="00673F0D">
              <w:rPr>
                <w:rFonts w:asciiTheme="minorHAnsi" w:hAnsiTheme="minorHAnsi" w:cs="Arial"/>
                <w:b/>
                <w:sz w:val="20"/>
                <w:szCs w:val="20"/>
              </w:rPr>
              <w:t>6.</w:t>
            </w:r>
            <w:r w:rsidR="00E76589" w:rsidRPr="00673F0D">
              <w:rPr>
                <w:rFonts w:asciiTheme="minorHAnsi" w:hAnsiTheme="minorHAnsi" w:cs="Arial"/>
                <w:b/>
                <w:sz w:val="20"/>
                <w:szCs w:val="20"/>
              </w:rPr>
              <w:t>2</w:t>
            </w:r>
          </w:p>
        </w:tc>
        <w:tc>
          <w:tcPr>
            <w:tcW w:w="1431" w:type="dxa"/>
            <w:tcBorders>
              <w:top w:val="single" w:sz="4" w:space="0" w:color="auto"/>
              <w:bottom w:val="single" w:sz="12" w:space="0" w:color="auto"/>
            </w:tcBorders>
            <w:shd w:val="clear" w:color="auto" w:fill="auto"/>
            <w:vAlign w:val="bottom"/>
          </w:tcPr>
          <w:p w14:paraId="40B7E385" w14:textId="1701D7B1" w:rsidR="00C31E4A" w:rsidRPr="006D4208" w:rsidRDefault="00E76829">
            <w:pPr>
              <w:jc w:val="right"/>
              <w:rPr>
                <w:rFonts w:asciiTheme="minorHAnsi" w:hAnsiTheme="minorHAnsi" w:cs="Arial"/>
                <w:sz w:val="20"/>
                <w:szCs w:val="20"/>
              </w:rPr>
            </w:pPr>
            <w:r w:rsidRPr="006D4208">
              <w:rPr>
                <w:rFonts w:asciiTheme="minorHAnsi" w:hAnsiTheme="minorHAnsi" w:cs="Arial"/>
                <w:sz w:val="20"/>
                <w:szCs w:val="20"/>
              </w:rPr>
              <w:t>6.7</w:t>
            </w:r>
          </w:p>
        </w:tc>
        <w:tc>
          <w:tcPr>
            <w:tcW w:w="1168" w:type="dxa"/>
            <w:tcBorders>
              <w:top w:val="single" w:sz="4" w:space="0" w:color="auto"/>
              <w:bottom w:val="single" w:sz="12" w:space="0" w:color="auto"/>
            </w:tcBorders>
            <w:vAlign w:val="bottom"/>
          </w:tcPr>
          <w:p w14:paraId="69A042AD" w14:textId="5784681F" w:rsidR="00C31E4A" w:rsidRPr="006D4208" w:rsidRDefault="00C31E4A">
            <w:pPr>
              <w:jc w:val="right"/>
              <w:rPr>
                <w:rFonts w:asciiTheme="minorHAnsi" w:hAnsiTheme="minorHAnsi" w:cs="Arial"/>
                <w:sz w:val="20"/>
                <w:szCs w:val="20"/>
              </w:rPr>
            </w:pPr>
            <w:r w:rsidRPr="006D4208">
              <w:rPr>
                <w:rFonts w:asciiTheme="minorHAnsi" w:hAnsiTheme="minorHAnsi" w:cs="Arial"/>
                <w:sz w:val="20"/>
                <w:szCs w:val="20"/>
              </w:rPr>
              <w:t>1</w:t>
            </w:r>
            <w:r w:rsidR="004440B7" w:rsidRPr="006D4208">
              <w:rPr>
                <w:rFonts w:asciiTheme="minorHAnsi" w:hAnsiTheme="minorHAnsi" w:cs="Arial"/>
                <w:sz w:val="20"/>
                <w:szCs w:val="20"/>
              </w:rPr>
              <w:t>8.3</w:t>
            </w:r>
          </w:p>
        </w:tc>
      </w:tr>
      <w:tr w:rsidR="00C31E4A" w:rsidRPr="005D35B7" w14:paraId="7860FA68" w14:textId="77777777" w:rsidTr="00673F0D">
        <w:tc>
          <w:tcPr>
            <w:tcW w:w="6122" w:type="dxa"/>
            <w:vAlign w:val="bottom"/>
          </w:tcPr>
          <w:p w14:paraId="390C1C24" w14:textId="77777777" w:rsidR="00C31E4A" w:rsidRPr="00306AF1" w:rsidRDefault="00C31E4A">
            <w:pPr>
              <w:rPr>
                <w:rFonts w:asciiTheme="minorHAnsi" w:hAnsiTheme="minorHAnsi" w:cs="Arial"/>
                <w:b/>
                <w:sz w:val="20"/>
                <w:szCs w:val="20"/>
              </w:rPr>
            </w:pPr>
            <w:r w:rsidRPr="00306AF1">
              <w:rPr>
                <w:rFonts w:asciiTheme="minorHAnsi" w:hAnsiTheme="minorHAnsi" w:cs="Arial"/>
                <w:b/>
                <w:sz w:val="20"/>
                <w:szCs w:val="20"/>
              </w:rPr>
              <w:t>Financial liabilities</w:t>
            </w:r>
          </w:p>
        </w:tc>
        <w:tc>
          <w:tcPr>
            <w:tcW w:w="1168" w:type="dxa"/>
            <w:tcBorders>
              <w:top w:val="single" w:sz="12" w:space="0" w:color="auto"/>
            </w:tcBorders>
            <w:shd w:val="clear" w:color="auto" w:fill="F2F2F2" w:themeFill="background1" w:themeFillShade="F2"/>
            <w:vAlign w:val="bottom"/>
          </w:tcPr>
          <w:p w14:paraId="20A070EA" w14:textId="77777777" w:rsidR="00C31E4A" w:rsidRPr="00673F0D" w:rsidRDefault="00C31E4A">
            <w:pPr>
              <w:jc w:val="right"/>
              <w:rPr>
                <w:rFonts w:asciiTheme="minorHAnsi" w:hAnsiTheme="minorHAnsi" w:cs="Arial"/>
                <w:b/>
                <w:sz w:val="20"/>
                <w:szCs w:val="20"/>
                <w:highlight w:val="yellow"/>
              </w:rPr>
            </w:pPr>
          </w:p>
        </w:tc>
        <w:tc>
          <w:tcPr>
            <w:tcW w:w="1431" w:type="dxa"/>
            <w:tcBorders>
              <w:top w:val="single" w:sz="12" w:space="0" w:color="auto"/>
            </w:tcBorders>
            <w:vAlign w:val="bottom"/>
          </w:tcPr>
          <w:p w14:paraId="461880B2" w14:textId="77777777" w:rsidR="00C31E4A" w:rsidRPr="00797236" w:rsidRDefault="00C31E4A">
            <w:pPr>
              <w:jc w:val="right"/>
              <w:rPr>
                <w:rFonts w:asciiTheme="minorHAnsi" w:hAnsiTheme="minorHAnsi" w:cs="Arial"/>
                <w:sz w:val="20"/>
                <w:szCs w:val="20"/>
                <w:highlight w:val="green"/>
              </w:rPr>
            </w:pPr>
          </w:p>
        </w:tc>
        <w:tc>
          <w:tcPr>
            <w:tcW w:w="1168" w:type="dxa"/>
            <w:tcBorders>
              <w:top w:val="single" w:sz="12" w:space="0" w:color="auto"/>
            </w:tcBorders>
            <w:vAlign w:val="bottom"/>
          </w:tcPr>
          <w:p w14:paraId="350E15A4" w14:textId="77777777" w:rsidR="00C31E4A" w:rsidRPr="00E1625D" w:rsidRDefault="00C31E4A">
            <w:pPr>
              <w:jc w:val="right"/>
              <w:rPr>
                <w:rFonts w:asciiTheme="minorHAnsi" w:hAnsiTheme="minorHAnsi" w:cs="Arial"/>
                <w:sz w:val="20"/>
                <w:szCs w:val="20"/>
                <w:highlight w:val="green"/>
              </w:rPr>
            </w:pPr>
          </w:p>
        </w:tc>
      </w:tr>
      <w:tr w:rsidR="00C31E4A" w:rsidRPr="005D35B7" w14:paraId="0E2B6A53" w14:textId="77777777" w:rsidTr="00673F0D">
        <w:trPr>
          <w:trHeight w:val="80"/>
        </w:trPr>
        <w:tc>
          <w:tcPr>
            <w:tcW w:w="6122" w:type="dxa"/>
          </w:tcPr>
          <w:p w14:paraId="3B737313" w14:textId="77777777" w:rsidR="00C31E4A" w:rsidRPr="00306AF1" w:rsidRDefault="00C31E4A">
            <w:pPr>
              <w:rPr>
                <w:rFonts w:asciiTheme="minorHAnsi" w:hAnsiTheme="minorHAnsi" w:cs="Arial"/>
                <w:sz w:val="20"/>
                <w:szCs w:val="20"/>
              </w:rPr>
            </w:pPr>
            <w:r w:rsidRPr="00306AF1">
              <w:rPr>
                <w:rFonts w:asciiTheme="minorHAnsi" w:hAnsiTheme="minorHAnsi" w:cs="Arial"/>
                <w:sz w:val="20"/>
                <w:szCs w:val="20"/>
              </w:rPr>
              <w:t>Derivatives</w:t>
            </w:r>
          </w:p>
        </w:tc>
        <w:tc>
          <w:tcPr>
            <w:tcW w:w="1168" w:type="dxa"/>
            <w:tcBorders>
              <w:bottom w:val="single" w:sz="12" w:space="0" w:color="auto"/>
            </w:tcBorders>
            <w:shd w:val="clear" w:color="auto" w:fill="F2F2F2" w:themeFill="background1" w:themeFillShade="F2"/>
            <w:vAlign w:val="bottom"/>
          </w:tcPr>
          <w:p w14:paraId="57126D27" w14:textId="3FA4FF1B" w:rsidR="00C31E4A" w:rsidRPr="00673F0D" w:rsidRDefault="007074FD">
            <w:pPr>
              <w:jc w:val="right"/>
              <w:rPr>
                <w:rFonts w:asciiTheme="minorHAnsi" w:hAnsiTheme="minorHAnsi" w:cs="Arial"/>
                <w:b/>
                <w:sz w:val="20"/>
                <w:szCs w:val="20"/>
              </w:rPr>
            </w:pPr>
            <w:r w:rsidRPr="00673F0D">
              <w:rPr>
                <w:rFonts w:asciiTheme="minorHAnsi" w:hAnsiTheme="minorHAnsi" w:cs="Arial"/>
                <w:b/>
                <w:sz w:val="20"/>
                <w:szCs w:val="20"/>
              </w:rPr>
              <w:t>(9.</w:t>
            </w:r>
            <w:r w:rsidR="00E76589" w:rsidRPr="00673F0D">
              <w:rPr>
                <w:rFonts w:asciiTheme="minorHAnsi" w:hAnsiTheme="minorHAnsi" w:cs="Arial"/>
                <w:b/>
                <w:sz w:val="20"/>
                <w:szCs w:val="20"/>
              </w:rPr>
              <w:t>6</w:t>
            </w:r>
            <w:r w:rsidRPr="00673F0D">
              <w:rPr>
                <w:rFonts w:asciiTheme="minorHAnsi" w:hAnsiTheme="minorHAnsi" w:cs="Arial"/>
                <w:b/>
                <w:sz w:val="20"/>
                <w:szCs w:val="20"/>
              </w:rPr>
              <w:t>)</w:t>
            </w:r>
          </w:p>
        </w:tc>
        <w:tc>
          <w:tcPr>
            <w:tcW w:w="1431" w:type="dxa"/>
            <w:tcBorders>
              <w:bottom w:val="single" w:sz="12" w:space="0" w:color="auto"/>
            </w:tcBorders>
            <w:vAlign w:val="bottom"/>
          </w:tcPr>
          <w:p w14:paraId="78F2556B" w14:textId="0CB97722" w:rsidR="00C31E4A" w:rsidRPr="006D4208" w:rsidRDefault="00C31E4A">
            <w:pPr>
              <w:jc w:val="right"/>
              <w:rPr>
                <w:rFonts w:asciiTheme="minorHAnsi" w:hAnsiTheme="minorHAnsi" w:cs="Arial"/>
                <w:sz w:val="20"/>
                <w:szCs w:val="20"/>
              </w:rPr>
            </w:pPr>
            <w:r w:rsidRPr="006D4208">
              <w:rPr>
                <w:rFonts w:asciiTheme="minorHAnsi" w:hAnsiTheme="minorHAnsi" w:cs="Arial"/>
                <w:sz w:val="20"/>
                <w:szCs w:val="20"/>
              </w:rPr>
              <w:t>(1</w:t>
            </w:r>
            <w:r w:rsidR="00797236" w:rsidRPr="006D4208">
              <w:rPr>
                <w:rFonts w:asciiTheme="minorHAnsi" w:hAnsiTheme="minorHAnsi" w:cs="Arial"/>
                <w:sz w:val="20"/>
                <w:szCs w:val="20"/>
              </w:rPr>
              <w:t>.8</w:t>
            </w:r>
            <w:r w:rsidRPr="006D4208">
              <w:rPr>
                <w:rFonts w:asciiTheme="minorHAnsi" w:hAnsiTheme="minorHAnsi" w:cs="Arial"/>
                <w:sz w:val="20"/>
                <w:szCs w:val="20"/>
              </w:rPr>
              <w:t>)</w:t>
            </w:r>
          </w:p>
        </w:tc>
        <w:tc>
          <w:tcPr>
            <w:tcW w:w="1168" w:type="dxa"/>
            <w:tcBorders>
              <w:bottom w:val="single" w:sz="12" w:space="0" w:color="auto"/>
            </w:tcBorders>
            <w:vAlign w:val="bottom"/>
          </w:tcPr>
          <w:p w14:paraId="03C3EB6D" w14:textId="70A3B8FB" w:rsidR="00C31E4A" w:rsidRPr="006D4208" w:rsidRDefault="004440B7">
            <w:pPr>
              <w:jc w:val="right"/>
              <w:rPr>
                <w:rFonts w:asciiTheme="minorHAnsi" w:hAnsiTheme="minorHAnsi" w:cs="Arial"/>
                <w:sz w:val="20"/>
                <w:szCs w:val="20"/>
              </w:rPr>
            </w:pPr>
            <w:r w:rsidRPr="006D4208">
              <w:rPr>
                <w:rFonts w:asciiTheme="minorHAnsi" w:hAnsiTheme="minorHAnsi" w:cs="Arial"/>
                <w:sz w:val="20"/>
                <w:szCs w:val="20"/>
              </w:rPr>
              <w:t>(27.8)</w:t>
            </w:r>
          </w:p>
        </w:tc>
      </w:tr>
    </w:tbl>
    <w:p w14:paraId="14EF820F" w14:textId="4F6BA12C" w:rsidR="00C31E4A" w:rsidRPr="00306AF1" w:rsidRDefault="00C31E4A" w:rsidP="00C31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7C086D83" w14:textId="29794326" w:rsidR="00C31E4A" w:rsidRPr="00306AF1" w:rsidRDefault="00C31E4A" w:rsidP="00C31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306AF1">
        <w:rPr>
          <w:rFonts w:asciiTheme="minorHAnsi" w:hAnsiTheme="minorHAnsi" w:cs="Arial"/>
          <w:sz w:val="20"/>
          <w:szCs w:val="20"/>
        </w:rPr>
        <w:t>The Group is counterparty to three derivative financial instruments.</w:t>
      </w:r>
    </w:p>
    <w:p w14:paraId="20ABDB4A" w14:textId="77777777" w:rsidR="00C31E4A" w:rsidRPr="00306AF1" w:rsidRDefault="00C31E4A" w:rsidP="00C31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5179FA84" w14:textId="6DD7A9E2" w:rsidR="00C31E4A" w:rsidRPr="00306AF1" w:rsidRDefault="00C31E4A" w:rsidP="00C31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306AF1">
        <w:rPr>
          <w:rFonts w:asciiTheme="minorHAnsi" w:hAnsiTheme="minorHAnsi" w:cs="Arial"/>
          <w:sz w:val="20"/>
          <w:szCs w:val="20"/>
        </w:rPr>
        <w:t xml:space="preserve">The securitisation balance guarantee (front BGS) swap of </w:t>
      </w:r>
      <w:r w:rsidRPr="006D4208">
        <w:rPr>
          <w:rFonts w:asciiTheme="minorHAnsi" w:hAnsiTheme="minorHAnsi" w:cs="Arial"/>
          <w:sz w:val="20"/>
          <w:szCs w:val="20"/>
        </w:rPr>
        <w:t>£1</w:t>
      </w:r>
      <w:r w:rsidR="007A12C7" w:rsidRPr="006D4208">
        <w:rPr>
          <w:rFonts w:asciiTheme="minorHAnsi" w:hAnsiTheme="minorHAnsi" w:cs="Arial"/>
          <w:sz w:val="20"/>
          <w:szCs w:val="20"/>
        </w:rPr>
        <w:t>.</w:t>
      </w:r>
      <w:r w:rsidR="00E76589" w:rsidRPr="006D4208">
        <w:rPr>
          <w:rFonts w:asciiTheme="minorHAnsi" w:hAnsiTheme="minorHAnsi" w:cs="Arial"/>
          <w:sz w:val="20"/>
          <w:szCs w:val="20"/>
        </w:rPr>
        <w:t>1</w:t>
      </w:r>
      <w:r w:rsidRPr="006D4208">
        <w:rPr>
          <w:rFonts w:asciiTheme="minorHAnsi" w:hAnsiTheme="minorHAnsi" w:cs="Arial"/>
          <w:sz w:val="20"/>
          <w:szCs w:val="20"/>
        </w:rPr>
        <w:t>m asset (31 December 202</w:t>
      </w:r>
      <w:r w:rsidR="007A12C7" w:rsidRPr="006D4208">
        <w:rPr>
          <w:rFonts w:asciiTheme="minorHAnsi" w:hAnsiTheme="minorHAnsi" w:cs="Arial"/>
          <w:sz w:val="20"/>
          <w:szCs w:val="20"/>
        </w:rPr>
        <w:t>3</w:t>
      </w:r>
      <w:r w:rsidR="002F5CD2" w:rsidRPr="006D4208">
        <w:rPr>
          <w:rFonts w:asciiTheme="minorHAnsi" w:hAnsiTheme="minorHAnsi" w:cs="Arial"/>
          <w:sz w:val="20"/>
          <w:szCs w:val="20"/>
        </w:rPr>
        <w:t>:</w:t>
      </w:r>
      <w:r w:rsidRPr="006D4208">
        <w:rPr>
          <w:rFonts w:asciiTheme="minorHAnsi" w:hAnsiTheme="minorHAnsi" w:cs="Arial"/>
          <w:sz w:val="20"/>
          <w:szCs w:val="20"/>
        </w:rPr>
        <w:t xml:space="preserve"> £1.3m, 30 June 202</w:t>
      </w:r>
      <w:r w:rsidR="007A12C7" w:rsidRPr="006D4208">
        <w:rPr>
          <w:rFonts w:asciiTheme="minorHAnsi" w:hAnsiTheme="minorHAnsi" w:cs="Arial"/>
          <w:sz w:val="20"/>
          <w:szCs w:val="20"/>
        </w:rPr>
        <w:t>3</w:t>
      </w:r>
      <w:r w:rsidR="002F5CD2" w:rsidRPr="006D4208">
        <w:rPr>
          <w:rFonts w:asciiTheme="minorHAnsi" w:hAnsiTheme="minorHAnsi" w:cs="Arial"/>
          <w:sz w:val="20"/>
          <w:szCs w:val="20"/>
        </w:rPr>
        <w:t>:</w:t>
      </w:r>
      <w:r w:rsidRPr="006D4208">
        <w:rPr>
          <w:rFonts w:asciiTheme="minorHAnsi" w:hAnsiTheme="minorHAnsi" w:cs="Arial"/>
          <w:sz w:val="20"/>
          <w:szCs w:val="20"/>
        </w:rPr>
        <w:t xml:space="preserve"> £</w:t>
      </w:r>
      <w:r w:rsidR="007A12C7" w:rsidRPr="006D4208">
        <w:rPr>
          <w:rFonts w:asciiTheme="minorHAnsi" w:hAnsiTheme="minorHAnsi" w:cs="Arial"/>
          <w:sz w:val="20"/>
          <w:szCs w:val="20"/>
        </w:rPr>
        <w:t>13.4</w:t>
      </w:r>
      <w:r w:rsidRPr="006D4208">
        <w:rPr>
          <w:rFonts w:asciiTheme="minorHAnsi" w:hAnsiTheme="minorHAnsi" w:cs="Arial"/>
          <w:sz w:val="20"/>
          <w:szCs w:val="20"/>
        </w:rPr>
        <w:t>m)</w:t>
      </w:r>
      <w:r w:rsidRPr="00306AF1">
        <w:rPr>
          <w:rFonts w:asciiTheme="minorHAnsi" w:hAnsiTheme="minorHAnsi" w:cs="Arial"/>
          <w:sz w:val="20"/>
          <w:szCs w:val="20"/>
        </w:rPr>
        <w:t xml:space="preserve"> manages the market risk associated with movements in interest rates in the accounts of the securitisation. The front BGS is a bespoke over-the-counter interest rate swap that resizes in line with changes to the size and expected maturity profile of the loans in the securitisation. Only the interest rate risk on the portfolio is hedged; other risks such as credit risk are managed but not hedged.</w:t>
      </w:r>
    </w:p>
    <w:p w14:paraId="616A70AD" w14:textId="77777777" w:rsidR="00083B88" w:rsidRDefault="00083B88" w:rsidP="00C31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5AE6DD0C" w14:textId="246C14E6" w:rsidR="00C31E4A" w:rsidRPr="00306AF1" w:rsidRDefault="00C31E4A" w:rsidP="00C31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306AF1">
        <w:rPr>
          <w:rFonts w:asciiTheme="minorHAnsi" w:hAnsiTheme="minorHAnsi" w:cs="Arial"/>
          <w:sz w:val="20"/>
          <w:szCs w:val="20"/>
        </w:rPr>
        <w:t xml:space="preserve">The Group balance guarantee swap (back BGS) </w:t>
      </w:r>
      <w:r w:rsidRPr="006D4208">
        <w:rPr>
          <w:rFonts w:asciiTheme="minorHAnsi" w:hAnsiTheme="minorHAnsi" w:cs="Arial"/>
          <w:sz w:val="20"/>
          <w:szCs w:val="20"/>
        </w:rPr>
        <w:t>of £1</w:t>
      </w:r>
      <w:r w:rsidR="00A83077" w:rsidRPr="006D4208">
        <w:rPr>
          <w:rFonts w:asciiTheme="minorHAnsi" w:hAnsiTheme="minorHAnsi" w:cs="Arial"/>
          <w:sz w:val="20"/>
          <w:szCs w:val="20"/>
        </w:rPr>
        <w:t>.</w:t>
      </w:r>
      <w:r w:rsidR="00386BBA" w:rsidRPr="006D4208">
        <w:rPr>
          <w:rFonts w:asciiTheme="minorHAnsi" w:hAnsiTheme="minorHAnsi" w:cs="Arial"/>
          <w:sz w:val="20"/>
          <w:szCs w:val="20"/>
        </w:rPr>
        <w:t>6</w:t>
      </w:r>
      <w:r w:rsidRPr="006D4208">
        <w:rPr>
          <w:rFonts w:asciiTheme="minorHAnsi" w:hAnsiTheme="minorHAnsi" w:cs="Arial"/>
          <w:sz w:val="20"/>
          <w:szCs w:val="20"/>
        </w:rPr>
        <w:t>m liability</w:t>
      </w:r>
      <w:r w:rsidRPr="00306AF1">
        <w:rPr>
          <w:rFonts w:asciiTheme="minorHAnsi" w:hAnsiTheme="minorHAnsi" w:cs="Arial"/>
          <w:sz w:val="20"/>
          <w:szCs w:val="20"/>
        </w:rPr>
        <w:t xml:space="preserve"> (</w:t>
      </w:r>
      <w:r w:rsidRPr="006D4208">
        <w:rPr>
          <w:rFonts w:asciiTheme="minorHAnsi" w:hAnsiTheme="minorHAnsi" w:cs="Arial"/>
          <w:sz w:val="20"/>
          <w:szCs w:val="20"/>
        </w:rPr>
        <w:t>31 December 202</w:t>
      </w:r>
      <w:r w:rsidR="009208C3" w:rsidRPr="006D4208">
        <w:rPr>
          <w:rFonts w:asciiTheme="minorHAnsi" w:hAnsiTheme="minorHAnsi" w:cs="Arial"/>
          <w:sz w:val="20"/>
          <w:szCs w:val="20"/>
        </w:rPr>
        <w:t>3</w:t>
      </w:r>
      <w:r w:rsidR="00A97878" w:rsidRPr="006D4208">
        <w:rPr>
          <w:rFonts w:asciiTheme="minorHAnsi" w:hAnsiTheme="minorHAnsi" w:cs="Arial"/>
          <w:sz w:val="20"/>
          <w:szCs w:val="20"/>
        </w:rPr>
        <w:t>:</w:t>
      </w:r>
      <w:r w:rsidRPr="006D4208">
        <w:rPr>
          <w:rFonts w:asciiTheme="minorHAnsi" w:hAnsiTheme="minorHAnsi" w:cs="Arial"/>
          <w:sz w:val="20"/>
          <w:szCs w:val="20"/>
        </w:rPr>
        <w:t xml:space="preserve"> £1</w:t>
      </w:r>
      <w:r w:rsidR="00CA7AB1" w:rsidRPr="006D4208">
        <w:rPr>
          <w:rFonts w:asciiTheme="minorHAnsi" w:hAnsiTheme="minorHAnsi" w:cs="Arial"/>
          <w:sz w:val="20"/>
          <w:szCs w:val="20"/>
        </w:rPr>
        <w:t>.8</w:t>
      </w:r>
      <w:r w:rsidR="00A97878" w:rsidRPr="006D4208">
        <w:rPr>
          <w:rFonts w:asciiTheme="minorHAnsi" w:hAnsiTheme="minorHAnsi" w:cs="Arial"/>
          <w:sz w:val="20"/>
          <w:szCs w:val="20"/>
        </w:rPr>
        <w:t>m</w:t>
      </w:r>
      <w:r w:rsidRPr="00306AF1">
        <w:rPr>
          <w:rFonts w:asciiTheme="minorHAnsi" w:hAnsiTheme="minorHAnsi" w:cs="Arial"/>
          <w:sz w:val="20"/>
          <w:szCs w:val="20"/>
        </w:rPr>
        <w:t xml:space="preserve">, </w:t>
      </w:r>
      <w:r w:rsidRPr="006D4208">
        <w:rPr>
          <w:rFonts w:asciiTheme="minorHAnsi" w:hAnsiTheme="minorHAnsi" w:cs="Arial"/>
          <w:sz w:val="20"/>
          <w:szCs w:val="20"/>
        </w:rPr>
        <w:t>30 June 202</w:t>
      </w:r>
      <w:r w:rsidR="00EB7D96" w:rsidRPr="006D4208">
        <w:rPr>
          <w:rFonts w:asciiTheme="minorHAnsi" w:hAnsiTheme="minorHAnsi" w:cs="Arial"/>
          <w:sz w:val="20"/>
          <w:szCs w:val="20"/>
        </w:rPr>
        <w:t>3</w:t>
      </w:r>
      <w:r w:rsidR="0000177F" w:rsidRPr="006D4208">
        <w:rPr>
          <w:rFonts w:asciiTheme="minorHAnsi" w:hAnsiTheme="minorHAnsi" w:cs="Arial"/>
          <w:sz w:val="20"/>
          <w:szCs w:val="20"/>
        </w:rPr>
        <w:t>:</w:t>
      </w:r>
      <w:r w:rsidRPr="006D4208">
        <w:rPr>
          <w:rFonts w:asciiTheme="minorHAnsi" w:hAnsiTheme="minorHAnsi" w:cs="Arial"/>
          <w:sz w:val="20"/>
          <w:szCs w:val="20"/>
        </w:rPr>
        <w:t xml:space="preserve"> £</w:t>
      </w:r>
      <w:r w:rsidR="00160DC8" w:rsidRPr="006D4208">
        <w:rPr>
          <w:rFonts w:asciiTheme="minorHAnsi" w:hAnsiTheme="minorHAnsi" w:cs="Arial"/>
          <w:sz w:val="20"/>
          <w:szCs w:val="20"/>
        </w:rPr>
        <w:t>14.1m</w:t>
      </w:r>
      <w:r w:rsidRPr="00306AF1">
        <w:rPr>
          <w:rFonts w:asciiTheme="minorHAnsi" w:hAnsiTheme="minorHAnsi" w:cs="Arial"/>
          <w:sz w:val="20"/>
          <w:szCs w:val="20"/>
        </w:rPr>
        <w:t xml:space="preserve">) eliminates the front BGS on consolidation in the Group accounts. The front BGS manages a risk that exists in the SPV accounts, but does not exist upon consolidation. The back BGS was transacted at historical rates and in compensation the Group received cash consideration for taking on a liability. </w:t>
      </w:r>
    </w:p>
    <w:p w14:paraId="79BD5811" w14:textId="77777777" w:rsidR="007138B5" w:rsidRPr="00306AF1" w:rsidRDefault="007138B5" w:rsidP="00C31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4EB0F21F" w14:textId="77777777" w:rsidR="00C31E4A" w:rsidRPr="00306AF1" w:rsidRDefault="00C31E4A" w:rsidP="00C31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306AF1">
        <w:rPr>
          <w:rFonts w:asciiTheme="minorHAnsi" w:hAnsiTheme="minorHAnsi" w:cs="Arial"/>
          <w:sz w:val="20"/>
          <w:szCs w:val="20"/>
        </w:rPr>
        <w:t>The front and back BGS naturally hedge and no hedge accounting is applied. Hedge accounting was discontinued on the front BGS in September 2022 with the hedging adjustment amortising over the remaining life of the receivables. Until termination, the hedging arrangement was accounted for under IAS 39 under the portfolio hedging rules.</w:t>
      </w:r>
    </w:p>
    <w:p w14:paraId="7B5A3BAC" w14:textId="7413F8F8" w:rsidR="00C31E4A" w:rsidRPr="00306AF1" w:rsidRDefault="00C31E4A" w:rsidP="00C31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052B219C" w14:textId="45C7D1BC" w:rsidR="00C31E4A" w:rsidRPr="00306AF1" w:rsidRDefault="00C31E4A" w:rsidP="00C31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306AF1">
        <w:rPr>
          <w:rFonts w:asciiTheme="minorHAnsi" w:hAnsiTheme="minorHAnsi" w:cs="Arial"/>
          <w:sz w:val="20"/>
          <w:szCs w:val="20"/>
        </w:rPr>
        <w:t xml:space="preserve">The Tier 2 swap of </w:t>
      </w:r>
      <w:r w:rsidRPr="006D4208">
        <w:rPr>
          <w:rFonts w:asciiTheme="minorHAnsi" w:hAnsiTheme="minorHAnsi" w:cs="Arial"/>
          <w:sz w:val="20"/>
          <w:szCs w:val="20"/>
        </w:rPr>
        <w:t>£</w:t>
      </w:r>
      <w:r w:rsidR="00434628" w:rsidRPr="006D4208">
        <w:rPr>
          <w:rFonts w:asciiTheme="minorHAnsi" w:hAnsiTheme="minorHAnsi" w:cs="Arial"/>
          <w:sz w:val="20"/>
          <w:szCs w:val="20"/>
        </w:rPr>
        <w:t>8.0</w:t>
      </w:r>
      <w:r w:rsidRPr="006D4208">
        <w:rPr>
          <w:rFonts w:asciiTheme="minorHAnsi" w:hAnsiTheme="minorHAnsi" w:cs="Arial"/>
          <w:sz w:val="20"/>
          <w:szCs w:val="20"/>
        </w:rPr>
        <w:t>m liability</w:t>
      </w:r>
      <w:r w:rsidRPr="00306AF1">
        <w:rPr>
          <w:rFonts w:asciiTheme="minorHAnsi" w:hAnsiTheme="minorHAnsi" w:cs="Arial"/>
          <w:sz w:val="20"/>
          <w:szCs w:val="20"/>
        </w:rPr>
        <w:t xml:space="preserve"> (</w:t>
      </w:r>
      <w:r w:rsidRPr="006D4208">
        <w:rPr>
          <w:rFonts w:asciiTheme="minorHAnsi" w:hAnsiTheme="minorHAnsi" w:cs="Arial"/>
          <w:sz w:val="20"/>
          <w:szCs w:val="20"/>
        </w:rPr>
        <w:t>31 December 202</w:t>
      </w:r>
      <w:r w:rsidR="00CA7AB1" w:rsidRPr="006D4208">
        <w:rPr>
          <w:rFonts w:asciiTheme="minorHAnsi" w:hAnsiTheme="minorHAnsi" w:cs="Arial"/>
          <w:sz w:val="20"/>
          <w:szCs w:val="20"/>
        </w:rPr>
        <w:t>3</w:t>
      </w:r>
      <w:r w:rsidR="000E24B2" w:rsidRPr="006D4208">
        <w:rPr>
          <w:rFonts w:asciiTheme="minorHAnsi" w:hAnsiTheme="minorHAnsi" w:cs="Arial"/>
          <w:sz w:val="20"/>
          <w:szCs w:val="20"/>
        </w:rPr>
        <w:t>:</w:t>
      </w:r>
      <w:r w:rsidRPr="006D4208">
        <w:rPr>
          <w:rFonts w:asciiTheme="minorHAnsi" w:hAnsiTheme="minorHAnsi" w:cs="Arial"/>
          <w:sz w:val="20"/>
          <w:szCs w:val="20"/>
        </w:rPr>
        <w:t xml:space="preserve"> £</w:t>
      </w:r>
      <w:r w:rsidR="00DA6379" w:rsidRPr="006D4208">
        <w:rPr>
          <w:rFonts w:asciiTheme="minorHAnsi" w:hAnsiTheme="minorHAnsi" w:cs="Arial"/>
          <w:sz w:val="20"/>
          <w:szCs w:val="20"/>
        </w:rPr>
        <w:t>nil</w:t>
      </w:r>
      <w:r w:rsidRPr="00306AF1">
        <w:rPr>
          <w:rFonts w:asciiTheme="minorHAnsi" w:hAnsiTheme="minorHAnsi" w:cs="Arial"/>
          <w:sz w:val="20"/>
          <w:szCs w:val="20"/>
        </w:rPr>
        <w:t xml:space="preserve">, </w:t>
      </w:r>
      <w:r w:rsidRPr="006D4208">
        <w:rPr>
          <w:rFonts w:asciiTheme="minorHAnsi" w:hAnsiTheme="minorHAnsi" w:cs="Arial"/>
          <w:sz w:val="20"/>
          <w:szCs w:val="20"/>
        </w:rPr>
        <w:t>30 June 202</w:t>
      </w:r>
      <w:r w:rsidR="00160DC8" w:rsidRPr="006D4208">
        <w:rPr>
          <w:rFonts w:asciiTheme="minorHAnsi" w:hAnsiTheme="minorHAnsi" w:cs="Arial"/>
          <w:sz w:val="20"/>
          <w:szCs w:val="20"/>
        </w:rPr>
        <w:t>3</w:t>
      </w:r>
      <w:r w:rsidR="00DD4A22" w:rsidRPr="006D4208">
        <w:rPr>
          <w:rFonts w:asciiTheme="minorHAnsi" w:hAnsiTheme="minorHAnsi" w:cs="Arial"/>
          <w:sz w:val="20"/>
          <w:szCs w:val="20"/>
        </w:rPr>
        <w:t>:</w:t>
      </w:r>
      <w:r w:rsidRPr="006D4208">
        <w:rPr>
          <w:rFonts w:asciiTheme="minorHAnsi" w:hAnsiTheme="minorHAnsi" w:cs="Arial"/>
          <w:sz w:val="20"/>
          <w:szCs w:val="20"/>
        </w:rPr>
        <w:t xml:space="preserve"> £</w:t>
      </w:r>
      <w:r w:rsidR="00160DC8" w:rsidRPr="006D4208">
        <w:rPr>
          <w:rFonts w:asciiTheme="minorHAnsi" w:hAnsiTheme="minorHAnsi" w:cs="Arial"/>
          <w:sz w:val="20"/>
          <w:szCs w:val="20"/>
        </w:rPr>
        <w:t>13.7m</w:t>
      </w:r>
      <w:r w:rsidRPr="00306AF1">
        <w:rPr>
          <w:rFonts w:asciiTheme="minorHAnsi" w:hAnsiTheme="minorHAnsi" w:cs="Arial"/>
          <w:sz w:val="20"/>
          <w:szCs w:val="20"/>
        </w:rPr>
        <w:t xml:space="preserve">) is a vanilla </w:t>
      </w:r>
      <w:proofErr w:type="spellStart"/>
      <w:r w:rsidRPr="00306AF1">
        <w:rPr>
          <w:rFonts w:asciiTheme="minorHAnsi" w:hAnsiTheme="minorHAnsi" w:cs="Arial"/>
          <w:sz w:val="20"/>
          <w:szCs w:val="20"/>
        </w:rPr>
        <w:t>unamortising</w:t>
      </w:r>
      <w:proofErr w:type="spellEnd"/>
      <w:r w:rsidRPr="00306AF1">
        <w:rPr>
          <w:rFonts w:asciiTheme="minorHAnsi" w:hAnsiTheme="minorHAnsi" w:cs="Arial"/>
          <w:sz w:val="20"/>
          <w:szCs w:val="20"/>
        </w:rPr>
        <w:t xml:space="preserve"> swap that manages the Group’s sensitivity to changes in interest rates arising from long-dated fixed-rate Tier 2 capital and short-dated Bank of England reserves. The Tier 2 swap pays annually a floating rate of daily compounded SONIA and receives a fixed annual rate of 3.521% bi-annually. The swap matures in October 2026.</w:t>
      </w:r>
    </w:p>
    <w:p w14:paraId="2A48AE10" w14:textId="603564CC" w:rsidR="072F5F9D" w:rsidRDefault="072F5F9D" w:rsidP="072F5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p>
    <w:p w14:paraId="5731B28B" w14:textId="77777777" w:rsidR="00C31E4A" w:rsidRPr="00306AF1" w:rsidRDefault="00C31E4A" w:rsidP="00C31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sz w:val="20"/>
          <w:szCs w:val="20"/>
        </w:rPr>
      </w:pPr>
      <w:r w:rsidRPr="00306AF1">
        <w:rPr>
          <w:rFonts w:asciiTheme="minorHAnsi" w:hAnsiTheme="minorHAnsi" w:cs="Arial"/>
          <w:sz w:val="20"/>
          <w:szCs w:val="20"/>
        </w:rPr>
        <w:t>Except as detailed in the following table, the directors consider that the carrying value of financial assets and financial liabilities recorded at amortised cost in the financial statements are approximately equal to their fair values:</w:t>
      </w:r>
    </w:p>
    <w:p w14:paraId="289B7376" w14:textId="77777777" w:rsidR="00C31E4A" w:rsidRPr="00306AF1" w:rsidRDefault="00C31E4A" w:rsidP="00C31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Arial"/>
          <w:sz w:val="20"/>
          <w:szCs w:val="20"/>
        </w:rPr>
      </w:pPr>
    </w:p>
    <w:tbl>
      <w:tblPr>
        <w:tblW w:w="9923" w:type="dxa"/>
        <w:tblLayout w:type="fixed"/>
        <w:tblLook w:val="0000" w:firstRow="0" w:lastRow="0" w:firstColumn="0" w:lastColumn="0" w:noHBand="0" w:noVBand="0"/>
      </w:tblPr>
      <w:tblGrid>
        <w:gridCol w:w="2890"/>
        <w:gridCol w:w="1094"/>
        <w:gridCol w:w="1337"/>
        <w:gridCol w:w="1094"/>
        <w:gridCol w:w="1094"/>
        <w:gridCol w:w="1266"/>
        <w:gridCol w:w="1148"/>
      </w:tblGrid>
      <w:tr w:rsidR="00C31E4A" w:rsidRPr="00306AF1" w14:paraId="6CE5726E" w14:textId="77777777">
        <w:tc>
          <w:tcPr>
            <w:tcW w:w="2890" w:type="dxa"/>
          </w:tcPr>
          <w:p w14:paraId="6EA93E18" w14:textId="77777777" w:rsidR="00C31E4A" w:rsidRPr="00306AF1" w:rsidRDefault="00C31E4A">
            <w:pPr>
              <w:rPr>
                <w:rFonts w:asciiTheme="minorHAnsi" w:hAnsiTheme="minorHAnsi" w:cs="Arial"/>
                <w:bCs/>
                <w:sz w:val="20"/>
                <w:szCs w:val="20"/>
              </w:rPr>
            </w:pPr>
          </w:p>
        </w:tc>
        <w:tc>
          <w:tcPr>
            <w:tcW w:w="3525" w:type="dxa"/>
            <w:gridSpan w:val="3"/>
            <w:tcBorders>
              <w:bottom w:val="single" w:sz="4" w:space="0" w:color="auto"/>
            </w:tcBorders>
          </w:tcPr>
          <w:p w14:paraId="6DC022D1" w14:textId="77777777" w:rsidR="00C31E4A" w:rsidRPr="003A5200" w:rsidRDefault="00C31E4A">
            <w:pPr>
              <w:jc w:val="center"/>
              <w:rPr>
                <w:rFonts w:asciiTheme="minorHAnsi" w:hAnsiTheme="minorHAnsi" w:cs="Arial"/>
                <w:sz w:val="20"/>
                <w:szCs w:val="20"/>
              </w:rPr>
            </w:pPr>
            <w:r w:rsidRPr="003A5200">
              <w:rPr>
                <w:rFonts w:asciiTheme="minorHAnsi" w:hAnsiTheme="minorHAnsi" w:cs="Arial"/>
                <w:sz w:val="20"/>
                <w:szCs w:val="20"/>
              </w:rPr>
              <w:t>Carrying value</w:t>
            </w:r>
          </w:p>
        </w:tc>
        <w:tc>
          <w:tcPr>
            <w:tcW w:w="3508" w:type="dxa"/>
            <w:gridSpan w:val="3"/>
            <w:tcBorders>
              <w:top w:val="nil"/>
              <w:left w:val="nil"/>
              <w:bottom w:val="single" w:sz="4" w:space="0" w:color="auto"/>
              <w:right w:val="nil"/>
            </w:tcBorders>
          </w:tcPr>
          <w:p w14:paraId="7F048EC1" w14:textId="77777777" w:rsidR="00C31E4A" w:rsidRPr="003A5200" w:rsidRDefault="00C31E4A">
            <w:pPr>
              <w:jc w:val="center"/>
              <w:rPr>
                <w:rFonts w:asciiTheme="minorHAnsi" w:hAnsiTheme="minorHAnsi" w:cs="Arial"/>
                <w:sz w:val="20"/>
                <w:szCs w:val="20"/>
              </w:rPr>
            </w:pPr>
            <w:r w:rsidRPr="003A5200">
              <w:rPr>
                <w:rFonts w:asciiTheme="minorHAnsi" w:hAnsiTheme="minorHAnsi" w:cs="Arial"/>
                <w:sz w:val="20"/>
                <w:szCs w:val="20"/>
              </w:rPr>
              <w:t>Fair value</w:t>
            </w:r>
          </w:p>
        </w:tc>
      </w:tr>
      <w:tr w:rsidR="00C31E4A" w:rsidRPr="00306AF1" w14:paraId="46B8112D" w14:textId="77777777" w:rsidTr="00673F0D">
        <w:tc>
          <w:tcPr>
            <w:tcW w:w="2890" w:type="dxa"/>
          </w:tcPr>
          <w:p w14:paraId="3963CA97" w14:textId="77777777" w:rsidR="00C31E4A" w:rsidRPr="00306AF1" w:rsidRDefault="00C31E4A">
            <w:pPr>
              <w:rPr>
                <w:rFonts w:asciiTheme="minorHAnsi" w:eastAsiaTheme="minorEastAsia" w:hAnsiTheme="minorHAnsi" w:cstheme="minorBidi"/>
                <w:sz w:val="20"/>
                <w:szCs w:val="20"/>
              </w:rPr>
            </w:pPr>
          </w:p>
        </w:tc>
        <w:tc>
          <w:tcPr>
            <w:tcW w:w="1094" w:type="dxa"/>
            <w:shd w:val="clear" w:color="auto" w:fill="F2F2F2" w:themeFill="background1" w:themeFillShade="F2"/>
          </w:tcPr>
          <w:p w14:paraId="445FDA99" w14:textId="77777777" w:rsidR="00C31E4A" w:rsidRPr="00673F0D" w:rsidRDefault="00C31E4A">
            <w:pPr>
              <w:jc w:val="right"/>
              <w:rPr>
                <w:rFonts w:asciiTheme="minorHAnsi" w:eastAsiaTheme="minorEastAsia" w:hAnsiTheme="minorHAnsi" w:cstheme="minorBidi"/>
                <w:b/>
                <w:sz w:val="20"/>
                <w:szCs w:val="20"/>
              </w:rPr>
            </w:pPr>
            <w:r w:rsidRPr="662DDD2F">
              <w:rPr>
                <w:rFonts w:asciiTheme="minorHAnsi" w:eastAsiaTheme="minorEastAsia" w:hAnsiTheme="minorHAnsi" w:cstheme="minorBidi"/>
                <w:b/>
                <w:sz w:val="20"/>
                <w:szCs w:val="20"/>
              </w:rPr>
              <w:t>30 June </w:t>
            </w:r>
          </w:p>
        </w:tc>
        <w:tc>
          <w:tcPr>
            <w:tcW w:w="1337" w:type="dxa"/>
            <w:tcBorders>
              <w:left w:val="nil"/>
              <w:right w:val="nil"/>
            </w:tcBorders>
          </w:tcPr>
          <w:p w14:paraId="2C51EDF5" w14:textId="77777777" w:rsidR="00C31E4A" w:rsidRPr="003A5200" w:rsidRDefault="00C31E4A">
            <w:pPr>
              <w:ind w:left="-108"/>
              <w:jc w:val="right"/>
              <w:rPr>
                <w:rFonts w:asciiTheme="minorHAnsi" w:eastAsiaTheme="minorEastAsia" w:hAnsiTheme="minorHAnsi" w:cstheme="minorBidi"/>
                <w:sz w:val="20"/>
                <w:szCs w:val="20"/>
              </w:rPr>
            </w:pPr>
            <w:r w:rsidRPr="662DDD2F">
              <w:rPr>
                <w:rFonts w:asciiTheme="minorHAnsi" w:eastAsiaTheme="minorEastAsia" w:hAnsiTheme="minorHAnsi" w:cstheme="minorBidi"/>
                <w:sz w:val="20"/>
                <w:szCs w:val="20"/>
              </w:rPr>
              <w:t>31 December </w:t>
            </w:r>
          </w:p>
        </w:tc>
        <w:tc>
          <w:tcPr>
            <w:tcW w:w="1094" w:type="dxa"/>
            <w:tcBorders>
              <w:left w:val="nil"/>
              <w:right w:val="nil"/>
            </w:tcBorders>
          </w:tcPr>
          <w:p w14:paraId="5E22A9B1" w14:textId="77777777" w:rsidR="00C31E4A" w:rsidRPr="003A5200" w:rsidRDefault="00C31E4A">
            <w:pPr>
              <w:jc w:val="right"/>
              <w:rPr>
                <w:rFonts w:asciiTheme="minorHAnsi" w:eastAsiaTheme="minorEastAsia" w:hAnsiTheme="minorHAnsi" w:cstheme="minorBidi"/>
                <w:sz w:val="20"/>
                <w:szCs w:val="20"/>
              </w:rPr>
            </w:pPr>
            <w:r w:rsidRPr="662DDD2F">
              <w:rPr>
                <w:rFonts w:asciiTheme="minorHAnsi" w:eastAsiaTheme="minorEastAsia" w:hAnsiTheme="minorHAnsi" w:cstheme="minorBidi"/>
                <w:sz w:val="20"/>
                <w:szCs w:val="20"/>
              </w:rPr>
              <w:t>30 June</w:t>
            </w:r>
          </w:p>
        </w:tc>
        <w:tc>
          <w:tcPr>
            <w:tcW w:w="1094" w:type="dxa"/>
            <w:tcBorders>
              <w:left w:val="nil"/>
              <w:right w:val="nil"/>
            </w:tcBorders>
            <w:shd w:val="clear" w:color="auto" w:fill="F2F2F2" w:themeFill="background1" w:themeFillShade="F2"/>
          </w:tcPr>
          <w:p w14:paraId="72D4D565" w14:textId="77777777" w:rsidR="00C31E4A" w:rsidRPr="00673F0D" w:rsidRDefault="00C31E4A">
            <w:pPr>
              <w:jc w:val="right"/>
              <w:rPr>
                <w:rFonts w:asciiTheme="minorHAnsi" w:eastAsiaTheme="minorEastAsia" w:hAnsiTheme="minorHAnsi" w:cstheme="minorBidi"/>
                <w:b/>
                <w:sz w:val="20"/>
                <w:szCs w:val="20"/>
              </w:rPr>
            </w:pPr>
            <w:r w:rsidRPr="662DDD2F">
              <w:rPr>
                <w:rFonts w:asciiTheme="minorHAnsi" w:eastAsiaTheme="minorEastAsia" w:hAnsiTheme="minorHAnsi" w:cstheme="minorBidi"/>
                <w:b/>
                <w:sz w:val="20"/>
                <w:szCs w:val="20"/>
              </w:rPr>
              <w:t>30 June </w:t>
            </w:r>
          </w:p>
        </w:tc>
        <w:tc>
          <w:tcPr>
            <w:tcW w:w="1266" w:type="dxa"/>
            <w:tcBorders>
              <w:left w:val="nil"/>
              <w:right w:val="nil"/>
            </w:tcBorders>
          </w:tcPr>
          <w:p w14:paraId="6A0B8BAF" w14:textId="77777777" w:rsidR="00C31E4A" w:rsidRPr="003A5200" w:rsidRDefault="00C31E4A">
            <w:pPr>
              <w:ind w:left="-108"/>
              <w:jc w:val="right"/>
              <w:rPr>
                <w:rFonts w:asciiTheme="minorHAnsi" w:eastAsiaTheme="minorEastAsia" w:hAnsiTheme="minorHAnsi" w:cstheme="minorBidi"/>
                <w:sz w:val="20"/>
                <w:szCs w:val="20"/>
              </w:rPr>
            </w:pPr>
            <w:r w:rsidRPr="662DDD2F">
              <w:rPr>
                <w:rFonts w:asciiTheme="minorHAnsi" w:eastAsiaTheme="minorEastAsia" w:hAnsiTheme="minorHAnsi" w:cstheme="minorBidi"/>
                <w:sz w:val="20"/>
                <w:szCs w:val="20"/>
              </w:rPr>
              <w:t>31 December </w:t>
            </w:r>
          </w:p>
        </w:tc>
        <w:tc>
          <w:tcPr>
            <w:tcW w:w="1148" w:type="dxa"/>
            <w:tcBorders>
              <w:left w:val="nil"/>
              <w:right w:val="nil"/>
            </w:tcBorders>
          </w:tcPr>
          <w:p w14:paraId="57FAAC7D" w14:textId="77777777" w:rsidR="00C31E4A" w:rsidRPr="003A5200" w:rsidRDefault="00C31E4A">
            <w:pPr>
              <w:jc w:val="right"/>
              <w:rPr>
                <w:rFonts w:asciiTheme="minorHAnsi" w:eastAsiaTheme="minorEastAsia" w:hAnsiTheme="minorHAnsi" w:cstheme="minorBidi"/>
                <w:sz w:val="20"/>
                <w:szCs w:val="20"/>
              </w:rPr>
            </w:pPr>
            <w:r w:rsidRPr="662DDD2F">
              <w:rPr>
                <w:rFonts w:asciiTheme="minorHAnsi" w:eastAsiaTheme="minorEastAsia" w:hAnsiTheme="minorHAnsi" w:cstheme="minorBidi"/>
                <w:sz w:val="20"/>
                <w:szCs w:val="20"/>
              </w:rPr>
              <w:t>30 June </w:t>
            </w:r>
          </w:p>
        </w:tc>
      </w:tr>
      <w:tr w:rsidR="00C31E4A" w:rsidRPr="00306AF1" w14:paraId="7A5C7B26" w14:textId="77777777" w:rsidTr="00673F0D">
        <w:tc>
          <w:tcPr>
            <w:tcW w:w="2890" w:type="dxa"/>
          </w:tcPr>
          <w:p w14:paraId="1E77B60E" w14:textId="77777777" w:rsidR="00C31E4A" w:rsidRPr="00306AF1" w:rsidRDefault="00C31E4A">
            <w:pPr>
              <w:rPr>
                <w:rFonts w:asciiTheme="minorHAnsi" w:eastAsiaTheme="minorEastAsia" w:hAnsiTheme="minorHAnsi" w:cstheme="minorBidi"/>
                <w:sz w:val="20"/>
                <w:szCs w:val="20"/>
              </w:rPr>
            </w:pPr>
          </w:p>
        </w:tc>
        <w:tc>
          <w:tcPr>
            <w:tcW w:w="1094" w:type="dxa"/>
            <w:tcBorders>
              <w:bottom w:val="single" w:sz="4" w:space="0" w:color="auto"/>
            </w:tcBorders>
            <w:shd w:val="clear" w:color="auto" w:fill="F2F2F2" w:themeFill="background1" w:themeFillShade="F2"/>
          </w:tcPr>
          <w:p w14:paraId="718FEE3B" w14:textId="19EECF03" w:rsidR="00C31E4A" w:rsidRPr="00673F0D" w:rsidRDefault="00C31E4A">
            <w:pPr>
              <w:jc w:val="right"/>
              <w:rPr>
                <w:rFonts w:asciiTheme="minorHAnsi" w:eastAsiaTheme="minorEastAsia" w:hAnsiTheme="minorHAnsi" w:cstheme="minorBidi"/>
                <w:b/>
                <w:sz w:val="20"/>
                <w:szCs w:val="20"/>
              </w:rPr>
            </w:pPr>
            <w:r w:rsidRPr="662DDD2F">
              <w:rPr>
                <w:rFonts w:asciiTheme="minorHAnsi" w:eastAsiaTheme="minorEastAsia" w:hAnsiTheme="minorHAnsi" w:cstheme="minorBidi"/>
                <w:b/>
                <w:sz w:val="20"/>
                <w:szCs w:val="20"/>
              </w:rPr>
              <w:t>202</w:t>
            </w:r>
            <w:r w:rsidR="002666FE" w:rsidRPr="662DDD2F">
              <w:rPr>
                <w:rFonts w:asciiTheme="minorHAnsi" w:eastAsiaTheme="minorEastAsia" w:hAnsiTheme="minorHAnsi" w:cstheme="minorBidi"/>
                <w:b/>
                <w:sz w:val="20"/>
                <w:szCs w:val="20"/>
              </w:rPr>
              <w:t>4</w:t>
            </w:r>
            <w:r w:rsidRPr="662DDD2F">
              <w:rPr>
                <w:rFonts w:asciiTheme="minorHAnsi" w:eastAsiaTheme="minorEastAsia" w:hAnsiTheme="minorHAnsi" w:cstheme="minorBidi"/>
                <w:b/>
                <w:sz w:val="20"/>
                <w:szCs w:val="20"/>
              </w:rPr>
              <w:t> </w:t>
            </w:r>
          </w:p>
          <w:p w14:paraId="22B1768E" w14:textId="77777777" w:rsidR="0091213C" w:rsidRPr="00673F0D" w:rsidRDefault="0091213C">
            <w:pPr>
              <w:jc w:val="right"/>
              <w:rPr>
                <w:rFonts w:asciiTheme="minorHAnsi" w:eastAsiaTheme="minorEastAsia" w:hAnsiTheme="minorHAnsi" w:cstheme="minorBidi"/>
                <w:b/>
                <w:sz w:val="20"/>
                <w:szCs w:val="20"/>
              </w:rPr>
            </w:pPr>
          </w:p>
          <w:p w14:paraId="39B341A6" w14:textId="365980DD" w:rsidR="00C31E4A" w:rsidRPr="00673F0D" w:rsidRDefault="00C31E4A">
            <w:pPr>
              <w:jc w:val="right"/>
              <w:rPr>
                <w:rFonts w:asciiTheme="minorHAnsi" w:eastAsiaTheme="minorEastAsia" w:hAnsiTheme="minorHAnsi" w:cstheme="minorBidi"/>
                <w:b/>
                <w:sz w:val="20"/>
                <w:szCs w:val="20"/>
              </w:rPr>
            </w:pPr>
            <w:r w:rsidRPr="662DDD2F">
              <w:rPr>
                <w:rFonts w:asciiTheme="minorHAnsi" w:eastAsiaTheme="minorEastAsia" w:hAnsiTheme="minorHAnsi" w:cstheme="minorBidi"/>
                <w:b/>
                <w:sz w:val="20"/>
                <w:szCs w:val="20"/>
              </w:rPr>
              <w:t>£m </w:t>
            </w:r>
          </w:p>
        </w:tc>
        <w:tc>
          <w:tcPr>
            <w:tcW w:w="1337" w:type="dxa"/>
            <w:tcBorders>
              <w:left w:val="nil"/>
              <w:bottom w:val="single" w:sz="4" w:space="0" w:color="auto"/>
              <w:right w:val="nil"/>
            </w:tcBorders>
          </w:tcPr>
          <w:p w14:paraId="2CEA4CA8" w14:textId="33626878" w:rsidR="00C31E4A" w:rsidRPr="003A5200" w:rsidRDefault="00C31E4A">
            <w:pPr>
              <w:ind w:left="-108"/>
              <w:jc w:val="right"/>
              <w:rPr>
                <w:rFonts w:asciiTheme="minorHAnsi" w:eastAsiaTheme="minorEastAsia" w:hAnsiTheme="minorHAnsi" w:cstheme="minorBidi"/>
                <w:sz w:val="20"/>
                <w:szCs w:val="20"/>
              </w:rPr>
            </w:pPr>
            <w:r w:rsidRPr="662DDD2F">
              <w:rPr>
                <w:rFonts w:asciiTheme="minorHAnsi" w:eastAsiaTheme="minorEastAsia" w:hAnsiTheme="minorHAnsi" w:cstheme="minorBidi"/>
                <w:sz w:val="20"/>
                <w:szCs w:val="20"/>
              </w:rPr>
              <w:t>202</w:t>
            </w:r>
            <w:r w:rsidR="002666FE" w:rsidRPr="662DDD2F">
              <w:rPr>
                <w:rFonts w:asciiTheme="minorHAnsi" w:eastAsiaTheme="minorEastAsia" w:hAnsiTheme="minorHAnsi" w:cstheme="minorBidi"/>
                <w:sz w:val="20"/>
                <w:szCs w:val="20"/>
              </w:rPr>
              <w:t>3</w:t>
            </w:r>
          </w:p>
          <w:p w14:paraId="6CB7C5B6" w14:textId="0B1E2D19" w:rsidR="00A00494" w:rsidRPr="003A5200" w:rsidRDefault="00A00494">
            <w:pPr>
              <w:ind w:left="-108"/>
              <w:jc w:val="right"/>
              <w:rPr>
                <w:rFonts w:asciiTheme="minorHAnsi" w:eastAsiaTheme="minorEastAsia" w:hAnsiTheme="minorHAnsi" w:cstheme="minorBidi"/>
                <w:sz w:val="20"/>
                <w:szCs w:val="20"/>
              </w:rPr>
            </w:pPr>
            <w:r w:rsidRPr="662DDD2F">
              <w:rPr>
                <w:rFonts w:asciiTheme="minorHAnsi" w:eastAsiaTheme="minorEastAsia" w:hAnsiTheme="minorHAnsi" w:cstheme="minorBidi"/>
                <w:sz w:val="20"/>
                <w:szCs w:val="20"/>
              </w:rPr>
              <w:t>(restated)</w:t>
            </w:r>
            <w:r w:rsidR="002E0EF9" w:rsidRPr="002E0EF9">
              <w:rPr>
                <w:rFonts w:asciiTheme="minorHAnsi" w:eastAsiaTheme="minorEastAsia" w:hAnsiTheme="minorHAnsi" w:cstheme="minorBidi"/>
                <w:sz w:val="20"/>
                <w:szCs w:val="20"/>
                <w:vertAlign w:val="superscript"/>
              </w:rPr>
              <w:t>1</w:t>
            </w:r>
          </w:p>
          <w:p w14:paraId="338B8A38" w14:textId="77777777" w:rsidR="00C31E4A" w:rsidRPr="003A5200" w:rsidRDefault="00C31E4A">
            <w:pPr>
              <w:jc w:val="right"/>
              <w:rPr>
                <w:rFonts w:asciiTheme="minorHAnsi" w:eastAsiaTheme="minorEastAsia" w:hAnsiTheme="minorHAnsi" w:cstheme="minorBidi"/>
                <w:sz w:val="20"/>
                <w:szCs w:val="20"/>
              </w:rPr>
            </w:pPr>
            <w:r w:rsidRPr="662DDD2F">
              <w:rPr>
                <w:rFonts w:asciiTheme="minorHAnsi" w:eastAsiaTheme="minorEastAsia" w:hAnsiTheme="minorHAnsi" w:cstheme="minorBidi"/>
                <w:sz w:val="20"/>
                <w:szCs w:val="20"/>
              </w:rPr>
              <w:t>£m </w:t>
            </w:r>
          </w:p>
        </w:tc>
        <w:tc>
          <w:tcPr>
            <w:tcW w:w="1094" w:type="dxa"/>
            <w:tcBorders>
              <w:left w:val="nil"/>
              <w:bottom w:val="single" w:sz="4" w:space="0" w:color="auto"/>
              <w:right w:val="nil"/>
            </w:tcBorders>
          </w:tcPr>
          <w:p w14:paraId="0B42613C" w14:textId="0E41D0C9" w:rsidR="00C31E4A" w:rsidRPr="003A5200" w:rsidRDefault="00C31E4A">
            <w:pPr>
              <w:jc w:val="right"/>
              <w:rPr>
                <w:rFonts w:asciiTheme="minorHAnsi" w:eastAsiaTheme="minorEastAsia" w:hAnsiTheme="minorHAnsi" w:cstheme="minorBidi"/>
                <w:sz w:val="20"/>
                <w:szCs w:val="20"/>
              </w:rPr>
            </w:pPr>
            <w:r w:rsidRPr="662DDD2F">
              <w:rPr>
                <w:rFonts w:asciiTheme="minorHAnsi" w:eastAsiaTheme="minorEastAsia" w:hAnsiTheme="minorHAnsi" w:cstheme="minorBidi"/>
                <w:sz w:val="20"/>
                <w:szCs w:val="20"/>
              </w:rPr>
              <w:t>202</w:t>
            </w:r>
            <w:r w:rsidR="002666FE" w:rsidRPr="662DDD2F">
              <w:rPr>
                <w:rFonts w:asciiTheme="minorHAnsi" w:eastAsiaTheme="minorEastAsia" w:hAnsiTheme="minorHAnsi" w:cstheme="minorBidi"/>
                <w:sz w:val="20"/>
                <w:szCs w:val="20"/>
              </w:rPr>
              <w:t>3</w:t>
            </w:r>
            <w:r w:rsidR="002E0EF9">
              <w:rPr>
                <w:rFonts w:asciiTheme="minorHAnsi" w:eastAsiaTheme="minorEastAsia" w:hAnsiTheme="minorHAnsi" w:cstheme="minorBidi"/>
                <w:sz w:val="20"/>
                <w:szCs w:val="20"/>
              </w:rPr>
              <w:t xml:space="preserve"> </w:t>
            </w:r>
            <w:r w:rsidR="00F53C6E">
              <w:rPr>
                <w:rFonts w:asciiTheme="minorHAnsi" w:eastAsiaTheme="minorEastAsia" w:hAnsiTheme="minorHAnsi" w:cstheme="minorBidi"/>
                <w:sz w:val="20"/>
                <w:szCs w:val="20"/>
              </w:rPr>
              <w:t>(restated)</w:t>
            </w:r>
            <w:r w:rsidR="00F53C6E" w:rsidRPr="00F53C6E">
              <w:rPr>
                <w:rFonts w:asciiTheme="minorHAnsi" w:eastAsiaTheme="minorEastAsia" w:hAnsiTheme="minorHAnsi" w:cstheme="minorBidi"/>
                <w:sz w:val="20"/>
                <w:szCs w:val="20"/>
                <w:vertAlign w:val="superscript"/>
              </w:rPr>
              <w:t>1</w:t>
            </w:r>
          </w:p>
          <w:p w14:paraId="0C98FAF0" w14:textId="77777777" w:rsidR="00C31E4A" w:rsidRPr="003A5200" w:rsidRDefault="00C31E4A">
            <w:pPr>
              <w:jc w:val="right"/>
              <w:rPr>
                <w:rFonts w:asciiTheme="minorHAnsi" w:eastAsiaTheme="minorEastAsia" w:hAnsiTheme="minorHAnsi" w:cstheme="minorBidi"/>
                <w:sz w:val="20"/>
                <w:szCs w:val="20"/>
              </w:rPr>
            </w:pPr>
            <w:r w:rsidRPr="662DDD2F">
              <w:rPr>
                <w:rFonts w:asciiTheme="minorHAnsi" w:eastAsiaTheme="minorEastAsia" w:hAnsiTheme="minorHAnsi" w:cstheme="minorBidi"/>
                <w:sz w:val="20"/>
                <w:szCs w:val="20"/>
              </w:rPr>
              <w:t xml:space="preserve"> £m </w:t>
            </w:r>
          </w:p>
        </w:tc>
        <w:tc>
          <w:tcPr>
            <w:tcW w:w="1094" w:type="dxa"/>
            <w:tcBorders>
              <w:left w:val="nil"/>
              <w:bottom w:val="single" w:sz="4" w:space="0" w:color="auto"/>
              <w:right w:val="nil"/>
            </w:tcBorders>
            <w:shd w:val="clear" w:color="auto" w:fill="F2F2F2" w:themeFill="background1" w:themeFillShade="F2"/>
          </w:tcPr>
          <w:p w14:paraId="63DF8F3E" w14:textId="196D91F0" w:rsidR="00C31E4A" w:rsidRPr="00673F0D" w:rsidRDefault="00C31E4A">
            <w:pPr>
              <w:jc w:val="right"/>
              <w:rPr>
                <w:rFonts w:asciiTheme="minorHAnsi" w:eastAsiaTheme="minorEastAsia" w:hAnsiTheme="minorHAnsi" w:cstheme="minorBidi"/>
                <w:b/>
                <w:sz w:val="20"/>
                <w:szCs w:val="20"/>
              </w:rPr>
            </w:pPr>
            <w:r w:rsidRPr="662DDD2F">
              <w:rPr>
                <w:rFonts w:asciiTheme="minorHAnsi" w:eastAsiaTheme="minorEastAsia" w:hAnsiTheme="minorHAnsi" w:cstheme="minorBidi"/>
                <w:b/>
                <w:sz w:val="20"/>
                <w:szCs w:val="20"/>
              </w:rPr>
              <w:t>202</w:t>
            </w:r>
            <w:r w:rsidR="002666FE" w:rsidRPr="662DDD2F">
              <w:rPr>
                <w:rFonts w:asciiTheme="minorHAnsi" w:eastAsiaTheme="minorEastAsia" w:hAnsiTheme="minorHAnsi" w:cstheme="minorBidi"/>
                <w:b/>
                <w:sz w:val="20"/>
                <w:szCs w:val="20"/>
              </w:rPr>
              <w:t>4</w:t>
            </w:r>
          </w:p>
          <w:p w14:paraId="57311383" w14:textId="77777777" w:rsidR="0091213C" w:rsidRPr="00673F0D" w:rsidRDefault="0091213C">
            <w:pPr>
              <w:ind w:left="-108"/>
              <w:jc w:val="right"/>
              <w:rPr>
                <w:rFonts w:asciiTheme="minorHAnsi" w:eastAsiaTheme="minorEastAsia" w:hAnsiTheme="minorHAnsi" w:cstheme="minorBidi"/>
                <w:b/>
                <w:sz w:val="20"/>
                <w:szCs w:val="20"/>
              </w:rPr>
            </w:pPr>
          </w:p>
          <w:p w14:paraId="1287375C" w14:textId="7C9ABC27" w:rsidR="00C31E4A" w:rsidRPr="00673F0D" w:rsidRDefault="00C31E4A">
            <w:pPr>
              <w:ind w:left="-108"/>
              <w:jc w:val="right"/>
              <w:rPr>
                <w:rFonts w:asciiTheme="minorHAnsi" w:eastAsiaTheme="minorEastAsia" w:hAnsiTheme="minorHAnsi" w:cstheme="minorBidi"/>
                <w:b/>
                <w:sz w:val="20"/>
                <w:szCs w:val="20"/>
              </w:rPr>
            </w:pPr>
            <w:r w:rsidRPr="662DDD2F">
              <w:rPr>
                <w:rFonts w:asciiTheme="minorHAnsi" w:eastAsiaTheme="minorEastAsia" w:hAnsiTheme="minorHAnsi" w:cstheme="minorBidi"/>
                <w:b/>
                <w:sz w:val="20"/>
                <w:szCs w:val="20"/>
              </w:rPr>
              <w:t>£m </w:t>
            </w:r>
          </w:p>
        </w:tc>
        <w:tc>
          <w:tcPr>
            <w:tcW w:w="1266" w:type="dxa"/>
            <w:tcBorders>
              <w:left w:val="nil"/>
              <w:bottom w:val="single" w:sz="4" w:space="0" w:color="auto"/>
              <w:right w:val="nil"/>
            </w:tcBorders>
          </w:tcPr>
          <w:p w14:paraId="6863853C" w14:textId="40183B70" w:rsidR="00C31E4A" w:rsidRPr="003A5200" w:rsidRDefault="00C31E4A">
            <w:pPr>
              <w:ind w:left="-108"/>
              <w:jc w:val="right"/>
              <w:rPr>
                <w:rFonts w:asciiTheme="minorHAnsi" w:eastAsiaTheme="minorEastAsia" w:hAnsiTheme="minorHAnsi" w:cstheme="minorBidi"/>
                <w:sz w:val="20"/>
                <w:szCs w:val="20"/>
              </w:rPr>
            </w:pPr>
            <w:r w:rsidRPr="662DDD2F">
              <w:rPr>
                <w:rFonts w:asciiTheme="minorHAnsi" w:eastAsiaTheme="minorEastAsia" w:hAnsiTheme="minorHAnsi" w:cstheme="minorBidi"/>
                <w:sz w:val="20"/>
                <w:szCs w:val="20"/>
              </w:rPr>
              <w:t>202</w:t>
            </w:r>
            <w:r w:rsidR="002666FE" w:rsidRPr="662DDD2F">
              <w:rPr>
                <w:rFonts w:asciiTheme="minorHAnsi" w:eastAsiaTheme="minorEastAsia" w:hAnsiTheme="minorHAnsi" w:cstheme="minorBidi"/>
                <w:sz w:val="20"/>
                <w:szCs w:val="20"/>
              </w:rPr>
              <w:t>3</w:t>
            </w:r>
            <w:r w:rsidRPr="662DDD2F">
              <w:rPr>
                <w:rFonts w:asciiTheme="minorHAnsi" w:eastAsiaTheme="minorEastAsia" w:hAnsiTheme="minorHAnsi" w:cstheme="minorBidi"/>
                <w:sz w:val="20"/>
                <w:szCs w:val="20"/>
              </w:rPr>
              <w:t> </w:t>
            </w:r>
          </w:p>
          <w:p w14:paraId="74DD317F" w14:textId="77777777" w:rsidR="0091213C" w:rsidRPr="003A5200" w:rsidRDefault="0091213C">
            <w:pPr>
              <w:jc w:val="right"/>
              <w:rPr>
                <w:rFonts w:asciiTheme="minorHAnsi" w:eastAsiaTheme="minorEastAsia" w:hAnsiTheme="minorHAnsi" w:cstheme="minorBidi"/>
                <w:sz w:val="20"/>
                <w:szCs w:val="20"/>
              </w:rPr>
            </w:pPr>
          </w:p>
          <w:p w14:paraId="4CFB2D35" w14:textId="6B7B50F2" w:rsidR="00C31E4A" w:rsidRPr="003A5200" w:rsidRDefault="00C31E4A">
            <w:pPr>
              <w:jc w:val="right"/>
              <w:rPr>
                <w:rFonts w:asciiTheme="minorHAnsi" w:eastAsiaTheme="minorEastAsia" w:hAnsiTheme="minorHAnsi" w:cstheme="minorBidi"/>
                <w:sz w:val="20"/>
                <w:szCs w:val="20"/>
              </w:rPr>
            </w:pPr>
            <w:r w:rsidRPr="662DDD2F">
              <w:rPr>
                <w:rFonts w:asciiTheme="minorHAnsi" w:eastAsiaTheme="minorEastAsia" w:hAnsiTheme="minorHAnsi" w:cstheme="minorBidi"/>
                <w:sz w:val="20"/>
                <w:szCs w:val="20"/>
              </w:rPr>
              <w:t>£m </w:t>
            </w:r>
          </w:p>
        </w:tc>
        <w:tc>
          <w:tcPr>
            <w:tcW w:w="1148" w:type="dxa"/>
            <w:tcBorders>
              <w:left w:val="nil"/>
              <w:bottom w:val="single" w:sz="4" w:space="0" w:color="auto"/>
              <w:right w:val="nil"/>
            </w:tcBorders>
          </w:tcPr>
          <w:p w14:paraId="5B021EFF" w14:textId="15B46329" w:rsidR="00C31E4A" w:rsidRPr="003A5200" w:rsidRDefault="00C31E4A">
            <w:pPr>
              <w:jc w:val="right"/>
              <w:rPr>
                <w:rFonts w:asciiTheme="minorHAnsi" w:eastAsiaTheme="minorEastAsia" w:hAnsiTheme="minorHAnsi" w:cstheme="minorBidi"/>
                <w:sz w:val="20"/>
                <w:szCs w:val="20"/>
              </w:rPr>
            </w:pPr>
            <w:r w:rsidRPr="662DDD2F">
              <w:rPr>
                <w:rFonts w:asciiTheme="minorHAnsi" w:eastAsiaTheme="minorEastAsia" w:hAnsiTheme="minorHAnsi" w:cstheme="minorBidi"/>
                <w:sz w:val="20"/>
                <w:szCs w:val="20"/>
              </w:rPr>
              <w:t>202</w:t>
            </w:r>
            <w:r w:rsidR="002666FE" w:rsidRPr="662DDD2F">
              <w:rPr>
                <w:rFonts w:asciiTheme="minorHAnsi" w:eastAsiaTheme="minorEastAsia" w:hAnsiTheme="minorHAnsi" w:cstheme="minorBidi"/>
                <w:sz w:val="20"/>
                <w:szCs w:val="20"/>
              </w:rPr>
              <w:t>3</w:t>
            </w:r>
            <w:r w:rsidRPr="662DDD2F">
              <w:rPr>
                <w:rFonts w:asciiTheme="minorHAnsi" w:eastAsiaTheme="minorEastAsia" w:hAnsiTheme="minorHAnsi" w:cstheme="minorBidi"/>
                <w:sz w:val="20"/>
                <w:szCs w:val="20"/>
              </w:rPr>
              <w:t> </w:t>
            </w:r>
          </w:p>
          <w:p w14:paraId="0F7621F7" w14:textId="77777777" w:rsidR="0091213C" w:rsidRPr="003A5200" w:rsidRDefault="0091213C">
            <w:pPr>
              <w:ind w:left="-108"/>
              <w:jc w:val="right"/>
              <w:rPr>
                <w:rFonts w:asciiTheme="minorHAnsi" w:eastAsiaTheme="minorEastAsia" w:hAnsiTheme="minorHAnsi" w:cstheme="minorBidi"/>
                <w:sz w:val="20"/>
                <w:szCs w:val="20"/>
              </w:rPr>
            </w:pPr>
          </w:p>
          <w:p w14:paraId="7B6C072E" w14:textId="406C228C" w:rsidR="00C31E4A" w:rsidRPr="003A5200" w:rsidRDefault="00C31E4A">
            <w:pPr>
              <w:ind w:left="-108"/>
              <w:jc w:val="right"/>
              <w:rPr>
                <w:rFonts w:asciiTheme="minorHAnsi" w:eastAsiaTheme="minorEastAsia" w:hAnsiTheme="minorHAnsi" w:cstheme="minorBidi"/>
                <w:sz w:val="20"/>
                <w:szCs w:val="20"/>
              </w:rPr>
            </w:pPr>
            <w:r w:rsidRPr="662DDD2F">
              <w:rPr>
                <w:rFonts w:asciiTheme="minorHAnsi" w:eastAsiaTheme="minorEastAsia" w:hAnsiTheme="minorHAnsi" w:cstheme="minorBidi"/>
                <w:sz w:val="20"/>
                <w:szCs w:val="20"/>
              </w:rPr>
              <w:t>£m </w:t>
            </w:r>
          </w:p>
        </w:tc>
      </w:tr>
      <w:tr w:rsidR="00C31E4A" w:rsidRPr="00306AF1" w14:paraId="08175CFF" w14:textId="77777777" w:rsidTr="00673F0D">
        <w:tc>
          <w:tcPr>
            <w:tcW w:w="2890" w:type="dxa"/>
            <w:vAlign w:val="bottom"/>
          </w:tcPr>
          <w:p w14:paraId="48ED625B" w14:textId="77777777" w:rsidR="00C31E4A" w:rsidRPr="00306AF1" w:rsidRDefault="00C31E4A">
            <w:pPr>
              <w:rPr>
                <w:rFonts w:asciiTheme="minorHAnsi" w:eastAsiaTheme="minorEastAsia" w:hAnsiTheme="minorHAnsi" w:cstheme="minorBidi"/>
                <w:b/>
                <w:sz w:val="20"/>
                <w:szCs w:val="20"/>
              </w:rPr>
            </w:pPr>
            <w:r w:rsidRPr="662DDD2F">
              <w:rPr>
                <w:rFonts w:asciiTheme="minorHAnsi" w:eastAsiaTheme="minorEastAsia" w:hAnsiTheme="minorHAnsi" w:cstheme="minorBidi"/>
                <w:b/>
                <w:sz w:val="20"/>
                <w:szCs w:val="20"/>
              </w:rPr>
              <w:t>Financial assets</w:t>
            </w:r>
          </w:p>
        </w:tc>
        <w:tc>
          <w:tcPr>
            <w:tcW w:w="1094" w:type="dxa"/>
            <w:tcBorders>
              <w:top w:val="single" w:sz="4" w:space="0" w:color="auto"/>
            </w:tcBorders>
            <w:shd w:val="clear" w:color="auto" w:fill="F2F2F2" w:themeFill="background1" w:themeFillShade="F2"/>
          </w:tcPr>
          <w:p w14:paraId="55E31925" w14:textId="77777777" w:rsidR="00C31E4A" w:rsidRPr="00673F0D" w:rsidRDefault="00C31E4A">
            <w:pPr>
              <w:jc w:val="right"/>
              <w:rPr>
                <w:rFonts w:asciiTheme="minorHAnsi" w:eastAsiaTheme="minorEastAsia" w:hAnsiTheme="minorHAnsi" w:cstheme="minorBidi"/>
                <w:b/>
                <w:sz w:val="20"/>
                <w:szCs w:val="20"/>
                <w:highlight w:val="yellow"/>
              </w:rPr>
            </w:pPr>
          </w:p>
        </w:tc>
        <w:tc>
          <w:tcPr>
            <w:tcW w:w="1337" w:type="dxa"/>
            <w:tcBorders>
              <w:top w:val="single" w:sz="4" w:space="0" w:color="auto"/>
            </w:tcBorders>
          </w:tcPr>
          <w:p w14:paraId="0448835A" w14:textId="77777777" w:rsidR="00C31E4A" w:rsidRPr="009145B0" w:rsidRDefault="00C31E4A">
            <w:pPr>
              <w:jc w:val="right"/>
              <w:rPr>
                <w:rFonts w:asciiTheme="minorHAnsi" w:eastAsiaTheme="minorEastAsia" w:hAnsiTheme="minorHAnsi" w:cstheme="minorBidi"/>
                <w:sz w:val="20"/>
                <w:szCs w:val="20"/>
                <w:highlight w:val="yellow"/>
              </w:rPr>
            </w:pPr>
          </w:p>
        </w:tc>
        <w:tc>
          <w:tcPr>
            <w:tcW w:w="1094" w:type="dxa"/>
            <w:tcBorders>
              <w:top w:val="single" w:sz="4" w:space="0" w:color="auto"/>
            </w:tcBorders>
          </w:tcPr>
          <w:p w14:paraId="6CE3BE2D" w14:textId="77777777" w:rsidR="00C31E4A" w:rsidRPr="009145B0" w:rsidRDefault="00C31E4A">
            <w:pPr>
              <w:jc w:val="right"/>
              <w:rPr>
                <w:rFonts w:asciiTheme="minorHAnsi" w:eastAsiaTheme="minorEastAsia" w:hAnsiTheme="minorHAnsi" w:cstheme="minorBidi"/>
                <w:sz w:val="20"/>
                <w:szCs w:val="20"/>
                <w:highlight w:val="yellow"/>
              </w:rPr>
            </w:pPr>
          </w:p>
        </w:tc>
        <w:tc>
          <w:tcPr>
            <w:tcW w:w="1094" w:type="dxa"/>
            <w:tcBorders>
              <w:top w:val="single" w:sz="4" w:space="0" w:color="auto"/>
            </w:tcBorders>
            <w:shd w:val="clear" w:color="auto" w:fill="F2F2F2" w:themeFill="background1" w:themeFillShade="F2"/>
          </w:tcPr>
          <w:p w14:paraId="7803C42C" w14:textId="77777777" w:rsidR="00C31E4A" w:rsidRPr="00673F0D" w:rsidRDefault="00C31E4A">
            <w:pPr>
              <w:jc w:val="right"/>
              <w:rPr>
                <w:rFonts w:asciiTheme="minorHAnsi" w:eastAsiaTheme="minorEastAsia" w:hAnsiTheme="minorHAnsi" w:cstheme="minorBidi"/>
                <w:b/>
                <w:sz w:val="20"/>
                <w:szCs w:val="20"/>
                <w:highlight w:val="yellow"/>
              </w:rPr>
            </w:pPr>
          </w:p>
        </w:tc>
        <w:tc>
          <w:tcPr>
            <w:tcW w:w="1266" w:type="dxa"/>
            <w:tcBorders>
              <w:top w:val="single" w:sz="4" w:space="0" w:color="auto"/>
            </w:tcBorders>
          </w:tcPr>
          <w:p w14:paraId="4389C7B1" w14:textId="77777777" w:rsidR="00C31E4A" w:rsidRPr="009145B0" w:rsidRDefault="00C31E4A">
            <w:pPr>
              <w:jc w:val="right"/>
              <w:rPr>
                <w:rFonts w:asciiTheme="minorHAnsi" w:eastAsiaTheme="minorEastAsia" w:hAnsiTheme="minorHAnsi" w:cstheme="minorBidi"/>
                <w:sz w:val="20"/>
                <w:szCs w:val="20"/>
                <w:highlight w:val="yellow"/>
              </w:rPr>
            </w:pPr>
          </w:p>
        </w:tc>
        <w:tc>
          <w:tcPr>
            <w:tcW w:w="1148" w:type="dxa"/>
            <w:tcBorders>
              <w:top w:val="single" w:sz="4" w:space="0" w:color="auto"/>
            </w:tcBorders>
          </w:tcPr>
          <w:p w14:paraId="17BEA6F2" w14:textId="77777777" w:rsidR="00C31E4A" w:rsidRPr="009145B0" w:rsidRDefault="00C31E4A">
            <w:pPr>
              <w:jc w:val="right"/>
              <w:rPr>
                <w:rFonts w:asciiTheme="minorHAnsi" w:eastAsiaTheme="minorEastAsia" w:hAnsiTheme="minorHAnsi" w:cstheme="minorBidi"/>
                <w:sz w:val="20"/>
                <w:szCs w:val="20"/>
                <w:highlight w:val="yellow"/>
              </w:rPr>
            </w:pPr>
          </w:p>
        </w:tc>
      </w:tr>
      <w:tr w:rsidR="00C31E4A" w:rsidRPr="004D21F7" w14:paraId="4B92F485" w14:textId="77777777" w:rsidTr="00673F0D">
        <w:trPr>
          <w:trHeight w:val="122"/>
        </w:trPr>
        <w:tc>
          <w:tcPr>
            <w:tcW w:w="2890" w:type="dxa"/>
            <w:vAlign w:val="bottom"/>
          </w:tcPr>
          <w:p w14:paraId="03575644" w14:textId="77777777" w:rsidR="00C31E4A" w:rsidRPr="004D21F7" w:rsidRDefault="00C31E4A">
            <w:pPr>
              <w:rPr>
                <w:rFonts w:asciiTheme="minorHAnsi" w:eastAsiaTheme="minorEastAsia" w:hAnsiTheme="minorHAnsi" w:cstheme="minorBidi"/>
                <w:sz w:val="20"/>
                <w:szCs w:val="20"/>
              </w:rPr>
            </w:pPr>
            <w:r w:rsidRPr="662DDD2F">
              <w:rPr>
                <w:rFonts w:asciiTheme="minorHAnsi" w:eastAsiaTheme="minorEastAsia" w:hAnsiTheme="minorHAnsi" w:cstheme="minorBidi"/>
                <w:sz w:val="20"/>
                <w:szCs w:val="20"/>
              </w:rPr>
              <w:t>Amounts receivable from customers</w:t>
            </w:r>
          </w:p>
        </w:tc>
        <w:tc>
          <w:tcPr>
            <w:tcW w:w="1094" w:type="dxa"/>
            <w:tcBorders>
              <w:bottom w:val="single" w:sz="12" w:space="0" w:color="auto"/>
            </w:tcBorders>
            <w:shd w:val="clear" w:color="auto" w:fill="F2F2F2" w:themeFill="background1" w:themeFillShade="F2"/>
            <w:vAlign w:val="bottom"/>
          </w:tcPr>
          <w:p w14:paraId="489527F3" w14:textId="28060208" w:rsidR="00C31E4A" w:rsidRPr="00673F0D" w:rsidRDefault="00D96E9C">
            <w:pPr>
              <w:jc w:val="right"/>
              <w:rPr>
                <w:rFonts w:asciiTheme="minorHAnsi" w:eastAsiaTheme="minorEastAsia" w:hAnsiTheme="minorHAnsi" w:cstheme="minorBidi"/>
                <w:b/>
                <w:sz w:val="20"/>
                <w:szCs w:val="20"/>
              </w:rPr>
            </w:pPr>
            <w:r w:rsidRPr="662DDD2F">
              <w:rPr>
                <w:rFonts w:asciiTheme="minorHAnsi" w:eastAsiaTheme="minorEastAsia" w:hAnsiTheme="minorHAnsi" w:cstheme="minorBidi"/>
                <w:b/>
                <w:sz w:val="20"/>
                <w:szCs w:val="20"/>
              </w:rPr>
              <w:t>2</w:t>
            </w:r>
            <w:r w:rsidR="00C57D91" w:rsidRPr="662DDD2F">
              <w:rPr>
                <w:rFonts w:asciiTheme="minorHAnsi" w:eastAsiaTheme="minorEastAsia" w:hAnsiTheme="minorHAnsi" w:cstheme="minorBidi"/>
                <w:b/>
                <w:sz w:val="20"/>
                <w:szCs w:val="20"/>
              </w:rPr>
              <w:t>,008.5</w:t>
            </w:r>
          </w:p>
        </w:tc>
        <w:tc>
          <w:tcPr>
            <w:tcW w:w="1337" w:type="dxa"/>
            <w:tcBorders>
              <w:bottom w:val="single" w:sz="12" w:space="0" w:color="auto"/>
            </w:tcBorders>
            <w:vAlign w:val="bottom"/>
          </w:tcPr>
          <w:p w14:paraId="1D2A666D" w14:textId="65764802" w:rsidR="00C31E4A" w:rsidRPr="006D4208" w:rsidRDefault="00D06555">
            <w:pPr>
              <w:jc w:val="right"/>
              <w:rPr>
                <w:rFonts w:asciiTheme="minorHAnsi" w:eastAsiaTheme="minorEastAsia" w:hAnsiTheme="minorHAnsi" w:cstheme="minorBidi"/>
                <w:sz w:val="20"/>
                <w:szCs w:val="20"/>
              </w:rPr>
            </w:pPr>
            <w:r w:rsidRPr="662DDD2F">
              <w:rPr>
                <w:rFonts w:asciiTheme="minorHAnsi" w:eastAsiaTheme="minorEastAsia" w:hAnsiTheme="minorHAnsi" w:cstheme="minorBidi"/>
                <w:sz w:val="20"/>
                <w:szCs w:val="20"/>
              </w:rPr>
              <w:t>2,1</w:t>
            </w:r>
            <w:r w:rsidR="00A00494" w:rsidRPr="662DDD2F">
              <w:rPr>
                <w:rFonts w:asciiTheme="minorHAnsi" w:eastAsiaTheme="minorEastAsia" w:hAnsiTheme="minorHAnsi" w:cstheme="minorBidi"/>
                <w:sz w:val="20"/>
                <w:szCs w:val="20"/>
              </w:rPr>
              <w:t>55.8</w:t>
            </w:r>
            <w:r w:rsidR="00C31E4A" w:rsidRPr="662DDD2F">
              <w:rPr>
                <w:rFonts w:asciiTheme="minorHAnsi" w:eastAsiaTheme="minorEastAsia" w:hAnsiTheme="minorHAnsi" w:cstheme="minorBidi"/>
                <w:sz w:val="20"/>
                <w:szCs w:val="20"/>
              </w:rPr>
              <w:t> </w:t>
            </w:r>
          </w:p>
        </w:tc>
        <w:tc>
          <w:tcPr>
            <w:tcW w:w="1094" w:type="dxa"/>
            <w:tcBorders>
              <w:bottom w:val="single" w:sz="12" w:space="0" w:color="auto"/>
            </w:tcBorders>
            <w:vAlign w:val="bottom"/>
          </w:tcPr>
          <w:p w14:paraId="7EA83292" w14:textId="3BB0D6BE" w:rsidR="00C31E4A" w:rsidRPr="006D4208" w:rsidRDefault="005B518F">
            <w:pPr>
              <w:jc w:val="right"/>
              <w:rPr>
                <w:rFonts w:asciiTheme="minorHAnsi" w:eastAsiaTheme="minorEastAsia" w:hAnsiTheme="minorHAnsi" w:cstheme="minorBidi"/>
                <w:sz w:val="20"/>
                <w:szCs w:val="20"/>
              </w:rPr>
            </w:pPr>
            <w:r w:rsidRPr="662DDD2F">
              <w:rPr>
                <w:rFonts w:asciiTheme="minorHAnsi" w:eastAsiaTheme="minorEastAsia" w:hAnsiTheme="minorHAnsi" w:cstheme="minorBidi"/>
                <w:sz w:val="20"/>
                <w:szCs w:val="20"/>
              </w:rPr>
              <w:t>2,</w:t>
            </w:r>
            <w:r w:rsidR="00DE5762">
              <w:rPr>
                <w:rFonts w:asciiTheme="minorHAnsi" w:eastAsiaTheme="minorEastAsia" w:hAnsiTheme="minorHAnsi" w:cstheme="minorBidi"/>
                <w:sz w:val="20"/>
                <w:szCs w:val="20"/>
              </w:rPr>
              <w:t>096.4</w:t>
            </w:r>
          </w:p>
        </w:tc>
        <w:tc>
          <w:tcPr>
            <w:tcW w:w="1094" w:type="dxa"/>
            <w:tcBorders>
              <w:bottom w:val="single" w:sz="12" w:space="0" w:color="auto"/>
            </w:tcBorders>
            <w:shd w:val="clear" w:color="auto" w:fill="F2F2F2" w:themeFill="background1" w:themeFillShade="F2"/>
            <w:vAlign w:val="bottom"/>
          </w:tcPr>
          <w:p w14:paraId="15A8F61D" w14:textId="3AC910F9" w:rsidR="00C31E4A" w:rsidRPr="00673F0D" w:rsidRDefault="00DC4BC5">
            <w:pPr>
              <w:jc w:val="right"/>
              <w:rPr>
                <w:rFonts w:asciiTheme="minorHAnsi" w:eastAsiaTheme="minorEastAsia" w:hAnsiTheme="minorHAnsi" w:cstheme="minorBidi"/>
                <w:b/>
                <w:sz w:val="20"/>
                <w:szCs w:val="20"/>
                <w:highlight w:val="yellow"/>
              </w:rPr>
            </w:pPr>
            <w:r w:rsidRPr="00DC4BC5">
              <w:rPr>
                <w:rFonts w:asciiTheme="minorHAnsi" w:eastAsiaTheme="minorEastAsia" w:hAnsiTheme="minorHAnsi" w:cstheme="minorBidi"/>
                <w:b/>
                <w:sz w:val="20"/>
                <w:szCs w:val="20"/>
              </w:rPr>
              <w:t>(2,3</w:t>
            </w:r>
            <w:r w:rsidR="00C4327D">
              <w:rPr>
                <w:rFonts w:asciiTheme="minorHAnsi" w:eastAsiaTheme="minorEastAsia" w:hAnsiTheme="minorHAnsi" w:cstheme="minorBidi"/>
                <w:b/>
                <w:sz w:val="20"/>
                <w:szCs w:val="20"/>
              </w:rPr>
              <w:t>3</w:t>
            </w:r>
            <w:r w:rsidR="00522097">
              <w:rPr>
                <w:rFonts w:asciiTheme="minorHAnsi" w:eastAsiaTheme="minorEastAsia" w:hAnsiTheme="minorHAnsi" w:cstheme="minorBidi"/>
                <w:b/>
                <w:sz w:val="20"/>
                <w:szCs w:val="20"/>
              </w:rPr>
              <w:t>2.5</w:t>
            </w:r>
            <w:r w:rsidRPr="00DC4BC5">
              <w:rPr>
                <w:rFonts w:asciiTheme="minorHAnsi" w:eastAsiaTheme="minorEastAsia" w:hAnsiTheme="minorHAnsi" w:cstheme="minorBidi"/>
                <w:b/>
                <w:sz w:val="20"/>
                <w:szCs w:val="20"/>
              </w:rPr>
              <w:t>)</w:t>
            </w:r>
          </w:p>
        </w:tc>
        <w:tc>
          <w:tcPr>
            <w:tcW w:w="1266" w:type="dxa"/>
            <w:tcBorders>
              <w:bottom w:val="single" w:sz="12" w:space="0" w:color="auto"/>
            </w:tcBorders>
            <w:vAlign w:val="bottom"/>
          </w:tcPr>
          <w:p w14:paraId="0DF67FBE" w14:textId="52600729" w:rsidR="00C31E4A" w:rsidRPr="006D4208" w:rsidRDefault="00C31E4A">
            <w:pPr>
              <w:jc w:val="right"/>
              <w:rPr>
                <w:rFonts w:asciiTheme="minorHAnsi" w:eastAsiaTheme="minorEastAsia" w:hAnsiTheme="minorHAnsi" w:cstheme="minorBidi"/>
                <w:sz w:val="20"/>
                <w:szCs w:val="20"/>
              </w:rPr>
            </w:pPr>
            <w:r w:rsidRPr="662DDD2F">
              <w:rPr>
                <w:rFonts w:asciiTheme="minorHAnsi" w:eastAsiaTheme="minorEastAsia" w:hAnsiTheme="minorHAnsi" w:cstheme="minorBidi"/>
                <w:sz w:val="20"/>
                <w:szCs w:val="20"/>
              </w:rPr>
              <w:t>2,</w:t>
            </w:r>
            <w:r w:rsidR="0031716F" w:rsidRPr="662DDD2F">
              <w:rPr>
                <w:rFonts w:asciiTheme="minorHAnsi" w:eastAsiaTheme="minorEastAsia" w:hAnsiTheme="minorHAnsi" w:cstheme="minorBidi"/>
                <w:sz w:val="20"/>
                <w:szCs w:val="20"/>
              </w:rPr>
              <w:t>780.5</w:t>
            </w:r>
            <w:r w:rsidRPr="662DDD2F">
              <w:rPr>
                <w:rFonts w:asciiTheme="minorHAnsi" w:eastAsiaTheme="minorEastAsia" w:hAnsiTheme="minorHAnsi" w:cstheme="minorBidi"/>
                <w:sz w:val="20"/>
                <w:szCs w:val="20"/>
              </w:rPr>
              <w:t> </w:t>
            </w:r>
          </w:p>
        </w:tc>
        <w:tc>
          <w:tcPr>
            <w:tcW w:w="1148" w:type="dxa"/>
            <w:tcBorders>
              <w:bottom w:val="single" w:sz="12" w:space="0" w:color="auto"/>
            </w:tcBorders>
            <w:vAlign w:val="bottom"/>
          </w:tcPr>
          <w:p w14:paraId="448F6142" w14:textId="0294AFD6" w:rsidR="00C31E4A" w:rsidRPr="006D4208" w:rsidRDefault="00C31E4A">
            <w:pPr>
              <w:jc w:val="right"/>
              <w:rPr>
                <w:rFonts w:asciiTheme="minorHAnsi" w:eastAsiaTheme="minorEastAsia" w:hAnsiTheme="minorHAnsi" w:cstheme="minorBidi"/>
                <w:sz w:val="20"/>
                <w:szCs w:val="20"/>
              </w:rPr>
            </w:pPr>
            <w:r w:rsidRPr="662DDD2F">
              <w:rPr>
                <w:rFonts w:asciiTheme="minorHAnsi" w:eastAsiaTheme="minorEastAsia" w:hAnsiTheme="minorHAnsi" w:cstheme="minorBidi"/>
                <w:sz w:val="20"/>
                <w:szCs w:val="20"/>
              </w:rPr>
              <w:t>2,</w:t>
            </w:r>
            <w:r w:rsidR="00AB6B66" w:rsidRPr="662DDD2F">
              <w:rPr>
                <w:rFonts w:asciiTheme="minorHAnsi" w:eastAsiaTheme="minorEastAsia" w:hAnsiTheme="minorHAnsi" w:cstheme="minorBidi"/>
                <w:sz w:val="20"/>
                <w:szCs w:val="20"/>
              </w:rPr>
              <w:t>174.</w:t>
            </w:r>
            <w:r w:rsidR="00C0222E" w:rsidRPr="662DDD2F">
              <w:rPr>
                <w:rFonts w:asciiTheme="minorHAnsi" w:eastAsiaTheme="minorEastAsia" w:hAnsiTheme="minorHAnsi" w:cstheme="minorBidi"/>
                <w:sz w:val="20"/>
                <w:szCs w:val="20"/>
              </w:rPr>
              <w:t>4</w:t>
            </w:r>
          </w:p>
        </w:tc>
      </w:tr>
      <w:tr w:rsidR="00C31E4A" w:rsidRPr="004D21F7" w14:paraId="7C4872D8" w14:textId="77777777" w:rsidTr="00673F0D">
        <w:tc>
          <w:tcPr>
            <w:tcW w:w="2890" w:type="dxa"/>
            <w:vAlign w:val="bottom"/>
          </w:tcPr>
          <w:p w14:paraId="5FBB8076" w14:textId="77777777" w:rsidR="00C31E4A" w:rsidRPr="004D21F7" w:rsidRDefault="00C31E4A">
            <w:pPr>
              <w:rPr>
                <w:rFonts w:asciiTheme="minorHAnsi" w:eastAsiaTheme="minorEastAsia" w:hAnsiTheme="minorHAnsi" w:cstheme="minorBidi"/>
                <w:b/>
                <w:sz w:val="20"/>
                <w:szCs w:val="20"/>
              </w:rPr>
            </w:pPr>
            <w:r w:rsidRPr="662DDD2F">
              <w:rPr>
                <w:rFonts w:asciiTheme="minorHAnsi" w:eastAsiaTheme="minorEastAsia" w:hAnsiTheme="minorHAnsi" w:cstheme="minorBidi"/>
                <w:b/>
                <w:sz w:val="20"/>
                <w:szCs w:val="20"/>
              </w:rPr>
              <w:t>Financial liabilities</w:t>
            </w:r>
          </w:p>
        </w:tc>
        <w:tc>
          <w:tcPr>
            <w:tcW w:w="1094" w:type="dxa"/>
            <w:tcBorders>
              <w:top w:val="single" w:sz="12" w:space="0" w:color="auto"/>
            </w:tcBorders>
            <w:shd w:val="clear" w:color="auto" w:fill="F2F2F2" w:themeFill="background1" w:themeFillShade="F2"/>
            <w:vAlign w:val="bottom"/>
          </w:tcPr>
          <w:p w14:paraId="373C0928" w14:textId="77777777" w:rsidR="00C31E4A" w:rsidRPr="00673F0D" w:rsidRDefault="00C31E4A">
            <w:pPr>
              <w:jc w:val="right"/>
              <w:rPr>
                <w:rFonts w:asciiTheme="minorHAnsi" w:eastAsiaTheme="minorEastAsia" w:hAnsiTheme="minorHAnsi" w:cstheme="minorBidi"/>
                <w:b/>
                <w:sz w:val="20"/>
                <w:szCs w:val="20"/>
              </w:rPr>
            </w:pPr>
          </w:p>
        </w:tc>
        <w:tc>
          <w:tcPr>
            <w:tcW w:w="1337" w:type="dxa"/>
            <w:tcBorders>
              <w:top w:val="single" w:sz="12" w:space="0" w:color="auto"/>
            </w:tcBorders>
            <w:vAlign w:val="bottom"/>
          </w:tcPr>
          <w:p w14:paraId="153818A7" w14:textId="77777777" w:rsidR="00C31E4A" w:rsidRPr="006D4208" w:rsidRDefault="00C31E4A">
            <w:pPr>
              <w:jc w:val="right"/>
              <w:rPr>
                <w:rFonts w:asciiTheme="minorHAnsi" w:eastAsiaTheme="minorEastAsia" w:hAnsiTheme="minorHAnsi" w:cstheme="minorBidi"/>
                <w:sz w:val="20"/>
                <w:szCs w:val="20"/>
              </w:rPr>
            </w:pPr>
          </w:p>
        </w:tc>
        <w:tc>
          <w:tcPr>
            <w:tcW w:w="1094" w:type="dxa"/>
            <w:tcBorders>
              <w:top w:val="single" w:sz="12" w:space="0" w:color="auto"/>
            </w:tcBorders>
            <w:vAlign w:val="bottom"/>
          </w:tcPr>
          <w:p w14:paraId="24167F55" w14:textId="77777777" w:rsidR="00C31E4A" w:rsidRPr="006D4208" w:rsidRDefault="00C31E4A">
            <w:pPr>
              <w:jc w:val="right"/>
              <w:rPr>
                <w:rFonts w:asciiTheme="minorHAnsi" w:eastAsiaTheme="minorEastAsia" w:hAnsiTheme="minorHAnsi" w:cstheme="minorBidi"/>
                <w:sz w:val="20"/>
                <w:szCs w:val="20"/>
              </w:rPr>
            </w:pPr>
          </w:p>
        </w:tc>
        <w:tc>
          <w:tcPr>
            <w:tcW w:w="1094" w:type="dxa"/>
            <w:tcBorders>
              <w:top w:val="single" w:sz="12" w:space="0" w:color="auto"/>
            </w:tcBorders>
            <w:shd w:val="clear" w:color="auto" w:fill="F2F2F2" w:themeFill="background1" w:themeFillShade="F2"/>
            <w:vAlign w:val="bottom"/>
          </w:tcPr>
          <w:p w14:paraId="0E1FB05B" w14:textId="77777777" w:rsidR="00C31E4A" w:rsidRPr="00673F0D" w:rsidRDefault="00C31E4A">
            <w:pPr>
              <w:jc w:val="right"/>
              <w:rPr>
                <w:rFonts w:asciiTheme="minorHAnsi" w:eastAsiaTheme="minorEastAsia" w:hAnsiTheme="minorHAnsi" w:cstheme="minorBidi"/>
                <w:b/>
                <w:sz w:val="20"/>
                <w:szCs w:val="20"/>
                <w:highlight w:val="yellow"/>
              </w:rPr>
            </w:pPr>
          </w:p>
        </w:tc>
        <w:tc>
          <w:tcPr>
            <w:tcW w:w="1266" w:type="dxa"/>
            <w:tcBorders>
              <w:top w:val="single" w:sz="12" w:space="0" w:color="auto"/>
            </w:tcBorders>
            <w:vAlign w:val="bottom"/>
          </w:tcPr>
          <w:p w14:paraId="70BD49AE" w14:textId="77777777" w:rsidR="00C31E4A" w:rsidRPr="006D4208" w:rsidRDefault="00C31E4A">
            <w:pPr>
              <w:jc w:val="right"/>
              <w:rPr>
                <w:rFonts w:asciiTheme="minorHAnsi" w:eastAsiaTheme="minorEastAsia" w:hAnsiTheme="minorHAnsi" w:cstheme="minorBidi"/>
                <w:sz w:val="20"/>
                <w:szCs w:val="20"/>
              </w:rPr>
            </w:pPr>
          </w:p>
        </w:tc>
        <w:tc>
          <w:tcPr>
            <w:tcW w:w="1148" w:type="dxa"/>
            <w:tcBorders>
              <w:top w:val="single" w:sz="12" w:space="0" w:color="auto"/>
            </w:tcBorders>
            <w:vAlign w:val="bottom"/>
          </w:tcPr>
          <w:p w14:paraId="28C08203" w14:textId="77777777" w:rsidR="00C31E4A" w:rsidRPr="006D4208" w:rsidRDefault="00C31E4A">
            <w:pPr>
              <w:jc w:val="right"/>
              <w:rPr>
                <w:rFonts w:asciiTheme="minorHAnsi" w:eastAsiaTheme="minorEastAsia" w:hAnsiTheme="minorHAnsi" w:cstheme="minorBidi"/>
                <w:sz w:val="20"/>
                <w:szCs w:val="20"/>
              </w:rPr>
            </w:pPr>
          </w:p>
        </w:tc>
      </w:tr>
      <w:tr w:rsidR="00C31E4A" w:rsidRPr="004D21F7" w14:paraId="6C09A4F3" w14:textId="77777777" w:rsidTr="00673F0D">
        <w:tc>
          <w:tcPr>
            <w:tcW w:w="2890" w:type="dxa"/>
            <w:vAlign w:val="bottom"/>
          </w:tcPr>
          <w:p w14:paraId="026ACCCC" w14:textId="77777777" w:rsidR="00C31E4A" w:rsidRPr="004D21F7" w:rsidRDefault="00C31E4A">
            <w:pPr>
              <w:rPr>
                <w:rFonts w:asciiTheme="minorHAnsi" w:eastAsiaTheme="minorEastAsia" w:hAnsiTheme="minorHAnsi" w:cstheme="minorBidi"/>
                <w:b/>
                <w:sz w:val="20"/>
                <w:szCs w:val="20"/>
              </w:rPr>
            </w:pPr>
            <w:r w:rsidRPr="662DDD2F">
              <w:rPr>
                <w:rFonts w:asciiTheme="minorHAnsi" w:eastAsiaTheme="minorEastAsia" w:hAnsiTheme="minorHAnsi" w:cstheme="minorBidi"/>
                <w:sz w:val="20"/>
                <w:szCs w:val="20"/>
              </w:rPr>
              <w:t>Retail deposits</w:t>
            </w:r>
          </w:p>
        </w:tc>
        <w:tc>
          <w:tcPr>
            <w:tcW w:w="1094" w:type="dxa"/>
            <w:shd w:val="clear" w:color="auto" w:fill="F2F2F2" w:themeFill="background1" w:themeFillShade="F2"/>
            <w:vAlign w:val="bottom"/>
          </w:tcPr>
          <w:p w14:paraId="563F5931" w14:textId="6CB19A73" w:rsidR="00C31E4A" w:rsidRPr="00673F0D" w:rsidRDefault="00C539AC">
            <w:pPr>
              <w:spacing w:line="259" w:lineRule="auto"/>
              <w:jc w:val="right"/>
              <w:rPr>
                <w:rFonts w:asciiTheme="minorHAnsi" w:eastAsiaTheme="minorEastAsia" w:hAnsiTheme="minorHAnsi" w:cstheme="minorBidi"/>
                <w:b/>
                <w:sz w:val="20"/>
                <w:szCs w:val="20"/>
              </w:rPr>
            </w:pPr>
            <w:r w:rsidRPr="662DDD2F">
              <w:rPr>
                <w:rFonts w:asciiTheme="minorHAnsi" w:eastAsiaTheme="minorEastAsia" w:hAnsiTheme="minorHAnsi" w:cstheme="minorBidi"/>
                <w:b/>
                <w:sz w:val="20"/>
                <w:szCs w:val="20"/>
              </w:rPr>
              <w:t>(</w:t>
            </w:r>
            <w:r w:rsidR="00C57D91" w:rsidRPr="662DDD2F">
              <w:rPr>
                <w:rFonts w:asciiTheme="minorHAnsi" w:eastAsiaTheme="minorEastAsia" w:hAnsiTheme="minorHAnsi" w:cstheme="minorBidi"/>
                <w:b/>
                <w:sz w:val="20"/>
                <w:szCs w:val="20"/>
              </w:rPr>
              <w:t>1,937.5</w:t>
            </w:r>
            <w:r w:rsidRPr="662DDD2F">
              <w:rPr>
                <w:rFonts w:asciiTheme="minorHAnsi" w:eastAsiaTheme="minorEastAsia" w:hAnsiTheme="minorHAnsi" w:cstheme="minorBidi"/>
                <w:b/>
                <w:sz w:val="20"/>
                <w:szCs w:val="20"/>
              </w:rPr>
              <w:t>)</w:t>
            </w:r>
          </w:p>
        </w:tc>
        <w:tc>
          <w:tcPr>
            <w:tcW w:w="1337" w:type="dxa"/>
            <w:vAlign w:val="bottom"/>
          </w:tcPr>
          <w:p w14:paraId="574D97A6" w14:textId="1E8388E2" w:rsidR="00C31E4A" w:rsidRPr="006D4208" w:rsidRDefault="00C31E4A">
            <w:pPr>
              <w:jc w:val="right"/>
              <w:rPr>
                <w:rFonts w:asciiTheme="minorHAnsi" w:eastAsiaTheme="minorEastAsia" w:hAnsiTheme="minorHAnsi" w:cstheme="minorBidi"/>
                <w:sz w:val="20"/>
                <w:szCs w:val="20"/>
              </w:rPr>
            </w:pPr>
            <w:r w:rsidRPr="662DDD2F">
              <w:rPr>
                <w:rFonts w:asciiTheme="minorHAnsi" w:eastAsiaTheme="minorEastAsia" w:hAnsiTheme="minorHAnsi" w:cstheme="minorBidi"/>
                <w:sz w:val="20"/>
                <w:szCs w:val="20"/>
              </w:rPr>
              <w:t>(1,</w:t>
            </w:r>
            <w:r w:rsidR="0033545F" w:rsidRPr="662DDD2F">
              <w:rPr>
                <w:rFonts w:asciiTheme="minorHAnsi" w:eastAsiaTheme="minorEastAsia" w:hAnsiTheme="minorHAnsi" w:cstheme="minorBidi"/>
                <w:sz w:val="20"/>
                <w:szCs w:val="20"/>
              </w:rPr>
              <w:t>950.5</w:t>
            </w:r>
            <w:r w:rsidRPr="662DDD2F">
              <w:rPr>
                <w:rFonts w:asciiTheme="minorHAnsi" w:eastAsiaTheme="minorEastAsia" w:hAnsiTheme="minorHAnsi" w:cstheme="minorBidi"/>
                <w:sz w:val="20"/>
                <w:szCs w:val="20"/>
              </w:rPr>
              <w:t>)</w:t>
            </w:r>
          </w:p>
        </w:tc>
        <w:tc>
          <w:tcPr>
            <w:tcW w:w="1094" w:type="dxa"/>
            <w:vAlign w:val="bottom"/>
          </w:tcPr>
          <w:p w14:paraId="56BFACE5" w14:textId="44A58EC4" w:rsidR="00C31E4A" w:rsidRPr="006D4208" w:rsidRDefault="00C31E4A">
            <w:pPr>
              <w:jc w:val="right"/>
              <w:rPr>
                <w:rFonts w:asciiTheme="minorHAnsi" w:eastAsiaTheme="minorEastAsia" w:hAnsiTheme="minorHAnsi" w:cstheme="minorBidi"/>
                <w:sz w:val="20"/>
                <w:szCs w:val="20"/>
              </w:rPr>
            </w:pPr>
            <w:r w:rsidRPr="662DDD2F">
              <w:rPr>
                <w:rFonts w:asciiTheme="minorHAnsi" w:eastAsiaTheme="minorEastAsia" w:hAnsiTheme="minorHAnsi" w:cstheme="minorBidi"/>
                <w:sz w:val="20"/>
                <w:szCs w:val="20"/>
              </w:rPr>
              <w:t>(</w:t>
            </w:r>
            <w:r w:rsidR="00746717" w:rsidRPr="662DDD2F">
              <w:rPr>
                <w:rFonts w:asciiTheme="minorHAnsi" w:eastAsiaTheme="minorEastAsia" w:hAnsiTheme="minorHAnsi" w:cstheme="minorBidi"/>
                <w:sz w:val="20"/>
                <w:szCs w:val="20"/>
              </w:rPr>
              <w:t>1,445.3</w:t>
            </w:r>
            <w:r w:rsidRPr="662DDD2F">
              <w:rPr>
                <w:rFonts w:asciiTheme="minorHAnsi" w:eastAsiaTheme="minorEastAsia" w:hAnsiTheme="minorHAnsi" w:cstheme="minorBidi"/>
                <w:sz w:val="20"/>
                <w:szCs w:val="20"/>
              </w:rPr>
              <w:t>)</w:t>
            </w:r>
          </w:p>
        </w:tc>
        <w:tc>
          <w:tcPr>
            <w:tcW w:w="1094" w:type="dxa"/>
            <w:shd w:val="clear" w:color="auto" w:fill="F2F2F2" w:themeFill="background1" w:themeFillShade="F2"/>
          </w:tcPr>
          <w:p w14:paraId="1258B51F" w14:textId="1BF57D92" w:rsidR="00C31E4A" w:rsidRPr="009759DE" w:rsidRDefault="00C31E4A">
            <w:pPr>
              <w:spacing w:line="259" w:lineRule="auto"/>
              <w:jc w:val="right"/>
              <w:rPr>
                <w:rFonts w:asciiTheme="minorHAnsi" w:eastAsiaTheme="minorEastAsia" w:hAnsiTheme="minorHAnsi" w:cstheme="minorBidi"/>
                <w:b/>
                <w:sz w:val="20"/>
                <w:szCs w:val="20"/>
              </w:rPr>
            </w:pPr>
            <w:r w:rsidRPr="662DDD2F">
              <w:rPr>
                <w:rFonts w:asciiTheme="minorHAnsi" w:eastAsiaTheme="minorEastAsia" w:hAnsiTheme="minorHAnsi" w:cstheme="minorBidi"/>
                <w:b/>
                <w:sz w:val="20"/>
                <w:szCs w:val="20"/>
              </w:rPr>
              <w:t>(</w:t>
            </w:r>
            <w:r w:rsidR="006B4E1A" w:rsidRPr="662DDD2F">
              <w:rPr>
                <w:rFonts w:asciiTheme="minorHAnsi" w:eastAsiaTheme="minorEastAsia" w:hAnsiTheme="minorHAnsi" w:cstheme="minorBidi"/>
                <w:b/>
                <w:sz w:val="20"/>
                <w:szCs w:val="20"/>
              </w:rPr>
              <w:t>1,908.7</w:t>
            </w:r>
            <w:r w:rsidRPr="662DDD2F">
              <w:rPr>
                <w:rFonts w:asciiTheme="minorHAnsi" w:eastAsiaTheme="minorEastAsia" w:hAnsiTheme="minorHAnsi" w:cstheme="minorBidi"/>
                <w:b/>
                <w:sz w:val="20"/>
                <w:szCs w:val="20"/>
              </w:rPr>
              <w:t>)</w:t>
            </w:r>
          </w:p>
        </w:tc>
        <w:tc>
          <w:tcPr>
            <w:tcW w:w="1266" w:type="dxa"/>
            <w:vAlign w:val="bottom"/>
          </w:tcPr>
          <w:p w14:paraId="70291743" w14:textId="287B6BD1" w:rsidR="00C31E4A" w:rsidRPr="006D4208" w:rsidRDefault="00C31E4A">
            <w:pPr>
              <w:jc w:val="right"/>
              <w:rPr>
                <w:rFonts w:asciiTheme="minorHAnsi" w:eastAsiaTheme="minorEastAsia" w:hAnsiTheme="minorHAnsi" w:cstheme="minorBidi"/>
                <w:sz w:val="20"/>
                <w:szCs w:val="20"/>
              </w:rPr>
            </w:pPr>
            <w:r w:rsidRPr="662DDD2F">
              <w:rPr>
                <w:rFonts w:asciiTheme="minorHAnsi" w:eastAsiaTheme="minorEastAsia" w:hAnsiTheme="minorHAnsi" w:cstheme="minorBidi"/>
                <w:sz w:val="20"/>
                <w:szCs w:val="20"/>
              </w:rPr>
              <w:t>(1,</w:t>
            </w:r>
            <w:r w:rsidR="004831E2" w:rsidRPr="662DDD2F">
              <w:rPr>
                <w:rFonts w:asciiTheme="minorHAnsi" w:eastAsiaTheme="minorEastAsia" w:hAnsiTheme="minorHAnsi" w:cstheme="minorBidi"/>
                <w:sz w:val="20"/>
                <w:szCs w:val="20"/>
              </w:rPr>
              <w:t>916.2</w:t>
            </w:r>
            <w:r w:rsidRPr="662DDD2F">
              <w:rPr>
                <w:rFonts w:asciiTheme="minorHAnsi" w:eastAsiaTheme="minorEastAsia" w:hAnsiTheme="minorHAnsi" w:cstheme="minorBidi"/>
                <w:sz w:val="20"/>
                <w:szCs w:val="20"/>
              </w:rPr>
              <w:t>)</w:t>
            </w:r>
          </w:p>
        </w:tc>
        <w:tc>
          <w:tcPr>
            <w:tcW w:w="1148" w:type="dxa"/>
          </w:tcPr>
          <w:p w14:paraId="736E5D99" w14:textId="7438BC62" w:rsidR="00C31E4A" w:rsidRPr="006D4208" w:rsidRDefault="00C31E4A">
            <w:pPr>
              <w:jc w:val="right"/>
              <w:rPr>
                <w:rFonts w:asciiTheme="minorHAnsi" w:eastAsiaTheme="minorEastAsia" w:hAnsiTheme="minorHAnsi" w:cstheme="minorBidi"/>
                <w:sz w:val="20"/>
                <w:szCs w:val="20"/>
              </w:rPr>
            </w:pPr>
            <w:r w:rsidRPr="662DDD2F">
              <w:rPr>
                <w:rFonts w:asciiTheme="minorHAnsi" w:eastAsiaTheme="minorEastAsia" w:hAnsiTheme="minorHAnsi" w:cstheme="minorBidi"/>
                <w:sz w:val="20"/>
                <w:szCs w:val="20"/>
              </w:rPr>
              <w:t>(</w:t>
            </w:r>
            <w:r w:rsidR="00C0222E" w:rsidRPr="662DDD2F">
              <w:rPr>
                <w:rFonts w:asciiTheme="minorHAnsi" w:eastAsiaTheme="minorEastAsia" w:hAnsiTheme="minorHAnsi" w:cstheme="minorBidi"/>
                <w:sz w:val="20"/>
                <w:szCs w:val="20"/>
              </w:rPr>
              <w:t>916.2</w:t>
            </w:r>
            <w:r w:rsidRPr="662DDD2F">
              <w:rPr>
                <w:rFonts w:asciiTheme="minorHAnsi" w:eastAsiaTheme="minorEastAsia" w:hAnsiTheme="minorHAnsi" w:cstheme="minorBidi"/>
                <w:sz w:val="20"/>
                <w:szCs w:val="20"/>
              </w:rPr>
              <w:t>)</w:t>
            </w:r>
          </w:p>
        </w:tc>
      </w:tr>
      <w:tr w:rsidR="00C31E4A" w:rsidRPr="004D21F7" w14:paraId="18546A3C" w14:textId="77777777" w:rsidTr="00673F0D">
        <w:tc>
          <w:tcPr>
            <w:tcW w:w="2890" w:type="dxa"/>
            <w:vAlign w:val="bottom"/>
          </w:tcPr>
          <w:p w14:paraId="4909ED8C" w14:textId="77777777" w:rsidR="00C31E4A" w:rsidRPr="004D21F7" w:rsidRDefault="00C31E4A">
            <w:pPr>
              <w:rPr>
                <w:rFonts w:asciiTheme="minorHAnsi" w:eastAsiaTheme="minorEastAsia" w:hAnsiTheme="minorHAnsi" w:cstheme="minorBidi"/>
                <w:sz w:val="20"/>
                <w:szCs w:val="20"/>
              </w:rPr>
            </w:pPr>
            <w:r w:rsidRPr="662DDD2F">
              <w:rPr>
                <w:rFonts w:asciiTheme="minorHAnsi" w:eastAsiaTheme="minorEastAsia" w:hAnsiTheme="minorHAnsi" w:cstheme="minorBidi"/>
                <w:sz w:val="20"/>
                <w:szCs w:val="20"/>
              </w:rPr>
              <w:t>Bank and other borrowings</w:t>
            </w:r>
          </w:p>
        </w:tc>
        <w:tc>
          <w:tcPr>
            <w:tcW w:w="1094" w:type="dxa"/>
            <w:tcBorders>
              <w:bottom w:val="single" w:sz="4" w:space="0" w:color="auto"/>
            </w:tcBorders>
            <w:shd w:val="clear" w:color="auto" w:fill="F2F2F2" w:themeFill="background1" w:themeFillShade="F2"/>
            <w:vAlign w:val="bottom"/>
          </w:tcPr>
          <w:p w14:paraId="1CEAE3A9" w14:textId="1B412D86" w:rsidR="00C31E4A" w:rsidRPr="00673F0D" w:rsidRDefault="00C31E4A">
            <w:pPr>
              <w:spacing w:line="259" w:lineRule="auto"/>
              <w:jc w:val="right"/>
              <w:rPr>
                <w:rFonts w:asciiTheme="minorHAnsi" w:eastAsiaTheme="minorEastAsia" w:hAnsiTheme="minorHAnsi" w:cstheme="minorBidi"/>
                <w:b/>
                <w:sz w:val="20"/>
                <w:szCs w:val="20"/>
              </w:rPr>
            </w:pPr>
            <w:r w:rsidRPr="662DDD2F">
              <w:rPr>
                <w:rFonts w:asciiTheme="minorHAnsi" w:eastAsiaTheme="minorEastAsia" w:hAnsiTheme="minorHAnsi" w:cstheme="minorBidi"/>
                <w:b/>
                <w:sz w:val="20"/>
                <w:szCs w:val="20"/>
              </w:rPr>
              <w:t>(</w:t>
            </w:r>
            <w:r w:rsidR="00C539AC" w:rsidRPr="662DDD2F">
              <w:rPr>
                <w:rFonts w:asciiTheme="minorHAnsi" w:eastAsiaTheme="minorEastAsia" w:hAnsiTheme="minorHAnsi" w:cstheme="minorBidi"/>
                <w:b/>
                <w:sz w:val="20"/>
                <w:szCs w:val="20"/>
              </w:rPr>
              <w:t>504.1</w:t>
            </w:r>
            <w:r w:rsidRPr="662DDD2F">
              <w:rPr>
                <w:rFonts w:asciiTheme="minorHAnsi" w:eastAsiaTheme="minorEastAsia" w:hAnsiTheme="minorHAnsi" w:cstheme="minorBidi"/>
                <w:b/>
                <w:sz w:val="20"/>
                <w:szCs w:val="20"/>
              </w:rPr>
              <w:t>)</w:t>
            </w:r>
          </w:p>
        </w:tc>
        <w:tc>
          <w:tcPr>
            <w:tcW w:w="1337" w:type="dxa"/>
            <w:tcBorders>
              <w:bottom w:val="single" w:sz="4" w:space="0" w:color="auto"/>
            </w:tcBorders>
            <w:vAlign w:val="bottom"/>
          </w:tcPr>
          <w:p w14:paraId="7A2C8F07" w14:textId="3BC3D63D" w:rsidR="00C31E4A" w:rsidRPr="006D4208" w:rsidRDefault="00C31E4A">
            <w:pPr>
              <w:jc w:val="right"/>
              <w:rPr>
                <w:rFonts w:asciiTheme="minorHAnsi" w:eastAsiaTheme="minorEastAsia" w:hAnsiTheme="minorHAnsi" w:cstheme="minorBidi"/>
                <w:sz w:val="20"/>
                <w:szCs w:val="20"/>
              </w:rPr>
            </w:pPr>
            <w:r w:rsidRPr="662DDD2F">
              <w:rPr>
                <w:rFonts w:asciiTheme="minorHAnsi" w:eastAsiaTheme="minorEastAsia" w:hAnsiTheme="minorHAnsi" w:cstheme="minorBidi"/>
                <w:sz w:val="20"/>
                <w:szCs w:val="20"/>
              </w:rPr>
              <w:t>(</w:t>
            </w:r>
            <w:r w:rsidR="00541DCE" w:rsidRPr="662DDD2F">
              <w:rPr>
                <w:rFonts w:asciiTheme="minorHAnsi" w:eastAsiaTheme="minorEastAsia" w:hAnsiTheme="minorHAnsi" w:cstheme="minorBidi"/>
                <w:sz w:val="20"/>
                <w:szCs w:val="20"/>
              </w:rPr>
              <w:t>582.5</w:t>
            </w:r>
            <w:r w:rsidRPr="662DDD2F">
              <w:rPr>
                <w:rFonts w:asciiTheme="minorHAnsi" w:eastAsiaTheme="minorEastAsia" w:hAnsiTheme="minorHAnsi" w:cstheme="minorBidi"/>
                <w:sz w:val="20"/>
                <w:szCs w:val="20"/>
              </w:rPr>
              <w:t>)</w:t>
            </w:r>
          </w:p>
        </w:tc>
        <w:tc>
          <w:tcPr>
            <w:tcW w:w="1094" w:type="dxa"/>
            <w:tcBorders>
              <w:bottom w:val="single" w:sz="4" w:space="0" w:color="auto"/>
            </w:tcBorders>
            <w:vAlign w:val="bottom"/>
          </w:tcPr>
          <w:p w14:paraId="1A77E812" w14:textId="18FCDE29" w:rsidR="00C31E4A" w:rsidRPr="006D4208" w:rsidRDefault="00C31E4A">
            <w:pPr>
              <w:jc w:val="right"/>
              <w:rPr>
                <w:rFonts w:asciiTheme="minorHAnsi" w:eastAsiaTheme="minorEastAsia" w:hAnsiTheme="minorHAnsi" w:cstheme="minorBidi"/>
                <w:sz w:val="20"/>
                <w:szCs w:val="20"/>
              </w:rPr>
            </w:pPr>
            <w:r w:rsidRPr="662DDD2F">
              <w:rPr>
                <w:rFonts w:asciiTheme="minorHAnsi" w:eastAsiaTheme="minorEastAsia" w:hAnsiTheme="minorHAnsi" w:cstheme="minorBidi"/>
                <w:sz w:val="20"/>
                <w:szCs w:val="20"/>
              </w:rPr>
              <w:t>(</w:t>
            </w:r>
            <w:r w:rsidR="00AB6B66" w:rsidRPr="662DDD2F">
              <w:rPr>
                <w:rFonts w:asciiTheme="minorHAnsi" w:eastAsiaTheme="minorEastAsia" w:hAnsiTheme="minorHAnsi" w:cstheme="minorBidi"/>
                <w:sz w:val="20"/>
                <w:szCs w:val="20"/>
              </w:rPr>
              <w:t>706.6</w:t>
            </w:r>
            <w:r w:rsidRPr="662DDD2F">
              <w:rPr>
                <w:rFonts w:asciiTheme="minorHAnsi" w:eastAsiaTheme="minorEastAsia" w:hAnsiTheme="minorHAnsi" w:cstheme="minorBidi"/>
                <w:sz w:val="20"/>
                <w:szCs w:val="20"/>
              </w:rPr>
              <w:t>)</w:t>
            </w:r>
          </w:p>
        </w:tc>
        <w:tc>
          <w:tcPr>
            <w:tcW w:w="1094" w:type="dxa"/>
            <w:tcBorders>
              <w:bottom w:val="single" w:sz="4" w:space="0" w:color="auto"/>
            </w:tcBorders>
            <w:shd w:val="clear" w:color="auto" w:fill="F2F2F2" w:themeFill="background1" w:themeFillShade="F2"/>
          </w:tcPr>
          <w:p w14:paraId="050EBD01" w14:textId="72BE116C" w:rsidR="00C31E4A" w:rsidRPr="009759DE" w:rsidRDefault="00C31E4A">
            <w:pPr>
              <w:jc w:val="right"/>
              <w:rPr>
                <w:rFonts w:asciiTheme="minorHAnsi" w:eastAsiaTheme="minorEastAsia" w:hAnsiTheme="minorHAnsi" w:cstheme="minorBidi"/>
                <w:b/>
                <w:sz w:val="20"/>
                <w:szCs w:val="20"/>
              </w:rPr>
            </w:pPr>
            <w:r w:rsidRPr="009759DE">
              <w:rPr>
                <w:rFonts w:asciiTheme="minorHAnsi" w:eastAsiaTheme="minorEastAsia" w:hAnsiTheme="minorHAnsi" w:cstheme="minorBidi"/>
                <w:b/>
                <w:sz w:val="20"/>
                <w:szCs w:val="20"/>
              </w:rPr>
              <w:t>(</w:t>
            </w:r>
            <w:r w:rsidR="00542B97" w:rsidRPr="009759DE">
              <w:rPr>
                <w:rFonts w:asciiTheme="minorHAnsi" w:eastAsiaTheme="minorEastAsia" w:hAnsiTheme="minorHAnsi" w:cstheme="minorBidi"/>
                <w:b/>
                <w:sz w:val="20"/>
                <w:szCs w:val="20"/>
              </w:rPr>
              <w:t>483.0</w:t>
            </w:r>
            <w:r w:rsidRPr="009759DE">
              <w:rPr>
                <w:rFonts w:asciiTheme="minorHAnsi" w:eastAsiaTheme="minorEastAsia" w:hAnsiTheme="minorHAnsi" w:cstheme="minorBidi"/>
                <w:b/>
                <w:sz w:val="20"/>
                <w:szCs w:val="20"/>
              </w:rPr>
              <w:t>)</w:t>
            </w:r>
          </w:p>
        </w:tc>
        <w:tc>
          <w:tcPr>
            <w:tcW w:w="1266" w:type="dxa"/>
            <w:tcBorders>
              <w:bottom w:val="single" w:sz="4" w:space="0" w:color="auto"/>
            </w:tcBorders>
            <w:vAlign w:val="bottom"/>
          </w:tcPr>
          <w:p w14:paraId="21758743" w14:textId="15DBBF59" w:rsidR="00C31E4A" w:rsidRPr="006D4208" w:rsidRDefault="00C31E4A">
            <w:pPr>
              <w:jc w:val="right"/>
              <w:rPr>
                <w:rFonts w:asciiTheme="minorHAnsi" w:eastAsiaTheme="minorEastAsia" w:hAnsiTheme="minorHAnsi" w:cstheme="minorBidi"/>
                <w:sz w:val="20"/>
                <w:szCs w:val="20"/>
              </w:rPr>
            </w:pPr>
            <w:r w:rsidRPr="662DDD2F">
              <w:rPr>
                <w:rFonts w:asciiTheme="minorHAnsi" w:eastAsiaTheme="minorEastAsia" w:hAnsiTheme="minorHAnsi" w:cstheme="minorBidi"/>
                <w:sz w:val="20"/>
                <w:szCs w:val="20"/>
              </w:rPr>
              <w:t>(</w:t>
            </w:r>
            <w:r w:rsidR="00D91EC6" w:rsidRPr="662DDD2F">
              <w:rPr>
                <w:rFonts w:asciiTheme="minorHAnsi" w:eastAsiaTheme="minorEastAsia" w:hAnsiTheme="minorHAnsi" w:cstheme="minorBidi"/>
                <w:sz w:val="20"/>
                <w:szCs w:val="20"/>
              </w:rPr>
              <w:t>561.5</w:t>
            </w:r>
            <w:r w:rsidRPr="662DDD2F">
              <w:rPr>
                <w:rFonts w:asciiTheme="minorHAnsi" w:eastAsiaTheme="minorEastAsia" w:hAnsiTheme="minorHAnsi" w:cstheme="minorBidi"/>
                <w:sz w:val="20"/>
                <w:szCs w:val="20"/>
              </w:rPr>
              <w:t>)</w:t>
            </w:r>
          </w:p>
        </w:tc>
        <w:tc>
          <w:tcPr>
            <w:tcW w:w="1148" w:type="dxa"/>
            <w:tcBorders>
              <w:bottom w:val="single" w:sz="4" w:space="0" w:color="auto"/>
            </w:tcBorders>
          </w:tcPr>
          <w:p w14:paraId="34D2DC26" w14:textId="5B007B1E" w:rsidR="00C31E4A" w:rsidRPr="006D4208" w:rsidRDefault="00C31E4A">
            <w:pPr>
              <w:jc w:val="right"/>
              <w:rPr>
                <w:rFonts w:asciiTheme="minorHAnsi" w:eastAsiaTheme="minorEastAsia" w:hAnsiTheme="minorHAnsi" w:cstheme="minorBidi"/>
                <w:sz w:val="20"/>
                <w:szCs w:val="20"/>
              </w:rPr>
            </w:pPr>
            <w:r w:rsidRPr="662DDD2F">
              <w:rPr>
                <w:rFonts w:asciiTheme="minorHAnsi" w:eastAsiaTheme="minorEastAsia" w:hAnsiTheme="minorHAnsi" w:cstheme="minorBidi"/>
                <w:sz w:val="20"/>
                <w:szCs w:val="20"/>
              </w:rPr>
              <w:t>(8</w:t>
            </w:r>
            <w:r w:rsidR="00C0222E" w:rsidRPr="662DDD2F">
              <w:rPr>
                <w:rFonts w:asciiTheme="minorHAnsi" w:eastAsiaTheme="minorEastAsia" w:hAnsiTheme="minorHAnsi" w:cstheme="minorBidi"/>
                <w:sz w:val="20"/>
                <w:szCs w:val="20"/>
              </w:rPr>
              <w:t>28.1</w:t>
            </w:r>
            <w:r w:rsidRPr="662DDD2F">
              <w:rPr>
                <w:rFonts w:asciiTheme="minorHAnsi" w:eastAsiaTheme="minorEastAsia" w:hAnsiTheme="minorHAnsi" w:cstheme="minorBidi"/>
                <w:sz w:val="20"/>
                <w:szCs w:val="20"/>
              </w:rPr>
              <w:t>)</w:t>
            </w:r>
          </w:p>
        </w:tc>
      </w:tr>
      <w:tr w:rsidR="00C31E4A" w:rsidRPr="00306AF1" w14:paraId="1B521333" w14:textId="77777777" w:rsidTr="00673F0D">
        <w:tc>
          <w:tcPr>
            <w:tcW w:w="2890" w:type="dxa"/>
            <w:vAlign w:val="bottom"/>
          </w:tcPr>
          <w:p w14:paraId="797C3DC2" w14:textId="77777777" w:rsidR="00C31E4A" w:rsidRPr="004D21F7" w:rsidRDefault="00C31E4A">
            <w:pPr>
              <w:rPr>
                <w:rFonts w:asciiTheme="minorHAnsi" w:eastAsiaTheme="minorEastAsia" w:hAnsiTheme="minorHAnsi" w:cstheme="minorBidi"/>
                <w:sz w:val="20"/>
                <w:szCs w:val="20"/>
              </w:rPr>
            </w:pPr>
            <w:r w:rsidRPr="662DDD2F">
              <w:rPr>
                <w:rFonts w:asciiTheme="minorHAnsi" w:eastAsiaTheme="minorEastAsia" w:hAnsiTheme="minorHAnsi" w:cstheme="minorBidi"/>
                <w:sz w:val="20"/>
                <w:szCs w:val="20"/>
              </w:rPr>
              <w:t>Total</w:t>
            </w:r>
          </w:p>
        </w:tc>
        <w:tc>
          <w:tcPr>
            <w:tcW w:w="1094" w:type="dxa"/>
            <w:tcBorders>
              <w:top w:val="single" w:sz="4" w:space="0" w:color="auto"/>
              <w:bottom w:val="single" w:sz="12" w:space="0" w:color="auto"/>
            </w:tcBorders>
            <w:shd w:val="clear" w:color="auto" w:fill="F2F2F2" w:themeFill="background1" w:themeFillShade="F2"/>
            <w:vAlign w:val="bottom"/>
          </w:tcPr>
          <w:p w14:paraId="2E5A43FF" w14:textId="3EE7DDA8" w:rsidR="00C31E4A" w:rsidRPr="00673F0D" w:rsidRDefault="00C31E4A">
            <w:pPr>
              <w:spacing w:line="259" w:lineRule="auto"/>
              <w:jc w:val="right"/>
              <w:rPr>
                <w:rFonts w:asciiTheme="minorHAnsi" w:eastAsiaTheme="minorEastAsia" w:hAnsiTheme="minorHAnsi" w:cstheme="minorBidi"/>
                <w:b/>
                <w:sz w:val="20"/>
                <w:szCs w:val="20"/>
              </w:rPr>
            </w:pPr>
            <w:r w:rsidRPr="662DDD2F">
              <w:rPr>
                <w:rFonts w:asciiTheme="minorHAnsi" w:eastAsiaTheme="minorEastAsia" w:hAnsiTheme="minorHAnsi" w:cstheme="minorBidi"/>
                <w:b/>
                <w:sz w:val="20"/>
                <w:szCs w:val="20"/>
              </w:rPr>
              <w:t>(</w:t>
            </w:r>
            <w:r w:rsidR="00C539AC" w:rsidRPr="662DDD2F">
              <w:rPr>
                <w:rFonts w:asciiTheme="minorHAnsi" w:eastAsiaTheme="minorEastAsia" w:hAnsiTheme="minorHAnsi" w:cstheme="minorBidi"/>
                <w:b/>
                <w:sz w:val="20"/>
                <w:szCs w:val="20"/>
              </w:rPr>
              <w:t>2,441.6</w:t>
            </w:r>
            <w:r w:rsidRPr="662DDD2F">
              <w:rPr>
                <w:rFonts w:asciiTheme="minorHAnsi" w:eastAsiaTheme="minorEastAsia" w:hAnsiTheme="minorHAnsi" w:cstheme="minorBidi"/>
                <w:b/>
                <w:sz w:val="20"/>
                <w:szCs w:val="20"/>
              </w:rPr>
              <w:t>)</w:t>
            </w:r>
          </w:p>
        </w:tc>
        <w:tc>
          <w:tcPr>
            <w:tcW w:w="1337" w:type="dxa"/>
            <w:tcBorders>
              <w:top w:val="single" w:sz="4" w:space="0" w:color="auto"/>
              <w:bottom w:val="single" w:sz="12" w:space="0" w:color="auto"/>
            </w:tcBorders>
            <w:vAlign w:val="bottom"/>
          </w:tcPr>
          <w:p w14:paraId="57EF65AD" w14:textId="6DD8590B" w:rsidR="00C31E4A" w:rsidRPr="006D4208" w:rsidRDefault="00C31E4A">
            <w:pPr>
              <w:jc w:val="right"/>
              <w:rPr>
                <w:rFonts w:asciiTheme="minorHAnsi" w:eastAsiaTheme="minorEastAsia" w:hAnsiTheme="minorHAnsi" w:cstheme="minorBidi"/>
                <w:sz w:val="20"/>
                <w:szCs w:val="20"/>
              </w:rPr>
            </w:pPr>
            <w:r w:rsidRPr="662DDD2F">
              <w:rPr>
                <w:rFonts w:asciiTheme="minorHAnsi" w:eastAsiaTheme="minorEastAsia" w:hAnsiTheme="minorHAnsi" w:cstheme="minorBidi"/>
                <w:sz w:val="20"/>
                <w:szCs w:val="20"/>
              </w:rPr>
              <w:t>(</w:t>
            </w:r>
            <w:r w:rsidR="00E2377E" w:rsidRPr="662DDD2F">
              <w:rPr>
                <w:rFonts w:asciiTheme="minorHAnsi" w:eastAsiaTheme="minorEastAsia" w:hAnsiTheme="minorHAnsi" w:cstheme="minorBidi"/>
                <w:sz w:val="20"/>
                <w:szCs w:val="20"/>
              </w:rPr>
              <w:t>2,</w:t>
            </w:r>
            <w:r w:rsidR="00A06920" w:rsidRPr="662DDD2F">
              <w:rPr>
                <w:rFonts w:asciiTheme="minorHAnsi" w:eastAsiaTheme="minorEastAsia" w:hAnsiTheme="minorHAnsi" w:cstheme="minorBidi"/>
                <w:sz w:val="20"/>
                <w:szCs w:val="20"/>
              </w:rPr>
              <w:t>533.0</w:t>
            </w:r>
            <w:r w:rsidRPr="662DDD2F">
              <w:rPr>
                <w:rFonts w:asciiTheme="minorHAnsi" w:eastAsiaTheme="minorEastAsia" w:hAnsiTheme="minorHAnsi" w:cstheme="minorBidi"/>
                <w:sz w:val="20"/>
                <w:szCs w:val="20"/>
              </w:rPr>
              <w:t>)</w:t>
            </w:r>
          </w:p>
        </w:tc>
        <w:tc>
          <w:tcPr>
            <w:tcW w:w="1094" w:type="dxa"/>
            <w:tcBorders>
              <w:top w:val="single" w:sz="4" w:space="0" w:color="auto"/>
              <w:bottom w:val="single" w:sz="12" w:space="0" w:color="auto"/>
            </w:tcBorders>
            <w:vAlign w:val="bottom"/>
          </w:tcPr>
          <w:p w14:paraId="161C8819" w14:textId="50B10328" w:rsidR="00C31E4A" w:rsidRPr="006D4208" w:rsidRDefault="00C31E4A">
            <w:pPr>
              <w:jc w:val="right"/>
              <w:rPr>
                <w:rFonts w:asciiTheme="minorHAnsi" w:eastAsiaTheme="minorEastAsia" w:hAnsiTheme="minorHAnsi" w:cstheme="minorBidi"/>
                <w:sz w:val="20"/>
                <w:szCs w:val="20"/>
              </w:rPr>
            </w:pPr>
            <w:r w:rsidRPr="662DDD2F">
              <w:rPr>
                <w:rFonts w:asciiTheme="minorHAnsi" w:eastAsiaTheme="minorEastAsia" w:hAnsiTheme="minorHAnsi" w:cstheme="minorBidi"/>
                <w:sz w:val="20"/>
                <w:szCs w:val="20"/>
              </w:rPr>
              <w:t>(</w:t>
            </w:r>
            <w:r w:rsidR="00AB6B66" w:rsidRPr="662DDD2F">
              <w:rPr>
                <w:rFonts w:asciiTheme="minorHAnsi" w:eastAsiaTheme="minorEastAsia" w:hAnsiTheme="minorHAnsi" w:cstheme="minorBidi"/>
                <w:sz w:val="20"/>
                <w:szCs w:val="20"/>
              </w:rPr>
              <w:t>2,151.9</w:t>
            </w:r>
            <w:r w:rsidRPr="662DDD2F">
              <w:rPr>
                <w:rFonts w:asciiTheme="minorHAnsi" w:eastAsiaTheme="minorEastAsia" w:hAnsiTheme="minorHAnsi" w:cstheme="minorBidi"/>
                <w:sz w:val="20"/>
                <w:szCs w:val="20"/>
              </w:rPr>
              <w:t>)</w:t>
            </w:r>
          </w:p>
        </w:tc>
        <w:tc>
          <w:tcPr>
            <w:tcW w:w="1094" w:type="dxa"/>
            <w:tcBorders>
              <w:top w:val="single" w:sz="4" w:space="0" w:color="auto"/>
              <w:bottom w:val="single" w:sz="12" w:space="0" w:color="auto"/>
            </w:tcBorders>
            <w:shd w:val="clear" w:color="auto" w:fill="F2F2F2" w:themeFill="background1" w:themeFillShade="F2"/>
          </w:tcPr>
          <w:p w14:paraId="5F9DF049" w14:textId="738884BC" w:rsidR="00C31E4A" w:rsidRPr="009759DE" w:rsidRDefault="009759DE">
            <w:pPr>
              <w:spacing w:line="259" w:lineRule="auto"/>
              <w:jc w:val="right"/>
              <w:rPr>
                <w:rFonts w:asciiTheme="minorHAnsi" w:eastAsiaTheme="minorEastAsia" w:hAnsiTheme="minorHAnsi" w:cstheme="minorBidi"/>
                <w:b/>
                <w:sz w:val="20"/>
                <w:szCs w:val="20"/>
              </w:rPr>
            </w:pPr>
            <w:r w:rsidRPr="009759DE">
              <w:rPr>
                <w:rFonts w:asciiTheme="minorHAnsi" w:eastAsiaTheme="minorEastAsia" w:hAnsiTheme="minorHAnsi" w:cstheme="minorBidi"/>
                <w:b/>
                <w:sz w:val="20"/>
                <w:szCs w:val="20"/>
              </w:rPr>
              <w:t>(2,391.7</w:t>
            </w:r>
            <w:r w:rsidR="00C31E4A" w:rsidRPr="009759DE">
              <w:rPr>
                <w:rFonts w:asciiTheme="minorHAnsi" w:eastAsiaTheme="minorEastAsia" w:hAnsiTheme="minorHAnsi" w:cstheme="minorBidi"/>
                <w:b/>
                <w:sz w:val="20"/>
                <w:szCs w:val="20"/>
              </w:rPr>
              <w:t>)</w:t>
            </w:r>
          </w:p>
        </w:tc>
        <w:tc>
          <w:tcPr>
            <w:tcW w:w="1266" w:type="dxa"/>
            <w:tcBorders>
              <w:top w:val="single" w:sz="4" w:space="0" w:color="auto"/>
              <w:bottom w:val="single" w:sz="12" w:space="0" w:color="auto"/>
            </w:tcBorders>
            <w:vAlign w:val="bottom"/>
          </w:tcPr>
          <w:p w14:paraId="49180C1E" w14:textId="099FBDC4" w:rsidR="00C31E4A" w:rsidRPr="006D4208" w:rsidRDefault="00C31E4A">
            <w:pPr>
              <w:jc w:val="right"/>
              <w:rPr>
                <w:rFonts w:asciiTheme="minorHAnsi" w:eastAsiaTheme="minorEastAsia" w:hAnsiTheme="minorHAnsi" w:cstheme="minorBidi"/>
                <w:sz w:val="20"/>
                <w:szCs w:val="20"/>
              </w:rPr>
            </w:pPr>
            <w:r w:rsidRPr="662DDD2F">
              <w:rPr>
                <w:rFonts w:asciiTheme="minorHAnsi" w:eastAsiaTheme="minorEastAsia" w:hAnsiTheme="minorHAnsi" w:cstheme="minorBidi"/>
                <w:sz w:val="20"/>
                <w:szCs w:val="20"/>
              </w:rPr>
              <w:t>(</w:t>
            </w:r>
            <w:r w:rsidR="00D91EC6" w:rsidRPr="662DDD2F">
              <w:rPr>
                <w:rFonts w:asciiTheme="minorHAnsi" w:eastAsiaTheme="minorEastAsia" w:hAnsiTheme="minorHAnsi" w:cstheme="minorBidi"/>
                <w:sz w:val="20"/>
                <w:szCs w:val="20"/>
              </w:rPr>
              <w:t>2,477.7</w:t>
            </w:r>
            <w:r w:rsidRPr="662DDD2F">
              <w:rPr>
                <w:rFonts w:asciiTheme="minorHAnsi" w:eastAsiaTheme="minorEastAsia" w:hAnsiTheme="minorHAnsi" w:cstheme="minorBidi"/>
                <w:sz w:val="20"/>
                <w:szCs w:val="20"/>
              </w:rPr>
              <w:t>)</w:t>
            </w:r>
          </w:p>
        </w:tc>
        <w:tc>
          <w:tcPr>
            <w:tcW w:w="1148" w:type="dxa"/>
            <w:tcBorders>
              <w:top w:val="single" w:sz="4" w:space="0" w:color="auto"/>
              <w:bottom w:val="single" w:sz="12" w:space="0" w:color="auto"/>
            </w:tcBorders>
          </w:tcPr>
          <w:p w14:paraId="3A95AE72" w14:textId="356C4635" w:rsidR="00C31E4A" w:rsidRPr="006D4208" w:rsidRDefault="00C31E4A">
            <w:pPr>
              <w:jc w:val="right"/>
              <w:rPr>
                <w:rFonts w:asciiTheme="minorHAnsi" w:eastAsiaTheme="minorEastAsia" w:hAnsiTheme="minorHAnsi" w:cstheme="minorBidi"/>
                <w:sz w:val="20"/>
                <w:szCs w:val="20"/>
              </w:rPr>
            </w:pPr>
            <w:r w:rsidRPr="662DDD2F">
              <w:rPr>
                <w:rFonts w:asciiTheme="minorHAnsi" w:eastAsiaTheme="minorEastAsia" w:hAnsiTheme="minorHAnsi" w:cstheme="minorBidi"/>
                <w:sz w:val="20"/>
                <w:szCs w:val="20"/>
              </w:rPr>
              <w:t>(1,</w:t>
            </w:r>
            <w:r w:rsidR="00C0222E" w:rsidRPr="662DDD2F">
              <w:rPr>
                <w:rFonts w:asciiTheme="minorHAnsi" w:eastAsiaTheme="minorEastAsia" w:hAnsiTheme="minorHAnsi" w:cstheme="minorBidi"/>
                <w:sz w:val="20"/>
                <w:szCs w:val="20"/>
              </w:rPr>
              <w:t>744.3</w:t>
            </w:r>
            <w:r w:rsidRPr="662DDD2F">
              <w:rPr>
                <w:rFonts w:asciiTheme="minorHAnsi" w:eastAsiaTheme="minorEastAsia" w:hAnsiTheme="minorHAnsi" w:cstheme="minorBidi"/>
                <w:sz w:val="20"/>
                <w:szCs w:val="20"/>
              </w:rPr>
              <w:t>)</w:t>
            </w:r>
          </w:p>
        </w:tc>
      </w:tr>
    </w:tbl>
    <w:p w14:paraId="0A9C7ED7" w14:textId="77777777" w:rsidR="00596880" w:rsidRPr="00306AF1" w:rsidRDefault="00596880" w:rsidP="00A3021A">
      <w:pPr>
        <w:ind w:left="567" w:hanging="567"/>
        <w:jc w:val="both"/>
        <w:rPr>
          <w:rFonts w:asciiTheme="minorHAnsi" w:hAnsiTheme="minorHAnsi" w:cs="Arial"/>
          <w:b/>
          <w:color w:val="4747FF"/>
          <w:sz w:val="22"/>
          <w:szCs w:val="22"/>
        </w:rPr>
      </w:pPr>
    </w:p>
    <w:p w14:paraId="79ED507E" w14:textId="462CF88D" w:rsidR="39077AE4" w:rsidRDefault="008C4FDE" w:rsidP="00F11EEC">
      <w:pPr>
        <w:rPr>
          <w:rFonts w:asciiTheme="minorHAnsi" w:hAnsiTheme="minorHAnsi" w:cs="Arial"/>
          <w:b/>
          <w:i/>
          <w:color w:val="4747FF"/>
          <w:sz w:val="22"/>
          <w:szCs w:val="22"/>
        </w:rPr>
      </w:pPr>
      <w:r w:rsidRPr="53EF174C">
        <w:rPr>
          <w:rFonts w:asciiTheme="minorHAnsi" w:hAnsiTheme="minorHAnsi" w:cs="Arial"/>
          <w:i/>
          <w:sz w:val="20"/>
          <w:szCs w:val="20"/>
          <w:vertAlign w:val="superscript"/>
        </w:rPr>
        <w:t>1</w:t>
      </w:r>
      <w:r w:rsidRPr="53EF174C">
        <w:rPr>
          <w:rFonts w:asciiTheme="minorHAnsi" w:hAnsiTheme="minorHAnsi" w:cs="Arial"/>
          <w:i/>
          <w:sz w:val="20"/>
          <w:szCs w:val="20"/>
        </w:rPr>
        <w:t xml:space="preserve"> Refer to note 2 for details of restatement.</w:t>
      </w:r>
    </w:p>
    <w:p w14:paraId="1C4D0E80" w14:textId="02D0D86A" w:rsidR="00CD34FA" w:rsidRDefault="00CD34FA" w:rsidP="00CF66BE">
      <w:pPr>
        <w:jc w:val="both"/>
        <w:rPr>
          <w:rFonts w:asciiTheme="minorHAnsi" w:hAnsiTheme="minorHAnsi" w:cs="Arial"/>
          <w:b/>
          <w:color w:val="4747FF"/>
          <w:sz w:val="22"/>
          <w:szCs w:val="22"/>
        </w:rPr>
      </w:pPr>
    </w:p>
    <w:p w14:paraId="4922A519" w14:textId="7D478992" w:rsidR="00AA61B5" w:rsidRPr="002725AC" w:rsidRDefault="00A3021A" w:rsidP="00CF66BE">
      <w:pPr>
        <w:pStyle w:val="ListParagraph"/>
        <w:numPr>
          <w:ilvl w:val="0"/>
          <w:numId w:val="20"/>
        </w:numPr>
        <w:ind w:left="567" w:hanging="567"/>
        <w:jc w:val="both"/>
        <w:rPr>
          <w:rFonts w:asciiTheme="minorHAnsi" w:hAnsiTheme="minorHAnsi" w:cs="Arial"/>
          <w:b/>
          <w:color w:val="4747FF"/>
          <w:sz w:val="22"/>
          <w:szCs w:val="22"/>
        </w:rPr>
      </w:pPr>
      <w:r w:rsidRPr="002725AC">
        <w:rPr>
          <w:rFonts w:asciiTheme="minorHAnsi" w:hAnsiTheme="minorHAnsi" w:cs="Arial"/>
          <w:b/>
          <w:color w:val="4747FF"/>
          <w:sz w:val="22"/>
          <w:szCs w:val="22"/>
        </w:rPr>
        <w:t>Provisions</w:t>
      </w:r>
    </w:p>
    <w:p w14:paraId="6651B4BD" w14:textId="77777777" w:rsidR="00895002" w:rsidRPr="002725AC" w:rsidRDefault="00895002" w:rsidP="002725AC">
      <w:pPr>
        <w:pStyle w:val="ListParagraph"/>
        <w:jc w:val="both"/>
        <w:rPr>
          <w:rFonts w:asciiTheme="minorHAnsi" w:hAnsiTheme="minorHAnsi" w:cs="Arial"/>
          <w:b/>
          <w:color w:val="4747FF"/>
          <w:sz w:val="22"/>
          <w:szCs w:val="22"/>
        </w:rPr>
      </w:pPr>
    </w:p>
    <w:p w14:paraId="222821B4" w14:textId="77777777" w:rsidR="00C27E87" w:rsidRDefault="00C27E87" w:rsidP="00A3021A">
      <w:pPr>
        <w:ind w:left="567" w:hanging="567"/>
        <w:jc w:val="both"/>
        <w:rPr>
          <w:rFonts w:asciiTheme="minorHAnsi" w:hAnsiTheme="minorHAnsi" w:cs="Arial"/>
          <w:b/>
          <w:color w:val="4747FF"/>
          <w:sz w:val="22"/>
          <w:szCs w:val="22"/>
        </w:rPr>
      </w:pPr>
    </w:p>
    <w:p w14:paraId="0E65D566" w14:textId="77777777" w:rsidR="00895002" w:rsidRDefault="00895002" w:rsidP="00A3021A">
      <w:pPr>
        <w:ind w:left="567" w:hanging="567"/>
        <w:jc w:val="both"/>
        <w:rPr>
          <w:rFonts w:asciiTheme="minorHAnsi" w:hAnsiTheme="minorHAnsi" w:cs="Arial"/>
          <w:b/>
          <w:color w:val="4747FF"/>
          <w:sz w:val="22"/>
          <w:szCs w:val="22"/>
        </w:rPr>
      </w:pPr>
    </w:p>
    <w:tbl>
      <w:tblPr>
        <w:tblW w:w="5085" w:type="pct"/>
        <w:tblInd w:w="-108" w:type="dxa"/>
        <w:tblLayout w:type="fixed"/>
        <w:tblLook w:val="0000" w:firstRow="0" w:lastRow="0" w:firstColumn="0" w:lastColumn="0" w:noHBand="0" w:noVBand="0"/>
      </w:tblPr>
      <w:tblGrid>
        <w:gridCol w:w="3209"/>
        <w:gridCol w:w="1113"/>
        <w:gridCol w:w="734"/>
        <w:gridCol w:w="1497"/>
        <w:gridCol w:w="1351"/>
        <w:gridCol w:w="993"/>
        <w:gridCol w:w="991"/>
      </w:tblGrid>
      <w:tr w:rsidR="00044BD4" w:rsidRPr="00B97C61" w14:paraId="6A9E5208" w14:textId="77777777" w:rsidTr="00A574FC">
        <w:trPr>
          <w:trHeight w:val="211"/>
        </w:trPr>
        <w:tc>
          <w:tcPr>
            <w:tcW w:w="1623" w:type="pct"/>
            <w:vAlign w:val="bottom"/>
          </w:tcPr>
          <w:p w14:paraId="0EB99F09" w14:textId="77777777" w:rsidR="00C27E87" w:rsidRPr="00B97C61" w:rsidRDefault="00C27E87" w:rsidP="005D59FA">
            <w:pPr>
              <w:rPr>
                <w:rFonts w:asciiTheme="minorHAnsi" w:hAnsiTheme="minorHAnsi" w:cs="Arial"/>
                <w:sz w:val="20"/>
                <w:szCs w:val="20"/>
              </w:rPr>
            </w:pPr>
          </w:p>
          <w:p w14:paraId="0216CD0D" w14:textId="77777777" w:rsidR="00C27E87" w:rsidRPr="00B97C61" w:rsidRDefault="00C27E87" w:rsidP="005D59FA">
            <w:pPr>
              <w:rPr>
                <w:rFonts w:asciiTheme="minorHAnsi" w:hAnsiTheme="minorHAnsi" w:cs="Arial"/>
                <w:sz w:val="20"/>
                <w:szCs w:val="20"/>
              </w:rPr>
            </w:pPr>
          </w:p>
        </w:tc>
        <w:tc>
          <w:tcPr>
            <w:tcW w:w="3377" w:type="pct"/>
            <w:gridSpan w:val="6"/>
            <w:shd w:val="clear" w:color="auto" w:fill="auto"/>
          </w:tcPr>
          <w:p w14:paraId="27664DD9" w14:textId="77777777" w:rsidR="008C4909" w:rsidRDefault="008C4909" w:rsidP="005D59FA">
            <w:pPr>
              <w:jc w:val="center"/>
              <w:rPr>
                <w:rFonts w:asciiTheme="minorHAnsi" w:hAnsiTheme="minorHAnsi" w:cs="Arial"/>
                <w:b/>
                <w:sz w:val="20"/>
                <w:szCs w:val="20"/>
              </w:rPr>
            </w:pPr>
          </w:p>
          <w:p w14:paraId="3FC528B7" w14:textId="671EACC3" w:rsidR="00C27E87" w:rsidRPr="000E0F97" w:rsidRDefault="008C4909" w:rsidP="005D59FA">
            <w:pPr>
              <w:jc w:val="center"/>
              <w:rPr>
                <w:rFonts w:asciiTheme="minorHAnsi" w:hAnsiTheme="minorHAnsi" w:cs="Arial"/>
                <w:b/>
                <w:sz w:val="20"/>
                <w:szCs w:val="20"/>
              </w:rPr>
            </w:pPr>
            <w:r>
              <w:rPr>
                <w:rFonts w:asciiTheme="minorHAnsi" w:hAnsiTheme="minorHAnsi" w:cs="Arial"/>
                <w:b/>
                <w:sz w:val="20"/>
                <w:szCs w:val="20"/>
              </w:rPr>
              <w:t xml:space="preserve">Six months ended 30 June </w:t>
            </w:r>
            <w:r w:rsidR="00C27E87" w:rsidRPr="000E0F97">
              <w:rPr>
                <w:rFonts w:asciiTheme="minorHAnsi" w:hAnsiTheme="minorHAnsi" w:cs="Arial"/>
                <w:b/>
                <w:sz w:val="20"/>
                <w:szCs w:val="20"/>
              </w:rPr>
              <w:t>202</w:t>
            </w:r>
            <w:r w:rsidR="00C27E87">
              <w:rPr>
                <w:rFonts w:asciiTheme="minorHAnsi" w:hAnsiTheme="minorHAnsi" w:cs="Arial"/>
                <w:b/>
                <w:sz w:val="20"/>
                <w:szCs w:val="20"/>
              </w:rPr>
              <w:t>4</w:t>
            </w:r>
          </w:p>
        </w:tc>
      </w:tr>
      <w:tr w:rsidR="00473125" w:rsidRPr="00B97C61" w14:paraId="3988ED20" w14:textId="77777777" w:rsidTr="00A574FC">
        <w:trPr>
          <w:trHeight w:val="211"/>
        </w:trPr>
        <w:tc>
          <w:tcPr>
            <w:tcW w:w="1623" w:type="pct"/>
            <w:vAlign w:val="bottom"/>
          </w:tcPr>
          <w:p w14:paraId="56BDF1A5" w14:textId="77777777" w:rsidR="00C27E87" w:rsidRPr="00B97C61" w:rsidRDefault="00C27E87" w:rsidP="005D59FA">
            <w:pPr>
              <w:rPr>
                <w:rFonts w:asciiTheme="minorHAnsi" w:hAnsiTheme="minorHAnsi" w:cs="Arial"/>
                <w:sz w:val="20"/>
                <w:szCs w:val="20"/>
              </w:rPr>
            </w:pPr>
          </w:p>
        </w:tc>
        <w:tc>
          <w:tcPr>
            <w:tcW w:w="563" w:type="pct"/>
            <w:tcBorders>
              <w:top w:val="single" w:sz="4" w:space="0" w:color="auto"/>
            </w:tcBorders>
            <w:shd w:val="clear" w:color="auto" w:fill="F2F2F2" w:themeFill="background1" w:themeFillShade="F2"/>
            <w:vAlign w:val="bottom"/>
          </w:tcPr>
          <w:p w14:paraId="4FEC20A1" w14:textId="77777777" w:rsidR="00C27E87" w:rsidRPr="000E0F97" w:rsidRDefault="00C27E87" w:rsidP="005D59FA">
            <w:pPr>
              <w:jc w:val="right"/>
              <w:rPr>
                <w:rFonts w:asciiTheme="minorHAnsi" w:hAnsiTheme="minorHAnsi" w:cs="Arial"/>
                <w:b/>
                <w:sz w:val="20"/>
                <w:szCs w:val="20"/>
              </w:rPr>
            </w:pPr>
            <w:r w:rsidRPr="000E0F97">
              <w:rPr>
                <w:rFonts w:asciiTheme="minorHAnsi" w:hAnsiTheme="minorHAnsi" w:cs="Arial"/>
                <w:b/>
                <w:sz w:val="20"/>
                <w:szCs w:val="20"/>
              </w:rPr>
              <w:t>Scheme</w:t>
            </w:r>
          </w:p>
          <w:p w14:paraId="30ACAA97" w14:textId="77777777" w:rsidR="00C27E87" w:rsidRPr="000E0F97" w:rsidRDefault="00C27E87" w:rsidP="005D59FA">
            <w:pPr>
              <w:jc w:val="right"/>
              <w:rPr>
                <w:rFonts w:asciiTheme="minorHAnsi" w:hAnsiTheme="minorHAnsi" w:cs="Arial"/>
                <w:b/>
                <w:sz w:val="20"/>
                <w:szCs w:val="20"/>
              </w:rPr>
            </w:pPr>
            <w:r w:rsidRPr="000E0F97">
              <w:rPr>
                <w:rFonts w:asciiTheme="minorHAnsi" w:hAnsiTheme="minorHAnsi" w:cs="Arial"/>
                <w:b/>
                <w:sz w:val="20"/>
                <w:szCs w:val="20"/>
              </w:rPr>
              <w:t>£m</w:t>
            </w:r>
          </w:p>
        </w:tc>
        <w:tc>
          <w:tcPr>
            <w:tcW w:w="371" w:type="pct"/>
            <w:tcBorders>
              <w:top w:val="single" w:sz="4" w:space="0" w:color="auto"/>
            </w:tcBorders>
            <w:shd w:val="clear" w:color="auto" w:fill="F2F2F2" w:themeFill="background1" w:themeFillShade="F2"/>
            <w:vAlign w:val="bottom"/>
          </w:tcPr>
          <w:p w14:paraId="6B191E1F" w14:textId="77777777" w:rsidR="00C27E87" w:rsidRPr="000E0F97" w:rsidRDefault="00C27E87" w:rsidP="005D59FA">
            <w:pPr>
              <w:jc w:val="right"/>
              <w:rPr>
                <w:rFonts w:asciiTheme="minorHAnsi" w:hAnsiTheme="minorHAnsi" w:cs="Arial"/>
                <w:b/>
                <w:sz w:val="20"/>
                <w:szCs w:val="20"/>
              </w:rPr>
            </w:pPr>
            <w:r w:rsidRPr="000E0F97">
              <w:rPr>
                <w:rFonts w:asciiTheme="minorHAnsi" w:hAnsiTheme="minorHAnsi" w:cs="Arial"/>
                <w:b/>
                <w:sz w:val="20"/>
                <w:szCs w:val="20"/>
              </w:rPr>
              <w:t>ROP</w:t>
            </w:r>
          </w:p>
          <w:p w14:paraId="3DA57F1A" w14:textId="77777777" w:rsidR="00C27E87" w:rsidRPr="000E0F97" w:rsidRDefault="00C27E87" w:rsidP="005D59FA">
            <w:pPr>
              <w:jc w:val="right"/>
              <w:rPr>
                <w:rFonts w:asciiTheme="minorHAnsi" w:hAnsiTheme="minorHAnsi" w:cs="Arial"/>
                <w:b/>
                <w:sz w:val="20"/>
                <w:szCs w:val="20"/>
              </w:rPr>
            </w:pPr>
            <w:r w:rsidRPr="000E0F97">
              <w:rPr>
                <w:rFonts w:asciiTheme="minorHAnsi" w:hAnsiTheme="minorHAnsi" w:cs="Arial"/>
                <w:b/>
                <w:sz w:val="20"/>
                <w:szCs w:val="20"/>
              </w:rPr>
              <w:t>£m</w:t>
            </w:r>
          </w:p>
        </w:tc>
        <w:tc>
          <w:tcPr>
            <w:tcW w:w="757" w:type="pct"/>
            <w:tcBorders>
              <w:top w:val="single" w:sz="4" w:space="0" w:color="auto"/>
            </w:tcBorders>
            <w:shd w:val="clear" w:color="auto" w:fill="F2F2F2" w:themeFill="background1" w:themeFillShade="F2"/>
            <w:vAlign w:val="bottom"/>
          </w:tcPr>
          <w:p w14:paraId="1109DB65" w14:textId="77777777" w:rsidR="00C27E87" w:rsidRPr="000E0F97" w:rsidRDefault="00C27E87" w:rsidP="005D59FA">
            <w:pPr>
              <w:jc w:val="right"/>
              <w:rPr>
                <w:rFonts w:asciiTheme="minorHAnsi" w:hAnsiTheme="minorHAnsi" w:cs="Arial"/>
                <w:b/>
                <w:sz w:val="20"/>
                <w:szCs w:val="20"/>
              </w:rPr>
            </w:pPr>
            <w:r w:rsidRPr="000E0F97">
              <w:rPr>
                <w:rFonts w:asciiTheme="minorHAnsi" w:hAnsiTheme="minorHAnsi" w:cs="Arial"/>
                <w:b/>
                <w:sz w:val="20"/>
                <w:szCs w:val="20"/>
              </w:rPr>
              <w:t>Customer compliance</w:t>
            </w:r>
          </w:p>
          <w:p w14:paraId="42326817" w14:textId="77777777" w:rsidR="00C27E87" w:rsidRPr="000E0F97" w:rsidRDefault="00C27E87" w:rsidP="005D59FA">
            <w:pPr>
              <w:jc w:val="right"/>
              <w:rPr>
                <w:rFonts w:asciiTheme="minorHAnsi" w:hAnsiTheme="minorHAnsi" w:cs="Arial"/>
                <w:b/>
                <w:sz w:val="20"/>
                <w:szCs w:val="20"/>
              </w:rPr>
            </w:pPr>
            <w:r w:rsidRPr="000E0F97">
              <w:rPr>
                <w:rFonts w:asciiTheme="minorHAnsi" w:hAnsiTheme="minorHAnsi" w:cs="Arial"/>
                <w:b/>
                <w:sz w:val="20"/>
                <w:szCs w:val="20"/>
              </w:rPr>
              <w:t>£m</w:t>
            </w:r>
          </w:p>
        </w:tc>
        <w:tc>
          <w:tcPr>
            <w:tcW w:w="683" w:type="pct"/>
            <w:tcBorders>
              <w:top w:val="single" w:sz="4" w:space="0" w:color="auto"/>
            </w:tcBorders>
            <w:shd w:val="clear" w:color="auto" w:fill="F2F2F2" w:themeFill="background1" w:themeFillShade="F2"/>
          </w:tcPr>
          <w:p w14:paraId="500A3227" w14:textId="77777777" w:rsidR="00B51FD0" w:rsidRPr="00B51FD0" w:rsidRDefault="00B51FD0" w:rsidP="00E656F1">
            <w:pPr>
              <w:jc w:val="right"/>
              <w:rPr>
                <w:rFonts w:asciiTheme="minorHAnsi" w:hAnsiTheme="minorHAnsi" w:cs="Arial"/>
                <w:b/>
                <w:bCs/>
                <w:sz w:val="20"/>
                <w:szCs w:val="20"/>
              </w:rPr>
            </w:pPr>
          </w:p>
          <w:p w14:paraId="3232DBA2" w14:textId="77777777" w:rsidR="00B51FD0" w:rsidRPr="00B51FD0" w:rsidRDefault="00B51FD0" w:rsidP="00E656F1">
            <w:pPr>
              <w:jc w:val="right"/>
              <w:rPr>
                <w:rFonts w:asciiTheme="minorHAnsi" w:hAnsiTheme="minorHAnsi" w:cs="Arial"/>
                <w:b/>
                <w:bCs/>
                <w:sz w:val="20"/>
                <w:szCs w:val="20"/>
              </w:rPr>
            </w:pPr>
            <w:r w:rsidRPr="00B51FD0">
              <w:rPr>
                <w:rFonts w:asciiTheme="minorHAnsi" w:hAnsiTheme="minorHAnsi" w:cs="Arial"/>
                <w:b/>
                <w:bCs/>
                <w:sz w:val="20"/>
                <w:szCs w:val="20"/>
              </w:rPr>
              <w:t>Dilapidations</w:t>
            </w:r>
          </w:p>
          <w:p w14:paraId="411FB088" w14:textId="6420AB0B" w:rsidR="00B51FD0" w:rsidRPr="00B51FD0" w:rsidRDefault="00B51FD0" w:rsidP="00D85491">
            <w:pPr>
              <w:jc w:val="right"/>
              <w:rPr>
                <w:rFonts w:asciiTheme="minorHAnsi" w:hAnsiTheme="minorHAnsi" w:cs="Arial"/>
                <w:b/>
                <w:bCs/>
                <w:sz w:val="20"/>
                <w:szCs w:val="20"/>
              </w:rPr>
            </w:pPr>
            <w:r w:rsidRPr="00B51FD0">
              <w:rPr>
                <w:rFonts w:asciiTheme="minorHAnsi" w:hAnsiTheme="minorHAnsi" w:cs="Arial"/>
                <w:b/>
                <w:bCs/>
                <w:sz w:val="20"/>
                <w:szCs w:val="20"/>
              </w:rPr>
              <w:t>£m</w:t>
            </w:r>
          </w:p>
        </w:tc>
        <w:tc>
          <w:tcPr>
            <w:tcW w:w="502" w:type="pct"/>
            <w:tcBorders>
              <w:top w:val="single" w:sz="4" w:space="0" w:color="auto"/>
            </w:tcBorders>
            <w:shd w:val="clear" w:color="auto" w:fill="F2F2F2" w:themeFill="background1" w:themeFillShade="F2"/>
            <w:vAlign w:val="bottom"/>
          </w:tcPr>
          <w:p w14:paraId="22D00F40" w14:textId="77777777" w:rsidR="00C27E87" w:rsidRPr="000E0F97" w:rsidRDefault="00C27E87" w:rsidP="005D59FA">
            <w:pPr>
              <w:jc w:val="right"/>
              <w:rPr>
                <w:rFonts w:asciiTheme="minorHAnsi" w:hAnsiTheme="minorHAnsi" w:cs="Arial"/>
                <w:b/>
                <w:sz w:val="20"/>
                <w:szCs w:val="20"/>
              </w:rPr>
            </w:pPr>
            <w:r w:rsidRPr="000E0F97">
              <w:rPr>
                <w:rFonts w:asciiTheme="minorHAnsi" w:hAnsiTheme="minorHAnsi" w:cs="Arial"/>
                <w:b/>
                <w:sz w:val="20"/>
                <w:szCs w:val="20"/>
              </w:rPr>
              <w:t>Others</w:t>
            </w:r>
          </w:p>
          <w:p w14:paraId="22E5DC60" w14:textId="77777777" w:rsidR="00C27E87" w:rsidRPr="000E0F97" w:rsidRDefault="00C27E87" w:rsidP="005D59FA">
            <w:pPr>
              <w:jc w:val="right"/>
              <w:rPr>
                <w:rFonts w:asciiTheme="minorHAnsi" w:hAnsiTheme="minorHAnsi" w:cs="Arial"/>
                <w:b/>
                <w:sz w:val="20"/>
                <w:szCs w:val="20"/>
              </w:rPr>
            </w:pPr>
            <w:r>
              <w:rPr>
                <w:rFonts w:asciiTheme="minorHAnsi" w:hAnsiTheme="minorHAnsi" w:cs="Arial"/>
                <w:b/>
                <w:sz w:val="20"/>
                <w:szCs w:val="20"/>
              </w:rPr>
              <w:t>£m</w:t>
            </w:r>
          </w:p>
        </w:tc>
        <w:tc>
          <w:tcPr>
            <w:tcW w:w="501" w:type="pct"/>
            <w:tcBorders>
              <w:top w:val="single" w:sz="4" w:space="0" w:color="auto"/>
            </w:tcBorders>
            <w:shd w:val="clear" w:color="auto" w:fill="F2F2F2" w:themeFill="background1" w:themeFillShade="F2"/>
            <w:vAlign w:val="bottom"/>
          </w:tcPr>
          <w:p w14:paraId="67440559" w14:textId="77777777" w:rsidR="00C27E87" w:rsidRPr="000E0F97" w:rsidRDefault="00C27E87" w:rsidP="005D59FA">
            <w:pPr>
              <w:jc w:val="right"/>
              <w:rPr>
                <w:rFonts w:asciiTheme="minorHAnsi" w:hAnsiTheme="minorHAnsi" w:cs="Arial"/>
                <w:b/>
                <w:sz w:val="20"/>
                <w:szCs w:val="20"/>
              </w:rPr>
            </w:pPr>
            <w:r w:rsidRPr="000E0F97">
              <w:rPr>
                <w:rFonts w:asciiTheme="minorHAnsi" w:hAnsiTheme="minorHAnsi" w:cs="Arial"/>
                <w:b/>
                <w:sz w:val="20"/>
                <w:szCs w:val="20"/>
              </w:rPr>
              <w:t>Total</w:t>
            </w:r>
          </w:p>
          <w:p w14:paraId="378E0332" w14:textId="77777777" w:rsidR="00C27E87" w:rsidRPr="000E0F97" w:rsidRDefault="00C27E87" w:rsidP="005D59FA">
            <w:pPr>
              <w:jc w:val="right"/>
              <w:rPr>
                <w:rFonts w:asciiTheme="minorHAnsi" w:hAnsiTheme="minorHAnsi" w:cs="Arial"/>
                <w:b/>
                <w:sz w:val="20"/>
                <w:szCs w:val="20"/>
              </w:rPr>
            </w:pPr>
            <w:r w:rsidRPr="000E0F97">
              <w:rPr>
                <w:rFonts w:asciiTheme="minorHAnsi" w:hAnsiTheme="minorHAnsi" w:cs="Arial"/>
                <w:b/>
                <w:sz w:val="20"/>
                <w:szCs w:val="20"/>
              </w:rPr>
              <w:t>£m</w:t>
            </w:r>
          </w:p>
        </w:tc>
      </w:tr>
      <w:tr w:rsidR="00473125" w:rsidRPr="00DA4E3B" w14:paraId="1E75003E" w14:textId="77777777" w:rsidTr="00A574FC">
        <w:trPr>
          <w:trHeight w:val="211"/>
        </w:trPr>
        <w:tc>
          <w:tcPr>
            <w:tcW w:w="1623" w:type="pct"/>
            <w:vAlign w:val="bottom"/>
          </w:tcPr>
          <w:p w14:paraId="54FDB625" w14:textId="77777777" w:rsidR="00C27E87" w:rsidRPr="00B97C61" w:rsidRDefault="00C27E87" w:rsidP="005D59FA">
            <w:pPr>
              <w:rPr>
                <w:rFonts w:asciiTheme="minorHAnsi" w:hAnsiTheme="minorHAnsi" w:cs="Arial"/>
                <w:sz w:val="20"/>
                <w:szCs w:val="20"/>
              </w:rPr>
            </w:pPr>
            <w:r w:rsidRPr="00B97C61">
              <w:rPr>
                <w:rFonts w:asciiTheme="minorHAnsi" w:hAnsiTheme="minorHAnsi" w:cs="Arial"/>
                <w:sz w:val="20"/>
                <w:szCs w:val="20"/>
              </w:rPr>
              <w:t>At 1 January</w:t>
            </w:r>
          </w:p>
        </w:tc>
        <w:tc>
          <w:tcPr>
            <w:tcW w:w="563" w:type="pct"/>
            <w:shd w:val="clear" w:color="auto" w:fill="F2F2F2" w:themeFill="background1" w:themeFillShade="F2"/>
          </w:tcPr>
          <w:p w14:paraId="24419B42" w14:textId="337C7235" w:rsidR="00C27E87" w:rsidRPr="006D4208" w:rsidRDefault="00B835E3" w:rsidP="005D59FA">
            <w:pPr>
              <w:jc w:val="right"/>
              <w:rPr>
                <w:rFonts w:asciiTheme="minorHAnsi" w:hAnsiTheme="minorHAnsi" w:cs="Arial"/>
                <w:b/>
                <w:sz w:val="20"/>
                <w:szCs w:val="20"/>
              </w:rPr>
            </w:pPr>
            <w:r w:rsidRPr="006A0E69">
              <w:rPr>
                <w:rFonts w:asciiTheme="minorHAnsi" w:hAnsiTheme="minorHAnsi" w:cs="Arial"/>
                <w:b/>
                <w:sz w:val="20"/>
                <w:szCs w:val="20"/>
              </w:rPr>
              <w:t>1.0</w:t>
            </w:r>
          </w:p>
        </w:tc>
        <w:tc>
          <w:tcPr>
            <w:tcW w:w="371" w:type="pct"/>
            <w:shd w:val="clear" w:color="auto" w:fill="F2F2F2" w:themeFill="background1" w:themeFillShade="F2"/>
          </w:tcPr>
          <w:p w14:paraId="03EE0973" w14:textId="5E7AFB1C" w:rsidR="00C27E87" w:rsidRPr="006D4208" w:rsidRDefault="00B835E3" w:rsidP="005D59FA">
            <w:pPr>
              <w:jc w:val="right"/>
              <w:rPr>
                <w:rFonts w:asciiTheme="minorHAnsi" w:hAnsiTheme="minorHAnsi" w:cs="Arial"/>
                <w:b/>
                <w:sz w:val="20"/>
                <w:szCs w:val="20"/>
              </w:rPr>
            </w:pPr>
            <w:r w:rsidRPr="006D4208">
              <w:rPr>
                <w:rFonts w:asciiTheme="minorHAnsi" w:hAnsiTheme="minorHAnsi" w:cs="Arial"/>
                <w:b/>
                <w:sz w:val="20"/>
                <w:szCs w:val="20"/>
              </w:rPr>
              <w:t>-</w:t>
            </w:r>
          </w:p>
        </w:tc>
        <w:tc>
          <w:tcPr>
            <w:tcW w:w="757" w:type="pct"/>
            <w:shd w:val="clear" w:color="auto" w:fill="F2F2F2" w:themeFill="background1" w:themeFillShade="F2"/>
          </w:tcPr>
          <w:p w14:paraId="5DED256A" w14:textId="3A7F6A40" w:rsidR="00C27E87" w:rsidRPr="009C4BFC" w:rsidRDefault="00B835E3" w:rsidP="005D59FA">
            <w:pPr>
              <w:jc w:val="right"/>
              <w:rPr>
                <w:rFonts w:asciiTheme="minorHAnsi" w:hAnsiTheme="minorHAnsi" w:cs="Arial"/>
                <w:b/>
                <w:sz w:val="20"/>
                <w:szCs w:val="20"/>
              </w:rPr>
            </w:pPr>
            <w:r w:rsidRPr="006D4208">
              <w:rPr>
                <w:rFonts w:asciiTheme="minorHAnsi" w:hAnsiTheme="minorHAnsi" w:cs="Arial"/>
                <w:b/>
                <w:sz w:val="20"/>
                <w:szCs w:val="20"/>
              </w:rPr>
              <w:t>3.5</w:t>
            </w:r>
          </w:p>
        </w:tc>
        <w:tc>
          <w:tcPr>
            <w:tcW w:w="683" w:type="pct"/>
            <w:shd w:val="clear" w:color="auto" w:fill="F2F2F2" w:themeFill="background1" w:themeFillShade="F2"/>
          </w:tcPr>
          <w:p w14:paraId="288DF4F0" w14:textId="003E5E35" w:rsidR="00B51FD0" w:rsidRPr="00B51FD0" w:rsidRDefault="00B51FD0" w:rsidP="00B51FD0">
            <w:pPr>
              <w:jc w:val="right"/>
              <w:rPr>
                <w:rFonts w:asciiTheme="minorHAnsi" w:hAnsiTheme="minorHAnsi" w:cs="Arial"/>
                <w:b/>
                <w:bCs/>
                <w:sz w:val="20"/>
                <w:szCs w:val="20"/>
              </w:rPr>
            </w:pPr>
            <w:r w:rsidRPr="00B51FD0">
              <w:rPr>
                <w:rFonts w:asciiTheme="minorHAnsi" w:hAnsiTheme="minorHAnsi" w:cs="Arial"/>
                <w:b/>
                <w:bCs/>
                <w:sz w:val="20"/>
                <w:szCs w:val="20"/>
              </w:rPr>
              <w:t>0.</w:t>
            </w:r>
            <w:r w:rsidR="007E2E3D">
              <w:rPr>
                <w:rFonts w:asciiTheme="minorHAnsi" w:hAnsiTheme="minorHAnsi" w:cs="Arial"/>
                <w:b/>
                <w:bCs/>
                <w:sz w:val="20"/>
                <w:szCs w:val="20"/>
              </w:rPr>
              <w:t>3</w:t>
            </w:r>
          </w:p>
        </w:tc>
        <w:tc>
          <w:tcPr>
            <w:tcW w:w="502" w:type="pct"/>
            <w:shd w:val="clear" w:color="auto" w:fill="F2F2F2" w:themeFill="background1" w:themeFillShade="F2"/>
          </w:tcPr>
          <w:p w14:paraId="6DC14CE4" w14:textId="6D35E4A2" w:rsidR="00C27E87" w:rsidRPr="009C4BFC" w:rsidRDefault="00B835E3" w:rsidP="005D59FA">
            <w:pPr>
              <w:jc w:val="right"/>
              <w:rPr>
                <w:rFonts w:asciiTheme="minorHAnsi" w:hAnsiTheme="minorHAnsi" w:cs="Arial"/>
                <w:b/>
                <w:sz w:val="20"/>
                <w:szCs w:val="20"/>
              </w:rPr>
            </w:pPr>
            <w:r w:rsidRPr="006A0E69">
              <w:rPr>
                <w:rFonts w:asciiTheme="minorHAnsi" w:hAnsiTheme="minorHAnsi" w:cs="Arial"/>
                <w:b/>
                <w:sz w:val="20"/>
                <w:szCs w:val="20"/>
              </w:rPr>
              <w:t>1.</w:t>
            </w:r>
            <w:r w:rsidR="00D136B6">
              <w:rPr>
                <w:rFonts w:asciiTheme="minorHAnsi" w:hAnsiTheme="minorHAnsi" w:cs="Arial"/>
                <w:b/>
                <w:sz w:val="20"/>
                <w:szCs w:val="20"/>
              </w:rPr>
              <w:t>0</w:t>
            </w:r>
          </w:p>
        </w:tc>
        <w:tc>
          <w:tcPr>
            <w:tcW w:w="501" w:type="pct"/>
            <w:shd w:val="clear" w:color="auto" w:fill="F2F2F2" w:themeFill="background1" w:themeFillShade="F2"/>
            <w:vAlign w:val="bottom"/>
          </w:tcPr>
          <w:p w14:paraId="2BAFAA8F" w14:textId="332CAFC0" w:rsidR="00C27E87" w:rsidRPr="009C4BFC" w:rsidRDefault="00B835E3" w:rsidP="005D59FA">
            <w:pPr>
              <w:jc w:val="right"/>
              <w:rPr>
                <w:rFonts w:asciiTheme="minorHAnsi" w:hAnsiTheme="minorHAnsi" w:cs="Arial"/>
                <w:b/>
                <w:sz w:val="20"/>
                <w:szCs w:val="20"/>
              </w:rPr>
            </w:pPr>
            <w:r w:rsidRPr="006A0E69">
              <w:rPr>
                <w:rFonts w:asciiTheme="minorHAnsi" w:hAnsiTheme="minorHAnsi" w:cs="Arial"/>
                <w:b/>
                <w:sz w:val="20"/>
                <w:szCs w:val="20"/>
              </w:rPr>
              <w:t>5.8</w:t>
            </w:r>
          </w:p>
        </w:tc>
      </w:tr>
      <w:tr w:rsidR="00473125" w:rsidRPr="00B835E3" w14:paraId="7EC02368" w14:textId="77777777" w:rsidTr="00A574FC">
        <w:trPr>
          <w:trHeight w:val="211"/>
        </w:trPr>
        <w:tc>
          <w:tcPr>
            <w:tcW w:w="1623" w:type="pct"/>
            <w:vAlign w:val="bottom"/>
          </w:tcPr>
          <w:p w14:paraId="09970A71" w14:textId="081558B1" w:rsidR="00C27E87" w:rsidRPr="00B97C61" w:rsidRDefault="00C27E87" w:rsidP="005D59FA">
            <w:pPr>
              <w:tabs>
                <w:tab w:val="right" w:pos="4680"/>
              </w:tabs>
              <w:rPr>
                <w:rFonts w:asciiTheme="minorHAnsi" w:hAnsiTheme="minorHAnsi" w:cs="Arial"/>
                <w:sz w:val="20"/>
                <w:szCs w:val="20"/>
              </w:rPr>
            </w:pPr>
            <w:r w:rsidRPr="00B97C61">
              <w:rPr>
                <w:rFonts w:asciiTheme="minorHAnsi" w:hAnsiTheme="minorHAnsi" w:cs="Arial"/>
                <w:sz w:val="20"/>
                <w:szCs w:val="20"/>
              </w:rPr>
              <w:t xml:space="preserve">Created in the </w:t>
            </w:r>
            <w:r w:rsidR="00A2748D">
              <w:rPr>
                <w:rFonts w:asciiTheme="minorHAnsi" w:hAnsiTheme="minorHAnsi" w:cs="Arial"/>
                <w:sz w:val="20"/>
                <w:szCs w:val="20"/>
              </w:rPr>
              <w:t>period</w:t>
            </w:r>
          </w:p>
        </w:tc>
        <w:tc>
          <w:tcPr>
            <w:tcW w:w="563" w:type="pct"/>
            <w:shd w:val="clear" w:color="auto" w:fill="F2F2F2" w:themeFill="background1" w:themeFillShade="F2"/>
          </w:tcPr>
          <w:p w14:paraId="02784235" w14:textId="1ED1CAC7" w:rsidR="00C27E87" w:rsidRPr="006D4208" w:rsidRDefault="00C27E87" w:rsidP="005D59FA">
            <w:pPr>
              <w:jc w:val="right"/>
              <w:rPr>
                <w:rFonts w:asciiTheme="minorHAnsi" w:hAnsiTheme="minorHAnsi" w:cs="Arial"/>
                <w:b/>
                <w:sz w:val="20"/>
                <w:szCs w:val="20"/>
              </w:rPr>
            </w:pPr>
            <w:r w:rsidRPr="006A0E69">
              <w:rPr>
                <w:rFonts w:asciiTheme="minorHAnsi" w:hAnsiTheme="minorHAnsi" w:cs="Arial"/>
                <w:b/>
                <w:sz w:val="20"/>
                <w:szCs w:val="20"/>
              </w:rPr>
              <w:t>-</w:t>
            </w:r>
          </w:p>
        </w:tc>
        <w:tc>
          <w:tcPr>
            <w:tcW w:w="371" w:type="pct"/>
            <w:shd w:val="clear" w:color="auto" w:fill="F2F2F2" w:themeFill="background1" w:themeFillShade="F2"/>
          </w:tcPr>
          <w:p w14:paraId="5A90A4B9" w14:textId="16005A7E" w:rsidR="00C27E87" w:rsidRPr="006D4208" w:rsidRDefault="00C27E87" w:rsidP="005D59FA">
            <w:pPr>
              <w:jc w:val="right"/>
              <w:rPr>
                <w:rFonts w:asciiTheme="minorHAnsi" w:hAnsiTheme="minorHAnsi" w:cs="Arial"/>
                <w:b/>
                <w:sz w:val="20"/>
                <w:szCs w:val="20"/>
              </w:rPr>
            </w:pPr>
            <w:r w:rsidRPr="006A0E69">
              <w:rPr>
                <w:rFonts w:asciiTheme="minorHAnsi" w:hAnsiTheme="minorHAnsi" w:cs="Arial"/>
                <w:b/>
                <w:sz w:val="20"/>
                <w:szCs w:val="20"/>
              </w:rPr>
              <w:t>-</w:t>
            </w:r>
          </w:p>
        </w:tc>
        <w:tc>
          <w:tcPr>
            <w:tcW w:w="757" w:type="pct"/>
            <w:shd w:val="clear" w:color="auto" w:fill="F2F2F2" w:themeFill="background1" w:themeFillShade="F2"/>
          </w:tcPr>
          <w:p w14:paraId="7A0C3342" w14:textId="773AB652" w:rsidR="00C27E87" w:rsidRPr="006A0E69" w:rsidRDefault="00651AAC" w:rsidP="005D59FA">
            <w:pPr>
              <w:jc w:val="right"/>
              <w:rPr>
                <w:rFonts w:asciiTheme="minorHAnsi" w:hAnsiTheme="minorHAnsi" w:cs="Arial"/>
                <w:b/>
                <w:sz w:val="20"/>
                <w:szCs w:val="20"/>
              </w:rPr>
            </w:pPr>
            <w:r>
              <w:rPr>
                <w:rFonts w:asciiTheme="minorHAnsi" w:hAnsiTheme="minorHAnsi" w:cs="Arial"/>
                <w:b/>
                <w:sz w:val="20"/>
                <w:szCs w:val="20"/>
              </w:rPr>
              <w:t>9.</w:t>
            </w:r>
            <w:r w:rsidR="00622CB0">
              <w:rPr>
                <w:rFonts w:asciiTheme="minorHAnsi" w:hAnsiTheme="minorHAnsi" w:cs="Arial"/>
                <w:b/>
                <w:sz w:val="20"/>
                <w:szCs w:val="20"/>
              </w:rPr>
              <w:t>6</w:t>
            </w:r>
          </w:p>
        </w:tc>
        <w:tc>
          <w:tcPr>
            <w:tcW w:w="683" w:type="pct"/>
            <w:shd w:val="clear" w:color="auto" w:fill="F2F2F2" w:themeFill="background1" w:themeFillShade="F2"/>
          </w:tcPr>
          <w:p w14:paraId="4E2A7CB3" w14:textId="3102497D" w:rsidR="00B51FD0" w:rsidRPr="00B51FD0" w:rsidRDefault="00742AAB" w:rsidP="00B51FD0">
            <w:pPr>
              <w:jc w:val="right"/>
              <w:rPr>
                <w:rFonts w:asciiTheme="minorHAnsi" w:hAnsiTheme="minorHAnsi" w:cs="Arial"/>
                <w:b/>
                <w:bCs/>
                <w:sz w:val="20"/>
                <w:szCs w:val="20"/>
              </w:rPr>
            </w:pPr>
            <w:r>
              <w:rPr>
                <w:rFonts w:asciiTheme="minorHAnsi" w:hAnsiTheme="minorHAnsi" w:cs="Arial"/>
                <w:b/>
                <w:bCs/>
                <w:sz w:val="20"/>
                <w:szCs w:val="20"/>
              </w:rPr>
              <w:t>4.9</w:t>
            </w:r>
          </w:p>
        </w:tc>
        <w:tc>
          <w:tcPr>
            <w:tcW w:w="502" w:type="pct"/>
            <w:shd w:val="clear" w:color="auto" w:fill="F2F2F2" w:themeFill="background1" w:themeFillShade="F2"/>
          </w:tcPr>
          <w:p w14:paraId="41176AF4" w14:textId="2395C5BE" w:rsidR="00C27E87" w:rsidRPr="006A0E69" w:rsidRDefault="00B61D21" w:rsidP="7CF39D69">
            <w:pPr>
              <w:jc w:val="right"/>
              <w:rPr>
                <w:rFonts w:asciiTheme="minorHAnsi" w:hAnsiTheme="minorHAnsi" w:cs="Arial"/>
                <w:b/>
                <w:sz w:val="20"/>
                <w:szCs w:val="20"/>
              </w:rPr>
            </w:pPr>
            <w:r>
              <w:rPr>
                <w:rFonts w:asciiTheme="minorHAnsi" w:hAnsiTheme="minorHAnsi" w:cs="Arial"/>
                <w:b/>
                <w:bCs/>
                <w:sz w:val="20"/>
                <w:szCs w:val="20"/>
              </w:rPr>
              <w:t>2</w:t>
            </w:r>
            <w:r w:rsidR="00100DF7" w:rsidRPr="006A0E69">
              <w:rPr>
                <w:rFonts w:asciiTheme="minorHAnsi" w:hAnsiTheme="minorHAnsi" w:cs="Arial"/>
                <w:b/>
                <w:bCs/>
                <w:sz w:val="20"/>
                <w:szCs w:val="20"/>
              </w:rPr>
              <w:t>.</w:t>
            </w:r>
            <w:r w:rsidR="008E1886">
              <w:rPr>
                <w:rFonts w:asciiTheme="minorHAnsi" w:hAnsiTheme="minorHAnsi" w:cs="Arial"/>
                <w:b/>
                <w:bCs/>
                <w:sz w:val="20"/>
                <w:szCs w:val="20"/>
              </w:rPr>
              <w:t>6</w:t>
            </w:r>
          </w:p>
        </w:tc>
        <w:tc>
          <w:tcPr>
            <w:tcW w:w="501" w:type="pct"/>
            <w:shd w:val="clear" w:color="auto" w:fill="F2F2F2" w:themeFill="background1" w:themeFillShade="F2"/>
          </w:tcPr>
          <w:p w14:paraId="3A6EF5C5" w14:textId="4E2CC0AF" w:rsidR="00C27E87" w:rsidRPr="006A0E69" w:rsidRDefault="00B51FD0" w:rsidP="005D59FA">
            <w:pPr>
              <w:jc w:val="right"/>
              <w:rPr>
                <w:rFonts w:asciiTheme="minorHAnsi" w:hAnsiTheme="minorHAnsi" w:cs="Arial"/>
                <w:b/>
                <w:sz w:val="20"/>
                <w:szCs w:val="20"/>
              </w:rPr>
            </w:pPr>
            <w:r w:rsidRPr="006A0E69">
              <w:rPr>
                <w:rFonts w:asciiTheme="minorHAnsi" w:hAnsiTheme="minorHAnsi" w:cs="Arial"/>
                <w:b/>
                <w:bCs/>
                <w:sz w:val="20"/>
                <w:szCs w:val="20"/>
              </w:rPr>
              <w:t>1</w:t>
            </w:r>
            <w:r w:rsidR="0043383E">
              <w:rPr>
                <w:rFonts w:asciiTheme="minorHAnsi" w:hAnsiTheme="minorHAnsi" w:cs="Arial"/>
                <w:b/>
                <w:bCs/>
                <w:sz w:val="20"/>
                <w:szCs w:val="20"/>
              </w:rPr>
              <w:t>7.</w:t>
            </w:r>
            <w:r w:rsidR="00664E2B">
              <w:rPr>
                <w:rFonts w:asciiTheme="minorHAnsi" w:hAnsiTheme="minorHAnsi" w:cs="Arial"/>
                <w:b/>
                <w:bCs/>
                <w:sz w:val="20"/>
                <w:szCs w:val="20"/>
              </w:rPr>
              <w:t>1</w:t>
            </w:r>
          </w:p>
        </w:tc>
      </w:tr>
      <w:tr w:rsidR="004F165C" w:rsidRPr="00B835E3" w14:paraId="368AC943" w14:textId="77777777" w:rsidTr="00A574FC">
        <w:trPr>
          <w:trHeight w:val="211"/>
        </w:trPr>
        <w:tc>
          <w:tcPr>
            <w:tcW w:w="1623" w:type="pct"/>
            <w:vAlign w:val="bottom"/>
          </w:tcPr>
          <w:p w14:paraId="2C1B5693" w14:textId="5911ED4A" w:rsidR="00C27E87" w:rsidRPr="00B97C61" w:rsidRDefault="00C27E87" w:rsidP="005D59FA">
            <w:pPr>
              <w:tabs>
                <w:tab w:val="right" w:pos="4680"/>
              </w:tabs>
              <w:rPr>
                <w:rFonts w:asciiTheme="minorHAnsi" w:hAnsiTheme="minorHAnsi" w:cs="Arial"/>
                <w:sz w:val="20"/>
                <w:szCs w:val="20"/>
              </w:rPr>
            </w:pPr>
            <w:r w:rsidRPr="00B97C61">
              <w:rPr>
                <w:rFonts w:asciiTheme="minorHAnsi" w:hAnsiTheme="minorHAnsi" w:cs="Arial"/>
                <w:sz w:val="20"/>
                <w:szCs w:val="20"/>
              </w:rPr>
              <w:t xml:space="preserve">Reclassified in the </w:t>
            </w:r>
            <w:r w:rsidR="00A2748D">
              <w:rPr>
                <w:rFonts w:asciiTheme="minorHAnsi" w:hAnsiTheme="minorHAnsi" w:cs="Arial"/>
                <w:sz w:val="20"/>
                <w:szCs w:val="20"/>
              </w:rPr>
              <w:t>period</w:t>
            </w:r>
          </w:p>
        </w:tc>
        <w:tc>
          <w:tcPr>
            <w:tcW w:w="563" w:type="pct"/>
            <w:shd w:val="clear" w:color="auto" w:fill="F2F2F2" w:themeFill="background1" w:themeFillShade="F2"/>
          </w:tcPr>
          <w:p w14:paraId="2FD520BE" w14:textId="715CF4E1" w:rsidR="00C27E87" w:rsidRPr="006D4208" w:rsidRDefault="00C27E87" w:rsidP="005D59FA">
            <w:pPr>
              <w:jc w:val="right"/>
              <w:rPr>
                <w:rFonts w:asciiTheme="minorHAnsi" w:hAnsiTheme="minorHAnsi" w:cs="Arial"/>
                <w:b/>
                <w:sz w:val="20"/>
                <w:szCs w:val="20"/>
              </w:rPr>
            </w:pPr>
            <w:r w:rsidRPr="006A0E69">
              <w:rPr>
                <w:rFonts w:asciiTheme="minorHAnsi" w:hAnsiTheme="minorHAnsi" w:cs="Arial"/>
                <w:b/>
                <w:sz w:val="20"/>
                <w:szCs w:val="20"/>
              </w:rPr>
              <w:t>-</w:t>
            </w:r>
          </w:p>
        </w:tc>
        <w:tc>
          <w:tcPr>
            <w:tcW w:w="371" w:type="pct"/>
            <w:shd w:val="clear" w:color="auto" w:fill="F2F2F2" w:themeFill="background1" w:themeFillShade="F2"/>
          </w:tcPr>
          <w:p w14:paraId="1E55DC9C" w14:textId="269C5DCE" w:rsidR="00C27E87" w:rsidRPr="006D4208" w:rsidRDefault="00C27E87" w:rsidP="005D59FA">
            <w:pPr>
              <w:jc w:val="right"/>
              <w:rPr>
                <w:rFonts w:asciiTheme="minorHAnsi" w:hAnsiTheme="minorHAnsi" w:cs="Arial"/>
                <w:b/>
                <w:sz w:val="20"/>
                <w:szCs w:val="20"/>
              </w:rPr>
            </w:pPr>
            <w:r w:rsidRPr="006A0E69">
              <w:rPr>
                <w:rFonts w:asciiTheme="minorHAnsi" w:hAnsiTheme="minorHAnsi" w:cs="Arial"/>
                <w:b/>
                <w:sz w:val="20"/>
                <w:szCs w:val="20"/>
              </w:rPr>
              <w:t>-</w:t>
            </w:r>
          </w:p>
        </w:tc>
        <w:tc>
          <w:tcPr>
            <w:tcW w:w="757" w:type="pct"/>
            <w:shd w:val="clear" w:color="auto" w:fill="F2F2F2" w:themeFill="background1" w:themeFillShade="F2"/>
          </w:tcPr>
          <w:p w14:paraId="5EFD205D" w14:textId="163C325B" w:rsidR="00C27E87" w:rsidRPr="006B6E8F" w:rsidRDefault="00C27E87" w:rsidP="005D59FA">
            <w:pPr>
              <w:jc w:val="right"/>
              <w:rPr>
                <w:rFonts w:asciiTheme="minorHAnsi" w:hAnsiTheme="minorHAnsi" w:cs="Arial"/>
                <w:b/>
                <w:sz w:val="20"/>
                <w:szCs w:val="20"/>
              </w:rPr>
            </w:pPr>
            <w:r w:rsidRPr="006A0E69">
              <w:rPr>
                <w:rFonts w:asciiTheme="minorHAnsi" w:hAnsiTheme="minorHAnsi" w:cs="Arial"/>
                <w:b/>
                <w:sz w:val="20"/>
                <w:szCs w:val="20"/>
              </w:rPr>
              <w:t>-</w:t>
            </w:r>
          </w:p>
        </w:tc>
        <w:tc>
          <w:tcPr>
            <w:tcW w:w="683" w:type="pct"/>
            <w:shd w:val="clear" w:color="auto" w:fill="F2F2F2" w:themeFill="background1" w:themeFillShade="F2"/>
          </w:tcPr>
          <w:p w14:paraId="0F6C3622" w14:textId="227A857D" w:rsidR="00B51FD0" w:rsidRPr="00B51FD0" w:rsidRDefault="00B51FD0" w:rsidP="00B51FD0">
            <w:pPr>
              <w:jc w:val="right"/>
              <w:rPr>
                <w:rFonts w:asciiTheme="minorHAnsi" w:hAnsiTheme="minorHAnsi" w:cs="Arial"/>
                <w:b/>
                <w:bCs/>
                <w:sz w:val="20"/>
                <w:szCs w:val="20"/>
              </w:rPr>
            </w:pPr>
            <w:r w:rsidRPr="00B51FD0">
              <w:rPr>
                <w:rFonts w:asciiTheme="minorHAnsi" w:hAnsiTheme="minorHAnsi" w:cs="Arial"/>
                <w:b/>
                <w:bCs/>
                <w:sz w:val="20"/>
                <w:szCs w:val="20"/>
              </w:rPr>
              <w:t>-</w:t>
            </w:r>
          </w:p>
        </w:tc>
        <w:tc>
          <w:tcPr>
            <w:tcW w:w="502" w:type="pct"/>
            <w:shd w:val="clear" w:color="auto" w:fill="F2F2F2" w:themeFill="background1" w:themeFillShade="F2"/>
          </w:tcPr>
          <w:p w14:paraId="2FCF8BDE" w14:textId="2813795D" w:rsidR="00C27E87" w:rsidRPr="006B6E8F" w:rsidRDefault="00387871" w:rsidP="005D59FA">
            <w:pPr>
              <w:jc w:val="right"/>
              <w:rPr>
                <w:rFonts w:asciiTheme="minorHAnsi" w:hAnsiTheme="minorHAnsi" w:cs="Arial"/>
                <w:b/>
                <w:sz w:val="20"/>
                <w:szCs w:val="20"/>
              </w:rPr>
            </w:pPr>
            <w:r w:rsidRPr="006A0E69">
              <w:rPr>
                <w:rFonts w:asciiTheme="minorHAnsi" w:hAnsiTheme="minorHAnsi" w:cs="Arial"/>
                <w:b/>
                <w:sz w:val="20"/>
                <w:szCs w:val="20"/>
              </w:rPr>
              <w:t>-</w:t>
            </w:r>
          </w:p>
        </w:tc>
        <w:tc>
          <w:tcPr>
            <w:tcW w:w="501" w:type="pct"/>
            <w:shd w:val="clear" w:color="auto" w:fill="F2F2F2" w:themeFill="background1" w:themeFillShade="F2"/>
          </w:tcPr>
          <w:p w14:paraId="483595B2" w14:textId="5480870F" w:rsidR="00C27E87" w:rsidRPr="006B6E8F" w:rsidRDefault="00387871" w:rsidP="005D59FA">
            <w:pPr>
              <w:jc w:val="right"/>
              <w:rPr>
                <w:rFonts w:asciiTheme="minorHAnsi" w:hAnsiTheme="minorHAnsi" w:cs="Arial"/>
                <w:b/>
                <w:sz w:val="20"/>
                <w:szCs w:val="20"/>
              </w:rPr>
            </w:pPr>
            <w:r w:rsidRPr="006A0E69">
              <w:rPr>
                <w:rFonts w:asciiTheme="minorHAnsi" w:hAnsiTheme="minorHAnsi" w:cs="Arial"/>
                <w:b/>
                <w:sz w:val="20"/>
                <w:szCs w:val="20"/>
              </w:rPr>
              <w:t>-</w:t>
            </w:r>
          </w:p>
        </w:tc>
      </w:tr>
      <w:tr w:rsidR="004F165C" w:rsidRPr="00B835E3" w14:paraId="6663A8C2" w14:textId="77777777" w:rsidTr="00A574FC">
        <w:trPr>
          <w:trHeight w:val="211"/>
        </w:trPr>
        <w:tc>
          <w:tcPr>
            <w:tcW w:w="1623" w:type="pct"/>
            <w:vAlign w:val="bottom"/>
          </w:tcPr>
          <w:p w14:paraId="0557D5B4" w14:textId="5ED9933D" w:rsidR="00C27E87" w:rsidRPr="00B97C61" w:rsidRDefault="00C27E87" w:rsidP="005D59FA">
            <w:pPr>
              <w:tabs>
                <w:tab w:val="right" w:pos="4680"/>
              </w:tabs>
              <w:rPr>
                <w:rFonts w:asciiTheme="minorHAnsi" w:hAnsiTheme="minorHAnsi" w:cs="Arial"/>
                <w:sz w:val="20"/>
                <w:szCs w:val="20"/>
              </w:rPr>
            </w:pPr>
            <w:r w:rsidRPr="00B97C61">
              <w:rPr>
                <w:rFonts w:asciiTheme="minorHAnsi" w:hAnsiTheme="minorHAnsi" w:cs="Arial"/>
                <w:sz w:val="20"/>
                <w:szCs w:val="20"/>
              </w:rPr>
              <w:t xml:space="preserve">Utilised in the </w:t>
            </w:r>
            <w:r w:rsidR="00A2748D">
              <w:rPr>
                <w:rFonts w:asciiTheme="minorHAnsi" w:hAnsiTheme="minorHAnsi" w:cs="Arial"/>
                <w:sz w:val="20"/>
                <w:szCs w:val="20"/>
              </w:rPr>
              <w:t>period</w:t>
            </w:r>
          </w:p>
        </w:tc>
        <w:tc>
          <w:tcPr>
            <w:tcW w:w="563" w:type="pct"/>
            <w:shd w:val="clear" w:color="auto" w:fill="F2F2F2" w:themeFill="background1" w:themeFillShade="F2"/>
          </w:tcPr>
          <w:p w14:paraId="15ADFD03" w14:textId="2A57AE13" w:rsidR="00C27E87" w:rsidRPr="006D4208" w:rsidRDefault="00D10BE6" w:rsidP="005D59FA">
            <w:pPr>
              <w:jc w:val="right"/>
              <w:rPr>
                <w:rFonts w:asciiTheme="minorHAnsi" w:hAnsiTheme="minorHAnsi" w:cs="Arial"/>
                <w:b/>
                <w:sz w:val="20"/>
                <w:szCs w:val="20"/>
              </w:rPr>
            </w:pPr>
            <w:r w:rsidRPr="006D4208">
              <w:rPr>
                <w:rFonts w:asciiTheme="minorHAnsi" w:hAnsiTheme="minorHAnsi" w:cs="Arial"/>
                <w:b/>
                <w:sz w:val="20"/>
                <w:szCs w:val="20"/>
              </w:rPr>
              <w:t>-</w:t>
            </w:r>
          </w:p>
        </w:tc>
        <w:tc>
          <w:tcPr>
            <w:tcW w:w="371" w:type="pct"/>
            <w:shd w:val="clear" w:color="auto" w:fill="F2F2F2" w:themeFill="background1" w:themeFillShade="F2"/>
          </w:tcPr>
          <w:p w14:paraId="4ED00C6B" w14:textId="1343E68F" w:rsidR="00C27E87" w:rsidRPr="006D4208" w:rsidRDefault="00C27E87" w:rsidP="005D59FA">
            <w:pPr>
              <w:jc w:val="right"/>
              <w:rPr>
                <w:rFonts w:asciiTheme="minorHAnsi" w:hAnsiTheme="minorHAnsi" w:cs="Arial"/>
                <w:b/>
                <w:sz w:val="20"/>
                <w:szCs w:val="20"/>
              </w:rPr>
            </w:pPr>
            <w:r w:rsidRPr="006A0E69">
              <w:rPr>
                <w:rFonts w:asciiTheme="minorHAnsi" w:hAnsiTheme="minorHAnsi" w:cs="Arial"/>
                <w:b/>
                <w:sz w:val="20"/>
                <w:szCs w:val="20"/>
              </w:rPr>
              <w:t>-</w:t>
            </w:r>
          </w:p>
        </w:tc>
        <w:tc>
          <w:tcPr>
            <w:tcW w:w="757" w:type="pct"/>
            <w:shd w:val="clear" w:color="auto" w:fill="F2F2F2" w:themeFill="background1" w:themeFillShade="F2"/>
          </w:tcPr>
          <w:p w14:paraId="1E7944C8" w14:textId="70886941" w:rsidR="00C27E87" w:rsidRPr="006B6E8F" w:rsidRDefault="00296738" w:rsidP="005D59FA">
            <w:pPr>
              <w:jc w:val="right"/>
              <w:rPr>
                <w:rFonts w:asciiTheme="minorHAnsi" w:hAnsiTheme="minorHAnsi" w:cs="Arial"/>
                <w:b/>
                <w:sz w:val="20"/>
                <w:szCs w:val="20"/>
              </w:rPr>
            </w:pPr>
            <w:r w:rsidRPr="006A0E69">
              <w:rPr>
                <w:rFonts w:asciiTheme="minorHAnsi" w:hAnsiTheme="minorHAnsi" w:cs="Arial"/>
                <w:b/>
                <w:bCs/>
                <w:sz w:val="20"/>
                <w:szCs w:val="20"/>
              </w:rPr>
              <w:t>(4.</w:t>
            </w:r>
            <w:r w:rsidR="00BE21A1" w:rsidRPr="006A0E69">
              <w:rPr>
                <w:rFonts w:asciiTheme="minorHAnsi" w:hAnsiTheme="minorHAnsi" w:cs="Arial"/>
                <w:b/>
                <w:bCs/>
                <w:sz w:val="20"/>
                <w:szCs w:val="20"/>
              </w:rPr>
              <w:t>9</w:t>
            </w:r>
            <w:r w:rsidRPr="006A0E69">
              <w:rPr>
                <w:rFonts w:asciiTheme="minorHAnsi" w:hAnsiTheme="minorHAnsi" w:cs="Arial"/>
                <w:b/>
                <w:bCs/>
                <w:sz w:val="20"/>
                <w:szCs w:val="20"/>
              </w:rPr>
              <w:t>)</w:t>
            </w:r>
          </w:p>
        </w:tc>
        <w:tc>
          <w:tcPr>
            <w:tcW w:w="683" w:type="pct"/>
            <w:shd w:val="clear" w:color="auto" w:fill="F2F2F2" w:themeFill="background1" w:themeFillShade="F2"/>
          </w:tcPr>
          <w:p w14:paraId="732B223B" w14:textId="515FCC53" w:rsidR="00B51FD0" w:rsidRPr="00B51FD0" w:rsidRDefault="00B51FD0" w:rsidP="00B51FD0">
            <w:pPr>
              <w:jc w:val="right"/>
              <w:rPr>
                <w:rFonts w:asciiTheme="minorHAnsi" w:hAnsiTheme="minorHAnsi" w:cs="Arial"/>
                <w:b/>
                <w:bCs/>
                <w:sz w:val="20"/>
                <w:szCs w:val="20"/>
              </w:rPr>
            </w:pPr>
            <w:r w:rsidRPr="00B51FD0">
              <w:rPr>
                <w:rFonts w:asciiTheme="minorHAnsi" w:hAnsiTheme="minorHAnsi" w:cs="Arial"/>
                <w:b/>
                <w:bCs/>
                <w:sz w:val="20"/>
                <w:szCs w:val="20"/>
              </w:rPr>
              <w:t>-</w:t>
            </w:r>
          </w:p>
        </w:tc>
        <w:tc>
          <w:tcPr>
            <w:tcW w:w="502" w:type="pct"/>
            <w:shd w:val="clear" w:color="auto" w:fill="F2F2F2" w:themeFill="background1" w:themeFillShade="F2"/>
          </w:tcPr>
          <w:p w14:paraId="2D507351" w14:textId="5DC9C617" w:rsidR="00C27E87" w:rsidRPr="006B6E8F" w:rsidRDefault="00296738" w:rsidP="005D59FA">
            <w:pPr>
              <w:jc w:val="right"/>
              <w:rPr>
                <w:rFonts w:asciiTheme="minorHAnsi" w:hAnsiTheme="minorHAnsi" w:cs="Arial"/>
                <w:b/>
                <w:sz w:val="20"/>
                <w:szCs w:val="20"/>
              </w:rPr>
            </w:pPr>
            <w:r w:rsidRPr="006A0E69">
              <w:rPr>
                <w:rFonts w:asciiTheme="minorHAnsi" w:hAnsiTheme="minorHAnsi" w:cs="Arial"/>
                <w:b/>
                <w:bCs/>
                <w:sz w:val="20"/>
                <w:szCs w:val="20"/>
              </w:rPr>
              <w:t>(0.5)</w:t>
            </w:r>
          </w:p>
        </w:tc>
        <w:tc>
          <w:tcPr>
            <w:tcW w:w="501" w:type="pct"/>
            <w:shd w:val="clear" w:color="auto" w:fill="F2F2F2" w:themeFill="background1" w:themeFillShade="F2"/>
          </w:tcPr>
          <w:p w14:paraId="0264A8EC" w14:textId="62772894" w:rsidR="00C27E87" w:rsidRPr="006A0E69" w:rsidRDefault="00C27E87" w:rsidP="005D59FA">
            <w:pPr>
              <w:jc w:val="right"/>
              <w:rPr>
                <w:rFonts w:asciiTheme="minorHAnsi" w:hAnsiTheme="minorHAnsi" w:cs="Arial"/>
                <w:b/>
                <w:sz w:val="20"/>
                <w:szCs w:val="20"/>
              </w:rPr>
            </w:pPr>
            <w:r w:rsidRPr="006A0E69">
              <w:rPr>
                <w:rFonts w:asciiTheme="minorHAnsi" w:hAnsiTheme="minorHAnsi" w:cs="Arial"/>
                <w:b/>
                <w:sz w:val="20"/>
                <w:szCs w:val="20"/>
              </w:rPr>
              <w:t>(</w:t>
            </w:r>
            <w:r w:rsidR="009026CA" w:rsidRPr="006A0E69">
              <w:rPr>
                <w:rFonts w:asciiTheme="minorHAnsi" w:hAnsiTheme="minorHAnsi" w:cs="Arial"/>
                <w:b/>
                <w:bCs/>
                <w:sz w:val="20"/>
                <w:szCs w:val="20"/>
              </w:rPr>
              <w:t>5.</w:t>
            </w:r>
            <w:r w:rsidR="00F1768A">
              <w:rPr>
                <w:rFonts w:asciiTheme="minorHAnsi" w:hAnsiTheme="minorHAnsi" w:cs="Arial"/>
                <w:b/>
                <w:bCs/>
                <w:sz w:val="20"/>
                <w:szCs w:val="20"/>
              </w:rPr>
              <w:t>4</w:t>
            </w:r>
            <w:r w:rsidRPr="006A0E69">
              <w:rPr>
                <w:rFonts w:asciiTheme="minorHAnsi" w:hAnsiTheme="minorHAnsi" w:cs="Arial"/>
                <w:b/>
                <w:sz w:val="20"/>
                <w:szCs w:val="20"/>
              </w:rPr>
              <w:t>)</w:t>
            </w:r>
          </w:p>
        </w:tc>
      </w:tr>
      <w:tr w:rsidR="004F165C" w:rsidRPr="00B835E3" w14:paraId="62166F10" w14:textId="77777777" w:rsidTr="00A574FC">
        <w:trPr>
          <w:trHeight w:val="230"/>
        </w:trPr>
        <w:tc>
          <w:tcPr>
            <w:tcW w:w="1623" w:type="pct"/>
            <w:vAlign w:val="bottom"/>
          </w:tcPr>
          <w:p w14:paraId="184DFC56" w14:textId="485FEDAA" w:rsidR="00C27E87" w:rsidRPr="00B97C61" w:rsidRDefault="00C27E87" w:rsidP="005D59FA">
            <w:pPr>
              <w:tabs>
                <w:tab w:val="right" w:pos="4680"/>
              </w:tabs>
              <w:rPr>
                <w:rFonts w:asciiTheme="minorHAnsi" w:hAnsiTheme="minorHAnsi" w:cs="Arial"/>
                <w:sz w:val="20"/>
                <w:szCs w:val="20"/>
              </w:rPr>
            </w:pPr>
            <w:r w:rsidRPr="00B97C61">
              <w:rPr>
                <w:rFonts w:asciiTheme="minorHAnsi" w:hAnsiTheme="minorHAnsi" w:cs="Arial"/>
                <w:sz w:val="20"/>
                <w:szCs w:val="20"/>
              </w:rPr>
              <w:t xml:space="preserve">Released in the </w:t>
            </w:r>
            <w:r w:rsidR="00A2748D">
              <w:rPr>
                <w:rFonts w:asciiTheme="minorHAnsi" w:hAnsiTheme="minorHAnsi" w:cs="Arial"/>
                <w:sz w:val="20"/>
                <w:szCs w:val="20"/>
              </w:rPr>
              <w:t>period</w:t>
            </w:r>
          </w:p>
        </w:tc>
        <w:tc>
          <w:tcPr>
            <w:tcW w:w="563" w:type="pct"/>
            <w:tcBorders>
              <w:bottom w:val="single" w:sz="4" w:space="0" w:color="auto"/>
            </w:tcBorders>
            <w:shd w:val="clear" w:color="auto" w:fill="F2F2F2" w:themeFill="background1" w:themeFillShade="F2"/>
          </w:tcPr>
          <w:p w14:paraId="02D62B44" w14:textId="388E5202" w:rsidR="00C27E87" w:rsidRPr="006D4208" w:rsidRDefault="00D10BE6" w:rsidP="005D59FA">
            <w:pPr>
              <w:jc w:val="right"/>
              <w:rPr>
                <w:rFonts w:asciiTheme="minorHAnsi" w:hAnsiTheme="minorHAnsi" w:cs="Arial"/>
                <w:b/>
                <w:sz w:val="20"/>
                <w:szCs w:val="20"/>
              </w:rPr>
            </w:pPr>
            <w:r w:rsidRPr="006A0E69">
              <w:rPr>
                <w:rFonts w:asciiTheme="minorHAnsi" w:hAnsiTheme="minorHAnsi" w:cs="Arial"/>
                <w:b/>
                <w:sz w:val="20"/>
                <w:szCs w:val="20"/>
              </w:rPr>
              <w:t>(1.0)</w:t>
            </w:r>
          </w:p>
        </w:tc>
        <w:tc>
          <w:tcPr>
            <w:tcW w:w="371" w:type="pct"/>
            <w:shd w:val="clear" w:color="auto" w:fill="F2F2F2" w:themeFill="background1" w:themeFillShade="F2"/>
          </w:tcPr>
          <w:p w14:paraId="6D466FC5" w14:textId="2EF0AC94" w:rsidR="00C27E87" w:rsidRPr="006D4208" w:rsidRDefault="00387871" w:rsidP="005D59FA">
            <w:pPr>
              <w:jc w:val="right"/>
              <w:rPr>
                <w:rFonts w:asciiTheme="minorHAnsi" w:hAnsiTheme="minorHAnsi" w:cs="Arial"/>
                <w:b/>
                <w:sz w:val="20"/>
                <w:szCs w:val="20"/>
              </w:rPr>
            </w:pPr>
            <w:r w:rsidRPr="006A0E69">
              <w:rPr>
                <w:rFonts w:asciiTheme="minorHAnsi" w:hAnsiTheme="minorHAnsi" w:cs="Arial"/>
                <w:b/>
                <w:sz w:val="20"/>
                <w:szCs w:val="20"/>
              </w:rPr>
              <w:t>-</w:t>
            </w:r>
          </w:p>
        </w:tc>
        <w:tc>
          <w:tcPr>
            <w:tcW w:w="757" w:type="pct"/>
            <w:shd w:val="clear" w:color="auto" w:fill="F2F2F2" w:themeFill="background1" w:themeFillShade="F2"/>
          </w:tcPr>
          <w:p w14:paraId="423ACEE1" w14:textId="10DA76FD" w:rsidR="00C27E87" w:rsidRPr="006B6E8F" w:rsidRDefault="00387871" w:rsidP="005D59FA">
            <w:pPr>
              <w:jc w:val="right"/>
              <w:rPr>
                <w:rFonts w:asciiTheme="minorHAnsi" w:hAnsiTheme="minorHAnsi" w:cs="Arial"/>
                <w:b/>
                <w:sz w:val="20"/>
                <w:szCs w:val="20"/>
              </w:rPr>
            </w:pPr>
            <w:r w:rsidRPr="006A0E69">
              <w:rPr>
                <w:rFonts w:asciiTheme="minorHAnsi" w:hAnsiTheme="minorHAnsi" w:cs="Arial"/>
                <w:b/>
                <w:sz w:val="20"/>
                <w:szCs w:val="20"/>
              </w:rPr>
              <w:t>-</w:t>
            </w:r>
          </w:p>
        </w:tc>
        <w:tc>
          <w:tcPr>
            <w:tcW w:w="683" w:type="pct"/>
            <w:shd w:val="clear" w:color="auto" w:fill="F2F2F2" w:themeFill="background1" w:themeFillShade="F2"/>
          </w:tcPr>
          <w:p w14:paraId="3E46EBF1" w14:textId="05B276F5" w:rsidR="00B51FD0" w:rsidRPr="00B51FD0" w:rsidRDefault="00B51FD0" w:rsidP="00B51FD0">
            <w:pPr>
              <w:jc w:val="right"/>
              <w:rPr>
                <w:rFonts w:asciiTheme="minorHAnsi" w:hAnsiTheme="minorHAnsi" w:cs="Arial"/>
                <w:b/>
                <w:bCs/>
                <w:sz w:val="20"/>
                <w:szCs w:val="20"/>
              </w:rPr>
            </w:pPr>
            <w:r w:rsidRPr="00B51FD0">
              <w:rPr>
                <w:rFonts w:asciiTheme="minorHAnsi" w:hAnsiTheme="minorHAnsi" w:cs="Arial"/>
                <w:b/>
                <w:bCs/>
                <w:sz w:val="20"/>
                <w:szCs w:val="20"/>
              </w:rPr>
              <w:t>-</w:t>
            </w:r>
          </w:p>
        </w:tc>
        <w:tc>
          <w:tcPr>
            <w:tcW w:w="502" w:type="pct"/>
            <w:shd w:val="clear" w:color="auto" w:fill="F2F2F2" w:themeFill="background1" w:themeFillShade="F2"/>
          </w:tcPr>
          <w:p w14:paraId="651F774F" w14:textId="4A8C2EB0" w:rsidR="00C27E87" w:rsidRPr="006B6E8F" w:rsidRDefault="008B7CA0" w:rsidP="005D59FA">
            <w:pPr>
              <w:jc w:val="right"/>
              <w:rPr>
                <w:rFonts w:asciiTheme="minorHAnsi" w:hAnsiTheme="minorHAnsi" w:cs="Arial"/>
                <w:b/>
                <w:sz w:val="20"/>
                <w:szCs w:val="20"/>
              </w:rPr>
            </w:pPr>
            <w:r w:rsidRPr="006A0E69">
              <w:rPr>
                <w:rFonts w:asciiTheme="minorHAnsi" w:hAnsiTheme="minorHAnsi" w:cs="Arial"/>
                <w:b/>
                <w:bCs/>
                <w:sz w:val="20"/>
                <w:szCs w:val="20"/>
              </w:rPr>
              <w:t>(0.2)</w:t>
            </w:r>
          </w:p>
        </w:tc>
        <w:tc>
          <w:tcPr>
            <w:tcW w:w="501" w:type="pct"/>
            <w:shd w:val="clear" w:color="auto" w:fill="F2F2F2" w:themeFill="background1" w:themeFillShade="F2"/>
          </w:tcPr>
          <w:p w14:paraId="03310F48" w14:textId="3522CF10" w:rsidR="00C27E87" w:rsidRPr="006B6E8F" w:rsidRDefault="006B6E8F" w:rsidP="005D59FA">
            <w:pPr>
              <w:jc w:val="right"/>
              <w:rPr>
                <w:rFonts w:asciiTheme="minorHAnsi" w:hAnsiTheme="minorHAnsi" w:cs="Arial"/>
                <w:b/>
                <w:sz w:val="20"/>
                <w:szCs w:val="20"/>
              </w:rPr>
            </w:pPr>
            <w:r w:rsidRPr="006A0E69">
              <w:rPr>
                <w:rFonts w:asciiTheme="minorHAnsi" w:hAnsiTheme="minorHAnsi" w:cs="Arial"/>
                <w:b/>
                <w:sz w:val="20"/>
                <w:szCs w:val="20"/>
              </w:rPr>
              <w:t>(1.</w:t>
            </w:r>
            <w:r w:rsidR="00213527">
              <w:rPr>
                <w:rFonts w:asciiTheme="minorHAnsi" w:hAnsiTheme="minorHAnsi" w:cs="Arial"/>
                <w:b/>
                <w:bCs/>
                <w:sz w:val="20"/>
                <w:szCs w:val="20"/>
              </w:rPr>
              <w:t>2</w:t>
            </w:r>
            <w:r w:rsidRPr="006A0E69">
              <w:rPr>
                <w:rFonts w:asciiTheme="minorHAnsi" w:hAnsiTheme="minorHAnsi" w:cs="Arial"/>
                <w:b/>
                <w:sz w:val="20"/>
                <w:szCs w:val="20"/>
              </w:rPr>
              <w:t>)</w:t>
            </w:r>
          </w:p>
        </w:tc>
      </w:tr>
      <w:tr w:rsidR="00473125" w:rsidRPr="00B835E3" w14:paraId="629F0999" w14:textId="77777777" w:rsidTr="00A574FC">
        <w:trPr>
          <w:trHeight w:val="211"/>
        </w:trPr>
        <w:tc>
          <w:tcPr>
            <w:tcW w:w="1623" w:type="pct"/>
            <w:vAlign w:val="bottom"/>
          </w:tcPr>
          <w:p w14:paraId="11AF9726" w14:textId="05A0B21E" w:rsidR="00C27E87" w:rsidRPr="00B97C61" w:rsidRDefault="005A3487" w:rsidP="005D59FA">
            <w:pPr>
              <w:rPr>
                <w:rFonts w:asciiTheme="minorHAnsi" w:hAnsiTheme="minorHAnsi" w:cs="Arial"/>
                <w:sz w:val="20"/>
                <w:szCs w:val="20"/>
                <w:lang w:val="en-US"/>
              </w:rPr>
            </w:pPr>
            <w:r>
              <w:rPr>
                <w:rFonts w:asciiTheme="minorHAnsi" w:hAnsiTheme="minorHAnsi" w:cs="Arial"/>
                <w:sz w:val="20"/>
                <w:szCs w:val="20"/>
                <w:lang w:val="en-US"/>
              </w:rPr>
              <w:t>Closing balance</w:t>
            </w:r>
          </w:p>
        </w:tc>
        <w:tc>
          <w:tcPr>
            <w:tcW w:w="563" w:type="pct"/>
            <w:tcBorders>
              <w:top w:val="single" w:sz="4" w:space="0" w:color="auto"/>
              <w:bottom w:val="single" w:sz="12" w:space="0" w:color="auto"/>
            </w:tcBorders>
            <w:shd w:val="clear" w:color="auto" w:fill="F2F2F2" w:themeFill="background1" w:themeFillShade="F2"/>
          </w:tcPr>
          <w:p w14:paraId="18465A95" w14:textId="44D85A05" w:rsidR="00C27E87" w:rsidRPr="006D4208" w:rsidRDefault="00D6332F" w:rsidP="005D59FA">
            <w:pPr>
              <w:jc w:val="right"/>
              <w:rPr>
                <w:rFonts w:asciiTheme="minorHAnsi" w:hAnsiTheme="minorHAnsi" w:cs="Arial"/>
                <w:b/>
                <w:sz w:val="20"/>
                <w:szCs w:val="20"/>
              </w:rPr>
            </w:pPr>
            <w:r w:rsidRPr="006D4208">
              <w:rPr>
                <w:rFonts w:asciiTheme="minorHAnsi" w:hAnsiTheme="minorHAnsi" w:cs="Arial"/>
                <w:b/>
                <w:sz w:val="20"/>
                <w:szCs w:val="20"/>
              </w:rPr>
              <w:t>-</w:t>
            </w:r>
          </w:p>
        </w:tc>
        <w:tc>
          <w:tcPr>
            <w:tcW w:w="371" w:type="pct"/>
            <w:tcBorders>
              <w:top w:val="single" w:sz="4" w:space="0" w:color="auto"/>
              <w:bottom w:val="single" w:sz="12" w:space="0" w:color="auto"/>
            </w:tcBorders>
            <w:shd w:val="clear" w:color="auto" w:fill="F2F2F2" w:themeFill="background1" w:themeFillShade="F2"/>
          </w:tcPr>
          <w:p w14:paraId="5E0DCE6F" w14:textId="1CD443DD" w:rsidR="00C27E87" w:rsidRPr="006D4208" w:rsidRDefault="00C27E87" w:rsidP="005D59FA">
            <w:pPr>
              <w:jc w:val="right"/>
              <w:rPr>
                <w:rFonts w:asciiTheme="minorHAnsi" w:hAnsiTheme="minorHAnsi" w:cs="Arial"/>
                <w:b/>
                <w:sz w:val="20"/>
                <w:szCs w:val="20"/>
              </w:rPr>
            </w:pPr>
            <w:r w:rsidRPr="006A0E69">
              <w:rPr>
                <w:rFonts w:asciiTheme="minorHAnsi" w:hAnsiTheme="minorHAnsi" w:cs="Arial"/>
                <w:b/>
                <w:sz w:val="20"/>
                <w:szCs w:val="20"/>
              </w:rPr>
              <w:t>-</w:t>
            </w:r>
          </w:p>
        </w:tc>
        <w:tc>
          <w:tcPr>
            <w:tcW w:w="757" w:type="pct"/>
            <w:tcBorders>
              <w:top w:val="single" w:sz="4" w:space="0" w:color="auto"/>
              <w:bottom w:val="single" w:sz="12" w:space="0" w:color="auto"/>
            </w:tcBorders>
            <w:shd w:val="clear" w:color="auto" w:fill="F2F2F2" w:themeFill="background1" w:themeFillShade="F2"/>
          </w:tcPr>
          <w:p w14:paraId="52B55D07" w14:textId="5D821B03" w:rsidR="00C27E87" w:rsidRPr="006D4208" w:rsidRDefault="00045563" w:rsidP="005D59FA">
            <w:pPr>
              <w:jc w:val="right"/>
              <w:rPr>
                <w:rFonts w:asciiTheme="minorHAnsi" w:hAnsiTheme="minorHAnsi" w:cs="Arial"/>
                <w:b/>
                <w:sz w:val="20"/>
                <w:szCs w:val="20"/>
              </w:rPr>
            </w:pPr>
            <w:r>
              <w:rPr>
                <w:rFonts w:asciiTheme="minorHAnsi" w:hAnsiTheme="minorHAnsi" w:cs="Arial"/>
                <w:b/>
                <w:sz w:val="20"/>
                <w:szCs w:val="20"/>
              </w:rPr>
              <w:t>8</w:t>
            </w:r>
            <w:r w:rsidR="00140177" w:rsidRPr="006D4208">
              <w:rPr>
                <w:rFonts w:asciiTheme="minorHAnsi" w:hAnsiTheme="minorHAnsi" w:cs="Arial"/>
                <w:b/>
                <w:sz w:val="20"/>
                <w:szCs w:val="20"/>
              </w:rPr>
              <w:t>.</w:t>
            </w:r>
            <w:r w:rsidR="00D546B6">
              <w:rPr>
                <w:rFonts w:asciiTheme="minorHAnsi" w:hAnsiTheme="minorHAnsi" w:cs="Arial"/>
                <w:b/>
                <w:sz w:val="20"/>
                <w:szCs w:val="20"/>
              </w:rPr>
              <w:t>2</w:t>
            </w:r>
          </w:p>
        </w:tc>
        <w:tc>
          <w:tcPr>
            <w:tcW w:w="683" w:type="pct"/>
            <w:tcBorders>
              <w:top w:val="single" w:sz="4" w:space="0" w:color="auto"/>
              <w:bottom w:val="single" w:sz="12" w:space="0" w:color="auto"/>
            </w:tcBorders>
            <w:shd w:val="clear" w:color="auto" w:fill="F2F2F2" w:themeFill="background1" w:themeFillShade="F2"/>
          </w:tcPr>
          <w:p w14:paraId="49BAE09F" w14:textId="533F02FE" w:rsidR="00B51FD0" w:rsidRPr="00B51FD0" w:rsidRDefault="00004D9D" w:rsidP="00B51FD0">
            <w:pPr>
              <w:jc w:val="right"/>
              <w:rPr>
                <w:rFonts w:asciiTheme="minorHAnsi" w:hAnsiTheme="minorHAnsi" w:cs="Arial"/>
                <w:b/>
                <w:bCs/>
                <w:sz w:val="20"/>
                <w:szCs w:val="20"/>
              </w:rPr>
            </w:pPr>
            <w:r>
              <w:rPr>
                <w:rFonts w:asciiTheme="minorHAnsi" w:hAnsiTheme="minorHAnsi" w:cs="Arial"/>
                <w:b/>
                <w:bCs/>
                <w:sz w:val="20"/>
                <w:szCs w:val="20"/>
              </w:rPr>
              <w:t>5</w:t>
            </w:r>
            <w:r w:rsidR="00B51FD0" w:rsidRPr="00B51FD0">
              <w:rPr>
                <w:rFonts w:asciiTheme="minorHAnsi" w:hAnsiTheme="minorHAnsi" w:cs="Arial"/>
                <w:b/>
                <w:bCs/>
                <w:sz w:val="20"/>
                <w:szCs w:val="20"/>
              </w:rPr>
              <w:t>.2</w:t>
            </w:r>
          </w:p>
        </w:tc>
        <w:tc>
          <w:tcPr>
            <w:tcW w:w="502" w:type="pct"/>
            <w:tcBorders>
              <w:top w:val="single" w:sz="4" w:space="0" w:color="auto"/>
              <w:bottom w:val="single" w:sz="12" w:space="0" w:color="auto"/>
            </w:tcBorders>
            <w:shd w:val="clear" w:color="auto" w:fill="F2F2F2" w:themeFill="background1" w:themeFillShade="F2"/>
          </w:tcPr>
          <w:p w14:paraId="12BEB42E" w14:textId="6BCB074A" w:rsidR="00C27E87" w:rsidRPr="006D4208" w:rsidRDefault="00771A59" w:rsidP="005D59FA">
            <w:pPr>
              <w:jc w:val="right"/>
              <w:rPr>
                <w:rFonts w:asciiTheme="minorHAnsi" w:hAnsiTheme="minorHAnsi" w:cs="Arial"/>
                <w:b/>
                <w:sz w:val="20"/>
                <w:szCs w:val="20"/>
              </w:rPr>
            </w:pPr>
            <w:r>
              <w:rPr>
                <w:rFonts w:asciiTheme="minorHAnsi" w:hAnsiTheme="minorHAnsi" w:cs="Arial"/>
                <w:b/>
                <w:sz w:val="20"/>
                <w:szCs w:val="20"/>
              </w:rPr>
              <w:t>2.9</w:t>
            </w:r>
          </w:p>
        </w:tc>
        <w:tc>
          <w:tcPr>
            <w:tcW w:w="501" w:type="pct"/>
            <w:tcBorders>
              <w:top w:val="single" w:sz="4" w:space="0" w:color="auto"/>
              <w:bottom w:val="single" w:sz="12" w:space="0" w:color="auto"/>
            </w:tcBorders>
            <w:shd w:val="clear" w:color="auto" w:fill="F2F2F2" w:themeFill="background1" w:themeFillShade="F2"/>
          </w:tcPr>
          <w:p w14:paraId="39130BFF" w14:textId="5BE108EE" w:rsidR="00C27E87" w:rsidRPr="009C4BFC" w:rsidRDefault="00B51FD0" w:rsidP="005D59FA">
            <w:pPr>
              <w:jc w:val="right"/>
              <w:rPr>
                <w:rFonts w:asciiTheme="minorHAnsi" w:hAnsiTheme="minorHAnsi" w:cs="Arial"/>
                <w:b/>
                <w:sz w:val="20"/>
                <w:szCs w:val="20"/>
              </w:rPr>
            </w:pPr>
            <w:r w:rsidRPr="006D4208">
              <w:rPr>
                <w:rFonts w:asciiTheme="minorHAnsi" w:hAnsiTheme="minorHAnsi" w:cs="Arial"/>
                <w:b/>
                <w:sz w:val="20"/>
                <w:szCs w:val="20"/>
              </w:rPr>
              <w:t>1</w:t>
            </w:r>
            <w:r w:rsidR="009E1AD4">
              <w:rPr>
                <w:rFonts w:asciiTheme="minorHAnsi" w:hAnsiTheme="minorHAnsi" w:cs="Arial"/>
                <w:b/>
                <w:sz w:val="20"/>
                <w:szCs w:val="20"/>
              </w:rPr>
              <w:t>6</w:t>
            </w:r>
            <w:r w:rsidR="005C4FE8" w:rsidRPr="006D4208">
              <w:rPr>
                <w:rFonts w:asciiTheme="minorHAnsi" w:hAnsiTheme="minorHAnsi" w:cs="Arial"/>
                <w:b/>
                <w:sz w:val="20"/>
                <w:szCs w:val="20"/>
              </w:rPr>
              <w:t>.3</w:t>
            </w:r>
          </w:p>
        </w:tc>
      </w:tr>
    </w:tbl>
    <w:p w14:paraId="27B48E54" w14:textId="77777777" w:rsidR="00083B88" w:rsidRDefault="00083B88" w:rsidP="005950FC">
      <w:pPr>
        <w:jc w:val="both"/>
        <w:rPr>
          <w:rFonts w:asciiTheme="minorHAnsi" w:hAnsiTheme="minorHAnsi" w:cs="Arial"/>
          <w:b/>
          <w:color w:val="4747FF"/>
          <w:sz w:val="22"/>
          <w:szCs w:val="22"/>
        </w:rPr>
      </w:pPr>
    </w:p>
    <w:p w14:paraId="1D3CD57C" w14:textId="77777777" w:rsidR="00FC771A" w:rsidRDefault="00FC771A" w:rsidP="005950FC">
      <w:pPr>
        <w:jc w:val="both"/>
        <w:rPr>
          <w:rFonts w:asciiTheme="minorHAnsi" w:hAnsiTheme="minorHAnsi" w:cs="Arial"/>
          <w:b/>
          <w:color w:val="4747FF"/>
          <w:sz w:val="22"/>
          <w:szCs w:val="22"/>
        </w:rPr>
      </w:pPr>
    </w:p>
    <w:p w14:paraId="279AFB8C" w14:textId="77777777" w:rsidR="00FC771A" w:rsidRDefault="00FC771A" w:rsidP="005950FC">
      <w:pPr>
        <w:jc w:val="both"/>
        <w:rPr>
          <w:rFonts w:asciiTheme="minorHAnsi" w:hAnsiTheme="minorHAnsi" w:cs="Arial"/>
          <w:b/>
          <w:color w:val="4747FF"/>
          <w:sz w:val="22"/>
          <w:szCs w:val="22"/>
        </w:rPr>
      </w:pPr>
    </w:p>
    <w:p w14:paraId="79C249DF" w14:textId="77777777" w:rsidR="00FC771A" w:rsidRDefault="00FC771A" w:rsidP="005950FC">
      <w:pPr>
        <w:jc w:val="both"/>
        <w:rPr>
          <w:rFonts w:asciiTheme="minorHAnsi" w:hAnsiTheme="minorHAnsi" w:cs="Arial"/>
          <w:b/>
          <w:color w:val="4747FF"/>
          <w:sz w:val="22"/>
          <w:szCs w:val="22"/>
        </w:rPr>
      </w:pPr>
    </w:p>
    <w:p w14:paraId="0CE71993" w14:textId="61723F7B" w:rsidR="002D3FAA" w:rsidRDefault="002D3FAA" w:rsidP="6A7632AC">
      <w:pPr>
        <w:jc w:val="both"/>
        <w:rPr>
          <w:rFonts w:asciiTheme="minorHAnsi" w:hAnsiTheme="minorHAnsi" w:cs="Arial"/>
          <w:b/>
          <w:bCs/>
          <w:color w:val="4747FF"/>
          <w:sz w:val="22"/>
          <w:szCs w:val="22"/>
        </w:rPr>
      </w:pPr>
    </w:p>
    <w:p w14:paraId="583DCD29" w14:textId="77777777" w:rsidR="00D564FF" w:rsidRDefault="00D564FF" w:rsidP="002641D4">
      <w:pPr>
        <w:jc w:val="both"/>
        <w:rPr>
          <w:rFonts w:asciiTheme="minorHAnsi" w:hAnsiTheme="minorHAnsi" w:cs="Arial"/>
          <w:b/>
          <w:bCs/>
          <w:color w:val="4747FF"/>
          <w:sz w:val="22"/>
          <w:szCs w:val="22"/>
        </w:rPr>
      </w:pPr>
    </w:p>
    <w:tbl>
      <w:tblPr>
        <w:tblW w:w="4919" w:type="pct"/>
        <w:tblLayout w:type="fixed"/>
        <w:tblLook w:val="0000" w:firstRow="0" w:lastRow="0" w:firstColumn="0" w:lastColumn="0" w:noHBand="0" w:noVBand="0"/>
      </w:tblPr>
      <w:tblGrid>
        <w:gridCol w:w="975"/>
        <w:gridCol w:w="1919"/>
        <w:gridCol w:w="283"/>
        <w:gridCol w:w="976"/>
        <w:gridCol w:w="834"/>
        <w:gridCol w:w="681"/>
        <w:gridCol w:w="557"/>
        <w:gridCol w:w="1530"/>
        <w:gridCol w:w="834"/>
        <w:gridCol w:w="976"/>
      </w:tblGrid>
      <w:tr w:rsidR="00D564FF" w:rsidRPr="00B97C61" w14:paraId="5CB47717" w14:textId="77777777" w:rsidTr="00CF66BE">
        <w:trPr>
          <w:gridAfter w:val="4"/>
          <w:wAfter w:w="2036" w:type="pct"/>
          <w:trHeight w:val="162"/>
        </w:trPr>
        <w:tc>
          <w:tcPr>
            <w:tcW w:w="510" w:type="pct"/>
          </w:tcPr>
          <w:p w14:paraId="30402933" w14:textId="77777777" w:rsidR="00D564FF" w:rsidRPr="00B97C61" w:rsidRDefault="00D564FF">
            <w:pPr>
              <w:rPr>
                <w:rFonts w:asciiTheme="minorHAnsi" w:hAnsiTheme="minorHAnsi" w:cs="Arial"/>
                <w:sz w:val="20"/>
                <w:szCs w:val="20"/>
              </w:rPr>
            </w:pPr>
          </w:p>
          <w:p w14:paraId="287949BE" w14:textId="77777777" w:rsidR="00D564FF" w:rsidRPr="00B97C61" w:rsidRDefault="00D564FF">
            <w:pPr>
              <w:rPr>
                <w:rFonts w:asciiTheme="minorHAnsi" w:hAnsiTheme="minorHAnsi" w:cs="Arial"/>
                <w:sz w:val="20"/>
                <w:szCs w:val="20"/>
              </w:rPr>
            </w:pPr>
          </w:p>
        </w:tc>
        <w:tc>
          <w:tcPr>
            <w:tcW w:w="1003" w:type="pct"/>
            <w:shd w:val="clear" w:color="auto" w:fill="auto"/>
          </w:tcPr>
          <w:p w14:paraId="500ECB0D" w14:textId="77777777" w:rsidR="00D564FF" w:rsidRPr="005950FC" w:rsidRDefault="00D564FF" w:rsidP="00D564FF">
            <w:pPr>
              <w:rPr>
                <w:rFonts w:asciiTheme="minorHAnsi" w:hAnsiTheme="minorHAnsi" w:cs="Arial"/>
                <w:sz w:val="20"/>
                <w:szCs w:val="20"/>
              </w:rPr>
            </w:pPr>
          </w:p>
        </w:tc>
        <w:tc>
          <w:tcPr>
            <w:tcW w:w="1450" w:type="pct"/>
            <w:gridSpan w:val="4"/>
            <w:tcBorders>
              <w:bottom w:val="single" w:sz="4" w:space="0" w:color="auto"/>
            </w:tcBorders>
          </w:tcPr>
          <w:p w14:paraId="62908112" w14:textId="2423AE17" w:rsidR="00D564FF" w:rsidRPr="00D564FF" w:rsidRDefault="00D564FF">
            <w:pPr>
              <w:jc w:val="center"/>
              <w:rPr>
                <w:rFonts w:asciiTheme="minorHAnsi" w:hAnsiTheme="minorHAnsi" w:cs="Arial"/>
                <w:bCs/>
                <w:sz w:val="20"/>
                <w:szCs w:val="20"/>
              </w:rPr>
            </w:pPr>
            <w:r>
              <w:rPr>
                <w:rFonts w:asciiTheme="minorHAnsi" w:hAnsiTheme="minorHAnsi" w:cs="Arial"/>
                <w:bCs/>
                <w:sz w:val="20"/>
                <w:szCs w:val="20"/>
              </w:rPr>
              <w:t>Year ended 31 December 2023</w:t>
            </w:r>
          </w:p>
        </w:tc>
      </w:tr>
      <w:tr w:rsidR="00D564FF" w:rsidRPr="00B97C61" w14:paraId="133AFFCA" w14:textId="77777777" w:rsidTr="00CF66BE">
        <w:trPr>
          <w:trHeight w:val="180"/>
        </w:trPr>
        <w:tc>
          <w:tcPr>
            <w:tcW w:w="1661" w:type="pct"/>
            <w:gridSpan w:val="3"/>
            <w:vAlign w:val="bottom"/>
          </w:tcPr>
          <w:p w14:paraId="1249883F" w14:textId="77777777" w:rsidR="00D564FF" w:rsidRPr="00B97C61" w:rsidRDefault="00D564FF">
            <w:pPr>
              <w:rPr>
                <w:rFonts w:asciiTheme="minorHAnsi" w:hAnsiTheme="minorHAnsi" w:cs="Arial"/>
                <w:sz w:val="20"/>
                <w:szCs w:val="20"/>
              </w:rPr>
            </w:pPr>
          </w:p>
        </w:tc>
        <w:tc>
          <w:tcPr>
            <w:tcW w:w="510" w:type="pct"/>
            <w:tcBorders>
              <w:top w:val="single" w:sz="4" w:space="0" w:color="auto"/>
              <w:bottom w:val="single" w:sz="4" w:space="0" w:color="auto"/>
            </w:tcBorders>
            <w:shd w:val="clear" w:color="auto" w:fill="auto"/>
            <w:vAlign w:val="bottom"/>
          </w:tcPr>
          <w:p w14:paraId="29FC9907" w14:textId="77777777" w:rsidR="00D564FF" w:rsidRPr="005950FC" w:rsidRDefault="00D564FF">
            <w:pPr>
              <w:jc w:val="right"/>
              <w:rPr>
                <w:rFonts w:asciiTheme="minorHAnsi" w:hAnsiTheme="minorHAnsi" w:cs="Arial"/>
                <w:sz w:val="20"/>
                <w:szCs w:val="20"/>
              </w:rPr>
            </w:pPr>
            <w:r w:rsidRPr="005950FC">
              <w:rPr>
                <w:rFonts w:asciiTheme="minorHAnsi" w:hAnsiTheme="minorHAnsi" w:cs="Arial"/>
                <w:sz w:val="20"/>
                <w:szCs w:val="20"/>
              </w:rPr>
              <w:t>Scheme</w:t>
            </w:r>
          </w:p>
          <w:p w14:paraId="5A87679A" w14:textId="77777777" w:rsidR="00D564FF" w:rsidRPr="005950FC" w:rsidRDefault="00D564FF">
            <w:pPr>
              <w:jc w:val="right"/>
              <w:rPr>
                <w:rFonts w:asciiTheme="minorHAnsi" w:hAnsiTheme="minorHAnsi" w:cs="Arial"/>
                <w:sz w:val="20"/>
                <w:szCs w:val="20"/>
              </w:rPr>
            </w:pPr>
            <w:r w:rsidRPr="005950FC">
              <w:rPr>
                <w:rFonts w:asciiTheme="minorHAnsi" w:hAnsiTheme="minorHAnsi" w:cs="Arial"/>
                <w:sz w:val="20"/>
                <w:szCs w:val="20"/>
              </w:rPr>
              <w:t>£m</w:t>
            </w:r>
          </w:p>
        </w:tc>
        <w:tc>
          <w:tcPr>
            <w:tcW w:w="436" w:type="pct"/>
            <w:tcBorders>
              <w:top w:val="single" w:sz="4" w:space="0" w:color="auto"/>
              <w:bottom w:val="single" w:sz="4" w:space="0" w:color="auto"/>
            </w:tcBorders>
            <w:shd w:val="clear" w:color="auto" w:fill="auto"/>
            <w:vAlign w:val="bottom"/>
          </w:tcPr>
          <w:p w14:paraId="179E526B" w14:textId="77777777" w:rsidR="00D564FF" w:rsidRPr="005950FC" w:rsidRDefault="00D564FF">
            <w:pPr>
              <w:jc w:val="right"/>
              <w:rPr>
                <w:rFonts w:asciiTheme="minorHAnsi" w:hAnsiTheme="minorHAnsi" w:cs="Arial"/>
                <w:sz w:val="20"/>
                <w:szCs w:val="20"/>
              </w:rPr>
            </w:pPr>
            <w:r w:rsidRPr="005950FC">
              <w:rPr>
                <w:rFonts w:asciiTheme="minorHAnsi" w:hAnsiTheme="minorHAnsi" w:cs="Arial"/>
                <w:sz w:val="20"/>
                <w:szCs w:val="20"/>
              </w:rPr>
              <w:t>ROP</w:t>
            </w:r>
          </w:p>
          <w:p w14:paraId="2FCC93AF" w14:textId="77777777" w:rsidR="00D564FF" w:rsidRPr="005950FC" w:rsidRDefault="00D564FF">
            <w:pPr>
              <w:jc w:val="right"/>
              <w:rPr>
                <w:rFonts w:asciiTheme="minorHAnsi" w:hAnsiTheme="minorHAnsi" w:cs="Arial"/>
                <w:sz w:val="20"/>
                <w:szCs w:val="20"/>
              </w:rPr>
            </w:pPr>
            <w:r w:rsidRPr="005950FC">
              <w:rPr>
                <w:rFonts w:asciiTheme="minorHAnsi" w:hAnsiTheme="minorHAnsi" w:cs="Arial"/>
                <w:sz w:val="20"/>
                <w:szCs w:val="20"/>
              </w:rPr>
              <w:t>£m</w:t>
            </w:r>
          </w:p>
        </w:tc>
        <w:tc>
          <w:tcPr>
            <w:tcW w:w="647" w:type="pct"/>
            <w:gridSpan w:val="2"/>
            <w:tcBorders>
              <w:top w:val="single" w:sz="4" w:space="0" w:color="auto"/>
              <w:bottom w:val="single" w:sz="4" w:space="0" w:color="auto"/>
            </w:tcBorders>
            <w:shd w:val="clear" w:color="auto" w:fill="auto"/>
            <w:vAlign w:val="bottom"/>
          </w:tcPr>
          <w:p w14:paraId="564A7EFC" w14:textId="77777777" w:rsidR="00D564FF" w:rsidRPr="005950FC" w:rsidRDefault="00D564FF">
            <w:pPr>
              <w:jc w:val="right"/>
              <w:rPr>
                <w:rFonts w:asciiTheme="minorHAnsi" w:hAnsiTheme="minorHAnsi" w:cs="Arial"/>
                <w:sz w:val="20"/>
                <w:szCs w:val="20"/>
              </w:rPr>
            </w:pPr>
            <w:r w:rsidRPr="005950FC">
              <w:rPr>
                <w:rFonts w:asciiTheme="minorHAnsi" w:hAnsiTheme="minorHAnsi" w:cs="Arial"/>
                <w:sz w:val="20"/>
                <w:szCs w:val="20"/>
              </w:rPr>
              <w:t>Customer compliance</w:t>
            </w:r>
          </w:p>
          <w:p w14:paraId="02F65E4B" w14:textId="77777777" w:rsidR="00D564FF" w:rsidRPr="005950FC" w:rsidRDefault="00D564FF">
            <w:pPr>
              <w:jc w:val="right"/>
              <w:rPr>
                <w:rFonts w:asciiTheme="minorHAnsi" w:hAnsiTheme="minorHAnsi" w:cs="Arial"/>
                <w:sz w:val="20"/>
                <w:szCs w:val="20"/>
              </w:rPr>
            </w:pPr>
            <w:r w:rsidRPr="005950FC">
              <w:rPr>
                <w:rFonts w:asciiTheme="minorHAnsi" w:hAnsiTheme="minorHAnsi" w:cs="Arial"/>
                <w:sz w:val="20"/>
                <w:szCs w:val="20"/>
              </w:rPr>
              <w:t>£m</w:t>
            </w:r>
          </w:p>
        </w:tc>
        <w:tc>
          <w:tcPr>
            <w:tcW w:w="800" w:type="pct"/>
            <w:tcBorders>
              <w:top w:val="single" w:sz="4" w:space="0" w:color="auto"/>
              <w:bottom w:val="single" w:sz="4" w:space="0" w:color="auto"/>
            </w:tcBorders>
            <w:shd w:val="clear" w:color="auto" w:fill="auto"/>
          </w:tcPr>
          <w:p w14:paraId="408C276E" w14:textId="77777777" w:rsidR="00D564FF" w:rsidRDefault="00D564FF">
            <w:pPr>
              <w:jc w:val="right"/>
              <w:rPr>
                <w:rFonts w:asciiTheme="minorHAnsi" w:hAnsiTheme="minorHAnsi" w:cs="Arial"/>
                <w:sz w:val="20"/>
                <w:szCs w:val="20"/>
              </w:rPr>
            </w:pPr>
          </w:p>
          <w:p w14:paraId="5BD18C0A" w14:textId="77777777" w:rsidR="00D564FF" w:rsidRDefault="00D564FF">
            <w:pPr>
              <w:jc w:val="right"/>
              <w:rPr>
                <w:rFonts w:asciiTheme="minorHAnsi" w:hAnsiTheme="minorHAnsi" w:cs="Arial"/>
                <w:sz w:val="20"/>
                <w:szCs w:val="20"/>
              </w:rPr>
            </w:pPr>
            <w:r>
              <w:rPr>
                <w:rFonts w:asciiTheme="minorHAnsi" w:hAnsiTheme="minorHAnsi" w:cs="Arial"/>
                <w:sz w:val="20"/>
                <w:szCs w:val="20"/>
              </w:rPr>
              <w:t>Dilapidations</w:t>
            </w:r>
          </w:p>
          <w:p w14:paraId="10F64DC0" w14:textId="77777777" w:rsidR="00D564FF" w:rsidRDefault="00D564FF">
            <w:pPr>
              <w:jc w:val="right"/>
              <w:rPr>
                <w:rFonts w:asciiTheme="minorHAnsi" w:hAnsiTheme="minorHAnsi" w:cs="Arial"/>
                <w:sz w:val="20"/>
                <w:szCs w:val="20"/>
              </w:rPr>
            </w:pPr>
            <w:r>
              <w:rPr>
                <w:rFonts w:asciiTheme="minorHAnsi" w:hAnsiTheme="minorHAnsi" w:cs="Arial"/>
                <w:sz w:val="20"/>
                <w:szCs w:val="20"/>
              </w:rPr>
              <w:t>£m</w:t>
            </w:r>
          </w:p>
        </w:tc>
        <w:tc>
          <w:tcPr>
            <w:tcW w:w="436" w:type="pct"/>
            <w:tcBorders>
              <w:top w:val="single" w:sz="4" w:space="0" w:color="auto"/>
              <w:bottom w:val="single" w:sz="4" w:space="0" w:color="auto"/>
            </w:tcBorders>
            <w:shd w:val="clear" w:color="auto" w:fill="auto"/>
            <w:vAlign w:val="bottom"/>
          </w:tcPr>
          <w:p w14:paraId="54118ABA" w14:textId="77777777" w:rsidR="00D564FF" w:rsidRPr="005950FC" w:rsidRDefault="00D564FF">
            <w:pPr>
              <w:jc w:val="right"/>
              <w:rPr>
                <w:rFonts w:asciiTheme="minorHAnsi" w:hAnsiTheme="minorHAnsi" w:cs="Arial"/>
                <w:sz w:val="20"/>
                <w:szCs w:val="20"/>
              </w:rPr>
            </w:pPr>
            <w:r w:rsidRPr="005950FC">
              <w:rPr>
                <w:rFonts w:asciiTheme="minorHAnsi" w:hAnsiTheme="minorHAnsi" w:cs="Arial"/>
                <w:sz w:val="20"/>
                <w:szCs w:val="20"/>
              </w:rPr>
              <w:t>Others</w:t>
            </w:r>
          </w:p>
          <w:p w14:paraId="4003E274" w14:textId="77777777" w:rsidR="00D564FF" w:rsidRPr="005950FC" w:rsidRDefault="00D564FF">
            <w:pPr>
              <w:jc w:val="right"/>
              <w:rPr>
                <w:rFonts w:asciiTheme="minorHAnsi" w:hAnsiTheme="minorHAnsi" w:cs="Arial"/>
                <w:sz w:val="20"/>
                <w:szCs w:val="20"/>
              </w:rPr>
            </w:pPr>
            <w:r w:rsidRPr="005950FC">
              <w:rPr>
                <w:rFonts w:asciiTheme="minorHAnsi" w:hAnsiTheme="minorHAnsi" w:cs="Arial"/>
                <w:sz w:val="20"/>
                <w:szCs w:val="20"/>
              </w:rPr>
              <w:t>£m</w:t>
            </w:r>
          </w:p>
        </w:tc>
        <w:tc>
          <w:tcPr>
            <w:tcW w:w="510" w:type="pct"/>
            <w:tcBorders>
              <w:top w:val="single" w:sz="4" w:space="0" w:color="auto"/>
              <w:bottom w:val="single" w:sz="4" w:space="0" w:color="auto"/>
            </w:tcBorders>
            <w:vAlign w:val="bottom"/>
          </w:tcPr>
          <w:p w14:paraId="701350A8" w14:textId="77777777" w:rsidR="00D564FF" w:rsidRPr="005950FC" w:rsidRDefault="00D564FF">
            <w:pPr>
              <w:jc w:val="right"/>
              <w:rPr>
                <w:rFonts w:asciiTheme="minorHAnsi" w:hAnsiTheme="minorHAnsi" w:cs="Arial"/>
                <w:sz w:val="20"/>
                <w:szCs w:val="20"/>
              </w:rPr>
            </w:pPr>
            <w:r w:rsidRPr="005950FC">
              <w:rPr>
                <w:rFonts w:asciiTheme="minorHAnsi" w:hAnsiTheme="minorHAnsi" w:cs="Arial"/>
                <w:sz w:val="20"/>
                <w:szCs w:val="20"/>
              </w:rPr>
              <w:t>Total</w:t>
            </w:r>
          </w:p>
          <w:p w14:paraId="300A390A" w14:textId="77777777" w:rsidR="00D564FF" w:rsidRPr="005950FC" w:rsidRDefault="00D564FF">
            <w:pPr>
              <w:jc w:val="right"/>
              <w:rPr>
                <w:rFonts w:asciiTheme="minorHAnsi" w:hAnsiTheme="minorHAnsi" w:cs="Arial"/>
                <w:sz w:val="20"/>
                <w:szCs w:val="20"/>
              </w:rPr>
            </w:pPr>
            <w:r w:rsidRPr="005950FC">
              <w:rPr>
                <w:rFonts w:asciiTheme="minorHAnsi" w:hAnsiTheme="minorHAnsi" w:cs="Arial"/>
                <w:sz w:val="20"/>
                <w:szCs w:val="20"/>
              </w:rPr>
              <w:t>£m</w:t>
            </w:r>
          </w:p>
        </w:tc>
      </w:tr>
      <w:tr w:rsidR="00D564FF" w:rsidRPr="00B97C61" w14:paraId="65A25659" w14:textId="77777777" w:rsidTr="00CF66BE">
        <w:trPr>
          <w:trHeight w:val="88"/>
        </w:trPr>
        <w:tc>
          <w:tcPr>
            <w:tcW w:w="1661" w:type="pct"/>
            <w:gridSpan w:val="3"/>
            <w:vAlign w:val="bottom"/>
          </w:tcPr>
          <w:p w14:paraId="5973A2FA" w14:textId="77777777" w:rsidR="00D564FF" w:rsidRPr="00B97C61" w:rsidRDefault="00D564FF">
            <w:pPr>
              <w:rPr>
                <w:rFonts w:asciiTheme="minorHAnsi" w:hAnsiTheme="minorHAnsi" w:cs="Arial"/>
                <w:sz w:val="20"/>
                <w:szCs w:val="20"/>
              </w:rPr>
            </w:pPr>
            <w:r w:rsidRPr="00B97C61">
              <w:rPr>
                <w:rFonts w:asciiTheme="minorHAnsi" w:hAnsiTheme="minorHAnsi" w:cs="Arial"/>
                <w:sz w:val="20"/>
                <w:szCs w:val="20"/>
              </w:rPr>
              <w:t>At 1 January</w:t>
            </w:r>
          </w:p>
        </w:tc>
        <w:tc>
          <w:tcPr>
            <w:tcW w:w="510" w:type="pct"/>
            <w:tcBorders>
              <w:top w:val="single" w:sz="4" w:space="0" w:color="auto"/>
            </w:tcBorders>
            <w:shd w:val="clear" w:color="auto" w:fill="auto"/>
          </w:tcPr>
          <w:p w14:paraId="44402C4F" w14:textId="77777777" w:rsidR="00D564FF" w:rsidRPr="006D4208" w:rsidRDefault="00D564FF">
            <w:pPr>
              <w:jc w:val="right"/>
              <w:rPr>
                <w:rFonts w:asciiTheme="minorHAnsi" w:hAnsiTheme="minorHAnsi" w:cs="Arial"/>
                <w:sz w:val="20"/>
                <w:szCs w:val="20"/>
              </w:rPr>
            </w:pPr>
            <w:r w:rsidRPr="006D4208">
              <w:rPr>
                <w:rFonts w:asciiTheme="minorHAnsi" w:hAnsiTheme="minorHAnsi" w:cs="Arial"/>
                <w:sz w:val="20"/>
                <w:szCs w:val="20"/>
              </w:rPr>
              <w:t>1.2</w:t>
            </w:r>
          </w:p>
        </w:tc>
        <w:tc>
          <w:tcPr>
            <w:tcW w:w="436" w:type="pct"/>
            <w:tcBorders>
              <w:top w:val="single" w:sz="4" w:space="0" w:color="auto"/>
            </w:tcBorders>
            <w:shd w:val="clear" w:color="auto" w:fill="auto"/>
          </w:tcPr>
          <w:p w14:paraId="6CF0A438" w14:textId="77777777" w:rsidR="00D564FF" w:rsidRPr="006D4208" w:rsidRDefault="00D564FF">
            <w:pPr>
              <w:jc w:val="right"/>
              <w:rPr>
                <w:rFonts w:asciiTheme="minorHAnsi" w:hAnsiTheme="minorHAnsi" w:cs="Arial"/>
                <w:sz w:val="20"/>
                <w:szCs w:val="20"/>
              </w:rPr>
            </w:pPr>
            <w:r w:rsidRPr="006D4208">
              <w:rPr>
                <w:rFonts w:asciiTheme="minorHAnsi" w:hAnsiTheme="minorHAnsi" w:cs="Arial"/>
                <w:sz w:val="20"/>
                <w:szCs w:val="20"/>
              </w:rPr>
              <w:t>2.0</w:t>
            </w:r>
          </w:p>
        </w:tc>
        <w:tc>
          <w:tcPr>
            <w:tcW w:w="647" w:type="pct"/>
            <w:gridSpan w:val="2"/>
            <w:tcBorders>
              <w:top w:val="single" w:sz="4" w:space="0" w:color="auto"/>
            </w:tcBorders>
            <w:shd w:val="clear" w:color="auto" w:fill="auto"/>
          </w:tcPr>
          <w:p w14:paraId="66D8EA28" w14:textId="77777777" w:rsidR="00D564FF" w:rsidRPr="006D4208" w:rsidRDefault="00D564FF">
            <w:pPr>
              <w:jc w:val="right"/>
              <w:rPr>
                <w:rFonts w:asciiTheme="minorHAnsi" w:hAnsiTheme="minorHAnsi" w:cs="Arial"/>
                <w:sz w:val="20"/>
                <w:szCs w:val="20"/>
              </w:rPr>
            </w:pPr>
            <w:r w:rsidRPr="006D4208">
              <w:rPr>
                <w:rFonts w:asciiTheme="minorHAnsi" w:hAnsiTheme="minorHAnsi" w:cs="Arial"/>
                <w:sz w:val="20"/>
                <w:szCs w:val="20"/>
              </w:rPr>
              <w:t>1.4</w:t>
            </w:r>
          </w:p>
        </w:tc>
        <w:tc>
          <w:tcPr>
            <w:tcW w:w="800" w:type="pct"/>
            <w:tcBorders>
              <w:top w:val="single" w:sz="4" w:space="0" w:color="auto"/>
            </w:tcBorders>
            <w:shd w:val="clear" w:color="auto" w:fill="auto"/>
          </w:tcPr>
          <w:p w14:paraId="2A9BFD70" w14:textId="77777777" w:rsidR="00D564FF" w:rsidRPr="006D4208" w:rsidRDefault="00D564FF">
            <w:pPr>
              <w:jc w:val="right"/>
              <w:rPr>
                <w:rFonts w:asciiTheme="minorHAnsi" w:hAnsiTheme="minorHAnsi" w:cs="Arial"/>
                <w:sz w:val="20"/>
                <w:szCs w:val="20"/>
              </w:rPr>
            </w:pPr>
            <w:r>
              <w:rPr>
                <w:rFonts w:asciiTheme="minorHAnsi" w:hAnsiTheme="minorHAnsi" w:cs="Arial"/>
                <w:sz w:val="20"/>
                <w:szCs w:val="20"/>
              </w:rPr>
              <w:t>0.3</w:t>
            </w:r>
          </w:p>
        </w:tc>
        <w:tc>
          <w:tcPr>
            <w:tcW w:w="436" w:type="pct"/>
            <w:tcBorders>
              <w:top w:val="single" w:sz="4" w:space="0" w:color="auto"/>
            </w:tcBorders>
            <w:shd w:val="clear" w:color="auto" w:fill="auto"/>
          </w:tcPr>
          <w:p w14:paraId="3D5683A9" w14:textId="77777777" w:rsidR="00D564FF" w:rsidRPr="006D4208" w:rsidRDefault="00D564FF">
            <w:pPr>
              <w:jc w:val="right"/>
              <w:rPr>
                <w:rFonts w:asciiTheme="minorHAnsi" w:hAnsiTheme="minorHAnsi" w:cs="Arial"/>
                <w:sz w:val="20"/>
                <w:szCs w:val="20"/>
              </w:rPr>
            </w:pPr>
            <w:r w:rsidRPr="006D4208">
              <w:rPr>
                <w:rFonts w:asciiTheme="minorHAnsi" w:hAnsiTheme="minorHAnsi" w:cs="Arial"/>
                <w:sz w:val="20"/>
                <w:szCs w:val="20"/>
              </w:rPr>
              <w:t>0.</w:t>
            </w:r>
            <w:r>
              <w:rPr>
                <w:rFonts w:asciiTheme="minorHAnsi" w:hAnsiTheme="minorHAnsi" w:cs="Arial"/>
                <w:sz w:val="20"/>
                <w:szCs w:val="20"/>
              </w:rPr>
              <w:t>3</w:t>
            </w:r>
          </w:p>
        </w:tc>
        <w:tc>
          <w:tcPr>
            <w:tcW w:w="510" w:type="pct"/>
            <w:tcBorders>
              <w:top w:val="single" w:sz="4" w:space="0" w:color="auto"/>
            </w:tcBorders>
            <w:vAlign w:val="bottom"/>
          </w:tcPr>
          <w:p w14:paraId="3B05B94B" w14:textId="77777777" w:rsidR="00D564FF" w:rsidRPr="006D4208" w:rsidRDefault="00D564FF">
            <w:pPr>
              <w:jc w:val="right"/>
              <w:rPr>
                <w:rFonts w:asciiTheme="minorHAnsi" w:hAnsiTheme="minorHAnsi" w:cs="Arial"/>
                <w:sz w:val="20"/>
                <w:szCs w:val="20"/>
              </w:rPr>
            </w:pPr>
            <w:r w:rsidRPr="006D4208">
              <w:rPr>
                <w:rFonts w:asciiTheme="minorHAnsi" w:hAnsiTheme="minorHAnsi" w:cs="Arial"/>
                <w:sz w:val="20"/>
                <w:szCs w:val="20"/>
              </w:rPr>
              <w:t>5.2</w:t>
            </w:r>
          </w:p>
        </w:tc>
      </w:tr>
      <w:tr w:rsidR="00D564FF" w:rsidRPr="00B97C61" w14:paraId="70AC288F" w14:textId="77777777" w:rsidTr="00CF66BE">
        <w:trPr>
          <w:trHeight w:val="180"/>
        </w:trPr>
        <w:tc>
          <w:tcPr>
            <w:tcW w:w="1661" w:type="pct"/>
            <w:gridSpan w:val="3"/>
            <w:vAlign w:val="bottom"/>
          </w:tcPr>
          <w:p w14:paraId="1FD787F3" w14:textId="77777777" w:rsidR="00D564FF" w:rsidRPr="00B97C61" w:rsidRDefault="00D564FF">
            <w:pPr>
              <w:rPr>
                <w:rFonts w:asciiTheme="minorHAnsi" w:hAnsiTheme="minorHAnsi" w:cs="Arial"/>
                <w:sz w:val="20"/>
                <w:szCs w:val="20"/>
              </w:rPr>
            </w:pPr>
            <w:r w:rsidRPr="00B97C61">
              <w:rPr>
                <w:rFonts w:asciiTheme="minorHAnsi" w:hAnsiTheme="minorHAnsi" w:cs="Arial"/>
                <w:sz w:val="20"/>
                <w:szCs w:val="20"/>
              </w:rPr>
              <w:t xml:space="preserve">Created in the </w:t>
            </w:r>
            <w:r>
              <w:rPr>
                <w:rFonts w:asciiTheme="minorHAnsi" w:hAnsiTheme="minorHAnsi" w:cs="Arial"/>
                <w:sz w:val="20"/>
                <w:szCs w:val="20"/>
              </w:rPr>
              <w:t>period</w:t>
            </w:r>
          </w:p>
        </w:tc>
        <w:tc>
          <w:tcPr>
            <w:tcW w:w="510" w:type="pct"/>
            <w:shd w:val="clear" w:color="auto" w:fill="auto"/>
          </w:tcPr>
          <w:p w14:paraId="2A87332B" w14:textId="77777777" w:rsidR="00D564FF" w:rsidRPr="006D4208" w:rsidRDefault="00D564FF">
            <w:pPr>
              <w:jc w:val="right"/>
              <w:rPr>
                <w:rFonts w:asciiTheme="minorHAnsi" w:hAnsiTheme="minorHAnsi" w:cs="Arial"/>
                <w:sz w:val="20"/>
                <w:szCs w:val="20"/>
              </w:rPr>
            </w:pPr>
            <w:r w:rsidRPr="006D4208">
              <w:rPr>
                <w:rFonts w:asciiTheme="minorHAnsi" w:hAnsiTheme="minorHAnsi" w:cs="Arial"/>
                <w:sz w:val="20"/>
                <w:szCs w:val="20"/>
              </w:rPr>
              <w:t>-</w:t>
            </w:r>
          </w:p>
        </w:tc>
        <w:tc>
          <w:tcPr>
            <w:tcW w:w="436" w:type="pct"/>
            <w:shd w:val="clear" w:color="auto" w:fill="auto"/>
          </w:tcPr>
          <w:p w14:paraId="1FC2D3D0" w14:textId="77777777" w:rsidR="00D564FF" w:rsidRPr="006D4208" w:rsidRDefault="00D564FF">
            <w:pPr>
              <w:jc w:val="right"/>
              <w:rPr>
                <w:rFonts w:asciiTheme="minorHAnsi" w:hAnsiTheme="minorHAnsi" w:cs="Arial"/>
                <w:sz w:val="20"/>
                <w:szCs w:val="20"/>
              </w:rPr>
            </w:pPr>
            <w:r w:rsidRPr="006D4208">
              <w:rPr>
                <w:rFonts w:asciiTheme="minorHAnsi" w:hAnsiTheme="minorHAnsi" w:cs="Arial"/>
                <w:sz w:val="20"/>
                <w:szCs w:val="20"/>
              </w:rPr>
              <w:t>-</w:t>
            </w:r>
          </w:p>
        </w:tc>
        <w:tc>
          <w:tcPr>
            <w:tcW w:w="647" w:type="pct"/>
            <w:gridSpan w:val="2"/>
            <w:shd w:val="clear" w:color="auto" w:fill="auto"/>
          </w:tcPr>
          <w:p w14:paraId="10448837" w14:textId="59CEB0F2" w:rsidR="00D564FF" w:rsidRPr="006D4208" w:rsidRDefault="002B1248">
            <w:pPr>
              <w:jc w:val="right"/>
              <w:rPr>
                <w:rFonts w:asciiTheme="minorHAnsi" w:hAnsiTheme="minorHAnsi" w:cs="Arial"/>
                <w:sz w:val="20"/>
                <w:szCs w:val="20"/>
              </w:rPr>
            </w:pPr>
            <w:r>
              <w:rPr>
                <w:rFonts w:asciiTheme="minorHAnsi" w:hAnsiTheme="minorHAnsi" w:cs="Arial"/>
                <w:sz w:val="20"/>
                <w:szCs w:val="20"/>
              </w:rPr>
              <w:t>10.7</w:t>
            </w:r>
          </w:p>
        </w:tc>
        <w:tc>
          <w:tcPr>
            <w:tcW w:w="800" w:type="pct"/>
            <w:shd w:val="clear" w:color="auto" w:fill="auto"/>
          </w:tcPr>
          <w:p w14:paraId="302A5B8E" w14:textId="77777777" w:rsidR="00D564FF" w:rsidRPr="006D4208" w:rsidRDefault="00D564FF">
            <w:pPr>
              <w:jc w:val="right"/>
              <w:rPr>
                <w:rFonts w:asciiTheme="minorHAnsi" w:hAnsiTheme="minorHAnsi" w:cs="Arial"/>
                <w:sz w:val="20"/>
                <w:szCs w:val="20"/>
              </w:rPr>
            </w:pPr>
            <w:r>
              <w:rPr>
                <w:rFonts w:asciiTheme="minorHAnsi" w:hAnsiTheme="minorHAnsi" w:cs="Arial"/>
                <w:sz w:val="20"/>
                <w:szCs w:val="20"/>
              </w:rPr>
              <w:t>-</w:t>
            </w:r>
          </w:p>
        </w:tc>
        <w:tc>
          <w:tcPr>
            <w:tcW w:w="436" w:type="pct"/>
            <w:shd w:val="clear" w:color="auto" w:fill="auto"/>
          </w:tcPr>
          <w:p w14:paraId="64072B8E" w14:textId="506BBECF" w:rsidR="00D564FF" w:rsidRPr="006D4208" w:rsidRDefault="002B1248">
            <w:pPr>
              <w:jc w:val="right"/>
              <w:rPr>
                <w:rFonts w:asciiTheme="minorHAnsi" w:hAnsiTheme="minorHAnsi" w:cs="Arial"/>
                <w:sz w:val="20"/>
                <w:szCs w:val="20"/>
              </w:rPr>
            </w:pPr>
            <w:r>
              <w:rPr>
                <w:rFonts w:asciiTheme="minorHAnsi" w:hAnsiTheme="minorHAnsi" w:cs="Arial"/>
                <w:sz w:val="20"/>
                <w:szCs w:val="20"/>
              </w:rPr>
              <w:t>0.3</w:t>
            </w:r>
          </w:p>
        </w:tc>
        <w:tc>
          <w:tcPr>
            <w:tcW w:w="510" w:type="pct"/>
            <w:vAlign w:val="bottom"/>
          </w:tcPr>
          <w:p w14:paraId="021EBFAE" w14:textId="2FB31879" w:rsidR="00D564FF" w:rsidRPr="006D4208" w:rsidRDefault="00D06859">
            <w:pPr>
              <w:jc w:val="right"/>
              <w:rPr>
                <w:rFonts w:asciiTheme="minorHAnsi" w:hAnsiTheme="minorHAnsi" w:cs="Arial"/>
                <w:sz w:val="20"/>
                <w:szCs w:val="20"/>
              </w:rPr>
            </w:pPr>
            <w:r>
              <w:rPr>
                <w:rFonts w:asciiTheme="minorHAnsi" w:hAnsiTheme="minorHAnsi" w:cs="Arial"/>
                <w:sz w:val="20"/>
                <w:szCs w:val="20"/>
              </w:rPr>
              <w:t>11.0</w:t>
            </w:r>
          </w:p>
        </w:tc>
      </w:tr>
      <w:tr w:rsidR="00D564FF" w:rsidRPr="00B97C61" w14:paraId="0B6AC4C5" w14:textId="77777777" w:rsidTr="00CF66BE">
        <w:trPr>
          <w:trHeight w:val="180"/>
        </w:trPr>
        <w:tc>
          <w:tcPr>
            <w:tcW w:w="1661" w:type="pct"/>
            <w:gridSpan w:val="3"/>
            <w:vAlign w:val="bottom"/>
          </w:tcPr>
          <w:p w14:paraId="179CF88E" w14:textId="77777777" w:rsidR="00D564FF" w:rsidRPr="00B97C61" w:rsidRDefault="00D564FF">
            <w:pPr>
              <w:rPr>
                <w:rFonts w:asciiTheme="minorHAnsi" w:hAnsiTheme="minorHAnsi" w:cs="Arial"/>
                <w:sz w:val="20"/>
                <w:szCs w:val="20"/>
              </w:rPr>
            </w:pPr>
            <w:r w:rsidRPr="00B97C61">
              <w:rPr>
                <w:rFonts w:asciiTheme="minorHAnsi" w:hAnsiTheme="minorHAnsi" w:cs="Arial"/>
                <w:sz w:val="20"/>
                <w:szCs w:val="20"/>
              </w:rPr>
              <w:t xml:space="preserve">Reclassified in the </w:t>
            </w:r>
            <w:r>
              <w:rPr>
                <w:rFonts w:asciiTheme="minorHAnsi" w:hAnsiTheme="minorHAnsi" w:cs="Arial"/>
                <w:sz w:val="20"/>
                <w:szCs w:val="20"/>
              </w:rPr>
              <w:t>period</w:t>
            </w:r>
          </w:p>
        </w:tc>
        <w:tc>
          <w:tcPr>
            <w:tcW w:w="510" w:type="pct"/>
            <w:shd w:val="clear" w:color="auto" w:fill="auto"/>
          </w:tcPr>
          <w:p w14:paraId="7BF81AB3" w14:textId="77777777" w:rsidR="00D564FF" w:rsidRPr="006D4208" w:rsidRDefault="00D564FF">
            <w:pPr>
              <w:jc w:val="right"/>
              <w:rPr>
                <w:rFonts w:asciiTheme="minorHAnsi" w:hAnsiTheme="minorHAnsi" w:cs="Arial"/>
                <w:sz w:val="20"/>
                <w:szCs w:val="20"/>
              </w:rPr>
            </w:pPr>
            <w:r w:rsidRPr="006D4208">
              <w:rPr>
                <w:rFonts w:asciiTheme="minorHAnsi" w:hAnsiTheme="minorHAnsi" w:cs="Arial"/>
                <w:sz w:val="20"/>
                <w:szCs w:val="20"/>
              </w:rPr>
              <w:t>-</w:t>
            </w:r>
          </w:p>
        </w:tc>
        <w:tc>
          <w:tcPr>
            <w:tcW w:w="436" w:type="pct"/>
            <w:shd w:val="clear" w:color="auto" w:fill="auto"/>
          </w:tcPr>
          <w:p w14:paraId="7825514A" w14:textId="77777777" w:rsidR="00D564FF" w:rsidRPr="006D4208" w:rsidRDefault="00D564FF">
            <w:pPr>
              <w:jc w:val="right"/>
              <w:rPr>
                <w:rFonts w:asciiTheme="minorHAnsi" w:hAnsiTheme="minorHAnsi" w:cs="Arial"/>
                <w:sz w:val="20"/>
                <w:szCs w:val="20"/>
              </w:rPr>
            </w:pPr>
            <w:r w:rsidRPr="006D4208">
              <w:rPr>
                <w:rFonts w:asciiTheme="minorHAnsi" w:hAnsiTheme="minorHAnsi" w:cs="Arial"/>
                <w:sz w:val="20"/>
                <w:szCs w:val="20"/>
              </w:rPr>
              <w:t>-</w:t>
            </w:r>
          </w:p>
        </w:tc>
        <w:tc>
          <w:tcPr>
            <w:tcW w:w="647" w:type="pct"/>
            <w:gridSpan w:val="2"/>
            <w:shd w:val="clear" w:color="auto" w:fill="auto"/>
          </w:tcPr>
          <w:p w14:paraId="4AAC8549" w14:textId="77777777" w:rsidR="00D564FF" w:rsidRPr="006D4208" w:rsidRDefault="00D564FF">
            <w:pPr>
              <w:jc w:val="right"/>
              <w:rPr>
                <w:rFonts w:asciiTheme="minorHAnsi" w:hAnsiTheme="minorHAnsi" w:cs="Arial"/>
                <w:sz w:val="20"/>
                <w:szCs w:val="20"/>
              </w:rPr>
            </w:pPr>
            <w:r w:rsidRPr="006D4208">
              <w:rPr>
                <w:rFonts w:asciiTheme="minorHAnsi" w:hAnsiTheme="minorHAnsi" w:cs="Arial"/>
                <w:sz w:val="20"/>
                <w:szCs w:val="20"/>
              </w:rPr>
              <w:t>-</w:t>
            </w:r>
          </w:p>
        </w:tc>
        <w:tc>
          <w:tcPr>
            <w:tcW w:w="800" w:type="pct"/>
            <w:shd w:val="clear" w:color="auto" w:fill="auto"/>
          </w:tcPr>
          <w:p w14:paraId="57820FAB" w14:textId="77777777" w:rsidR="00D564FF" w:rsidRPr="006D4208" w:rsidRDefault="00D564FF">
            <w:pPr>
              <w:jc w:val="right"/>
              <w:rPr>
                <w:rFonts w:asciiTheme="minorHAnsi" w:hAnsiTheme="minorHAnsi" w:cs="Arial"/>
                <w:sz w:val="20"/>
                <w:szCs w:val="20"/>
              </w:rPr>
            </w:pPr>
            <w:r>
              <w:rPr>
                <w:rFonts w:asciiTheme="minorHAnsi" w:hAnsiTheme="minorHAnsi" w:cs="Arial"/>
                <w:sz w:val="20"/>
                <w:szCs w:val="20"/>
              </w:rPr>
              <w:t>-</w:t>
            </w:r>
          </w:p>
        </w:tc>
        <w:tc>
          <w:tcPr>
            <w:tcW w:w="436" w:type="pct"/>
            <w:shd w:val="clear" w:color="auto" w:fill="auto"/>
          </w:tcPr>
          <w:p w14:paraId="339FFE45" w14:textId="536D9AFC" w:rsidR="00D564FF" w:rsidRPr="006D4208" w:rsidRDefault="002B1248">
            <w:pPr>
              <w:jc w:val="right"/>
              <w:rPr>
                <w:rFonts w:asciiTheme="minorHAnsi" w:hAnsiTheme="minorHAnsi" w:cs="Arial"/>
                <w:sz w:val="20"/>
                <w:szCs w:val="20"/>
              </w:rPr>
            </w:pPr>
            <w:r>
              <w:rPr>
                <w:rFonts w:asciiTheme="minorHAnsi" w:hAnsiTheme="minorHAnsi" w:cs="Arial"/>
                <w:sz w:val="20"/>
                <w:szCs w:val="20"/>
              </w:rPr>
              <w:t>0.6</w:t>
            </w:r>
          </w:p>
        </w:tc>
        <w:tc>
          <w:tcPr>
            <w:tcW w:w="510" w:type="pct"/>
            <w:vAlign w:val="bottom"/>
          </w:tcPr>
          <w:p w14:paraId="1BEA6D2B" w14:textId="5877734E" w:rsidR="00D564FF" w:rsidRPr="006D4208" w:rsidRDefault="00D06859">
            <w:pPr>
              <w:jc w:val="right"/>
              <w:rPr>
                <w:rFonts w:asciiTheme="minorHAnsi" w:hAnsiTheme="minorHAnsi" w:cs="Arial"/>
                <w:sz w:val="20"/>
                <w:szCs w:val="20"/>
              </w:rPr>
            </w:pPr>
            <w:r>
              <w:rPr>
                <w:rFonts w:asciiTheme="minorHAnsi" w:hAnsiTheme="minorHAnsi" w:cs="Arial"/>
                <w:sz w:val="20"/>
                <w:szCs w:val="20"/>
              </w:rPr>
              <w:t>0.6</w:t>
            </w:r>
          </w:p>
        </w:tc>
      </w:tr>
      <w:tr w:rsidR="00D564FF" w:rsidRPr="00B97C61" w14:paraId="428E4E3B" w14:textId="77777777" w:rsidTr="00CF66BE">
        <w:trPr>
          <w:trHeight w:val="98"/>
        </w:trPr>
        <w:tc>
          <w:tcPr>
            <w:tcW w:w="1661" w:type="pct"/>
            <w:gridSpan w:val="3"/>
            <w:vAlign w:val="bottom"/>
          </w:tcPr>
          <w:p w14:paraId="1A0B6B3F" w14:textId="77777777" w:rsidR="00D564FF" w:rsidRPr="00B97C61" w:rsidRDefault="00D564FF">
            <w:pPr>
              <w:rPr>
                <w:rFonts w:asciiTheme="minorHAnsi" w:hAnsiTheme="minorHAnsi" w:cs="Arial"/>
                <w:sz w:val="20"/>
                <w:szCs w:val="20"/>
              </w:rPr>
            </w:pPr>
            <w:r w:rsidRPr="00B97C61">
              <w:rPr>
                <w:rFonts w:asciiTheme="minorHAnsi" w:hAnsiTheme="minorHAnsi" w:cs="Arial"/>
                <w:sz w:val="20"/>
                <w:szCs w:val="20"/>
              </w:rPr>
              <w:t xml:space="preserve">Utilised in the </w:t>
            </w:r>
            <w:r>
              <w:rPr>
                <w:rFonts w:asciiTheme="minorHAnsi" w:hAnsiTheme="minorHAnsi" w:cs="Arial"/>
                <w:sz w:val="20"/>
                <w:szCs w:val="20"/>
              </w:rPr>
              <w:t>period</w:t>
            </w:r>
          </w:p>
        </w:tc>
        <w:tc>
          <w:tcPr>
            <w:tcW w:w="510" w:type="pct"/>
            <w:shd w:val="clear" w:color="auto" w:fill="auto"/>
          </w:tcPr>
          <w:p w14:paraId="431E13C6" w14:textId="77777777" w:rsidR="00D564FF" w:rsidRPr="006D4208" w:rsidRDefault="00D564FF">
            <w:pPr>
              <w:jc w:val="right"/>
              <w:rPr>
                <w:rFonts w:asciiTheme="minorHAnsi" w:hAnsiTheme="minorHAnsi" w:cs="Arial"/>
                <w:sz w:val="20"/>
                <w:szCs w:val="20"/>
              </w:rPr>
            </w:pPr>
            <w:r w:rsidRPr="006D4208">
              <w:rPr>
                <w:rFonts w:asciiTheme="minorHAnsi" w:hAnsiTheme="minorHAnsi" w:cs="Arial"/>
                <w:sz w:val="20"/>
                <w:szCs w:val="20"/>
              </w:rPr>
              <w:t>(0.2)</w:t>
            </w:r>
          </w:p>
        </w:tc>
        <w:tc>
          <w:tcPr>
            <w:tcW w:w="436" w:type="pct"/>
            <w:shd w:val="clear" w:color="auto" w:fill="auto"/>
          </w:tcPr>
          <w:p w14:paraId="73E95C22" w14:textId="77777777" w:rsidR="00D564FF" w:rsidRPr="006D4208" w:rsidRDefault="00D564FF">
            <w:pPr>
              <w:jc w:val="right"/>
              <w:rPr>
                <w:rFonts w:asciiTheme="minorHAnsi" w:hAnsiTheme="minorHAnsi" w:cs="Arial"/>
                <w:sz w:val="20"/>
                <w:szCs w:val="20"/>
              </w:rPr>
            </w:pPr>
            <w:r w:rsidRPr="006D4208">
              <w:rPr>
                <w:rFonts w:asciiTheme="minorHAnsi" w:hAnsiTheme="minorHAnsi" w:cs="Arial"/>
                <w:sz w:val="20"/>
                <w:szCs w:val="20"/>
              </w:rPr>
              <w:t>-</w:t>
            </w:r>
          </w:p>
        </w:tc>
        <w:tc>
          <w:tcPr>
            <w:tcW w:w="647" w:type="pct"/>
            <w:gridSpan w:val="2"/>
            <w:shd w:val="clear" w:color="auto" w:fill="auto"/>
          </w:tcPr>
          <w:p w14:paraId="5A806FF3" w14:textId="1843AA0A" w:rsidR="00D564FF" w:rsidRPr="006D4208" w:rsidRDefault="00D564FF">
            <w:pPr>
              <w:jc w:val="right"/>
              <w:rPr>
                <w:rFonts w:asciiTheme="minorHAnsi" w:hAnsiTheme="minorHAnsi" w:cs="Arial"/>
                <w:sz w:val="20"/>
                <w:szCs w:val="20"/>
              </w:rPr>
            </w:pPr>
            <w:r w:rsidRPr="006D4208">
              <w:rPr>
                <w:rFonts w:asciiTheme="minorHAnsi" w:hAnsiTheme="minorHAnsi" w:cs="Arial"/>
                <w:sz w:val="20"/>
                <w:szCs w:val="20"/>
              </w:rPr>
              <w:t>(</w:t>
            </w:r>
            <w:r w:rsidR="002B1248">
              <w:rPr>
                <w:rFonts w:asciiTheme="minorHAnsi" w:hAnsiTheme="minorHAnsi" w:cs="Arial"/>
                <w:sz w:val="20"/>
                <w:szCs w:val="20"/>
              </w:rPr>
              <w:t>8.4)</w:t>
            </w:r>
          </w:p>
        </w:tc>
        <w:tc>
          <w:tcPr>
            <w:tcW w:w="800" w:type="pct"/>
            <w:shd w:val="clear" w:color="auto" w:fill="auto"/>
          </w:tcPr>
          <w:p w14:paraId="0C5390D3" w14:textId="77777777" w:rsidR="00D564FF" w:rsidRPr="006D4208" w:rsidRDefault="00D564FF">
            <w:pPr>
              <w:jc w:val="right"/>
              <w:rPr>
                <w:rFonts w:asciiTheme="minorHAnsi" w:hAnsiTheme="minorHAnsi" w:cs="Arial"/>
                <w:sz w:val="20"/>
                <w:szCs w:val="20"/>
              </w:rPr>
            </w:pPr>
            <w:r>
              <w:rPr>
                <w:rFonts w:asciiTheme="minorHAnsi" w:hAnsiTheme="minorHAnsi" w:cs="Arial"/>
                <w:sz w:val="20"/>
                <w:szCs w:val="20"/>
              </w:rPr>
              <w:t>-</w:t>
            </w:r>
          </w:p>
        </w:tc>
        <w:tc>
          <w:tcPr>
            <w:tcW w:w="436" w:type="pct"/>
            <w:shd w:val="clear" w:color="auto" w:fill="auto"/>
          </w:tcPr>
          <w:p w14:paraId="7CE7B66E" w14:textId="7517589C" w:rsidR="00D564FF" w:rsidRPr="006D4208" w:rsidRDefault="002B1248">
            <w:pPr>
              <w:jc w:val="right"/>
              <w:rPr>
                <w:rFonts w:asciiTheme="minorHAnsi" w:hAnsiTheme="minorHAnsi" w:cs="Arial"/>
                <w:sz w:val="20"/>
                <w:szCs w:val="20"/>
              </w:rPr>
            </w:pPr>
            <w:r>
              <w:rPr>
                <w:rFonts w:asciiTheme="minorHAnsi" w:hAnsiTheme="minorHAnsi" w:cs="Arial"/>
                <w:sz w:val="20"/>
                <w:szCs w:val="20"/>
              </w:rPr>
              <w:t>(0.2)</w:t>
            </w:r>
          </w:p>
        </w:tc>
        <w:tc>
          <w:tcPr>
            <w:tcW w:w="510" w:type="pct"/>
            <w:vAlign w:val="bottom"/>
          </w:tcPr>
          <w:p w14:paraId="604E9A9C" w14:textId="32EBCE6B" w:rsidR="00D564FF" w:rsidRPr="006D4208" w:rsidRDefault="00D564FF">
            <w:pPr>
              <w:jc w:val="right"/>
              <w:rPr>
                <w:rFonts w:asciiTheme="minorHAnsi" w:hAnsiTheme="minorHAnsi" w:cs="Arial"/>
                <w:sz w:val="20"/>
                <w:szCs w:val="20"/>
              </w:rPr>
            </w:pPr>
            <w:r>
              <w:rPr>
                <w:rFonts w:asciiTheme="minorHAnsi" w:hAnsiTheme="minorHAnsi" w:cs="Arial"/>
                <w:sz w:val="20"/>
                <w:szCs w:val="20"/>
              </w:rPr>
              <w:t>(</w:t>
            </w:r>
            <w:r w:rsidR="00D06859">
              <w:rPr>
                <w:rFonts w:asciiTheme="minorHAnsi" w:hAnsiTheme="minorHAnsi" w:cs="Arial"/>
                <w:sz w:val="20"/>
                <w:szCs w:val="20"/>
              </w:rPr>
              <w:t>8.8)</w:t>
            </w:r>
          </w:p>
        </w:tc>
      </w:tr>
      <w:tr w:rsidR="00D564FF" w:rsidRPr="00B97C61" w14:paraId="68DA3BD5" w14:textId="77777777" w:rsidTr="00CF66BE">
        <w:trPr>
          <w:trHeight w:val="199"/>
        </w:trPr>
        <w:tc>
          <w:tcPr>
            <w:tcW w:w="1661" w:type="pct"/>
            <w:gridSpan w:val="3"/>
            <w:vAlign w:val="bottom"/>
          </w:tcPr>
          <w:p w14:paraId="685BF510" w14:textId="77777777" w:rsidR="00D564FF" w:rsidRPr="00B97C61" w:rsidRDefault="00D564FF">
            <w:pPr>
              <w:rPr>
                <w:rFonts w:asciiTheme="minorHAnsi" w:hAnsiTheme="minorHAnsi" w:cs="Arial"/>
                <w:sz w:val="20"/>
                <w:szCs w:val="20"/>
              </w:rPr>
            </w:pPr>
            <w:r w:rsidRPr="00B97C61">
              <w:rPr>
                <w:rFonts w:asciiTheme="minorHAnsi" w:hAnsiTheme="minorHAnsi" w:cs="Arial"/>
                <w:sz w:val="20"/>
                <w:szCs w:val="20"/>
              </w:rPr>
              <w:t xml:space="preserve">Released in the </w:t>
            </w:r>
            <w:r>
              <w:rPr>
                <w:rFonts w:asciiTheme="minorHAnsi" w:hAnsiTheme="minorHAnsi" w:cs="Arial"/>
                <w:sz w:val="20"/>
                <w:szCs w:val="20"/>
              </w:rPr>
              <w:t>period</w:t>
            </w:r>
          </w:p>
        </w:tc>
        <w:tc>
          <w:tcPr>
            <w:tcW w:w="510" w:type="pct"/>
            <w:tcBorders>
              <w:bottom w:val="single" w:sz="4" w:space="0" w:color="auto"/>
            </w:tcBorders>
            <w:shd w:val="clear" w:color="auto" w:fill="auto"/>
          </w:tcPr>
          <w:p w14:paraId="2AD55988" w14:textId="77777777" w:rsidR="00D564FF" w:rsidRPr="006D4208" w:rsidRDefault="00D564FF">
            <w:pPr>
              <w:jc w:val="right"/>
              <w:rPr>
                <w:rFonts w:asciiTheme="minorHAnsi" w:hAnsiTheme="minorHAnsi" w:cs="Arial"/>
                <w:sz w:val="20"/>
                <w:szCs w:val="20"/>
              </w:rPr>
            </w:pPr>
            <w:r w:rsidRPr="006D4208">
              <w:rPr>
                <w:rFonts w:asciiTheme="minorHAnsi" w:hAnsiTheme="minorHAnsi" w:cs="Arial"/>
                <w:sz w:val="20"/>
                <w:szCs w:val="20"/>
              </w:rPr>
              <w:t>-</w:t>
            </w:r>
          </w:p>
        </w:tc>
        <w:tc>
          <w:tcPr>
            <w:tcW w:w="436" w:type="pct"/>
            <w:shd w:val="clear" w:color="auto" w:fill="auto"/>
          </w:tcPr>
          <w:p w14:paraId="55D86D67" w14:textId="19896D5E" w:rsidR="00D564FF" w:rsidRPr="006D4208" w:rsidRDefault="00B8036D">
            <w:pPr>
              <w:jc w:val="right"/>
              <w:rPr>
                <w:rFonts w:asciiTheme="minorHAnsi" w:hAnsiTheme="minorHAnsi" w:cs="Arial"/>
                <w:sz w:val="20"/>
                <w:szCs w:val="20"/>
              </w:rPr>
            </w:pPr>
            <w:r>
              <w:rPr>
                <w:rFonts w:asciiTheme="minorHAnsi" w:hAnsiTheme="minorHAnsi" w:cs="Arial"/>
                <w:sz w:val="20"/>
                <w:szCs w:val="20"/>
              </w:rPr>
              <w:t>(2.0)</w:t>
            </w:r>
          </w:p>
        </w:tc>
        <w:tc>
          <w:tcPr>
            <w:tcW w:w="647" w:type="pct"/>
            <w:gridSpan w:val="2"/>
            <w:shd w:val="clear" w:color="auto" w:fill="auto"/>
          </w:tcPr>
          <w:p w14:paraId="6AE9EEB1" w14:textId="28314CC1" w:rsidR="00D564FF" w:rsidRPr="006D4208" w:rsidRDefault="002B1248">
            <w:pPr>
              <w:jc w:val="right"/>
              <w:rPr>
                <w:rFonts w:asciiTheme="minorHAnsi" w:hAnsiTheme="minorHAnsi" w:cs="Arial"/>
                <w:sz w:val="20"/>
                <w:szCs w:val="20"/>
              </w:rPr>
            </w:pPr>
            <w:r>
              <w:rPr>
                <w:rFonts w:asciiTheme="minorHAnsi" w:hAnsiTheme="minorHAnsi" w:cs="Arial"/>
                <w:sz w:val="20"/>
                <w:szCs w:val="20"/>
              </w:rPr>
              <w:t>(0.2)</w:t>
            </w:r>
          </w:p>
        </w:tc>
        <w:tc>
          <w:tcPr>
            <w:tcW w:w="800" w:type="pct"/>
            <w:shd w:val="clear" w:color="auto" w:fill="auto"/>
          </w:tcPr>
          <w:p w14:paraId="2B76FA2F" w14:textId="77777777" w:rsidR="00D564FF" w:rsidRPr="006D4208" w:rsidRDefault="00D564FF">
            <w:pPr>
              <w:jc w:val="right"/>
              <w:rPr>
                <w:rFonts w:asciiTheme="minorHAnsi" w:hAnsiTheme="minorHAnsi" w:cs="Arial"/>
                <w:sz w:val="20"/>
                <w:szCs w:val="20"/>
              </w:rPr>
            </w:pPr>
            <w:r>
              <w:rPr>
                <w:rFonts w:asciiTheme="minorHAnsi" w:hAnsiTheme="minorHAnsi" w:cs="Arial"/>
                <w:sz w:val="20"/>
                <w:szCs w:val="20"/>
              </w:rPr>
              <w:t>-</w:t>
            </w:r>
          </w:p>
        </w:tc>
        <w:tc>
          <w:tcPr>
            <w:tcW w:w="436" w:type="pct"/>
            <w:shd w:val="clear" w:color="auto" w:fill="auto"/>
          </w:tcPr>
          <w:p w14:paraId="0E68968C" w14:textId="77777777" w:rsidR="00D564FF" w:rsidRPr="006D4208" w:rsidRDefault="00D564FF">
            <w:pPr>
              <w:jc w:val="right"/>
              <w:rPr>
                <w:rFonts w:asciiTheme="minorHAnsi" w:hAnsiTheme="minorHAnsi" w:cs="Arial"/>
                <w:sz w:val="20"/>
                <w:szCs w:val="20"/>
              </w:rPr>
            </w:pPr>
            <w:r>
              <w:rPr>
                <w:rFonts w:asciiTheme="minorHAnsi" w:hAnsiTheme="minorHAnsi" w:cs="Arial"/>
                <w:sz w:val="20"/>
                <w:szCs w:val="20"/>
              </w:rPr>
              <w:t>-</w:t>
            </w:r>
          </w:p>
        </w:tc>
        <w:tc>
          <w:tcPr>
            <w:tcW w:w="510" w:type="pct"/>
            <w:vAlign w:val="bottom"/>
          </w:tcPr>
          <w:p w14:paraId="5D64388C" w14:textId="4A5AAFF8" w:rsidR="00D564FF" w:rsidRPr="006D4208" w:rsidRDefault="00EA03F1">
            <w:pPr>
              <w:jc w:val="right"/>
              <w:rPr>
                <w:rFonts w:asciiTheme="minorHAnsi" w:hAnsiTheme="minorHAnsi" w:cs="Arial"/>
                <w:sz w:val="20"/>
                <w:szCs w:val="20"/>
              </w:rPr>
            </w:pPr>
            <w:r>
              <w:rPr>
                <w:rFonts w:asciiTheme="minorHAnsi" w:hAnsiTheme="minorHAnsi" w:cs="Arial"/>
                <w:sz w:val="20"/>
                <w:szCs w:val="20"/>
              </w:rPr>
              <w:t>(2.2)</w:t>
            </w:r>
          </w:p>
        </w:tc>
      </w:tr>
      <w:tr w:rsidR="00D564FF" w:rsidRPr="00B97C61" w14:paraId="65803C28" w14:textId="77777777" w:rsidTr="00CF66BE">
        <w:trPr>
          <w:trHeight w:val="180"/>
        </w:trPr>
        <w:tc>
          <w:tcPr>
            <w:tcW w:w="1661" w:type="pct"/>
            <w:gridSpan w:val="3"/>
            <w:vAlign w:val="bottom"/>
          </w:tcPr>
          <w:p w14:paraId="17364694" w14:textId="77777777" w:rsidR="00D564FF" w:rsidRPr="002F6210" w:rsidRDefault="00D564FF">
            <w:pPr>
              <w:rPr>
                <w:rFonts w:asciiTheme="minorHAnsi" w:hAnsiTheme="minorHAnsi" w:cs="Arial"/>
                <w:sz w:val="20"/>
                <w:szCs w:val="20"/>
              </w:rPr>
            </w:pPr>
            <w:r w:rsidRPr="002F6210">
              <w:rPr>
                <w:rFonts w:asciiTheme="minorHAnsi" w:hAnsiTheme="minorHAnsi" w:cs="Arial"/>
                <w:sz w:val="20"/>
                <w:szCs w:val="20"/>
              </w:rPr>
              <w:t>Closing balance</w:t>
            </w:r>
          </w:p>
        </w:tc>
        <w:tc>
          <w:tcPr>
            <w:tcW w:w="510" w:type="pct"/>
            <w:tcBorders>
              <w:top w:val="single" w:sz="4" w:space="0" w:color="auto"/>
              <w:bottom w:val="single" w:sz="12" w:space="0" w:color="auto"/>
            </w:tcBorders>
            <w:shd w:val="clear" w:color="auto" w:fill="auto"/>
          </w:tcPr>
          <w:p w14:paraId="183E5A55" w14:textId="77777777" w:rsidR="00D564FF" w:rsidRPr="006D4208" w:rsidRDefault="00D564FF">
            <w:pPr>
              <w:jc w:val="right"/>
              <w:rPr>
                <w:rFonts w:asciiTheme="minorHAnsi" w:hAnsiTheme="minorHAnsi" w:cs="Arial"/>
                <w:sz w:val="20"/>
                <w:szCs w:val="20"/>
              </w:rPr>
            </w:pPr>
            <w:r w:rsidRPr="006D4208">
              <w:rPr>
                <w:rFonts w:asciiTheme="minorHAnsi" w:hAnsiTheme="minorHAnsi" w:cs="Arial"/>
                <w:sz w:val="20"/>
                <w:szCs w:val="20"/>
              </w:rPr>
              <w:t>1.0</w:t>
            </w:r>
          </w:p>
        </w:tc>
        <w:tc>
          <w:tcPr>
            <w:tcW w:w="436" w:type="pct"/>
            <w:tcBorders>
              <w:top w:val="single" w:sz="4" w:space="0" w:color="auto"/>
              <w:bottom w:val="single" w:sz="12" w:space="0" w:color="auto"/>
            </w:tcBorders>
            <w:shd w:val="clear" w:color="auto" w:fill="auto"/>
          </w:tcPr>
          <w:p w14:paraId="2B1C3C0F" w14:textId="2D3977D1" w:rsidR="00D564FF" w:rsidRPr="006D4208" w:rsidRDefault="00983807">
            <w:pPr>
              <w:jc w:val="right"/>
              <w:rPr>
                <w:rFonts w:asciiTheme="minorHAnsi" w:hAnsiTheme="minorHAnsi" w:cs="Arial"/>
                <w:sz w:val="20"/>
                <w:szCs w:val="20"/>
              </w:rPr>
            </w:pPr>
            <w:r>
              <w:rPr>
                <w:rFonts w:asciiTheme="minorHAnsi" w:hAnsiTheme="minorHAnsi" w:cs="Arial"/>
                <w:sz w:val="20"/>
                <w:szCs w:val="20"/>
              </w:rPr>
              <w:t>-</w:t>
            </w:r>
          </w:p>
        </w:tc>
        <w:tc>
          <w:tcPr>
            <w:tcW w:w="647" w:type="pct"/>
            <w:gridSpan w:val="2"/>
            <w:tcBorders>
              <w:top w:val="single" w:sz="4" w:space="0" w:color="auto"/>
              <w:bottom w:val="single" w:sz="12" w:space="0" w:color="auto"/>
            </w:tcBorders>
            <w:shd w:val="clear" w:color="auto" w:fill="auto"/>
          </w:tcPr>
          <w:p w14:paraId="7538C25E" w14:textId="544F6D1F" w:rsidR="00D564FF" w:rsidRPr="006D4208" w:rsidRDefault="00D564FF">
            <w:pPr>
              <w:jc w:val="right"/>
              <w:rPr>
                <w:rFonts w:asciiTheme="minorHAnsi" w:hAnsiTheme="minorHAnsi" w:cs="Arial"/>
                <w:sz w:val="20"/>
                <w:szCs w:val="20"/>
              </w:rPr>
            </w:pPr>
            <w:r>
              <w:rPr>
                <w:rFonts w:asciiTheme="minorHAnsi" w:hAnsiTheme="minorHAnsi" w:cs="Arial"/>
                <w:sz w:val="20"/>
                <w:szCs w:val="20"/>
              </w:rPr>
              <w:t>3.</w:t>
            </w:r>
            <w:r w:rsidR="002B1248">
              <w:rPr>
                <w:rFonts w:asciiTheme="minorHAnsi" w:hAnsiTheme="minorHAnsi" w:cs="Arial"/>
                <w:sz w:val="20"/>
                <w:szCs w:val="20"/>
              </w:rPr>
              <w:t>5</w:t>
            </w:r>
          </w:p>
        </w:tc>
        <w:tc>
          <w:tcPr>
            <w:tcW w:w="800" w:type="pct"/>
            <w:tcBorders>
              <w:top w:val="single" w:sz="4" w:space="0" w:color="auto"/>
              <w:bottom w:val="single" w:sz="12" w:space="0" w:color="auto"/>
            </w:tcBorders>
            <w:shd w:val="clear" w:color="auto" w:fill="auto"/>
          </w:tcPr>
          <w:p w14:paraId="1D8595D3" w14:textId="77777777" w:rsidR="00D564FF" w:rsidRPr="006D4208" w:rsidRDefault="00D564FF">
            <w:pPr>
              <w:jc w:val="right"/>
              <w:rPr>
                <w:rFonts w:asciiTheme="minorHAnsi" w:hAnsiTheme="minorHAnsi" w:cs="Arial"/>
                <w:sz w:val="20"/>
                <w:szCs w:val="20"/>
              </w:rPr>
            </w:pPr>
            <w:r>
              <w:rPr>
                <w:rFonts w:asciiTheme="minorHAnsi" w:hAnsiTheme="minorHAnsi" w:cs="Arial"/>
                <w:sz w:val="20"/>
                <w:szCs w:val="20"/>
              </w:rPr>
              <w:t>0.3</w:t>
            </w:r>
          </w:p>
        </w:tc>
        <w:tc>
          <w:tcPr>
            <w:tcW w:w="436" w:type="pct"/>
            <w:tcBorders>
              <w:top w:val="single" w:sz="4" w:space="0" w:color="auto"/>
              <w:bottom w:val="single" w:sz="12" w:space="0" w:color="auto"/>
            </w:tcBorders>
            <w:shd w:val="clear" w:color="auto" w:fill="auto"/>
          </w:tcPr>
          <w:p w14:paraId="28D174EE" w14:textId="42DE260D" w:rsidR="00D564FF" w:rsidRPr="006D4208" w:rsidRDefault="00D06859">
            <w:pPr>
              <w:jc w:val="right"/>
              <w:rPr>
                <w:rFonts w:asciiTheme="minorHAnsi" w:hAnsiTheme="minorHAnsi" w:cs="Arial"/>
                <w:sz w:val="20"/>
                <w:szCs w:val="20"/>
              </w:rPr>
            </w:pPr>
            <w:r>
              <w:rPr>
                <w:rFonts w:asciiTheme="minorHAnsi" w:hAnsiTheme="minorHAnsi" w:cs="Arial"/>
                <w:sz w:val="20"/>
                <w:szCs w:val="20"/>
              </w:rPr>
              <w:t>1.0</w:t>
            </w:r>
          </w:p>
        </w:tc>
        <w:tc>
          <w:tcPr>
            <w:tcW w:w="510" w:type="pct"/>
            <w:tcBorders>
              <w:top w:val="single" w:sz="4" w:space="0" w:color="auto"/>
              <w:bottom w:val="single" w:sz="12" w:space="0" w:color="auto"/>
            </w:tcBorders>
            <w:vAlign w:val="bottom"/>
          </w:tcPr>
          <w:p w14:paraId="067F878F" w14:textId="22519556" w:rsidR="00D564FF" w:rsidRPr="006D4208" w:rsidRDefault="00EA03F1">
            <w:pPr>
              <w:jc w:val="right"/>
              <w:rPr>
                <w:rFonts w:asciiTheme="minorHAnsi" w:hAnsiTheme="minorHAnsi" w:cs="Arial"/>
                <w:sz w:val="20"/>
                <w:szCs w:val="20"/>
              </w:rPr>
            </w:pPr>
            <w:r>
              <w:rPr>
                <w:rFonts w:asciiTheme="minorHAnsi" w:hAnsiTheme="minorHAnsi" w:cs="Arial"/>
                <w:sz w:val="20"/>
                <w:szCs w:val="20"/>
              </w:rPr>
              <w:t>5.8</w:t>
            </w:r>
          </w:p>
        </w:tc>
      </w:tr>
    </w:tbl>
    <w:p w14:paraId="48859968" w14:textId="77777777" w:rsidR="00282F31" w:rsidRPr="009C4BFC" w:rsidRDefault="00282F31" w:rsidP="00AC281A">
      <w:pPr>
        <w:jc w:val="both"/>
        <w:rPr>
          <w:rFonts w:asciiTheme="minorHAnsi" w:hAnsiTheme="minorHAnsi" w:cs="Arial"/>
          <w:b/>
          <w:color w:val="4747FF"/>
          <w:sz w:val="22"/>
          <w:szCs w:val="22"/>
        </w:rPr>
      </w:pPr>
    </w:p>
    <w:tbl>
      <w:tblPr>
        <w:tblW w:w="5085" w:type="pct"/>
        <w:tblInd w:w="-108" w:type="dxa"/>
        <w:tblLayout w:type="fixed"/>
        <w:tblLook w:val="0000" w:firstRow="0" w:lastRow="0" w:firstColumn="0" w:lastColumn="0" w:noHBand="0" w:noVBand="0"/>
      </w:tblPr>
      <w:tblGrid>
        <w:gridCol w:w="3228"/>
        <w:gridCol w:w="993"/>
        <w:gridCol w:w="850"/>
        <w:gridCol w:w="1418"/>
        <w:gridCol w:w="1558"/>
        <w:gridCol w:w="850"/>
        <w:gridCol w:w="991"/>
      </w:tblGrid>
      <w:tr w:rsidR="00E6076C" w:rsidRPr="00B97C61" w14:paraId="12A82516" w14:textId="77777777" w:rsidTr="00325160">
        <w:trPr>
          <w:trHeight w:val="180"/>
        </w:trPr>
        <w:tc>
          <w:tcPr>
            <w:tcW w:w="1632" w:type="pct"/>
            <w:vAlign w:val="bottom"/>
          </w:tcPr>
          <w:p w14:paraId="59AA6FC1" w14:textId="77777777" w:rsidR="000E5649" w:rsidRPr="00B97C61" w:rsidRDefault="000E5649">
            <w:pPr>
              <w:rPr>
                <w:rFonts w:asciiTheme="minorHAnsi" w:hAnsiTheme="minorHAnsi" w:cs="Arial"/>
                <w:sz w:val="20"/>
                <w:szCs w:val="20"/>
              </w:rPr>
            </w:pPr>
          </w:p>
          <w:p w14:paraId="7A8E1DBF" w14:textId="77777777" w:rsidR="000E5649" w:rsidRPr="00B97C61" w:rsidRDefault="000E5649">
            <w:pPr>
              <w:rPr>
                <w:rFonts w:asciiTheme="minorHAnsi" w:hAnsiTheme="minorHAnsi" w:cs="Arial"/>
                <w:sz w:val="20"/>
                <w:szCs w:val="20"/>
              </w:rPr>
            </w:pPr>
          </w:p>
        </w:tc>
        <w:tc>
          <w:tcPr>
            <w:tcW w:w="502" w:type="pct"/>
            <w:shd w:val="clear" w:color="auto" w:fill="auto"/>
          </w:tcPr>
          <w:p w14:paraId="3F9C4B8F" w14:textId="77777777" w:rsidR="00403F6D" w:rsidRPr="005950FC" w:rsidRDefault="00403F6D">
            <w:pPr>
              <w:jc w:val="center"/>
              <w:rPr>
                <w:rFonts w:asciiTheme="minorHAnsi" w:hAnsiTheme="minorHAnsi" w:cs="Arial"/>
                <w:sz w:val="20"/>
                <w:szCs w:val="20"/>
              </w:rPr>
            </w:pPr>
          </w:p>
        </w:tc>
        <w:tc>
          <w:tcPr>
            <w:tcW w:w="2866" w:type="pct"/>
            <w:gridSpan w:val="5"/>
            <w:tcBorders>
              <w:bottom w:val="single" w:sz="4" w:space="0" w:color="auto"/>
            </w:tcBorders>
            <w:vAlign w:val="bottom"/>
          </w:tcPr>
          <w:p w14:paraId="39181209" w14:textId="12A47F34" w:rsidR="000E5649" w:rsidRPr="005950FC" w:rsidRDefault="000E5649">
            <w:pPr>
              <w:jc w:val="center"/>
              <w:rPr>
                <w:rFonts w:asciiTheme="minorHAnsi" w:hAnsiTheme="minorHAnsi" w:cs="Arial"/>
                <w:sz w:val="20"/>
                <w:szCs w:val="20"/>
              </w:rPr>
            </w:pPr>
            <w:r w:rsidRPr="005950FC">
              <w:rPr>
                <w:rFonts w:asciiTheme="minorHAnsi" w:hAnsiTheme="minorHAnsi" w:cs="Arial"/>
                <w:sz w:val="20"/>
                <w:szCs w:val="20"/>
              </w:rPr>
              <w:t>Six months ended 30 June 2023</w:t>
            </w:r>
          </w:p>
        </w:tc>
      </w:tr>
      <w:tr w:rsidR="00016CA4" w:rsidRPr="00B97C61" w14:paraId="42806CD5" w14:textId="77777777" w:rsidTr="00325160">
        <w:trPr>
          <w:trHeight w:val="180"/>
        </w:trPr>
        <w:tc>
          <w:tcPr>
            <w:tcW w:w="1632" w:type="pct"/>
            <w:vAlign w:val="bottom"/>
          </w:tcPr>
          <w:p w14:paraId="57A38572" w14:textId="77777777" w:rsidR="000E5649" w:rsidRPr="00B97C61" w:rsidRDefault="000E5649">
            <w:pPr>
              <w:rPr>
                <w:rFonts w:asciiTheme="minorHAnsi" w:hAnsiTheme="minorHAnsi" w:cs="Arial"/>
                <w:sz w:val="20"/>
                <w:szCs w:val="20"/>
              </w:rPr>
            </w:pPr>
          </w:p>
        </w:tc>
        <w:tc>
          <w:tcPr>
            <w:tcW w:w="502" w:type="pct"/>
            <w:tcBorders>
              <w:top w:val="single" w:sz="4" w:space="0" w:color="auto"/>
              <w:bottom w:val="single" w:sz="4" w:space="0" w:color="auto"/>
            </w:tcBorders>
            <w:shd w:val="clear" w:color="auto" w:fill="auto"/>
            <w:vAlign w:val="bottom"/>
          </w:tcPr>
          <w:p w14:paraId="3743590E" w14:textId="77777777" w:rsidR="000E5649" w:rsidRPr="005950FC" w:rsidRDefault="000E5649">
            <w:pPr>
              <w:jc w:val="right"/>
              <w:rPr>
                <w:rFonts w:asciiTheme="minorHAnsi" w:hAnsiTheme="minorHAnsi" w:cs="Arial"/>
                <w:sz w:val="20"/>
                <w:szCs w:val="20"/>
              </w:rPr>
            </w:pPr>
            <w:r w:rsidRPr="005950FC">
              <w:rPr>
                <w:rFonts w:asciiTheme="minorHAnsi" w:hAnsiTheme="minorHAnsi" w:cs="Arial"/>
                <w:sz w:val="20"/>
                <w:szCs w:val="20"/>
              </w:rPr>
              <w:t>Scheme</w:t>
            </w:r>
          </w:p>
          <w:p w14:paraId="2DBC447B" w14:textId="77777777" w:rsidR="000E5649" w:rsidRPr="005950FC" w:rsidRDefault="000E5649">
            <w:pPr>
              <w:jc w:val="right"/>
              <w:rPr>
                <w:rFonts w:asciiTheme="minorHAnsi" w:hAnsiTheme="minorHAnsi" w:cs="Arial"/>
                <w:sz w:val="20"/>
                <w:szCs w:val="20"/>
              </w:rPr>
            </w:pPr>
            <w:r w:rsidRPr="005950FC">
              <w:rPr>
                <w:rFonts w:asciiTheme="minorHAnsi" w:hAnsiTheme="minorHAnsi" w:cs="Arial"/>
                <w:sz w:val="20"/>
                <w:szCs w:val="20"/>
              </w:rPr>
              <w:t>£m</w:t>
            </w:r>
          </w:p>
        </w:tc>
        <w:tc>
          <w:tcPr>
            <w:tcW w:w="430" w:type="pct"/>
            <w:tcBorders>
              <w:top w:val="single" w:sz="4" w:space="0" w:color="auto"/>
              <w:bottom w:val="single" w:sz="4" w:space="0" w:color="auto"/>
            </w:tcBorders>
            <w:shd w:val="clear" w:color="auto" w:fill="auto"/>
            <w:vAlign w:val="bottom"/>
          </w:tcPr>
          <w:p w14:paraId="2A9BE6B8" w14:textId="77777777" w:rsidR="000E5649" w:rsidRPr="005950FC" w:rsidRDefault="000E5649">
            <w:pPr>
              <w:jc w:val="right"/>
              <w:rPr>
                <w:rFonts w:asciiTheme="minorHAnsi" w:hAnsiTheme="minorHAnsi" w:cs="Arial"/>
                <w:sz w:val="20"/>
                <w:szCs w:val="20"/>
              </w:rPr>
            </w:pPr>
            <w:r w:rsidRPr="005950FC">
              <w:rPr>
                <w:rFonts w:asciiTheme="minorHAnsi" w:hAnsiTheme="minorHAnsi" w:cs="Arial"/>
                <w:sz w:val="20"/>
                <w:szCs w:val="20"/>
              </w:rPr>
              <w:t>ROP</w:t>
            </w:r>
          </w:p>
          <w:p w14:paraId="39EEF7FC" w14:textId="77777777" w:rsidR="000E5649" w:rsidRPr="005950FC" w:rsidRDefault="000E5649">
            <w:pPr>
              <w:jc w:val="right"/>
              <w:rPr>
                <w:rFonts w:asciiTheme="minorHAnsi" w:hAnsiTheme="minorHAnsi" w:cs="Arial"/>
                <w:sz w:val="20"/>
                <w:szCs w:val="20"/>
              </w:rPr>
            </w:pPr>
            <w:r w:rsidRPr="005950FC">
              <w:rPr>
                <w:rFonts w:asciiTheme="minorHAnsi" w:hAnsiTheme="minorHAnsi" w:cs="Arial"/>
                <w:sz w:val="20"/>
                <w:szCs w:val="20"/>
              </w:rPr>
              <w:t>£m</w:t>
            </w:r>
          </w:p>
        </w:tc>
        <w:tc>
          <w:tcPr>
            <w:tcW w:w="717" w:type="pct"/>
            <w:tcBorders>
              <w:top w:val="single" w:sz="4" w:space="0" w:color="auto"/>
              <w:bottom w:val="single" w:sz="4" w:space="0" w:color="auto"/>
            </w:tcBorders>
            <w:shd w:val="clear" w:color="auto" w:fill="auto"/>
            <w:vAlign w:val="bottom"/>
          </w:tcPr>
          <w:p w14:paraId="1FAC61E7" w14:textId="77777777" w:rsidR="000E5649" w:rsidRPr="005950FC" w:rsidRDefault="000E5649">
            <w:pPr>
              <w:jc w:val="right"/>
              <w:rPr>
                <w:rFonts w:asciiTheme="minorHAnsi" w:hAnsiTheme="minorHAnsi" w:cs="Arial"/>
                <w:sz w:val="20"/>
                <w:szCs w:val="20"/>
              </w:rPr>
            </w:pPr>
            <w:r w:rsidRPr="005950FC">
              <w:rPr>
                <w:rFonts w:asciiTheme="minorHAnsi" w:hAnsiTheme="minorHAnsi" w:cs="Arial"/>
                <w:sz w:val="20"/>
                <w:szCs w:val="20"/>
              </w:rPr>
              <w:t>Customer compliance</w:t>
            </w:r>
          </w:p>
          <w:p w14:paraId="3334AF37" w14:textId="77777777" w:rsidR="000E5649" w:rsidRPr="005950FC" w:rsidRDefault="000E5649">
            <w:pPr>
              <w:jc w:val="right"/>
              <w:rPr>
                <w:rFonts w:asciiTheme="minorHAnsi" w:hAnsiTheme="minorHAnsi" w:cs="Arial"/>
                <w:sz w:val="20"/>
                <w:szCs w:val="20"/>
              </w:rPr>
            </w:pPr>
            <w:r w:rsidRPr="005950FC">
              <w:rPr>
                <w:rFonts w:asciiTheme="minorHAnsi" w:hAnsiTheme="minorHAnsi" w:cs="Arial"/>
                <w:sz w:val="20"/>
                <w:szCs w:val="20"/>
              </w:rPr>
              <w:t>£m</w:t>
            </w:r>
          </w:p>
        </w:tc>
        <w:tc>
          <w:tcPr>
            <w:tcW w:w="788" w:type="pct"/>
            <w:tcBorders>
              <w:top w:val="single" w:sz="4" w:space="0" w:color="auto"/>
              <w:bottom w:val="single" w:sz="4" w:space="0" w:color="auto"/>
            </w:tcBorders>
            <w:shd w:val="clear" w:color="auto" w:fill="auto"/>
          </w:tcPr>
          <w:p w14:paraId="2AD88D9F" w14:textId="77777777" w:rsidR="00543A8B" w:rsidRDefault="00543A8B" w:rsidP="00E74A0C">
            <w:pPr>
              <w:jc w:val="right"/>
              <w:rPr>
                <w:rFonts w:asciiTheme="minorHAnsi" w:hAnsiTheme="minorHAnsi" w:cs="Arial"/>
                <w:sz w:val="20"/>
                <w:szCs w:val="20"/>
              </w:rPr>
            </w:pPr>
          </w:p>
          <w:p w14:paraId="7CD7D57D" w14:textId="70954DDA" w:rsidR="00543A8B" w:rsidRDefault="00403F6D" w:rsidP="00E74A0C">
            <w:pPr>
              <w:jc w:val="right"/>
              <w:rPr>
                <w:rFonts w:asciiTheme="minorHAnsi" w:hAnsiTheme="minorHAnsi" w:cs="Arial"/>
                <w:sz w:val="20"/>
                <w:szCs w:val="20"/>
              </w:rPr>
            </w:pPr>
            <w:r>
              <w:rPr>
                <w:rFonts w:asciiTheme="minorHAnsi" w:hAnsiTheme="minorHAnsi" w:cs="Arial"/>
                <w:sz w:val="20"/>
                <w:szCs w:val="20"/>
              </w:rPr>
              <w:t>Dilapidations</w:t>
            </w:r>
          </w:p>
          <w:p w14:paraId="69401D49" w14:textId="13353FA8" w:rsidR="00403F6D" w:rsidRDefault="00403F6D" w:rsidP="00E74A0C">
            <w:pPr>
              <w:jc w:val="right"/>
              <w:rPr>
                <w:rFonts w:asciiTheme="minorHAnsi" w:hAnsiTheme="minorHAnsi" w:cs="Arial"/>
                <w:sz w:val="20"/>
                <w:szCs w:val="20"/>
              </w:rPr>
            </w:pPr>
            <w:r>
              <w:rPr>
                <w:rFonts w:asciiTheme="minorHAnsi" w:hAnsiTheme="minorHAnsi" w:cs="Arial"/>
                <w:sz w:val="20"/>
                <w:szCs w:val="20"/>
              </w:rPr>
              <w:t>£m</w:t>
            </w:r>
          </w:p>
        </w:tc>
        <w:tc>
          <w:tcPr>
            <w:tcW w:w="430" w:type="pct"/>
            <w:tcBorders>
              <w:top w:val="single" w:sz="4" w:space="0" w:color="auto"/>
              <w:bottom w:val="single" w:sz="4" w:space="0" w:color="auto"/>
            </w:tcBorders>
            <w:shd w:val="clear" w:color="auto" w:fill="auto"/>
            <w:vAlign w:val="bottom"/>
          </w:tcPr>
          <w:p w14:paraId="073291B9" w14:textId="77777777" w:rsidR="000E5649" w:rsidRPr="005950FC" w:rsidRDefault="000E5649">
            <w:pPr>
              <w:jc w:val="right"/>
              <w:rPr>
                <w:rFonts w:asciiTheme="minorHAnsi" w:hAnsiTheme="minorHAnsi" w:cs="Arial"/>
                <w:sz w:val="20"/>
                <w:szCs w:val="20"/>
              </w:rPr>
            </w:pPr>
            <w:r w:rsidRPr="005950FC">
              <w:rPr>
                <w:rFonts w:asciiTheme="minorHAnsi" w:hAnsiTheme="minorHAnsi" w:cs="Arial"/>
                <w:sz w:val="20"/>
                <w:szCs w:val="20"/>
              </w:rPr>
              <w:t>Others</w:t>
            </w:r>
          </w:p>
          <w:p w14:paraId="3A0D1749" w14:textId="77777777" w:rsidR="000E5649" w:rsidRPr="005950FC" w:rsidRDefault="000E5649">
            <w:pPr>
              <w:jc w:val="right"/>
              <w:rPr>
                <w:rFonts w:asciiTheme="minorHAnsi" w:hAnsiTheme="minorHAnsi" w:cs="Arial"/>
                <w:sz w:val="20"/>
                <w:szCs w:val="20"/>
              </w:rPr>
            </w:pPr>
            <w:r w:rsidRPr="005950FC">
              <w:rPr>
                <w:rFonts w:asciiTheme="minorHAnsi" w:hAnsiTheme="minorHAnsi" w:cs="Arial"/>
                <w:sz w:val="20"/>
                <w:szCs w:val="20"/>
              </w:rPr>
              <w:t>£m</w:t>
            </w:r>
          </w:p>
        </w:tc>
        <w:tc>
          <w:tcPr>
            <w:tcW w:w="501" w:type="pct"/>
            <w:tcBorders>
              <w:top w:val="single" w:sz="4" w:space="0" w:color="auto"/>
              <w:bottom w:val="single" w:sz="4" w:space="0" w:color="auto"/>
            </w:tcBorders>
            <w:vAlign w:val="bottom"/>
          </w:tcPr>
          <w:p w14:paraId="23432463" w14:textId="77777777" w:rsidR="000E5649" w:rsidRPr="005950FC" w:rsidRDefault="000E5649">
            <w:pPr>
              <w:jc w:val="right"/>
              <w:rPr>
                <w:rFonts w:asciiTheme="minorHAnsi" w:hAnsiTheme="minorHAnsi" w:cs="Arial"/>
                <w:sz w:val="20"/>
                <w:szCs w:val="20"/>
              </w:rPr>
            </w:pPr>
            <w:r w:rsidRPr="005950FC">
              <w:rPr>
                <w:rFonts w:asciiTheme="minorHAnsi" w:hAnsiTheme="minorHAnsi" w:cs="Arial"/>
                <w:sz w:val="20"/>
                <w:szCs w:val="20"/>
              </w:rPr>
              <w:t>Total</w:t>
            </w:r>
          </w:p>
          <w:p w14:paraId="61D7ADC6" w14:textId="77777777" w:rsidR="000E5649" w:rsidRPr="005950FC" w:rsidRDefault="000E5649">
            <w:pPr>
              <w:jc w:val="right"/>
              <w:rPr>
                <w:rFonts w:asciiTheme="minorHAnsi" w:hAnsiTheme="minorHAnsi" w:cs="Arial"/>
                <w:sz w:val="20"/>
                <w:szCs w:val="20"/>
              </w:rPr>
            </w:pPr>
            <w:r w:rsidRPr="005950FC">
              <w:rPr>
                <w:rFonts w:asciiTheme="minorHAnsi" w:hAnsiTheme="minorHAnsi" w:cs="Arial"/>
                <w:sz w:val="20"/>
                <w:szCs w:val="20"/>
              </w:rPr>
              <w:t>£m</w:t>
            </w:r>
          </w:p>
        </w:tc>
      </w:tr>
      <w:tr w:rsidR="00691120" w:rsidRPr="00B97C61" w14:paraId="5802EE90" w14:textId="77777777" w:rsidTr="002F6210">
        <w:trPr>
          <w:trHeight w:val="88"/>
        </w:trPr>
        <w:tc>
          <w:tcPr>
            <w:tcW w:w="1632" w:type="pct"/>
            <w:vAlign w:val="bottom"/>
          </w:tcPr>
          <w:p w14:paraId="53DC00B1" w14:textId="77777777" w:rsidR="000E5649" w:rsidRPr="00B97C61" w:rsidRDefault="000E5649" w:rsidP="000E5649">
            <w:pPr>
              <w:rPr>
                <w:rFonts w:asciiTheme="minorHAnsi" w:hAnsiTheme="minorHAnsi" w:cs="Arial"/>
                <w:sz w:val="20"/>
                <w:szCs w:val="20"/>
              </w:rPr>
            </w:pPr>
            <w:r w:rsidRPr="00B97C61">
              <w:rPr>
                <w:rFonts w:asciiTheme="minorHAnsi" w:hAnsiTheme="minorHAnsi" w:cs="Arial"/>
                <w:sz w:val="20"/>
                <w:szCs w:val="20"/>
              </w:rPr>
              <w:t>At 1 January</w:t>
            </w:r>
          </w:p>
        </w:tc>
        <w:tc>
          <w:tcPr>
            <w:tcW w:w="502" w:type="pct"/>
            <w:tcBorders>
              <w:top w:val="single" w:sz="4" w:space="0" w:color="auto"/>
            </w:tcBorders>
            <w:shd w:val="clear" w:color="auto" w:fill="auto"/>
          </w:tcPr>
          <w:p w14:paraId="3A1373EC" w14:textId="7F4ABC71" w:rsidR="000E5649" w:rsidRPr="006D4208" w:rsidRDefault="000E5649" w:rsidP="000E5649">
            <w:pPr>
              <w:jc w:val="right"/>
              <w:rPr>
                <w:rFonts w:asciiTheme="minorHAnsi" w:hAnsiTheme="minorHAnsi" w:cs="Arial"/>
                <w:sz w:val="20"/>
                <w:szCs w:val="20"/>
              </w:rPr>
            </w:pPr>
            <w:r w:rsidRPr="006D4208">
              <w:rPr>
                <w:rFonts w:asciiTheme="minorHAnsi" w:hAnsiTheme="minorHAnsi" w:cs="Arial"/>
                <w:sz w:val="20"/>
                <w:szCs w:val="20"/>
              </w:rPr>
              <w:t>1.2</w:t>
            </w:r>
          </w:p>
        </w:tc>
        <w:tc>
          <w:tcPr>
            <w:tcW w:w="430" w:type="pct"/>
            <w:tcBorders>
              <w:top w:val="single" w:sz="4" w:space="0" w:color="auto"/>
            </w:tcBorders>
            <w:shd w:val="clear" w:color="auto" w:fill="auto"/>
          </w:tcPr>
          <w:p w14:paraId="1752F49C" w14:textId="748DB276" w:rsidR="000E5649" w:rsidRPr="006D4208" w:rsidRDefault="000E5379" w:rsidP="000E5649">
            <w:pPr>
              <w:jc w:val="right"/>
              <w:rPr>
                <w:rFonts w:asciiTheme="minorHAnsi" w:hAnsiTheme="minorHAnsi" w:cs="Arial"/>
                <w:sz w:val="20"/>
                <w:szCs w:val="20"/>
              </w:rPr>
            </w:pPr>
            <w:r w:rsidRPr="006D4208">
              <w:rPr>
                <w:rFonts w:asciiTheme="minorHAnsi" w:hAnsiTheme="minorHAnsi" w:cs="Arial"/>
                <w:sz w:val="20"/>
                <w:szCs w:val="20"/>
              </w:rPr>
              <w:t>2.0</w:t>
            </w:r>
          </w:p>
        </w:tc>
        <w:tc>
          <w:tcPr>
            <w:tcW w:w="717" w:type="pct"/>
            <w:tcBorders>
              <w:top w:val="single" w:sz="4" w:space="0" w:color="auto"/>
            </w:tcBorders>
            <w:shd w:val="clear" w:color="auto" w:fill="auto"/>
          </w:tcPr>
          <w:p w14:paraId="647ED046" w14:textId="0692C905" w:rsidR="000E5649" w:rsidRPr="006D4208" w:rsidRDefault="000B481D" w:rsidP="000E5649">
            <w:pPr>
              <w:jc w:val="right"/>
              <w:rPr>
                <w:rFonts w:asciiTheme="minorHAnsi" w:hAnsiTheme="minorHAnsi" w:cs="Arial"/>
                <w:sz w:val="20"/>
                <w:szCs w:val="20"/>
              </w:rPr>
            </w:pPr>
            <w:r w:rsidRPr="006D4208">
              <w:rPr>
                <w:rFonts w:asciiTheme="minorHAnsi" w:hAnsiTheme="minorHAnsi" w:cs="Arial"/>
                <w:sz w:val="20"/>
                <w:szCs w:val="20"/>
              </w:rPr>
              <w:t>1.4</w:t>
            </w:r>
          </w:p>
        </w:tc>
        <w:tc>
          <w:tcPr>
            <w:tcW w:w="788" w:type="pct"/>
            <w:tcBorders>
              <w:top w:val="single" w:sz="4" w:space="0" w:color="auto"/>
            </w:tcBorders>
            <w:shd w:val="clear" w:color="auto" w:fill="auto"/>
          </w:tcPr>
          <w:p w14:paraId="11E7CE48" w14:textId="1DAB7FDF" w:rsidR="00403F6D" w:rsidRPr="006D4208" w:rsidRDefault="00543A8B" w:rsidP="000E5649">
            <w:pPr>
              <w:jc w:val="right"/>
              <w:rPr>
                <w:rFonts w:asciiTheme="minorHAnsi" w:hAnsiTheme="minorHAnsi" w:cs="Arial"/>
                <w:sz w:val="20"/>
                <w:szCs w:val="20"/>
              </w:rPr>
            </w:pPr>
            <w:r>
              <w:rPr>
                <w:rFonts w:asciiTheme="minorHAnsi" w:hAnsiTheme="minorHAnsi" w:cs="Arial"/>
                <w:sz w:val="20"/>
                <w:szCs w:val="20"/>
              </w:rPr>
              <w:t>0.</w:t>
            </w:r>
            <w:r w:rsidR="008323C3">
              <w:rPr>
                <w:rFonts w:asciiTheme="minorHAnsi" w:hAnsiTheme="minorHAnsi" w:cs="Arial"/>
                <w:sz w:val="20"/>
                <w:szCs w:val="20"/>
              </w:rPr>
              <w:t>3</w:t>
            </w:r>
          </w:p>
        </w:tc>
        <w:tc>
          <w:tcPr>
            <w:tcW w:w="430" w:type="pct"/>
            <w:tcBorders>
              <w:top w:val="single" w:sz="4" w:space="0" w:color="auto"/>
            </w:tcBorders>
            <w:shd w:val="clear" w:color="auto" w:fill="auto"/>
          </w:tcPr>
          <w:p w14:paraId="7008F1D5" w14:textId="7D39C484" w:rsidR="000E5649" w:rsidRPr="006D4208" w:rsidRDefault="000E5649" w:rsidP="000E5649">
            <w:pPr>
              <w:jc w:val="right"/>
              <w:rPr>
                <w:rFonts w:asciiTheme="minorHAnsi" w:hAnsiTheme="minorHAnsi" w:cs="Arial"/>
                <w:sz w:val="20"/>
                <w:szCs w:val="20"/>
              </w:rPr>
            </w:pPr>
            <w:r w:rsidRPr="006D4208">
              <w:rPr>
                <w:rFonts w:asciiTheme="minorHAnsi" w:hAnsiTheme="minorHAnsi" w:cs="Arial"/>
                <w:sz w:val="20"/>
                <w:szCs w:val="20"/>
              </w:rPr>
              <w:t>0</w:t>
            </w:r>
            <w:r w:rsidR="000B481D" w:rsidRPr="006D4208">
              <w:rPr>
                <w:rFonts w:asciiTheme="minorHAnsi" w:hAnsiTheme="minorHAnsi" w:cs="Arial"/>
                <w:sz w:val="20"/>
                <w:szCs w:val="20"/>
              </w:rPr>
              <w:t>.</w:t>
            </w:r>
            <w:r w:rsidR="008323C3">
              <w:rPr>
                <w:rFonts w:asciiTheme="minorHAnsi" w:hAnsiTheme="minorHAnsi" w:cs="Arial"/>
                <w:sz w:val="20"/>
                <w:szCs w:val="20"/>
              </w:rPr>
              <w:t>3</w:t>
            </w:r>
          </w:p>
        </w:tc>
        <w:tc>
          <w:tcPr>
            <w:tcW w:w="501" w:type="pct"/>
            <w:tcBorders>
              <w:top w:val="single" w:sz="4" w:space="0" w:color="auto"/>
            </w:tcBorders>
            <w:vAlign w:val="bottom"/>
          </w:tcPr>
          <w:p w14:paraId="22326181" w14:textId="5E2FA27E" w:rsidR="000E5649" w:rsidRPr="006D4208" w:rsidRDefault="000E5649" w:rsidP="000E5649">
            <w:pPr>
              <w:jc w:val="right"/>
              <w:rPr>
                <w:rFonts w:asciiTheme="minorHAnsi" w:hAnsiTheme="minorHAnsi" w:cs="Arial"/>
                <w:sz w:val="20"/>
                <w:szCs w:val="20"/>
              </w:rPr>
            </w:pPr>
            <w:r w:rsidRPr="006D4208">
              <w:rPr>
                <w:rFonts w:asciiTheme="minorHAnsi" w:hAnsiTheme="minorHAnsi" w:cs="Arial"/>
                <w:sz w:val="20"/>
                <w:szCs w:val="20"/>
              </w:rPr>
              <w:t>5.2</w:t>
            </w:r>
          </w:p>
        </w:tc>
      </w:tr>
      <w:tr w:rsidR="00114CF2" w:rsidRPr="00B97C61" w14:paraId="722537D0" w14:textId="77777777" w:rsidTr="00325160">
        <w:trPr>
          <w:trHeight w:val="180"/>
        </w:trPr>
        <w:tc>
          <w:tcPr>
            <w:tcW w:w="1632" w:type="pct"/>
            <w:vAlign w:val="bottom"/>
          </w:tcPr>
          <w:p w14:paraId="0386EEB8" w14:textId="77777777" w:rsidR="000E5649" w:rsidRPr="00B97C61" w:rsidRDefault="000E5649" w:rsidP="002F6210">
            <w:pPr>
              <w:rPr>
                <w:rFonts w:asciiTheme="minorHAnsi" w:hAnsiTheme="minorHAnsi" w:cs="Arial"/>
                <w:sz w:val="20"/>
                <w:szCs w:val="20"/>
              </w:rPr>
            </w:pPr>
            <w:r w:rsidRPr="00B97C61">
              <w:rPr>
                <w:rFonts w:asciiTheme="minorHAnsi" w:hAnsiTheme="minorHAnsi" w:cs="Arial"/>
                <w:sz w:val="20"/>
                <w:szCs w:val="20"/>
              </w:rPr>
              <w:t xml:space="preserve">Created in the </w:t>
            </w:r>
            <w:r>
              <w:rPr>
                <w:rFonts w:asciiTheme="minorHAnsi" w:hAnsiTheme="minorHAnsi" w:cs="Arial"/>
                <w:sz w:val="20"/>
                <w:szCs w:val="20"/>
              </w:rPr>
              <w:t>period</w:t>
            </w:r>
          </w:p>
        </w:tc>
        <w:tc>
          <w:tcPr>
            <w:tcW w:w="502" w:type="pct"/>
            <w:shd w:val="clear" w:color="auto" w:fill="auto"/>
          </w:tcPr>
          <w:p w14:paraId="6A80CB9A" w14:textId="7EEF9747" w:rsidR="000E5649" w:rsidRPr="006D4208" w:rsidRDefault="000E5649" w:rsidP="000E5649">
            <w:pPr>
              <w:jc w:val="right"/>
              <w:rPr>
                <w:rFonts w:asciiTheme="minorHAnsi" w:hAnsiTheme="minorHAnsi" w:cs="Arial"/>
                <w:sz w:val="20"/>
                <w:szCs w:val="20"/>
              </w:rPr>
            </w:pPr>
            <w:r w:rsidRPr="006D4208">
              <w:rPr>
                <w:rFonts w:asciiTheme="minorHAnsi" w:hAnsiTheme="minorHAnsi" w:cs="Arial"/>
                <w:sz w:val="20"/>
                <w:szCs w:val="20"/>
              </w:rPr>
              <w:t>-</w:t>
            </w:r>
          </w:p>
        </w:tc>
        <w:tc>
          <w:tcPr>
            <w:tcW w:w="430" w:type="pct"/>
            <w:shd w:val="clear" w:color="auto" w:fill="auto"/>
          </w:tcPr>
          <w:p w14:paraId="6A0FCD14" w14:textId="2965FC0A" w:rsidR="000E5649" w:rsidRPr="006D4208" w:rsidRDefault="000E5649" w:rsidP="000E5649">
            <w:pPr>
              <w:jc w:val="right"/>
              <w:rPr>
                <w:rFonts w:asciiTheme="minorHAnsi" w:hAnsiTheme="minorHAnsi" w:cs="Arial"/>
                <w:sz w:val="20"/>
                <w:szCs w:val="20"/>
              </w:rPr>
            </w:pPr>
            <w:r w:rsidRPr="006D4208">
              <w:rPr>
                <w:rFonts w:asciiTheme="minorHAnsi" w:hAnsiTheme="minorHAnsi" w:cs="Arial"/>
                <w:sz w:val="20"/>
                <w:szCs w:val="20"/>
              </w:rPr>
              <w:t>-</w:t>
            </w:r>
          </w:p>
        </w:tc>
        <w:tc>
          <w:tcPr>
            <w:tcW w:w="717" w:type="pct"/>
            <w:shd w:val="clear" w:color="auto" w:fill="auto"/>
          </w:tcPr>
          <w:p w14:paraId="7B3B54F3" w14:textId="7EE60ED2" w:rsidR="000E5649" w:rsidRPr="006D4208" w:rsidRDefault="00BF32D4" w:rsidP="000E5649">
            <w:pPr>
              <w:jc w:val="right"/>
              <w:rPr>
                <w:rFonts w:asciiTheme="minorHAnsi" w:hAnsiTheme="minorHAnsi" w:cs="Arial"/>
                <w:sz w:val="20"/>
                <w:szCs w:val="20"/>
              </w:rPr>
            </w:pPr>
            <w:r>
              <w:rPr>
                <w:rFonts w:asciiTheme="minorHAnsi" w:hAnsiTheme="minorHAnsi" w:cs="Arial"/>
                <w:sz w:val="20"/>
                <w:szCs w:val="20"/>
              </w:rPr>
              <w:t>2.3</w:t>
            </w:r>
          </w:p>
        </w:tc>
        <w:tc>
          <w:tcPr>
            <w:tcW w:w="788" w:type="pct"/>
            <w:shd w:val="clear" w:color="auto" w:fill="auto"/>
          </w:tcPr>
          <w:p w14:paraId="41F7B149" w14:textId="39642000" w:rsidR="00403F6D" w:rsidRPr="006D4208" w:rsidRDefault="00543A8B" w:rsidP="000E5649">
            <w:pPr>
              <w:jc w:val="right"/>
              <w:rPr>
                <w:rFonts w:asciiTheme="minorHAnsi" w:hAnsiTheme="minorHAnsi" w:cs="Arial"/>
                <w:sz w:val="20"/>
                <w:szCs w:val="20"/>
              </w:rPr>
            </w:pPr>
            <w:r>
              <w:rPr>
                <w:rFonts w:asciiTheme="minorHAnsi" w:hAnsiTheme="minorHAnsi" w:cs="Arial"/>
                <w:sz w:val="20"/>
                <w:szCs w:val="20"/>
              </w:rPr>
              <w:t>-</w:t>
            </w:r>
          </w:p>
        </w:tc>
        <w:tc>
          <w:tcPr>
            <w:tcW w:w="430" w:type="pct"/>
            <w:shd w:val="clear" w:color="auto" w:fill="auto"/>
          </w:tcPr>
          <w:p w14:paraId="2E36E291" w14:textId="66B11CE7" w:rsidR="000E5649" w:rsidRPr="006D4208" w:rsidRDefault="00A82069" w:rsidP="000E5649">
            <w:pPr>
              <w:jc w:val="right"/>
              <w:rPr>
                <w:rFonts w:asciiTheme="minorHAnsi" w:hAnsiTheme="minorHAnsi" w:cs="Arial"/>
                <w:sz w:val="20"/>
                <w:szCs w:val="20"/>
              </w:rPr>
            </w:pPr>
            <w:r>
              <w:rPr>
                <w:rFonts w:asciiTheme="minorHAnsi" w:hAnsiTheme="minorHAnsi" w:cs="Arial"/>
                <w:sz w:val="20"/>
                <w:szCs w:val="20"/>
              </w:rPr>
              <w:t>2.6</w:t>
            </w:r>
          </w:p>
        </w:tc>
        <w:tc>
          <w:tcPr>
            <w:tcW w:w="501" w:type="pct"/>
            <w:vAlign w:val="bottom"/>
          </w:tcPr>
          <w:p w14:paraId="0A9EAAEC" w14:textId="074C867D" w:rsidR="000E5649" w:rsidRPr="006D4208" w:rsidRDefault="000E5649" w:rsidP="000E5649">
            <w:pPr>
              <w:jc w:val="right"/>
              <w:rPr>
                <w:rFonts w:asciiTheme="minorHAnsi" w:hAnsiTheme="minorHAnsi" w:cs="Arial"/>
                <w:sz w:val="20"/>
                <w:szCs w:val="20"/>
              </w:rPr>
            </w:pPr>
            <w:r w:rsidRPr="006D4208">
              <w:rPr>
                <w:rFonts w:asciiTheme="minorHAnsi" w:hAnsiTheme="minorHAnsi" w:cs="Arial"/>
                <w:sz w:val="20"/>
                <w:szCs w:val="20"/>
              </w:rPr>
              <w:t>4.9</w:t>
            </w:r>
          </w:p>
        </w:tc>
      </w:tr>
      <w:tr w:rsidR="00114CF2" w:rsidRPr="00B97C61" w14:paraId="4A02BECC" w14:textId="77777777" w:rsidTr="00325160">
        <w:trPr>
          <w:trHeight w:val="180"/>
        </w:trPr>
        <w:tc>
          <w:tcPr>
            <w:tcW w:w="1632" w:type="pct"/>
            <w:vAlign w:val="bottom"/>
          </w:tcPr>
          <w:p w14:paraId="18DB1F5A" w14:textId="77777777" w:rsidR="000E5649" w:rsidRPr="00B97C61" w:rsidRDefault="000E5649" w:rsidP="002F6210">
            <w:pPr>
              <w:rPr>
                <w:rFonts w:asciiTheme="minorHAnsi" w:hAnsiTheme="minorHAnsi" w:cs="Arial"/>
                <w:sz w:val="20"/>
                <w:szCs w:val="20"/>
              </w:rPr>
            </w:pPr>
            <w:r w:rsidRPr="00B97C61">
              <w:rPr>
                <w:rFonts w:asciiTheme="minorHAnsi" w:hAnsiTheme="minorHAnsi" w:cs="Arial"/>
                <w:sz w:val="20"/>
                <w:szCs w:val="20"/>
              </w:rPr>
              <w:t xml:space="preserve">Reclassified in the </w:t>
            </w:r>
            <w:r>
              <w:rPr>
                <w:rFonts w:asciiTheme="minorHAnsi" w:hAnsiTheme="minorHAnsi" w:cs="Arial"/>
                <w:sz w:val="20"/>
                <w:szCs w:val="20"/>
              </w:rPr>
              <w:t>period</w:t>
            </w:r>
          </w:p>
        </w:tc>
        <w:tc>
          <w:tcPr>
            <w:tcW w:w="502" w:type="pct"/>
            <w:shd w:val="clear" w:color="auto" w:fill="auto"/>
          </w:tcPr>
          <w:p w14:paraId="294E6BAE" w14:textId="6B7685BB" w:rsidR="000E5649" w:rsidRPr="006D4208" w:rsidRDefault="000E5649" w:rsidP="000E5649">
            <w:pPr>
              <w:jc w:val="right"/>
              <w:rPr>
                <w:rFonts w:asciiTheme="minorHAnsi" w:hAnsiTheme="minorHAnsi" w:cs="Arial"/>
                <w:sz w:val="20"/>
                <w:szCs w:val="20"/>
              </w:rPr>
            </w:pPr>
            <w:r w:rsidRPr="006D4208">
              <w:rPr>
                <w:rFonts w:asciiTheme="minorHAnsi" w:hAnsiTheme="minorHAnsi" w:cs="Arial"/>
                <w:sz w:val="20"/>
                <w:szCs w:val="20"/>
              </w:rPr>
              <w:t>-</w:t>
            </w:r>
          </w:p>
        </w:tc>
        <w:tc>
          <w:tcPr>
            <w:tcW w:w="430" w:type="pct"/>
            <w:shd w:val="clear" w:color="auto" w:fill="auto"/>
          </w:tcPr>
          <w:p w14:paraId="4085BD97" w14:textId="28148E62" w:rsidR="000E5649" w:rsidRPr="006D4208" w:rsidRDefault="000E5649" w:rsidP="000E5649">
            <w:pPr>
              <w:jc w:val="right"/>
              <w:rPr>
                <w:rFonts w:asciiTheme="minorHAnsi" w:hAnsiTheme="minorHAnsi" w:cs="Arial"/>
                <w:sz w:val="20"/>
                <w:szCs w:val="20"/>
              </w:rPr>
            </w:pPr>
            <w:r w:rsidRPr="006D4208">
              <w:rPr>
                <w:rFonts w:asciiTheme="minorHAnsi" w:hAnsiTheme="minorHAnsi" w:cs="Arial"/>
                <w:sz w:val="20"/>
                <w:szCs w:val="20"/>
              </w:rPr>
              <w:t>-</w:t>
            </w:r>
          </w:p>
        </w:tc>
        <w:tc>
          <w:tcPr>
            <w:tcW w:w="717" w:type="pct"/>
            <w:shd w:val="clear" w:color="auto" w:fill="auto"/>
          </w:tcPr>
          <w:p w14:paraId="65C7195A" w14:textId="1CAE1A6E" w:rsidR="000E5649" w:rsidRPr="006D4208" w:rsidRDefault="000E5649" w:rsidP="000E5649">
            <w:pPr>
              <w:jc w:val="right"/>
              <w:rPr>
                <w:rFonts w:asciiTheme="minorHAnsi" w:hAnsiTheme="minorHAnsi" w:cs="Arial"/>
                <w:sz w:val="20"/>
                <w:szCs w:val="20"/>
              </w:rPr>
            </w:pPr>
            <w:r w:rsidRPr="006D4208">
              <w:rPr>
                <w:rFonts w:asciiTheme="minorHAnsi" w:hAnsiTheme="minorHAnsi" w:cs="Arial"/>
                <w:sz w:val="20"/>
                <w:szCs w:val="20"/>
              </w:rPr>
              <w:t>-</w:t>
            </w:r>
          </w:p>
        </w:tc>
        <w:tc>
          <w:tcPr>
            <w:tcW w:w="788" w:type="pct"/>
            <w:shd w:val="clear" w:color="auto" w:fill="auto"/>
          </w:tcPr>
          <w:p w14:paraId="43B33A76" w14:textId="512C733F" w:rsidR="00403F6D" w:rsidRPr="006D4208" w:rsidRDefault="00543A8B" w:rsidP="000E5649">
            <w:pPr>
              <w:jc w:val="right"/>
              <w:rPr>
                <w:rFonts w:asciiTheme="minorHAnsi" w:hAnsiTheme="minorHAnsi" w:cs="Arial"/>
                <w:sz w:val="20"/>
                <w:szCs w:val="20"/>
              </w:rPr>
            </w:pPr>
            <w:r>
              <w:rPr>
                <w:rFonts w:asciiTheme="minorHAnsi" w:hAnsiTheme="minorHAnsi" w:cs="Arial"/>
                <w:sz w:val="20"/>
                <w:szCs w:val="20"/>
              </w:rPr>
              <w:t>-</w:t>
            </w:r>
          </w:p>
        </w:tc>
        <w:tc>
          <w:tcPr>
            <w:tcW w:w="430" w:type="pct"/>
            <w:shd w:val="clear" w:color="auto" w:fill="auto"/>
          </w:tcPr>
          <w:p w14:paraId="2224872F" w14:textId="400B9B0A" w:rsidR="000E5649" w:rsidRPr="006D4208" w:rsidRDefault="000E5649" w:rsidP="000E5649">
            <w:pPr>
              <w:jc w:val="right"/>
              <w:rPr>
                <w:rFonts w:asciiTheme="minorHAnsi" w:hAnsiTheme="minorHAnsi" w:cs="Arial"/>
                <w:sz w:val="20"/>
                <w:szCs w:val="20"/>
              </w:rPr>
            </w:pPr>
            <w:r w:rsidRPr="006D4208">
              <w:rPr>
                <w:rFonts w:asciiTheme="minorHAnsi" w:hAnsiTheme="minorHAnsi" w:cs="Arial"/>
                <w:sz w:val="20"/>
                <w:szCs w:val="20"/>
              </w:rPr>
              <w:t>-</w:t>
            </w:r>
          </w:p>
        </w:tc>
        <w:tc>
          <w:tcPr>
            <w:tcW w:w="501" w:type="pct"/>
            <w:vAlign w:val="bottom"/>
          </w:tcPr>
          <w:p w14:paraId="6E62E8B8" w14:textId="71C48551" w:rsidR="000E5649" w:rsidRPr="006D4208" w:rsidRDefault="000E5649" w:rsidP="000E5649">
            <w:pPr>
              <w:jc w:val="right"/>
              <w:rPr>
                <w:rFonts w:asciiTheme="minorHAnsi" w:hAnsiTheme="minorHAnsi" w:cs="Arial"/>
                <w:sz w:val="20"/>
                <w:szCs w:val="20"/>
              </w:rPr>
            </w:pPr>
            <w:r w:rsidRPr="006D4208">
              <w:rPr>
                <w:rFonts w:asciiTheme="minorHAnsi" w:hAnsiTheme="minorHAnsi" w:cs="Arial"/>
                <w:sz w:val="20"/>
                <w:szCs w:val="20"/>
              </w:rPr>
              <w:t>-</w:t>
            </w:r>
          </w:p>
        </w:tc>
      </w:tr>
      <w:tr w:rsidR="00114CF2" w:rsidRPr="00B97C61" w14:paraId="76CF7BEB" w14:textId="77777777" w:rsidTr="002F6210">
        <w:trPr>
          <w:trHeight w:val="98"/>
        </w:trPr>
        <w:tc>
          <w:tcPr>
            <w:tcW w:w="1632" w:type="pct"/>
            <w:vAlign w:val="bottom"/>
          </w:tcPr>
          <w:p w14:paraId="665E6A4E" w14:textId="77777777" w:rsidR="000E5649" w:rsidRPr="00B97C61" w:rsidRDefault="000E5649" w:rsidP="002F6210">
            <w:pPr>
              <w:rPr>
                <w:rFonts w:asciiTheme="minorHAnsi" w:hAnsiTheme="minorHAnsi" w:cs="Arial"/>
                <w:sz w:val="20"/>
                <w:szCs w:val="20"/>
              </w:rPr>
            </w:pPr>
            <w:r w:rsidRPr="00B97C61">
              <w:rPr>
                <w:rFonts w:asciiTheme="minorHAnsi" w:hAnsiTheme="minorHAnsi" w:cs="Arial"/>
                <w:sz w:val="20"/>
                <w:szCs w:val="20"/>
              </w:rPr>
              <w:t xml:space="preserve">Utilised in the </w:t>
            </w:r>
            <w:r>
              <w:rPr>
                <w:rFonts w:asciiTheme="minorHAnsi" w:hAnsiTheme="minorHAnsi" w:cs="Arial"/>
                <w:sz w:val="20"/>
                <w:szCs w:val="20"/>
              </w:rPr>
              <w:t>period</w:t>
            </w:r>
          </w:p>
        </w:tc>
        <w:tc>
          <w:tcPr>
            <w:tcW w:w="502" w:type="pct"/>
            <w:shd w:val="clear" w:color="auto" w:fill="auto"/>
          </w:tcPr>
          <w:p w14:paraId="4F211624" w14:textId="4C762E02" w:rsidR="000E5649" w:rsidRPr="006D4208" w:rsidRDefault="000E5649" w:rsidP="000E5649">
            <w:pPr>
              <w:jc w:val="right"/>
              <w:rPr>
                <w:rFonts w:asciiTheme="minorHAnsi" w:hAnsiTheme="minorHAnsi" w:cs="Arial"/>
                <w:sz w:val="20"/>
                <w:szCs w:val="20"/>
              </w:rPr>
            </w:pPr>
            <w:r w:rsidRPr="006D4208">
              <w:rPr>
                <w:rFonts w:asciiTheme="minorHAnsi" w:hAnsiTheme="minorHAnsi" w:cs="Arial"/>
                <w:sz w:val="20"/>
                <w:szCs w:val="20"/>
              </w:rPr>
              <w:t>(0.2)</w:t>
            </w:r>
          </w:p>
        </w:tc>
        <w:tc>
          <w:tcPr>
            <w:tcW w:w="430" w:type="pct"/>
            <w:shd w:val="clear" w:color="auto" w:fill="auto"/>
          </w:tcPr>
          <w:p w14:paraId="435B3AD2" w14:textId="7F476195" w:rsidR="000E5649" w:rsidRPr="006D4208" w:rsidRDefault="000E5649" w:rsidP="000E5649">
            <w:pPr>
              <w:jc w:val="right"/>
              <w:rPr>
                <w:rFonts w:asciiTheme="minorHAnsi" w:hAnsiTheme="minorHAnsi" w:cs="Arial"/>
                <w:sz w:val="20"/>
                <w:szCs w:val="20"/>
              </w:rPr>
            </w:pPr>
            <w:r w:rsidRPr="006D4208">
              <w:rPr>
                <w:rFonts w:asciiTheme="minorHAnsi" w:hAnsiTheme="minorHAnsi" w:cs="Arial"/>
                <w:sz w:val="20"/>
                <w:szCs w:val="20"/>
              </w:rPr>
              <w:t>-</w:t>
            </w:r>
          </w:p>
        </w:tc>
        <w:tc>
          <w:tcPr>
            <w:tcW w:w="717" w:type="pct"/>
            <w:shd w:val="clear" w:color="auto" w:fill="auto"/>
          </w:tcPr>
          <w:p w14:paraId="1DEC58AB" w14:textId="6B5FDEC7" w:rsidR="000E5649" w:rsidRPr="006D4208" w:rsidRDefault="0075155C" w:rsidP="000E5649">
            <w:pPr>
              <w:jc w:val="right"/>
              <w:rPr>
                <w:rFonts w:asciiTheme="minorHAnsi" w:hAnsiTheme="minorHAnsi" w:cs="Arial"/>
                <w:sz w:val="20"/>
                <w:szCs w:val="20"/>
              </w:rPr>
            </w:pPr>
            <w:r w:rsidRPr="006D4208">
              <w:rPr>
                <w:rFonts w:asciiTheme="minorHAnsi" w:hAnsiTheme="minorHAnsi" w:cs="Arial"/>
                <w:sz w:val="20"/>
                <w:szCs w:val="20"/>
              </w:rPr>
              <w:t>(0.3)</w:t>
            </w:r>
          </w:p>
        </w:tc>
        <w:tc>
          <w:tcPr>
            <w:tcW w:w="788" w:type="pct"/>
            <w:shd w:val="clear" w:color="auto" w:fill="auto"/>
          </w:tcPr>
          <w:p w14:paraId="592ACE68" w14:textId="314E0A29" w:rsidR="00403F6D" w:rsidRPr="006D4208" w:rsidRDefault="00543A8B" w:rsidP="000E5649">
            <w:pPr>
              <w:jc w:val="right"/>
              <w:rPr>
                <w:rFonts w:asciiTheme="minorHAnsi" w:hAnsiTheme="minorHAnsi" w:cs="Arial"/>
                <w:sz w:val="20"/>
                <w:szCs w:val="20"/>
              </w:rPr>
            </w:pPr>
            <w:r>
              <w:rPr>
                <w:rFonts w:asciiTheme="minorHAnsi" w:hAnsiTheme="minorHAnsi" w:cs="Arial"/>
                <w:sz w:val="20"/>
                <w:szCs w:val="20"/>
              </w:rPr>
              <w:t>-</w:t>
            </w:r>
          </w:p>
        </w:tc>
        <w:tc>
          <w:tcPr>
            <w:tcW w:w="430" w:type="pct"/>
            <w:shd w:val="clear" w:color="auto" w:fill="auto"/>
          </w:tcPr>
          <w:p w14:paraId="0F124B73" w14:textId="7FA9329A" w:rsidR="000E5649" w:rsidRPr="006D4208" w:rsidRDefault="009743A8" w:rsidP="000E5649">
            <w:pPr>
              <w:jc w:val="right"/>
              <w:rPr>
                <w:rFonts w:asciiTheme="minorHAnsi" w:hAnsiTheme="minorHAnsi" w:cs="Arial"/>
                <w:sz w:val="20"/>
                <w:szCs w:val="20"/>
              </w:rPr>
            </w:pPr>
            <w:r w:rsidRPr="006D4208">
              <w:rPr>
                <w:rFonts w:asciiTheme="minorHAnsi" w:hAnsiTheme="minorHAnsi" w:cs="Arial"/>
                <w:sz w:val="20"/>
                <w:szCs w:val="20"/>
              </w:rPr>
              <w:t>-</w:t>
            </w:r>
          </w:p>
        </w:tc>
        <w:tc>
          <w:tcPr>
            <w:tcW w:w="501" w:type="pct"/>
            <w:vAlign w:val="bottom"/>
          </w:tcPr>
          <w:p w14:paraId="4BE53E83" w14:textId="6C764BAE" w:rsidR="000E5649" w:rsidRPr="006D4208" w:rsidRDefault="002F6210" w:rsidP="000E5649">
            <w:pPr>
              <w:jc w:val="right"/>
              <w:rPr>
                <w:rFonts w:asciiTheme="minorHAnsi" w:hAnsiTheme="minorHAnsi" w:cs="Arial"/>
                <w:sz w:val="20"/>
                <w:szCs w:val="20"/>
              </w:rPr>
            </w:pPr>
            <w:r>
              <w:rPr>
                <w:rFonts w:asciiTheme="minorHAnsi" w:hAnsiTheme="minorHAnsi" w:cs="Arial"/>
                <w:sz w:val="20"/>
                <w:szCs w:val="20"/>
              </w:rPr>
              <w:t>(0.5)</w:t>
            </w:r>
          </w:p>
        </w:tc>
      </w:tr>
      <w:tr w:rsidR="00691120" w:rsidRPr="00B97C61" w14:paraId="482EF60E" w14:textId="77777777" w:rsidTr="00325160">
        <w:trPr>
          <w:trHeight w:val="199"/>
        </w:trPr>
        <w:tc>
          <w:tcPr>
            <w:tcW w:w="1632" w:type="pct"/>
            <w:vAlign w:val="bottom"/>
          </w:tcPr>
          <w:p w14:paraId="10D1E77A" w14:textId="6873A0F8" w:rsidR="000E5649" w:rsidRPr="00B97C61" w:rsidRDefault="000E5649" w:rsidP="002F6210">
            <w:pPr>
              <w:rPr>
                <w:rFonts w:asciiTheme="minorHAnsi" w:hAnsiTheme="minorHAnsi" w:cs="Arial"/>
                <w:sz w:val="20"/>
                <w:szCs w:val="20"/>
              </w:rPr>
            </w:pPr>
            <w:r w:rsidRPr="00B97C61">
              <w:rPr>
                <w:rFonts w:asciiTheme="minorHAnsi" w:hAnsiTheme="minorHAnsi" w:cs="Arial"/>
                <w:sz w:val="20"/>
                <w:szCs w:val="20"/>
              </w:rPr>
              <w:t xml:space="preserve">Released in the </w:t>
            </w:r>
            <w:r>
              <w:rPr>
                <w:rFonts w:asciiTheme="minorHAnsi" w:hAnsiTheme="minorHAnsi" w:cs="Arial"/>
                <w:sz w:val="20"/>
                <w:szCs w:val="20"/>
              </w:rPr>
              <w:t>period</w:t>
            </w:r>
          </w:p>
        </w:tc>
        <w:tc>
          <w:tcPr>
            <w:tcW w:w="502" w:type="pct"/>
            <w:tcBorders>
              <w:bottom w:val="single" w:sz="4" w:space="0" w:color="auto"/>
            </w:tcBorders>
            <w:shd w:val="clear" w:color="auto" w:fill="auto"/>
          </w:tcPr>
          <w:p w14:paraId="5FA9E598" w14:textId="71E37033" w:rsidR="000E5649" w:rsidRPr="006D4208" w:rsidRDefault="000E5649" w:rsidP="000E5649">
            <w:pPr>
              <w:jc w:val="right"/>
              <w:rPr>
                <w:rFonts w:asciiTheme="minorHAnsi" w:hAnsiTheme="minorHAnsi" w:cs="Arial"/>
                <w:sz w:val="20"/>
                <w:szCs w:val="20"/>
              </w:rPr>
            </w:pPr>
            <w:r w:rsidRPr="006D4208">
              <w:rPr>
                <w:rFonts w:asciiTheme="minorHAnsi" w:hAnsiTheme="minorHAnsi" w:cs="Arial"/>
                <w:sz w:val="20"/>
                <w:szCs w:val="20"/>
              </w:rPr>
              <w:t>-</w:t>
            </w:r>
          </w:p>
        </w:tc>
        <w:tc>
          <w:tcPr>
            <w:tcW w:w="430" w:type="pct"/>
            <w:shd w:val="clear" w:color="auto" w:fill="auto"/>
          </w:tcPr>
          <w:p w14:paraId="13D9F3DA" w14:textId="66CAA11C" w:rsidR="000E5649" w:rsidRPr="006D4208" w:rsidRDefault="000E5649" w:rsidP="000E5649">
            <w:pPr>
              <w:jc w:val="right"/>
              <w:rPr>
                <w:rFonts w:asciiTheme="minorHAnsi" w:hAnsiTheme="minorHAnsi" w:cs="Arial"/>
                <w:sz w:val="20"/>
                <w:szCs w:val="20"/>
              </w:rPr>
            </w:pPr>
            <w:r w:rsidRPr="006D4208">
              <w:rPr>
                <w:rFonts w:asciiTheme="minorHAnsi" w:hAnsiTheme="minorHAnsi" w:cs="Arial"/>
                <w:sz w:val="20"/>
                <w:szCs w:val="20"/>
              </w:rPr>
              <w:t>-</w:t>
            </w:r>
          </w:p>
        </w:tc>
        <w:tc>
          <w:tcPr>
            <w:tcW w:w="717" w:type="pct"/>
            <w:shd w:val="clear" w:color="auto" w:fill="auto"/>
          </w:tcPr>
          <w:p w14:paraId="2B6CC0CC" w14:textId="68E73CA0" w:rsidR="000E5649" w:rsidRPr="006D4208" w:rsidRDefault="000E5649" w:rsidP="000E5649">
            <w:pPr>
              <w:jc w:val="right"/>
              <w:rPr>
                <w:rFonts w:asciiTheme="minorHAnsi" w:hAnsiTheme="minorHAnsi" w:cs="Arial"/>
                <w:sz w:val="20"/>
                <w:szCs w:val="20"/>
              </w:rPr>
            </w:pPr>
            <w:r w:rsidRPr="006D4208">
              <w:rPr>
                <w:rFonts w:asciiTheme="minorHAnsi" w:hAnsiTheme="minorHAnsi" w:cs="Arial"/>
                <w:sz w:val="20"/>
                <w:szCs w:val="20"/>
              </w:rPr>
              <w:t>-</w:t>
            </w:r>
          </w:p>
        </w:tc>
        <w:tc>
          <w:tcPr>
            <w:tcW w:w="788" w:type="pct"/>
            <w:shd w:val="clear" w:color="auto" w:fill="auto"/>
          </w:tcPr>
          <w:p w14:paraId="6D604954" w14:textId="19E88B4F" w:rsidR="00403F6D" w:rsidRPr="006D4208" w:rsidRDefault="00543A8B" w:rsidP="000E5649">
            <w:pPr>
              <w:jc w:val="right"/>
              <w:rPr>
                <w:rFonts w:asciiTheme="minorHAnsi" w:hAnsiTheme="minorHAnsi" w:cs="Arial"/>
                <w:sz w:val="20"/>
                <w:szCs w:val="20"/>
              </w:rPr>
            </w:pPr>
            <w:r>
              <w:rPr>
                <w:rFonts w:asciiTheme="minorHAnsi" w:hAnsiTheme="minorHAnsi" w:cs="Arial"/>
                <w:sz w:val="20"/>
                <w:szCs w:val="20"/>
              </w:rPr>
              <w:t>-</w:t>
            </w:r>
          </w:p>
        </w:tc>
        <w:tc>
          <w:tcPr>
            <w:tcW w:w="430" w:type="pct"/>
            <w:shd w:val="clear" w:color="auto" w:fill="auto"/>
          </w:tcPr>
          <w:p w14:paraId="062D1A58" w14:textId="78891669" w:rsidR="000E5649" w:rsidRPr="006D4208" w:rsidRDefault="002F6210" w:rsidP="000E5649">
            <w:pPr>
              <w:jc w:val="right"/>
              <w:rPr>
                <w:rFonts w:asciiTheme="minorHAnsi" w:hAnsiTheme="minorHAnsi" w:cs="Arial"/>
                <w:sz w:val="20"/>
                <w:szCs w:val="20"/>
              </w:rPr>
            </w:pPr>
            <w:r>
              <w:rPr>
                <w:rFonts w:asciiTheme="minorHAnsi" w:hAnsiTheme="minorHAnsi" w:cs="Arial"/>
                <w:sz w:val="20"/>
                <w:szCs w:val="20"/>
              </w:rPr>
              <w:t>-</w:t>
            </w:r>
          </w:p>
        </w:tc>
        <w:tc>
          <w:tcPr>
            <w:tcW w:w="501" w:type="pct"/>
            <w:vAlign w:val="bottom"/>
          </w:tcPr>
          <w:p w14:paraId="0B585958" w14:textId="64FA78B3" w:rsidR="000E5649" w:rsidRPr="006D4208" w:rsidRDefault="002F6210" w:rsidP="000E5649">
            <w:pPr>
              <w:jc w:val="right"/>
              <w:rPr>
                <w:rFonts w:asciiTheme="minorHAnsi" w:hAnsiTheme="minorHAnsi" w:cs="Arial"/>
                <w:sz w:val="20"/>
                <w:szCs w:val="20"/>
              </w:rPr>
            </w:pPr>
            <w:r>
              <w:rPr>
                <w:rFonts w:asciiTheme="minorHAnsi" w:hAnsiTheme="minorHAnsi" w:cs="Arial"/>
                <w:sz w:val="20"/>
                <w:szCs w:val="20"/>
              </w:rPr>
              <w:t>-</w:t>
            </w:r>
          </w:p>
        </w:tc>
      </w:tr>
      <w:tr w:rsidR="004F165C" w:rsidRPr="00B97C61" w14:paraId="70949B5B" w14:textId="77777777" w:rsidTr="00325160">
        <w:trPr>
          <w:trHeight w:val="180"/>
        </w:trPr>
        <w:tc>
          <w:tcPr>
            <w:tcW w:w="1632" w:type="pct"/>
            <w:vAlign w:val="bottom"/>
          </w:tcPr>
          <w:p w14:paraId="4CA25B0A" w14:textId="1AAB0E36" w:rsidR="000E5649" w:rsidRPr="002F6210" w:rsidRDefault="005A3487" w:rsidP="000E5649">
            <w:pPr>
              <w:rPr>
                <w:rFonts w:asciiTheme="minorHAnsi" w:hAnsiTheme="minorHAnsi" w:cs="Arial"/>
                <w:sz w:val="20"/>
                <w:szCs w:val="20"/>
              </w:rPr>
            </w:pPr>
            <w:r w:rsidRPr="002F6210">
              <w:rPr>
                <w:rFonts w:asciiTheme="minorHAnsi" w:hAnsiTheme="minorHAnsi" w:cs="Arial"/>
                <w:sz w:val="20"/>
                <w:szCs w:val="20"/>
              </w:rPr>
              <w:t>Closing balance</w:t>
            </w:r>
          </w:p>
        </w:tc>
        <w:tc>
          <w:tcPr>
            <w:tcW w:w="502" w:type="pct"/>
            <w:tcBorders>
              <w:top w:val="single" w:sz="4" w:space="0" w:color="auto"/>
              <w:bottom w:val="single" w:sz="12" w:space="0" w:color="auto"/>
            </w:tcBorders>
            <w:shd w:val="clear" w:color="auto" w:fill="auto"/>
          </w:tcPr>
          <w:p w14:paraId="0B8B7450" w14:textId="3C3115D1" w:rsidR="000E5649" w:rsidRPr="006D4208" w:rsidRDefault="000E5649" w:rsidP="000E5649">
            <w:pPr>
              <w:jc w:val="right"/>
              <w:rPr>
                <w:rFonts w:asciiTheme="minorHAnsi" w:hAnsiTheme="minorHAnsi" w:cs="Arial"/>
                <w:sz w:val="20"/>
                <w:szCs w:val="20"/>
              </w:rPr>
            </w:pPr>
            <w:r w:rsidRPr="006D4208">
              <w:rPr>
                <w:rFonts w:asciiTheme="minorHAnsi" w:hAnsiTheme="minorHAnsi" w:cs="Arial"/>
                <w:sz w:val="20"/>
                <w:szCs w:val="20"/>
              </w:rPr>
              <w:t>1.0</w:t>
            </w:r>
          </w:p>
        </w:tc>
        <w:tc>
          <w:tcPr>
            <w:tcW w:w="430" w:type="pct"/>
            <w:tcBorders>
              <w:top w:val="single" w:sz="4" w:space="0" w:color="auto"/>
              <w:bottom w:val="single" w:sz="12" w:space="0" w:color="auto"/>
            </w:tcBorders>
            <w:shd w:val="clear" w:color="auto" w:fill="auto"/>
          </w:tcPr>
          <w:p w14:paraId="7FF9E731" w14:textId="269DA578" w:rsidR="000E5649" w:rsidRPr="006D4208" w:rsidRDefault="000B481D" w:rsidP="000E5649">
            <w:pPr>
              <w:jc w:val="right"/>
              <w:rPr>
                <w:rFonts w:asciiTheme="minorHAnsi" w:hAnsiTheme="minorHAnsi" w:cs="Arial"/>
                <w:sz w:val="20"/>
                <w:szCs w:val="20"/>
              </w:rPr>
            </w:pPr>
            <w:r w:rsidRPr="006D4208">
              <w:rPr>
                <w:rFonts w:asciiTheme="minorHAnsi" w:hAnsiTheme="minorHAnsi" w:cs="Arial"/>
                <w:sz w:val="20"/>
                <w:szCs w:val="20"/>
              </w:rPr>
              <w:t>2.0</w:t>
            </w:r>
          </w:p>
        </w:tc>
        <w:tc>
          <w:tcPr>
            <w:tcW w:w="717" w:type="pct"/>
            <w:tcBorders>
              <w:top w:val="single" w:sz="4" w:space="0" w:color="auto"/>
              <w:bottom w:val="single" w:sz="12" w:space="0" w:color="auto"/>
            </w:tcBorders>
            <w:shd w:val="clear" w:color="auto" w:fill="auto"/>
          </w:tcPr>
          <w:p w14:paraId="3127439B" w14:textId="10B1E145" w:rsidR="000E5649" w:rsidRPr="006D4208" w:rsidRDefault="00A82069" w:rsidP="000E5649">
            <w:pPr>
              <w:jc w:val="right"/>
              <w:rPr>
                <w:rFonts w:asciiTheme="minorHAnsi" w:hAnsiTheme="minorHAnsi" w:cs="Arial"/>
                <w:sz w:val="20"/>
                <w:szCs w:val="20"/>
              </w:rPr>
            </w:pPr>
            <w:r>
              <w:rPr>
                <w:rFonts w:asciiTheme="minorHAnsi" w:hAnsiTheme="minorHAnsi" w:cs="Arial"/>
                <w:sz w:val="20"/>
                <w:szCs w:val="20"/>
              </w:rPr>
              <w:t>3.4</w:t>
            </w:r>
          </w:p>
        </w:tc>
        <w:tc>
          <w:tcPr>
            <w:tcW w:w="788" w:type="pct"/>
            <w:tcBorders>
              <w:top w:val="single" w:sz="4" w:space="0" w:color="auto"/>
              <w:bottom w:val="single" w:sz="12" w:space="0" w:color="auto"/>
            </w:tcBorders>
            <w:shd w:val="clear" w:color="auto" w:fill="auto"/>
          </w:tcPr>
          <w:p w14:paraId="44D7BBE9" w14:textId="09D9A3C4" w:rsidR="00403F6D" w:rsidRPr="006D4208" w:rsidRDefault="00543A8B" w:rsidP="000E5649">
            <w:pPr>
              <w:jc w:val="right"/>
              <w:rPr>
                <w:rFonts w:asciiTheme="minorHAnsi" w:hAnsiTheme="minorHAnsi" w:cs="Arial"/>
                <w:sz w:val="20"/>
                <w:szCs w:val="20"/>
              </w:rPr>
            </w:pPr>
            <w:r>
              <w:rPr>
                <w:rFonts w:asciiTheme="minorHAnsi" w:hAnsiTheme="minorHAnsi" w:cs="Arial"/>
                <w:sz w:val="20"/>
                <w:szCs w:val="20"/>
              </w:rPr>
              <w:t>0.</w:t>
            </w:r>
            <w:r w:rsidR="008323C3">
              <w:rPr>
                <w:rFonts w:asciiTheme="minorHAnsi" w:hAnsiTheme="minorHAnsi" w:cs="Arial"/>
                <w:sz w:val="20"/>
                <w:szCs w:val="20"/>
              </w:rPr>
              <w:t>3</w:t>
            </w:r>
          </w:p>
        </w:tc>
        <w:tc>
          <w:tcPr>
            <w:tcW w:w="430" w:type="pct"/>
            <w:tcBorders>
              <w:top w:val="single" w:sz="4" w:space="0" w:color="auto"/>
              <w:bottom w:val="single" w:sz="12" w:space="0" w:color="auto"/>
            </w:tcBorders>
            <w:shd w:val="clear" w:color="auto" w:fill="auto"/>
          </w:tcPr>
          <w:p w14:paraId="4A594E13" w14:textId="5D54A918" w:rsidR="000E5649" w:rsidRPr="006D4208" w:rsidRDefault="00A82069" w:rsidP="000E5649">
            <w:pPr>
              <w:jc w:val="right"/>
              <w:rPr>
                <w:rFonts w:asciiTheme="minorHAnsi" w:hAnsiTheme="minorHAnsi" w:cs="Arial"/>
                <w:sz w:val="20"/>
                <w:szCs w:val="20"/>
              </w:rPr>
            </w:pPr>
            <w:r>
              <w:rPr>
                <w:rFonts w:asciiTheme="minorHAnsi" w:hAnsiTheme="minorHAnsi" w:cs="Arial"/>
                <w:sz w:val="20"/>
                <w:szCs w:val="20"/>
              </w:rPr>
              <w:t>2.9</w:t>
            </w:r>
          </w:p>
        </w:tc>
        <w:tc>
          <w:tcPr>
            <w:tcW w:w="501" w:type="pct"/>
            <w:tcBorders>
              <w:top w:val="single" w:sz="4" w:space="0" w:color="auto"/>
              <w:bottom w:val="single" w:sz="12" w:space="0" w:color="auto"/>
            </w:tcBorders>
            <w:vAlign w:val="bottom"/>
          </w:tcPr>
          <w:p w14:paraId="5F1514A7" w14:textId="39343BDE" w:rsidR="000E5649" w:rsidRPr="006D4208" w:rsidRDefault="000E5649" w:rsidP="00D13F18">
            <w:pPr>
              <w:jc w:val="right"/>
              <w:rPr>
                <w:rFonts w:asciiTheme="minorHAnsi" w:hAnsiTheme="minorHAnsi" w:cs="Arial"/>
                <w:sz w:val="20"/>
                <w:szCs w:val="20"/>
              </w:rPr>
            </w:pPr>
            <w:r w:rsidRPr="006D4208">
              <w:rPr>
                <w:rFonts w:asciiTheme="minorHAnsi" w:hAnsiTheme="minorHAnsi" w:cs="Arial"/>
                <w:sz w:val="20"/>
                <w:szCs w:val="20"/>
                <w:lang w:val="en-US"/>
              </w:rPr>
              <w:t>9.6</w:t>
            </w:r>
          </w:p>
        </w:tc>
      </w:tr>
    </w:tbl>
    <w:p w14:paraId="2DF04CDE" w14:textId="0439066A" w:rsidR="0073694B" w:rsidRDefault="0073694B" w:rsidP="00A3021A">
      <w:pPr>
        <w:ind w:left="567" w:hanging="567"/>
        <w:jc w:val="both"/>
        <w:rPr>
          <w:rFonts w:asciiTheme="minorHAnsi" w:hAnsiTheme="minorHAnsi" w:cs="Arial"/>
          <w:b/>
          <w:color w:val="4747FF"/>
          <w:sz w:val="22"/>
          <w:szCs w:val="22"/>
        </w:rPr>
      </w:pPr>
    </w:p>
    <w:p w14:paraId="24DF651E" w14:textId="2310D1D9" w:rsidR="00A3021A" w:rsidRPr="00B54975" w:rsidRDefault="00A3021A" w:rsidP="00A3021A">
      <w:pPr>
        <w:autoSpaceDE w:val="0"/>
        <w:autoSpaceDN w:val="0"/>
        <w:adjustRightInd w:val="0"/>
        <w:jc w:val="both"/>
        <w:rPr>
          <w:rFonts w:asciiTheme="minorHAnsi" w:hAnsiTheme="minorHAnsi" w:cs="Arial"/>
          <w:b/>
          <w:sz w:val="20"/>
          <w:szCs w:val="20"/>
        </w:rPr>
      </w:pPr>
      <w:r w:rsidRPr="00B54975">
        <w:rPr>
          <w:rFonts w:asciiTheme="minorHAnsi" w:hAnsiTheme="minorHAnsi" w:cs="Arial"/>
          <w:b/>
          <w:sz w:val="20"/>
          <w:szCs w:val="20"/>
        </w:rPr>
        <w:t>The Scheme of Arrangement (the Scheme): £</w:t>
      </w:r>
      <w:r w:rsidR="00E25A52" w:rsidRPr="00B54975">
        <w:rPr>
          <w:rFonts w:asciiTheme="minorHAnsi" w:hAnsiTheme="minorHAnsi" w:cs="Arial"/>
          <w:b/>
          <w:sz w:val="20"/>
          <w:szCs w:val="20"/>
        </w:rPr>
        <w:t>nil</w:t>
      </w:r>
      <w:r w:rsidRPr="00B54975">
        <w:rPr>
          <w:rFonts w:asciiTheme="minorHAnsi" w:hAnsiTheme="minorHAnsi" w:cs="Arial"/>
          <w:b/>
          <w:sz w:val="20"/>
          <w:szCs w:val="20"/>
        </w:rPr>
        <w:t xml:space="preserve"> (</w:t>
      </w:r>
      <w:r w:rsidR="000E5A45">
        <w:rPr>
          <w:rFonts w:asciiTheme="minorHAnsi" w:hAnsiTheme="minorHAnsi" w:cs="Arial"/>
          <w:b/>
          <w:sz w:val="20"/>
          <w:szCs w:val="20"/>
        </w:rPr>
        <w:t>FY</w:t>
      </w:r>
      <w:r w:rsidR="006D23FA">
        <w:rPr>
          <w:rFonts w:asciiTheme="minorHAnsi" w:hAnsiTheme="minorHAnsi" w:cs="Arial"/>
          <w:b/>
          <w:sz w:val="20"/>
          <w:szCs w:val="20"/>
        </w:rPr>
        <w:t>23</w:t>
      </w:r>
      <w:r w:rsidR="00153F96" w:rsidRPr="00B54975">
        <w:rPr>
          <w:rFonts w:asciiTheme="minorHAnsi" w:hAnsiTheme="minorHAnsi" w:cs="Arial"/>
          <w:b/>
          <w:sz w:val="20"/>
          <w:szCs w:val="20"/>
        </w:rPr>
        <w:t>: £1.0</w:t>
      </w:r>
      <w:r w:rsidR="00D137F8" w:rsidRPr="00B54975">
        <w:rPr>
          <w:rFonts w:asciiTheme="minorHAnsi" w:hAnsiTheme="minorHAnsi" w:cs="Arial"/>
          <w:b/>
          <w:sz w:val="20"/>
          <w:szCs w:val="20"/>
        </w:rPr>
        <w:t>m</w:t>
      </w:r>
      <w:r w:rsidR="00153F96" w:rsidRPr="00B54975">
        <w:rPr>
          <w:rFonts w:asciiTheme="minorHAnsi" w:hAnsiTheme="minorHAnsi" w:cs="Arial"/>
          <w:b/>
          <w:sz w:val="20"/>
          <w:szCs w:val="20"/>
        </w:rPr>
        <w:t xml:space="preserve">, </w:t>
      </w:r>
      <w:r w:rsidR="000E5A45">
        <w:rPr>
          <w:rFonts w:asciiTheme="minorHAnsi" w:hAnsiTheme="minorHAnsi" w:cs="Arial"/>
          <w:b/>
          <w:sz w:val="20"/>
          <w:szCs w:val="20"/>
        </w:rPr>
        <w:t>1H</w:t>
      </w:r>
      <w:r w:rsidR="006C0C86" w:rsidRPr="00B54975">
        <w:rPr>
          <w:rFonts w:asciiTheme="minorHAnsi" w:hAnsiTheme="minorHAnsi" w:cs="Arial"/>
          <w:b/>
          <w:sz w:val="20"/>
          <w:szCs w:val="20"/>
        </w:rPr>
        <w:t>2</w:t>
      </w:r>
      <w:r w:rsidR="00C7468B" w:rsidRPr="00B54975">
        <w:rPr>
          <w:rFonts w:asciiTheme="minorHAnsi" w:hAnsiTheme="minorHAnsi" w:cs="Arial"/>
          <w:b/>
          <w:sz w:val="20"/>
          <w:szCs w:val="20"/>
        </w:rPr>
        <w:t>3</w:t>
      </w:r>
      <w:r w:rsidR="00FB5DC5" w:rsidRPr="00B54975">
        <w:rPr>
          <w:rFonts w:asciiTheme="minorHAnsi" w:hAnsiTheme="minorHAnsi" w:cs="Arial"/>
          <w:b/>
          <w:sz w:val="20"/>
          <w:szCs w:val="20"/>
        </w:rPr>
        <w:t>: £</w:t>
      </w:r>
      <w:r w:rsidR="00C7468B" w:rsidRPr="00B54975">
        <w:rPr>
          <w:rFonts w:asciiTheme="minorHAnsi" w:hAnsiTheme="minorHAnsi" w:cs="Arial"/>
          <w:b/>
          <w:sz w:val="20"/>
          <w:szCs w:val="20"/>
        </w:rPr>
        <w:t>1.0m</w:t>
      </w:r>
      <w:r w:rsidRPr="00B54975">
        <w:rPr>
          <w:rFonts w:asciiTheme="minorHAnsi" w:hAnsiTheme="minorHAnsi" w:cs="Arial"/>
          <w:b/>
          <w:sz w:val="20"/>
          <w:szCs w:val="20"/>
        </w:rPr>
        <w:t>)</w:t>
      </w:r>
    </w:p>
    <w:p w14:paraId="4E1BE56A" w14:textId="77777777" w:rsidR="00BB646C" w:rsidRPr="006D4208" w:rsidRDefault="00BB646C" w:rsidP="00A3021A">
      <w:pPr>
        <w:autoSpaceDE w:val="0"/>
        <w:autoSpaceDN w:val="0"/>
        <w:adjustRightInd w:val="0"/>
        <w:jc w:val="both"/>
        <w:rPr>
          <w:rFonts w:asciiTheme="minorHAnsi" w:hAnsiTheme="minorHAnsi" w:cs="Poppins-Light"/>
          <w:sz w:val="20"/>
          <w:szCs w:val="20"/>
        </w:rPr>
      </w:pPr>
      <w:r w:rsidRPr="006D4208">
        <w:rPr>
          <w:rFonts w:asciiTheme="minorHAnsi" w:hAnsiTheme="minorHAnsi" w:cs="Poppins-Light"/>
          <w:sz w:val="20"/>
          <w:szCs w:val="20"/>
        </w:rPr>
        <w:t xml:space="preserve">The Scheme of Arrangement was sanctioned on 30 July 2021 with the objective to ensure all customers with redress claims are treated fairly and outstanding claims are treated consistently for all customers who submit a claim under the Scheme. </w:t>
      </w:r>
    </w:p>
    <w:p w14:paraId="7DE63276" w14:textId="77777777" w:rsidR="00B95780" w:rsidRDefault="00B95780" w:rsidP="00A3021A">
      <w:pPr>
        <w:autoSpaceDE w:val="0"/>
        <w:autoSpaceDN w:val="0"/>
        <w:adjustRightInd w:val="0"/>
        <w:jc w:val="both"/>
        <w:rPr>
          <w:rFonts w:asciiTheme="minorHAnsi" w:hAnsiTheme="minorHAnsi" w:cs="Poppins-Light"/>
          <w:sz w:val="20"/>
          <w:szCs w:val="20"/>
          <w:highlight w:val="yellow"/>
        </w:rPr>
      </w:pPr>
    </w:p>
    <w:p w14:paraId="3B935033" w14:textId="545DB393" w:rsidR="00A3021A" w:rsidRPr="00C15275" w:rsidRDefault="00BB646C" w:rsidP="00A3021A">
      <w:pPr>
        <w:autoSpaceDE w:val="0"/>
        <w:autoSpaceDN w:val="0"/>
        <w:adjustRightInd w:val="0"/>
        <w:jc w:val="both"/>
        <w:rPr>
          <w:rFonts w:asciiTheme="minorHAnsi" w:hAnsiTheme="minorHAnsi" w:cs="Poppins-Light"/>
          <w:sz w:val="20"/>
          <w:szCs w:val="20"/>
        </w:rPr>
      </w:pPr>
      <w:r w:rsidRPr="00C15275">
        <w:rPr>
          <w:rFonts w:asciiTheme="minorHAnsi" w:hAnsiTheme="minorHAnsi" w:cs="Poppins-Light"/>
          <w:sz w:val="20"/>
          <w:szCs w:val="20"/>
        </w:rPr>
        <w:t xml:space="preserve">Customer settlements in relation to the Scheme of Arrangement commenced in </w:t>
      </w:r>
      <w:r w:rsidR="00B95780" w:rsidRPr="00C15275">
        <w:rPr>
          <w:rFonts w:asciiTheme="minorHAnsi" w:hAnsiTheme="minorHAnsi" w:cs="Poppins-Light"/>
          <w:sz w:val="20"/>
          <w:szCs w:val="20"/>
        </w:rPr>
        <w:t>2H22</w:t>
      </w:r>
      <w:r w:rsidRPr="00C15275">
        <w:rPr>
          <w:rFonts w:asciiTheme="minorHAnsi" w:hAnsiTheme="minorHAnsi" w:cs="Poppins-Light"/>
          <w:sz w:val="20"/>
          <w:szCs w:val="20"/>
        </w:rPr>
        <w:t xml:space="preserve"> and </w:t>
      </w:r>
      <w:r w:rsidR="00B95780" w:rsidRPr="00C15275">
        <w:rPr>
          <w:rFonts w:asciiTheme="minorHAnsi" w:hAnsiTheme="minorHAnsi" w:cs="Poppins-Light"/>
          <w:sz w:val="20"/>
          <w:szCs w:val="20"/>
        </w:rPr>
        <w:t>the majority</w:t>
      </w:r>
      <w:r w:rsidRPr="00C15275">
        <w:rPr>
          <w:rFonts w:asciiTheme="minorHAnsi" w:hAnsiTheme="minorHAnsi" w:cs="Poppins-Light"/>
          <w:sz w:val="20"/>
          <w:szCs w:val="20"/>
        </w:rPr>
        <w:t xml:space="preserve"> of </w:t>
      </w:r>
      <w:r w:rsidR="00B95780" w:rsidRPr="00C15275">
        <w:rPr>
          <w:rFonts w:asciiTheme="minorHAnsi" w:hAnsiTheme="minorHAnsi" w:cs="Poppins-Light"/>
          <w:sz w:val="20"/>
          <w:szCs w:val="20"/>
        </w:rPr>
        <w:t>the</w:t>
      </w:r>
      <w:r w:rsidRPr="00C15275">
        <w:rPr>
          <w:rFonts w:asciiTheme="minorHAnsi" w:hAnsiTheme="minorHAnsi" w:cs="Poppins-Light"/>
          <w:sz w:val="20"/>
          <w:szCs w:val="20"/>
        </w:rPr>
        <w:t xml:space="preserve"> provision has been utilised, with only £</w:t>
      </w:r>
      <w:r w:rsidR="00B95780" w:rsidRPr="00C15275">
        <w:rPr>
          <w:rFonts w:asciiTheme="minorHAnsi" w:hAnsiTheme="minorHAnsi" w:cs="Poppins-Light"/>
          <w:sz w:val="20"/>
          <w:szCs w:val="20"/>
        </w:rPr>
        <w:t>0.9m</w:t>
      </w:r>
      <w:r w:rsidRPr="00C15275">
        <w:rPr>
          <w:rFonts w:asciiTheme="minorHAnsi" w:hAnsiTheme="minorHAnsi" w:cs="Poppins-Light"/>
          <w:sz w:val="20"/>
          <w:szCs w:val="20"/>
        </w:rPr>
        <w:t xml:space="preserve"> of provision remaining as at </w:t>
      </w:r>
      <w:r w:rsidR="00B95780" w:rsidRPr="00C15275">
        <w:rPr>
          <w:rFonts w:asciiTheme="minorHAnsi" w:hAnsiTheme="minorHAnsi" w:cs="Poppins-Light"/>
          <w:sz w:val="20"/>
          <w:szCs w:val="20"/>
        </w:rPr>
        <w:t>December</w:t>
      </w:r>
      <w:r w:rsidRPr="00C15275">
        <w:rPr>
          <w:rFonts w:asciiTheme="minorHAnsi" w:hAnsiTheme="minorHAnsi" w:cs="Poppins-Light"/>
          <w:sz w:val="20"/>
          <w:szCs w:val="20"/>
        </w:rPr>
        <w:t xml:space="preserve"> 2023. The </w:t>
      </w:r>
      <w:r w:rsidR="00B95780" w:rsidRPr="00C15275">
        <w:rPr>
          <w:rFonts w:asciiTheme="minorHAnsi" w:hAnsiTheme="minorHAnsi" w:cs="Poppins-Light"/>
          <w:sz w:val="20"/>
          <w:szCs w:val="20"/>
        </w:rPr>
        <w:t>remaining</w:t>
      </w:r>
      <w:r w:rsidRPr="00C15275">
        <w:rPr>
          <w:rFonts w:asciiTheme="minorHAnsi" w:hAnsiTheme="minorHAnsi" w:cs="Poppins-Light"/>
          <w:sz w:val="20"/>
          <w:szCs w:val="20"/>
        </w:rPr>
        <w:t xml:space="preserve"> balance represents unpresented low</w:t>
      </w:r>
      <w:r w:rsidR="096ECFF6" w:rsidRPr="06B367EC">
        <w:rPr>
          <w:rFonts w:asciiTheme="minorHAnsi" w:hAnsiTheme="minorHAnsi" w:cs="Poppins-Light"/>
          <w:sz w:val="20"/>
          <w:szCs w:val="20"/>
        </w:rPr>
        <w:t xml:space="preserve"> </w:t>
      </w:r>
      <w:r w:rsidR="00B95780" w:rsidRPr="00C15275">
        <w:rPr>
          <w:rFonts w:asciiTheme="minorHAnsi" w:hAnsiTheme="minorHAnsi" w:cs="Poppins-Light"/>
          <w:sz w:val="20"/>
          <w:szCs w:val="20"/>
        </w:rPr>
        <w:noBreakHyphen/>
      </w:r>
      <w:r w:rsidRPr="00C15275">
        <w:rPr>
          <w:rFonts w:asciiTheme="minorHAnsi" w:hAnsiTheme="minorHAnsi" w:cs="Poppins-Light"/>
          <w:sz w:val="20"/>
          <w:szCs w:val="20"/>
        </w:rPr>
        <w:t>value customer cheques.</w:t>
      </w:r>
    </w:p>
    <w:p w14:paraId="53C22BB4" w14:textId="77777777" w:rsidR="00520C58" w:rsidRPr="00C15275" w:rsidRDefault="00520C58" w:rsidP="00A3021A">
      <w:pPr>
        <w:autoSpaceDE w:val="0"/>
        <w:autoSpaceDN w:val="0"/>
        <w:adjustRightInd w:val="0"/>
        <w:jc w:val="both"/>
        <w:rPr>
          <w:rFonts w:asciiTheme="minorHAnsi" w:hAnsiTheme="minorHAnsi" w:cs="Poppins-Light"/>
          <w:sz w:val="20"/>
          <w:szCs w:val="20"/>
        </w:rPr>
      </w:pPr>
    </w:p>
    <w:p w14:paraId="61635111" w14:textId="45D83CF9" w:rsidR="00520C58" w:rsidRPr="00C15275" w:rsidRDefault="00520C58" w:rsidP="00520C58">
      <w:pPr>
        <w:autoSpaceDE w:val="0"/>
        <w:autoSpaceDN w:val="0"/>
        <w:adjustRightInd w:val="0"/>
        <w:jc w:val="both"/>
        <w:rPr>
          <w:rFonts w:asciiTheme="minorHAnsi" w:hAnsiTheme="minorHAnsi" w:cs="Poppins-Light"/>
          <w:sz w:val="20"/>
          <w:szCs w:val="20"/>
        </w:rPr>
      </w:pPr>
      <w:r w:rsidRPr="00C15275">
        <w:rPr>
          <w:rFonts w:asciiTheme="minorHAnsi" w:hAnsiTheme="minorHAnsi" w:cs="Poppins-Light"/>
          <w:sz w:val="20"/>
          <w:szCs w:val="20"/>
        </w:rPr>
        <w:t xml:space="preserve">The remaining Scheme provision was </w:t>
      </w:r>
      <w:r w:rsidR="007062E4" w:rsidRPr="00C15275">
        <w:rPr>
          <w:rFonts w:asciiTheme="minorHAnsi" w:hAnsiTheme="minorHAnsi" w:cs="Poppins-Light"/>
          <w:sz w:val="20"/>
          <w:szCs w:val="20"/>
        </w:rPr>
        <w:t xml:space="preserve">fully </w:t>
      </w:r>
      <w:r w:rsidRPr="00C15275">
        <w:rPr>
          <w:rFonts w:asciiTheme="minorHAnsi" w:hAnsiTheme="minorHAnsi" w:cs="Poppins-Light"/>
          <w:sz w:val="20"/>
          <w:szCs w:val="20"/>
        </w:rPr>
        <w:t xml:space="preserve">released </w:t>
      </w:r>
      <w:r w:rsidR="007062E4" w:rsidRPr="00C15275">
        <w:rPr>
          <w:rFonts w:asciiTheme="minorHAnsi" w:hAnsiTheme="minorHAnsi" w:cs="Poppins-Light"/>
          <w:sz w:val="20"/>
          <w:szCs w:val="20"/>
        </w:rPr>
        <w:t>in</w:t>
      </w:r>
      <w:r w:rsidRPr="00C15275">
        <w:rPr>
          <w:rFonts w:asciiTheme="minorHAnsi" w:hAnsiTheme="minorHAnsi" w:cs="Poppins-Light"/>
          <w:sz w:val="20"/>
          <w:szCs w:val="20"/>
        </w:rPr>
        <w:t xml:space="preserve"> June based on the following: </w:t>
      </w:r>
    </w:p>
    <w:p w14:paraId="3A29E419" w14:textId="77777777" w:rsidR="00520C58" w:rsidRPr="00C15275" w:rsidRDefault="00520C58" w:rsidP="007062E4">
      <w:pPr>
        <w:pStyle w:val="ListParagraph"/>
        <w:numPr>
          <w:ilvl w:val="0"/>
          <w:numId w:val="28"/>
        </w:numPr>
        <w:autoSpaceDE w:val="0"/>
        <w:autoSpaceDN w:val="0"/>
        <w:adjustRightInd w:val="0"/>
        <w:jc w:val="both"/>
        <w:rPr>
          <w:rFonts w:asciiTheme="minorHAnsi" w:hAnsiTheme="minorHAnsi" w:cs="Poppins-Light"/>
          <w:sz w:val="20"/>
          <w:szCs w:val="20"/>
        </w:rPr>
      </w:pPr>
      <w:r w:rsidRPr="00C15275">
        <w:rPr>
          <w:rFonts w:asciiTheme="minorHAnsi" w:hAnsiTheme="minorHAnsi" w:cs="Poppins-Light"/>
          <w:sz w:val="20"/>
          <w:szCs w:val="20"/>
        </w:rPr>
        <w:t>All of the Scheme requirements as regards discharging of liabilities have been met; </w:t>
      </w:r>
    </w:p>
    <w:p w14:paraId="742074A3" w14:textId="77777777" w:rsidR="00520C58" w:rsidRPr="00C15275" w:rsidRDefault="00520C58" w:rsidP="007062E4">
      <w:pPr>
        <w:pStyle w:val="ListParagraph"/>
        <w:numPr>
          <w:ilvl w:val="0"/>
          <w:numId w:val="28"/>
        </w:numPr>
        <w:autoSpaceDE w:val="0"/>
        <w:autoSpaceDN w:val="0"/>
        <w:adjustRightInd w:val="0"/>
        <w:jc w:val="both"/>
        <w:rPr>
          <w:rFonts w:asciiTheme="minorHAnsi" w:hAnsiTheme="minorHAnsi" w:cs="Poppins-Light"/>
          <w:sz w:val="20"/>
          <w:szCs w:val="20"/>
        </w:rPr>
      </w:pPr>
      <w:r w:rsidRPr="00C15275">
        <w:rPr>
          <w:rFonts w:asciiTheme="minorHAnsi" w:hAnsiTheme="minorHAnsi" w:cs="Poppins-Light"/>
          <w:sz w:val="20"/>
          <w:szCs w:val="20"/>
        </w:rPr>
        <w:t>PwC, as Scheme Supervisors, have confirmed that this is the case and confirmed that the Scheme closure requirements have been met; </w:t>
      </w:r>
    </w:p>
    <w:p w14:paraId="1C277E17" w14:textId="4B9BFC8A" w:rsidR="00520C58" w:rsidRPr="00C15275" w:rsidRDefault="00520C58" w:rsidP="007062E4">
      <w:pPr>
        <w:pStyle w:val="ListParagraph"/>
        <w:numPr>
          <w:ilvl w:val="0"/>
          <w:numId w:val="28"/>
        </w:numPr>
        <w:autoSpaceDE w:val="0"/>
        <w:autoSpaceDN w:val="0"/>
        <w:adjustRightInd w:val="0"/>
        <w:jc w:val="both"/>
        <w:rPr>
          <w:rFonts w:asciiTheme="minorHAnsi" w:hAnsiTheme="minorHAnsi" w:cs="Poppins-Light"/>
          <w:sz w:val="20"/>
          <w:szCs w:val="20"/>
        </w:rPr>
      </w:pPr>
      <w:r w:rsidRPr="00C15275">
        <w:rPr>
          <w:rFonts w:asciiTheme="minorHAnsi" w:hAnsiTheme="minorHAnsi" w:cs="Poppins-Light"/>
          <w:sz w:val="20"/>
          <w:szCs w:val="20"/>
        </w:rPr>
        <w:t>Clifford Chance have confirmed the above and confirmed that that any surplus monies standing to the credit of the PFG Fund in SPV should now be returned to VBG as part of the Scheme termination in accordance with the Funding Deed. </w:t>
      </w:r>
    </w:p>
    <w:p w14:paraId="34D23FA2" w14:textId="77777777" w:rsidR="00A3021A" w:rsidRPr="006D4208" w:rsidRDefault="00A3021A" w:rsidP="00A3021A">
      <w:pPr>
        <w:autoSpaceDE w:val="0"/>
        <w:autoSpaceDN w:val="0"/>
        <w:jc w:val="both"/>
        <w:rPr>
          <w:rFonts w:asciiTheme="minorHAnsi" w:hAnsiTheme="minorHAnsi" w:cs="Poppins-Light"/>
          <w:sz w:val="20"/>
          <w:szCs w:val="20"/>
        </w:rPr>
      </w:pPr>
    </w:p>
    <w:p w14:paraId="5AD12CD7" w14:textId="0DD78838" w:rsidR="00A3021A" w:rsidRPr="006D4208" w:rsidRDefault="00A3021A" w:rsidP="00A3021A">
      <w:pPr>
        <w:autoSpaceDE w:val="0"/>
        <w:autoSpaceDN w:val="0"/>
        <w:jc w:val="both"/>
        <w:rPr>
          <w:rFonts w:asciiTheme="minorHAnsi" w:hAnsiTheme="minorHAnsi" w:cs="Arial"/>
          <w:b/>
          <w:sz w:val="20"/>
          <w:szCs w:val="20"/>
        </w:rPr>
      </w:pPr>
      <w:r w:rsidRPr="006D4208">
        <w:rPr>
          <w:rFonts w:asciiTheme="minorHAnsi" w:hAnsiTheme="minorHAnsi" w:cs="Arial"/>
          <w:b/>
          <w:sz w:val="20"/>
          <w:szCs w:val="20"/>
        </w:rPr>
        <w:t>ROP Provision: £</w:t>
      </w:r>
      <w:r w:rsidR="004F618E" w:rsidRPr="006D4208">
        <w:rPr>
          <w:rFonts w:asciiTheme="minorHAnsi" w:hAnsiTheme="minorHAnsi" w:cs="Arial"/>
          <w:b/>
          <w:sz w:val="20"/>
          <w:szCs w:val="20"/>
        </w:rPr>
        <w:t>nil</w:t>
      </w:r>
      <w:r w:rsidRPr="006D4208">
        <w:rPr>
          <w:rFonts w:asciiTheme="minorHAnsi" w:hAnsiTheme="minorHAnsi" w:cs="Arial"/>
          <w:b/>
          <w:sz w:val="20"/>
          <w:szCs w:val="20"/>
        </w:rPr>
        <w:t xml:space="preserve"> (</w:t>
      </w:r>
      <w:r w:rsidR="000E5A45">
        <w:rPr>
          <w:rFonts w:asciiTheme="minorHAnsi" w:hAnsiTheme="minorHAnsi" w:cs="Arial"/>
          <w:b/>
          <w:sz w:val="20"/>
          <w:szCs w:val="20"/>
        </w:rPr>
        <w:t>FY</w:t>
      </w:r>
      <w:r w:rsidRPr="006D4208">
        <w:rPr>
          <w:rFonts w:asciiTheme="minorHAnsi" w:hAnsiTheme="minorHAnsi" w:cs="Arial"/>
          <w:b/>
          <w:sz w:val="20"/>
          <w:szCs w:val="20"/>
        </w:rPr>
        <w:t>2</w:t>
      </w:r>
      <w:r w:rsidR="004F618E" w:rsidRPr="006D4208">
        <w:rPr>
          <w:rFonts w:asciiTheme="minorHAnsi" w:hAnsiTheme="minorHAnsi" w:cs="Arial"/>
          <w:b/>
          <w:sz w:val="20"/>
          <w:szCs w:val="20"/>
        </w:rPr>
        <w:t>3</w:t>
      </w:r>
      <w:r w:rsidRPr="006D4208">
        <w:rPr>
          <w:rFonts w:asciiTheme="minorHAnsi" w:hAnsiTheme="minorHAnsi" w:cs="Arial"/>
          <w:b/>
          <w:sz w:val="20"/>
          <w:szCs w:val="20"/>
        </w:rPr>
        <w:t>: £</w:t>
      </w:r>
      <w:r w:rsidR="004F618E" w:rsidRPr="006D4208">
        <w:rPr>
          <w:rFonts w:asciiTheme="minorHAnsi" w:hAnsiTheme="minorHAnsi" w:cs="Arial"/>
          <w:b/>
          <w:sz w:val="20"/>
          <w:szCs w:val="20"/>
        </w:rPr>
        <w:t>nil</w:t>
      </w:r>
      <w:r w:rsidR="004F1CDB" w:rsidRPr="006D4208">
        <w:rPr>
          <w:rFonts w:asciiTheme="minorHAnsi" w:hAnsiTheme="minorHAnsi" w:cs="Arial"/>
          <w:b/>
          <w:sz w:val="20"/>
          <w:szCs w:val="20"/>
        </w:rPr>
        <w:t>,</w:t>
      </w:r>
      <w:r w:rsidR="003C523B" w:rsidRPr="006D4208">
        <w:rPr>
          <w:rFonts w:asciiTheme="minorHAnsi" w:hAnsiTheme="minorHAnsi" w:cs="Arial"/>
          <w:b/>
          <w:sz w:val="20"/>
          <w:szCs w:val="20"/>
        </w:rPr>
        <w:t xml:space="preserve"> </w:t>
      </w:r>
      <w:r w:rsidR="000E5A45">
        <w:rPr>
          <w:rFonts w:asciiTheme="minorHAnsi" w:hAnsiTheme="minorHAnsi" w:cs="Arial"/>
          <w:b/>
          <w:sz w:val="20"/>
          <w:szCs w:val="20"/>
        </w:rPr>
        <w:t>1H</w:t>
      </w:r>
      <w:r w:rsidR="004F1CDB" w:rsidRPr="006D4208">
        <w:rPr>
          <w:rFonts w:asciiTheme="minorHAnsi" w:hAnsiTheme="minorHAnsi" w:cs="Arial"/>
          <w:b/>
          <w:sz w:val="20"/>
          <w:szCs w:val="20"/>
        </w:rPr>
        <w:t>2</w:t>
      </w:r>
      <w:r w:rsidR="004F618E" w:rsidRPr="006D4208">
        <w:rPr>
          <w:rFonts w:asciiTheme="minorHAnsi" w:hAnsiTheme="minorHAnsi" w:cs="Arial"/>
          <w:b/>
          <w:sz w:val="20"/>
          <w:szCs w:val="20"/>
        </w:rPr>
        <w:t>3</w:t>
      </w:r>
      <w:r w:rsidR="004F1CDB" w:rsidRPr="006D4208">
        <w:rPr>
          <w:rFonts w:asciiTheme="minorHAnsi" w:hAnsiTheme="minorHAnsi" w:cs="Arial"/>
          <w:b/>
          <w:sz w:val="20"/>
          <w:szCs w:val="20"/>
        </w:rPr>
        <w:t xml:space="preserve">: </w:t>
      </w:r>
      <w:r w:rsidR="00C04178" w:rsidRPr="006D4208">
        <w:rPr>
          <w:rFonts w:asciiTheme="minorHAnsi" w:hAnsiTheme="minorHAnsi" w:cs="Arial"/>
          <w:b/>
          <w:sz w:val="20"/>
          <w:szCs w:val="20"/>
        </w:rPr>
        <w:t>£2.0m</w:t>
      </w:r>
      <w:r w:rsidRPr="006D4208">
        <w:rPr>
          <w:rFonts w:asciiTheme="minorHAnsi" w:hAnsiTheme="minorHAnsi" w:cs="Arial"/>
          <w:b/>
          <w:sz w:val="20"/>
          <w:szCs w:val="20"/>
        </w:rPr>
        <w:t>)</w:t>
      </w:r>
    </w:p>
    <w:p w14:paraId="3A1FE673" w14:textId="1732D014" w:rsidR="00A3021A" w:rsidRPr="006D4208" w:rsidRDefault="00A3021A" w:rsidP="00A3021A">
      <w:pPr>
        <w:autoSpaceDE w:val="0"/>
        <w:autoSpaceDN w:val="0"/>
        <w:jc w:val="both"/>
        <w:rPr>
          <w:rFonts w:asciiTheme="minorHAnsi" w:hAnsiTheme="minorHAnsi" w:cs="Poppins-Light"/>
          <w:sz w:val="20"/>
          <w:szCs w:val="20"/>
        </w:rPr>
      </w:pPr>
      <w:r w:rsidRPr="006D4208">
        <w:rPr>
          <w:rFonts w:asciiTheme="minorHAnsi" w:hAnsiTheme="minorHAnsi" w:cs="Poppins-Light"/>
          <w:sz w:val="20"/>
          <w:szCs w:val="20"/>
        </w:rPr>
        <w:t>The Repayment Option Plan (ROP) provision principally reflects the estimated cost of the forward flow of ROP complaints more generally which may be received and in respect of which compensation may need to be paid.</w:t>
      </w:r>
      <w:r w:rsidR="0046306D" w:rsidRPr="006D4208">
        <w:rPr>
          <w:rFonts w:asciiTheme="minorHAnsi" w:hAnsiTheme="minorHAnsi" w:cs="Poppins-Light"/>
          <w:sz w:val="20"/>
          <w:szCs w:val="20"/>
        </w:rPr>
        <w:t xml:space="preserve"> During 2023 it was determined that no further amounts were expected to be paid and the remaining £2.0m was released through exceptionals in </w:t>
      </w:r>
      <w:r w:rsidR="00606E45">
        <w:rPr>
          <w:rFonts w:asciiTheme="minorHAnsi" w:hAnsiTheme="minorHAnsi" w:cs="Poppins-Light"/>
          <w:sz w:val="20"/>
          <w:szCs w:val="20"/>
        </w:rPr>
        <w:t>2H23</w:t>
      </w:r>
      <w:r w:rsidR="0046306D" w:rsidRPr="006D4208">
        <w:rPr>
          <w:rFonts w:asciiTheme="minorHAnsi" w:hAnsiTheme="minorHAnsi" w:cs="Poppins-Light"/>
          <w:sz w:val="20"/>
          <w:szCs w:val="20"/>
        </w:rPr>
        <w:t>.</w:t>
      </w:r>
    </w:p>
    <w:p w14:paraId="15F02472" w14:textId="77777777" w:rsidR="0046306D" w:rsidRDefault="0046306D" w:rsidP="00A3021A">
      <w:pPr>
        <w:autoSpaceDE w:val="0"/>
        <w:autoSpaceDN w:val="0"/>
        <w:jc w:val="both"/>
        <w:rPr>
          <w:rFonts w:asciiTheme="minorHAnsi" w:hAnsiTheme="minorHAnsi" w:cs="Arial"/>
          <w:b/>
          <w:sz w:val="20"/>
          <w:szCs w:val="20"/>
        </w:rPr>
      </w:pPr>
    </w:p>
    <w:p w14:paraId="74D8936E" w14:textId="1730FB20" w:rsidR="00A3021A" w:rsidRPr="006D4208" w:rsidRDefault="00A3021A" w:rsidP="00A3021A">
      <w:pPr>
        <w:autoSpaceDE w:val="0"/>
        <w:autoSpaceDN w:val="0"/>
        <w:jc w:val="both"/>
        <w:rPr>
          <w:rFonts w:asciiTheme="minorHAnsi" w:hAnsiTheme="minorHAnsi" w:cs="Arial"/>
          <w:b/>
          <w:sz w:val="20"/>
          <w:szCs w:val="20"/>
        </w:rPr>
      </w:pPr>
      <w:r w:rsidRPr="006D4208">
        <w:rPr>
          <w:rFonts w:asciiTheme="minorHAnsi" w:hAnsiTheme="minorHAnsi" w:cs="Arial"/>
          <w:b/>
          <w:sz w:val="20"/>
          <w:szCs w:val="20"/>
        </w:rPr>
        <w:t>Customer compliance: £</w:t>
      </w:r>
      <w:r w:rsidR="00290037" w:rsidRPr="004D6666">
        <w:rPr>
          <w:rFonts w:asciiTheme="minorHAnsi" w:hAnsiTheme="minorHAnsi" w:cs="Arial"/>
          <w:b/>
          <w:sz w:val="20"/>
          <w:szCs w:val="20"/>
        </w:rPr>
        <w:t>8</w:t>
      </w:r>
      <w:r w:rsidR="00C15275" w:rsidRPr="004D6666">
        <w:rPr>
          <w:rFonts w:asciiTheme="minorHAnsi" w:hAnsiTheme="minorHAnsi" w:cs="Arial"/>
          <w:b/>
          <w:sz w:val="20"/>
          <w:szCs w:val="20"/>
        </w:rPr>
        <w:t>.2</w:t>
      </w:r>
      <w:r w:rsidRPr="004D6666">
        <w:rPr>
          <w:rFonts w:asciiTheme="minorHAnsi" w:hAnsiTheme="minorHAnsi" w:cs="Arial"/>
          <w:b/>
          <w:sz w:val="20"/>
          <w:szCs w:val="20"/>
        </w:rPr>
        <w:t>m</w:t>
      </w:r>
      <w:r w:rsidRPr="006D4208">
        <w:rPr>
          <w:rFonts w:asciiTheme="minorHAnsi" w:hAnsiTheme="minorHAnsi" w:cs="Arial"/>
          <w:b/>
          <w:sz w:val="20"/>
          <w:szCs w:val="20"/>
        </w:rPr>
        <w:t xml:space="preserve"> (</w:t>
      </w:r>
      <w:r w:rsidR="000E5A45">
        <w:rPr>
          <w:rFonts w:asciiTheme="minorHAnsi" w:hAnsiTheme="minorHAnsi" w:cs="Arial"/>
          <w:b/>
          <w:sz w:val="20"/>
          <w:szCs w:val="20"/>
        </w:rPr>
        <w:t>FY</w:t>
      </w:r>
      <w:r w:rsidRPr="006D4208">
        <w:rPr>
          <w:rFonts w:asciiTheme="minorHAnsi" w:hAnsiTheme="minorHAnsi" w:cs="Arial"/>
          <w:b/>
          <w:sz w:val="20"/>
          <w:szCs w:val="20"/>
        </w:rPr>
        <w:t>2</w:t>
      </w:r>
      <w:r w:rsidR="006F4D3A" w:rsidRPr="006D4208">
        <w:rPr>
          <w:rFonts w:asciiTheme="minorHAnsi" w:hAnsiTheme="minorHAnsi" w:cs="Arial"/>
          <w:b/>
          <w:sz w:val="20"/>
          <w:szCs w:val="20"/>
        </w:rPr>
        <w:t>3</w:t>
      </w:r>
      <w:r w:rsidRPr="006D4208">
        <w:rPr>
          <w:rFonts w:asciiTheme="minorHAnsi" w:hAnsiTheme="minorHAnsi" w:cs="Arial"/>
          <w:b/>
          <w:sz w:val="20"/>
          <w:szCs w:val="20"/>
        </w:rPr>
        <w:t>: £</w:t>
      </w:r>
      <w:r w:rsidR="007D622C" w:rsidRPr="006D4208">
        <w:rPr>
          <w:rFonts w:asciiTheme="minorHAnsi" w:hAnsiTheme="minorHAnsi" w:cs="Arial"/>
          <w:b/>
          <w:sz w:val="20"/>
          <w:szCs w:val="20"/>
        </w:rPr>
        <w:t>3.5</w:t>
      </w:r>
      <w:r w:rsidRPr="006D4208">
        <w:rPr>
          <w:rFonts w:asciiTheme="minorHAnsi" w:hAnsiTheme="minorHAnsi" w:cs="Arial"/>
          <w:b/>
          <w:sz w:val="20"/>
          <w:szCs w:val="20"/>
        </w:rPr>
        <w:t>m</w:t>
      </w:r>
      <w:r w:rsidR="00237D51" w:rsidRPr="006D4208">
        <w:rPr>
          <w:rFonts w:asciiTheme="minorHAnsi" w:hAnsiTheme="minorHAnsi" w:cs="Arial"/>
          <w:b/>
          <w:sz w:val="20"/>
          <w:szCs w:val="20"/>
        </w:rPr>
        <w:t>,</w:t>
      </w:r>
      <w:r w:rsidR="003C523B" w:rsidRPr="006D4208">
        <w:rPr>
          <w:rFonts w:asciiTheme="minorHAnsi" w:hAnsiTheme="minorHAnsi" w:cs="Arial"/>
          <w:b/>
          <w:sz w:val="20"/>
          <w:szCs w:val="20"/>
        </w:rPr>
        <w:t xml:space="preserve"> </w:t>
      </w:r>
      <w:r w:rsidR="000E5A45">
        <w:rPr>
          <w:rFonts w:asciiTheme="minorHAnsi" w:hAnsiTheme="minorHAnsi" w:cs="Arial"/>
          <w:b/>
          <w:sz w:val="20"/>
          <w:szCs w:val="20"/>
        </w:rPr>
        <w:t>1H</w:t>
      </w:r>
      <w:r w:rsidR="007D622C" w:rsidRPr="006D4208">
        <w:rPr>
          <w:rFonts w:asciiTheme="minorHAnsi" w:hAnsiTheme="minorHAnsi" w:cs="Arial"/>
          <w:b/>
          <w:sz w:val="20"/>
          <w:szCs w:val="20"/>
        </w:rPr>
        <w:t>23</w:t>
      </w:r>
      <w:r w:rsidR="000F3EE8" w:rsidRPr="006D4208">
        <w:rPr>
          <w:rFonts w:asciiTheme="minorHAnsi" w:hAnsiTheme="minorHAnsi" w:cs="Arial"/>
          <w:b/>
          <w:sz w:val="20"/>
          <w:szCs w:val="20"/>
        </w:rPr>
        <w:t>: £</w:t>
      </w:r>
      <w:r w:rsidR="0024237D">
        <w:rPr>
          <w:rFonts w:asciiTheme="minorHAnsi" w:hAnsiTheme="minorHAnsi" w:cs="Arial"/>
          <w:b/>
          <w:sz w:val="20"/>
          <w:szCs w:val="20"/>
        </w:rPr>
        <w:t>3.4</w:t>
      </w:r>
      <w:r w:rsidR="00683B57" w:rsidRPr="006D4208">
        <w:rPr>
          <w:rFonts w:asciiTheme="minorHAnsi" w:hAnsiTheme="minorHAnsi" w:cs="Arial"/>
          <w:b/>
          <w:sz w:val="20"/>
          <w:szCs w:val="20"/>
        </w:rPr>
        <w:t>m</w:t>
      </w:r>
      <w:r w:rsidRPr="006D4208">
        <w:rPr>
          <w:rFonts w:asciiTheme="minorHAnsi" w:hAnsiTheme="minorHAnsi" w:cs="Arial"/>
          <w:b/>
          <w:sz w:val="20"/>
          <w:szCs w:val="20"/>
        </w:rPr>
        <w:t>)</w:t>
      </w:r>
    </w:p>
    <w:p w14:paraId="14C664D4" w14:textId="6EBC874A" w:rsidR="00897243" w:rsidRPr="00DB5936" w:rsidRDefault="00A3021A" w:rsidP="00A3021A">
      <w:pPr>
        <w:autoSpaceDE w:val="0"/>
        <w:autoSpaceDN w:val="0"/>
        <w:jc w:val="both"/>
        <w:rPr>
          <w:rFonts w:asciiTheme="minorHAnsi" w:hAnsiTheme="minorHAnsi" w:cs="Poppins-Light"/>
          <w:sz w:val="20"/>
          <w:szCs w:val="20"/>
        </w:rPr>
      </w:pPr>
      <w:r w:rsidRPr="006D4208">
        <w:rPr>
          <w:rFonts w:asciiTheme="minorHAnsi" w:hAnsiTheme="minorHAnsi" w:cs="Poppins-Light"/>
          <w:sz w:val="20"/>
          <w:szCs w:val="20"/>
        </w:rPr>
        <w:t xml:space="preserve">The customer </w:t>
      </w:r>
      <w:r w:rsidR="00897243" w:rsidRPr="006D4208">
        <w:rPr>
          <w:rFonts w:asciiTheme="minorHAnsi" w:hAnsiTheme="minorHAnsi" w:cs="Poppins-Light"/>
          <w:sz w:val="20"/>
          <w:szCs w:val="20"/>
        </w:rPr>
        <w:t>remediation</w:t>
      </w:r>
      <w:r w:rsidRPr="006D4208">
        <w:rPr>
          <w:rFonts w:asciiTheme="minorHAnsi" w:hAnsiTheme="minorHAnsi" w:cs="Poppins-Light"/>
          <w:sz w:val="20"/>
          <w:szCs w:val="20"/>
        </w:rPr>
        <w:t xml:space="preserve"> provision relates to general customer compliance matters. </w:t>
      </w:r>
      <w:r w:rsidR="008D3935" w:rsidRPr="006D4208">
        <w:rPr>
          <w:rFonts w:asciiTheme="minorHAnsi" w:hAnsiTheme="minorHAnsi" w:cs="Poppins-Light"/>
          <w:sz w:val="20"/>
          <w:szCs w:val="20"/>
        </w:rPr>
        <w:t xml:space="preserve">This includes the costs of processing a temporary uplift in spurious customer claims from CMCs (uphold rate only 5%), in relation to responsible lending. </w:t>
      </w:r>
      <w:r w:rsidR="00B8685E">
        <w:rPr>
          <w:rFonts w:asciiTheme="minorHAnsi" w:hAnsiTheme="minorHAnsi" w:cs="Poppins-Light"/>
          <w:sz w:val="20"/>
          <w:szCs w:val="20"/>
        </w:rPr>
        <w:t xml:space="preserve">An amount for expected FOS fees is also included in the provision. </w:t>
      </w:r>
      <w:r w:rsidR="00290037">
        <w:rPr>
          <w:rFonts w:asciiTheme="minorHAnsi" w:hAnsiTheme="minorHAnsi" w:cs="Poppins-Light"/>
          <w:sz w:val="20"/>
          <w:szCs w:val="20"/>
        </w:rPr>
        <w:t xml:space="preserve">The provision also includes £3.0m for expected FOS fees to be paid out. </w:t>
      </w:r>
    </w:p>
    <w:p w14:paraId="1AAD5D6B" w14:textId="444EB908" w:rsidR="002D3FAA" w:rsidRDefault="002D3FAA" w:rsidP="6A7632AC">
      <w:pPr>
        <w:autoSpaceDE w:val="0"/>
        <w:autoSpaceDN w:val="0"/>
        <w:jc w:val="both"/>
        <w:rPr>
          <w:rFonts w:asciiTheme="minorHAnsi" w:hAnsiTheme="minorHAnsi" w:cs="Poppins-Light"/>
          <w:sz w:val="20"/>
          <w:szCs w:val="20"/>
        </w:rPr>
      </w:pPr>
    </w:p>
    <w:p w14:paraId="6829C6D5" w14:textId="435CA389" w:rsidR="002D3FAA" w:rsidRDefault="002D3FAA" w:rsidP="6A7632AC">
      <w:pPr>
        <w:autoSpaceDE w:val="0"/>
        <w:autoSpaceDN w:val="0"/>
        <w:jc w:val="both"/>
        <w:rPr>
          <w:rFonts w:asciiTheme="minorHAnsi" w:hAnsiTheme="minorHAnsi" w:cs="Poppins-Light"/>
          <w:b/>
          <w:bCs/>
          <w:sz w:val="20"/>
          <w:szCs w:val="20"/>
        </w:rPr>
      </w:pPr>
    </w:p>
    <w:p w14:paraId="2069C36B" w14:textId="3DCA8DE1" w:rsidR="00152790" w:rsidRPr="006D4208" w:rsidRDefault="00152790" w:rsidP="00152790">
      <w:pPr>
        <w:autoSpaceDE w:val="0"/>
        <w:autoSpaceDN w:val="0"/>
        <w:jc w:val="both"/>
        <w:rPr>
          <w:rFonts w:asciiTheme="minorHAnsi" w:hAnsiTheme="minorHAnsi" w:cs="Poppins-Light"/>
          <w:b/>
          <w:sz w:val="20"/>
          <w:szCs w:val="20"/>
        </w:rPr>
      </w:pPr>
      <w:r>
        <w:rPr>
          <w:rFonts w:asciiTheme="minorHAnsi" w:hAnsiTheme="minorHAnsi" w:cs="Poppins-Light"/>
          <w:b/>
          <w:sz w:val="20"/>
          <w:szCs w:val="20"/>
        </w:rPr>
        <w:t xml:space="preserve">Dilapidations </w:t>
      </w:r>
      <w:r w:rsidRPr="00F84053">
        <w:rPr>
          <w:rFonts w:asciiTheme="minorHAnsi" w:hAnsiTheme="minorHAnsi" w:cs="Poppins-Light"/>
          <w:b/>
          <w:sz w:val="20"/>
          <w:szCs w:val="20"/>
        </w:rPr>
        <w:t>£</w:t>
      </w:r>
      <w:r w:rsidR="009E1E57">
        <w:rPr>
          <w:rFonts w:asciiTheme="minorHAnsi" w:hAnsiTheme="minorHAnsi" w:cs="Poppins-Light"/>
          <w:b/>
          <w:sz w:val="20"/>
          <w:szCs w:val="20"/>
        </w:rPr>
        <w:t>5.2</w:t>
      </w:r>
      <w:r w:rsidRPr="00F84053">
        <w:rPr>
          <w:rFonts w:asciiTheme="minorHAnsi" w:hAnsiTheme="minorHAnsi" w:cs="Poppins-Light"/>
          <w:b/>
          <w:sz w:val="20"/>
          <w:szCs w:val="20"/>
        </w:rPr>
        <w:t xml:space="preserve">m </w:t>
      </w:r>
      <w:r w:rsidRPr="006D4208">
        <w:rPr>
          <w:rFonts w:asciiTheme="minorHAnsi" w:hAnsiTheme="minorHAnsi" w:cs="Poppins-Light"/>
          <w:b/>
          <w:sz w:val="20"/>
          <w:szCs w:val="20"/>
        </w:rPr>
        <w:t>(</w:t>
      </w:r>
      <w:r>
        <w:rPr>
          <w:rFonts w:asciiTheme="minorHAnsi" w:hAnsiTheme="minorHAnsi" w:cs="Poppins-Light"/>
          <w:b/>
          <w:sz w:val="20"/>
          <w:szCs w:val="20"/>
        </w:rPr>
        <w:t>FY</w:t>
      </w:r>
      <w:r w:rsidRPr="006D4208">
        <w:rPr>
          <w:rFonts w:asciiTheme="minorHAnsi" w:hAnsiTheme="minorHAnsi" w:cs="Poppins-Light"/>
          <w:b/>
          <w:sz w:val="20"/>
          <w:szCs w:val="20"/>
        </w:rPr>
        <w:t>23: £</w:t>
      </w:r>
      <w:r w:rsidR="009E1E57">
        <w:rPr>
          <w:rFonts w:asciiTheme="minorHAnsi" w:hAnsiTheme="minorHAnsi" w:cs="Poppins-Light"/>
          <w:b/>
          <w:sz w:val="20"/>
          <w:szCs w:val="20"/>
        </w:rPr>
        <w:t>0.</w:t>
      </w:r>
      <w:r w:rsidR="001B6BB2">
        <w:rPr>
          <w:rFonts w:asciiTheme="minorHAnsi" w:hAnsiTheme="minorHAnsi" w:cs="Poppins-Light"/>
          <w:b/>
          <w:sz w:val="20"/>
          <w:szCs w:val="20"/>
        </w:rPr>
        <w:t>3</w:t>
      </w:r>
      <w:r w:rsidRPr="006D4208">
        <w:rPr>
          <w:rFonts w:asciiTheme="minorHAnsi" w:hAnsiTheme="minorHAnsi" w:cs="Poppins-Light"/>
          <w:b/>
          <w:sz w:val="20"/>
          <w:szCs w:val="20"/>
        </w:rPr>
        <w:t xml:space="preserve">m, </w:t>
      </w:r>
      <w:r>
        <w:rPr>
          <w:rFonts w:asciiTheme="minorHAnsi" w:hAnsiTheme="minorHAnsi" w:cs="Poppins-Light"/>
          <w:b/>
          <w:sz w:val="20"/>
          <w:szCs w:val="20"/>
        </w:rPr>
        <w:t>1H</w:t>
      </w:r>
      <w:r w:rsidRPr="006D4208">
        <w:rPr>
          <w:rFonts w:asciiTheme="minorHAnsi" w:hAnsiTheme="minorHAnsi" w:cs="Poppins-Light"/>
          <w:b/>
          <w:sz w:val="20"/>
          <w:szCs w:val="20"/>
        </w:rPr>
        <w:t>23: £0.</w:t>
      </w:r>
      <w:r w:rsidR="001B6BB2">
        <w:rPr>
          <w:rFonts w:asciiTheme="minorHAnsi" w:hAnsiTheme="minorHAnsi" w:cs="Poppins-Light"/>
          <w:b/>
          <w:sz w:val="20"/>
          <w:szCs w:val="20"/>
        </w:rPr>
        <w:t>3</w:t>
      </w:r>
      <w:r w:rsidRPr="006D4208">
        <w:rPr>
          <w:rFonts w:asciiTheme="minorHAnsi" w:hAnsiTheme="minorHAnsi" w:cs="Poppins-Light"/>
          <w:b/>
          <w:sz w:val="20"/>
          <w:szCs w:val="20"/>
        </w:rPr>
        <w:t>m)</w:t>
      </w:r>
    </w:p>
    <w:p w14:paraId="49215FEC" w14:textId="32617DA5" w:rsidR="00152790" w:rsidRPr="00DB5936" w:rsidRDefault="00236166" w:rsidP="00A3021A">
      <w:pPr>
        <w:autoSpaceDE w:val="0"/>
        <w:autoSpaceDN w:val="0"/>
        <w:jc w:val="both"/>
        <w:rPr>
          <w:rFonts w:asciiTheme="minorHAnsi" w:hAnsiTheme="minorHAnsi" w:cs="Poppins-Light"/>
          <w:sz w:val="20"/>
          <w:szCs w:val="20"/>
        </w:rPr>
      </w:pPr>
      <w:r w:rsidRPr="00236166">
        <w:rPr>
          <w:rFonts w:asciiTheme="minorHAnsi" w:hAnsiTheme="minorHAnsi" w:cs="Poppins-Light"/>
          <w:sz w:val="20"/>
          <w:szCs w:val="20"/>
        </w:rPr>
        <w:t xml:space="preserve">Additional dilapidations costs recognised in </w:t>
      </w:r>
      <w:r w:rsidR="000E40C4">
        <w:rPr>
          <w:rFonts w:asciiTheme="minorHAnsi" w:hAnsiTheme="minorHAnsi" w:cs="Poppins-Light"/>
          <w:sz w:val="20"/>
          <w:szCs w:val="20"/>
        </w:rPr>
        <w:t>1H23</w:t>
      </w:r>
      <w:r w:rsidRPr="00236166">
        <w:rPr>
          <w:rFonts w:asciiTheme="minorHAnsi" w:hAnsiTheme="minorHAnsi" w:cs="Poppins-Light"/>
          <w:sz w:val="20"/>
          <w:szCs w:val="20"/>
        </w:rPr>
        <w:t xml:space="preserve"> and are now being held for </w:t>
      </w:r>
      <w:r w:rsidR="00653868">
        <w:rPr>
          <w:rFonts w:asciiTheme="minorHAnsi" w:hAnsiTheme="minorHAnsi" w:cs="Poppins-Light"/>
          <w:sz w:val="20"/>
          <w:szCs w:val="20"/>
        </w:rPr>
        <w:t>all properties</w:t>
      </w:r>
      <w:r>
        <w:rPr>
          <w:rFonts w:asciiTheme="minorHAnsi" w:hAnsiTheme="minorHAnsi" w:cs="Poppins-Light"/>
          <w:sz w:val="20"/>
          <w:szCs w:val="20"/>
        </w:rPr>
        <w:t>.</w:t>
      </w:r>
    </w:p>
    <w:p w14:paraId="0B147AD8" w14:textId="77777777" w:rsidR="00236166" w:rsidRPr="00DB5936" w:rsidRDefault="00236166" w:rsidP="00A3021A">
      <w:pPr>
        <w:autoSpaceDE w:val="0"/>
        <w:autoSpaceDN w:val="0"/>
        <w:jc w:val="both"/>
        <w:rPr>
          <w:rFonts w:asciiTheme="minorHAnsi" w:hAnsiTheme="minorHAnsi" w:cs="Poppins-Light"/>
          <w:sz w:val="20"/>
          <w:szCs w:val="20"/>
        </w:rPr>
      </w:pPr>
    </w:p>
    <w:p w14:paraId="73B9A5C7" w14:textId="17C905EC" w:rsidR="008D0E1C" w:rsidRPr="006D4208" w:rsidRDefault="008D0E1C" w:rsidP="00A3021A">
      <w:pPr>
        <w:autoSpaceDE w:val="0"/>
        <w:autoSpaceDN w:val="0"/>
        <w:jc w:val="both"/>
        <w:rPr>
          <w:rFonts w:asciiTheme="minorHAnsi" w:hAnsiTheme="minorHAnsi" w:cs="Poppins-Light"/>
          <w:b/>
          <w:sz w:val="20"/>
          <w:szCs w:val="20"/>
        </w:rPr>
      </w:pPr>
      <w:r w:rsidRPr="00F84053">
        <w:rPr>
          <w:rFonts w:asciiTheme="minorHAnsi" w:hAnsiTheme="minorHAnsi" w:cs="Poppins-Light"/>
          <w:b/>
          <w:sz w:val="20"/>
          <w:szCs w:val="20"/>
        </w:rPr>
        <w:t>Other</w:t>
      </w:r>
      <w:r w:rsidR="00F84053" w:rsidRPr="00F84053">
        <w:rPr>
          <w:rFonts w:asciiTheme="minorHAnsi" w:hAnsiTheme="minorHAnsi" w:cs="Poppins-Light"/>
          <w:b/>
          <w:sz w:val="20"/>
          <w:szCs w:val="20"/>
        </w:rPr>
        <w:t>s</w:t>
      </w:r>
      <w:r w:rsidRPr="00F84053">
        <w:rPr>
          <w:rFonts w:asciiTheme="minorHAnsi" w:hAnsiTheme="minorHAnsi" w:cs="Poppins-Light"/>
          <w:b/>
          <w:sz w:val="20"/>
          <w:szCs w:val="20"/>
        </w:rPr>
        <w:t xml:space="preserve"> £</w:t>
      </w:r>
      <w:r w:rsidR="009E1E57">
        <w:rPr>
          <w:rFonts w:asciiTheme="minorHAnsi" w:hAnsiTheme="minorHAnsi" w:cs="Poppins-Light"/>
          <w:b/>
          <w:sz w:val="20"/>
          <w:szCs w:val="20"/>
        </w:rPr>
        <w:t>2.9</w:t>
      </w:r>
      <w:r w:rsidRPr="00F84053">
        <w:rPr>
          <w:rFonts w:asciiTheme="minorHAnsi" w:hAnsiTheme="minorHAnsi" w:cs="Poppins-Light"/>
          <w:b/>
          <w:sz w:val="20"/>
          <w:szCs w:val="20"/>
        </w:rPr>
        <w:t>m</w:t>
      </w:r>
      <w:r w:rsidR="00CF2C0D" w:rsidRPr="00F84053">
        <w:rPr>
          <w:rFonts w:asciiTheme="minorHAnsi" w:hAnsiTheme="minorHAnsi" w:cs="Poppins-Light"/>
          <w:b/>
          <w:sz w:val="20"/>
          <w:szCs w:val="20"/>
        </w:rPr>
        <w:t xml:space="preserve"> </w:t>
      </w:r>
      <w:r w:rsidR="00CF2C0D" w:rsidRPr="006D4208">
        <w:rPr>
          <w:rFonts w:asciiTheme="minorHAnsi" w:hAnsiTheme="minorHAnsi" w:cs="Poppins-Light"/>
          <w:b/>
          <w:sz w:val="20"/>
          <w:szCs w:val="20"/>
        </w:rPr>
        <w:t>(</w:t>
      </w:r>
      <w:r w:rsidR="000E5A45">
        <w:rPr>
          <w:rFonts w:asciiTheme="minorHAnsi" w:hAnsiTheme="minorHAnsi" w:cs="Poppins-Light"/>
          <w:b/>
          <w:sz w:val="20"/>
          <w:szCs w:val="20"/>
        </w:rPr>
        <w:t>FY</w:t>
      </w:r>
      <w:r w:rsidR="00CF2C0D" w:rsidRPr="006D4208">
        <w:rPr>
          <w:rFonts w:asciiTheme="minorHAnsi" w:hAnsiTheme="minorHAnsi" w:cs="Poppins-Light"/>
          <w:b/>
          <w:sz w:val="20"/>
          <w:szCs w:val="20"/>
        </w:rPr>
        <w:t>2</w:t>
      </w:r>
      <w:r w:rsidR="00DC1E71" w:rsidRPr="006D4208">
        <w:rPr>
          <w:rFonts w:asciiTheme="minorHAnsi" w:hAnsiTheme="minorHAnsi" w:cs="Poppins-Light"/>
          <w:b/>
          <w:sz w:val="20"/>
          <w:szCs w:val="20"/>
        </w:rPr>
        <w:t>3</w:t>
      </w:r>
      <w:r w:rsidR="00CF2C0D" w:rsidRPr="006D4208">
        <w:rPr>
          <w:rFonts w:asciiTheme="minorHAnsi" w:hAnsiTheme="minorHAnsi" w:cs="Poppins-Light"/>
          <w:b/>
          <w:sz w:val="20"/>
          <w:szCs w:val="20"/>
        </w:rPr>
        <w:t>: £</w:t>
      </w:r>
      <w:r w:rsidR="00C14C27" w:rsidRPr="006D4208">
        <w:rPr>
          <w:rFonts w:asciiTheme="minorHAnsi" w:hAnsiTheme="minorHAnsi" w:cs="Poppins-Light"/>
          <w:b/>
          <w:sz w:val="20"/>
          <w:szCs w:val="20"/>
        </w:rPr>
        <w:t>1.</w:t>
      </w:r>
      <w:r w:rsidR="0028232E">
        <w:rPr>
          <w:rFonts w:asciiTheme="minorHAnsi" w:hAnsiTheme="minorHAnsi" w:cs="Poppins-Light"/>
          <w:b/>
          <w:sz w:val="20"/>
          <w:szCs w:val="20"/>
        </w:rPr>
        <w:t>0</w:t>
      </w:r>
      <w:r w:rsidR="00C14C27" w:rsidRPr="006D4208">
        <w:rPr>
          <w:rFonts w:asciiTheme="minorHAnsi" w:hAnsiTheme="minorHAnsi" w:cs="Poppins-Light"/>
          <w:b/>
          <w:sz w:val="20"/>
          <w:szCs w:val="20"/>
        </w:rPr>
        <w:t>m</w:t>
      </w:r>
      <w:r w:rsidR="001D2F45" w:rsidRPr="006D4208">
        <w:rPr>
          <w:rFonts w:asciiTheme="minorHAnsi" w:hAnsiTheme="minorHAnsi" w:cs="Poppins-Light"/>
          <w:b/>
          <w:sz w:val="20"/>
          <w:szCs w:val="20"/>
        </w:rPr>
        <w:t xml:space="preserve">, </w:t>
      </w:r>
      <w:r w:rsidR="000E5A45">
        <w:rPr>
          <w:rFonts w:asciiTheme="minorHAnsi" w:hAnsiTheme="minorHAnsi" w:cs="Poppins-Light"/>
          <w:b/>
          <w:sz w:val="20"/>
          <w:szCs w:val="20"/>
        </w:rPr>
        <w:t>1H</w:t>
      </w:r>
      <w:r w:rsidR="001D2F45" w:rsidRPr="006D4208">
        <w:rPr>
          <w:rFonts w:asciiTheme="minorHAnsi" w:hAnsiTheme="minorHAnsi" w:cs="Poppins-Light"/>
          <w:b/>
          <w:sz w:val="20"/>
          <w:szCs w:val="20"/>
        </w:rPr>
        <w:t>2</w:t>
      </w:r>
      <w:r w:rsidR="00974BAC" w:rsidRPr="006D4208">
        <w:rPr>
          <w:rFonts w:asciiTheme="minorHAnsi" w:hAnsiTheme="minorHAnsi" w:cs="Poppins-Light"/>
          <w:b/>
          <w:sz w:val="20"/>
          <w:szCs w:val="20"/>
        </w:rPr>
        <w:t>3</w:t>
      </w:r>
      <w:r w:rsidR="001D2F45" w:rsidRPr="006D4208">
        <w:rPr>
          <w:rFonts w:asciiTheme="minorHAnsi" w:hAnsiTheme="minorHAnsi" w:cs="Poppins-Light"/>
          <w:b/>
          <w:sz w:val="20"/>
          <w:szCs w:val="20"/>
        </w:rPr>
        <w:t>: £</w:t>
      </w:r>
      <w:r w:rsidR="0024237D">
        <w:rPr>
          <w:rFonts w:asciiTheme="minorHAnsi" w:hAnsiTheme="minorHAnsi" w:cs="Poppins-Light"/>
          <w:b/>
          <w:sz w:val="20"/>
          <w:szCs w:val="20"/>
        </w:rPr>
        <w:t>3.2</w:t>
      </w:r>
      <w:r w:rsidR="00EE47D4" w:rsidRPr="006D4208">
        <w:rPr>
          <w:rFonts w:asciiTheme="minorHAnsi" w:hAnsiTheme="minorHAnsi" w:cs="Poppins-Light"/>
          <w:b/>
          <w:sz w:val="20"/>
          <w:szCs w:val="20"/>
        </w:rPr>
        <w:t>m</w:t>
      </w:r>
      <w:r w:rsidR="00CF2C0D" w:rsidRPr="006D4208">
        <w:rPr>
          <w:rFonts w:asciiTheme="minorHAnsi" w:hAnsiTheme="minorHAnsi" w:cs="Poppins-Light"/>
          <w:b/>
          <w:sz w:val="20"/>
          <w:szCs w:val="20"/>
        </w:rPr>
        <w:t>)</w:t>
      </w:r>
    </w:p>
    <w:p w14:paraId="1EEA5BF9" w14:textId="3556B126" w:rsidR="0020799C" w:rsidRPr="006D4208" w:rsidRDefault="0020799C" w:rsidP="00A3021A">
      <w:pPr>
        <w:autoSpaceDE w:val="0"/>
        <w:autoSpaceDN w:val="0"/>
        <w:jc w:val="both"/>
        <w:rPr>
          <w:rFonts w:asciiTheme="minorHAnsi" w:hAnsiTheme="minorHAnsi" w:cs="Poppins-Light"/>
          <w:sz w:val="20"/>
          <w:szCs w:val="20"/>
        </w:rPr>
      </w:pPr>
      <w:r w:rsidRPr="006D4208">
        <w:rPr>
          <w:rFonts w:asciiTheme="minorHAnsi" w:hAnsiTheme="minorHAnsi" w:cs="Poppins-Light"/>
          <w:sz w:val="20"/>
          <w:szCs w:val="20"/>
        </w:rPr>
        <w:t xml:space="preserve">This </w:t>
      </w:r>
      <w:r w:rsidR="00DA648F">
        <w:rPr>
          <w:rFonts w:asciiTheme="minorHAnsi" w:hAnsiTheme="minorHAnsi" w:cs="Poppins-Light"/>
          <w:sz w:val="20"/>
          <w:szCs w:val="20"/>
        </w:rPr>
        <w:t xml:space="preserve">predominantly </w:t>
      </w:r>
      <w:r w:rsidRPr="006D4208">
        <w:rPr>
          <w:rFonts w:asciiTheme="minorHAnsi" w:hAnsiTheme="minorHAnsi" w:cs="Poppins-Light"/>
          <w:sz w:val="20"/>
          <w:szCs w:val="20"/>
        </w:rPr>
        <w:t>relates to</w:t>
      </w:r>
      <w:r w:rsidRPr="006D4208" w:rsidDel="002D765C">
        <w:rPr>
          <w:rFonts w:asciiTheme="minorHAnsi" w:hAnsiTheme="minorHAnsi" w:cs="Poppins-Light"/>
          <w:sz w:val="20"/>
          <w:szCs w:val="20"/>
        </w:rPr>
        <w:t xml:space="preserve"> </w:t>
      </w:r>
      <w:r w:rsidR="00145CFF">
        <w:rPr>
          <w:rFonts w:asciiTheme="minorHAnsi" w:hAnsiTheme="minorHAnsi" w:cs="Poppins-Light"/>
          <w:sz w:val="20"/>
          <w:szCs w:val="20"/>
        </w:rPr>
        <w:t xml:space="preserve">redundancy </w:t>
      </w:r>
      <w:r w:rsidR="00DA648F">
        <w:rPr>
          <w:rFonts w:asciiTheme="minorHAnsi" w:hAnsiTheme="minorHAnsi" w:cs="Poppins-Light"/>
          <w:sz w:val="20"/>
          <w:szCs w:val="20"/>
        </w:rPr>
        <w:t xml:space="preserve">costs. </w:t>
      </w:r>
    </w:p>
    <w:p w14:paraId="19981C21" w14:textId="77777777" w:rsidR="008C6566" w:rsidRDefault="008C6566" w:rsidP="2BBBCEC3">
      <w:pPr>
        <w:jc w:val="both"/>
        <w:rPr>
          <w:rFonts w:asciiTheme="minorHAnsi" w:hAnsiTheme="minorHAnsi" w:cs="Arial"/>
          <w:b/>
          <w:bCs/>
          <w:color w:val="4747FF"/>
          <w:sz w:val="22"/>
          <w:szCs w:val="22"/>
        </w:rPr>
      </w:pPr>
    </w:p>
    <w:p w14:paraId="6828036C" w14:textId="0D72F55A" w:rsidR="00A3021A" w:rsidRDefault="00A3021A" w:rsidP="00CF66BE">
      <w:pPr>
        <w:autoSpaceDE w:val="0"/>
        <w:autoSpaceDN w:val="0"/>
        <w:adjustRightInd w:val="0"/>
        <w:ind w:left="567" w:hanging="567"/>
        <w:jc w:val="both"/>
        <w:rPr>
          <w:rFonts w:asciiTheme="minorHAnsi" w:hAnsiTheme="minorHAnsi" w:cs="Arial"/>
          <w:b/>
          <w:color w:val="4747FF"/>
          <w:sz w:val="22"/>
          <w:szCs w:val="22"/>
        </w:rPr>
      </w:pPr>
      <w:r w:rsidRPr="00306AF1">
        <w:rPr>
          <w:rFonts w:asciiTheme="minorHAnsi" w:hAnsiTheme="minorHAnsi" w:cs="Arial"/>
          <w:b/>
          <w:bCs/>
          <w:color w:val="4747FF"/>
          <w:sz w:val="22"/>
          <w:szCs w:val="22"/>
        </w:rPr>
        <w:t>1</w:t>
      </w:r>
      <w:r w:rsidR="006133EC">
        <w:rPr>
          <w:rFonts w:asciiTheme="minorHAnsi" w:hAnsiTheme="minorHAnsi" w:cs="Arial"/>
          <w:b/>
          <w:bCs/>
          <w:color w:val="4747FF"/>
          <w:sz w:val="22"/>
          <w:szCs w:val="22"/>
        </w:rPr>
        <w:t>4</w:t>
      </w:r>
      <w:r w:rsidRPr="00306AF1">
        <w:rPr>
          <w:rFonts w:asciiTheme="minorHAnsi" w:hAnsiTheme="minorHAnsi" w:cs="Arial"/>
          <w:b/>
          <w:bCs/>
          <w:color w:val="4747FF"/>
          <w:sz w:val="22"/>
          <w:szCs w:val="22"/>
        </w:rPr>
        <w:t>.</w:t>
      </w:r>
      <w:r>
        <w:tab/>
      </w:r>
      <w:r w:rsidRPr="00306AF1">
        <w:rPr>
          <w:rFonts w:asciiTheme="minorHAnsi" w:hAnsiTheme="minorHAnsi" w:cs="Arial"/>
          <w:b/>
          <w:color w:val="4747FF"/>
          <w:sz w:val="22"/>
          <w:szCs w:val="22"/>
        </w:rPr>
        <w:t>Reconciliation of loss after tax to cash generated from operations</w:t>
      </w:r>
    </w:p>
    <w:tbl>
      <w:tblPr>
        <w:tblW w:w="9923" w:type="dxa"/>
        <w:tblLook w:val="0000" w:firstRow="0" w:lastRow="0" w:firstColumn="0" w:lastColumn="0" w:noHBand="0" w:noVBand="0"/>
      </w:tblPr>
      <w:tblGrid>
        <w:gridCol w:w="7486"/>
        <w:gridCol w:w="1187"/>
        <w:gridCol w:w="1250"/>
      </w:tblGrid>
      <w:tr w:rsidR="00A2748D" w:rsidRPr="00B97C61" w14:paraId="23F74B9B" w14:textId="77777777" w:rsidTr="00A2748D">
        <w:tc>
          <w:tcPr>
            <w:tcW w:w="7486" w:type="dxa"/>
          </w:tcPr>
          <w:p w14:paraId="13F448AD" w14:textId="77777777" w:rsidR="00A2748D" w:rsidRPr="00B97C61" w:rsidRDefault="00A2748D" w:rsidP="005D59FA">
            <w:pPr>
              <w:rPr>
                <w:rFonts w:asciiTheme="minorHAnsi" w:hAnsiTheme="minorHAnsi" w:cstheme="minorHAnsi"/>
                <w:sz w:val="20"/>
                <w:szCs w:val="20"/>
              </w:rPr>
            </w:pPr>
          </w:p>
        </w:tc>
        <w:tc>
          <w:tcPr>
            <w:tcW w:w="2437" w:type="dxa"/>
            <w:gridSpan w:val="2"/>
            <w:shd w:val="clear" w:color="auto" w:fill="auto"/>
          </w:tcPr>
          <w:p w14:paraId="6F297195" w14:textId="2DABA73F" w:rsidR="00A2748D" w:rsidRPr="00B97C61" w:rsidRDefault="00A2748D" w:rsidP="00A2748D">
            <w:pPr>
              <w:jc w:val="center"/>
              <w:rPr>
                <w:rFonts w:asciiTheme="minorHAnsi" w:hAnsiTheme="minorHAnsi" w:cstheme="minorHAnsi"/>
                <w:sz w:val="20"/>
                <w:szCs w:val="20"/>
              </w:rPr>
            </w:pPr>
            <w:r>
              <w:rPr>
                <w:rFonts w:asciiTheme="minorHAnsi" w:hAnsiTheme="minorHAnsi" w:cstheme="minorHAnsi"/>
                <w:sz w:val="20"/>
                <w:szCs w:val="20"/>
              </w:rPr>
              <w:t>Six months ended 30 June</w:t>
            </w:r>
          </w:p>
        </w:tc>
      </w:tr>
      <w:tr w:rsidR="00DE7C0C" w:rsidRPr="00B97C61" w14:paraId="7AA3218A" w14:textId="77777777" w:rsidTr="005D59FA">
        <w:tc>
          <w:tcPr>
            <w:tcW w:w="7486" w:type="dxa"/>
          </w:tcPr>
          <w:p w14:paraId="7A3A1107" w14:textId="77777777" w:rsidR="00DE7C0C" w:rsidRPr="00B97C61" w:rsidRDefault="00DE7C0C" w:rsidP="005D59FA">
            <w:pPr>
              <w:rPr>
                <w:rFonts w:asciiTheme="minorHAnsi" w:hAnsiTheme="minorHAnsi" w:cstheme="minorHAnsi"/>
                <w:sz w:val="20"/>
                <w:szCs w:val="20"/>
              </w:rPr>
            </w:pPr>
          </w:p>
        </w:tc>
        <w:tc>
          <w:tcPr>
            <w:tcW w:w="1187" w:type="dxa"/>
            <w:shd w:val="clear" w:color="auto" w:fill="F2F2F2" w:themeFill="background1" w:themeFillShade="F2"/>
          </w:tcPr>
          <w:p w14:paraId="20AC249E" w14:textId="3061CF46" w:rsidR="00DE7C0C" w:rsidRPr="004C2CDE" w:rsidRDefault="00DE7C0C" w:rsidP="005D59FA">
            <w:pPr>
              <w:jc w:val="right"/>
              <w:rPr>
                <w:rFonts w:asciiTheme="minorHAnsi" w:hAnsiTheme="minorHAnsi" w:cstheme="minorHAnsi"/>
                <w:b/>
                <w:sz w:val="20"/>
                <w:szCs w:val="20"/>
              </w:rPr>
            </w:pPr>
            <w:r w:rsidRPr="004C2CDE">
              <w:rPr>
                <w:rFonts w:asciiTheme="minorHAnsi" w:hAnsiTheme="minorHAnsi" w:cstheme="minorHAnsi"/>
                <w:b/>
                <w:sz w:val="20"/>
                <w:szCs w:val="20"/>
              </w:rPr>
              <w:t>202</w:t>
            </w:r>
            <w:r>
              <w:rPr>
                <w:rFonts w:asciiTheme="minorHAnsi" w:hAnsiTheme="minorHAnsi" w:cstheme="minorHAnsi"/>
                <w:b/>
                <w:sz w:val="20"/>
                <w:szCs w:val="20"/>
              </w:rPr>
              <w:t>4</w:t>
            </w:r>
            <w:r w:rsidRPr="004C2CDE">
              <w:rPr>
                <w:rFonts w:asciiTheme="minorHAnsi" w:hAnsiTheme="minorHAnsi" w:cstheme="minorHAnsi"/>
                <w:b/>
                <w:sz w:val="20"/>
                <w:szCs w:val="20"/>
              </w:rPr>
              <w:t> </w:t>
            </w:r>
          </w:p>
        </w:tc>
        <w:tc>
          <w:tcPr>
            <w:tcW w:w="1250" w:type="dxa"/>
          </w:tcPr>
          <w:p w14:paraId="189E0002" w14:textId="77777777" w:rsidR="0090634F" w:rsidRDefault="00DE7C0C" w:rsidP="005D59FA">
            <w:pPr>
              <w:jc w:val="right"/>
              <w:rPr>
                <w:rFonts w:asciiTheme="minorHAnsi" w:hAnsiTheme="minorHAnsi" w:cstheme="minorHAnsi"/>
                <w:sz w:val="20"/>
                <w:szCs w:val="20"/>
              </w:rPr>
            </w:pPr>
            <w:r w:rsidRPr="00B97C61">
              <w:rPr>
                <w:rFonts w:asciiTheme="minorHAnsi" w:hAnsiTheme="minorHAnsi" w:cstheme="minorHAnsi"/>
                <w:sz w:val="20"/>
                <w:szCs w:val="20"/>
              </w:rPr>
              <w:t>202</w:t>
            </w:r>
            <w:r>
              <w:rPr>
                <w:rFonts w:asciiTheme="minorHAnsi" w:hAnsiTheme="minorHAnsi" w:cstheme="minorHAnsi"/>
                <w:sz w:val="20"/>
                <w:szCs w:val="20"/>
              </w:rPr>
              <w:t>3</w:t>
            </w:r>
          </w:p>
          <w:p w14:paraId="07058A9B" w14:textId="1BB10DCC" w:rsidR="00DE7C0C" w:rsidRPr="00B97C61" w:rsidRDefault="0090634F" w:rsidP="005D59FA">
            <w:pPr>
              <w:jc w:val="right"/>
              <w:rPr>
                <w:rFonts w:asciiTheme="minorHAnsi" w:hAnsiTheme="minorHAnsi" w:cstheme="minorHAnsi"/>
                <w:sz w:val="20"/>
                <w:szCs w:val="20"/>
              </w:rPr>
            </w:pPr>
            <w:r>
              <w:rPr>
                <w:rFonts w:asciiTheme="minorHAnsi" w:hAnsiTheme="minorHAnsi" w:cstheme="minorHAnsi"/>
                <w:sz w:val="20"/>
                <w:szCs w:val="20"/>
              </w:rPr>
              <w:t>(restated)</w:t>
            </w:r>
            <w:r w:rsidR="00DE7C0C" w:rsidRPr="00B97C61">
              <w:rPr>
                <w:rFonts w:asciiTheme="minorHAnsi" w:hAnsiTheme="minorHAnsi" w:cstheme="minorHAnsi"/>
                <w:sz w:val="20"/>
                <w:szCs w:val="20"/>
              </w:rPr>
              <w:t> </w:t>
            </w:r>
          </w:p>
        </w:tc>
      </w:tr>
      <w:tr w:rsidR="00DE7C0C" w:rsidRPr="00B97C61" w14:paraId="219BDD24" w14:textId="77777777" w:rsidTr="005D59FA">
        <w:tc>
          <w:tcPr>
            <w:tcW w:w="7486" w:type="dxa"/>
          </w:tcPr>
          <w:p w14:paraId="5F4AA50A" w14:textId="77777777" w:rsidR="00DE7C0C" w:rsidRPr="00B97C61" w:rsidRDefault="00DE7C0C" w:rsidP="005D59FA">
            <w:pPr>
              <w:rPr>
                <w:rFonts w:asciiTheme="minorHAnsi" w:hAnsiTheme="minorHAnsi" w:cstheme="minorHAnsi"/>
                <w:sz w:val="20"/>
                <w:szCs w:val="20"/>
              </w:rPr>
            </w:pPr>
          </w:p>
        </w:tc>
        <w:tc>
          <w:tcPr>
            <w:tcW w:w="1187" w:type="dxa"/>
            <w:tcBorders>
              <w:top w:val="nil"/>
              <w:left w:val="nil"/>
              <w:bottom w:val="single" w:sz="4" w:space="0" w:color="auto"/>
              <w:right w:val="nil"/>
            </w:tcBorders>
            <w:shd w:val="clear" w:color="auto" w:fill="F2F2F2" w:themeFill="background1" w:themeFillShade="F2"/>
          </w:tcPr>
          <w:p w14:paraId="4DAA5EDA" w14:textId="77777777" w:rsidR="00DE7C0C" w:rsidRPr="004C2CDE" w:rsidRDefault="00DE7C0C" w:rsidP="005D59FA">
            <w:pPr>
              <w:jc w:val="right"/>
              <w:rPr>
                <w:rFonts w:asciiTheme="minorHAnsi" w:hAnsiTheme="minorHAnsi" w:cstheme="minorHAnsi"/>
                <w:b/>
                <w:sz w:val="20"/>
                <w:szCs w:val="20"/>
              </w:rPr>
            </w:pPr>
            <w:r w:rsidRPr="004C2CDE">
              <w:rPr>
                <w:rFonts w:asciiTheme="minorHAnsi" w:hAnsiTheme="minorHAnsi" w:cstheme="minorHAnsi"/>
                <w:b/>
                <w:sz w:val="20"/>
                <w:szCs w:val="20"/>
              </w:rPr>
              <w:t>£m </w:t>
            </w:r>
          </w:p>
        </w:tc>
        <w:tc>
          <w:tcPr>
            <w:tcW w:w="1250" w:type="dxa"/>
            <w:tcBorders>
              <w:top w:val="nil"/>
              <w:left w:val="nil"/>
              <w:bottom w:val="single" w:sz="4" w:space="0" w:color="auto"/>
              <w:right w:val="nil"/>
            </w:tcBorders>
          </w:tcPr>
          <w:p w14:paraId="1C05B274" w14:textId="77777777" w:rsidR="00DE7C0C" w:rsidRPr="00B97C61" w:rsidRDefault="00DE7C0C" w:rsidP="005D59FA">
            <w:pPr>
              <w:jc w:val="right"/>
              <w:rPr>
                <w:rFonts w:asciiTheme="minorHAnsi" w:hAnsiTheme="minorHAnsi" w:cstheme="minorHAnsi"/>
                <w:sz w:val="20"/>
                <w:szCs w:val="20"/>
              </w:rPr>
            </w:pPr>
            <w:r w:rsidRPr="00B97C61">
              <w:rPr>
                <w:rFonts w:asciiTheme="minorHAnsi" w:hAnsiTheme="minorHAnsi" w:cstheme="minorHAnsi"/>
                <w:sz w:val="20"/>
                <w:szCs w:val="20"/>
              </w:rPr>
              <w:t>£m </w:t>
            </w:r>
          </w:p>
        </w:tc>
      </w:tr>
      <w:tr w:rsidR="00DE7C0C" w:rsidRPr="00B97C61" w14:paraId="00E2A806" w14:textId="77777777" w:rsidTr="005D59FA">
        <w:tc>
          <w:tcPr>
            <w:tcW w:w="7486" w:type="dxa"/>
            <w:vAlign w:val="bottom"/>
          </w:tcPr>
          <w:p w14:paraId="737F6F1D" w14:textId="1FC3E053" w:rsidR="00DE7C0C" w:rsidRPr="00B97C61" w:rsidRDefault="00DE7C0C" w:rsidP="005D59FA">
            <w:pPr>
              <w:rPr>
                <w:rFonts w:asciiTheme="minorHAnsi" w:hAnsiTheme="minorHAnsi" w:cstheme="minorHAnsi"/>
                <w:b/>
                <w:sz w:val="20"/>
                <w:szCs w:val="20"/>
              </w:rPr>
            </w:pPr>
            <w:r w:rsidRPr="00B97C61">
              <w:rPr>
                <w:rFonts w:asciiTheme="minorHAnsi" w:hAnsiTheme="minorHAnsi" w:cstheme="minorHAnsi"/>
                <w:b/>
                <w:sz w:val="20"/>
                <w:szCs w:val="20"/>
              </w:rPr>
              <w:t xml:space="preserve">Loss after taxation </w:t>
            </w:r>
          </w:p>
        </w:tc>
        <w:tc>
          <w:tcPr>
            <w:tcW w:w="1187" w:type="dxa"/>
            <w:shd w:val="clear" w:color="auto" w:fill="F2F2F2" w:themeFill="background1" w:themeFillShade="F2"/>
            <w:vAlign w:val="bottom"/>
          </w:tcPr>
          <w:p w14:paraId="7AD69ED9" w14:textId="76B64F33" w:rsidR="00DE7C0C" w:rsidRPr="004166ED" w:rsidRDefault="00DE7C0C" w:rsidP="005D59FA">
            <w:pPr>
              <w:jc w:val="right"/>
              <w:rPr>
                <w:rFonts w:asciiTheme="minorHAnsi" w:hAnsiTheme="minorHAnsi" w:cstheme="minorHAnsi"/>
                <w:b/>
                <w:sz w:val="20"/>
                <w:szCs w:val="20"/>
              </w:rPr>
            </w:pPr>
            <w:r w:rsidRPr="004166ED">
              <w:rPr>
                <w:rFonts w:asciiTheme="minorHAnsi" w:hAnsiTheme="minorHAnsi" w:cstheme="minorHAnsi"/>
                <w:b/>
                <w:sz w:val="20"/>
                <w:szCs w:val="20"/>
              </w:rPr>
              <w:t>(</w:t>
            </w:r>
            <w:r w:rsidR="000447CB" w:rsidRPr="004166ED">
              <w:rPr>
                <w:rFonts w:asciiTheme="minorHAnsi" w:hAnsiTheme="minorHAnsi" w:cstheme="minorHAnsi"/>
                <w:b/>
                <w:sz w:val="20"/>
                <w:szCs w:val="20"/>
              </w:rPr>
              <w:t>35.8</w:t>
            </w:r>
            <w:r w:rsidRPr="004166ED">
              <w:rPr>
                <w:rFonts w:asciiTheme="minorHAnsi" w:hAnsiTheme="minorHAnsi" w:cstheme="minorHAnsi"/>
                <w:b/>
                <w:sz w:val="20"/>
                <w:szCs w:val="20"/>
              </w:rPr>
              <w:t>)</w:t>
            </w:r>
          </w:p>
        </w:tc>
        <w:tc>
          <w:tcPr>
            <w:tcW w:w="1250" w:type="dxa"/>
            <w:shd w:val="clear" w:color="auto" w:fill="auto"/>
            <w:vAlign w:val="bottom"/>
          </w:tcPr>
          <w:p w14:paraId="1698D9A7" w14:textId="3881A3B3" w:rsidR="00DE7C0C" w:rsidRPr="006D4208" w:rsidRDefault="004C2C1E" w:rsidP="005D59FA">
            <w:pPr>
              <w:jc w:val="right"/>
              <w:rPr>
                <w:rFonts w:asciiTheme="minorHAnsi" w:hAnsiTheme="minorHAnsi" w:cstheme="minorHAnsi"/>
                <w:sz w:val="20"/>
                <w:szCs w:val="20"/>
              </w:rPr>
            </w:pPr>
            <w:r w:rsidRPr="006D4208">
              <w:rPr>
                <w:rFonts w:asciiTheme="minorHAnsi" w:hAnsiTheme="minorHAnsi" w:cstheme="minorHAnsi"/>
                <w:sz w:val="20"/>
                <w:szCs w:val="20"/>
              </w:rPr>
              <w:t>(1</w:t>
            </w:r>
            <w:r w:rsidR="00AA27FC">
              <w:rPr>
                <w:rFonts w:asciiTheme="minorHAnsi" w:hAnsiTheme="minorHAnsi" w:cstheme="minorHAnsi"/>
                <w:sz w:val="20"/>
                <w:szCs w:val="20"/>
              </w:rPr>
              <w:t>5.9</w:t>
            </w:r>
            <w:r w:rsidRPr="006D4208">
              <w:rPr>
                <w:rFonts w:asciiTheme="minorHAnsi" w:hAnsiTheme="minorHAnsi" w:cstheme="minorHAnsi"/>
                <w:sz w:val="20"/>
                <w:szCs w:val="20"/>
              </w:rPr>
              <w:t>)</w:t>
            </w:r>
          </w:p>
        </w:tc>
      </w:tr>
      <w:tr w:rsidR="00DE7C0C" w:rsidRPr="00B97C61" w14:paraId="0A539987" w14:textId="77777777" w:rsidTr="005D59FA">
        <w:tc>
          <w:tcPr>
            <w:tcW w:w="7486" w:type="dxa"/>
            <w:vAlign w:val="bottom"/>
          </w:tcPr>
          <w:p w14:paraId="1254A52E" w14:textId="2F4D3E24" w:rsidR="00DE7C0C" w:rsidRPr="00B97C61" w:rsidRDefault="00DE7C0C" w:rsidP="005D59FA">
            <w:pPr>
              <w:rPr>
                <w:rFonts w:asciiTheme="minorHAnsi" w:hAnsiTheme="minorHAnsi" w:cstheme="minorHAnsi"/>
                <w:sz w:val="20"/>
                <w:szCs w:val="20"/>
              </w:rPr>
            </w:pPr>
            <w:r w:rsidRPr="00B97C61">
              <w:rPr>
                <w:rFonts w:asciiTheme="minorHAnsi" w:hAnsiTheme="minorHAnsi" w:cstheme="minorHAnsi"/>
                <w:sz w:val="20"/>
                <w:szCs w:val="20"/>
              </w:rPr>
              <w:t>Adjusted for:</w:t>
            </w:r>
          </w:p>
        </w:tc>
        <w:tc>
          <w:tcPr>
            <w:tcW w:w="1187" w:type="dxa"/>
            <w:shd w:val="clear" w:color="auto" w:fill="F2F2F2" w:themeFill="background1" w:themeFillShade="F2"/>
            <w:vAlign w:val="bottom"/>
          </w:tcPr>
          <w:p w14:paraId="545195A0" w14:textId="77777777" w:rsidR="00DE7C0C" w:rsidRPr="004166ED" w:rsidRDefault="00DE7C0C" w:rsidP="005D59FA">
            <w:pPr>
              <w:jc w:val="right"/>
              <w:rPr>
                <w:rFonts w:asciiTheme="minorHAnsi" w:hAnsiTheme="minorHAnsi" w:cstheme="minorHAnsi"/>
                <w:b/>
                <w:sz w:val="20"/>
                <w:szCs w:val="20"/>
              </w:rPr>
            </w:pPr>
          </w:p>
        </w:tc>
        <w:tc>
          <w:tcPr>
            <w:tcW w:w="1250" w:type="dxa"/>
            <w:vAlign w:val="bottom"/>
          </w:tcPr>
          <w:p w14:paraId="58E5FE24" w14:textId="77777777" w:rsidR="00DE7C0C" w:rsidRPr="006D4208" w:rsidRDefault="00DE7C0C" w:rsidP="005D59FA">
            <w:pPr>
              <w:jc w:val="right"/>
              <w:rPr>
                <w:rFonts w:asciiTheme="minorHAnsi" w:hAnsiTheme="minorHAnsi" w:cstheme="minorHAnsi"/>
                <w:sz w:val="20"/>
                <w:szCs w:val="20"/>
              </w:rPr>
            </w:pPr>
          </w:p>
        </w:tc>
      </w:tr>
      <w:tr w:rsidR="00DE7C0C" w:rsidRPr="00B97C61" w14:paraId="62A5BA06" w14:textId="77777777" w:rsidTr="005D59FA">
        <w:tc>
          <w:tcPr>
            <w:tcW w:w="7486" w:type="dxa"/>
            <w:vAlign w:val="bottom"/>
          </w:tcPr>
          <w:p w14:paraId="4435797A" w14:textId="02E11DD8" w:rsidR="00DE7C0C" w:rsidRPr="00B97C61" w:rsidRDefault="00DE7C0C" w:rsidP="005D59FA">
            <w:pPr>
              <w:rPr>
                <w:rFonts w:asciiTheme="minorHAnsi" w:hAnsiTheme="minorHAnsi" w:cstheme="minorHAnsi"/>
                <w:sz w:val="20"/>
                <w:szCs w:val="20"/>
              </w:rPr>
            </w:pPr>
            <w:r w:rsidRPr="00B97C61">
              <w:rPr>
                <w:rFonts w:asciiTheme="minorHAnsi" w:hAnsiTheme="minorHAnsi" w:cstheme="minorHAnsi"/>
                <w:sz w:val="20"/>
                <w:szCs w:val="20"/>
              </w:rPr>
              <w:t>– tax credit</w:t>
            </w:r>
          </w:p>
        </w:tc>
        <w:tc>
          <w:tcPr>
            <w:tcW w:w="1187" w:type="dxa"/>
            <w:shd w:val="clear" w:color="auto" w:fill="F2F2F2" w:themeFill="background1" w:themeFillShade="F2"/>
            <w:vAlign w:val="bottom"/>
          </w:tcPr>
          <w:p w14:paraId="52822851" w14:textId="4F6FFA47" w:rsidR="00DE7C0C" w:rsidRPr="004166ED" w:rsidRDefault="00F41FD9" w:rsidP="005D59FA">
            <w:pPr>
              <w:jc w:val="right"/>
              <w:rPr>
                <w:rFonts w:asciiTheme="minorHAnsi" w:hAnsiTheme="minorHAnsi" w:cstheme="minorHAnsi"/>
                <w:b/>
                <w:sz w:val="20"/>
                <w:szCs w:val="20"/>
              </w:rPr>
            </w:pPr>
            <w:r w:rsidRPr="004166ED">
              <w:rPr>
                <w:rFonts w:asciiTheme="minorHAnsi" w:hAnsiTheme="minorHAnsi" w:cstheme="minorHAnsi"/>
                <w:b/>
                <w:sz w:val="20"/>
                <w:szCs w:val="20"/>
              </w:rPr>
              <w:t>(10.7)</w:t>
            </w:r>
          </w:p>
        </w:tc>
        <w:tc>
          <w:tcPr>
            <w:tcW w:w="1250" w:type="dxa"/>
            <w:vAlign w:val="bottom"/>
          </w:tcPr>
          <w:p w14:paraId="665193F3" w14:textId="24AD5928" w:rsidR="00DE7C0C" w:rsidRPr="006D4208" w:rsidRDefault="004C2C1E" w:rsidP="005D59FA">
            <w:pPr>
              <w:jc w:val="right"/>
              <w:rPr>
                <w:rFonts w:asciiTheme="minorHAnsi" w:hAnsiTheme="minorHAnsi" w:cstheme="minorHAnsi"/>
                <w:sz w:val="20"/>
                <w:szCs w:val="20"/>
              </w:rPr>
            </w:pPr>
            <w:r w:rsidRPr="006D4208">
              <w:rPr>
                <w:rFonts w:asciiTheme="minorHAnsi" w:hAnsiTheme="minorHAnsi" w:cstheme="minorHAnsi"/>
                <w:sz w:val="20"/>
                <w:szCs w:val="20"/>
              </w:rPr>
              <w:t>(</w:t>
            </w:r>
            <w:r w:rsidR="00A560B6">
              <w:rPr>
                <w:rFonts w:asciiTheme="minorHAnsi" w:hAnsiTheme="minorHAnsi" w:cstheme="minorHAnsi"/>
                <w:sz w:val="20"/>
                <w:szCs w:val="20"/>
              </w:rPr>
              <w:t>6.0</w:t>
            </w:r>
            <w:r w:rsidRPr="006D4208">
              <w:rPr>
                <w:rFonts w:asciiTheme="minorHAnsi" w:hAnsiTheme="minorHAnsi" w:cstheme="minorHAnsi"/>
                <w:sz w:val="20"/>
                <w:szCs w:val="20"/>
              </w:rPr>
              <w:t>)</w:t>
            </w:r>
          </w:p>
        </w:tc>
      </w:tr>
      <w:tr w:rsidR="00DE7C0C" w:rsidRPr="00B97C61" w14:paraId="3B357E9F" w14:textId="77777777" w:rsidTr="005D59FA">
        <w:tc>
          <w:tcPr>
            <w:tcW w:w="7486" w:type="dxa"/>
            <w:vAlign w:val="bottom"/>
          </w:tcPr>
          <w:p w14:paraId="09CFB2E5" w14:textId="77777777" w:rsidR="00DE7C0C" w:rsidRDefault="00DE7C0C" w:rsidP="005D59FA">
            <w:pPr>
              <w:rPr>
                <w:rFonts w:asciiTheme="minorHAnsi" w:hAnsiTheme="minorHAnsi" w:cstheme="minorHAnsi"/>
                <w:sz w:val="20"/>
                <w:szCs w:val="20"/>
              </w:rPr>
            </w:pPr>
            <w:r w:rsidRPr="00B97C61">
              <w:rPr>
                <w:rFonts w:asciiTheme="minorHAnsi" w:hAnsiTheme="minorHAnsi" w:cstheme="minorHAnsi"/>
                <w:sz w:val="20"/>
                <w:szCs w:val="20"/>
              </w:rPr>
              <w:t xml:space="preserve">– finance costs </w:t>
            </w:r>
          </w:p>
          <w:p w14:paraId="0ADE75D7" w14:textId="06A82523" w:rsidR="00DE7C0C" w:rsidRPr="00B97C61" w:rsidRDefault="00312F9A" w:rsidP="005D59FA">
            <w:pPr>
              <w:rPr>
                <w:rFonts w:asciiTheme="minorHAnsi" w:hAnsiTheme="minorHAnsi" w:cstheme="minorHAnsi"/>
                <w:sz w:val="20"/>
                <w:szCs w:val="20"/>
              </w:rPr>
            </w:pPr>
            <w:r w:rsidRPr="00B97C61">
              <w:rPr>
                <w:rFonts w:asciiTheme="minorHAnsi" w:hAnsiTheme="minorHAnsi" w:cstheme="minorHAnsi"/>
                <w:sz w:val="20"/>
                <w:szCs w:val="20"/>
              </w:rPr>
              <w:t xml:space="preserve">– finance </w:t>
            </w:r>
            <w:r>
              <w:rPr>
                <w:rFonts w:asciiTheme="minorHAnsi" w:hAnsiTheme="minorHAnsi" w:cstheme="minorHAnsi"/>
                <w:sz w:val="20"/>
                <w:szCs w:val="20"/>
              </w:rPr>
              <w:t>income</w:t>
            </w:r>
          </w:p>
        </w:tc>
        <w:tc>
          <w:tcPr>
            <w:tcW w:w="1187" w:type="dxa"/>
            <w:shd w:val="clear" w:color="auto" w:fill="F2F2F2" w:themeFill="background1" w:themeFillShade="F2"/>
            <w:vAlign w:val="bottom"/>
          </w:tcPr>
          <w:p w14:paraId="37E7529D" w14:textId="6071D1CF" w:rsidR="00DE7C0C" w:rsidRPr="004166ED" w:rsidRDefault="005764F5" w:rsidP="005D59FA">
            <w:pPr>
              <w:jc w:val="right"/>
              <w:rPr>
                <w:rFonts w:asciiTheme="minorHAnsi" w:hAnsiTheme="minorHAnsi" w:cstheme="minorHAnsi"/>
                <w:b/>
                <w:sz w:val="20"/>
                <w:szCs w:val="20"/>
              </w:rPr>
            </w:pPr>
            <w:r>
              <w:rPr>
                <w:rFonts w:asciiTheme="minorHAnsi" w:hAnsiTheme="minorHAnsi" w:cstheme="minorHAnsi"/>
                <w:b/>
                <w:sz w:val="20"/>
                <w:szCs w:val="20"/>
              </w:rPr>
              <w:t>70.7</w:t>
            </w:r>
          </w:p>
          <w:p w14:paraId="135B5DAC" w14:textId="324F0553" w:rsidR="00DE7C0C" w:rsidRPr="004166ED" w:rsidRDefault="004166ED" w:rsidP="005D59FA">
            <w:pPr>
              <w:jc w:val="right"/>
              <w:rPr>
                <w:rFonts w:asciiTheme="minorHAnsi" w:hAnsiTheme="minorHAnsi" w:cstheme="minorHAnsi"/>
                <w:b/>
                <w:sz w:val="20"/>
                <w:szCs w:val="20"/>
              </w:rPr>
            </w:pPr>
            <w:r w:rsidRPr="004166ED">
              <w:rPr>
                <w:rFonts w:asciiTheme="minorHAnsi" w:hAnsiTheme="minorHAnsi" w:cstheme="minorHAnsi"/>
                <w:b/>
                <w:sz w:val="20"/>
                <w:szCs w:val="20"/>
              </w:rPr>
              <w:t>(21.7)</w:t>
            </w:r>
          </w:p>
        </w:tc>
        <w:tc>
          <w:tcPr>
            <w:tcW w:w="1250" w:type="dxa"/>
            <w:vAlign w:val="bottom"/>
          </w:tcPr>
          <w:p w14:paraId="33F1D189" w14:textId="77777777" w:rsidR="00DE7C0C" w:rsidRDefault="00006289" w:rsidP="005D59FA">
            <w:pPr>
              <w:jc w:val="right"/>
              <w:rPr>
                <w:rFonts w:asciiTheme="minorHAnsi" w:hAnsiTheme="minorHAnsi" w:cstheme="minorHAnsi"/>
                <w:sz w:val="20"/>
                <w:szCs w:val="20"/>
              </w:rPr>
            </w:pPr>
            <w:r>
              <w:rPr>
                <w:rFonts w:asciiTheme="minorHAnsi" w:hAnsiTheme="minorHAnsi" w:cstheme="minorHAnsi"/>
                <w:sz w:val="20"/>
                <w:szCs w:val="20"/>
              </w:rPr>
              <w:t>50.3</w:t>
            </w:r>
          </w:p>
          <w:p w14:paraId="33255B8A" w14:textId="5E72808C" w:rsidR="00DE7C0C" w:rsidRPr="006D4208" w:rsidRDefault="004166ED" w:rsidP="005D59FA">
            <w:pPr>
              <w:jc w:val="right"/>
              <w:rPr>
                <w:rFonts w:asciiTheme="minorHAnsi" w:hAnsiTheme="minorHAnsi" w:cstheme="minorHAnsi"/>
                <w:sz w:val="20"/>
                <w:szCs w:val="20"/>
              </w:rPr>
            </w:pPr>
            <w:r>
              <w:rPr>
                <w:rFonts w:asciiTheme="minorHAnsi" w:hAnsiTheme="minorHAnsi" w:cstheme="minorHAnsi"/>
                <w:sz w:val="20"/>
                <w:szCs w:val="20"/>
              </w:rPr>
              <w:t>(13.3)</w:t>
            </w:r>
          </w:p>
        </w:tc>
      </w:tr>
      <w:tr w:rsidR="00DE7C0C" w:rsidRPr="00B97C61" w14:paraId="5041540F" w14:textId="77777777" w:rsidTr="005D59FA">
        <w:tc>
          <w:tcPr>
            <w:tcW w:w="7486" w:type="dxa"/>
            <w:vAlign w:val="bottom"/>
          </w:tcPr>
          <w:p w14:paraId="0E476A2A" w14:textId="77777777" w:rsidR="00DE7C0C" w:rsidRPr="00B97C61" w:rsidRDefault="00DE7C0C" w:rsidP="005D59FA">
            <w:pPr>
              <w:rPr>
                <w:rFonts w:asciiTheme="minorHAnsi" w:hAnsiTheme="minorHAnsi" w:cstheme="minorHAnsi"/>
                <w:sz w:val="20"/>
                <w:szCs w:val="20"/>
              </w:rPr>
            </w:pPr>
            <w:r w:rsidRPr="00B97C61">
              <w:rPr>
                <w:rFonts w:asciiTheme="minorHAnsi" w:hAnsiTheme="minorHAnsi" w:cstheme="minorHAnsi"/>
                <w:sz w:val="20"/>
                <w:szCs w:val="20"/>
              </w:rPr>
              <w:t>– share-based payment charge</w:t>
            </w:r>
          </w:p>
        </w:tc>
        <w:tc>
          <w:tcPr>
            <w:tcW w:w="1187" w:type="dxa"/>
            <w:shd w:val="clear" w:color="auto" w:fill="F2F2F2" w:themeFill="background1" w:themeFillShade="F2"/>
            <w:vAlign w:val="bottom"/>
          </w:tcPr>
          <w:p w14:paraId="64C07CE9" w14:textId="576C63D1" w:rsidR="00DE7C0C" w:rsidRPr="009B3161" w:rsidRDefault="00175FAA" w:rsidP="005D59FA">
            <w:pPr>
              <w:jc w:val="right"/>
              <w:rPr>
                <w:rFonts w:asciiTheme="minorHAnsi" w:hAnsiTheme="minorHAnsi" w:cstheme="minorHAnsi"/>
                <w:b/>
                <w:sz w:val="20"/>
                <w:szCs w:val="20"/>
              </w:rPr>
            </w:pPr>
            <w:r w:rsidRPr="009B3161">
              <w:rPr>
                <w:rFonts w:asciiTheme="minorHAnsi" w:hAnsiTheme="minorHAnsi" w:cstheme="minorHAnsi"/>
                <w:b/>
                <w:sz w:val="20"/>
                <w:szCs w:val="20"/>
              </w:rPr>
              <w:t>2.4</w:t>
            </w:r>
          </w:p>
        </w:tc>
        <w:tc>
          <w:tcPr>
            <w:tcW w:w="1250" w:type="dxa"/>
            <w:vAlign w:val="bottom"/>
          </w:tcPr>
          <w:p w14:paraId="4784E490" w14:textId="37FEFD17" w:rsidR="00DE7C0C" w:rsidRPr="006D4208" w:rsidRDefault="00BD7E8B" w:rsidP="005D59FA">
            <w:pPr>
              <w:jc w:val="right"/>
              <w:rPr>
                <w:rFonts w:asciiTheme="minorHAnsi" w:hAnsiTheme="minorHAnsi" w:cstheme="minorHAnsi"/>
                <w:sz w:val="20"/>
                <w:szCs w:val="20"/>
              </w:rPr>
            </w:pPr>
            <w:r w:rsidRPr="006D4208">
              <w:rPr>
                <w:rFonts w:asciiTheme="minorHAnsi" w:hAnsiTheme="minorHAnsi" w:cstheme="minorHAnsi"/>
                <w:sz w:val="20"/>
                <w:szCs w:val="20"/>
              </w:rPr>
              <w:t>3.2</w:t>
            </w:r>
          </w:p>
        </w:tc>
      </w:tr>
      <w:tr w:rsidR="00DE7C0C" w:rsidRPr="00B97C61" w14:paraId="17C212BB" w14:textId="77777777" w:rsidTr="005D59FA">
        <w:tc>
          <w:tcPr>
            <w:tcW w:w="7486" w:type="dxa"/>
            <w:vAlign w:val="bottom"/>
          </w:tcPr>
          <w:p w14:paraId="7542A4EE" w14:textId="2CD3AC88" w:rsidR="00DE7C0C" w:rsidRPr="00B97C61" w:rsidRDefault="00DE7C0C" w:rsidP="005D59FA">
            <w:pPr>
              <w:rPr>
                <w:rFonts w:asciiTheme="minorHAnsi" w:hAnsiTheme="minorHAnsi" w:cstheme="minorHAnsi"/>
                <w:sz w:val="20"/>
                <w:szCs w:val="20"/>
              </w:rPr>
            </w:pPr>
            <w:r w:rsidRPr="00B97C61">
              <w:rPr>
                <w:rFonts w:asciiTheme="minorHAnsi" w:hAnsiTheme="minorHAnsi" w:cstheme="minorHAnsi"/>
                <w:sz w:val="20"/>
                <w:szCs w:val="20"/>
              </w:rPr>
              <w:t xml:space="preserve">– retirement benefit credit </w:t>
            </w:r>
          </w:p>
        </w:tc>
        <w:tc>
          <w:tcPr>
            <w:tcW w:w="1187" w:type="dxa"/>
            <w:shd w:val="clear" w:color="auto" w:fill="F2F2F2" w:themeFill="background1" w:themeFillShade="F2"/>
            <w:vAlign w:val="bottom"/>
          </w:tcPr>
          <w:p w14:paraId="18BE245E" w14:textId="59CDE4AE" w:rsidR="00DE7C0C" w:rsidRPr="009B3161" w:rsidRDefault="00DE7C0C" w:rsidP="005D59FA">
            <w:pPr>
              <w:jc w:val="right"/>
              <w:rPr>
                <w:rFonts w:asciiTheme="minorHAnsi" w:hAnsiTheme="minorHAnsi" w:cstheme="minorHAnsi"/>
                <w:b/>
                <w:sz w:val="20"/>
                <w:szCs w:val="20"/>
              </w:rPr>
            </w:pPr>
            <w:r w:rsidRPr="009B3161">
              <w:rPr>
                <w:rFonts w:asciiTheme="minorHAnsi" w:hAnsiTheme="minorHAnsi" w:cstheme="minorHAnsi"/>
                <w:b/>
                <w:sz w:val="20"/>
                <w:szCs w:val="20"/>
              </w:rPr>
              <w:t>(</w:t>
            </w:r>
            <w:r w:rsidR="00B33947" w:rsidRPr="009B3161">
              <w:rPr>
                <w:rFonts w:asciiTheme="minorHAnsi" w:hAnsiTheme="minorHAnsi" w:cstheme="minorHAnsi"/>
                <w:b/>
                <w:sz w:val="20"/>
                <w:szCs w:val="20"/>
              </w:rPr>
              <w:t>0.3</w:t>
            </w:r>
            <w:r w:rsidRPr="009B3161">
              <w:rPr>
                <w:rFonts w:asciiTheme="minorHAnsi" w:hAnsiTheme="minorHAnsi" w:cstheme="minorHAnsi"/>
                <w:b/>
                <w:sz w:val="20"/>
                <w:szCs w:val="20"/>
              </w:rPr>
              <w:t>)</w:t>
            </w:r>
          </w:p>
        </w:tc>
        <w:tc>
          <w:tcPr>
            <w:tcW w:w="1250" w:type="dxa"/>
            <w:vAlign w:val="bottom"/>
          </w:tcPr>
          <w:p w14:paraId="5185DED3" w14:textId="562BB200" w:rsidR="00DE7C0C" w:rsidRPr="006D4208" w:rsidRDefault="00DE7C0C" w:rsidP="005D59FA">
            <w:pPr>
              <w:jc w:val="right"/>
              <w:rPr>
                <w:rFonts w:asciiTheme="minorHAnsi" w:hAnsiTheme="minorHAnsi" w:cstheme="minorHAnsi"/>
                <w:sz w:val="20"/>
                <w:szCs w:val="20"/>
              </w:rPr>
            </w:pPr>
            <w:r w:rsidRPr="006D4208">
              <w:rPr>
                <w:rFonts w:asciiTheme="minorHAnsi" w:hAnsiTheme="minorHAnsi" w:cstheme="minorHAnsi"/>
                <w:sz w:val="20"/>
                <w:szCs w:val="20"/>
              </w:rPr>
              <w:t>(0.</w:t>
            </w:r>
            <w:r w:rsidR="00BD7E8B" w:rsidRPr="006D4208">
              <w:rPr>
                <w:rFonts w:asciiTheme="minorHAnsi" w:hAnsiTheme="minorHAnsi" w:cstheme="minorHAnsi"/>
                <w:sz w:val="20"/>
                <w:szCs w:val="20"/>
              </w:rPr>
              <w:t>2</w:t>
            </w:r>
            <w:r w:rsidRPr="006D4208">
              <w:rPr>
                <w:rFonts w:asciiTheme="minorHAnsi" w:hAnsiTheme="minorHAnsi" w:cstheme="minorHAnsi"/>
                <w:sz w:val="20"/>
                <w:szCs w:val="20"/>
              </w:rPr>
              <w:t>)</w:t>
            </w:r>
          </w:p>
        </w:tc>
      </w:tr>
      <w:tr w:rsidR="00DE7C0C" w:rsidRPr="00B97C61" w14:paraId="088E5DDB" w14:textId="77777777" w:rsidTr="005D59FA">
        <w:tc>
          <w:tcPr>
            <w:tcW w:w="7486" w:type="dxa"/>
            <w:vAlign w:val="bottom"/>
          </w:tcPr>
          <w:p w14:paraId="3B63AF7E" w14:textId="77777777" w:rsidR="00DE7C0C" w:rsidRPr="00B97C61" w:rsidRDefault="00DE7C0C" w:rsidP="005D59FA">
            <w:pPr>
              <w:rPr>
                <w:rFonts w:asciiTheme="minorHAnsi" w:hAnsiTheme="minorHAnsi" w:cstheme="minorHAnsi"/>
                <w:sz w:val="20"/>
                <w:szCs w:val="20"/>
              </w:rPr>
            </w:pPr>
            <w:r w:rsidRPr="00B97C61">
              <w:rPr>
                <w:rFonts w:asciiTheme="minorHAnsi" w:hAnsiTheme="minorHAnsi" w:cstheme="minorHAnsi"/>
                <w:sz w:val="20"/>
                <w:szCs w:val="20"/>
              </w:rPr>
              <w:t>– exceptional impairment of ROU asset</w:t>
            </w:r>
          </w:p>
        </w:tc>
        <w:tc>
          <w:tcPr>
            <w:tcW w:w="1187" w:type="dxa"/>
            <w:shd w:val="clear" w:color="auto" w:fill="F2F2F2" w:themeFill="background1" w:themeFillShade="F2"/>
            <w:vAlign w:val="bottom"/>
          </w:tcPr>
          <w:p w14:paraId="7A504A1D" w14:textId="3D628EFA" w:rsidR="00DE7C0C" w:rsidRPr="00DE7C0C" w:rsidRDefault="7D9F8C2A" w:rsidP="005D59FA">
            <w:pPr>
              <w:jc w:val="right"/>
              <w:rPr>
                <w:rFonts w:asciiTheme="minorHAnsi" w:hAnsiTheme="minorHAnsi" w:cstheme="minorBidi"/>
                <w:b/>
                <w:sz w:val="20"/>
                <w:szCs w:val="20"/>
                <w:highlight w:val="yellow"/>
              </w:rPr>
            </w:pPr>
            <w:r w:rsidRPr="3C57516D">
              <w:rPr>
                <w:rFonts w:asciiTheme="minorHAnsi" w:hAnsiTheme="minorHAnsi" w:cstheme="minorBidi"/>
                <w:b/>
                <w:bCs/>
                <w:sz w:val="20"/>
                <w:szCs w:val="20"/>
              </w:rPr>
              <w:t>2.4</w:t>
            </w:r>
          </w:p>
        </w:tc>
        <w:tc>
          <w:tcPr>
            <w:tcW w:w="1250" w:type="dxa"/>
            <w:vAlign w:val="bottom"/>
          </w:tcPr>
          <w:p w14:paraId="75383677" w14:textId="49126C32" w:rsidR="00DE7C0C" w:rsidRPr="006D4208" w:rsidRDefault="005D298F" w:rsidP="005D59FA">
            <w:pPr>
              <w:jc w:val="right"/>
              <w:rPr>
                <w:rFonts w:asciiTheme="minorHAnsi" w:hAnsiTheme="minorHAnsi" w:cstheme="minorHAnsi"/>
                <w:sz w:val="20"/>
                <w:szCs w:val="20"/>
              </w:rPr>
            </w:pPr>
            <w:r>
              <w:rPr>
                <w:rFonts w:asciiTheme="minorHAnsi" w:hAnsiTheme="minorHAnsi" w:cstheme="minorHAnsi"/>
                <w:sz w:val="20"/>
                <w:szCs w:val="20"/>
              </w:rPr>
              <w:t>3.7</w:t>
            </w:r>
          </w:p>
        </w:tc>
      </w:tr>
      <w:tr w:rsidR="3C57516D" w14:paraId="7DB6EC26" w14:textId="77777777" w:rsidTr="3C57516D">
        <w:trPr>
          <w:trHeight w:val="300"/>
        </w:trPr>
        <w:tc>
          <w:tcPr>
            <w:tcW w:w="7486" w:type="dxa"/>
            <w:vAlign w:val="bottom"/>
          </w:tcPr>
          <w:p w14:paraId="7A0BA1D9" w14:textId="252988BA" w:rsidR="1A64B500" w:rsidRDefault="1A64B500" w:rsidP="002725AC">
            <w:pPr>
              <w:pStyle w:val="ListParagraph"/>
              <w:spacing w:line="259" w:lineRule="auto"/>
              <w:ind w:left="0"/>
              <w:rPr>
                <w:rFonts w:asciiTheme="minorHAnsi" w:hAnsiTheme="minorHAnsi" w:cstheme="minorBidi"/>
                <w:sz w:val="20"/>
                <w:szCs w:val="20"/>
              </w:rPr>
            </w:pPr>
            <w:r w:rsidRPr="3C57516D">
              <w:rPr>
                <w:rFonts w:asciiTheme="minorHAnsi" w:hAnsiTheme="minorHAnsi" w:cstheme="minorBidi"/>
                <w:sz w:val="20"/>
                <w:szCs w:val="20"/>
              </w:rPr>
              <w:t>– additions of ROU assets</w:t>
            </w:r>
          </w:p>
        </w:tc>
        <w:tc>
          <w:tcPr>
            <w:tcW w:w="1187" w:type="dxa"/>
            <w:shd w:val="clear" w:color="auto" w:fill="F2F2F2" w:themeFill="background1" w:themeFillShade="F2"/>
            <w:vAlign w:val="bottom"/>
          </w:tcPr>
          <w:p w14:paraId="310AA246" w14:textId="66207C82" w:rsidR="1A64B500" w:rsidRDefault="1A64B500" w:rsidP="3C57516D">
            <w:pPr>
              <w:jc w:val="right"/>
              <w:rPr>
                <w:rFonts w:asciiTheme="minorHAnsi" w:hAnsiTheme="minorHAnsi" w:cstheme="minorBidi"/>
                <w:b/>
                <w:bCs/>
                <w:sz w:val="20"/>
                <w:szCs w:val="20"/>
              </w:rPr>
            </w:pPr>
            <w:r w:rsidRPr="3C57516D">
              <w:rPr>
                <w:rFonts w:asciiTheme="minorHAnsi" w:hAnsiTheme="minorHAnsi" w:cstheme="minorBidi"/>
                <w:b/>
                <w:bCs/>
                <w:sz w:val="20"/>
                <w:szCs w:val="20"/>
              </w:rPr>
              <w:t>1.2</w:t>
            </w:r>
          </w:p>
        </w:tc>
        <w:tc>
          <w:tcPr>
            <w:tcW w:w="1250" w:type="dxa"/>
            <w:vAlign w:val="bottom"/>
          </w:tcPr>
          <w:p w14:paraId="73FD9069" w14:textId="685F16C9" w:rsidR="1A64B500" w:rsidRDefault="1A64B500" w:rsidP="3C57516D">
            <w:pPr>
              <w:jc w:val="right"/>
              <w:rPr>
                <w:rFonts w:asciiTheme="minorHAnsi" w:hAnsiTheme="minorHAnsi" w:cstheme="minorBidi"/>
                <w:sz w:val="20"/>
                <w:szCs w:val="20"/>
              </w:rPr>
            </w:pPr>
            <w:r w:rsidRPr="3C57516D">
              <w:rPr>
                <w:rFonts w:asciiTheme="minorHAnsi" w:hAnsiTheme="minorHAnsi" w:cstheme="minorBidi"/>
                <w:sz w:val="20"/>
                <w:szCs w:val="20"/>
              </w:rPr>
              <w:t>-</w:t>
            </w:r>
          </w:p>
        </w:tc>
      </w:tr>
      <w:tr w:rsidR="00DE7C0C" w:rsidRPr="00B97C61" w14:paraId="08CC3B54" w14:textId="77777777" w:rsidTr="005D59FA">
        <w:tc>
          <w:tcPr>
            <w:tcW w:w="7486" w:type="dxa"/>
            <w:vAlign w:val="bottom"/>
          </w:tcPr>
          <w:p w14:paraId="58B36051" w14:textId="77777777" w:rsidR="00DE7C0C" w:rsidRPr="00B97C61" w:rsidRDefault="00DE7C0C" w:rsidP="005D59FA">
            <w:pPr>
              <w:rPr>
                <w:rFonts w:asciiTheme="minorHAnsi" w:hAnsiTheme="minorHAnsi" w:cstheme="minorHAnsi"/>
                <w:sz w:val="20"/>
                <w:szCs w:val="20"/>
              </w:rPr>
            </w:pPr>
            <w:r w:rsidRPr="00B97C61">
              <w:rPr>
                <w:rFonts w:asciiTheme="minorHAnsi" w:hAnsiTheme="minorHAnsi" w:cstheme="minorHAnsi"/>
                <w:sz w:val="20"/>
                <w:szCs w:val="20"/>
              </w:rPr>
              <w:t>– provisions created in the year</w:t>
            </w:r>
          </w:p>
        </w:tc>
        <w:tc>
          <w:tcPr>
            <w:tcW w:w="1187" w:type="dxa"/>
            <w:shd w:val="clear" w:color="auto" w:fill="F2F2F2" w:themeFill="background1" w:themeFillShade="F2"/>
            <w:vAlign w:val="bottom"/>
          </w:tcPr>
          <w:p w14:paraId="7482E162" w14:textId="0913D6B4" w:rsidR="00DE7C0C" w:rsidRPr="00DE7C0C" w:rsidRDefault="00AB6CC0" w:rsidP="005D59FA">
            <w:pPr>
              <w:jc w:val="right"/>
              <w:rPr>
                <w:rFonts w:asciiTheme="minorHAnsi" w:hAnsiTheme="minorHAnsi" w:cstheme="minorHAnsi"/>
                <w:b/>
                <w:sz w:val="20"/>
                <w:szCs w:val="20"/>
                <w:highlight w:val="yellow"/>
              </w:rPr>
            </w:pPr>
            <w:r w:rsidRPr="00D37975">
              <w:rPr>
                <w:rFonts w:asciiTheme="minorHAnsi" w:hAnsiTheme="minorHAnsi" w:cstheme="minorHAnsi"/>
                <w:b/>
                <w:sz w:val="20"/>
                <w:szCs w:val="20"/>
              </w:rPr>
              <w:t>1</w:t>
            </w:r>
            <w:r w:rsidR="00116987">
              <w:rPr>
                <w:rFonts w:asciiTheme="minorHAnsi" w:hAnsiTheme="minorHAnsi" w:cstheme="minorHAnsi"/>
                <w:b/>
                <w:sz w:val="20"/>
                <w:szCs w:val="20"/>
              </w:rPr>
              <w:t>7</w:t>
            </w:r>
            <w:r w:rsidRPr="00D37975">
              <w:rPr>
                <w:rFonts w:asciiTheme="minorHAnsi" w:hAnsiTheme="minorHAnsi" w:cstheme="minorHAnsi"/>
                <w:b/>
                <w:sz w:val="20"/>
                <w:szCs w:val="20"/>
              </w:rPr>
              <w:t>.1</w:t>
            </w:r>
          </w:p>
        </w:tc>
        <w:tc>
          <w:tcPr>
            <w:tcW w:w="1250" w:type="dxa"/>
            <w:vAlign w:val="bottom"/>
          </w:tcPr>
          <w:p w14:paraId="5C0D6443" w14:textId="598FBF6B" w:rsidR="00DE7C0C" w:rsidRPr="006D4208" w:rsidRDefault="00063D11" w:rsidP="005D59FA">
            <w:pPr>
              <w:jc w:val="right"/>
              <w:rPr>
                <w:rFonts w:asciiTheme="minorHAnsi" w:hAnsiTheme="minorHAnsi" w:cstheme="minorHAnsi"/>
                <w:sz w:val="20"/>
                <w:szCs w:val="20"/>
              </w:rPr>
            </w:pPr>
            <w:r w:rsidRPr="006D4208">
              <w:rPr>
                <w:rFonts w:asciiTheme="minorHAnsi" w:hAnsiTheme="minorHAnsi" w:cstheme="minorHAnsi"/>
                <w:sz w:val="20"/>
                <w:szCs w:val="20"/>
              </w:rPr>
              <w:t>4.9</w:t>
            </w:r>
          </w:p>
        </w:tc>
      </w:tr>
      <w:tr w:rsidR="00DE7C0C" w:rsidRPr="00B97C61" w14:paraId="7CCC03E6" w14:textId="77777777" w:rsidTr="005D59FA">
        <w:tc>
          <w:tcPr>
            <w:tcW w:w="7486" w:type="dxa"/>
            <w:vAlign w:val="bottom"/>
          </w:tcPr>
          <w:p w14:paraId="1E0CC8F4" w14:textId="77777777" w:rsidR="00DE7C0C" w:rsidRPr="00B97C61" w:rsidRDefault="00DE7C0C" w:rsidP="005D59FA">
            <w:pPr>
              <w:rPr>
                <w:rFonts w:asciiTheme="minorHAnsi" w:hAnsiTheme="minorHAnsi" w:cstheme="minorHAnsi"/>
                <w:sz w:val="20"/>
                <w:szCs w:val="20"/>
              </w:rPr>
            </w:pPr>
            <w:r w:rsidRPr="00B97C61">
              <w:rPr>
                <w:rFonts w:asciiTheme="minorHAnsi" w:hAnsiTheme="minorHAnsi" w:cstheme="minorHAnsi"/>
                <w:sz w:val="20"/>
                <w:szCs w:val="20"/>
              </w:rPr>
              <w:t>– provisions released in the year</w:t>
            </w:r>
          </w:p>
        </w:tc>
        <w:tc>
          <w:tcPr>
            <w:tcW w:w="1187" w:type="dxa"/>
            <w:shd w:val="clear" w:color="auto" w:fill="F2F2F2" w:themeFill="background1" w:themeFillShade="F2"/>
            <w:vAlign w:val="bottom"/>
          </w:tcPr>
          <w:p w14:paraId="6B85FE66" w14:textId="34E6608A" w:rsidR="00DE7C0C" w:rsidRPr="00DE7C0C" w:rsidRDefault="00DE7C0C" w:rsidP="005D59FA">
            <w:pPr>
              <w:jc w:val="right"/>
              <w:rPr>
                <w:rFonts w:asciiTheme="minorHAnsi" w:hAnsiTheme="minorHAnsi" w:cstheme="minorHAnsi"/>
                <w:b/>
                <w:sz w:val="20"/>
                <w:szCs w:val="20"/>
                <w:highlight w:val="yellow"/>
              </w:rPr>
            </w:pPr>
            <w:r w:rsidRPr="0003562F">
              <w:rPr>
                <w:rFonts w:asciiTheme="minorHAnsi" w:hAnsiTheme="minorHAnsi" w:cstheme="minorHAnsi"/>
                <w:b/>
                <w:sz w:val="20"/>
                <w:szCs w:val="20"/>
              </w:rPr>
              <w:t>(</w:t>
            </w:r>
            <w:r w:rsidR="0003562F" w:rsidRPr="0003562F">
              <w:rPr>
                <w:rFonts w:asciiTheme="minorHAnsi" w:hAnsiTheme="minorHAnsi" w:cstheme="minorHAnsi"/>
                <w:b/>
                <w:sz w:val="20"/>
                <w:szCs w:val="20"/>
              </w:rPr>
              <w:t>0.2</w:t>
            </w:r>
            <w:r w:rsidRPr="0003562F">
              <w:rPr>
                <w:rFonts w:asciiTheme="minorHAnsi" w:hAnsiTheme="minorHAnsi" w:cstheme="minorHAnsi"/>
                <w:b/>
                <w:sz w:val="20"/>
                <w:szCs w:val="20"/>
              </w:rPr>
              <w:t>)</w:t>
            </w:r>
          </w:p>
        </w:tc>
        <w:tc>
          <w:tcPr>
            <w:tcW w:w="1250" w:type="dxa"/>
            <w:vAlign w:val="bottom"/>
          </w:tcPr>
          <w:p w14:paraId="0E7D6D05" w14:textId="1AC2C277" w:rsidR="00DE7C0C" w:rsidRPr="006D4208" w:rsidRDefault="00C62CCC" w:rsidP="005D59FA">
            <w:pPr>
              <w:jc w:val="right"/>
              <w:rPr>
                <w:rFonts w:asciiTheme="minorHAnsi" w:hAnsiTheme="minorHAnsi" w:cstheme="minorHAnsi"/>
                <w:sz w:val="20"/>
                <w:szCs w:val="20"/>
              </w:rPr>
            </w:pPr>
            <w:r w:rsidRPr="006D4208">
              <w:rPr>
                <w:rFonts w:asciiTheme="minorHAnsi" w:hAnsiTheme="minorHAnsi" w:cstheme="minorHAnsi"/>
                <w:sz w:val="20"/>
                <w:szCs w:val="20"/>
              </w:rPr>
              <w:t>-</w:t>
            </w:r>
          </w:p>
        </w:tc>
      </w:tr>
      <w:tr w:rsidR="00DE7C0C" w:rsidRPr="00B97C61" w14:paraId="48EB1F62" w14:textId="77777777" w:rsidTr="005D59FA">
        <w:tc>
          <w:tcPr>
            <w:tcW w:w="7486" w:type="dxa"/>
            <w:vAlign w:val="bottom"/>
          </w:tcPr>
          <w:p w14:paraId="39BE7967" w14:textId="77777777" w:rsidR="00DE7C0C" w:rsidRPr="00B97C61" w:rsidRDefault="00DE7C0C" w:rsidP="005D59FA">
            <w:pPr>
              <w:rPr>
                <w:rFonts w:asciiTheme="minorHAnsi" w:hAnsiTheme="minorHAnsi" w:cstheme="minorHAnsi"/>
                <w:sz w:val="20"/>
                <w:szCs w:val="20"/>
              </w:rPr>
            </w:pPr>
            <w:r w:rsidRPr="00B97C61">
              <w:rPr>
                <w:rFonts w:asciiTheme="minorHAnsi" w:hAnsiTheme="minorHAnsi" w:cstheme="minorHAnsi"/>
                <w:sz w:val="20"/>
                <w:szCs w:val="20"/>
              </w:rPr>
              <w:t>– exceptional release of provisions</w:t>
            </w:r>
          </w:p>
        </w:tc>
        <w:tc>
          <w:tcPr>
            <w:tcW w:w="1187" w:type="dxa"/>
            <w:shd w:val="clear" w:color="auto" w:fill="F2F2F2" w:themeFill="background1" w:themeFillShade="F2"/>
            <w:vAlign w:val="bottom"/>
          </w:tcPr>
          <w:p w14:paraId="5B443F28" w14:textId="0D5EE51B" w:rsidR="00DE7C0C" w:rsidRPr="00DE7C0C" w:rsidRDefault="00DE7C0C" w:rsidP="005D59FA">
            <w:pPr>
              <w:jc w:val="right"/>
              <w:rPr>
                <w:rFonts w:asciiTheme="minorHAnsi" w:hAnsiTheme="minorHAnsi" w:cstheme="minorHAnsi"/>
                <w:b/>
                <w:sz w:val="20"/>
                <w:szCs w:val="20"/>
                <w:highlight w:val="yellow"/>
              </w:rPr>
            </w:pPr>
            <w:r w:rsidRPr="0003562F">
              <w:rPr>
                <w:rFonts w:asciiTheme="minorHAnsi" w:hAnsiTheme="minorHAnsi" w:cstheme="minorHAnsi"/>
                <w:b/>
                <w:sz w:val="20"/>
                <w:szCs w:val="20"/>
              </w:rPr>
              <w:t>(</w:t>
            </w:r>
            <w:r w:rsidR="0003562F" w:rsidRPr="0003562F">
              <w:rPr>
                <w:rFonts w:asciiTheme="minorHAnsi" w:hAnsiTheme="minorHAnsi" w:cstheme="minorHAnsi"/>
                <w:b/>
                <w:sz w:val="20"/>
                <w:szCs w:val="20"/>
              </w:rPr>
              <w:t>1.0</w:t>
            </w:r>
            <w:r w:rsidRPr="0003562F">
              <w:rPr>
                <w:rFonts w:asciiTheme="minorHAnsi" w:hAnsiTheme="minorHAnsi" w:cstheme="minorHAnsi"/>
                <w:b/>
                <w:sz w:val="20"/>
                <w:szCs w:val="20"/>
              </w:rPr>
              <w:t>)</w:t>
            </w:r>
          </w:p>
        </w:tc>
        <w:tc>
          <w:tcPr>
            <w:tcW w:w="1250" w:type="dxa"/>
            <w:vAlign w:val="bottom"/>
          </w:tcPr>
          <w:p w14:paraId="6437BA18" w14:textId="718C563E" w:rsidR="00DE7C0C" w:rsidRPr="006D4208" w:rsidRDefault="00C62CCC" w:rsidP="005D59FA">
            <w:pPr>
              <w:jc w:val="right"/>
              <w:rPr>
                <w:rFonts w:asciiTheme="minorHAnsi" w:hAnsiTheme="minorHAnsi" w:cstheme="minorHAnsi"/>
                <w:sz w:val="20"/>
                <w:szCs w:val="20"/>
              </w:rPr>
            </w:pPr>
            <w:r w:rsidRPr="006D4208">
              <w:rPr>
                <w:rFonts w:asciiTheme="minorHAnsi" w:hAnsiTheme="minorHAnsi" w:cstheme="minorHAnsi"/>
                <w:sz w:val="20"/>
                <w:szCs w:val="20"/>
              </w:rPr>
              <w:t>-</w:t>
            </w:r>
          </w:p>
        </w:tc>
      </w:tr>
      <w:tr w:rsidR="00DE7C0C" w:rsidRPr="00B97C61" w14:paraId="3D589E6B" w14:textId="77777777" w:rsidTr="005D59FA">
        <w:tc>
          <w:tcPr>
            <w:tcW w:w="7486" w:type="dxa"/>
            <w:vAlign w:val="bottom"/>
          </w:tcPr>
          <w:p w14:paraId="7F1FC552" w14:textId="77777777" w:rsidR="00DE7C0C" w:rsidRPr="00B97C61" w:rsidRDefault="00DE7C0C" w:rsidP="005D59FA">
            <w:pPr>
              <w:rPr>
                <w:rFonts w:asciiTheme="minorHAnsi" w:hAnsiTheme="minorHAnsi" w:cstheme="minorHAnsi"/>
                <w:sz w:val="20"/>
                <w:szCs w:val="20"/>
              </w:rPr>
            </w:pPr>
            <w:r w:rsidRPr="00B97C61">
              <w:rPr>
                <w:rFonts w:asciiTheme="minorHAnsi" w:hAnsiTheme="minorHAnsi" w:cstheme="minorHAnsi"/>
                <w:sz w:val="20"/>
                <w:szCs w:val="20"/>
              </w:rPr>
              <w:t>– provisions utilised in the year</w:t>
            </w:r>
          </w:p>
        </w:tc>
        <w:tc>
          <w:tcPr>
            <w:tcW w:w="1187" w:type="dxa"/>
            <w:shd w:val="clear" w:color="auto" w:fill="F2F2F2" w:themeFill="background1" w:themeFillShade="F2"/>
            <w:vAlign w:val="bottom"/>
          </w:tcPr>
          <w:p w14:paraId="00E1C903" w14:textId="7E59D337" w:rsidR="00DE7C0C" w:rsidRPr="00DE7C0C" w:rsidRDefault="00DE7C0C" w:rsidP="005D59FA">
            <w:pPr>
              <w:jc w:val="right"/>
              <w:rPr>
                <w:rFonts w:asciiTheme="minorHAnsi" w:hAnsiTheme="minorHAnsi" w:cstheme="minorHAnsi"/>
                <w:b/>
                <w:sz w:val="20"/>
                <w:szCs w:val="20"/>
                <w:highlight w:val="yellow"/>
              </w:rPr>
            </w:pPr>
            <w:r w:rsidRPr="00D13F77">
              <w:rPr>
                <w:rFonts w:asciiTheme="minorHAnsi" w:hAnsiTheme="minorHAnsi" w:cstheme="minorHAnsi"/>
                <w:b/>
                <w:sz w:val="20"/>
                <w:szCs w:val="20"/>
              </w:rPr>
              <w:t>(</w:t>
            </w:r>
            <w:r w:rsidR="00D13F77" w:rsidRPr="00D13F77">
              <w:rPr>
                <w:rFonts w:asciiTheme="minorHAnsi" w:hAnsiTheme="minorHAnsi" w:cstheme="minorHAnsi"/>
                <w:b/>
                <w:sz w:val="20"/>
                <w:szCs w:val="20"/>
              </w:rPr>
              <w:t>5.4</w:t>
            </w:r>
            <w:r w:rsidRPr="00D13F77">
              <w:rPr>
                <w:rFonts w:asciiTheme="minorHAnsi" w:hAnsiTheme="minorHAnsi" w:cstheme="minorHAnsi"/>
                <w:b/>
                <w:sz w:val="20"/>
                <w:szCs w:val="20"/>
              </w:rPr>
              <w:t>)</w:t>
            </w:r>
          </w:p>
        </w:tc>
        <w:tc>
          <w:tcPr>
            <w:tcW w:w="1250" w:type="dxa"/>
            <w:vAlign w:val="bottom"/>
          </w:tcPr>
          <w:p w14:paraId="70E9330E" w14:textId="332F9D61" w:rsidR="00DE7C0C" w:rsidRPr="006D4208" w:rsidRDefault="00DE7C0C" w:rsidP="005D59FA">
            <w:pPr>
              <w:jc w:val="right"/>
              <w:rPr>
                <w:rFonts w:asciiTheme="minorHAnsi" w:hAnsiTheme="minorHAnsi" w:cstheme="minorHAnsi"/>
                <w:sz w:val="20"/>
                <w:szCs w:val="20"/>
              </w:rPr>
            </w:pPr>
            <w:r w:rsidRPr="006D4208">
              <w:rPr>
                <w:rFonts w:asciiTheme="minorHAnsi" w:hAnsiTheme="minorHAnsi" w:cstheme="minorHAnsi"/>
                <w:sz w:val="20"/>
                <w:szCs w:val="20"/>
              </w:rPr>
              <w:t>(</w:t>
            </w:r>
            <w:r w:rsidR="00C62CCC" w:rsidRPr="006D4208">
              <w:rPr>
                <w:rFonts w:asciiTheme="minorHAnsi" w:hAnsiTheme="minorHAnsi" w:cstheme="minorHAnsi"/>
                <w:sz w:val="20"/>
                <w:szCs w:val="20"/>
              </w:rPr>
              <w:t>0.5</w:t>
            </w:r>
            <w:r w:rsidRPr="006D4208">
              <w:rPr>
                <w:rFonts w:asciiTheme="minorHAnsi" w:hAnsiTheme="minorHAnsi" w:cstheme="minorHAnsi"/>
                <w:sz w:val="20"/>
                <w:szCs w:val="20"/>
              </w:rPr>
              <w:t>)</w:t>
            </w:r>
          </w:p>
        </w:tc>
      </w:tr>
      <w:tr w:rsidR="00DE7C0C" w:rsidRPr="00B97C61" w14:paraId="52A0281D" w14:textId="77777777" w:rsidTr="005D59FA">
        <w:tc>
          <w:tcPr>
            <w:tcW w:w="7486" w:type="dxa"/>
            <w:vAlign w:val="bottom"/>
          </w:tcPr>
          <w:p w14:paraId="0BC23755" w14:textId="77777777" w:rsidR="00DE7C0C" w:rsidRPr="00B97C61" w:rsidRDefault="00DE7C0C" w:rsidP="005D59FA">
            <w:pPr>
              <w:rPr>
                <w:rFonts w:asciiTheme="minorHAnsi" w:hAnsiTheme="minorHAnsi" w:cstheme="minorHAnsi"/>
                <w:sz w:val="20"/>
                <w:szCs w:val="20"/>
              </w:rPr>
            </w:pPr>
            <w:r w:rsidRPr="00B97C61">
              <w:rPr>
                <w:rFonts w:asciiTheme="minorHAnsi" w:hAnsiTheme="minorHAnsi" w:cstheme="minorHAnsi"/>
                <w:sz w:val="20"/>
                <w:szCs w:val="20"/>
              </w:rPr>
              <w:t>– depreciation of property, plant and equipment and right of use assets</w:t>
            </w:r>
          </w:p>
        </w:tc>
        <w:tc>
          <w:tcPr>
            <w:tcW w:w="1187" w:type="dxa"/>
            <w:shd w:val="clear" w:color="auto" w:fill="F2F2F2" w:themeFill="background1" w:themeFillShade="F2"/>
            <w:vAlign w:val="bottom"/>
          </w:tcPr>
          <w:p w14:paraId="34D15DCB" w14:textId="59206E9D" w:rsidR="00DE7C0C" w:rsidRPr="00DE7C0C" w:rsidRDefault="32DA3164" w:rsidP="005D59FA">
            <w:pPr>
              <w:jc w:val="right"/>
              <w:rPr>
                <w:rFonts w:asciiTheme="minorHAnsi" w:hAnsiTheme="minorHAnsi" w:cstheme="minorBidi"/>
                <w:b/>
                <w:sz w:val="20"/>
                <w:szCs w:val="20"/>
                <w:highlight w:val="yellow"/>
              </w:rPr>
            </w:pPr>
            <w:r w:rsidRPr="3C57516D">
              <w:rPr>
                <w:rFonts w:asciiTheme="minorHAnsi" w:hAnsiTheme="minorHAnsi" w:cstheme="minorBidi"/>
                <w:b/>
                <w:bCs/>
                <w:sz w:val="20"/>
                <w:szCs w:val="20"/>
              </w:rPr>
              <w:t>8.2</w:t>
            </w:r>
          </w:p>
        </w:tc>
        <w:tc>
          <w:tcPr>
            <w:tcW w:w="1250" w:type="dxa"/>
            <w:vAlign w:val="bottom"/>
          </w:tcPr>
          <w:p w14:paraId="5F080B23" w14:textId="58CBBFA7" w:rsidR="00DE7C0C" w:rsidRPr="006D4208" w:rsidRDefault="00CF1FE3" w:rsidP="005D59FA">
            <w:pPr>
              <w:jc w:val="right"/>
              <w:rPr>
                <w:rFonts w:asciiTheme="minorHAnsi" w:hAnsiTheme="minorHAnsi" w:cstheme="minorHAnsi"/>
                <w:sz w:val="20"/>
                <w:szCs w:val="20"/>
              </w:rPr>
            </w:pPr>
            <w:r>
              <w:rPr>
                <w:rFonts w:asciiTheme="minorHAnsi" w:hAnsiTheme="minorHAnsi" w:cstheme="minorHAnsi"/>
                <w:sz w:val="20"/>
                <w:szCs w:val="20"/>
              </w:rPr>
              <w:t>2.3</w:t>
            </w:r>
          </w:p>
        </w:tc>
      </w:tr>
      <w:tr w:rsidR="00DE7C0C" w:rsidRPr="00B97C61" w14:paraId="401B9840" w14:textId="77777777" w:rsidTr="005D59FA">
        <w:tc>
          <w:tcPr>
            <w:tcW w:w="7486" w:type="dxa"/>
            <w:vAlign w:val="bottom"/>
          </w:tcPr>
          <w:p w14:paraId="652FB7AD" w14:textId="77777777" w:rsidR="00DE7C0C" w:rsidRPr="00B97C61" w:rsidRDefault="00DE7C0C" w:rsidP="005D59FA">
            <w:pPr>
              <w:rPr>
                <w:rFonts w:asciiTheme="minorHAnsi" w:hAnsiTheme="minorHAnsi" w:cstheme="minorHAnsi"/>
                <w:sz w:val="20"/>
                <w:szCs w:val="20"/>
              </w:rPr>
            </w:pPr>
            <w:r w:rsidRPr="00B97C61">
              <w:rPr>
                <w:rFonts w:asciiTheme="minorHAnsi" w:hAnsiTheme="minorHAnsi" w:cstheme="minorHAnsi"/>
                <w:sz w:val="20"/>
                <w:szCs w:val="20"/>
              </w:rPr>
              <w:t>– loss on disposal of property, plant and equipment</w:t>
            </w:r>
          </w:p>
        </w:tc>
        <w:tc>
          <w:tcPr>
            <w:tcW w:w="1187" w:type="dxa"/>
            <w:shd w:val="clear" w:color="auto" w:fill="F2F2F2" w:themeFill="background1" w:themeFillShade="F2"/>
            <w:vAlign w:val="bottom"/>
          </w:tcPr>
          <w:p w14:paraId="72A64B33" w14:textId="68EA9B50" w:rsidR="00DE7C0C" w:rsidRPr="00DE7C0C" w:rsidRDefault="00E73D21" w:rsidP="005D59FA">
            <w:pPr>
              <w:jc w:val="right"/>
              <w:rPr>
                <w:rFonts w:asciiTheme="minorHAnsi" w:hAnsiTheme="minorHAnsi" w:cstheme="minorHAnsi"/>
                <w:b/>
                <w:sz w:val="20"/>
                <w:szCs w:val="20"/>
                <w:highlight w:val="yellow"/>
              </w:rPr>
            </w:pPr>
            <w:r w:rsidRPr="00F20F81">
              <w:rPr>
                <w:rFonts w:asciiTheme="minorHAnsi" w:hAnsiTheme="minorHAnsi" w:cstheme="minorHAnsi"/>
                <w:b/>
                <w:sz w:val="20"/>
                <w:szCs w:val="20"/>
              </w:rPr>
              <w:t>0.1</w:t>
            </w:r>
          </w:p>
        </w:tc>
        <w:tc>
          <w:tcPr>
            <w:tcW w:w="1250" w:type="dxa"/>
            <w:vAlign w:val="bottom"/>
          </w:tcPr>
          <w:p w14:paraId="709FDE2F" w14:textId="5342D302" w:rsidR="00DE7C0C" w:rsidRPr="006D4208" w:rsidRDefault="00E55C5D" w:rsidP="005D59FA">
            <w:pPr>
              <w:jc w:val="right"/>
              <w:rPr>
                <w:rFonts w:asciiTheme="minorHAnsi" w:hAnsiTheme="minorHAnsi" w:cstheme="minorHAnsi"/>
                <w:sz w:val="20"/>
                <w:szCs w:val="20"/>
              </w:rPr>
            </w:pPr>
            <w:r w:rsidRPr="006D4208">
              <w:rPr>
                <w:rFonts w:asciiTheme="minorHAnsi" w:hAnsiTheme="minorHAnsi" w:cstheme="minorHAnsi"/>
                <w:sz w:val="20"/>
                <w:szCs w:val="20"/>
              </w:rPr>
              <w:t>1.8</w:t>
            </w:r>
          </w:p>
        </w:tc>
      </w:tr>
      <w:tr w:rsidR="00BA6D66" w:rsidRPr="00B97C61" w14:paraId="40A2D0CC" w14:textId="77777777" w:rsidTr="005D59FA">
        <w:tc>
          <w:tcPr>
            <w:tcW w:w="7486" w:type="dxa"/>
            <w:vAlign w:val="bottom"/>
          </w:tcPr>
          <w:p w14:paraId="65CC50A1" w14:textId="5A9109B6" w:rsidR="00BA6D66" w:rsidRPr="00B97C61" w:rsidRDefault="00BA6D66" w:rsidP="005D59FA">
            <w:pPr>
              <w:rPr>
                <w:rFonts w:asciiTheme="minorHAnsi" w:hAnsiTheme="minorHAnsi" w:cstheme="minorHAnsi"/>
                <w:sz w:val="20"/>
                <w:szCs w:val="20"/>
              </w:rPr>
            </w:pPr>
            <w:r w:rsidRPr="00BA6D66">
              <w:rPr>
                <w:rFonts w:asciiTheme="minorHAnsi" w:hAnsiTheme="minorHAnsi" w:cstheme="minorHAnsi"/>
                <w:sz w:val="20"/>
                <w:szCs w:val="20"/>
              </w:rPr>
              <w:t>– amortisation of intangible assets</w:t>
            </w:r>
            <w:r w:rsidRPr="00BA6D66">
              <w:rPr>
                <w:rFonts w:asciiTheme="minorHAnsi" w:hAnsiTheme="minorHAnsi" w:cstheme="minorHAnsi"/>
                <w:sz w:val="20"/>
                <w:szCs w:val="20"/>
              </w:rPr>
              <w:tab/>
            </w:r>
          </w:p>
        </w:tc>
        <w:tc>
          <w:tcPr>
            <w:tcW w:w="1187" w:type="dxa"/>
            <w:shd w:val="clear" w:color="auto" w:fill="F2F2F2" w:themeFill="background1" w:themeFillShade="F2"/>
            <w:vAlign w:val="bottom"/>
          </w:tcPr>
          <w:p w14:paraId="6A3E29DF" w14:textId="743AE99D" w:rsidR="00BA6D66" w:rsidRPr="6523FF9E" w:rsidRDefault="00875D40" w:rsidP="005D59FA">
            <w:pPr>
              <w:jc w:val="right"/>
              <w:rPr>
                <w:rFonts w:asciiTheme="minorHAnsi" w:hAnsiTheme="minorHAnsi" w:cstheme="minorBidi"/>
                <w:b/>
                <w:sz w:val="20"/>
                <w:szCs w:val="20"/>
              </w:rPr>
            </w:pPr>
            <w:r>
              <w:rPr>
                <w:rFonts w:asciiTheme="minorHAnsi" w:hAnsiTheme="minorHAnsi" w:cstheme="minorBidi"/>
                <w:b/>
                <w:sz w:val="20"/>
                <w:szCs w:val="20"/>
              </w:rPr>
              <w:t>10.2</w:t>
            </w:r>
          </w:p>
        </w:tc>
        <w:tc>
          <w:tcPr>
            <w:tcW w:w="1250" w:type="dxa"/>
            <w:vAlign w:val="bottom"/>
          </w:tcPr>
          <w:p w14:paraId="6DD933BD" w14:textId="68DEB85E" w:rsidR="00BA6D66" w:rsidRPr="006D4208" w:rsidRDefault="00875D40" w:rsidP="005D59FA">
            <w:pPr>
              <w:jc w:val="right"/>
              <w:rPr>
                <w:rFonts w:asciiTheme="minorHAnsi" w:hAnsiTheme="minorHAnsi" w:cstheme="minorHAnsi"/>
                <w:sz w:val="20"/>
                <w:szCs w:val="20"/>
              </w:rPr>
            </w:pPr>
            <w:r>
              <w:rPr>
                <w:rFonts w:asciiTheme="minorHAnsi" w:hAnsiTheme="minorHAnsi" w:cstheme="minorHAnsi"/>
                <w:sz w:val="20"/>
                <w:szCs w:val="20"/>
              </w:rPr>
              <w:t>8.9</w:t>
            </w:r>
          </w:p>
        </w:tc>
      </w:tr>
      <w:tr w:rsidR="00DE7C0C" w:rsidRPr="00B97C61" w14:paraId="6D16ED9E" w14:textId="77777777" w:rsidTr="005D59FA">
        <w:tc>
          <w:tcPr>
            <w:tcW w:w="7486" w:type="dxa"/>
            <w:vAlign w:val="bottom"/>
          </w:tcPr>
          <w:p w14:paraId="7DACADBB" w14:textId="54F4F064" w:rsidR="00DE7C0C" w:rsidRPr="00B97C61" w:rsidRDefault="00DE7C0C" w:rsidP="005D59FA">
            <w:pPr>
              <w:rPr>
                <w:rFonts w:asciiTheme="minorHAnsi" w:hAnsiTheme="minorHAnsi" w:cstheme="minorHAnsi"/>
                <w:sz w:val="20"/>
                <w:szCs w:val="20"/>
              </w:rPr>
            </w:pPr>
            <w:r w:rsidRPr="00B97C61">
              <w:rPr>
                <w:rFonts w:asciiTheme="minorHAnsi" w:hAnsiTheme="minorHAnsi" w:cstheme="minorHAnsi"/>
                <w:sz w:val="20"/>
                <w:szCs w:val="20"/>
              </w:rPr>
              <w:t xml:space="preserve">– </w:t>
            </w:r>
            <w:r w:rsidR="00B91EEF">
              <w:rPr>
                <w:rFonts w:asciiTheme="minorHAnsi" w:hAnsiTheme="minorHAnsi" w:cstheme="minorHAnsi"/>
                <w:sz w:val="20"/>
                <w:szCs w:val="20"/>
              </w:rPr>
              <w:t>impairment</w:t>
            </w:r>
            <w:r w:rsidRPr="00B97C61">
              <w:rPr>
                <w:rFonts w:asciiTheme="minorHAnsi" w:hAnsiTheme="minorHAnsi" w:cstheme="minorHAnsi"/>
                <w:sz w:val="20"/>
                <w:szCs w:val="20"/>
              </w:rPr>
              <w:t xml:space="preserve"> of intangible assets</w:t>
            </w:r>
          </w:p>
        </w:tc>
        <w:tc>
          <w:tcPr>
            <w:tcW w:w="1187" w:type="dxa"/>
            <w:shd w:val="clear" w:color="auto" w:fill="F2F2F2" w:themeFill="background1" w:themeFillShade="F2"/>
            <w:vAlign w:val="bottom"/>
          </w:tcPr>
          <w:p w14:paraId="6491E102" w14:textId="53B6FDD9" w:rsidR="00DE7C0C" w:rsidRPr="00DE7C0C" w:rsidRDefault="00521E83" w:rsidP="005D59FA">
            <w:pPr>
              <w:jc w:val="right"/>
              <w:rPr>
                <w:rFonts w:asciiTheme="minorHAnsi" w:hAnsiTheme="minorHAnsi" w:cstheme="minorBidi"/>
                <w:b/>
                <w:sz w:val="20"/>
                <w:szCs w:val="20"/>
                <w:highlight w:val="yellow"/>
              </w:rPr>
            </w:pPr>
            <w:r w:rsidRPr="6523FF9E">
              <w:rPr>
                <w:rFonts w:asciiTheme="minorHAnsi" w:hAnsiTheme="minorHAnsi" w:cstheme="minorBidi"/>
                <w:b/>
                <w:sz w:val="20"/>
                <w:szCs w:val="20"/>
              </w:rPr>
              <w:t>8.</w:t>
            </w:r>
            <w:r w:rsidR="03FBA848" w:rsidRPr="6523FF9E">
              <w:rPr>
                <w:rFonts w:asciiTheme="minorHAnsi" w:hAnsiTheme="minorHAnsi" w:cstheme="minorBidi"/>
                <w:b/>
                <w:bCs/>
                <w:sz w:val="20"/>
                <w:szCs w:val="20"/>
              </w:rPr>
              <w:t>5</w:t>
            </w:r>
          </w:p>
        </w:tc>
        <w:tc>
          <w:tcPr>
            <w:tcW w:w="1250" w:type="dxa"/>
            <w:vAlign w:val="bottom"/>
          </w:tcPr>
          <w:p w14:paraId="4B71F027" w14:textId="0DEAEE84" w:rsidR="00DE7C0C" w:rsidRPr="006D4208" w:rsidRDefault="00DE7C0C" w:rsidP="005D59FA">
            <w:pPr>
              <w:jc w:val="right"/>
              <w:rPr>
                <w:rFonts w:asciiTheme="minorHAnsi" w:hAnsiTheme="minorHAnsi" w:cstheme="minorHAnsi"/>
                <w:sz w:val="20"/>
                <w:szCs w:val="20"/>
              </w:rPr>
            </w:pPr>
            <w:r w:rsidRPr="006D4208">
              <w:rPr>
                <w:rFonts w:asciiTheme="minorHAnsi" w:hAnsiTheme="minorHAnsi" w:cstheme="minorHAnsi"/>
                <w:sz w:val="20"/>
                <w:szCs w:val="20"/>
              </w:rPr>
              <w:t xml:space="preserve">               </w:t>
            </w:r>
            <w:r w:rsidR="00E55C5D" w:rsidRPr="006D4208">
              <w:rPr>
                <w:rFonts w:asciiTheme="minorHAnsi" w:hAnsiTheme="minorHAnsi" w:cstheme="minorHAnsi"/>
                <w:sz w:val="20"/>
                <w:szCs w:val="20"/>
              </w:rPr>
              <w:t>0.4</w:t>
            </w:r>
          </w:p>
        </w:tc>
      </w:tr>
      <w:tr w:rsidR="00DE7C0C" w:rsidRPr="00B97C61" w14:paraId="47DA706A" w14:textId="77777777" w:rsidTr="005D59FA">
        <w:tc>
          <w:tcPr>
            <w:tcW w:w="7486" w:type="dxa"/>
            <w:vAlign w:val="bottom"/>
          </w:tcPr>
          <w:p w14:paraId="23A6C45B" w14:textId="32001960" w:rsidR="00DE7C0C" w:rsidRPr="00B97C61" w:rsidRDefault="00DE7C0C" w:rsidP="005D59FA">
            <w:pPr>
              <w:rPr>
                <w:rFonts w:asciiTheme="minorHAnsi" w:hAnsiTheme="minorHAnsi" w:cstheme="minorHAnsi"/>
                <w:sz w:val="20"/>
                <w:szCs w:val="20"/>
              </w:rPr>
            </w:pPr>
            <w:r w:rsidRPr="00B97C61">
              <w:rPr>
                <w:rFonts w:asciiTheme="minorHAnsi" w:hAnsiTheme="minorHAnsi" w:cstheme="minorHAnsi"/>
                <w:sz w:val="20"/>
                <w:szCs w:val="20"/>
              </w:rPr>
              <w:t xml:space="preserve">– </w:t>
            </w:r>
            <w:r w:rsidR="00D943B3">
              <w:rPr>
                <w:rFonts w:asciiTheme="minorHAnsi" w:hAnsiTheme="minorHAnsi" w:cstheme="minorHAnsi"/>
                <w:sz w:val="20"/>
                <w:szCs w:val="20"/>
              </w:rPr>
              <w:t>derivative financial instruments</w:t>
            </w:r>
          </w:p>
        </w:tc>
        <w:tc>
          <w:tcPr>
            <w:tcW w:w="1187" w:type="dxa"/>
            <w:shd w:val="clear" w:color="auto" w:fill="F2F2F2" w:themeFill="background1" w:themeFillShade="F2"/>
            <w:vAlign w:val="bottom"/>
          </w:tcPr>
          <w:p w14:paraId="4FC79792" w14:textId="46A9A8FF" w:rsidR="00DE7C0C" w:rsidRPr="00DE7C0C" w:rsidRDefault="000047AB" w:rsidP="005D59FA">
            <w:pPr>
              <w:jc w:val="right"/>
              <w:rPr>
                <w:rFonts w:asciiTheme="minorHAnsi" w:hAnsiTheme="minorHAnsi" w:cstheme="minorHAnsi"/>
                <w:b/>
                <w:sz w:val="20"/>
                <w:szCs w:val="20"/>
                <w:highlight w:val="yellow"/>
              </w:rPr>
            </w:pPr>
            <w:r w:rsidRPr="00D943B3">
              <w:rPr>
                <w:rFonts w:asciiTheme="minorHAnsi" w:hAnsiTheme="minorHAnsi" w:cstheme="minorHAnsi"/>
                <w:b/>
                <w:sz w:val="20"/>
                <w:szCs w:val="20"/>
              </w:rPr>
              <w:t>8.8</w:t>
            </w:r>
          </w:p>
        </w:tc>
        <w:tc>
          <w:tcPr>
            <w:tcW w:w="1250" w:type="dxa"/>
            <w:vAlign w:val="bottom"/>
          </w:tcPr>
          <w:p w14:paraId="370EA4F1" w14:textId="29A012D0" w:rsidR="00DE7C0C" w:rsidRPr="006D4208" w:rsidRDefault="000047AB" w:rsidP="005D59FA">
            <w:pPr>
              <w:jc w:val="right"/>
              <w:rPr>
                <w:rFonts w:asciiTheme="minorHAnsi" w:hAnsiTheme="minorHAnsi" w:cstheme="minorHAnsi"/>
                <w:sz w:val="20"/>
                <w:szCs w:val="20"/>
              </w:rPr>
            </w:pPr>
            <w:r>
              <w:rPr>
                <w:rFonts w:asciiTheme="minorHAnsi" w:hAnsiTheme="minorHAnsi" w:cstheme="minorHAnsi"/>
                <w:sz w:val="20"/>
                <w:szCs w:val="20"/>
              </w:rPr>
              <w:t>3.5</w:t>
            </w:r>
          </w:p>
        </w:tc>
      </w:tr>
      <w:tr w:rsidR="00DE7C0C" w:rsidRPr="00B97C61" w14:paraId="64267A80" w14:textId="77777777" w:rsidTr="005D59FA">
        <w:tc>
          <w:tcPr>
            <w:tcW w:w="7486" w:type="dxa"/>
            <w:vAlign w:val="bottom"/>
          </w:tcPr>
          <w:p w14:paraId="22177B8F" w14:textId="77777777" w:rsidR="00DE7C0C" w:rsidRPr="00B97C61" w:rsidRDefault="00DE7C0C" w:rsidP="005D59FA">
            <w:pPr>
              <w:rPr>
                <w:rFonts w:asciiTheme="minorHAnsi" w:hAnsiTheme="minorHAnsi" w:cstheme="minorHAnsi"/>
                <w:sz w:val="20"/>
                <w:szCs w:val="20"/>
              </w:rPr>
            </w:pPr>
            <w:r w:rsidRPr="00B97C61">
              <w:rPr>
                <w:rFonts w:asciiTheme="minorHAnsi" w:hAnsiTheme="minorHAnsi" w:cstheme="minorHAnsi"/>
                <w:sz w:val="20"/>
                <w:szCs w:val="20"/>
              </w:rPr>
              <w:t>– proceeds from derivatives</w:t>
            </w:r>
          </w:p>
        </w:tc>
        <w:tc>
          <w:tcPr>
            <w:tcW w:w="1187" w:type="dxa"/>
            <w:shd w:val="clear" w:color="auto" w:fill="F2F2F2" w:themeFill="background1" w:themeFillShade="F2"/>
            <w:vAlign w:val="bottom"/>
          </w:tcPr>
          <w:p w14:paraId="79EBE9BF" w14:textId="5BC1B6D9" w:rsidR="00DE7C0C" w:rsidRPr="00DE7C0C" w:rsidRDefault="00DE7C0C" w:rsidP="005D59FA">
            <w:pPr>
              <w:jc w:val="right"/>
              <w:rPr>
                <w:rFonts w:asciiTheme="minorHAnsi" w:hAnsiTheme="minorHAnsi" w:cstheme="minorHAnsi"/>
                <w:b/>
                <w:sz w:val="20"/>
                <w:szCs w:val="20"/>
                <w:highlight w:val="yellow"/>
              </w:rPr>
            </w:pPr>
            <w:r w:rsidRPr="007D2DB4">
              <w:rPr>
                <w:rFonts w:asciiTheme="minorHAnsi" w:hAnsiTheme="minorHAnsi" w:cstheme="minorHAnsi"/>
                <w:b/>
                <w:sz w:val="20"/>
                <w:szCs w:val="20"/>
              </w:rPr>
              <w:t>-</w:t>
            </w:r>
          </w:p>
        </w:tc>
        <w:tc>
          <w:tcPr>
            <w:tcW w:w="1250" w:type="dxa"/>
            <w:vAlign w:val="bottom"/>
          </w:tcPr>
          <w:p w14:paraId="6A734B8E" w14:textId="5145653C" w:rsidR="00DE7C0C" w:rsidRPr="006D4208" w:rsidRDefault="003D1B8B" w:rsidP="005D59FA">
            <w:pPr>
              <w:jc w:val="right"/>
              <w:rPr>
                <w:rFonts w:asciiTheme="minorHAnsi" w:hAnsiTheme="minorHAnsi" w:cstheme="minorHAnsi"/>
                <w:sz w:val="20"/>
                <w:szCs w:val="20"/>
              </w:rPr>
            </w:pPr>
            <w:r w:rsidRPr="006D4208">
              <w:rPr>
                <w:rFonts w:asciiTheme="minorHAnsi" w:hAnsiTheme="minorHAnsi" w:cstheme="minorHAnsi"/>
                <w:sz w:val="20"/>
                <w:szCs w:val="20"/>
              </w:rPr>
              <w:t>6.2</w:t>
            </w:r>
          </w:p>
        </w:tc>
      </w:tr>
      <w:tr w:rsidR="00DE7C0C" w:rsidRPr="00B97C61" w14:paraId="5339A719" w14:textId="77777777" w:rsidTr="005D59FA">
        <w:tc>
          <w:tcPr>
            <w:tcW w:w="7486" w:type="dxa"/>
            <w:vAlign w:val="bottom"/>
          </w:tcPr>
          <w:p w14:paraId="33365A44" w14:textId="77777777" w:rsidR="00DE7C0C" w:rsidRPr="00B97C61" w:rsidRDefault="00DE7C0C" w:rsidP="005D59FA">
            <w:pPr>
              <w:rPr>
                <w:rFonts w:asciiTheme="minorHAnsi" w:hAnsiTheme="minorHAnsi" w:cstheme="minorHAnsi"/>
                <w:sz w:val="20"/>
                <w:szCs w:val="20"/>
              </w:rPr>
            </w:pPr>
            <w:r w:rsidRPr="00B97C61">
              <w:rPr>
                <w:rFonts w:asciiTheme="minorHAnsi" w:hAnsiTheme="minorHAnsi" w:cstheme="minorHAnsi"/>
                <w:sz w:val="20"/>
                <w:szCs w:val="20"/>
              </w:rPr>
              <w:t>– fair value movements on Visa shares</w:t>
            </w:r>
          </w:p>
        </w:tc>
        <w:tc>
          <w:tcPr>
            <w:tcW w:w="1187" w:type="dxa"/>
            <w:shd w:val="clear" w:color="auto" w:fill="F2F2F2" w:themeFill="background1" w:themeFillShade="F2"/>
            <w:vAlign w:val="bottom"/>
          </w:tcPr>
          <w:p w14:paraId="4731AD68" w14:textId="48CCBED1" w:rsidR="00DE7C0C" w:rsidRPr="00DE7C0C" w:rsidRDefault="00D10BEF" w:rsidP="005D59FA">
            <w:pPr>
              <w:jc w:val="right"/>
              <w:rPr>
                <w:rFonts w:asciiTheme="minorHAnsi" w:hAnsiTheme="minorHAnsi" w:cstheme="minorHAnsi"/>
                <w:b/>
                <w:sz w:val="20"/>
                <w:szCs w:val="20"/>
                <w:highlight w:val="yellow"/>
              </w:rPr>
            </w:pPr>
            <w:r w:rsidRPr="00D10BEF">
              <w:rPr>
                <w:rFonts w:asciiTheme="minorHAnsi" w:hAnsiTheme="minorHAnsi" w:cstheme="minorHAnsi"/>
                <w:b/>
                <w:sz w:val="20"/>
                <w:szCs w:val="20"/>
              </w:rPr>
              <w:t>0.3</w:t>
            </w:r>
          </w:p>
        </w:tc>
        <w:tc>
          <w:tcPr>
            <w:tcW w:w="1250" w:type="dxa"/>
            <w:vAlign w:val="bottom"/>
          </w:tcPr>
          <w:p w14:paraId="57D64C4A" w14:textId="52C5296D" w:rsidR="00DE7C0C" w:rsidRPr="006D4208" w:rsidRDefault="00DE7C0C" w:rsidP="005D59FA">
            <w:pPr>
              <w:jc w:val="right"/>
              <w:rPr>
                <w:rFonts w:asciiTheme="minorHAnsi" w:hAnsiTheme="minorHAnsi" w:cstheme="minorHAnsi"/>
                <w:sz w:val="20"/>
                <w:szCs w:val="20"/>
              </w:rPr>
            </w:pPr>
            <w:r w:rsidRPr="006D4208">
              <w:rPr>
                <w:rFonts w:asciiTheme="minorHAnsi" w:hAnsiTheme="minorHAnsi" w:cstheme="minorHAnsi"/>
                <w:sz w:val="20"/>
                <w:szCs w:val="20"/>
              </w:rPr>
              <w:t>(</w:t>
            </w:r>
            <w:r w:rsidR="0057094E" w:rsidRPr="006D4208">
              <w:rPr>
                <w:rFonts w:asciiTheme="minorHAnsi" w:hAnsiTheme="minorHAnsi" w:cstheme="minorHAnsi"/>
                <w:sz w:val="20"/>
                <w:szCs w:val="20"/>
              </w:rPr>
              <w:t>0.4</w:t>
            </w:r>
            <w:r w:rsidRPr="006D4208">
              <w:rPr>
                <w:rFonts w:asciiTheme="minorHAnsi" w:hAnsiTheme="minorHAnsi" w:cstheme="minorHAnsi"/>
                <w:sz w:val="20"/>
                <w:szCs w:val="20"/>
              </w:rPr>
              <w:t>)</w:t>
            </w:r>
          </w:p>
        </w:tc>
      </w:tr>
      <w:tr w:rsidR="00DE7C0C" w:rsidRPr="00B97C61" w14:paraId="22B6C29F" w14:textId="77777777" w:rsidTr="005D59FA">
        <w:tc>
          <w:tcPr>
            <w:tcW w:w="7486" w:type="dxa"/>
            <w:vAlign w:val="bottom"/>
          </w:tcPr>
          <w:p w14:paraId="65CC395B" w14:textId="77777777" w:rsidR="00DE7C0C" w:rsidRPr="00B97C61" w:rsidRDefault="00DE7C0C" w:rsidP="005D59FA">
            <w:pPr>
              <w:rPr>
                <w:rFonts w:asciiTheme="minorHAnsi" w:hAnsiTheme="minorHAnsi" w:cstheme="minorHAnsi"/>
                <w:sz w:val="20"/>
                <w:szCs w:val="20"/>
              </w:rPr>
            </w:pPr>
            <w:r w:rsidRPr="00B97C61">
              <w:rPr>
                <w:rFonts w:asciiTheme="minorHAnsi" w:hAnsiTheme="minorHAnsi" w:cstheme="minorHAnsi"/>
                <w:sz w:val="20"/>
                <w:szCs w:val="20"/>
              </w:rPr>
              <w:t>– contributions into the retirement benefit scheme</w:t>
            </w:r>
          </w:p>
        </w:tc>
        <w:tc>
          <w:tcPr>
            <w:tcW w:w="1187" w:type="dxa"/>
            <w:shd w:val="clear" w:color="auto" w:fill="F2F2F2" w:themeFill="background1" w:themeFillShade="F2"/>
            <w:vAlign w:val="bottom"/>
          </w:tcPr>
          <w:p w14:paraId="66C138A4" w14:textId="4DC99D9F" w:rsidR="00DE7C0C" w:rsidRPr="00DE7C0C" w:rsidRDefault="00DE7C0C" w:rsidP="005D59FA">
            <w:pPr>
              <w:jc w:val="right"/>
              <w:rPr>
                <w:rFonts w:asciiTheme="minorHAnsi" w:hAnsiTheme="minorHAnsi" w:cstheme="minorHAnsi"/>
                <w:b/>
                <w:sz w:val="20"/>
                <w:szCs w:val="20"/>
                <w:highlight w:val="yellow"/>
              </w:rPr>
            </w:pPr>
            <w:r w:rsidRPr="00BA60BA">
              <w:rPr>
                <w:rFonts w:asciiTheme="minorHAnsi" w:hAnsiTheme="minorHAnsi" w:cstheme="minorHAnsi"/>
                <w:b/>
                <w:sz w:val="20"/>
                <w:szCs w:val="20"/>
              </w:rPr>
              <w:t>(</w:t>
            </w:r>
            <w:r w:rsidR="00BA60BA" w:rsidRPr="00BA60BA">
              <w:rPr>
                <w:rFonts w:asciiTheme="minorHAnsi" w:hAnsiTheme="minorHAnsi" w:cstheme="minorHAnsi"/>
                <w:b/>
                <w:sz w:val="20"/>
                <w:szCs w:val="20"/>
              </w:rPr>
              <w:t>0.4</w:t>
            </w:r>
            <w:r w:rsidRPr="00BA60BA">
              <w:rPr>
                <w:rFonts w:asciiTheme="minorHAnsi" w:hAnsiTheme="minorHAnsi" w:cstheme="minorHAnsi"/>
                <w:b/>
                <w:sz w:val="20"/>
                <w:szCs w:val="20"/>
              </w:rPr>
              <w:t>)</w:t>
            </w:r>
          </w:p>
        </w:tc>
        <w:tc>
          <w:tcPr>
            <w:tcW w:w="1250" w:type="dxa"/>
            <w:vAlign w:val="bottom"/>
          </w:tcPr>
          <w:p w14:paraId="1DA6CA97" w14:textId="0A3C28C3" w:rsidR="00DE7C0C" w:rsidRPr="006D4208" w:rsidRDefault="00DE7C0C" w:rsidP="005D59FA">
            <w:pPr>
              <w:jc w:val="right"/>
              <w:rPr>
                <w:rFonts w:asciiTheme="minorHAnsi" w:hAnsiTheme="minorHAnsi" w:cstheme="minorHAnsi"/>
                <w:sz w:val="20"/>
                <w:szCs w:val="20"/>
              </w:rPr>
            </w:pPr>
            <w:r w:rsidRPr="006D4208">
              <w:rPr>
                <w:rFonts w:asciiTheme="minorHAnsi" w:hAnsiTheme="minorHAnsi" w:cstheme="minorHAnsi"/>
                <w:sz w:val="20"/>
                <w:szCs w:val="20"/>
              </w:rPr>
              <w:t>(</w:t>
            </w:r>
            <w:r w:rsidR="001D2402" w:rsidRPr="006D4208">
              <w:rPr>
                <w:rFonts w:asciiTheme="minorHAnsi" w:hAnsiTheme="minorHAnsi" w:cstheme="minorHAnsi"/>
                <w:sz w:val="20"/>
                <w:szCs w:val="20"/>
              </w:rPr>
              <w:t>0.4</w:t>
            </w:r>
            <w:r w:rsidRPr="006D4208">
              <w:rPr>
                <w:rFonts w:asciiTheme="minorHAnsi" w:hAnsiTheme="minorHAnsi" w:cstheme="minorHAnsi"/>
                <w:sz w:val="20"/>
                <w:szCs w:val="20"/>
              </w:rPr>
              <w:t>)</w:t>
            </w:r>
          </w:p>
        </w:tc>
      </w:tr>
      <w:tr w:rsidR="00DE7C0C" w:rsidRPr="00B97C61" w14:paraId="2705559C" w14:textId="77777777" w:rsidTr="005D59FA">
        <w:tc>
          <w:tcPr>
            <w:tcW w:w="7486" w:type="dxa"/>
            <w:vAlign w:val="bottom"/>
          </w:tcPr>
          <w:p w14:paraId="58551757" w14:textId="77777777" w:rsidR="00DE7C0C" w:rsidRPr="00B97C61" w:rsidRDefault="00DE7C0C" w:rsidP="005D59FA">
            <w:pPr>
              <w:rPr>
                <w:rFonts w:asciiTheme="minorHAnsi" w:hAnsiTheme="minorHAnsi" w:cstheme="minorHAnsi"/>
                <w:sz w:val="20"/>
                <w:szCs w:val="20"/>
              </w:rPr>
            </w:pPr>
            <w:r w:rsidRPr="00B97C61">
              <w:rPr>
                <w:rFonts w:asciiTheme="minorHAnsi" w:hAnsiTheme="minorHAnsi" w:cstheme="minorHAnsi"/>
                <w:sz w:val="20"/>
                <w:szCs w:val="20"/>
              </w:rPr>
              <w:t>Changes in operating assets and liabilities</w:t>
            </w:r>
          </w:p>
        </w:tc>
        <w:tc>
          <w:tcPr>
            <w:tcW w:w="1187" w:type="dxa"/>
            <w:shd w:val="clear" w:color="auto" w:fill="F2F2F2" w:themeFill="background1" w:themeFillShade="F2"/>
            <w:vAlign w:val="bottom"/>
          </w:tcPr>
          <w:p w14:paraId="536D4CAE" w14:textId="77777777" w:rsidR="00DE7C0C" w:rsidRPr="00DE7C0C" w:rsidRDefault="00DE7C0C" w:rsidP="005D59FA">
            <w:pPr>
              <w:jc w:val="right"/>
              <w:rPr>
                <w:rFonts w:asciiTheme="minorHAnsi" w:hAnsiTheme="minorHAnsi" w:cstheme="minorHAnsi"/>
                <w:b/>
                <w:sz w:val="20"/>
                <w:szCs w:val="20"/>
                <w:highlight w:val="yellow"/>
              </w:rPr>
            </w:pPr>
          </w:p>
        </w:tc>
        <w:tc>
          <w:tcPr>
            <w:tcW w:w="1250" w:type="dxa"/>
            <w:vAlign w:val="bottom"/>
          </w:tcPr>
          <w:p w14:paraId="23239484" w14:textId="77777777" w:rsidR="00DE7C0C" w:rsidRPr="006D4208" w:rsidRDefault="00DE7C0C" w:rsidP="005D59FA">
            <w:pPr>
              <w:jc w:val="right"/>
              <w:rPr>
                <w:rFonts w:asciiTheme="minorHAnsi" w:hAnsiTheme="minorHAnsi" w:cstheme="minorHAnsi"/>
                <w:sz w:val="20"/>
                <w:szCs w:val="20"/>
              </w:rPr>
            </w:pPr>
          </w:p>
        </w:tc>
      </w:tr>
      <w:tr w:rsidR="00DE7C0C" w:rsidRPr="00B97C61" w14:paraId="36DB5EBA" w14:textId="77777777" w:rsidTr="005D59FA">
        <w:tc>
          <w:tcPr>
            <w:tcW w:w="7486" w:type="dxa"/>
            <w:vAlign w:val="bottom"/>
          </w:tcPr>
          <w:p w14:paraId="12B20A5B" w14:textId="77777777" w:rsidR="00DE7C0C" w:rsidRPr="00B97C61" w:rsidRDefault="00DE7C0C" w:rsidP="005D59FA">
            <w:pPr>
              <w:rPr>
                <w:rFonts w:asciiTheme="minorHAnsi" w:hAnsiTheme="minorHAnsi" w:cstheme="minorHAnsi"/>
                <w:sz w:val="20"/>
                <w:szCs w:val="20"/>
              </w:rPr>
            </w:pPr>
            <w:r w:rsidRPr="00B97C61">
              <w:rPr>
                <w:rFonts w:asciiTheme="minorHAnsi" w:hAnsiTheme="minorHAnsi" w:cstheme="minorHAnsi"/>
                <w:sz w:val="20"/>
                <w:szCs w:val="20"/>
              </w:rPr>
              <w:t>– amounts receivable from customers</w:t>
            </w:r>
          </w:p>
        </w:tc>
        <w:tc>
          <w:tcPr>
            <w:tcW w:w="1187" w:type="dxa"/>
            <w:shd w:val="clear" w:color="auto" w:fill="F2F2F2" w:themeFill="background1" w:themeFillShade="F2"/>
            <w:vAlign w:val="bottom"/>
          </w:tcPr>
          <w:p w14:paraId="5343FFE0" w14:textId="62FD3B18" w:rsidR="00DE7C0C" w:rsidRPr="00986526" w:rsidRDefault="00D943B3" w:rsidP="005D59FA">
            <w:pPr>
              <w:jc w:val="right"/>
              <w:rPr>
                <w:rFonts w:asciiTheme="minorHAnsi" w:hAnsiTheme="minorHAnsi" w:cstheme="minorHAnsi"/>
                <w:b/>
                <w:sz w:val="20"/>
                <w:szCs w:val="20"/>
              </w:rPr>
            </w:pPr>
            <w:r w:rsidRPr="00986526">
              <w:rPr>
                <w:rFonts w:asciiTheme="minorHAnsi" w:hAnsiTheme="minorHAnsi" w:cstheme="minorHAnsi"/>
                <w:b/>
                <w:sz w:val="20"/>
                <w:szCs w:val="20"/>
              </w:rPr>
              <w:t>148.6</w:t>
            </w:r>
          </w:p>
        </w:tc>
        <w:tc>
          <w:tcPr>
            <w:tcW w:w="1250" w:type="dxa"/>
            <w:vAlign w:val="bottom"/>
          </w:tcPr>
          <w:p w14:paraId="72BC24C4" w14:textId="50A339C5" w:rsidR="00DE7C0C" w:rsidRPr="006D4208" w:rsidRDefault="00DE7C0C" w:rsidP="005D59FA">
            <w:pPr>
              <w:jc w:val="right"/>
              <w:rPr>
                <w:rFonts w:asciiTheme="minorHAnsi" w:hAnsiTheme="minorHAnsi" w:cstheme="minorHAnsi"/>
                <w:sz w:val="20"/>
                <w:szCs w:val="20"/>
              </w:rPr>
            </w:pPr>
            <w:r w:rsidRPr="006D4208">
              <w:rPr>
                <w:rFonts w:asciiTheme="minorHAnsi" w:hAnsiTheme="minorHAnsi" w:cstheme="minorHAnsi"/>
                <w:sz w:val="20"/>
                <w:szCs w:val="20"/>
              </w:rPr>
              <w:t>(</w:t>
            </w:r>
            <w:r w:rsidR="00CB20C0">
              <w:rPr>
                <w:rFonts w:asciiTheme="minorHAnsi" w:hAnsiTheme="minorHAnsi" w:cstheme="minorHAnsi"/>
                <w:sz w:val="20"/>
                <w:szCs w:val="20"/>
              </w:rPr>
              <w:t>19</w:t>
            </w:r>
            <w:r w:rsidR="00DD618A">
              <w:rPr>
                <w:rFonts w:asciiTheme="minorHAnsi" w:hAnsiTheme="minorHAnsi" w:cstheme="minorHAnsi"/>
                <w:sz w:val="20"/>
                <w:szCs w:val="20"/>
              </w:rPr>
              <w:t>6</w:t>
            </w:r>
            <w:r w:rsidR="00CB20C0">
              <w:rPr>
                <w:rFonts w:asciiTheme="minorHAnsi" w:hAnsiTheme="minorHAnsi" w:cstheme="minorHAnsi"/>
                <w:sz w:val="20"/>
                <w:szCs w:val="20"/>
              </w:rPr>
              <w:t>.</w:t>
            </w:r>
            <w:r w:rsidR="00DD618A">
              <w:rPr>
                <w:rFonts w:asciiTheme="minorHAnsi" w:hAnsiTheme="minorHAnsi" w:cstheme="minorHAnsi"/>
                <w:sz w:val="20"/>
                <w:szCs w:val="20"/>
              </w:rPr>
              <w:t>8</w:t>
            </w:r>
            <w:r w:rsidRPr="006D4208">
              <w:rPr>
                <w:rFonts w:asciiTheme="minorHAnsi" w:hAnsiTheme="minorHAnsi" w:cstheme="minorHAnsi"/>
                <w:sz w:val="20"/>
                <w:szCs w:val="20"/>
              </w:rPr>
              <w:t>)</w:t>
            </w:r>
          </w:p>
        </w:tc>
      </w:tr>
      <w:tr w:rsidR="00DE7C0C" w:rsidRPr="00B97C61" w14:paraId="73D07CF6" w14:textId="77777777" w:rsidTr="005D59FA">
        <w:tc>
          <w:tcPr>
            <w:tcW w:w="7486" w:type="dxa"/>
            <w:vAlign w:val="bottom"/>
          </w:tcPr>
          <w:p w14:paraId="18CDD23A" w14:textId="77777777" w:rsidR="00DE7C0C" w:rsidRPr="00B97C61" w:rsidRDefault="00DE7C0C" w:rsidP="005D59FA">
            <w:pPr>
              <w:rPr>
                <w:rFonts w:asciiTheme="minorHAnsi" w:hAnsiTheme="minorHAnsi" w:cstheme="minorHAnsi"/>
                <w:sz w:val="20"/>
                <w:szCs w:val="20"/>
              </w:rPr>
            </w:pPr>
            <w:r w:rsidRPr="00B97C61">
              <w:rPr>
                <w:rFonts w:asciiTheme="minorHAnsi" w:hAnsiTheme="minorHAnsi" w:cstheme="minorHAnsi"/>
                <w:sz w:val="20"/>
                <w:szCs w:val="20"/>
              </w:rPr>
              <w:t>– trade and other receivables</w:t>
            </w:r>
          </w:p>
        </w:tc>
        <w:tc>
          <w:tcPr>
            <w:tcW w:w="1187" w:type="dxa"/>
            <w:shd w:val="clear" w:color="auto" w:fill="F2F2F2" w:themeFill="background1" w:themeFillShade="F2"/>
            <w:vAlign w:val="bottom"/>
          </w:tcPr>
          <w:p w14:paraId="2B06A794" w14:textId="6986FEA3" w:rsidR="00DE7C0C" w:rsidRPr="00986526" w:rsidRDefault="00DE7C0C" w:rsidP="005D59FA">
            <w:pPr>
              <w:jc w:val="right"/>
              <w:rPr>
                <w:rFonts w:asciiTheme="minorHAnsi" w:hAnsiTheme="minorHAnsi" w:cstheme="minorHAnsi"/>
                <w:b/>
                <w:sz w:val="20"/>
                <w:szCs w:val="20"/>
              </w:rPr>
            </w:pPr>
            <w:r w:rsidRPr="00986526">
              <w:rPr>
                <w:rFonts w:asciiTheme="minorHAnsi" w:hAnsiTheme="minorHAnsi" w:cstheme="minorHAnsi"/>
                <w:b/>
                <w:sz w:val="20"/>
                <w:szCs w:val="20"/>
              </w:rPr>
              <w:t>(</w:t>
            </w:r>
            <w:r w:rsidR="00703FB0" w:rsidRPr="00986526">
              <w:rPr>
                <w:rFonts w:asciiTheme="minorHAnsi" w:hAnsiTheme="minorHAnsi" w:cstheme="minorHAnsi"/>
                <w:b/>
                <w:sz w:val="20"/>
                <w:szCs w:val="20"/>
              </w:rPr>
              <w:t>2</w:t>
            </w:r>
            <w:r w:rsidR="005C4DF2">
              <w:rPr>
                <w:rFonts w:asciiTheme="minorHAnsi" w:hAnsiTheme="minorHAnsi" w:cstheme="minorHAnsi"/>
                <w:b/>
                <w:sz w:val="20"/>
                <w:szCs w:val="20"/>
              </w:rPr>
              <w:t>7.5</w:t>
            </w:r>
            <w:r w:rsidRPr="00986526">
              <w:rPr>
                <w:rFonts w:asciiTheme="minorHAnsi" w:hAnsiTheme="minorHAnsi" w:cstheme="minorHAnsi"/>
                <w:b/>
                <w:sz w:val="20"/>
                <w:szCs w:val="20"/>
              </w:rPr>
              <w:t>)</w:t>
            </w:r>
          </w:p>
        </w:tc>
        <w:tc>
          <w:tcPr>
            <w:tcW w:w="1250" w:type="dxa"/>
            <w:vAlign w:val="bottom"/>
          </w:tcPr>
          <w:p w14:paraId="3957AE8F" w14:textId="468B6AC2" w:rsidR="00DE7C0C" w:rsidRPr="006D4208" w:rsidRDefault="00DE7C0C" w:rsidP="005D59FA">
            <w:pPr>
              <w:jc w:val="right"/>
              <w:rPr>
                <w:rFonts w:asciiTheme="minorHAnsi" w:hAnsiTheme="minorHAnsi" w:cstheme="minorHAnsi"/>
                <w:sz w:val="20"/>
                <w:szCs w:val="20"/>
              </w:rPr>
            </w:pPr>
            <w:r w:rsidRPr="006D4208">
              <w:rPr>
                <w:rFonts w:asciiTheme="minorHAnsi" w:hAnsiTheme="minorHAnsi" w:cstheme="minorHAnsi"/>
                <w:sz w:val="20"/>
                <w:szCs w:val="20"/>
              </w:rPr>
              <w:t>(22.</w:t>
            </w:r>
            <w:r w:rsidR="00685126">
              <w:rPr>
                <w:rFonts w:asciiTheme="minorHAnsi" w:hAnsiTheme="minorHAnsi" w:cstheme="minorHAnsi"/>
                <w:sz w:val="20"/>
                <w:szCs w:val="20"/>
              </w:rPr>
              <w:t>2</w:t>
            </w:r>
            <w:r w:rsidRPr="006D4208">
              <w:rPr>
                <w:rFonts w:asciiTheme="minorHAnsi" w:hAnsiTheme="minorHAnsi" w:cstheme="minorHAnsi"/>
                <w:sz w:val="20"/>
                <w:szCs w:val="20"/>
              </w:rPr>
              <w:t>)</w:t>
            </w:r>
          </w:p>
        </w:tc>
      </w:tr>
      <w:tr w:rsidR="00DE7C0C" w:rsidRPr="00B97C61" w14:paraId="43C46F72" w14:textId="77777777" w:rsidTr="005D59FA">
        <w:tc>
          <w:tcPr>
            <w:tcW w:w="7486" w:type="dxa"/>
            <w:vAlign w:val="bottom"/>
          </w:tcPr>
          <w:p w14:paraId="2056E17B" w14:textId="77777777" w:rsidR="00DE7C0C" w:rsidRPr="00B97C61" w:rsidRDefault="00DE7C0C" w:rsidP="005D59FA">
            <w:pPr>
              <w:rPr>
                <w:rFonts w:asciiTheme="minorHAnsi" w:hAnsiTheme="minorHAnsi" w:cstheme="minorHAnsi"/>
                <w:sz w:val="20"/>
                <w:szCs w:val="20"/>
              </w:rPr>
            </w:pPr>
            <w:r w:rsidRPr="00B97C61">
              <w:rPr>
                <w:rFonts w:asciiTheme="minorHAnsi" w:hAnsiTheme="minorHAnsi" w:cstheme="minorHAnsi"/>
                <w:sz w:val="20"/>
                <w:szCs w:val="20"/>
              </w:rPr>
              <w:t>– trade and other payables</w:t>
            </w:r>
          </w:p>
        </w:tc>
        <w:tc>
          <w:tcPr>
            <w:tcW w:w="1187" w:type="dxa"/>
            <w:tcBorders>
              <w:bottom w:val="single" w:sz="4" w:space="0" w:color="auto"/>
            </w:tcBorders>
            <w:shd w:val="clear" w:color="auto" w:fill="F2F2F2" w:themeFill="background1" w:themeFillShade="F2"/>
            <w:vAlign w:val="bottom"/>
          </w:tcPr>
          <w:p w14:paraId="4014E5C1" w14:textId="20EC2BEF" w:rsidR="00DE7C0C" w:rsidRPr="00986526" w:rsidRDefault="00523640" w:rsidP="005D59FA">
            <w:pPr>
              <w:jc w:val="right"/>
              <w:rPr>
                <w:rFonts w:asciiTheme="minorHAnsi" w:hAnsiTheme="minorHAnsi" w:cstheme="minorHAnsi"/>
                <w:b/>
                <w:sz w:val="20"/>
                <w:szCs w:val="20"/>
              </w:rPr>
            </w:pPr>
            <w:r>
              <w:rPr>
                <w:rFonts w:asciiTheme="minorHAnsi" w:hAnsiTheme="minorHAnsi" w:cstheme="minorHAnsi"/>
                <w:b/>
                <w:sz w:val="20"/>
                <w:szCs w:val="20"/>
              </w:rPr>
              <w:t>5</w:t>
            </w:r>
            <w:r w:rsidR="00F80E8B" w:rsidRPr="00986526">
              <w:rPr>
                <w:rFonts w:asciiTheme="minorHAnsi" w:hAnsiTheme="minorHAnsi" w:cstheme="minorHAnsi"/>
                <w:b/>
                <w:sz w:val="20"/>
                <w:szCs w:val="20"/>
              </w:rPr>
              <w:t>.5</w:t>
            </w:r>
          </w:p>
        </w:tc>
        <w:tc>
          <w:tcPr>
            <w:tcW w:w="1250" w:type="dxa"/>
            <w:tcBorders>
              <w:bottom w:val="single" w:sz="4" w:space="0" w:color="auto"/>
            </w:tcBorders>
            <w:vAlign w:val="bottom"/>
          </w:tcPr>
          <w:p w14:paraId="7CBEEE2F" w14:textId="4DB2894C" w:rsidR="00DE7C0C" w:rsidRPr="006D4208" w:rsidRDefault="001D2402" w:rsidP="005D59FA">
            <w:pPr>
              <w:jc w:val="right"/>
              <w:rPr>
                <w:rFonts w:asciiTheme="minorHAnsi" w:hAnsiTheme="minorHAnsi" w:cstheme="minorHAnsi"/>
                <w:sz w:val="20"/>
                <w:szCs w:val="20"/>
              </w:rPr>
            </w:pPr>
            <w:r w:rsidRPr="006D4208">
              <w:rPr>
                <w:rFonts w:asciiTheme="minorHAnsi" w:hAnsiTheme="minorHAnsi" w:cstheme="minorHAnsi"/>
                <w:sz w:val="20"/>
                <w:szCs w:val="20"/>
              </w:rPr>
              <w:t>1.2</w:t>
            </w:r>
          </w:p>
        </w:tc>
      </w:tr>
      <w:tr w:rsidR="00DE7C0C" w:rsidRPr="00B97C61" w14:paraId="51E9811E" w14:textId="77777777" w:rsidTr="005D59FA">
        <w:tc>
          <w:tcPr>
            <w:tcW w:w="7486" w:type="dxa"/>
            <w:vAlign w:val="bottom"/>
          </w:tcPr>
          <w:p w14:paraId="61F43151" w14:textId="23EADC42" w:rsidR="00DE7C0C" w:rsidRPr="00B97C61" w:rsidRDefault="00DE7C0C" w:rsidP="005D59FA">
            <w:pPr>
              <w:rPr>
                <w:rFonts w:asciiTheme="minorHAnsi" w:hAnsiTheme="minorHAnsi" w:cstheme="minorHAnsi"/>
                <w:b/>
                <w:sz w:val="20"/>
                <w:szCs w:val="20"/>
              </w:rPr>
            </w:pPr>
            <w:r w:rsidRPr="00B97C61">
              <w:rPr>
                <w:rFonts w:asciiTheme="minorHAnsi" w:hAnsiTheme="minorHAnsi" w:cstheme="minorHAnsi"/>
                <w:b/>
                <w:sz w:val="20"/>
                <w:szCs w:val="20"/>
              </w:rPr>
              <w:t xml:space="preserve">Cash </w:t>
            </w:r>
            <w:r w:rsidR="00F3170D">
              <w:rPr>
                <w:rFonts w:asciiTheme="minorHAnsi" w:hAnsiTheme="minorHAnsi" w:cstheme="minorHAnsi"/>
                <w:b/>
                <w:sz w:val="20"/>
                <w:szCs w:val="20"/>
              </w:rPr>
              <w:t>generated from/(</w:t>
            </w:r>
            <w:r w:rsidRPr="00B97C61">
              <w:rPr>
                <w:rFonts w:asciiTheme="minorHAnsi" w:hAnsiTheme="minorHAnsi" w:cstheme="minorHAnsi"/>
                <w:b/>
                <w:sz w:val="20"/>
                <w:szCs w:val="20"/>
              </w:rPr>
              <w:t>used</w:t>
            </w:r>
            <w:r w:rsidR="00F3170D">
              <w:rPr>
                <w:rFonts w:asciiTheme="minorHAnsi" w:hAnsiTheme="minorHAnsi" w:cstheme="minorHAnsi"/>
                <w:b/>
                <w:sz w:val="20"/>
                <w:szCs w:val="20"/>
              </w:rPr>
              <w:t>)</w:t>
            </w:r>
            <w:r w:rsidRPr="00B97C61">
              <w:rPr>
                <w:rFonts w:asciiTheme="minorHAnsi" w:hAnsiTheme="minorHAnsi" w:cstheme="minorHAnsi"/>
                <w:b/>
                <w:sz w:val="20"/>
                <w:szCs w:val="20"/>
              </w:rPr>
              <w:t xml:space="preserve"> in operations</w:t>
            </w:r>
          </w:p>
        </w:tc>
        <w:tc>
          <w:tcPr>
            <w:tcW w:w="1187" w:type="dxa"/>
            <w:tcBorders>
              <w:top w:val="single" w:sz="4" w:space="0" w:color="auto"/>
              <w:left w:val="nil"/>
              <w:bottom w:val="single" w:sz="18" w:space="0" w:color="auto"/>
              <w:right w:val="nil"/>
            </w:tcBorders>
            <w:shd w:val="clear" w:color="auto" w:fill="F2F2F2" w:themeFill="background1" w:themeFillShade="F2"/>
            <w:vAlign w:val="bottom"/>
          </w:tcPr>
          <w:p w14:paraId="7014E683" w14:textId="280D414D" w:rsidR="00DE7C0C" w:rsidRPr="00986526" w:rsidRDefault="00F80E8B" w:rsidP="005D59FA">
            <w:pPr>
              <w:jc w:val="right"/>
              <w:rPr>
                <w:rFonts w:asciiTheme="minorHAnsi" w:hAnsiTheme="minorHAnsi" w:cstheme="minorBidi"/>
                <w:b/>
                <w:sz w:val="20"/>
                <w:szCs w:val="20"/>
              </w:rPr>
            </w:pPr>
            <w:r w:rsidRPr="3C57516D">
              <w:rPr>
                <w:rFonts w:asciiTheme="minorHAnsi" w:hAnsiTheme="minorHAnsi" w:cstheme="minorBidi"/>
                <w:b/>
                <w:bCs/>
                <w:sz w:val="20"/>
                <w:szCs w:val="20"/>
              </w:rPr>
              <w:t>1</w:t>
            </w:r>
            <w:r w:rsidR="005764F5">
              <w:rPr>
                <w:rFonts w:asciiTheme="minorHAnsi" w:hAnsiTheme="minorHAnsi" w:cstheme="minorBidi"/>
                <w:b/>
                <w:bCs/>
                <w:sz w:val="20"/>
                <w:szCs w:val="20"/>
              </w:rPr>
              <w:t>81.0</w:t>
            </w:r>
          </w:p>
        </w:tc>
        <w:tc>
          <w:tcPr>
            <w:tcW w:w="1250" w:type="dxa"/>
            <w:tcBorders>
              <w:top w:val="single" w:sz="4" w:space="0" w:color="auto"/>
              <w:left w:val="nil"/>
              <w:bottom w:val="single" w:sz="18" w:space="0" w:color="auto"/>
              <w:right w:val="nil"/>
            </w:tcBorders>
            <w:vAlign w:val="bottom"/>
          </w:tcPr>
          <w:p w14:paraId="6CDC139E" w14:textId="1A8C7A29" w:rsidR="00DE7C0C" w:rsidRPr="006D4208" w:rsidRDefault="00DE7C0C" w:rsidP="005D59FA">
            <w:pPr>
              <w:jc w:val="right"/>
              <w:rPr>
                <w:rFonts w:asciiTheme="minorHAnsi" w:hAnsiTheme="minorHAnsi" w:cstheme="minorHAnsi"/>
                <w:sz w:val="20"/>
                <w:szCs w:val="20"/>
              </w:rPr>
            </w:pPr>
            <w:r w:rsidRPr="006D4208">
              <w:rPr>
                <w:rFonts w:asciiTheme="minorHAnsi" w:hAnsiTheme="minorHAnsi" w:cstheme="minorHAnsi"/>
                <w:sz w:val="20"/>
                <w:szCs w:val="20"/>
              </w:rPr>
              <w:t>(1</w:t>
            </w:r>
            <w:r w:rsidR="00986526">
              <w:rPr>
                <w:rFonts w:asciiTheme="minorHAnsi" w:hAnsiTheme="minorHAnsi" w:cstheme="minorHAnsi"/>
                <w:sz w:val="20"/>
                <w:szCs w:val="20"/>
              </w:rPr>
              <w:t>69.</w:t>
            </w:r>
            <w:r w:rsidR="00685126">
              <w:rPr>
                <w:rFonts w:asciiTheme="minorHAnsi" w:hAnsiTheme="minorHAnsi" w:cstheme="minorHAnsi"/>
                <w:sz w:val="20"/>
                <w:szCs w:val="20"/>
              </w:rPr>
              <w:t>3</w:t>
            </w:r>
            <w:r w:rsidRPr="006D4208">
              <w:rPr>
                <w:rFonts w:asciiTheme="minorHAnsi" w:hAnsiTheme="minorHAnsi" w:cstheme="minorHAnsi"/>
                <w:sz w:val="20"/>
                <w:szCs w:val="20"/>
              </w:rPr>
              <w:t>)</w:t>
            </w:r>
          </w:p>
        </w:tc>
      </w:tr>
    </w:tbl>
    <w:p w14:paraId="5DF81528" w14:textId="77777777" w:rsidR="00DD29F1" w:rsidRPr="00306AF1" w:rsidRDefault="00DD29F1" w:rsidP="00A3021A">
      <w:pPr>
        <w:autoSpaceDE w:val="0"/>
        <w:autoSpaceDN w:val="0"/>
        <w:adjustRightInd w:val="0"/>
        <w:jc w:val="both"/>
        <w:rPr>
          <w:rFonts w:asciiTheme="minorHAnsi" w:hAnsiTheme="minorHAnsi" w:cs="Arial"/>
          <w:b/>
          <w:color w:val="4747FF"/>
          <w:sz w:val="22"/>
          <w:szCs w:val="22"/>
        </w:rPr>
      </w:pPr>
    </w:p>
    <w:p w14:paraId="7B970B88" w14:textId="70E73E31" w:rsidR="00A3021A" w:rsidRPr="00306AF1" w:rsidRDefault="00A3021A" w:rsidP="00A3021A">
      <w:pPr>
        <w:ind w:left="567" w:hanging="567"/>
        <w:jc w:val="both"/>
        <w:rPr>
          <w:rFonts w:asciiTheme="minorHAnsi" w:hAnsiTheme="minorHAnsi" w:cs="Arial"/>
          <w:b/>
          <w:color w:val="4747FF"/>
          <w:sz w:val="22"/>
          <w:szCs w:val="22"/>
        </w:rPr>
      </w:pPr>
      <w:r w:rsidRPr="00306AF1">
        <w:rPr>
          <w:rFonts w:asciiTheme="minorHAnsi" w:hAnsiTheme="minorHAnsi" w:cs="Arial"/>
          <w:b/>
          <w:color w:val="4747FF"/>
          <w:sz w:val="22"/>
          <w:szCs w:val="22"/>
        </w:rPr>
        <w:t>1</w:t>
      </w:r>
      <w:r w:rsidR="006133EC">
        <w:rPr>
          <w:rFonts w:asciiTheme="minorHAnsi" w:hAnsiTheme="minorHAnsi" w:cs="Arial"/>
          <w:b/>
          <w:color w:val="4747FF"/>
          <w:sz w:val="22"/>
          <w:szCs w:val="22"/>
        </w:rPr>
        <w:t>5</w:t>
      </w:r>
      <w:r w:rsidRPr="00306AF1">
        <w:rPr>
          <w:rFonts w:asciiTheme="minorHAnsi" w:hAnsiTheme="minorHAnsi" w:cs="Arial"/>
          <w:b/>
          <w:color w:val="4747FF"/>
          <w:sz w:val="22"/>
          <w:szCs w:val="22"/>
        </w:rPr>
        <w:t xml:space="preserve">.    </w:t>
      </w:r>
      <w:r w:rsidRPr="00306AF1">
        <w:rPr>
          <w:rFonts w:asciiTheme="minorHAnsi" w:hAnsiTheme="minorHAnsi" w:cs="Arial"/>
          <w:b/>
          <w:color w:val="4747FF"/>
          <w:sz w:val="22"/>
          <w:szCs w:val="22"/>
        </w:rPr>
        <w:tab/>
        <w:t>Contingent liabilities</w:t>
      </w:r>
    </w:p>
    <w:p w14:paraId="6CA25A16" w14:textId="77777777" w:rsidR="00A3021A" w:rsidRPr="00306AF1" w:rsidRDefault="00A3021A" w:rsidP="00A3021A">
      <w:pPr>
        <w:tabs>
          <w:tab w:val="left" w:pos="500"/>
        </w:tabs>
        <w:jc w:val="both"/>
        <w:rPr>
          <w:rFonts w:asciiTheme="minorHAnsi" w:hAnsiTheme="minorHAnsi" w:cs="Arial"/>
          <w:sz w:val="20"/>
          <w:szCs w:val="20"/>
        </w:rPr>
      </w:pPr>
    </w:p>
    <w:p w14:paraId="2B66FD99" w14:textId="6176A533" w:rsidR="00A3021A" w:rsidRDefault="00A3021A" w:rsidP="00A3021A">
      <w:pPr>
        <w:autoSpaceDE w:val="0"/>
        <w:autoSpaceDN w:val="0"/>
        <w:adjustRightInd w:val="0"/>
        <w:jc w:val="both"/>
        <w:rPr>
          <w:rFonts w:asciiTheme="minorHAnsi" w:hAnsiTheme="minorHAnsi" w:cstheme="minorHAnsi"/>
          <w:sz w:val="20"/>
          <w:szCs w:val="20"/>
        </w:rPr>
      </w:pPr>
      <w:r w:rsidRPr="00306AF1">
        <w:rPr>
          <w:rFonts w:asciiTheme="minorHAnsi" w:hAnsiTheme="minorHAnsi" w:cstheme="minorHAnsi"/>
          <w:sz w:val="20"/>
          <w:szCs w:val="20"/>
        </w:rPr>
        <w:t xml:space="preserve">During the ordinary course of business the Group is subject to other complaints and threatened or actual legal proceedings (including class or group action claims) brought by or on behalf of current or former employees, customers, investors or third parties. This extends to legal and regulatory reviews, challenges, investigations and enforcement actions combined with tax authorities taking a view that is different to the view the Group has taken on the tax treatment in its tax returns. </w:t>
      </w:r>
      <w:r w:rsidR="00860216">
        <w:rPr>
          <w:rFonts w:asciiTheme="minorHAnsi" w:hAnsiTheme="minorHAnsi" w:cstheme="minorHAnsi"/>
          <w:sz w:val="20"/>
          <w:szCs w:val="20"/>
        </w:rPr>
        <w:t>It also extends to tax authorities taking the view that VAT</w:t>
      </w:r>
      <w:r w:rsidR="0070346C">
        <w:rPr>
          <w:rFonts w:asciiTheme="minorHAnsi" w:hAnsiTheme="minorHAnsi" w:cstheme="minorHAnsi"/>
          <w:sz w:val="20"/>
          <w:szCs w:val="20"/>
        </w:rPr>
        <w:t xml:space="preserve"> exempt supplies </w:t>
      </w:r>
      <w:r w:rsidR="007A2ABB">
        <w:rPr>
          <w:rFonts w:asciiTheme="minorHAnsi" w:hAnsiTheme="minorHAnsi" w:cstheme="minorHAnsi"/>
          <w:sz w:val="20"/>
          <w:szCs w:val="20"/>
        </w:rPr>
        <w:t xml:space="preserve">received </w:t>
      </w:r>
      <w:r w:rsidR="002F01C4">
        <w:rPr>
          <w:rFonts w:asciiTheme="minorHAnsi" w:hAnsiTheme="minorHAnsi" w:cstheme="minorHAnsi"/>
          <w:sz w:val="20"/>
          <w:szCs w:val="20"/>
        </w:rPr>
        <w:t>by the Group from UK-based suppliers should be subject to VAT.</w:t>
      </w:r>
      <w:r w:rsidRPr="00306AF1">
        <w:rPr>
          <w:rFonts w:asciiTheme="minorHAnsi" w:hAnsiTheme="minorHAnsi" w:cstheme="minorHAnsi"/>
          <w:sz w:val="20"/>
          <w:szCs w:val="20"/>
        </w:rPr>
        <w:t xml:space="preserve"> All such material matters are periodically assessed, with the assistance of external professional advisors, where appropriate, to determine the likelihood of the Group incurring a liability. In those instances where it is concluded that it is more likely than not that a payment will be made, a provision is established for management’s best estimate of the amount required at the relevant balance sheet date. In some cases it may not be possible to form a view, for example because the facts are unclear or because further time is needed to properly assess the merits of the case, and no provisions are held in relation to such matters. </w:t>
      </w:r>
    </w:p>
    <w:p w14:paraId="19816BC5" w14:textId="77777777" w:rsidR="00DD27D6" w:rsidRDefault="00DD27D6" w:rsidP="00A3021A">
      <w:pPr>
        <w:autoSpaceDE w:val="0"/>
        <w:autoSpaceDN w:val="0"/>
        <w:adjustRightInd w:val="0"/>
        <w:jc w:val="both"/>
        <w:rPr>
          <w:rFonts w:asciiTheme="minorHAnsi" w:hAnsiTheme="minorHAnsi" w:cstheme="minorHAnsi"/>
          <w:sz w:val="20"/>
          <w:szCs w:val="20"/>
        </w:rPr>
      </w:pPr>
      <w:bookmarkStart w:id="15" w:name="_Hlk29796596"/>
      <w:bookmarkStart w:id="16" w:name="_Hlk33535702"/>
    </w:p>
    <w:p w14:paraId="355B30D9" w14:textId="77777777" w:rsidR="00DD27D6" w:rsidRDefault="00DD27D6" w:rsidP="00F55185">
      <w:pPr>
        <w:ind w:left="567" w:hanging="567"/>
        <w:jc w:val="both"/>
        <w:rPr>
          <w:rFonts w:asciiTheme="minorHAnsi" w:hAnsiTheme="minorHAnsi" w:cs="Arial"/>
          <w:b/>
          <w:color w:val="4747FF"/>
          <w:sz w:val="22"/>
          <w:szCs w:val="22"/>
        </w:rPr>
      </w:pPr>
    </w:p>
    <w:p w14:paraId="3C25DF19" w14:textId="77777777" w:rsidR="0095456B" w:rsidRDefault="0095456B" w:rsidP="00F55185">
      <w:pPr>
        <w:ind w:left="567" w:hanging="567"/>
        <w:jc w:val="both"/>
        <w:rPr>
          <w:rFonts w:asciiTheme="minorHAnsi" w:hAnsiTheme="minorHAnsi" w:cs="Arial"/>
          <w:b/>
          <w:color w:val="4747FF"/>
          <w:sz w:val="22"/>
          <w:szCs w:val="22"/>
        </w:rPr>
      </w:pPr>
    </w:p>
    <w:p w14:paraId="6A871592" w14:textId="77777777" w:rsidR="0008204E" w:rsidRDefault="0008204E" w:rsidP="00F55185">
      <w:pPr>
        <w:ind w:left="567" w:hanging="567"/>
        <w:jc w:val="both"/>
        <w:rPr>
          <w:rFonts w:asciiTheme="minorHAnsi" w:hAnsiTheme="minorHAnsi" w:cs="Arial"/>
          <w:b/>
          <w:color w:val="4747FF"/>
          <w:sz w:val="22"/>
          <w:szCs w:val="22"/>
        </w:rPr>
      </w:pPr>
    </w:p>
    <w:p w14:paraId="4561115E" w14:textId="302AD3C7" w:rsidR="00F55185" w:rsidRPr="00701439" w:rsidRDefault="00F55185" w:rsidP="00F55185">
      <w:pPr>
        <w:ind w:left="567" w:hanging="567"/>
        <w:jc w:val="both"/>
        <w:rPr>
          <w:rFonts w:asciiTheme="minorHAnsi" w:hAnsiTheme="minorHAnsi" w:cs="Arial"/>
          <w:b/>
          <w:color w:val="4747FF"/>
          <w:sz w:val="22"/>
          <w:szCs w:val="22"/>
        </w:rPr>
      </w:pPr>
      <w:r w:rsidRPr="00701439">
        <w:rPr>
          <w:rFonts w:asciiTheme="minorHAnsi" w:hAnsiTheme="minorHAnsi" w:cs="Arial"/>
          <w:b/>
          <w:color w:val="4747FF"/>
          <w:sz w:val="22"/>
          <w:szCs w:val="22"/>
        </w:rPr>
        <w:t xml:space="preserve">Alternative performance measures </w:t>
      </w:r>
    </w:p>
    <w:p w14:paraId="37E4296D" w14:textId="77777777" w:rsidR="00F55185" w:rsidRPr="00701439" w:rsidRDefault="00F55185" w:rsidP="00F55185">
      <w:pPr>
        <w:ind w:left="567" w:hanging="567"/>
        <w:jc w:val="both"/>
        <w:rPr>
          <w:rFonts w:asciiTheme="minorHAnsi" w:hAnsiTheme="minorHAnsi" w:cs="Arial"/>
          <w:b/>
          <w:color w:val="4747FF"/>
          <w:sz w:val="22"/>
          <w:szCs w:val="22"/>
        </w:rPr>
      </w:pPr>
    </w:p>
    <w:p w14:paraId="34C1C25F" w14:textId="4B8CCB27" w:rsidR="00F55185" w:rsidRPr="00701439" w:rsidRDefault="006D4709" w:rsidP="009D68BF">
      <w:pPr>
        <w:pStyle w:val="bodytext0"/>
        <w:jc w:val="both"/>
        <w:rPr>
          <w:rFonts w:asciiTheme="minorHAnsi" w:eastAsia="Times New Roman" w:hAnsiTheme="minorHAnsi" w:cs="Times New Roman"/>
          <w:iCs/>
          <w:color w:val="auto"/>
          <w:sz w:val="20"/>
          <w:szCs w:val="20"/>
          <w:lang w:eastAsia="en-GB"/>
        </w:rPr>
      </w:pPr>
      <w:bookmarkStart w:id="17" w:name="_Hlk128656396"/>
      <w:r w:rsidRPr="006D4709">
        <w:rPr>
          <w:rFonts w:asciiTheme="minorHAnsi" w:eastAsia="Times New Roman" w:hAnsiTheme="minorHAnsi" w:cs="Times New Roman"/>
          <w:iCs/>
          <w:color w:val="auto"/>
          <w:sz w:val="20"/>
          <w:szCs w:val="20"/>
          <w:lang w:eastAsia="en-GB"/>
        </w:rPr>
        <w:t>In addition to statutory results and KPIs reported under International Financial Reporting Standards (IFRS), the Group provides certain alternative performance measures (APMs). These APMs are used internally by management and are also deemed helpful in understanding the Group’s performance. These non-statutory measures should not be considered as replacements for IFRS measures.</w:t>
      </w:r>
    </w:p>
    <w:tbl>
      <w:tblPr>
        <w:tblStyle w:val="TableGrid"/>
        <w:tblpPr w:leftFromText="180" w:rightFromText="180" w:vertAnchor="text" w:horzAnchor="margin" w:tblpY="181"/>
        <w:tblW w:w="9666" w:type="dxa"/>
        <w:tblLook w:val="04A0" w:firstRow="1" w:lastRow="0" w:firstColumn="1" w:lastColumn="0" w:noHBand="0" w:noVBand="1"/>
      </w:tblPr>
      <w:tblGrid>
        <w:gridCol w:w="1829"/>
        <w:gridCol w:w="4091"/>
        <w:gridCol w:w="3746"/>
      </w:tblGrid>
      <w:tr w:rsidR="007B0A7D" w:rsidRPr="000551ED" w14:paraId="3B1AF769" w14:textId="77777777" w:rsidTr="00CF66BE">
        <w:trPr>
          <w:trHeight w:val="274"/>
        </w:trPr>
        <w:tc>
          <w:tcPr>
            <w:tcW w:w="1829" w:type="dxa"/>
          </w:tcPr>
          <w:p w14:paraId="52BD0EDA" w14:textId="5926CC41" w:rsidR="007B0A7D" w:rsidRPr="00105C00" w:rsidRDefault="007B0A7D" w:rsidP="007B0A7D">
            <w:pPr>
              <w:spacing w:after="160" w:line="259" w:lineRule="auto"/>
              <w:rPr>
                <w:rFonts w:ascii="Calibri" w:hAnsi="Calibri"/>
                <w:b/>
                <w:bCs/>
                <w:iCs/>
                <w:sz w:val="20"/>
                <w:szCs w:val="20"/>
              </w:rPr>
            </w:pPr>
            <w:r>
              <w:rPr>
                <w:rFonts w:ascii="Calibri" w:hAnsi="Calibri"/>
                <w:b/>
                <w:bCs/>
                <w:iCs/>
                <w:sz w:val="20"/>
                <w:szCs w:val="20"/>
              </w:rPr>
              <w:t>APM</w:t>
            </w:r>
          </w:p>
        </w:tc>
        <w:tc>
          <w:tcPr>
            <w:tcW w:w="4091" w:type="dxa"/>
          </w:tcPr>
          <w:p w14:paraId="52DA591C" w14:textId="3006DA69" w:rsidR="00FC67A9" w:rsidRDefault="00F4163C" w:rsidP="007B0A7D">
            <w:pPr>
              <w:spacing w:after="160" w:line="259" w:lineRule="auto"/>
              <w:rPr>
                <w:rFonts w:ascii="Calibri" w:hAnsi="Calibri"/>
                <w:b/>
                <w:bCs/>
                <w:iCs/>
                <w:sz w:val="20"/>
                <w:szCs w:val="20"/>
              </w:rPr>
            </w:pPr>
            <w:r w:rsidRPr="00F4163C">
              <w:rPr>
                <w:rFonts w:ascii="Calibri" w:hAnsi="Calibri"/>
                <w:b/>
                <w:bCs/>
                <w:iCs/>
                <w:sz w:val="20"/>
                <w:szCs w:val="20"/>
              </w:rPr>
              <w:t>Method of calculation</w:t>
            </w:r>
          </w:p>
        </w:tc>
        <w:tc>
          <w:tcPr>
            <w:tcW w:w="3746" w:type="dxa"/>
          </w:tcPr>
          <w:p w14:paraId="39EFAF0A" w14:textId="6E6C7BE8" w:rsidR="007B0A7D" w:rsidRPr="00105C00" w:rsidRDefault="007B0A7D" w:rsidP="007B0A7D">
            <w:pPr>
              <w:spacing w:after="160" w:line="259" w:lineRule="auto"/>
              <w:rPr>
                <w:rFonts w:ascii="Calibri" w:hAnsi="Calibri"/>
                <w:b/>
                <w:bCs/>
                <w:iCs/>
                <w:sz w:val="20"/>
                <w:szCs w:val="20"/>
              </w:rPr>
            </w:pPr>
            <w:r>
              <w:rPr>
                <w:rFonts w:ascii="Calibri" w:hAnsi="Calibri"/>
                <w:b/>
                <w:bCs/>
                <w:iCs/>
                <w:sz w:val="20"/>
                <w:szCs w:val="20"/>
              </w:rPr>
              <w:t>Relevance</w:t>
            </w:r>
          </w:p>
        </w:tc>
      </w:tr>
      <w:tr w:rsidR="00E80DE6" w:rsidRPr="000551ED" w14:paraId="143B4694" w14:textId="77777777" w:rsidTr="00CF66BE">
        <w:trPr>
          <w:trHeight w:val="1256"/>
        </w:trPr>
        <w:tc>
          <w:tcPr>
            <w:tcW w:w="1829" w:type="dxa"/>
          </w:tcPr>
          <w:p w14:paraId="56A937AA" w14:textId="2E8AD5B7" w:rsidR="007B0A7D" w:rsidRPr="00E80DE6" w:rsidRDefault="007B0A7D" w:rsidP="007B0A7D">
            <w:pPr>
              <w:rPr>
                <w:rFonts w:ascii="Calibri" w:hAnsi="Calibri"/>
                <w:b/>
                <w:bCs/>
                <w:iCs/>
                <w:sz w:val="20"/>
                <w:szCs w:val="20"/>
              </w:rPr>
            </w:pPr>
            <w:r w:rsidRPr="00E80DE6">
              <w:rPr>
                <w:rFonts w:ascii="Calibri" w:hAnsi="Calibri"/>
                <w:b/>
                <w:bCs/>
                <w:iCs/>
                <w:sz w:val="20"/>
                <w:szCs w:val="20"/>
              </w:rPr>
              <w:t>Adjusted profit before tax</w:t>
            </w:r>
          </w:p>
        </w:tc>
        <w:tc>
          <w:tcPr>
            <w:tcW w:w="4091" w:type="dxa"/>
          </w:tcPr>
          <w:p w14:paraId="09607000" w14:textId="0EB663DE" w:rsidR="00FC67A9" w:rsidRPr="00CF66BE" w:rsidRDefault="00522A0E" w:rsidP="009D68BF">
            <w:pPr>
              <w:jc w:val="both"/>
              <w:rPr>
                <w:rFonts w:ascii="Calibri" w:hAnsi="Calibri"/>
                <w:iCs/>
                <w:sz w:val="18"/>
                <w:szCs w:val="18"/>
              </w:rPr>
            </w:pPr>
            <w:r w:rsidRPr="00CF66BE">
              <w:rPr>
                <w:rFonts w:ascii="Calibri" w:hAnsi="Calibri"/>
                <w:iCs/>
                <w:sz w:val="18"/>
                <w:szCs w:val="18"/>
              </w:rPr>
              <w:t xml:space="preserve">A reconciliation of adjusted </w:t>
            </w:r>
            <w:r w:rsidR="002038B7" w:rsidRPr="00CF66BE">
              <w:rPr>
                <w:rFonts w:ascii="Calibri" w:hAnsi="Calibri"/>
                <w:iCs/>
                <w:sz w:val="18"/>
                <w:szCs w:val="18"/>
              </w:rPr>
              <w:t>(loss)/</w:t>
            </w:r>
            <w:r w:rsidRPr="00CF66BE">
              <w:rPr>
                <w:rFonts w:ascii="Calibri" w:hAnsi="Calibri"/>
                <w:iCs/>
                <w:sz w:val="18"/>
                <w:szCs w:val="18"/>
              </w:rPr>
              <w:t>profit before tax from statutory (loss)/profit for the year attributable to equity shareholders is provided on the income statement</w:t>
            </w:r>
            <w:r w:rsidR="00196BAB" w:rsidRPr="00CF66BE">
              <w:rPr>
                <w:rFonts w:ascii="Calibri" w:hAnsi="Calibri"/>
                <w:iCs/>
                <w:sz w:val="18"/>
                <w:szCs w:val="18"/>
              </w:rPr>
              <w:t>.</w:t>
            </w:r>
          </w:p>
        </w:tc>
        <w:tc>
          <w:tcPr>
            <w:tcW w:w="3746" w:type="dxa"/>
          </w:tcPr>
          <w:p w14:paraId="697DA54C" w14:textId="12BB2529" w:rsidR="00E80DE6" w:rsidRPr="00CF66BE" w:rsidRDefault="00BB6AAC" w:rsidP="009D68BF">
            <w:pPr>
              <w:jc w:val="both"/>
              <w:rPr>
                <w:rFonts w:ascii="Calibri" w:hAnsi="Calibri"/>
                <w:b/>
                <w:bCs/>
                <w:iCs/>
                <w:sz w:val="18"/>
                <w:szCs w:val="18"/>
              </w:rPr>
            </w:pPr>
            <w:r w:rsidRPr="00CF66BE">
              <w:rPr>
                <w:rFonts w:ascii="Calibri" w:hAnsi="Calibri"/>
                <w:iCs/>
                <w:sz w:val="18"/>
                <w:szCs w:val="18"/>
              </w:rPr>
              <w:t xml:space="preserve">Adjusted </w:t>
            </w:r>
            <w:r w:rsidR="002038B7" w:rsidRPr="00CF66BE">
              <w:rPr>
                <w:rFonts w:ascii="Calibri" w:hAnsi="Calibri"/>
                <w:iCs/>
                <w:sz w:val="18"/>
                <w:szCs w:val="18"/>
              </w:rPr>
              <w:t>(loss)/</w:t>
            </w:r>
            <w:r w:rsidRPr="00CF66BE">
              <w:rPr>
                <w:rFonts w:ascii="Calibri" w:hAnsi="Calibri"/>
                <w:iCs/>
                <w:sz w:val="18"/>
                <w:szCs w:val="18"/>
              </w:rPr>
              <w:t>profit before tax excludes the impact of amortisation of acquisition intangibles and exceptional items and is used to provide further clarity on the ongoing, underlying financial performance of the divisions and Group</w:t>
            </w:r>
            <w:r w:rsidR="006F6619" w:rsidRPr="00CF66BE">
              <w:rPr>
                <w:rFonts w:ascii="Calibri" w:hAnsi="Calibri"/>
                <w:iCs/>
                <w:sz w:val="18"/>
                <w:szCs w:val="18"/>
              </w:rPr>
              <w:t>.</w:t>
            </w:r>
          </w:p>
        </w:tc>
      </w:tr>
      <w:tr w:rsidR="00105C00" w:rsidRPr="000551ED" w14:paraId="2A287682" w14:textId="77777777" w:rsidTr="00CF66BE">
        <w:trPr>
          <w:trHeight w:val="816"/>
        </w:trPr>
        <w:tc>
          <w:tcPr>
            <w:tcW w:w="1829" w:type="dxa"/>
          </w:tcPr>
          <w:p w14:paraId="1D96B517" w14:textId="017E0AB0" w:rsidR="007B0A7D" w:rsidRPr="00105C00" w:rsidRDefault="007B0A7D" w:rsidP="007B0A7D">
            <w:pPr>
              <w:spacing w:after="160" w:line="259" w:lineRule="auto"/>
              <w:rPr>
                <w:rFonts w:ascii="Calibri" w:hAnsi="Calibri"/>
                <w:b/>
                <w:bCs/>
                <w:iCs/>
                <w:sz w:val="20"/>
                <w:szCs w:val="20"/>
              </w:rPr>
            </w:pPr>
            <w:r w:rsidRPr="00105C00">
              <w:rPr>
                <w:rFonts w:ascii="Calibri" w:hAnsi="Calibri"/>
                <w:b/>
                <w:bCs/>
                <w:iCs/>
                <w:sz w:val="20"/>
                <w:szCs w:val="20"/>
              </w:rPr>
              <w:t xml:space="preserve">Average gross </w:t>
            </w:r>
            <w:r w:rsidR="007404AD">
              <w:rPr>
                <w:rFonts w:ascii="Calibri" w:hAnsi="Calibri"/>
                <w:b/>
                <w:bCs/>
                <w:iCs/>
                <w:sz w:val="20"/>
                <w:szCs w:val="20"/>
              </w:rPr>
              <w:t xml:space="preserve">customer interest earning </w:t>
            </w:r>
            <w:r w:rsidR="00CF5F75">
              <w:rPr>
                <w:rFonts w:ascii="Calibri" w:hAnsi="Calibri"/>
                <w:b/>
                <w:bCs/>
                <w:iCs/>
                <w:sz w:val="20"/>
                <w:szCs w:val="20"/>
              </w:rPr>
              <w:t>balances</w:t>
            </w:r>
          </w:p>
        </w:tc>
        <w:tc>
          <w:tcPr>
            <w:tcW w:w="4091" w:type="dxa"/>
          </w:tcPr>
          <w:p w14:paraId="51740BA8" w14:textId="5C7FB13C" w:rsidR="00FC67A9" w:rsidRPr="00CF66BE" w:rsidRDefault="00CE3568" w:rsidP="009D68BF">
            <w:pPr>
              <w:spacing w:after="160" w:line="259" w:lineRule="auto"/>
              <w:jc w:val="both"/>
              <w:rPr>
                <w:rFonts w:ascii="Calibri" w:hAnsi="Calibri"/>
                <w:iCs/>
                <w:sz w:val="18"/>
                <w:szCs w:val="18"/>
              </w:rPr>
            </w:pPr>
            <w:r w:rsidRPr="00CF66BE">
              <w:rPr>
                <w:rFonts w:ascii="Calibri" w:hAnsi="Calibri"/>
                <w:iCs/>
                <w:sz w:val="18"/>
                <w:szCs w:val="18"/>
              </w:rPr>
              <w:t>Average of gross customer interest earning balances for the 7 months ended 30 June</w:t>
            </w:r>
            <w:r w:rsidR="00740E89" w:rsidRPr="00CF66BE">
              <w:rPr>
                <w:rFonts w:ascii="Calibri" w:hAnsi="Calibri"/>
                <w:iCs/>
                <w:sz w:val="18"/>
                <w:szCs w:val="18"/>
              </w:rPr>
              <w:t>.</w:t>
            </w:r>
          </w:p>
        </w:tc>
        <w:tc>
          <w:tcPr>
            <w:tcW w:w="3746" w:type="dxa"/>
          </w:tcPr>
          <w:p w14:paraId="6D6DD8F1" w14:textId="02FC1C69" w:rsidR="00105C00" w:rsidRPr="00CF66BE" w:rsidRDefault="00336189" w:rsidP="009D68BF">
            <w:pPr>
              <w:spacing w:after="160" w:line="259" w:lineRule="auto"/>
              <w:jc w:val="both"/>
              <w:rPr>
                <w:rFonts w:ascii="Calibri" w:hAnsi="Calibri"/>
                <w:iCs/>
                <w:sz w:val="18"/>
                <w:szCs w:val="18"/>
              </w:rPr>
            </w:pPr>
            <w:r w:rsidRPr="00CF66BE">
              <w:rPr>
                <w:rFonts w:ascii="Calibri" w:hAnsi="Calibri"/>
                <w:iCs/>
                <w:sz w:val="18"/>
                <w:szCs w:val="18"/>
              </w:rPr>
              <w:t>This is used to smooth the seasonality of receivables across the divisions in calculating performance KPIs.</w:t>
            </w:r>
          </w:p>
        </w:tc>
      </w:tr>
      <w:tr w:rsidR="00105C00" w:rsidRPr="000551ED" w14:paraId="4593E1BE" w14:textId="77777777" w:rsidTr="00CF66BE">
        <w:trPr>
          <w:trHeight w:val="1049"/>
        </w:trPr>
        <w:tc>
          <w:tcPr>
            <w:tcW w:w="1829" w:type="dxa"/>
          </w:tcPr>
          <w:p w14:paraId="41F0D8CD" w14:textId="4560E897" w:rsidR="007B0A7D" w:rsidRPr="00105C00" w:rsidRDefault="00CE3568" w:rsidP="007B0A7D">
            <w:pPr>
              <w:spacing w:after="160" w:line="259" w:lineRule="auto"/>
              <w:rPr>
                <w:rFonts w:ascii="Calibri" w:hAnsi="Calibri"/>
                <w:b/>
                <w:bCs/>
                <w:iCs/>
                <w:sz w:val="20"/>
                <w:szCs w:val="20"/>
              </w:rPr>
            </w:pPr>
            <w:r w:rsidRPr="00105C00">
              <w:rPr>
                <w:rFonts w:ascii="Calibri" w:hAnsi="Calibri"/>
                <w:b/>
                <w:bCs/>
                <w:iCs/>
                <w:sz w:val="20"/>
                <w:szCs w:val="20"/>
              </w:rPr>
              <w:t>Net interest margin (NIM)</w:t>
            </w:r>
          </w:p>
        </w:tc>
        <w:tc>
          <w:tcPr>
            <w:tcW w:w="4091" w:type="dxa"/>
          </w:tcPr>
          <w:p w14:paraId="1B905632" w14:textId="4A433369" w:rsidR="00FC67A9" w:rsidRPr="00CF66BE" w:rsidRDefault="00CE3568" w:rsidP="009D68BF">
            <w:pPr>
              <w:spacing w:after="160" w:line="259" w:lineRule="auto"/>
              <w:jc w:val="both"/>
              <w:rPr>
                <w:rFonts w:ascii="Calibri" w:hAnsi="Calibri"/>
                <w:b/>
                <w:bCs/>
                <w:iCs/>
                <w:sz w:val="18"/>
                <w:szCs w:val="18"/>
              </w:rPr>
            </w:pPr>
            <w:r w:rsidRPr="00CF66BE">
              <w:rPr>
                <w:rFonts w:ascii="Calibri" w:hAnsi="Calibri"/>
                <w:iCs/>
                <w:sz w:val="18"/>
                <w:szCs w:val="18"/>
              </w:rPr>
              <w:t xml:space="preserve">Interest income less interest expense, excluding exceptional items for the period multiplied by 365/181, as a percentage of average gross </w:t>
            </w:r>
            <w:r w:rsidR="00014541" w:rsidRPr="00CF66BE">
              <w:rPr>
                <w:rFonts w:ascii="Calibri" w:hAnsi="Calibri"/>
                <w:sz w:val="18"/>
                <w:szCs w:val="18"/>
              </w:rPr>
              <w:t>cus</w:t>
            </w:r>
            <w:r w:rsidR="007404AD" w:rsidRPr="00CF66BE">
              <w:rPr>
                <w:rFonts w:ascii="Calibri" w:hAnsi="Calibri"/>
                <w:sz w:val="18"/>
                <w:szCs w:val="18"/>
              </w:rPr>
              <w:t>tomer interest earning</w:t>
            </w:r>
            <w:r w:rsidRPr="00CF66BE">
              <w:rPr>
                <w:rFonts w:ascii="Calibri" w:hAnsi="Calibri"/>
                <w:sz w:val="18"/>
                <w:szCs w:val="18"/>
              </w:rPr>
              <w:t xml:space="preserve"> </w:t>
            </w:r>
            <w:r w:rsidR="00937790" w:rsidRPr="00CF66BE">
              <w:rPr>
                <w:rFonts w:ascii="Calibri" w:hAnsi="Calibri"/>
                <w:sz w:val="18"/>
                <w:szCs w:val="18"/>
              </w:rPr>
              <w:t>balances</w:t>
            </w:r>
            <w:r w:rsidR="00740E89" w:rsidRPr="00CF66BE">
              <w:rPr>
                <w:rFonts w:ascii="Calibri" w:hAnsi="Calibri"/>
                <w:sz w:val="18"/>
                <w:szCs w:val="18"/>
              </w:rPr>
              <w:t>.</w:t>
            </w:r>
          </w:p>
        </w:tc>
        <w:tc>
          <w:tcPr>
            <w:tcW w:w="3746" w:type="dxa"/>
          </w:tcPr>
          <w:p w14:paraId="6D5734DD" w14:textId="788175EC" w:rsidR="00105C00" w:rsidRPr="00CF66BE" w:rsidRDefault="001A294B" w:rsidP="009D68BF">
            <w:pPr>
              <w:spacing w:after="160" w:line="259" w:lineRule="auto"/>
              <w:jc w:val="both"/>
              <w:rPr>
                <w:rFonts w:ascii="Calibri" w:hAnsi="Calibri"/>
                <w:iCs/>
                <w:sz w:val="18"/>
                <w:szCs w:val="18"/>
              </w:rPr>
            </w:pPr>
            <w:r w:rsidRPr="00CF66BE">
              <w:rPr>
                <w:rFonts w:ascii="Calibri" w:hAnsi="Calibri"/>
                <w:iCs/>
                <w:sz w:val="18"/>
                <w:szCs w:val="18"/>
              </w:rPr>
              <w:t>This measure shows the returns generated from customers to allow comparison to other banks and banking groups.</w:t>
            </w:r>
          </w:p>
        </w:tc>
      </w:tr>
      <w:tr w:rsidR="00105C00" w:rsidRPr="000551ED" w14:paraId="4AF6C78A" w14:textId="77777777" w:rsidTr="00CF66BE">
        <w:trPr>
          <w:trHeight w:val="1036"/>
        </w:trPr>
        <w:tc>
          <w:tcPr>
            <w:tcW w:w="1829" w:type="dxa"/>
          </w:tcPr>
          <w:p w14:paraId="2CDAF9BA" w14:textId="2DBB44B7" w:rsidR="007B0A7D" w:rsidRPr="00105C00" w:rsidRDefault="00CE3568" w:rsidP="007B0A7D">
            <w:pPr>
              <w:spacing w:after="160" w:line="259" w:lineRule="auto"/>
              <w:rPr>
                <w:rFonts w:ascii="Calibri" w:hAnsi="Calibri"/>
                <w:b/>
                <w:bCs/>
                <w:iCs/>
                <w:sz w:val="20"/>
                <w:szCs w:val="20"/>
              </w:rPr>
            </w:pPr>
            <w:r w:rsidRPr="00105C00">
              <w:rPr>
                <w:rFonts w:ascii="Calibri" w:hAnsi="Calibri"/>
                <w:b/>
                <w:bCs/>
                <w:iCs/>
                <w:sz w:val="20"/>
                <w:szCs w:val="20"/>
              </w:rPr>
              <w:t>Risk-adjusted margin</w:t>
            </w:r>
            <w:r w:rsidRPr="000551ED">
              <w:rPr>
                <w:rFonts w:ascii="Calibri" w:hAnsi="Calibri"/>
                <w:iCs/>
                <w:sz w:val="20"/>
                <w:szCs w:val="20"/>
              </w:rPr>
              <w:t xml:space="preserve"> - </w:t>
            </w:r>
          </w:p>
        </w:tc>
        <w:tc>
          <w:tcPr>
            <w:tcW w:w="4091" w:type="dxa"/>
          </w:tcPr>
          <w:p w14:paraId="056580E7" w14:textId="411DA7ED" w:rsidR="00FC67A9" w:rsidRPr="00CF66BE" w:rsidRDefault="00CE3568" w:rsidP="009D68BF">
            <w:pPr>
              <w:spacing w:after="160" w:line="259" w:lineRule="auto"/>
              <w:jc w:val="both"/>
              <w:rPr>
                <w:rFonts w:ascii="Calibri" w:hAnsi="Calibri"/>
                <w:b/>
                <w:bCs/>
                <w:iCs/>
                <w:sz w:val="18"/>
                <w:szCs w:val="18"/>
              </w:rPr>
            </w:pPr>
            <w:r w:rsidRPr="00CF66BE">
              <w:rPr>
                <w:rFonts w:ascii="Calibri" w:hAnsi="Calibri"/>
                <w:iCs/>
                <w:sz w:val="18"/>
                <w:szCs w:val="18"/>
              </w:rPr>
              <w:t xml:space="preserve">Total income, excluding exceptional items less impairment charges for the period multiplied by 365/181, as a percentage of average gross </w:t>
            </w:r>
            <w:r w:rsidR="007404AD" w:rsidRPr="00CF66BE">
              <w:rPr>
                <w:rFonts w:ascii="Calibri" w:hAnsi="Calibri"/>
                <w:sz w:val="18"/>
                <w:szCs w:val="18"/>
              </w:rPr>
              <w:t xml:space="preserve">customer interest earning </w:t>
            </w:r>
            <w:r w:rsidR="00937790" w:rsidRPr="00CF66BE">
              <w:rPr>
                <w:rFonts w:ascii="Calibri" w:hAnsi="Calibri"/>
                <w:sz w:val="18"/>
                <w:szCs w:val="18"/>
              </w:rPr>
              <w:t>balances</w:t>
            </w:r>
            <w:r w:rsidR="00740E89" w:rsidRPr="00CF66BE">
              <w:rPr>
                <w:rFonts w:ascii="Calibri" w:hAnsi="Calibri"/>
                <w:sz w:val="18"/>
                <w:szCs w:val="18"/>
              </w:rPr>
              <w:t>.</w:t>
            </w:r>
          </w:p>
        </w:tc>
        <w:tc>
          <w:tcPr>
            <w:tcW w:w="3746" w:type="dxa"/>
          </w:tcPr>
          <w:p w14:paraId="55481FBF" w14:textId="3E0CDAC8" w:rsidR="00105C00" w:rsidRPr="00CF66BE" w:rsidRDefault="000348B0" w:rsidP="009D68BF">
            <w:pPr>
              <w:spacing w:after="160" w:line="259" w:lineRule="auto"/>
              <w:jc w:val="both"/>
              <w:rPr>
                <w:rFonts w:ascii="Calibri" w:hAnsi="Calibri"/>
                <w:iCs/>
                <w:sz w:val="18"/>
                <w:szCs w:val="18"/>
              </w:rPr>
            </w:pPr>
            <w:r w:rsidRPr="00CF66BE">
              <w:rPr>
                <w:rFonts w:ascii="Calibri" w:hAnsi="Calibri"/>
                <w:iCs/>
                <w:sz w:val="18"/>
                <w:szCs w:val="18"/>
              </w:rPr>
              <w:t>This measure shows the returns from customers after impairment charges.</w:t>
            </w:r>
          </w:p>
        </w:tc>
      </w:tr>
      <w:tr w:rsidR="00105C00" w:rsidRPr="000551ED" w14:paraId="77539DE6" w14:textId="77777777" w:rsidTr="00CF66BE">
        <w:trPr>
          <w:trHeight w:val="1049"/>
        </w:trPr>
        <w:tc>
          <w:tcPr>
            <w:tcW w:w="1829" w:type="dxa"/>
          </w:tcPr>
          <w:p w14:paraId="31B38319" w14:textId="2B54903E" w:rsidR="007B0A7D" w:rsidRPr="00105C00" w:rsidRDefault="00CE3568" w:rsidP="007B0A7D">
            <w:pPr>
              <w:spacing w:after="160" w:line="259" w:lineRule="auto"/>
              <w:rPr>
                <w:rFonts w:ascii="Calibri" w:hAnsi="Calibri"/>
                <w:b/>
                <w:bCs/>
                <w:iCs/>
                <w:sz w:val="20"/>
                <w:szCs w:val="20"/>
              </w:rPr>
            </w:pPr>
            <w:r w:rsidRPr="00105C00">
              <w:rPr>
                <w:rFonts w:ascii="Calibri" w:hAnsi="Calibri"/>
                <w:b/>
                <w:bCs/>
                <w:iCs/>
                <w:sz w:val="20"/>
                <w:szCs w:val="20"/>
              </w:rPr>
              <w:t>Asset yield</w:t>
            </w:r>
          </w:p>
        </w:tc>
        <w:tc>
          <w:tcPr>
            <w:tcW w:w="4091" w:type="dxa"/>
          </w:tcPr>
          <w:p w14:paraId="43B823CA" w14:textId="766FF053" w:rsidR="00FC67A9" w:rsidRPr="00CF66BE" w:rsidRDefault="00CE3568" w:rsidP="009D68BF">
            <w:pPr>
              <w:spacing w:after="160" w:line="259" w:lineRule="auto"/>
              <w:jc w:val="both"/>
              <w:rPr>
                <w:rFonts w:ascii="Calibri" w:hAnsi="Calibri"/>
                <w:b/>
                <w:bCs/>
                <w:iCs/>
                <w:sz w:val="18"/>
                <w:szCs w:val="18"/>
              </w:rPr>
            </w:pPr>
            <w:r w:rsidRPr="00CF66BE">
              <w:rPr>
                <w:rFonts w:ascii="Calibri" w:hAnsi="Calibri"/>
                <w:iCs/>
                <w:sz w:val="18"/>
                <w:szCs w:val="18"/>
              </w:rPr>
              <w:t xml:space="preserve">Interest income from customer receivables for the period multiplied by 365/181, as a percentage of average gross </w:t>
            </w:r>
            <w:r w:rsidR="007404AD" w:rsidRPr="00CF66BE">
              <w:rPr>
                <w:rFonts w:ascii="Calibri" w:hAnsi="Calibri"/>
                <w:sz w:val="18"/>
                <w:szCs w:val="18"/>
              </w:rPr>
              <w:t xml:space="preserve">customer interest earning </w:t>
            </w:r>
            <w:r w:rsidR="00937790" w:rsidRPr="00CF66BE">
              <w:rPr>
                <w:rFonts w:ascii="Calibri" w:hAnsi="Calibri"/>
                <w:sz w:val="18"/>
                <w:szCs w:val="18"/>
              </w:rPr>
              <w:t>balances</w:t>
            </w:r>
            <w:r w:rsidR="00740E89" w:rsidRPr="00CF66BE">
              <w:rPr>
                <w:rFonts w:ascii="Calibri" w:hAnsi="Calibri"/>
                <w:sz w:val="18"/>
                <w:szCs w:val="18"/>
              </w:rPr>
              <w:t>.</w:t>
            </w:r>
          </w:p>
        </w:tc>
        <w:tc>
          <w:tcPr>
            <w:tcW w:w="3746" w:type="dxa"/>
          </w:tcPr>
          <w:p w14:paraId="7851DB36" w14:textId="72B80890" w:rsidR="00105C00" w:rsidRPr="00CF66BE" w:rsidRDefault="00305079" w:rsidP="009D68BF">
            <w:pPr>
              <w:spacing w:after="160" w:line="259" w:lineRule="auto"/>
              <w:jc w:val="both"/>
              <w:rPr>
                <w:rFonts w:ascii="Calibri" w:hAnsi="Calibri"/>
                <w:iCs/>
                <w:sz w:val="18"/>
                <w:szCs w:val="18"/>
              </w:rPr>
            </w:pPr>
            <w:r w:rsidRPr="00CF66BE">
              <w:rPr>
                <w:rFonts w:ascii="Calibri" w:hAnsi="Calibri"/>
                <w:iCs/>
                <w:sz w:val="18"/>
                <w:szCs w:val="18"/>
              </w:rPr>
              <w:t>This measure shows the returns generated from customer receivables to allow comparison to other banks and banking groups.</w:t>
            </w:r>
          </w:p>
        </w:tc>
      </w:tr>
      <w:tr w:rsidR="00105C00" w:rsidRPr="000551ED" w14:paraId="169E58D8" w14:textId="77777777" w:rsidTr="00CF66BE">
        <w:trPr>
          <w:trHeight w:val="1049"/>
        </w:trPr>
        <w:tc>
          <w:tcPr>
            <w:tcW w:w="1829" w:type="dxa"/>
          </w:tcPr>
          <w:p w14:paraId="0F8E4A67" w14:textId="18091F4D" w:rsidR="007B0A7D" w:rsidRPr="00105C00" w:rsidRDefault="00CE3568" w:rsidP="007B0A7D">
            <w:pPr>
              <w:spacing w:after="160" w:line="259" w:lineRule="auto"/>
              <w:rPr>
                <w:rFonts w:ascii="Calibri" w:hAnsi="Calibri"/>
                <w:b/>
                <w:bCs/>
                <w:iCs/>
                <w:sz w:val="20"/>
                <w:szCs w:val="20"/>
              </w:rPr>
            </w:pPr>
            <w:r w:rsidRPr="00105C00">
              <w:rPr>
                <w:rFonts w:ascii="Calibri" w:hAnsi="Calibri"/>
                <w:b/>
                <w:bCs/>
                <w:iCs/>
                <w:sz w:val="20"/>
                <w:szCs w:val="20"/>
              </w:rPr>
              <w:t>Cost of risk</w:t>
            </w:r>
          </w:p>
        </w:tc>
        <w:tc>
          <w:tcPr>
            <w:tcW w:w="4091" w:type="dxa"/>
          </w:tcPr>
          <w:p w14:paraId="0AC2A76B" w14:textId="4EE41A26" w:rsidR="00FC67A9" w:rsidRPr="00CF66BE" w:rsidRDefault="00CE3568" w:rsidP="009D68BF">
            <w:pPr>
              <w:spacing w:after="160" w:line="259" w:lineRule="auto"/>
              <w:jc w:val="both"/>
              <w:rPr>
                <w:rFonts w:ascii="Calibri" w:hAnsi="Calibri"/>
                <w:b/>
                <w:bCs/>
                <w:iCs/>
                <w:sz w:val="18"/>
                <w:szCs w:val="18"/>
              </w:rPr>
            </w:pPr>
            <w:r w:rsidRPr="00CF66BE">
              <w:rPr>
                <w:rFonts w:ascii="Calibri" w:hAnsi="Calibri"/>
                <w:iCs/>
                <w:sz w:val="18"/>
                <w:szCs w:val="18"/>
              </w:rPr>
              <w:t xml:space="preserve">Impairment charges for the period multiplied by 365/181, as a percentage of average gross </w:t>
            </w:r>
            <w:r w:rsidR="007404AD" w:rsidRPr="00CF66BE">
              <w:rPr>
                <w:rFonts w:ascii="Calibri" w:hAnsi="Calibri"/>
                <w:sz w:val="18"/>
                <w:szCs w:val="18"/>
              </w:rPr>
              <w:t xml:space="preserve">customer interest earning </w:t>
            </w:r>
            <w:r w:rsidR="00937790" w:rsidRPr="00CF66BE">
              <w:rPr>
                <w:rFonts w:ascii="Calibri" w:hAnsi="Calibri"/>
                <w:sz w:val="18"/>
                <w:szCs w:val="18"/>
              </w:rPr>
              <w:t>balances</w:t>
            </w:r>
            <w:r w:rsidR="00740E89" w:rsidRPr="00CF66BE">
              <w:rPr>
                <w:rFonts w:ascii="Calibri" w:hAnsi="Calibri"/>
                <w:sz w:val="18"/>
                <w:szCs w:val="18"/>
              </w:rPr>
              <w:t>.</w:t>
            </w:r>
          </w:p>
        </w:tc>
        <w:tc>
          <w:tcPr>
            <w:tcW w:w="3746" w:type="dxa"/>
          </w:tcPr>
          <w:p w14:paraId="5DDD8759" w14:textId="797772F3" w:rsidR="00105C00" w:rsidRPr="00CF66BE" w:rsidRDefault="00662D5C" w:rsidP="009D68BF">
            <w:pPr>
              <w:spacing w:after="160" w:line="259" w:lineRule="auto"/>
              <w:jc w:val="both"/>
              <w:rPr>
                <w:rFonts w:ascii="Calibri" w:hAnsi="Calibri"/>
                <w:iCs/>
                <w:sz w:val="18"/>
                <w:szCs w:val="18"/>
              </w:rPr>
            </w:pPr>
            <w:r w:rsidRPr="00CF66BE">
              <w:rPr>
                <w:rFonts w:ascii="Calibri" w:hAnsi="Calibri"/>
                <w:iCs/>
                <w:sz w:val="18"/>
                <w:szCs w:val="18"/>
              </w:rPr>
              <w:t>This measure shows the cost of impairment charges on customer receivables to allow comparison to other banks and banking groups.</w:t>
            </w:r>
          </w:p>
        </w:tc>
      </w:tr>
      <w:tr w:rsidR="00105C00" w:rsidRPr="000551ED" w14:paraId="00804B21" w14:textId="77777777" w:rsidTr="00CF66BE">
        <w:trPr>
          <w:trHeight w:val="1269"/>
        </w:trPr>
        <w:tc>
          <w:tcPr>
            <w:tcW w:w="1829" w:type="dxa"/>
          </w:tcPr>
          <w:p w14:paraId="29E34A5B" w14:textId="065493CB" w:rsidR="007B0A7D" w:rsidRPr="00105C00" w:rsidRDefault="00CE3568" w:rsidP="007B0A7D">
            <w:pPr>
              <w:spacing w:after="160" w:line="259" w:lineRule="auto"/>
              <w:rPr>
                <w:rFonts w:ascii="Calibri" w:hAnsi="Calibri"/>
                <w:b/>
                <w:bCs/>
                <w:iCs/>
                <w:sz w:val="20"/>
                <w:szCs w:val="20"/>
              </w:rPr>
            </w:pPr>
            <w:proofErr w:type="spellStart"/>
            <w:r w:rsidRPr="00105C00">
              <w:rPr>
                <w:rFonts w:ascii="Calibri" w:hAnsi="Calibri"/>
                <w:b/>
                <w:bCs/>
                <w:iCs/>
                <w:sz w:val="20"/>
                <w:szCs w:val="20"/>
              </w:rPr>
              <w:t>Cost:income</w:t>
            </w:r>
            <w:proofErr w:type="spellEnd"/>
            <w:r w:rsidRPr="00105C00">
              <w:rPr>
                <w:rFonts w:ascii="Calibri" w:hAnsi="Calibri"/>
                <w:b/>
                <w:bCs/>
                <w:iCs/>
                <w:sz w:val="20"/>
                <w:szCs w:val="20"/>
              </w:rPr>
              <w:t xml:space="preserve"> ratio</w:t>
            </w:r>
          </w:p>
        </w:tc>
        <w:tc>
          <w:tcPr>
            <w:tcW w:w="4091" w:type="dxa"/>
          </w:tcPr>
          <w:p w14:paraId="52079A50" w14:textId="2E181EDC" w:rsidR="00FC67A9" w:rsidRPr="00CF66BE" w:rsidRDefault="00CE3568" w:rsidP="009D68BF">
            <w:pPr>
              <w:spacing w:after="160" w:line="259" w:lineRule="auto"/>
              <w:jc w:val="both"/>
              <w:rPr>
                <w:rFonts w:ascii="Calibri" w:hAnsi="Calibri"/>
                <w:b/>
                <w:bCs/>
                <w:iCs/>
                <w:sz w:val="18"/>
                <w:szCs w:val="18"/>
              </w:rPr>
            </w:pPr>
            <w:r w:rsidRPr="00CF66BE">
              <w:rPr>
                <w:rFonts w:ascii="Calibri" w:hAnsi="Calibri"/>
                <w:iCs/>
                <w:sz w:val="18"/>
                <w:szCs w:val="18"/>
              </w:rPr>
              <w:t>Operating costs, excluding exceptional items for the period multiplied by 365/181 as a percentage of total income, excluding exceptional items for the period multiplied by 365/181.</w:t>
            </w:r>
          </w:p>
        </w:tc>
        <w:tc>
          <w:tcPr>
            <w:tcW w:w="3746" w:type="dxa"/>
          </w:tcPr>
          <w:p w14:paraId="53C32571" w14:textId="4620CE2E" w:rsidR="00105C00" w:rsidRPr="00CF66BE" w:rsidRDefault="00FC3E6C" w:rsidP="009D68BF">
            <w:pPr>
              <w:spacing w:after="160" w:line="259" w:lineRule="auto"/>
              <w:jc w:val="both"/>
              <w:rPr>
                <w:rFonts w:ascii="Calibri" w:hAnsi="Calibri"/>
                <w:iCs/>
                <w:sz w:val="18"/>
                <w:szCs w:val="18"/>
              </w:rPr>
            </w:pPr>
            <w:r w:rsidRPr="00CF66BE">
              <w:rPr>
                <w:rFonts w:ascii="Calibri" w:hAnsi="Calibri"/>
                <w:iCs/>
                <w:sz w:val="18"/>
                <w:szCs w:val="18"/>
              </w:rPr>
              <w:t>This ratio is a measure of the efficiency of the Group’s cost base.</w:t>
            </w:r>
          </w:p>
        </w:tc>
      </w:tr>
      <w:tr w:rsidR="00105C00" w:rsidRPr="000551ED" w14:paraId="3816820F" w14:textId="77777777" w:rsidTr="00CF66BE">
        <w:trPr>
          <w:trHeight w:val="2176"/>
        </w:trPr>
        <w:tc>
          <w:tcPr>
            <w:tcW w:w="1829" w:type="dxa"/>
          </w:tcPr>
          <w:p w14:paraId="1B2E5573" w14:textId="4E9A034D" w:rsidR="007B0A7D" w:rsidRPr="006D2220" w:rsidRDefault="00CE3568" w:rsidP="007B0A7D">
            <w:pPr>
              <w:spacing w:after="160" w:line="259" w:lineRule="auto"/>
              <w:rPr>
                <w:rFonts w:ascii="Calibri" w:hAnsi="Calibri"/>
                <w:b/>
                <w:sz w:val="20"/>
                <w:szCs w:val="20"/>
              </w:rPr>
            </w:pPr>
            <w:r w:rsidRPr="006D2220">
              <w:rPr>
                <w:rFonts w:ascii="Calibri" w:hAnsi="Calibri"/>
                <w:b/>
                <w:sz w:val="20"/>
                <w:szCs w:val="20"/>
              </w:rPr>
              <w:t xml:space="preserve">Adjusted return on </w:t>
            </w:r>
            <w:r w:rsidR="00A16B4B" w:rsidRPr="006D2220">
              <w:rPr>
                <w:rFonts w:ascii="Calibri" w:hAnsi="Calibri"/>
                <w:b/>
                <w:sz w:val="20"/>
                <w:szCs w:val="20"/>
              </w:rPr>
              <w:t>tangible</w:t>
            </w:r>
            <w:r w:rsidRPr="006D2220">
              <w:rPr>
                <w:rFonts w:ascii="Calibri" w:hAnsi="Calibri"/>
                <w:b/>
                <w:sz w:val="20"/>
                <w:szCs w:val="20"/>
              </w:rPr>
              <w:t xml:space="preserve"> equity (ROTE)</w:t>
            </w:r>
          </w:p>
        </w:tc>
        <w:tc>
          <w:tcPr>
            <w:tcW w:w="4091" w:type="dxa"/>
          </w:tcPr>
          <w:p w14:paraId="200CE1C1" w14:textId="01212CC9" w:rsidR="00FC67A9" w:rsidRPr="00CF66BE" w:rsidRDefault="00CE3568" w:rsidP="009D68BF">
            <w:pPr>
              <w:spacing w:after="160" w:line="259" w:lineRule="auto"/>
              <w:jc w:val="both"/>
              <w:rPr>
                <w:rFonts w:ascii="Calibri" w:hAnsi="Calibri"/>
                <w:iCs/>
                <w:sz w:val="18"/>
                <w:szCs w:val="18"/>
              </w:rPr>
            </w:pPr>
            <w:r w:rsidRPr="00CF66BE">
              <w:rPr>
                <w:rFonts w:ascii="Calibri" w:hAnsi="Calibri"/>
                <w:iCs/>
                <w:sz w:val="18"/>
                <w:szCs w:val="18"/>
              </w:rPr>
              <w:t xml:space="preserve">Adjusted (loss)/profit after </w:t>
            </w:r>
            <w:r w:rsidR="00352B27" w:rsidRPr="00CF66BE">
              <w:rPr>
                <w:rFonts w:ascii="Calibri" w:hAnsi="Calibri"/>
                <w:iCs/>
                <w:sz w:val="18"/>
                <w:szCs w:val="18"/>
              </w:rPr>
              <w:t>tax</w:t>
            </w:r>
            <w:r w:rsidR="008F42BF" w:rsidRPr="00CF66BE">
              <w:rPr>
                <w:rFonts w:ascii="Calibri" w:hAnsi="Calibri"/>
                <w:iCs/>
                <w:sz w:val="18"/>
                <w:szCs w:val="18"/>
              </w:rPr>
              <w:t xml:space="preserve"> net of</w:t>
            </w:r>
            <w:r w:rsidR="00747C9E" w:rsidRPr="00CF66BE">
              <w:rPr>
                <w:rFonts w:ascii="Calibri" w:hAnsi="Calibri"/>
                <w:iCs/>
                <w:sz w:val="18"/>
                <w:szCs w:val="18"/>
              </w:rPr>
              <w:t xml:space="preserve"> </w:t>
            </w:r>
            <w:r w:rsidR="00CF7CE2" w:rsidRPr="00CF66BE">
              <w:rPr>
                <w:rFonts w:ascii="Calibri" w:hAnsi="Calibri"/>
                <w:iCs/>
                <w:sz w:val="18"/>
                <w:szCs w:val="18"/>
              </w:rPr>
              <w:t>fair value gains</w:t>
            </w:r>
            <w:r w:rsidRPr="00CF66BE">
              <w:rPr>
                <w:rFonts w:ascii="Calibri" w:hAnsi="Calibri"/>
                <w:iCs/>
                <w:sz w:val="18"/>
                <w:szCs w:val="18"/>
              </w:rPr>
              <w:t xml:space="preserve"> for the period multiplied by 365/181</w:t>
            </w:r>
            <w:r w:rsidR="00F836AE">
              <w:rPr>
                <w:rFonts w:ascii="Calibri" w:hAnsi="Calibri"/>
                <w:iCs/>
                <w:sz w:val="18"/>
                <w:szCs w:val="18"/>
              </w:rPr>
              <w:t xml:space="preserve"> as a percentage </w:t>
            </w:r>
            <w:r w:rsidR="00B92784">
              <w:rPr>
                <w:rFonts w:ascii="Calibri" w:hAnsi="Calibri"/>
                <w:iCs/>
                <w:sz w:val="18"/>
                <w:szCs w:val="18"/>
              </w:rPr>
              <w:t xml:space="preserve">of average </w:t>
            </w:r>
            <w:r w:rsidR="003124AF">
              <w:rPr>
                <w:rFonts w:ascii="Calibri" w:hAnsi="Calibri"/>
                <w:iCs/>
                <w:sz w:val="18"/>
                <w:szCs w:val="18"/>
              </w:rPr>
              <w:t>adjusted</w:t>
            </w:r>
            <w:r w:rsidR="00EF2A05">
              <w:rPr>
                <w:rFonts w:ascii="Calibri" w:hAnsi="Calibri"/>
                <w:iCs/>
                <w:sz w:val="18"/>
                <w:szCs w:val="18"/>
              </w:rPr>
              <w:t xml:space="preserve"> tangible </w:t>
            </w:r>
            <w:r w:rsidR="0095712B">
              <w:rPr>
                <w:rFonts w:ascii="Calibri" w:hAnsi="Calibri"/>
                <w:iCs/>
                <w:sz w:val="18"/>
                <w:szCs w:val="18"/>
              </w:rPr>
              <w:t xml:space="preserve">equity </w:t>
            </w:r>
            <w:r w:rsidR="009114FF">
              <w:rPr>
                <w:rFonts w:ascii="Calibri" w:hAnsi="Calibri"/>
                <w:iCs/>
                <w:sz w:val="18"/>
                <w:szCs w:val="18"/>
              </w:rPr>
              <w:t>for the 7 months ended</w:t>
            </w:r>
            <w:r w:rsidR="003B3975">
              <w:rPr>
                <w:rFonts w:ascii="Calibri" w:hAnsi="Calibri"/>
                <w:iCs/>
                <w:sz w:val="18"/>
                <w:szCs w:val="18"/>
              </w:rPr>
              <w:t xml:space="preserve"> 30 June</w:t>
            </w:r>
            <w:r w:rsidR="009D584C">
              <w:rPr>
                <w:rFonts w:ascii="Calibri" w:hAnsi="Calibri"/>
                <w:iCs/>
                <w:sz w:val="18"/>
                <w:szCs w:val="18"/>
              </w:rPr>
              <w:t>.</w:t>
            </w:r>
            <w:r w:rsidR="002F34D3" w:rsidRPr="00CF66BE">
              <w:rPr>
                <w:rFonts w:ascii="Calibri" w:hAnsi="Calibri"/>
                <w:iCs/>
                <w:sz w:val="18"/>
                <w:szCs w:val="18"/>
              </w:rPr>
              <w:t xml:space="preserve"> Adjusted tangible equity is stated as equity after deducting the Group’s pension asset, net of deferred tax, and the fair value of derivative financial instruments,</w:t>
            </w:r>
            <w:r w:rsidR="00E27BBB">
              <w:rPr>
                <w:rFonts w:ascii="Calibri" w:hAnsi="Calibri"/>
                <w:iCs/>
                <w:sz w:val="18"/>
                <w:szCs w:val="18"/>
              </w:rPr>
              <w:t xml:space="preserve"> </w:t>
            </w:r>
            <w:r w:rsidR="002F34D3" w:rsidRPr="00CF66BE">
              <w:rPr>
                <w:rFonts w:ascii="Calibri" w:hAnsi="Calibri"/>
                <w:iCs/>
                <w:sz w:val="18"/>
                <w:szCs w:val="18"/>
              </w:rPr>
              <w:t>net of deferred tax less</w:t>
            </w:r>
            <w:r w:rsidR="001056BD" w:rsidRPr="00CF66BE">
              <w:rPr>
                <w:rFonts w:ascii="Calibri" w:hAnsi="Calibri"/>
                <w:iCs/>
                <w:sz w:val="18"/>
                <w:szCs w:val="18"/>
              </w:rPr>
              <w:t xml:space="preserve"> </w:t>
            </w:r>
            <w:r w:rsidR="002F34D3" w:rsidRPr="00CF66BE">
              <w:rPr>
                <w:rFonts w:ascii="Calibri" w:hAnsi="Calibri"/>
                <w:iCs/>
                <w:sz w:val="18"/>
                <w:szCs w:val="18"/>
              </w:rPr>
              <w:t>intangible assets and goodwill</w:t>
            </w:r>
            <w:r w:rsidR="00777F31">
              <w:rPr>
                <w:rFonts w:ascii="Calibri" w:hAnsi="Calibri"/>
                <w:iCs/>
                <w:sz w:val="18"/>
                <w:szCs w:val="18"/>
              </w:rPr>
              <w:t>.</w:t>
            </w:r>
          </w:p>
        </w:tc>
        <w:tc>
          <w:tcPr>
            <w:tcW w:w="3746" w:type="dxa"/>
          </w:tcPr>
          <w:p w14:paraId="2F8262D6" w14:textId="2C84A3E2" w:rsidR="00105C00" w:rsidRPr="00CF66BE" w:rsidRDefault="00507A00" w:rsidP="009D68BF">
            <w:pPr>
              <w:spacing w:after="160" w:line="259" w:lineRule="auto"/>
              <w:jc w:val="both"/>
              <w:rPr>
                <w:rFonts w:ascii="Calibri" w:hAnsi="Calibri"/>
                <w:iCs/>
                <w:sz w:val="18"/>
                <w:szCs w:val="18"/>
              </w:rPr>
            </w:pPr>
            <w:r w:rsidRPr="00CF66BE">
              <w:rPr>
                <w:rFonts w:ascii="Calibri" w:hAnsi="Calibri"/>
                <w:iCs/>
                <w:sz w:val="18"/>
                <w:szCs w:val="18"/>
              </w:rPr>
              <w:t>This demonstrates how well the Group’s returns are generated from its tangible equity, removing the impact of whether development has occurred through organic or inorganic growth.</w:t>
            </w:r>
          </w:p>
        </w:tc>
      </w:tr>
      <w:tr w:rsidR="007D4C31" w:rsidRPr="000551ED" w14:paraId="2DED2031" w14:textId="77777777" w:rsidTr="00CF66BE">
        <w:trPr>
          <w:trHeight w:val="816"/>
        </w:trPr>
        <w:tc>
          <w:tcPr>
            <w:tcW w:w="1829" w:type="dxa"/>
          </w:tcPr>
          <w:p w14:paraId="15C55AB3" w14:textId="2D702040" w:rsidR="007D4C31" w:rsidRPr="006D2220" w:rsidRDefault="00185E31" w:rsidP="00CE3568">
            <w:pPr>
              <w:spacing w:after="160" w:line="259" w:lineRule="auto"/>
              <w:rPr>
                <w:rFonts w:ascii="Calibri" w:hAnsi="Calibri"/>
                <w:b/>
                <w:bCs/>
                <w:iCs/>
                <w:sz w:val="20"/>
                <w:szCs w:val="20"/>
              </w:rPr>
            </w:pPr>
            <w:r>
              <w:rPr>
                <w:rFonts w:ascii="Calibri" w:hAnsi="Calibri"/>
                <w:b/>
                <w:bCs/>
                <w:iCs/>
                <w:sz w:val="20"/>
                <w:szCs w:val="20"/>
              </w:rPr>
              <w:t>Tangible net ass</w:t>
            </w:r>
            <w:r w:rsidR="00B32F05">
              <w:rPr>
                <w:rFonts w:ascii="Calibri" w:hAnsi="Calibri"/>
                <w:b/>
                <w:bCs/>
                <w:iCs/>
                <w:sz w:val="20"/>
                <w:szCs w:val="20"/>
              </w:rPr>
              <w:t>et value</w:t>
            </w:r>
            <w:r w:rsidR="00790F91">
              <w:rPr>
                <w:rFonts w:ascii="Calibri" w:hAnsi="Calibri"/>
                <w:b/>
                <w:bCs/>
                <w:iCs/>
                <w:sz w:val="20"/>
                <w:szCs w:val="20"/>
              </w:rPr>
              <w:t xml:space="preserve"> per share</w:t>
            </w:r>
            <w:r w:rsidR="00B32F05">
              <w:rPr>
                <w:rFonts w:ascii="Calibri" w:hAnsi="Calibri"/>
                <w:b/>
                <w:bCs/>
                <w:iCs/>
                <w:sz w:val="20"/>
                <w:szCs w:val="20"/>
              </w:rPr>
              <w:t xml:space="preserve"> (TNAV)</w:t>
            </w:r>
          </w:p>
        </w:tc>
        <w:tc>
          <w:tcPr>
            <w:tcW w:w="4091" w:type="dxa"/>
          </w:tcPr>
          <w:p w14:paraId="4F35350E" w14:textId="5654C897" w:rsidR="007D4C31" w:rsidRPr="00CF66BE" w:rsidRDefault="00790F91" w:rsidP="002725AC">
            <w:pPr>
              <w:jc w:val="both"/>
              <w:rPr>
                <w:rFonts w:ascii="Calibri" w:hAnsi="Calibri"/>
                <w:iCs/>
                <w:sz w:val="18"/>
                <w:szCs w:val="18"/>
              </w:rPr>
            </w:pPr>
            <w:r w:rsidRPr="00CF66BE">
              <w:rPr>
                <w:rFonts w:ascii="Calibri" w:eastAsia="Calibri" w:hAnsi="Calibri"/>
                <w:sz w:val="18"/>
                <w:szCs w:val="18"/>
              </w:rPr>
              <w:t>TNAV per share is calculated as</w:t>
            </w:r>
            <w:r w:rsidR="00BF33E5">
              <w:rPr>
                <w:rFonts w:ascii="Calibri" w:eastAsia="Calibri" w:hAnsi="Calibri"/>
                <w:sz w:val="18"/>
                <w:szCs w:val="18"/>
              </w:rPr>
              <w:t xml:space="preserve"> average</w:t>
            </w:r>
            <w:r w:rsidR="00B930A6" w:rsidRPr="00CF66BE">
              <w:rPr>
                <w:rFonts w:ascii="Calibri" w:eastAsia="Calibri" w:hAnsi="Calibri"/>
                <w:sz w:val="18"/>
                <w:szCs w:val="18"/>
              </w:rPr>
              <w:t xml:space="preserve"> adjusted tangibl</w:t>
            </w:r>
            <w:r w:rsidR="00334E30" w:rsidRPr="00CF66BE">
              <w:rPr>
                <w:rFonts w:ascii="Calibri" w:eastAsia="Calibri" w:hAnsi="Calibri"/>
                <w:sz w:val="18"/>
                <w:szCs w:val="18"/>
              </w:rPr>
              <w:t>e</w:t>
            </w:r>
            <w:r w:rsidR="00B930A6" w:rsidRPr="00CF66BE">
              <w:rPr>
                <w:rFonts w:ascii="Calibri" w:eastAsia="Calibri" w:hAnsi="Calibri"/>
                <w:sz w:val="18"/>
                <w:szCs w:val="18"/>
              </w:rPr>
              <w:t xml:space="preserve"> equit</w:t>
            </w:r>
            <w:r w:rsidR="00E55F7E" w:rsidRPr="00CF66BE">
              <w:rPr>
                <w:rFonts w:ascii="Calibri" w:eastAsia="Calibri" w:hAnsi="Calibri"/>
                <w:sz w:val="18"/>
                <w:szCs w:val="18"/>
              </w:rPr>
              <w:t>y,</w:t>
            </w:r>
            <w:r w:rsidR="00B930A6" w:rsidRPr="00CF66BE">
              <w:rPr>
                <w:rFonts w:ascii="Calibri" w:eastAsia="Calibri" w:hAnsi="Calibri"/>
                <w:sz w:val="18"/>
                <w:szCs w:val="18"/>
              </w:rPr>
              <w:t xml:space="preserve"> </w:t>
            </w:r>
            <w:r w:rsidRPr="00CF66BE">
              <w:rPr>
                <w:rFonts w:ascii="Calibri" w:eastAsia="Calibri" w:hAnsi="Calibri"/>
                <w:sz w:val="18"/>
                <w:szCs w:val="18"/>
              </w:rPr>
              <w:t>divided by the weighted average number of shares in issue during the period</w:t>
            </w:r>
            <w:r w:rsidR="00C12E7D" w:rsidRPr="00CF66BE">
              <w:rPr>
                <w:rFonts w:ascii="Calibri" w:hAnsi="Calibri"/>
                <w:iCs/>
                <w:sz w:val="18"/>
                <w:szCs w:val="18"/>
              </w:rPr>
              <w:t>.</w:t>
            </w:r>
          </w:p>
        </w:tc>
        <w:tc>
          <w:tcPr>
            <w:tcW w:w="3746" w:type="dxa"/>
          </w:tcPr>
          <w:p w14:paraId="4741447C" w14:textId="0D598141" w:rsidR="007D4C31" w:rsidRPr="00CF66BE" w:rsidRDefault="00E41BB0" w:rsidP="009D68BF">
            <w:pPr>
              <w:spacing w:after="160" w:line="259" w:lineRule="auto"/>
              <w:jc w:val="both"/>
              <w:rPr>
                <w:rFonts w:ascii="Calibri" w:hAnsi="Calibri"/>
                <w:iCs/>
                <w:sz w:val="18"/>
                <w:szCs w:val="18"/>
              </w:rPr>
            </w:pPr>
            <w:r w:rsidRPr="00CF66BE">
              <w:rPr>
                <w:rFonts w:ascii="Calibri" w:hAnsi="Calibri"/>
                <w:iCs/>
                <w:sz w:val="18"/>
                <w:szCs w:val="18"/>
              </w:rPr>
              <w:t xml:space="preserve"> It is used for measuring the book value of </w:t>
            </w:r>
            <w:r w:rsidR="008015FF" w:rsidRPr="00CF66BE">
              <w:rPr>
                <w:rFonts w:ascii="Calibri" w:hAnsi="Calibri"/>
                <w:iCs/>
                <w:sz w:val="18"/>
                <w:szCs w:val="18"/>
              </w:rPr>
              <w:t>Group’s</w:t>
            </w:r>
            <w:r w:rsidRPr="00CF66BE">
              <w:rPr>
                <w:rFonts w:ascii="Calibri" w:hAnsi="Calibri"/>
                <w:iCs/>
                <w:sz w:val="18"/>
                <w:szCs w:val="18"/>
              </w:rPr>
              <w:t xml:space="preserve"> shares, after deducting intangible assets. </w:t>
            </w:r>
          </w:p>
        </w:tc>
      </w:tr>
      <w:bookmarkEnd w:id="17"/>
    </w:tbl>
    <w:p w14:paraId="3C57089C" w14:textId="6590950F" w:rsidR="00FD7573" w:rsidRDefault="00FD7573" w:rsidP="6A7632AC">
      <w:pPr>
        <w:jc w:val="both"/>
        <w:rPr>
          <w:rStyle w:val="bodycopynumber"/>
          <w:rFonts w:asciiTheme="minorHAnsi" w:hAnsiTheme="minorHAnsi"/>
          <w:b/>
          <w:bCs/>
          <w:color w:val="4747FF"/>
          <w:sz w:val="22"/>
          <w:szCs w:val="22"/>
        </w:rPr>
      </w:pPr>
    </w:p>
    <w:p w14:paraId="6F00A5D5" w14:textId="75FFE64C" w:rsidR="00FD7573" w:rsidRDefault="00FD7573" w:rsidP="6A7632AC">
      <w:pPr>
        <w:jc w:val="both"/>
        <w:rPr>
          <w:rStyle w:val="bodycopynumber"/>
          <w:rFonts w:asciiTheme="minorHAnsi" w:hAnsiTheme="minorHAnsi"/>
          <w:b/>
          <w:bCs/>
          <w:color w:val="4747FF"/>
          <w:sz w:val="22"/>
          <w:szCs w:val="22"/>
        </w:rPr>
      </w:pPr>
    </w:p>
    <w:p w14:paraId="5F5D1260" w14:textId="77777777" w:rsidR="0079470C" w:rsidRDefault="0079470C" w:rsidP="0095456B">
      <w:pPr>
        <w:jc w:val="both"/>
        <w:rPr>
          <w:rStyle w:val="bodycopynumber"/>
          <w:rFonts w:asciiTheme="minorHAnsi" w:hAnsiTheme="minorHAnsi"/>
          <w:b/>
          <w:bCs/>
          <w:color w:val="4747FF"/>
          <w:sz w:val="22"/>
          <w:szCs w:val="22"/>
        </w:rPr>
      </w:pPr>
    </w:p>
    <w:p w14:paraId="6C3CEBA9" w14:textId="38B4DFC5" w:rsidR="001321BE" w:rsidRPr="001321BE" w:rsidRDefault="001321BE" w:rsidP="0095456B">
      <w:pPr>
        <w:jc w:val="both"/>
        <w:rPr>
          <w:rFonts w:asciiTheme="minorHAnsi" w:hAnsiTheme="minorHAnsi" w:cs="Arial"/>
          <w:sz w:val="20"/>
          <w:szCs w:val="20"/>
        </w:rPr>
      </w:pPr>
      <w:r w:rsidRPr="001321BE">
        <w:rPr>
          <w:rStyle w:val="bodycopynumber"/>
          <w:rFonts w:asciiTheme="minorHAnsi" w:hAnsiTheme="minorHAnsi"/>
          <w:b/>
          <w:bCs/>
          <w:color w:val="4747FF"/>
          <w:sz w:val="22"/>
          <w:szCs w:val="22"/>
        </w:rPr>
        <w:t>Statement of directors’ responsibilities</w:t>
      </w:r>
    </w:p>
    <w:p w14:paraId="1DB9BA17" w14:textId="77777777" w:rsidR="00856E73" w:rsidRDefault="00856E73" w:rsidP="001321BE">
      <w:pPr>
        <w:ind w:left="360" w:hanging="360"/>
        <w:jc w:val="both"/>
        <w:rPr>
          <w:rFonts w:asciiTheme="minorHAnsi" w:hAnsiTheme="minorHAnsi" w:cs="Arial"/>
          <w:sz w:val="20"/>
          <w:szCs w:val="20"/>
        </w:rPr>
      </w:pPr>
    </w:p>
    <w:p w14:paraId="7829AFBF" w14:textId="5FDCA01E" w:rsidR="001321BE" w:rsidRPr="001321BE" w:rsidRDefault="001321BE" w:rsidP="008E632F">
      <w:pPr>
        <w:jc w:val="both"/>
        <w:rPr>
          <w:rFonts w:asciiTheme="minorHAnsi" w:hAnsiTheme="minorHAnsi" w:cs="Arial"/>
          <w:sz w:val="20"/>
          <w:szCs w:val="20"/>
        </w:rPr>
      </w:pPr>
      <w:r w:rsidRPr="001321BE">
        <w:rPr>
          <w:rFonts w:asciiTheme="minorHAnsi" w:hAnsiTheme="minorHAnsi" w:cs="Arial"/>
          <w:sz w:val="20"/>
          <w:szCs w:val="20"/>
        </w:rPr>
        <w:t>The directors confirm that, to the best of their knowledge, the unaudited condensed interim financial statements have been prepared in accordance with IAS 34 as</w:t>
      </w:r>
      <w:r w:rsidR="00110A5A">
        <w:rPr>
          <w:rFonts w:asciiTheme="minorHAnsi" w:hAnsiTheme="minorHAnsi" w:cs="Arial"/>
          <w:sz w:val="20"/>
          <w:szCs w:val="20"/>
        </w:rPr>
        <w:t xml:space="preserve"> contained in UK</w:t>
      </w:r>
      <w:r w:rsidRPr="001321BE">
        <w:rPr>
          <w:rFonts w:asciiTheme="minorHAnsi" w:hAnsiTheme="minorHAnsi" w:cs="Arial"/>
          <w:sz w:val="20"/>
          <w:szCs w:val="20"/>
        </w:rPr>
        <w:t xml:space="preserve"> adopted </w:t>
      </w:r>
      <w:r w:rsidR="00110A5A">
        <w:rPr>
          <w:rFonts w:asciiTheme="minorHAnsi" w:hAnsiTheme="minorHAnsi" w:cs="Arial"/>
          <w:sz w:val="20"/>
          <w:szCs w:val="20"/>
        </w:rPr>
        <w:t>IFRS</w:t>
      </w:r>
      <w:r w:rsidRPr="001321BE">
        <w:rPr>
          <w:rFonts w:asciiTheme="minorHAnsi" w:hAnsiTheme="minorHAnsi" w:cs="Arial"/>
          <w:sz w:val="20"/>
          <w:szCs w:val="20"/>
        </w:rPr>
        <w:t>, and that the interim report includes a fair review of the information required by DTR 4.2.</w:t>
      </w:r>
      <w:r w:rsidR="00114FD0">
        <w:rPr>
          <w:rFonts w:asciiTheme="minorHAnsi" w:hAnsiTheme="minorHAnsi" w:cs="Arial"/>
          <w:sz w:val="20"/>
          <w:szCs w:val="20"/>
        </w:rPr>
        <w:t>4R</w:t>
      </w:r>
      <w:r w:rsidR="00495AD0">
        <w:rPr>
          <w:rFonts w:asciiTheme="minorHAnsi" w:hAnsiTheme="minorHAnsi" w:cs="Arial"/>
          <w:sz w:val="20"/>
          <w:szCs w:val="20"/>
        </w:rPr>
        <w:t>,</w:t>
      </w:r>
      <w:r w:rsidRPr="001321BE">
        <w:rPr>
          <w:rFonts w:asciiTheme="minorHAnsi" w:hAnsiTheme="minorHAnsi" w:cs="Arial"/>
          <w:sz w:val="20"/>
          <w:szCs w:val="20"/>
        </w:rPr>
        <w:t xml:space="preserve"> DTR 4.2.7R and DTR 4.2.8R, namely:</w:t>
      </w:r>
    </w:p>
    <w:p w14:paraId="6F2F8811" w14:textId="77777777" w:rsidR="00856E73" w:rsidRPr="00856E73" w:rsidRDefault="00856E73" w:rsidP="001321BE">
      <w:pPr>
        <w:ind w:left="360" w:hanging="360"/>
        <w:jc w:val="both"/>
        <w:rPr>
          <w:rFonts w:asciiTheme="minorHAnsi" w:hAnsiTheme="minorHAnsi" w:cstheme="minorHAnsi"/>
          <w:sz w:val="20"/>
          <w:szCs w:val="20"/>
        </w:rPr>
      </w:pPr>
    </w:p>
    <w:p w14:paraId="1E65B614" w14:textId="77777777" w:rsidR="007E4F38" w:rsidRPr="007E4F38" w:rsidRDefault="001321BE" w:rsidP="007E4F38">
      <w:pPr>
        <w:pStyle w:val="ListParagraph"/>
        <w:numPr>
          <w:ilvl w:val="0"/>
          <w:numId w:val="46"/>
        </w:numPr>
        <w:jc w:val="both"/>
        <w:rPr>
          <w:rFonts w:asciiTheme="minorHAnsi" w:hAnsiTheme="minorHAnsi" w:cstheme="minorBidi"/>
          <w:sz w:val="20"/>
          <w:szCs w:val="20"/>
        </w:rPr>
      </w:pPr>
      <w:r w:rsidRPr="007E4F38">
        <w:rPr>
          <w:rFonts w:asciiTheme="minorHAnsi" w:hAnsiTheme="minorHAnsi" w:cs="Arial"/>
          <w:sz w:val="20"/>
          <w:szCs w:val="20"/>
        </w:rPr>
        <w:t>An indication of important events that have occurred during the first six months of the financial year and their impact on the unaudited condensed interim financial statements, and a description of the principal risks and uncertainties for the remaining six months of the financial year; and</w:t>
      </w:r>
    </w:p>
    <w:p w14:paraId="5622E41A" w14:textId="2DFEADFE" w:rsidR="001321BE" w:rsidRPr="007E4F38" w:rsidRDefault="001321BE" w:rsidP="007E4F38">
      <w:pPr>
        <w:pStyle w:val="ListParagraph"/>
        <w:numPr>
          <w:ilvl w:val="0"/>
          <w:numId w:val="45"/>
        </w:numPr>
        <w:jc w:val="both"/>
        <w:rPr>
          <w:rFonts w:asciiTheme="minorHAnsi" w:hAnsiTheme="minorHAnsi" w:cstheme="minorBidi"/>
          <w:sz w:val="20"/>
          <w:szCs w:val="20"/>
        </w:rPr>
      </w:pPr>
      <w:r w:rsidRPr="001321BE">
        <w:rPr>
          <w:rFonts w:asciiTheme="minorHAnsi" w:hAnsiTheme="minorHAnsi" w:cs="Arial"/>
          <w:sz w:val="20"/>
          <w:szCs w:val="20"/>
        </w:rPr>
        <w:t>Material related party transactions that have occurred in the first six months of the financial year and any material changes in the related party transactions described in the last annual report and financial statements.</w:t>
      </w:r>
    </w:p>
    <w:p w14:paraId="5B5292EC" w14:textId="77777777" w:rsidR="00856E73" w:rsidRPr="00856E73" w:rsidRDefault="00856E73" w:rsidP="001321BE">
      <w:pPr>
        <w:ind w:left="360" w:hanging="360"/>
        <w:jc w:val="both"/>
        <w:rPr>
          <w:rFonts w:asciiTheme="minorHAnsi" w:hAnsiTheme="minorHAnsi" w:cstheme="minorHAnsi"/>
          <w:sz w:val="20"/>
          <w:szCs w:val="20"/>
        </w:rPr>
      </w:pPr>
    </w:p>
    <w:p w14:paraId="1395A2B9" w14:textId="0EDEA2CE" w:rsidR="001321BE" w:rsidRPr="001321BE" w:rsidRDefault="001321BE" w:rsidP="70EA1DB7">
      <w:pPr>
        <w:jc w:val="both"/>
        <w:rPr>
          <w:rFonts w:asciiTheme="minorHAnsi" w:hAnsiTheme="minorHAnsi" w:cs="Arial"/>
          <w:sz w:val="20"/>
          <w:szCs w:val="20"/>
        </w:rPr>
      </w:pPr>
      <w:r w:rsidRPr="001321BE">
        <w:rPr>
          <w:rFonts w:asciiTheme="minorHAnsi" w:hAnsiTheme="minorHAnsi" w:cs="Arial"/>
          <w:sz w:val="20"/>
          <w:szCs w:val="20"/>
        </w:rPr>
        <w:t xml:space="preserve">A list of current directors is maintained on the </w:t>
      </w:r>
      <w:r w:rsidR="00856E73" w:rsidRPr="70EA1DB7">
        <w:rPr>
          <w:rFonts w:asciiTheme="minorHAnsi" w:hAnsiTheme="minorHAnsi" w:cstheme="minorBidi"/>
          <w:sz w:val="20"/>
          <w:szCs w:val="20"/>
        </w:rPr>
        <w:t>Vanquis Banking Group</w:t>
      </w:r>
      <w:r w:rsidRPr="001321BE">
        <w:rPr>
          <w:rFonts w:asciiTheme="minorHAnsi" w:hAnsiTheme="minorHAnsi" w:cs="Arial"/>
          <w:sz w:val="20"/>
          <w:szCs w:val="20"/>
        </w:rPr>
        <w:t xml:space="preserve"> plc website</w:t>
      </w:r>
      <w:r w:rsidRPr="00480015">
        <w:rPr>
          <w:rFonts w:asciiTheme="minorHAnsi" w:hAnsiTheme="minorHAnsi" w:cs="Arial"/>
          <w:sz w:val="20"/>
          <w:szCs w:val="20"/>
        </w:rPr>
        <w:t xml:space="preserve">: </w:t>
      </w:r>
      <w:hyperlink r:id="rId16">
        <w:r w:rsidRPr="70EA1DB7">
          <w:rPr>
            <w:rStyle w:val="Hyperlink"/>
            <w:rFonts w:asciiTheme="minorHAnsi" w:hAnsiTheme="minorHAnsi" w:cstheme="minorBidi"/>
            <w:sz w:val="20"/>
            <w:szCs w:val="20"/>
          </w:rPr>
          <w:t>www.</w:t>
        </w:r>
        <w:r w:rsidR="00847311" w:rsidRPr="70EA1DB7">
          <w:rPr>
            <w:rStyle w:val="Hyperlink"/>
            <w:rFonts w:asciiTheme="minorHAnsi" w:hAnsiTheme="minorHAnsi" w:cstheme="minorBidi"/>
            <w:sz w:val="20"/>
            <w:szCs w:val="20"/>
          </w:rPr>
          <w:t>vanquisbankinggroup</w:t>
        </w:r>
        <w:r w:rsidRPr="70EA1DB7">
          <w:rPr>
            <w:rStyle w:val="Hyperlink"/>
            <w:rFonts w:asciiTheme="minorHAnsi" w:hAnsiTheme="minorHAnsi" w:cstheme="minorBidi"/>
            <w:sz w:val="20"/>
            <w:szCs w:val="20"/>
          </w:rPr>
          <w:t>.com</w:t>
        </w:r>
      </w:hyperlink>
      <w:r w:rsidRPr="70EA1DB7">
        <w:rPr>
          <w:rFonts w:asciiTheme="minorHAnsi" w:hAnsiTheme="minorHAnsi" w:cstheme="minorBidi"/>
          <w:sz w:val="20"/>
          <w:szCs w:val="20"/>
        </w:rPr>
        <w:t xml:space="preserve">. </w:t>
      </w:r>
      <w:r w:rsidRPr="001321BE">
        <w:rPr>
          <w:rFonts w:asciiTheme="minorHAnsi" w:hAnsiTheme="minorHAnsi" w:cs="Arial"/>
          <w:sz w:val="20"/>
          <w:szCs w:val="20"/>
        </w:rPr>
        <w:t xml:space="preserve">All directors were present throughout the six months ended 30 June </w:t>
      </w:r>
      <w:r w:rsidRPr="70EA1DB7">
        <w:rPr>
          <w:rFonts w:asciiTheme="minorHAnsi" w:hAnsiTheme="minorHAnsi" w:cstheme="minorBidi"/>
          <w:sz w:val="20"/>
          <w:szCs w:val="20"/>
        </w:rPr>
        <w:t>202</w:t>
      </w:r>
      <w:r w:rsidR="008F45C7" w:rsidRPr="70EA1DB7">
        <w:rPr>
          <w:rFonts w:asciiTheme="minorHAnsi" w:hAnsiTheme="minorHAnsi" w:cstheme="minorBidi"/>
          <w:sz w:val="20"/>
          <w:szCs w:val="20"/>
        </w:rPr>
        <w:t>4</w:t>
      </w:r>
      <w:r w:rsidRPr="001321BE">
        <w:rPr>
          <w:rFonts w:asciiTheme="minorHAnsi" w:hAnsiTheme="minorHAnsi" w:cs="Arial"/>
          <w:sz w:val="20"/>
          <w:szCs w:val="20"/>
        </w:rPr>
        <w:t xml:space="preserve"> other than those set out below:</w:t>
      </w:r>
    </w:p>
    <w:p w14:paraId="274AA1D4" w14:textId="77777777" w:rsidR="00856E73" w:rsidRPr="00856E73" w:rsidRDefault="00856E73" w:rsidP="001321BE">
      <w:pPr>
        <w:ind w:left="360" w:hanging="360"/>
        <w:jc w:val="both"/>
        <w:rPr>
          <w:rFonts w:asciiTheme="minorHAnsi" w:hAnsiTheme="minorHAnsi" w:cstheme="minorHAnsi"/>
          <w:sz w:val="20"/>
          <w:szCs w:val="20"/>
        </w:rPr>
      </w:pPr>
    </w:p>
    <w:p w14:paraId="7F8AAD4C" w14:textId="5E9F7E48" w:rsidR="000A51AC" w:rsidRPr="000A51AC" w:rsidRDefault="000A51AC" w:rsidP="007E4F38">
      <w:pPr>
        <w:pStyle w:val="ListParagraph"/>
        <w:numPr>
          <w:ilvl w:val="0"/>
          <w:numId w:val="47"/>
        </w:numPr>
        <w:jc w:val="both"/>
        <w:rPr>
          <w:rFonts w:asciiTheme="minorHAnsi" w:hAnsiTheme="minorHAnsi" w:cs="Arial"/>
          <w:sz w:val="20"/>
          <w:szCs w:val="20"/>
        </w:rPr>
      </w:pPr>
      <w:r w:rsidRPr="000A51AC">
        <w:rPr>
          <w:rFonts w:asciiTheme="minorHAnsi" w:hAnsiTheme="minorHAnsi" w:cs="Arial"/>
          <w:sz w:val="20"/>
          <w:szCs w:val="20"/>
        </w:rPr>
        <w:t xml:space="preserve">Andrea </w:t>
      </w:r>
      <w:proofErr w:type="spellStart"/>
      <w:r w:rsidRPr="000A51AC">
        <w:rPr>
          <w:rFonts w:asciiTheme="minorHAnsi" w:hAnsiTheme="minorHAnsi" w:cs="Arial"/>
          <w:sz w:val="20"/>
          <w:szCs w:val="20"/>
        </w:rPr>
        <w:t>Blance</w:t>
      </w:r>
      <w:proofErr w:type="spellEnd"/>
      <w:r w:rsidRPr="000A51AC">
        <w:rPr>
          <w:rFonts w:asciiTheme="minorHAnsi" w:hAnsiTheme="minorHAnsi" w:cs="Arial"/>
          <w:sz w:val="20"/>
          <w:szCs w:val="20"/>
        </w:rPr>
        <w:t xml:space="preserve"> stepped down from the Board on 1</w:t>
      </w:r>
      <w:r>
        <w:rPr>
          <w:rFonts w:asciiTheme="minorHAnsi" w:hAnsiTheme="minorHAnsi" w:cs="Arial"/>
          <w:sz w:val="20"/>
          <w:szCs w:val="20"/>
        </w:rPr>
        <w:t xml:space="preserve"> </w:t>
      </w:r>
      <w:r w:rsidRPr="000A51AC">
        <w:rPr>
          <w:rFonts w:asciiTheme="minorHAnsi" w:hAnsiTheme="minorHAnsi" w:cs="Arial"/>
          <w:sz w:val="20"/>
          <w:szCs w:val="20"/>
        </w:rPr>
        <w:t>February 2024</w:t>
      </w:r>
    </w:p>
    <w:p w14:paraId="06274907" w14:textId="08546A55" w:rsidR="000A51AC" w:rsidRPr="000A51AC" w:rsidRDefault="000A51AC" w:rsidP="007E4F38">
      <w:pPr>
        <w:pStyle w:val="ListParagraph"/>
        <w:numPr>
          <w:ilvl w:val="0"/>
          <w:numId w:val="47"/>
        </w:numPr>
        <w:jc w:val="both"/>
        <w:rPr>
          <w:rFonts w:asciiTheme="minorHAnsi" w:hAnsiTheme="minorHAnsi" w:cs="Arial"/>
          <w:sz w:val="20"/>
          <w:szCs w:val="20"/>
        </w:rPr>
      </w:pPr>
      <w:r w:rsidRPr="000A51AC">
        <w:rPr>
          <w:rFonts w:asciiTheme="minorHAnsi" w:hAnsiTheme="minorHAnsi" w:cs="Arial"/>
          <w:sz w:val="20"/>
          <w:szCs w:val="20"/>
        </w:rPr>
        <w:t xml:space="preserve">Karen Briggs, Oliver Laird and Jacqueline Noakes were appointed to the Board on 27 March 2024 </w:t>
      </w:r>
    </w:p>
    <w:p w14:paraId="4F33897A" w14:textId="3D8351FD" w:rsidR="00856E73" w:rsidRDefault="000A51AC" w:rsidP="007E4F38">
      <w:pPr>
        <w:pStyle w:val="ListParagraph"/>
        <w:numPr>
          <w:ilvl w:val="0"/>
          <w:numId w:val="47"/>
        </w:numPr>
        <w:jc w:val="both"/>
        <w:rPr>
          <w:rFonts w:asciiTheme="minorHAnsi" w:hAnsiTheme="minorHAnsi" w:cs="Arial"/>
          <w:sz w:val="20"/>
          <w:szCs w:val="20"/>
        </w:rPr>
      </w:pPr>
      <w:r w:rsidRPr="000A51AC">
        <w:rPr>
          <w:rFonts w:asciiTheme="minorHAnsi" w:hAnsiTheme="minorHAnsi" w:cs="Arial"/>
          <w:sz w:val="20"/>
          <w:szCs w:val="20"/>
        </w:rPr>
        <w:t>Elizabeth Chambers and Margot James stepped down from the Board on 15 May 2024</w:t>
      </w:r>
      <w:r w:rsidR="00015A74" w:rsidRPr="00015A74">
        <w:rPr>
          <w:rFonts w:asciiTheme="minorHAnsi" w:hAnsiTheme="minorHAnsi" w:cs="Arial"/>
          <w:sz w:val="20"/>
          <w:szCs w:val="20"/>
        </w:rPr>
        <w:t>.</w:t>
      </w:r>
    </w:p>
    <w:p w14:paraId="51A57673" w14:textId="77777777" w:rsidR="00015A74" w:rsidRDefault="00015A74" w:rsidP="00015A74">
      <w:pPr>
        <w:ind w:left="360" w:hanging="360"/>
        <w:jc w:val="both"/>
        <w:rPr>
          <w:rFonts w:asciiTheme="minorHAnsi" w:hAnsiTheme="minorHAnsi" w:cstheme="minorHAnsi"/>
          <w:sz w:val="20"/>
          <w:szCs w:val="20"/>
        </w:rPr>
      </w:pPr>
    </w:p>
    <w:p w14:paraId="31224BAB" w14:textId="5911509A" w:rsidR="001321BE" w:rsidRPr="001321BE" w:rsidRDefault="001321BE" w:rsidP="007E4F38">
      <w:pPr>
        <w:jc w:val="both"/>
        <w:rPr>
          <w:rFonts w:asciiTheme="minorHAnsi" w:hAnsiTheme="minorHAnsi" w:cs="Arial"/>
          <w:sz w:val="20"/>
          <w:szCs w:val="20"/>
        </w:rPr>
      </w:pPr>
      <w:r w:rsidRPr="001321BE">
        <w:rPr>
          <w:rFonts w:asciiTheme="minorHAnsi" w:hAnsiTheme="minorHAnsi" w:cs="Arial"/>
          <w:sz w:val="20"/>
          <w:szCs w:val="20"/>
        </w:rPr>
        <w:t xml:space="preserve">The maintenance and integrity of the </w:t>
      </w:r>
      <w:r w:rsidR="004A0A3D">
        <w:rPr>
          <w:rFonts w:asciiTheme="minorHAnsi" w:hAnsiTheme="minorHAnsi" w:cs="Arial"/>
          <w:sz w:val="20"/>
          <w:szCs w:val="20"/>
        </w:rPr>
        <w:t>Vanquis Banking Group</w:t>
      </w:r>
      <w:r w:rsidRPr="001321BE">
        <w:rPr>
          <w:rFonts w:asciiTheme="minorHAnsi" w:hAnsiTheme="minorHAnsi" w:cs="Arial"/>
          <w:sz w:val="20"/>
          <w:szCs w:val="20"/>
        </w:rPr>
        <w:t xml:space="preserve"> website is the responsibility of the directors. The work carried</w:t>
      </w:r>
      <w:r w:rsidR="004A0A3D">
        <w:rPr>
          <w:rFonts w:asciiTheme="minorHAnsi" w:hAnsiTheme="minorHAnsi" w:cs="Arial"/>
          <w:sz w:val="20"/>
          <w:szCs w:val="20"/>
        </w:rPr>
        <w:t xml:space="preserve"> </w:t>
      </w:r>
      <w:r w:rsidRPr="001321BE">
        <w:rPr>
          <w:rFonts w:asciiTheme="minorHAnsi" w:hAnsiTheme="minorHAnsi" w:cs="Arial"/>
          <w:sz w:val="20"/>
          <w:szCs w:val="20"/>
        </w:rPr>
        <w:t>out by the auditor does not involve consideration of these matters and, accordingly, the auditor accept no</w:t>
      </w:r>
      <w:r w:rsidR="007E4F38">
        <w:rPr>
          <w:rFonts w:asciiTheme="minorHAnsi" w:hAnsiTheme="minorHAnsi" w:cs="Arial"/>
          <w:sz w:val="20"/>
          <w:szCs w:val="20"/>
        </w:rPr>
        <w:t xml:space="preserve"> </w:t>
      </w:r>
      <w:r w:rsidRPr="001321BE">
        <w:rPr>
          <w:rFonts w:asciiTheme="minorHAnsi" w:hAnsiTheme="minorHAnsi" w:cs="Arial"/>
          <w:sz w:val="20"/>
          <w:szCs w:val="20"/>
        </w:rPr>
        <w:t>responsibility</w:t>
      </w:r>
      <w:r w:rsidR="00E13C5C">
        <w:rPr>
          <w:rFonts w:asciiTheme="minorHAnsi" w:hAnsiTheme="minorHAnsi" w:cs="Arial"/>
          <w:sz w:val="20"/>
          <w:szCs w:val="20"/>
        </w:rPr>
        <w:t xml:space="preserve"> </w:t>
      </w:r>
      <w:r w:rsidRPr="001321BE">
        <w:rPr>
          <w:rFonts w:asciiTheme="minorHAnsi" w:hAnsiTheme="minorHAnsi" w:cs="Arial"/>
          <w:sz w:val="20"/>
          <w:szCs w:val="20"/>
        </w:rPr>
        <w:t xml:space="preserve">for any changes that may have occurred to the unaudited condensed interim financial statements since </w:t>
      </w:r>
      <w:r w:rsidR="00A82E75">
        <w:rPr>
          <w:rFonts w:asciiTheme="minorHAnsi" w:hAnsiTheme="minorHAnsi" w:cs="Arial"/>
          <w:sz w:val="20"/>
          <w:szCs w:val="20"/>
        </w:rPr>
        <w:t>t</w:t>
      </w:r>
      <w:r w:rsidRPr="001321BE">
        <w:rPr>
          <w:rFonts w:asciiTheme="minorHAnsi" w:hAnsiTheme="minorHAnsi" w:cs="Arial"/>
          <w:sz w:val="20"/>
          <w:szCs w:val="20"/>
        </w:rPr>
        <w:t>hey were initiall</w:t>
      </w:r>
      <w:r w:rsidR="00856E73" w:rsidRPr="001321BE">
        <w:rPr>
          <w:rFonts w:asciiTheme="minorHAnsi" w:hAnsiTheme="minorHAnsi" w:cs="Arial"/>
          <w:sz w:val="20"/>
          <w:szCs w:val="20"/>
        </w:rPr>
        <w:t xml:space="preserve">y </w:t>
      </w:r>
      <w:r w:rsidRPr="001321BE">
        <w:rPr>
          <w:rFonts w:asciiTheme="minorHAnsi" w:hAnsiTheme="minorHAnsi" w:cs="Arial"/>
          <w:sz w:val="20"/>
          <w:szCs w:val="20"/>
        </w:rPr>
        <w:t>presented on the website.</w:t>
      </w:r>
    </w:p>
    <w:p w14:paraId="2913F714" w14:textId="77777777" w:rsidR="00D534EF" w:rsidRPr="001321BE" w:rsidRDefault="00D534EF" w:rsidP="70EA1DB7">
      <w:pPr>
        <w:jc w:val="both"/>
        <w:rPr>
          <w:rFonts w:asciiTheme="minorHAnsi" w:hAnsiTheme="minorHAnsi" w:cs="Arial"/>
          <w:sz w:val="20"/>
          <w:szCs w:val="20"/>
        </w:rPr>
      </w:pPr>
    </w:p>
    <w:p w14:paraId="0BBDADE0" w14:textId="32923F41" w:rsidR="001321BE" w:rsidRPr="001321BE" w:rsidRDefault="001321BE" w:rsidP="70EA1DB7">
      <w:pPr>
        <w:jc w:val="both"/>
        <w:rPr>
          <w:rFonts w:asciiTheme="minorHAnsi" w:hAnsiTheme="minorHAnsi" w:cs="Arial"/>
          <w:sz w:val="20"/>
          <w:szCs w:val="20"/>
        </w:rPr>
      </w:pPr>
      <w:r w:rsidRPr="001321BE">
        <w:rPr>
          <w:rFonts w:asciiTheme="minorHAnsi" w:hAnsiTheme="minorHAnsi" w:cs="Arial"/>
          <w:sz w:val="20"/>
          <w:szCs w:val="20"/>
        </w:rPr>
        <w:t>Legislation in the United Kingdom governing the preparation and dissemination of unaudited condensed interim financial statements may differ from legislation in other jurisdictions.</w:t>
      </w:r>
    </w:p>
    <w:p w14:paraId="1308DCE5" w14:textId="77777777" w:rsidR="00856E73" w:rsidRDefault="00856E73" w:rsidP="001321BE">
      <w:pPr>
        <w:ind w:left="360" w:hanging="360"/>
        <w:jc w:val="both"/>
        <w:rPr>
          <w:rFonts w:asciiTheme="minorHAnsi" w:hAnsiTheme="minorHAnsi" w:cs="Arial"/>
          <w:sz w:val="20"/>
          <w:szCs w:val="20"/>
        </w:rPr>
      </w:pPr>
    </w:p>
    <w:p w14:paraId="06C41A2F" w14:textId="77777777" w:rsidR="001321BE" w:rsidRPr="001321BE" w:rsidRDefault="001321BE" w:rsidP="001321BE">
      <w:pPr>
        <w:ind w:left="360" w:hanging="360"/>
        <w:jc w:val="both"/>
        <w:rPr>
          <w:rFonts w:asciiTheme="minorHAnsi" w:hAnsiTheme="minorHAnsi" w:cs="Arial"/>
          <w:sz w:val="20"/>
          <w:szCs w:val="20"/>
        </w:rPr>
      </w:pPr>
      <w:r w:rsidRPr="001321BE">
        <w:rPr>
          <w:rFonts w:asciiTheme="minorHAnsi" w:hAnsiTheme="minorHAnsi" w:cs="Arial"/>
          <w:sz w:val="20"/>
          <w:szCs w:val="20"/>
        </w:rPr>
        <w:t>By order of the board</w:t>
      </w:r>
    </w:p>
    <w:p w14:paraId="18AC0558" w14:textId="77777777" w:rsidR="00856E73" w:rsidRDefault="00856E73" w:rsidP="001321BE">
      <w:pPr>
        <w:ind w:left="360" w:hanging="360"/>
        <w:jc w:val="both"/>
        <w:rPr>
          <w:rFonts w:asciiTheme="minorHAnsi" w:hAnsiTheme="minorHAnsi" w:cs="Arial"/>
          <w:sz w:val="20"/>
          <w:szCs w:val="20"/>
        </w:rPr>
      </w:pPr>
    </w:p>
    <w:p w14:paraId="5EC591D4" w14:textId="38F5B848" w:rsidR="70EA1DB7" w:rsidRDefault="70EA1DB7" w:rsidP="70EA1DB7">
      <w:pPr>
        <w:ind w:left="360" w:hanging="360"/>
        <w:jc w:val="both"/>
        <w:rPr>
          <w:rFonts w:asciiTheme="minorHAnsi" w:hAnsiTheme="minorHAnsi" w:cs="Arial"/>
          <w:sz w:val="20"/>
          <w:szCs w:val="20"/>
        </w:rPr>
      </w:pPr>
    </w:p>
    <w:p w14:paraId="2C2D2C35" w14:textId="479A37A2" w:rsidR="001321BE" w:rsidRPr="001321BE" w:rsidRDefault="00F60D09" w:rsidP="001321BE">
      <w:pPr>
        <w:ind w:left="360" w:hanging="360"/>
        <w:jc w:val="both"/>
        <w:rPr>
          <w:rFonts w:asciiTheme="minorHAnsi" w:hAnsiTheme="minorHAnsi" w:cs="Arial"/>
          <w:sz w:val="20"/>
          <w:szCs w:val="20"/>
        </w:rPr>
      </w:pPr>
      <w:r>
        <w:rPr>
          <w:rFonts w:asciiTheme="minorHAnsi" w:hAnsiTheme="minorHAnsi" w:cs="Arial"/>
          <w:sz w:val="20"/>
          <w:szCs w:val="20"/>
        </w:rPr>
        <w:t xml:space="preserve">Ian </w:t>
      </w:r>
      <w:r w:rsidR="007F505F">
        <w:rPr>
          <w:rFonts w:asciiTheme="minorHAnsi" w:hAnsiTheme="minorHAnsi" w:cs="Arial"/>
          <w:sz w:val="20"/>
          <w:szCs w:val="20"/>
        </w:rPr>
        <w:t>McLaughlin</w:t>
      </w:r>
      <w:r w:rsidR="001321BE" w:rsidRPr="001321BE">
        <w:rPr>
          <w:rFonts w:asciiTheme="minorHAnsi" w:hAnsiTheme="minorHAnsi" w:cs="Arial"/>
          <w:sz w:val="20"/>
          <w:szCs w:val="20"/>
        </w:rPr>
        <w:t xml:space="preserve"> – Chief Executive Officer </w:t>
      </w:r>
      <w:r w:rsidR="00B02F53">
        <w:rPr>
          <w:rFonts w:asciiTheme="minorHAnsi" w:hAnsiTheme="minorHAnsi" w:cs="Arial"/>
          <w:sz w:val="20"/>
          <w:szCs w:val="20"/>
        </w:rPr>
        <w:tab/>
      </w:r>
      <w:r w:rsidR="007F505F">
        <w:rPr>
          <w:rFonts w:asciiTheme="minorHAnsi" w:hAnsiTheme="minorHAnsi" w:cs="Arial"/>
          <w:sz w:val="20"/>
          <w:szCs w:val="20"/>
        </w:rPr>
        <w:t>Dave Watts</w:t>
      </w:r>
      <w:r w:rsidR="001321BE" w:rsidRPr="001321BE">
        <w:rPr>
          <w:rFonts w:asciiTheme="minorHAnsi" w:hAnsiTheme="minorHAnsi" w:cs="Arial"/>
          <w:sz w:val="20"/>
          <w:szCs w:val="20"/>
        </w:rPr>
        <w:t xml:space="preserve"> – Chief Financial Officer</w:t>
      </w:r>
    </w:p>
    <w:p w14:paraId="2874AB95" w14:textId="31154723" w:rsidR="00A3021A" w:rsidRPr="002C7C8F" w:rsidRDefault="00A43593" w:rsidP="00883BF5">
      <w:pPr>
        <w:jc w:val="both"/>
      </w:pPr>
      <w:r w:rsidRPr="00CF66BE">
        <w:rPr>
          <w:rFonts w:asciiTheme="minorHAnsi" w:hAnsiTheme="minorHAnsi" w:cs="Arial"/>
          <w:sz w:val="20"/>
          <w:szCs w:val="20"/>
        </w:rPr>
        <w:t>31</w:t>
      </w:r>
      <w:r w:rsidR="001321BE" w:rsidRPr="00CF66BE">
        <w:rPr>
          <w:rFonts w:asciiTheme="minorHAnsi" w:hAnsiTheme="minorHAnsi" w:cs="Arial"/>
          <w:sz w:val="20"/>
          <w:szCs w:val="20"/>
        </w:rPr>
        <w:t xml:space="preserve"> July 202</w:t>
      </w:r>
      <w:r w:rsidRPr="00CF66BE">
        <w:rPr>
          <w:rFonts w:asciiTheme="minorHAnsi" w:hAnsiTheme="minorHAnsi" w:cs="Arial"/>
          <w:sz w:val="20"/>
          <w:szCs w:val="20"/>
        </w:rPr>
        <w:t>4</w:t>
      </w:r>
      <w:r w:rsidR="00A3021A">
        <w:tab/>
      </w:r>
      <w:bookmarkEnd w:id="15"/>
      <w:bookmarkEnd w:id="16"/>
    </w:p>
    <w:p w14:paraId="4335951C" w14:textId="31B66D6A" w:rsidR="00A3021A" w:rsidRDefault="00A3021A" w:rsidP="00607E22">
      <w:pPr>
        <w:jc w:val="both"/>
        <w:rPr>
          <w:rFonts w:asciiTheme="minorHAnsi" w:hAnsiTheme="minorHAnsi" w:cs="Arial"/>
          <w:b/>
          <w:sz w:val="20"/>
          <w:szCs w:val="20"/>
          <w:u w:val="single"/>
        </w:rPr>
      </w:pPr>
    </w:p>
    <w:sectPr w:rsidR="00A3021A" w:rsidSect="003A1E76">
      <w:headerReference w:type="even" r:id="rId17"/>
      <w:headerReference w:type="default" r:id="rId18"/>
      <w:footerReference w:type="even" r:id="rId19"/>
      <w:footerReference w:type="default" r:id="rId20"/>
      <w:headerReference w:type="first" r:id="rId21"/>
      <w:pgSz w:w="11906" w:h="16838" w:code="9"/>
      <w:pgMar w:top="1134" w:right="1106" w:bottom="1134" w:left="1077"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DFD54" w14:textId="77777777" w:rsidR="00F853F1" w:rsidRDefault="00F853F1">
      <w:r>
        <w:separator/>
      </w:r>
    </w:p>
  </w:endnote>
  <w:endnote w:type="continuationSeparator" w:id="0">
    <w:p w14:paraId="010CB941" w14:textId="77777777" w:rsidR="00F853F1" w:rsidRDefault="00F853F1">
      <w:r>
        <w:continuationSeparator/>
      </w:r>
    </w:p>
  </w:endnote>
  <w:endnote w:type="continuationNotice" w:id="1">
    <w:p w14:paraId="07F9963A" w14:textId="77777777" w:rsidR="00F853F1" w:rsidRDefault="00F853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rmes-Thin">
    <w:altName w:val="Times New Roman"/>
    <w:charset w:val="00"/>
    <w:family w:val="auto"/>
    <w:pitch w:val="variable"/>
    <w:sig w:usb0="00000083" w:usb1="00000000" w:usb2="00000000" w:usb3="00000000" w:csb0="00000009" w:csb1="00000000"/>
  </w:font>
  <w:font w:name="Clarendon">
    <w:altName w:val="Cambria"/>
    <w:charset w:val="00"/>
    <w:family w:val="roman"/>
    <w:pitch w:val="default"/>
  </w:font>
  <w:font w:name="Hermes-Regular">
    <w:altName w:val="Times New Roman"/>
    <w:charset w:val="00"/>
    <w:family w:val="auto"/>
    <w:pitch w:val="variable"/>
    <w:sig w:usb0="00000083" w:usb1="00000000" w:usb2="00000000" w:usb3="00000000" w:csb0="00000009" w:csb1="00000000"/>
  </w:font>
  <w:font w:name="Clarendon Light">
    <w:charset w:val="00"/>
    <w:family w:val="roman"/>
    <w:pitch w:val="variable"/>
    <w:sig w:usb0="00000003" w:usb1="00000000" w:usb2="00000000" w:usb3="00000000" w:csb0="00000001" w:csb1="00000000"/>
  </w:font>
  <w:font w:name="Pluto Sans Light">
    <w:altName w:val="Arial"/>
    <w:charset w:val="00"/>
    <w:family w:val="modern"/>
    <w:pitch w:val="variable"/>
    <w:sig w:usb0="00000001" w:usb1="5000207B"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Pluto Sans Medium">
    <w:altName w:val="Calibri"/>
    <w:charset w:val="00"/>
    <w:family w:val="swiss"/>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Effra Medium">
    <w:altName w:val="Effra Medium"/>
    <w:charset w:val="00"/>
    <w:family w:val="swiss"/>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 Sans Light">
    <w:charset w:val="00"/>
    <w:family w:val="swiss"/>
    <w:pitch w:val="variable"/>
    <w:sig w:usb0="E00002EF" w:usb1="4000205B" w:usb2="00000028" w:usb3="00000000" w:csb0="0000019F" w:csb1="00000000"/>
  </w:font>
  <w:font w:name="Graphik Light">
    <w:altName w:val="Calibri"/>
    <w:charset w:val="00"/>
    <w:family w:val="swiss"/>
    <w:pitch w:val="variable"/>
    <w:sig w:usb0="A000002F" w:usb1="4000045A" w:usb2="00000000" w:usb3="00000000" w:csb0="00000093" w:csb1="00000000"/>
  </w:font>
  <w:font w:name="Graphik Medium">
    <w:charset w:val="00"/>
    <w:family w:val="swiss"/>
    <w:pitch w:val="variable"/>
    <w:sig w:usb0="A000002F" w:usb1="4000045A" w:usb2="00000000" w:usb3="00000000" w:csb0="00000093" w:csb1="00000000"/>
  </w:font>
  <w:font w:name="Poppins Light">
    <w:panose1 w:val="000004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Inter Medium">
    <w:charset w:val="00"/>
    <w:family w:val="roman"/>
    <w:pitch w:val="default"/>
  </w:font>
  <w:font w:name="Inter Light BETA">
    <w:charset w:val="00"/>
    <w:family w:val="roman"/>
    <w:pitch w:val="default"/>
  </w:font>
  <w:font w:name="Poppins-Light">
    <w:altName w:val="Poppin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venir-Light">
    <w:panose1 w:val="00000000000000000000"/>
    <w:charset w:val="00"/>
    <w:family w:val="swiss"/>
    <w:notTrueType/>
    <w:pitch w:val="default"/>
    <w:sig w:usb0="00000003" w:usb1="00000000" w:usb2="00000000" w:usb3="00000000" w:csb0="00000001" w:csb1="00000000"/>
  </w:font>
  <w:font w:name="Calibri (Body)">
    <w:altName w:val="Calibri"/>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oppins-Regular">
    <w:altName w:val="Poppi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6138B" w14:textId="77777777" w:rsidR="00B7371A" w:rsidRDefault="00B737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289A0E" w14:textId="77777777" w:rsidR="00B7371A" w:rsidRDefault="00B737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0182199"/>
      <w:docPartObj>
        <w:docPartGallery w:val="Page Numbers (Bottom of Page)"/>
        <w:docPartUnique/>
      </w:docPartObj>
    </w:sdtPr>
    <w:sdtEndPr>
      <w:rPr>
        <w:rFonts w:asciiTheme="minorHAnsi" w:hAnsiTheme="minorHAnsi"/>
        <w:noProof/>
        <w:sz w:val="20"/>
      </w:rPr>
    </w:sdtEndPr>
    <w:sdtContent>
      <w:p w14:paraId="7C151006" w14:textId="6815E5D0" w:rsidR="00B7371A" w:rsidRPr="004F75DB" w:rsidRDefault="00B7371A">
        <w:pPr>
          <w:pStyle w:val="Footer"/>
          <w:jc w:val="center"/>
          <w:rPr>
            <w:rFonts w:asciiTheme="minorHAnsi" w:hAnsiTheme="minorHAnsi"/>
            <w:sz w:val="20"/>
          </w:rPr>
        </w:pPr>
        <w:r w:rsidRPr="004F75DB">
          <w:rPr>
            <w:rFonts w:asciiTheme="minorHAnsi" w:hAnsiTheme="minorHAnsi"/>
            <w:sz w:val="20"/>
          </w:rPr>
          <w:fldChar w:fldCharType="begin"/>
        </w:r>
        <w:r w:rsidRPr="004F75DB">
          <w:rPr>
            <w:rFonts w:asciiTheme="minorHAnsi" w:hAnsiTheme="minorHAnsi"/>
            <w:sz w:val="20"/>
          </w:rPr>
          <w:instrText xml:space="preserve"> PAGE   \* MERGEFORMAT </w:instrText>
        </w:r>
        <w:r w:rsidRPr="004F75DB">
          <w:rPr>
            <w:rFonts w:asciiTheme="minorHAnsi" w:hAnsiTheme="minorHAnsi"/>
            <w:sz w:val="20"/>
          </w:rPr>
          <w:fldChar w:fldCharType="separate"/>
        </w:r>
        <w:r>
          <w:rPr>
            <w:rFonts w:asciiTheme="minorHAnsi" w:hAnsiTheme="minorHAnsi"/>
            <w:noProof/>
            <w:sz w:val="20"/>
          </w:rPr>
          <w:t>21</w:t>
        </w:r>
        <w:r w:rsidRPr="004F75DB">
          <w:rPr>
            <w:rFonts w:asciiTheme="minorHAnsi" w:hAnsiTheme="minorHAnsi"/>
            <w:noProof/>
            <w:sz w:val="20"/>
          </w:rPr>
          <w:fldChar w:fldCharType="end"/>
        </w:r>
      </w:p>
    </w:sdtContent>
  </w:sdt>
  <w:p w14:paraId="0E4D130F" w14:textId="77777777" w:rsidR="00B7371A" w:rsidRPr="00702F82" w:rsidRDefault="00B7371A" w:rsidP="00B32ABF">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C6016" w14:textId="77777777" w:rsidR="00F853F1" w:rsidRDefault="00F853F1">
      <w:r>
        <w:separator/>
      </w:r>
    </w:p>
  </w:footnote>
  <w:footnote w:type="continuationSeparator" w:id="0">
    <w:p w14:paraId="785F793E" w14:textId="77777777" w:rsidR="00F853F1" w:rsidRDefault="00F853F1">
      <w:r>
        <w:continuationSeparator/>
      </w:r>
    </w:p>
  </w:footnote>
  <w:footnote w:type="continuationNotice" w:id="1">
    <w:p w14:paraId="06C51D1D" w14:textId="77777777" w:rsidR="00F853F1" w:rsidRDefault="00F853F1"/>
  </w:footnote>
  <w:footnote w:id="2">
    <w:p w14:paraId="60081E03" w14:textId="644D6B4C" w:rsidR="009E48C2" w:rsidRDefault="009E48C2">
      <w:pPr>
        <w:pStyle w:val="FootnoteText"/>
      </w:pPr>
      <w:r>
        <w:rPr>
          <w:rStyle w:val="FootnoteReference"/>
        </w:rPr>
        <w:footnoteRef/>
      </w:r>
      <w:r>
        <w:t xml:space="preserve"> </w:t>
      </w:r>
      <w:r w:rsidRPr="009E48C2">
        <w:rPr>
          <w:rFonts w:asciiTheme="minorHAnsi" w:hAnsiTheme="minorHAnsi" w:cstheme="minorHAnsi"/>
          <w:sz w:val="16"/>
          <w:szCs w:val="16"/>
        </w:rPr>
        <w:t xml:space="preserve">Excluding any confidential </w:t>
      </w:r>
      <w:r w:rsidR="0046143D">
        <w:rPr>
          <w:rFonts w:asciiTheme="minorHAnsi" w:hAnsiTheme="minorHAnsi" w:cstheme="minorHAnsi"/>
          <w:sz w:val="16"/>
          <w:szCs w:val="16"/>
        </w:rPr>
        <w:t>and management buffers</w:t>
      </w:r>
      <w:r w:rsidR="00355748">
        <w:rPr>
          <w:rFonts w:asciiTheme="minorHAnsi" w:hAnsiTheme="minorHAnsi" w:cstheme="minorHAnsi"/>
          <w:sz w:val="16"/>
          <w:szCs w:val="16"/>
        </w:rPr>
        <w:t>, if applicable</w:t>
      </w:r>
      <w:r w:rsidR="00E776A4">
        <w:rPr>
          <w:rFonts w:asciiTheme="minorHAnsi" w:hAnsiTheme="minorHAnsi"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1FBE3" w14:textId="38C27834" w:rsidR="00B7371A" w:rsidRDefault="00B7371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D90163" w14:textId="77777777" w:rsidR="00B7371A" w:rsidRDefault="00B737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A8BDB" w14:textId="402F50F9" w:rsidR="008A35C9" w:rsidRDefault="008A35C9">
    <w:pPr>
      <w:pStyle w:val="Header"/>
    </w:pPr>
    <w:r>
      <w:rPr>
        <w:rFonts w:asciiTheme="minorHAnsi" w:hAnsiTheme="minorHAnsi" w:cstheme="minorHAnsi"/>
        <w:b/>
        <w:bCs/>
        <w:color w:val="FF0000"/>
        <w:sz w:val="20"/>
      </w:rPr>
      <w:tab/>
    </w:r>
    <w:r>
      <w:rPr>
        <w:rFonts w:asciiTheme="minorHAnsi" w:hAnsiTheme="minorHAnsi" w:cstheme="minorHAnsi"/>
        <w:b/>
        <w:bCs/>
        <w:color w:val="FF0000"/>
        <w:sz w:val="20"/>
      </w:rPr>
      <w:tab/>
      <w:t xml:space="preserve"> </w:t>
    </w:r>
  </w:p>
  <w:p w14:paraId="7E88D092" w14:textId="0014614E" w:rsidR="00B7371A" w:rsidRDefault="00B7371A">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7D4BA" w14:textId="2B8F6FD8" w:rsidR="00B7371A" w:rsidRDefault="00B7371A">
    <w:pPr>
      <w:pStyle w:val="Header"/>
      <w:tabs>
        <w:tab w:val="clear" w:pos="8306"/>
        <w:tab w:val="right" w:pos="9360"/>
      </w:tabs>
      <w:rPr>
        <w:b/>
      </w:rPr>
    </w:pPr>
    <w:r>
      <w:tab/>
    </w:r>
    <w:r>
      <w:tab/>
    </w:r>
  </w:p>
</w:hdr>
</file>

<file path=word/intelligence2.xml><?xml version="1.0" encoding="utf-8"?>
<int2:intelligence xmlns:int2="http://schemas.microsoft.com/office/intelligence/2020/intelligence" xmlns:oel="http://schemas.microsoft.com/office/2019/extlst">
  <int2:observations>
    <int2:textHash int2:hashCode="rNj+tP04x4KDuH" int2:id="GwPKnEp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A0BB9"/>
    <w:multiLevelType w:val="hybridMultilevel"/>
    <w:tmpl w:val="FFFFFFFF"/>
    <w:lvl w:ilvl="0" w:tplc="9A984D98">
      <w:start w:val="1"/>
      <w:numFmt w:val="bullet"/>
      <w:lvlText w:val=""/>
      <w:lvlJc w:val="left"/>
      <w:pPr>
        <w:ind w:left="360" w:hanging="360"/>
      </w:pPr>
      <w:rPr>
        <w:rFonts w:ascii="Symbol" w:hAnsi="Symbol" w:hint="default"/>
      </w:rPr>
    </w:lvl>
    <w:lvl w:ilvl="1" w:tplc="4BE85DFA">
      <w:start w:val="1"/>
      <w:numFmt w:val="bullet"/>
      <w:lvlText w:val="o"/>
      <w:lvlJc w:val="left"/>
      <w:pPr>
        <w:ind w:left="1080" w:hanging="360"/>
      </w:pPr>
      <w:rPr>
        <w:rFonts w:ascii="Courier New" w:hAnsi="Courier New" w:hint="default"/>
      </w:rPr>
    </w:lvl>
    <w:lvl w:ilvl="2" w:tplc="C378767E">
      <w:start w:val="1"/>
      <w:numFmt w:val="bullet"/>
      <w:lvlText w:val=""/>
      <w:lvlJc w:val="left"/>
      <w:pPr>
        <w:ind w:left="1800" w:hanging="360"/>
      </w:pPr>
      <w:rPr>
        <w:rFonts w:ascii="Wingdings" w:hAnsi="Wingdings" w:hint="default"/>
      </w:rPr>
    </w:lvl>
    <w:lvl w:ilvl="3" w:tplc="4F20CEF4">
      <w:start w:val="1"/>
      <w:numFmt w:val="bullet"/>
      <w:lvlText w:val=""/>
      <w:lvlJc w:val="left"/>
      <w:pPr>
        <w:ind w:left="2520" w:hanging="360"/>
      </w:pPr>
      <w:rPr>
        <w:rFonts w:ascii="Symbol" w:hAnsi="Symbol" w:hint="default"/>
      </w:rPr>
    </w:lvl>
    <w:lvl w:ilvl="4" w:tplc="FCCE3382">
      <w:start w:val="1"/>
      <w:numFmt w:val="bullet"/>
      <w:lvlText w:val="o"/>
      <w:lvlJc w:val="left"/>
      <w:pPr>
        <w:ind w:left="3240" w:hanging="360"/>
      </w:pPr>
      <w:rPr>
        <w:rFonts w:ascii="Courier New" w:hAnsi="Courier New" w:hint="default"/>
      </w:rPr>
    </w:lvl>
    <w:lvl w:ilvl="5" w:tplc="49C22974">
      <w:start w:val="1"/>
      <w:numFmt w:val="bullet"/>
      <w:lvlText w:val=""/>
      <w:lvlJc w:val="left"/>
      <w:pPr>
        <w:ind w:left="3960" w:hanging="360"/>
      </w:pPr>
      <w:rPr>
        <w:rFonts w:ascii="Wingdings" w:hAnsi="Wingdings" w:hint="default"/>
      </w:rPr>
    </w:lvl>
    <w:lvl w:ilvl="6" w:tplc="9820A748">
      <w:start w:val="1"/>
      <w:numFmt w:val="bullet"/>
      <w:lvlText w:val=""/>
      <w:lvlJc w:val="left"/>
      <w:pPr>
        <w:ind w:left="4680" w:hanging="360"/>
      </w:pPr>
      <w:rPr>
        <w:rFonts w:ascii="Symbol" w:hAnsi="Symbol" w:hint="default"/>
      </w:rPr>
    </w:lvl>
    <w:lvl w:ilvl="7" w:tplc="0B089DC8">
      <w:start w:val="1"/>
      <w:numFmt w:val="bullet"/>
      <w:lvlText w:val="o"/>
      <w:lvlJc w:val="left"/>
      <w:pPr>
        <w:ind w:left="5400" w:hanging="360"/>
      </w:pPr>
      <w:rPr>
        <w:rFonts w:ascii="Courier New" w:hAnsi="Courier New" w:hint="default"/>
      </w:rPr>
    </w:lvl>
    <w:lvl w:ilvl="8" w:tplc="A532DED0">
      <w:start w:val="1"/>
      <w:numFmt w:val="bullet"/>
      <w:lvlText w:val=""/>
      <w:lvlJc w:val="left"/>
      <w:pPr>
        <w:ind w:left="6120" w:hanging="360"/>
      </w:pPr>
      <w:rPr>
        <w:rFonts w:ascii="Wingdings" w:hAnsi="Wingdings" w:hint="default"/>
      </w:rPr>
    </w:lvl>
  </w:abstractNum>
  <w:abstractNum w:abstractNumId="1" w15:restartNumberingAfterBreak="0">
    <w:nsid w:val="042F33C2"/>
    <w:multiLevelType w:val="hybridMultilevel"/>
    <w:tmpl w:val="2E246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11557"/>
    <w:multiLevelType w:val="hybridMultilevel"/>
    <w:tmpl w:val="A3043B1A"/>
    <w:lvl w:ilvl="0" w:tplc="CE82EA3E">
      <w:start w:val="1"/>
      <w:numFmt w:val="bullet"/>
      <w:lvlText w:val=""/>
      <w:lvlJc w:val="left"/>
      <w:pPr>
        <w:tabs>
          <w:tab w:val="num" w:pos="720"/>
        </w:tabs>
        <w:ind w:left="720" w:hanging="360"/>
      </w:pPr>
      <w:rPr>
        <w:rFonts w:ascii="Wingdings" w:hAnsi="Wingdings" w:hint="default"/>
      </w:rPr>
    </w:lvl>
    <w:lvl w:ilvl="1" w:tplc="0EF8A672" w:tentative="1">
      <w:start w:val="1"/>
      <w:numFmt w:val="bullet"/>
      <w:lvlText w:val=""/>
      <w:lvlJc w:val="left"/>
      <w:pPr>
        <w:tabs>
          <w:tab w:val="num" w:pos="1440"/>
        </w:tabs>
        <w:ind w:left="1440" w:hanging="360"/>
      </w:pPr>
      <w:rPr>
        <w:rFonts w:ascii="Wingdings" w:hAnsi="Wingdings" w:hint="default"/>
      </w:rPr>
    </w:lvl>
    <w:lvl w:ilvl="2" w:tplc="02DAE7B6" w:tentative="1">
      <w:start w:val="1"/>
      <w:numFmt w:val="bullet"/>
      <w:lvlText w:val=""/>
      <w:lvlJc w:val="left"/>
      <w:pPr>
        <w:tabs>
          <w:tab w:val="num" w:pos="2160"/>
        </w:tabs>
        <w:ind w:left="2160" w:hanging="360"/>
      </w:pPr>
      <w:rPr>
        <w:rFonts w:ascii="Wingdings" w:hAnsi="Wingdings" w:hint="default"/>
      </w:rPr>
    </w:lvl>
    <w:lvl w:ilvl="3" w:tplc="D4740B20" w:tentative="1">
      <w:start w:val="1"/>
      <w:numFmt w:val="bullet"/>
      <w:lvlText w:val=""/>
      <w:lvlJc w:val="left"/>
      <w:pPr>
        <w:tabs>
          <w:tab w:val="num" w:pos="2880"/>
        </w:tabs>
        <w:ind w:left="2880" w:hanging="360"/>
      </w:pPr>
      <w:rPr>
        <w:rFonts w:ascii="Wingdings" w:hAnsi="Wingdings" w:hint="default"/>
      </w:rPr>
    </w:lvl>
    <w:lvl w:ilvl="4" w:tplc="0DEC9AA8" w:tentative="1">
      <w:start w:val="1"/>
      <w:numFmt w:val="bullet"/>
      <w:lvlText w:val=""/>
      <w:lvlJc w:val="left"/>
      <w:pPr>
        <w:tabs>
          <w:tab w:val="num" w:pos="3600"/>
        </w:tabs>
        <w:ind w:left="3600" w:hanging="360"/>
      </w:pPr>
      <w:rPr>
        <w:rFonts w:ascii="Wingdings" w:hAnsi="Wingdings" w:hint="default"/>
      </w:rPr>
    </w:lvl>
    <w:lvl w:ilvl="5" w:tplc="A43CFD22" w:tentative="1">
      <w:start w:val="1"/>
      <w:numFmt w:val="bullet"/>
      <w:lvlText w:val=""/>
      <w:lvlJc w:val="left"/>
      <w:pPr>
        <w:tabs>
          <w:tab w:val="num" w:pos="4320"/>
        </w:tabs>
        <w:ind w:left="4320" w:hanging="360"/>
      </w:pPr>
      <w:rPr>
        <w:rFonts w:ascii="Wingdings" w:hAnsi="Wingdings" w:hint="default"/>
      </w:rPr>
    </w:lvl>
    <w:lvl w:ilvl="6" w:tplc="C46C2052" w:tentative="1">
      <w:start w:val="1"/>
      <w:numFmt w:val="bullet"/>
      <w:lvlText w:val=""/>
      <w:lvlJc w:val="left"/>
      <w:pPr>
        <w:tabs>
          <w:tab w:val="num" w:pos="5040"/>
        </w:tabs>
        <w:ind w:left="5040" w:hanging="360"/>
      </w:pPr>
      <w:rPr>
        <w:rFonts w:ascii="Wingdings" w:hAnsi="Wingdings" w:hint="default"/>
      </w:rPr>
    </w:lvl>
    <w:lvl w:ilvl="7" w:tplc="4D4A86C4" w:tentative="1">
      <w:start w:val="1"/>
      <w:numFmt w:val="bullet"/>
      <w:lvlText w:val=""/>
      <w:lvlJc w:val="left"/>
      <w:pPr>
        <w:tabs>
          <w:tab w:val="num" w:pos="5760"/>
        </w:tabs>
        <w:ind w:left="5760" w:hanging="360"/>
      </w:pPr>
      <w:rPr>
        <w:rFonts w:ascii="Wingdings" w:hAnsi="Wingdings" w:hint="default"/>
      </w:rPr>
    </w:lvl>
    <w:lvl w:ilvl="8" w:tplc="91B074A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FB4719"/>
    <w:multiLevelType w:val="multilevel"/>
    <w:tmpl w:val="7F5A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31AAE"/>
    <w:multiLevelType w:val="multilevel"/>
    <w:tmpl w:val="91F2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BB2F4D"/>
    <w:multiLevelType w:val="hybridMultilevel"/>
    <w:tmpl w:val="676C2C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BF01DB"/>
    <w:multiLevelType w:val="hybridMultilevel"/>
    <w:tmpl w:val="D7847138"/>
    <w:lvl w:ilvl="0" w:tplc="65B09266">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AA451"/>
    <w:multiLevelType w:val="hybridMultilevel"/>
    <w:tmpl w:val="FFFFFFFF"/>
    <w:lvl w:ilvl="0" w:tplc="3840485C">
      <w:start w:val="1"/>
      <w:numFmt w:val="bullet"/>
      <w:lvlText w:val="-"/>
      <w:lvlJc w:val="left"/>
      <w:pPr>
        <w:ind w:left="720" w:hanging="360"/>
      </w:pPr>
      <w:rPr>
        <w:rFonts w:ascii="Aptos" w:hAnsi="Aptos" w:hint="default"/>
      </w:rPr>
    </w:lvl>
    <w:lvl w:ilvl="1" w:tplc="49825FA0">
      <w:start w:val="1"/>
      <w:numFmt w:val="bullet"/>
      <w:lvlText w:val="o"/>
      <w:lvlJc w:val="left"/>
      <w:pPr>
        <w:ind w:left="1440" w:hanging="360"/>
      </w:pPr>
      <w:rPr>
        <w:rFonts w:ascii="Courier New" w:hAnsi="Courier New" w:hint="default"/>
      </w:rPr>
    </w:lvl>
    <w:lvl w:ilvl="2" w:tplc="E1924DA8">
      <w:start w:val="1"/>
      <w:numFmt w:val="bullet"/>
      <w:lvlText w:val=""/>
      <w:lvlJc w:val="left"/>
      <w:pPr>
        <w:ind w:left="2160" w:hanging="360"/>
      </w:pPr>
      <w:rPr>
        <w:rFonts w:ascii="Wingdings" w:hAnsi="Wingdings" w:hint="default"/>
      </w:rPr>
    </w:lvl>
    <w:lvl w:ilvl="3" w:tplc="AAC4AAC0">
      <w:start w:val="1"/>
      <w:numFmt w:val="bullet"/>
      <w:lvlText w:val=""/>
      <w:lvlJc w:val="left"/>
      <w:pPr>
        <w:ind w:left="2880" w:hanging="360"/>
      </w:pPr>
      <w:rPr>
        <w:rFonts w:ascii="Symbol" w:hAnsi="Symbol" w:hint="default"/>
      </w:rPr>
    </w:lvl>
    <w:lvl w:ilvl="4" w:tplc="11B0E914">
      <w:start w:val="1"/>
      <w:numFmt w:val="bullet"/>
      <w:lvlText w:val="o"/>
      <w:lvlJc w:val="left"/>
      <w:pPr>
        <w:ind w:left="3600" w:hanging="360"/>
      </w:pPr>
      <w:rPr>
        <w:rFonts w:ascii="Courier New" w:hAnsi="Courier New" w:hint="default"/>
      </w:rPr>
    </w:lvl>
    <w:lvl w:ilvl="5" w:tplc="420AC58E">
      <w:start w:val="1"/>
      <w:numFmt w:val="bullet"/>
      <w:lvlText w:val=""/>
      <w:lvlJc w:val="left"/>
      <w:pPr>
        <w:ind w:left="4320" w:hanging="360"/>
      </w:pPr>
      <w:rPr>
        <w:rFonts w:ascii="Wingdings" w:hAnsi="Wingdings" w:hint="default"/>
      </w:rPr>
    </w:lvl>
    <w:lvl w:ilvl="6" w:tplc="6802B61E">
      <w:start w:val="1"/>
      <w:numFmt w:val="bullet"/>
      <w:lvlText w:val=""/>
      <w:lvlJc w:val="left"/>
      <w:pPr>
        <w:ind w:left="5040" w:hanging="360"/>
      </w:pPr>
      <w:rPr>
        <w:rFonts w:ascii="Symbol" w:hAnsi="Symbol" w:hint="default"/>
      </w:rPr>
    </w:lvl>
    <w:lvl w:ilvl="7" w:tplc="213C7E52">
      <w:start w:val="1"/>
      <w:numFmt w:val="bullet"/>
      <w:lvlText w:val="o"/>
      <w:lvlJc w:val="left"/>
      <w:pPr>
        <w:ind w:left="5760" w:hanging="360"/>
      </w:pPr>
      <w:rPr>
        <w:rFonts w:ascii="Courier New" w:hAnsi="Courier New" w:hint="default"/>
      </w:rPr>
    </w:lvl>
    <w:lvl w:ilvl="8" w:tplc="76260C00">
      <w:start w:val="1"/>
      <w:numFmt w:val="bullet"/>
      <w:lvlText w:val=""/>
      <w:lvlJc w:val="left"/>
      <w:pPr>
        <w:ind w:left="6480" w:hanging="360"/>
      </w:pPr>
      <w:rPr>
        <w:rFonts w:ascii="Wingdings" w:hAnsi="Wingdings" w:hint="default"/>
      </w:rPr>
    </w:lvl>
  </w:abstractNum>
  <w:abstractNum w:abstractNumId="8" w15:restartNumberingAfterBreak="0">
    <w:nsid w:val="0F171F69"/>
    <w:multiLevelType w:val="hybridMultilevel"/>
    <w:tmpl w:val="69F0904E"/>
    <w:lvl w:ilvl="0" w:tplc="82D49A44">
      <w:start w:val="1"/>
      <w:numFmt w:val="bullet"/>
      <w:lvlText w:val=""/>
      <w:lvlJc w:val="left"/>
      <w:pPr>
        <w:tabs>
          <w:tab w:val="num" w:pos="720"/>
        </w:tabs>
        <w:ind w:left="720" w:hanging="360"/>
      </w:pPr>
      <w:rPr>
        <w:rFonts w:ascii="Symbol" w:hAnsi="Symbol" w:hint="default"/>
      </w:rPr>
    </w:lvl>
    <w:lvl w:ilvl="1" w:tplc="A9C0D082" w:tentative="1">
      <w:start w:val="1"/>
      <w:numFmt w:val="bullet"/>
      <w:lvlText w:val=""/>
      <w:lvlJc w:val="left"/>
      <w:pPr>
        <w:tabs>
          <w:tab w:val="num" w:pos="1440"/>
        </w:tabs>
        <w:ind w:left="1440" w:hanging="360"/>
      </w:pPr>
      <w:rPr>
        <w:rFonts w:ascii="Symbol" w:hAnsi="Symbol" w:hint="default"/>
      </w:rPr>
    </w:lvl>
    <w:lvl w:ilvl="2" w:tplc="A618803C" w:tentative="1">
      <w:start w:val="1"/>
      <w:numFmt w:val="bullet"/>
      <w:lvlText w:val=""/>
      <w:lvlJc w:val="left"/>
      <w:pPr>
        <w:tabs>
          <w:tab w:val="num" w:pos="2160"/>
        </w:tabs>
        <w:ind w:left="2160" w:hanging="360"/>
      </w:pPr>
      <w:rPr>
        <w:rFonts w:ascii="Symbol" w:hAnsi="Symbol" w:hint="default"/>
      </w:rPr>
    </w:lvl>
    <w:lvl w:ilvl="3" w:tplc="261EA000" w:tentative="1">
      <w:start w:val="1"/>
      <w:numFmt w:val="bullet"/>
      <w:lvlText w:val=""/>
      <w:lvlJc w:val="left"/>
      <w:pPr>
        <w:tabs>
          <w:tab w:val="num" w:pos="2880"/>
        </w:tabs>
        <w:ind w:left="2880" w:hanging="360"/>
      </w:pPr>
      <w:rPr>
        <w:rFonts w:ascii="Symbol" w:hAnsi="Symbol" w:hint="default"/>
      </w:rPr>
    </w:lvl>
    <w:lvl w:ilvl="4" w:tplc="88A6C7C0" w:tentative="1">
      <w:start w:val="1"/>
      <w:numFmt w:val="bullet"/>
      <w:lvlText w:val=""/>
      <w:lvlJc w:val="left"/>
      <w:pPr>
        <w:tabs>
          <w:tab w:val="num" w:pos="3600"/>
        </w:tabs>
        <w:ind w:left="3600" w:hanging="360"/>
      </w:pPr>
      <w:rPr>
        <w:rFonts w:ascii="Symbol" w:hAnsi="Symbol" w:hint="default"/>
      </w:rPr>
    </w:lvl>
    <w:lvl w:ilvl="5" w:tplc="A8869790" w:tentative="1">
      <w:start w:val="1"/>
      <w:numFmt w:val="bullet"/>
      <w:lvlText w:val=""/>
      <w:lvlJc w:val="left"/>
      <w:pPr>
        <w:tabs>
          <w:tab w:val="num" w:pos="4320"/>
        </w:tabs>
        <w:ind w:left="4320" w:hanging="360"/>
      </w:pPr>
      <w:rPr>
        <w:rFonts w:ascii="Symbol" w:hAnsi="Symbol" w:hint="default"/>
      </w:rPr>
    </w:lvl>
    <w:lvl w:ilvl="6" w:tplc="EC260290" w:tentative="1">
      <w:start w:val="1"/>
      <w:numFmt w:val="bullet"/>
      <w:lvlText w:val=""/>
      <w:lvlJc w:val="left"/>
      <w:pPr>
        <w:tabs>
          <w:tab w:val="num" w:pos="5040"/>
        </w:tabs>
        <w:ind w:left="5040" w:hanging="360"/>
      </w:pPr>
      <w:rPr>
        <w:rFonts w:ascii="Symbol" w:hAnsi="Symbol" w:hint="default"/>
      </w:rPr>
    </w:lvl>
    <w:lvl w:ilvl="7" w:tplc="9D1A9970" w:tentative="1">
      <w:start w:val="1"/>
      <w:numFmt w:val="bullet"/>
      <w:lvlText w:val=""/>
      <w:lvlJc w:val="left"/>
      <w:pPr>
        <w:tabs>
          <w:tab w:val="num" w:pos="5760"/>
        </w:tabs>
        <w:ind w:left="5760" w:hanging="360"/>
      </w:pPr>
      <w:rPr>
        <w:rFonts w:ascii="Symbol" w:hAnsi="Symbol" w:hint="default"/>
      </w:rPr>
    </w:lvl>
    <w:lvl w:ilvl="8" w:tplc="FA70279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1063825"/>
    <w:multiLevelType w:val="hybridMultilevel"/>
    <w:tmpl w:val="66FEBFEC"/>
    <w:lvl w:ilvl="0" w:tplc="5BF4F9FA">
      <w:start w:val="202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274AF0"/>
    <w:multiLevelType w:val="multilevel"/>
    <w:tmpl w:val="5084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596A44"/>
    <w:multiLevelType w:val="multilevel"/>
    <w:tmpl w:val="EE2E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E62987"/>
    <w:multiLevelType w:val="hybridMultilevel"/>
    <w:tmpl w:val="FFFFFFFF"/>
    <w:lvl w:ilvl="0" w:tplc="DE54BDDA">
      <w:start w:val="1"/>
      <w:numFmt w:val="bullet"/>
      <w:lvlText w:val="-"/>
      <w:lvlJc w:val="left"/>
      <w:pPr>
        <w:ind w:left="720" w:hanging="360"/>
      </w:pPr>
      <w:rPr>
        <w:rFonts w:ascii="Aptos" w:hAnsi="Aptos" w:hint="default"/>
      </w:rPr>
    </w:lvl>
    <w:lvl w:ilvl="1" w:tplc="DBBEC03C">
      <w:start w:val="1"/>
      <w:numFmt w:val="bullet"/>
      <w:lvlText w:val="o"/>
      <w:lvlJc w:val="left"/>
      <w:pPr>
        <w:ind w:left="1440" w:hanging="360"/>
      </w:pPr>
      <w:rPr>
        <w:rFonts w:ascii="Courier New" w:hAnsi="Courier New" w:hint="default"/>
      </w:rPr>
    </w:lvl>
    <w:lvl w:ilvl="2" w:tplc="3B9C3788">
      <w:start w:val="1"/>
      <w:numFmt w:val="bullet"/>
      <w:lvlText w:val=""/>
      <w:lvlJc w:val="left"/>
      <w:pPr>
        <w:ind w:left="2160" w:hanging="360"/>
      </w:pPr>
      <w:rPr>
        <w:rFonts w:ascii="Wingdings" w:hAnsi="Wingdings" w:hint="default"/>
      </w:rPr>
    </w:lvl>
    <w:lvl w:ilvl="3" w:tplc="E58CAF1A">
      <w:start w:val="1"/>
      <w:numFmt w:val="bullet"/>
      <w:lvlText w:val=""/>
      <w:lvlJc w:val="left"/>
      <w:pPr>
        <w:ind w:left="2880" w:hanging="360"/>
      </w:pPr>
      <w:rPr>
        <w:rFonts w:ascii="Symbol" w:hAnsi="Symbol" w:hint="default"/>
      </w:rPr>
    </w:lvl>
    <w:lvl w:ilvl="4" w:tplc="2368A020">
      <w:start w:val="1"/>
      <w:numFmt w:val="bullet"/>
      <w:lvlText w:val="o"/>
      <w:lvlJc w:val="left"/>
      <w:pPr>
        <w:ind w:left="3600" w:hanging="360"/>
      </w:pPr>
      <w:rPr>
        <w:rFonts w:ascii="Courier New" w:hAnsi="Courier New" w:hint="default"/>
      </w:rPr>
    </w:lvl>
    <w:lvl w:ilvl="5" w:tplc="961AF716">
      <w:start w:val="1"/>
      <w:numFmt w:val="bullet"/>
      <w:lvlText w:val=""/>
      <w:lvlJc w:val="left"/>
      <w:pPr>
        <w:ind w:left="4320" w:hanging="360"/>
      </w:pPr>
      <w:rPr>
        <w:rFonts w:ascii="Wingdings" w:hAnsi="Wingdings" w:hint="default"/>
      </w:rPr>
    </w:lvl>
    <w:lvl w:ilvl="6" w:tplc="C9A8D9F6">
      <w:start w:val="1"/>
      <w:numFmt w:val="bullet"/>
      <w:lvlText w:val=""/>
      <w:lvlJc w:val="left"/>
      <w:pPr>
        <w:ind w:left="5040" w:hanging="360"/>
      </w:pPr>
      <w:rPr>
        <w:rFonts w:ascii="Symbol" w:hAnsi="Symbol" w:hint="default"/>
      </w:rPr>
    </w:lvl>
    <w:lvl w:ilvl="7" w:tplc="574E9DA6">
      <w:start w:val="1"/>
      <w:numFmt w:val="bullet"/>
      <w:lvlText w:val="o"/>
      <w:lvlJc w:val="left"/>
      <w:pPr>
        <w:ind w:left="5760" w:hanging="360"/>
      </w:pPr>
      <w:rPr>
        <w:rFonts w:ascii="Courier New" w:hAnsi="Courier New" w:hint="default"/>
      </w:rPr>
    </w:lvl>
    <w:lvl w:ilvl="8" w:tplc="65143146">
      <w:start w:val="1"/>
      <w:numFmt w:val="bullet"/>
      <w:lvlText w:val=""/>
      <w:lvlJc w:val="left"/>
      <w:pPr>
        <w:ind w:left="6480" w:hanging="360"/>
      </w:pPr>
      <w:rPr>
        <w:rFonts w:ascii="Wingdings" w:hAnsi="Wingdings" w:hint="default"/>
      </w:rPr>
    </w:lvl>
  </w:abstractNum>
  <w:abstractNum w:abstractNumId="13" w15:restartNumberingAfterBreak="0">
    <w:nsid w:val="1819202F"/>
    <w:multiLevelType w:val="hybridMultilevel"/>
    <w:tmpl w:val="507AEC80"/>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201CE9"/>
    <w:multiLevelType w:val="hybridMultilevel"/>
    <w:tmpl w:val="F5B4A70A"/>
    <w:lvl w:ilvl="0" w:tplc="E7E82D8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740800"/>
    <w:multiLevelType w:val="hybridMultilevel"/>
    <w:tmpl w:val="306C2140"/>
    <w:lvl w:ilvl="0" w:tplc="5BF4F9FA">
      <w:start w:val="202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441523"/>
    <w:multiLevelType w:val="multilevel"/>
    <w:tmpl w:val="2366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125E66"/>
    <w:multiLevelType w:val="hybridMultilevel"/>
    <w:tmpl w:val="AE2AFDAE"/>
    <w:lvl w:ilvl="0" w:tplc="5BF4F9FA">
      <w:start w:val="202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50EFB"/>
    <w:multiLevelType w:val="multilevel"/>
    <w:tmpl w:val="E046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360E2D"/>
    <w:multiLevelType w:val="multilevel"/>
    <w:tmpl w:val="313E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C859E0"/>
    <w:multiLevelType w:val="hybridMultilevel"/>
    <w:tmpl w:val="43D24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97ACA6"/>
    <w:multiLevelType w:val="hybridMultilevel"/>
    <w:tmpl w:val="FFFFFFFF"/>
    <w:lvl w:ilvl="0" w:tplc="8184341C">
      <w:start w:val="1"/>
      <w:numFmt w:val="decimal"/>
      <w:lvlText w:val="%1."/>
      <w:lvlJc w:val="left"/>
      <w:pPr>
        <w:ind w:left="720" w:hanging="360"/>
      </w:pPr>
    </w:lvl>
    <w:lvl w:ilvl="1" w:tplc="863070C8">
      <w:start w:val="1"/>
      <w:numFmt w:val="lowerLetter"/>
      <w:lvlText w:val="%2."/>
      <w:lvlJc w:val="left"/>
      <w:pPr>
        <w:ind w:left="1440" w:hanging="360"/>
      </w:pPr>
    </w:lvl>
    <w:lvl w:ilvl="2" w:tplc="226CE132">
      <w:start w:val="1"/>
      <w:numFmt w:val="lowerRoman"/>
      <w:lvlText w:val="%3."/>
      <w:lvlJc w:val="right"/>
      <w:pPr>
        <w:ind w:left="2160" w:hanging="180"/>
      </w:pPr>
    </w:lvl>
    <w:lvl w:ilvl="3" w:tplc="B4D28F64">
      <w:start w:val="1"/>
      <w:numFmt w:val="decimal"/>
      <w:lvlText w:val="%4."/>
      <w:lvlJc w:val="left"/>
      <w:pPr>
        <w:ind w:left="2880" w:hanging="360"/>
      </w:pPr>
    </w:lvl>
    <w:lvl w:ilvl="4" w:tplc="5E94CF12">
      <w:start w:val="1"/>
      <w:numFmt w:val="lowerLetter"/>
      <w:lvlText w:val="%5."/>
      <w:lvlJc w:val="left"/>
      <w:pPr>
        <w:ind w:left="3600" w:hanging="360"/>
      </w:pPr>
    </w:lvl>
    <w:lvl w:ilvl="5" w:tplc="90A6CF0E">
      <w:start w:val="1"/>
      <w:numFmt w:val="lowerRoman"/>
      <w:lvlText w:val="%6."/>
      <w:lvlJc w:val="right"/>
      <w:pPr>
        <w:ind w:left="4320" w:hanging="180"/>
      </w:pPr>
    </w:lvl>
    <w:lvl w:ilvl="6" w:tplc="C75EFEC2">
      <w:start w:val="1"/>
      <w:numFmt w:val="decimal"/>
      <w:lvlText w:val="%7."/>
      <w:lvlJc w:val="left"/>
      <w:pPr>
        <w:ind w:left="5040" w:hanging="360"/>
      </w:pPr>
    </w:lvl>
    <w:lvl w:ilvl="7" w:tplc="EC3A19A2">
      <w:start w:val="1"/>
      <w:numFmt w:val="lowerLetter"/>
      <w:lvlText w:val="%8."/>
      <w:lvlJc w:val="left"/>
      <w:pPr>
        <w:ind w:left="5760" w:hanging="360"/>
      </w:pPr>
    </w:lvl>
    <w:lvl w:ilvl="8" w:tplc="D0A27B1E">
      <w:start w:val="1"/>
      <w:numFmt w:val="lowerRoman"/>
      <w:lvlText w:val="%9."/>
      <w:lvlJc w:val="right"/>
      <w:pPr>
        <w:ind w:left="6480" w:hanging="180"/>
      </w:pPr>
    </w:lvl>
  </w:abstractNum>
  <w:abstractNum w:abstractNumId="22" w15:restartNumberingAfterBreak="0">
    <w:nsid w:val="30F909C5"/>
    <w:multiLevelType w:val="hybridMultilevel"/>
    <w:tmpl w:val="17101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B4BF0"/>
    <w:multiLevelType w:val="multilevel"/>
    <w:tmpl w:val="05DA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19349D"/>
    <w:multiLevelType w:val="hybridMultilevel"/>
    <w:tmpl w:val="76DEC5B2"/>
    <w:lvl w:ilvl="0" w:tplc="D332AE9A">
      <w:start w:val="1"/>
      <w:numFmt w:val="bullet"/>
      <w:lvlText w:val=""/>
      <w:lvlJc w:val="left"/>
      <w:pPr>
        <w:tabs>
          <w:tab w:val="num" w:pos="720"/>
        </w:tabs>
        <w:ind w:left="720" w:hanging="360"/>
      </w:pPr>
      <w:rPr>
        <w:rFonts w:ascii="Symbol" w:hAnsi="Symbol" w:hint="default"/>
      </w:rPr>
    </w:lvl>
    <w:lvl w:ilvl="1" w:tplc="EFB0CB90" w:tentative="1">
      <w:start w:val="1"/>
      <w:numFmt w:val="bullet"/>
      <w:lvlText w:val=""/>
      <w:lvlJc w:val="left"/>
      <w:pPr>
        <w:tabs>
          <w:tab w:val="num" w:pos="1440"/>
        </w:tabs>
        <w:ind w:left="1440" w:hanging="360"/>
      </w:pPr>
      <w:rPr>
        <w:rFonts w:ascii="Symbol" w:hAnsi="Symbol" w:hint="default"/>
      </w:rPr>
    </w:lvl>
    <w:lvl w:ilvl="2" w:tplc="F69A2EB2" w:tentative="1">
      <w:start w:val="1"/>
      <w:numFmt w:val="bullet"/>
      <w:lvlText w:val=""/>
      <w:lvlJc w:val="left"/>
      <w:pPr>
        <w:tabs>
          <w:tab w:val="num" w:pos="2160"/>
        </w:tabs>
        <w:ind w:left="2160" w:hanging="360"/>
      </w:pPr>
      <w:rPr>
        <w:rFonts w:ascii="Symbol" w:hAnsi="Symbol" w:hint="default"/>
      </w:rPr>
    </w:lvl>
    <w:lvl w:ilvl="3" w:tplc="EB18BC48" w:tentative="1">
      <w:start w:val="1"/>
      <w:numFmt w:val="bullet"/>
      <w:lvlText w:val=""/>
      <w:lvlJc w:val="left"/>
      <w:pPr>
        <w:tabs>
          <w:tab w:val="num" w:pos="2880"/>
        </w:tabs>
        <w:ind w:left="2880" w:hanging="360"/>
      </w:pPr>
      <w:rPr>
        <w:rFonts w:ascii="Symbol" w:hAnsi="Symbol" w:hint="default"/>
      </w:rPr>
    </w:lvl>
    <w:lvl w:ilvl="4" w:tplc="B550356A" w:tentative="1">
      <w:start w:val="1"/>
      <w:numFmt w:val="bullet"/>
      <w:lvlText w:val=""/>
      <w:lvlJc w:val="left"/>
      <w:pPr>
        <w:tabs>
          <w:tab w:val="num" w:pos="3600"/>
        </w:tabs>
        <w:ind w:left="3600" w:hanging="360"/>
      </w:pPr>
      <w:rPr>
        <w:rFonts w:ascii="Symbol" w:hAnsi="Symbol" w:hint="default"/>
      </w:rPr>
    </w:lvl>
    <w:lvl w:ilvl="5" w:tplc="8E3AF368" w:tentative="1">
      <w:start w:val="1"/>
      <w:numFmt w:val="bullet"/>
      <w:lvlText w:val=""/>
      <w:lvlJc w:val="left"/>
      <w:pPr>
        <w:tabs>
          <w:tab w:val="num" w:pos="4320"/>
        </w:tabs>
        <w:ind w:left="4320" w:hanging="360"/>
      </w:pPr>
      <w:rPr>
        <w:rFonts w:ascii="Symbol" w:hAnsi="Symbol" w:hint="default"/>
      </w:rPr>
    </w:lvl>
    <w:lvl w:ilvl="6" w:tplc="6928999A" w:tentative="1">
      <w:start w:val="1"/>
      <w:numFmt w:val="bullet"/>
      <w:lvlText w:val=""/>
      <w:lvlJc w:val="left"/>
      <w:pPr>
        <w:tabs>
          <w:tab w:val="num" w:pos="5040"/>
        </w:tabs>
        <w:ind w:left="5040" w:hanging="360"/>
      </w:pPr>
      <w:rPr>
        <w:rFonts w:ascii="Symbol" w:hAnsi="Symbol" w:hint="default"/>
      </w:rPr>
    </w:lvl>
    <w:lvl w:ilvl="7" w:tplc="52B8BDFC" w:tentative="1">
      <w:start w:val="1"/>
      <w:numFmt w:val="bullet"/>
      <w:lvlText w:val=""/>
      <w:lvlJc w:val="left"/>
      <w:pPr>
        <w:tabs>
          <w:tab w:val="num" w:pos="5760"/>
        </w:tabs>
        <w:ind w:left="5760" w:hanging="360"/>
      </w:pPr>
      <w:rPr>
        <w:rFonts w:ascii="Symbol" w:hAnsi="Symbol" w:hint="default"/>
      </w:rPr>
    </w:lvl>
    <w:lvl w:ilvl="8" w:tplc="FD64A68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352A52A5"/>
    <w:multiLevelType w:val="hybridMultilevel"/>
    <w:tmpl w:val="B11AA84E"/>
    <w:lvl w:ilvl="0" w:tplc="4F4C6680">
      <w:start w:val="1"/>
      <w:numFmt w:val="bullet"/>
      <w:lvlText w:val=""/>
      <w:lvlJc w:val="left"/>
      <w:pPr>
        <w:tabs>
          <w:tab w:val="num" w:pos="720"/>
        </w:tabs>
        <w:ind w:left="720" w:hanging="360"/>
      </w:pPr>
      <w:rPr>
        <w:rFonts w:ascii="Symbol" w:hAnsi="Symbol" w:hint="default"/>
      </w:rPr>
    </w:lvl>
    <w:lvl w:ilvl="1" w:tplc="9A52A842" w:tentative="1">
      <w:start w:val="1"/>
      <w:numFmt w:val="bullet"/>
      <w:lvlText w:val=""/>
      <w:lvlJc w:val="left"/>
      <w:pPr>
        <w:tabs>
          <w:tab w:val="num" w:pos="1440"/>
        </w:tabs>
        <w:ind w:left="1440" w:hanging="360"/>
      </w:pPr>
      <w:rPr>
        <w:rFonts w:ascii="Symbol" w:hAnsi="Symbol" w:hint="default"/>
      </w:rPr>
    </w:lvl>
    <w:lvl w:ilvl="2" w:tplc="9956F96A" w:tentative="1">
      <w:start w:val="1"/>
      <w:numFmt w:val="bullet"/>
      <w:lvlText w:val=""/>
      <w:lvlJc w:val="left"/>
      <w:pPr>
        <w:tabs>
          <w:tab w:val="num" w:pos="2160"/>
        </w:tabs>
        <w:ind w:left="2160" w:hanging="360"/>
      </w:pPr>
      <w:rPr>
        <w:rFonts w:ascii="Symbol" w:hAnsi="Symbol" w:hint="default"/>
      </w:rPr>
    </w:lvl>
    <w:lvl w:ilvl="3" w:tplc="FF2E54DC" w:tentative="1">
      <w:start w:val="1"/>
      <w:numFmt w:val="bullet"/>
      <w:lvlText w:val=""/>
      <w:lvlJc w:val="left"/>
      <w:pPr>
        <w:tabs>
          <w:tab w:val="num" w:pos="2880"/>
        </w:tabs>
        <w:ind w:left="2880" w:hanging="360"/>
      </w:pPr>
      <w:rPr>
        <w:rFonts w:ascii="Symbol" w:hAnsi="Symbol" w:hint="default"/>
      </w:rPr>
    </w:lvl>
    <w:lvl w:ilvl="4" w:tplc="0250333E" w:tentative="1">
      <w:start w:val="1"/>
      <w:numFmt w:val="bullet"/>
      <w:lvlText w:val=""/>
      <w:lvlJc w:val="left"/>
      <w:pPr>
        <w:tabs>
          <w:tab w:val="num" w:pos="3600"/>
        </w:tabs>
        <w:ind w:left="3600" w:hanging="360"/>
      </w:pPr>
      <w:rPr>
        <w:rFonts w:ascii="Symbol" w:hAnsi="Symbol" w:hint="default"/>
      </w:rPr>
    </w:lvl>
    <w:lvl w:ilvl="5" w:tplc="5300790A" w:tentative="1">
      <w:start w:val="1"/>
      <w:numFmt w:val="bullet"/>
      <w:lvlText w:val=""/>
      <w:lvlJc w:val="left"/>
      <w:pPr>
        <w:tabs>
          <w:tab w:val="num" w:pos="4320"/>
        </w:tabs>
        <w:ind w:left="4320" w:hanging="360"/>
      </w:pPr>
      <w:rPr>
        <w:rFonts w:ascii="Symbol" w:hAnsi="Symbol" w:hint="default"/>
      </w:rPr>
    </w:lvl>
    <w:lvl w:ilvl="6" w:tplc="14544B5C" w:tentative="1">
      <w:start w:val="1"/>
      <w:numFmt w:val="bullet"/>
      <w:lvlText w:val=""/>
      <w:lvlJc w:val="left"/>
      <w:pPr>
        <w:tabs>
          <w:tab w:val="num" w:pos="5040"/>
        </w:tabs>
        <w:ind w:left="5040" w:hanging="360"/>
      </w:pPr>
      <w:rPr>
        <w:rFonts w:ascii="Symbol" w:hAnsi="Symbol" w:hint="default"/>
      </w:rPr>
    </w:lvl>
    <w:lvl w:ilvl="7" w:tplc="55A4E110" w:tentative="1">
      <w:start w:val="1"/>
      <w:numFmt w:val="bullet"/>
      <w:lvlText w:val=""/>
      <w:lvlJc w:val="left"/>
      <w:pPr>
        <w:tabs>
          <w:tab w:val="num" w:pos="5760"/>
        </w:tabs>
        <w:ind w:left="5760" w:hanging="360"/>
      </w:pPr>
      <w:rPr>
        <w:rFonts w:ascii="Symbol" w:hAnsi="Symbol" w:hint="default"/>
      </w:rPr>
    </w:lvl>
    <w:lvl w:ilvl="8" w:tplc="D8F8348A"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353B60B1"/>
    <w:multiLevelType w:val="hybridMultilevel"/>
    <w:tmpl w:val="615A1936"/>
    <w:lvl w:ilvl="0" w:tplc="E68882C2">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35431135"/>
    <w:multiLevelType w:val="hybridMultilevel"/>
    <w:tmpl w:val="027E1DEA"/>
    <w:lvl w:ilvl="0" w:tplc="FE0832C0">
      <w:start w:val="1"/>
      <w:numFmt w:val="bullet"/>
      <w:lvlText w:val=""/>
      <w:lvlJc w:val="left"/>
      <w:pPr>
        <w:ind w:left="720" w:hanging="360"/>
      </w:pPr>
      <w:rPr>
        <w:rFonts w:ascii="Symbol" w:hAnsi="Symbol"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7F73B8C"/>
    <w:multiLevelType w:val="multilevel"/>
    <w:tmpl w:val="4C78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577FF2"/>
    <w:multiLevelType w:val="multilevel"/>
    <w:tmpl w:val="7A68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562AD8"/>
    <w:multiLevelType w:val="hybridMultilevel"/>
    <w:tmpl w:val="98C66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194F1F"/>
    <w:multiLevelType w:val="hybridMultilevel"/>
    <w:tmpl w:val="35FC53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8D13ABB"/>
    <w:multiLevelType w:val="hybridMultilevel"/>
    <w:tmpl w:val="A3522CC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E932D7D"/>
    <w:multiLevelType w:val="hybridMultilevel"/>
    <w:tmpl w:val="81F65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28357B"/>
    <w:multiLevelType w:val="multilevel"/>
    <w:tmpl w:val="D460E9F4"/>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F5562E"/>
    <w:multiLevelType w:val="multilevel"/>
    <w:tmpl w:val="A23096EE"/>
    <w:name w:val="oc_Num_4th"/>
    <w:lvl w:ilvl="0">
      <w:start w:val="1"/>
      <w:numFmt w:val="none"/>
      <w:pStyle w:val="ocNum4th1"/>
      <w:suff w:val="nothing"/>
      <w:lvlText w:val=""/>
      <w:lvlJc w:val="left"/>
      <w:pPr>
        <w:ind w:left="0" w:firstLine="0"/>
      </w:pPr>
      <w:rPr>
        <w:rFonts w:ascii="Times New Roman" w:hAnsi="Times New Roman" w:cs="Times New Roman" w:hint="default"/>
        <w:b w:val="0"/>
        <w:i w:val="0"/>
        <w:caps w:val="0"/>
        <w:strike w:val="0"/>
        <w:dstrike w:val="0"/>
        <w:vanish w:val="0"/>
        <w:color w:val="auto"/>
        <w:sz w:val="18"/>
        <w:u w:val="none"/>
        <w:effect w:val="none"/>
        <w:vertAlign w:val="baseline"/>
      </w:rPr>
    </w:lvl>
    <w:lvl w:ilvl="1">
      <w:start w:val="1"/>
      <w:numFmt w:val="decimal"/>
      <w:pStyle w:val="ocNum4th2"/>
      <w:lvlText w:val="%2."/>
      <w:lvlJc w:val="left"/>
      <w:pPr>
        <w:tabs>
          <w:tab w:val="num" w:pos="680"/>
        </w:tabs>
        <w:ind w:left="680" w:hanging="680"/>
      </w:pPr>
      <w:rPr>
        <w:rFonts w:ascii="Times New Roman" w:hAnsi="Times New Roman" w:cs="Times New Roman" w:hint="default"/>
        <w:b w:val="0"/>
        <w:i w:val="0"/>
        <w:caps w:val="0"/>
        <w:strike w:val="0"/>
        <w:dstrike w:val="0"/>
        <w:vanish w:val="0"/>
        <w:color w:val="auto"/>
        <w:sz w:val="18"/>
        <w:u w:val="none"/>
        <w:effect w:val="none"/>
        <w:vertAlign w:val="baseline"/>
      </w:rPr>
    </w:lvl>
    <w:lvl w:ilvl="2">
      <w:start w:val="1"/>
      <w:numFmt w:val="decimal"/>
      <w:pStyle w:val="ocNum4th3"/>
      <w:isLgl/>
      <w:lvlText w:val="%2.%3"/>
      <w:lvlJc w:val="left"/>
      <w:pPr>
        <w:tabs>
          <w:tab w:val="num" w:pos="680"/>
        </w:tabs>
        <w:ind w:left="680" w:hanging="680"/>
      </w:pPr>
      <w:rPr>
        <w:rFonts w:ascii="Times New Roman" w:hAnsi="Times New Roman" w:cs="Times New Roman" w:hint="default"/>
        <w:b w:val="0"/>
        <w:i w:val="0"/>
        <w:caps w:val="0"/>
        <w:strike w:val="0"/>
        <w:dstrike w:val="0"/>
        <w:vanish w:val="0"/>
        <w:color w:val="auto"/>
        <w:sz w:val="18"/>
        <w:u w:val="none"/>
        <w:effect w:val="none"/>
        <w:vertAlign w:val="baseline"/>
      </w:rPr>
    </w:lvl>
    <w:lvl w:ilvl="3">
      <w:start w:val="1"/>
      <w:numFmt w:val="none"/>
      <w:pStyle w:val="ocNum4th4"/>
      <w:suff w:val="nothing"/>
      <w:lvlText w:val=""/>
      <w:lvlJc w:val="left"/>
      <w:pPr>
        <w:ind w:left="680" w:firstLine="0"/>
      </w:pPr>
      <w:rPr>
        <w:rFonts w:ascii="Times New Roman" w:hAnsi="Times New Roman" w:cs="Times New Roman" w:hint="default"/>
        <w:b w:val="0"/>
        <w:i w:val="0"/>
        <w:caps w:val="0"/>
        <w:strike w:val="0"/>
        <w:dstrike w:val="0"/>
        <w:vanish w:val="0"/>
        <w:color w:val="auto"/>
        <w:sz w:val="18"/>
        <w:u w:val="none"/>
        <w:effect w:val="none"/>
        <w:vertAlign w:val="baseline"/>
      </w:rPr>
    </w:lvl>
    <w:lvl w:ilvl="4">
      <w:start w:val="1"/>
      <w:numFmt w:val="lowerLetter"/>
      <w:pStyle w:val="ocNum4th5"/>
      <w:lvlText w:val="(%5)"/>
      <w:lvlJc w:val="left"/>
      <w:pPr>
        <w:tabs>
          <w:tab w:val="num" w:pos="1361"/>
        </w:tabs>
        <w:ind w:left="1361" w:hanging="681"/>
      </w:pPr>
      <w:rPr>
        <w:rFonts w:ascii="Times New Roman" w:hAnsi="Times New Roman" w:cs="Times New Roman" w:hint="default"/>
        <w:b w:val="0"/>
        <w:i w:val="0"/>
        <w:caps w:val="0"/>
        <w:strike w:val="0"/>
        <w:dstrike w:val="0"/>
        <w:vanish w:val="0"/>
        <w:color w:val="auto"/>
        <w:sz w:val="18"/>
        <w:u w:val="none"/>
        <w:effect w:val="none"/>
        <w:vertAlign w:val="baseline"/>
      </w:rPr>
    </w:lvl>
    <w:lvl w:ilvl="5">
      <w:start w:val="1"/>
      <w:numFmt w:val="lowerRoman"/>
      <w:pStyle w:val="ocNum4th6"/>
      <w:lvlText w:val="(%6)"/>
      <w:lvlJc w:val="left"/>
      <w:pPr>
        <w:tabs>
          <w:tab w:val="num" w:pos="2041"/>
        </w:tabs>
        <w:ind w:left="2041" w:hanging="680"/>
      </w:pPr>
      <w:rPr>
        <w:rFonts w:ascii="Times New Roman" w:hAnsi="Times New Roman" w:cs="Times New Roman" w:hint="default"/>
        <w:b w:val="0"/>
        <w:i w:val="0"/>
        <w:caps w:val="0"/>
        <w:strike w:val="0"/>
        <w:dstrike w:val="0"/>
        <w:vanish w:val="0"/>
        <w:color w:val="auto"/>
        <w:sz w:val="18"/>
        <w:u w:val="none"/>
        <w:effect w:val="none"/>
        <w:vertAlign w:val="baseline"/>
      </w:rPr>
    </w:lvl>
    <w:lvl w:ilvl="6">
      <w:start w:val="1"/>
      <w:numFmt w:val="upperLetter"/>
      <w:pStyle w:val="ocNum4th7"/>
      <w:lvlText w:val="(%7)"/>
      <w:lvlJc w:val="left"/>
      <w:pPr>
        <w:tabs>
          <w:tab w:val="num" w:pos="2722"/>
        </w:tabs>
        <w:ind w:left="2722" w:hanging="681"/>
      </w:pPr>
      <w:rPr>
        <w:rFonts w:ascii="Times New Roman" w:hAnsi="Times New Roman" w:cs="Times New Roman" w:hint="default"/>
        <w:b w:val="0"/>
        <w:i w:val="0"/>
        <w:caps w:val="0"/>
        <w:strike w:val="0"/>
        <w:dstrike w:val="0"/>
        <w:vanish w:val="0"/>
        <w:color w:val="auto"/>
        <w:sz w:val="18"/>
        <w:u w:val="none"/>
        <w:effect w:val="none"/>
        <w:vertAlign w:val="baseline"/>
      </w:rPr>
    </w:lvl>
    <w:lvl w:ilvl="7">
      <w:start w:val="1"/>
      <w:numFmt w:val="decimal"/>
      <w:pStyle w:val="ocNum4th8"/>
      <w:lvlText w:val="(%8)"/>
      <w:lvlJc w:val="left"/>
      <w:pPr>
        <w:tabs>
          <w:tab w:val="num" w:pos="3402"/>
        </w:tabs>
        <w:ind w:left="3402" w:hanging="680"/>
      </w:pPr>
      <w:rPr>
        <w:rFonts w:ascii="Times New Roman" w:hAnsi="Times New Roman" w:cs="Times New Roman" w:hint="default"/>
        <w:b w:val="0"/>
        <w:i w:val="0"/>
        <w:caps w:val="0"/>
        <w:strike w:val="0"/>
        <w:dstrike w:val="0"/>
        <w:vanish w:val="0"/>
        <w:color w:val="auto"/>
        <w:sz w:val="20"/>
        <w:u w:val="none"/>
        <w:effect w:val="none"/>
        <w:vertAlign w:val="baseline"/>
      </w:rPr>
    </w:lvl>
    <w:lvl w:ilvl="8">
      <w:start w:val="1"/>
      <w:numFmt w:val="none"/>
      <w:pStyle w:val="ocNum4th9"/>
      <w:suff w:val="nothing"/>
      <w:lvlText w:val=""/>
      <w:lvlJc w:val="left"/>
      <w:pPr>
        <w:ind w:left="0" w:firstLine="0"/>
      </w:pPr>
      <w:rPr>
        <w:rFonts w:ascii="Times New Roman" w:hAnsi="Times New Roman" w:cs="Times New Roman" w:hint="default"/>
        <w:b w:val="0"/>
        <w:i w:val="0"/>
        <w:caps w:val="0"/>
        <w:strike w:val="0"/>
        <w:dstrike w:val="0"/>
        <w:vanish w:val="0"/>
        <w:color w:val="auto"/>
        <w:sz w:val="20"/>
        <w:u w:val="none"/>
        <w:effect w:val="none"/>
        <w:vertAlign w:val="baseline"/>
      </w:rPr>
    </w:lvl>
  </w:abstractNum>
  <w:abstractNum w:abstractNumId="36" w15:restartNumberingAfterBreak="0">
    <w:nsid w:val="56DB4E77"/>
    <w:multiLevelType w:val="hybridMultilevel"/>
    <w:tmpl w:val="D6DE7E32"/>
    <w:lvl w:ilvl="0" w:tplc="CF5A2ED4">
      <w:start w:val="1"/>
      <w:numFmt w:val="bullet"/>
      <w:lvlText w:val=""/>
      <w:lvlJc w:val="left"/>
      <w:pPr>
        <w:tabs>
          <w:tab w:val="num" w:pos="720"/>
        </w:tabs>
        <w:ind w:left="720" w:hanging="360"/>
      </w:pPr>
      <w:rPr>
        <w:rFonts w:ascii="Wingdings" w:hAnsi="Wingdings" w:hint="default"/>
      </w:rPr>
    </w:lvl>
    <w:lvl w:ilvl="1" w:tplc="E35CC37E" w:tentative="1">
      <w:start w:val="1"/>
      <w:numFmt w:val="bullet"/>
      <w:lvlText w:val=""/>
      <w:lvlJc w:val="left"/>
      <w:pPr>
        <w:tabs>
          <w:tab w:val="num" w:pos="1440"/>
        </w:tabs>
        <w:ind w:left="1440" w:hanging="360"/>
      </w:pPr>
      <w:rPr>
        <w:rFonts w:ascii="Wingdings" w:hAnsi="Wingdings" w:hint="default"/>
      </w:rPr>
    </w:lvl>
    <w:lvl w:ilvl="2" w:tplc="4F305916" w:tentative="1">
      <w:start w:val="1"/>
      <w:numFmt w:val="bullet"/>
      <w:lvlText w:val=""/>
      <w:lvlJc w:val="left"/>
      <w:pPr>
        <w:tabs>
          <w:tab w:val="num" w:pos="2160"/>
        </w:tabs>
        <w:ind w:left="2160" w:hanging="360"/>
      </w:pPr>
      <w:rPr>
        <w:rFonts w:ascii="Wingdings" w:hAnsi="Wingdings" w:hint="default"/>
      </w:rPr>
    </w:lvl>
    <w:lvl w:ilvl="3" w:tplc="2E34009E" w:tentative="1">
      <w:start w:val="1"/>
      <w:numFmt w:val="bullet"/>
      <w:lvlText w:val=""/>
      <w:lvlJc w:val="left"/>
      <w:pPr>
        <w:tabs>
          <w:tab w:val="num" w:pos="2880"/>
        </w:tabs>
        <w:ind w:left="2880" w:hanging="360"/>
      </w:pPr>
      <w:rPr>
        <w:rFonts w:ascii="Wingdings" w:hAnsi="Wingdings" w:hint="default"/>
      </w:rPr>
    </w:lvl>
    <w:lvl w:ilvl="4" w:tplc="25628E62" w:tentative="1">
      <w:start w:val="1"/>
      <w:numFmt w:val="bullet"/>
      <w:lvlText w:val=""/>
      <w:lvlJc w:val="left"/>
      <w:pPr>
        <w:tabs>
          <w:tab w:val="num" w:pos="3600"/>
        </w:tabs>
        <w:ind w:left="3600" w:hanging="360"/>
      </w:pPr>
      <w:rPr>
        <w:rFonts w:ascii="Wingdings" w:hAnsi="Wingdings" w:hint="default"/>
      </w:rPr>
    </w:lvl>
    <w:lvl w:ilvl="5" w:tplc="F1FA83EE" w:tentative="1">
      <w:start w:val="1"/>
      <w:numFmt w:val="bullet"/>
      <w:lvlText w:val=""/>
      <w:lvlJc w:val="left"/>
      <w:pPr>
        <w:tabs>
          <w:tab w:val="num" w:pos="4320"/>
        </w:tabs>
        <w:ind w:left="4320" w:hanging="360"/>
      </w:pPr>
      <w:rPr>
        <w:rFonts w:ascii="Wingdings" w:hAnsi="Wingdings" w:hint="default"/>
      </w:rPr>
    </w:lvl>
    <w:lvl w:ilvl="6" w:tplc="A85E9A2E" w:tentative="1">
      <w:start w:val="1"/>
      <w:numFmt w:val="bullet"/>
      <w:lvlText w:val=""/>
      <w:lvlJc w:val="left"/>
      <w:pPr>
        <w:tabs>
          <w:tab w:val="num" w:pos="5040"/>
        </w:tabs>
        <w:ind w:left="5040" w:hanging="360"/>
      </w:pPr>
      <w:rPr>
        <w:rFonts w:ascii="Wingdings" w:hAnsi="Wingdings" w:hint="default"/>
      </w:rPr>
    </w:lvl>
    <w:lvl w:ilvl="7" w:tplc="594C0C1C" w:tentative="1">
      <w:start w:val="1"/>
      <w:numFmt w:val="bullet"/>
      <w:lvlText w:val=""/>
      <w:lvlJc w:val="left"/>
      <w:pPr>
        <w:tabs>
          <w:tab w:val="num" w:pos="5760"/>
        </w:tabs>
        <w:ind w:left="5760" w:hanging="360"/>
      </w:pPr>
      <w:rPr>
        <w:rFonts w:ascii="Wingdings" w:hAnsi="Wingdings" w:hint="default"/>
      </w:rPr>
    </w:lvl>
    <w:lvl w:ilvl="8" w:tplc="E75A130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E72EF2"/>
    <w:multiLevelType w:val="hybridMultilevel"/>
    <w:tmpl w:val="E4E6D62C"/>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750D28D"/>
    <w:multiLevelType w:val="hybridMultilevel"/>
    <w:tmpl w:val="FFFFFFFF"/>
    <w:lvl w:ilvl="0" w:tplc="7E9827E4">
      <w:start w:val="1"/>
      <w:numFmt w:val="bullet"/>
      <w:lvlText w:val="-"/>
      <w:lvlJc w:val="left"/>
      <w:pPr>
        <w:ind w:left="720" w:hanging="360"/>
      </w:pPr>
      <w:rPr>
        <w:rFonts w:ascii="Aptos" w:hAnsi="Aptos" w:hint="default"/>
      </w:rPr>
    </w:lvl>
    <w:lvl w:ilvl="1" w:tplc="B35E8BDC">
      <w:start w:val="1"/>
      <w:numFmt w:val="bullet"/>
      <w:lvlText w:val="o"/>
      <w:lvlJc w:val="left"/>
      <w:pPr>
        <w:ind w:left="1440" w:hanging="360"/>
      </w:pPr>
      <w:rPr>
        <w:rFonts w:ascii="Courier New" w:hAnsi="Courier New" w:hint="default"/>
      </w:rPr>
    </w:lvl>
    <w:lvl w:ilvl="2" w:tplc="F14C7492">
      <w:start w:val="1"/>
      <w:numFmt w:val="bullet"/>
      <w:lvlText w:val=""/>
      <w:lvlJc w:val="left"/>
      <w:pPr>
        <w:ind w:left="2160" w:hanging="360"/>
      </w:pPr>
      <w:rPr>
        <w:rFonts w:ascii="Wingdings" w:hAnsi="Wingdings" w:hint="default"/>
      </w:rPr>
    </w:lvl>
    <w:lvl w:ilvl="3" w:tplc="6284CE5E">
      <w:start w:val="1"/>
      <w:numFmt w:val="bullet"/>
      <w:lvlText w:val=""/>
      <w:lvlJc w:val="left"/>
      <w:pPr>
        <w:ind w:left="2880" w:hanging="360"/>
      </w:pPr>
      <w:rPr>
        <w:rFonts w:ascii="Symbol" w:hAnsi="Symbol" w:hint="default"/>
      </w:rPr>
    </w:lvl>
    <w:lvl w:ilvl="4" w:tplc="788629F2">
      <w:start w:val="1"/>
      <w:numFmt w:val="bullet"/>
      <w:lvlText w:val="o"/>
      <w:lvlJc w:val="left"/>
      <w:pPr>
        <w:ind w:left="3600" w:hanging="360"/>
      </w:pPr>
      <w:rPr>
        <w:rFonts w:ascii="Courier New" w:hAnsi="Courier New" w:hint="default"/>
      </w:rPr>
    </w:lvl>
    <w:lvl w:ilvl="5" w:tplc="7988DD0E">
      <w:start w:val="1"/>
      <w:numFmt w:val="bullet"/>
      <w:lvlText w:val=""/>
      <w:lvlJc w:val="left"/>
      <w:pPr>
        <w:ind w:left="4320" w:hanging="360"/>
      </w:pPr>
      <w:rPr>
        <w:rFonts w:ascii="Wingdings" w:hAnsi="Wingdings" w:hint="default"/>
      </w:rPr>
    </w:lvl>
    <w:lvl w:ilvl="6" w:tplc="E6A4DAF4">
      <w:start w:val="1"/>
      <w:numFmt w:val="bullet"/>
      <w:lvlText w:val=""/>
      <w:lvlJc w:val="left"/>
      <w:pPr>
        <w:ind w:left="5040" w:hanging="360"/>
      </w:pPr>
      <w:rPr>
        <w:rFonts w:ascii="Symbol" w:hAnsi="Symbol" w:hint="default"/>
      </w:rPr>
    </w:lvl>
    <w:lvl w:ilvl="7" w:tplc="55F4FD6C">
      <w:start w:val="1"/>
      <w:numFmt w:val="bullet"/>
      <w:lvlText w:val="o"/>
      <w:lvlJc w:val="left"/>
      <w:pPr>
        <w:ind w:left="5760" w:hanging="360"/>
      </w:pPr>
      <w:rPr>
        <w:rFonts w:ascii="Courier New" w:hAnsi="Courier New" w:hint="default"/>
      </w:rPr>
    </w:lvl>
    <w:lvl w:ilvl="8" w:tplc="DB26C022">
      <w:start w:val="1"/>
      <w:numFmt w:val="bullet"/>
      <w:lvlText w:val=""/>
      <w:lvlJc w:val="left"/>
      <w:pPr>
        <w:ind w:left="6480" w:hanging="360"/>
      </w:pPr>
      <w:rPr>
        <w:rFonts w:ascii="Wingdings" w:hAnsi="Wingdings" w:hint="default"/>
      </w:rPr>
    </w:lvl>
  </w:abstractNum>
  <w:abstractNum w:abstractNumId="39" w15:restartNumberingAfterBreak="0">
    <w:nsid w:val="58551046"/>
    <w:multiLevelType w:val="hybridMultilevel"/>
    <w:tmpl w:val="5C1AE796"/>
    <w:lvl w:ilvl="0" w:tplc="9B7C48EA">
      <w:start w:val="1"/>
      <w:numFmt w:val="lowerRoman"/>
      <w:lvlText w:val="(%1)"/>
      <w:lvlJc w:val="left"/>
      <w:pPr>
        <w:ind w:left="1287" w:hanging="720"/>
      </w:pPr>
      <w:rPr>
        <w:rFonts w:asciiTheme="minorHAnsi" w:eastAsia="Times New Roman" w:hAnsiTheme="minorHAnsi" w:cs="Arial"/>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58A87590"/>
    <w:multiLevelType w:val="hybridMultilevel"/>
    <w:tmpl w:val="F0F6C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ED7237F"/>
    <w:multiLevelType w:val="multilevel"/>
    <w:tmpl w:val="004A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18152BC"/>
    <w:multiLevelType w:val="hybridMultilevel"/>
    <w:tmpl w:val="676C2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6231ECD"/>
    <w:multiLevelType w:val="multilevel"/>
    <w:tmpl w:val="C656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98311D4"/>
    <w:multiLevelType w:val="hybridMultilevel"/>
    <w:tmpl w:val="5118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F120DC"/>
    <w:multiLevelType w:val="hybridMultilevel"/>
    <w:tmpl w:val="886E5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B0B63F6"/>
    <w:multiLevelType w:val="multilevel"/>
    <w:tmpl w:val="4FAE1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395228"/>
    <w:multiLevelType w:val="hybridMultilevel"/>
    <w:tmpl w:val="3E12C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ED06FA9"/>
    <w:multiLevelType w:val="hybridMultilevel"/>
    <w:tmpl w:val="111A7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FD6443F"/>
    <w:multiLevelType w:val="hybridMultilevel"/>
    <w:tmpl w:val="5956D4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0D4C2B"/>
    <w:multiLevelType w:val="hybridMultilevel"/>
    <w:tmpl w:val="AD14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85C4518"/>
    <w:multiLevelType w:val="hybridMultilevel"/>
    <w:tmpl w:val="4DC862A2"/>
    <w:lvl w:ilvl="0" w:tplc="9D9AB4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A544480"/>
    <w:multiLevelType w:val="hybridMultilevel"/>
    <w:tmpl w:val="29D0574E"/>
    <w:lvl w:ilvl="0" w:tplc="A8C04F4C">
      <w:start w:val="1"/>
      <w:numFmt w:val="bullet"/>
      <w:lvlText w:val=""/>
      <w:lvlJc w:val="left"/>
      <w:pPr>
        <w:tabs>
          <w:tab w:val="num" w:pos="720"/>
        </w:tabs>
        <w:ind w:left="720" w:hanging="360"/>
      </w:pPr>
      <w:rPr>
        <w:rFonts w:ascii="Symbol" w:hAnsi="Symbol" w:hint="default"/>
      </w:rPr>
    </w:lvl>
    <w:lvl w:ilvl="1" w:tplc="6FC8E294" w:tentative="1">
      <w:start w:val="1"/>
      <w:numFmt w:val="bullet"/>
      <w:lvlText w:val=""/>
      <w:lvlJc w:val="left"/>
      <w:pPr>
        <w:tabs>
          <w:tab w:val="num" w:pos="1440"/>
        </w:tabs>
        <w:ind w:left="1440" w:hanging="360"/>
      </w:pPr>
      <w:rPr>
        <w:rFonts w:ascii="Symbol" w:hAnsi="Symbol" w:hint="default"/>
      </w:rPr>
    </w:lvl>
    <w:lvl w:ilvl="2" w:tplc="C61EE466" w:tentative="1">
      <w:start w:val="1"/>
      <w:numFmt w:val="bullet"/>
      <w:lvlText w:val=""/>
      <w:lvlJc w:val="left"/>
      <w:pPr>
        <w:tabs>
          <w:tab w:val="num" w:pos="2160"/>
        </w:tabs>
        <w:ind w:left="2160" w:hanging="360"/>
      </w:pPr>
      <w:rPr>
        <w:rFonts w:ascii="Symbol" w:hAnsi="Symbol" w:hint="default"/>
      </w:rPr>
    </w:lvl>
    <w:lvl w:ilvl="3" w:tplc="BD923FA8" w:tentative="1">
      <w:start w:val="1"/>
      <w:numFmt w:val="bullet"/>
      <w:lvlText w:val=""/>
      <w:lvlJc w:val="left"/>
      <w:pPr>
        <w:tabs>
          <w:tab w:val="num" w:pos="2880"/>
        </w:tabs>
        <w:ind w:left="2880" w:hanging="360"/>
      </w:pPr>
      <w:rPr>
        <w:rFonts w:ascii="Symbol" w:hAnsi="Symbol" w:hint="default"/>
      </w:rPr>
    </w:lvl>
    <w:lvl w:ilvl="4" w:tplc="5FFE097A" w:tentative="1">
      <w:start w:val="1"/>
      <w:numFmt w:val="bullet"/>
      <w:lvlText w:val=""/>
      <w:lvlJc w:val="left"/>
      <w:pPr>
        <w:tabs>
          <w:tab w:val="num" w:pos="3600"/>
        </w:tabs>
        <w:ind w:left="3600" w:hanging="360"/>
      </w:pPr>
      <w:rPr>
        <w:rFonts w:ascii="Symbol" w:hAnsi="Symbol" w:hint="default"/>
      </w:rPr>
    </w:lvl>
    <w:lvl w:ilvl="5" w:tplc="D6B21E66" w:tentative="1">
      <w:start w:val="1"/>
      <w:numFmt w:val="bullet"/>
      <w:lvlText w:val=""/>
      <w:lvlJc w:val="left"/>
      <w:pPr>
        <w:tabs>
          <w:tab w:val="num" w:pos="4320"/>
        </w:tabs>
        <w:ind w:left="4320" w:hanging="360"/>
      </w:pPr>
      <w:rPr>
        <w:rFonts w:ascii="Symbol" w:hAnsi="Symbol" w:hint="default"/>
      </w:rPr>
    </w:lvl>
    <w:lvl w:ilvl="6" w:tplc="9594C1B6" w:tentative="1">
      <w:start w:val="1"/>
      <w:numFmt w:val="bullet"/>
      <w:lvlText w:val=""/>
      <w:lvlJc w:val="left"/>
      <w:pPr>
        <w:tabs>
          <w:tab w:val="num" w:pos="5040"/>
        </w:tabs>
        <w:ind w:left="5040" w:hanging="360"/>
      </w:pPr>
      <w:rPr>
        <w:rFonts w:ascii="Symbol" w:hAnsi="Symbol" w:hint="default"/>
      </w:rPr>
    </w:lvl>
    <w:lvl w:ilvl="7" w:tplc="E7DC5F64" w:tentative="1">
      <w:start w:val="1"/>
      <w:numFmt w:val="bullet"/>
      <w:lvlText w:val=""/>
      <w:lvlJc w:val="left"/>
      <w:pPr>
        <w:tabs>
          <w:tab w:val="num" w:pos="5760"/>
        </w:tabs>
        <w:ind w:left="5760" w:hanging="360"/>
      </w:pPr>
      <w:rPr>
        <w:rFonts w:ascii="Symbol" w:hAnsi="Symbol" w:hint="default"/>
      </w:rPr>
    </w:lvl>
    <w:lvl w:ilvl="8" w:tplc="D4F45022" w:tentative="1">
      <w:start w:val="1"/>
      <w:numFmt w:val="bullet"/>
      <w:lvlText w:val=""/>
      <w:lvlJc w:val="left"/>
      <w:pPr>
        <w:tabs>
          <w:tab w:val="num" w:pos="6480"/>
        </w:tabs>
        <w:ind w:left="6480" w:hanging="360"/>
      </w:pPr>
      <w:rPr>
        <w:rFonts w:ascii="Symbol" w:hAnsi="Symbol" w:hint="default"/>
      </w:rPr>
    </w:lvl>
  </w:abstractNum>
  <w:num w:numId="1" w16cid:durableId="817502645">
    <w:abstractNumId w:val="35"/>
  </w:num>
  <w:num w:numId="2" w16cid:durableId="1039088670">
    <w:abstractNumId w:val="27"/>
  </w:num>
  <w:num w:numId="3" w16cid:durableId="370806656">
    <w:abstractNumId w:val="31"/>
  </w:num>
  <w:num w:numId="4" w16cid:durableId="538855027">
    <w:abstractNumId w:val="26"/>
  </w:num>
  <w:num w:numId="5" w16cid:durableId="917523121">
    <w:abstractNumId w:val="17"/>
  </w:num>
  <w:num w:numId="6" w16cid:durableId="199899501">
    <w:abstractNumId w:val="22"/>
  </w:num>
  <w:num w:numId="7" w16cid:durableId="1215510951">
    <w:abstractNumId w:val="37"/>
  </w:num>
  <w:num w:numId="8" w16cid:durableId="1638728194">
    <w:abstractNumId w:val="13"/>
  </w:num>
  <w:num w:numId="9" w16cid:durableId="545416016">
    <w:abstractNumId w:val="33"/>
  </w:num>
  <w:num w:numId="10" w16cid:durableId="1394698023">
    <w:abstractNumId w:val="15"/>
  </w:num>
  <w:num w:numId="11" w16cid:durableId="171189771">
    <w:abstractNumId w:val="6"/>
  </w:num>
  <w:num w:numId="12" w16cid:durableId="1644967208">
    <w:abstractNumId w:val="48"/>
  </w:num>
  <w:num w:numId="13" w16cid:durableId="168643237">
    <w:abstractNumId w:val="25"/>
  </w:num>
  <w:num w:numId="14" w16cid:durableId="792479860">
    <w:abstractNumId w:val="52"/>
  </w:num>
  <w:num w:numId="15" w16cid:durableId="296301616">
    <w:abstractNumId w:val="24"/>
  </w:num>
  <w:num w:numId="16" w16cid:durableId="546448922">
    <w:abstractNumId w:val="8"/>
  </w:num>
  <w:num w:numId="17" w16cid:durableId="526869161">
    <w:abstractNumId w:val="1"/>
  </w:num>
  <w:num w:numId="18" w16cid:durableId="1061513258">
    <w:abstractNumId w:val="30"/>
  </w:num>
  <w:num w:numId="19" w16cid:durableId="2129160637">
    <w:abstractNumId w:val="39"/>
  </w:num>
  <w:num w:numId="20" w16cid:durableId="1122377981">
    <w:abstractNumId w:val="42"/>
  </w:num>
  <w:num w:numId="21" w16cid:durableId="419108851">
    <w:abstractNumId w:val="47"/>
  </w:num>
  <w:num w:numId="22" w16cid:durableId="1962416303">
    <w:abstractNumId w:val="36"/>
  </w:num>
  <w:num w:numId="23" w16cid:durableId="1325166719">
    <w:abstractNumId w:val="2"/>
  </w:num>
  <w:num w:numId="24" w16cid:durableId="51123980">
    <w:abstractNumId w:val="21"/>
  </w:num>
  <w:num w:numId="25" w16cid:durableId="863247798">
    <w:abstractNumId w:val="43"/>
  </w:num>
  <w:num w:numId="26" w16cid:durableId="98918832">
    <w:abstractNumId w:val="41"/>
  </w:num>
  <w:num w:numId="27" w16cid:durableId="1847819587">
    <w:abstractNumId w:val="10"/>
  </w:num>
  <w:num w:numId="28" w16cid:durableId="874584783">
    <w:abstractNumId w:val="20"/>
  </w:num>
  <w:num w:numId="29" w16cid:durableId="836071864">
    <w:abstractNumId w:val="45"/>
  </w:num>
  <w:num w:numId="30" w16cid:durableId="1111781436">
    <w:abstractNumId w:val="49"/>
  </w:num>
  <w:num w:numId="31" w16cid:durableId="2014604221">
    <w:abstractNumId w:val="29"/>
  </w:num>
  <w:num w:numId="32" w16cid:durableId="971204345">
    <w:abstractNumId w:val="3"/>
  </w:num>
  <w:num w:numId="33" w16cid:durableId="261568638">
    <w:abstractNumId w:val="23"/>
  </w:num>
  <w:num w:numId="34" w16cid:durableId="529757896">
    <w:abstractNumId w:val="46"/>
  </w:num>
  <w:num w:numId="35" w16cid:durableId="1979415612">
    <w:abstractNumId w:val="11"/>
  </w:num>
  <w:num w:numId="36" w16cid:durableId="500507114">
    <w:abstractNumId w:val="34"/>
  </w:num>
  <w:num w:numId="37" w16cid:durableId="1336305178">
    <w:abstractNumId w:val="32"/>
  </w:num>
  <w:num w:numId="38" w16cid:durableId="1952201536">
    <w:abstractNumId w:val="16"/>
  </w:num>
  <w:num w:numId="39" w16cid:durableId="448934792">
    <w:abstractNumId w:val="28"/>
  </w:num>
  <w:num w:numId="40" w16cid:durableId="880749101">
    <w:abstractNumId w:val="19"/>
  </w:num>
  <w:num w:numId="41" w16cid:durableId="880048949">
    <w:abstractNumId w:val="50"/>
  </w:num>
  <w:num w:numId="42" w16cid:durableId="221527665">
    <w:abstractNumId w:val="4"/>
  </w:num>
  <w:num w:numId="43" w16cid:durableId="834953156">
    <w:abstractNumId w:val="18"/>
  </w:num>
  <w:num w:numId="44" w16cid:durableId="434250011">
    <w:abstractNumId w:val="51"/>
  </w:num>
  <w:num w:numId="45" w16cid:durableId="1987515372">
    <w:abstractNumId w:val="44"/>
  </w:num>
  <w:num w:numId="46" w16cid:durableId="940604746">
    <w:abstractNumId w:val="40"/>
  </w:num>
  <w:num w:numId="47" w16cid:durableId="1005207813">
    <w:abstractNumId w:val="9"/>
  </w:num>
  <w:num w:numId="48" w16cid:durableId="1346321217">
    <w:abstractNumId w:val="14"/>
  </w:num>
  <w:num w:numId="49" w16cid:durableId="1314526357">
    <w:abstractNumId w:val="0"/>
  </w:num>
  <w:num w:numId="50" w16cid:durableId="296037464">
    <w:abstractNumId w:val="38"/>
  </w:num>
  <w:num w:numId="51" w16cid:durableId="1723096863">
    <w:abstractNumId w:val="7"/>
  </w:num>
  <w:num w:numId="52" w16cid:durableId="329603314">
    <w:abstractNumId w:val="12"/>
  </w:num>
  <w:num w:numId="53" w16cid:durableId="1602303094">
    <w:abstractNumId w:val="5"/>
  </w:num>
  <w:num w:numId="54" w16cid:durableId="1480802062">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B73"/>
    <w:rsid w:val="000003D5"/>
    <w:rsid w:val="00000461"/>
    <w:rsid w:val="000005ED"/>
    <w:rsid w:val="00000681"/>
    <w:rsid w:val="000007BA"/>
    <w:rsid w:val="0000097A"/>
    <w:rsid w:val="00000CC5"/>
    <w:rsid w:val="00000DA1"/>
    <w:rsid w:val="00000DAC"/>
    <w:rsid w:val="00000E17"/>
    <w:rsid w:val="00000FA6"/>
    <w:rsid w:val="00001046"/>
    <w:rsid w:val="00001067"/>
    <w:rsid w:val="00001099"/>
    <w:rsid w:val="000011A1"/>
    <w:rsid w:val="000011E7"/>
    <w:rsid w:val="000011FD"/>
    <w:rsid w:val="000012D9"/>
    <w:rsid w:val="000012F3"/>
    <w:rsid w:val="000013FE"/>
    <w:rsid w:val="00001406"/>
    <w:rsid w:val="0000146A"/>
    <w:rsid w:val="00001690"/>
    <w:rsid w:val="00001708"/>
    <w:rsid w:val="0000170F"/>
    <w:rsid w:val="0000177F"/>
    <w:rsid w:val="00001820"/>
    <w:rsid w:val="000019A5"/>
    <w:rsid w:val="000019C0"/>
    <w:rsid w:val="00001A54"/>
    <w:rsid w:val="00001B62"/>
    <w:rsid w:val="00001E28"/>
    <w:rsid w:val="00001F7A"/>
    <w:rsid w:val="00001FD3"/>
    <w:rsid w:val="0000214F"/>
    <w:rsid w:val="0000220B"/>
    <w:rsid w:val="000022F3"/>
    <w:rsid w:val="00002307"/>
    <w:rsid w:val="00002325"/>
    <w:rsid w:val="000023C8"/>
    <w:rsid w:val="000025C5"/>
    <w:rsid w:val="000025D1"/>
    <w:rsid w:val="00002685"/>
    <w:rsid w:val="0000289C"/>
    <w:rsid w:val="00002932"/>
    <w:rsid w:val="00002955"/>
    <w:rsid w:val="00002ABD"/>
    <w:rsid w:val="00002AD5"/>
    <w:rsid w:val="00002D21"/>
    <w:rsid w:val="00002D85"/>
    <w:rsid w:val="00002F08"/>
    <w:rsid w:val="00002F10"/>
    <w:rsid w:val="00002F3B"/>
    <w:rsid w:val="0000304C"/>
    <w:rsid w:val="0000312C"/>
    <w:rsid w:val="000033E4"/>
    <w:rsid w:val="0000367B"/>
    <w:rsid w:val="00003853"/>
    <w:rsid w:val="00003A09"/>
    <w:rsid w:val="00003A9E"/>
    <w:rsid w:val="00003CF3"/>
    <w:rsid w:val="00003D33"/>
    <w:rsid w:val="00003D79"/>
    <w:rsid w:val="00003DB8"/>
    <w:rsid w:val="00003DC2"/>
    <w:rsid w:val="000040C4"/>
    <w:rsid w:val="000044B3"/>
    <w:rsid w:val="0000450F"/>
    <w:rsid w:val="00004644"/>
    <w:rsid w:val="00004785"/>
    <w:rsid w:val="000047AB"/>
    <w:rsid w:val="0000484A"/>
    <w:rsid w:val="00004874"/>
    <w:rsid w:val="00004898"/>
    <w:rsid w:val="000048E9"/>
    <w:rsid w:val="00004C4C"/>
    <w:rsid w:val="00004D9D"/>
    <w:rsid w:val="00004DC7"/>
    <w:rsid w:val="00004F55"/>
    <w:rsid w:val="0000501C"/>
    <w:rsid w:val="00005083"/>
    <w:rsid w:val="00005176"/>
    <w:rsid w:val="0000518B"/>
    <w:rsid w:val="00005228"/>
    <w:rsid w:val="0000523C"/>
    <w:rsid w:val="000052AB"/>
    <w:rsid w:val="0000537C"/>
    <w:rsid w:val="00005456"/>
    <w:rsid w:val="0000551C"/>
    <w:rsid w:val="00005578"/>
    <w:rsid w:val="0000558E"/>
    <w:rsid w:val="000055A3"/>
    <w:rsid w:val="000055FF"/>
    <w:rsid w:val="000056EA"/>
    <w:rsid w:val="00005E33"/>
    <w:rsid w:val="00005EA6"/>
    <w:rsid w:val="00005FB0"/>
    <w:rsid w:val="00005FC1"/>
    <w:rsid w:val="0000606D"/>
    <w:rsid w:val="00006182"/>
    <w:rsid w:val="00006234"/>
    <w:rsid w:val="00006289"/>
    <w:rsid w:val="0000630B"/>
    <w:rsid w:val="0000631D"/>
    <w:rsid w:val="00006344"/>
    <w:rsid w:val="0000648F"/>
    <w:rsid w:val="0000663B"/>
    <w:rsid w:val="000066BE"/>
    <w:rsid w:val="00006892"/>
    <w:rsid w:val="0000692F"/>
    <w:rsid w:val="00006AB4"/>
    <w:rsid w:val="00006B26"/>
    <w:rsid w:val="00006C35"/>
    <w:rsid w:val="00006C71"/>
    <w:rsid w:val="00006D28"/>
    <w:rsid w:val="00006E7A"/>
    <w:rsid w:val="00006EB3"/>
    <w:rsid w:val="000070B6"/>
    <w:rsid w:val="00007119"/>
    <w:rsid w:val="00007130"/>
    <w:rsid w:val="00007144"/>
    <w:rsid w:val="000071DB"/>
    <w:rsid w:val="00007276"/>
    <w:rsid w:val="0000732A"/>
    <w:rsid w:val="0000761D"/>
    <w:rsid w:val="000077C4"/>
    <w:rsid w:val="00007885"/>
    <w:rsid w:val="000079B4"/>
    <w:rsid w:val="00007AE6"/>
    <w:rsid w:val="00007C82"/>
    <w:rsid w:val="00007CC9"/>
    <w:rsid w:val="00007FF0"/>
    <w:rsid w:val="00010075"/>
    <w:rsid w:val="00010132"/>
    <w:rsid w:val="00010192"/>
    <w:rsid w:val="0001056C"/>
    <w:rsid w:val="00010584"/>
    <w:rsid w:val="000105D1"/>
    <w:rsid w:val="00010823"/>
    <w:rsid w:val="0001088B"/>
    <w:rsid w:val="00010991"/>
    <w:rsid w:val="00010AA7"/>
    <w:rsid w:val="00010B35"/>
    <w:rsid w:val="00010BDF"/>
    <w:rsid w:val="00010CB8"/>
    <w:rsid w:val="00010E55"/>
    <w:rsid w:val="00010F18"/>
    <w:rsid w:val="0001104E"/>
    <w:rsid w:val="000110A8"/>
    <w:rsid w:val="000110BD"/>
    <w:rsid w:val="00011104"/>
    <w:rsid w:val="00011141"/>
    <w:rsid w:val="0001121F"/>
    <w:rsid w:val="0001122B"/>
    <w:rsid w:val="000112E8"/>
    <w:rsid w:val="00011468"/>
    <w:rsid w:val="00011810"/>
    <w:rsid w:val="00011A4D"/>
    <w:rsid w:val="00011A5F"/>
    <w:rsid w:val="00011E2F"/>
    <w:rsid w:val="00011E55"/>
    <w:rsid w:val="00011E95"/>
    <w:rsid w:val="00011ECF"/>
    <w:rsid w:val="00011FCC"/>
    <w:rsid w:val="00012006"/>
    <w:rsid w:val="000120B8"/>
    <w:rsid w:val="000120DD"/>
    <w:rsid w:val="000121F3"/>
    <w:rsid w:val="000124D8"/>
    <w:rsid w:val="00012515"/>
    <w:rsid w:val="000125E1"/>
    <w:rsid w:val="0001271C"/>
    <w:rsid w:val="000129D6"/>
    <w:rsid w:val="00012AC8"/>
    <w:rsid w:val="00012B2C"/>
    <w:rsid w:val="00012B87"/>
    <w:rsid w:val="00012C83"/>
    <w:rsid w:val="00012EBA"/>
    <w:rsid w:val="00012F25"/>
    <w:rsid w:val="00013021"/>
    <w:rsid w:val="000133E1"/>
    <w:rsid w:val="00013529"/>
    <w:rsid w:val="0001353F"/>
    <w:rsid w:val="00013600"/>
    <w:rsid w:val="00013790"/>
    <w:rsid w:val="0001383D"/>
    <w:rsid w:val="000138EB"/>
    <w:rsid w:val="0001397C"/>
    <w:rsid w:val="00013B02"/>
    <w:rsid w:val="00013B5F"/>
    <w:rsid w:val="00013BA3"/>
    <w:rsid w:val="00013C41"/>
    <w:rsid w:val="00013D8C"/>
    <w:rsid w:val="00013DD6"/>
    <w:rsid w:val="00013E85"/>
    <w:rsid w:val="00013F19"/>
    <w:rsid w:val="00013FA9"/>
    <w:rsid w:val="0001415C"/>
    <w:rsid w:val="0001415E"/>
    <w:rsid w:val="0001418B"/>
    <w:rsid w:val="0001422F"/>
    <w:rsid w:val="00014241"/>
    <w:rsid w:val="0001424D"/>
    <w:rsid w:val="0001426D"/>
    <w:rsid w:val="000142CC"/>
    <w:rsid w:val="000142EB"/>
    <w:rsid w:val="0001448C"/>
    <w:rsid w:val="00014541"/>
    <w:rsid w:val="000147E8"/>
    <w:rsid w:val="00014E05"/>
    <w:rsid w:val="00014E16"/>
    <w:rsid w:val="00014E76"/>
    <w:rsid w:val="00014E7A"/>
    <w:rsid w:val="00014ED7"/>
    <w:rsid w:val="00014EE5"/>
    <w:rsid w:val="000152A5"/>
    <w:rsid w:val="000152B4"/>
    <w:rsid w:val="000153CB"/>
    <w:rsid w:val="00015406"/>
    <w:rsid w:val="0001540C"/>
    <w:rsid w:val="0001540E"/>
    <w:rsid w:val="000157C8"/>
    <w:rsid w:val="000158A0"/>
    <w:rsid w:val="000158E2"/>
    <w:rsid w:val="0001591D"/>
    <w:rsid w:val="00015A74"/>
    <w:rsid w:val="00015A80"/>
    <w:rsid w:val="00015C07"/>
    <w:rsid w:val="00015D9B"/>
    <w:rsid w:val="00015DA8"/>
    <w:rsid w:val="00015E22"/>
    <w:rsid w:val="00015E6F"/>
    <w:rsid w:val="00015EA6"/>
    <w:rsid w:val="00015F30"/>
    <w:rsid w:val="00015FC7"/>
    <w:rsid w:val="000160D9"/>
    <w:rsid w:val="000161EF"/>
    <w:rsid w:val="000162CC"/>
    <w:rsid w:val="00016346"/>
    <w:rsid w:val="00016516"/>
    <w:rsid w:val="00016623"/>
    <w:rsid w:val="000166D3"/>
    <w:rsid w:val="00016A03"/>
    <w:rsid w:val="00016A4D"/>
    <w:rsid w:val="00016CA4"/>
    <w:rsid w:val="00016D76"/>
    <w:rsid w:val="00016E45"/>
    <w:rsid w:val="00016F15"/>
    <w:rsid w:val="00016F24"/>
    <w:rsid w:val="00016F25"/>
    <w:rsid w:val="00016F92"/>
    <w:rsid w:val="000170F9"/>
    <w:rsid w:val="000170FF"/>
    <w:rsid w:val="000172F1"/>
    <w:rsid w:val="00017358"/>
    <w:rsid w:val="0001740B"/>
    <w:rsid w:val="00017484"/>
    <w:rsid w:val="00017550"/>
    <w:rsid w:val="0001765D"/>
    <w:rsid w:val="0001771E"/>
    <w:rsid w:val="000177A5"/>
    <w:rsid w:val="000177E1"/>
    <w:rsid w:val="000178C0"/>
    <w:rsid w:val="000179C3"/>
    <w:rsid w:val="00017A34"/>
    <w:rsid w:val="00017AA9"/>
    <w:rsid w:val="00017AE7"/>
    <w:rsid w:val="00017D12"/>
    <w:rsid w:val="00017E56"/>
    <w:rsid w:val="00017F36"/>
    <w:rsid w:val="00020022"/>
    <w:rsid w:val="00020170"/>
    <w:rsid w:val="000203B9"/>
    <w:rsid w:val="000203FA"/>
    <w:rsid w:val="000206B1"/>
    <w:rsid w:val="00020799"/>
    <w:rsid w:val="000207FB"/>
    <w:rsid w:val="000208D8"/>
    <w:rsid w:val="00020DCA"/>
    <w:rsid w:val="00020F44"/>
    <w:rsid w:val="00020FE1"/>
    <w:rsid w:val="000212F0"/>
    <w:rsid w:val="00021329"/>
    <w:rsid w:val="00021383"/>
    <w:rsid w:val="000213C2"/>
    <w:rsid w:val="000213CA"/>
    <w:rsid w:val="0002163A"/>
    <w:rsid w:val="00021776"/>
    <w:rsid w:val="00021CAB"/>
    <w:rsid w:val="00021D2C"/>
    <w:rsid w:val="00021DE5"/>
    <w:rsid w:val="00021F27"/>
    <w:rsid w:val="00021F8D"/>
    <w:rsid w:val="00022138"/>
    <w:rsid w:val="00022145"/>
    <w:rsid w:val="0002242E"/>
    <w:rsid w:val="000224D0"/>
    <w:rsid w:val="00022705"/>
    <w:rsid w:val="0002270F"/>
    <w:rsid w:val="00022794"/>
    <w:rsid w:val="00022923"/>
    <w:rsid w:val="000229CB"/>
    <w:rsid w:val="00022A0D"/>
    <w:rsid w:val="00022AB3"/>
    <w:rsid w:val="00022D1D"/>
    <w:rsid w:val="00022D4E"/>
    <w:rsid w:val="00022F66"/>
    <w:rsid w:val="00023014"/>
    <w:rsid w:val="0002311A"/>
    <w:rsid w:val="0002327E"/>
    <w:rsid w:val="0002355D"/>
    <w:rsid w:val="00023570"/>
    <w:rsid w:val="000235C3"/>
    <w:rsid w:val="00023679"/>
    <w:rsid w:val="0002367E"/>
    <w:rsid w:val="0002368A"/>
    <w:rsid w:val="000239E5"/>
    <w:rsid w:val="00023A1B"/>
    <w:rsid w:val="00023B0A"/>
    <w:rsid w:val="00023BEB"/>
    <w:rsid w:val="00023CA0"/>
    <w:rsid w:val="00023D8D"/>
    <w:rsid w:val="00023DEC"/>
    <w:rsid w:val="00023F7E"/>
    <w:rsid w:val="00024136"/>
    <w:rsid w:val="00024233"/>
    <w:rsid w:val="00024307"/>
    <w:rsid w:val="000245A6"/>
    <w:rsid w:val="00024653"/>
    <w:rsid w:val="00024668"/>
    <w:rsid w:val="00024A2C"/>
    <w:rsid w:val="00024A83"/>
    <w:rsid w:val="00024B9A"/>
    <w:rsid w:val="00024CA5"/>
    <w:rsid w:val="00024FFC"/>
    <w:rsid w:val="0002503C"/>
    <w:rsid w:val="00025063"/>
    <w:rsid w:val="0002509B"/>
    <w:rsid w:val="000252D9"/>
    <w:rsid w:val="000252F2"/>
    <w:rsid w:val="0002541E"/>
    <w:rsid w:val="0002544B"/>
    <w:rsid w:val="00025596"/>
    <w:rsid w:val="0002559A"/>
    <w:rsid w:val="00025664"/>
    <w:rsid w:val="000256C6"/>
    <w:rsid w:val="00025722"/>
    <w:rsid w:val="00025793"/>
    <w:rsid w:val="000259A6"/>
    <w:rsid w:val="00025A22"/>
    <w:rsid w:val="00025AA9"/>
    <w:rsid w:val="00025C31"/>
    <w:rsid w:val="00025C73"/>
    <w:rsid w:val="00025CDE"/>
    <w:rsid w:val="00025CDF"/>
    <w:rsid w:val="00025D9A"/>
    <w:rsid w:val="00025DBE"/>
    <w:rsid w:val="00026467"/>
    <w:rsid w:val="000264DE"/>
    <w:rsid w:val="00026808"/>
    <w:rsid w:val="00026882"/>
    <w:rsid w:val="000268A5"/>
    <w:rsid w:val="00026AE1"/>
    <w:rsid w:val="00026B68"/>
    <w:rsid w:val="00026B89"/>
    <w:rsid w:val="00026D47"/>
    <w:rsid w:val="00026D89"/>
    <w:rsid w:val="00026E32"/>
    <w:rsid w:val="00026FEC"/>
    <w:rsid w:val="00027040"/>
    <w:rsid w:val="00027097"/>
    <w:rsid w:val="000271E5"/>
    <w:rsid w:val="00027372"/>
    <w:rsid w:val="0002738C"/>
    <w:rsid w:val="000274AD"/>
    <w:rsid w:val="000275EA"/>
    <w:rsid w:val="0002761D"/>
    <w:rsid w:val="00027852"/>
    <w:rsid w:val="00027A6B"/>
    <w:rsid w:val="00027B26"/>
    <w:rsid w:val="00027B7A"/>
    <w:rsid w:val="00027C4C"/>
    <w:rsid w:val="00027C6F"/>
    <w:rsid w:val="00027E13"/>
    <w:rsid w:val="00027EAF"/>
    <w:rsid w:val="00027EF0"/>
    <w:rsid w:val="00027F46"/>
    <w:rsid w:val="000300F8"/>
    <w:rsid w:val="0003038E"/>
    <w:rsid w:val="000304AB"/>
    <w:rsid w:val="000307BF"/>
    <w:rsid w:val="0003094E"/>
    <w:rsid w:val="00030A6E"/>
    <w:rsid w:val="00030AA2"/>
    <w:rsid w:val="00030B3F"/>
    <w:rsid w:val="00030BDF"/>
    <w:rsid w:val="00030D8F"/>
    <w:rsid w:val="00030F3D"/>
    <w:rsid w:val="00030F73"/>
    <w:rsid w:val="00030F75"/>
    <w:rsid w:val="00030F85"/>
    <w:rsid w:val="00031056"/>
    <w:rsid w:val="00031061"/>
    <w:rsid w:val="0003116B"/>
    <w:rsid w:val="000312A4"/>
    <w:rsid w:val="0003141E"/>
    <w:rsid w:val="0003145F"/>
    <w:rsid w:val="000315D0"/>
    <w:rsid w:val="00031747"/>
    <w:rsid w:val="0003178C"/>
    <w:rsid w:val="0003194E"/>
    <w:rsid w:val="000319BA"/>
    <w:rsid w:val="000319CF"/>
    <w:rsid w:val="00031A77"/>
    <w:rsid w:val="00031C1A"/>
    <w:rsid w:val="00031C73"/>
    <w:rsid w:val="00031E73"/>
    <w:rsid w:val="00031EBD"/>
    <w:rsid w:val="00032032"/>
    <w:rsid w:val="00032102"/>
    <w:rsid w:val="00032239"/>
    <w:rsid w:val="0003225B"/>
    <w:rsid w:val="00032321"/>
    <w:rsid w:val="000323D7"/>
    <w:rsid w:val="0003243A"/>
    <w:rsid w:val="000324BB"/>
    <w:rsid w:val="00032551"/>
    <w:rsid w:val="000325CB"/>
    <w:rsid w:val="000325D3"/>
    <w:rsid w:val="0003283A"/>
    <w:rsid w:val="00032871"/>
    <w:rsid w:val="000328C7"/>
    <w:rsid w:val="0003293E"/>
    <w:rsid w:val="000329E3"/>
    <w:rsid w:val="00032B4D"/>
    <w:rsid w:val="00032D7E"/>
    <w:rsid w:val="00032D81"/>
    <w:rsid w:val="00032D9E"/>
    <w:rsid w:val="00032DB3"/>
    <w:rsid w:val="00032DDD"/>
    <w:rsid w:val="00032DFE"/>
    <w:rsid w:val="00032F6E"/>
    <w:rsid w:val="00033121"/>
    <w:rsid w:val="00033499"/>
    <w:rsid w:val="00033564"/>
    <w:rsid w:val="000337A1"/>
    <w:rsid w:val="0003385A"/>
    <w:rsid w:val="000338B1"/>
    <w:rsid w:val="00033A7B"/>
    <w:rsid w:val="00033CEE"/>
    <w:rsid w:val="00033DB2"/>
    <w:rsid w:val="00033EF0"/>
    <w:rsid w:val="00034032"/>
    <w:rsid w:val="0003404C"/>
    <w:rsid w:val="0003426B"/>
    <w:rsid w:val="0003446C"/>
    <w:rsid w:val="000344EB"/>
    <w:rsid w:val="000345A8"/>
    <w:rsid w:val="0003461E"/>
    <w:rsid w:val="0003466E"/>
    <w:rsid w:val="0003470B"/>
    <w:rsid w:val="000347B9"/>
    <w:rsid w:val="000347D9"/>
    <w:rsid w:val="00034861"/>
    <w:rsid w:val="000348B0"/>
    <w:rsid w:val="00034BE6"/>
    <w:rsid w:val="00034C28"/>
    <w:rsid w:val="00034C74"/>
    <w:rsid w:val="00034CD6"/>
    <w:rsid w:val="00034CED"/>
    <w:rsid w:val="00034FB3"/>
    <w:rsid w:val="00035081"/>
    <w:rsid w:val="000350C5"/>
    <w:rsid w:val="000352FA"/>
    <w:rsid w:val="00035324"/>
    <w:rsid w:val="000353D3"/>
    <w:rsid w:val="0003562F"/>
    <w:rsid w:val="000356D4"/>
    <w:rsid w:val="00035A32"/>
    <w:rsid w:val="00035C5C"/>
    <w:rsid w:val="00035C63"/>
    <w:rsid w:val="00035C8E"/>
    <w:rsid w:val="00035DED"/>
    <w:rsid w:val="00035E59"/>
    <w:rsid w:val="0003608F"/>
    <w:rsid w:val="00036129"/>
    <w:rsid w:val="00036179"/>
    <w:rsid w:val="0003623C"/>
    <w:rsid w:val="000362E7"/>
    <w:rsid w:val="00036369"/>
    <w:rsid w:val="000366C5"/>
    <w:rsid w:val="000367AA"/>
    <w:rsid w:val="00036808"/>
    <w:rsid w:val="00036AC4"/>
    <w:rsid w:val="00036AFE"/>
    <w:rsid w:val="00036B47"/>
    <w:rsid w:val="00036BF1"/>
    <w:rsid w:val="00036D70"/>
    <w:rsid w:val="0003710A"/>
    <w:rsid w:val="00037212"/>
    <w:rsid w:val="000372E9"/>
    <w:rsid w:val="00037397"/>
    <w:rsid w:val="000374E4"/>
    <w:rsid w:val="00037547"/>
    <w:rsid w:val="00037623"/>
    <w:rsid w:val="000377A8"/>
    <w:rsid w:val="000377BA"/>
    <w:rsid w:val="000379B2"/>
    <w:rsid w:val="000379BB"/>
    <w:rsid w:val="00037A0E"/>
    <w:rsid w:val="00037A39"/>
    <w:rsid w:val="00037B7F"/>
    <w:rsid w:val="00037BB9"/>
    <w:rsid w:val="00037BF0"/>
    <w:rsid w:val="00037DA6"/>
    <w:rsid w:val="00037FA8"/>
    <w:rsid w:val="00040049"/>
    <w:rsid w:val="00040088"/>
    <w:rsid w:val="000401E9"/>
    <w:rsid w:val="00040282"/>
    <w:rsid w:val="0004040E"/>
    <w:rsid w:val="000404C0"/>
    <w:rsid w:val="00040632"/>
    <w:rsid w:val="00040743"/>
    <w:rsid w:val="00040807"/>
    <w:rsid w:val="000409A8"/>
    <w:rsid w:val="00040A8A"/>
    <w:rsid w:val="00040C67"/>
    <w:rsid w:val="00040D41"/>
    <w:rsid w:val="00040D93"/>
    <w:rsid w:val="0004106E"/>
    <w:rsid w:val="00041252"/>
    <w:rsid w:val="0004141A"/>
    <w:rsid w:val="000414A2"/>
    <w:rsid w:val="000415F3"/>
    <w:rsid w:val="00041859"/>
    <w:rsid w:val="00041906"/>
    <w:rsid w:val="00041954"/>
    <w:rsid w:val="000419FE"/>
    <w:rsid w:val="00041A6B"/>
    <w:rsid w:val="00041B43"/>
    <w:rsid w:val="00041BCB"/>
    <w:rsid w:val="00041BE5"/>
    <w:rsid w:val="00041C78"/>
    <w:rsid w:val="00041DE4"/>
    <w:rsid w:val="00041F5F"/>
    <w:rsid w:val="00041F9A"/>
    <w:rsid w:val="0004202C"/>
    <w:rsid w:val="00042040"/>
    <w:rsid w:val="00042152"/>
    <w:rsid w:val="000421DE"/>
    <w:rsid w:val="00042352"/>
    <w:rsid w:val="00042626"/>
    <w:rsid w:val="00042925"/>
    <w:rsid w:val="0004297F"/>
    <w:rsid w:val="000429F5"/>
    <w:rsid w:val="00042A1B"/>
    <w:rsid w:val="00042AA7"/>
    <w:rsid w:val="00042B4B"/>
    <w:rsid w:val="00042CFD"/>
    <w:rsid w:val="00042EF6"/>
    <w:rsid w:val="00042F96"/>
    <w:rsid w:val="0004309D"/>
    <w:rsid w:val="0004349F"/>
    <w:rsid w:val="00043535"/>
    <w:rsid w:val="00043548"/>
    <w:rsid w:val="00043577"/>
    <w:rsid w:val="00043664"/>
    <w:rsid w:val="000436DA"/>
    <w:rsid w:val="00043740"/>
    <w:rsid w:val="00043765"/>
    <w:rsid w:val="00043796"/>
    <w:rsid w:val="00043965"/>
    <w:rsid w:val="000439F0"/>
    <w:rsid w:val="00043A12"/>
    <w:rsid w:val="00043D47"/>
    <w:rsid w:val="00044082"/>
    <w:rsid w:val="000441A7"/>
    <w:rsid w:val="000443D6"/>
    <w:rsid w:val="0004442E"/>
    <w:rsid w:val="0004464E"/>
    <w:rsid w:val="00044652"/>
    <w:rsid w:val="0004472D"/>
    <w:rsid w:val="00044766"/>
    <w:rsid w:val="00044795"/>
    <w:rsid w:val="000447CB"/>
    <w:rsid w:val="00044998"/>
    <w:rsid w:val="00044A0A"/>
    <w:rsid w:val="00044B27"/>
    <w:rsid w:val="00044BD4"/>
    <w:rsid w:val="00044BEB"/>
    <w:rsid w:val="00044DEC"/>
    <w:rsid w:val="00044EC3"/>
    <w:rsid w:val="00044F14"/>
    <w:rsid w:val="00044F8B"/>
    <w:rsid w:val="00044FA3"/>
    <w:rsid w:val="0004517C"/>
    <w:rsid w:val="000451A6"/>
    <w:rsid w:val="00045308"/>
    <w:rsid w:val="00045563"/>
    <w:rsid w:val="00045596"/>
    <w:rsid w:val="000455EA"/>
    <w:rsid w:val="00045636"/>
    <w:rsid w:val="00045876"/>
    <w:rsid w:val="00045945"/>
    <w:rsid w:val="00045BC1"/>
    <w:rsid w:val="00045BF8"/>
    <w:rsid w:val="00045C39"/>
    <w:rsid w:val="00045C87"/>
    <w:rsid w:val="00045CF2"/>
    <w:rsid w:val="00045DF9"/>
    <w:rsid w:val="00045F56"/>
    <w:rsid w:val="00046020"/>
    <w:rsid w:val="0004607F"/>
    <w:rsid w:val="000460FE"/>
    <w:rsid w:val="0004623A"/>
    <w:rsid w:val="00046250"/>
    <w:rsid w:val="0004658C"/>
    <w:rsid w:val="00046615"/>
    <w:rsid w:val="00046643"/>
    <w:rsid w:val="00046682"/>
    <w:rsid w:val="00046753"/>
    <w:rsid w:val="000468A4"/>
    <w:rsid w:val="00046974"/>
    <w:rsid w:val="00046BE3"/>
    <w:rsid w:val="00046C3A"/>
    <w:rsid w:val="00046EF2"/>
    <w:rsid w:val="00047147"/>
    <w:rsid w:val="00047193"/>
    <w:rsid w:val="000473E2"/>
    <w:rsid w:val="000475AB"/>
    <w:rsid w:val="000475CB"/>
    <w:rsid w:val="000475E5"/>
    <w:rsid w:val="000476FB"/>
    <w:rsid w:val="0004773B"/>
    <w:rsid w:val="0004775A"/>
    <w:rsid w:val="00047770"/>
    <w:rsid w:val="000477FD"/>
    <w:rsid w:val="0004781F"/>
    <w:rsid w:val="00047A7E"/>
    <w:rsid w:val="00047A88"/>
    <w:rsid w:val="00047A99"/>
    <w:rsid w:val="00047BEF"/>
    <w:rsid w:val="00047BFD"/>
    <w:rsid w:val="00047C13"/>
    <w:rsid w:val="00047D53"/>
    <w:rsid w:val="00047DD5"/>
    <w:rsid w:val="00050010"/>
    <w:rsid w:val="000502DD"/>
    <w:rsid w:val="00050338"/>
    <w:rsid w:val="00050360"/>
    <w:rsid w:val="0005036E"/>
    <w:rsid w:val="000503EF"/>
    <w:rsid w:val="00050441"/>
    <w:rsid w:val="00050532"/>
    <w:rsid w:val="00050573"/>
    <w:rsid w:val="000505A0"/>
    <w:rsid w:val="00050611"/>
    <w:rsid w:val="00050666"/>
    <w:rsid w:val="00050731"/>
    <w:rsid w:val="00050852"/>
    <w:rsid w:val="00050857"/>
    <w:rsid w:val="0005088A"/>
    <w:rsid w:val="000508C1"/>
    <w:rsid w:val="0005091B"/>
    <w:rsid w:val="00050964"/>
    <w:rsid w:val="000509CF"/>
    <w:rsid w:val="00050A95"/>
    <w:rsid w:val="00050BE9"/>
    <w:rsid w:val="00050C74"/>
    <w:rsid w:val="00050CCE"/>
    <w:rsid w:val="00050CEF"/>
    <w:rsid w:val="00050E6D"/>
    <w:rsid w:val="00050EE9"/>
    <w:rsid w:val="00051154"/>
    <w:rsid w:val="00051194"/>
    <w:rsid w:val="000511E9"/>
    <w:rsid w:val="00051639"/>
    <w:rsid w:val="000516F9"/>
    <w:rsid w:val="00051703"/>
    <w:rsid w:val="000519C5"/>
    <w:rsid w:val="000519CF"/>
    <w:rsid w:val="00051A8A"/>
    <w:rsid w:val="00051B84"/>
    <w:rsid w:val="00051CDF"/>
    <w:rsid w:val="00051CF6"/>
    <w:rsid w:val="00051D07"/>
    <w:rsid w:val="00051EC9"/>
    <w:rsid w:val="00051F30"/>
    <w:rsid w:val="000521D8"/>
    <w:rsid w:val="00052218"/>
    <w:rsid w:val="000522EA"/>
    <w:rsid w:val="000524B6"/>
    <w:rsid w:val="00052529"/>
    <w:rsid w:val="00052554"/>
    <w:rsid w:val="0005262A"/>
    <w:rsid w:val="000527EE"/>
    <w:rsid w:val="00052CF7"/>
    <w:rsid w:val="00052D95"/>
    <w:rsid w:val="00052D9E"/>
    <w:rsid w:val="00052E89"/>
    <w:rsid w:val="00052EEC"/>
    <w:rsid w:val="00052FBE"/>
    <w:rsid w:val="0005306E"/>
    <w:rsid w:val="0005315C"/>
    <w:rsid w:val="00053166"/>
    <w:rsid w:val="00053280"/>
    <w:rsid w:val="00053283"/>
    <w:rsid w:val="00053318"/>
    <w:rsid w:val="00053369"/>
    <w:rsid w:val="00053495"/>
    <w:rsid w:val="000534AE"/>
    <w:rsid w:val="00053536"/>
    <w:rsid w:val="00053544"/>
    <w:rsid w:val="000535EB"/>
    <w:rsid w:val="00053742"/>
    <w:rsid w:val="0005381F"/>
    <w:rsid w:val="00053A04"/>
    <w:rsid w:val="00053AD1"/>
    <w:rsid w:val="00053BD8"/>
    <w:rsid w:val="00053C0D"/>
    <w:rsid w:val="00053CA8"/>
    <w:rsid w:val="00053FD0"/>
    <w:rsid w:val="00054021"/>
    <w:rsid w:val="0005417A"/>
    <w:rsid w:val="000542AA"/>
    <w:rsid w:val="0005433F"/>
    <w:rsid w:val="00054512"/>
    <w:rsid w:val="00054543"/>
    <w:rsid w:val="0005454B"/>
    <w:rsid w:val="00054798"/>
    <w:rsid w:val="000547A1"/>
    <w:rsid w:val="0005480C"/>
    <w:rsid w:val="000549BF"/>
    <w:rsid w:val="00054A25"/>
    <w:rsid w:val="00054A4C"/>
    <w:rsid w:val="00054A85"/>
    <w:rsid w:val="00054C37"/>
    <w:rsid w:val="00054D9D"/>
    <w:rsid w:val="00054DE2"/>
    <w:rsid w:val="00054DF2"/>
    <w:rsid w:val="00054EA1"/>
    <w:rsid w:val="00054F89"/>
    <w:rsid w:val="00054FAE"/>
    <w:rsid w:val="00054FCB"/>
    <w:rsid w:val="00055061"/>
    <w:rsid w:val="000550A9"/>
    <w:rsid w:val="000550C8"/>
    <w:rsid w:val="00055172"/>
    <w:rsid w:val="000551ED"/>
    <w:rsid w:val="00055298"/>
    <w:rsid w:val="00055374"/>
    <w:rsid w:val="00055388"/>
    <w:rsid w:val="000554C8"/>
    <w:rsid w:val="0005560C"/>
    <w:rsid w:val="0005562D"/>
    <w:rsid w:val="000556C6"/>
    <w:rsid w:val="000556E0"/>
    <w:rsid w:val="000557B0"/>
    <w:rsid w:val="00055888"/>
    <w:rsid w:val="00055AB3"/>
    <w:rsid w:val="00055B02"/>
    <w:rsid w:val="00055BBF"/>
    <w:rsid w:val="00055C07"/>
    <w:rsid w:val="00055C30"/>
    <w:rsid w:val="00055D6C"/>
    <w:rsid w:val="00055EA1"/>
    <w:rsid w:val="00055EE4"/>
    <w:rsid w:val="00056065"/>
    <w:rsid w:val="00056159"/>
    <w:rsid w:val="000563FE"/>
    <w:rsid w:val="00056432"/>
    <w:rsid w:val="00056668"/>
    <w:rsid w:val="000566D1"/>
    <w:rsid w:val="000566DC"/>
    <w:rsid w:val="00056755"/>
    <w:rsid w:val="00056771"/>
    <w:rsid w:val="000567F1"/>
    <w:rsid w:val="0005683E"/>
    <w:rsid w:val="000568DB"/>
    <w:rsid w:val="00056968"/>
    <w:rsid w:val="00056A9B"/>
    <w:rsid w:val="00056CC2"/>
    <w:rsid w:val="00056D55"/>
    <w:rsid w:val="00056F5B"/>
    <w:rsid w:val="00057137"/>
    <w:rsid w:val="0005736F"/>
    <w:rsid w:val="00057566"/>
    <w:rsid w:val="00057651"/>
    <w:rsid w:val="000576C4"/>
    <w:rsid w:val="00057705"/>
    <w:rsid w:val="00057721"/>
    <w:rsid w:val="0005789B"/>
    <w:rsid w:val="000578A8"/>
    <w:rsid w:val="0005793A"/>
    <w:rsid w:val="00057A24"/>
    <w:rsid w:val="00057A89"/>
    <w:rsid w:val="0005C412"/>
    <w:rsid w:val="00060208"/>
    <w:rsid w:val="000602D9"/>
    <w:rsid w:val="00060318"/>
    <w:rsid w:val="0006038B"/>
    <w:rsid w:val="000603B9"/>
    <w:rsid w:val="0006043A"/>
    <w:rsid w:val="00060744"/>
    <w:rsid w:val="00060754"/>
    <w:rsid w:val="00060818"/>
    <w:rsid w:val="000609F3"/>
    <w:rsid w:val="00060AB6"/>
    <w:rsid w:val="00060CC3"/>
    <w:rsid w:val="00060CCE"/>
    <w:rsid w:val="00060D07"/>
    <w:rsid w:val="00061132"/>
    <w:rsid w:val="000611DB"/>
    <w:rsid w:val="00061207"/>
    <w:rsid w:val="00061245"/>
    <w:rsid w:val="000612C1"/>
    <w:rsid w:val="000613A7"/>
    <w:rsid w:val="000613B8"/>
    <w:rsid w:val="000614E1"/>
    <w:rsid w:val="000616FD"/>
    <w:rsid w:val="00061712"/>
    <w:rsid w:val="00061771"/>
    <w:rsid w:val="00061909"/>
    <w:rsid w:val="000619A4"/>
    <w:rsid w:val="00061A3F"/>
    <w:rsid w:val="00061C57"/>
    <w:rsid w:val="00061F1E"/>
    <w:rsid w:val="0006210A"/>
    <w:rsid w:val="00062277"/>
    <w:rsid w:val="00062338"/>
    <w:rsid w:val="000623A5"/>
    <w:rsid w:val="00062797"/>
    <w:rsid w:val="000627CE"/>
    <w:rsid w:val="0006284D"/>
    <w:rsid w:val="00062889"/>
    <w:rsid w:val="000628D7"/>
    <w:rsid w:val="0006294B"/>
    <w:rsid w:val="00062C75"/>
    <w:rsid w:val="00062D5E"/>
    <w:rsid w:val="00062E3A"/>
    <w:rsid w:val="00062F71"/>
    <w:rsid w:val="00062F87"/>
    <w:rsid w:val="00062F94"/>
    <w:rsid w:val="00062FFD"/>
    <w:rsid w:val="00063270"/>
    <w:rsid w:val="0006327A"/>
    <w:rsid w:val="0006327B"/>
    <w:rsid w:val="00063287"/>
    <w:rsid w:val="00063292"/>
    <w:rsid w:val="00063458"/>
    <w:rsid w:val="000634F7"/>
    <w:rsid w:val="00063686"/>
    <w:rsid w:val="000636BB"/>
    <w:rsid w:val="000636CC"/>
    <w:rsid w:val="000637B7"/>
    <w:rsid w:val="000638BE"/>
    <w:rsid w:val="000639B8"/>
    <w:rsid w:val="00063D11"/>
    <w:rsid w:val="00063E2B"/>
    <w:rsid w:val="00064083"/>
    <w:rsid w:val="00064118"/>
    <w:rsid w:val="000641F0"/>
    <w:rsid w:val="000645EA"/>
    <w:rsid w:val="00064759"/>
    <w:rsid w:val="00064877"/>
    <w:rsid w:val="00064947"/>
    <w:rsid w:val="00064999"/>
    <w:rsid w:val="00064A5C"/>
    <w:rsid w:val="00064A6B"/>
    <w:rsid w:val="00064C0F"/>
    <w:rsid w:val="00064D53"/>
    <w:rsid w:val="00064D5C"/>
    <w:rsid w:val="00064FF0"/>
    <w:rsid w:val="00065029"/>
    <w:rsid w:val="000650A1"/>
    <w:rsid w:val="000650BC"/>
    <w:rsid w:val="00065211"/>
    <w:rsid w:val="00065271"/>
    <w:rsid w:val="000652AC"/>
    <w:rsid w:val="000652CA"/>
    <w:rsid w:val="000652D8"/>
    <w:rsid w:val="000655B9"/>
    <w:rsid w:val="00065646"/>
    <w:rsid w:val="0006573D"/>
    <w:rsid w:val="000658DF"/>
    <w:rsid w:val="00065958"/>
    <w:rsid w:val="00065ABA"/>
    <w:rsid w:val="00065C85"/>
    <w:rsid w:val="00065CF7"/>
    <w:rsid w:val="00065D7B"/>
    <w:rsid w:val="00065D92"/>
    <w:rsid w:val="00065F42"/>
    <w:rsid w:val="00065F93"/>
    <w:rsid w:val="00066021"/>
    <w:rsid w:val="00066102"/>
    <w:rsid w:val="0006610A"/>
    <w:rsid w:val="00066250"/>
    <w:rsid w:val="000662BC"/>
    <w:rsid w:val="00066331"/>
    <w:rsid w:val="00066351"/>
    <w:rsid w:val="00066469"/>
    <w:rsid w:val="0006667F"/>
    <w:rsid w:val="00066B41"/>
    <w:rsid w:val="00066BE9"/>
    <w:rsid w:val="00066D8B"/>
    <w:rsid w:val="00066EB8"/>
    <w:rsid w:val="00066FEF"/>
    <w:rsid w:val="0006714E"/>
    <w:rsid w:val="000671C5"/>
    <w:rsid w:val="00067293"/>
    <w:rsid w:val="00067438"/>
    <w:rsid w:val="00067466"/>
    <w:rsid w:val="0006749F"/>
    <w:rsid w:val="000674E0"/>
    <w:rsid w:val="00067547"/>
    <w:rsid w:val="000677A5"/>
    <w:rsid w:val="000677D4"/>
    <w:rsid w:val="000677E6"/>
    <w:rsid w:val="0006787B"/>
    <w:rsid w:val="00067883"/>
    <w:rsid w:val="0006788E"/>
    <w:rsid w:val="00067AC9"/>
    <w:rsid w:val="00067C1B"/>
    <w:rsid w:val="00067D8A"/>
    <w:rsid w:val="00067DEB"/>
    <w:rsid w:val="00067F59"/>
    <w:rsid w:val="00067F5C"/>
    <w:rsid w:val="0007015A"/>
    <w:rsid w:val="000701F6"/>
    <w:rsid w:val="00070333"/>
    <w:rsid w:val="00070356"/>
    <w:rsid w:val="000703F4"/>
    <w:rsid w:val="0007042F"/>
    <w:rsid w:val="00070570"/>
    <w:rsid w:val="0007072F"/>
    <w:rsid w:val="000707F5"/>
    <w:rsid w:val="00070811"/>
    <w:rsid w:val="00070829"/>
    <w:rsid w:val="000708A9"/>
    <w:rsid w:val="00070953"/>
    <w:rsid w:val="00070B6B"/>
    <w:rsid w:val="00070BBD"/>
    <w:rsid w:val="00070BF5"/>
    <w:rsid w:val="00070CAB"/>
    <w:rsid w:val="00070CFA"/>
    <w:rsid w:val="00070DB4"/>
    <w:rsid w:val="00070E2E"/>
    <w:rsid w:val="00070E7F"/>
    <w:rsid w:val="00070E9E"/>
    <w:rsid w:val="00070EB0"/>
    <w:rsid w:val="00070EE4"/>
    <w:rsid w:val="00070F73"/>
    <w:rsid w:val="000711C0"/>
    <w:rsid w:val="00071303"/>
    <w:rsid w:val="00071365"/>
    <w:rsid w:val="000713A7"/>
    <w:rsid w:val="000713DC"/>
    <w:rsid w:val="00071587"/>
    <w:rsid w:val="000715D7"/>
    <w:rsid w:val="0007166C"/>
    <w:rsid w:val="000716B2"/>
    <w:rsid w:val="00071792"/>
    <w:rsid w:val="0007199D"/>
    <w:rsid w:val="000719B4"/>
    <w:rsid w:val="00071A08"/>
    <w:rsid w:val="00071A81"/>
    <w:rsid w:val="00071B00"/>
    <w:rsid w:val="00071B0E"/>
    <w:rsid w:val="00071CC3"/>
    <w:rsid w:val="00071D01"/>
    <w:rsid w:val="00071DB3"/>
    <w:rsid w:val="00071E2A"/>
    <w:rsid w:val="00072118"/>
    <w:rsid w:val="00072194"/>
    <w:rsid w:val="00072214"/>
    <w:rsid w:val="000722B0"/>
    <w:rsid w:val="000723BD"/>
    <w:rsid w:val="00072487"/>
    <w:rsid w:val="0007249A"/>
    <w:rsid w:val="00072565"/>
    <w:rsid w:val="0007267F"/>
    <w:rsid w:val="000726D8"/>
    <w:rsid w:val="0007292D"/>
    <w:rsid w:val="0007299E"/>
    <w:rsid w:val="00072A02"/>
    <w:rsid w:val="00072A83"/>
    <w:rsid w:val="00072AA8"/>
    <w:rsid w:val="00072B7F"/>
    <w:rsid w:val="00072B8C"/>
    <w:rsid w:val="00072BD3"/>
    <w:rsid w:val="00072D3C"/>
    <w:rsid w:val="00072D84"/>
    <w:rsid w:val="00072EAE"/>
    <w:rsid w:val="00072EE8"/>
    <w:rsid w:val="00073070"/>
    <w:rsid w:val="000730C2"/>
    <w:rsid w:val="000731F3"/>
    <w:rsid w:val="00073261"/>
    <w:rsid w:val="0007334A"/>
    <w:rsid w:val="000733A7"/>
    <w:rsid w:val="000733E5"/>
    <w:rsid w:val="0007340A"/>
    <w:rsid w:val="00073423"/>
    <w:rsid w:val="000734BF"/>
    <w:rsid w:val="000734E0"/>
    <w:rsid w:val="000735D7"/>
    <w:rsid w:val="00073625"/>
    <w:rsid w:val="000737C5"/>
    <w:rsid w:val="0007380B"/>
    <w:rsid w:val="000738B8"/>
    <w:rsid w:val="000738E8"/>
    <w:rsid w:val="00073A1E"/>
    <w:rsid w:val="00073B19"/>
    <w:rsid w:val="00073B36"/>
    <w:rsid w:val="00073C15"/>
    <w:rsid w:val="00073C62"/>
    <w:rsid w:val="00073C9D"/>
    <w:rsid w:val="00073DB0"/>
    <w:rsid w:val="00073DEA"/>
    <w:rsid w:val="00073FCB"/>
    <w:rsid w:val="00073FD0"/>
    <w:rsid w:val="000741B6"/>
    <w:rsid w:val="000741D3"/>
    <w:rsid w:val="00074312"/>
    <w:rsid w:val="000744DD"/>
    <w:rsid w:val="0007464E"/>
    <w:rsid w:val="0007479B"/>
    <w:rsid w:val="00074917"/>
    <w:rsid w:val="00074956"/>
    <w:rsid w:val="00074A4D"/>
    <w:rsid w:val="00074A77"/>
    <w:rsid w:val="00074A7F"/>
    <w:rsid w:val="00074B9D"/>
    <w:rsid w:val="00074C07"/>
    <w:rsid w:val="00074D2B"/>
    <w:rsid w:val="00074DC0"/>
    <w:rsid w:val="00074E22"/>
    <w:rsid w:val="00074E37"/>
    <w:rsid w:val="00074EAA"/>
    <w:rsid w:val="00074F46"/>
    <w:rsid w:val="00074FD2"/>
    <w:rsid w:val="00075061"/>
    <w:rsid w:val="000750F9"/>
    <w:rsid w:val="00075176"/>
    <w:rsid w:val="000752DE"/>
    <w:rsid w:val="000754E3"/>
    <w:rsid w:val="00075584"/>
    <w:rsid w:val="000755C6"/>
    <w:rsid w:val="000756C1"/>
    <w:rsid w:val="00075741"/>
    <w:rsid w:val="00075873"/>
    <w:rsid w:val="00075945"/>
    <w:rsid w:val="00075A3A"/>
    <w:rsid w:val="00075B28"/>
    <w:rsid w:val="00075BFB"/>
    <w:rsid w:val="00075C06"/>
    <w:rsid w:val="00075CC3"/>
    <w:rsid w:val="00075DD5"/>
    <w:rsid w:val="00075E3E"/>
    <w:rsid w:val="00075F4F"/>
    <w:rsid w:val="00076221"/>
    <w:rsid w:val="00076244"/>
    <w:rsid w:val="000763F6"/>
    <w:rsid w:val="00076546"/>
    <w:rsid w:val="0007658F"/>
    <w:rsid w:val="00076A1D"/>
    <w:rsid w:val="00076AC6"/>
    <w:rsid w:val="00076B3C"/>
    <w:rsid w:val="00076B5A"/>
    <w:rsid w:val="00076BA7"/>
    <w:rsid w:val="00076BE8"/>
    <w:rsid w:val="00076C64"/>
    <w:rsid w:val="00076C87"/>
    <w:rsid w:val="00076D20"/>
    <w:rsid w:val="00076E8F"/>
    <w:rsid w:val="00076EAE"/>
    <w:rsid w:val="00076ED2"/>
    <w:rsid w:val="00076FC6"/>
    <w:rsid w:val="00077208"/>
    <w:rsid w:val="0007723D"/>
    <w:rsid w:val="000772A7"/>
    <w:rsid w:val="0007732F"/>
    <w:rsid w:val="00077468"/>
    <w:rsid w:val="000775E6"/>
    <w:rsid w:val="00077669"/>
    <w:rsid w:val="000776CE"/>
    <w:rsid w:val="00077A0C"/>
    <w:rsid w:val="00077A6C"/>
    <w:rsid w:val="00077D03"/>
    <w:rsid w:val="00077D15"/>
    <w:rsid w:val="00077D88"/>
    <w:rsid w:val="00077DAC"/>
    <w:rsid w:val="00077DDB"/>
    <w:rsid w:val="0008000C"/>
    <w:rsid w:val="00080107"/>
    <w:rsid w:val="0008025D"/>
    <w:rsid w:val="0008027E"/>
    <w:rsid w:val="0008043C"/>
    <w:rsid w:val="000805E3"/>
    <w:rsid w:val="000806E4"/>
    <w:rsid w:val="00080712"/>
    <w:rsid w:val="000807D2"/>
    <w:rsid w:val="0008085C"/>
    <w:rsid w:val="00080AEA"/>
    <w:rsid w:val="00080AFA"/>
    <w:rsid w:val="00080BEE"/>
    <w:rsid w:val="00080C71"/>
    <w:rsid w:val="00080E68"/>
    <w:rsid w:val="00080E7D"/>
    <w:rsid w:val="00080EF5"/>
    <w:rsid w:val="00080F07"/>
    <w:rsid w:val="00080F30"/>
    <w:rsid w:val="00081066"/>
    <w:rsid w:val="000810A0"/>
    <w:rsid w:val="0008114C"/>
    <w:rsid w:val="00081175"/>
    <w:rsid w:val="000811F3"/>
    <w:rsid w:val="00081407"/>
    <w:rsid w:val="000814BB"/>
    <w:rsid w:val="000814D6"/>
    <w:rsid w:val="00081617"/>
    <w:rsid w:val="0008161D"/>
    <w:rsid w:val="0008163B"/>
    <w:rsid w:val="000816FC"/>
    <w:rsid w:val="0008170F"/>
    <w:rsid w:val="0008182A"/>
    <w:rsid w:val="0008195E"/>
    <w:rsid w:val="000819BD"/>
    <w:rsid w:val="00081A4A"/>
    <w:rsid w:val="00081ADD"/>
    <w:rsid w:val="00081B12"/>
    <w:rsid w:val="00081C27"/>
    <w:rsid w:val="00081DE3"/>
    <w:rsid w:val="0008204E"/>
    <w:rsid w:val="00082087"/>
    <w:rsid w:val="00082315"/>
    <w:rsid w:val="0008233C"/>
    <w:rsid w:val="0008240B"/>
    <w:rsid w:val="00082465"/>
    <w:rsid w:val="000824D4"/>
    <w:rsid w:val="0008259E"/>
    <w:rsid w:val="000827E8"/>
    <w:rsid w:val="000828E8"/>
    <w:rsid w:val="000828F1"/>
    <w:rsid w:val="0008292D"/>
    <w:rsid w:val="00082988"/>
    <w:rsid w:val="00082C76"/>
    <w:rsid w:val="00082F1C"/>
    <w:rsid w:val="000831DB"/>
    <w:rsid w:val="0008338B"/>
    <w:rsid w:val="000833A7"/>
    <w:rsid w:val="000838F7"/>
    <w:rsid w:val="000839BB"/>
    <w:rsid w:val="00083A1F"/>
    <w:rsid w:val="00083A77"/>
    <w:rsid w:val="00083B33"/>
    <w:rsid w:val="00083B48"/>
    <w:rsid w:val="00083B88"/>
    <w:rsid w:val="00083C74"/>
    <w:rsid w:val="00083F36"/>
    <w:rsid w:val="00084104"/>
    <w:rsid w:val="00084386"/>
    <w:rsid w:val="00084410"/>
    <w:rsid w:val="00084504"/>
    <w:rsid w:val="00084569"/>
    <w:rsid w:val="00084645"/>
    <w:rsid w:val="0008482D"/>
    <w:rsid w:val="00084833"/>
    <w:rsid w:val="0008490C"/>
    <w:rsid w:val="0008493D"/>
    <w:rsid w:val="00084AB8"/>
    <w:rsid w:val="00084AF5"/>
    <w:rsid w:val="00084D58"/>
    <w:rsid w:val="00084FE7"/>
    <w:rsid w:val="00085000"/>
    <w:rsid w:val="000850BB"/>
    <w:rsid w:val="000850C6"/>
    <w:rsid w:val="000852F1"/>
    <w:rsid w:val="000852F8"/>
    <w:rsid w:val="000853B1"/>
    <w:rsid w:val="000853CF"/>
    <w:rsid w:val="000853D5"/>
    <w:rsid w:val="000855FF"/>
    <w:rsid w:val="00085600"/>
    <w:rsid w:val="0008564A"/>
    <w:rsid w:val="00085663"/>
    <w:rsid w:val="00085747"/>
    <w:rsid w:val="000859CB"/>
    <w:rsid w:val="00085ADE"/>
    <w:rsid w:val="00085B7D"/>
    <w:rsid w:val="00085BCE"/>
    <w:rsid w:val="00085C43"/>
    <w:rsid w:val="00085C46"/>
    <w:rsid w:val="00085D10"/>
    <w:rsid w:val="00085D27"/>
    <w:rsid w:val="00085DE3"/>
    <w:rsid w:val="00085E08"/>
    <w:rsid w:val="00085E84"/>
    <w:rsid w:val="00086178"/>
    <w:rsid w:val="00086180"/>
    <w:rsid w:val="000862CD"/>
    <w:rsid w:val="00086318"/>
    <w:rsid w:val="00086613"/>
    <w:rsid w:val="00086615"/>
    <w:rsid w:val="00086785"/>
    <w:rsid w:val="000867A1"/>
    <w:rsid w:val="000867F6"/>
    <w:rsid w:val="00086870"/>
    <w:rsid w:val="000868E4"/>
    <w:rsid w:val="00086991"/>
    <w:rsid w:val="00086B3B"/>
    <w:rsid w:val="00086BCB"/>
    <w:rsid w:val="00086BF3"/>
    <w:rsid w:val="00086CC8"/>
    <w:rsid w:val="00086DE2"/>
    <w:rsid w:val="00086ECC"/>
    <w:rsid w:val="00086FBA"/>
    <w:rsid w:val="000871E0"/>
    <w:rsid w:val="00087341"/>
    <w:rsid w:val="0008748F"/>
    <w:rsid w:val="0008770D"/>
    <w:rsid w:val="000877FA"/>
    <w:rsid w:val="0008782D"/>
    <w:rsid w:val="00087C49"/>
    <w:rsid w:val="00087EDF"/>
    <w:rsid w:val="00087FD9"/>
    <w:rsid w:val="0009008D"/>
    <w:rsid w:val="0009010E"/>
    <w:rsid w:val="000901E2"/>
    <w:rsid w:val="00090277"/>
    <w:rsid w:val="0009051A"/>
    <w:rsid w:val="0009051E"/>
    <w:rsid w:val="00090696"/>
    <w:rsid w:val="0009074F"/>
    <w:rsid w:val="00090870"/>
    <w:rsid w:val="00090AC7"/>
    <w:rsid w:val="00090AE8"/>
    <w:rsid w:val="00090AFC"/>
    <w:rsid w:val="00090B61"/>
    <w:rsid w:val="00090C17"/>
    <w:rsid w:val="00090D8C"/>
    <w:rsid w:val="00090DCB"/>
    <w:rsid w:val="00090EED"/>
    <w:rsid w:val="00090F21"/>
    <w:rsid w:val="00090F24"/>
    <w:rsid w:val="00090F64"/>
    <w:rsid w:val="00090FBA"/>
    <w:rsid w:val="0009101B"/>
    <w:rsid w:val="00091078"/>
    <w:rsid w:val="000910CA"/>
    <w:rsid w:val="000910D0"/>
    <w:rsid w:val="00091146"/>
    <w:rsid w:val="0009157E"/>
    <w:rsid w:val="000917AB"/>
    <w:rsid w:val="00091845"/>
    <w:rsid w:val="00091875"/>
    <w:rsid w:val="0009189B"/>
    <w:rsid w:val="00091B45"/>
    <w:rsid w:val="00091B54"/>
    <w:rsid w:val="00091DA1"/>
    <w:rsid w:val="00091E0B"/>
    <w:rsid w:val="0009211E"/>
    <w:rsid w:val="00092197"/>
    <w:rsid w:val="000921C7"/>
    <w:rsid w:val="0009221D"/>
    <w:rsid w:val="000922FD"/>
    <w:rsid w:val="000923FF"/>
    <w:rsid w:val="0009240E"/>
    <w:rsid w:val="0009264F"/>
    <w:rsid w:val="000926EC"/>
    <w:rsid w:val="00092755"/>
    <w:rsid w:val="00092827"/>
    <w:rsid w:val="00092933"/>
    <w:rsid w:val="00092A00"/>
    <w:rsid w:val="00092A52"/>
    <w:rsid w:val="00092BCE"/>
    <w:rsid w:val="00092C1E"/>
    <w:rsid w:val="00092CC5"/>
    <w:rsid w:val="00092CC7"/>
    <w:rsid w:val="00092D04"/>
    <w:rsid w:val="00092D43"/>
    <w:rsid w:val="00092D47"/>
    <w:rsid w:val="00092DC1"/>
    <w:rsid w:val="00092DFD"/>
    <w:rsid w:val="00092E5E"/>
    <w:rsid w:val="00092EB4"/>
    <w:rsid w:val="0009301F"/>
    <w:rsid w:val="000930F5"/>
    <w:rsid w:val="000930FA"/>
    <w:rsid w:val="00093106"/>
    <w:rsid w:val="00093136"/>
    <w:rsid w:val="000931EA"/>
    <w:rsid w:val="0009342B"/>
    <w:rsid w:val="00093433"/>
    <w:rsid w:val="000934A4"/>
    <w:rsid w:val="000934D2"/>
    <w:rsid w:val="000937F4"/>
    <w:rsid w:val="0009386E"/>
    <w:rsid w:val="000938C6"/>
    <w:rsid w:val="000938E7"/>
    <w:rsid w:val="00093B4E"/>
    <w:rsid w:val="00093B6F"/>
    <w:rsid w:val="00093BD1"/>
    <w:rsid w:val="00093BE0"/>
    <w:rsid w:val="00093F5D"/>
    <w:rsid w:val="00093F69"/>
    <w:rsid w:val="00094076"/>
    <w:rsid w:val="000940A3"/>
    <w:rsid w:val="0009411C"/>
    <w:rsid w:val="0009444D"/>
    <w:rsid w:val="00094553"/>
    <w:rsid w:val="00094564"/>
    <w:rsid w:val="000946D9"/>
    <w:rsid w:val="0009486F"/>
    <w:rsid w:val="0009497C"/>
    <w:rsid w:val="000949E0"/>
    <w:rsid w:val="00094BA7"/>
    <w:rsid w:val="00094BD5"/>
    <w:rsid w:val="00094EF9"/>
    <w:rsid w:val="00094F68"/>
    <w:rsid w:val="00094FC1"/>
    <w:rsid w:val="00094FCF"/>
    <w:rsid w:val="00095005"/>
    <w:rsid w:val="0009500F"/>
    <w:rsid w:val="000950DA"/>
    <w:rsid w:val="0009528A"/>
    <w:rsid w:val="000952B0"/>
    <w:rsid w:val="000952E4"/>
    <w:rsid w:val="00095300"/>
    <w:rsid w:val="00095975"/>
    <w:rsid w:val="000959A3"/>
    <w:rsid w:val="00095E21"/>
    <w:rsid w:val="00095E7B"/>
    <w:rsid w:val="00095EA1"/>
    <w:rsid w:val="0009604B"/>
    <w:rsid w:val="00096060"/>
    <w:rsid w:val="000960B0"/>
    <w:rsid w:val="000961DB"/>
    <w:rsid w:val="000963F9"/>
    <w:rsid w:val="00096444"/>
    <w:rsid w:val="00096651"/>
    <w:rsid w:val="000966AB"/>
    <w:rsid w:val="000967CA"/>
    <w:rsid w:val="000968B3"/>
    <w:rsid w:val="00096B56"/>
    <w:rsid w:val="00096B74"/>
    <w:rsid w:val="00096B98"/>
    <w:rsid w:val="00096EB2"/>
    <w:rsid w:val="00097084"/>
    <w:rsid w:val="000972AA"/>
    <w:rsid w:val="0009737F"/>
    <w:rsid w:val="0009739F"/>
    <w:rsid w:val="00097471"/>
    <w:rsid w:val="000975EE"/>
    <w:rsid w:val="00097695"/>
    <w:rsid w:val="0009772A"/>
    <w:rsid w:val="000977D8"/>
    <w:rsid w:val="0009787D"/>
    <w:rsid w:val="00097994"/>
    <w:rsid w:val="00097A33"/>
    <w:rsid w:val="00097ADC"/>
    <w:rsid w:val="00097B0D"/>
    <w:rsid w:val="00097B6C"/>
    <w:rsid w:val="00097F43"/>
    <w:rsid w:val="000A004E"/>
    <w:rsid w:val="000A01FE"/>
    <w:rsid w:val="000A0278"/>
    <w:rsid w:val="000A02F6"/>
    <w:rsid w:val="000A085B"/>
    <w:rsid w:val="000A0A8D"/>
    <w:rsid w:val="000A0B9E"/>
    <w:rsid w:val="000A0E28"/>
    <w:rsid w:val="000A1067"/>
    <w:rsid w:val="000A10CB"/>
    <w:rsid w:val="000A113C"/>
    <w:rsid w:val="000A11F6"/>
    <w:rsid w:val="000A13A9"/>
    <w:rsid w:val="000A14C2"/>
    <w:rsid w:val="000A161A"/>
    <w:rsid w:val="000A16AF"/>
    <w:rsid w:val="000A16D8"/>
    <w:rsid w:val="000A17B3"/>
    <w:rsid w:val="000A1852"/>
    <w:rsid w:val="000A18FD"/>
    <w:rsid w:val="000A1A4C"/>
    <w:rsid w:val="000A1ACB"/>
    <w:rsid w:val="000A1B83"/>
    <w:rsid w:val="000A1CAB"/>
    <w:rsid w:val="000A1D13"/>
    <w:rsid w:val="000A1E5D"/>
    <w:rsid w:val="000A1EF2"/>
    <w:rsid w:val="000A204D"/>
    <w:rsid w:val="000A218E"/>
    <w:rsid w:val="000A219F"/>
    <w:rsid w:val="000A22FD"/>
    <w:rsid w:val="000A2316"/>
    <w:rsid w:val="000A23F3"/>
    <w:rsid w:val="000A2650"/>
    <w:rsid w:val="000A26B1"/>
    <w:rsid w:val="000A27CD"/>
    <w:rsid w:val="000A28CD"/>
    <w:rsid w:val="000A29D0"/>
    <w:rsid w:val="000A2AA9"/>
    <w:rsid w:val="000A2B01"/>
    <w:rsid w:val="000A2C67"/>
    <w:rsid w:val="000A2C6F"/>
    <w:rsid w:val="000A2C7D"/>
    <w:rsid w:val="000A2D36"/>
    <w:rsid w:val="000A2E1C"/>
    <w:rsid w:val="000A2F0A"/>
    <w:rsid w:val="000A2F49"/>
    <w:rsid w:val="000A2F5A"/>
    <w:rsid w:val="000A30B1"/>
    <w:rsid w:val="000A3156"/>
    <w:rsid w:val="000A3215"/>
    <w:rsid w:val="000A3394"/>
    <w:rsid w:val="000A33D2"/>
    <w:rsid w:val="000A340C"/>
    <w:rsid w:val="000A3448"/>
    <w:rsid w:val="000A3645"/>
    <w:rsid w:val="000A36EC"/>
    <w:rsid w:val="000A376A"/>
    <w:rsid w:val="000A3778"/>
    <w:rsid w:val="000A379E"/>
    <w:rsid w:val="000A3896"/>
    <w:rsid w:val="000A3927"/>
    <w:rsid w:val="000A3981"/>
    <w:rsid w:val="000A3AC5"/>
    <w:rsid w:val="000A3B96"/>
    <w:rsid w:val="000A3EB6"/>
    <w:rsid w:val="000A3F03"/>
    <w:rsid w:val="000A4020"/>
    <w:rsid w:val="000A40BB"/>
    <w:rsid w:val="000A426A"/>
    <w:rsid w:val="000A43C2"/>
    <w:rsid w:val="000A44F5"/>
    <w:rsid w:val="000A45B7"/>
    <w:rsid w:val="000A45BC"/>
    <w:rsid w:val="000A46A4"/>
    <w:rsid w:val="000A46CB"/>
    <w:rsid w:val="000A48C2"/>
    <w:rsid w:val="000A49DC"/>
    <w:rsid w:val="000A4ADF"/>
    <w:rsid w:val="000A4BF7"/>
    <w:rsid w:val="000A4C69"/>
    <w:rsid w:val="000A4C78"/>
    <w:rsid w:val="000A4DB3"/>
    <w:rsid w:val="000A4FA3"/>
    <w:rsid w:val="000A4FD6"/>
    <w:rsid w:val="000A4FE1"/>
    <w:rsid w:val="000A5017"/>
    <w:rsid w:val="000A51AC"/>
    <w:rsid w:val="000A5293"/>
    <w:rsid w:val="000A53C8"/>
    <w:rsid w:val="000A55B7"/>
    <w:rsid w:val="000A56E0"/>
    <w:rsid w:val="000A572C"/>
    <w:rsid w:val="000A5974"/>
    <w:rsid w:val="000A59A6"/>
    <w:rsid w:val="000A5C35"/>
    <w:rsid w:val="000A5DB5"/>
    <w:rsid w:val="000A5DF6"/>
    <w:rsid w:val="000A6028"/>
    <w:rsid w:val="000A61E3"/>
    <w:rsid w:val="000A6228"/>
    <w:rsid w:val="000A68E4"/>
    <w:rsid w:val="000A698F"/>
    <w:rsid w:val="000A69AE"/>
    <w:rsid w:val="000A6A20"/>
    <w:rsid w:val="000A6BC2"/>
    <w:rsid w:val="000A6CA4"/>
    <w:rsid w:val="000A6D4F"/>
    <w:rsid w:val="000A6E73"/>
    <w:rsid w:val="000A71A8"/>
    <w:rsid w:val="000A7241"/>
    <w:rsid w:val="000A7290"/>
    <w:rsid w:val="000A730A"/>
    <w:rsid w:val="000A7327"/>
    <w:rsid w:val="000A7370"/>
    <w:rsid w:val="000A741B"/>
    <w:rsid w:val="000A7777"/>
    <w:rsid w:val="000A79B2"/>
    <w:rsid w:val="000A79EA"/>
    <w:rsid w:val="000A7AA6"/>
    <w:rsid w:val="000A7BF2"/>
    <w:rsid w:val="000A7CE1"/>
    <w:rsid w:val="000A7ECC"/>
    <w:rsid w:val="000B0055"/>
    <w:rsid w:val="000B00D4"/>
    <w:rsid w:val="000B00F2"/>
    <w:rsid w:val="000B01A9"/>
    <w:rsid w:val="000B04A2"/>
    <w:rsid w:val="000B0991"/>
    <w:rsid w:val="000B0997"/>
    <w:rsid w:val="000B09CF"/>
    <w:rsid w:val="000B09F7"/>
    <w:rsid w:val="000B0A82"/>
    <w:rsid w:val="000B0BB3"/>
    <w:rsid w:val="000B0E6E"/>
    <w:rsid w:val="000B0F89"/>
    <w:rsid w:val="000B0F99"/>
    <w:rsid w:val="000B1059"/>
    <w:rsid w:val="000B1098"/>
    <w:rsid w:val="000B1260"/>
    <w:rsid w:val="000B12B4"/>
    <w:rsid w:val="000B13F9"/>
    <w:rsid w:val="000B1423"/>
    <w:rsid w:val="000B15D1"/>
    <w:rsid w:val="000B1658"/>
    <w:rsid w:val="000B17AB"/>
    <w:rsid w:val="000B1A4D"/>
    <w:rsid w:val="000B1B5E"/>
    <w:rsid w:val="000B1D2A"/>
    <w:rsid w:val="000B1E09"/>
    <w:rsid w:val="000B1F8C"/>
    <w:rsid w:val="000B1F94"/>
    <w:rsid w:val="000B1FED"/>
    <w:rsid w:val="000B20B7"/>
    <w:rsid w:val="000B20C2"/>
    <w:rsid w:val="000B20D6"/>
    <w:rsid w:val="000B20FD"/>
    <w:rsid w:val="000B2100"/>
    <w:rsid w:val="000B2153"/>
    <w:rsid w:val="000B21DB"/>
    <w:rsid w:val="000B2279"/>
    <w:rsid w:val="000B24CE"/>
    <w:rsid w:val="000B2593"/>
    <w:rsid w:val="000B25E1"/>
    <w:rsid w:val="000B25E8"/>
    <w:rsid w:val="000B2893"/>
    <w:rsid w:val="000B29DB"/>
    <w:rsid w:val="000B2A1A"/>
    <w:rsid w:val="000B2A23"/>
    <w:rsid w:val="000B2AF1"/>
    <w:rsid w:val="000B2BFC"/>
    <w:rsid w:val="000B2C24"/>
    <w:rsid w:val="000B2C2A"/>
    <w:rsid w:val="000B2D02"/>
    <w:rsid w:val="000B2E78"/>
    <w:rsid w:val="000B2ED1"/>
    <w:rsid w:val="000B3016"/>
    <w:rsid w:val="000B3061"/>
    <w:rsid w:val="000B30D8"/>
    <w:rsid w:val="000B321E"/>
    <w:rsid w:val="000B328C"/>
    <w:rsid w:val="000B32D5"/>
    <w:rsid w:val="000B33EB"/>
    <w:rsid w:val="000B3461"/>
    <w:rsid w:val="000B34C6"/>
    <w:rsid w:val="000B34CB"/>
    <w:rsid w:val="000B35EB"/>
    <w:rsid w:val="000B3683"/>
    <w:rsid w:val="000B3730"/>
    <w:rsid w:val="000B3736"/>
    <w:rsid w:val="000B37B7"/>
    <w:rsid w:val="000B37E4"/>
    <w:rsid w:val="000B3968"/>
    <w:rsid w:val="000B3C4A"/>
    <w:rsid w:val="000B3CA9"/>
    <w:rsid w:val="000B423C"/>
    <w:rsid w:val="000B434C"/>
    <w:rsid w:val="000B438C"/>
    <w:rsid w:val="000B4423"/>
    <w:rsid w:val="000B44FD"/>
    <w:rsid w:val="000B459E"/>
    <w:rsid w:val="000B45B7"/>
    <w:rsid w:val="000B45C3"/>
    <w:rsid w:val="000B4626"/>
    <w:rsid w:val="000B4645"/>
    <w:rsid w:val="000B46DA"/>
    <w:rsid w:val="000B4745"/>
    <w:rsid w:val="000B47FE"/>
    <w:rsid w:val="000B481D"/>
    <w:rsid w:val="000B4870"/>
    <w:rsid w:val="000B4AD8"/>
    <w:rsid w:val="000B4B54"/>
    <w:rsid w:val="000B4DEB"/>
    <w:rsid w:val="000B4E7C"/>
    <w:rsid w:val="000B4F2A"/>
    <w:rsid w:val="000B5078"/>
    <w:rsid w:val="000B50B3"/>
    <w:rsid w:val="000B50DB"/>
    <w:rsid w:val="000B51A1"/>
    <w:rsid w:val="000B5242"/>
    <w:rsid w:val="000B5440"/>
    <w:rsid w:val="000B5482"/>
    <w:rsid w:val="000B54FE"/>
    <w:rsid w:val="000B56F2"/>
    <w:rsid w:val="000B580B"/>
    <w:rsid w:val="000B58C9"/>
    <w:rsid w:val="000B5AC2"/>
    <w:rsid w:val="000B5AC9"/>
    <w:rsid w:val="000B5C03"/>
    <w:rsid w:val="000B5C7D"/>
    <w:rsid w:val="000B5CC4"/>
    <w:rsid w:val="000B5E80"/>
    <w:rsid w:val="000B5F0B"/>
    <w:rsid w:val="000B628A"/>
    <w:rsid w:val="000B6299"/>
    <w:rsid w:val="000B6393"/>
    <w:rsid w:val="000B639C"/>
    <w:rsid w:val="000B64B1"/>
    <w:rsid w:val="000B650C"/>
    <w:rsid w:val="000B666C"/>
    <w:rsid w:val="000B6705"/>
    <w:rsid w:val="000B681B"/>
    <w:rsid w:val="000B68E2"/>
    <w:rsid w:val="000B6A63"/>
    <w:rsid w:val="000B6A9A"/>
    <w:rsid w:val="000B6D78"/>
    <w:rsid w:val="000B6F31"/>
    <w:rsid w:val="000B6F48"/>
    <w:rsid w:val="000B7122"/>
    <w:rsid w:val="000B7230"/>
    <w:rsid w:val="000B74B6"/>
    <w:rsid w:val="000B7618"/>
    <w:rsid w:val="000B77F3"/>
    <w:rsid w:val="000B7862"/>
    <w:rsid w:val="000B7A10"/>
    <w:rsid w:val="000B7BB8"/>
    <w:rsid w:val="000B7BF7"/>
    <w:rsid w:val="000B7C74"/>
    <w:rsid w:val="000B7FEA"/>
    <w:rsid w:val="000C019A"/>
    <w:rsid w:val="000C01A1"/>
    <w:rsid w:val="000C0296"/>
    <w:rsid w:val="000C03CD"/>
    <w:rsid w:val="000C040D"/>
    <w:rsid w:val="000C046C"/>
    <w:rsid w:val="000C04CB"/>
    <w:rsid w:val="000C0987"/>
    <w:rsid w:val="000C09F5"/>
    <w:rsid w:val="000C0BA3"/>
    <w:rsid w:val="000C0DB4"/>
    <w:rsid w:val="000C0ED2"/>
    <w:rsid w:val="000C0EF0"/>
    <w:rsid w:val="000C106D"/>
    <w:rsid w:val="000C10DD"/>
    <w:rsid w:val="000C120B"/>
    <w:rsid w:val="000C1214"/>
    <w:rsid w:val="000C136A"/>
    <w:rsid w:val="000C139E"/>
    <w:rsid w:val="000C13C1"/>
    <w:rsid w:val="000C13E5"/>
    <w:rsid w:val="000C13E9"/>
    <w:rsid w:val="000C1452"/>
    <w:rsid w:val="000C1494"/>
    <w:rsid w:val="000C1507"/>
    <w:rsid w:val="000C170F"/>
    <w:rsid w:val="000C197E"/>
    <w:rsid w:val="000C1ADB"/>
    <w:rsid w:val="000C1B3F"/>
    <w:rsid w:val="000C1D1B"/>
    <w:rsid w:val="000C1D1E"/>
    <w:rsid w:val="000C1E2B"/>
    <w:rsid w:val="000C1F0D"/>
    <w:rsid w:val="000C2033"/>
    <w:rsid w:val="000C2071"/>
    <w:rsid w:val="000C207D"/>
    <w:rsid w:val="000C20F3"/>
    <w:rsid w:val="000C2336"/>
    <w:rsid w:val="000C272C"/>
    <w:rsid w:val="000C27CC"/>
    <w:rsid w:val="000C283E"/>
    <w:rsid w:val="000C2851"/>
    <w:rsid w:val="000C2867"/>
    <w:rsid w:val="000C292D"/>
    <w:rsid w:val="000C29F0"/>
    <w:rsid w:val="000C2C16"/>
    <w:rsid w:val="000C2C78"/>
    <w:rsid w:val="000C2DC7"/>
    <w:rsid w:val="000C2DD5"/>
    <w:rsid w:val="000C2F8F"/>
    <w:rsid w:val="000C30BB"/>
    <w:rsid w:val="000C3249"/>
    <w:rsid w:val="000C3285"/>
    <w:rsid w:val="000C338F"/>
    <w:rsid w:val="000C340A"/>
    <w:rsid w:val="000C3677"/>
    <w:rsid w:val="000C36DB"/>
    <w:rsid w:val="000C3748"/>
    <w:rsid w:val="000C376B"/>
    <w:rsid w:val="000C3804"/>
    <w:rsid w:val="000C381A"/>
    <w:rsid w:val="000C3A03"/>
    <w:rsid w:val="000C3B40"/>
    <w:rsid w:val="000C3B65"/>
    <w:rsid w:val="000C3C35"/>
    <w:rsid w:val="000C3C52"/>
    <w:rsid w:val="000C3CA8"/>
    <w:rsid w:val="000C3E21"/>
    <w:rsid w:val="000C3E6F"/>
    <w:rsid w:val="000C3F20"/>
    <w:rsid w:val="000C3FD7"/>
    <w:rsid w:val="000C4349"/>
    <w:rsid w:val="000C442E"/>
    <w:rsid w:val="000C4571"/>
    <w:rsid w:val="000C462E"/>
    <w:rsid w:val="000C4751"/>
    <w:rsid w:val="000C486B"/>
    <w:rsid w:val="000C4993"/>
    <w:rsid w:val="000C4CB7"/>
    <w:rsid w:val="000C4CBB"/>
    <w:rsid w:val="000C4D0E"/>
    <w:rsid w:val="000C4D46"/>
    <w:rsid w:val="000C4DFB"/>
    <w:rsid w:val="000C4E48"/>
    <w:rsid w:val="000C4EC7"/>
    <w:rsid w:val="000C4F47"/>
    <w:rsid w:val="000C4FA4"/>
    <w:rsid w:val="000C506D"/>
    <w:rsid w:val="000C51F1"/>
    <w:rsid w:val="000C5289"/>
    <w:rsid w:val="000C52DD"/>
    <w:rsid w:val="000C52F9"/>
    <w:rsid w:val="000C531C"/>
    <w:rsid w:val="000C53AF"/>
    <w:rsid w:val="000C55D2"/>
    <w:rsid w:val="000C5A9D"/>
    <w:rsid w:val="000C5AC2"/>
    <w:rsid w:val="000C5BA5"/>
    <w:rsid w:val="000C5E98"/>
    <w:rsid w:val="000C632F"/>
    <w:rsid w:val="000C647E"/>
    <w:rsid w:val="000C64CE"/>
    <w:rsid w:val="000C6560"/>
    <w:rsid w:val="000C6593"/>
    <w:rsid w:val="000C661A"/>
    <w:rsid w:val="000C6833"/>
    <w:rsid w:val="000C6928"/>
    <w:rsid w:val="000C6950"/>
    <w:rsid w:val="000C69B3"/>
    <w:rsid w:val="000C69CE"/>
    <w:rsid w:val="000C6A43"/>
    <w:rsid w:val="000C6AFA"/>
    <w:rsid w:val="000C6B14"/>
    <w:rsid w:val="000C6D94"/>
    <w:rsid w:val="000C6ED9"/>
    <w:rsid w:val="000C6EDE"/>
    <w:rsid w:val="000C6F64"/>
    <w:rsid w:val="000C70E1"/>
    <w:rsid w:val="000C721B"/>
    <w:rsid w:val="000C742C"/>
    <w:rsid w:val="000C75D1"/>
    <w:rsid w:val="000C7621"/>
    <w:rsid w:val="000C76D9"/>
    <w:rsid w:val="000C77FB"/>
    <w:rsid w:val="000C79A4"/>
    <w:rsid w:val="000C7A33"/>
    <w:rsid w:val="000C7DAE"/>
    <w:rsid w:val="000C7E4E"/>
    <w:rsid w:val="000C7E88"/>
    <w:rsid w:val="000C7F58"/>
    <w:rsid w:val="000D0065"/>
    <w:rsid w:val="000D012D"/>
    <w:rsid w:val="000D0174"/>
    <w:rsid w:val="000D020C"/>
    <w:rsid w:val="000D0510"/>
    <w:rsid w:val="000D0683"/>
    <w:rsid w:val="000D0747"/>
    <w:rsid w:val="000D07C4"/>
    <w:rsid w:val="000D07DC"/>
    <w:rsid w:val="000D0808"/>
    <w:rsid w:val="000D0895"/>
    <w:rsid w:val="000D0A96"/>
    <w:rsid w:val="000D0BE3"/>
    <w:rsid w:val="000D0C54"/>
    <w:rsid w:val="000D0F28"/>
    <w:rsid w:val="000D1093"/>
    <w:rsid w:val="000D1197"/>
    <w:rsid w:val="000D12C1"/>
    <w:rsid w:val="000D137B"/>
    <w:rsid w:val="000D1515"/>
    <w:rsid w:val="000D17CF"/>
    <w:rsid w:val="000D1814"/>
    <w:rsid w:val="000D1A31"/>
    <w:rsid w:val="000D1B68"/>
    <w:rsid w:val="000D1CDB"/>
    <w:rsid w:val="000D1DAA"/>
    <w:rsid w:val="000D1F33"/>
    <w:rsid w:val="000D1F54"/>
    <w:rsid w:val="000D1F5D"/>
    <w:rsid w:val="000D1FA6"/>
    <w:rsid w:val="000D20DA"/>
    <w:rsid w:val="000D21BE"/>
    <w:rsid w:val="000D21EF"/>
    <w:rsid w:val="000D223D"/>
    <w:rsid w:val="000D225F"/>
    <w:rsid w:val="000D23DD"/>
    <w:rsid w:val="000D247F"/>
    <w:rsid w:val="000D24C7"/>
    <w:rsid w:val="000D254A"/>
    <w:rsid w:val="000D268A"/>
    <w:rsid w:val="000D2717"/>
    <w:rsid w:val="000D27FA"/>
    <w:rsid w:val="000D283A"/>
    <w:rsid w:val="000D2960"/>
    <w:rsid w:val="000D2A20"/>
    <w:rsid w:val="000D2AA4"/>
    <w:rsid w:val="000D2BC7"/>
    <w:rsid w:val="000D2EA5"/>
    <w:rsid w:val="000D2FF1"/>
    <w:rsid w:val="000D3071"/>
    <w:rsid w:val="000D3245"/>
    <w:rsid w:val="000D3254"/>
    <w:rsid w:val="000D329C"/>
    <w:rsid w:val="000D3393"/>
    <w:rsid w:val="000D34A0"/>
    <w:rsid w:val="000D353B"/>
    <w:rsid w:val="000D354B"/>
    <w:rsid w:val="000D354C"/>
    <w:rsid w:val="000D3562"/>
    <w:rsid w:val="000D35FD"/>
    <w:rsid w:val="000D368B"/>
    <w:rsid w:val="000D3891"/>
    <w:rsid w:val="000D3B19"/>
    <w:rsid w:val="000D3DAE"/>
    <w:rsid w:val="000D3DC0"/>
    <w:rsid w:val="000D3E7C"/>
    <w:rsid w:val="000D3F65"/>
    <w:rsid w:val="000D3FD6"/>
    <w:rsid w:val="000D4051"/>
    <w:rsid w:val="000D413C"/>
    <w:rsid w:val="000D41CB"/>
    <w:rsid w:val="000D423E"/>
    <w:rsid w:val="000D42C2"/>
    <w:rsid w:val="000D42FF"/>
    <w:rsid w:val="000D4429"/>
    <w:rsid w:val="000D446B"/>
    <w:rsid w:val="000D454A"/>
    <w:rsid w:val="000D4629"/>
    <w:rsid w:val="000D47A4"/>
    <w:rsid w:val="000D484A"/>
    <w:rsid w:val="000D4AAF"/>
    <w:rsid w:val="000D4AE4"/>
    <w:rsid w:val="000D4B36"/>
    <w:rsid w:val="000D4BD7"/>
    <w:rsid w:val="000D4C27"/>
    <w:rsid w:val="000D4C9F"/>
    <w:rsid w:val="000D4D7A"/>
    <w:rsid w:val="000D4DAF"/>
    <w:rsid w:val="000D4FF6"/>
    <w:rsid w:val="000D50B1"/>
    <w:rsid w:val="000D54DB"/>
    <w:rsid w:val="000D551E"/>
    <w:rsid w:val="000D5641"/>
    <w:rsid w:val="000D5659"/>
    <w:rsid w:val="000D56D1"/>
    <w:rsid w:val="000D57EA"/>
    <w:rsid w:val="000D5BD5"/>
    <w:rsid w:val="000D5C86"/>
    <w:rsid w:val="000D5DB4"/>
    <w:rsid w:val="000D60B6"/>
    <w:rsid w:val="000D6134"/>
    <w:rsid w:val="000D61DE"/>
    <w:rsid w:val="000D624F"/>
    <w:rsid w:val="000D6269"/>
    <w:rsid w:val="000D645B"/>
    <w:rsid w:val="000D6488"/>
    <w:rsid w:val="000D64E2"/>
    <w:rsid w:val="000D6621"/>
    <w:rsid w:val="000D683E"/>
    <w:rsid w:val="000D697D"/>
    <w:rsid w:val="000D69D3"/>
    <w:rsid w:val="000D69E2"/>
    <w:rsid w:val="000D6B2B"/>
    <w:rsid w:val="000D6C7F"/>
    <w:rsid w:val="000D6D3E"/>
    <w:rsid w:val="000D6E40"/>
    <w:rsid w:val="000D6E91"/>
    <w:rsid w:val="000D701D"/>
    <w:rsid w:val="000D7023"/>
    <w:rsid w:val="000D70BB"/>
    <w:rsid w:val="000D715D"/>
    <w:rsid w:val="000D718B"/>
    <w:rsid w:val="000D7376"/>
    <w:rsid w:val="000D73B2"/>
    <w:rsid w:val="000D73D0"/>
    <w:rsid w:val="000D746A"/>
    <w:rsid w:val="000D751A"/>
    <w:rsid w:val="000D75F8"/>
    <w:rsid w:val="000D7660"/>
    <w:rsid w:val="000D7783"/>
    <w:rsid w:val="000D77E0"/>
    <w:rsid w:val="000D78BF"/>
    <w:rsid w:val="000D7A6E"/>
    <w:rsid w:val="000D7ADD"/>
    <w:rsid w:val="000D7B08"/>
    <w:rsid w:val="000D7F1D"/>
    <w:rsid w:val="000D7FDE"/>
    <w:rsid w:val="000E010F"/>
    <w:rsid w:val="000E01AF"/>
    <w:rsid w:val="000E01ED"/>
    <w:rsid w:val="000E0205"/>
    <w:rsid w:val="000E0366"/>
    <w:rsid w:val="000E03F7"/>
    <w:rsid w:val="000E0422"/>
    <w:rsid w:val="000E048A"/>
    <w:rsid w:val="000E053E"/>
    <w:rsid w:val="000E07CA"/>
    <w:rsid w:val="000E098F"/>
    <w:rsid w:val="000E09E8"/>
    <w:rsid w:val="000E0A43"/>
    <w:rsid w:val="000E0B64"/>
    <w:rsid w:val="000E0C95"/>
    <w:rsid w:val="000E0CA4"/>
    <w:rsid w:val="000E0D5B"/>
    <w:rsid w:val="000E0D62"/>
    <w:rsid w:val="000E0DBD"/>
    <w:rsid w:val="000E0E26"/>
    <w:rsid w:val="000E0E75"/>
    <w:rsid w:val="000E0EB5"/>
    <w:rsid w:val="000E1022"/>
    <w:rsid w:val="000E10F1"/>
    <w:rsid w:val="000E115A"/>
    <w:rsid w:val="000E1196"/>
    <w:rsid w:val="000E123D"/>
    <w:rsid w:val="000E136A"/>
    <w:rsid w:val="000E13CA"/>
    <w:rsid w:val="000E1496"/>
    <w:rsid w:val="000E162A"/>
    <w:rsid w:val="000E1889"/>
    <w:rsid w:val="000E18E6"/>
    <w:rsid w:val="000E1CF1"/>
    <w:rsid w:val="000E1D33"/>
    <w:rsid w:val="000E1D3D"/>
    <w:rsid w:val="000E1D5C"/>
    <w:rsid w:val="000E1EF3"/>
    <w:rsid w:val="000E1F61"/>
    <w:rsid w:val="000E2335"/>
    <w:rsid w:val="000E24B2"/>
    <w:rsid w:val="000E266B"/>
    <w:rsid w:val="000E27B7"/>
    <w:rsid w:val="000E282A"/>
    <w:rsid w:val="000E285C"/>
    <w:rsid w:val="000E2882"/>
    <w:rsid w:val="000E294E"/>
    <w:rsid w:val="000E2C9C"/>
    <w:rsid w:val="000E2CA3"/>
    <w:rsid w:val="000E2CD0"/>
    <w:rsid w:val="000E2D04"/>
    <w:rsid w:val="000E2E32"/>
    <w:rsid w:val="000E2E8D"/>
    <w:rsid w:val="000E30BD"/>
    <w:rsid w:val="000E33C4"/>
    <w:rsid w:val="000E3424"/>
    <w:rsid w:val="000E35CF"/>
    <w:rsid w:val="000E362A"/>
    <w:rsid w:val="000E367E"/>
    <w:rsid w:val="000E378F"/>
    <w:rsid w:val="000E38E7"/>
    <w:rsid w:val="000E399F"/>
    <w:rsid w:val="000E3ACC"/>
    <w:rsid w:val="000E3B5A"/>
    <w:rsid w:val="000E3B97"/>
    <w:rsid w:val="000E3B9F"/>
    <w:rsid w:val="000E3BD0"/>
    <w:rsid w:val="000E3C7D"/>
    <w:rsid w:val="000E3CE7"/>
    <w:rsid w:val="000E3DF3"/>
    <w:rsid w:val="000E3E76"/>
    <w:rsid w:val="000E3EB9"/>
    <w:rsid w:val="000E3ECB"/>
    <w:rsid w:val="000E3EDA"/>
    <w:rsid w:val="000E40C4"/>
    <w:rsid w:val="000E42A4"/>
    <w:rsid w:val="000E4355"/>
    <w:rsid w:val="000E43CC"/>
    <w:rsid w:val="000E4402"/>
    <w:rsid w:val="000E4445"/>
    <w:rsid w:val="000E4511"/>
    <w:rsid w:val="000E4536"/>
    <w:rsid w:val="000E4654"/>
    <w:rsid w:val="000E468A"/>
    <w:rsid w:val="000E4879"/>
    <w:rsid w:val="000E489C"/>
    <w:rsid w:val="000E4C99"/>
    <w:rsid w:val="000E4D31"/>
    <w:rsid w:val="000E4DF9"/>
    <w:rsid w:val="000E4E8D"/>
    <w:rsid w:val="000E4EC7"/>
    <w:rsid w:val="000E5219"/>
    <w:rsid w:val="000E528D"/>
    <w:rsid w:val="000E5379"/>
    <w:rsid w:val="000E5489"/>
    <w:rsid w:val="000E54C9"/>
    <w:rsid w:val="000E5526"/>
    <w:rsid w:val="000E55D9"/>
    <w:rsid w:val="000E5649"/>
    <w:rsid w:val="000E56D7"/>
    <w:rsid w:val="000E5780"/>
    <w:rsid w:val="000E5A36"/>
    <w:rsid w:val="000E5A45"/>
    <w:rsid w:val="000E5AE0"/>
    <w:rsid w:val="000E5B18"/>
    <w:rsid w:val="000E5B47"/>
    <w:rsid w:val="000E5E3C"/>
    <w:rsid w:val="000E5E60"/>
    <w:rsid w:val="000E5E62"/>
    <w:rsid w:val="000E5EE0"/>
    <w:rsid w:val="000E5F89"/>
    <w:rsid w:val="000E6076"/>
    <w:rsid w:val="000E61EF"/>
    <w:rsid w:val="000E6294"/>
    <w:rsid w:val="000E635A"/>
    <w:rsid w:val="000E6490"/>
    <w:rsid w:val="000E6495"/>
    <w:rsid w:val="000E6797"/>
    <w:rsid w:val="000E67C5"/>
    <w:rsid w:val="000E67DE"/>
    <w:rsid w:val="000E6AA0"/>
    <w:rsid w:val="000E6B90"/>
    <w:rsid w:val="000E6C42"/>
    <w:rsid w:val="000E6C9F"/>
    <w:rsid w:val="000E6E01"/>
    <w:rsid w:val="000E6E0B"/>
    <w:rsid w:val="000E6ED6"/>
    <w:rsid w:val="000E6F0D"/>
    <w:rsid w:val="000E6F7C"/>
    <w:rsid w:val="000E7199"/>
    <w:rsid w:val="000E71C4"/>
    <w:rsid w:val="000E7492"/>
    <w:rsid w:val="000E7504"/>
    <w:rsid w:val="000E7650"/>
    <w:rsid w:val="000E78AD"/>
    <w:rsid w:val="000E78DC"/>
    <w:rsid w:val="000E7922"/>
    <w:rsid w:val="000E79D5"/>
    <w:rsid w:val="000E7A31"/>
    <w:rsid w:val="000E7C0C"/>
    <w:rsid w:val="000E7C4A"/>
    <w:rsid w:val="000E7C7C"/>
    <w:rsid w:val="000E7D5E"/>
    <w:rsid w:val="000E7DBE"/>
    <w:rsid w:val="000E7EBB"/>
    <w:rsid w:val="000E7EC5"/>
    <w:rsid w:val="000F0124"/>
    <w:rsid w:val="000F0294"/>
    <w:rsid w:val="000F0405"/>
    <w:rsid w:val="000F04A3"/>
    <w:rsid w:val="000F0599"/>
    <w:rsid w:val="000F0617"/>
    <w:rsid w:val="000F0687"/>
    <w:rsid w:val="000F06D2"/>
    <w:rsid w:val="000F06E6"/>
    <w:rsid w:val="000F06FB"/>
    <w:rsid w:val="000F0A80"/>
    <w:rsid w:val="000F0B0A"/>
    <w:rsid w:val="000F0D6E"/>
    <w:rsid w:val="000F0F02"/>
    <w:rsid w:val="000F105A"/>
    <w:rsid w:val="000F11F3"/>
    <w:rsid w:val="000F12A3"/>
    <w:rsid w:val="000F12BF"/>
    <w:rsid w:val="000F1326"/>
    <w:rsid w:val="000F133E"/>
    <w:rsid w:val="000F13FF"/>
    <w:rsid w:val="000F14BF"/>
    <w:rsid w:val="000F1509"/>
    <w:rsid w:val="000F1645"/>
    <w:rsid w:val="000F191A"/>
    <w:rsid w:val="000F192F"/>
    <w:rsid w:val="000F1999"/>
    <w:rsid w:val="000F1AE4"/>
    <w:rsid w:val="000F1AFC"/>
    <w:rsid w:val="000F1AFF"/>
    <w:rsid w:val="000F1B7E"/>
    <w:rsid w:val="000F1DE6"/>
    <w:rsid w:val="000F1E28"/>
    <w:rsid w:val="000F2028"/>
    <w:rsid w:val="000F203C"/>
    <w:rsid w:val="000F2172"/>
    <w:rsid w:val="000F21A4"/>
    <w:rsid w:val="000F2207"/>
    <w:rsid w:val="000F22B4"/>
    <w:rsid w:val="000F2343"/>
    <w:rsid w:val="000F27F5"/>
    <w:rsid w:val="000F282C"/>
    <w:rsid w:val="000F29B8"/>
    <w:rsid w:val="000F2B1A"/>
    <w:rsid w:val="000F2B36"/>
    <w:rsid w:val="000F2BB9"/>
    <w:rsid w:val="000F2C1F"/>
    <w:rsid w:val="000F2C69"/>
    <w:rsid w:val="000F2E09"/>
    <w:rsid w:val="000F2E28"/>
    <w:rsid w:val="000F2FD9"/>
    <w:rsid w:val="000F3218"/>
    <w:rsid w:val="000F32A2"/>
    <w:rsid w:val="000F32D4"/>
    <w:rsid w:val="000F3358"/>
    <w:rsid w:val="000F339C"/>
    <w:rsid w:val="000F3529"/>
    <w:rsid w:val="000F3616"/>
    <w:rsid w:val="000F36B9"/>
    <w:rsid w:val="000F371E"/>
    <w:rsid w:val="000F3806"/>
    <w:rsid w:val="000F3956"/>
    <w:rsid w:val="000F3966"/>
    <w:rsid w:val="000F3AB9"/>
    <w:rsid w:val="000F3ABC"/>
    <w:rsid w:val="000F3BD5"/>
    <w:rsid w:val="000F3EE8"/>
    <w:rsid w:val="000F4273"/>
    <w:rsid w:val="000F42B2"/>
    <w:rsid w:val="000F43A0"/>
    <w:rsid w:val="000F489D"/>
    <w:rsid w:val="000F491D"/>
    <w:rsid w:val="000F4CAB"/>
    <w:rsid w:val="000F4E1F"/>
    <w:rsid w:val="000F4E50"/>
    <w:rsid w:val="000F5148"/>
    <w:rsid w:val="000F5298"/>
    <w:rsid w:val="000F540A"/>
    <w:rsid w:val="000F5646"/>
    <w:rsid w:val="000F5661"/>
    <w:rsid w:val="000F5677"/>
    <w:rsid w:val="000F5749"/>
    <w:rsid w:val="000F5771"/>
    <w:rsid w:val="000F5808"/>
    <w:rsid w:val="000F589C"/>
    <w:rsid w:val="000F58DE"/>
    <w:rsid w:val="000F5B24"/>
    <w:rsid w:val="000F5CC4"/>
    <w:rsid w:val="000F5D54"/>
    <w:rsid w:val="000F5E1B"/>
    <w:rsid w:val="000F604B"/>
    <w:rsid w:val="000F618C"/>
    <w:rsid w:val="000F62BA"/>
    <w:rsid w:val="000F636D"/>
    <w:rsid w:val="000F6417"/>
    <w:rsid w:val="000F6484"/>
    <w:rsid w:val="000F64A8"/>
    <w:rsid w:val="000F669A"/>
    <w:rsid w:val="000F66B5"/>
    <w:rsid w:val="000F6745"/>
    <w:rsid w:val="000F6758"/>
    <w:rsid w:val="000F68F8"/>
    <w:rsid w:val="000F6959"/>
    <w:rsid w:val="000F6A68"/>
    <w:rsid w:val="000F6A93"/>
    <w:rsid w:val="000F6AD3"/>
    <w:rsid w:val="000F6D05"/>
    <w:rsid w:val="000F6D4A"/>
    <w:rsid w:val="000F6E7B"/>
    <w:rsid w:val="000F6EE9"/>
    <w:rsid w:val="000F6F89"/>
    <w:rsid w:val="000F7068"/>
    <w:rsid w:val="000F71A2"/>
    <w:rsid w:val="000F726B"/>
    <w:rsid w:val="000F731A"/>
    <w:rsid w:val="000F73B8"/>
    <w:rsid w:val="000F73C5"/>
    <w:rsid w:val="000F74E1"/>
    <w:rsid w:val="000F75B3"/>
    <w:rsid w:val="000F77D0"/>
    <w:rsid w:val="000F7BBF"/>
    <w:rsid w:val="000F7BF2"/>
    <w:rsid w:val="000F7D35"/>
    <w:rsid w:val="000F7D3D"/>
    <w:rsid w:val="000F7DCB"/>
    <w:rsid w:val="000F7E36"/>
    <w:rsid w:val="000F7FD0"/>
    <w:rsid w:val="001001B5"/>
    <w:rsid w:val="0010031F"/>
    <w:rsid w:val="00100321"/>
    <w:rsid w:val="001003BA"/>
    <w:rsid w:val="00100503"/>
    <w:rsid w:val="001006BB"/>
    <w:rsid w:val="001008EF"/>
    <w:rsid w:val="001009D2"/>
    <w:rsid w:val="001009E5"/>
    <w:rsid w:val="00100A80"/>
    <w:rsid w:val="00100B0B"/>
    <w:rsid w:val="00100B1E"/>
    <w:rsid w:val="00100CFC"/>
    <w:rsid w:val="00100DF7"/>
    <w:rsid w:val="00100F00"/>
    <w:rsid w:val="00100FA0"/>
    <w:rsid w:val="00100FFB"/>
    <w:rsid w:val="00101069"/>
    <w:rsid w:val="00101500"/>
    <w:rsid w:val="001015CF"/>
    <w:rsid w:val="0010179A"/>
    <w:rsid w:val="001017B9"/>
    <w:rsid w:val="001018CD"/>
    <w:rsid w:val="00101C24"/>
    <w:rsid w:val="00101C73"/>
    <w:rsid w:val="00101CA7"/>
    <w:rsid w:val="00101DA3"/>
    <w:rsid w:val="00101E08"/>
    <w:rsid w:val="00101EC5"/>
    <w:rsid w:val="00101FAA"/>
    <w:rsid w:val="0010204E"/>
    <w:rsid w:val="001020DE"/>
    <w:rsid w:val="001022EE"/>
    <w:rsid w:val="0010234F"/>
    <w:rsid w:val="001023A6"/>
    <w:rsid w:val="00102559"/>
    <w:rsid w:val="00102630"/>
    <w:rsid w:val="00102656"/>
    <w:rsid w:val="00102699"/>
    <w:rsid w:val="001026CE"/>
    <w:rsid w:val="001026D4"/>
    <w:rsid w:val="00102766"/>
    <w:rsid w:val="0010277C"/>
    <w:rsid w:val="00102944"/>
    <w:rsid w:val="00102AAD"/>
    <w:rsid w:val="00102CD5"/>
    <w:rsid w:val="00102DA9"/>
    <w:rsid w:val="00102F7D"/>
    <w:rsid w:val="00102FA0"/>
    <w:rsid w:val="00102FCC"/>
    <w:rsid w:val="00102FE2"/>
    <w:rsid w:val="001030FF"/>
    <w:rsid w:val="0010317E"/>
    <w:rsid w:val="0010318F"/>
    <w:rsid w:val="00103241"/>
    <w:rsid w:val="001032CA"/>
    <w:rsid w:val="001033AD"/>
    <w:rsid w:val="001035C6"/>
    <w:rsid w:val="001036F9"/>
    <w:rsid w:val="00103820"/>
    <w:rsid w:val="00103828"/>
    <w:rsid w:val="001038F6"/>
    <w:rsid w:val="00103954"/>
    <w:rsid w:val="00103A3C"/>
    <w:rsid w:val="00103A44"/>
    <w:rsid w:val="00103B11"/>
    <w:rsid w:val="00103B2E"/>
    <w:rsid w:val="00103B73"/>
    <w:rsid w:val="00103BED"/>
    <w:rsid w:val="00103C73"/>
    <w:rsid w:val="001040D2"/>
    <w:rsid w:val="001042F9"/>
    <w:rsid w:val="001044FF"/>
    <w:rsid w:val="00104754"/>
    <w:rsid w:val="0010489E"/>
    <w:rsid w:val="0010494E"/>
    <w:rsid w:val="00104BB8"/>
    <w:rsid w:val="00104C2C"/>
    <w:rsid w:val="00104C87"/>
    <w:rsid w:val="00104C89"/>
    <w:rsid w:val="00104CFB"/>
    <w:rsid w:val="00104D76"/>
    <w:rsid w:val="00104E04"/>
    <w:rsid w:val="00104ECB"/>
    <w:rsid w:val="00104F7E"/>
    <w:rsid w:val="00104F9D"/>
    <w:rsid w:val="001050C8"/>
    <w:rsid w:val="001050E4"/>
    <w:rsid w:val="001054F2"/>
    <w:rsid w:val="001056A0"/>
    <w:rsid w:val="001056B6"/>
    <w:rsid w:val="001056BD"/>
    <w:rsid w:val="00105700"/>
    <w:rsid w:val="0010593F"/>
    <w:rsid w:val="00105AA2"/>
    <w:rsid w:val="00105ACB"/>
    <w:rsid w:val="00105B42"/>
    <w:rsid w:val="00105BF0"/>
    <w:rsid w:val="00105C00"/>
    <w:rsid w:val="00105CA1"/>
    <w:rsid w:val="00105CF0"/>
    <w:rsid w:val="00105D52"/>
    <w:rsid w:val="00105DA2"/>
    <w:rsid w:val="00105E77"/>
    <w:rsid w:val="00105F52"/>
    <w:rsid w:val="00105FA5"/>
    <w:rsid w:val="00106351"/>
    <w:rsid w:val="001063DC"/>
    <w:rsid w:val="0010648C"/>
    <w:rsid w:val="001065D1"/>
    <w:rsid w:val="001065F7"/>
    <w:rsid w:val="00106741"/>
    <w:rsid w:val="001067A5"/>
    <w:rsid w:val="0010682E"/>
    <w:rsid w:val="001068AC"/>
    <w:rsid w:val="00106957"/>
    <w:rsid w:val="00106CD7"/>
    <w:rsid w:val="00106E38"/>
    <w:rsid w:val="0010719F"/>
    <w:rsid w:val="00107253"/>
    <w:rsid w:val="001072B7"/>
    <w:rsid w:val="00107319"/>
    <w:rsid w:val="001074D4"/>
    <w:rsid w:val="00107529"/>
    <w:rsid w:val="0010753D"/>
    <w:rsid w:val="00107865"/>
    <w:rsid w:val="001078DD"/>
    <w:rsid w:val="001079BC"/>
    <w:rsid w:val="001079EE"/>
    <w:rsid w:val="00107A20"/>
    <w:rsid w:val="00107C08"/>
    <w:rsid w:val="00107CBE"/>
    <w:rsid w:val="00107D3C"/>
    <w:rsid w:val="001100A8"/>
    <w:rsid w:val="00110167"/>
    <w:rsid w:val="0011017C"/>
    <w:rsid w:val="0011037B"/>
    <w:rsid w:val="00110484"/>
    <w:rsid w:val="001104D9"/>
    <w:rsid w:val="0011061E"/>
    <w:rsid w:val="001106CE"/>
    <w:rsid w:val="00110830"/>
    <w:rsid w:val="001109B0"/>
    <w:rsid w:val="001109D5"/>
    <w:rsid w:val="00110A04"/>
    <w:rsid w:val="00110A5A"/>
    <w:rsid w:val="00110DA6"/>
    <w:rsid w:val="00110E25"/>
    <w:rsid w:val="00111121"/>
    <w:rsid w:val="001114BD"/>
    <w:rsid w:val="0011176D"/>
    <w:rsid w:val="001117C2"/>
    <w:rsid w:val="0011186E"/>
    <w:rsid w:val="00111911"/>
    <w:rsid w:val="00111920"/>
    <w:rsid w:val="00111A87"/>
    <w:rsid w:val="00111BB4"/>
    <w:rsid w:val="00111C66"/>
    <w:rsid w:val="00111C80"/>
    <w:rsid w:val="00111D15"/>
    <w:rsid w:val="00111DD5"/>
    <w:rsid w:val="00111EF3"/>
    <w:rsid w:val="00111F52"/>
    <w:rsid w:val="001121ED"/>
    <w:rsid w:val="00112231"/>
    <w:rsid w:val="001122CF"/>
    <w:rsid w:val="001122EA"/>
    <w:rsid w:val="0011235A"/>
    <w:rsid w:val="00112379"/>
    <w:rsid w:val="00112556"/>
    <w:rsid w:val="001126EA"/>
    <w:rsid w:val="00112792"/>
    <w:rsid w:val="00112A4C"/>
    <w:rsid w:val="00112A5C"/>
    <w:rsid w:val="00112BFC"/>
    <w:rsid w:val="00112D5D"/>
    <w:rsid w:val="00112E28"/>
    <w:rsid w:val="001130EF"/>
    <w:rsid w:val="0011316B"/>
    <w:rsid w:val="001131F6"/>
    <w:rsid w:val="00113269"/>
    <w:rsid w:val="00113276"/>
    <w:rsid w:val="001132FD"/>
    <w:rsid w:val="001133A8"/>
    <w:rsid w:val="001133FE"/>
    <w:rsid w:val="001135C7"/>
    <w:rsid w:val="00113769"/>
    <w:rsid w:val="0011378A"/>
    <w:rsid w:val="00113967"/>
    <w:rsid w:val="001139E4"/>
    <w:rsid w:val="00113A89"/>
    <w:rsid w:val="00113E37"/>
    <w:rsid w:val="00113FA9"/>
    <w:rsid w:val="00114132"/>
    <w:rsid w:val="00114150"/>
    <w:rsid w:val="001144EA"/>
    <w:rsid w:val="001146F2"/>
    <w:rsid w:val="00114797"/>
    <w:rsid w:val="0011497E"/>
    <w:rsid w:val="00114A99"/>
    <w:rsid w:val="00114CF2"/>
    <w:rsid w:val="00114DF1"/>
    <w:rsid w:val="00114EDB"/>
    <w:rsid w:val="00114F5D"/>
    <w:rsid w:val="00114F6E"/>
    <w:rsid w:val="00114FD0"/>
    <w:rsid w:val="00115193"/>
    <w:rsid w:val="001154DF"/>
    <w:rsid w:val="0011564C"/>
    <w:rsid w:val="00115656"/>
    <w:rsid w:val="001157F5"/>
    <w:rsid w:val="001159BF"/>
    <w:rsid w:val="00115A58"/>
    <w:rsid w:val="00115BBB"/>
    <w:rsid w:val="00115BF4"/>
    <w:rsid w:val="00115C5B"/>
    <w:rsid w:val="00115C68"/>
    <w:rsid w:val="001160AD"/>
    <w:rsid w:val="001160D0"/>
    <w:rsid w:val="001160F7"/>
    <w:rsid w:val="00116196"/>
    <w:rsid w:val="001161BB"/>
    <w:rsid w:val="00116223"/>
    <w:rsid w:val="001162CF"/>
    <w:rsid w:val="001163AA"/>
    <w:rsid w:val="001164F1"/>
    <w:rsid w:val="0011661B"/>
    <w:rsid w:val="00116651"/>
    <w:rsid w:val="0011669A"/>
    <w:rsid w:val="0011669C"/>
    <w:rsid w:val="001166BA"/>
    <w:rsid w:val="0011682E"/>
    <w:rsid w:val="00116914"/>
    <w:rsid w:val="00116987"/>
    <w:rsid w:val="00116B72"/>
    <w:rsid w:val="00116C94"/>
    <w:rsid w:val="00116CBA"/>
    <w:rsid w:val="00116D3E"/>
    <w:rsid w:val="00116DCD"/>
    <w:rsid w:val="0011705C"/>
    <w:rsid w:val="001170C5"/>
    <w:rsid w:val="00117139"/>
    <w:rsid w:val="001173CB"/>
    <w:rsid w:val="001173D2"/>
    <w:rsid w:val="001173DE"/>
    <w:rsid w:val="0011742C"/>
    <w:rsid w:val="0011746D"/>
    <w:rsid w:val="0011747A"/>
    <w:rsid w:val="001174D0"/>
    <w:rsid w:val="001174DD"/>
    <w:rsid w:val="0011765E"/>
    <w:rsid w:val="001176B8"/>
    <w:rsid w:val="0011782D"/>
    <w:rsid w:val="001178FF"/>
    <w:rsid w:val="00117965"/>
    <w:rsid w:val="00117ED8"/>
    <w:rsid w:val="00120149"/>
    <w:rsid w:val="00120156"/>
    <w:rsid w:val="001201A2"/>
    <w:rsid w:val="0012020E"/>
    <w:rsid w:val="001204F9"/>
    <w:rsid w:val="00120609"/>
    <w:rsid w:val="00120A48"/>
    <w:rsid w:val="00120B39"/>
    <w:rsid w:val="00120B3E"/>
    <w:rsid w:val="00120C03"/>
    <w:rsid w:val="00120C0B"/>
    <w:rsid w:val="00120D1B"/>
    <w:rsid w:val="00120D29"/>
    <w:rsid w:val="00120E8A"/>
    <w:rsid w:val="00120EFD"/>
    <w:rsid w:val="00120F22"/>
    <w:rsid w:val="00120FD4"/>
    <w:rsid w:val="00121287"/>
    <w:rsid w:val="001213A6"/>
    <w:rsid w:val="00121424"/>
    <w:rsid w:val="001214D9"/>
    <w:rsid w:val="00121799"/>
    <w:rsid w:val="00121A90"/>
    <w:rsid w:val="00121CD9"/>
    <w:rsid w:val="00121D86"/>
    <w:rsid w:val="00121DE4"/>
    <w:rsid w:val="00121DF1"/>
    <w:rsid w:val="00121E36"/>
    <w:rsid w:val="00121E89"/>
    <w:rsid w:val="00121FD9"/>
    <w:rsid w:val="00121FE6"/>
    <w:rsid w:val="001225C4"/>
    <w:rsid w:val="001225F6"/>
    <w:rsid w:val="00122645"/>
    <w:rsid w:val="001226F4"/>
    <w:rsid w:val="0012278C"/>
    <w:rsid w:val="001228F1"/>
    <w:rsid w:val="0012291C"/>
    <w:rsid w:val="0012295C"/>
    <w:rsid w:val="00122B23"/>
    <w:rsid w:val="00122B43"/>
    <w:rsid w:val="00122EE4"/>
    <w:rsid w:val="00122F2D"/>
    <w:rsid w:val="00122F39"/>
    <w:rsid w:val="00122FB5"/>
    <w:rsid w:val="00123197"/>
    <w:rsid w:val="001231B4"/>
    <w:rsid w:val="00123324"/>
    <w:rsid w:val="001233B2"/>
    <w:rsid w:val="001234CF"/>
    <w:rsid w:val="00123527"/>
    <w:rsid w:val="0012366B"/>
    <w:rsid w:val="001236E1"/>
    <w:rsid w:val="0012371C"/>
    <w:rsid w:val="0012384D"/>
    <w:rsid w:val="00123894"/>
    <w:rsid w:val="0012389A"/>
    <w:rsid w:val="001239DC"/>
    <w:rsid w:val="00123ADF"/>
    <w:rsid w:val="00123B15"/>
    <w:rsid w:val="00123BC9"/>
    <w:rsid w:val="00123C5A"/>
    <w:rsid w:val="00123CC7"/>
    <w:rsid w:val="00123CE3"/>
    <w:rsid w:val="00123ED5"/>
    <w:rsid w:val="00123FA0"/>
    <w:rsid w:val="0012411C"/>
    <w:rsid w:val="001241F7"/>
    <w:rsid w:val="001243A9"/>
    <w:rsid w:val="001243D2"/>
    <w:rsid w:val="00124485"/>
    <w:rsid w:val="001246B5"/>
    <w:rsid w:val="001247E1"/>
    <w:rsid w:val="00124840"/>
    <w:rsid w:val="001248EC"/>
    <w:rsid w:val="0012499A"/>
    <w:rsid w:val="001249B4"/>
    <w:rsid w:val="00124A1F"/>
    <w:rsid w:val="00124A91"/>
    <w:rsid w:val="00124C31"/>
    <w:rsid w:val="00124D12"/>
    <w:rsid w:val="00124D28"/>
    <w:rsid w:val="00124DA6"/>
    <w:rsid w:val="00124E52"/>
    <w:rsid w:val="00124EBD"/>
    <w:rsid w:val="00124F84"/>
    <w:rsid w:val="00124F87"/>
    <w:rsid w:val="00124FF5"/>
    <w:rsid w:val="001251CA"/>
    <w:rsid w:val="0012527F"/>
    <w:rsid w:val="0012547B"/>
    <w:rsid w:val="001254F6"/>
    <w:rsid w:val="00125522"/>
    <w:rsid w:val="0012565B"/>
    <w:rsid w:val="00125738"/>
    <w:rsid w:val="00125801"/>
    <w:rsid w:val="00125ACB"/>
    <w:rsid w:val="00125B50"/>
    <w:rsid w:val="00125B60"/>
    <w:rsid w:val="00125B93"/>
    <w:rsid w:val="00125E2F"/>
    <w:rsid w:val="00125E32"/>
    <w:rsid w:val="00125E3E"/>
    <w:rsid w:val="00125EB5"/>
    <w:rsid w:val="0012605F"/>
    <w:rsid w:val="001260CA"/>
    <w:rsid w:val="001261CA"/>
    <w:rsid w:val="001262E6"/>
    <w:rsid w:val="00126373"/>
    <w:rsid w:val="00126598"/>
    <w:rsid w:val="001266B7"/>
    <w:rsid w:val="001268A1"/>
    <w:rsid w:val="001268A5"/>
    <w:rsid w:val="00126922"/>
    <w:rsid w:val="00126A89"/>
    <w:rsid w:val="00126AAA"/>
    <w:rsid w:val="00126ABF"/>
    <w:rsid w:val="00126AC5"/>
    <w:rsid w:val="00126BCD"/>
    <w:rsid w:val="00126BDD"/>
    <w:rsid w:val="00126C14"/>
    <w:rsid w:val="00126C77"/>
    <w:rsid w:val="00126D3B"/>
    <w:rsid w:val="00126E19"/>
    <w:rsid w:val="00126E67"/>
    <w:rsid w:val="00126F56"/>
    <w:rsid w:val="001270CE"/>
    <w:rsid w:val="00127217"/>
    <w:rsid w:val="00127277"/>
    <w:rsid w:val="001273C0"/>
    <w:rsid w:val="001273E1"/>
    <w:rsid w:val="00127451"/>
    <w:rsid w:val="001274D3"/>
    <w:rsid w:val="001276D9"/>
    <w:rsid w:val="00127900"/>
    <w:rsid w:val="0012795D"/>
    <w:rsid w:val="001279B5"/>
    <w:rsid w:val="00127A12"/>
    <w:rsid w:val="00127B32"/>
    <w:rsid w:val="00127C4F"/>
    <w:rsid w:val="00127C59"/>
    <w:rsid w:val="00127C71"/>
    <w:rsid w:val="00127EB5"/>
    <w:rsid w:val="001300E3"/>
    <w:rsid w:val="00130102"/>
    <w:rsid w:val="0013014F"/>
    <w:rsid w:val="00130344"/>
    <w:rsid w:val="001303EB"/>
    <w:rsid w:val="00130403"/>
    <w:rsid w:val="00130438"/>
    <w:rsid w:val="0013047E"/>
    <w:rsid w:val="001304BF"/>
    <w:rsid w:val="00130618"/>
    <w:rsid w:val="00130664"/>
    <w:rsid w:val="001306C8"/>
    <w:rsid w:val="00130741"/>
    <w:rsid w:val="00130977"/>
    <w:rsid w:val="00130999"/>
    <w:rsid w:val="00130A3D"/>
    <w:rsid w:val="00130A4A"/>
    <w:rsid w:val="00130B98"/>
    <w:rsid w:val="00130C75"/>
    <w:rsid w:val="00130D5A"/>
    <w:rsid w:val="00130E01"/>
    <w:rsid w:val="00130F5C"/>
    <w:rsid w:val="0013109D"/>
    <w:rsid w:val="0013111A"/>
    <w:rsid w:val="001311A2"/>
    <w:rsid w:val="001311CF"/>
    <w:rsid w:val="00131246"/>
    <w:rsid w:val="0013127B"/>
    <w:rsid w:val="001312D4"/>
    <w:rsid w:val="00131321"/>
    <w:rsid w:val="0013133D"/>
    <w:rsid w:val="001313E1"/>
    <w:rsid w:val="00131414"/>
    <w:rsid w:val="001314BE"/>
    <w:rsid w:val="001314D5"/>
    <w:rsid w:val="001314F1"/>
    <w:rsid w:val="0013175C"/>
    <w:rsid w:val="001317DF"/>
    <w:rsid w:val="001318F6"/>
    <w:rsid w:val="00131A82"/>
    <w:rsid w:val="00131B58"/>
    <w:rsid w:val="00131BEF"/>
    <w:rsid w:val="00131C1F"/>
    <w:rsid w:val="00131C25"/>
    <w:rsid w:val="00131CAF"/>
    <w:rsid w:val="00131CB9"/>
    <w:rsid w:val="00131EBD"/>
    <w:rsid w:val="001321A5"/>
    <w:rsid w:val="001321BE"/>
    <w:rsid w:val="001321E7"/>
    <w:rsid w:val="001321E9"/>
    <w:rsid w:val="001322F8"/>
    <w:rsid w:val="00132475"/>
    <w:rsid w:val="001325A8"/>
    <w:rsid w:val="001326B9"/>
    <w:rsid w:val="0013284B"/>
    <w:rsid w:val="0013291A"/>
    <w:rsid w:val="0013295B"/>
    <w:rsid w:val="00132A61"/>
    <w:rsid w:val="00132A99"/>
    <w:rsid w:val="00132BB1"/>
    <w:rsid w:val="00132F31"/>
    <w:rsid w:val="00132FB1"/>
    <w:rsid w:val="0013302F"/>
    <w:rsid w:val="0013304F"/>
    <w:rsid w:val="0013306E"/>
    <w:rsid w:val="001330BD"/>
    <w:rsid w:val="001330EA"/>
    <w:rsid w:val="00133447"/>
    <w:rsid w:val="00133467"/>
    <w:rsid w:val="001334D2"/>
    <w:rsid w:val="00133562"/>
    <w:rsid w:val="001335E8"/>
    <w:rsid w:val="0013366F"/>
    <w:rsid w:val="00133761"/>
    <w:rsid w:val="001337C2"/>
    <w:rsid w:val="00133893"/>
    <w:rsid w:val="0013389F"/>
    <w:rsid w:val="00133934"/>
    <w:rsid w:val="001339E5"/>
    <w:rsid w:val="00133B8C"/>
    <w:rsid w:val="00133C72"/>
    <w:rsid w:val="00133CAC"/>
    <w:rsid w:val="00133DBA"/>
    <w:rsid w:val="00133DE7"/>
    <w:rsid w:val="00133F66"/>
    <w:rsid w:val="001340BE"/>
    <w:rsid w:val="001340E4"/>
    <w:rsid w:val="001342A8"/>
    <w:rsid w:val="0013434A"/>
    <w:rsid w:val="00134406"/>
    <w:rsid w:val="00134633"/>
    <w:rsid w:val="00134696"/>
    <w:rsid w:val="001347B8"/>
    <w:rsid w:val="00134C39"/>
    <w:rsid w:val="00134D3A"/>
    <w:rsid w:val="00134E53"/>
    <w:rsid w:val="00135136"/>
    <w:rsid w:val="00135199"/>
    <w:rsid w:val="00135290"/>
    <w:rsid w:val="00135448"/>
    <w:rsid w:val="00135452"/>
    <w:rsid w:val="001355CE"/>
    <w:rsid w:val="001356C9"/>
    <w:rsid w:val="0013578B"/>
    <w:rsid w:val="001357A0"/>
    <w:rsid w:val="0013588B"/>
    <w:rsid w:val="00135995"/>
    <w:rsid w:val="00135AB4"/>
    <w:rsid w:val="00135ACC"/>
    <w:rsid w:val="00135AEC"/>
    <w:rsid w:val="00135C1F"/>
    <w:rsid w:val="00135D2D"/>
    <w:rsid w:val="00135D9E"/>
    <w:rsid w:val="00135F2C"/>
    <w:rsid w:val="0013606B"/>
    <w:rsid w:val="001361DC"/>
    <w:rsid w:val="00136362"/>
    <w:rsid w:val="001364CD"/>
    <w:rsid w:val="001365CF"/>
    <w:rsid w:val="00136604"/>
    <w:rsid w:val="00136631"/>
    <w:rsid w:val="00136754"/>
    <w:rsid w:val="001367A6"/>
    <w:rsid w:val="001367D5"/>
    <w:rsid w:val="00136879"/>
    <w:rsid w:val="0013692F"/>
    <w:rsid w:val="00136A85"/>
    <w:rsid w:val="00136B48"/>
    <w:rsid w:val="00136B97"/>
    <w:rsid w:val="00136E5C"/>
    <w:rsid w:val="00136E6A"/>
    <w:rsid w:val="001370FF"/>
    <w:rsid w:val="00137401"/>
    <w:rsid w:val="001375B0"/>
    <w:rsid w:val="00137819"/>
    <w:rsid w:val="00137833"/>
    <w:rsid w:val="001378BC"/>
    <w:rsid w:val="001378F9"/>
    <w:rsid w:val="00137B5D"/>
    <w:rsid w:val="00137BB0"/>
    <w:rsid w:val="00137BEA"/>
    <w:rsid w:val="00137D48"/>
    <w:rsid w:val="00137E89"/>
    <w:rsid w:val="00137F02"/>
    <w:rsid w:val="00137FE5"/>
    <w:rsid w:val="00140107"/>
    <w:rsid w:val="00140141"/>
    <w:rsid w:val="00140177"/>
    <w:rsid w:val="0014017D"/>
    <w:rsid w:val="001401C0"/>
    <w:rsid w:val="001403D2"/>
    <w:rsid w:val="00140485"/>
    <w:rsid w:val="0014048C"/>
    <w:rsid w:val="00140637"/>
    <w:rsid w:val="001407B0"/>
    <w:rsid w:val="001407DA"/>
    <w:rsid w:val="00140807"/>
    <w:rsid w:val="001408D9"/>
    <w:rsid w:val="00140925"/>
    <w:rsid w:val="00140933"/>
    <w:rsid w:val="001409B5"/>
    <w:rsid w:val="00140A7C"/>
    <w:rsid w:val="00140AE0"/>
    <w:rsid w:val="00140B97"/>
    <w:rsid w:val="00140C7E"/>
    <w:rsid w:val="00140D4C"/>
    <w:rsid w:val="00140E67"/>
    <w:rsid w:val="00140F2A"/>
    <w:rsid w:val="0014103E"/>
    <w:rsid w:val="0014108A"/>
    <w:rsid w:val="00141232"/>
    <w:rsid w:val="0014129D"/>
    <w:rsid w:val="001413AF"/>
    <w:rsid w:val="001413FA"/>
    <w:rsid w:val="0014179C"/>
    <w:rsid w:val="001417AA"/>
    <w:rsid w:val="001417C7"/>
    <w:rsid w:val="00141807"/>
    <w:rsid w:val="00141ACC"/>
    <w:rsid w:val="00141B24"/>
    <w:rsid w:val="00141B73"/>
    <w:rsid w:val="00141C3A"/>
    <w:rsid w:val="00141CC3"/>
    <w:rsid w:val="00141D06"/>
    <w:rsid w:val="00141DF8"/>
    <w:rsid w:val="001420EB"/>
    <w:rsid w:val="00142122"/>
    <w:rsid w:val="00142197"/>
    <w:rsid w:val="00142272"/>
    <w:rsid w:val="001422A6"/>
    <w:rsid w:val="001422DB"/>
    <w:rsid w:val="0014235E"/>
    <w:rsid w:val="00142A76"/>
    <w:rsid w:val="00142B4D"/>
    <w:rsid w:val="00142BE3"/>
    <w:rsid w:val="00142D1F"/>
    <w:rsid w:val="00142DD9"/>
    <w:rsid w:val="00142E7D"/>
    <w:rsid w:val="00142E82"/>
    <w:rsid w:val="00142FAE"/>
    <w:rsid w:val="00142FD9"/>
    <w:rsid w:val="001430F2"/>
    <w:rsid w:val="00143123"/>
    <w:rsid w:val="0014313B"/>
    <w:rsid w:val="00143325"/>
    <w:rsid w:val="00143385"/>
    <w:rsid w:val="00143438"/>
    <w:rsid w:val="001434DD"/>
    <w:rsid w:val="00143507"/>
    <w:rsid w:val="00143525"/>
    <w:rsid w:val="001435B1"/>
    <w:rsid w:val="00143C26"/>
    <w:rsid w:val="00143D36"/>
    <w:rsid w:val="00143E1D"/>
    <w:rsid w:val="00143F99"/>
    <w:rsid w:val="001440D0"/>
    <w:rsid w:val="001444AE"/>
    <w:rsid w:val="0014453B"/>
    <w:rsid w:val="001445A1"/>
    <w:rsid w:val="001445BD"/>
    <w:rsid w:val="00144879"/>
    <w:rsid w:val="00144CF7"/>
    <w:rsid w:val="00144DEB"/>
    <w:rsid w:val="00144E0C"/>
    <w:rsid w:val="00144E1B"/>
    <w:rsid w:val="00144E3A"/>
    <w:rsid w:val="00144E4C"/>
    <w:rsid w:val="00144EBB"/>
    <w:rsid w:val="00144F4D"/>
    <w:rsid w:val="0014504C"/>
    <w:rsid w:val="001453BB"/>
    <w:rsid w:val="001453FD"/>
    <w:rsid w:val="001455C0"/>
    <w:rsid w:val="00145661"/>
    <w:rsid w:val="001457A5"/>
    <w:rsid w:val="001457DA"/>
    <w:rsid w:val="001458A8"/>
    <w:rsid w:val="00145CFF"/>
    <w:rsid w:val="00145FD0"/>
    <w:rsid w:val="001460FF"/>
    <w:rsid w:val="00146254"/>
    <w:rsid w:val="001462AF"/>
    <w:rsid w:val="001462DD"/>
    <w:rsid w:val="00146324"/>
    <w:rsid w:val="001465BB"/>
    <w:rsid w:val="00146618"/>
    <w:rsid w:val="001467CE"/>
    <w:rsid w:val="00146A02"/>
    <w:rsid w:val="00146D37"/>
    <w:rsid w:val="00146DCC"/>
    <w:rsid w:val="00146E45"/>
    <w:rsid w:val="00146E49"/>
    <w:rsid w:val="00146F38"/>
    <w:rsid w:val="00146FCB"/>
    <w:rsid w:val="00146FDC"/>
    <w:rsid w:val="00147042"/>
    <w:rsid w:val="001470F9"/>
    <w:rsid w:val="0014717F"/>
    <w:rsid w:val="00147231"/>
    <w:rsid w:val="001472F0"/>
    <w:rsid w:val="001472FB"/>
    <w:rsid w:val="00147427"/>
    <w:rsid w:val="00147474"/>
    <w:rsid w:val="0014748D"/>
    <w:rsid w:val="001475F8"/>
    <w:rsid w:val="00147696"/>
    <w:rsid w:val="0014772D"/>
    <w:rsid w:val="0014774A"/>
    <w:rsid w:val="001477AE"/>
    <w:rsid w:val="00147E4A"/>
    <w:rsid w:val="00147E69"/>
    <w:rsid w:val="00147F35"/>
    <w:rsid w:val="00150021"/>
    <w:rsid w:val="00150232"/>
    <w:rsid w:val="00150270"/>
    <w:rsid w:val="001505B1"/>
    <w:rsid w:val="0015071D"/>
    <w:rsid w:val="001508CD"/>
    <w:rsid w:val="00150AB1"/>
    <w:rsid w:val="00150BA6"/>
    <w:rsid w:val="00150C25"/>
    <w:rsid w:val="00150D9C"/>
    <w:rsid w:val="001510A3"/>
    <w:rsid w:val="00151252"/>
    <w:rsid w:val="001513BA"/>
    <w:rsid w:val="001514FB"/>
    <w:rsid w:val="001515D3"/>
    <w:rsid w:val="00151616"/>
    <w:rsid w:val="001516B7"/>
    <w:rsid w:val="00151917"/>
    <w:rsid w:val="001519EC"/>
    <w:rsid w:val="00151BBA"/>
    <w:rsid w:val="00151E57"/>
    <w:rsid w:val="00151F64"/>
    <w:rsid w:val="00151FC2"/>
    <w:rsid w:val="0015213B"/>
    <w:rsid w:val="0015219A"/>
    <w:rsid w:val="001521A3"/>
    <w:rsid w:val="0015232F"/>
    <w:rsid w:val="0015239E"/>
    <w:rsid w:val="001523AB"/>
    <w:rsid w:val="001523D5"/>
    <w:rsid w:val="0015256F"/>
    <w:rsid w:val="00152677"/>
    <w:rsid w:val="00152790"/>
    <w:rsid w:val="00152792"/>
    <w:rsid w:val="001527EE"/>
    <w:rsid w:val="00152819"/>
    <w:rsid w:val="00152941"/>
    <w:rsid w:val="001529FA"/>
    <w:rsid w:val="00152AA3"/>
    <w:rsid w:val="00152AF7"/>
    <w:rsid w:val="00152C9F"/>
    <w:rsid w:val="00152F94"/>
    <w:rsid w:val="001533D3"/>
    <w:rsid w:val="001535AB"/>
    <w:rsid w:val="001536C6"/>
    <w:rsid w:val="00153753"/>
    <w:rsid w:val="001537B2"/>
    <w:rsid w:val="001538BA"/>
    <w:rsid w:val="00153B43"/>
    <w:rsid w:val="00153BB2"/>
    <w:rsid w:val="00153C45"/>
    <w:rsid w:val="00153C8D"/>
    <w:rsid w:val="00153C93"/>
    <w:rsid w:val="00153F07"/>
    <w:rsid w:val="00153F96"/>
    <w:rsid w:val="00153FA7"/>
    <w:rsid w:val="00154079"/>
    <w:rsid w:val="00154238"/>
    <w:rsid w:val="001542A7"/>
    <w:rsid w:val="00154380"/>
    <w:rsid w:val="001544F6"/>
    <w:rsid w:val="0015464F"/>
    <w:rsid w:val="00154716"/>
    <w:rsid w:val="00154849"/>
    <w:rsid w:val="001549C5"/>
    <w:rsid w:val="001549F8"/>
    <w:rsid w:val="00154CB2"/>
    <w:rsid w:val="00154DD9"/>
    <w:rsid w:val="00154E07"/>
    <w:rsid w:val="00154E41"/>
    <w:rsid w:val="00154E78"/>
    <w:rsid w:val="00154F82"/>
    <w:rsid w:val="00155014"/>
    <w:rsid w:val="0015507F"/>
    <w:rsid w:val="00155103"/>
    <w:rsid w:val="00155113"/>
    <w:rsid w:val="00155133"/>
    <w:rsid w:val="00155195"/>
    <w:rsid w:val="001551CE"/>
    <w:rsid w:val="001553A0"/>
    <w:rsid w:val="00155515"/>
    <w:rsid w:val="001555F6"/>
    <w:rsid w:val="0015562A"/>
    <w:rsid w:val="00155663"/>
    <w:rsid w:val="00155795"/>
    <w:rsid w:val="001558B7"/>
    <w:rsid w:val="00155968"/>
    <w:rsid w:val="00155979"/>
    <w:rsid w:val="00155AE1"/>
    <w:rsid w:val="00155B89"/>
    <w:rsid w:val="00155BC8"/>
    <w:rsid w:val="00155BD0"/>
    <w:rsid w:val="00155E50"/>
    <w:rsid w:val="001560FC"/>
    <w:rsid w:val="00156321"/>
    <w:rsid w:val="00156339"/>
    <w:rsid w:val="00156373"/>
    <w:rsid w:val="001563E9"/>
    <w:rsid w:val="00156485"/>
    <w:rsid w:val="001565FA"/>
    <w:rsid w:val="001566C4"/>
    <w:rsid w:val="00156716"/>
    <w:rsid w:val="00156B1B"/>
    <w:rsid w:val="00156B6A"/>
    <w:rsid w:val="00156C7A"/>
    <w:rsid w:val="00156CC5"/>
    <w:rsid w:val="0015718C"/>
    <w:rsid w:val="0015721A"/>
    <w:rsid w:val="001572CB"/>
    <w:rsid w:val="0015732C"/>
    <w:rsid w:val="00157482"/>
    <w:rsid w:val="0015749E"/>
    <w:rsid w:val="001574E4"/>
    <w:rsid w:val="00157606"/>
    <w:rsid w:val="0015760B"/>
    <w:rsid w:val="001577F6"/>
    <w:rsid w:val="00157888"/>
    <w:rsid w:val="001578AD"/>
    <w:rsid w:val="001578B5"/>
    <w:rsid w:val="0015798B"/>
    <w:rsid w:val="00157A64"/>
    <w:rsid w:val="00157B55"/>
    <w:rsid w:val="00157B71"/>
    <w:rsid w:val="00157B94"/>
    <w:rsid w:val="00157C67"/>
    <w:rsid w:val="00157F0F"/>
    <w:rsid w:val="0016011B"/>
    <w:rsid w:val="001601FA"/>
    <w:rsid w:val="00160232"/>
    <w:rsid w:val="00160239"/>
    <w:rsid w:val="00160294"/>
    <w:rsid w:val="0016032C"/>
    <w:rsid w:val="001604C0"/>
    <w:rsid w:val="001604DB"/>
    <w:rsid w:val="001605C5"/>
    <w:rsid w:val="00160683"/>
    <w:rsid w:val="00160717"/>
    <w:rsid w:val="0016076C"/>
    <w:rsid w:val="00160846"/>
    <w:rsid w:val="00160952"/>
    <w:rsid w:val="0016097F"/>
    <w:rsid w:val="00160BC5"/>
    <w:rsid w:val="00160C2A"/>
    <w:rsid w:val="00160C30"/>
    <w:rsid w:val="00160D3A"/>
    <w:rsid w:val="00160D53"/>
    <w:rsid w:val="00160DC8"/>
    <w:rsid w:val="00160E2A"/>
    <w:rsid w:val="00160E5C"/>
    <w:rsid w:val="00161072"/>
    <w:rsid w:val="00161080"/>
    <w:rsid w:val="0016159C"/>
    <w:rsid w:val="00161736"/>
    <w:rsid w:val="0016185B"/>
    <w:rsid w:val="0016186A"/>
    <w:rsid w:val="00161DF0"/>
    <w:rsid w:val="00162071"/>
    <w:rsid w:val="001621BB"/>
    <w:rsid w:val="00162248"/>
    <w:rsid w:val="0016226D"/>
    <w:rsid w:val="001622EF"/>
    <w:rsid w:val="0016241F"/>
    <w:rsid w:val="00162450"/>
    <w:rsid w:val="00162473"/>
    <w:rsid w:val="0016247E"/>
    <w:rsid w:val="001624E3"/>
    <w:rsid w:val="0016253D"/>
    <w:rsid w:val="001625D1"/>
    <w:rsid w:val="00162699"/>
    <w:rsid w:val="00162959"/>
    <w:rsid w:val="00162965"/>
    <w:rsid w:val="00162A31"/>
    <w:rsid w:val="00162B36"/>
    <w:rsid w:val="00162B80"/>
    <w:rsid w:val="00162D93"/>
    <w:rsid w:val="00162DB5"/>
    <w:rsid w:val="00162EA3"/>
    <w:rsid w:val="00162F1B"/>
    <w:rsid w:val="00162F8C"/>
    <w:rsid w:val="00163133"/>
    <w:rsid w:val="00163140"/>
    <w:rsid w:val="001632E8"/>
    <w:rsid w:val="00163308"/>
    <w:rsid w:val="001636A4"/>
    <w:rsid w:val="001638DB"/>
    <w:rsid w:val="00163954"/>
    <w:rsid w:val="00163960"/>
    <w:rsid w:val="0016397C"/>
    <w:rsid w:val="001639FF"/>
    <w:rsid w:val="00163A47"/>
    <w:rsid w:val="00163B29"/>
    <w:rsid w:val="00163BA0"/>
    <w:rsid w:val="00163C5D"/>
    <w:rsid w:val="00163C72"/>
    <w:rsid w:val="00163F0B"/>
    <w:rsid w:val="001640F8"/>
    <w:rsid w:val="00164155"/>
    <w:rsid w:val="00164293"/>
    <w:rsid w:val="0016436F"/>
    <w:rsid w:val="001643DF"/>
    <w:rsid w:val="00164498"/>
    <w:rsid w:val="001644AE"/>
    <w:rsid w:val="001644EB"/>
    <w:rsid w:val="00164503"/>
    <w:rsid w:val="0016454D"/>
    <w:rsid w:val="0016468A"/>
    <w:rsid w:val="001646C4"/>
    <w:rsid w:val="001646E2"/>
    <w:rsid w:val="001646E5"/>
    <w:rsid w:val="001646ED"/>
    <w:rsid w:val="00164764"/>
    <w:rsid w:val="00164846"/>
    <w:rsid w:val="00164853"/>
    <w:rsid w:val="00164909"/>
    <w:rsid w:val="00164949"/>
    <w:rsid w:val="0016495F"/>
    <w:rsid w:val="00164A89"/>
    <w:rsid w:val="00164C60"/>
    <w:rsid w:val="00164D03"/>
    <w:rsid w:val="00164E14"/>
    <w:rsid w:val="00164E19"/>
    <w:rsid w:val="00164E94"/>
    <w:rsid w:val="00165020"/>
    <w:rsid w:val="00165236"/>
    <w:rsid w:val="0016528B"/>
    <w:rsid w:val="0016530D"/>
    <w:rsid w:val="00165423"/>
    <w:rsid w:val="001654DD"/>
    <w:rsid w:val="00165525"/>
    <w:rsid w:val="00165591"/>
    <w:rsid w:val="00165602"/>
    <w:rsid w:val="001656C5"/>
    <w:rsid w:val="00165806"/>
    <w:rsid w:val="0016588A"/>
    <w:rsid w:val="0016598D"/>
    <w:rsid w:val="001659CB"/>
    <w:rsid w:val="00165A3A"/>
    <w:rsid w:val="00165AF8"/>
    <w:rsid w:val="00165B65"/>
    <w:rsid w:val="00165BD3"/>
    <w:rsid w:val="00165C01"/>
    <w:rsid w:val="00165C7C"/>
    <w:rsid w:val="00165C8A"/>
    <w:rsid w:val="00165D85"/>
    <w:rsid w:val="00165DCC"/>
    <w:rsid w:val="00165E4A"/>
    <w:rsid w:val="00165FA0"/>
    <w:rsid w:val="00166274"/>
    <w:rsid w:val="001662C7"/>
    <w:rsid w:val="001662ED"/>
    <w:rsid w:val="0016630C"/>
    <w:rsid w:val="00166667"/>
    <w:rsid w:val="0016669E"/>
    <w:rsid w:val="001666A5"/>
    <w:rsid w:val="00166746"/>
    <w:rsid w:val="00166A15"/>
    <w:rsid w:val="00166AB4"/>
    <w:rsid w:val="00166B5A"/>
    <w:rsid w:val="00166B86"/>
    <w:rsid w:val="00166BD0"/>
    <w:rsid w:val="00166C58"/>
    <w:rsid w:val="00166C5A"/>
    <w:rsid w:val="00166EC5"/>
    <w:rsid w:val="00166F16"/>
    <w:rsid w:val="001670FA"/>
    <w:rsid w:val="001670FF"/>
    <w:rsid w:val="00167228"/>
    <w:rsid w:val="0016722F"/>
    <w:rsid w:val="0016737A"/>
    <w:rsid w:val="00167471"/>
    <w:rsid w:val="001675E8"/>
    <w:rsid w:val="001676D5"/>
    <w:rsid w:val="001678A5"/>
    <w:rsid w:val="001678E3"/>
    <w:rsid w:val="001679F3"/>
    <w:rsid w:val="00167A7F"/>
    <w:rsid w:val="00167B53"/>
    <w:rsid w:val="00167B74"/>
    <w:rsid w:val="00167C47"/>
    <w:rsid w:val="00167CBE"/>
    <w:rsid w:val="00167D15"/>
    <w:rsid w:val="00167E50"/>
    <w:rsid w:val="00170129"/>
    <w:rsid w:val="0017019C"/>
    <w:rsid w:val="0017019D"/>
    <w:rsid w:val="001701EA"/>
    <w:rsid w:val="0017032D"/>
    <w:rsid w:val="00170356"/>
    <w:rsid w:val="0017041E"/>
    <w:rsid w:val="00170536"/>
    <w:rsid w:val="0017070C"/>
    <w:rsid w:val="001709A7"/>
    <w:rsid w:val="00170A2D"/>
    <w:rsid w:val="00170AFB"/>
    <w:rsid w:val="00170C78"/>
    <w:rsid w:val="00170C87"/>
    <w:rsid w:val="00170CA0"/>
    <w:rsid w:val="00170D3C"/>
    <w:rsid w:val="00170E8D"/>
    <w:rsid w:val="00170E8F"/>
    <w:rsid w:val="00170FA7"/>
    <w:rsid w:val="00170FB2"/>
    <w:rsid w:val="001710E1"/>
    <w:rsid w:val="001711B1"/>
    <w:rsid w:val="001711B9"/>
    <w:rsid w:val="001711C1"/>
    <w:rsid w:val="0017125C"/>
    <w:rsid w:val="00171306"/>
    <w:rsid w:val="0017135D"/>
    <w:rsid w:val="0017168B"/>
    <w:rsid w:val="0017180D"/>
    <w:rsid w:val="00171C18"/>
    <w:rsid w:val="00171C21"/>
    <w:rsid w:val="00171D27"/>
    <w:rsid w:val="00171D64"/>
    <w:rsid w:val="00171E2D"/>
    <w:rsid w:val="00171EBE"/>
    <w:rsid w:val="00172226"/>
    <w:rsid w:val="00172240"/>
    <w:rsid w:val="00172264"/>
    <w:rsid w:val="001722FF"/>
    <w:rsid w:val="00172500"/>
    <w:rsid w:val="00172550"/>
    <w:rsid w:val="0017277D"/>
    <w:rsid w:val="0017286A"/>
    <w:rsid w:val="0017299A"/>
    <w:rsid w:val="00172BDF"/>
    <w:rsid w:val="00172C52"/>
    <w:rsid w:val="00172D20"/>
    <w:rsid w:val="00172E2F"/>
    <w:rsid w:val="00172ECD"/>
    <w:rsid w:val="00173011"/>
    <w:rsid w:val="001730EE"/>
    <w:rsid w:val="00173121"/>
    <w:rsid w:val="00173296"/>
    <w:rsid w:val="001735E1"/>
    <w:rsid w:val="001736AD"/>
    <w:rsid w:val="001737C1"/>
    <w:rsid w:val="0017392F"/>
    <w:rsid w:val="00173CF1"/>
    <w:rsid w:val="00173E02"/>
    <w:rsid w:val="00173EA5"/>
    <w:rsid w:val="00173FCB"/>
    <w:rsid w:val="0017421E"/>
    <w:rsid w:val="00174283"/>
    <w:rsid w:val="00174412"/>
    <w:rsid w:val="001745DC"/>
    <w:rsid w:val="00174646"/>
    <w:rsid w:val="001746F0"/>
    <w:rsid w:val="0017488F"/>
    <w:rsid w:val="00174974"/>
    <w:rsid w:val="00174B95"/>
    <w:rsid w:val="00174C75"/>
    <w:rsid w:val="001750A1"/>
    <w:rsid w:val="001750BD"/>
    <w:rsid w:val="00175110"/>
    <w:rsid w:val="001751CD"/>
    <w:rsid w:val="00175465"/>
    <w:rsid w:val="001755AD"/>
    <w:rsid w:val="0017560A"/>
    <w:rsid w:val="00175633"/>
    <w:rsid w:val="0017566A"/>
    <w:rsid w:val="0017569E"/>
    <w:rsid w:val="00175775"/>
    <w:rsid w:val="00175781"/>
    <w:rsid w:val="00175952"/>
    <w:rsid w:val="00175C27"/>
    <w:rsid w:val="00175CEB"/>
    <w:rsid w:val="00175CF2"/>
    <w:rsid w:val="00175D71"/>
    <w:rsid w:val="00175D8F"/>
    <w:rsid w:val="00175E0A"/>
    <w:rsid w:val="00175E3F"/>
    <w:rsid w:val="00175F1D"/>
    <w:rsid w:val="00175FAA"/>
    <w:rsid w:val="0017604D"/>
    <w:rsid w:val="00176053"/>
    <w:rsid w:val="001760C8"/>
    <w:rsid w:val="001761A1"/>
    <w:rsid w:val="00176276"/>
    <w:rsid w:val="00176296"/>
    <w:rsid w:val="00176541"/>
    <w:rsid w:val="0017664B"/>
    <w:rsid w:val="00176903"/>
    <w:rsid w:val="001769B8"/>
    <w:rsid w:val="00176ABB"/>
    <w:rsid w:val="00176C76"/>
    <w:rsid w:val="00176CC2"/>
    <w:rsid w:val="00176DB8"/>
    <w:rsid w:val="00176DCB"/>
    <w:rsid w:val="00177056"/>
    <w:rsid w:val="0017717C"/>
    <w:rsid w:val="001771A3"/>
    <w:rsid w:val="00177333"/>
    <w:rsid w:val="00177465"/>
    <w:rsid w:val="0017764D"/>
    <w:rsid w:val="001778E0"/>
    <w:rsid w:val="0017799F"/>
    <w:rsid w:val="001779E5"/>
    <w:rsid w:val="00177A8A"/>
    <w:rsid w:val="00177BA5"/>
    <w:rsid w:val="00177E2C"/>
    <w:rsid w:val="00177EAD"/>
    <w:rsid w:val="00177FEE"/>
    <w:rsid w:val="00180064"/>
    <w:rsid w:val="00180085"/>
    <w:rsid w:val="001800C1"/>
    <w:rsid w:val="0018029D"/>
    <w:rsid w:val="001802AA"/>
    <w:rsid w:val="0018053B"/>
    <w:rsid w:val="00180666"/>
    <w:rsid w:val="001806BC"/>
    <w:rsid w:val="001806CB"/>
    <w:rsid w:val="001807A8"/>
    <w:rsid w:val="0018085F"/>
    <w:rsid w:val="0018089B"/>
    <w:rsid w:val="001809B7"/>
    <w:rsid w:val="00180A06"/>
    <w:rsid w:val="00180A93"/>
    <w:rsid w:val="00180AE6"/>
    <w:rsid w:val="00180C8D"/>
    <w:rsid w:val="00180D36"/>
    <w:rsid w:val="00180D51"/>
    <w:rsid w:val="00180D8C"/>
    <w:rsid w:val="00180DA7"/>
    <w:rsid w:val="00180E0A"/>
    <w:rsid w:val="00181136"/>
    <w:rsid w:val="0018119D"/>
    <w:rsid w:val="00181282"/>
    <w:rsid w:val="001812E6"/>
    <w:rsid w:val="0018133B"/>
    <w:rsid w:val="001814BB"/>
    <w:rsid w:val="001815BD"/>
    <w:rsid w:val="001818BB"/>
    <w:rsid w:val="0018198D"/>
    <w:rsid w:val="00181BD3"/>
    <w:rsid w:val="00181BEA"/>
    <w:rsid w:val="00181CEA"/>
    <w:rsid w:val="00181D69"/>
    <w:rsid w:val="00181DDD"/>
    <w:rsid w:val="00181E84"/>
    <w:rsid w:val="00181E88"/>
    <w:rsid w:val="00181EDB"/>
    <w:rsid w:val="00181F69"/>
    <w:rsid w:val="00182305"/>
    <w:rsid w:val="00182646"/>
    <w:rsid w:val="001826D4"/>
    <w:rsid w:val="00182719"/>
    <w:rsid w:val="001827A3"/>
    <w:rsid w:val="001828D1"/>
    <w:rsid w:val="00182975"/>
    <w:rsid w:val="00182D23"/>
    <w:rsid w:val="00182DA1"/>
    <w:rsid w:val="00182EFA"/>
    <w:rsid w:val="00182F0F"/>
    <w:rsid w:val="00182FC2"/>
    <w:rsid w:val="00183031"/>
    <w:rsid w:val="00183051"/>
    <w:rsid w:val="001831C7"/>
    <w:rsid w:val="00183431"/>
    <w:rsid w:val="001835E7"/>
    <w:rsid w:val="00183688"/>
    <w:rsid w:val="00183692"/>
    <w:rsid w:val="001837AB"/>
    <w:rsid w:val="001837B5"/>
    <w:rsid w:val="001837CA"/>
    <w:rsid w:val="001837EC"/>
    <w:rsid w:val="00183911"/>
    <w:rsid w:val="001839BD"/>
    <w:rsid w:val="00183A92"/>
    <w:rsid w:val="00183B9F"/>
    <w:rsid w:val="00183D24"/>
    <w:rsid w:val="00183DF4"/>
    <w:rsid w:val="00183EFA"/>
    <w:rsid w:val="00183F1A"/>
    <w:rsid w:val="00183F2B"/>
    <w:rsid w:val="00183F7F"/>
    <w:rsid w:val="0018424E"/>
    <w:rsid w:val="0018424F"/>
    <w:rsid w:val="00184304"/>
    <w:rsid w:val="0018442B"/>
    <w:rsid w:val="00184451"/>
    <w:rsid w:val="0018448B"/>
    <w:rsid w:val="001844EF"/>
    <w:rsid w:val="00184501"/>
    <w:rsid w:val="0018452A"/>
    <w:rsid w:val="0018487F"/>
    <w:rsid w:val="00184988"/>
    <w:rsid w:val="00184D54"/>
    <w:rsid w:val="00184D62"/>
    <w:rsid w:val="00184DCC"/>
    <w:rsid w:val="00184E1D"/>
    <w:rsid w:val="00184EEF"/>
    <w:rsid w:val="00184EF9"/>
    <w:rsid w:val="001850B2"/>
    <w:rsid w:val="0018514A"/>
    <w:rsid w:val="00185179"/>
    <w:rsid w:val="001851CD"/>
    <w:rsid w:val="00185212"/>
    <w:rsid w:val="0018522C"/>
    <w:rsid w:val="0018525D"/>
    <w:rsid w:val="001852E9"/>
    <w:rsid w:val="00185311"/>
    <w:rsid w:val="0018533B"/>
    <w:rsid w:val="0018542C"/>
    <w:rsid w:val="001855C5"/>
    <w:rsid w:val="0018564B"/>
    <w:rsid w:val="001856F0"/>
    <w:rsid w:val="001858F0"/>
    <w:rsid w:val="00185991"/>
    <w:rsid w:val="00185BEB"/>
    <w:rsid w:val="00185E31"/>
    <w:rsid w:val="00185E5B"/>
    <w:rsid w:val="00185F22"/>
    <w:rsid w:val="00185F2B"/>
    <w:rsid w:val="001860CE"/>
    <w:rsid w:val="001860F3"/>
    <w:rsid w:val="00186587"/>
    <w:rsid w:val="001865C0"/>
    <w:rsid w:val="00186837"/>
    <w:rsid w:val="00186AC7"/>
    <w:rsid w:val="00186AEE"/>
    <w:rsid w:val="00186C0E"/>
    <w:rsid w:val="00186D48"/>
    <w:rsid w:val="00186E32"/>
    <w:rsid w:val="0018703A"/>
    <w:rsid w:val="00187137"/>
    <w:rsid w:val="001874F2"/>
    <w:rsid w:val="0018757F"/>
    <w:rsid w:val="00187584"/>
    <w:rsid w:val="001875AB"/>
    <w:rsid w:val="001878E8"/>
    <w:rsid w:val="00187929"/>
    <w:rsid w:val="00187999"/>
    <w:rsid w:val="00187BFD"/>
    <w:rsid w:val="00187DC5"/>
    <w:rsid w:val="00187E6A"/>
    <w:rsid w:val="00187EEF"/>
    <w:rsid w:val="00187F8C"/>
    <w:rsid w:val="00190136"/>
    <w:rsid w:val="00190198"/>
    <w:rsid w:val="0019023E"/>
    <w:rsid w:val="00190298"/>
    <w:rsid w:val="001902C8"/>
    <w:rsid w:val="001903C8"/>
    <w:rsid w:val="001904A3"/>
    <w:rsid w:val="00190572"/>
    <w:rsid w:val="001905A6"/>
    <w:rsid w:val="001905D5"/>
    <w:rsid w:val="001905E7"/>
    <w:rsid w:val="00190637"/>
    <w:rsid w:val="001906C9"/>
    <w:rsid w:val="001906E4"/>
    <w:rsid w:val="00190761"/>
    <w:rsid w:val="00190C5F"/>
    <w:rsid w:val="00190CA5"/>
    <w:rsid w:val="00190D11"/>
    <w:rsid w:val="00190EE3"/>
    <w:rsid w:val="00190FC5"/>
    <w:rsid w:val="00191096"/>
    <w:rsid w:val="0019116D"/>
    <w:rsid w:val="001911CA"/>
    <w:rsid w:val="00191427"/>
    <w:rsid w:val="0019158C"/>
    <w:rsid w:val="00191777"/>
    <w:rsid w:val="00191792"/>
    <w:rsid w:val="00191BED"/>
    <w:rsid w:val="00191F0A"/>
    <w:rsid w:val="00191FB4"/>
    <w:rsid w:val="00192063"/>
    <w:rsid w:val="00192073"/>
    <w:rsid w:val="001920F3"/>
    <w:rsid w:val="001921BF"/>
    <w:rsid w:val="001922C9"/>
    <w:rsid w:val="0019240B"/>
    <w:rsid w:val="0019246C"/>
    <w:rsid w:val="001924F1"/>
    <w:rsid w:val="001925C3"/>
    <w:rsid w:val="00192617"/>
    <w:rsid w:val="00192796"/>
    <w:rsid w:val="001927EF"/>
    <w:rsid w:val="001928C1"/>
    <w:rsid w:val="001928EF"/>
    <w:rsid w:val="001929C5"/>
    <w:rsid w:val="001929DB"/>
    <w:rsid w:val="00192C86"/>
    <w:rsid w:val="00192D7D"/>
    <w:rsid w:val="0019304E"/>
    <w:rsid w:val="0019306C"/>
    <w:rsid w:val="001930D3"/>
    <w:rsid w:val="00193158"/>
    <w:rsid w:val="00193388"/>
    <w:rsid w:val="001933E1"/>
    <w:rsid w:val="0019352B"/>
    <w:rsid w:val="0019366C"/>
    <w:rsid w:val="0019378A"/>
    <w:rsid w:val="00193960"/>
    <w:rsid w:val="00193A38"/>
    <w:rsid w:val="00193AF1"/>
    <w:rsid w:val="00193BA1"/>
    <w:rsid w:val="00193D04"/>
    <w:rsid w:val="00193D48"/>
    <w:rsid w:val="00193DC4"/>
    <w:rsid w:val="00193E6A"/>
    <w:rsid w:val="00193ED8"/>
    <w:rsid w:val="0019430D"/>
    <w:rsid w:val="001943B8"/>
    <w:rsid w:val="00194418"/>
    <w:rsid w:val="0019444D"/>
    <w:rsid w:val="0019448A"/>
    <w:rsid w:val="001945C6"/>
    <w:rsid w:val="00194638"/>
    <w:rsid w:val="00194995"/>
    <w:rsid w:val="001949C7"/>
    <w:rsid w:val="00194A2A"/>
    <w:rsid w:val="00194C5D"/>
    <w:rsid w:val="00194D97"/>
    <w:rsid w:val="00194E5F"/>
    <w:rsid w:val="00194EF0"/>
    <w:rsid w:val="00194FDB"/>
    <w:rsid w:val="00195484"/>
    <w:rsid w:val="00195517"/>
    <w:rsid w:val="00195632"/>
    <w:rsid w:val="001956D8"/>
    <w:rsid w:val="00195726"/>
    <w:rsid w:val="0019576D"/>
    <w:rsid w:val="001957C2"/>
    <w:rsid w:val="0019581F"/>
    <w:rsid w:val="00195A08"/>
    <w:rsid w:val="00195D01"/>
    <w:rsid w:val="00195F33"/>
    <w:rsid w:val="00196160"/>
    <w:rsid w:val="00196166"/>
    <w:rsid w:val="0019628F"/>
    <w:rsid w:val="00196594"/>
    <w:rsid w:val="001965F4"/>
    <w:rsid w:val="001966CD"/>
    <w:rsid w:val="001966E7"/>
    <w:rsid w:val="00196912"/>
    <w:rsid w:val="0019696B"/>
    <w:rsid w:val="001969FA"/>
    <w:rsid w:val="00196A36"/>
    <w:rsid w:val="00196A38"/>
    <w:rsid w:val="00196AF4"/>
    <w:rsid w:val="00196AF9"/>
    <w:rsid w:val="00196BAB"/>
    <w:rsid w:val="00196C99"/>
    <w:rsid w:val="00196DF3"/>
    <w:rsid w:val="0019706D"/>
    <w:rsid w:val="0019729B"/>
    <w:rsid w:val="001972A4"/>
    <w:rsid w:val="001973DC"/>
    <w:rsid w:val="00197613"/>
    <w:rsid w:val="001976BB"/>
    <w:rsid w:val="001976FC"/>
    <w:rsid w:val="00197717"/>
    <w:rsid w:val="0019771B"/>
    <w:rsid w:val="00197778"/>
    <w:rsid w:val="001977DE"/>
    <w:rsid w:val="00197817"/>
    <w:rsid w:val="00197892"/>
    <w:rsid w:val="00197AD8"/>
    <w:rsid w:val="00197B0B"/>
    <w:rsid w:val="00197B29"/>
    <w:rsid w:val="00197C00"/>
    <w:rsid w:val="00197C6A"/>
    <w:rsid w:val="00197C7A"/>
    <w:rsid w:val="00197C81"/>
    <w:rsid w:val="00197CCC"/>
    <w:rsid w:val="00197D06"/>
    <w:rsid w:val="001A0046"/>
    <w:rsid w:val="001A005A"/>
    <w:rsid w:val="001A00F5"/>
    <w:rsid w:val="001A0148"/>
    <w:rsid w:val="001A01AC"/>
    <w:rsid w:val="001A03BA"/>
    <w:rsid w:val="001A0641"/>
    <w:rsid w:val="001A0862"/>
    <w:rsid w:val="001A0880"/>
    <w:rsid w:val="001A08BB"/>
    <w:rsid w:val="001A0A57"/>
    <w:rsid w:val="001A0E68"/>
    <w:rsid w:val="001A0FAB"/>
    <w:rsid w:val="001A107E"/>
    <w:rsid w:val="001A111F"/>
    <w:rsid w:val="001A1125"/>
    <w:rsid w:val="001A15A5"/>
    <w:rsid w:val="001A1601"/>
    <w:rsid w:val="001A171C"/>
    <w:rsid w:val="001A18E8"/>
    <w:rsid w:val="001A19DA"/>
    <w:rsid w:val="001A1A04"/>
    <w:rsid w:val="001A1A5B"/>
    <w:rsid w:val="001A1C00"/>
    <w:rsid w:val="001A1C13"/>
    <w:rsid w:val="001A1C65"/>
    <w:rsid w:val="001A1D2F"/>
    <w:rsid w:val="001A1F30"/>
    <w:rsid w:val="001A20C7"/>
    <w:rsid w:val="001A22DA"/>
    <w:rsid w:val="001A260D"/>
    <w:rsid w:val="001A271A"/>
    <w:rsid w:val="001A28BF"/>
    <w:rsid w:val="001A294B"/>
    <w:rsid w:val="001A2973"/>
    <w:rsid w:val="001A2A47"/>
    <w:rsid w:val="001A2A4D"/>
    <w:rsid w:val="001A2A6B"/>
    <w:rsid w:val="001A2B0C"/>
    <w:rsid w:val="001A2BEF"/>
    <w:rsid w:val="001A2C45"/>
    <w:rsid w:val="001A2D06"/>
    <w:rsid w:val="001A2DCA"/>
    <w:rsid w:val="001A3019"/>
    <w:rsid w:val="001A3091"/>
    <w:rsid w:val="001A314F"/>
    <w:rsid w:val="001A31A6"/>
    <w:rsid w:val="001A328D"/>
    <w:rsid w:val="001A3436"/>
    <w:rsid w:val="001A34B6"/>
    <w:rsid w:val="001A35FD"/>
    <w:rsid w:val="001A36CF"/>
    <w:rsid w:val="001A370D"/>
    <w:rsid w:val="001A3877"/>
    <w:rsid w:val="001A38A4"/>
    <w:rsid w:val="001A3A19"/>
    <w:rsid w:val="001A3B53"/>
    <w:rsid w:val="001A3E69"/>
    <w:rsid w:val="001A3EE6"/>
    <w:rsid w:val="001A3EFF"/>
    <w:rsid w:val="001A3F38"/>
    <w:rsid w:val="001A3FD5"/>
    <w:rsid w:val="001A405B"/>
    <w:rsid w:val="001A40CE"/>
    <w:rsid w:val="001A416A"/>
    <w:rsid w:val="001A41C4"/>
    <w:rsid w:val="001A41F1"/>
    <w:rsid w:val="001A420D"/>
    <w:rsid w:val="001A432C"/>
    <w:rsid w:val="001A48F3"/>
    <w:rsid w:val="001A4BE3"/>
    <w:rsid w:val="001A4C34"/>
    <w:rsid w:val="001A4C93"/>
    <w:rsid w:val="001A4E16"/>
    <w:rsid w:val="001A4E38"/>
    <w:rsid w:val="001A4E4C"/>
    <w:rsid w:val="001A516D"/>
    <w:rsid w:val="001A51B8"/>
    <w:rsid w:val="001A51E1"/>
    <w:rsid w:val="001A5268"/>
    <w:rsid w:val="001A52D8"/>
    <w:rsid w:val="001A5516"/>
    <w:rsid w:val="001A5535"/>
    <w:rsid w:val="001A5598"/>
    <w:rsid w:val="001A5640"/>
    <w:rsid w:val="001A56F9"/>
    <w:rsid w:val="001A5A34"/>
    <w:rsid w:val="001A5AEC"/>
    <w:rsid w:val="001A5BBB"/>
    <w:rsid w:val="001A5BE1"/>
    <w:rsid w:val="001A5BEF"/>
    <w:rsid w:val="001A5E28"/>
    <w:rsid w:val="001A6061"/>
    <w:rsid w:val="001A609A"/>
    <w:rsid w:val="001A613B"/>
    <w:rsid w:val="001A6187"/>
    <w:rsid w:val="001A61C5"/>
    <w:rsid w:val="001A62C2"/>
    <w:rsid w:val="001A62E9"/>
    <w:rsid w:val="001A6314"/>
    <w:rsid w:val="001A653A"/>
    <w:rsid w:val="001A67EF"/>
    <w:rsid w:val="001A687C"/>
    <w:rsid w:val="001A68BA"/>
    <w:rsid w:val="001A6929"/>
    <w:rsid w:val="001A6970"/>
    <w:rsid w:val="001A697C"/>
    <w:rsid w:val="001A69C7"/>
    <w:rsid w:val="001A69DC"/>
    <w:rsid w:val="001A69F6"/>
    <w:rsid w:val="001A6A88"/>
    <w:rsid w:val="001A6B2A"/>
    <w:rsid w:val="001A6C48"/>
    <w:rsid w:val="001A6D86"/>
    <w:rsid w:val="001A6EFE"/>
    <w:rsid w:val="001A6F2F"/>
    <w:rsid w:val="001A70DF"/>
    <w:rsid w:val="001A7142"/>
    <w:rsid w:val="001A714A"/>
    <w:rsid w:val="001A71A2"/>
    <w:rsid w:val="001A7231"/>
    <w:rsid w:val="001A7292"/>
    <w:rsid w:val="001A751F"/>
    <w:rsid w:val="001A759C"/>
    <w:rsid w:val="001A75C3"/>
    <w:rsid w:val="001A761E"/>
    <w:rsid w:val="001A76AD"/>
    <w:rsid w:val="001A7830"/>
    <w:rsid w:val="001A7A21"/>
    <w:rsid w:val="001A7A45"/>
    <w:rsid w:val="001A7B74"/>
    <w:rsid w:val="001A7BE0"/>
    <w:rsid w:val="001A7BF1"/>
    <w:rsid w:val="001A7C53"/>
    <w:rsid w:val="001A7DAA"/>
    <w:rsid w:val="001A7DF9"/>
    <w:rsid w:val="001A7E19"/>
    <w:rsid w:val="001A7E6C"/>
    <w:rsid w:val="001A7F73"/>
    <w:rsid w:val="001B0089"/>
    <w:rsid w:val="001B00C9"/>
    <w:rsid w:val="001B0284"/>
    <w:rsid w:val="001B04F3"/>
    <w:rsid w:val="001B05FB"/>
    <w:rsid w:val="001B077B"/>
    <w:rsid w:val="001B0946"/>
    <w:rsid w:val="001B0B85"/>
    <w:rsid w:val="001B0CBF"/>
    <w:rsid w:val="001B0D7E"/>
    <w:rsid w:val="001B0EBD"/>
    <w:rsid w:val="001B10A1"/>
    <w:rsid w:val="001B10B2"/>
    <w:rsid w:val="001B133A"/>
    <w:rsid w:val="001B1427"/>
    <w:rsid w:val="001B152F"/>
    <w:rsid w:val="001B183A"/>
    <w:rsid w:val="001B1969"/>
    <w:rsid w:val="001B19B8"/>
    <w:rsid w:val="001B1B60"/>
    <w:rsid w:val="001B1BA5"/>
    <w:rsid w:val="001B1C98"/>
    <w:rsid w:val="001B1CA4"/>
    <w:rsid w:val="001B1D31"/>
    <w:rsid w:val="001B21A1"/>
    <w:rsid w:val="001B21F1"/>
    <w:rsid w:val="001B23ED"/>
    <w:rsid w:val="001B258B"/>
    <w:rsid w:val="001B2599"/>
    <w:rsid w:val="001B25A9"/>
    <w:rsid w:val="001B2600"/>
    <w:rsid w:val="001B269B"/>
    <w:rsid w:val="001B27C4"/>
    <w:rsid w:val="001B280E"/>
    <w:rsid w:val="001B2879"/>
    <w:rsid w:val="001B2895"/>
    <w:rsid w:val="001B2B1C"/>
    <w:rsid w:val="001B2C7F"/>
    <w:rsid w:val="001B2DB9"/>
    <w:rsid w:val="001B2E1F"/>
    <w:rsid w:val="001B2F04"/>
    <w:rsid w:val="001B2F28"/>
    <w:rsid w:val="001B2FF6"/>
    <w:rsid w:val="001B31B9"/>
    <w:rsid w:val="001B346F"/>
    <w:rsid w:val="001B35A9"/>
    <w:rsid w:val="001B35EA"/>
    <w:rsid w:val="001B36BA"/>
    <w:rsid w:val="001B3722"/>
    <w:rsid w:val="001B37E8"/>
    <w:rsid w:val="001B37F4"/>
    <w:rsid w:val="001B3882"/>
    <w:rsid w:val="001B3A20"/>
    <w:rsid w:val="001B3C8E"/>
    <w:rsid w:val="001B3DAC"/>
    <w:rsid w:val="001B3DFD"/>
    <w:rsid w:val="001B3E17"/>
    <w:rsid w:val="001B401E"/>
    <w:rsid w:val="001B402B"/>
    <w:rsid w:val="001B4262"/>
    <w:rsid w:val="001B43CE"/>
    <w:rsid w:val="001B4460"/>
    <w:rsid w:val="001B446E"/>
    <w:rsid w:val="001B45B7"/>
    <w:rsid w:val="001B4647"/>
    <w:rsid w:val="001B493B"/>
    <w:rsid w:val="001B4AD6"/>
    <w:rsid w:val="001B4BA1"/>
    <w:rsid w:val="001B4E3A"/>
    <w:rsid w:val="001B4EAD"/>
    <w:rsid w:val="001B4F22"/>
    <w:rsid w:val="001B5080"/>
    <w:rsid w:val="001B5224"/>
    <w:rsid w:val="001B5260"/>
    <w:rsid w:val="001B52E1"/>
    <w:rsid w:val="001B5414"/>
    <w:rsid w:val="001B5522"/>
    <w:rsid w:val="001B5583"/>
    <w:rsid w:val="001B5723"/>
    <w:rsid w:val="001B5762"/>
    <w:rsid w:val="001B5927"/>
    <w:rsid w:val="001B5B59"/>
    <w:rsid w:val="001B5C40"/>
    <w:rsid w:val="001B5C55"/>
    <w:rsid w:val="001B5D4D"/>
    <w:rsid w:val="001B5E4A"/>
    <w:rsid w:val="001B6015"/>
    <w:rsid w:val="001B60DF"/>
    <w:rsid w:val="001B6250"/>
    <w:rsid w:val="001B6252"/>
    <w:rsid w:val="001B63F6"/>
    <w:rsid w:val="001B653D"/>
    <w:rsid w:val="001B6605"/>
    <w:rsid w:val="001B670C"/>
    <w:rsid w:val="001B673E"/>
    <w:rsid w:val="001B6961"/>
    <w:rsid w:val="001B69E3"/>
    <w:rsid w:val="001B6ACF"/>
    <w:rsid w:val="001B6B4B"/>
    <w:rsid w:val="001B6BB2"/>
    <w:rsid w:val="001B6C52"/>
    <w:rsid w:val="001B6C53"/>
    <w:rsid w:val="001B6C68"/>
    <w:rsid w:val="001B6CF3"/>
    <w:rsid w:val="001B6D23"/>
    <w:rsid w:val="001B6E25"/>
    <w:rsid w:val="001B6EE8"/>
    <w:rsid w:val="001B6F74"/>
    <w:rsid w:val="001B6F84"/>
    <w:rsid w:val="001B6FB8"/>
    <w:rsid w:val="001B70E9"/>
    <w:rsid w:val="001B7153"/>
    <w:rsid w:val="001B716D"/>
    <w:rsid w:val="001B722F"/>
    <w:rsid w:val="001B74D2"/>
    <w:rsid w:val="001B754F"/>
    <w:rsid w:val="001B7671"/>
    <w:rsid w:val="001B7966"/>
    <w:rsid w:val="001B7981"/>
    <w:rsid w:val="001B79DE"/>
    <w:rsid w:val="001B7BE8"/>
    <w:rsid w:val="001B7CD8"/>
    <w:rsid w:val="001B7DB0"/>
    <w:rsid w:val="001C021B"/>
    <w:rsid w:val="001C0339"/>
    <w:rsid w:val="001C059B"/>
    <w:rsid w:val="001C066C"/>
    <w:rsid w:val="001C072D"/>
    <w:rsid w:val="001C0730"/>
    <w:rsid w:val="001C07A2"/>
    <w:rsid w:val="001C07F7"/>
    <w:rsid w:val="001C09AD"/>
    <w:rsid w:val="001C0A16"/>
    <w:rsid w:val="001C0C12"/>
    <w:rsid w:val="001C0F99"/>
    <w:rsid w:val="001C10AC"/>
    <w:rsid w:val="001C11CD"/>
    <w:rsid w:val="001C1455"/>
    <w:rsid w:val="001C1742"/>
    <w:rsid w:val="001C1755"/>
    <w:rsid w:val="001C17BE"/>
    <w:rsid w:val="001C1842"/>
    <w:rsid w:val="001C18C3"/>
    <w:rsid w:val="001C1B85"/>
    <w:rsid w:val="001C1CC8"/>
    <w:rsid w:val="001C1CE3"/>
    <w:rsid w:val="001C1E25"/>
    <w:rsid w:val="001C207E"/>
    <w:rsid w:val="001C20C4"/>
    <w:rsid w:val="001C2276"/>
    <w:rsid w:val="001C24B5"/>
    <w:rsid w:val="001C255F"/>
    <w:rsid w:val="001C25B8"/>
    <w:rsid w:val="001C26A5"/>
    <w:rsid w:val="001C27DD"/>
    <w:rsid w:val="001C280D"/>
    <w:rsid w:val="001C28E6"/>
    <w:rsid w:val="001C2A25"/>
    <w:rsid w:val="001C2C34"/>
    <w:rsid w:val="001C2E34"/>
    <w:rsid w:val="001C2EB8"/>
    <w:rsid w:val="001C2EF6"/>
    <w:rsid w:val="001C2FF8"/>
    <w:rsid w:val="001C31D8"/>
    <w:rsid w:val="001C3220"/>
    <w:rsid w:val="001C3221"/>
    <w:rsid w:val="001C335A"/>
    <w:rsid w:val="001C33E8"/>
    <w:rsid w:val="001C3443"/>
    <w:rsid w:val="001C34DE"/>
    <w:rsid w:val="001C3669"/>
    <w:rsid w:val="001C38BC"/>
    <w:rsid w:val="001C3958"/>
    <w:rsid w:val="001C3A1D"/>
    <w:rsid w:val="001C3A39"/>
    <w:rsid w:val="001C3A6E"/>
    <w:rsid w:val="001C3ACD"/>
    <w:rsid w:val="001C3D51"/>
    <w:rsid w:val="001C3EDF"/>
    <w:rsid w:val="001C3F0E"/>
    <w:rsid w:val="001C40D4"/>
    <w:rsid w:val="001C42B4"/>
    <w:rsid w:val="001C4467"/>
    <w:rsid w:val="001C47CB"/>
    <w:rsid w:val="001C47E4"/>
    <w:rsid w:val="001C4B2C"/>
    <w:rsid w:val="001C4BBE"/>
    <w:rsid w:val="001C4BFF"/>
    <w:rsid w:val="001C4C28"/>
    <w:rsid w:val="001C4C3A"/>
    <w:rsid w:val="001C4D01"/>
    <w:rsid w:val="001C4D30"/>
    <w:rsid w:val="001C4DBA"/>
    <w:rsid w:val="001C4E4A"/>
    <w:rsid w:val="001C4E66"/>
    <w:rsid w:val="001C4E88"/>
    <w:rsid w:val="001C4F05"/>
    <w:rsid w:val="001C515F"/>
    <w:rsid w:val="001C5308"/>
    <w:rsid w:val="001C5340"/>
    <w:rsid w:val="001C5350"/>
    <w:rsid w:val="001C5689"/>
    <w:rsid w:val="001C5750"/>
    <w:rsid w:val="001C5984"/>
    <w:rsid w:val="001C5BD1"/>
    <w:rsid w:val="001C5C7F"/>
    <w:rsid w:val="001C5D1E"/>
    <w:rsid w:val="001C5D55"/>
    <w:rsid w:val="001C605F"/>
    <w:rsid w:val="001C60A3"/>
    <w:rsid w:val="001C6110"/>
    <w:rsid w:val="001C6112"/>
    <w:rsid w:val="001C63A8"/>
    <w:rsid w:val="001C65F2"/>
    <w:rsid w:val="001C6717"/>
    <w:rsid w:val="001C6802"/>
    <w:rsid w:val="001C6850"/>
    <w:rsid w:val="001C6959"/>
    <w:rsid w:val="001C6A70"/>
    <w:rsid w:val="001C6A8F"/>
    <w:rsid w:val="001C6B98"/>
    <w:rsid w:val="001C6D40"/>
    <w:rsid w:val="001C6F9F"/>
    <w:rsid w:val="001C6FBC"/>
    <w:rsid w:val="001C7010"/>
    <w:rsid w:val="001C708E"/>
    <w:rsid w:val="001C7163"/>
    <w:rsid w:val="001C71AD"/>
    <w:rsid w:val="001C75C6"/>
    <w:rsid w:val="001C75D8"/>
    <w:rsid w:val="001C75FD"/>
    <w:rsid w:val="001C76C6"/>
    <w:rsid w:val="001C76EF"/>
    <w:rsid w:val="001C772A"/>
    <w:rsid w:val="001C7906"/>
    <w:rsid w:val="001C7AB8"/>
    <w:rsid w:val="001C7B57"/>
    <w:rsid w:val="001C7BA4"/>
    <w:rsid w:val="001C7BC7"/>
    <w:rsid w:val="001C7C00"/>
    <w:rsid w:val="001C7C71"/>
    <w:rsid w:val="001C7D0C"/>
    <w:rsid w:val="001C7E90"/>
    <w:rsid w:val="001C7F79"/>
    <w:rsid w:val="001C7FE9"/>
    <w:rsid w:val="001D016E"/>
    <w:rsid w:val="001D0929"/>
    <w:rsid w:val="001D0B05"/>
    <w:rsid w:val="001D0BA9"/>
    <w:rsid w:val="001D0CC2"/>
    <w:rsid w:val="001D0D56"/>
    <w:rsid w:val="001D0E2C"/>
    <w:rsid w:val="001D0E89"/>
    <w:rsid w:val="001D0F2C"/>
    <w:rsid w:val="001D0F6B"/>
    <w:rsid w:val="001D1203"/>
    <w:rsid w:val="001D123E"/>
    <w:rsid w:val="001D127F"/>
    <w:rsid w:val="001D1380"/>
    <w:rsid w:val="001D1400"/>
    <w:rsid w:val="001D1861"/>
    <w:rsid w:val="001D18F9"/>
    <w:rsid w:val="001D1A30"/>
    <w:rsid w:val="001D1BBB"/>
    <w:rsid w:val="001D1BC3"/>
    <w:rsid w:val="001D1BE6"/>
    <w:rsid w:val="001D1C58"/>
    <w:rsid w:val="001D20FF"/>
    <w:rsid w:val="001D2201"/>
    <w:rsid w:val="001D220D"/>
    <w:rsid w:val="001D2402"/>
    <w:rsid w:val="001D272F"/>
    <w:rsid w:val="001D27EB"/>
    <w:rsid w:val="001D286F"/>
    <w:rsid w:val="001D28B2"/>
    <w:rsid w:val="001D2985"/>
    <w:rsid w:val="001D2A7A"/>
    <w:rsid w:val="001D2B59"/>
    <w:rsid w:val="001D2D0E"/>
    <w:rsid w:val="001D2E3B"/>
    <w:rsid w:val="001D2F45"/>
    <w:rsid w:val="001D2FA5"/>
    <w:rsid w:val="001D30F2"/>
    <w:rsid w:val="001D3118"/>
    <w:rsid w:val="001D317F"/>
    <w:rsid w:val="001D3253"/>
    <w:rsid w:val="001D3276"/>
    <w:rsid w:val="001D32A7"/>
    <w:rsid w:val="001D3384"/>
    <w:rsid w:val="001D33BF"/>
    <w:rsid w:val="001D33C1"/>
    <w:rsid w:val="001D34C1"/>
    <w:rsid w:val="001D34E6"/>
    <w:rsid w:val="001D35C2"/>
    <w:rsid w:val="001D35CE"/>
    <w:rsid w:val="001D3623"/>
    <w:rsid w:val="001D36B7"/>
    <w:rsid w:val="001D36FC"/>
    <w:rsid w:val="001D3748"/>
    <w:rsid w:val="001D37C2"/>
    <w:rsid w:val="001D384F"/>
    <w:rsid w:val="001D387F"/>
    <w:rsid w:val="001D38C3"/>
    <w:rsid w:val="001D3AC2"/>
    <w:rsid w:val="001D3BE5"/>
    <w:rsid w:val="001D3C4B"/>
    <w:rsid w:val="001D3DF6"/>
    <w:rsid w:val="001D3FBD"/>
    <w:rsid w:val="001D4078"/>
    <w:rsid w:val="001D40C0"/>
    <w:rsid w:val="001D41E2"/>
    <w:rsid w:val="001D43EB"/>
    <w:rsid w:val="001D4411"/>
    <w:rsid w:val="001D4467"/>
    <w:rsid w:val="001D44B3"/>
    <w:rsid w:val="001D44F6"/>
    <w:rsid w:val="001D477A"/>
    <w:rsid w:val="001D4A1E"/>
    <w:rsid w:val="001D4C28"/>
    <w:rsid w:val="001D4CA9"/>
    <w:rsid w:val="001D4CBE"/>
    <w:rsid w:val="001D4CDE"/>
    <w:rsid w:val="001D4D27"/>
    <w:rsid w:val="001D4DB5"/>
    <w:rsid w:val="001D4E84"/>
    <w:rsid w:val="001D4EE1"/>
    <w:rsid w:val="001D516C"/>
    <w:rsid w:val="001D52DA"/>
    <w:rsid w:val="001D537C"/>
    <w:rsid w:val="001D53A1"/>
    <w:rsid w:val="001D54E6"/>
    <w:rsid w:val="001D55D7"/>
    <w:rsid w:val="001D5633"/>
    <w:rsid w:val="001D5792"/>
    <w:rsid w:val="001D582F"/>
    <w:rsid w:val="001D5865"/>
    <w:rsid w:val="001D58C3"/>
    <w:rsid w:val="001D5993"/>
    <w:rsid w:val="001D59C6"/>
    <w:rsid w:val="001D5A72"/>
    <w:rsid w:val="001D5B50"/>
    <w:rsid w:val="001D5C58"/>
    <w:rsid w:val="001D5EB9"/>
    <w:rsid w:val="001D5EE9"/>
    <w:rsid w:val="001D60EF"/>
    <w:rsid w:val="001D6305"/>
    <w:rsid w:val="001D6460"/>
    <w:rsid w:val="001D64AA"/>
    <w:rsid w:val="001D65A0"/>
    <w:rsid w:val="001D6656"/>
    <w:rsid w:val="001D66F8"/>
    <w:rsid w:val="001D68E4"/>
    <w:rsid w:val="001D6B1B"/>
    <w:rsid w:val="001D6B62"/>
    <w:rsid w:val="001D6C18"/>
    <w:rsid w:val="001D6CB2"/>
    <w:rsid w:val="001D6D10"/>
    <w:rsid w:val="001D6F97"/>
    <w:rsid w:val="001D7012"/>
    <w:rsid w:val="001D7045"/>
    <w:rsid w:val="001D708E"/>
    <w:rsid w:val="001D710E"/>
    <w:rsid w:val="001D718F"/>
    <w:rsid w:val="001D71DF"/>
    <w:rsid w:val="001D72C3"/>
    <w:rsid w:val="001D72EF"/>
    <w:rsid w:val="001D73B4"/>
    <w:rsid w:val="001D7418"/>
    <w:rsid w:val="001D7570"/>
    <w:rsid w:val="001D77CE"/>
    <w:rsid w:val="001D782F"/>
    <w:rsid w:val="001D78AC"/>
    <w:rsid w:val="001D791B"/>
    <w:rsid w:val="001D7A86"/>
    <w:rsid w:val="001D7D2C"/>
    <w:rsid w:val="001D7D3E"/>
    <w:rsid w:val="001D7E4B"/>
    <w:rsid w:val="001D7E80"/>
    <w:rsid w:val="001DF41C"/>
    <w:rsid w:val="001E01FD"/>
    <w:rsid w:val="001E020A"/>
    <w:rsid w:val="001E02A1"/>
    <w:rsid w:val="001E050B"/>
    <w:rsid w:val="001E05E2"/>
    <w:rsid w:val="001E0653"/>
    <w:rsid w:val="001E0657"/>
    <w:rsid w:val="001E078D"/>
    <w:rsid w:val="001E089E"/>
    <w:rsid w:val="001E0935"/>
    <w:rsid w:val="001E0A1D"/>
    <w:rsid w:val="001E0BA6"/>
    <w:rsid w:val="001E0C0B"/>
    <w:rsid w:val="001E0C56"/>
    <w:rsid w:val="001E0D66"/>
    <w:rsid w:val="001E0DA7"/>
    <w:rsid w:val="001E0E15"/>
    <w:rsid w:val="001E0FBD"/>
    <w:rsid w:val="001E13C1"/>
    <w:rsid w:val="001E141D"/>
    <w:rsid w:val="001E142F"/>
    <w:rsid w:val="001E1617"/>
    <w:rsid w:val="001E1699"/>
    <w:rsid w:val="001E1803"/>
    <w:rsid w:val="001E19FA"/>
    <w:rsid w:val="001E1B47"/>
    <w:rsid w:val="001E1C51"/>
    <w:rsid w:val="001E1CC5"/>
    <w:rsid w:val="001E1CE1"/>
    <w:rsid w:val="001E1D14"/>
    <w:rsid w:val="001E1D98"/>
    <w:rsid w:val="001E1E4E"/>
    <w:rsid w:val="001E1EB4"/>
    <w:rsid w:val="001E1F64"/>
    <w:rsid w:val="001E1F82"/>
    <w:rsid w:val="001E2010"/>
    <w:rsid w:val="001E20F2"/>
    <w:rsid w:val="001E22BC"/>
    <w:rsid w:val="001E23BC"/>
    <w:rsid w:val="001E25CD"/>
    <w:rsid w:val="001E26EC"/>
    <w:rsid w:val="001E2925"/>
    <w:rsid w:val="001E29A7"/>
    <w:rsid w:val="001E2A0D"/>
    <w:rsid w:val="001E2ABF"/>
    <w:rsid w:val="001E2C51"/>
    <w:rsid w:val="001E2C6D"/>
    <w:rsid w:val="001E2EFE"/>
    <w:rsid w:val="001E3062"/>
    <w:rsid w:val="001E3092"/>
    <w:rsid w:val="001E30D8"/>
    <w:rsid w:val="001E3106"/>
    <w:rsid w:val="001E313E"/>
    <w:rsid w:val="001E3169"/>
    <w:rsid w:val="001E3376"/>
    <w:rsid w:val="001E33E5"/>
    <w:rsid w:val="001E361C"/>
    <w:rsid w:val="001E3752"/>
    <w:rsid w:val="001E3794"/>
    <w:rsid w:val="001E3A8B"/>
    <w:rsid w:val="001E3ADC"/>
    <w:rsid w:val="001E3B8C"/>
    <w:rsid w:val="001E3DD2"/>
    <w:rsid w:val="001E3DE6"/>
    <w:rsid w:val="001E3E47"/>
    <w:rsid w:val="001E3FD0"/>
    <w:rsid w:val="001E41AE"/>
    <w:rsid w:val="001E41AF"/>
    <w:rsid w:val="001E441B"/>
    <w:rsid w:val="001E45E8"/>
    <w:rsid w:val="001E4671"/>
    <w:rsid w:val="001E4759"/>
    <w:rsid w:val="001E4A60"/>
    <w:rsid w:val="001E4BD8"/>
    <w:rsid w:val="001E4DF7"/>
    <w:rsid w:val="001E4EB9"/>
    <w:rsid w:val="001E4F52"/>
    <w:rsid w:val="001E5128"/>
    <w:rsid w:val="001E51CF"/>
    <w:rsid w:val="001E526E"/>
    <w:rsid w:val="001E53EB"/>
    <w:rsid w:val="001E558E"/>
    <w:rsid w:val="001E55EF"/>
    <w:rsid w:val="001E566F"/>
    <w:rsid w:val="001E591E"/>
    <w:rsid w:val="001E59A2"/>
    <w:rsid w:val="001E5CB5"/>
    <w:rsid w:val="001E6550"/>
    <w:rsid w:val="001E657B"/>
    <w:rsid w:val="001E65DE"/>
    <w:rsid w:val="001E65F9"/>
    <w:rsid w:val="001E6699"/>
    <w:rsid w:val="001E6818"/>
    <w:rsid w:val="001E6822"/>
    <w:rsid w:val="001E6824"/>
    <w:rsid w:val="001E6A1D"/>
    <w:rsid w:val="001E6A47"/>
    <w:rsid w:val="001E6B58"/>
    <w:rsid w:val="001E6BB6"/>
    <w:rsid w:val="001E6CCE"/>
    <w:rsid w:val="001E6E2F"/>
    <w:rsid w:val="001E6F81"/>
    <w:rsid w:val="001E6FE1"/>
    <w:rsid w:val="001E70A5"/>
    <w:rsid w:val="001E7107"/>
    <w:rsid w:val="001E7129"/>
    <w:rsid w:val="001E71B0"/>
    <w:rsid w:val="001E7441"/>
    <w:rsid w:val="001E747E"/>
    <w:rsid w:val="001E755D"/>
    <w:rsid w:val="001E7662"/>
    <w:rsid w:val="001E77AA"/>
    <w:rsid w:val="001E7825"/>
    <w:rsid w:val="001E7859"/>
    <w:rsid w:val="001E7A06"/>
    <w:rsid w:val="001E7A41"/>
    <w:rsid w:val="001E7AC7"/>
    <w:rsid w:val="001E7B28"/>
    <w:rsid w:val="001E7D86"/>
    <w:rsid w:val="001E7EB2"/>
    <w:rsid w:val="001F00AD"/>
    <w:rsid w:val="001F0258"/>
    <w:rsid w:val="001F02B3"/>
    <w:rsid w:val="001F0345"/>
    <w:rsid w:val="001F03ED"/>
    <w:rsid w:val="001F04C9"/>
    <w:rsid w:val="001F05F5"/>
    <w:rsid w:val="001F0644"/>
    <w:rsid w:val="001F0770"/>
    <w:rsid w:val="001F0824"/>
    <w:rsid w:val="001F0860"/>
    <w:rsid w:val="001F09F8"/>
    <w:rsid w:val="001F0AFA"/>
    <w:rsid w:val="001F0B02"/>
    <w:rsid w:val="001F0BA0"/>
    <w:rsid w:val="001F0C6F"/>
    <w:rsid w:val="001F0D01"/>
    <w:rsid w:val="001F0EEE"/>
    <w:rsid w:val="001F11C5"/>
    <w:rsid w:val="001F1248"/>
    <w:rsid w:val="001F1385"/>
    <w:rsid w:val="001F1416"/>
    <w:rsid w:val="001F144E"/>
    <w:rsid w:val="001F178F"/>
    <w:rsid w:val="001F1956"/>
    <w:rsid w:val="001F19AD"/>
    <w:rsid w:val="001F19E5"/>
    <w:rsid w:val="001F1B68"/>
    <w:rsid w:val="001F1B6F"/>
    <w:rsid w:val="001F1CD4"/>
    <w:rsid w:val="001F1E5E"/>
    <w:rsid w:val="001F1F2D"/>
    <w:rsid w:val="001F1F92"/>
    <w:rsid w:val="001F24C8"/>
    <w:rsid w:val="001F254F"/>
    <w:rsid w:val="001F270E"/>
    <w:rsid w:val="001F2827"/>
    <w:rsid w:val="001F2892"/>
    <w:rsid w:val="001F28E2"/>
    <w:rsid w:val="001F2BC8"/>
    <w:rsid w:val="001F2C7C"/>
    <w:rsid w:val="001F2E9D"/>
    <w:rsid w:val="001F30AD"/>
    <w:rsid w:val="001F314B"/>
    <w:rsid w:val="001F32D4"/>
    <w:rsid w:val="001F32FF"/>
    <w:rsid w:val="001F353F"/>
    <w:rsid w:val="001F3716"/>
    <w:rsid w:val="001F3B78"/>
    <w:rsid w:val="001F3D5A"/>
    <w:rsid w:val="001F3DA0"/>
    <w:rsid w:val="001F3E90"/>
    <w:rsid w:val="001F3E91"/>
    <w:rsid w:val="001F3E98"/>
    <w:rsid w:val="001F3FFF"/>
    <w:rsid w:val="001F4136"/>
    <w:rsid w:val="001F41F7"/>
    <w:rsid w:val="001F42D6"/>
    <w:rsid w:val="001F42F1"/>
    <w:rsid w:val="001F43DB"/>
    <w:rsid w:val="001F448C"/>
    <w:rsid w:val="001F45A2"/>
    <w:rsid w:val="001F47CA"/>
    <w:rsid w:val="001F49D8"/>
    <w:rsid w:val="001F4A27"/>
    <w:rsid w:val="001F4AFC"/>
    <w:rsid w:val="001F4BBB"/>
    <w:rsid w:val="001F4CB9"/>
    <w:rsid w:val="001F4D2B"/>
    <w:rsid w:val="001F4D9D"/>
    <w:rsid w:val="001F4EEC"/>
    <w:rsid w:val="001F51E1"/>
    <w:rsid w:val="001F5334"/>
    <w:rsid w:val="001F53E8"/>
    <w:rsid w:val="001F5409"/>
    <w:rsid w:val="001F545F"/>
    <w:rsid w:val="001F5499"/>
    <w:rsid w:val="001F5669"/>
    <w:rsid w:val="001F5876"/>
    <w:rsid w:val="001F59B8"/>
    <w:rsid w:val="001F5C30"/>
    <w:rsid w:val="001F5F1D"/>
    <w:rsid w:val="001F6157"/>
    <w:rsid w:val="001F6276"/>
    <w:rsid w:val="001F69DE"/>
    <w:rsid w:val="001F6C60"/>
    <w:rsid w:val="001F6D1B"/>
    <w:rsid w:val="001F6DA3"/>
    <w:rsid w:val="001F6E3C"/>
    <w:rsid w:val="001F6E79"/>
    <w:rsid w:val="001F7006"/>
    <w:rsid w:val="001F700F"/>
    <w:rsid w:val="001F7088"/>
    <w:rsid w:val="001F70AE"/>
    <w:rsid w:val="001F70C5"/>
    <w:rsid w:val="001F7224"/>
    <w:rsid w:val="001F73C8"/>
    <w:rsid w:val="001F7483"/>
    <w:rsid w:val="001F7489"/>
    <w:rsid w:val="001F76BC"/>
    <w:rsid w:val="001F7916"/>
    <w:rsid w:val="001F7935"/>
    <w:rsid w:val="001F7994"/>
    <w:rsid w:val="001F7CE0"/>
    <w:rsid w:val="001F7D27"/>
    <w:rsid w:val="001F7D51"/>
    <w:rsid w:val="001F7E2F"/>
    <w:rsid w:val="001F7FB2"/>
    <w:rsid w:val="0020028E"/>
    <w:rsid w:val="00200396"/>
    <w:rsid w:val="0020045A"/>
    <w:rsid w:val="0020046A"/>
    <w:rsid w:val="00200477"/>
    <w:rsid w:val="002007B0"/>
    <w:rsid w:val="00200B5D"/>
    <w:rsid w:val="00200D6A"/>
    <w:rsid w:val="00200D74"/>
    <w:rsid w:val="00200D93"/>
    <w:rsid w:val="00200E1D"/>
    <w:rsid w:val="00200E41"/>
    <w:rsid w:val="00200F33"/>
    <w:rsid w:val="00200F70"/>
    <w:rsid w:val="00201012"/>
    <w:rsid w:val="00201107"/>
    <w:rsid w:val="00201316"/>
    <w:rsid w:val="00201422"/>
    <w:rsid w:val="00201434"/>
    <w:rsid w:val="00201480"/>
    <w:rsid w:val="00201525"/>
    <w:rsid w:val="002015EF"/>
    <w:rsid w:val="00201626"/>
    <w:rsid w:val="002016BB"/>
    <w:rsid w:val="002017B2"/>
    <w:rsid w:val="002017B5"/>
    <w:rsid w:val="00201947"/>
    <w:rsid w:val="002019A2"/>
    <w:rsid w:val="002019EE"/>
    <w:rsid w:val="00201B46"/>
    <w:rsid w:val="00201C0C"/>
    <w:rsid w:val="00201C64"/>
    <w:rsid w:val="00201CB1"/>
    <w:rsid w:val="00201D12"/>
    <w:rsid w:val="00201E96"/>
    <w:rsid w:val="002020B5"/>
    <w:rsid w:val="002020BF"/>
    <w:rsid w:val="002022B4"/>
    <w:rsid w:val="00202385"/>
    <w:rsid w:val="00202393"/>
    <w:rsid w:val="0020246D"/>
    <w:rsid w:val="002024D7"/>
    <w:rsid w:val="002024E1"/>
    <w:rsid w:val="00202506"/>
    <w:rsid w:val="00202560"/>
    <w:rsid w:val="00202570"/>
    <w:rsid w:val="0020285D"/>
    <w:rsid w:val="0020289D"/>
    <w:rsid w:val="002028AB"/>
    <w:rsid w:val="00202925"/>
    <w:rsid w:val="002029AF"/>
    <w:rsid w:val="00202A52"/>
    <w:rsid w:val="00202CF5"/>
    <w:rsid w:val="00202D1F"/>
    <w:rsid w:val="00202EF2"/>
    <w:rsid w:val="00202F7D"/>
    <w:rsid w:val="00202F91"/>
    <w:rsid w:val="00202FD3"/>
    <w:rsid w:val="002031DA"/>
    <w:rsid w:val="0020331A"/>
    <w:rsid w:val="0020334B"/>
    <w:rsid w:val="002034B5"/>
    <w:rsid w:val="00203558"/>
    <w:rsid w:val="00203625"/>
    <w:rsid w:val="00203647"/>
    <w:rsid w:val="002036AF"/>
    <w:rsid w:val="002038B7"/>
    <w:rsid w:val="0020390F"/>
    <w:rsid w:val="00203920"/>
    <w:rsid w:val="00203AA3"/>
    <w:rsid w:val="00203AD4"/>
    <w:rsid w:val="00203B42"/>
    <w:rsid w:val="00203B6E"/>
    <w:rsid w:val="00203B6F"/>
    <w:rsid w:val="00203D65"/>
    <w:rsid w:val="00203E9E"/>
    <w:rsid w:val="00203FA0"/>
    <w:rsid w:val="00203FE5"/>
    <w:rsid w:val="0020410E"/>
    <w:rsid w:val="002041DF"/>
    <w:rsid w:val="00204254"/>
    <w:rsid w:val="00204279"/>
    <w:rsid w:val="002042BE"/>
    <w:rsid w:val="0020443A"/>
    <w:rsid w:val="002045DC"/>
    <w:rsid w:val="002045E9"/>
    <w:rsid w:val="0020461D"/>
    <w:rsid w:val="00204789"/>
    <w:rsid w:val="002048C2"/>
    <w:rsid w:val="0020495C"/>
    <w:rsid w:val="0020495E"/>
    <w:rsid w:val="002049E9"/>
    <w:rsid w:val="00204A5A"/>
    <w:rsid w:val="00204B80"/>
    <w:rsid w:val="00204E49"/>
    <w:rsid w:val="0020500D"/>
    <w:rsid w:val="0020531F"/>
    <w:rsid w:val="00205434"/>
    <w:rsid w:val="00205490"/>
    <w:rsid w:val="002054ED"/>
    <w:rsid w:val="0020562E"/>
    <w:rsid w:val="00205668"/>
    <w:rsid w:val="002056C4"/>
    <w:rsid w:val="002057B5"/>
    <w:rsid w:val="00205893"/>
    <w:rsid w:val="00205936"/>
    <w:rsid w:val="00205B3D"/>
    <w:rsid w:val="00205B4C"/>
    <w:rsid w:val="00205B68"/>
    <w:rsid w:val="00205BA9"/>
    <w:rsid w:val="00205BB0"/>
    <w:rsid w:val="00205BB5"/>
    <w:rsid w:val="00205C0F"/>
    <w:rsid w:val="00205DF9"/>
    <w:rsid w:val="00205F31"/>
    <w:rsid w:val="00205F69"/>
    <w:rsid w:val="00205F8B"/>
    <w:rsid w:val="0020611C"/>
    <w:rsid w:val="0020612F"/>
    <w:rsid w:val="00206139"/>
    <w:rsid w:val="002061A9"/>
    <w:rsid w:val="002061BB"/>
    <w:rsid w:val="00206212"/>
    <w:rsid w:val="002062EF"/>
    <w:rsid w:val="00206398"/>
    <w:rsid w:val="002068DB"/>
    <w:rsid w:val="00206B1E"/>
    <w:rsid w:val="00206C1D"/>
    <w:rsid w:val="00206DBF"/>
    <w:rsid w:val="00206DCF"/>
    <w:rsid w:val="00206E8B"/>
    <w:rsid w:val="00207099"/>
    <w:rsid w:val="002071E4"/>
    <w:rsid w:val="00207224"/>
    <w:rsid w:val="00207358"/>
    <w:rsid w:val="00207370"/>
    <w:rsid w:val="00207870"/>
    <w:rsid w:val="0020799C"/>
    <w:rsid w:val="002079FA"/>
    <w:rsid w:val="00207C74"/>
    <w:rsid w:val="00207CB2"/>
    <w:rsid w:val="00207F08"/>
    <w:rsid w:val="00210008"/>
    <w:rsid w:val="0021000A"/>
    <w:rsid w:val="0021004F"/>
    <w:rsid w:val="002102F8"/>
    <w:rsid w:val="0021031B"/>
    <w:rsid w:val="00210402"/>
    <w:rsid w:val="0021043C"/>
    <w:rsid w:val="002104AE"/>
    <w:rsid w:val="002105FF"/>
    <w:rsid w:val="0021062E"/>
    <w:rsid w:val="0021063D"/>
    <w:rsid w:val="0021073A"/>
    <w:rsid w:val="002107A0"/>
    <w:rsid w:val="002107F3"/>
    <w:rsid w:val="00210848"/>
    <w:rsid w:val="0021084E"/>
    <w:rsid w:val="00210901"/>
    <w:rsid w:val="00210A35"/>
    <w:rsid w:val="00210D1B"/>
    <w:rsid w:val="00210EB3"/>
    <w:rsid w:val="0021106E"/>
    <w:rsid w:val="002110A8"/>
    <w:rsid w:val="002110DE"/>
    <w:rsid w:val="002111DE"/>
    <w:rsid w:val="002111FA"/>
    <w:rsid w:val="002112FE"/>
    <w:rsid w:val="00211344"/>
    <w:rsid w:val="0021149C"/>
    <w:rsid w:val="00211548"/>
    <w:rsid w:val="00211593"/>
    <w:rsid w:val="002115C6"/>
    <w:rsid w:val="00211703"/>
    <w:rsid w:val="002117AC"/>
    <w:rsid w:val="002118FB"/>
    <w:rsid w:val="002119A1"/>
    <w:rsid w:val="00211B96"/>
    <w:rsid w:val="00211CB6"/>
    <w:rsid w:val="00211E65"/>
    <w:rsid w:val="00212000"/>
    <w:rsid w:val="00212082"/>
    <w:rsid w:val="00212134"/>
    <w:rsid w:val="00212189"/>
    <w:rsid w:val="0021222D"/>
    <w:rsid w:val="002122C4"/>
    <w:rsid w:val="0021247A"/>
    <w:rsid w:val="00212576"/>
    <w:rsid w:val="002127C8"/>
    <w:rsid w:val="00212952"/>
    <w:rsid w:val="00212A26"/>
    <w:rsid w:val="00212AD8"/>
    <w:rsid w:val="00212BEF"/>
    <w:rsid w:val="00212D86"/>
    <w:rsid w:val="002130DD"/>
    <w:rsid w:val="002130E8"/>
    <w:rsid w:val="00213168"/>
    <w:rsid w:val="002132BF"/>
    <w:rsid w:val="002132EA"/>
    <w:rsid w:val="00213318"/>
    <w:rsid w:val="00213527"/>
    <w:rsid w:val="0021355C"/>
    <w:rsid w:val="002135A0"/>
    <w:rsid w:val="002137D1"/>
    <w:rsid w:val="00213881"/>
    <w:rsid w:val="002138A3"/>
    <w:rsid w:val="00213965"/>
    <w:rsid w:val="00213A82"/>
    <w:rsid w:val="00213AC3"/>
    <w:rsid w:val="00213B1A"/>
    <w:rsid w:val="00213D1D"/>
    <w:rsid w:val="00213D22"/>
    <w:rsid w:val="00213D6C"/>
    <w:rsid w:val="00213DCD"/>
    <w:rsid w:val="00213E0C"/>
    <w:rsid w:val="00213E6D"/>
    <w:rsid w:val="00213F23"/>
    <w:rsid w:val="00213F8B"/>
    <w:rsid w:val="00214043"/>
    <w:rsid w:val="002140D2"/>
    <w:rsid w:val="00214130"/>
    <w:rsid w:val="0021416A"/>
    <w:rsid w:val="00214332"/>
    <w:rsid w:val="0021439A"/>
    <w:rsid w:val="00214412"/>
    <w:rsid w:val="00214531"/>
    <w:rsid w:val="00214800"/>
    <w:rsid w:val="00214801"/>
    <w:rsid w:val="0021487F"/>
    <w:rsid w:val="0021489F"/>
    <w:rsid w:val="002148FC"/>
    <w:rsid w:val="00214ADD"/>
    <w:rsid w:val="00214C83"/>
    <w:rsid w:val="00214D8D"/>
    <w:rsid w:val="00214DE7"/>
    <w:rsid w:val="00214F18"/>
    <w:rsid w:val="00214F61"/>
    <w:rsid w:val="00215078"/>
    <w:rsid w:val="002153ED"/>
    <w:rsid w:val="00215583"/>
    <w:rsid w:val="002155CF"/>
    <w:rsid w:val="0021576E"/>
    <w:rsid w:val="002157F2"/>
    <w:rsid w:val="0021580B"/>
    <w:rsid w:val="00215BBC"/>
    <w:rsid w:val="00215C7B"/>
    <w:rsid w:val="00215D20"/>
    <w:rsid w:val="00215D5D"/>
    <w:rsid w:val="00215E3A"/>
    <w:rsid w:val="00215E47"/>
    <w:rsid w:val="00215F45"/>
    <w:rsid w:val="002160C9"/>
    <w:rsid w:val="0021614B"/>
    <w:rsid w:val="0021616E"/>
    <w:rsid w:val="0021631F"/>
    <w:rsid w:val="0021637A"/>
    <w:rsid w:val="00216588"/>
    <w:rsid w:val="0021682B"/>
    <w:rsid w:val="00216887"/>
    <w:rsid w:val="002168A5"/>
    <w:rsid w:val="002168D9"/>
    <w:rsid w:val="0021697F"/>
    <w:rsid w:val="00216A3B"/>
    <w:rsid w:val="00216B68"/>
    <w:rsid w:val="00216D00"/>
    <w:rsid w:val="00216D2A"/>
    <w:rsid w:val="00216DD4"/>
    <w:rsid w:val="00216E0F"/>
    <w:rsid w:val="00216F18"/>
    <w:rsid w:val="00217258"/>
    <w:rsid w:val="002172EC"/>
    <w:rsid w:val="0021730C"/>
    <w:rsid w:val="002173CF"/>
    <w:rsid w:val="00217682"/>
    <w:rsid w:val="002176AF"/>
    <w:rsid w:val="002178EA"/>
    <w:rsid w:val="00217A19"/>
    <w:rsid w:val="00217A22"/>
    <w:rsid w:val="00217B01"/>
    <w:rsid w:val="00217B61"/>
    <w:rsid w:val="00217C0E"/>
    <w:rsid w:val="00217D7F"/>
    <w:rsid w:val="00217E44"/>
    <w:rsid w:val="00217E97"/>
    <w:rsid w:val="00220004"/>
    <w:rsid w:val="00220183"/>
    <w:rsid w:val="0022026B"/>
    <w:rsid w:val="002203F9"/>
    <w:rsid w:val="00220411"/>
    <w:rsid w:val="00220515"/>
    <w:rsid w:val="0022051A"/>
    <w:rsid w:val="00220647"/>
    <w:rsid w:val="002207B5"/>
    <w:rsid w:val="002207F6"/>
    <w:rsid w:val="00220951"/>
    <w:rsid w:val="00220A64"/>
    <w:rsid w:val="00220A89"/>
    <w:rsid w:val="00220C6F"/>
    <w:rsid w:val="00220D96"/>
    <w:rsid w:val="00220DF4"/>
    <w:rsid w:val="00220E99"/>
    <w:rsid w:val="0022112C"/>
    <w:rsid w:val="00221316"/>
    <w:rsid w:val="0022142B"/>
    <w:rsid w:val="00221444"/>
    <w:rsid w:val="0022186F"/>
    <w:rsid w:val="00221875"/>
    <w:rsid w:val="002218EA"/>
    <w:rsid w:val="002219DD"/>
    <w:rsid w:val="00221A73"/>
    <w:rsid w:val="00221AD2"/>
    <w:rsid w:val="00221B17"/>
    <w:rsid w:val="00221B38"/>
    <w:rsid w:val="00221CC1"/>
    <w:rsid w:val="00221EA3"/>
    <w:rsid w:val="00221F00"/>
    <w:rsid w:val="00221FEB"/>
    <w:rsid w:val="002220E4"/>
    <w:rsid w:val="0022236F"/>
    <w:rsid w:val="0022243A"/>
    <w:rsid w:val="00222618"/>
    <w:rsid w:val="00222698"/>
    <w:rsid w:val="00222702"/>
    <w:rsid w:val="002227F1"/>
    <w:rsid w:val="00222852"/>
    <w:rsid w:val="0022293C"/>
    <w:rsid w:val="002229FC"/>
    <w:rsid w:val="00222B7B"/>
    <w:rsid w:val="00222C4B"/>
    <w:rsid w:val="00222E0E"/>
    <w:rsid w:val="00222F58"/>
    <w:rsid w:val="002230FE"/>
    <w:rsid w:val="00223233"/>
    <w:rsid w:val="002232B8"/>
    <w:rsid w:val="0022333F"/>
    <w:rsid w:val="0022339A"/>
    <w:rsid w:val="002233EA"/>
    <w:rsid w:val="00223417"/>
    <w:rsid w:val="00223449"/>
    <w:rsid w:val="002234CC"/>
    <w:rsid w:val="0022357F"/>
    <w:rsid w:val="002235AB"/>
    <w:rsid w:val="0022361D"/>
    <w:rsid w:val="00223675"/>
    <w:rsid w:val="00223A8D"/>
    <w:rsid w:val="00223A9D"/>
    <w:rsid w:val="00223CF2"/>
    <w:rsid w:val="00223EA0"/>
    <w:rsid w:val="00223EAC"/>
    <w:rsid w:val="00223EDF"/>
    <w:rsid w:val="00224051"/>
    <w:rsid w:val="00224163"/>
    <w:rsid w:val="0022432B"/>
    <w:rsid w:val="002243BF"/>
    <w:rsid w:val="00224493"/>
    <w:rsid w:val="00224499"/>
    <w:rsid w:val="002244DB"/>
    <w:rsid w:val="002245F2"/>
    <w:rsid w:val="0022463D"/>
    <w:rsid w:val="00224961"/>
    <w:rsid w:val="002249F6"/>
    <w:rsid w:val="00224C05"/>
    <w:rsid w:val="00224C44"/>
    <w:rsid w:val="00224D86"/>
    <w:rsid w:val="0022516C"/>
    <w:rsid w:val="002253C5"/>
    <w:rsid w:val="0022552C"/>
    <w:rsid w:val="002255DF"/>
    <w:rsid w:val="00225760"/>
    <w:rsid w:val="002257F7"/>
    <w:rsid w:val="00225804"/>
    <w:rsid w:val="0022582B"/>
    <w:rsid w:val="00225928"/>
    <w:rsid w:val="0022594A"/>
    <w:rsid w:val="00225A2F"/>
    <w:rsid w:val="00225AD1"/>
    <w:rsid w:val="00225B95"/>
    <w:rsid w:val="00225D2B"/>
    <w:rsid w:val="00225FD7"/>
    <w:rsid w:val="002260A9"/>
    <w:rsid w:val="002260C9"/>
    <w:rsid w:val="002261AB"/>
    <w:rsid w:val="00226814"/>
    <w:rsid w:val="00226930"/>
    <w:rsid w:val="00226988"/>
    <w:rsid w:val="00226A41"/>
    <w:rsid w:val="00226D17"/>
    <w:rsid w:val="00226D95"/>
    <w:rsid w:val="00226E26"/>
    <w:rsid w:val="00226F13"/>
    <w:rsid w:val="00226F85"/>
    <w:rsid w:val="00227126"/>
    <w:rsid w:val="002272B9"/>
    <w:rsid w:val="002272DA"/>
    <w:rsid w:val="002275AE"/>
    <w:rsid w:val="00227683"/>
    <w:rsid w:val="002277C7"/>
    <w:rsid w:val="00227AAA"/>
    <w:rsid w:val="00227AE0"/>
    <w:rsid w:val="00227DCB"/>
    <w:rsid w:val="00227EBA"/>
    <w:rsid w:val="00227F00"/>
    <w:rsid w:val="0023006E"/>
    <w:rsid w:val="00230521"/>
    <w:rsid w:val="00230548"/>
    <w:rsid w:val="00230704"/>
    <w:rsid w:val="00230726"/>
    <w:rsid w:val="0023072E"/>
    <w:rsid w:val="00230771"/>
    <w:rsid w:val="00230773"/>
    <w:rsid w:val="0023081E"/>
    <w:rsid w:val="00230821"/>
    <w:rsid w:val="002308D0"/>
    <w:rsid w:val="002308E2"/>
    <w:rsid w:val="002309D5"/>
    <w:rsid w:val="00230CAA"/>
    <w:rsid w:val="00230CDB"/>
    <w:rsid w:val="00230CFE"/>
    <w:rsid w:val="00230E4B"/>
    <w:rsid w:val="00231060"/>
    <w:rsid w:val="00231319"/>
    <w:rsid w:val="00231385"/>
    <w:rsid w:val="002314A3"/>
    <w:rsid w:val="002314E3"/>
    <w:rsid w:val="002317AA"/>
    <w:rsid w:val="002318EF"/>
    <w:rsid w:val="00231C6B"/>
    <w:rsid w:val="00231C7C"/>
    <w:rsid w:val="00231CE4"/>
    <w:rsid w:val="00231D52"/>
    <w:rsid w:val="00231E92"/>
    <w:rsid w:val="00231F18"/>
    <w:rsid w:val="002320A6"/>
    <w:rsid w:val="00232149"/>
    <w:rsid w:val="002321B2"/>
    <w:rsid w:val="002323DF"/>
    <w:rsid w:val="0023243C"/>
    <w:rsid w:val="00232487"/>
    <w:rsid w:val="00232609"/>
    <w:rsid w:val="002328BE"/>
    <w:rsid w:val="00232901"/>
    <w:rsid w:val="00232AFA"/>
    <w:rsid w:val="00232CA9"/>
    <w:rsid w:val="00232D5A"/>
    <w:rsid w:val="00232D71"/>
    <w:rsid w:val="00232E6E"/>
    <w:rsid w:val="00232EA5"/>
    <w:rsid w:val="00232F12"/>
    <w:rsid w:val="00232F4C"/>
    <w:rsid w:val="00233061"/>
    <w:rsid w:val="00233177"/>
    <w:rsid w:val="0023325C"/>
    <w:rsid w:val="00233544"/>
    <w:rsid w:val="00233778"/>
    <w:rsid w:val="002337AC"/>
    <w:rsid w:val="00233828"/>
    <w:rsid w:val="002338D8"/>
    <w:rsid w:val="002339A0"/>
    <w:rsid w:val="00233A67"/>
    <w:rsid w:val="00233A76"/>
    <w:rsid w:val="00233B0D"/>
    <w:rsid w:val="00233B0E"/>
    <w:rsid w:val="00233BD3"/>
    <w:rsid w:val="00233C6A"/>
    <w:rsid w:val="00233DE6"/>
    <w:rsid w:val="0023409F"/>
    <w:rsid w:val="0023439A"/>
    <w:rsid w:val="0023449D"/>
    <w:rsid w:val="002344A5"/>
    <w:rsid w:val="002344D7"/>
    <w:rsid w:val="002346A3"/>
    <w:rsid w:val="002348EE"/>
    <w:rsid w:val="0023492E"/>
    <w:rsid w:val="0023498D"/>
    <w:rsid w:val="002349D3"/>
    <w:rsid w:val="00234AB4"/>
    <w:rsid w:val="00234ABE"/>
    <w:rsid w:val="00234B6D"/>
    <w:rsid w:val="00234BE6"/>
    <w:rsid w:val="00234BF5"/>
    <w:rsid w:val="00234C10"/>
    <w:rsid w:val="00234C12"/>
    <w:rsid w:val="00234C8D"/>
    <w:rsid w:val="00234D2D"/>
    <w:rsid w:val="00234DFB"/>
    <w:rsid w:val="0023516A"/>
    <w:rsid w:val="0023519C"/>
    <w:rsid w:val="002351EA"/>
    <w:rsid w:val="00235326"/>
    <w:rsid w:val="00235493"/>
    <w:rsid w:val="002356AB"/>
    <w:rsid w:val="002358C2"/>
    <w:rsid w:val="00235925"/>
    <w:rsid w:val="002359BD"/>
    <w:rsid w:val="00235DEA"/>
    <w:rsid w:val="00235EBD"/>
    <w:rsid w:val="00236076"/>
    <w:rsid w:val="00236166"/>
    <w:rsid w:val="0023616F"/>
    <w:rsid w:val="002361B8"/>
    <w:rsid w:val="0023620C"/>
    <w:rsid w:val="00236409"/>
    <w:rsid w:val="00236700"/>
    <w:rsid w:val="0023677D"/>
    <w:rsid w:val="002367AE"/>
    <w:rsid w:val="002367C7"/>
    <w:rsid w:val="00236805"/>
    <w:rsid w:val="00236B2B"/>
    <w:rsid w:val="00236B93"/>
    <w:rsid w:val="00236DF2"/>
    <w:rsid w:val="00236ECB"/>
    <w:rsid w:val="00236FA4"/>
    <w:rsid w:val="00237004"/>
    <w:rsid w:val="00237034"/>
    <w:rsid w:val="00237050"/>
    <w:rsid w:val="00237097"/>
    <w:rsid w:val="00237132"/>
    <w:rsid w:val="00237234"/>
    <w:rsid w:val="00237286"/>
    <w:rsid w:val="002372E7"/>
    <w:rsid w:val="00237345"/>
    <w:rsid w:val="00237646"/>
    <w:rsid w:val="002376A6"/>
    <w:rsid w:val="00237729"/>
    <w:rsid w:val="002379EC"/>
    <w:rsid w:val="00237A0C"/>
    <w:rsid w:val="00237A0E"/>
    <w:rsid w:val="00237B7A"/>
    <w:rsid w:val="00237C0E"/>
    <w:rsid w:val="00237D51"/>
    <w:rsid w:val="00237D64"/>
    <w:rsid w:val="00237EB8"/>
    <w:rsid w:val="002400F2"/>
    <w:rsid w:val="00240138"/>
    <w:rsid w:val="00240176"/>
    <w:rsid w:val="002402BE"/>
    <w:rsid w:val="002404A0"/>
    <w:rsid w:val="002404BD"/>
    <w:rsid w:val="002407B3"/>
    <w:rsid w:val="002407DC"/>
    <w:rsid w:val="0024082A"/>
    <w:rsid w:val="00240856"/>
    <w:rsid w:val="00240C26"/>
    <w:rsid w:val="00240C36"/>
    <w:rsid w:val="00240D8F"/>
    <w:rsid w:val="00240EA8"/>
    <w:rsid w:val="00241026"/>
    <w:rsid w:val="00241042"/>
    <w:rsid w:val="002412B5"/>
    <w:rsid w:val="0024135B"/>
    <w:rsid w:val="00241524"/>
    <w:rsid w:val="00241694"/>
    <w:rsid w:val="00241695"/>
    <w:rsid w:val="002418E2"/>
    <w:rsid w:val="00241A31"/>
    <w:rsid w:val="00241A83"/>
    <w:rsid w:val="00241ACC"/>
    <w:rsid w:val="00241F0C"/>
    <w:rsid w:val="00242014"/>
    <w:rsid w:val="00242066"/>
    <w:rsid w:val="0024214D"/>
    <w:rsid w:val="00242231"/>
    <w:rsid w:val="0024237D"/>
    <w:rsid w:val="00242411"/>
    <w:rsid w:val="00242420"/>
    <w:rsid w:val="0024247D"/>
    <w:rsid w:val="002424C3"/>
    <w:rsid w:val="002424ED"/>
    <w:rsid w:val="00242515"/>
    <w:rsid w:val="00242605"/>
    <w:rsid w:val="00242747"/>
    <w:rsid w:val="00242753"/>
    <w:rsid w:val="0024280D"/>
    <w:rsid w:val="00242949"/>
    <w:rsid w:val="00242969"/>
    <w:rsid w:val="002429F2"/>
    <w:rsid w:val="00242C45"/>
    <w:rsid w:val="00242C62"/>
    <w:rsid w:val="00242FC2"/>
    <w:rsid w:val="0024302F"/>
    <w:rsid w:val="002430BF"/>
    <w:rsid w:val="002430E8"/>
    <w:rsid w:val="002432B4"/>
    <w:rsid w:val="00243361"/>
    <w:rsid w:val="002433CB"/>
    <w:rsid w:val="0024350A"/>
    <w:rsid w:val="0024372C"/>
    <w:rsid w:val="00243882"/>
    <w:rsid w:val="00243A51"/>
    <w:rsid w:val="00243ADE"/>
    <w:rsid w:val="00243CD9"/>
    <w:rsid w:val="00243CF9"/>
    <w:rsid w:val="00243D7F"/>
    <w:rsid w:val="00243D83"/>
    <w:rsid w:val="00243E4F"/>
    <w:rsid w:val="00243F52"/>
    <w:rsid w:val="00243FF1"/>
    <w:rsid w:val="0024418F"/>
    <w:rsid w:val="0024426E"/>
    <w:rsid w:val="002442A8"/>
    <w:rsid w:val="002442CD"/>
    <w:rsid w:val="00244398"/>
    <w:rsid w:val="00244492"/>
    <w:rsid w:val="002444D6"/>
    <w:rsid w:val="0024455D"/>
    <w:rsid w:val="00244720"/>
    <w:rsid w:val="002447CE"/>
    <w:rsid w:val="00244886"/>
    <w:rsid w:val="002448B8"/>
    <w:rsid w:val="00244901"/>
    <w:rsid w:val="00244916"/>
    <w:rsid w:val="00244A4D"/>
    <w:rsid w:val="00244A64"/>
    <w:rsid w:val="00244B2F"/>
    <w:rsid w:val="00244B3B"/>
    <w:rsid w:val="00244CA7"/>
    <w:rsid w:val="00244CC4"/>
    <w:rsid w:val="00244D8F"/>
    <w:rsid w:val="00244E76"/>
    <w:rsid w:val="00244F09"/>
    <w:rsid w:val="00244F8F"/>
    <w:rsid w:val="00244FE1"/>
    <w:rsid w:val="00244FFF"/>
    <w:rsid w:val="002450D2"/>
    <w:rsid w:val="00245138"/>
    <w:rsid w:val="002451BE"/>
    <w:rsid w:val="002451DA"/>
    <w:rsid w:val="00245304"/>
    <w:rsid w:val="00245305"/>
    <w:rsid w:val="00245356"/>
    <w:rsid w:val="0024553F"/>
    <w:rsid w:val="002455EB"/>
    <w:rsid w:val="002457E9"/>
    <w:rsid w:val="00245847"/>
    <w:rsid w:val="0024585E"/>
    <w:rsid w:val="002458A5"/>
    <w:rsid w:val="00245ABE"/>
    <w:rsid w:val="00245BCC"/>
    <w:rsid w:val="00245BDD"/>
    <w:rsid w:val="00245DFA"/>
    <w:rsid w:val="002460B1"/>
    <w:rsid w:val="0024613B"/>
    <w:rsid w:val="00246148"/>
    <w:rsid w:val="0024614C"/>
    <w:rsid w:val="0024628F"/>
    <w:rsid w:val="00246399"/>
    <w:rsid w:val="0024647B"/>
    <w:rsid w:val="002464DE"/>
    <w:rsid w:val="0024651D"/>
    <w:rsid w:val="00246588"/>
    <w:rsid w:val="002467DE"/>
    <w:rsid w:val="002468F9"/>
    <w:rsid w:val="00246A17"/>
    <w:rsid w:val="00246AC6"/>
    <w:rsid w:val="00246B28"/>
    <w:rsid w:val="00246BD7"/>
    <w:rsid w:val="00246E01"/>
    <w:rsid w:val="00246EB9"/>
    <w:rsid w:val="00246F20"/>
    <w:rsid w:val="00246FC9"/>
    <w:rsid w:val="00247011"/>
    <w:rsid w:val="0024703E"/>
    <w:rsid w:val="002471A1"/>
    <w:rsid w:val="002472C1"/>
    <w:rsid w:val="002472CB"/>
    <w:rsid w:val="002474A6"/>
    <w:rsid w:val="002475AC"/>
    <w:rsid w:val="002475AD"/>
    <w:rsid w:val="002476AC"/>
    <w:rsid w:val="002478D2"/>
    <w:rsid w:val="00247909"/>
    <w:rsid w:val="0024796F"/>
    <w:rsid w:val="00247D5D"/>
    <w:rsid w:val="00247D68"/>
    <w:rsid w:val="00247D7A"/>
    <w:rsid w:val="0025019E"/>
    <w:rsid w:val="002505D9"/>
    <w:rsid w:val="0025085E"/>
    <w:rsid w:val="002508BA"/>
    <w:rsid w:val="002508CB"/>
    <w:rsid w:val="00250A33"/>
    <w:rsid w:val="00250B11"/>
    <w:rsid w:val="00250B1F"/>
    <w:rsid w:val="00250D47"/>
    <w:rsid w:val="00250DB8"/>
    <w:rsid w:val="00250E22"/>
    <w:rsid w:val="00250EBD"/>
    <w:rsid w:val="00250F65"/>
    <w:rsid w:val="00251026"/>
    <w:rsid w:val="0025108B"/>
    <w:rsid w:val="002514B0"/>
    <w:rsid w:val="00251664"/>
    <w:rsid w:val="002516D2"/>
    <w:rsid w:val="0025190D"/>
    <w:rsid w:val="002519AA"/>
    <w:rsid w:val="00251A9A"/>
    <w:rsid w:val="00251C03"/>
    <w:rsid w:val="00252015"/>
    <w:rsid w:val="00252409"/>
    <w:rsid w:val="002525A9"/>
    <w:rsid w:val="002525AC"/>
    <w:rsid w:val="002525CE"/>
    <w:rsid w:val="002525F4"/>
    <w:rsid w:val="0025277F"/>
    <w:rsid w:val="002528F8"/>
    <w:rsid w:val="00252A25"/>
    <w:rsid w:val="00252A35"/>
    <w:rsid w:val="00252A3D"/>
    <w:rsid w:val="00252B3C"/>
    <w:rsid w:val="00252B86"/>
    <w:rsid w:val="00252BCB"/>
    <w:rsid w:val="00252C0D"/>
    <w:rsid w:val="00252D73"/>
    <w:rsid w:val="00252E56"/>
    <w:rsid w:val="00252F3B"/>
    <w:rsid w:val="00252FB2"/>
    <w:rsid w:val="002531A0"/>
    <w:rsid w:val="0025327B"/>
    <w:rsid w:val="002532D4"/>
    <w:rsid w:val="00253494"/>
    <w:rsid w:val="0025373D"/>
    <w:rsid w:val="00253786"/>
    <w:rsid w:val="00253851"/>
    <w:rsid w:val="00253934"/>
    <w:rsid w:val="00253AA3"/>
    <w:rsid w:val="00253C30"/>
    <w:rsid w:val="00253C67"/>
    <w:rsid w:val="00253C92"/>
    <w:rsid w:val="00253F54"/>
    <w:rsid w:val="00253F85"/>
    <w:rsid w:val="00254038"/>
    <w:rsid w:val="0025403C"/>
    <w:rsid w:val="002542CE"/>
    <w:rsid w:val="00254320"/>
    <w:rsid w:val="0025439B"/>
    <w:rsid w:val="0025452D"/>
    <w:rsid w:val="002548C5"/>
    <w:rsid w:val="0025491E"/>
    <w:rsid w:val="00254A48"/>
    <w:rsid w:val="00254AFB"/>
    <w:rsid w:val="00254C0A"/>
    <w:rsid w:val="00254FA5"/>
    <w:rsid w:val="0025508C"/>
    <w:rsid w:val="002550D3"/>
    <w:rsid w:val="002550FF"/>
    <w:rsid w:val="00255107"/>
    <w:rsid w:val="00255269"/>
    <w:rsid w:val="002554EB"/>
    <w:rsid w:val="0025572F"/>
    <w:rsid w:val="00255745"/>
    <w:rsid w:val="00255868"/>
    <w:rsid w:val="002559AA"/>
    <w:rsid w:val="002559D1"/>
    <w:rsid w:val="00255ABB"/>
    <w:rsid w:val="00255B07"/>
    <w:rsid w:val="00255C1F"/>
    <w:rsid w:val="00255CAE"/>
    <w:rsid w:val="00255E5F"/>
    <w:rsid w:val="00255ED0"/>
    <w:rsid w:val="002560E4"/>
    <w:rsid w:val="002562A9"/>
    <w:rsid w:val="00256347"/>
    <w:rsid w:val="00256439"/>
    <w:rsid w:val="00256443"/>
    <w:rsid w:val="00256473"/>
    <w:rsid w:val="00256557"/>
    <w:rsid w:val="00256580"/>
    <w:rsid w:val="0025660C"/>
    <w:rsid w:val="002566EC"/>
    <w:rsid w:val="002567A0"/>
    <w:rsid w:val="00256A1A"/>
    <w:rsid w:val="00256AD0"/>
    <w:rsid w:val="00256AFF"/>
    <w:rsid w:val="00256B3F"/>
    <w:rsid w:val="00256B41"/>
    <w:rsid w:val="00256B55"/>
    <w:rsid w:val="00256BB3"/>
    <w:rsid w:val="00256BD7"/>
    <w:rsid w:val="00256C3F"/>
    <w:rsid w:val="00256C67"/>
    <w:rsid w:val="00256F73"/>
    <w:rsid w:val="0025706B"/>
    <w:rsid w:val="002570D9"/>
    <w:rsid w:val="002570E7"/>
    <w:rsid w:val="00257133"/>
    <w:rsid w:val="00257196"/>
    <w:rsid w:val="00257384"/>
    <w:rsid w:val="00257398"/>
    <w:rsid w:val="0025741B"/>
    <w:rsid w:val="00257493"/>
    <w:rsid w:val="00257511"/>
    <w:rsid w:val="002576CB"/>
    <w:rsid w:val="00257703"/>
    <w:rsid w:val="00257916"/>
    <w:rsid w:val="002579FA"/>
    <w:rsid w:val="00257B86"/>
    <w:rsid w:val="00257BB9"/>
    <w:rsid w:val="00257C4A"/>
    <w:rsid w:val="00257C5F"/>
    <w:rsid w:val="00257ED9"/>
    <w:rsid w:val="0025963B"/>
    <w:rsid w:val="0026006C"/>
    <w:rsid w:val="002600F2"/>
    <w:rsid w:val="00260266"/>
    <w:rsid w:val="002605CA"/>
    <w:rsid w:val="002606CF"/>
    <w:rsid w:val="00260867"/>
    <w:rsid w:val="0026087B"/>
    <w:rsid w:val="00260959"/>
    <w:rsid w:val="00260967"/>
    <w:rsid w:val="00260AA1"/>
    <w:rsid w:val="00260BA5"/>
    <w:rsid w:val="00260E05"/>
    <w:rsid w:val="00260E22"/>
    <w:rsid w:val="0026128B"/>
    <w:rsid w:val="0026161C"/>
    <w:rsid w:val="0026175B"/>
    <w:rsid w:val="002617CD"/>
    <w:rsid w:val="002617F9"/>
    <w:rsid w:val="002618AC"/>
    <w:rsid w:val="00261D92"/>
    <w:rsid w:val="00261E11"/>
    <w:rsid w:val="00261ECC"/>
    <w:rsid w:val="00261EF9"/>
    <w:rsid w:val="00261F12"/>
    <w:rsid w:val="0026206E"/>
    <w:rsid w:val="002622C9"/>
    <w:rsid w:val="00262321"/>
    <w:rsid w:val="00262417"/>
    <w:rsid w:val="00262527"/>
    <w:rsid w:val="002625C6"/>
    <w:rsid w:val="002626D6"/>
    <w:rsid w:val="00262755"/>
    <w:rsid w:val="00262949"/>
    <w:rsid w:val="00262A9C"/>
    <w:rsid w:val="00262C08"/>
    <w:rsid w:val="00262C71"/>
    <w:rsid w:val="00262E36"/>
    <w:rsid w:val="00262F2C"/>
    <w:rsid w:val="00262F52"/>
    <w:rsid w:val="00262FE6"/>
    <w:rsid w:val="00262FFB"/>
    <w:rsid w:val="002631BC"/>
    <w:rsid w:val="0026328E"/>
    <w:rsid w:val="00263307"/>
    <w:rsid w:val="00263331"/>
    <w:rsid w:val="002633E7"/>
    <w:rsid w:val="0026343F"/>
    <w:rsid w:val="00263501"/>
    <w:rsid w:val="0026378E"/>
    <w:rsid w:val="0026379A"/>
    <w:rsid w:val="002639B7"/>
    <w:rsid w:val="00263B90"/>
    <w:rsid w:val="00263C83"/>
    <w:rsid w:val="00263C9E"/>
    <w:rsid w:val="00263E0D"/>
    <w:rsid w:val="00263E1B"/>
    <w:rsid w:val="00263ECC"/>
    <w:rsid w:val="00263F72"/>
    <w:rsid w:val="002640C3"/>
    <w:rsid w:val="002641B8"/>
    <w:rsid w:val="002641D4"/>
    <w:rsid w:val="002645D3"/>
    <w:rsid w:val="0026463F"/>
    <w:rsid w:val="00264681"/>
    <w:rsid w:val="0026468A"/>
    <w:rsid w:val="00264A11"/>
    <w:rsid w:val="00264A3C"/>
    <w:rsid w:val="00264A79"/>
    <w:rsid w:val="00264D4C"/>
    <w:rsid w:val="00264E8B"/>
    <w:rsid w:val="0026504B"/>
    <w:rsid w:val="00265443"/>
    <w:rsid w:val="00265675"/>
    <w:rsid w:val="00265676"/>
    <w:rsid w:val="002657E9"/>
    <w:rsid w:val="002659DB"/>
    <w:rsid w:val="00265A14"/>
    <w:rsid w:val="00265B36"/>
    <w:rsid w:val="00265B63"/>
    <w:rsid w:val="00265D53"/>
    <w:rsid w:val="00265F49"/>
    <w:rsid w:val="00265FA8"/>
    <w:rsid w:val="00265FD5"/>
    <w:rsid w:val="002661C3"/>
    <w:rsid w:val="002661EE"/>
    <w:rsid w:val="00266349"/>
    <w:rsid w:val="00266373"/>
    <w:rsid w:val="00266519"/>
    <w:rsid w:val="0026652A"/>
    <w:rsid w:val="002666BB"/>
    <w:rsid w:val="002666F5"/>
    <w:rsid w:val="002666FE"/>
    <w:rsid w:val="00266730"/>
    <w:rsid w:val="0026674E"/>
    <w:rsid w:val="002667BC"/>
    <w:rsid w:val="00266A0C"/>
    <w:rsid w:val="00266AA9"/>
    <w:rsid w:val="00266B0E"/>
    <w:rsid w:val="00266BE1"/>
    <w:rsid w:val="00266C22"/>
    <w:rsid w:val="00266C43"/>
    <w:rsid w:val="00266DA7"/>
    <w:rsid w:val="00266F0C"/>
    <w:rsid w:val="002670B0"/>
    <w:rsid w:val="0026711B"/>
    <w:rsid w:val="002671D1"/>
    <w:rsid w:val="00267462"/>
    <w:rsid w:val="0026746A"/>
    <w:rsid w:val="0026758C"/>
    <w:rsid w:val="00267626"/>
    <w:rsid w:val="0026773A"/>
    <w:rsid w:val="00267AC6"/>
    <w:rsid w:val="00267AEA"/>
    <w:rsid w:val="00267C3B"/>
    <w:rsid w:val="00267D5E"/>
    <w:rsid w:val="00270013"/>
    <w:rsid w:val="002700DC"/>
    <w:rsid w:val="00270178"/>
    <w:rsid w:val="00270194"/>
    <w:rsid w:val="002701CC"/>
    <w:rsid w:val="002701DC"/>
    <w:rsid w:val="00270231"/>
    <w:rsid w:val="00270250"/>
    <w:rsid w:val="00270294"/>
    <w:rsid w:val="0027035F"/>
    <w:rsid w:val="002707BA"/>
    <w:rsid w:val="00270A59"/>
    <w:rsid w:val="00270BB0"/>
    <w:rsid w:val="00270C7F"/>
    <w:rsid w:val="00270D58"/>
    <w:rsid w:val="00270D83"/>
    <w:rsid w:val="00270E4C"/>
    <w:rsid w:val="00270EAC"/>
    <w:rsid w:val="00270FBE"/>
    <w:rsid w:val="0027107B"/>
    <w:rsid w:val="00271180"/>
    <w:rsid w:val="002711CC"/>
    <w:rsid w:val="0027131F"/>
    <w:rsid w:val="0027137A"/>
    <w:rsid w:val="0027142E"/>
    <w:rsid w:val="002714B7"/>
    <w:rsid w:val="0027170A"/>
    <w:rsid w:val="00271ACF"/>
    <w:rsid w:val="00271BB4"/>
    <w:rsid w:val="00271C4E"/>
    <w:rsid w:val="00271CD0"/>
    <w:rsid w:val="00271D8B"/>
    <w:rsid w:val="00272210"/>
    <w:rsid w:val="002723D1"/>
    <w:rsid w:val="002724D4"/>
    <w:rsid w:val="0027251B"/>
    <w:rsid w:val="002725AC"/>
    <w:rsid w:val="0027281A"/>
    <w:rsid w:val="0027281C"/>
    <w:rsid w:val="0027292E"/>
    <w:rsid w:val="00272A10"/>
    <w:rsid w:val="00272A42"/>
    <w:rsid w:val="00272AAF"/>
    <w:rsid w:val="00272B2D"/>
    <w:rsid w:val="00272BD8"/>
    <w:rsid w:val="00272D6F"/>
    <w:rsid w:val="00272D83"/>
    <w:rsid w:val="00272DF9"/>
    <w:rsid w:val="00272EEF"/>
    <w:rsid w:val="0027312F"/>
    <w:rsid w:val="0027332F"/>
    <w:rsid w:val="002733C1"/>
    <w:rsid w:val="00273442"/>
    <w:rsid w:val="002735F9"/>
    <w:rsid w:val="00273851"/>
    <w:rsid w:val="0027395B"/>
    <w:rsid w:val="002739B7"/>
    <w:rsid w:val="00273A23"/>
    <w:rsid w:val="00273A68"/>
    <w:rsid w:val="00273B03"/>
    <w:rsid w:val="00273CBA"/>
    <w:rsid w:val="00273D19"/>
    <w:rsid w:val="00273EC3"/>
    <w:rsid w:val="00273FF1"/>
    <w:rsid w:val="0027404A"/>
    <w:rsid w:val="002742E4"/>
    <w:rsid w:val="002743BA"/>
    <w:rsid w:val="00274425"/>
    <w:rsid w:val="00274440"/>
    <w:rsid w:val="00274566"/>
    <w:rsid w:val="0027460C"/>
    <w:rsid w:val="002746E3"/>
    <w:rsid w:val="0027473A"/>
    <w:rsid w:val="00274784"/>
    <w:rsid w:val="00274A68"/>
    <w:rsid w:val="00274C9D"/>
    <w:rsid w:val="00274F75"/>
    <w:rsid w:val="00275155"/>
    <w:rsid w:val="002753E5"/>
    <w:rsid w:val="002753F4"/>
    <w:rsid w:val="00275457"/>
    <w:rsid w:val="0027547D"/>
    <w:rsid w:val="0027550F"/>
    <w:rsid w:val="0027565C"/>
    <w:rsid w:val="00275AB6"/>
    <w:rsid w:val="00275BDB"/>
    <w:rsid w:val="00275C3A"/>
    <w:rsid w:val="00275CC0"/>
    <w:rsid w:val="00275CE9"/>
    <w:rsid w:val="00275CFA"/>
    <w:rsid w:val="00275CFB"/>
    <w:rsid w:val="00275D13"/>
    <w:rsid w:val="00275D41"/>
    <w:rsid w:val="00275D42"/>
    <w:rsid w:val="00275D95"/>
    <w:rsid w:val="00275F88"/>
    <w:rsid w:val="002760F9"/>
    <w:rsid w:val="00276256"/>
    <w:rsid w:val="0027634E"/>
    <w:rsid w:val="002764FE"/>
    <w:rsid w:val="002765B5"/>
    <w:rsid w:val="00276930"/>
    <w:rsid w:val="00276BDD"/>
    <w:rsid w:val="00276D42"/>
    <w:rsid w:val="00276EF7"/>
    <w:rsid w:val="00276F9C"/>
    <w:rsid w:val="00277092"/>
    <w:rsid w:val="0027714C"/>
    <w:rsid w:val="002771BD"/>
    <w:rsid w:val="002772E2"/>
    <w:rsid w:val="00277350"/>
    <w:rsid w:val="002773A0"/>
    <w:rsid w:val="002773B8"/>
    <w:rsid w:val="00277516"/>
    <w:rsid w:val="0027756F"/>
    <w:rsid w:val="00277597"/>
    <w:rsid w:val="002775AC"/>
    <w:rsid w:val="0027771F"/>
    <w:rsid w:val="002777DE"/>
    <w:rsid w:val="0027783B"/>
    <w:rsid w:val="002779C2"/>
    <w:rsid w:val="00277A20"/>
    <w:rsid w:val="00277A76"/>
    <w:rsid w:val="00277A7A"/>
    <w:rsid w:val="00277B53"/>
    <w:rsid w:val="00277BA0"/>
    <w:rsid w:val="00277F57"/>
    <w:rsid w:val="002800B7"/>
    <w:rsid w:val="002801A2"/>
    <w:rsid w:val="0028037D"/>
    <w:rsid w:val="0028049A"/>
    <w:rsid w:val="002806BF"/>
    <w:rsid w:val="002809CA"/>
    <w:rsid w:val="00280C8D"/>
    <w:rsid w:val="00280CEA"/>
    <w:rsid w:val="00280D42"/>
    <w:rsid w:val="00280D65"/>
    <w:rsid w:val="00280D81"/>
    <w:rsid w:val="00281103"/>
    <w:rsid w:val="002811C9"/>
    <w:rsid w:val="00281205"/>
    <w:rsid w:val="00281250"/>
    <w:rsid w:val="0028140D"/>
    <w:rsid w:val="00281661"/>
    <w:rsid w:val="002816C5"/>
    <w:rsid w:val="0028173D"/>
    <w:rsid w:val="002817E8"/>
    <w:rsid w:val="002817E9"/>
    <w:rsid w:val="002819C2"/>
    <w:rsid w:val="00281A7A"/>
    <w:rsid w:val="00281AF9"/>
    <w:rsid w:val="00281BC8"/>
    <w:rsid w:val="00281C21"/>
    <w:rsid w:val="00281C48"/>
    <w:rsid w:val="00281D79"/>
    <w:rsid w:val="00281DCB"/>
    <w:rsid w:val="00281F10"/>
    <w:rsid w:val="00281FF3"/>
    <w:rsid w:val="00282298"/>
    <w:rsid w:val="0028229F"/>
    <w:rsid w:val="0028232E"/>
    <w:rsid w:val="002827E7"/>
    <w:rsid w:val="002827FA"/>
    <w:rsid w:val="00282925"/>
    <w:rsid w:val="00282B9B"/>
    <w:rsid w:val="00282CF3"/>
    <w:rsid w:val="00282D3A"/>
    <w:rsid w:val="00282ED7"/>
    <w:rsid w:val="00282F31"/>
    <w:rsid w:val="00282F71"/>
    <w:rsid w:val="0028301C"/>
    <w:rsid w:val="002830A0"/>
    <w:rsid w:val="002831BC"/>
    <w:rsid w:val="002831FE"/>
    <w:rsid w:val="002833F3"/>
    <w:rsid w:val="002834A4"/>
    <w:rsid w:val="00283507"/>
    <w:rsid w:val="00283939"/>
    <w:rsid w:val="00283BCC"/>
    <w:rsid w:val="00283BE7"/>
    <w:rsid w:val="00283BFD"/>
    <w:rsid w:val="00283EF4"/>
    <w:rsid w:val="00283F80"/>
    <w:rsid w:val="00284034"/>
    <w:rsid w:val="002841E4"/>
    <w:rsid w:val="002842EC"/>
    <w:rsid w:val="0028430F"/>
    <w:rsid w:val="002844AC"/>
    <w:rsid w:val="002844F9"/>
    <w:rsid w:val="002845C3"/>
    <w:rsid w:val="0028460B"/>
    <w:rsid w:val="0028475A"/>
    <w:rsid w:val="0028483A"/>
    <w:rsid w:val="00284840"/>
    <w:rsid w:val="00284998"/>
    <w:rsid w:val="002849B4"/>
    <w:rsid w:val="00284AFB"/>
    <w:rsid w:val="00284B14"/>
    <w:rsid w:val="00284E44"/>
    <w:rsid w:val="00284E52"/>
    <w:rsid w:val="00284EA0"/>
    <w:rsid w:val="00284F5D"/>
    <w:rsid w:val="002852A8"/>
    <w:rsid w:val="002852D2"/>
    <w:rsid w:val="00285370"/>
    <w:rsid w:val="002853D4"/>
    <w:rsid w:val="0028540B"/>
    <w:rsid w:val="00285413"/>
    <w:rsid w:val="00285461"/>
    <w:rsid w:val="002854A0"/>
    <w:rsid w:val="00285543"/>
    <w:rsid w:val="0028571E"/>
    <w:rsid w:val="0028575B"/>
    <w:rsid w:val="0028577C"/>
    <w:rsid w:val="0028578D"/>
    <w:rsid w:val="00285933"/>
    <w:rsid w:val="00285A1B"/>
    <w:rsid w:val="00285A48"/>
    <w:rsid w:val="00285A88"/>
    <w:rsid w:val="00285B70"/>
    <w:rsid w:val="00285D9C"/>
    <w:rsid w:val="00285E03"/>
    <w:rsid w:val="00285E2C"/>
    <w:rsid w:val="002860BA"/>
    <w:rsid w:val="00286179"/>
    <w:rsid w:val="00286187"/>
    <w:rsid w:val="002861E7"/>
    <w:rsid w:val="00286291"/>
    <w:rsid w:val="00286358"/>
    <w:rsid w:val="0028652C"/>
    <w:rsid w:val="0028664C"/>
    <w:rsid w:val="002867C4"/>
    <w:rsid w:val="0028684A"/>
    <w:rsid w:val="002868C1"/>
    <w:rsid w:val="0028694F"/>
    <w:rsid w:val="00286A0F"/>
    <w:rsid w:val="00286B68"/>
    <w:rsid w:val="00286BEF"/>
    <w:rsid w:val="00286C61"/>
    <w:rsid w:val="00286CFF"/>
    <w:rsid w:val="00286DAD"/>
    <w:rsid w:val="00286DC7"/>
    <w:rsid w:val="00286DC8"/>
    <w:rsid w:val="00286E14"/>
    <w:rsid w:val="00286E7E"/>
    <w:rsid w:val="00286F1C"/>
    <w:rsid w:val="00287050"/>
    <w:rsid w:val="002870B7"/>
    <w:rsid w:val="002870EC"/>
    <w:rsid w:val="002870FF"/>
    <w:rsid w:val="002873B9"/>
    <w:rsid w:val="0028745F"/>
    <w:rsid w:val="0028756E"/>
    <w:rsid w:val="0028775A"/>
    <w:rsid w:val="0028775F"/>
    <w:rsid w:val="002879E2"/>
    <w:rsid w:val="00287B70"/>
    <w:rsid w:val="00287E6B"/>
    <w:rsid w:val="00287ECA"/>
    <w:rsid w:val="00290037"/>
    <w:rsid w:val="00290236"/>
    <w:rsid w:val="00290268"/>
    <w:rsid w:val="0029058C"/>
    <w:rsid w:val="0029061E"/>
    <w:rsid w:val="002906EA"/>
    <w:rsid w:val="00290A7E"/>
    <w:rsid w:val="00290ADD"/>
    <w:rsid w:val="00290B04"/>
    <w:rsid w:val="00290D1A"/>
    <w:rsid w:val="00290D65"/>
    <w:rsid w:val="00290F30"/>
    <w:rsid w:val="00290FC2"/>
    <w:rsid w:val="002911B2"/>
    <w:rsid w:val="002911FD"/>
    <w:rsid w:val="0029129D"/>
    <w:rsid w:val="00291324"/>
    <w:rsid w:val="00291523"/>
    <w:rsid w:val="0029155F"/>
    <w:rsid w:val="002915E6"/>
    <w:rsid w:val="002916F1"/>
    <w:rsid w:val="002918DF"/>
    <w:rsid w:val="00291AB9"/>
    <w:rsid w:val="00291ABA"/>
    <w:rsid w:val="00291B31"/>
    <w:rsid w:val="00291C3C"/>
    <w:rsid w:val="00291E12"/>
    <w:rsid w:val="00291EF2"/>
    <w:rsid w:val="0029204D"/>
    <w:rsid w:val="00292055"/>
    <w:rsid w:val="00292096"/>
    <w:rsid w:val="002920B6"/>
    <w:rsid w:val="002920D2"/>
    <w:rsid w:val="00292118"/>
    <w:rsid w:val="00292163"/>
    <w:rsid w:val="00292339"/>
    <w:rsid w:val="00292446"/>
    <w:rsid w:val="0029244C"/>
    <w:rsid w:val="00292676"/>
    <w:rsid w:val="002926F4"/>
    <w:rsid w:val="00292724"/>
    <w:rsid w:val="00292889"/>
    <w:rsid w:val="002928C8"/>
    <w:rsid w:val="002929D8"/>
    <w:rsid w:val="00292A41"/>
    <w:rsid w:val="00292B1C"/>
    <w:rsid w:val="00292BA4"/>
    <w:rsid w:val="00292BBA"/>
    <w:rsid w:val="00292C8B"/>
    <w:rsid w:val="00292D17"/>
    <w:rsid w:val="00292DBD"/>
    <w:rsid w:val="00292DEB"/>
    <w:rsid w:val="00292FA0"/>
    <w:rsid w:val="00293106"/>
    <w:rsid w:val="002931AB"/>
    <w:rsid w:val="002933F6"/>
    <w:rsid w:val="002933FC"/>
    <w:rsid w:val="00293693"/>
    <w:rsid w:val="002936BB"/>
    <w:rsid w:val="002936F8"/>
    <w:rsid w:val="002937A4"/>
    <w:rsid w:val="00293830"/>
    <w:rsid w:val="0029395D"/>
    <w:rsid w:val="00293AE6"/>
    <w:rsid w:val="00293CA5"/>
    <w:rsid w:val="00293EEF"/>
    <w:rsid w:val="00293FF7"/>
    <w:rsid w:val="00294014"/>
    <w:rsid w:val="002940A3"/>
    <w:rsid w:val="0029413A"/>
    <w:rsid w:val="00294214"/>
    <w:rsid w:val="00294290"/>
    <w:rsid w:val="00294408"/>
    <w:rsid w:val="0029444E"/>
    <w:rsid w:val="002944A0"/>
    <w:rsid w:val="002944D6"/>
    <w:rsid w:val="002948F8"/>
    <w:rsid w:val="00294962"/>
    <w:rsid w:val="00294BB2"/>
    <w:rsid w:val="00294C45"/>
    <w:rsid w:val="00294C5B"/>
    <w:rsid w:val="00294CDD"/>
    <w:rsid w:val="00294FB7"/>
    <w:rsid w:val="002950B0"/>
    <w:rsid w:val="002950C5"/>
    <w:rsid w:val="00295138"/>
    <w:rsid w:val="00295221"/>
    <w:rsid w:val="00295423"/>
    <w:rsid w:val="0029571E"/>
    <w:rsid w:val="00295831"/>
    <w:rsid w:val="00295862"/>
    <w:rsid w:val="00295873"/>
    <w:rsid w:val="002958BA"/>
    <w:rsid w:val="00295A78"/>
    <w:rsid w:val="00295B74"/>
    <w:rsid w:val="00295CDD"/>
    <w:rsid w:val="00295DC7"/>
    <w:rsid w:val="00295DEE"/>
    <w:rsid w:val="00295F88"/>
    <w:rsid w:val="002960B4"/>
    <w:rsid w:val="0029611B"/>
    <w:rsid w:val="0029619C"/>
    <w:rsid w:val="00296275"/>
    <w:rsid w:val="002966D3"/>
    <w:rsid w:val="00296738"/>
    <w:rsid w:val="002967B9"/>
    <w:rsid w:val="002967F1"/>
    <w:rsid w:val="0029681D"/>
    <w:rsid w:val="0029681F"/>
    <w:rsid w:val="0029694F"/>
    <w:rsid w:val="00296A3C"/>
    <w:rsid w:val="00296A52"/>
    <w:rsid w:val="00296AC7"/>
    <w:rsid w:val="00296AEA"/>
    <w:rsid w:val="00296B96"/>
    <w:rsid w:val="00296B9D"/>
    <w:rsid w:val="00296C33"/>
    <w:rsid w:val="00296CEE"/>
    <w:rsid w:val="00296CFC"/>
    <w:rsid w:val="00296EFE"/>
    <w:rsid w:val="0029706F"/>
    <w:rsid w:val="00297146"/>
    <w:rsid w:val="0029727F"/>
    <w:rsid w:val="00297293"/>
    <w:rsid w:val="00297344"/>
    <w:rsid w:val="0029737B"/>
    <w:rsid w:val="0029741A"/>
    <w:rsid w:val="0029747E"/>
    <w:rsid w:val="00297597"/>
    <w:rsid w:val="002975E1"/>
    <w:rsid w:val="002975FD"/>
    <w:rsid w:val="00297690"/>
    <w:rsid w:val="00297859"/>
    <w:rsid w:val="00297867"/>
    <w:rsid w:val="0029788F"/>
    <w:rsid w:val="00297A0E"/>
    <w:rsid w:val="00297A2A"/>
    <w:rsid w:val="00297A4C"/>
    <w:rsid w:val="00297A9E"/>
    <w:rsid w:val="00297B2E"/>
    <w:rsid w:val="00297BCE"/>
    <w:rsid w:val="00297CA9"/>
    <w:rsid w:val="00297F1F"/>
    <w:rsid w:val="00297F7D"/>
    <w:rsid w:val="00297FAD"/>
    <w:rsid w:val="00297FAE"/>
    <w:rsid w:val="002A0101"/>
    <w:rsid w:val="002A03D7"/>
    <w:rsid w:val="002A03D8"/>
    <w:rsid w:val="002A04D4"/>
    <w:rsid w:val="002A04EE"/>
    <w:rsid w:val="002A065D"/>
    <w:rsid w:val="002A0669"/>
    <w:rsid w:val="002A066B"/>
    <w:rsid w:val="002A0749"/>
    <w:rsid w:val="002A0790"/>
    <w:rsid w:val="002A082E"/>
    <w:rsid w:val="002A0889"/>
    <w:rsid w:val="002A09A9"/>
    <w:rsid w:val="002A09BE"/>
    <w:rsid w:val="002A0A0A"/>
    <w:rsid w:val="002A0A3D"/>
    <w:rsid w:val="002A0B39"/>
    <w:rsid w:val="002A0CBD"/>
    <w:rsid w:val="002A1220"/>
    <w:rsid w:val="002A14A8"/>
    <w:rsid w:val="002A14CC"/>
    <w:rsid w:val="002A14FF"/>
    <w:rsid w:val="002A17D7"/>
    <w:rsid w:val="002A1830"/>
    <w:rsid w:val="002A189E"/>
    <w:rsid w:val="002A1946"/>
    <w:rsid w:val="002A1A2A"/>
    <w:rsid w:val="002A1AF1"/>
    <w:rsid w:val="002A1BAD"/>
    <w:rsid w:val="002A1D83"/>
    <w:rsid w:val="002A1DF1"/>
    <w:rsid w:val="002A1E53"/>
    <w:rsid w:val="002A2019"/>
    <w:rsid w:val="002A2208"/>
    <w:rsid w:val="002A2223"/>
    <w:rsid w:val="002A2386"/>
    <w:rsid w:val="002A2451"/>
    <w:rsid w:val="002A24B2"/>
    <w:rsid w:val="002A251A"/>
    <w:rsid w:val="002A28E1"/>
    <w:rsid w:val="002A298E"/>
    <w:rsid w:val="002A2AD9"/>
    <w:rsid w:val="002A2CEF"/>
    <w:rsid w:val="002A2EBA"/>
    <w:rsid w:val="002A301C"/>
    <w:rsid w:val="002A311C"/>
    <w:rsid w:val="002A3184"/>
    <w:rsid w:val="002A32C0"/>
    <w:rsid w:val="002A3509"/>
    <w:rsid w:val="002A358D"/>
    <w:rsid w:val="002A3639"/>
    <w:rsid w:val="002A36AE"/>
    <w:rsid w:val="002A370F"/>
    <w:rsid w:val="002A3824"/>
    <w:rsid w:val="002A3844"/>
    <w:rsid w:val="002A3A4D"/>
    <w:rsid w:val="002A3A9F"/>
    <w:rsid w:val="002A3AC4"/>
    <w:rsid w:val="002A3D5B"/>
    <w:rsid w:val="002A3DC3"/>
    <w:rsid w:val="002A3E35"/>
    <w:rsid w:val="002A3F30"/>
    <w:rsid w:val="002A40A3"/>
    <w:rsid w:val="002A4155"/>
    <w:rsid w:val="002A41A1"/>
    <w:rsid w:val="002A434B"/>
    <w:rsid w:val="002A44BE"/>
    <w:rsid w:val="002A45C2"/>
    <w:rsid w:val="002A4690"/>
    <w:rsid w:val="002A46A9"/>
    <w:rsid w:val="002A46D6"/>
    <w:rsid w:val="002A4A13"/>
    <w:rsid w:val="002A4A69"/>
    <w:rsid w:val="002A4C2D"/>
    <w:rsid w:val="002A4D74"/>
    <w:rsid w:val="002A4E64"/>
    <w:rsid w:val="002A4F11"/>
    <w:rsid w:val="002A5069"/>
    <w:rsid w:val="002A5102"/>
    <w:rsid w:val="002A5119"/>
    <w:rsid w:val="002A51DA"/>
    <w:rsid w:val="002A5320"/>
    <w:rsid w:val="002A5386"/>
    <w:rsid w:val="002A54A3"/>
    <w:rsid w:val="002A5524"/>
    <w:rsid w:val="002A5587"/>
    <w:rsid w:val="002A56D5"/>
    <w:rsid w:val="002A5702"/>
    <w:rsid w:val="002A57E4"/>
    <w:rsid w:val="002A59C6"/>
    <w:rsid w:val="002A5A6C"/>
    <w:rsid w:val="002A5A7C"/>
    <w:rsid w:val="002A5CC1"/>
    <w:rsid w:val="002A5DA1"/>
    <w:rsid w:val="002A5E29"/>
    <w:rsid w:val="002A5EEC"/>
    <w:rsid w:val="002A5F34"/>
    <w:rsid w:val="002A5FAD"/>
    <w:rsid w:val="002A6009"/>
    <w:rsid w:val="002A602A"/>
    <w:rsid w:val="002A6049"/>
    <w:rsid w:val="002A629F"/>
    <w:rsid w:val="002A62A4"/>
    <w:rsid w:val="002A6384"/>
    <w:rsid w:val="002A63F1"/>
    <w:rsid w:val="002A648A"/>
    <w:rsid w:val="002A64A3"/>
    <w:rsid w:val="002A64DB"/>
    <w:rsid w:val="002A6531"/>
    <w:rsid w:val="002A65A5"/>
    <w:rsid w:val="002A6689"/>
    <w:rsid w:val="002A669C"/>
    <w:rsid w:val="002A67A6"/>
    <w:rsid w:val="002A67B3"/>
    <w:rsid w:val="002A694B"/>
    <w:rsid w:val="002A6A73"/>
    <w:rsid w:val="002A6B7E"/>
    <w:rsid w:val="002A6B95"/>
    <w:rsid w:val="002A6BFD"/>
    <w:rsid w:val="002A6D2D"/>
    <w:rsid w:val="002A6D3F"/>
    <w:rsid w:val="002A6EEB"/>
    <w:rsid w:val="002A70F7"/>
    <w:rsid w:val="002A73A2"/>
    <w:rsid w:val="002A750E"/>
    <w:rsid w:val="002A75B8"/>
    <w:rsid w:val="002A780E"/>
    <w:rsid w:val="002A796D"/>
    <w:rsid w:val="002A79F8"/>
    <w:rsid w:val="002A7A2C"/>
    <w:rsid w:val="002A7BA9"/>
    <w:rsid w:val="002A7C31"/>
    <w:rsid w:val="002A7D06"/>
    <w:rsid w:val="002B0111"/>
    <w:rsid w:val="002B03F9"/>
    <w:rsid w:val="002B07D2"/>
    <w:rsid w:val="002B0997"/>
    <w:rsid w:val="002B0A16"/>
    <w:rsid w:val="002B0A30"/>
    <w:rsid w:val="002B0A38"/>
    <w:rsid w:val="002B0A97"/>
    <w:rsid w:val="002B0BFD"/>
    <w:rsid w:val="002B0DFB"/>
    <w:rsid w:val="002B0E8C"/>
    <w:rsid w:val="002B0E9D"/>
    <w:rsid w:val="002B0EC1"/>
    <w:rsid w:val="002B0F52"/>
    <w:rsid w:val="002B0FAA"/>
    <w:rsid w:val="002B0FDA"/>
    <w:rsid w:val="002B10EF"/>
    <w:rsid w:val="002B119D"/>
    <w:rsid w:val="002B1248"/>
    <w:rsid w:val="002B13FD"/>
    <w:rsid w:val="002B1729"/>
    <w:rsid w:val="002B1881"/>
    <w:rsid w:val="002B18B1"/>
    <w:rsid w:val="002B18C6"/>
    <w:rsid w:val="002B1CDD"/>
    <w:rsid w:val="002B1EE6"/>
    <w:rsid w:val="002B1F5F"/>
    <w:rsid w:val="002B2036"/>
    <w:rsid w:val="002B20E3"/>
    <w:rsid w:val="002B2195"/>
    <w:rsid w:val="002B21C5"/>
    <w:rsid w:val="002B23B5"/>
    <w:rsid w:val="002B25E3"/>
    <w:rsid w:val="002B25F5"/>
    <w:rsid w:val="002B279F"/>
    <w:rsid w:val="002B27D3"/>
    <w:rsid w:val="002B2939"/>
    <w:rsid w:val="002B2D32"/>
    <w:rsid w:val="002B2D76"/>
    <w:rsid w:val="002B30F4"/>
    <w:rsid w:val="002B33EA"/>
    <w:rsid w:val="002B34E8"/>
    <w:rsid w:val="002B36E5"/>
    <w:rsid w:val="002B379E"/>
    <w:rsid w:val="002B3AE9"/>
    <w:rsid w:val="002B3BBE"/>
    <w:rsid w:val="002B3C40"/>
    <w:rsid w:val="002B3F4D"/>
    <w:rsid w:val="002B4314"/>
    <w:rsid w:val="002B43FB"/>
    <w:rsid w:val="002B468A"/>
    <w:rsid w:val="002B469F"/>
    <w:rsid w:val="002B497D"/>
    <w:rsid w:val="002B4A99"/>
    <w:rsid w:val="002B4ADE"/>
    <w:rsid w:val="002B4DB8"/>
    <w:rsid w:val="002B4EB7"/>
    <w:rsid w:val="002B4EC7"/>
    <w:rsid w:val="002B4F1F"/>
    <w:rsid w:val="002B50D1"/>
    <w:rsid w:val="002B5146"/>
    <w:rsid w:val="002B515E"/>
    <w:rsid w:val="002B517F"/>
    <w:rsid w:val="002B5531"/>
    <w:rsid w:val="002B5755"/>
    <w:rsid w:val="002B5812"/>
    <w:rsid w:val="002B5871"/>
    <w:rsid w:val="002B58C4"/>
    <w:rsid w:val="002B5A51"/>
    <w:rsid w:val="002B5A5C"/>
    <w:rsid w:val="002B5A5E"/>
    <w:rsid w:val="002B5BD1"/>
    <w:rsid w:val="002B5C2D"/>
    <w:rsid w:val="002B5C59"/>
    <w:rsid w:val="002B5D41"/>
    <w:rsid w:val="002B5E1F"/>
    <w:rsid w:val="002B5E20"/>
    <w:rsid w:val="002B5F1D"/>
    <w:rsid w:val="002B5F34"/>
    <w:rsid w:val="002B615B"/>
    <w:rsid w:val="002B61A0"/>
    <w:rsid w:val="002B61A6"/>
    <w:rsid w:val="002B629F"/>
    <w:rsid w:val="002B6376"/>
    <w:rsid w:val="002B63EA"/>
    <w:rsid w:val="002B647F"/>
    <w:rsid w:val="002B64E3"/>
    <w:rsid w:val="002B64EB"/>
    <w:rsid w:val="002B6573"/>
    <w:rsid w:val="002B678A"/>
    <w:rsid w:val="002B68BE"/>
    <w:rsid w:val="002B68F5"/>
    <w:rsid w:val="002B6A5D"/>
    <w:rsid w:val="002B6AD1"/>
    <w:rsid w:val="002B6C36"/>
    <w:rsid w:val="002B6D4D"/>
    <w:rsid w:val="002B6D55"/>
    <w:rsid w:val="002B6D5D"/>
    <w:rsid w:val="002B74CA"/>
    <w:rsid w:val="002B74D7"/>
    <w:rsid w:val="002B74DB"/>
    <w:rsid w:val="002B76C0"/>
    <w:rsid w:val="002B77F2"/>
    <w:rsid w:val="002B7979"/>
    <w:rsid w:val="002B7A40"/>
    <w:rsid w:val="002B7A61"/>
    <w:rsid w:val="002B7A73"/>
    <w:rsid w:val="002B7A78"/>
    <w:rsid w:val="002B7AB1"/>
    <w:rsid w:val="002B7C3C"/>
    <w:rsid w:val="002B7CDD"/>
    <w:rsid w:val="002B7DC4"/>
    <w:rsid w:val="002B7F78"/>
    <w:rsid w:val="002B7FC3"/>
    <w:rsid w:val="002B7FC4"/>
    <w:rsid w:val="002B7FF4"/>
    <w:rsid w:val="002C00FB"/>
    <w:rsid w:val="002C0202"/>
    <w:rsid w:val="002C0280"/>
    <w:rsid w:val="002C033D"/>
    <w:rsid w:val="002C03A8"/>
    <w:rsid w:val="002C03BD"/>
    <w:rsid w:val="002C044C"/>
    <w:rsid w:val="002C0576"/>
    <w:rsid w:val="002C05DB"/>
    <w:rsid w:val="002C05F9"/>
    <w:rsid w:val="002C0640"/>
    <w:rsid w:val="002C0770"/>
    <w:rsid w:val="002C07A4"/>
    <w:rsid w:val="002C0A75"/>
    <w:rsid w:val="002C0A93"/>
    <w:rsid w:val="002C0AA5"/>
    <w:rsid w:val="002C0BC8"/>
    <w:rsid w:val="002C0BDA"/>
    <w:rsid w:val="002C0C04"/>
    <w:rsid w:val="002C0CE9"/>
    <w:rsid w:val="002C0DBD"/>
    <w:rsid w:val="002C0DF6"/>
    <w:rsid w:val="002C0F47"/>
    <w:rsid w:val="002C0FA7"/>
    <w:rsid w:val="002C1088"/>
    <w:rsid w:val="002C10AA"/>
    <w:rsid w:val="002C1101"/>
    <w:rsid w:val="002C1124"/>
    <w:rsid w:val="002C1230"/>
    <w:rsid w:val="002C130A"/>
    <w:rsid w:val="002C130C"/>
    <w:rsid w:val="002C154C"/>
    <w:rsid w:val="002C15CC"/>
    <w:rsid w:val="002C15E8"/>
    <w:rsid w:val="002C17F0"/>
    <w:rsid w:val="002C18A1"/>
    <w:rsid w:val="002C1D8D"/>
    <w:rsid w:val="002C1E1D"/>
    <w:rsid w:val="002C1E3B"/>
    <w:rsid w:val="002C204D"/>
    <w:rsid w:val="002C205E"/>
    <w:rsid w:val="002C20C9"/>
    <w:rsid w:val="002C21A9"/>
    <w:rsid w:val="002C21E9"/>
    <w:rsid w:val="002C23F9"/>
    <w:rsid w:val="002C2408"/>
    <w:rsid w:val="002C248D"/>
    <w:rsid w:val="002C2519"/>
    <w:rsid w:val="002C263D"/>
    <w:rsid w:val="002C2770"/>
    <w:rsid w:val="002C2820"/>
    <w:rsid w:val="002C28F8"/>
    <w:rsid w:val="002C2931"/>
    <w:rsid w:val="002C29E6"/>
    <w:rsid w:val="002C2BBC"/>
    <w:rsid w:val="002C2D53"/>
    <w:rsid w:val="002C2D79"/>
    <w:rsid w:val="002C3071"/>
    <w:rsid w:val="002C30E8"/>
    <w:rsid w:val="002C3125"/>
    <w:rsid w:val="002C3129"/>
    <w:rsid w:val="002C3141"/>
    <w:rsid w:val="002C3527"/>
    <w:rsid w:val="002C35AB"/>
    <w:rsid w:val="002C35E7"/>
    <w:rsid w:val="002C3733"/>
    <w:rsid w:val="002C3735"/>
    <w:rsid w:val="002C3759"/>
    <w:rsid w:val="002C37C5"/>
    <w:rsid w:val="002C37D1"/>
    <w:rsid w:val="002C3806"/>
    <w:rsid w:val="002C385E"/>
    <w:rsid w:val="002C38D9"/>
    <w:rsid w:val="002C3976"/>
    <w:rsid w:val="002C3A61"/>
    <w:rsid w:val="002C3AA5"/>
    <w:rsid w:val="002C3AF1"/>
    <w:rsid w:val="002C3B70"/>
    <w:rsid w:val="002C3CA4"/>
    <w:rsid w:val="002C3E35"/>
    <w:rsid w:val="002C3F4E"/>
    <w:rsid w:val="002C402B"/>
    <w:rsid w:val="002C421B"/>
    <w:rsid w:val="002C4245"/>
    <w:rsid w:val="002C42A5"/>
    <w:rsid w:val="002C42C1"/>
    <w:rsid w:val="002C42D8"/>
    <w:rsid w:val="002C4443"/>
    <w:rsid w:val="002C44C1"/>
    <w:rsid w:val="002C4526"/>
    <w:rsid w:val="002C45E0"/>
    <w:rsid w:val="002C47E7"/>
    <w:rsid w:val="002C4892"/>
    <w:rsid w:val="002C4899"/>
    <w:rsid w:val="002C495C"/>
    <w:rsid w:val="002C4C96"/>
    <w:rsid w:val="002C4D1B"/>
    <w:rsid w:val="002C4D43"/>
    <w:rsid w:val="002C4E75"/>
    <w:rsid w:val="002C5118"/>
    <w:rsid w:val="002C5185"/>
    <w:rsid w:val="002C524F"/>
    <w:rsid w:val="002C528E"/>
    <w:rsid w:val="002C536F"/>
    <w:rsid w:val="002C53D8"/>
    <w:rsid w:val="002C5465"/>
    <w:rsid w:val="002C5477"/>
    <w:rsid w:val="002C549E"/>
    <w:rsid w:val="002C5682"/>
    <w:rsid w:val="002C56C7"/>
    <w:rsid w:val="002C56F8"/>
    <w:rsid w:val="002C5755"/>
    <w:rsid w:val="002C58CE"/>
    <w:rsid w:val="002C59C9"/>
    <w:rsid w:val="002C5A40"/>
    <w:rsid w:val="002C5A86"/>
    <w:rsid w:val="002C5A8F"/>
    <w:rsid w:val="002C5AE7"/>
    <w:rsid w:val="002C5B41"/>
    <w:rsid w:val="002C5E8A"/>
    <w:rsid w:val="002C5F97"/>
    <w:rsid w:val="002C605F"/>
    <w:rsid w:val="002C60F3"/>
    <w:rsid w:val="002C6194"/>
    <w:rsid w:val="002C61CB"/>
    <w:rsid w:val="002C6241"/>
    <w:rsid w:val="002C625E"/>
    <w:rsid w:val="002C6292"/>
    <w:rsid w:val="002C63D7"/>
    <w:rsid w:val="002C648C"/>
    <w:rsid w:val="002C6692"/>
    <w:rsid w:val="002C683A"/>
    <w:rsid w:val="002C69E3"/>
    <w:rsid w:val="002C6A42"/>
    <w:rsid w:val="002C6DAB"/>
    <w:rsid w:val="002C6E63"/>
    <w:rsid w:val="002C6F71"/>
    <w:rsid w:val="002C6FE1"/>
    <w:rsid w:val="002C7020"/>
    <w:rsid w:val="002C71BA"/>
    <w:rsid w:val="002C71D7"/>
    <w:rsid w:val="002C71E6"/>
    <w:rsid w:val="002C738B"/>
    <w:rsid w:val="002C740D"/>
    <w:rsid w:val="002C7413"/>
    <w:rsid w:val="002C76E0"/>
    <w:rsid w:val="002C77A4"/>
    <w:rsid w:val="002C77AC"/>
    <w:rsid w:val="002C77C4"/>
    <w:rsid w:val="002C7A0F"/>
    <w:rsid w:val="002C7A56"/>
    <w:rsid w:val="002C7B06"/>
    <w:rsid w:val="002C7B1A"/>
    <w:rsid w:val="002C7B89"/>
    <w:rsid w:val="002C7C02"/>
    <w:rsid w:val="002C7D52"/>
    <w:rsid w:val="002C7E80"/>
    <w:rsid w:val="002C7F00"/>
    <w:rsid w:val="002C7F0C"/>
    <w:rsid w:val="002C7F6B"/>
    <w:rsid w:val="002C7F7D"/>
    <w:rsid w:val="002D008D"/>
    <w:rsid w:val="002D00EF"/>
    <w:rsid w:val="002D0106"/>
    <w:rsid w:val="002D0134"/>
    <w:rsid w:val="002D0487"/>
    <w:rsid w:val="002D0548"/>
    <w:rsid w:val="002D05C7"/>
    <w:rsid w:val="002D05DE"/>
    <w:rsid w:val="002D06F2"/>
    <w:rsid w:val="002D075D"/>
    <w:rsid w:val="002D0760"/>
    <w:rsid w:val="002D076E"/>
    <w:rsid w:val="002D091B"/>
    <w:rsid w:val="002D0BFE"/>
    <w:rsid w:val="002D0C03"/>
    <w:rsid w:val="002D0C2F"/>
    <w:rsid w:val="002D0C38"/>
    <w:rsid w:val="002D0CA9"/>
    <w:rsid w:val="002D0DEE"/>
    <w:rsid w:val="002D1077"/>
    <w:rsid w:val="002D10B8"/>
    <w:rsid w:val="002D1166"/>
    <w:rsid w:val="002D12F0"/>
    <w:rsid w:val="002D1457"/>
    <w:rsid w:val="002D166E"/>
    <w:rsid w:val="002D1797"/>
    <w:rsid w:val="002D17D8"/>
    <w:rsid w:val="002D1940"/>
    <w:rsid w:val="002D1A95"/>
    <w:rsid w:val="002D1B17"/>
    <w:rsid w:val="002D1B4A"/>
    <w:rsid w:val="002D1DE1"/>
    <w:rsid w:val="002D1EC5"/>
    <w:rsid w:val="002D1EFF"/>
    <w:rsid w:val="002D1F02"/>
    <w:rsid w:val="002D1F32"/>
    <w:rsid w:val="002D2061"/>
    <w:rsid w:val="002D21C0"/>
    <w:rsid w:val="002D223E"/>
    <w:rsid w:val="002D224D"/>
    <w:rsid w:val="002D22A2"/>
    <w:rsid w:val="002D23E4"/>
    <w:rsid w:val="002D23E8"/>
    <w:rsid w:val="002D269C"/>
    <w:rsid w:val="002D2760"/>
    <w:rsid w:val="002D27F1"/>
    <w:rsid w:val="002D2877"/>
    <w:rsid w:val="002D2895"/>
    <w:rsid w:val="002D28FE"/>
    <w:rsid w:val="002D292B"/>
    <w:rsid w:val="002D2965"/>
    <w:rsid w:val="002D2D64"/>
    <w:rsid w:val="002D2EBF"/>
    <w:rsid w:val="002D2ED1"/>
    <w:rsid w:val="002D2F63"/>
    <w:rsid w:val="002D30A8"/>
    <w:rsid w:val="002D32BE"/>
    <w:rsid w:val="002D33D5"/>
    <w:rsid w:val="002D35DD"/>
    <w:rsid w:val="002D362F"/>
    <w:rsid w:val="002D3630"/>
    <w:rsid w:val="002D37CF"/>
    <w:rsid w:val="002D3805"/>
    <w:rsid w:val="002D38B4"/>
    <w:rsid w:val="002D38E9"/>
    <w:rsid w:val="002D394B"/>
    <w:rsid w:val="002D39D0"/>
    <w:rsid w:val="002D3C1E"/>
    <w:rsid w:val="002D3C43"/>
    <w:rsid w:val="002D3C7C"/>
    <w:rsid w:val="002D3C94"/>
    <w:rsid w:val="002D3CF2"/>
    <w:rsid w:val="002D3CFC"/>
    <w:rsid w:val="002D3DE2"/>
    <w:rsid w:val="002D3FAA"/>
    <w:rsid w:val="002D404D"/>
    <w:rsid w:val="002D40BD"/>
    <w:rsid w:val="002D41E0"/>
    <w:rsid w:val="002D44EC"/>
    <w:rsid w:val="002D45FF"/>
    <w:rsid w:val="002D4802"/>
    <w:rsid w:val="002D4803"/>
    <w:rsid w:val="002D4812"/>
    <w:rsid w:val="002D4A45"/>
    <w:rsid w:val="002D4AC5"/>
    <w:rsid w:val="002D4B17"/>
    <w:rsid w:val="002D4CA0"/>
    <w:rsid w:val="002D4D93"/>
    <w:rsid w:val="002D4F5F"/>
    <w:rsid w:val="002D4FE0"/>
    <w:rsid w:val="002D51AC"/>
    <w:rsid w:val="002D5260"/>
    <w:rsid w:val="002D53E8"/>
    <w:rsid w:val="002D53FA"/>
    <w:rsid w:val="002D5400"/>
    <w:rsid w:val="002D5536"/>
    <w:rsid w:val="002D558B"/>
    <w:rsid w:val="002D55FD"/>
    <w:rsid w:val="002D56E9"/>
    <w:rsid w:val="002D57D9"/>
    <w:rsid w:val="002D585B"/>
    <w:rsid w:val="002D58D4"/>
    <w:rsid w:val="002D58E3"/>
    <w:rsid w:val="002D58F2"/>
    <w:rsid w:val="002D59A3"/>
    <w:rsid w:val="002D5A31"/>
    <w:rsid w:val="002D5AEF"/>
    <w:rsid w:val="002D5C7F"/>
    <w:rsid w:val="002D5CB3"/>
    <w:rsid w:val="002D6010"/>
    <w:rsid w:val="002D60A8"/>
    <w:rsid w:val="002D60F4"/>
    <w:rsid w:val="002D61CD"/>
    <w:rsid w:val="002D61ED"/>
    <w:rsid w:val="002D622A"/>
    <w:rsid w:val="002D62AE"/>
    <w:rsid w:val="002D634C"/>
    <w:rsid w:val="002D64E7"/>
    <w:rsid w:val="002D659A"/>
    <w:rsid w:val="002D66D7"/>
    <w:rsid w:val="002D6976"/>
    <w:rsid w:val="002D69B9"/>
    <w:rsid w:val="002D6D38"/>
    <w:rsid w:val="002D6DEB"/>
    <w:rsid w:val="002D6E22"/>
    <w:rsid w:val="002D6E4D"/>
    <w:rsid w:val="002D6E78"/>
    <w:rsid w:val="002D6EE7"/>
    <w:rsid w:val="002D6F0F"/>
    <w:rsid w:val="002D6F62"/>
    <w:rsid w:val="002D6F99"/>
    <w:rsid w:val="002D715C"/>
    <w:rsid w:val="002D7433"/>
    <w:rsid w:val="002D7465"/>
    <w:rsid w:val="002D7507"/>
    <w:rsid w:val="002D76FA"/>
    <w:rsid w:val="002D7745"/>
    <w:rsid w:val="002D79EA"/>
    <w:rsid w:val="002D7B24"/>
    <w:rsid w:val="002D7B78"/>
    <w:rsid w:val="002D7BBC"/>
    <w:rsid w:val="002D7C1D"/>
    <w:rsid w:val="002D7CDB"/>
    <w:rsid w:val="002D7CF7"/>
    <w:rsid w:val="002D7E1D"/>
    <w:rsid w:val="002D7F39"/>
    <w:rsid w:val="002D7FEB"/>
    <w:rsid w:val="002E0175"/>
    <w:rsid w:val="002E018B"/>
    <w:rsid w:val="002E02A2"/>
    <w:rsid w:val="002E02AC"/>
    <w:rsid w:val="002E03A9"/>
    <w:rsid w:val="002E0500"/>
    <w:rsid w:val="002E0550"/>
    <w:rsid w:val="002E0633"/>
    <w:rsid w:val="002E0773"/>
    <w:rsid w:val="002E0986"/>
    <w:rsid w:val="002E09EF"/>
    <w:rsid w:val="002E0A6A"/>
    <w:rsid w:val="002E0C2F"/>
    <w:rsid w:val="002E0D99"/>
    <w:rsid w:val="002E0EF9"/>
    <w:rsid w:val="002E0F55"/>
    <w:rsid w:val="002E0F80"/>
    <w:rsid w:val="002E0FEB"/>
    <w:rsid w:val="002E1007"/>
    <w:rsid w:val="002E114C"/>
    <w:rsid w:val="002E1956"/>
    <w:rsid w:val="002E1A29"/>
    <w:rsid w:val="002E1B2F"/>
    <w:rsid w:val="002E1C28"/>
    <w:rsid w:val="002E1C5F"/>
    <w:rsid w:val="002E1CB0"/>
    <w:rsid w:val="002E1CB9"/>
    <w:rsid w:val="002E1E91"/>
    <w:rsid w:val="002E1F0A"/>
    <w:rsid w:val="002E1F41"/>
    <w:rsid w:val="002E1FAE"/>
    <w:rsid w:val="002E2105"/>
    <w:rsid w:val="002E23FF"/>
    <w:rsid w:val="002E2412"/>
    <w:rsid w:val="002E24D4"/>
    <w:rsid w:val="002E2548"/>
    <w:rsid w:val="002E2593"/>
    <w:rsid w:val="002E25B5"/>
    <w:rsid w:val="002E26A1"/>
    <w:rsid w:val="002E2798"/>
    <w:rsid w:val="002E27C2"/>
    <w:rsid w:val="002E27EF"/>
    <w:rsid w:val="002E28D0"/>
    <w:rsid w:val="002E28F9"/>
    <w:rsid w:val="002E2A20"/>
    <w:rsid w:val="002E2AD8"/>
    <w:rsid w:val="002E2AE4"/>
    <w:rsid w:val="002E2B0B"/>
    <w:rsid w:val="002E2D97"/>
    <w:rsid w:val="002E2F8D"/>
    <w:rsid w:val="002E32A1"/>
    <w:rsid w:val="002E3374"/>
    <w:rsid w:val="002E33D1"/>
    <w:rsid w:val="002E347B"/>
    <w:rsid w:val="002E34DA"/>
    <w:rsid w:val="002E3506"/>
    <w:rsid w:val="002E364E"/>
    <w:rsid w:val="002E3666"/>
    <w:rsid w:val="002E370E"/>
    <w:rsid w:val="002E3844"/>
    <w:rsid w:val="002E3849"/>
    <w:rsid w:val="002E3860"/>
    <w:rsid w:val="002E3BD2"/>
    <w:rsid w:val="002E3C86"/>
    <w:rsid w:val="002E3CE5"/>
    <w:rsid w:val="002E3CF5"/>
    <w:rsid w:val="002E3DC7"/>
    <w:rsid w:val="002E3DD4"/>
    <w:rsid w:val="002E3FB4"/>
    <w:rsid w:val="002E4043"/>
    <w:rsid w:val="002E40BC"/>
    <w:rsid w:val="002E4128"/>
    <w:rsid w:val="002E4164"/>
    <w:rsid w:val="002E41B9"/>
    <w:rsid w:val="002E4251"/>
    <w:rsid w:val="002E436D"/>
    <w:rsid w:val="002E44CF"/>
    <w:rsid w:val="002E4511"/>
    <w:rsid w:val="002E4530"/>
    <w:rsid w:val="002E45E9"/>
    <w:rsid w:val="002E465B"/>
    <w:rsid w:val="002E46E2"/>
    <w:rsid w:val="002E47F8"/>
    <w:rsid w:val="002E4891"/>
    <w:rsid w:val="002E4A0C"/>
    <w:rsid w:val="002E4A73"/>
    <w:rsid w:val="002E506C"/>
    <w:rsid w:val="002E5260"/>
    <w:rsid w:val="002E5353"/>
    <w:rsid w:val="002E53ED"/>
    <w:rsid w:val="002E541B"/>
    <w:rsid w:val="002E54FD"/>
    <w:rsid w:val="002E5624"/>
    <w:rsid w:val="002E575F"/>
    <w:rsid w:val="002E57D9"/>
    <w:rsid w:val="002E58E3"/>
    <w:rsid w:val="002E59FE"/>
    <w:rsid w:val="002E5E75"/>
    <w:rsid w:val="002E5F41"/>
    <w:rsid w:val="002E5F91"/>
    <w:rsid w:val="002E60B4"/>
    <w:rsid w:val="002E61D7"/>
    <w:rsid w:val="002E639E"/>
    <w:rsid w:val="002E6403"/>
    <w:rsid w:val="002E640B"/>
    <w:rsid w:val="002E656D"/>
    <w:rsid w:val="002E6575"/>
    <w:rsid w:val="002E6701"/>
    <w:rsid w:val="002E6809"/>
    <w:rsid w:val="002E686C"/>
    <w:rsid w:val="002E68B1"/>
    <w:rsid w:val="002E68C9"/>
    <w:rsid w:val="002E6960"/>
    <w:rsid w:val="002E6962"/>
    <w:rsid w:val="002E6A88"/>
    <w:rsid w:val="002E6CFF"/>
    <w:rsid w:val="002E6E85"/>
    <w:rsid w:val="002E705A"/>
    <w:rsid w:val="002E72F6"/>
    <w:rsid w:val="002E7490"/>
    <w:rsid w:val="002E7497"/>
    <w:rsid w:val="002E75AF"/>
    <w:rsid w:val="002E7627"/>
    <w:rsid w:val="002E78B4"/>
    <w:rsid w:val="002E78BA"/>
    <w:rsid w:val="002E7BE9"/>
    <w:rsid w:val="002E7D17"/>
    <w:rsid w:val="002E7D88"/>
    <w:rsid w:val="002E7EE3"/>
    <w:rsid w:val="002E7F47"/>
    <w:rsid w:val="002F0055"/>
    <w:rsid w:val="002F01C4"/>
    <w:rsid w:val="002F02B0"/>
    <w:rsid w:val="002F0302"/>
    <w:rsid w:val="002F0329"/>
    <w:rsid w:val="002F03CB"/>
    <w:rsid w:val="002F0784"/>
    <w:rsid w:val="002F07FC"/>
    <w:rsid w:val="002F0867"/>
    <w:rsid w:val="002F08F5"/>
    <w:rsid w:val="002F0907"/>
    <w:rsid w:val="002F0ACF"/>
    <w:rsid w:val="002F0AFA"/>
    <w:rsid w:val="002F0B9D"/>
    <w:rsid w:val="002F0BD8"/>
    <w:rsid w:val="002F0FF6"/>
    <w:rsid w:val="002F118E"/>
    <w:rsid w:val="002F127F"/>
    <w:rsid w:val="002F1453"/>
    <w:rsid w:val="002F15AB"/>
    <w:rsid w:val="002F15BE"/>
    <w:rsid w:val="002F1636"/>
    <w:rsid w:val="002F1678"/>
    <w:rsid w:val="002F16F6"/>
    <w:rsid w:val="002F18D1"/>
    <w:rsid w:val="002F1961"/>
    <w:rsid w:val="002F196E"/>
    <w:rsid w:val="002F19E5"/>
    <w:rsid w:val="002F1AD1"/>
    <w:rsid w:val="002F1BBD"/>
    <w:rsid w:val="002F1C35"/>
    <w:rsid w:val="002F1C6A"/>
    <w:rsid w:val="002F1CA2"/>
    <w:rsid w:val="002F1DB5"/>
    <w:rsid w:val="002F1E12"/>
    <w:rsid w:val="002F1E6E"/>
    <w:rsid w:val="002F1F64"/>
    <w:rsid w:val="002F1F78"/>
    <w:rsid w:val="002F20A3"/>
    <w:rsid w:val="002F20F7"/>
    <w:rsid w:val="002F21C0"/>
    <w:rsid w:val="002F2209"/>
    <w:rsid w:val="002F222F"/>
    <w:rsid w:val="002F2281"/>
    <w:rsid w:val="002F2395"/>
    <w:rsid w:val="002F2413"/>
    <w:rsid w:val="002F25C1"/>
    <w:rsid w:val="002F25E4"/>
    <w:rsid w:val="002F2661"/>
    <w:rsid w:val="002F2788"/>
    <w:rsid w:val="002F2880"/>
    <w:rsid w:val="002F28D4"/>
    <w:rsid w:val="002F2A9E"/>
    <w:rsid w:val="002F2D5A"/>
    <w:rsid w:val="002F2D82"/>
    <w:rsid w:val="002F2E75"/>
    <w:rsid w:val="002F2FBA"/>
    <w:rsid w:val="002F309F"/>
    <w:rsid w:val="002F34D3"/>
    <w:rsid w:val="002F366D"/>
    <w:rsid w:val="002F368F"/>
    <w:rsid w:val="002F3780"/>
    <w:rsid w:val="002F387C"/>
    <w:rsid w:val="002F389C"/>
    <w:rsid w:val="002F3931"/>
    <w:rsid w:val="002F3B05"/>
    <w:rsid w:val="002F3D24"/>
    <w:rsid w:val="002F3E3F"/>
    <w:rsid w:val="002F3EA7"/>
    <w:rsid w:val="002F3F59"/>
    <w:rsid w:val="002F40C7"/>
    <w:rsid w:val="002F41BE"/>
    <w:rsid w:val="002F4202"/>
    <w:rsid w:val="002F429A"/>
    <w:rsid w:val="002F43C3"/>
    <w:rsid w:val="002F4506"/>
    <w:rsid w:val="002F461C"/>
    <w:rsid w:val="002F49CD"/>
    <w:rsid w:val="002F4B4A"/>
    <w:rsid w:val="002F4BCD"/>
    <w:rsid w:val="002F4D21"/>
    <w:rsid w:val="002F4DFB"/>
    <w:rsid w:val="002F4E58"/>
    <w:rsid w:val="002F4E60"/>
    <w:rsid w:val="002F4FA1"/>
    <w:rsid w:val="002F50C3"/>
    <w:rsid w:val="002F50E3"/>
    <w:rsid w:val="002F5138"/>
    <w:rsid w:val="002F5286"/>
    <w:rsid w:val="002F535A"/>
    <w:rsid w:val="002F53A4"/>
    <w:rsid w:val="002F55B9"/>
    <w:rsid w:val="002F5607"/>
    <w:rsid w:val="002F5628"/>
    <w:rsid w:val="002F5769"/>
    <w:rsid w:val="002F599E"/>
    <w:rsid w:val="002F5A67"/>
    <w:rsid w:val="002F5B17"/>
    <w:rsid w:val="002F5B64"/>
    <w:rsid w:val="002F5B83"/>
    <w:rsid w:val="002F5BDF"/>
    <w:rsid w:val="002F5C42"/>
    <w:rsid w:val="002F5CD2"/>
    <w:rsid w:val="002F5D9C"/>
    <w:rsid w:val="002F5E3F"/>
    <w:rsid w:val="002F6001"/>
    <w:rsid w:val="002F601E"/>
    <w:rsid w:val="002F6210"/>
    <w:rsid w:val="002F6218"/>
    <w:rsid w:val="002F6227"/>
    <w:rsid w:val="002F62C9"/>
    <w:rsid w:val="002F6447"/>
    <w:rsid w:val="002F6448"/>
    <w:rsid w:val="002F6477"/>
    <w:rsid w:val="002F664C"/>
    <w:rsid w:val="002F68FC"/>
    <w:rsid w:val="002F6CC9"/>
    <w:rsid w:val="002F6D72"/>
    <w:rsid w:val="002F6E35"/>
    <w:rsid w:val="002F6E7D"/>
    <w:rsid w:val="002F6EDD"/>
    <w:rsid w:val="002F705D"/>
    <w:rsid w:val="002F72C8"/>
    <w:rsid w:val="002F7312"/>
    <w:rsid w:val="002F742F"/>
    <w:rsid w:val="002F7440"/>
    <w:rsid w:val="002F7908"/>
    <w:rsid w:val="002F7914"/>
    <w:rsid w:val="002F798B"/>
    <w:rsid w:val="002F7AC4"/>
    <w:rsid w:val="002F7C24"/>
    <w:rsid w:val="002F7C63"/>
    <w:rsid w:val="002F7CB1"/>
    <w:rsid w:val="002F7E1C"/>
    <w:rsid w:val="002F7E27"/>
    <w:rsid w:val="002F7EA6"/>
    <w:rsid w:val="002F7EDA"/>
    <w:rsid w:val="00300471"/>
    <w:rsid w:val="00300678"/>
    <w:rsid w:val="003006C2"/>
    <w:rsid w:val="00300708"/>
    <w:rsid w:val="0030076A"/>
    <w:rsid w:val="003007E5"/>
    <w:rsid w:val="00300842"/>
    <w:rsid w:val="00300900"/>
    <w:rsid w:val="00300A3E"/>
    <w:rsid w:val="00300A78"/>
    <w:rsid w:val="00300B09"/>
    <w:rsid w:val="00300CC1"/>
    <w:rsid w:val="00300E31"/>
    <w:rsid w:val="00300E38"/>
    <w:rsid w:val="00300EC5"/>
    <w:rsid w:val="0030113C"/>
    <w:rsid w:val="003011E9"/>
    <w:rsid w:val="0030122D"/>
    <w:rsid w:val="003013EF"/>
    <w:rsid w:val="00301503"/>
    <w:rsid w:val="0030160D"/>
    <w:rsid w:val="00301690"/>
    <w:rsid w:val="003016E2"/>
    <w:rsid w:val="00301AA1"/>
    <w:rsid w:val="00302065"/>
    <w:rsid w:val="003020F9"/>
    <w:rsid w:val="00302198"/>
    <w:rsid w:val="003021ED"/>
    <w:rsid w:val="00302217"/>
    <w:rsid w:val="00302272"/>
    <w:rsid w:val="00302378"/>
    <w:rsid w:val="00302423"/>
    <w:rsid w:val="003024A0"/>
    <w:rsid w:val="003024CB"/>
    <w:rsid w:val="003025A9"/>
    <w:rsid w:val="00302681"/>
    <w:rsid w:val="00302710"/>
    <w:rsid w:val="003028F4"/>
    <w:rsid w:val="00302903"/>
    <w:rsid w:val="00302953"/>
    <w:rsid w:val="003029B2"/>
    <w:rsid w:val="00302BE6"/>
    <w:rsid w:val="00302BFA"/>
    <w:rsid w:val="00302CC7"/>
    <w:rsid w:val="00302D38"/>
    <w:rsid w:val="00302F03"/>
    <w:rsid w:val="00302FAA"/>
    <w:rsid w:val="00303047"/>
    <w:rsid w:val="003030AC"/>
    <w:rsid w:val="0030337D"/>
    <w:rsid w:val="0030339A"/>
    <w:rsid w:val="003039A9"/>
    <w:rsid w:val="00303AD5"/>
    <w:rsid w:val="00303D75"/>
    <w:rsid w:val="00303E10"/>
    <w:rsid w:val="00303E85"/>
    <w:rsid w:val="00303EBC"/>
    <w:rsid w:val="00303F44"/>
    <w:rsid w:val="00303F52"/>
    <w:rsid w:val="0030414A"/>
    <w:rsid w:val="003041AB"/>
    <w:rsid w:val="00304459"/>
    <w:rsid w:val="00304484"/>
    <w:rsid w:val="00304931"/>
    <w:rsid w:val="00304953"/>
    <w:rsid w:val="00304A22"/>
    <w:rsid w:val="00304AE8"/>
    <w:rsid w:val="00304BAF"/>
    <w:rsid w:val="00304F36"/>
    <w:rsid w:val="00304FA2"/>
    <w:rsid w:val="00305079"/>
    <w:rsid w:val="00305162"/>
    <w:rsid w:val="0030517E"/>
    <w:rsid w:val="00305293"/>
    <w:rsid w:val="0030537B"/>
    <w:rsid w:val="00305393"/>
    <w:rsid w:val="0030545F"/>
    <w:rsid w:val="003054A8"/>
    <w:rsid w:val="0030567B"/>
    <w:rsid w:val="00305723"/>
    <w:rsid w:val="003058DA"/>
    <w:rsid w:val="0030592C"/>
    <w:rsid w:val="0030595B"/>
    <w:rsid w:val="00305A42"/>
    <w:rsid w:val="00305A59"/>
    <w:rsid w:val="00305B65"/>
    <w:rsid w:val="00305C08"/>
    <w:rsid w:val="00305DC2"/>
    <w:rsid w:val="00305E16"/>
    <w:rsid w:val="00305FC1"/>
    <w:rsid w:val="003060D5"/>
    <w:rsid w:val="00306209"/>
    <w:rsid w:val="00306230"/>
    <w:rsid w:val="003062F6"/>
    <w:rsid w:val="003065B4"/>
    <w:rsid w:val="00306704"/>
    <w:rsid w:val="0030679F"/>
    <w:rsid w:val="003067A5"/>
    <w:rsid w:val="00306877"/>
    <w:rsid w:val="003068E9"/>
    <w:rsid w:val="00306A94"/>
    <w:rsid w:val="00306AC5"/>
    <w:rsid w:val="00306AF1"/>
    <w:rsid w:val="00306BA4"/>
    <w:rsid w:val="00306C4A"/>
    <w:rsid w:val="00306CDF"/>
    <w:rsid w:val="00306D2D"/>
    <w:rsid w:val="0030714F"/>
    <w:rsid w:val="003071D9"/>
    <w:rsid w:val="003072D7"/>
    <w:rsid w:val="00307358"/>
    <w:rsid w:val="003073C7"/>
    <w:rsid w:val="00307427"/>
    <w:rsid w:val="00307553"/>
    <w:rsid w:val="0030759C"/>
    <w:rsid w:val="0030760C"/>
    <w:rsid w:val="003078A2"/>
    <w:rsid w:val="003079A5"/>
    <w:rsid w:val="00307A54"/>
    <w:rsid w:val="00307BC0"/>
    <w:rsid w:val="00307DDA"/>
    <w:rsid w:val="003101C2"/>
    <w:rsid w:val="00310204"/>
    <w:rsid w:val="0031033B"/>
    <w:rsid w:val="003103F2"/>
    <w:rsid w:val="003104A9"/>
    <w:rsid w:val="003104F0"/>
    <w:rsid w:val="00310672"/>
    <w:rsid w:val="00310708"/>
    <w:rsid w:val="003109A4"/>
    <w:rsid w:val="00310A99"/>
    <w:rsid w:val="00310AA3"/>
    <w:rsid w:val="00310CDF"/>
    <w:rsid w:val="00310E9B"/>
    <w:rsid w:val="00310EA9"/>
    <w:rsid w:val="00310F14"/>
    <w:rsid w:val="0031102A"/>
    <w:rsid w:val="003110A0"/>
    <w:rsid w:val="00311368"/>
    <w:rsid w:val="0031147C"/>
    <w:rsid w:val="0031186B"/>
    <w:rsid w:val="00311975"/>
    <w:rsid w:val="003119AA"/>
    <w:rsid w:val="00311AEB"/>
    <w:rsid w:val="00311BD5"/>
    <w:rsid w:val="00311E91"/>
    <w:rsid w:val="00311F28"/>
    <w:rsid w:val="00311FA0"/>
    <w:rsid w:val="00312044"/>
    <w:rsid w:val="00312076"/>
    <w:rsid w:val="00312084"/>
    <w:rsid w:val="003121BD"/>
    <w:rsid w:val="0031226E"/>
    <w:rsid w:val="003122E3"/>
    <w:rsid w:val="00312417"/>
    <w:rsid w:val="003124AF"/>
    <w:rsid w:val="00312569"/>
    <w:rsid w:val="003125A4"/>
    <w:rsid w:val="0031263C"/>
    <w:rsid w:val="00312875"/>
    <w:rsid w:val="00312924"/>
    <w:rsid w:val="00312C28"/>
    <w:rsid w:val="00312D2E"/>
    <w:rsid w:val="00312E92"/>
    <w:rsid w:val="00312F9A"/>
    <w:rsid w:val="0031305E"/>
    <w:rsid w:val="00313359"/>
    <w:rsid w:val="00313363"/>
    <w:rsid w:val="003134C1"/>
    <w:rsid w:val="003138D2"/>
    <w:rsid w:val="003138E3"/>
    <w:rsid w:val="00313922"/>
    <w:rsid w:val="00313AFD"/>
    <w:rsid w:val="00313BAB"/>
    <w:rsid w:val="00313BB6"/>
    <w:rsid w:val="00313C31"/>
    <w:rsid w:val="00313C33"/>
    <w:rsid w:val="00313E1C"/>
    <w:rsid w:val="00314033"/>
    <w:rsid w:val="00314062"/>
    <w:rsid w:val="003140DD"/>
    <w:rsid w:val="003140FA"/>
    <w:rsid w:val="0031425D"/>
    <w:rsid w:val="00314282"/>
    <w:rsid w:val="003144FA"/>
    <w:rsid w:val="00314863"/>
    <w:rsid w:val="00314869"/>
    <w:rsid w:val="00314888"/>
    <w:rsid w:val="0031488E"/>
    <w:rsid w:val="00314ABD"/>
    <w:rsid w:val="00314B76"/>
    <w:rsid w:val="00314B82"/>
    <w:rsid w:val="00314CE9"/>
    <w:rsid w:val="00314D79"/>
    <w:rsid w:val="00314E1D"/>
    <w:rsid w:val="00314E76"/>
    <w:rsid w:val="00314F80"/>
    <w:rsid w:val="003150F2"/>
    <w:rsid w:val="00315266"/>
    <w:rsid w:val="00315360"/>
    <w:rsid w:val="003158D3"/>
    <w:rsid w:val="00315937"/>
    <w:rsid w:val="00315953"/>
    <w:rsid w:val="00315BAE"/>
    <w:rsid w:val="00315C68"/>
    <w:rsid w:val="00315DB9"/>
    <w:rsid w:val="00315F94"/>
    <w:rsid w:val="003160DA"/>
    <w:rsid w:val="00316175"/>
    <w:rsid w:val="003162F8"/>
    <w:rsid w:val="00316478"/>
    <w:rsid w:val="003164BF"/>
    <w:rsid w:val="00316525"/>
    <w:rsid w:val="0031667A"/>
    <w:rsid w:val="0031676A"/>
    <w:rsid w:val="0031676F"/>
    <w:rsid w:val="003167B4"/>
    <w:rsid w:val="00316817"/>
    <w:rsid w:val="00316840"/>
    <w:rsid w:val="003168C1"/>
    <w:rsid w:val="003169A3"/>
    <w:rsid w:val="00316A35"/>
    <w:rsid w:val="00316C52"/>
    <w:rsid w:val="00316D14"/>
    <w:rsid w:val="00316DB8"/>
    <w:rsid w:val="0031700E"/>
    <w:rsid w:val="00317133"/>
    <w:rsid w:val="0031716F"/>
    <w:rsid w:val="00317197"/>
    <w:rsid w:val="003171F0"/>
    <w:rsid w:val="0031722F"/>
    <w:rsid w:val="0031725C"/>
    <w:rsid w:val="003172C9"/>
    <w:rsid w:val="00317385"/>
    <w:rsid w:val="0031742B"/>
    <w:rsid w:val="0031745F"/>
    <w:rsid w:val="00317489"/>
    <w:rsid w:val="0031751D"/>
    <w:rsid w:val="00317538"/>
    <w:rsid w:val="0031759D"/>
    <w:rsid w:val="00317658"/>
    <w:rsid w:val="00317669"/>
    <w:rsid w:val="00317A1E"/>
    <w:rsid w:val="00317A89"/>
    <w:rsid w:val="00317C31"/>
    <w:rsid w:val="00317D15"/>
    <w:rsid w:val="00317E9A"/>
    <w:rsid w:val="00317F11"/>
    <w:rsid w:val="00317F84"/>
    <w:rsid w:val="00320114"/>
    <w:rsid w:val="00320412"/>
    <w:rsid w:val="00320468"/>
    <w:rsid w:val="003208FE"/>
    <w:rsid w:val="0032099D"/>
    <w:rsid w:val="003209B2"/>
    <w:rsid w:val="00320A19"/>
    <w:rsid w:val="00320B38"/>
    <w:rsid w:val="00320B60"/>
    <w:rsid w:val="00320CA7"/>
    <w:rsid w:val="00320CF4"/>
    <w:rsid w:val="00320E32"/>
    <w:rsid w:val="00320E9A"/>
    <w:rsid w:val="00320FE3"/>
    <w:rsid w:val="003210A1"/>
    <w:rsid w:val="00321182"/>
    <w:rsid w:val="0032132A"/>
    <w:rsid w:val="0032137E"/>
    <w:rsid w:val="0032150A"/>
    <w:rsid w:val="00321712"/>
    <w:rsid w:val="0032173D"/>
    <w:rsid w:val="00321C2A"/>
    <w:rsid w:val="00321C78"/>
    <w:rsid w:val="00321E01"/>
    <w:rsid w:val="00321ECC"/>
    <w:rsid w:val="00321EFB"/>
    <w:rsid w:val="0032209E"/>
    <w:rsid w:val="0032227B"/>
    <w:rsid w:val="003222D5"/>
    <w:rsid w:val="00322335"/>
    <w:rsid w:val="00322472"/>
    <w:rsid w:val="0032252C"/>
    <w:rsid w:val="00322656"/>
    <w:rsid w:val="00322996"/>
    <w:rsid w:val="00322A5E"/>
    <w:rsid w:val="00322A6D"/>
    <w:rsid w:val="00322A75"/>
    <w:rsid w:val="00322BCC"/>
    <w:rsid w:val="00322E3B"/>
    <w:rsid w:val="00322E45"/>
    <w:rsid w:val="00322ECE"/>
    <w:rsid w:val="00322FE0"/>
    <w:rsid w:val="0032306A"/>
    <w:rsid w:val="003230D4"/>
    <w:rsid w:val="0032312C"/>
    <w:rsid w:val="003231F6"/>
    <w:rsid w:val="0032323F"/>
    <w:rsid w:val="00323390"/>
    <w:rsid w:val="00323405"/>
    <w:rsid w:val="00323435"/>
    <w:rsid w:val="00323662"/>
    <w:rsid w:val="003237A2"/>
    <w:rsid w:val="00323901"/>
    <w:rsid w:val="003239C6"/>
    <w:rsid w:val="00323A83"/>
    <w:rsid w:val="00323A94"/>
    <w:rsid w:val="00323B0C"/>
    <w:rsid w:val="00323BCC"/>
    <w:rsid w:val="00323BE2"/>
    <w:rsid w:val="00323EB0"/>
    <w:rsid w:val="00323F4C"/>
    <w:rsid w:val="00323F90"/>
    <w:rsid w:val="003240B6"/>
    <w:rsid w:val="0032411E"/>
    <w:rsid w:val="00324153"/>
    <w:rsid w:val="003242E5"/>
    <w:rsid w:val="00324422"/>
    <w:rsid w:val="003244AF"/>
    <w:rsid w:val="003244E7"/>
    <w:rsid w:val="003244F4"/>
    <w:rsid w:val="00324520"/>
    <w:rsid w:val="003247F6"/>
    <w:rsid w:val="00324892"/>
    <w:rsid w:val="00324906"/>
    <w:rsid w:val="00324CBF"/>
    <w:rsid w:val="00324D34"/>
    <w:rsid w:val="00324DBA"/>
    <w:rsid w:val="00324E2D"/>
    <w:rsid w:val="00325160"/>
    <w:rsid w:val="00325174"/>
    <w:rsid w:val="0032542D"/>
    <w:rsid w:val="003255D3"/>
    <w:rsid w:val="0032577C"/>
    <w:rsid w:val="00325868"/>
    <w:rsid w:val="00325996"/>
    <w:rsid w:val="003259DF"/>
    <w:rsid w:val="00325A2C"/>
    <w:rsid w:val="00325A3E"/>
    <w:rsid w:val="00325ABE"/>
    <w:rsid w:val="00325C1E"/>
    <w:rsid w:val="00325C3D"/>
    <w:rsid w:val="00325CF7"/>
    <w:rsid w:val="00325E6A"/>
    <w:rsid w:val="0032618F"/>
    <w:rsid w:val="0032634E"/>
    <w:rsid w:val="003263DC"/>
    <w:rsid w:val="00326553"/>
    <w:rsid w:val="003265CF"/>
    <w:rsid w:val="0032672F"/>
    <w:rsid w:val="0032686D"/>
    <w:rsid w:val="003268E2"/>
    <w:rsid w:val="00326A24"/>
    <w:rsid w:val="00326AAF"/>
    <w:rsid w:val="00326D83"/>
    <w:rsid w:val="00326D88"/>
    <w:rsid w:val="00326E6F"/>
    <w:rsid w:val="00326E72"/>
    <w:rsid w:val="00326E84"/>
    <w:rsid w:val="00326F8F"/>
    <w:rsid w:val="00327079"/>
    <w:rsid w:val="00327190"/>
    <w:rsid w:val="0032720C"/>
    <w:rsid w:val="0032729C"/>
    <w:rsid w:val="0032747A"/>
    <w:rsid w:val="003275EA"/>
    <w:rsid w:val="00327627"/>
    <w:rsid w:val="00327749"/>
    <w:rsid w:val="00327954"/>
    <w:rsid w:val="00327A58"/>
    <w:rsid w:val="00327AC5"/>
    <w:rsid w:val="00327C18"/>
    <w:rsid w:val="00327C64"/>
    <w:rsid w:val="00327F5E"/>
    <w:rsid w:val="00327FED"/>
    <w:rsid w:val="0033002E"/>
    <w:rsid w:val="003300E8"/>
    <w:rsid w:val="0033017B"/>
    <w:rsid w:val="0033021A"/>
    <w:rsid w:val="003302F4"/>
    <w:rsid w:val="0033034C"/>
    <w:rsid w:val="00330509"/>
    <w:rsid w:val="0033052E"/>
    <w:rsid w:val="0033083B"/>
    <w:rsid w:val="00330A6E"/>
    <w:rsid w:val="00330B30"/>
    <w:rsid w:val="00330B72"/>
    <w:rsid w:val="00330D18"/>
    <w:rsid w:val="00330DB9"/>
    <w:rsid w:val="00330DCD"/>
    <w:rsid w:val="00330FCF"/>
    <w:rsid w:val="00331208"/>
    <w:rsid w:val="003312CD"/>
    <w:rsid w:val="003313C7"/>
    <w:rsid w:val="0033140F"/>
    <w:rsid w:val="00331450"/>
    <w:rsid w:val="003314B9"/>
    <w:rsid w:val="0033166E"/>
    <w:rsid w:val="0033191C"/>
    <w:rsid w:val="00331982"/>
    <w:rsid w:val="00331CC7"/>
    <w:rsid w:val="00331D28"/>
    <w:rsid w:val="00331F07"/>
    <w:rsid w:val="00331F28"/>
    <w:rsid w:val="00331F42"/>
    <w:rsid w:val="003320DA"/>
    <w:rsid w:val="003320E4"/>
    <w:rsid w:val="00332190"/>
    <w:rsid w:val="0033220B"/>
    <w:rsid w:val="0033223F"/>
    <w:rsid w:val="00332353"/>
    <w:rsid w:val="00332663"/>
    <w:rsid w:val="00332677"/>
    <w:rsid w:val="003326EA"/>
    <w:rsid w:val="00332901"/>
    <w:rsid w:val="0033293E"/>
    <w:rsid w:val="0033297B"/>
    <w:rsid w:val="00332993"/>
    <w:rsid w:val="003329AB"/>
    <w:rsid w:val="00332A1F"/>
    <w:rsid w:val="00332CA4"/>
    <w:rsid w:val="00332EA0"/>
    <w:rsid w:val="00332F66"/>
    <w:rsid w:val="00332F72"/>
    <w:rsid w:val="00332FB8"/>
    <w:rsid w:val="003334C7"/>
    <w:rsid w:val="0033360B"/>
    <w:rsid w:val="00333623"/>
    <w:rsid w:val="0033362D"/>
    <w:rsid w:val="00333665"/>
    <w:rsid w:val="00333720"/>
    <w:rsid w:val="00333A81"/>
    <w:rsid w:val="00333B1A"/>
    <w:rsid w:val="00333EC2"/>
    <w:rsid w:val="00333ED6"/>
    <w:rsid w:val="00333EF6"/>
    <w:rsid w:val="00334085"/>
    <w:rsid w:val="00334190"/>
    <w:rsid w:val="00334499"/>
    <w:rsid w:val="00334540"/>
    <w:rsid w:val="00334828"/>
    <w:rsid w:val="00334899"/>
    <w:rsid w:val="00334B4F"/>
    <w:rsid w:val="00334C61"/>
    <w:rsid w:val="00334CBF"/>
    <w:rsid w:val="00334D1D"/>
    <w:rsid w:val="00334E22"/>
    <w:rsid w:val="00334E30"/>
    <w:rsid w:val="00334F4B"/>
    <w:rsid w:val="00334FE9"/>
    <w:rsid w:val="00335030"/>
    <w:rsid w:val="0033533F"/>
    <w:rsid w:val="0033545F"/>
    <w:rsid w:val="003354BB"/>
    <w:rsid w:val="00335597"/>
    <w:rsid w:val="003355ED"/>
    <w:rsid w:val="003356DF"/>
    <w:rsid w:val="003356FD"/>
    <w:rsid w:val="00335761"/>
    <w:rsid w:val="0033587D"/>
    <w:rsid w:val="003358C5"/>
    <w:rsid w:val="003358C8"/>
    <w:rsid w:val="003358D4"/>
    <w:rsid w:val="003359C6"/>
    <w:rsid w:val="00335B34"/>
    <w:rsid w:val="00335D60"/>
    <w:rsid w:val="00335DBA"/>
    <w:rsid w:val="00335E06"/>
    <w:rsid w:val="00335EBA"/>
    <w:rsid w:val="0033617F"/>
    <w:rsid w:val="00336189"/>
    <w:rsid w:val="00336400"/>
    <w:rsid w:val="00336463"/>
    <w:rsid w:val="003366CC"/>
    <w:rsid w:val="003366F7"/>
    <w:rsid w:val="00336778"/>
    <w:rsid w:val="003368D8"/>
    <w:rsid w:val="00336910"/>
    <w:rsid w:val="00336ACF"/>
    <w:rsid w:val="00336BDB"/>
    <w:rsid w:val="00336E6B"/>
    <w:rsid w:val="00336F5D"/>
    <w:rsid w:val="00336FCA"/>
    <w:rsid w:val="00336FDA"/>
    <w:rsid w:val="00337022"/>
    <w:rsid w:val="0033706A"/>
    <w:rsid w:val="00337079"/>
    <w:rsid w:val="003370F6"/>
    <w:rsid w:val="0033718F"/>
    <w:rsid w:val="00337320"/>
    <w:rsid w:val="0033741B"/>
    <w:rsid w:val="0033768D"/>
    <w:rsid w:val="003377E5"/>
    <w:rsid w:val="003378FD"/>
    <w:rsid w:val="00337A28"/>
    <w:rsid w:val="00337B59"/>
    <w:rsid w:val="00337CE1"/>
    <w:rsid w:val="00337D98"/>
    <w:rsid w:val="00337DEF"/>
    <w:rsid w:val="00340062"/>
    <w:rsid w:val="0034013C"/>
    <w:rsid w:val="0034016E"/>
    <w:rsid w:val="00340213"/>
    <w:rsid w:val="00340257"/>
    <w:rsid w:val="0034026D"/>
    <w:rsid w:val="00340577"/>
    <w:rsid w:val="00340A16"/>
    <w:rsid w:val="00340BB6"/>
    <w:rsid w:val="00341169"/>
    <w:rsid w:val="003412D2"/>
    <w:rsid w:val="0034153C"/>
    <w:rsid w:val="00341988"/>
    <w:rsid w:val="003419BD"/>
    <w:rsid w:val="003419CF"/>
    <w:rsid w:val="00341B78"/>
    <w:rsid w:val="00341C10"/>
    <w:rsid w:val="00341CDF"/>
    <w:rsid w:val="00341E4A"/>
    <w:rsid w:val="00341E56"/>
    <w:rsid w:val="00341F36"/>
    <w:rsid w:val="00341FCA"/>
    <w:rsid w:val="0034201D"/>
    <w:rsid w:val="00342119"/>
    <w:rsid w:val="003421F6"/>
    <w:rsid w:val="00342213"/>
    <w:rsid w:val="00342297"/>
    <w:rsid w:val="003422C4"/>
    <w:rsid w:val="0034233B"/>
    <w:rsid w:val="00342511"/>
    <w:rsid w:val="00342729"/>
    <w:rsid w:val="00342A2D"/>
    <w:rsid w:val="00342E1C"/>
    <w:rsid w:val="00342E30"/>
    <w:rsid w:val="00343126"/>
    <w:rsid w:val="0034319F"/>
    <w:rsid w:val="00343459"/>
    <w:rsid w:val="0034363F"/>
    <w:rsid w:val="0034374C"/>
    <w:rsid w:val="003437E7"/>
    <w:rsid w:val="003438D7"/>
    <w:rsid w:val="00343949"/>
    <w:rsid w:val="003439B4"/>
    <w:rsid w:val="00343AE4"/>
    <w:rsid w:val="00343AEF"/>
    <w:rsid w:val="00343C39"/>
    <w:rsid w:val="00343C49"/>
    <w:rsid w:val="0034411A"/>
    <w:rsid w:val="003442A3"/>
    <w:rsid w:val="003442CC"/>
    <w:rsid w:val="003442CD"/>
    <w:rsid w:val="003442E5"/>
    <w:rsid w:val="003447B5"/>
    <w:rsid w:val="003447D8"/>
    <w:rsid w:val="00344846"/>
    <w:rsid w:val="00344910"/>
    <w:rsid w:val="00344A96"/>
    <w:rsid w:val="00344C0A"/>
    <w:rsid w:val="00344C16"/>
    <w:rsid w:val="00344C34"/>
    <w:rsid w:val="00344C8D"/>
    <w:rsid w:val="00344CB5"/>
    <w:rsid w:val="00344D43"/>
    <w:rsid w:val="00344ED6"/>
    <w:rsid w:val="00344EE6"/>
    <w:rsid w:val="00344FD6"/>
    <w:rsid w:val="0034503D"/>
    <w:rsid w:val="00345232"/>
    <w:rsid w:val="00345366"/>
    <w:rsid w:val="0034540D"/>
    <w:rsid w:val="0034543A"/>
    <w:rsid w:val="003454BD"/>
    <w:rsid w:val="0034554D"/>
    <w:rsid w:val="003456B8"/>
    <w:rsid w:val="003456F9"/>
    <w:rsid w:val="00345751"/>
    <w:rsid w:val="0034580D"/>
    <w:rsid w:val="0034588E"/>
    <w:rsid w:val="00345A64"/>
    <w:rsid w:val="00345BD5"/>
    <w:rsid w:val="00345CD9"/>
    <w:rsid w:val="00346040"/>
    <w:rsid w:val="003460C5"/>
    <w:rsid w:val="003463CD"/>
    <w:rsid w:val="0034643A"/>
    <w:rsid w:val="0034658A"/>
    <w:rsid w:val="00346757"/>
    <w:rsid w:val="0034677A"/>
    <w:rsid w:val="003469CC"/>
    <w:rsid w:val="003469E8"/>
    <w:rsid w:val="00346AFD"/>
    <w:rsid w:val="00346DF8"/>
    <w:rsid w:val="00346E34"/>
    <w:rsid w:val="00346E99"/>
    <w:rsid w:val="003470B6"/>
    <w:rsid w:val="00347117"/>
    <w:rsid w:val="0034712B"/>
    <w:rsid w:val="0034712F"/>
    <w:rsid w:val="003471C0"/>
    <w:rsid w:val="003474A9"/>
    <w:rsid w:val="0034750F"/>
    <w:rsid w:val="0034757D"/>
    <w:rsid w:val="003476DF"/>
    <w:rsid w:val="003476E8"/>
    <w:rsid w:val="00347758"/>
    <w:rsid w:val="0034778D"/>
    <w:rsid w:val="003477FC"/>
    <w:rsid w:val="00347830"/>
    <w:rsid w:val="0034785C"/>
    <w:rsid w:val="0034794E"/>
    <w:rsid w:val="00347977"/>
    <w:rsid w:val="003479E0"/>
    <w:rsid w:val="00347AA9"/>
    <w:rsid w:val="00347C27"/>
    <w:rsid w:val="00347D19"/>
    <w:rsid w:val="00347DDF"/>
    <w:rsid w:val="00347E11"/>
    <w:rsid w:val="00347EF7"/>
    <w:rsid w:val="00347FD2"/>
    <w:rsid w:val="00347FE6"/>
    <w:rsid w:val="0035012A"/>
    <w:rsid w:val="00350159"/>
    <w:rsid w:val="0035034B"/>
    <w:rsid w:val="0035034E"/>
    <w:rsid w:val="003503DD"/>
    <w:rsid w:val="003503FA"/>
    <w:rsid w:val="003504C4"/>
    <w:rsid w:val="003504D4"/>
    <w:rsid w:val="003505C6"/>
    <w:rsid w:val="003507D8"/>
    <w:rsid w:val="0035080A"/>
    <w:rsid w:val="00350AFF"/>
    <w:rsid w:val="00350B93"/>
    <w:rsid w:val="00350C94"/>
    <w:rsid w:val="00350CE5"/>
    <w:rsid w:val="00350E1B"/>
    <w:rsid w:val="00350E4B"/>
    <w:rsid w:val="00350F0C"/>
    <w:rsid w:val="00350F4C"/>
    <w:rsid w:val="003510EA"/>
    <w:rsid w:val="00351356"/>
    <w:rsid w:val="003513FE"/>
    <w:rsid w:val="0035146D"/>
    <w:rsid w:val="00351593"/>
    <w:rsid w:val="003517A6"/>
    <w:rsid w:val="00351818"/>
    <w:rsid w:val="00351B36"/>
    <w:rsid w:val="00351B77"/>
    <w:rsid w:val="00351C19"/>
    <w:rsid w:val="00351C96"/>
    <w:rsid w:val="00351CAA"/>
    <w:rsid w:val="00351CAC"/>
    <w:rsid w:val="00351CEF"/>
    <w:rsid w:val="00351D63"/>
    <w:rsid w:val="00351D6C"/>
    <w:rsid w:val="00351E98"/>
    <w:rsid w:val="00351F5E"/>
    <w:rsid w:val="00352344"/>
    <w:rsid w:val="0035242F"/>
    <w:rsid w:val="003524BC"/>
    <w:rsid w:val="003524D2"/>
    <w:rsid w:val="00352513"/>
    <w:rsid w:val="003525B5"/>
    <w:rsid w:val="00352828"/>
    <w:rsid w:val="003528DC"/>
    <w:rsid w:val="00352A68"/>
    <w:rsid w:val="00352B27"/>
    <w:rsid w:val="00352BB0"/>
    <w:rsid w:val="00352FDF"/>
    <w:rsid w:val="0035300F"/>
    <w:rsid w:val="00353152"/>
    <w:rsid w:val="00353213"/>
    <w:rsid w:val="00353369"/>
    <w:rsid w:val="00353493"/>
    <w:rsid w:val="0035396B"/>
    <w:rsid w:val="00353B01"/>
    <w:rsid w:val="00353B7F"/>
    <w:rsid w:val="00353F55"/>
    <w:rsid w:val="00353F6D"/>
    <w:rsid w:val="00353F97"/>
    <w:rsid w:val="0035407E"/>
    <w:rsid w:val="003540BD"/>
    <w:rsid w:val="003540DB"/>
    <w:rsid w:val="00354114"/>
    <w:rsid w:val="003542F1"/>
    <w:rsid w:val="0035452B"/>
    <w:rsid w:val="0035467B"/>
    <w:rsid w:val="00354955"/>
    <w:rsid w:val="00354B21"/>
    <w:rsid w:val="00354B5E"/>
    <w:rsid w:val="00354DA3"/>
    <w:rsid w:val="00354DBC"/>
    <w:rsid w:val="00354E0C"/>
    <w:rsid w:val="00355049"/>
    <w:rsid w:val="00355141"/>
    <w:rsid w:val="00355169"/>
    <w:rsid w:val="003551C8"/>
    <w:rsid w:val="003551FB"/>
    <w:rsid w:val="0035524C"/>
    <w:rsid w:val="00355392"/>
    <w:rsid w:val="003553C2"/>
    <w:rsid w:val="003554F6"/>
    <w:rsid w:val="00355748"/>
    <w:rsid w:val="003557E6"/>
    <w:rsid w:val="003558A9"/>
    <w:rsid w:val="003558B8"/>
    <w:rsid w:val="00355994"/>
    <w:rsid w:val="00355A38"/>
    <w:rsid w:val="00355A7C"/>
    <w:rsid w:val="00355AB2"/>
    <w:rsid w:val="00355B56"/>
    <w:rsid w:val="00355BF8"/>
    <w:rsid w:val="00355F43"/>
    <w:rsid w:val="00355FE5"/>
    <w:rsid w:val="00356012"/>
    <w:rsid w:val="003560EB"/>
    <w:rsid w:val="00356164"/>
    <w:rsid w:val="00356219"/>
    <w:rsid w:val="00356633"/>
    <w:rsid w:val="003566C7"/>
    <w:rsid w:val="003566E8"/>
    <w:rsid w:val="00356898"/>
    <w:rsid w:val="003568D3"/>
    <w:rsid w:val="00356BC2"/>
    <w:rsid w:val="00356ED8"/>
    <w:rsid w:val="00356EFD"/>
    <w:rsid w:val="00356FDB"/>
    <w:rsid w:val="00357048"/>
    <w:rsid w:val="003570C9"/>
    <w:rsid w:val="0035711E"/>
    <w:rsid w:val="00357157"/>
    <w:rsid w:val="0035734C"/>
    <w:rsid w:val="00357381"/>
    <w:rsid w:val="003573C9"/>
    <w:rsid w:val="0035761C"/>
    <w:rsid w:val="0035765D"/>
    <w:rsid w:val="0035786B"/>
    <w:rsid w:val="0035789B"/>
    <w:rsid w:val="003579B7"/>
    <w:rsid w:val="003579FC"/>
    <w:rsid w:val="00357AC5"/>
    <w:rsid w:val="00357B32"/>
    <w:rsid w:val="00357C71"/>
    <w:rsid w:val="00357D7A"/>
    <w:rsid w:val="00357DC4"/>
    <w:rsid w:val="00357F7E"/>
    <w:rsid w:val="00360063"/>
    <w:rsid w:val="00360186"/>
    <w:rsid w:val="00360199"/>
    <w:rsid w:val="00360457"/>
    <w:rsid w:val="003604B3"/>
    <w:rsid w:val="00360502"/>
    <w:rsid w:val="003606AD"/>
    <w:rsid w:val="00360791"/>
    <w:rsid w:val="00360A38"/>
    <w:rsid w:val="00360CC9"/>
    <w:rsid w:val="00360F97"/>
    <w:rsid w:val="00361004"/>
    <w:rsid w:val="003610F5"/>
    <w:rsid w:val="0036112B"/>
    <w:rsid w:val="00361182"/>
    <w:rsid w:val="00361222"/>
    <w:rsid w:val="0036149B"/>
    <w:rsid w:val="0036154D"/>
    <w:rsid w:val="0036169E"/>
    <w:rsid w:val="0036191B"/>
    <w:rsid w:val="00361960"/>
    <w:rsid w:val="00361B8F"/>
    <w:rsid w:val="00361CE2"/>
    <w:rsid w:val="00361D19"/>
    <w:rsid w:val="00361D37"/>
    <w:rsid w:val="00361DAE"/>
    <w:rsid w:val="00361E70"/>
    <w:rsid w:val="00361F8D"/>
    <w:rsid w:val="00362093"/>
    <w:rsid w:val="003621EC"/>
    <w:rsid w:val="00362222"/>
    <w:rsid w:val="00362625"/>
    <w:rsid w:val="0036265F"/>
    <w:rsid w:val="003626DC"/>
    <w:rsid w:val="003628C2"/>
    <w:rsid w:val="003628F1"/>
    <w:rsid w:val="0036291D"/>
    <w:rsid w:val="00362A05"/>
    <w:rsid w:val="00362ABE"/>
    <w:rsid w:val="00362D68"/>
    <w:rsid w:val="00362E4C"/>
    <w:rsid w:val="00362E8D"/>
    <w:rsid w:val="00362EED"/>
    <w:rsid w:val="00362F35"/>
    <w:rsid w:val="0036309B"/>
    <w:rsid w:val="0036311E"/>
    <w:rsid w:val="0036312C"/>
    <w:rsid w:val="0036317F"/>
    <w:rsid w:val="003631B4"/>
    <w:rsid w:val="00363253"/>
    <w:rsid w:val="003632AE"/>
    <w:rsid w:val="00363411"/>
    <w:rsid w:val="00363412"/>
    <w:rsid w:val="00363448"/>
    <w:rsid w:val="003634E5"/>
    <w:rsid w:val="003636AA"/>
    <w:rsid w:val="0036384D"/>
    <w:rsid w:val="00363853"/>
    <w:rsid w:val="00363932"/>
    <w:rsid w:val="0036397B"/>
    <w:rsid w:val="00363A4A"/>
    <w:rsid w:val="00363C51"/>
    <w:rsid w:val="00363C66"/>
    <w:rsid w:val="00363CFD"/>
    <w:rsid w:val="00363D13"/>
    <w:rsid w:val="00363D8F"/>
    <w:rsid w:val="00363FAD"/>
    <w:rsid w:val="00364286"/>
    <w:rsid w:val="0036450F"/>
    <w:rsid w:val="00364695"/>
    <w:rsid w:val="003646E8"/>
    <w:rsid w:val="00364824"/>
    <w:rsid w:val="00364901"/>
    <w:rsid w:val="00364929"/>
    <w:rsid w:val="003649E6"/>
    <w:rsid w:val="00364AF8"/>
    <w:rsid w:val="00364BBE"/>
    <w:rsid w:val="00364C8D"/>
    <w:rsid w:val="00364E5F"/>
    <w:rsid w:val="003650FE"/>
    <w:rsid w:val="00365138"/>
    <w:rsid w:val="00365164"/>
    <w:rsid w:val="0036516E"/>
    <w:rsid w:val="003652D2"/>
    <w:rsid w:val="00365403"/>
    <w:rsid w:val="0036555A"/>
    <w:rsid w:val="00365683"/>
    <w:rsid w:val="00365686"/>
    <w:rsid w:val="003657DB"/>
    <w:rsid w:val="00365983"/>
    <w:rsid w:val="00365A41"/>
    <w:rsid w:val="00365A5F"/>
    <w:rsid w:val="00365B13"/>
    <w:rsid w:val="00365CD4"/>
    <w:rsid w:val="003660ED"/>
    <w:rsid w:val="00366192"/>
    <w:rsid w:val="003661CE"/>
    <w:rsid w:val="00366322"/>
    <w:rsid w:val="0036641B"/>
    <w:rsid w:val="00366430"/>
    <w:rsid w:val="003664FF"/>
    <w:rsid w:val="003665EA"/>
    <w:rsid w:val="0036698F"/>
    <w:rsid w:val="003669FC"/>
    <w:rsid w:val="00366BB2"/>
    <w:rsid w:val="00366C95"/>
    <w:rsid w:val="00366DB2"/>
    <w:rsid w:val="00366DD0"/>
    <w:rsid w:val="00366E98"/>
    <w:rsid w:val="003670C7"/>
    <w:rsid w:val="00367123"/>
    <w:rsid w:val="003672ED"/>
    <w:rsid w:val="0036730D"/>
    <w:rsid w:val="00367344"/>
    <w:rsid w:val="0036754D"/>
    <w:rsid w:val="00367590"/>
    <w:rsid w:val="0036761A"/>
    <w:rsid w:val="003677E1"/>
    <w:rsid w:val="003679A0"/>
    <w:rsid w:val="003679AA"/>
    <w:rsid w:val="00367AA0"/>
    <w:rsid w:val="00367CB7"/>
    <w:rsid w:val="00367D9C"/>
    <w:rsid w:val="00367DD5"/>
    <w:rsid w:val="00367EA7"/>
    <w:rsid w:val="00367EC5"/>
    <w:rsid w:val="00367F55"/>
    <w:rsid w:val="00370109"/>
    <w:rsid w:val="003701A9"/>
    <w:rsid w:val="003701F4"/>
    <w:rsid w:val="003702BC"/>
    <w:rsid w:val="0037031A"/>
    <w:rsid w:val="003703C0"/>
    <w:rsid w:val="00370646"/>
    <w:rsid w:val="0037064C"/>
    <w:rsid w:val="003706BD"/>
    <w:rsid w:val="003706F3"/>
    <w:rsid w:val="00370875"/>
    <w:rsid w:val="003708DD"/>
    <w:rsid w:val="003708EA"/>
    <w:rsid w:val="003709CA"/>
    <w:rsid w:val="003709FB"/>
    <w:rsid w:val="00370A80"/>
    <w:rsid w:val="00370B4E"/>
    <w:rsid w:val="00370CE0"/>
    <w:rsid w:val="00370CEA"/>
    <w:rsid w:val="00370D77"/>
    <w:rsid w:val="00370DDE"/>
    <w:rsid w:val="00370FAB"/>
    <w:rsid w:val="00370FCA"/>
    <w:rsid w:val="00371107"/>
    <w:rsid w:val="00371110"/>
    <w:rsid w:val="00371151"/>
    <w:rsid w:val="003711C8"/>
    <w:rsid w:val="0037121B"/>
    <w:rsid w:val="00371254"/>
    <w:rsid w:val="00371374"/>
    <w:rsid w:val="003713C1"/>
    <w:rsid w:val="0037149D"/>
    <w:rsid w:val="003714B6"/>
    <w:rsid w:val="00371618"/>
    <w:rsid w:val="0037175F"/>
    <w:rsid w:val="0037184F"/>
    <w:rsid w:val="00371E86"/>
    <w:rsid w:val="00371FB3"/>
    <w:rsid w:val="00372107"/>
    <w:rsid w:val="00372428"/>
    <w:rsid w:val="0037265A"/>
    <w:rsid w:val="00372728"/>
    <w:rsid w:val="003729E6"/>
    <w:rsid w:val="00372B22"/>
    <w:rsid w:val="00372CB4"/>
    <w:rsid w:val="00372DCF"/>
    <w:rsid w:val="00372FEC"/>
    <w:rsid w:val="00372FF6"/>
    <w:rsid w:val="00373016"/>
    <w:rsid w:val="003731FB"/>
    <w:rsid w:val="00373284"/>
    <w:rsid w:val="003732E8"/>
    <w:rsid w:val="0037340A"/>
    <w:rsid w:val="0037359E"/>
    <w:rsid w:val="003735D0"/>
    <w:rsid w:val="003735DD"/>
    <w:rsid w:val="00373884"/>
    <w:rsid w:val="00373997"/>
    <w:rsid w:val="00373A0A"/>
    <w:rsid w:val="00373A4F"/>
    <w:rsid w:val="00373B3F"/>
    <w:rsid w:val="00373C64"/>
    <w:rsid w:val="00373CDF"/>
    <w:rsid w:val="00373F13"/>
    <w:rsid w:val="0037410D"/>
    <w:rsid w:val="003741C3"/>
    <w:rsid w:val="003741D5"/>
    <w:rsid w:val="003741E6"/>
    <w:rsid w:val="0037434F"/>
    <w:rsid w:val="00374448"/>
    <w:rsid w:val="003744E0"/>
    <w:rsid w:val="003744F4"/>
    <w:rsid w:val="0037452E"/>
    <w:rsid w:val="00374573"/>
    <w:rsid w:val="0037490A"/>
    <w:rsid w:val="00374A58"/>
    <w:rsid w:val="00374A96"/>
    <w:rsid w:val="00374AE0"/>
    <w:rsid w:val="00374B0B"/>
    <w:rsid w:val="00374BF6"/>
    <w:rsid w:val="00374C5D"/>
    <w:rsid w:val="00374CEA"/>
    <w:rsid w:val="00374D25"/>
    <w:rsid w:val="00374D93"/>
    <w:rsid w:val="00374D9F"/>
    <w:rsid w:val="00374F50"/>
    <w:rsid w:val="00375057"/>
    <w:rsid w:val="00375252"/>
    <w:rsid w:val="003754AF"/>
    <w:rsid w:val="003754ED"/>
    <w:rsid w:val="00375595"/>
    <w:rsid w:val="0037561D"/>
    <w:rsid w:val="003757F7"/>
    <w:rsid w:val="0037583D"/>
    <w:rsid w:val="003758EF"/>
    <w:rsid w:val="00375958"/>
    <w:rsid w:val="003759EB"/>
    <w:rsid w:val="00375AAE"/>
    <w:rsid w:val="00375B9D"/>
    <w:rsid w:val="00375BB7"/>
    <w:rsid w:val="00375BC4"/>
    <w:rsid w:val="00375C01"/>
    <w:rsid w:val="00375C3B"/>
    <w:rsid w:val="00375CB0"/>
    <w:rsid w:val="00375D5D"/>
    <w:rsid w:val="00375F70"/>
    <w:rsid w:val="00375FE0"/>
    <w:rsid w:val="00376083"/>
    <w:rsid w:val="003762F4"/>
    <w:rsid w:val="0037631B"/>
    <w:rsid w:val="00376354"/>
    <w:rsid w:val="003763C0"/>
    <w:rsid w:val="00376460"/>
    <w:rsid w:val="0037655F"/>
    <w:rsid w:val="003765F1"/>
    <w:rsid w:val="003766C4"/>
    <w:rsid w:val="00376856"/>
    <w:rsid w:val="00376901"/>
    <w:rsid w:val="00376BA2"/>
    <w:rsid w:val="00376BF1"/>
    <w:rsid w:val="00376C20"/>
    <w:rsid w:val="00376C5B"/>
    <w:rsid w:val="00376DFE"/>
    <w:rsid w:val="00376F12"/>
    <w:rsid w:val="00376FB6"/>
    <w:rsid w:val="00377013"/>
    <w:rsid w:val="0037704C"/>
    <w:rsid w:val="00377062"/>
    <w:rsid w:val="003770A3"/>
    <w:rsid w:val="00377126"/>
    <w:rsid w:val="003771A4"/>
    <w:rsid w:val="0037722A"/>
    <w:rsid w:val="0037729F"/>
    <w:rsid w:val="003772ED"/>
    <w:rsid w:val="003773D3"/>
    <w:rsid w:val="003774E0"/>
    <w:rsid w:val="00377614"/>
    <w:rsid w:val="003776CE"/>
    <w:rsid w:val="00377712"/>
    <w:rsid w:val="00377837"/>
    <w:rsid w:val="00377896"/>
    <w:rsid w:val="003778F1"/>
    <w:rsid w:val="00377942"/>
    <w:rsid w:val="00377A5E"/>
    <w:rsid w:val="00377A9E"/>
    <w:rsid w:val="00377BD6"/>
    <w:rsid w:val="00377C38"/>
    <w:rsid w:val="00377D34"/>
    <w:rsid w:val="00377DE1"/>
    <w:rsid w:val="00380142"/>
    <w:rsid w:val="003801FB"/>
    <w:rsid w:val="003802A8"/>
    <w:rsid w:val="003802D6"/>
    <w:rsid w:val="003803BC"/>
    <w:rsid w:val="003803D7"/>
    <w:rsid w:val="003803F3"/>
    <w:rsid w:val="0038046F"/>
    <w:rsid w:val="00380664"/>
    <w:rsid w:val="00380694"/>
    <w:rsid w:val="00380775"/>
    <w:rsid w:val="003807EB"/>
    <w:rsid w:val="0038087F"/>
    <w:rsid w:val="0038089B"/>
    <w:rsid w:val="003808F7"/>
    <w:rsid w:val="0038091B"/>
    <w:rsid w:val="00380972"/>
    <w:rsid w:val="00380A58"/>
    <w:rsid w:val="00380BB1"/>
    <w:rsid w:val="00380D87"/>
    <w:rsid w:val="003813BD"/>
    <w:rsid w:val="003815F6"/>
    <w:rsid w:val="0038172E"/>
    <w:rsid w:val="003818A2"/>
    <w:rsid w:val="003819A6"/>
    <w:rsid w:val="003819F8"/>
    <w:rsid w:val="00381A0A"/>
    <w:rsid w:val="00381B17"/>
    <w:rsid w:val="00381C91"/>
    <w:rsid w:val="00381D37"/>
    <w:rsid w:val="00381D76"/>
    <w:rsid w:val="00381FE5"/>
    <w:rsid w:val="00382096"/>
    <w:rsid w:val="0038217F"/>
    <w:rsid w:val="003822FC"/>
    <w:rsid w:val="00382477"/>
    <w:rsid w:val="003826F2"/>
    <w:rsid w:val="00382755"/>
    <w:rsid w:val="0038279B"/>
    <w:rsid w:val="0038290E"/>
    <w:rsid w:val="0038291B"/>
    <w:rsid w:val="003829EE"/>
    <w:rsid w:val="00382CE4"/>
    <w:rsid w:val="00382DE4"/>
    <w:rsid w:val="00382E4B"/>
    <w:rsid w:val="003830FF"/>
    <w:rsid w:val="003831F5"/>
    <w:rsid w:val="0038324E"/>
    <w:rsid w:val="003833D6"/>
    <w:rsid w:val="00383688"/>
    <w:rsid w:val="003837BD"/>
    <w:rsid w:val="003837CE"/>
    <w:rsid w:val="00383955"/>
    <w:rsid w:val="00383A0B"/>
    <w:rsid w:val="00383ABC"/>
    <w:rsid w:val="00383AD7"/>
    <w:rsid w:val="00383BC6"/>
    <w:rsid w:val="00383DB8"/>
    <w:rsid w:val="00383DCC"/>
    <w:rsid w:val="00383EAB"/>
    <w:rsid w:val="00383F77"/>
    <w:rsid w:val="00383F85"/>
    <w:rsid w:val="003841E0"/>
    <w:rsid w:val="00384259"/>
    <w:rsid w:val="0038485F"/>
    <w:rsid w:val="003848C0"/>
    <w:rsid w:val="003849F7"/>
    <w:rsid w:val="00384A32"/>
    <w:rsid w:val="00384BDF"/>
    <w:rsid w:val="00384BFB"/>
    <w:rsid w:val="00384C1D"/>
    <w:rsid w:val="00384C98"/>
    <w:rsid w:val="00384CAE"/>
    <w:rsid w:val="00384D9A"/>
    <w:rsid w:val="00384EB0"/>
    <w:rsid w:val="00384F6A"/>
    <w:rsid w:val="00384F73"/>
    <w:rsid w:val="003851C3"/>
    <w:rsid w:val="00385276"/>
    <w:rsid w:val="00385296"/>
    <w:rsid w:val="003852F3"/>
    <w:rsid w:val="00385302"/>
    <w:rsid w:val="0038545B"/>
    <w:rsid w:val="003854A2"/>
    <w:rsid w:val="003854C4"/>
    <w:rsid w:val="003854E8"/>
    <w:rsid w:val="0038557A"/>
    <w:rsid w:val="003857C9"/>
    <w:rsid w:val="00385816"/>
    <w:rsid w:val="003858F6"/>
    <w:rsid w:val="0038594C"/>
    <w:rsid w:val="003859C6"/>
    <w:rsid w:val="00385ABA"/>
    <w:rsid w:val="00385D44"/>
    <w:rsid w:val="00385D69"/>
    <w:rsid w:val="00385E59"/>
    <w:rsid w:val="00386168"/>
    <w:rsid w:val="003862C5"/>
    <w:rsid w:val="003862E0"/>
    <w:rsid w:val="003862FA"/>
    <w:rsid w:val="0038652C"/>
    <w:rsid w:val="003865DC"/>
    <w:rsid w:val="0038661B"/>
    <w:rsid w:val="003868F2"/>
    <w:rsid w:val="00386A37"/>
    <w:rsid w:val="00386A80"/>
    <w:rsid w:val="00386B89"/>
    <w:rsid w:val="00386BBA"/>
    <w:rsid w:val="00386C5F"/>
    <w:rsid w:val="00386E07"/>
    <w:rsid w:val="00386E9E"/>
    <w:rsid w:val="00386FB7"/>
    <w:rsid w:val="0038710E"/>
    <w:rsid w:val="00387285"/>
    <w:rsid w:val="003872A3"/>
    <w:rsid w:val="0038734C"/>
    <w:rsid w:val="003873BD"/>
    <w:rsid w:val="003875C2"/>
    <w:rsid w:val="003877A8"/>
    <w:rsid w:val="00387871"/>
    <w:rsid w:val="00387886"/>
    <w:rsid w:val="00387A86"/>
    <w:rsid w:val="00387C4C"/>
    <w:rsid w:val="00387C7B"/>
    <w:rsid w:val="00387CDF"/>
    <w:rsid w:val="00387E6C"/>
    <w:rsid w:val="00390068"/>
    <w:rsid w:val="00390188"/>
    <w:rsid w:val="00390231"/>
    <w:rsid w:val="003905FE"/>
    <w:rsid w:val="003907F4"/>
    <w:rsid w:val="003907F9"/>
    <w:rsid w:val="0039086B"/>
    <w:rsid w:val="00390911"/>
    <w:rsid w:val="0039091D"/>
    <w:rsid w:val="00390C19"/>
    <w:rsid w:val="00390E8B"/>
    <w:rsid w:val="00391063"/>
    <w:rsid w:val="00391070"/>
    <w:rsid w:val="00391256"/>
    <w:rsid w:val="00391363"/>
    <w:rsid w:val="00391444"/>
    <w:rsid w:val="00391465"/>
    <w:rsid w:val="003914A3"/>
    <w:rsid w:val="003915E9"/>
    <w:rsid w:val="003916E3"/>
    <w:rsid w:val="0039176B"/>
    <w:rsid w:val="00391827"/>
    <w:rsid w:val="00391A9F"/>
    <w:rsid w:val="00391B41"/>
    <w:rsid w:val="00391B57"/>
    <w:rsid w:val="00391B69"/>
    <w:rsid w:val="00391B6D"/>
    <w:rsid w:val="00391BB8"/>
    <w:rsid w:val="00391F21"/>
    <w:rsid w:val="0039203D"/>
    <w:rsid w:val="00392040"/>
    <w:rsid w:val="00392112"/>
    <w:rsid w:val="003922DD"/>
    <w:rsid w:val="0039254D"/>
    <w:rsid w:val="003925B7"/>
    <w:rsid w:val="003925EB"/>
    <w:rsid w:val="00392606"/>
    <w:rsid w:val="00392841"/>
    <w:rsid w:val="00392BBE"/>
    <w:rsid w:val="00392DB6"/>
    <w:rsid w:val="00392DFA"/>
    <w:rsid w:val="00392FC0"/>
    <w:rsid w:val="00393178"/>
    <w:rsid w:val="003932CE"/>
    <w:rsid w:val="0039332E"/>
    <w:rsid w:val="00393341"/>
    <w:rsid w:val="00393436"/>
    <w:rsid w:val="00393706"/>
    <w:rsid w:val="00393775"/>
    <w:rsid w:val="003939F3"/>
    <w:rsid w:val="003939F5"/>
    <w:rsid w:val="00393A1A"/>
    <w:rsid w:val="00393C41"/>
    <w:rsid w:val="00393D20"/>
    <w:rsid w:val="00393E67"/>
    <w:rsid w:val="00394086"/>
    <w:rsid w:val="003942D9"/>
    <w:rsid w:val="0039439E"/>
    <w:rsid w:val="0039457A"/>
    <w:rsid w:val="003945DF"/>
    <w:rsid w:val="0039464D"/>
    <w:rsid w:val="003949CC"/>
    <w:rsid w:val="003949EB"/>
    <w:rsid w:val="00394D0D"/>
    <w:rsid w:val="00394DDD"/>
    <w:rsid w:val="00394ED6"/>
    <w:rsid w:val="003950B6"/>
    <w:rsid w:val="00395106"/>
    <w:rsid w:val="00395142"/>
    <w:rsid w:val="00395198"/>
    <w:rsid w:val="0039528D"/>
    <w:rsid w:val="003952AC"/>
    <w:rsid w:val="00395437"/>
    <w:rsid w:val="003955D4"/>
    <w:rsid w:val="00395615"/>
    <w:rsid w:val="00395988"/>
    <w:rsid w:val="00395A4A"/>
    <w:rsid w:val="00395A64"/>
    <w:rsid w:val="00395B1B"/>
    <w:rsid w:val="00395B72"/>
    <w:rsid w:val="00395C39"/>
    <w:rsid w:val="00395D4B"/>
    <w:rsid w:val="00395D64"/>
    <w:rsid w:val="00395D7D"/>
    <w:rsid w:val="00395DAE"/>
    <w:rsid w:val="00395DFF"/>
    <w:rsid w:val="00395E55"/>
    <w:rsid w:val="00395FDB"/>
    <w:rsid w:val="00395FE1"/>
    <w:rsid w:val="0039601D"/>
    <w:rsid w:val="003960A9"/>
    <w:rsid w:val="003961EB"/>
    <w:rsid w:val="00396220"/>
    <w:rsid w:val="00396274"/>
    <w:rsid w:val="00396357"/>
    <w:rsid w:val="003965DA"/>
    <w:rsid w:val="003965E9"/>
    <w:rsid w:val="003966F8"/>
    <w:rsid w:val="003968A5"/>
    <w:rsid w:val="00396943"/>
    <w:rsid w:val="003969A4"/>
    <w:rsid w:val="00396C79"/>
    <w:rsid w:val="00396D4A"/>
    <w:rsid w:val="00396DC9"/>
    <w:rsid w:val="00396E2F"/>
    <w:rsid w:val="00397195"/>
    <w:rsid w:val="00397250"/>
    <w:rsid w:val="003972BA"/>
    <w:rsid w:val="003973FC"/>
    <w:rsid w:val="00397535"/>
    <w:rsid w:val="00397617"/>
    <w:rsid w:val="003978A2"/>
    <w:rsid w:val="0039793B"/>
    <w:rsid w:val="003979B3"/>
    <w:rsid w:val="00397B04"/>
    <w:rsid w:val="00397B4C"/>
    <w:rsid w:val="00397CCF"/>
    <w:rsid w:val="00397D1E"/>
    <w:rsid w:val="00397F7E"/>
    <w:rsid w:val="00397FAB"/>
    <w:rsid w:val="003A0056"/>
    <w:rsid w:val="003A0179"/>
    <w:rsid w:val="003A02E8"/>
    <w:rsid w:val="003A032F"/>
    <w:rsid w:val="003A036F"/>
    <w:rsid w:val="003A0398"/>
    <w:rsid w:val="003A04B9"/>
    <w:rsid w:val="003A04CE"/>
    <w:rsid w:val="003A06F7"/>
    <w:rsid w:val="003A097F"/>
    <w:rsid w:val="003A0CCD"/>
    <w:rsid w:val="003A0DFC"/>
    <w:rsid w:val="003A0E2D"/>
    <w:rsid w:val="003A0EF8"/>
    <w:rsid w:val="003A0FBB"/>
    <w:rsid w:val="003A0FF3"/>
    <w:rsid w:val="003A103E"/>
    <w:rsid w:val="003A10D4"/>
    <w:rsid w:val="003A1294"/>
    <w:rsid w:val="003A12A8"/>
    <w:rsid w:val="003A13C6"/>
    <w:rsid w:val="003A1490"/>
    <w:rsid w:val="003A1606"/>
    <w:rsid w:val="003A1676"/>
    <w:rsid w:val="003A1713"/>
    <w:rsid w:val="003A1714"/>
    <w:rsid w:val="003A1788"/>
    <w:rsid w:val="003A17AD"/>
    <w:rsid w:val="003A1877"/>
    <w:rsid w:val="003A1901"/>
    <w:rsid w:val="003A196E"/>
    <w:rsid w:val="003A19A4"/>
    <w:rsid w:val="003A1ADF"/>
    <w:rsid w:val="003A1AE9"/>
    <w:rsid w:val="003A1C88"/>
    <w:rsid w:val="003A1CF9"/>
    <w:rsid w:val="003A1E2E"/>
    <w:rsid w:val="003A1E76"/>
    <w:rsid w:val="003A1FA5"/>
    <w:rsid w:val="003A2029"/>
    <w:rsid w:val="003A210F"/>
    <w:rsid w:val="003A240D"/>
    <w:rsid w:val="003A264B"/>
    <w:rsid w:val="003A26DF"/>
    <w:rsid w:val="003A28EF"/>
    <w:rsid w:val="003A291C"/>
    <w:rsid w:val="003A2A3B"/>
    <w:rsid w:val="003A2F7E"/>
    <w:rsid w:val="003A3036"/>
    <w:rsid w:val="003A3195"/>
    <w:rsid w:val="003A31BF"/>
    <w:rsid w:val="003A31E3"/>
    <w:rsid w:val="003A3210"/>
    <w:rsid w:val="003A326A"/>
    <w:rsid w:val="003A32A4"/>
    <w:rsid w:val="003A336A"/>
    <w:rsid w:val="003A33B3"/>
    <w:rsid w:val="003A340B"/>
    <w:rsid w:val="003A340F"/>
    <w:rsid w:val="003A348C"/>
    <w:rsid w:val="003A359F"/>
    <w:rsid w:val="003A35A9"/>
    <w:rsid w:val="003A3691"/>
    <w:rsid w:val="003A372B"/>
    <w:rsid w:val="003A38CA"/>
    <w:rsid w:val="003A38FB"/>
    <w:rsid w:val="003A3982"/>
    <w:rsid w:val="003A39BA"/>
    <w:rsid w:val="003A3A83"/>
    <w:rsid w:val="003A3E13"/>
    <w:rsid w:val="003A3E64"/>
    <w:rsid w:val="003A3E89"/>
    <w:rsid w:val="003A3FD5"/>
    <w:rsid w:val="003A40A6"/>
    <w:rsid w:val="003A4147"/>
    <w:rsid w:val="003A4193"/>
    <w:rsid w:val="003A42EA"/>
    <w:rsid w:val="003A4441"/>
    <w:rsid w:val="003A45A7"/>
    <w:rsid w:val="003A467A"/>
    <w:rsid w:val="003A4781"/>
    <w:rsid w:val="003A490D"/>
    <w:rsid w:val="003A4966"/>
    <w:rsid w:val="003A49AB"/>
    <w:rsid w:val="003A49DD"/>
    <w:rsid w:val="003A4C10"/>
    <w:rsid w:val="003A4C4E"/>
    <w:rsid w:val="003A4D78"/>
    <w:rsid w:val="003A4FF9"/>
    <w:rsid w:val="003A519C"/>
    <w:rsid w:val="003A5200"/>
    <w:rsid w:val="003A5381"/>
    <w:rsid w:val="003A53FC"/>
    <w:rsid w:val="003A5444"/>
    <w:rsid w:val="003A566C"/>
    <w:rsid w:val="003A5673"/>
    <w:rsid w:val="003A56B5"/>
    <w:rsid w:val="003A5762"/>
    <w:rsid w:val="003A57C9"/>
    <w:rsid w:val="003A595F"/>
    <w:rsid w:val="003A5A3E"/>
    <w:rsid w:val="003A5AA3"/>
    <w:rsid w:val="003A5C29"/>
    <w:rsid w:val="003A5C59"/>
    <w:rsid w:val="003A5DFA"/>
    <w:rsid w:val="003A5ED2"/>
    <w:rsid w:val="003A5EE0"/>
    <w:rsid w:val="003A60B5"/>
    <w:rsid w:val="003A6130"/>
    <w:rsid w:val="003A613F"/>
    <w:rsid w:val="003A6297"/>
    <w:rsid w:val="003A633D"/>
    <w:rsid w:val="003A63EE"/>
    <w:rsid w:val="003A661C"/>
    <w:rsid w:val="003A6883"/>
    <w:rsid w:val="003A68BC"/>
    <w:rsid w:val="003A6989"/>
    <w:rsid w:val="003A69BD"/>
    <w:rsid w:val="003A6AE4"/>
    <w:rsid w:val="003A6B49"/>
    <w:rsid w:val="003A6C67"/>
    <w:rsid w:val="003A6CC7"/>
    <w:rsid w:val="003A6D9D"/>
    <w:rsid w:val="003A6F31"/>
    <w:rsid w:val="003A6F32"/>
    <w:rsid w:val="003A6FDC"/>
    <w:rsid w:val="003A710E"/>
    <w:rsid w:val="003A7273"/>
    <w:rsid w:val="003A72B9"/>
    <w:rsid w:val="003A75AE"/>
    <w:rsid w:val="003A76FD"/>
    <w:rsid w:val="003A7769"/>
    <w:rsid w:val="003A7911"/>
    <w:rsid w:val="003A7BBF"/>
    <w:rsid w:val="003A7C1F"/>
    <w:rsid w:val="003A7CFF"/>
    <w:rsid w:val="003A7FA6"/>
    <w:rsid w:val="003B00BF"/>
    <w:rsid w:val="003B01A3"/>
    <w:rsid w:val="003B0404"/>
    <w:rsid w:val="003B041A"/>
    <w:rsid w:val="003B048F"/>
    <w:rsid w:val="003B04FC"/>
    <w:rsid w:val="003B05EA"/>
    <w:rsid w:val="003B05FF"/>
    <w:rsid w:val="003B0662"/>
    <w:rsid w:val="003B068A"/>
    <w:rsid w:val="003B0767"/>
    <w:rsid w:val="003B0F8A"/>
    <w:rsid w:val="003B0FCF"/>
    <w:rsid w:val="003B101C"/>
    <w:rsid w:val="003B102D"/>
    <w:rsid w:val="003B13D2"/>
    <w:rsid w:val="003B15C8"/>
    <w:rsid w:val="003B16C8"/>
    <w:rsid w:val="003B181F"/>
    <w:rsid w:val="003B18A8"/>
    <w:rsid w:val="003B1B86"/>
    <w:rsid w:val="003B1C8B"/>
    <w:rsid w:val="003B1C91"/>
    <w:rsid w:val="003B1E17"/>
    <w:rsid w:val="003B1EDC"/>
    <w:rsid w:val="003B1FB3"/>
    <w:rsid w:val="003B213F"/>
    <w:rsid w:val="003B2194"/>
    <w:rsid w:val="003B21F7"/>
    <w:rsid w:val="003B221C"/>
    <w:rsid w:val="003B223B"/>
    <w:rsid w:val="003B2258"/>
    <w:rsid w:val="003B2376"/>
    <w:rsid w:val="003B2393"/>
    <w:rsid w:val="003B2423"/>
    <w:rsid w:val="003B2577"/>
    <w:rsid w:val="003B25D2"/>
    <w:rsid w:val="003B25FE"/>
    <w:rsid w:val="003B2667"/>
    <w:rsid w:val="003B2672"/>
    <w:rsid w:val="003B29F1"/>
    <w:rsid w:val="003B2A2F"/>
    <w:rsid w:val="003B2C72"/>
    <w:rsid w:val="003B2C7F"/>
    <w:rsid w:val="003B2D5C"/>
    <w:rsid w:val="003B304C"/>
    <w:rsid w:val="003B3149"/>
    <w:rsid w:val="003B327B"/>
    <w:rsid w:val="003B339F"/>
    <w:rsid w:val="003B34E2"/>
    <w:rsid w:val="003B359D"/>
    <w:rsid w:val="003B36F6"/>
    <w:rsid w:val="003B36F8"/>
    <w:rsid w:val="003B3707"/>
    <w:rsid w:val="003B370B"/>
    <w:rsid w:val="003B37C6"/>
    <w:rsid w:val="003B37DB"/>
    <w:rsid w:val="003B389D"/>
    <w:rsid w:val="003B3975"/>
    <w:rsid w:val="003B3A67"/>
    <w:rsid w:val="003B3C30"/>
    <w:rsid w:val="003B3E5D"/>
    <w:rsid w:val="003B3F9D"/>
    <w:rsid w:val="003B4049"/>
    <w:rsid w:val="003B416A"/>
    <w:rsid w:val="003B4269"/>
    <w:rsid w:val="003B4420"/>
    <w:rsid w:val="003B442E"/>
    <w:rsid w:val="003B458A"/>
    <w:rsid w:val="003B45F8"/>
    <w:rsid w:val="003B4617"/>
    <w:rsid w:val="003B4654"/>
    <w:rsid w:val="003B46CF"/>
    <w:rsid w:val="003B4947"/>
    <w:rsid w:val="003B4BC5"/>
    <w:rsid w:val="003B4D3A"/>
    <w:rsid w:val="003B4D8F"/>
    <w:rsid w:val="003B5016"/>
    <w:rsid w:val="003B5091"/>
    <w:rsid w:val="003B50DA"/>
    <w:rsid w:val="003B510E"/>
    <w:rsid w:val="003B5292"/>
    <w:rsid w:val="003B533D"/>
    <w:rsid w:val="003B534C"/>
    <w:rsid w:val="003B53B0"/>
    <w:rsid w:val="003B542F"/>
    <w:rsid w:val="003B5437"/>
    <w:rsid w:val="003B543B"/>
    <w:rsid w:val="003B545C"/>
    <w:rsid w:val="003B54C7"/>
    <w:rsid w:val="003B554B"/>
    <w:rsid w:val="003B55D4"/>
    <w:rsid w:val="003B55D5"/>
    <w:rsid w:val="003B5643"/>
    <w:rsid w:val="003B569F"/>
    <w:rsid w:val="003B5903"/>
    <w:rsid w:val="003B59D1"/>
    <w:rsid w:val="003B59EF"/>
    <w:rsid w:val="003B5A56"/>
    <w:rsid w:val="003B5B05"/>
    <w:rsid w:val="003B5B66"/>
    <w:rsid w:val="003B5CE4"/>
    <w:rsid w:val="003B6065"/>
    <w:rsid w:val="003B60E7"/>
    <w:rsid w:val="003B61D8"/>
    <w:rsid w:val="003B6454"/>
    <w:rsid w:val="003B654A"/>
    <w:rsid w:val="003B6734"/>
    <w:rsid w:val="003B67E7"/>
    <w:rsid w:val="003B699A"/>
    <w:rsid w:val="003B69FA"/>
    <w:rsid w:val="003B6A58"/>
    <w:rsid w:val="003B6AC7"/>
    <w:rsid w:val="003B6AF2"/>
    <w:rsid w:val="003B6C04"/>
    <w:rsid w:val="003B6C1E"/>
    <w:rsid w:val="003B6C54"/>
    <w:rsid w:val="003B7072"/>
    <w:rsid w:val="003B7183"/>
    <w:rsid w:val="003B71EE"/>
    <w:rsid w:val="003B72FD"/>
    <w:rsid w:val="003B7409"/>
    <w:rsid w:val="003B7709"/>
    <w:rsid w:val="003B7742"/>
    <w:rsid w:val="003B7787"/>
    <w:rsid w:val="003B77CE"/>
    <w:rsid w:val="003B7804"/>
    <w:rsid w:val="003B782A"/>
    <w:rsid w:val="003B788D"/>
    <w:rsid w:val="003B7920"/>
    <w:rsid w:val="003B7952"/>
    <w:rsid w:val="003B7A62"/>
    <w:rsid w:val="003B7A7C"/>
    <w:rsid w:val="003B7BE2"/>
    <w:rsid w:val="003B7BE4"/>
    <w:rsid w:val="003B7BEA"/>
    <w:rsid w:val="003B7DAB"/>
    <w:rsid w:val="003B7ED3"/>
    <w:rsid w:val="003B7F39"/>
    <w:rsid w:val="003B7F3E"/>
    <w:rsid w:val="003C0136"/>
    <w:rsid w:val="003C01D4"/>
    <w:rsid w:val="003C02D5"/>
    <w:rsid w:val="003C040B"/>
    <w:rsid w:val="003C044A"/>
    <w:rsid w:val="003C0480"/>
    <w:rsid w:val="003C05F8"/>
    <w:rsid w:val="003C091C"/>
    <w:rsid w:val="003C093B"/>
    <w:rsid w:val="003C0A61"/>
    <w:rsid w:val="003C0AC2"/>
    <w:rsid w:val="003C0B5F"/>
    <w:rsid w:val="003C0E3B"/>
    <w:rsid w:val="003C0FBB"/>
    <w:rsid w:val="003C1113"/>
    <w:rsid w:val="003C1256"/>
    <w:rsid w:val="003C1387"/>
    <w:rsid w:val="003C1643"/>
    <w:rsid w:val="003C17E4"/>
    <w:rsid w:val="003C1829"/>
    <w:rsid w:val="003C1B25"/>
    <w:rsid w:val="003C1BBE"/>
    <w:rsid w:val="003C1D68"/>
    <w:rsid w:val="003C1EB6"/>
    <w:rsid w:val="003C1EF8"/>
    <w:rsid w:val="003C2025"/>
    <w:rsid w:val="003C237E"/>
    <w:rsid w:val="003C24A7"/>
    <w:rsid w:val="003C24AC"/>
    <w:rsid w:val="003C2607"/>
    <w:rsid w:val="003C265D"/>
    <w:rsid w:val="003C2699"/>
    <w:rsid w:val="003C275C"/>
    <w:rsid w:val="003C2929"/>
    <w:rsid w:val="003C2A03"/>
    <w:rsid w:val="003C2ADA"/>
    <w:rsid w:val="003C2B16"/>
    <w:rsid w:val="003C2B40"/>
    <w:rsid w:val="003C2B80"/>
    <w:rsid w:val="003C2D23"/>
    <w:rsid w:val="003C2DC4"/>
    <w:rsid w:val="003C2E19"/>
    <w:rsid w:val="003C2FBC"/>
    <w:rsid w:val="003C30C6"/>
    <w:rsid w:val="003C3289"/>
    <w:rsid w:val="003C329B"/>
    <w:rsid w:val="003C3301"/>
    <w:rsid w:val="003C330B"/>
    <w:rsid w:val="003C3343"/>
    <w:rsid w:val="003C336E"/>
    <w:rsid w:val="003C354D"/>
    <w:rsid w:val="003C3552"/>
    <w:rsid w:val="003C35AF"/>
    <w:rsid w:val="003C35CA"/>
    <w:rsid w:val="003C394C"/>
    <w:rsid w:val="003C39CD"/>
    <w:rsid w:val="003C3A07"/>
    <w:rsid w:val="003C3AEF"/>
    <w:rsid w:val="003C3B56"/>
    <w:rsid w:val="003C3C5F"/>
    <w:rsid w:val="003C3C87"/>
    <w:rsid w:val="003C3DFC"/>
    <w:rsid w:val="003C3E87"/>
    <w:rsid w:val="003C3E9B"/>
    <w:rsid w:val="003C3F42"/>
    <w:rsid w:val="003C4100"/>
    <w:rsid w:val="003C4502"/>
    <w:rsid w:val="003C45BC"/>
    <w:rsid w:val="003C4604"/>
    <w:rsid w:val="003C46F1"/>
    <w:rsid w:val="003C4708"/>
    <w:rsid w:val="003C4750"/>
    <w:rsid w:val="003C48A3"/>
    <w:rsid w:val="003C4A01"/>
    <w:rsid w:val="003C4C84"/>
    <w:rsid w:val="003C4F0B"/>
    <w:rsid w:val="003C4F43"/>
    <w:rsid w:val="003C502B"/>
    <w:rsid w:val="003C511D"/>
    <w:rsid w:val="003C5148"/>
    <w:rsid w:val="003C5154"/>
    <w:rsid w:val="003C51B8"/>
    <w:rsid w:val="003C51C2"/>
    <w:rsid w:val="003C523B"/>
    <w:rsid w:val="003C5309"/>
    <w:rsid w:val="003C5350"/>
    <w:rsid w:val="003C5395"/>
    <w:rsid w:val="003C54ED"/>
    <w:rsid w:val="003C5535"/>
    <w:rsid w:val="003C553F"/>
    <w:rsid w:val="003C5660"/>
    <w:rsid w:val="003C5747"/>
    <w:rsid w:val="003C57D2"/>
    <w:rsid w:val="003C590D"/>
    <w:rsid w:val="003C59B0"/>
    <w:rsid w:val="003C5A9E"/>
    <w:rsid w:val="003C5B03"/>
    <w:rsid w:val="003C5C29"/>
    <w:rsid w:val="003C5CC5"/>
    <w:rsid w:val="003C5D2A"/>
    <w:rsid w:val="003C5DC6"/>
    <w:rsid w:val="003C603D"/>
    <w:rsid w:val="003C6100"/>
    <w:rsid w:val="003C62F9"/>
    <w:rsid w:val="003C63CC"/>
    <w:rsid w:val="003C6630"/>
    <w:rsid w:val="003C66D4"/>
    <w:rsid w:val="003C6A09"/>
    <w:rsid w:val="003C6A68"/>
    <w:rsid w:val="003C6A87"/>
    <w:rsid w:val="003C6A8B"/>
    <w:rsid w:val="003C6B4C"/>
    <w:rsid w:val="003C6E8C"/>
    <w:rsid w:val="003C6EA0"/>
    <w:rsid w:val="003C6FD6"/>
    <w:rsid w:val="003C7012"/>
    <w:rsid w:val="003C7081"/>
    <w:rsid w:val="003C71A4"/>
    <w:rsid w:val="003C7390"/>
    <w:rsid w:val="003C749B"/>
    <w:rsid w:val="003C7633"/>
    <w:rsid w:val="003C7867"/>
    <w:rsid w:val="003C799D"/>
    <w:rsid w:val="003C7ACE"/>
    <w:rsid w:val="003C7B54"/>
    <w:rsid w:val="003C7B58"/>
    <w:rsid w:val="003C7D2B"/>
    <w:rsid w:val="003D01A4"/>
    <w:rsid w:val="003D036C"/>
    <w:rsid w:val="003D0672"/>
    <w:rsid w:val="003D06BC"/>
    <w:rsid w:val="003D06FE"/>
    <w:rsid w:val="003D07D4"/>
    <w:rsid w:val="003D0803"/>
    <w:rsid w:val="003D0933"/>
    <w:rsid w:val="003D0A13"/>
    <w:rsid w:val="003D0A50"/>
    <w:rsid w:val="003D0BB9"/>
    <w:rsid w:val="003D0BD2"/>
    <w:rsid w:val="003D0EFE"/>
    <w:rsid w:val="003D0F1A"/>
    <w:rsid w:val="003D1064"/>
    <w:rsid w:val="003D125B"/>
    <w:rsid w:val="003D13F5"/>
    <w:rsid w:val="003D1502"/>
    <w:rsid w:val="003D1551"/>
    <w:rsid w:val="003D1649"/>
    <w:rsid w:val="003D17BE"/>
    <w:rsid w:val="003D1A5A"/>
    <w:rsid w:val="003D1A67"/>
    <w:rsid w:val="003D1B4A"/>
    <w:rsid w:val="003D1B8B"/>
    <w:rsid w:val="003D1B98"/>
    <w:rsid w:val="003D1C9F"/>
    <w:rsid w:val="003D1E42"/>
    <w:rsid w:val="003D2065"/>
    <w:rsid w:val="003D2200"/>
    <w:rsid w:val="003D2256"/>
    <w:rsid w:val="003D22A9"/>
    <w:rsid w:val="003D2318"/>
    <w:rsid w:val="003D23AA"/>
    <w:rsid w:val="003D2424"/>
    <w:rsid w:val="003D256D"/>
    <w:rsid w:val="003D25F0"/>
    <w:rsid w:val="003D260E"/>
    <w:rsid w:val="003D2672"/>
    <w:rsid w:val="003D27CE"/>
    <w:rsid w:val="003D2939"/>
    <w:rsid w:val="003D2993"/>
    <w:rsid w:val="003D2A48"/>
    <w:rsid w:val="003D2A5A"/>
    <w:rsid w:val="003D2A69"/>
    <w:rsid w:val="003D2B70"/>
    <w:rsid w:val="003D2C3F"/>
    <w:rsid w:val="003D2CCA"/>
    <w:rsid w:val="003D2D1E"/>
    <w:rsid w:val="003D2D24"/>
    <w:rsid w:val="003D2D33"/>
    <w:rsid w:val="003D2E65"/>
    <w:rsid w:val="003D2ED6"/>
    <w:rsid w:val="003D2FBB"/>
    <w:rsid w:val="003D31C8"/>
    <w:rsid w:val="003D3265"/>
    <w:rsid w:val="003D33C5"/>
    <w:rsid w:val="003D34B0"/>
    <w:rsid w:val="003D36C8"/>
    <w:rsid w:val="003D3700"/>
    <w:rsid w:val="003D379A"/>
    <w:rsid w:val="003D3881"/>
    <w:rsid w:val="003D3988"/>
    <w:rsid w:val="003D39B9"/>
    <w:rsid w:val="003D3B49"/>
    <w:rsid w:val="003D3C08"/>
    <w:rsid w:val="003D3D00"/>
    <w:rsid w:val="003D3E49"/>
    <w:rsid w:val="003D3E56"/>
    <w:rsid w:val="003D3F92"/>
    <w:rsid w:val="003D3FE3"/>
    <w:rsid w:val="003D4009"/>
    <w:rsid w:val="003D408B"/>
    <w:rsid w:val="003D4114"/>
    <w:rsid w:val="003D416B"/>
    <w:rsid w:val="003D42B3"/>
    <w:rsid w:val="003D430D"/>
    <w:rsid w:val="003D4418"/>
    <w:rsid w:val="003D4460"/>
    <w:rsid w:val="003D4467"/>
    <w:rsid w:val="003D449E"/>
    <w:rsid w:val="003D46AE"/>
    <w:rsid w:val="003D4BA5"/>
    <w:rsid w:val="003D4BDE"/>
    <w:rsid w:val="003D4C58"/>
    <w:rsid w:val="003D4C7E"/>
    <w:rsid w:val="003D4CB5"/>
    <w:rsid w:val="003D4D19"/>
    <w:rsid w:val="003D4E2A"/>
    <w:rsid w:val="003D4F69"/>
    <w:rsid w:val="003D4FB2"/>
    <w:rsid w:val="003D5019"/>
    <w:rsid w:val="003D5154"/>
    <w:rsid w:val="003D5199"/>
    <w:rsid w:val="003D5251"/>
    <w:rsid w:val="003D5331"/>
    <w:rsid w:val="003D555D"/>
    <w:rsid w:val="003D55B6"/>
    <w:rsid w:val="003D5638"/>
    <w:rsid w:val="003D56BD"/>
    <w:rsid w:val="003D5939"/>
    <w:rsid w:val="003D59C1"/>
    <w:rsid w:val="003D5A54"/>
    <w:rsid w:val="003D5A93"/>
    <w:rsid w:val="003D5E92"/>
    <w:rsid w:val="003D5F88"/>
    <w:rsid w:val="003D5FF5"/>
    <w:rsid w:val="003D60D6"/>
    <w:rsid w:val="003D6129"/>
    <w:rsid w:val="003D61B9"/>
    <w:rsid w:val="003D63CD"/>
    <w:rsid w:val="003D641E"/>
    <w:rsid w:val="003D64D2"/>
    <w:rsid w:val="003D64D3"/>
    <w:rsid w:val="003D64D9"/>
    <w:rsid w:val="003D6615"/>
    <w:rsid w:val="003D679D"/>
    <w:rsid w:val="003D6892"/>
    <w:rsid w:val="003D699B"/>
    <w:rsid w:val="003D6A6F"/>
    <w:rsid w:val="003D6DED"/>
    <w:rsid w:val="003D7043"/>
    <w:rsid w:val="003D724D"/>
    <w:rsid w:val="003D72D5"/>
    <w:rsid w:val="003D748B"/>
    <w:rsid w:val="003D74CE"/>
    <w:rsid w:val="003D74E1"/>
    <w:rsid w:val="003D76B2"/>
    <w:rsid w:val="003D7754"/>
    <w:rsid w:val="003D77BA"/>
    <w:rsid w:val="003D7A50"/>
    <w:rsid w:val="003D7A85"/>
    <w:rsid w:val="003D7D3B"/>
    <w:rsid w:val="003D7D7B"/>
    <w:rsid w:val="003D7DC6"/>
    <w:rsid w:val="003E00BD"/>
    <w:rsid w:val="003E05F3"/>
    <w:rsid w:val="003E0615"/>
    <w:rsid w:val="003E0B6C"/>
    <w:rsid w:val="003E0DE6"/>
    <w:rsid w:val="003E0DF0"/>
    <w:rsid w:val="003E0FF3"/>
    <w:rsid w:val="003E1275"/>
    <w:rsid w:val="003E1380"/>
    <w:rsid w:val="003E145E"/>
    <w:rsid w:val="003E148D"/>
    <w:rsid w:val="003E152D"/>
    <w:rsid w:val="003E166D"/>
    <w:rsid w:val="003E182B"/>
    <w:rsid w:val="003E189C"/>
    <w:rsid w:val="003E19F3"/>
    <w:rsid w:val="003E1AEB"/>
    <w:rsid w:val="003E1E83"/>
    <w:rsid w:val="003E1F52"/>
    <w:rsid w:val="003E1FEC"/>
    <w:rsid w:val="003E2155"/>
    <w:rsid w:val="003E215B"/>
    <w:rsid w:val="003E215E"/>
    <w:rsid w:val="003E2171"/>
    <w:rsid w:val="003E2188"/>
    <w:rsid w:val="003E21C5"/>
    <w:rsid w:val="003E2607"/>
    <w:rsid w:val="003E26B9"/>
    <w:rsid w:val="003E27B6"/>
    <w:rsid w:val="003E27FA"/>
    <w:rsid w:val="003E2811"/>
    <w:rsid w:val="003E2A27"/>
    <w:rsid w:val="003E2A3B"/>
    <w:rsid w:val="003E2BEF"/>
    <w:rsid w:val="003E2D36"/>
    <w:rsid w:val="003E2DF1"/>
    <w:rsid w:val="003E2E5A"/>
    <w:rsid w:val="003E2FEA"/>
    <w:rsid w:val="003E3090"/>
    <w:rsid w:val="003E31E5"/>
    <w:rsid w:val="003E3226"/>
    <w:rsid w:val="003E3300"/>
    <w:rsid w:val="003E3318"/>
    <w:rsid w:val="003E335D"/>
    <w:rsid w:val="003E3442"/>
    <w:rsid w:val="003E34B2"/>
    <w:rsid w:val="003E3638"/>
    <w:rsid w:val="003E3673"/>
    <w:rsid w:val="003E368B"/>
    <w:rsid w:val="003E36AC"/>
    <w:rsid w:val="003E36CE"/>
    <w:rsid w:val="003E36ED"/>
    <w:rsid w:val="003E387E"/>
    <w:rsid w:val="003E39E7"/>
    <w:rsid w:val="003E3B2F"/>
    <w:rsid w:val="003E3CA8"/>
    <w:rsid w:val="003E3E85"/>
    <w:rsid w:val="003E4093"/>
    <w:rsid w:val="003E40FA"/>
    <w:rsid w:val="003E424F"/>
    <w:rsid w:val="003E430E"/>
    <w:rsid w:val="003E435D"/>
    <w:rsid w:val="003E43EB"/>
    <w:rsid w:val="003E4411"/>
    <w:rsid w:val="003E4459"/>
    <w:rsid w:val="003E4510"/>
    <w:rsid w:val="003E4729"/>
    <w:rsid w:val="003E4899"/>
    <w:rsid w:val="003E49FC"/>
    <w:rsid w:val="003E4A10"/>
    <w:rsid w:val="003E4A2E"/>
    <w:rsid w:val="003E4B17"/>
    <w:rsid w:val="003E4B70"/>
    <w:rsid w:val="003E4BC7"/>
    <w:rsid w:val="003E4C7C"/>
    <w:rsid w:val="003E4CD9"/>
    <w:rsid w:val="003E4D0D"/>
    <w:rsid w:val="003E4D24"/>
    <w:rsid w:val="003E4E18"/>
    <w:rsid w:val="003E4E2F"/>
    <w:rsid w:val="003E4ECA"/>
    <w:rsid w:val="003E4FCE"/>
    <w:rsid w:val="003E501B"/>
    <w:rsid w:val="003E512B"/>
    <w:rsid w:val="003E5378"/>
    <w:rsid w:val="003E53F7"/>
    <w:rsid w:val="003E54F3"/>
    <w:rsid w:val="003E558A"/>
    <w:rsid w:val="003E5612"/>
    <w:rsid w:val="003E56B1"/>
    <w:rsid w:val="003E5915"/>
    <w:rsid w:val="003E5997"/>
    <w:rsid w:val="003E5AE5"/>
    <w:rsid w:val="003E5B0D"/>
    <w:rsid w:val="003E5B8E"/>
    <w:rsid w:val="003E5B9B"/>
    <w:rsid w:val="003E5BE0"/>
    <w:rsid w:val="003E5C44"/>
    <w:rsid w:val="003E5CA3"/>
    <w:rsid w:val="003E5CF1"/>
    <w:rsid w:val="003E5DD5"/>
    <w:rsid w:val="003E5E14"/>
    <w:rsid w:val="003E5F81"/>
    <w:rsid w:val="003E5F9A"/>
    <w:rsid w:val="003E5FC8"/>
    <w:rsid w:val="003E5FDC"/>
    <w:rsid w:val="003E6015"/>
    <w:rsid w:val="003E60F8"/>
    <w:rsid w:val="003E623A"/>
    <w:rsid w:val="003E625E"/>
    <w:rsid w:val="003E62C4"/>
    <w:rsid w:val="003E632C"/>
    <w:rsid w:val="003E6387"/>
    <w:rsid w:val="003E65B0"/>
    <w:rsid w:val="003E67AB"/>
    <w:rsid w:val="003E67FE"/>
    <w:rsid w:val="003E682D"/>
    <w:rsid w:val="003E68C2"/>
    <w:rsid w:val="003E6913"/>
    <w:rsid w:val="003E69FF"/>
    <w:rsid w:val="003E6ADF"/>
    <w:rsid w:val="003E6B29"/>
    <w:rsid w:val="003E6B6A"/>
    <w:rsid w:val="003E6C9E"/>
    <w:rsid w:val="003E6F26"/>
    <w:rsid w:val="003E70A1"/>
    <w:rsid w:val="003E7182"/>
    <w:rsid w:val="003E7339"/>
    <w:rsid w:val="003E73DD"/>
    <w:rsid w:val="003E7680"/>
    <w:rsid w:val="003E76EF"/>
    <w:rsid w:val="003E77B9"/>
    <w:rsid w:val="003E782F"/>
    <w:rsid w:val="003E7858"/>
    <w:rsid w:val="003E78A6"/>
    <w:rsid w:val="003E798F"/>
    <w:rsid w:val="003E79C8"/>
    <w:rsid w:val="003E7A5F"/>
    <w:rsid w:val="003E7C5A"/>
    <w:rsid w:val="003E7C5D"/>
    <w:rsid w:val="003E7D69"/>
    <w:rsid w:val="003E7DFC"/>
    <w:rsid w:val="003E7E2E"/>
    <w:rsid w:val="003E7EEE"/>
    <w:rsid w:val="003E7F54"/>
    <w:rsid w:val="003F01F6"/>
    <w:rsid w:val="003F029F"/>
    <w:rsid w:val="003F04AC"/>
    <w:rsid w:val="003F04C4"/>
    <w:rsid w:val="003F04F5"/>
    <w:rsid w:val="003F054D"/>
    <w:rsid w:val="003F06A0"/>
    <w:rsid w:val="003F07DE"/>
    <w:rsid w:val="003F07EE"/>
    <w:rsid w:val="003F0AA7"/>
    <w:rsid w:val="003F0C08"/>
    <w:rsid w:val="003F0DEC"/>
    <w:rsid w:val="003F0E82"/>
    <w:rsid w:val="003F0ECF"/>
    <w:rsid w:val="003F102C"/>
    <w:rsid w:val="003F112B"/>
    <w:rsid w:val="003F11CE"/>
    <w:rsid w:val="003F122A"/>
    <w:rsid w:val="003F1250"/>
    <w:rsid w:val="003F1333"/>
    <w:rsid w:val="003F14EF"/>
    <w:rsid w:val="003F17CF"/>
    <w:rsid w:val="003F17F3"/>
    <w:rsid w:val="003F1857"/>
    <w:rsid w:val="003F19BF"/>
    <w:rsid w:val="003F19C6"/>
    <w:rsid w:val="003F19D5"/>
    <w:rsid w:val="003F1AEE"/>
    <w:rsid w:val="003F1B59"/>
    <w:rsid w:val="003F1B79"/>
    <w:rsid w:val="003F1BA4"/>
    <w:rsid w:val="003F1CC0"/>
    <w:rsid w:val="003F1CD2"/>
    <w:rsid w:val="003F1CE6"/>
    <w:rsid w:val="003F1D3D"/>
    <w:rsid w:val="003F1E6E"/>
    <w:rsid w:val="003F1E87"/>
    <w:rsid w:val="003F1EB6"/>
    <w:rsid w:val="003F1F0E"/>
    <w:rsid w:val="003F235F"/>
    <w:rsid w:val="003F2396"/>
    <w:rsid w:val="003F25CF"/>
    <w:rsid w:val="003F26BD"/>
    <w:rsid w:val="003F2700"/>
    <w:rsid w:val="003F283E"/>
    <w:rsid w:val="003F2843"/>
    <w:rsid w:val="003F287F"/>
    <w:rsid w:val="003F2B7C"/>
    <w:rsid w:val="003F2EC6"/>
    <w:rsid w:val="003F2EFA"/>
    <w:rsid w:val="003F3362"/>
    <w:rsid w:val="003F3425"/>
    <w:rsid w:val="003F3522"/>
    <w:rsid w:val="003F36BA"/>
    <w:rsid w:val="003F3834"/>
    <w:rsid w:val="003F3871"/>
    <w:rsid w:val="003F3A0B"/>
    <w:rsid w:val="003F3A1F"/>
    <w:rsid w:val="003F3A4D"/>
    <w:rsid w:val="003F3B14"/>
    <w:rsid w:val="003F3C6E"/>
    <w:rsid w:val="003F3C8A"/>
    <w:rsid w:val="003F3D5B"/>
    <w:rsid w:val="003F3DFF"/>
    <w:rsid w:val="003F3E62"/>
    <w:rsid w:val="003F3F1C"/>
    <w:rsid w:val="003F3F1D"/>
    <w:rsid w:val="003F3F4F"/>
    <w:rsid w:val="003F3FB8"/>
    <w:rsid w:val="003F3FEB"/>
    <w:rsid w:val="003F4126"/>
    <w:rsid w:val="003F4301"/>
    <w:rsid w:val="003F4504"/>
    <w:rsid w:val="003F45A4"/>
    <w:rsid w:val="003F4616"/>
    <w:rsid w:val="003F4951"/>
    <w:rsid w:val="003F4988"/>
    <w:rsid w:val="003F4DFD"/>
    <w:rsid w:val="003F4F54"/>
    <w:rsid w:val="003F511B"/>
    <w:rsid w:val="003F5151"/>
    <w:rsid w:val="003F53B9"/>
    <w:rsid w:val="003F55C3"/>
    <w:rsid w:val="003F55EE"/>
    <w:rsid w:val="003F5753"/>
    <w:rsid w:val="003F58A0"/>
    <w:rsid w:val="003F5916"/>
    <w:rsid w:val="003F5A96"/>
    <w:rsid w:val="003F5BD9"/>
    <w:rsid w:val="003F5BF0"/>
    <w:rsid w:val="003F5C7B"/>
    <w:rsid w:val="003F5D86"/>
    <w:rsid w:val="003F5EB1"/>
    <w:rsid w:val="003F6156"/>
    <w:rsid w:val="003F634F"/>
    <w:rsid w:val="003F638D"/>
    <w:rsid w:val="003F6480"/>
    <w:rsid w:val="003F6519"/>
    <w:rsid w:val="003F667D"/>
    <w:rsid w:val="003F6697"/>
    <w:rsid w:val="003F671B"/>
    <w:rsid w:val="003F677A"/>
    <w:rsid w:val="003F67B5"/>
    <w:rsid w:val="003F6844"/>
    <w:rsid w:val="003F68FC"/>
    <w:rsid w:val="003F6945"/>
    <w:rsid w:val="003F6B75"/>
    <w:rsid w:val="003F6B7B"/>
    <w:rsid w:val="003F6BAB"/>
    <w:rsid w:val="003F6BD3"/>
    <w:rsid w:val="003F6C85"/>
    <w:rsid w:val="003F6DE4"/>
    <w:rsid w:val="003F7079"/>
    <w:rsid w:val="003F7235"/>
    <w:rsid w:val="003F726E"/>
    <w:rsid w:val="003F72EB"/>
    <w:rsid w:val="003F7309"/>
    <w:rsid w:val="003F73C7"/>
    <w:rsid w:val="003F743B"/>
    <w:rsid w:val="003F75A7"/>
    <w:rsid w:val="003F75B0"/>
    <w:rsid w:val="003F76B5"/>
    <w:rsid w:val="003F777D"/>
    <w:rsid w:val="003F7789"/>
    <w:rsid w:val="003F7998"/>
    <w:rsid w:val="003F7A66"/>
    <w:rsid w:val="003F7AFE"/>
    <w:rsid w:val="003F7B72"/>
    <w:rsid w:val="003F7BDB"/>
    <w:rsid w:val="003F7E39"/>
    <w:rsid w:val="003F7ECC"/>
    <w:rsid w:val="003F7ED6"/>
    <w:rsid w:val="003F7FD6"/>
    <w:rsid w:val="00400218"/>
    <w:rsid w:val="0040035C"/>
    <w:rsid w:val="004005E8"/>
    <w:rsid w:val="0040067A"/>
    <w:rsid w:val="004006B2"/>
    <w:rsid w:val="00400704"/>
    <w:rsid w:val="00400804"/>
    <w:rsid w:val="00400B8E"/>
    <w:rsid w:val="00400C15"/>
    <w:rsid w:val="00400E24"/>
    <w:rsid w:val="00400E96"/>
    <w:rsid w:val="00400F91"/>
    <w:rsid w:val="00401078"/>
    <w:rsid w:val="004010CA"/>
    <w:rsid w:val="004011B0"/>
    <w:rsid w:val="004012D4"/>
    <w:rsid w:val="00401385"/>
    <w:rsid w:val="004013AB"/>
    <w:rsid w:val="004013C5"/>
    <w:rsid w:val="004014F7"/>
    <w:rsid w:val="0040155F"/>
    <w:rsid w:val="00401677"/>
    <w:rsid w:val="004016B8"/>
    <w:rsid w:val="00401751"/>
    <w:rsid w:val="004017BE"/>
    <w:rsid w:val="004017F7"/>
    <w:rsid w:val="00401827"/>
    <w:rsid w:val="00401831"/>
    <w:rsid w:val="004018FE"/>
    <w:rsid w:val="0040194B"/>
    <w:rsid w:val="00401989"/>
    <w:rsid w:val="00401BCB"/>
    <w:rsid w:val="00401BF6"/>
    <w:rsid w:val="00401BFA"/>
    <w:rsid w:val="00401CBF"/>
    <w:rsid w:val="00401DC8"/>
    <w:rsid w:val="00401E94"/>
    <w:rsid w:val="004021F8"/>
    <w:rsid w:val="0040265B"/>
    <w:rsid w:val="004027CB"/>
    <w:rsid w:val="00402802"/>
    <w:rsid w:val="00402902"/>
    <w:rsid w:val="00402910"/>
    <w:rsid w:val="00402950"/>
    <w:rsid w:val="00402A18"/>
    <w:rsid w:val="00402C32"/>
    <w:rsid w:val="00402CC0"/>
    <w:rsid w:val="00402CDE"/>
    <w:rsid w:val="00402CF9"/>
    <w:rsid w:val="00402D8D"/>
    <w:rsid w:val="00402DA6"/>
    <w:rsid w:val="00402EA0"/>
    <w:rsid w:val="00402FA3"/>
    <w:rsid w:val="00403176"/>
    <w:rsid w:val="004034DD"/>
    <w:rsid w:val="00403915"/>
    <w:rsid w:val="0040399B"/>
    <w:rsid w:val="004039BB"/>
    <w:rsid w:val="00403B45"/>
    <w:rsid w:val="00403C08"/>
    <w:rsid w:val="00403CCF"/>
    <w:rsid w:val="00403E80"/>
    <w:rsid w:val="00403EFC"/>
    <w:rsid w:val="00403F6D"/>
    <w:rsid w:val="004041D3"/>
    <w:rsid w:val="0040425E"/>
    <w:rsid w:val="004044BC"/>
    <w:rsid w:val="00404511"/>
    <w:rsid w:val="0040459D"/>
    <w:rsid w:val="004046E5"/>
    <w:rsid w:val="004047DD"/>
    <w:rsid w:val="00404989"/>
    <w:rsid w:val="00404C19"/>
    <w:rsid w:val="00404CB4"/>
    <w:rsid w:val="00404D3A"/>
    <w:rsid w:val="00404E0F"/>
    <w:rsid w:val="00404E32"/>
    <w:rsid w:val="004050F3"/>
    <w:rsid w:val="00405125"/>
    <w:rsid w:val="00405253"/>
    <w:rsid w:val="004052C3"/>
    <w:rsid w:val="004053AE"/>
    <w:rsid w:val="00405457"/>
    <w:rsid w:val="00405646"/>
    <w:rsid w:val="004057E2"/>
    <w:rsid w:val="004057F0"/>
    <w:rsid w:val="0040584A"/>
    <w:rsid w:val="00405851"/>
    <w:rsid w:val="0040589A"/>
    <w:rsid w:val="00405A5F"/>
    <w:rsid w:val="00405A90"/>
    <w:rsid w:val="00405B63"/>
    <w:rsid w:val="00405BF7"/>
    <w:rsid w:val="00405D41"/>
    <w:rsid w:val="00405D86"/>
    <w:rsid w:val="00405DDE"/>
    <w:rsid w:val="00405F8D"/>
    <w:rsid w:val="00405F9E"/>
    <w:rsid w:val="00405FD7"/>
    <w:rsid w:val="0040620A"/>
    <w:rsid w:val="004063BD"/>
    <w:rsid w:val="00406410"/>
    <w:rsid w:val="0040644A"/>
    <w:rsid w:val="004064CB"/>
    <w:rsid w:val="00406771"/>
    <w:rsid w:val="004067B8"/>
    <w:rsid w:val="00406987"/>
    <w:rsid w:val="00406BA2"/>
    <w:rsid w:val="00406C3D"/>
    <w:rsid w:val="00406CE9"/>
    <w:rsid w:val="00406D86"/>
    <w:rsid w:val="00406F74"/>
    <w:rsid w:val="00406FCF"/>
    <w:rsid w:val="00407086"/>
    <w:rsid w:val="00407172"/>
    <w:rsid w:val="004071CD"/>
    <w:rsid w:val="004071FD"/>
    <w:rsid w:val="004073A4"/>
    <w:rsid w:val="004073E6"/>
    <w:rsid w:val="004074A2"/>
    <w:rsid w:val="00407816"/>
    <w:rsid w:val="0040784E"/>
    <w:rsid w:val="004079E6"/>
    <w:rsid w:val="00407BC0"/>
    <w:rsid w:val="00407C3A"/>
    <w:rsid w:val="00407EEF"/>
    <w:rsid w:val="00407FB4"/>
    <w:rsid w:val="00407FD7"/>
    <w:rsid w:val="00410072"/>
    <w:rsid w:val="00410075"/>
    <w:rsid w:val="004100DE"/>
    <w:rsid w:val="004103E6"/>
    <w:rsid w:val="0041053B"/>
    <w:rsid w:val="004105FD"/>
    <w:rsid w:val="0041060D"/>
    <w:rsid w:val="004108F4"/>
    <w:rsid w:val="004109DB"/>
    <w:rsid w:val="00410A85"/>
    <w:rsid w:val="00410B29"/>
    <w:rsid w:val="00410B60"/>
    <w:rsid w:val="00410C95"/>
    <w:rsid w:val="00410D7F"/>
    <w:rsid w:val="00410E13"/>
    <w:rsid w:val="00410EEA"/>
    <w:rsid w:val="00411037"/>
    <w:rsid w:val="004112E0"/>
    <w:rsid w:val="00411482"/>
    <w:rsid w:val="004114F0"/>
    <w:rsid w:val="004115EA"/>
    <w:rsid w:val="00411805"/>
    <w:rsid w:val="004119AA"/>
    <w:rsid w:val="004119D1"/>
    <w:rsid w:val="00411ADB"/>
    <w:rsid w:val="00411AF4"/>
    <w:rsid w:val="00411B21"/>
    <w:rsid w:val="00411C03"/>
    <w:rsid w:val="00411C27"/>
    <w:rsid w:val="00411C43"/>
    <w:rsid w:val="00411C6A"/>
    <w:rsid w:val="00411DF1"/>
    <w:rsid w:val="00411F98"/>
    <w:rsid w:val="00411FEA"/>
    <w:rsid w:val="00411FEF"/>
    <w:rsid w:val="00412087"/>
    <w:rsid w:val="0041229D"/>
    <w:rsid w:val="0041236E"/>
    <w:rsid w:val="004124A7"/>
    <w:rsid w:val="004125FE"/>
    <w:rsid w:val="0041262D"/>
    <w:rsid w:val="00412777"/>
    <w:rsid w:val="00412794"/>
    <w:rsid w:val="0041291A"/>
    <w:rsid w:val="00412A87"/>
    <w:rsid w:val="00412AED"/>
    <w:rsid w:val="00412B03"/>
    <w:rsid w:val="00412B7A"/>
    <w:rsid w:val="00412BE9"/>
    <w:rsid w:val="00412BFD"/>
    <w:rsid w:val="00412C01"/>
    <w:rsid w:val="00412C2B"/>
    <w:rsid w:val="00412C87"/>
    <w:rsid w:val="00412CEE"/>
    <w:rsid w:val="00412DC8"/>
    <w:rsid w:val="00412E65"/>
    <w:rsid w:val="00412E84"/>
    <w:rsid w:val="00412EA1"/>
    <w:rsid w:val="00412F9C"/>
    <w:rsid w:val="00412FB7"/>
    <w:rsid w:val="00412FD6"/>
    <w:rsid w:val="00413043"/>
    <w:rsid w:val="0041330E"/>
    <w:rsid w:val="00413317"/>
    <w:rsid w:val="004133C4"/>
    <w:rsid w:val="004133F8"/>
    <w:rsid w:val="004134EA"/>
    <w:rsid w:val="0041353D"/>
    <w:rsid w:val="0041393F"/>
    <w:rsid w:val="00413969"/>
    <w:rsid w:val="00413982"/>
    <w:rsid w:val="00413BA7"/>
    <w:rsid w:val="00413D65"/>
    <w:rsid w:val="00413F8D"/>
    <w:rsid w:val="00413FF4"/>
    <w:rsid w:val="0041400D"/>
    <w:rsid w:val="0041405D"/>
    <w:rsid w:val="0041407A"/>
    <w:rsid w:val="004140D4"/>
    <w:rsid w:val="004140FA"/>
    <w:rsid w:val="0041416F"/>
    <w:rsid w:val="004143E0"/>
    <w:rsid w:val="004144EB"/>
    <w:rsid w:val="00414603"/>
    <w:rsid w:val="00414625"/>
    <w:rsid w:val="0041462F"/>
    <w:rsid w:val="00414780"/>
    <w:rsid w:val="00414840"/>
    <w:rsid w:val="00414A46"/>
    <w:rsid w:val="00414BCA"/>
    <w:rsid w:val="00414C30"/>
    <w:rsid w:val="00414C71"/>
    <w:rsid w:val="00414CBE"/>
    <w:rsid w:val="00414D0E"/>
    <w:rsid w:val="00414D40"/>
    <w:rsid w:val="00414E43"/>
    <w:rsid w:val="00414EA3"/>
    <w:rsid w:val="00414FC8"/>
    <w:rsid w:val="00415006"/>
    <w:rsid w:val="00415010"/>
    <w:rsid w:val="00415171"/>
    <w:rsid w:val="00415552"/>
    <w:rsid w:val="004155BC"/>
    <w:rsid w:val="004156E2"/>
    <w:rsid w:val="004158EF"/>
    <w:rsid w:val="00415A20"/>
    <w:rsid w:val="00415A5F"/>
    <w:rsid w:val="00415C3E"/>
    <w:rsid w:val="00415C6C"/>
    <w:rsid w:val="00415C84"/>
    <w:rsid w:val="00415DFD"/>
    <w:rsid w:val="00416066"/>
    <w:rsid w:val="00416197"/>
    <w:rsid w:val="004161FD"/>
    <w:rsid w:val="0041630C"/>
    <w:rsid w:val="0041644A"/>
    <w:rsid w:val="00416470"/>
    <w:rsid w:val="00416539"/>
    <w:rsid w:val="004165B8"/>
    <w:rsid w:val="004166A8"/>
    <w:rsid w:val="004166ED"/>
    <w:rsid w:val="0041676B"/>
    <w:rsid w:val="004167A1"/>
    <w:rsid w:val="004167D9"/>
    <w:rsid w:val="004169E4"/>
    <w:rsid w:val="00416B96"/>
    <w:rsid w:val="00416B98"/>
    <w:rsid w:val="00416D89"/>
    <w:rsid w:val="00416E60"/>
    <w:rsid w:val="00416F1D"/>
    <w:rsid w:val="0041704D"/>
    <w:rsid w:val="00417270"/>
    <w:rsid w:val="004172EF"/>
    <w:rsid w:val="00417471"/>
    <w:rsid w:val="004174BB"/>
    <w:rsid w:val="00417539"/>
    <w:rsid w:val="004175ED"/>
    <w:rsid w:val="00417640"/>
    <w:rsid w:val="0041784D"/>
    <w:rsid w:val="00417885"/>
    <w:rsid w:val="004178D1"/>
    <w:rsid w:val="004178FB"/>
    <w:rsid w:val="00417948"/>
    <w:rsid w:val="00417A30"/>
    <w:rsid w:val="00417A77"/>
    <w:rsid w:val="00417B0B"/>
    <w:rsid w:val="00417B2A"/>
    <w:rsid w:val="00417C61"/>
    <w:rsid w:val="00417ECF"/>
    <w:rsid w:val="00417EDE"/>
    <w:rsid w:val="00420080"/>
    <w:rsid w:val="00420087"/>
    <w:rsid w:val="00420313"/>
    <w:rsid w:val="0042035D"/>
    <w:rsid w:val="0042076E"/>
    <w:rsid w:val="00420922"/>
    <w:rsid w:val="00420A18"/>
    <w:rsid w:val="00420AD4"/>
    <w:rsid w:val="00420B99"/>
    <w:rsid w:val="00420BB3"/>
    <w:rsid w:val="00420C37"/>
    <w:rsid w:val="00420C4E"/>
    <w:rsid w:val="00420C84"/>
    <w:rsid w:val="00420E3E"/>
    <w:rsid w:val="004211FF"/>
    <w:rsid w:val="004212C9"/>
    <w:rsid w:val="0042135B"/>
    <w:rsid w:val="004213C5"/>
    <w:rsid w:val="004213D9"/>
    <w:rsid w:val="004213F0"/>
    <w:rsid w:val="00421492"/>
    <w:rsid w:val="0042156A"/>
    <w:rsid w:val="00421662"/>
    <w:rsid w:val="004217A9"/>
    <w:rsid w:val="004218B0"/>
    <w:rsid w:val="00421CDC"/>
    <w:rsid w:val="00421EFA"/>
    <w:rsid w:val="00421EFB"/>
    <w:rsid w:val="00422125"/>
    <w:rsid w:val="00422274"/>
    <w:rsid w:val="0042228D"/>
    <w:rsid w:val="00422341"/>
    <w:rsid w:val="0042252C"/>
    <w:rsid w:val="00422571"/>
    <w:rsid w:val="004225E7"/>
    <w:rsid w:val="0042261D"/>
    <w:rsid w:val="00422722"/>
    <w:rsid w:val="00422728"/>
    <w:rsid w:val="004227A3"/>
    <w:rsid w:val="004227E7"/>
    <w:rsid w:val="00422A3D"/>
    <w:rsid w:val="00422B6C"/>
    <w:rsid w:val="00422C57"/>
    <w:rsid w:val="00422D01"/>
    <w:rsid w:val="0042322A"/>
    <w:rsid w:val="004232AA"/>
    <w:rsid w:val="004233DB"/>
    <w:rsid w:val="00423411"/>
    <w:rsid w:val="00423433"/>
    <w:rsid w:val="00423480"/>
    <w:rsid w:val="004238A3"/>
    <w:rsid w:val="0042395D"/>
    <w:rsid w:val="004239A7"/>
    <w:rsid w:val="00423BE5"/>
    <w:rsid w:val="00423D1B"/>
    <w:rsid w:val="00423D32"/>
    <w:rsid w:val="00423E44"/>
    <w:rsid w:val="00423E9E"/>
    <w:rsid w:val="00423EEE"/>
    <w:rsid w:val="00423EF0"/>
    <w:rsid w:val="00423FC1"/>
    <w:rsid w:val="004241A7"/>
    <w:rsid w:val="00424480"/>
    <w:rsid w:val="00424596"/>
    <w:rsid w:val="00424669"/>
    <w:rsid w:val="00424815"/>
    <w:rsid w:val="004248CE"/>
    <w:rsid w:val="00424906"/>
    <w:rsid w:val="0042492E"/>
    <w:rsid w:val="0042499B"/>
    <w:rsid w:val="004249B6"/>
    <w:rsid w:val="00424A18"/>
    <w:rsid w:val="00424A4E"/>
    <w:rsid w:val="00424A4F"/>
    <w:rsid w:val="00424A8E"/>
    <w:rsid w:val="00424AA1"/>
    <w:rsid w:val="00424AE3"/>
    <w:rsid w:val="00424B20"/>
    <w:rsid w:val="00424B2A"/>
    <w:rsid w:val="00424E4B"/>
    <w:rsid w:val="00424EE5"/>
    <w:rsid w:val="00425025"/>
    <w:rsid w:val="00425168"/>
    <w:rsid w:val="004251C8"/>
    <w:rsid w:val="004252DD"/>
    <w:rsid w:val="00425319"/>
    <w:rsid w:val="0042533B"/>
    <w:rsid w:val="00425617"/>
    <w:rsid w:val="004256D5"/>
    <w:rsid w:val="004256FE"/>
    <w:rsid w:val="00425842"/>
    <w:rsid w:val="004259EF"/>
    <w:rsid w:val="00425A72"/>
    <w:rsid w:val="00425C21"/>
    <w:rsid w:val="00425CA3"/>
    <w:rsid w:val="00425DBC"/>
    <w:rsid w:val="00425EFB"/>
    <w:rsid w:val="00426094"/>
    <w:rsid w:val="00426690"/>
    <w:rsid w:val="004268BC"/>
    <w:rsid w:val="00426C1A"/>
    <w:rsid w:val="00426E45"/>
    <w:rsid w:val="00426E8B"/>
    <w:rsid w:val="00426F15"/>
    <w:rsid w:val="00427041"/>
    <w:rsid w:val="00427371"/>
    <w:rsid w:val="004273D1"/>
    <w:rsid w:val="004274AC"/>
    <w:rsid w:val="004274DD"/>
    <w:rsid w:val="004275BC"/>
    <w:rsid w:val="0042761E"/>
    <w:rsid w:val="00427634"/>
    <w:rsid w:val="0042769D"/>
    <w:rsid w:val="00427811"/>
    <w:rsid w:val="00427957"/>
    <w:rsid w:val="00430165"/>
    <w:rsid w:val="0043031E"/>
    <w:rsid w:val="004303DB"/>
    <w:rsid w:val="0043050D"/>
    <w:rsid w:val="00430659"/>
    <w:rsid w:val="0043066F"/>
    <w:rsid w:val="004306A8"/>
    <w:rsid w:val="004306E3"/>
    <w:rsid w:val="004307F1"/>
    <w:rsid w:val="004308D6"/>
    <w:rsid w:val="004309B9"/>
    <w:rsid w:val="00430AB4"/>
    <w:rsid w:val="00430B9B"/>
    <w:rsid w:val="00430C50"/>
    <w:rsid w:val="00430CE2"/>
    <w:rsid w:val="00430D97"/>
    <w:rsid w:val="00430D9E"/>
    <w:rsid w:val="00430DD4"/>
    <w:rsid w:val="00430E31"/>
    <w:rsid w:val="00430EC2"/>
    <w:rsid w:val="00430F48"/>
    <w:rsid w:val="00430FA1"/>
    <w:rsid w:val="004310C7"/>
    <w:rsid w:val="004312DD"/>
    <w:rsid w:val="004313EF"/>
    <w:rsid w:val="0043147A"/>
    <w:rsid w:val="004314BF"/>
    <w:rsid w:val="00431602"/>
    <w:rsid w:val="00431616"/>
    <w:rsid w:val="004316B0"/>
    <w:rsid w:val="00431722"/>
    <w:rsid w:val="00431740"/>
    <w:rsid w:val="00431761"/>
    <w:rsid w:val="004317FE"/>
    <w:rsid w:val="00431850"/>
    <w:rsid w:val="00431852"/>
    <w:rsid w:val="00431871"/>
    <w:rsid w:val="0043187B"/>
    <w:rsid w:val="0043192E"/>
    <w:rsid w:val="00431B9E"/>
    <w:rsid w:val="00431C23"/>
    <w:rsid w:val="00431C55"/>
    <w:rsid w:val="00431D2B"/>
    <w:rsid w:val="00431D60"/>
    <w:rsid w:val="00431F89"/>
    <w:rsid w:val="004320ED"/>
    <w:rsid w:val="00432224"/>
    <w:rsid w:val="0043239A"/>
    <w:rsid w:val="0043259C"/>
    <w:rsid w:val="00432779"/>
    <w:rsid w:val="0043284D"/>
    <w:rsid w:val="00432982"/>
    <w:rsid w:val="004329A7"/>
    <w:rsid w:val="004329BD"/>
    <w:rsid w:val="00432DED"/>
    <w:rsid w:val="00432EBD"/>
    <w:rsid w:val="00432F04"/>
    <w:rsid w:val="00433105"/>
    <w:rsid w:val="00433242"/>
    <w:rsid w:val="0043324F"/>
    <w:rsid w:val="004332BC"/>
    <w:rsid w:val="004335D4"/>
    <w:rsid w:val="00433673"/>
    <w:rsid w:val="0043371D"/>
    <w:rsid w:val="004337FF"/>
    <w:rsid w:val="0043383E"/>
    <w:rsid w:val="00433851"/>
    <w:rsid w:val="004338AB"/>
    <w:rsid w:val="00433905"/>
    <w:rsid w:val="00433995"/>
    <w:rsid w:val="00433B1A"/>
    <w:rsid w:val="00433D3D"/>
    <w:rsid w:val="00433E27"/>
    <w:rsid w:val="004340EA"/>
    <w:rsid w:val="004341BD"/>
    <w:rsid w:val="00434242"/>
    <w:rsid w:val="00434468"/>
    <w:rsid w:val="004344BA"/>
    <w:rsid w:val="004344F9"/>
    <w:rsid w:val="00434532"/>
    <w:rsid w:val="0043456A"/>
    <w:rsid w:val="00434628"/>
    <w:rsid w:val="0043463D"/>
    <w:rsid w:val="0043472B"/>
    <w:rsid w:val="00434890"/>
    <w:rsid w:val="00434A42"/>
    <w:rsid w:val="00434A9F"/>
    <w:rsid w:val="00434B8D"/>
    <w:rsid w:val="00434BEE"/>
    <w:rsid w:val="00434C2D"/>
    <w:rsid w:val="00434DB8"/>
    <w:rsid w:val="00434F1E"/>
    <w:rsid w:val="00434FE3"/>
    <w:rsid w:val="004351C8"/>
    <w:rsid w:val="004353A0"/>
    <w:rsid w:val="00435433"/>
    <w:rsid w:val="004354B1"/>
    <w:rsid w:val="00435534"/>
    <w:rsid w:val="004355A6"/>
    <w:rsid w:val="00435685"/>
    <w:rsid w:val="004356E4"/>
    <w:rsid w:val="00435733"/>
    <w:rsid w:val="00435831"/>
    <w:rsid w:val="00435837"/>
    <w:rsid w:val="00435869"/>
    <w:rsid w:val="00435973"/>
    <w:rsid w:val="004359AA"/>
    <w:rsid w:val="00435A97"/>
    <w:rsid w:val="00435CD7"/>
    <w:rsid w:val="00435EDF"/>
    <w:rsid w:val="00435FE5"/>
    <w:rsid w:val="004363A9"/>
    <w:rsid w:val="00436517"/>
    <w:rsid w:val="0043666A"/>
    <w:rsid w:val="0043667B"/>
    <w:rsid w:val="00436854"/>
    <w:rsid w:val="0043690C"/>
    <w:rsid w:val="004369F0"/>
    <w:rsid w:val="00436A19"/>
    <w:rsid w:val="00436A36"/>
    <w:rsid w:val="00436B40"/>
    <w:rsid w:val="00436B7D"/>
    <w:rsid w:val="00436D86"/>
    <w:rsid w:val="00436DE3"/>
    <w:rsid w:val="0043708E"/>
    <w:rsid w:val="004370A6"/>
    <w:rsid w:val="004371C9"/>
    <w:rsid w:val="004372E5"/>
    <w:rsid w:val="004372EA"/>
    <w:rsid w:val="0043736E"/>
    <w:rsid w:val="00437450"/>
    <w:rsid w:val="00437451"/>
    <w:rsid w:val="00437567"/>
    <w:rsid w:val="004375D7"/>
    <w:rsid w:val="004377C5"/>
    <w:rsid w:val="00437870"/>
    <w:rsid w:val="004379C0"/>
    <w:rsid w:val="00437B1D"/>
    <w:rsid w:val="00437D52"/>
    <w:rsid w:val="00437DB3"/>
    <w:rsid w:val="004400CD"/>
    <w:rsid w:val="004400EA"/>
    <w:rsid w:val="004401CE"/>
    <w:rsid w:val="00440234"/>
    <w:rsid w:val="0044024E"/>
    <w:rsid w:val="00440298"/>
    <w:rsid w:val="0044034E"/>
    <w:rsid w:val="0044050B"/>
    <w:rsid w:val="00440571"/>
    <w:rsid w:val="004406FC"/>
    <w:rsid w:val="00440843"/>
    <w:rsid w:val="004409E7"/>
    <w:rsid w:val="00440DFA"/>
    <w:rsid w:val="00440FF8"/>
    <w:rsid w:val="0044111A"/>
    <w:rsid w:val="0044111E"/>
    <w:rsid w:val="0044112D"/>
    <w:rsid w:val="004411C0"/>
    <w:rsid w:val="004414F4"/>
    <w:rsid w:val="004415C3"/>
    <w:rsid w:val="0044170F"/>
    <w:rsid w:val="004419D1"/>
    <w:rsid w:val="004419E5"/>
    <w:rsid w:val="00441BBE"/>
    <w:rsid w:val="00441D06"/>
    <w:rsid w:val="00441F1E"/>
    <w:rsid w:val="00441F91"/>
    <w:rsid w:val="00441FE0"/>
    <w:rsid w:val="00442061"/>
    <w:rsid w:val="004422F5"/>
    <w:rsid w:val="0044233C"/>
    <w:rsid w:val="004423F2"/>
    <w:rsid w:val="004427D6"/>
    <w:rsid w:val="004427E3"/>
    <w:rsid w:val="00442958"/>
    <w:rsid w:val="00442AD6"/>
    <w:rsid w:val="00442C78"/>
    <w:rsid w:val="00442E67"/>
    <w:rsid w:val="00442E95"/>
    <w:rsid w:val="00442F20"/>
    <w:rsid w:val="00442FCF"/>
    <w:rsid w:val="004431E0"/>
    <w:rsid w:val="00443257"/>
    <w:rsid w:val="00443269"/>
    <w:rsid w:val="00443271"/>
    <w:rsid w:val="0044359E"/>
    <w:rsid w:val="004435A8"/>
    <w:rsid w:val="00443601"/>
    <w:rsid w:val="00443679"/>
    <w:rsid w:val="0044379C"/>
    <w:rsid w:val="004439F9"/>
    <w:rsid w:val="00443A50"/>
    <w:rsid w:val="00443B3C"/>
    <w:rsid w:val="00443B80"/>
    <w:rsid w:val="00443BB6"/>
    <w:rsid w:val="00443C29"/>
    <w:rsid w:val="00443C39"/>
    <w:rsid w:val="00443F0D"/>
    <w:rsid w:val="0044409C"/>
    <w:rsid w:val="004440B7"/>
    <w:rsid w:val="004440EB"/>
    <w:rsid w:val="00444240"/>
    <w:rsid w:val="0044426B"/>
    <w:rsid w:val="004442DA"/>
    <w:rsid w:val="00444581"/>
    <w:rsid w:val="0044460D"/>
    <w:rsid w:val="004446D4"/>
    <w:rsid w:val="00444709"/>
    <w:rsid w:val="00444742"/>
    <w:rsid w:val="00444926"/>
    <w:rsid w:val="0044492E"/>
    <w:rsid w:val="0044497A"/>
    <w:rsid w:val="0044497C"/>
    <w:rsid w:val="0044498E"/>
    <w:rsid w:val="004449B4"/>
    <w:rsid w:val="00444A6E"/>
    <w:rsid w:val="00444B35"/>
    <w:rsid w:val="00444CBC"/>
    <w:rsid w:val="00444D08"/>
    <w:rsid w:val="00444D4A"/>
    <w:rsid w:val="00444D77"/>
    <w:rsid w:val="0044510A"/>
    <w:rsid w:val="004451C4"/>
    <w:rsid w:val="004451D9"/>
    <w:rsid w:val="004451F7"/>
    <w:rsid w:val="0044531C"/>
    <w:rsid w:val="00445390"/>
    <w:rsid w:val="004454A5"/>
    <w:rsid w:val="004454BE"/>
    <w:rsid w:val="0044585C"/>
    <w:rsid w:val="0044586F"/>
    <w:rsid w:val="00445886"/>
    <w:rsid w:val="004459BE"/>
    <w:rsid w:val="00445A05"/>
    <w:rsid w:val="00445A21"/>
    <w:rsid w:val="00445A99"/>
    <w:rsid w:val="00445AC2"/>
    <w:rsid w:val="00445B39"/>
    <w:rsid w:val="00445BF3"/>
    <w:rsid w:val="00445F94"/>
    <w:rsid w:val="00445FE1"/>
    <w:rsid w:val="00445FEA"/>
    <w:rsid w:val="00445FEB"/>
    <w:rsid w:val="0044622E"/>
    <w:rsid w:val="00446483"/>
    <w:rsid w:val="0044655E"/>
    <w:rsid w:val="00446660"/>
    <w:rsid w:val="004466D0"/>
    <w:rsid w:val="00446741"/>
    <w:rsid w:val="004467C2"/>
    <w:rsid w:val="0044688E"/>
    <w:rsid w:val="004469B5"/>
    <w:rsid w:val="00446B68"/>
    <w:rsid w:val="00446BCE"/>
    <w:rsid w:val="00446BF3"/>
    <w:rsid w:val="00446E84"/>
    <w:rsid w:val="00446FF3"/>
    <w:rsid w:val="00447000"/>
    <w:rsid w:val="0044702B"/>
    <w:rsid w:val="00447263"/>
    <w:rsid w:val="004472F0"/>
    <w:rsid w:val="00447489"/>
    <w:rsid w:val="004475F5"/>
    <w:rsid w:val="0044771E"/>
    <w:rsid w:val="0044795F"/>
    <w:rsid w:val="00447972"/>
    <w:rsid w:val="00447BD2"/>
    <w:rsid w:val="00447C1E"/>
    <w:rsid w:val="00447CEB"/>
    <w:rsid w:val="0045007C"/>
    <w:rsid w:val="0045025D"/>
    <w:rsid w:val="004509F4"/>
    <w:rsid w:val="00450BB1"/>
    <w:rsid w:val="00450C11"/>
    <w:rsid w:val="00450C20"/>
    <w:rsid w:val="00450C3D"/>
    <w:rsid w:val="004511B0"/>
    <w:rsid w:val="00451459"/>
    <w:rsid w:val="004515E3"/>
    <w:rsid w:val="00451784"/>
    <w:rsid w:val="00451832"/>
    <w:rsid w:val="004518BC"/>
    <w:rsid w:val="00451907"/>
    <w:rsid w:val="00451ACA"/>
    <w:rsid w:val="00451AEE"/>
    <w:rsid w:val="00451B4D"/>
    <w:rsid w:val="00451C74"/>
    <w:rsid w:val="00451D65"/>
    <w:rsid w:val="00451FF4"/>
    <w:rsid w:val="00452034"/>
    <w:rsid w:val="0045212D"/>
    <w:rsid w:val="0045215A"/>
    <w:rsid w:val="00452217"/>
    <w:rsid w:val="004522C2"/>
    <w:rsid w:val="004523E7"/>
    <w:rsid w:val="004527CD"/>
    <w:rsid w:val="004527EA"/>
    <w:rsid w:val="004528A1"/>
    <w:rsid w:val="004528DF"/>
    <w:rsid w:val="00452984"/>
    <w:rsid w:val="004529C1"/>
    <w:rsid w:val="00452BB9"/>
    <w:rsid w:val="00452D9C"/>
    <w:rsid w:val="00452DD3"/>
    <w:rsid w:val="00452EAE"/>
    <w:rsid w:val="00452EE9"/>
    <w:rsid w:val="004531B1"/>
    <w:rsid w:val="004532AC"/>
    <w:rsid w:val="00453306"/>
    <w:rsid w:val="0045337C"/>
    <w:rsid w:val="0045342E"/>
    <w:rsid w:val="00453442"/>
    <w:rsid w:val="00453465"/>
    <w:rsid w:val="0045346C"/>
    <w:rsid w:val="004534A5"/>
    <w:rsid w:val="00453649"/>
    <w:rsid w:val="004536B2"/>
    <w:rsid w:val="00453744"/>
    <w:rsid w:val="004537A4"/>
    <w:rsid w:val="004537AF"/>
    <w:rsid w:val="004539E7"/>
    <w:rsid w:val="00453D08"/>
    <w:rsid w:val="00453D8B"/>
    <w:rsid w:val="00453DED"/>
    <w:rsid w:val="00453F34"/>
    <w:rsid w:val="004541C9"/>
    <w:rsid w:val="00454234"/>
    <w:rsid w:val="00454294"/>
    <w:rsid w:val="00454353"/>
    <w:rsid w:val="00454385"/>
    <w:rsid w:val="0045444B"/>
    <w:rsid w:val="00454506"/>
    <w:rsid w:val="0045453F"/>
    <w:rsid w:val="0045471B"/>
    <w:rsid w:val="0045471E"/>
    <w:rsid w:val="00454886"/>
    <w:rsid w:val="00454961"/>
    <w:rsid w:val="00454A3B"/>
    <w:rsid w:val="00454B2D"/>
    <w:rsid w:val="00454C37"/>
    <w:rsid w:val="00454CF6"/>
    <w:rsid w:val="00454D26"/>
    <w:rsid w:val="00454E14"/>
    <w:rsid w:val="00454E1F"/>
    <w:rsid w:val="0045500D"/>
    <w:rsid w:val="00455021"/>
    <w:rsid w:val="00455097"/>
    <w:rsid w:val="00455155"/>
    <w:rsid w:val="004552CB"/>
    <w:rsid w:val="0045550B"/>
    <w:rsid w:val="00455521"/>
    <w:rsid w:val="004555B5"/>
    <w:rsid w:val="004555F8"/>
    <w:rsid w:val="004555FB"/>
    <w:rsid w:val="0045563C"/>
    <w:rsid w:val="00455682"/>
    <w:rsid w:val="0045571B"/>
    <w:rsid w:val="0045578A"/>
    <w:rsid w:val="004558BA"/>
    <w:rsid w:val="0045596D"/>
    <w:rsid w:val="00455CE4"/>
    <w:rsid w:val="00456009"/>
    <w:rsid w:val="00456042"/>
    <w:rsid w:val="004560A2"/>
    <w:rsid w:val="0045624B"/>
    <w:rsid w:val="00456690"/>
    <w:rsid w:val="00456802"/>
    <w:rsid w:val="00456983"/>
    <w:rsid w:val="004569C4"/>
    <w:rsid w:val="00456A24"/>
    <w:rsid w:val="00456B80"/>
    <w:rsid w:val="00456BE6"/>
    <w:rsid w:val="00456BFB"/>
    <w:rsid w:val="00456D00"/>
    <w:rsid w:val="00456DA6"/>
    <w:rsid w:val="00456EAC"/>
    <w:rsid w:val="00456F1B"/>
    <w:rsid w:val="00456F26"/>
    <w:rsid w:val="00456FFB"/>
    <w:rsid w:val="00457101"/>
    <w:rsid w:val="004571F8"/>
    <w:rsid w:val="004574DF"/>
    <w:rsid w:val="00457596"/>
    <w:rsid w:val="004575E6"/>
    <w:rsid w:val="00457738"/>
    <w:rsid w:val="00457791"/>
    <w:rsid w:val="0045787F"/>
    <w:rsid w:val="00457895"/>
    <w:rsid w:val="004578C5"/>
    <w:rsid w:val="0045792A"/>
    <w:rsid w:val="00457CB4"/>
    <w:rsid w:val="00457DC3"/>
    <w:rsid w:val="00457F17"/>
    <w:rsid w:val="00460056"/>
    <w:rsid w:val="00460216"/>
    <w:rsid w:val="0046028E"/>
    <w:rsid w:val="004603B1"/>
    <w:rsid w:val="004603E6"/>
    <w:rsid w:val="0046048D"/>
    <w:rsid w:val="00460521"/>
    <w:rsid w:val="004605FD"/>
    <w:rsid w:val="004609CD"/>
    <w:rsid w:val="00460D3F"/>
    <w:rsid w:val="00460EE1"/>
    <w:rsid w:val="0046118C"/>
    <w:rsid w:val="00461194"/>
    <w:rsid w:val="004611D4"/>
    <w:rsid w:val="0046135C"/>
    <w:rsid w:val="00461395"/>
    <w:rsid w:val="0046143D"/>
    <w:rsid w:val="0046147D"/>
    <w:rsid w:val="004614E5"/>
    <w:rsid w:val="00461532"/>
    <w:rsid w:val="00461638"/>
    <w:rsid w:val="0046170D"/>
    <w:rsid w:val="004617F1"/>
    <w:rsid w:val="004618BB"/>
    <w:rsid w:val="004618D2"/>
    <w:rsid w:val="00461A5E"/>
    <w:rsid w:val="00461A86"/>
    <w:rsid w:val="00461BEF"/>
    <w:rsid w:val="00461C15"/>
    <w:rsid w:val="00461C1A"/>
    <w:rsid w:val="00461D67"/>
    <w:rsid w:val="00461F93"/>
    <w:rsid w:val="00461FB2"/>
    <w:rsid w:val="004620AE"/>
    <w:rsid w:val="0046212B"/>
    <w:rsid w:val="0046223B"/>
    <w:rsid w:val="00462262"/>
    <w:rsid w:val="0046232D"/>
    <w:rsid w:val="004627DC"/>
    <w:rsid w:val="004627ED"/>
    <w:rsid w:val="004628C1"/>
    <w:rsid w:val="004628CF"/>
    <w:rsid w:val="00462938"/>
    <w:rsid w:val="00462B43"/>
    <w:rsid w:val="00462C45"/>
    <w:rsid w:val="00462CC8"/>
    <w:rsid w:val="00462EBE"/>
    <w:rsid w:val="00462F4D"/>
    <w:rsid w:val="00462FCE"/>
    <w:rsid w:val="00463029"/>
    <w:rsid w:val="00463062"/>
    <w:rsid w:val="0046306D"/>
    <w:rsid w:val="004631A9"/>
    <w:rsid w:val="004631CE"/>
    <w:rsid w:val="00463246"/>
    <w:rsid w:val="0046328B"/>
    <w:rsid w:val="0046343D"/>
    <w:rsid w:val="004635A2"/>
    <w:rsid w:val="0046374D"/>
    <w:rsid w:val="004637B1"/>
    <w:rsid w:val="00463991"/>
    <w:rsid w:val="00463DB0"/>
    <w:rsid w:val="00463E7D"/>
    <w:rsid w:val="00463E84"/>
    <w:rsid w:val="00463F55"/>
    <w:rsid w:val="00464052"/>
    <w:rsid w:val="004641B1"/>
    <w:rsid w:val="0046426B"/>
    <w:rsid w:val="004642CE"/>
    <w:rsid w:val="00464395"/>
    <w:rsid w:val="004644C6"/>
    <w:rsid w:val="00464623"/>
    <w:rsid w:val="00464677"/>
    <w:rsid w:val="00464905"/>
    <w:rsid w:val="00464996"/>
    <w:rsid w:val="004649B4"/>
    <w:rsid w:val="00464A2D"/>
    <w:rsid w:val="00464C2C"/>
    <w:rsid w:val="00464C3A"/>
    <w:rsid w:val="00464D75"/>
    <w:rsid w:val="00465042"/>
    <w:rsid w:val="00465185"/>
    <w:rsid w:val="004651E5"/>
    <w:rsid w:val="00465238"/>
    <w:rsid w:val="0046541F"/>
    <w:rsid w:val="00465463"/>
    <w:rsid w:val="004654CF"/>
    <w:rsid w:val="00465539"/>
    <w:rsid w:val="004655C9"/>
    <w:rsid w:val="00465830"/>
    <w:rsid w:val="00465916"/>
    <w:rsid w:val="00465A14"/>
    <w:rsid w:val="00465A16"/>
    <w:rsid w:val="00465C17"/>
    <w:rsid w:val="00465D9F"/>
    <w:rsid w:val="00465DDC"/>
    <w:rsid w:val="00465E98"/>
    <w:rsid w:val="00466121"/>
    <w:rsid w:val="00466392"/>
    <w:rsid w:val="00466418"/>
    <w:rsid w:val="00466439"/>
    <w:rsid w:val="0046649C"/>
    <w:rsid w:val="00466584"/>
    <w:rsid w:val="004665EE"/>
    <w:rsid w:val="004666BD"/>
    <w:rsid w:val="00466780"/>
    <w:rsid w:val="0046698F"/>
    <w:rsid w:val="00466A3F"/>
    <w:rsid w:val="00466B2F"/>
    <w:rsid w:val="00466B72"/>
    <w:rsid w:val="00466B98"/>
    <w:rsid w:val="00466DA5"/>
    <w:rsid w:val="00466DDE"/>
    <w:rsid w:val="00466E50"/>
    <w:rsid w:val="00467188"/>
    <w:rsid w:val="00467210"/>
    <w:rsid w:val="00467391"/>
    <w:rsid w:val="004673A6"/>
    <w:rsid w:val="004673AE"/>
    <w:rsid w:val="00467472"/>
    <w:rsid w:val="004674F3"/>
    <w:rsid w:val="0046762B"/>
    <w:rsid w:val="00467638"/>
    <w:rsid w:val="004677A9"/>
    <w:rsid w:val="004679E9"/>
    <w:rsid w:val="004679F3"/>
    <w:rsid w:val="00467B72"/>
    <w:rsid w:val="00467C01"/>
    <w:rsid w:val="00467F0D"/>
    <w:rsid w:val="00467F6F"/>
    <w:rsid w:val="00467FBF"/>
    <w:rsid w:val="0047003B"/>
    <w:rsid w:val="0047023E"/>
    <w:rsid w:val="00470432"/>
    <w:rsid w:val="0047049A"/>
    <w:rsid w:val="004704D2"/>
    <w:rsid w:val="0047072A"/>
    <w:rsid w:val="00470746"/>
    <w:rsid w:val="004709E1"/>
    <w:rsid w:val="00470A0D"/>
    <w:rsid w:val="00470A94"/>
    <w:rsid w:val="00470AED"/>
    <w:rsid w:val="00470E60"/>
    <w:rsid w:val="00470E63"/>
    <w:rsid w:val="00470EE9"/>
    <w:rsid w:val="00470F40"/>
    <w:rsid w:val="00470F70"/>
    <w:rsid w:val="0047101C"/>
    <w:rsid w:val="0047110F"/>
    <w:rsid w:val="00471251"/>
    <w:rsid w:val="00471259"/>
    <w:rsid w:val="0047138A"/>
    <w:rsid w:val="004713C0"/>
    <w:rsid w:val="00471407"/>
    <w:rsid w:val="00471529"/>
    <w:rsid w:val="00471662"/>
    <w:rsid w:val="0047166D"/>
    <w:rsid w:val="004716AC"/>
    <w:rsid w:val="00471712"/>
    <w:rsid w:val="0047175D"/>
    <w:rsid w:val="00471B58"/>
    <w:rsid w:val="00471BFE"/>
    <w:rsid w:val="00471C20"/>
    <w:rsid w:val="00471C23"/>
    <w:rsid w:val="00471CCF"/>
    <w:rsid w:val="00471D51"/>
    <w:rsid w:val="00471EF2"/>
    <w:rsid w:val="00472328"/>
    <w:rsid w:val="004725A4"/>
    <w:rsid w:val="004725F4"/>
    <w:rsid w:val="004726B3"/>
    <w:rsid w:val="004726CD"/>
    <w:rsid w:val="0047278C"/>
    <w:rsid w:val="004727A7"/>
    <w:rsid w:val="00472981"/>
    <w:rsid w:val="00472A96"/>
    <w:rsid w:val="00472CFE"/>
    <w:rsid w:val="00472EEF"/>
    <w:rsid w:val="00472EFD"/>
    <w:rsid w:val="00472F00"/>
    <w:rsid w:val="00472F8D"/>
    <w:rsid w:val="00473076"/>
    <w:rsid w:val="00473125"/>
    <w:rsid w:val="00473133"/>
    <w:rsid w:val="00473138"/>
    <w:rsid w:val="004731AF"/>
    <w:rsid w:val="00473222"/>
    <w:rsid w:val="004733A7"/>
    <w:rsid w:val="004733C8"/>
    <w:rsid w:val="0047343C"/>
    <w:rsid w:val="004736C8"/>
    <w:rsid w:val="00473798"/>
    <w:rsid w:val="004737B4"/>
    <w:rsid w:val="004737D6"/>
    <w:rsid w:val="00473836"/>
    <w:rsid w:val="00473882"/>
    <w:rsid w:val="00473885"/>
    <w:rsid w:val="0047393C"/>
    <w:rsid w:val="00473943"/>
    <w:rsid w:val="004739C9"/>
    <w:rsid w:val="00473A91"/>
    <w:rsid w:val="00473B95"/>
    <w:rsid w:val="0047433D"/>
    <w:rsid w:val="00474356"/>
    <w:rsid w:val="00474448"/>
    <w:rsid w:val="004747E1"/>
    <w:rsid w:val="004748A0"/>
    <w:rsid w:val="004748D4"/>
    <w:rsid w:val="00474C94"/>
    <w:rsid w:val="00474E0B"/>
    <w:rsid w:val="00474E27"/>
    <w:rsid w:val="00474E57"/>
    <w:rsid w:val="00474EF9"/>
    <w:rsid w:val="00474F71"/>
    <w:rsid w:val="00474FBA"/>
    <w:rsid w:val="004750D4"/>
    <w:rsid w:val="00475139"/>
    <w:rsid w:val="0047514D"/>
    <w:rsid w:val="004751A5"/>
    <w:rsid w:val="004751CA"/>
    <w:rsid w:val="0047530A"/>
    <w:rsid w:val="00475376"/>
    <w:rsid w:val="0047539C"/>
    <w:rsid w:val="004753C8"/>
    <w:rsid w:val="004754E6"/>
    <w:rsid w:val="00475563"/>
    <w:rsid w:val="00475581"/>
    <w:rsid w:val="0047570D"/>
    <w:rsid w:val="00475803"/>
    <w:rsid w:val="0047581D"/>
    <w:rsid w:val="00475BF5"/>
    <w:rsid w:val="00475D06"/>
    <w:rsid w:val="00475D91"/>
    <w:rsid w:val="00475FE5"/>
    <w:rsid w:val="004762EB"/>
    <w:rsid w:val="00476378"/>
    <w:rsid w:val="004763A1"/>
    <w:rsid w:val="0047650A"/>
    <w:rsid w:val="0047651F"/>
    <w:rsid w:val="004765AA"/>
    <w:rsid w:val="004765C2"/>
    <w:rsid w:val="00476834"/>
    <w:rsid w:val="004769B3"/>
    <w:rsid w:val="004769ED"/>
    <w:rsid w:val="004769FF"/>
    <w:rsid w:val="00476B95"/>
    <w:rsid w:val="00476C24"/>
    <w:rsid w:val="00476C9D"/>
    <w:rsid w:val="00476E76"/>
    <w:rsid w:val="00476F2E"/>
    <w:rsid w:val="00476FFF"/>
    <w:rsid w:val="00477230"/>
    <w:rsid w:val="0047723A"/>
    <w:rsid w:val="004772EB"/>
    <w:rsid w:val="00477506"/>
    <w:rsid w:val="004775E8"/>
    <w:rsid w:val="004776FE"/>
    <w:rsid w:val="004777C2"/>
    <w:rsid w:val="004777E2"/>
    <w:rsid w:val="0047782F"/>
    <w:rsid w:val="0047790B"/>
    <w:rsid w:val="0047797D"/>
    <w:rsid w:val="00477A8E"/>
    <w:rsid w:val="00477AF6"/>
    <w:rsid w:val="00477B00"/>
    <w:rsid w:val="00477C5B"/>
    <w:rsid w:val="00477C6A"/>
    <w:rsid w:val="00477C92"/>
    <w:rsid w:val="00477CC6"/>
    <w:rsid w:val="00477D8E"/>
    <w:rsid w:val="00477E38"/>
    <w:rsid w:val="00477EA8"/>
    <w:rsid w:val="00480015"/>
    <w:rsid w:val="00480177"/>
    <w:rsid w:val="004801EE"/>
    <w:rsid w:val="00480278"/>
    <w:rsid w:val="0048033B"/>
    <w:rsid w:val="004803DE"/>
    <w:rsid w:val="004805D0"/>
    <w:rsid w:val="004806BA"/>
    <w:rsid w:val="00480960"/>
    <w:rsid w:val="00480BA8"/>
    <w:rsid w:val="00480BEC"/>
    <w:rsid w:val="00480DA1"/>
    <w:rsid w:val="00480F02"/>
    <w:rsid w:val="00480F52"/>
    <w:rsid w:val="00480F84"/>
    <w:rsid w:val="0048103B"/>
    <w:rsid w:val="004810C7"/>
    <w:rsid w:val="00481146"/>
    <w:rsid w:val="004811B0"/>
    <w:rsid w:val="0048123A"/>
    <w:rsid w:val="0048127A"/>
    <w:rsid w:val="0048134C"/>
    <w:rsid w:val="0048135C"/>
    <w:rsid w:val="004813CD"/>
    <w:rsid w:val="00481458"/>
    <w:rsid w:val="004814A3"/>
    <w:rsid w:val="00481503"/>
    <w:rsid w:val="00481589"/>
    <w:rsid w:val="0048159A"/>
    <w:rsid w:val="0048165A"/>
    <w:rsid w:val="0048166E"/>
    <w:rsid w:val="0048168C"/>
    <w:rsid w:val="004818F5"/>
    <w:rsid w:val="00481915"/>
    <w:rsid w:val="0048193E"/>
    <w:rsid w:val="0048199F"/>
    <w:rsid w:val="00481BC4"/>
    <w:rsid w:val="00481C0D"/>
    <w:rsid w:val="00481CE5"/>
    <w:rsid w:val="00481D2A"/>
    <w:rsid w:val="00482086"/>
    <w:rsid w:val="004820A9"/>
    <w:rsid w:val="0048216F"/>
    <w:rsid w:val="004821E3"/>
    <w:rsid w:val="004822B3"/>
    <w:rsid w:val="0048250F"/>
    <w:rsid w:val="00482530"/>
    <w:rsid w:val="004825BE"/>
    <w:rsid w:val="00482794"/>
    <w:rsid w:val="004827DB"/>
    <w:rsid w:val="0048286A"/>
    <w:rsid w:val="004829EB"/>
    <w:rsid w:val="00482A65"/>
    <w:rsid w:val="00482BBE"/>
    <w:rsid w:val="00482C46"/>
    <w:rsid w:val="00482CD8"/>
    <w:rsid w:val="00482CF4"/>
    <w:rsid w:val="00482D0A"/>
    <w:rsid w:val="00482ECD"/>
    <w:rsid w:val="00482EE3"/>
    <w:rsid w:val="00482FDB"/>
    <w:rsid w:val="00483128"/>
    <w:rsid w:val="004831E2"/>
    <w:rsid w:val="00483321"/>
    <w:rsid w:val="00483365"/>
    <w:rsid w:val="00483402"/>
    <w:rsid w:val="004834A3"/>
    <w:rsid w:val="0048356A"/>
    <w:rsid w:val="00483704"/>
    <w:rsid w:val="00483770"/>
    <w:rsid w:val="0048387D"/>
    <w:rsid w:val="00483CE5"/>
    <w:rsid w:val="00483D2B"/>
    <w:rsid w:val="00483D8E"/>
    <w:rsid w:val="00483F0A"/>
    <w:rsid w:val="00483F46"/>
    <w:rsid w:val="00483F68"/>
    <w:rsid w:val="0048402B"/>
    <w:rsid w:val="00484091"/>
    <w:rsid w:val="004840DA"/>
    <w:rsid w:val="0048416A"/>
    <w:rsid w:val="004841FB"/>
    <w:rsid w:val="00484208"/>
    <w:rsid w:val="00484233"/>
    <w:rsid w:val="00484275"/>
    <w:rsid w:val="00484279"/>
    <w:rsid w:val="004842CC"/>
    <w:rsid w:val="00484331"/>
    <w:rsid w:val="00484691"/>
    <w:rsid w:val="004849C9"/>
    <w:rsid w:val="004849E1"/>
    <w:rsid w:val="004849FA"/>
    <w:rsid w:val="00484A08"/>
    <w:rsid w:val="00484AE8"/>
    <w:rsid w:val="00484F1A"/>
    <w:rsid w:val="00485326"/>
    <w:rsid w:val="00485334"/>
    <w:rsid w:val="00485611"/>
    <w:rsid w:val="00485652"/>
    <w:rsid w:val="004857D3"/>
    <w:rsid w:val="0048589F"/>
    <w:rsid w:val="00485990"/>
    <w:rsid w:val="00485AA0"/>
    <w:rsid w:val="00485B66"/>
    <w:rsid w:val="00485C28"/>
    <w:rsid w:val="00485C62"/>
    <w:rsid w:val="00485C65"/>
    <w:rsid w:val="00485DDA"/>
    <w:rsid w:val="00485ED8"/>
    <w:rsid w:val="00485F82"/>
    <w:rsid w:val="004861D7"/>
    <w:rsid w:val="0048624C"/>
    <w:rsid w:val="0048634F"/>
    <w:rsid w:val="004864FF"/>
    <w:rsid w:val="0048658E"/>
    <w:rsid w:val="004865BF"/>
    <w:rsid w:val="0048661B"/>
    <w:rsid w:val="00486818"/>
    <w:rsid w:val="0048694E"/>
    <w:rsid w:val="00486A3B"/>
    <w:rsid w:val="00486A73"/>
    <w:rsid w:val="00486D24"/>
    <w:rsid w:val="00486E24"/>
    <w:rsid w:val="00486E25"/>
    <w:rsid w:val="0048703C"/>
    <w:rsid w:val="0048706C"/>
    <w:rsid w:val="004870FD"/>
    <w:rsid w:val="0048712C"/>
    <w:rsid w:val="0048717A"/>
    <w:rsid w:val="004871BE"/>
    <w:rsid w:val="0048740C"/>
    <w:rsid w:val="00487430"/>
    <w:rsid w:val="004875F8"/>
    <w:rsid w:val="0048762D"/>
    <w:rsid w:val="00487663"/>
    <w:rsid w:val="004876CC"/>
    <w:rsid w:val="004877C3"/>
    <w:rsid w:val="004878A4"/>
    <w:rsid w:val="004878AA"/>
    <w:rsid w:val="004878E7"/>
    <w:rsid w:val="0048790C"/>
    <w:rsid w:val="00487A95"/>
    <w:rsid w:val="00487B60"/>
    <w:rsid w:val="00487C25"/>
    <w:rsid w:val="00487D41"/>
    <w:rsid w:val="00487DDF"/>
    <w:rsid w:val="00487E38"/>
    <w:rsid w:val="00487EFF"/>
    <w:rsid w:val="00487F93"/>
    <w:rsid w:val="00490004"/>
    <w:rsid w:val="00490074"/>
    <w:rsid w:val="00490116"/>
    <w:rsid w:val="00490136"/>
    <w:rsid w:val="004901E3"/>
    <w:rsid w:val="0049022F"/>
    <w:rsid w:val="004902DE"/>
    <w:rsid w:val="0049056B"/>
    <w:rsid w:val="004905E5"/>
    <w:rsid w:val="004906CB"/>
    <w:rsid w:val="00490706"/>
    <w:rsid w:val="00490A74"/>
    <w:rsid w:val="00490CA0"/>
    <w:rsid w:val="00490E51"/>
    <w:rsid w:val="0049105F"/>
    <w:rsid w:val="00491144"/>
    <w:rsid w:val="0049118B"/>
    <w:rsid w:val="0049120A"/>
    <w:rsid w:val="00491314"/>
    <w:rsid w:val="004915C4"/>
    <w:rsid w:val="00491652"/>
    <w:rsid w:val="004917CE"/>
    <w:rsid w:val="00491A1E"/>
    <w:rsid w:val="00491A66"/>
    <w:rsid w:val="00491A75"/>
    <w:rsid w:val="00491A80"/>
    <w:rsid w:val="00491BA7"/>
    <w:rsid w:val="00491BFB"/>
    <w:rsid w:val="00491C23"/>
    <w:rsid w:val="00491C87"/>
    <w:rsid w:val="00491CD5"/>
    <w:rsid w:val="00491D84"/>
    <w:rsid w:val="00491EBF"/>
    <w:rsid w:val="00491F09"/>
    <w:rsid w:val="00491FDE"/>
    <w:rsid w:val="00491FE2"/>
    <w:rsid w:val="00491FFF"/>
    <w:rsid w:val="0049207D"/>
    <w:rsid w:val="0049219C"/>
    <w:rsid w:val="0049227C"/>
    <w:rsid w:val="00492300"/>
    <w:rsid w:val="004924EF"/>
    <w:rsid w:val="00492630"/>
    <w:rsid w:val="0049271E"/>
    <w:rsid w:val="0049283B"/>
    <w:rsid w:val="00492960"/>
    <w:rsid w:val="00492A49"/>
    <w:rsid w:val="00492B43"/>
    <w:rsid w:val="00492C54"/>
    <w:rsid w:val="00492C56"/>
    <w:rsid w:val="00492DAB"/>
    <w:rsid w:val="00492E84"/>
    <w:rsid w:val="00492E88"/>
    <w:rsid w:val="004930BD"/>
    <w:rsid w:val="004930CF"/>
    <w:rsid w:val="00493162"/>
    <w:rsid w:val="00493204"/>
    <w:rsid w:val="0049320D"/>
    <w:rsid w:val="0049365B"/>
    <w:rsid w:val="0049368D"/>
    <w:rsid w:val="004938FA"/>
    <w:rsid w:val="004939A6"/>
    <w:rsid w:val="00493AC7"/>
    <w:rsid w:val="00493C4B"/>
    <w:rsid w:val="00493D72"/>
    <w:rsid w:val="00493F0E"/>
    <w:rsid w:val="00493F66"/>
    <w:rsid w:val="00493FD6"/>
    <w:rsid w:val="00494211"/>
    <w:rsid w:val="0049421E"/>
    <w:rsid w:val="00494226"/>
    <w:rsid w:val="00494235"/>
    <w:rsid w:val="00494294"/>
    <w:rsid w:val="00494296"/>
    <w:rsid w:val="0049435B"/>
    <w:rsid w:val="00494367"/>
    <w:rsid w:val="004943CF"/>
    <w:rsid w:val="00494431"/>
    <w:rsid w:val="00494762"/>
    <w:rsid w:val="00494822"/>
    <w:rsid w:val="00494C04"/>
    <w:rsid w:val="00494E05"/>
    <w:rsid w:val="00495015"/>
    <w:rsid w:val="004950B2"/>
    <w:rsid w:val="00495193"/>
    <w:rsid w:val="00495216"/>
    <w:rsid w:val="0049533F"/>
    <w:rsid w:val="00495375"/>
    <w:rsid w:val="00495846"/>
    <w:rsid w:val="0049592C"/>
    <w:rsid w:val="004959D4"/>
    <w:rsid w:val="004959DF"/>
    <w:rsid w:val="004959E6"/>
    <w:rsid w:val="00495AD0"/>
    <w:rsid w:val="00495BF2"/>
    <w:rsid w:val="00495D7E"/>
    <w:rsid w:val="00495EB5"/>
    <w:rsid w:val="00495EE7"/>
    <w:rsid w:val="00496044"/>
    <w:rsid w:val="004961F4"/>
    <w:rsid w:val="00496368"/>
    <w:rsid w:val="00496437"/>
    <w:rsid w:val="0049644F"/>
    <w:rsid w:val="0049671E"/>
    <w:rsid w:val="00496732"/>
    <w:rsid w:val="0049676D"/>
    <w:rsid w:val="004967F2"/>
    <w:rsid w:val="0049687F"/>
    <w:rsid w:val="004969EE"/>
    <w:rsid w:val="00496B9A"/>
    <w:rsid w:val="00496EDD"/>
    <w:rsid w:val="00496EE9"/>
    <w:rsid w:val="00496F59"/>
    <w:rsid w:val="00496F75"/>
    <w:rsid w:val="00496FD6"/>
    <w:rsid w:val="00496FE8"/>
    <w:rsid w:val="00497080"/>
    <w:rsid w:val="00497161"/>
    <w:rsid w:val="004971AD"/>
    <w:rsid w:val="004971C0"/>
    <w:rsid w:val="00497280"/>
    <w:rsid w:val="004973FA"/>
    <w:rsid w:val="00497493"/>
    <w:rsid w:val="004974FA"/>
    <w:rsid w:val="0049760C"/>
    <w:rsid w:val="00497711"/>
    <w:rsid w:val="0049779A"/>
    <w:rsid w:val="00497A1D"/>
    <w:rsid w:val="00497AAC"/>
    <w:rsid w:val="00497AEF"/>
    <w:rsid w:val="00497B65"/>
    <w:rsid w:val="00497C03"/>
    <w:rsid w:val="00497C39"/>
    <w:rsid w:val="00497CDB"/>
    <w:rsid w:val="00497E34"/>
    <w:rsid w:val="00497ED8"/>
    <w:rsid w:val="00497F8B"/>
    <w:rsid w:val="004A010C"/>
    <w:rsid w:val="004A0233"/>
    <w:rsid w:val="004A0396"/>
    <w:rsid w:val="004A0449"/>
    <w:rsid w:val="004A04F0"/>
    <w:rsid w:val="004A0685"/>
    <w:rsid w:val="004A0715"/>
    <w:rsid w:val="004A07DA"/>
    <w:rsid w:val="004A097E"/>
    <w:rsid w:val="004A0A3D"/>
    <w:rsid w:val="004A0B27"/>
    <w:rsid w:val="004A0C02"/>
    <w:rsid w:val="004A0C13"/>
    <w:rsid w:val="004A0C89"/>
    <w:rsid w:val="004A0F32"/>
    <w:rsid w:val="004A113B"/>
    <w:rsid w:val="004A113D"/>
    <w:rsid w:val="004A11C0"/>
    <w:rsid w:val="004A11C3"/>
    <w:rsid w:val="004A1284"/>
    <w:rsid w:val="004A1351"/>
    <w:rsid w:val="004A1361"/>
    <w:rsid w:val="004A145B"/>
    <w:rsid w:val="004A14D2"/>
    <w:rsid w:val="004A1597"/>
    <w:rsid w:val="004A16A7"/>
    <w:rsid w:val="004A16B2"/>
    <w:rsid w:val="004A177F"/>
    <w:rsid w:val="004A18D0"/>
    <w:rsid w:val="004A1B3C"/>
    <w:rsid w:val="004A1B45"/>
    <w:rsid w:val="004A1D0A"/>
    <w:rsid w:val="004A20DA"/>
    <w:rsid w:val="004A2172"/>
    <w:rsid w:val="004A2190"/>
    <w:rsid w:val="004A219A"/>
    <w:rsid w:val="004A2204"/>
    <w:rsid w:val="004A22C8"/>
    <w:rsid w:val="004A2403"/>
    <w:rsid w:val="004A2409"/>
    <w:rsid w:val="004A25D3"/>
    <w:rsid w:val="004A2635"/>
    <w:rsid w:val="004A26F5"/>
    <w:rsid w:val="004A27C0"/>
    <w:rsid w:val="004A2807"/>
    <w:rsid w:val="004A2812"/>
    <w:rsid w:val="004A2891"/>
    <w:rsid w:val="004A28A2"/>
    <w:rsid w:val="004A2955"/>
    <w:rsid w:val="004A2A4E"/>
    <w:rsid w:val="004A2BA0"/>
    <w:rsid w:val="004A2BDC"/>
    <w:rsid w:val="004A2C30"/>
    <w:rsid w:val="004A2C68"/>
    <w:rsid w:val="004A2DA4"/>
    <w:rsid w:val="004A2DCD"/>
    <w:rsid w:val="004A318B"/>
    <w:rsid w:val="004A3569"/>
    <w:rsid w:val="004A3622"/>
    <w:rsid w:val="004A368C"/>
    <w:rsid w:val="004A3885"/>
    <w:rsid w:val="004A399D"/>
    <w:rsid w:val="004A3A46"/>
    <w:rsid w:val="004A3B58"/>
    <w:rsid w:val="004A3BAD"/>
    <w:rsid w:val="004A3CC0"/>
    <w:rsid w:val="004A3CC4"/>
    <w:rsid w:val="004A3DD0"/>
    <w:rsid w:val="004A3F07"/>
    <w:rsid w:val="004A417F"/>
    <w:rsid w:val="004A433A"/>
    <w:rsid w:val="004A44FA"/>
    <w:rsid w:val="004A46AB"/>
    <w:rsid w:val="004A47C7"/>
    <w:rsid w:val="004A4997"/>
    <w:rsid w:val="004A49D5"/>
    <w:rsid w:val="004A49ED"/>
    <w:rsid w:val="004A4D5B"/>
    <w:rsid w:val="004A4E15"/>
    <w:rsid w:val="004A4E54"/>
    <w:rsid w:val="004A4F2E"/>
    <w:rsid w:val="004A509F"/>
    <w:rsid w:val="004A51BD"/>
    <w:rsid w:val="004A51F6"/>
    <w:rsid w:val="004A5238"/>
    <w:rsid w:val="004A5673"/>
    <w:rsid w:val="004A5840"/>
    <w:rsid w:val="004A596A"/>
    <w:rsid w:val="004A5B2D"/>
    <w:rsid w:val="004A5B71"/>
    <w:rsid w:val="004A5BE4"/>
    <w:rsid w:val="004A5C62"/>
    <w:rsid w:val="004A5EBF"/>
    <w:rsid w:val="004A6107"/>
    <w:rsid w:val="004A6115"/>
    <w:rsid w:val="004A6229"/>
    <w:rsid w:val="004A623C"/>
    <w:rsid w:val="004A6270"/>
    <w:rsid w:val="004A6277"/>
    <w:rsid w:val="004A632E"/>
    <w:rsid w:val="004A63CF"/>
    <w:rsid w:val="004A6414"/>
    <w:rsid w:val="004A644B"/>
    <w:rsid w:val="004A6465"/>
    <w:rsid w:val="004A6695"/>
    <w:rsid w:val="004A693D"/>
    <w:rsid w:val="004A6998"/>
    <w:rsid w:val="004A69D1"/>
    <w:rsid w:val="004A6AE3"/>
    <w:rsid w:val="004A6B15"/>
    <w:rsid w:val="004A6B96"/>
    <w:rsid w:val="004A6FFB"/>
    <w:rsid w:val="004A7068"/>
    <w:rsid w:val="004A7084"/>
    <w:rsid w:val="004A73F1"/>
    <w:rsid w:val="004A743C"/>
    <w:rsid w:val="004A7498"/>
    <w:rsid w:val="004A7537"/>
    <w:rsid w:val="004A76ED"/>
    <w:rsid w:val="004A7889"/>
    <w:rsid w:val="004A795F"/>
    <w:rsid w:val="004A7A21"/>
    <w:rsid w:val="004A7A30"/>
    <w:rsid w:val="004A7A65"/>
    <w:rsid w:val="004A7A8B"/>
    <w:rsid w:val="004A7AB4"/>
    <w:rsid w:val="004A7B91"/>
    <w:rsid w:val="004A7E19"/>
    <w:rsid w:val="004A7F35"/>
    <w:rsid w:val="004A7F89"/>
    <w:rsid w:val="004A7FBE"/>
    <w:rsid w:val="004B002C"/>
    <w:rsid w:val="004B00E1"/>
    <w:rsid w:val="004B00FB"/>
    <w:rsid w:val="004B061B"/>
    <w:rsid w:val="004B0655"/>
    <w:rsid w:val="004B06A6"/>
    <w:rsid w:val="004B075F"/>
    <w:rsid w:val="004B07C1"/>
    <w:rsid w:val="004B0843"/>
    <w:rsid w:val="004B0AB7"/>
    <w:rsid w:val="004B0B21"/>
    <w:rsid w:val="004B0B81"/>
    <w:rsid w:val="004B0BE8"/>
    <w:rsid w:val="004B0CC1"/>
    <w:rsid w:val="004B0E79"/>
    <w:rsid w:val="004B0F9A"/>
    <w:rsid w:val="004B0FC6"/>
    <w:rsid w:val="004B1095"/>
    <w:rsid w:val="004B1253"/>
    <w:rsid w:val="004B1430"/>
    <w:rsid w:val="004B14FB"/>
    <w:rsid w:val="004B15D7"/>
    <w:rsid w:val="004B173B"/>
    <w:rsid w:val="004B1743"/>
    <w:rsid w:val="004B179D"/>
    <w:rsid w:val="004B17F0"/>
    <w:rsid w:val="004B184A"/>
    <w:rsid w:val="004B19C4"/>
    <w:rsid w:val="004B1B2C"/>
    <w:rsid w:val="004B1B47"/>
    <w:rsid w:val="004B1D48"/>
    <w:rsid w:val="004B2171"/>
    <w:rsid w:val="004B2284"/>
    <w:rsid w:val="004B23BD"/>
    <w:rsid w:val="004B2413"/>
    <w:rsid w:val="004B246A"/>
    <w:rsid w:val="004B250A"/>
    <w:rsid w:val="004B2587"/>
    <w:rsid w:val="004B266E"/>
    <w:rsid w:val="004B2697"/>
    <w:rsid w:val="004B26E9"/>
    <w:rsid w:val="004B2703"/>
    <w:rsid w:val="004B296B"/>
    <w:rsid w:val="004B29BD"/>
    <w:rsid w:val="004B2AB3"/>
    <w:rsid w:val="004B2CA1"/>
    <w:rsid w:val="004B2D3C"/>
    <w:rsid w:val="004B2E7B"/>
    <w:rsid w:val="004B2E9E"/>
    <w:rsid w:val="004B2F5E"/>
    <w:rsid w:val="004B303F"/>
    <w:rsid w:val="004B3113"/>
    <w:rsid w:val="004B33A6"/>
    <w:rsid w:val="004B3476"/>
    <w:rsid w:val="004B367A"/>
    <w:rsid w:val="004B3683"/>
    <w:rsid w:val="004B36C3"/>
    <w:rsid w:val="004B3780"/>
    <w:rsid w:val="004B3864"/>
    <w:rsid w:val="004B38CF"/>
    <w:rsid w:val="004B394C"/>
    <w:rsid w:val="004B39BE"/>
    <w:rsid w:val="004B39E2"/>
    <w:rsid w:val="004B3A9A"/>
    <w:rsid w:val="004B3E84"/>
    <w:rsid w:val="004B3E87"/>
    <w:rsid w:val="004B3F0C"/>
    <w:rsid w:val="004B408C"/>
    <w:rsid w:val="004B40FD"/>
    <w:rsid w:val="004B44E0"/>
    <w:rsid w:val="004B460B"/>
    <w:rsid w:val="004B47D2"/>
    <w:rsid w:val="004B47E9"/>
    <w:rsid w:val="004B4C17"/>
    <w:rsid w:val="004B4D59"/>
    <w:rsid w:val="004B4E92"/>
    <w:rsid w:val="004B4EAA"/>
    <w:rsid w:val="004B4F10"/>
    <w:rsid w:val="004B4FFC"/>
    <w:rsid w:val="004B502A"/>
    <w:rsid w:val="004B505E"/>
    <w:rsid w:val="004B51E7"/>
    <w:rsid w:val="004B5341"/>
    <w:rsid w:val="004B537C"/>
    <w:rsid w:val="004B573B"/>
    <w:rsid w:val="004B58BE"/>
    <w:rsid w:val="004B5A42"/>
    <w:rsid w:val="004B5A5B"/>
    <w:rsid w:val="004B5B5E"/>
    <w:rsid w:val="004B5B78"/>
    <w:rsid w:val="004B5D8E"/>
    <w:rsid w:val="004B5EAA"/>
    <w:rsid w:val="004B5F02"/>
    <w:rsid w:val="004B5FE9"/>
    <w:rsid w:val="004B6273"/>
    <w:rsid w:val="004B6517"/>
    <w:rsid w:val="004B65C2"/>
    <w:rsid w:val="004B6621"/>
    <w:rsid w:val="004B66D2"/>
    <w:rsid w:val="004B684C"/>
    <w:rsid w:val="004B6D47"/>
    <w:rsid w:val="004B6F4E"/>
    <w:rsid w:val="004B6FD5"/>
    <w:rsid w:val="004B70D7"/>
    <w:rsid w:val="004B7116"/>
    <w:rsid w:val="004B718B"/>
    <w:rsid w:val="004B71EA"/>
    <w:rsid w:val="004B72B3"/>
    <w:rsid w:val="004B7342"/>
    <w:rsid w:val="004B73D8"/>
    <w:rsid w:val="004B7513"/>
    <w:rsid w:val="004B7637"/>
    <w:rsid w:val="004B76F1"/>
    <w:rsid w:val="004B78FA"/>
    <w:rsid w:val="004B79B9"/>
    <w:rsid w:val="004B7AFA"/>
    <w:rsid w:val="004B7B35"/>
    <w:rsid w:val="004B7C2B"/>
    <w:rsid w:val="004B7D45"/>
    <w:rsid w:val="004B7D65"/>
    <w:rsid w:val="004B7FAE"/>
    <w:rsid w:val="004C01BA"/>
    <w:rsid w:val="004C035B"/>
    <w:rsid w:val="004C03A7"/>
    <w:rsid w:val="004C047C"/>
    <w:rsid w:val="004C06A0"/>
    <w:rsid w:val="004C0795"/>
    <w:rsid w:val="004C079B"/>
    <w:rsid w:val="004C07BF"/>
    <w:rsid w:val="004C0802"/>
    <w:rsid w:val="004C0844"/>
    <w:rsid w:val="004C08DD"/>
    <w:rsid w:val="004C09C4"/>
    <w:rsid w:val="004C0D61"/>
    <w:rsid w:val="004C0D7B"/>
    <w:rsid w:val="004C0EF2"/>
    <w:rsid w:val="004C0F91"/>
    <w:rsid w:val="004C125C"/>
    <w:rsid w:val="004C137E"/>
    <w:rsid w:val="004C1419"/>
    <w:rsid w:val="004C146A"/>
    <w:rsid w:val="004C14A2"/>
    <w:rsid w:val="004C152C"/>
    <w:rsid w:val="004C1531"/>
    <w:rsid w:val="004C15E7"/>
    <w:rsid w:val="004C1625"/>
    <w:rsid w:val="004C1627"/>
    <w:rsid w:val="004C164A"/>
    <w:rsid w:val="004C1848"/>
    <w:rsid w:val="004C1864"/>
    <w:rsid w:val="004C1A45"/>
    <w:rsid w:val="004C1B83"/>
    <w:rsid w:val="004C1BDD"/>
    <w:rsid w:val="004C1EDD"/>
    <w:rsid w:val="004C204A"/>
    <w:rsid w:val="004C207A"/>
    <w:rsid w:val="004C224F"/>
    <w:rsid w:val="004C23B5"/>
    <w:rsid w:val="004C23CD"/>
    <w:rsid w:val="004C241B"/>
    <w:rsid w:val="004C2490"/>
    <w:rsid w:val="004C24D3"/>
    <w:rsid w:val="004C260B"/>
    <w:rsid w:val="004C278E"/>
    <w:rsid w:val="004C2934"/>
    <w:rsid w:val="004C2962"/>
    <w:rsid w:val="004C29AE"/>
    <w:rsid w:val="004C2A84"/>
    <w:rsid w:val="004C2B59"/>
    <w:rsid w:val="004C2B9C"/>
    <w:rsid w:val="004C2C1E"/>
    <w:rsid w:val="004C2C31"/>
    <w:rsid w:val="004C2C41"/>
    <w:rsid w:val="004C2E92"/>
    <w:rsid w:val="004C2EE1"/>
    <w:rsid w:val="004C320E"/>
    <w:rsid w:val="004C32BE"/>
    <w:rsid w:val="004C335F"/>
    <w:rsid w:val="004C3382"/>
    <w:rsid w:val="004C34AD"/>
    <w:rsid w:val="004C389D"/>
    <w:rsid w:val="004C38D0"/>
    <w:rsid w:val="004C39C7"/>
    <w:rsid w:val="004C3A93"/>
    <w:rsid w:val="004C3C33"/>
    <w:rsid w:val="004C3C99"/>
    <w:rsid w:val="004C3D2D"/>
    <w:rsid w:val="004C3E00"/>
    <w:rsid w:val="004C3E43"/>
    <w:rsid w:val="004C3F0E"/>
    <w:rsid w:val="004C3F12"/>
    <w:rsid w:val="004C3F54"/>
    <w:rsid w:val="004C3F56"/>
    <w:rsid w:val="004C407A"/>
    <w:rsid w:val="004C4388"/>
    <w:rsid w:val="004C443D"/>
    <w:rsid w:val="004C4456"/>
    <w:rsid w:val="004C447E"/>
    <w:rsid w:val="004C45C4"/>
    <w:rsid w:val="004C45D2"/>
    <w:rsid w:val="004C474D"/>
    <w:rsid w:val="004C4ABA"/>
    <w:rsid w:val="004C4B6D"/>
    <w:rsid w:val="004C4C8C"/>
    <w:rsid w:val="004C4CA8"/>
    <w:rsid w:val="004C50C0"/>
    <w:rsid w:val="004C50CB"/>
    <w:rsid w:val="004C516F"/>
    <w:rsid w:val="004C530F"/>
    <w:rsid w:val="004C5335"/>
    <w:rsid w:val="004C536B"/>
    <w:rsid w:val="004C53AC"/>
    <w:rsid w:val="004C53BF"/>
    <w:rsid w:val="004C55D5"/>
    <w:rsid w:val="004C564F"/>
    <w:rsid w:val="004C5721"/>
    <w:rsid w:val="004C57E2"/>
    <w:rsid w:val="004C58F0"/>
    <w:rsid w:val="004C58F4"/>
    <w:rsid w:val="004C58FA"/>
    <w:rsid w:val="004C5913"/>
    <w:rsid w:val="004C594A"/>
    <w:rsid w:val="004C59C8"/>
    <w:rsid w:val="004C5ACD"/>
    <w:rsid w:val="004C5E3D"/>
    <w:rsid w:val="004C6075"/>
    <w:rsid w:val="004C6079"/>
    <w:rsid w:val="004C6134"/>
    <w:rsid w:val="004C61AF"/>
    <w:rsid w:val="004C61C3"/>
    <w:rsid w:val="004C61DF"/>
    <w:rsid w:val="004C62AC"/>
    <w:rsid w:val="004C6321"/>
    <w:rsid w:val="004C6384"/>
    <w:rsid w:val="004C6385"/>
    <w:rsid w:val="004C63E6"/>
    <w:rsid w:val="004C658C"/>
    <w:rsid w:val="004C65BF"/>
    <w:rsid w:val="004C67F9"/>
    <w:rsid w:val="004C6968"/>
    <w:rsid w:val="004C6991"/>
    <w:rsid w:val="004C699C"/>
    <w:rsid w:val="004C69D5"/>
    <w:rsid w:val="004C6AAE"/>
    <w:rsid w:val="004C6C42"/>
    <w:rsid w:val="004C6CBF"/>
    <w:rsid w:val="004C6D5A"/>
    <w:rsid w:val="004C6DB9"/>
    <w:rsid w:val="004C6E90"/>
    <w:rsid w:val="004C7059"/>
    <w:rsid w:val="004C7077"/>
    <w:rsid w:val="004C7187"/>
    <w:rsid w:val="004C75E3"/>
    <w:rsid w:val="004C76FB"/>
    <w:rsid w:val="004C7864"/>
    <w:rsid w:val="004C78CA"/>
    <w:rsid w:val="004C78EC"/>
    <w:rsid w:val="004C7BD1"/>
    <w:rsid w:val="004C7C1C"/>
    <w:rsid w:val="004C7C84"/>
    <w:rsid w:val="004C7D2B"/>
    <w:rsid w:val="004C7D79"/>
    <w:rsid w:val="004D00B0"/>
    <w:rsid w:val="004D0298"/>
    <w:rsid w:val="004D029D"/>
    <w:rsid w:val="004D02CF"/>
    <w:rsid w:val="004D044C"/>
    <w:rsid w:val="004D045A"/>
    <w:rsid w:val="004D0B29"/>
    <w:rsid w:val="004D0C92"/>
    <w:rsid w:val="004D0D0A"/>
    <w:rsid w:val="004D0D29"/>
    <w:rsid w:val="004D0D88"/>
    <w:rsid w:val="004D0FC6"/>
    <w:rsid w:val="004D0FD9"/>
    <w:rsid w:val="004D0FED"/>
    <w:rsid w:val="004D108C"/>
    <w:rsid w:val="004D111F"/>
    <w:rsid w:val="004D1179"/>
    <w:rsid w:val="004D1316"/>
    <w:rsid w:val="004D13C3"/>
    <w:rsid w:val="004D16E5"/>
    <w:rsid w:val="004D1707"/>
    <w:rsid w:val="004D181F"/>
    <w:rsid w:val="004D1892"/>
    <w:rsid w:val="004D1BD9"/>
    <w:rsid w:val="004D1D16"/>
    <w:rsid w:val="004D1D70"/>
    <w:rsid w:val="004D1D7F"/>
    <w:rsid w:val="004D1E63"/>
    <w:rsid w:val="004D1F12"/>
    <w:rsid w:val="004D1F13"/>
    <w:rsid w:val="004D1F43"/>
    <w:rsid w:val="004D21F7"/>
    <w:rsid w:val="004D2216"/>
    <w:rsid w:val="004D2232"/>
    <w:rsid w:val="004D23C2"/>
    <w:rsid w:val="004D2407"/>
    <w:rsid w:val="004D24DB"/>
    <w:rsid w:val="004D2708"/>
    <w:rsid w:val="004D27E0"/>
    <w:rsid w:val="004D2ACC"/>
    <w:rsid w:val="004D2CAD"/>
    <w:rsid w:val="004D2E00"/>
    <w:rsid w:val="004D31BB"/>
    <w:rsid w:val="004D340C"/>
    <w:rsid w:val="004D3464"/>
    <w:rsid w:val="004D3508"/>
    <w:rsid w:val="004D3559"/>
    <w:rsid w:val="004D3610"/>
    <w:rsid w:val="004D376A"/>
    <w:rsid w:val="004D379F"/>
    <w:rsid w:val="004D382B"/>
    <w:rsid w:val="004D3852"/>
    <w:rsid w:val="004D386B"/>
    <w:rsid w:val="004D38ED"/>
    <w:rsid w:val="004D3906"/>
    <w:rsid w:val="004D393C"/>
    <w:rsid w:val="004D3A1F"/>
    <w:rsid w:val="004D3ACA"/>
    <w:rsid w:val="004D3E42"/>
    <w:rsid w:val="004D3EE4"/>
    <w:rsid w:val="004D3F0A"/>
    <w:rsid w:val="004D3FAF"/>
    <w:rsid w:val="004D3FD9"/>
    <w:rsid w:val="004D3FE3"/>
    <w:rsid w:val="004D4153"/>
    <w:rsid w:val="004D41C8"/>
    <w:rsid w:val="004D4705"/>
    <w:rsid w:val="004D475B"/>
    <w:rsid w:val="004D481D"/>
    <w:rsid w:val="004D4830"/>
    <w:rsid w:val="004D49B2"/>
    <w:rsid w:val="004D4A37"/>
    <w:rsid w:val="004D4A39"/>
    <w:rsid w:val="004D4B43"/>
    <w:rsid w:val="004D4B77"/>
    <w:rsid w:val="004D4CD2"/>
    <w:rsid w:val="004D4D01"/>
    <w:rsid w:val="004D4E5D"/>
    <w:rsid w:val="004D4E92"/>
    <w:rsid w:val="004D50CC"/>
    <w:rsid w:val="004D5154"/>
    <w:rsid w:val="004D51B0"/>
    <w:rsid w:val="004D51E8"/>
    <w:rsid w:val="004D5228"/>
    <w:rsid w:val="004D531C"/>
    <w:rsid w:val="004D5367"/>
    <w:rsid w:val="004D53FF"/>
    <w:rsid w:val="004D55A8"/>
    <w:rsid w:val="004D55D9"/>
    <w:rsid w:val="004D56C4"/>
    <w:rsid w:val="004D58B2"/>
    <w:rsid w:val="004D5947"/>
    <w:rsid w:val="004D5991"/>
    <w:rsid w:val="004D5D23"/>
    <w:rsid w:val="004D643B"/>
    <w:rsid w:val="004D64EB"/>
    <w:rsid w:val="004D652F"/>
    <w:rsid w:val="004D653C"/>
    <w:rsid w:val="004D65FC"/>
    <w:rsid w:val="004D6666"/>
    <w:rsid w:val="004D693D"/>
    <w:rsid w:val="004D6958"/>
    <w:rsid w:val="004D69F6"/>
    <w:rsid w:val="004D6AB0"/>
    <w:rsid w:val="004D6AFA"/>
    <w:rsid w:val="004D6B67"/>
    <w:rsid w:val="004D6C1F"/>
    <w:rsid w:val="004D6C70"/>
    <w:rsid w:val="004D6DB7"/>
    <w:rsid w:val="004D731C"/>
    <w:rsid w:val="004D736C"/>
    <w:rsid w:val="004D74D7"/>
    <w:rsid w:val="004D7548"/>
    <w:rsid w:val="004D7684"/>
    <w:rsid w:val="004D768C"/>
    <w:rsid w:val="004D76BD"/>
    <w:rsid w:val="004D77A3"/>
    <w:rsid w:val="004D7889"/>
    <w:rsid w:val="004D792B"/>
    <w:rsid w:val="004D7AB6"/>
    <w:rsid w:val="004D7B22"/>
    <w:rsid w:val="004D7BF2"/>
    <w:rsid w:val="004D7C0F"/>
    <w:rsid w:val="004D7C62"/>
    <w:rsid w:val="004D7CEB"/>
    <w:rsid w:val="004D7E30"/>
    <w:rsid w:val="004E039C"/>
    <w:rsid w:val="004E04BE"/>
    <w:rsid w:val="004E0562"/>
    <w:rsid w:val="004E0656"/>
    <w:rsid w:val="004E0678"/>
    <w:rsid w:val="004E06E4"/>
    <w:rsid w:val="004E073E"/>
    <w:rsid w:val="004E0778"/>
    <w:rsid w:val="004E0827"/>
    <w:rsid w:val="004E083B"/>
    <w:rsid w:val="004E0BA9"/>
    <w:rsid w:val="004E0BAE"/>
    <w:rsid w:val="004E0DCC"/>
    <w:rsid w:val="004E0DD7"/>
    <w:rsid w:val="004E0E29"/>
    <w:rsid w:val="004E0F06"/>
    <w:rsid w:val="004E0F27"/>
    <w:rsid w:val="004E0FFA"/>
    <w:rsid w:val="004E1039"/>
    <w:rsid w:val="004E106E"/>
    <w:rsid w:val="004E132C"/>
    <w:rsid w:val="004E13A0"/>
    <w:rsid w:val="004E140F"/>
    <w:rsid w:val="004E18EC"/>
    <w:rsid w:val="004E1977"/>
    <w:rsid w:val="004E19DA"/>
    <w:rsid w:val="004E1A6C"/>
    <w:rsid w:val="004E1E84"/>
    <w:rsid w:val="004E1EA7"/>
    <w:rsid w:val="004E201C"/>
    <w:rsid w:val="004E209A"/>
    <w:rsid w:val="004E20F2"/>
    <w:rsid w:val="004E225B"/>
    <w:rsid w:val="004E2346"/>
    <w:rsid w:val="004E23A9"/>
    <w:rsid w:val="004E241A"/>
    <w:rsid w:val="004E265C"/>
    <w:rsid w:val="004E274E"/>
    <w:rsid w:val="004E2A35"/>
    <w:rsid w:val="004E2E29"/>
    <w:rsid w:val="004E2F4E"/>
    <w:rsid w:val="004E32DD"/>
    <w:rsid w:val="004E32EC"/>
    <w:rsid w:val="004E3582"/>
    <w:rsid w:val="004E35B7"/>
    <w:rsid w:val="004E3607"/>
    <w:rsid w:val="004E3693"/>
    <w:rsid w:val="004E391A"/>
    <w:rsid w:val="004E3B5F"/>
    <w:rsid w:val="004E3C22"/>
    <w:rsid w:val="004E3C76"/>
    <w:rsid w:val="004E3D2D"/>
    <w:rsid w:val="004E3DD9"/>
    <w:rsid w:val="004E3DDB"/>
    <w:rsid w:val="004E3EA2"/>
    <w:rsid w:val="004E3EDB"/>
    <w:rsid w:val="004E3F6F"/>
    <w:rsid w:val="004E3F81"/>
    <w:rsid w:val="004E4040"/>
    <w:rsid w:val="004E41FF"/>
    <w:rsid w:val="004E4295"/>
    <w:rsid w:val="004E4698"/>
    <w:rsid w:val="004E481F"/>
    <w:rsid w:val="004E4844"/>
    <w:rsid w:val="004E4867"/>
    <w:rsid w:val="004E49E3"/>
    <w:rsid w:val="004E4A89"/>
    <w:rsid w:val="004E4A8B"/>
    <w:rsid w:val="004E4B2B"/>
    <w:rsid w:val="004E4B39"/>
    <w:rsid w:val="004E4C2B"/>
    <w:rsid w:val="004E4C34"/>
    <w:rsid w:val="004E4C92"/>
    <w:rsid w:val="004E4EA6"/>
    <w:rsid w:val="004E4EA8"/>
    <w:rsid w:val="004E513C"/>
    <w:rsid w:val="004E51C8"/>
    <w:rsid w:val="004E5291"/>
    <w:rsid w:val="004E5516"/>
    <w:rsid w:val="004E551A"/>
    <w:rsid w:val="004E57D9"/>
    <w:rsid w:val="004E5834"/>
    <w:rsid w:val="004E58ED"/>
    <w:rsid w:val="004E5A61"/>
    <w:rsid w:val="004E5B5D"/>
    <w:rsid w:val="004E5BEB"/>
    <w:rsid w:val="004E5D24"/>
    <w:rsid w:val="004E603C"/>
    <w:rsid w:val="004E620E"/>
    <w:rsid w:val="004E632E"/>
    <w:rsid w:val="004E64D1"/>
    <w:rsid w:val="004E65B5"/>
    <w:rsid w:val="004E65C9"/>
    <w:rsid w:val="004E6625"/>
    <w:rsid w:val="004E66BF"/>
    <w:rsid w:val="004E6723"/>
    <w:rsid w:val="004E6777"/>
    <w:rsid w:val="004E6890"/>
    <w:rsid w:val="004E6908"/>
    <w:rsid w:val="004E69FF"/>
    <w:rsid w:val="004E6C1A"/>
    <w:rsid w:val="004E6C3E"/>
    <w:rsid w:val="004E6C8A"/>
    <w:rsid w:val="004E6D69"/>
    <w:rsid w:val="004E6DD2"/>
    <w:rsid w:val="004E6E59"/>
    <w:rsid w:val="004E6EE1"/>
    <w:rsid w:val="004E6F60"/>
    <w:rsid w:val="004E6FB3"/>
    <w:rsid w:val="004E6FCA"/>
    <w:rsid w:val="004E7017"/>
    <w:rsid w:val="004E708E"/>
    <w:rsid w:val="004E717E"/>
    <w:rsid w:val="004E71E0"/>
    <w:rsid w:val="004E720C"/>
    <w:rsid w:val="004E72DC"/>
    <w:rsid w:val="004E7322"/>
    <w:rsid w:val="004E735B"/>
    <w:rsid w:val="004E7557"/>
    <w:rsid w:val="004E7B2B"/>
    <w:rsid w:val="004E7C1A"/>
    <w:rsid w:val="004E7C97"/>
    <w:rsid w:val="004E7D0C"/>
    <w:rsid w:val="004E7D7E"/>
    <w:rsid w:val="004E7EA1"/>
    <w:rsid w:val="004E7FAF"/>
    <w:rsid w:val="004E7FE8"/>
    <w:rsid w:val="004F0036"/>
    <w:rsid w:val="004F0232"/>
    <w:rsid w:val="004F0287"/>
    <w:rsid w:val="004F02D7"/>
    <w:rsid w:val="004F0306"/>
    <w:rsid w:val="004F0346"/>
    <w:rsid w:val="004F03BC"/>
    <w:rsid w:val="004F0715"/>
    <w:rsid w:val="004F07D7"/>
    <w:rsid w:val="004F0960"/>
    <w:rsid w:val="004F0983"/>
    <w:rsid w:val="004F0C12"/>
    <w:rsid w:val="004F0C71"/>
    <w:rsid w:val="004F0D77"/>
    <w:rsid w:val="004F0EBF"/>
    <w:rsid w:val="004F0F54"/>
    <w:rsid w:val="004F10C8"/>
    <w:rsid w:val="004F10D5"/>
    <w:rsid w:val="004F10FF"/>
    <w:rsid w:val="004F116B"/>
    <w:rsid w:val="004F1374"/>
    <w:rsid w:val="004F165C"/>
    <w:rsid w:val="004F16A5"/>
    <w:rsid w:val="004F16B9"/>
    <w:rsid w:val="004F16DC"/>
    <w:rsid w:val="004F1789"/>
    <w:rsid w:val="004F17C5"/>
    <w:rsid w:val="004F18C5"/>
    <w:rsid w:val="004F19CC"/>
    <w:rsid w:val="004F1AF5"/>
    <w:rsid w:val="004F1C82"/>
    <w:rsid w:val="004F1CB5"/>
    <w:rsid w:val="004F1CDB"/>
    <w:rsid w:val="004F1FF5"/>
    <w:rsid w:val="004F206D"/>
    <w:rsid w:val="004F2077"/>
    <w:rsid w:val="004F22C3"/>
    <w:rsid w:val="004F231B"/>
    <w:rsid w:val="004F23A3"/>
    <w:rsid w:val="004F23BA"/>
    <w:rsid w:val="004F23C7"/>
    <w:rsid w:val="004F24BE"/>
    <w:rsid w:val="004F25D4"/>
    <w:rsid w:val="004F2618"/>
    <w:rsid w:val="004F2980"/>
    <w:rsid w:val="004F2A5B"/>
    <w:rsid w:val="004F2EC2"/>
    <w:rsid w:val="004F338F"/>
    <w:rsid w:val="004F3399"/>
    <w:rsid w:val="004F33BE"/>
    <w:rsid w:val="004F33C7"/>
    <w:rsid w:val="004F354A"/>
    <w:rsid w:val="004F3558"/>
    <w:rsid w:val="004F35D9"/>
    <w:rsid w:val="004F367A"/>
    <w:rsid w:val="004F375A"/>
    <w:rsid w:val="004F3851"/>
    <w:rsid w:val="004F3BF2"/>
    <w:rsid w:val="004F3C7E"/>
    <w:rsid w:val="004F3D87"/>
    <w:rsid w:val="004F3DF8"/>
    <w:rsid w:val="004F3FDB"/>
    <w:rsid w:val="004F405B"/>
    <w:rsid w:val="004F41D3"/>
    <w:rsid w:val="004F42DC"/>
    <w:rsid w:val="004F4373"/>
    <w:rsid w:val="004F44EA"/>
    <w:rsid w:val="004F4630"/>
    <w:rsid w:val="004F46FB"/>
    <w:rsid w:val="004F475B"/>
    <w:rsid w:val="004F47B9"/>
    <w:rsid w:val="004F47C8"/>
    <w:rsid w:val="004F47EB"/>
    <w:rsid w:val="004F4AE4"/>
    <w:rsid w:val="004F4C26"/>
    <w:rsid w:val="004F4C88"/>
    <w:rsid w:val="004F4D97"/>
    <w:rsid w:val="004F4E0C"/>
    <w:rsid w:val="004F4FB2"/>
    <w:rsid w:val="004F4FB9"/>
    <w:rsid w:val="004F5053"/>
    <w:rsid w:val="004F50A9"/>
    <w:rsid w:val="004F510C"/>
    <w:rsid w:val="004F51E9"/>
    <w:rsid w:val="004F527C"/>
    <w:rsid w:val="004F5301"/>
    <w:rsid w:val="004F535B"/>
    <w:rsid w:val="004F5364"/>
    <w:rsid w:val="004F53CE"/>
    <w:rsid w:val="004F53EC"/>
    <w:rsid w:val="004F5563"/>
    <w:rsid w:val="004F57C1"/>
    <w:rsid w:val="004F5837"/>
    <w:rsid w:val="004F5973"/>
    <w:rsid w:val="004F5974"/>
    <w:rsid w:val="004F59DC"/>
    <w:rsid w:val="004F5AC3"/>
    <w:rsid w:val="004F5B0F"/>
    <w:rsid w:val="004F5D24"/>
    <w:rsid w:val="004F5D64"/>
    <w:rsid w:val="004F60DC"/>
    <w:rsid w:val="004F6148"/>
    <w:rsid w:val="004F618D"/>
    <w:rsid w:val="004F618E"/>
    <w:rsid w:val="004F6244"/>
    <w:rsid w:val="004F62A4"/>
    <w:rsid w:val="004F6426"/>
    <w:rsid w:val="004F6463"/>
    <w:rsid w:val="004F6553"/>
    <w:rsid w:val="004F65F4"/>
    <w:rsid w:val="004F6665"/>
    <w:rsid w:val="004F6A24"/>
    <w:rsid w:val="004F6B91"/>
    <w:rsid w:val="004F6C86"/>
    <w:rsid w:val="004F6CC4"/>
    <w:rsid w:val="004F6E36"/>
    <w:rsid w:val="004F6E89"/>
    <w:rsid w:val="004F704C"/>
    <w:rsid w:val="004F7089"/>
    <w:rsid w:val="004F7118"/>
    <w:rsid w:val="004F721C"/>
    <w:rsid w:val="004F7518"/>
    <w:rsid w:val="004F75DB"/>
    <w:rsid w:val="004F779D"/>
    <w:rsid w:val="004F79D7"/>
    <w:rsid w:val="004F7C79"/>
    <w:rsid w:val="004F7E83"/>
    <w:rsid w:val="004F7F55"/>
    <w:rsid w:val="004F7F77"/>
    <w:rsid w:val="00500114"/>
    <w:rsid w:val="005001A3"/>
    <w:rsid w:val="0050022F"/>
    <w:rsid w:val="0050034E"/>
    <w:rsid w:val="005004B2"/>
    <w:rsid w:val="00500507"/>
    <w:rsid w:val="00500656"/>
    <w:rsid w:val="0050068D"/>
    <w:rsid w:val="0050071F"/>
    <w:rsid w:val="00500A43"/>
    <w:rsid w:val="00500ABA"/>
    <w:rsid w:val="00500ACE"/>
    <w:rsid w:val="00500B5E"/>
    <w:rsid w:val="00500BD7"/>
    <w:rsid w:val="00500DD0"/>
    <w:rsid w:val="00500EFB"/>
    <w:rsid w:val="00501275"/>
    <w:rsid w:val="0050137D"/>
    <w:rsid w:val="00501486"/>
    <w:rsid w:val="005015C6"/>
    <w:rsid w:val="005015E4"/>
    <w:rsid w:val="0050170D"/>
    <w:rsid w:val="00501745"/>
    <w:rsid w:val="00501BEB"/>
    <w:rsid w:val="00501E00"/>
    <w:rsid w:val="00502482"/>
    <w:rsid w:val="0050248B"/>
    <w:rsid w:val="005025ED"/>
    <w:rsid w:val="00502615"/>
    <w:rsid w:val="00502743"/>
    <w:rsid w:val="00502A43"/>
    <w:rsid w:val="00502C6F"/>
    <w:rsid w:val="00502C8A"/>
    <w:rsid w:val="00502CF7"/>
    <w:rsid w:val="00502D6B"/>
    <w:rsid w:val="00502DF9"/>
    <w:rsid w:val="00502F06"/>
    <w:rsid w:val="00503001"/>
    <w:rsid w:val="0050301E"/>
    <w:rsid w:val="00503197"/>
    <w:rsid w:val="005031F7"/>
    <w:rsid w:val="0050320C"/>
    <w:rsid w:val="0050333D"/>
    <w:rsid w:val="00503355"/>
    <w:rsid w:val="005037CE"/>
    <w:rsid w:val="0050381A"/>
    <w:rsid w:val="00503AF3"/>
    <w:rsid w:val="00503D0C"/>
    <w:rsid w:val="00503D12"/>
    <w:rsid w:val="00503F2C"/>
    <w:rsid w:val="00504099"/>
    <w:rsid w:val="00504100"/>
    <w:rsid w:val="00504109"/>
    <w:rsid w:val="005041A3"/>
    <w:rsid w:val="0050420D"/>
    <w:rsid w:val="00504293"/>
    <w:rsid w:val="0050430C"/>
    <w:rsid w:val="0050468F"/>
    <w:rsid w:val="005046DE"/>
    <w:rsid w:val="0050499E"/>
    <w:rsid w:val="005049C3"/>
    <w:rsid w:val="00504AE9"/>
    <w:rsid w:val="00504B64"/>
    <w:rsid w:val="00504C51"/>
    <w:rsid w:val="00504CEC"/>
    <w:rsid w:val="00504D21"/>
    <w:rsid w:val="00504E03"/>
    <w:rsid w:val="00504E9B"/>
    <w:rsid w:val="0050507B"/>
    <w:rsid w:val="005051DC"/>
    <w:rsid w:val="0050521E"/>
    <w:rsid w:val="00505239"/>
    <w:rsid w:val="0050565A"/>
    <w:rsid w:val="0050568C"/>
    <w:rsid w:val="005056FB"/>
    <w:rsid w:val="005059A5"/>
    <w:rsid w:val="00505D0A"/>
    <w:rsid w:val="005060FA"/>
    <w:rsid w:val="00506369"/>
    <w:rsid w:val="0050657F"/>
    <w:rsid w:val="005066AC"/>
    <w:rsid w:val="005067BE"/>
    <w:rsid w:val="00506A42"/>
    <w:rsid w:val="00506B0D"/>
    <w:rsid w:val="00506CC0"/>
    <w:rsid w:val="00506D5A"/>
    <w:rsid w:val="00506E45"/>
    <w:rsid w:val="005070C7"/>
    <w:rsid w:val="00507188"/>
    <w:rsid w:val="005071D0"/>
    <w:rsid w:val="005072D3"/>
    <w:rsid w:val="005073DC"/>
    <w:rsid w:val="0050763C"/>
    <w:rsid w:val="00507708"/>
    <w:rsid w:val="00507A00"/>
    <w:rsid w:val="00507A19"/>
    <w:rsid w:val="00507B17"/>
    <w:rsid w:val="00507C21"/>
    <w:rsid w:val="00507C28"/>
    <w:rsid w:val="00507C5B"/>
    <w:rsid w:val="00507DC2"/>
    <w:rsid w:val="00507F43"/>
    <w:rsid w:val="00510042"/>
    <w:rsid w:val="0051006F"/>
    <w:rsid w:val="00510095"/>
    <w:rsid w:val="005100F2"/>
    <w:rsid w:val="0051026A"/>
    <w:rsid w:val="00510305"/>
    <w:rsid w:val="00510322"/>
    <w:rsid w:val="00510500"/>
    <w:rsid w:val="00510593"/>
    <w:rsid w:val="005106FD"/>
    <w:rsid w:val="00510715"/>
    <w:rsid w:val="00510746"/>
    <w:rsid w:val="00510866"/>
    <w:rsid w:val="005108C4"/>
    <w:rsid w:val="005108D4"/>
    <w:rsid w:val="005109C8"/>
    <w:rsid w:val="00510A32"/>
    <w:rsid w:val="00510A60"/>
    <w:rsid w:val="00510BAE"/>
    <w:rsid w:val="00510C0E"/>
    <w:rsid w:val="00510CDC"/>
    <w:rsid w:val="00510D05"/>
    <w:rsid w:val="00510E19"/>
    <w:rsid w:val="00510F4B"/>
    <w:rsid w:val="0051100B"/>
    <w:rsid w:val="005110BC"/>
    <w:rsid w:val="005110D5"/>
    <w:rsid w:val="00511381"/>
    <w:rsid w:val="00511424"/>
    <w:rsid w:val="00511621"/>
    <w:rsid w:val="00511622"/>
    <w:rsid w:val="00511820"/>
    <w:rsid w:val="00511822"/>
    <w:rsid w:val="00511823"/>
    <w:rsid w:val="00511A09"/>
    <w:rsid w:val="00511A80"/>
    <w:rsid w:val="00511BBF"/>
    <w:rsid w:val="00511CF4"/>
    <w:rsid w:val="00511D26"/>
    <w:rsid w:val="00511FA9"/>
    <w:rsid w:val="00512520"/>
    <w:rsid w:val="00512540"/>
    <w:rsid w:val="0051257C"/>
    <w:rsid w:val="0051264D"/>
    <w:rsid w:val="0051267F"/>
    <w:rsid w:val="005126B9"/>
    <w:rsid w:val="005126C0"/>
    <w:rsid w:val="005128CE"/>
    <w:rsid w:val="005129ED"/>
    <w:rsid w:val="00512BA0"/>
    <w:rsid w:val="00512BD4"/>
    <w:rsid w:val="00512C7E"/>
    <w:rsid w:val="00512D29"/>
    <w:rsid w:val="00513183"/>
    <w:rsid w:val="0051339C"/>
    <w:rsid w:val="005135EB"/>
    <w:rsid w:val="0051361E"/>
    <w:rsid w:val="005136DE"/>
    <w:rsid w:val="00513719"/>
    <w:rsid w:val="00513825"/>
    <w:rsid w:val="00513873"/>
    <w:rsid w:val="00513977"/>
    <w:rsid w:val="00513A13"/>
    <w:rsid w:val="00513A49"/>
    <w:rsid w:val="00513AA8"/>
    <w:rsid w:val="00513B47"/>
    <w:rsid w:val="00513D1F"/>
    <w:rsid w:val="00513D96"/>
    <w:rsid w:val="00513DB4"/>
    <w:rsid w:val="00513DE6"/>
    <w:rsid w:val="00513DED"/>
    <w:rsid w:val="00513DFC"/>
    <w:rsid w:val="00513F6D"/>
    <w:rsid w:val="00513F76"/>
    <w:rsid w:val="00514085"/>
    <w:rsid w:val="00514323"/>
    <w:rsid w:val="0051435B"/>
    <w:rsid w:val="005143EE"/>
    <w:rsid w:val="005144C2"/>
    <w:rsid w:val="005144DD"/>
    <w:rsid w:val="00514552"/>
    <w:rsid w:val="00514560"/>
    <w:rsid w:val="0051456A"/>
    <w:rsid w:val="00514603"/>
    <w:rsid w:val="00514785"/>
    <w:rsid w:val="0051488E"/>
    <w:rsid w:val="005148F4"/>
    <w:rsid w:val="00514ADE"/>
    <w:rsid w:val="00514BEA"/>
    <w:rsid w:val="00514D57"/>
    <w:rsid w:val="00514F0E"/>
    <w:rsid w:val="00515193"/>
    <w:rsid w:val="0051519C"/>
    <w:rsid w:val="0051531C"/>
    <w:rsid w:val="005153AB"/>
    <w:rsid w:val="0051548A"/>
    <w:rsid w:val="00515584"/>
    <w:rsid w:val="00515799"/>
    <w:rsid w:val="00515964"/>
    <w:rsid w:val="00515967"/>
    <w:rsid w:val="00515AE4"/>
    <w:rsid w:val="00515B21"/>
    <w:rsid w:val="00515B32"/>
    <w:rsid w:val="00515B95"/>
    <w:rsid w:val="00515D69"/>
    <w:rsid w:val="00515FDA"/>
    <w:rsid w:val="00516225"/>
    <w:rsid w:val="00516331"/>
    <w:rsid w:val="005163BF"/>
    <w:rsid w:val="005165B3"/>
    <w:rsid w:val="005165B7"/>
    <w:rsid w:val="005165E7"/>
    <w:rsid w:val="00516643"/>
    <w:rsid w:val="0051677C"/>
    <w:rsid w:val="005167A1"/>
    <w:rsid w:val="00516927"/>
    <w:rsid w:val="00516DA1"/>
    <w:rsid w:val="00516E02"/>
    <w:rsid w:val="00516FB0"/>
    <w:rsid w:val="00517011"/>
    <w:rsid w:val="00517044"/>
    <w:rsid w:val="00517048"/>
    <w:rsid w:val="005170E4"/>
    <w:rsid w:val="00517108"/>
    <w:rsid w:val="00517111"/>
    <w:rsid w:val="005172FA"/>
    <w:rsid w:val="0051737D"/>
    <w:rsid w:val="005175D6"/>
    <w:rsid w:val="005177F7"/>
    <w:rsid w:val="0051798F"/>
    <w:rsid w:val="00517AD6"/>
    <w:rsid w:val="00517D62"/>
    <w:rsid w:val="00517DDE"/>
    <w:rsid w:val="00517E1E"/>
    <w:rsid w:val="00517E58"/>
    <w:rsid w:val="00517ED5"/>
    <w:rsid w:val="005202B7"/>
    <w:rsid w:val="005203B6"/>
    <w:rsid w:val="00520409"/>
    <w:rsid w:val="0052043B"/>
    <w:rsid w:val="0052050D"/>
    <w:rsid w:val="00520542"/>
    <w:rsid w:val="00520B93"/>
    <w:rsid w:val="00520C58"/>
    <w:rsid w:val="00520D45"/>
    <w:rsid w:val="00520D64"/>
    <w:rsid w:val="00520E70"/>
    <w:rsid w:val="00520F61"/>
    <w:rsid w:val="00520F91"/>
    <w:rsid w:val="00520F92"/>
    <w:rsid w:val="00520FFE"/>
    <w:rsid w:val="00521132"/>
    <w:rsid w:val="005211E9"/>
    <w:rsid w:val="0052131A"/>
    <w:rsid w:val="00521327"/>
    <w:rsid w:val="00521378"/>
    <w:rsid w:val="005216A7"/>
    <w:rsid w:val="00521824"/>
    <w:rsid w:val="00521AA3"/>
    <w:rsid w:val="00521AAB"/>
    <w:rsid w:val="00521B32"/>
    <w:rsid w:val="00521B3B"/>
    <w:rsid w:val="00521C72"/>
    <w:rsid w:val="00521E83"/>
    <w:rsid w:val="00521EF7"/>
    <w:rsid w:val="00521F90"/>
    <w:rsid w:val="00521FB2"/>
    <w:rsid w:val="0052204B"/>
    <w:rsid w:val="00522097"/>
    <w:rsid w:val="00522241"/>
    <w:rsid w:val="00522372"/>
    <w:rsid w:val="00522399"/>
    <w:rsid w:val="005224C1"/>
    <w:rsid w:val="0052250F"/>
    <w:rsid w:val="00522550"/>
    <w:rsid w:val="00522785"/>
    <w:rsid w:val="00522889"/>
    <w:rsid w:val="005228AD"/>
    <w:rsid w:val="005228E2"/>
    <w:rsid w:val="00522A0E"/>
    <w:rsid w:val="00522B7E"/>
    <w:rsid w:val="00522B98"/>
    <w:rsid w:val="0052319F"/>
    <w:rsid w:val="005231FF"/>
    <w:rsid w:val="00523433"/>
    <w:rsid w:val="0052355B"/>
    <w:rsid w:val="00523594"/>
    <w:rsid w:val="005235F4"/>
    <w:rsid w:val="00523640"/>
    <w:rsid w:val="00523774"/>
    <w:rsid w:val="005238AA"/>
    <w:rsid w:val="00523939"/>
    <w:rsid w:val="005239C7"/>
    <w:rsid w:val="00523B27"/>
    <w:rsid w:val="00523B83"/>
    <w:rsid w:val="00523B91"/>
    <w:rsid w:val="00523C9A"/>
    <w:rsid w:val="00523CA6"/>
    <w:rsid w:val="00523D34"/>
    <w:rsid w:val="00523D4C"/>
    <w:rsid w:val="00523D7F"/>
    <w:rsid w:val="00523E3B"/>
    <w:rsid w:val="00523ED5"/>
    <w:rsid w:val="00523EDB"/>
    <w:rsid w:val="00523F03"/>
    <w:rsid w:val="00523F87"/>
    <w:rsid w:val="005240CB"/>
    <w:rsid w:val="00524289"/>
    <w:rsid w:val="00524917"/>
    <w:rsid w:val="00524A8C"/>
    <w:rsid w:val="00524B2B"/>
    <w:rsid w:val="00524B31"/>
    <w:rsid w:val="00524B51"/>
    <w:rsid w:val="00524CC5"/>
    <w:rsid w:val="00524E0A"/>
    <w:rsid w:val="00524F7F"/>
    <w:rsid w:val="0052526A"/>
    <w:rsid w:val="00525363"/>
    <w:rsid w:val="0052543E"/>
    <w:rsid w:val="005254C4"/>
    <w:rsid w:val="005255AC"/>
    <w:rsid w:val="005255F1"/>
    <w:rsid w:val="005256B7"/>
    <w:rsid w:val="005256F6"/>
    <w:rsid w:val="00525715"/>
    <w:rsid w:val="00525724"/>
    <w:rsid w:val="005258BE"/>
    <w:rsid w:val="00525AE9"/>
    <w:rsid w:val="00525B78"/>
    <w:rsid w:val="00525CA0"/>
    <w:rsid w:val="00525DA7"/>
    <w:rsid w:val="00525EFD"/>
    <w:rsid w:val="00525FDC"/>
    <w:rsid w:val="00526034"/>
    <w:rsid w:val="0052604B"/>
    <w:rsid w:val="0052624B"/>
    <w:rsid w:val="0052626E"/>
    <w:rsid w:val="005263E7"/>
    <w:rsid w:val="0052654E"/>
    <w:rsid w:val="005265D2"/>
    <w:rsid w:val="00526709"/>
    <w:rsid w:val="0052672D"/>
    <w:rsid w:val="005267FF"/>
    <w:rsid w:val="00526825"/>
    <w:rsid w:val="00526857"/>
    <w:rsid w:val="00526865"/>
    <w:rsid w:val="00526934"/>
    <w:rsid w:val="00526ADC"/>
    <w:rsid w:val="00526B62"/>
    <w:rsid w:val="00526DC1"/>
    <w:rsid w:val="00526F7E"/>
    <w:rsid w:val="00526FB3"/>
    <w:rsid w:val="00527033"/>
    <w:rsid w:val="00527065"/>
    <w:rsid w:val="0052707E"/>
    <w:rsid w:val="005271A5"/>
    <w:rsid w:val="005272BE"/>
    <w:rsid w:val="005273B9"/>
    <w:rsid w:val="0052741E"/>
    <w:rsid w:val="00527428"/>
    <w:rsid w:val="00527587"/>
    <w:rsid w:val="005275C0"/>
    <w:rsid w:val="005275EA"/>
    <w:rsid w:val="00527627"/>
    <w:rsid w:val="00527718"/>
    <w:rsid w:val="00527721"/>
    <w:rsid w:val="0052788A"/>
    <w:rsid w:val="00527931"/>
    <w:rsid w:val="005279FC"/>
    <w:rsid w:val="00527A68"/>
    <w:rsid w:val="00527BE1"/>
    <w:rsid w:val="00527F4B"/>
    <w:rsid w:val="00527FBE"/>
    <w:rsid w:val="00530169"/>
    <w:rsid w:val="0053030B"/>
    <w:rsid w:val="00530439"/>
    <w:rsid w:val="0053051D"/>
    <w:rsid w:val="005306FA"/>
    <w:rsid w:val="005307AD"/>
    <w:rsid w:val="005307E7"/>
    <w:rsid w:val="00530840"/>
    <w:rsid w:val="00530886"/>
    <w:rsid w:val="005308EB"/>
    <w:rsid w:val="0053090B"/>
    <w:rsid w:val="00530966"/>
    <w:rsid w:val="00530A88"/>
    <w:rsid w:val="00530A94"/>
    <w:rsid w:val="00530A96"/>
    <w:rsid w:val="00530D1A"/>
    <w:rsid w:val="00530D52"/>
    <w:rsid w:val="00530E6C"/>
    <w:rsid w:val="00531095"/>
    <w:rsid w:val="0053116B"/>
    <w:rsid w:val="00531261"/>
    <w:rsid w:val="0053129D"/>
    <w:rsid w:val="005312BC"/>
    <w:rsid w:val="00531472"/>
    <w:rsid w:val="005314F9"/>
    <w:rsid w:val="0053162D"/>
    <w:rsid w:val="00531733"/>
    <w:rsid w:val="005317F8"/>
    <w:rsid w:val="00531869"/>
    <w:rsid w:val="005318A0"/>
    <w:rsid w:val="00531938"/>
    <w:rsid w:val="00531AB4"/>
    <w:rsid w:val="00531B56"/>
    <w:rsid w:val="00531C20"/>
    <w:rsid w:val="00531C4A"/>
    <w:rsid w:val="00531ECA"/>
    <w:rsid w:val="00531F40"/>
    <w:rsid w:val="00531F6C"/>
    <w:rsid w:val="00531FAD"/>
    <w:rsid w:val="0053209E"/>
    <w:rsid w:val="00532108"/>
    <w:rsid w:val="00532256"/>
    <w:rsid w:val="005322F2"/>
    <w:rsid w:val="005323B1"/>
    <w:rsid w:val="005324A5"/>
    <w:rsid w:val="005326C1"/>
    <w:rsid w:val="00532837"/>
    <w:rsid w:val="00532894"/>
    <w:rsid w:val="005329BB"/>
    <w:rsid w:val="00532A18"/>
    <w:rsid w:val="00532AC5"/>
    <w:rsid w:val="00532B64"/>
    <w:rsid w:val="00532BAD"/>
    <w:rsid w:val="00532EB5"/>
    <w:rsid w:val="00533013"/>
    <w:rsid w:val="00533030"/>
    <w:rsid w:val="00533231"/>
    <w:rsid w:val="0053323C"/>
    <w:rsid w:val="005332BD"/>
    <w:rsid w:val="00533354"/>
    <w:rsid w:val="0053348F"/>
    <w:rsid w:val="005334D7"/>
    <w:rsid w:val="005334FC"/>
    <w:rsid w:val="005336A9"/>
    <w:rsid w:val="00533772"/>
    <w:rsid w:val="0053390B"/>
    <w:rsid w:val="005339DC"/>
    <w:rsid w:val="00533A98"/>
    <w:rsid w:val="00533B35"/>
    <w:rsid w:val="00533BDD"/>
    <w:rsid w:val="00533D0E"/>
    <w:rsid w:val="00533D80"/>
    <w:rsid w:val="005340AA"/>
    <w:rsid w:val="005340EE"/>
    <w:rsid w:val="005340FC"/>
    <w:rsid w:val="0053442B"/>
    <w:rsid w:val="00534478"/>
    <w:rsid w:val="00534480"/>
    <w:rsid w:val="00534590"/>
    <w:rsid w:val="005345ED"/>
    <w:rsid w:val="00534794"/>
    <w:rsid w:val="00534920"/>
    <w:rsid w:val="00534921"/>
    <w:rsid w:val="005349B2"/>
    <w:rsid w:val="00534B69"/>
    <w:rsid w:val="00534BC0"/>
    <w:rsid w:val="00534DA8"/>
    <w:rsid w:val="00534DF7"/>
    <w:rsid w:val="00534EC5"/>
    <w:rsid w:val="00535011"/>
    <w:rsid w:val="005351DD"/>
    <w:rsid w:val="005352E0"/>
    <w:rsid w:val="00535418"/>
    <w:rsid w:val="005354AF"/>
    <w:rsid w:val="005355B0"/>
    <w:rsid w:val="00535628"/>
    <w:rsid w:val="00535714"/>
    <w:rsid w:val="0053574F"/>
    <w:rsid w:val="00535FAA"/>
    <w:rsid w:val="00536108"/>
    <w:rsid w:val="00536141"/>
    <w:rsid w:val="0053621D"/>
    <w:rsid w:val="0053635F"/>
    <w:rsid w:val="0053636C"/>
    <w:rsid w:val="0053645D"/>
    <w:rsid w:val="005368A7"/>
    <w:rsid w:val="00536923"/>
    <w:rsid w:val="0053692B"/>
    <w:rsid w:val="005369F5"/>
    <w:rsid w:val="00536A5E"/>
    <w:rsid w:val="00536AB7"/>
    <w:rsid w:val="00536AC1"/>
    <w:rsid w:val="00536AD7"/>
    <w:rsid w:val="00536CD6"/>
    <w:rsid w:val="00536D64"/>
    <w:rsid w:val="00536FFA"/>
    <w:rsid w:val="00537095"/>
    <w:rsid w:val="0053723F"/>
    <w:rsid w:val="00537367"/>
    <w:rsid w:val="00537433"/>
    <w:rsid w:val="0053758A"/>
    <w:rsid w:val="005376CE"/>
    <w:rsid w:val="005377BD"/>
    <w:rsid w:val="005377C9"/>
    <w:rsid w:val="005378BB"/>
    <w:rsid w:val="005378ED"/>
    <w:rsid w:val="00537951"/>
    <w:rsid w:val="00537A44"/>
    <w:rsid w:val="00537B1C"/>
    <w:rsid w:val="00537C49"/>
    <w:rsid w:val="00537C85"/>
    <w:rsid w:val="00537DBD"/>
    <w:rsid w:val="00537F66"/>
    <w:rsid w:val="00540262"/>
    <w:rsid w:val="005402DA"/>
    <w:rsid w:val="0054074B"/>
    <w:rsid w:val="00540B0D"/>
    <w:rsid w:val="00540B28"/>
    <w:rsid w:val="00540B5C"/>
    <w:rsid w:val="00540BD0"/>
    <w:rsid w:val="00540BE4"/>
    <w:rsid w:val="0054113E"/>
    <w:rsid w:val="005411AD"/>
    <w:rsid w:val="00541382"/>
    <w:rsid w:val="0054138C"/>
    <w:rsid w:val="005413E1"/>
    <w:rsid w:val="005415D9"/>
    <w:rsid w:val="00541655"/>
    <w:rsid w:val="00541783"/>
    <w:rsid w:val="00541930"/>
    <w:rsid w:val="005419CC"/>
    <w:rsid w:val="00541AA6"/>
    <w:rsid w:val="00541AFC"/>
    <w:rsid w:val="00541B64"/>
    <w:rsid w:val="00541CDD"/>
    <w:rsid w:val="00541DCE"/>
    <w:rsid w:val="00541DD6"/>
    <w:rsid w:val="00541EF4"/>
    <w:rsid w:val="00541F9B"/>
    <w:rsid w:val="00541FA9"/>
    <w:rsid w:val="005420FC"/>
    <w:rsid w:val="00542274"/>
    <w:rsid w:val="0054227E"/>
    <w:rsid w:val="00542583"/>
    <w:rsid w:val="00542670"/>
    <w:rsid w:val="005426D0"/>
    <w:rsid w:val="00542712"/>
    <w:rsid w:val="00542876"/>
    <w:rsid w:val="005429AF"/>
    <w:rsid w:val="00542ACA"/>
    <w:rsid w:val="00542AD7"/>
    <w:rsid w:val="00542B97"/>
    <w:rsid w:val="00542C17"/>
    <w:rsid w:val="00542C74"/>
    <w:rsid w:val="00542D2C"/>
    <w:rsid w:val="00542DFC"/>
    <w:rsid w:val="00542E56"/>
    <w:rsid w:val="005431BB"/>
    <w:rsid w:val="00543285"/>
    <w:rsid w:val="005432B2"/>
    <w:rsid w:val="0054333D"/>
    <w:rsid w:val="00543427"/>
    <w:rsid w:val="005434C9"/>
    <w:rsid w:val="00543578"/>
    <w:rsid w:val="005435E2"/>
    <w:rsid w:val="0054377C"/>
    <w:rsid w:val="0054386B"/>
    <w:rsid w:val="0054387A"/>
    <w:rsid w:val="00543970"/>
    <w:rsid w:val="005439BF"/>
    <w:rsid w:val="00543A8B"/>
    <w:rsid w:val="00543AF2"/>
    <w:rsid w:val="00543B81"/>
    <w:rsid w:val="00543C3F"/>
    <w:rsid w:val="00543F09"/>
    <w:rsid w:val="00544052"/>
    <w:rsid w:val="00544096"/>
    <w:rsid w:val="005440B9"/>
    <w:rsid w:val="005440E5"/>
    <w:rsid w:val="00544110"/>
    <w:rsid w:val="00544253"/>
    <w:rsid w:val="005443F1"/>
    <w:rsid w:val="005444EE"/>
    <w:rsid w:val="00544579"/>
    <w:rsid w:val="005446B8"/>
    <w:rsid w:val="00544799"/>
    <w:rsid w:val="0054487B"/>
    <w:rsid w:val="00544915"/>
    <w:rsid w:val="0054491F"/>
    <w:rsid w:val="00544975"/>
    <w:rsid w:val="005449C9"/>
    <w:rsid w:val="00544BB6"/>
    <w:rsid w:val="00544BFA"/>
    <w:rsid w:val="00544D8B"/>
    <w:rsid w:val="00544DE2"/>
    <w:rsid w:val="0054515A"/>
    <w:rsid w:val="005451D0"/>
    <w:rsid w:val="00545219"/>
    <w:rsid w:val="005453B4"/>
    <w:rsid w:val="00545497"/>
    <w:rsid w:val="005455CA"/>
    <w:rsid w:val="00545695"/>
    <w:rsid w:val="00545831"/>
    <w:rsid w:val="00545864"/>
    <w:rsid w:val="00545980"/>
    <w:rsid w:val="00545A33"/>
    <w:rsid w:val="00545DC7"/>
    <w:rsid w:val="00545FAC"/>
    <w:rsid w:val="00546064"/>
    <w:rsid w:val="00546171"/>
    <w:rsid w:val="0054618B"/>
    <w:rsid w:val="00546234"/>
    <w:rsid w:val="005462C0"/>
    <w:rsid w:val="005462C9"/>
    <w:rsid w:val="0054648B"/>
    <w:rsid w:val="005467E1"/>
    <w:rsid w:val="00546AFE"/>
    <w:rsid w:val="00546C51"/>
    <w:rsid w:val="00546F19"/>
    <w:rsid w:val="00546F60"/>
    <w:rsid w:val="00546F82"/>
    <w:rsid w:val="00546FAC"/>
    <w:rsid w:val="005471F5"/>
    <w:rsid w:val="00547261"/>
    <w:rsid w:val="00547404"/>
    <w:rsid w:val="0054747F"/>
    <w:rsid w:val="005475A1"/>
    <w:rsid w:val="005475D7"/>
    <w:rsid w:val="00547635"/>
    <w:rsid w:val="005476F4"/>
    <w:rsid w:val="00547814"/>
    <w:rsid w:val="00547846"/>
    <w:rsid w:val="0054797B"/>
    <w:rsid w:val="005479CA"/>
    <w:rsid w:val="00547ABC"/>
    <w:rsid w:val="00547C68"/>
    <w:rsid w:val="00547D09"/>
    <w:rsid w:val="00547EB5"/>
    <w:rsid w:val="00547F46"/>
    <w:rsid w:val="005500E1"/>
    <w:rsid w:val="00550105"/>
    <w:rsid w:val="005501A6"/>
    <w:rsid w:val="0055037B"/>
    <w:rsid w:val="00550453"/>
    <w:rsid w:val="00550539"/>
    <w:rsid w:val="00550614"/>
    <w:rsid w:val="00550711"/>
    <w:rsid w:val="0055087F"/>
    <w:rsid w:val="005509A7"/>
    <w:rsid w:val="005509DD"/>
    <w:rsid w:val="005509FF"/>
    <w:rsid w:val="00550CD6"/>
    <w:rsid w:val="00550D23"/>
    <w:rsid w:val="00550D4C"/>
    <w:rsid w:val="00551029"/>
    <w:rsid w:val="00551133"/>
    <w:rsid w:val="00551222"/>
    <w:rsid w:val="00551449"/>
    <w:rsid w:val="00551522"/>
    <w:rsid w:val="0055155F"/>
    <w:rsid w:val="005516DA"/>
    <w:rsid w:val="00551A0D"/>
    <w:rsid w:val="00551A19"/>
    <w:rsid w:val="00551A5E"/>
    <w:rsid w:val="00551C30"/>
    <w:rsid w:val="00551C47"/>
    <w:rsid w:val="00551D84"/>
    <w:rsid w:val="00551DEA"/>
    <w:rsid w:val="00551F51"/>
    <w:rsid w:val="00552178"/>
    <w:rsid w:val="005522DC"/>
    <w:rsid w:val="005523B6"/>
    <w:rsid w:val="005523D1"/>
    <w:rsid w:val="00552550"/>
    <w:rsid w:val="0055278D"/>
    <w:rsid w:val="00552917"/>
    <w:rsid w:val="00552986"/>
    <w:rsid w:val="005529BD"/>
    <w:rsid w:val="005529C6"/>
    <w:rsid w:val="00552B5D"/>
    <w:rsid w:val="00552C7D"/>
    <w:rsid w:val="00552D9C"/>
    <w:rsid w:val="00552E2C"/>
    <w:rsid w:val="00552F4A"/>
    <w:rsid w:val="00553038"/>
    <w:rsid w:val="00553066"/>
    <w:rsid w:val="005530CB"/>
    <w:rsid w:val="0055319B"/>
    <w:rsid w:val="005531A1"/>
    <w:rsid w:val="005531C8"/>
    <w:rsid w:val="005531D7"/>
    <w:rsid w:val="005532AE"/>
    <w:rsid w:val="0055333C"/>
    <w:rsid w:val="00553386"/>
    <w:rsid w:val="005535CA"/>
    <w:rsid w:val="005535CF"/>
    <w:rsid w:val="005535D4"/>
    <w:rsid w:val="005535F0"/>
    <w:rsid w:val="005536B2"/>
    <w:rsid w:val="0055375B"/>
    <w:rsid w:val="005539AE"/>
    <w:rsid w:val="00553D50"/>
    <w:rsid w:val="00553D52"/>
    <w:rsid w:val="00554016"/>
    <w:rsid w:val="0055417A"/>
    <w:rsid w:val="00554211"/>
    <w:rsid w:val="005542C5"/>
    <w:rsid w:val="00554385"/>
    <w:rsid w:val="005544A3"/>
    <w:rsid w:val="005545F4"/>
    <w:rsid w:val="0055462D"/>
    <w:rsid w:val="005546E6"/>
    <w:rsid w:val="005547A2"/>
    <w:rsid w:val="00554812"/>
    <w:rsid w:val="005549D0"/>
    <w:rsid w:val="00554A6F"/>
    <w:rsid w:val="00554DCA"/>
    <w:rsid w:val="00554E36"/>
    <w:rsid w:val="00554E8E"/>
    <w:rsid w:val="00554E99"/>
    <w:rsid w:val="00555278"/>
    <w:rsid w:val="00555308"/>
    <w:rsid w:val="00555494"/>
    <w:rsid w:val="00555551"/>
    <w:rsid w:val="005555C7"/>
    <w:rsid w:val="0055569A"/>
    <w:rsid w:val="0055586C"/>
    <w:rsid w:val="005558BA"/>
    <w:rsid w:val="005558E9"/>
    <w:rsid w:val="005559DE"/>
    <w:rsid w:val="00555B47"/>
    <w:rsid w:val="00555BD4"/>
    <w:rsid w:val="00555E0C"/>
    <w:rsid w:val="00555FF1"/>
    <w:rsid w:val="0055601B"/>
    <w:rsid w:val="005560E5"/>
    <w:rsid w:val="00556308"/>
    <w:rsid w:val="00556367"/>
    <w:rsid w:val="0055657A"/>
    <w:rsid w:val="005565BC"/>
    <w:rsid w:val="0055672D"/>
    <w:rsid w:val="0055687E"/>
    <w:rsid w:val="005568D7"/>
    <w:rsid w:val="005569D4"/>
    <w:rsid w:val="00556B94"/>
    <w:rsid w:val="00556D58"/>
    <w:rsid w:val="00556E03"/>
    <w:rsid w:val="00556FFE"/>
    <w:rsid w:val="00557129"/>
    <w:rsid w:val="0055712E"/>
    <w:rsid w:val="0055719A"/>
    <w:rsid w:val="0055722C"/>
    <w:rsid w:val="00557236"/>
    <w:rsid w:val="005575A7"/>
    <w:rsid w:val="0055763F"/>
    <w:rsid w:val="00557652"/>
    <w:rsid w:val="005577C2"/>
    <w:rsid w:val="005577F7"/>
    <w:rsid w:val="00557B63"/>
    <w:rsid w:val="00557BBD"/>
    <w:rsid w:val="00557EEE"/>
    <w:rsid w:val="00557F0D"/>
    <w:rsid w:val="00560136"/>
    <w:rsid w:val="0056019D"/>
    <w:rsid w:val="0056046C"/>
    <w:rsid w:val="005604CE"/>
    <w:rsid w:val="005605B0"/>
    <w:rsid w:val="00560680"/>
    <w:rsid w:val="005606B1"/>
    <w:rsid w:val="00560843"/>
    <w:rsid w:val="00560854"/>
    <w:rsid w:val="0056087E"/>
    <w:rsid w:val="00560926"/>
    <w:rsid w:val="0056099B"/>
    <w:rsid w:val="00560B07"/>
    <w:rsid w:val="00560C13"/>
    <w:rsid w:val="00560E29"/>
    <w:rsid w:val="00560ECE"/>
    <w:rsid w:val="00560FA4"/>
    <w:rsid w:val="00561056"/>
    <w:rsid w:val="00561146"/>
    <w:rsid w:val="0056122A"/>
    <w:rsid w:val="0056125A"/>
    <w:rsid w:val="005612D0"/>
    <w:rsid w:val="00561417"/>
    <w:rsid w:val="00561549"/>
    <w:rsid w:val="00561678"/>
    <w:rsid w:val="005616C7"/>
    <w:rsid w:val="005616D7"/>
    <w:rsid w:val="00561A90"/>
    <w:rsid w:val="00561C0D"/>
    <w:rsid w:val="00561C30"/>
    <w:rsid w:val="00561D2A"/>
    <w:rsid w:val="00561E57"/>
    <w:rsid w:val="00561E75"/>
    <w:rsid w:val="0056205C"/>
    <w:rsid w:val="0056228D"/>
    <w:rsid w:val="005623A6"/>
    <w:rsid w:val="005623C8"/>
    <w:rsid w:val="005628D2"/>
    <w:rsid w:val="0056293F"/>
    <w:rsid w:val="0056295B"/>
    <w:rsid w:val="005629CB"/>
    <w:rsid w:val="00562AB1"/>
    <w:rsid w:val="00562C09"/>
    <w:rsid w:val="00562C99"/>
    <w:rsid w:val="00562CA8"/>
    <w:rsid w:val="00562DC3"/>
    <w:rsid w:val="00562EDA"/>
    <w:rsid w:val="00562EE0"/>
    <w:rsid w:val="00562EF4"/>
    <w:rsid w:val="00562F44"/>
    <w:rsid w:val="00562FE9"/>
    <w:rsid w:val="005630C6"/>
    <w:rsid w:val="0056343D"/>
    <w:rsid w:val="0056344F"/>
    <w:rsid w:val="0056345B"/>
    <w:rsid w:val="005636A9"/>
    <w:rsid w:val="005638DE"/>
    <w:rsid w:val="005639C5"/>
    <w:rsid w:val="00563A90"/>
    <w:rsid w:val="00563BB8"/>
    <w:rsid w:val="00563CB8"/>
    <w:rsid w:val="00563DA7"/>
    <w:rsid w:val="00563EFF"/>
    <w:rsid w:val="00564275"/>
    <w:rsid w:val="005642B5"/>
    <w:rsid w:val="005645DC"/>
    <w:rsid w:val="0056469B"/>
    <w:rsid w:val="005646CC"/>
    <w:rsid w:val="00564768"/>
    <w:rsid w:val="005648E0"/>
    <w:rsid w:val="00564B2B"/>
    <w:rsid w:val="00564B6E"/>
    <w:rsid w:val="00564C12"/>
    <w:rsid w:val="00564EE2"/>
    <w:rsid w:val="00564FBB"/>
    <w:rsid w:val="00564FC1"/>
    <w:rsid w:val="005650B4"/>
    <w:rsid w:val="005651A5"/>
    <w:rsid w:val="005651E1"/>
    <w:rsid w:val="0056527F"/>
    <w:rsid w:val="00565425"/>
    <w:rsid w:val="0056554A"/>
    <w:rsid w:val="0056556D"/>
    <w:rsid w:val="00565803"/>
    <w:rsid w:val="0056591D"/>
    <w:rsid w:val="0056596B"/>
    <w:rsid w:val="005659C3"/>
    <w:rsid w:val="005659E8"/>
    <w:rsid w:val="00565A38"/>
    <w:rsid w:val="00565ACA"/>
    <w:rsid w:val="00565BC2"/>
    <w:rsid w:val="00565C20"/>
    <w:rsid w:val="00565CD3"/>
    <w:rsid w:val="00565F0A"/>
    <w:rsid w:val="00566141"/>
    <w:rsid w:val="00566249"/>
    <w:rsid w:val="0056625D"/>
    <w:rsid w:val="005662D2"/>
    <w:rsid w:val="0056638F"/>
    <w:rsid w:val="005663A8"/>
    <w:rsid w:val="00566675"/>
    <w:rsid w:val="00566679"/>
    <w:rsid w:val="0056692C"/>
    <w:rsid w:val="00566974"/>
    <w:rsid w:val="00566A70"/>
    <w:rsid w:val="00566E23"/>
    <w:rsid w:val="00566E91"/>
    <w:rsid w:val="00566F94"/>
    <w:rsid w:val="00566F9E"/>
    <w:rsid w:val="00566FB3"/>
    <w:rsid w:val="00566FDF"/>
    <w:rsid w:val="0056708F"/>
    <w:rsid w:val="005670B2"/>
    <w:rsid w:val="0056717C"/>
    <w:rsid w:val="00567205"/>
    <w:rsid w:val="0056735B"/>
    <w:rsid w:val="005674FF"/>
    <w:rsid w:val="005675E8"/>
    <w:rsid w:val="00567695"/>
    <w:rsid w:val="005676AC"/>
    <w:rsid w:val="0056778B"/>
    <w:rsid w:val="00567851"/>
    <w:rsid w:val="00567923"/>
    <w:rsid w:val="00567B3F"/>
    <w:rsid w:val="00567C4A"/>
    <w:rsid w:val="00567C8B"/>
    <w:rsid w:val="00567CA1"/>
    <w:rsid w:val="00567CD0"/>
    <w:rsid w:val="00567EAA"/>
    <w:rsid w:val="00567F14"/>
    <w:rsid w:val="00567F30"/>
    <w:rsid w:val="005700B6"/>
    <w:rsid w:val="0057015A"/>
    <w:rsid w:val="00570226"/>
    <w:rsid w:val="005703A0"/>
    <w:rsid w:val="00570508"/>
    <w:rsid w:val="00570566"/>
    <w:rsid w:val="0057094E"/>
    <w:rsid w:val="005709AD"/>
    <w:rsid w:val="00570B4C"/>
    <w:rsid w:val="00570B9B"/>
    <w:rsid w:val="00570C5D"/>
    <w:rsid w:val="00570D4D"/>
    <w:rsid w:val="00570F4A"/>
    <w:rsid w:val="00571030"/>
    <w:rsid w:val="0057105E"/>
    <w:rsid w:val="0057106B"/>
    <w:rsid w:val="005714EF"/>
    <w:rsid w:val="00571537"/>
    <w:rsid w:val="00571573"/>
    <w:rsid w:val="00571677"/>
    <w:rsid w:val="00571691"/>
    <w:rsid w:val="0057180E"/>
    <w:rsid w:val="00571A03"/>
    <w:rsid w:val="00571A45"/>
    <w:rsid w:val="00571B8E"/>
    <w:rsid w:val="00571DBE"/>
    <w:rsid w:val="005720C2"/>
    <w:rsid w:val="005724CD"/>
    <w:rsid w:val="0057255C"/>
    <w:rsid w:val="00572678"/>
    <w:rsid w:val="005727D2"/>
    <w:rsid w:val="00572892"/>
    <w:rsid w:val="005728D0"/>
    <w:rsid w:val="00572993"/>
    <w:rsid w:val="005729C6"/>
    <w:rsid w:val="00572A37"/>
    <w:rsid w:val="00572A7E"/>
    <w:rsid w:val="00572B14"/>
    <w:rsid w:val="00572D2B"/>
    <w:rsid w:val="00572DEC"/>
    <w:rsid w:val="00572EF4"/>
    <w:rsid w:val="0057303F"/>
    <w:rsid w:val="00573216"/>
    <w:rsid w:val="0057328A"/>
    <w:rsid w:val="0057374B"/>
    <w:rsid w:val="0057389B"/>
    <w:rsid w:val="005738DE"/>
    <w:rsid w:val="00573B7E"/>
    <w:rsid w:val="00573BC3"/>
    <w:rsid w:val="00573C10"/>
    <w:rsid w:val="00573C99"/>
    <w:rsid w:val="00573D4A"/>
    <w:rsid w:val="00573D7C"/>
    <w:rsid w:val="00573D88"/>
    <w:rsid w:val="00573E4B"/>
    <w:rsid w:val="00573E65"/>
    <w:rsid w:val="00573E8C"/>
    <w:rsid w:val="00573F02"/>
    <w:rsid w:val="00573F20"/>
    <w:rsid w:val="0057403F"/>
    <w:rsid w:val="00574054"/>
    <w:rsid w:val="005741D3"/>
    <w:rsid w:val="0057436D"/>
    <w:rsid w:val="00574702"/>
    <w:rsid w:val="005748BB"/>
    <w:rsid w:val="00574967"/>
    <w:rsid w:val="00574B58"/>
    <w:rsid w:val="00574B6B"/>
    <w:rsid w:val="00574C04"/>
    <w:rsid w:val="00574F4A"/>
    <w:rsid w:val="00575000"/>
    <w:rsid w:val="00575191"/>
    <w:rsid w:val="00575355"/>
    <w:rsid w:val="005754B7"/>
    <w:rsid w:val="0057562E"/>
    <w:rsid w:val="005758E1"/>
    <w:rsid w:val="00575974"/>
    <w:rsid w:val="005759E4"/>
    <w:rsid w:val="00575A04"/>
    <w:rsid w:val="00575D6C"/>
    <w:rsid w:val="00575DBD"/>
    <w:rsid w:val="00575F22"/>
    <w:rsid w:val="00575F9A"/>
    <w:rsid w:val="00576009"/>
    <w:rsid w:val="005761F5"/>
    <w:rsid w:val="00576457"/>
    <w:rsid w:val="0057647F"/>
    <w:rsid w:val="005764F5"/>
    <w:rsid w:val="0057661D"/>
    <w:rsid w:val="005766D7"/>
    <w:rsid w:val="0057675A"/>
    <w:rsid w:val="005769A4"/>
    <w:rsid w:val="005769A5"/>
    <w:rsid w:val="00576A3D"/>
    <w:rsid w:val="00576A47"/>
    <w:rsid w:val="00576A61"/>
    <w:rsid w:val="00576B4D"/>
    <w:rsid w:val="00576B69"/>
    <w:rsid w:val="00576BE5"/>
    <w:rsid w:val="00576D37"/>
    <w:rsid w:val="00576E49"/>
    <w:rsid w:val="00576ED5"/>
    <w:rsid w:val="00576EDC"/>
    <w:rsid w:val="00576F43"/>
    <w:rsid w:val="005770A1"/>
    <w:rsid w:val="0057714B"/>
    <w:rsid w:val="0057714D"/>
    <w:rsid w:val="0057756D"/>
    <w:rsid w:val="00577680"/>
    <w:rsid w:val="00577AB1"/>
    <w:rsid w:val="00577B30"/>
    <w:rsid w:val="00577BC1"/>
    <w:rsid w:val="00577BDC"/>
    <w:rsid w:val="00577BE6"/>
    <w:rsid w:val="00577C56"/>
    <w:rsid w:val="00577D25"/>
    <w:rsid w:val="00577D63"/>
    <w:rsid w:val="00577DDE"/>
    <w:rsid w:val="00577E72"/>
    <w:rsid w:val="00577EFE"/>
    <w:rsid w:val="00577F3C"/>
    <w:rsid w:val="00577F79"/>
    <w:rsid w:val="00577F90"/>
    <w:rsid w:val="00577F95"/>
    <w:rsid w:val="00580036"/>
    <w:rsid w:val="0058012B"/>
    <w:rsid w:val="00580137"/>
    <w:rsid w:val="00580164"/>
    <w:rsid w:val="005803D5"/>
    <w:rsid w:val="00580471"/>
    <w:rsid w:val="005804C9"/>
    <w:rsid w:val="00580574"/>
    <w:rsid w:val="00580589"/>
    <w:rsid w:val="00580609"/>
    <w:rsid w:val="005806DF"/>
    <w:rsid w:val="0058077A"/>
    <w:rsid w:val="005808EB"/>
    <w:rsid w:val="005809C0"/>
    <w:rsid w:val="00580B39"/>
    <w:rsid w:val="00580D3F"/>
    <w:rsid w:val="00580D9B"/>
    <w:rsid w:val="00580E5B"/>
    <w:rsid w:val="00580EE9"/>
    <w:rsid w:val="0058123E"/>
    <w:rsid w:val="00581278"/>
    <w:rsid w:val="0058133B"/>
    <w:rsid w:val="00581342"/>
    <w:rsid w:val="00581343"/>
    <w:rsid w:val="005813EA"/>
    <w:rsid w:val="00581446"/>
    <w:rsid w:val="005816A5"/>
    <w:rsid w:val="005816DB"/>
    <w:rsid w:val="0058174B"/>
    <w:rsid w:val="00581821"/>
    <w:rsid w:val="005818AA"/>
    <w:rsid w:val="00581AA0"/>
    <w:rsid w:val="00581ADF"/>
    <w:rsid w:val="00581FEA"/>
    <w:rsid w:val="0058213C"/>
    <w:rsid w:val="005821C5"/>
    <w:rsid w:val="005823A8"/>
    <w:rsid w:val="005823B2"/>
    <w:rsid w:val="005824F1"/>
    <w:rsid w:val="005825C8"/>
    <w:rsid w:val="0058272C"/>
    <w:rsid w:val="005827B0"/>
    <w:rsid w:val="005828BA"/>
    <w:rsid w:val="005828C0"/>
    <w:rsid w:val="005828FC"/>
    <w:rsid w:val="00582902"/>
    <w:rsid w:val="005829E1"/>
    <w:rsid w:val="00582A66"/>
    <w:rsid w:val="00582B46"/>
    <w:rsid w:val="00582C74"/>
    <w:rsid w:val="00582C77"/>
    <w:rsid w:val="00582D37"/>
    <w:rsid w:val="00582D3B"/>
    <w:rsid w:val="0058300E"/>
    <w:rsid w:val="005830CF"/>
    <w:rsid w:val="005830FC"/>
    <w:rsid w:val="00583233"/>
    <w:rsid w:val="005833D2"/>
    <w:rsid w:val="0058387B"/>
    <w:rsid w:val="00583887"/>
    <w:rsid w:val="00583904"/>
    <w:rsid w:val="0058397B"/>
    <w:rsid w:val="0058397F"/>
    <w:rsid w:val="005839CB"/>
    <w:rsid w:val="00583AB9"/>
    <w:rsid w:val="00583AC8"/>
    <w:rsid w:val="00583B57"/>
    <w:rsid w:val="00583B9D"/>
    <w:rsid w:val="00583BE9"/>
    <w:rsid w:val="00583BF7"/>
    <w:rsid w:val="00583CAB"/>
    <w:rsid w:val="00583DB2"/>
    <w:rsid w:val="00583E1D"/>
    <w:rsid w:val="00583E1F"/>
    <w:rsid w:val="00583E5C"/>
    <w:rsid w:val="00584054"/>
    <w:rsid w:val="00584077"/>
    <w:rsid w:val="005840B2"/>
    <w:rsid w:val="00584265"/>
    <w:rsid w:val="005842D3"/>
    <w:rsid w:val="00584317"/>
    <w:rsid w:val="005844D0"/>
    <w:rsid w:val="0058475D"/>
    <w:rsid w:val="00584777"/>
    <w:rsid w:val="00584898"/>
    <w:rsid w:val="00584974"/>
    <w:rsid w:val="0058498A"/>
    <w:rsid w:val="005849E2"/>
    <w:rsid w:val="00584C4E"/>
    <w:rsid w:val="00584D54"/>
    <w:rsid w:val="00584E7A"/>
    <w:rsid w:val="00584F1F"/>
    <w:rsid w:val="00584FA1"/>
    <w:rsid w:val="0058523D"/>
    <w:rsid w:val="0058539B"/>
    <w:rsid w:val="00585433"/>
    <w:rsid w:val="005854ED"/>
    <w:rsid w:val="005855FC"/>
    <w:rsid w:val="00585660"/>
    <w:rsid w:val="00585771"/>
    <w:rsid w:val="0058581A"/>
    <w:rsid w:val="005858B4"/>
    <w:rsid w:val="00585960"/>
    <w:rsid w:val="00585B23"/>
    <w:rsid w:val="00585C04"/>
    <w:rsid w:val="00585C79"/>
    <w:rsid w:val="00585C7F"/>
    <w:rsid w:val="00585CA8"/>
    <w:rsid w:val="00585CEA"/>
    <w:rsid w:val="00585EC1"/>
    <w:rsid w:val="00585F0D"/>
    <w:rsid w:val="00585F1F"/>
    <w:rsid w:val="00586218"/>
    <w:rsid w:val="0058645F"/>
    <w:rsid w:val="005865DD"/>
    <w:rsid w:val="00586654"/>
    <w:rsid w:val="005866B3"/>
    <w:rsid w:val="00586703"/>
    <w:rsid w:val="005867BF"/>
    <w:rsid w:val="00586804"/>
    <w:rsid w:val="005868BF"/>
    <w:rsid w:val="005869BB"/>
    <w:rsid w:val="00586C4E"/>
    <w:rsid w:val="00586CE3"/>
    <w:rsid w:val="00586D6E"/>
    <w:rsid w:val="00586DAB"/>
    <w:rsid w:val="00586E3D"/>
    <w:rsid w:val="00586EA6"/>
    <w:rsid w:val="00586EA7"/>
    <w:rsid w:val="00586F5E"/>
    <w:rsid w:val="0058700A"/>
    <w:rsid w:val="005870EC"/>
    <w:rsid w:val="005872AA"/>
    <w:rsid w:val="0058731D"/>
    <w:rsid w:val="00587345"/>
    <w:rsid w:val="00587552"/>
    <w:rsid w:val="005875A1"/>
    <w:rsid w:val="0058772C"/>
    <w:rsid w:val="00587764"/>
    <w:rsid w:val="00587779"/>
    <w:rsid w:val="005878AB"/>
    <w:rsid w:val="005878F7"/>
    <w:rsid w:val="00587A32"/>
    <w:rsid w:val="00587BCD"/>
    <w:rsid w:val="00587BF0"/>
    <w:rsid w:val="00587F3E"/>
    <w:rsid w:val="00590064"/>
    <w:rsid w:val="00590132"/>
    <w:rsid w:val="0059041B"/>
    <w:rsid w:val="005905B3"/>
    <w:rsid w:val="005907FA"/>
    <w:rsid w:val="00590B0D"/>
    <w:rsid w:val="00590B1F"/>
    <w:rsid w:val="00590C65"/>
    <w:rsid w:val="00590D2A"/>
    <w:rsid w:val="00590E33"/>
    <w:rsid w:val="00590F0D"/>
    <w:rsid w:val="00590F24"/>
    <w:rsid w:val="00590FC1"/>
    <w:rsid w:val="00591040"/>
    <w:rsid w:val="005911D2"/>
    <w:rsid w:val="0059124C"/>
    <w:rsid w:val="00591275"/>
    <w:rsid w:val="00591362"/>
    <w:rsid w:val="005913E7"/>
    <w:rsid w:val="00591564"/>
    <w:rsid w:val="0059158D"/>
    <w:rsid w:val="005915D5"/>
    <w:rsid w:val="0059179F"/>
    <w:rsid w:val="005917BE"/>
    <w:rsid w:val="005917CC"/>
    <w:rsid w:val="00591AA9"/>
    <w:rsid w:val="00591BB4"/>
    <w:rsid w:val="00591EC2"/>
    <w:rsid w:val="00592435"/>
    <w:rsid w:val="00592785"/>
    <w:rsid w:val="0059293A"/>
    <w:rsid w:val="00592AA1"/>
    <w:rsid w:val="00592B39"/>
    <w:rsid w:val="00592C09"/>
    <w:rsid w:val="00592D02"/>
    <w:rsid w:val="00592D87"/>
    <w:rsid w:val="00592DC0"/>
    <w:rsid w:val="0059300D"/>
    <w:rsid w:val="0059326E"/>
    <w:rsid w:val="0059327C"/>
    <w:rsid w:val="005933F0"/>
    <w:rsid w:val="00593560"/>
    <w:rsid w:val="005935F6"/>
    <w:rsid w:val="005936FF"/>
    <w:rsid w:val="0059393E"/>
    <w:rsid w:val="0059394C"/>
    <w:rsid w:val="00593A61"/>
    <w:rsid w:val="00593A89"/>
    <w:rsid w:val="00593BE3"/>
    <w:rsid w:val="00593CAF"/>
    <w:rsid w:val="00593E1B"/>
    <w:rsid w:val="00593EAF"/>
    <w:rsid w:val="00593EB7"/>
    <w:rsid w:val="00593FBA"/>
    <w:rsid w:val="0059424D"/>
    <w:rsid w:val="00594325"/>
    <w:rsid w:val="005943B7"/>
    <w:rsid w:val="005943F8"/>
    <w:rsid w:val="0059447D"/>
    <w:rsid w:val="005944B9"/>
    <w:rsid w:val="005944DA"/>
    <w:rsid w:val="005945CC"/>
    <w:rsid w:val="0059471E"/>
    <w:rsid w:val="0059478B"/>
    <w:rsid w:val="0059484D"/>
    <w:rsid w:val="00594900"/>
    <w:rsid w:val="00594904"/>
    <w:rsid w:val="00594911"/>
    <w:rsid w:val="005949B7"/>
    <w:rsid w:val="00594AD7"/>
    <w:rsid w:val="00594CA5"/>
    <w:rsid w:val="00594CBD"/>
    <w:rsid w:val="00594CE2"/>
    <w:rsid w:val="00594F84"/>
    <w:rsid w:val="00594F85"/>
    <w:rsid w:val="005950FC"/>
    <w:rsid w:val="0059516B"/>
    <w:rsid w:val="0059518B"/>
    <w:rsid w:val="00595191"/>
    <w:rsid w:val="00595404"/>
    <w:rsid w:val="00595452"/>
    <w:rsid w:val="00595558"/>
    <w:rsid w:val="00595729"/>
    <w:rsid w:val="00595A20"/>
    <w:rsid w:val="00595BD9"/>
    <w:rsid w:val="00595BFF"/>
    <w:rsid w:val="00595CDB"/>
    <w:rsid w:val="00595DA7"/>
    <w:rsid w:val="00595E56"/>
    <w:rsid w:val="00595E6C"/>
    <w:rsid w:val="0059602F"/>
    <w:rsid w:val="00596057"/>
    <w:rsid w:val="00596287"/>
    <w:rsid w:val="005962A3"/>
    <w:rsid w:val="00596358"/>
    <w:rsid w:val="005963B8"/>
    <w:rsid w:val="005964BF"/>
    <w:rsid w:val="00596558"/>
    <w:rsid w:val="0059660E"/>
    <w:rsid w:val="0059673B"/>
    <w:rsid w:val="0059683F"/>
    <w:rsid w:val="0059686B"/>
    <w:rsid w:val="00596880"/>
    <w:rsid w:val="005969A8"/>
    <w:rsid w:val="005969D6"/>
    <w:rsid w:val="00596AF3"/>
    <w:rsid w:val="00596CF6"/>
    <w:rsid w:val="00596E37"/>
    <w:rsid w:val="00596F4C"/>
    <w:rsid w:val="005970D3"/>
    <w:rsid w:val="00597810"/>
    <w:rsid w:val="00597952"/>
    <w:rsid w:val="00597BEA"/>
    <w:rsid w:val="00597DBB"/>
    <w:rsid w:val="00597FBB"/>
    <w:rsid w:val="005A01BB"/>
    <w:rsid w:val="005A01F1"/>
    <w:rsid w:val="005A0203"/>
    <w:rsid w:val="005A03A3"/>
    <w:rsid w:val="005A0627"/>
    <w:rsid w:val="005A0666"/>
    <w:rsid w:val="005A0868"/>
    <w:rsid w:val="005A08A8"/>
    <w:rsid w:val="005A0955"/>
    <w:rsid w:val="005A0A71"/>
    <w:rsid w:val="005A0B2A"/>
    <w:rsid w:val="005A0B74"/>
    <w:rsid w:val="005A0C05"/>
    <w:rsid w:val="005A100A"/>
    <w:rsid w:val="005A10B8"/>
    <w:rsid w:val="005A1135"/>
    <w:rsid w:val="005A1193"/>
    <w:rsid w:val="005A11E1"/>
    <w:rsid w:val="005A11F2"/>
    <w:rsid w:val="005A126C"/>
    <w:rsid w:val="005A1451"/>
    <w:rsid w:val="005A154E"/>
    <w:rsid w:val="005A1676"/>
    <w:rsid w:val="005A1700"/>
    <w:rsid w:val="005A17A9"/>
    <w:rsid w:val="005A1993"/>
    <w:rsid w:val="005A1B13"/>
    <w:rsid w:val="005A1D41"/>
    <w:rsid w:val="005A1D63"/>
    <w:rsid w:val="005A1E32"/>
    <w:rsid w:val="005A1EED"/>
    <w:rsid w:val="005A1FA7"/>
    <w:rsid w:val="005A2250"/>
    <w:rsid w:val="005A22B3"/>
    <w:rsid w:val="005A231F"/>
    <w:rsid w:val="005A2357"/>
    <w:rsid w:val="005A24F4"/>
    <w:rsid w:val="005A25B3"/>
    <w:rsid w:val="005A26AF"/>
    <w:rsid w:val="005A28CF"/>
    <w:rsid w:val="005A29A5"/>
    <w:rsid w:val="005A2B6E"/>
    <w:rsid w:val="005A2D34"/>
    <w:rsid w:val="005A2E99"/>
    <w:rsid w:val="005A2EBC"/>
    <w:rsid w:val="005A2F51"/>
    <w:rsid w:val="005A3189"/>
    <w:rsid w:val="005A33BC"/>
    <w:rsid w:val="005A3487"/>
    <w:rsid w:val="005A362D"/>
    <w:rsid w:val="005A3711"/>
    <w:rsid w:val="005A37BD"/>
    <w:rsid w:val="005A37CE"/>
    <w:rsid w:val="005A3928"/>
    <w:rsid w:val="005A3962"/>
    <w:rsid w:val="005A39C6"/>
    <w:rsid w:val="005A39CD"/>
    <w:rsid w:val="005A3A6D"/>
    <w:rsid w:val="005A3CD2"/>
    <w:rsid w:val="005A3E48"/>
    <w:rsid w:val="005A3EA2"/>
    <w:rsid w:val="005A3F52"/>
    <w:rsid w:val="005A3F57"/>
    <w:rsid w:val="005A3F60"/>
    <w:rsid w:val="005A4056"/>
    <w:rsid w:val="005A4170"/>
    <w:rsid w:val="005A46B4"/>
    <w:rsid w:val="005A473E"/>
    <w:rsid w:val="005A497B"/>
    <w:rsid w:val="005A4A31"/>
    <w:rsid w:val="005A4A3F"/>
    <w:rsid w:val="005A4AC7"/>
    <w:rsid w:val="005A4AFA"/>
    <w:rsid w:val="005A4B75"/>
    <w:rsid w:val="005A4C2E"/>
    <w:rsid w:val="005A4C9D"/>
    <w:rsid w:val="005A4DC4"/>
    <w:rsid w:val="005A4E6C"/>
    <w:rsid w:val="005A4F16"/>
    <w:rsid w:val="005A5272"/>
    <w:rsid w:val="005A533B"/>
    <w:rsid w:val="005A53D4"/>
    <w:rsid w:val="005A54AE"/>
    <w:rsid w:val="005A56DE"/>
    <w:rsid w:val="005A577B"/>
    <w:rsid w:val="005A583A"/>
    <w:rsid w:val="005A584E"/>
    <w:rsid w:val="005A588B"/>
    <w:rsid w:val="005A595A"/>
    <w:rsid w:val="005A5AA7"/>
    <w:rsid w:val="005A5AC5"/>
    <w:rsid w:val="005A5BD1"/>
    <w:rsid w:val="005A5CD2"/>
    <w:rsid w:val="005A6050"/>
    <w:rsid w:val="005A60FD"/>
    <w:rsid w:val="005A6132"/>
    <w:rsid w:val="005A6325"/>
    <w:rsid w:val="005A6418"/>
    <w:rsid w:val="005A66F9"/>
    <w:rsid w:val="005A67AE"/>
    <w:rsid w:val="005A68C5"/>
    <w:rsid w:val="005A6A81"/>
    <w:rsid w:val="005A6C53"/>
    <w:rsid w:val="005A6D13"/>
    <w:rsid w:val="005A6D92"/>
    <w:rsid w:val="005A6EEA"/>
    <w:rsid w:val="005A6FD1"/>
    <w:rsid w:val="005A70EC"/>
    <w:rsid w:val="005A7106"/>
    <w:rsid w:val="005A7158"/>
    <w:rsid w:val="005A71E3"/>
    <w:rsid w:val="005A724F"/>
    <w:rsid w:val="005A7342"/>
    <w:rsid w:val="005A73BC"/>
    <w:rsid w:val="005A7422"/>
    <w:rsid w:val="005A7458"/>
    <w:rsid w:val="005A74DE"/>
    <w:rsid w:val="005A75C2"/>
    <w:rsid w:val="005A75D9"/>
    <w:rsid w:val="005A79B2"/>
    <w:rsid w:val="005A79BD"/>
    <w:rsid w:val="005A7A63"/>
    <w:rsid w:val="005A7FDF"/>
    <w:rsid w:val="005B0005"/>
    <w:rsid w:val="005B0089"/>
    <w:rsid w:val="005B0204"/>
    <w:rsid w:val="005B02A3"/>
    <w:rsid w:val="005B049C"/>
    <w:rsid w:val="005B04B5"/>
    <w:rsid w:val="005B04DB"/>
    <w:rsid w:val="005B0704"/>
    <w:rsid w:val="005B070B"/>
    <w:rsid w:val="005B077C"/>
    <w:rsid w:val="005B077E"/>
    <w:rsid w:val="005B08D9"/>
    <w:rsid w:val="005B09D6"/>
    <w:rsid w:val="005B0B9F"/>
    <w:rsid w:val="005B0BBB"/>
    <w:rsid w:val="005B0E5B"/>
    <w:rsid w:val="005B0F93"/>
    <w:rsid w:val="005B1024"/>
    <w:rsid w:val="005B10DC"/>
    <w:rsid w:val="005B114B"/>
    <w:rsid w:val="005B1150"/>
    <w:rsid w:val="005B11FF"/>
    <w:rsid w:val="005B122E"/>
    <w:rsid w:val="005B13A9"/>
    <w:rsid w:val="005B1528"/>
    <w:rsid w:val="005B164F"/>
    <w:rsid w:val="005B1660"/>
    <w:rsid w:val="005B1694"/>
    <w:rsid w:val="005B18AE"/>
    <w:rsid w:val="005B1BC6"/>
    <w:rsid w:val="005B1C13"/>
    <w:rsid w:val="005B1C6E"/>
    <w:rsid w:val="005B1E2C"/>
    <w:rsid w:val="005B1EE4"/>
    <w:rsid w:val="005B1F31"/>
    <w:rsid w:val="005B205A"/>
    <w:rsid w:val="005B20D3"/>
    <w:rsid w:val="005B2238"/>
    <w:rsid w:val="005B2646"/>
    <w:rsid w:val="005B2781"/>
    <w:rsid w:val="005B2885"/>
    <w:rsid w:val="005B2903"/>
    <w:rsid w:val="005B29B3"/>
    <w:rsid w:val="005B2AD1"/>
    <w:rsid w:val="005B2AEC"/>
    <w:rsid w:val="005B2BD1"/>
    <w:rsid w:val="005B2BE9"/>
    <w:rsid w:val="005B2D8A"/>
    <w:rsid w:val="005B2DC8"/>
    <w:rsid w:val="005B2E6E"/>
    <w:rsid w:val="005B2F1F"/>
    <w:rsid w:val="005B2FC7"/>
    <w:rsid w:val="005B3158"/>
    <w:rsid w:val="005B3252"/>
    <w:rsid w:val="005B325D"/>
    <w:rsid w:val="005B334F"/>
    <w:rsid w:val="005B3366"/>
    <w:rsid w:val="005B343B"/>
    <w:rsid w:val="005B34F0"/>
    <w:rsid w:val="005B359E"/>
    <w:rsid w:val="005B36E1"/>
    <w:rsid w:val="005B3787"/>
    <w:rsid w:val="005B37A9"/>
    <w:rsid w:val="005B3A24"/>
    <w:rsid w:val="005B3BEB"/>
    <w:rsid w:val="005B3CDC"/>
    <w:rsid w:val="005B3D47"/>
    <w:rsid w:val="005B3D70"/>
    <w:rsid w:val="005B3DF1"/>
    <w:rsid w:val="005B3E06"/>
    <w:rsid w:val="005B3E52"/>
    <w:rsid w:val="005B3EAC"/>
    <w:rsid w:val="005B3FA2"/>
    <w:rsid w:val="005B3FB0"/>
    <w:rsid w:val="005B403C"/>
    <w:rsid w:val="005B409A"/>
    <w:rsid w:val="005B42C6"/>
    <w:rsid w:val="005B42F4"/>
    <w:rsid w:val="005B43D7"/>
    <w:rsid w:val="005B445A"/>
    <w:rsid w:val="005B4640"/>
    <w:rsid w:val="005B4664"/>
    <w:rsid w:val="005B47F1"/>
    <w:rsid w:val="005B4842"/>
    <w:rsid w:val="005B486D"/>
    <w:rsid w:val="005B4A49"/>
    <w:rsid w:val="005B4BA4"/>
    <w:rsid w:val="005B4C26"/>
    <w:rsid w:val="005B4D06"/>
    <w:rsid w:val="005B4D58"/>
    <w:rsid w:val="005B4D62"/>
    <w:rsid w:val="005B4E1E"/>
    <w:rsid w:val="005B4EAE"/>
    <w:rsid w:val="005B4F2B"/>
    <w:rsid w:val="005B505F"/>
    <w:rsid w:val="005B5090"/>
    <w:rsid w:val="005B50DC"/>
    <w:rsid w:val="005B5175"/>
    <w:rsid w:val="005B518F"/>
    <w:rsid w:val="005B52A9"/>
    <w:rsid w:val="005B5498"/>
    <w:rsid w:val="005B54A7"/>
    <w:rsid w:val="005B54CC"/>
    <w:rsid w:val="005B56C3"/>
    <w:rsid w:val="005B57F4"/>
    <w:rsid w:val="005B5852"/>
    <w:rsid w:val="005B58CB"/>
    <w:rsid w:val="005B5915"/>
    <w:rsid w:val="005B596B"/>
    <w:rsid w:val="005B59C1"/>
    <w:rsid w:val="005B5A01"/>
    <w:rsid w:val="005B5A21"/>
    <w:rsid w:val="005B5BA0"/>
    <w:rsid w:val="005B5C86"/>
    <w:rsid w:val="005B5D46"/>
    <w:rsid w:val="005B5F40"/>
    <w:rsid w:val="005B606B"/>
    <w:rsid w:val="005B60A4"/>
    <w:rsid w:val="005B6391"/>
    <w:rsid w:val="005B6473"/>
    <w:rsid w:val="005B64C9"/>
    <w:rsid w:val="005B656F"/>
    <w:rsid w:val="005B657B"/>
    <w:rsid w:val="005B6606"/>
    <w:rsid w:val="005B679F"/>
    <w:rsid w:val="005B68EB"/>
    <w:rsid w:val="005B6937"/>
    <w:rsid w:val="005B6984"/>
    <w:rsid w:val="005B6C21"/>
    <w:rsid w:val="005B6C39"/>
    <w:rsid w:val="005B6C81"/>
    <w:rsid w:val="005B6DBC"/>
    <w:rsid w:val="005B6DEF"/>
    <w:rsid w:val="005B6E4B"/>
    <w:rsid w:val="005B6EA5"/>
    <w:rsid w:val="005B6F42"/>
    <w:rsid w:val="005B714C"/>
    <w:rsid w:val="005B724E"/>
    <w:rsid w:val="005B7389"/>
    <w:rsid w:val="005B73DA"/>
    <w:rsid w:val="005B74A2"/>
    <w:rsid w:val="005B7556"/>
    <w:rsid w:val="005B758E"/>
    <w:rsid w:val="005B7602"/>
    <w:rsid w:val="005B76EE"/>
    <w:rsid w:val="005B77BE"/>
    <w:rsid w:val="005B798E"/>
    <w:rsid w:val="005B7AFC"/>
    <w:rsid w:val="005B7BB8"/>
    <w:rsid w:val="005B7C5D"/>
    <w:rsid w:val="005B7D92"/>
    <w:rsid w:val="005B7E5C"/>
    <w:rsid w:val="005B7E68"/>
    <w:rsid w:val="005C0152"/>
    <w:rsid w:val="005C01D1"/>
    <w:rsid w:val="005C01F6"/>
    <w:rsid w:val="005C01FF"/>
    <w:rsid w:val="005C0216"/>
    <w:rsid w:val="005C0277"/>
    <w:rsid w:val="005C0327"/>
    <w:rsid w:val="005C0336"/>
    <w:rsid w:val="005C0592"/>
    <w:rsid w:val="005C0643"/>
    <w:rsid w:val="005C065F"/>
    <w:rsid w:val="005C073F"/>
    <w:rsid w:val="005C0792"/>
    <w:rsid w:val="005C0829"/>
    <w:rsid w:val="005C0903"/>
    <w:rsid w:val="005C0CDA"/>
    <w:rsid w:val="005C0D14"/>
    <w:rsid w:val="005C0F97"/>
    <w:rsid w:val="005C108A"/>
    <w:rsid w:val="005C10B9"/>
    <w:rsid w:val="005C11FF"/>
    <w:rsid w:val="005C1461"/>
    <w:rsid w:val="005C14B2"/>
    <w:rsid w:val="005C14CC"/>
    <w:rsid w:val="005C1583"/>
    <w:rsid w:val="005C165A"/>
    <w:rsid w:val="005C179F"/>
    <w:rsid w:val="005C18EC"/>
    <w:rsid w:val="005C1AC9"/>
    <w:rsid w:val="005C1BD2"/>
    <w:rsid w:val="005C1BE1"/>
    <w:rsid w:val="005C1D3C"/>
    <w:rsid w:val="005C1E30"/>
    <w:rsid w:val="005C1EBB"/>
    <w:rsid w:val="005C1F16"/>
    <w:rsid w:val="005C2391"/>
    <w:rsid w:val="005C258F"/>
    <w:rsid w:val="005C26B3"/>
    <w:rsid w:val="005C26C3"/>
    <w:rsid w:val="005C2913"/>
    <w:rsid w:val="005C2976"/>
    <w:rsid w:val="005C2A14"/>
    <w:rsid w:val="005C2A2C"/>
    <w:rsid w:val="005C2A69"/>
    <w:rsid w:val="005C2BEE"/>
    <w:rsid w:val="005C2C2F"/>
    <w:rsid w:val="005C2C6B"/>
    <w:rsid w:val="005C2DFB"/>
    <w:rsid w:val="005C2E53"/>
    <w:rsid w:val="005C2EF8"/>
    <w:rsid w:val="005C2FEB"/>
    <w:rsid w:val="005C316A"/>
    <w:rsid w:val="005C3271"/>
    <w:rsid w:val="005C3394"/>
    <w:rsid w:val="005C3537"/>
    <w:rsid w:val="005C3647"/>
    <w:rsid w:val="005C3804"/>
    <w:rsid w:val="005C3849"/>
    <w:rsid w:val="005C3876"/>
    <w:rsid w:val="005C388A"/>
    <w:rsid w:val="005C3A30"/>
    <w:rsid w:val="005C3C27"/>
    <w:rsid w:val="005C3CEF"/>
    <w:rsid w:val="005C3EF2"/>
    <w:rsid w:val="005C40EE"/>
    <w:rsid w:val="005C414D"/>
    <w:rsid w:val="005C4292"/>
    <w:rsid w:val="005C42B6"/>
    <w:rsid w:val="005C44D8"/>
    <w:rsid w:val="005C462C"/>
    <w:rsid w:val="005C4636"/>
    <w:rsid w:val="005C463D"/>
    <w:rsid w:val="005C46FC"/>
    <w:rsid w:val="005C485F"/>
    <w:rsid w:val="005C486E"/>
    <w:rsid w:val="005C493F"/>
    <w:rsid w:val="005C4956"/>
    <w:rsid w:val="005C4B6F"/>
    <w:rsid w:val="005C4C29"/>
    <w:rsid w:val="005C4DF2"/>
    <w:rsid w:val="005C4FE8"/>
    <w:rsid w:val="005C5060"/>
    <w:rsid w:val="005C5075"/>
    <w:rsid w:val="005C50E0"/>
    <w:rsid w:val="005C5221"/>
    <w:rsid w:val="005C5246"/>
    <w:rsid w:val="005C5284"/>
    <w:rsid w:val="005C529D"/>
    <w:rsid w:val="005C55CD"/>
    <w:rsid w:val="005C55EC"/>
    <w:rsid w:val="005C560B"/>
    <w:rsid w:val="005C5831"/>
    <w:rsid w:val="005C595C"/>
    <w:rsid w:val="005C5993"/>
    <w:rsid w:val="005C5A6F"/>
    <w:rsid w:val="005C5A94"/>
    <w:rsid w:val="005C5AB9"/>
    <w:rsid w:val="005C5DB4"/>
    <w:rsid w:val="005C5DE4"/>
    <w:rsid w:val="005C5E5F"/>
    <w:rsid w:val="005C5FC1"/>
    <w:rsid w:val="005C60DB"/>
    <w:rsid w:val="005C61BA"/>
    <w:rsid w:val="005C621B"/>
    <w:rsid w:val="005C6228"/>
    <w:rsid w:val="005C6252"/>
    <w:rsid w:val="005C65E8"/>
    <w:rsid w:val="005C6617"/>
    <w:rsid w:val="005C69C2"/>
    <w:rsid w:val="005C6A32"/>
    <w:rsid w:val="005C6B35"/>
    <w:rsid w:val="005C6B42"/>
    <w:rsid w:val="005C6D26"/>
    <w:rsid w:val="005C6D72"/>
    <w:rsid w:val="005C6EE5"/>
    <w:rsid w:val="005C6FC9"/>
    <w:rsid w:val="005C7101"/>
    <w:rsid w:val="005C74AA"/>
    <w:rsid w:val="005C74FE"/>
    <w:rsid w:val="005C75AF"/>
    <w:rsid w:val="005C773C"/>
    <w:rsid w:val="005C7795"/>
    <w:rsid w:val="005C79FF"/>
    <w:rsid w:val="005C7A9C"/>
    <w:rsid w:val="005C7E78"/>
    <w:rsid w:val="005C7F2C"/>
    <w:rsid w:val="005C7FC2"/>
    <w:rsid w:val="005C7FDF"/>
    <w:rsid w:val="005C7FE9"/>
    <w:rsid w:val="005D01B7"/>
    <w:rsid w:val="005D01DC"/>
    <w:rsid w:val="005D02C4"/>
    <w:rsid w:val="005D02CE"/>
    <w:rsid w:val="005D03E3"/>
    <w:rsid w:val="005D05AB"/>
    <w:rsid w:val="005D0667"/>
    <w:rsid w:val="005D069E"/>
    <w:rsid w:val="005D0733"/>
    <w:rsid w:val="005D0806"/>
    <w:rsid w:val="005D0811"/>
    <w:rsid w:val="005D08EE"/>
    <w:rsid w:val="005D098E"/>
    <w:rsid w:val="005D09CB"/>
    <w:rsid w:val="005D09DD"/>
    <w:rsid w:val="005D0A88"/>
    <w:rsid w:val="005D0A90"/>
    <w:rsid w:val="005D0CF7"/>
    <w:rsid w:val="005D0DCD"/>
    <w:rsid w:val="005D0EEC"/>
    <w:rsid w:val="005D0FB1"/>
    <w:rsid w:val="005D1010"/>
    <w:rsid w:val="005D1018"/>
    <w:rsid w:val="005D115E"/>
    <w:rsid w:val="005D12EA"/>
    <w:rsid w:val="005D1431"/>
    <w:rsid w:val="005D1501"/>
    <w:rsid w:val="005D15AD"/>
    <w:rsid w:val="005D15CB"/>
    <w:rsid w:val="005D1709"/>
    <w:rsid w:val="005D172E"/>
    <w:rsid w:val="005D17A7"/>
    <w:rsid w:val="005D190A"/>
    <w:rsid w:val="005D19EB"/>
    <w:rsid w:val="005D1BD4"/>
    <w:rsid w:val="005D1BF5"/>
    <w:rsid w:val="005D1D82"/>
    <w:rsid w:val="005D1DC7"/>
    <w:rsid w:val="005D1DFB"/>
    <w:rsid w:val="005D1E01"/>
    <w:rsid w:val="005D1E25"/>
    <w:rsid w:val="005D20F0"/>
    <w:rsid w:val="005D23AD"/>
    <w:rsid w:val="005D24ED"/>
    <w:rsid w:val="005D2514"/>
    <w:rsid w:val="005D2609"/>
    <w:rsid w:val="005D277E"/>
    <w:rsid w:val="005D2881"/>
    <w:rsid w:val="005D2965"/>
    <w:rsid w:val="005D298F"/>
    <w:rsid w:val="005D29E0"/>
    <w:rsid w:val="005D2BDD"/>
    <w:rsid w:val="005D2C78"/>
    <w:rsid w:val="005D2F6D"/>
    <w:rsid w:val="005D2F80"/>
    <w:rsid w:val="005D3029"/>
    <w:rsid w:val="005D3030"/>
    <w:rsid w:val="005D31B4"/>
    <w:rsid w:val="005D33B7"/>
    <w:rsid w:val="005D3413"/>
    <w:rsid w:val="005D3485"/>
    <w:rsid w:val="005D3516"/>
    <w:rsid w:val="005D35B7"/>
    <w:rsid w:val="005D3973"/>
    <w:rsid w:val="005D3CC2"/>
    <w:rsid w:val="005D3F4D"/>
    <w:rsid w:val="005D3FA1"/>
    <w:rsid w:val="005D4031"/>
    <w:rsid w:val="005D40BA"/>
    <w:rsid w:val="005D40D0"/>
    <w:rsid w:val="005D4160"/>
    <w:rsid w:val="005D4271"/>
    <w:rsid w:val="005D4303"/>
    <w:rsid w:val="005D4312"/>
    <w:rsid w:val="005D451B"/>
    <w:rsid w:val="005D460A"/>
    <w:rsid w:val="005D4938"/>
    <w:rsid w:val="005D4AF6"/>
    <w:rsid w:val="005D4DCB"/>
    <w:rsid w:val="005D4E52"/>
    <w:rsid w:val="005D4F60"/>
    <w:rsid w:val="005D511B"/>
    <w:rsid w:val="005D5281"/>
    <w:rsid w:val="005D5339"/>
    <w:rsid w:val="005D5365"/>
    <w:rsid w:val="005D5488"/>
    <w:rsid w:val="005D589A"/>
    <w:rsid w:val="005D59FA"/>
    <w:rsid w:val="005D5AF6"/>
    <w:rsid w:val="005D5BBE"/>
    <w:rsid w:val="005D5CCF"/>
    <w:rsid w:val="005D5CE1"/>
    <w:rsid w:val="005D5D02"/>
    <w:rsid w:val="005D5E19"/>
    <w:rsid w:val="005D5E7C"/>
    <w:rsid w:val="005D6040"/>
    <w:rsid w:val="005D6233"/>
    <w:rsid w:val="005D6323"/>
    <w:rsid w:val="005D638B"/>
    <w:rsid w:val="005D66C6"/>
    <w:rsid w:val="005D6700"/>
    <w:rsid w:val="005D6751"/>
    <w:rsid w:val="005D67FD"/>
    <w:rsid w:val="005D691C"/>
    <w:rsid w:val="005D6B31"/>
    <w:rsid w:val="005D6C90"/>
    <w:rsid w:val="005D6CE3"/>
    <w:rsid w:val="005D6F24"/>
    <w:rsid w:val="005D701C"/>
    <w:rsid w:val="005D7062"/>
    <w:rsid w:val="005D7092"/>
    <w:rsid w:val="005D719D"/>
    <w:rsid w:val="005D75FD"/>
    <w:rsid w:val="005D78AB"/>
    <w:rsid w:val="005D799D"/>
    <w:rsid w:val="005D79C5"/>
    <w:rsid w:val="005D7A68"/>
    <w:rsid w:val="005D7A6D"/>
    <w:rsid w:val="005D7AF4"/>
    <w:rsid w:val="005D7B08"/>
    <w:rsid w:val="005D7E5D"/>
    <w:rsid w:val="005E0074"/>
    <w:rsid w:val="005E0257"/>
    <w:rsid w:val="005E02C1"/>
    <w:rsid w:val="005E03DA"/>
    <w:rsid w:val="005E0421"/>
    <w:rsid w:val="005E042B"/>
    <w:rsid w:val="005E076F"/>
    <w:rsid w:val="005E078D"/>
    <w:rsid w:val="005E07F9"/>
    <w:rsid w:val="005E0869"/>
    <w:rsid w:val="005E095A"/>
    <w:rsid w:val="005E0977"/>
    <w:rsid w:val="005E0A4E"/>
    <w:rsid w:val="005E0AB5"/>
    <w:rsid w:val="005E0C87"/>
    <w:rsid w:val="005E0CBE"/>
    <w:rsid w:val="005E0DC4"/>
    <w:rsid w:val="005E0FCE"/>
    <w:rsid w:val="005E113D"/>
    <w:rsid w:val="005E1319"/>
    <w:rsid w:val="005E138C"/>
    <w:rsid w:val="005E1450"/>
    <w:rsid w:val="005E155B"/>
    <w:rsid w:val="005E15F1"/>
    <w:rsid w:val="005E1628"/>
    <w:rsid w:val="005E1631"/>
    <w:rsid w:val="005E165C"/>
    <w:rsid w:val="005E177B"/>
    <w:rsid w:val="005E178D"/>
    <w:rsid w:val="005E1884"/>
    <w:rsid w:val="005E1897"/>
    <w:rsid w:val="005E1971"/>
    <w:rsid w:val="005E1A8B"/>
    <w:rsid w:val="005E1B86"/>
    <w:rsid w:val="005E1C99"/>
    <w:rsid w:val="005E1CA3"/>
    <w:rsid w:val="005E1D1B"/>
    <w:rsid w:val="005E1EBD"/>
    <w:rsid w:val="005E1F05"/>
    <w:rsid w:val="005E1FD1"/>
    <w:rsid w:val="005E201D"/>
    <w:rsid w:val="005E22A1"/>
    <w:rsid w:val="005E22B2"/>
    <w:rsid w:val="005E233A"/>
    <w:rsid w:val="005E23A5"/>
    <w:rsid w:val="005E25A6"/>
    <w:rsid w:val="005E263F"/>
    <w:rsid w:val="005E28F0"/>
    <w:rsid w:val="005E2A56"/>
    <w:rsid w:val="005E2B10"/>
    <w:rsid w:val="005E2BF2"/>
    <w:rsid w:val="005E2C07"/>
    <w:rsid w:val="005E2C5E"/>
    <w:rsid w:val="005E2D9E"/>
    <w:rsid w:val="005E2E27"/>
    <w:rsid w:val="005E2E7B"/>
    <w:rsid w:val="005E2EDD"/>
    <w:rsid w:val="005E3012"/>
    <w:rsid w:val="005E311C"/>
    <w:rsid w:val="005E31A6"/>
    <w:rsid w:val="005E31EA"/>
    <w:rsid w:val="005E3237"/>
    <w:rsid w:val="005E3323"/>
    <w:rsid w:val="005E33E7"/>
    <w:rsid w:val="005E353D"/>
    <w:rsid w:val="005E3543"/>
    <w:rsid w:val="005E3544"/>
    <w:rsid w:val="005E3552"/>
    <w:rsid w:val="005E35D6"/>
    <w:rsid w:val="005E35FF"/>
    <w:rsid w:val="005E3982"/>
    <w:rsid w:val="005E3C07"/>
    <w:rsid w:val="005E3CCF"/>
    <w:rsid w:val="005E3D20"/>
    <w:rsid w:val="005E411D"/>
    <w:rsid w:val="005E4160"/>
    <w:rsid w:val="005E41DA"/>
    <w:rsid w:val="005E44D4"/>
    <w:rsid w:val="005E45C2"/>
    <w:rsid w:val="005E4814"/>
    <w:rsid w:val="005E4965"/>
    <w:rsid w:val="005E4A5C"/>
    <w:rsid w:val="005E4A99"/>
    <w:rsid w:val="005E4A9E"/>
    <w:rsid w:val="005E4D41"/>
    <w:rsid w:val="005E4E6B"/>
    <w:rsid w:val="005E4E73"/>
    <w:rsid w:val="005E4E7C"/>
    <w:rsid w:val="005E4EE8"/>
    <w:rsid w:val="005E4F89"/>
    <w:rsid w:val="005E5002"/>
    <w:rsid w:val="005E5007"/>
    <w:rsid w:val="005E52EE"/>
    <w:rsid w:val="005E55C6"/>
    <w:rsid w:val="005E56E1"/>
    <w:rsid w:val="005E57DD"/>
    <w:rsid w:val="005E5959"/>
    <w:rsid w:val="005E597B"/>
    <w:rsid w:val="005E5A48"/>
    <w:rsid w:val="005E5C3C"/>
    <w:rsid w:val="005E5E05"/>
    <w:rsid w:val="005E5E7E"/>
    <w:rsid w:val="005E5F7A"/>
    <w:rsid w:val="005E6027"/>
    <w:rsid w:val="005E6055"/>
    <w:rsid w:val="005E6092"/>
    <w:rsid w:val="005E624A"/>
    <w:rsid w:val="005E6363"/>
    <w:rsid w:val="005E6385"/>
    <w:rsid w:val="005E647C"/>
    <w:rsid w:val="005E64B4"/>
    <w:rsid w:val="005E6504"/>
    <w:rsid w:val="005E669F"/>
    <w:rsid w:val="005E66CB"/>
    <w:rsid w:val="005E66EC"/>
    <w:rsid w:val="005E6794"/>
    <w:rsid w:val="005E67AE"/>
    <w:rsid w:val="005E69B7"/>
    <w:rsid w:val="005E6A0F"/>
    <w:rsid w:val="005E6A4A"/>
    <w:rsid w:val="005E6BF8"/>
    <w:rsid w:val="005E6C01"/>
    <w:rsid w:val="005E6C7F"/>
    <w:rsid w:val="005E6CEB"/>
    <w:rsid w:val="005E6D4A"/>
    <w:rsid w:val="005E6E03"/>
    <w:rsid w:val="005E6E06"/>
    <w:rsid w:val="005E7060"/>
    <w:rsid w:val="005E70CC"/>
    <w:rsid w:val="005E7182"/>
    <w:rsid w:val="005E71ED"/>
    <w:rsid w:val="005E73D6"/>
    <w:rsid w:val="005E7509"/>
    <w:rsid w:val="005E7618"/>
    <w:rsid w:val="005E777E"/>
    <w:rsid w:val="005E78EA"/>
    <w:rsid w:val="005E7A59"/>
    <w:rsid w:val="005E7AA7"/>
    <w:rsid w:val="005E7B92"/>
    <w:rsid w:val="005E7CDF"/>
    <w:rsid w:val="005E7D86"/>
    <w:rsid w:val="005E7DED"/>
    <w:rsid w:val="005E7E61"/>
    <w:rsid w:val="005E7F12"/>
    <w:rsid w:val="005E7FD1"/>
    <w:rsid w:val="005F01B9"/>
    <w:rsid w:val="005F0215"/>
    <w:rsid w:val="005F0365"/>
    <w:rsid w:val="005F037E"/>
    <w:rsid w:val="005F04AD"/>
    <w:rsid w:val="005F0506"/>
    <w:rsid w:val="005F08FC"/>
    <w:rsid w:val="005F09BC"/>
    <w:rsid w:val="005F0B45"/>
    <w:rsid w:val="005F0B4F"/>
    <w:rsid w:val="005F0C11"/>
    <w:rsid w:val="005F0E70"/>
    <w:rsid w:val="005F0E98"/>
    <w:rsid w:val="005F0F35"/>
    <w:rsid w:val="005F10EC"/>
    <w:rsid w:val="005F116C"/>
    <w:rsid w:val="005F122D"/>
    <w:rsid w:val="005F12D0"/>
    <w:rsid w:val="005F134B"/>
    <w:rsid w:val="005F1489"/>
    <w:rsid w:val="005F1565"/>
    <w:rsid w:val="005F16AE"/>
    <w:rsid w:val="005F1861"/>
    <w:rsid w:val="005F187C"/>
    <w:rsid w:val="005F1881"/>
    <w:rsid w:val="005F19B8"/>
    <w:rsid w:val="005F19DF"/>
    <w:rsid w:val="005F1F97"/>
    <w:rsid w:val="005F210B"/>
    <w:rsid w:val="005F2242"/>
    <w:rsid w:val="005F2344"/>
    <w:rsid w:val="005F23FC"/>
    <w:rsid w:val="005F2453"/>
    <w:rsid w:val="005F245E"/>
    <w:rsid w:val="005F2564"/>
    <w:rsid w:val="005F267C"/>
    <w:rsid w:val="005F26CC"/>
    <w:rsid w:val="005F2855"/>
    <w:rsid w:val="005F28D5"/>
    <w:rsid w:val="005F28FB"/>
    <w:rsid w:val="005F2A66"/>
    <w:rsid w:val="005F2A6D"/>
    <w:rsid w:val="005F2B00"/>
    <w:rsid w:val="005F2C92"/>
    <w:rsid w:val="005F2DB6"/>
    <w:rsid w:val="005F2E55"/>
    <w:rsid w:val="005F3189"/>
    <w:rsid w:val="005F3194"/>
    <w:rsid w:val="005F31F8"/>
    <w:rsid w:val="005F3277"/>
    <w:rsid w:val="005F3311"/>
    <w:rsid w:val="005F3313"/>
    <w:rsid w:val="005F3359"/>
    <w:rsid w:val="005F338E"/>
    <w:rsid w:val="005F347D"/>
    <w:rsid w:val="005F34F0"/>
    <w:rsid w:val="005F3543"/>
    <w:rsid w:val="005F3833"/>
    <w:rsid w:val="005F3A45"/>
    <w:rsid w:val="005F3A78"/>
    <w:rsid w:val="005F3DB5"/>
    <w:rsid w:val="005F3F26"/>
    <w:rsid w:val="005F3F31"/>
    <w:rsid w:val="005F40AA"/>
    <w:rsid w:val="005F42EA"/>
    <w:rsid w:val="005F4450"/>
    <w:rsid w:val="005F450C"/>
    <w:rsid w:val="005F4AC9"/>
    <w:rsid w:val="005F4B86"/>
    <w:rsid w:val="005F4D85"/>
    <w:rsid w:val="005F4E71"/>
    <w:rsid w:val="005F4EFB"/>
    <w:rsid w:val="005F4FE3"/>
    <w:rsid w:val="005F54D5"/>
    <w:rsid w:val="005F55FE"/>
    <w:rsid w:val="005F57B5"/>
    <w:rsid w:val="005F59D1"/>
    <w:rsid w:val="005F5A22"/>
    <w:rsid w:val="005F5BBC"/>
    <w:rsid w:val="005F5CB5"/>
    <w:rsid w:val="005F5D19"/>
    <w:rsid w:val="005F5DF7"/>
    <w:rsid w:val="005F5E17"/>
    <w:rsid w:val="005F5F63"/>
    <w:rsid w:val="005F5F95"/>
    <w:rsid w:val="005F6140"/>
    <w:rsid w:val="005F625A"/>
    <w:rsid w:val="005F632B"/>
    <w:rsid w:val="005F6453"/>
    <w:rsid w:val="005F6504"/>
    <w:rsid w:val="005F6507"/>
    <w:rsid w:val="005F6508"/>
    <w:rsid w:val="005F65D5"/>
    <w:rsid w:val="005F6633"/>
    <w:rsid w:val="005F6645"/>
    <w:rsid w:val="005F6C1C"/>
    <w:rsid w:val="005F6DAE"/>
    <w:rsid w:val="005F6DE2"/>
    <w:rsid w:val="005F6E10"/>
    <w:rsid w:val="005F6EB7"/>
    <w:rsid w:val="005F6F15"/>
    <w:rsid w:val="005F71A4"/>
    <w:rsid w:val="005F72B2"/>
    <w:rsid w:val="005F731F"/>
    <w:rsid w:val="005F746B"/>
    <w:rsid w:val="005F7533"/>
    <w:rsid w:val="005F7739"/>
    <w:rsid w:val="005F7748"/>
    <w:rsid w:val="005F7940"/>
    <w:rsid w:val="005F7AA7"/>
    <w:rsid w:val="005F7AD3"/>
    <w:rsid w:val="005F7AF9"/>
    <w:rsid w:val="005F7C97"/>
    <w:rsid w:val="005F7D15"/>
    <w:rsid w:val="005F7F6E"/>
    <w:rsid w:val="005F7F85"/>
    <w:rsid w:val="00600019"/>
    <w:rsid w:val="006000A8"/>
    <w:rsid w:val="006001BE"/>
    <w:rsid w:val="00600450"/>
    <w:rsid w:val="0060062E"/>
    <w:rsid w:val="0060065A"/>
    <w:rsid w:val="00600682"/>
    <w:rsid w:val="00600684"/>
    <w:rsid w:val="006006D3"/>
    <w:rsid w:val="006006FC"/>
    <w:rsid w:val="006007BC"/>
    <w:rsid w:val="006008BA"/>
    <w:rsid w:val="00600CD5"/>
    <w:rsid w:val="00600DB8"/>
    <w:rsid w:val="00600DEC"/>
    <w:rsid w:val="00600E19"/>
    <w:rsid w:val="00600E24"/>
    <w:rsid w:val="00600E5E"/>
    <w:rsid w:val="00600F7C"/>
    <w:rsid w:val="006012DC"/>
    <w:rsid w:val="00601455"/>
    <w:rsid w:val="0060161F"/>
    <w:rsid w:val="006017DE"/>
    <w:rsid w:val="006017FA"/>
    <w:rsid w:val="00601904"/>
    <w:rsid w:val="006019D1"/>
    <w:rsid w:val="006019D2"/>
    <w:rsid w:val="00601A0C"/>
    <w:rsid w:val="00601A65"/>
    <w:rsid w:val="00601B73"/>
    <w:rsid w:val="00601D74"/>
    <w:rsid w:val="00601E3D"/>
    <w:rsid w:val="00601F7A"/>
    <w:rsid w:val="00602118"/>
    <w:rsid w:val="0060214B"/>
    <w:rsid w:val="00602325"/>
    <w:rsid w:val="00602465"/>
    <w:rsid w:val="0060252D"/>
    <w:rsid w:val="006025BA"/>
    <w:rsid w:val="006026A1"/>
    <w:rsid w:val="006026C7"/>
    <w:rsid w:val="0060277A"/>
    <w:rsid w:val="00602A78"/>
    <w:rsid w:val="00602D8B"/>
    <w:rsid w:val="00602E43"/>
    <w:rsid w:val="00602E70"/>
    <w:rsid w:val="00602F8E"/>
    <w:rsid w:val="00602FF4"/>
    <w:rsid w:val="00603176"/>
    <w:rsid w:val="0060328A"/>
    <w:rsid w:val="006032FC"/>
    <w:rsid w:val="006034A2"/>
    <w:rsid w:val="0060351B"/>
    <w:rsid w:val="00603689"/>
    <w:rsid w:val="0060389F"/>
    <w:rsid w:val="006038EA"/>
    <w:rsid w:val="0060395C"/>
    <w:rsid w:val="00603A1A"/>
    <w:rsid w:val="00603CE5"/>
    <w:rsid w:val="00603FDA"/>
    <w:rsid w:val="006041EE"/>
    <w:rsid w:val="0060420C"/>
    <w:rsid w:val="006042B0"/>
    <w:rsid w:val="006044A8"/>
    <w:rsid w:val="006044B4"/>
    <w:rsid w:val="0060458E"/>
    <w:rsid w:val="00604644"/>
    <w:rsid w:val="006046B9"/>
    <w:rsid w:val="0060472E"/>
    <w:rsid w:val="00604994"/>
    <w:rsid w:val="006049C0"/>
    <w:rsid w:val="00604A77"/>
    <w:rsid w:val="00604B6E"/>
    <w:rsid w:val="00604B76"/>
    <w:rsid w:val="00604C0D"/>
    <w:rsid w:val="00604C2C"/>
    <w:rsid w:val="00604D8F"/>
    <w:rsid w:val="00604DCC"/>
    <w:rsid w:val="00604E9A"/>
    <w:rsid w:val="00604F4E"/>
    <w:rsid w:val="006050D7"/>
    <w:rsid w:val="00605417"/>
    <w:rsid w:val="0060543F"/>
    <w:rsid w:val="00605452"/>
    <w:rsid w:val="006055EA"/>
    <w:rsid w:val="00605731"/>
    <w:rsid w:val="0060580B"/>
    <w:rsid w:val="0060589E"/>
    <w:rsid w:val="00605D39"/>
    <w:rsid w:val="00605D62"/>
    <w:rsid w:val="00605E1B"/>
    <w:rsid w:val="00605E6A"/>
    <w:rsid w:val="00605F05"/>
    <w:rsid w:val="00606060"/>
    <w:rsid w:val="0060654C"/>
    <w:rsid w:val="00606571"/>
    <w:rsid w:val="006065AD"/>
    <w:rsid w:val="00606678"/>
    <w:rsid w:val="00606718"/>
    <w:rsid w:val="006067FE"/>
    <w:rsid w:val="00606894"/>
    <w:rsid w:val="00606990"/>
    <w:rsid w:val="006069D3"/>
    <w:rsid w:val="00606C0D"/>
    <w:rsid w:val="00606C26"/>
    <w:rsid w:val="00606D66"/>
    <w:rsid w:val="00606E45"/>
    <w:rsid w:val="00607071"/>
    <w:rsid w:val="0060709F"/>
    <w:rsid w:val="0060715B"/>
    <w:rsid w:val="00607278"/>
    <w:rsid w:val="006072E4"/>
    <w:rsid w:val="00607909"/>
    <w:rsid w:val="00607910"/>
    <w:rsid w:val="00607956"/>
    <w:rsid w:val="006079B6"/>
    <w:rsid w:val="00607A75"/>
    <w:rsid w:val="00607B13"/>
    <w:rsid w:val="00607B1B"/>
    <w:rsid w:val="00607B4F"/>
    <w:rsid w:val="00607B75"/>
    <w:rsid w:val="00607C74"/>
    <w:rsid w:val="00607CBB"/>
    <w:rsid w:val="00607CE8"/>
    <w:rsid w:val="00607E22"/>
    <w:rsid w:val="00607E9C"/>
    <w:rsid w:val="00607F8E"/>
    <w:rsid w:val="00607FAB"/>
    <w:rsid w:val="0061004C"/>
    <w:rsid w:val="00610076"/>
    <w:rsid w:val="006103A8"/>
    <w:rsid w:val="00610417"/>
    <w:rsid w:val="0061044E"/>
    <w:rsid w:val="006104BE"/>
    <w:rsid w:val="006104DA"/>
    <w:rsid w:val="0061052C"/>
    <w:rsid w:val="006107CF"/>
    <w:rsid w:val="00610828"/>
    <w:rsid w:val="00610892"/>
    <w:rsid w:val="00610A69"/>
    <w:rsid w:val="00610A6A"/>
    <w:rsid w:val="00610AF4"/>
    <w:rsid w:val="00610B3C"/>
    <w:rsid w:val="00610B90"/>
    <w:rsid w:val="00610BD4"/>
    <w:rsid w:val="00610DBC"/>
    <w:rsid w:val="00610DC1"/>
    <w:rsid w:val="00610E0C"/>
    <w:rsid w:val="0061108C"/>
    <w:rsid w:val="0061132A"/>
    <w:rsid w:val="0061168A"/>
    <w:rsid w:val="0061170F"/>
    <w:rsid w:val="006117BD"/>
    <w:rsid w:val="006117D9"/>
    <w:rsid w:val="0061193B"/>
    <w:rsid w:val="00611946"/>
    <w:rsid w:val="00611A0B"/>
    <w:rsid w:val="00611A57"/>
    <w:rsid w:val="00611CAA"/>
    <w:rsid w:val="00611DC1"/>
    <w:rsid w:val="00611EFF"/>
    <w:rsid w:val="00611F55"/>
    <w:rsid w:val="00611FEF"/>
    <w:rsid w:val="00612091"/>
    <w:rsid w:val="0061219A"/>
    <w:rsid w:val="006121AB"/>
    <w:rsid w:val="006121FD"/>
    <w:rsid w:val="006122EB"/>
    <w:rsid w:val="00612401"/>
    <w:rsid w:val="006125DD"/>
    <w:rsid w:val="00612838"/>
    <w:rsid w:val="006128F6"/>
    <w:rsid w:val="00612906"/>
    <w:rsid w:val="00612A21"/>
    <w:rsid w:val="00612AB9"/>
    <w:rsid w:val="00612C26"/>
    <w:rsid w:val="00612D1E"/>
    <w:rsid w:val="00612D28"/>
    <w:rsid w:val="00612E09"/>
    <w:rsid w:val="0061310A"/>
    <w:rsid w:val="006132E6"/>
    <w:rsid w:val="00613349"/>
    <w:rsid w:val="006133C3"/>
    <w:rsid w:val="006133EC"/>
    <w:rsid w:val="006134F9"/>
    <w:rsid w:val="00613577"/>
    <w:rsid w:val="00613593"/>
    <w:rsid w:val="006135C7"/>
    <w:rsid w:val="00613630"/>
    <w:rsid w:val="00613649"/>
    <w:rsid w:val="006137FD"/>
    <w:rsid w:val="00613A51"/>
    <w:rsid w:val="00613D70"/>
    <w:rsid w:val="006140BA"/>
    <w:rsid w:val="006140F3"/>
    <w:rsid w:val="00614106"/>
    <w:rsid w:val="00614256"/>
    <w:rsid w:val="006143AB"/>
    <w:rsid w:val="006144BA"/>
    <w:rsid w:val="00614676"/>
    <w:rsid w:val="00614687"/>
    <w:rsid w:val="0061479D"/>
    <w:rsid w:val="006149C9"/>
    <w:rsid w:val="00614A82"/>
    <w:rsid w:val="00614BFC"/>
    <w:rsid w:val="00614C43"/>
    <w:rsid w:val="00614CF8"/>
    <w:rsid w:val="00614D70"/>
    <w:rsid w:val="00614F01"/>
    <w:rsid w:val="00614FAB"/>
    <w:rsid w:val="00615006"/>
    <w:rsid w:val="00615208"/>
    <w:rsid w:val="0061531F"/>
    <w:rsid w:val="0061545B"/>
    <w:rsid w:val="006154A3"/>
    <w:rsid w:val="006154F9"/>
    <w:rsid w:val="00615599"/>
    <w:rsid w:val="00615688"/>
    <w:rsid w:val="006156F2"/>
    <w:rsid w:val="0061570B"/>
    <w:rsid w:val="0061574C"/>
    <w:rsid w:val="006157E6"/>
    <w:rsid w:val="006158B6"/>
    <w:rsid w:val="00615936"/>
    <w:rsid w:val="00615B13"/>
    <w:rsid w:val="00615CF4"/>
    <w:rsid w:val="00615D44"/>
    <w:rsid w:val="00615E09"/>
    <w:rsid w:val="00615E6C"/>
    <w:rsid w:val="00615E80"/>
    <w:rsid w:val="00615F8B"/>
    <w:rsid w:val="00615F99"/>
    <w:rsid w:val="00616047"/>
    <w:rsid w:val="00616077"/>
    <w:rsid w:val="0061609F"/>
    <w:rsid w:val="00616100"/>
    <w:rsid w:val="006163AD"/>
    <w:rsid w:val="0061645F"/>
    <w:rsid w:val="006164A6"/>
    <w:rsid w:val="00616522"/>
    <w:rsid w:val="00616525"/>
    <w:rsid w:val="006167A2"/>
    <w:rsid w:val="0061681D"/>
    <w:rsid w:val="00616826"/>
    <w:rsid w:val="00616914"/>
    <w:rsid w:val="00616A76"/>
    <w:rsid w:val="00616A84"/>
    <w:rsid w:val="00616B0D"/>
    <w:rsid w:val="00616C70"/>
    <w:rsid w:val="00616C75"/>
    <w:rsid w:val="00616CCA"/>
    <w:rsid w:val="00616CFA"/>
    <w:rsid w:val="00616D84"/>
    <w:rsid w:val="00616DDA"/>
    <w:rsid w:val="00616EFF"/>
    <w:rsid w:val="00617192"/>
    <w:rsid w:val="0061726A"/>
    <w:rsid w:val="00617360"/>
    <w:rsid w:val="00617396"/>
    <w:rsid w:val="0061751E"/>
    <w:rsid w:val="006175A1"/>
    <w:rsid w:val="0061780B"/>
    <w:rsid w:val="006178E0"/>
    <w:rsid w:val="00617A87"/>
    <w:rsid w:val="00617AED"/>
    <w:rsid w:val="00617C18"/>
    <w:rsid w:val="00617EE7"/>
    <w:rsid w:val="00620052"/>
    <w:rsid w:val="00620380"/>
    <w:rsid w:val="00620511"/>
    <w:rsid w:val="00620587"/>
    <w:rsid w:val="00620836"/>
    <w:rsid w:val="00620A3F"/>
    <w:rsid w:val="00620A59"/>
    <w:rsid w:val="00620B6E"/>
    <w:rsid w:val="00620CA2"/>
    <w:rsid w:val="00620E11"/>
    <w:rsid w:val="00621007"/>
    <w:rsid w:val="006210A9"/>
    <w:rsid w:val="0062127A"/>
    <w:rsid w:val="00621496"/>
    <w:rsid w:val="006214CA"/>
    <w:rsid w:val="006214E8"/>
    <w:rsid w:val="00621795"/>
    <w:rsid w:val="006218D0"/>
    <w:rsid w:val="0062198B"/>
    <w:rsid w:val="00621AB3"/>
    <w:rsid w:val="00621AD0"/>
    <w:rsid w:val="00621AE3"/>
    <w:rsid w:val="00621C39"/>
    <w:rsid w:val="00621C4F"/>
    <w:rsid w:val="00621CE4"/>
    <w:rsid w:val="00621D49"/>
    <w:rsid w:val="00621DA7"/>
    <w:rsid w:val="00621FF6"/>
    <w:rsid w:val="0062207F"/>
    <w:rsid w:val="00622286"/>
    <w:rsid w:val="00622532"/>
    <w:rsid w:val="00622623"/>
    <w:rsid w:val="0062279B"/>
    <w:rsid w:val="00622CB0"/>
    <w:rsid w:val="00622E81"/>
    <w:rsid w:val="00622EBE"/>
    <w:rsid w:val="00622F3D"/>
    <w:rsid w:val="00622F59"/>
    <w:rsid w:val="00623033"/>
    <w:rsid w:val="00623061"/>
    <w:rsid w:val="006230DB"/>
    <w:rsid w:val="006231F4"/>
    <w:rsid w:val="006233AB"/>
    <w:rsid w:val="00623436"/>
    <w:rsid w:val="0062355E"/>
    <w:rsid w:val="00623601"/>
    <w:rsid w:val="00623694"/>
    <w:rsid w:val="006236AD"/>
    <w:rsid w:val="006236FB"/>
    <w:rsid w:val="0062379E"/>
    <w:rsid w:val="00623B4C"/>
    <w:rsid w:val="00623B5E"/>
    <w:rsid w:val="00623F20"/>
    <w:rsid w:val="00623F8C"/>
    <w:rsid w:val="0062414A"/>
    <w:rsid w:val="006241EE"/>
    <w:rsid w:val="00624418"/>
    <w:rsid w:val="00624537"/>
    <w:rsid w:val="00624717"/>
    <w:rsid w:val="00624722"/>
    <w:rsid w:val="00624979"/>
    <w:rsid w:val="00624A18"/>
    <w:rsid w:val="00624B81"/>
    <w:rsid w:val="00624CB5"/>
    <w:rsid w:val="00624EAD"/>
    <w:rsid w:val="00625121"/>
    <w:rsid w:val="006251D6"/>
    <w:rsid w:val="006252CE"/>
    <w:rsid w:val="006255A9"/>
    <w:rsid w:val="00625677"/>
    <w:rsid w:val="00625755"/>
    <w:rsid w:val="006257EE"/>
    <w:rsid w:val="00625927"/>
    <w:rsid w:val="006259A2"/>
    <w:rsid w:val="006259BE"/>
    <w:rsid w:val="00625A45"/>
    <w:rsid w:val="00625B91"/>
    <w:rsid w:val="00625BBF"/>
    <w:rsid w:val="00625BC1"/>
    <w:rsid w:val="00625C50"/>
    <w:rsid w:val="00625C81"/>
    <w:rsid w:val="00625D96"/>
    <w:rsid w:val="00625E30"/>
    <w:rsid w:val="00625E7D"/>
    <w:rsid w:val="00625EE2"/>
    <w:rsid w:val="006261C6"/>
    <w:rsid w:val="006261E6"/>
    <w:rsid w:val="00626234"/>
    <w:rsid w:val="0062625E"/>
    <w:rsid w:val="006262B5"/>
    <w:rsid w:val="006262CF"/>
    <w:rsid w:val="00626366"/>
    <w:rsid w:val="00626463"/>
    <w:rsid w:val="006265B7"/>
    <w:rsid w:val="0062660E"/>
    <w:rsid w:val="0062672E"/>
    <w:rsid w:val="0062685D"/>
    <w:rsid w:val="0062697B"/>
    <w:rsid w:val="006269AC"/>
    <w:rsid w:val="00626B5D"/>
    <w:rsid w:val="00626C4B"/>
    <w:rsid w:val="00626D2E"/>
    <w:rsid w:val="00626D3C"/>
    <w:rsid w:val="00627138"/>
    <w:rsid w:val="006271F1"/>
    <w:rsid w:val="00627239"/>
    <w:rsid w:val="00627335"/>
    <w:rsid w:val="00627359"/>
    <w:rsid w:val="0062739D"/>
    <w:rsid w:val="006273A1"/>
    <w:rsid w:val="00627495"/>
    <w:rsid w:val="0062752D"/>
    <w:rsid w:val="00627647"/>
    <w:rsid w:val="00627673"/>
    <w:rsid w:val="006276F4"/>
    <w:rsid w:val="006277C8"/>
    <w:rsid w:val="006277C9"/>
    <w:rsid w:val="006277D5"/>
    <w:rsid w:val="00627AFC"/>
    <w:rsid w:val="00627B32"/>
    <w:rsid w:val="00627C44"/>
    <w:rsid w:val="00627C55"/>
    <w:rsid w:val="00627D20"/>
    <w:rsid w:val="00627F69"/>
    <w:rsid w:val="00627F8B"/>
    <w:rsid w:val="00627FE0"/>
    <w:rsid w:val="00627FF5"/>
    <w:rsid w:val="0063006C"/>
    <w:rsid w:val="0063008D"/>
    <w:rsid w:val="00630115"/>
    <w:rsid w:val="00630187"/>
    <w:rsid w:val="006301D0"/>
    <w:rsid w:val="006302AE"/>
    <w:rsid w:val="0063040C"/>
    <w:rsid w:val="00630456"/>
    <w:rsid w:val="0063049A"/>
    <w:rsid w:val="00630554"/>
    <w:rsid w:val="006306B6"/>
    <w:rsid w:val="00630A24"/>
    <w:rsid w:val="00630CB1"/>
    <w:rsid w:val="00630CF0"/>
    <w:rsid w:val="00630E73"/>
    <w:rsid w:val="006310FB"/>
    <w:rsid w:val="006312D3"/>
    <w:rsid w:val="0063135A"/>
    <w:rsid w:val="006313A2"/>
    <w:rsid w:val="006313BD"/>
    <w:rsid w:val="0063158E"/>
    <w:rsid w:val="00631773"/>
    <w:rsid w:val="006317E6"/>
    <w:rsid w:val="0063186D"/>
    <w:rsid w:val="00631931"/>
    <w:rsid w:val="00631ACA"/>
    <w:rsid w:val="00631B0C"/>
    <w:rsid w:val="00631BFC"/>
    <w:rsid w:val="00631C50"/>
    <w:rsid w:val="00631CD9"/>
    <w:rsid w:val="00631D24"/>
    <w:rsid w:val="00631D32"/>
    <w:rsid w:val="006320CE"/>
    <w:rsid w:val="0063220A"/>
    <w:rsid w:val="0063227E"/>
    <w:rsid w:val="0063231A"/>
    <w:rsid w:val="00632342"/>
    <w:rsid w:val="0063234F"/>
    <w:rsid w:val="00632397"/>
    <w:rsid w:val="00632592"/>
    <w:rsid w:val="006325C4"/>
    <w:rsid w:val="0063260B"/>
    <w:rsid w:val="00632694"/>
    <w:rsid w:val="00632700"/>
    <w:rsid w:val="00632A25"/>
    <w:rsid w:val="00632B03"/>
    <w:rsid w:val="00632B2E"/>
    <w:rsid w:val="00632C29"/>
    <w:rsid w:val="00632D3C"/>
    <w:rsid w:val="00632D81"/>
    <w:rsid w:val="00632E85"/>
    <w:rsid w:val="00632F1C"/>
    <w:rsid w:val="006331F4"/>
    <w:rsid w:val="00633463"/>
    <w:rsid w:val="00633561"/>
    <w:rsid w:val="0063367F"/>
    <w:rsid w:val="006336E9"/>
    <w:rsid w:val="00633876"/>
    <w:rsid w:val="00633895"/>
    <w:rsid w:val="006338DD"/>
    <w:rsid w:val="00633929"/>
    <w:rsid w:val="006339B4"/>
    <w:rsid w:val="006339E6"/>
    <w:rsid w:val="00633A04"/>
    <w:rsid w:val="00633A9C"/>
    <w:rsid w:val="00633B20"/>
    <w:rsid w:val="00633CAF"/>
    <w:rsid w:val="00633D96"/>
    <w:rsid w:val="00633E0B"/>
    <w:rsid w:val="00633E5B"/>
    <w:rsid w:val="00633FAB"/>
    <w:rsid w:val="00634118"/>
    <w:rsid w:val="00634183"/>
    <w:rsid w:val="00634263"/>
    <w:rsid w:val="00634492"/>
    <w:rsid w:val="006344FB"/>
    <w:rsid w:val="00634550"/>
    <w:rsid w:val="00634618"/>
    <w:rsid w:val="006346AD"/>
    <w:rsid w:val="006346F8"/>
    <w:rsid w:val="00634744"/>
    <w:rsid w:val="00634963"/>
    <w:rsid w:val="00634BDD"/>
    <w:rsid w:val="00634D1F"/>
    <w:rsid w:val="00634FE8"/>
    <w:rsid w:val="006350A6"/>
    <w:rsid w:val="006352AB"/>
    <w:rsid w:val="00635336"/>
    <w:rsid w:val="006353E5"/>
    <w:rsid w:val="006353E7"/>
    <w:rsid w:val="006355A9"/>
    <w:rsid w:val="0063565F"/>
    <w:rsid w:val="006357BF"/>
    <w:rsid w:val="006358DD"/>
    <w:rsid w:val="0063593C"/>
    <w:rsid w:val="00635A7D"/>
    <w:rsid w:val="00635BE6"/>
    <w:rsid w:val="00635C76"/>
    <w:rsid w:val="00635D86"/>
    <w:rsid w:val="00635F55"/>
    <w:rsid w:val="00636072"/>
    <w:rsid w:val="006362B7"/>
    <w:rsid w:val="006362EB"/>
    <w:rsid w:val="00636388"/>
    <w:rsid w:val="006363AA"/>
    <w:rsid w:val="006364C8"/>
    <w:rsid w:val="006364FE"/>
    <w:rsid w:val="00636646"/>
    <w:rsid w:val="00636930"/>
    <w:rsid w:val="00636D1E"/>
    <w:rsid w:val="00636DF3"/>
    <w:rsid w:val="00636EAD"/>
    <w:rsid w:val="00636F1E"/>
    <w:rsid w:val="00636FD8"/>
    <w:rsid w:val="00637002"/>
    <w:rsid w:val="00637092"/>
    <w:rsid w:val="00637178"/>
    <w:rsid w:val="006372E9"/>
    <w:rsid w:val="00637353"/>
    <w:rsid w:val="00637428"/>
    <w:rsid w:val="0063747C"/>
    <w:rsid w:val="006374AB"/>
    <w:rsid w:val="00637513"/>
    <w:rsid w:val="0063755E"/>
    <w:rsid w:val="0063768B"/>
    <w:rsid w:val="0063775E"/>
    <w:rsid w:val="0063790C"/>
    <w:rsid w:val="00637922"/>
    <w:rsid w:val="00637BB3"/>
    <w:rsid w:val="00637D47"/>
    <w:rsid w:val="00637F29"/>
    <w:rsid w:val="006400AB"/>
    <w:rsid w:val="006400BA"/>
    <w:rsid w:val="00640108"/>
    <w:rsid w:val="00640350"/>
    <w:rsid w:val="006403C8"/>
    <w:rsid w:val="006403C9"/>
    <w:rsid w:val="006404A8"/>
    <w:rsid w:val="00640736"/>
    <w:rsid w:val="006407B3"/>
    <w:rsid w:val="006407C0"/>
    <w:rsid w:val="00640ACF"/>
    <w:rsid w:val="00640C80"/>
    <w:rsid w:val="00640DF2"/>
    <w:rsid w:val="0064128C"/>
    <w:rsid w:val="0064133D"/>
    <w:rsid w:val="006413CA"/>
    <w:rsid w:val="00641497"/>
    <w:rsid w:val="006414F3"/>
    <w:rsid w:val="00641671"/>
    <w:rsid w:val="006417CB"/>
    <w:rsid w:val="0064192E"/>
    <w:rsid w:val="00641AAE"/>
    <w:rsid w:val="00641AC3"/>
    <w:rsid w:val="00641C65"/>
    <w:rsid w:val="00641E8B"/>
    <w:rsid w:val="006420B2"/>
    <w:rsid w:val="006420FF"/>
    <w:rsid w:val="0064213B"/>
    <w:rsid w:val="0064221F"/>
    <w:rsid w:val="00642279"/>
    <w:rsid w:val="00642303"/>
    <w:rsid w:val="006423EF"/>
    <w:rsid w:val="006424FD"/>
    <w:rsid w:val="006425B0"/>
    <w:rsid w:val="0064260A"/>
    <w:rsid w:val="00642763"/>
    <w:rsid w:val="006428B1"/>
    <w:rsid w:val="00642A64"/>
    <w:rsid w:val="00642BA8"/>
    <w:rsid w:val="00642BFC"/>
    <w:rsid w:val="00642CB3"/>
    <w:rsid w:val="00642FD1"/>
    <w:rsid w:val="00643010"/>
    <w:rsid w:val="006430F3"/>
    <w:rsid w:val="00643281"/>
    <w:rsid w:val="0064333F"/>
    <w:rsid w:val="006433A3"/>
    <w:rsid w:val="0064341A"/>
    <w:rsid w:val="0064360C"/>
    <w:rsid w:val="006436CA"/>
    <w:rsid w:val="00643760"/>
    <w:rsid w:val="006437EC"/>
    <w:rsid w:val="00643970"/>
    <w:rsid w:val="006439CA"/>
    <w:rsid w:val="006439F6"/>
    <w:rsid w:val="00643A34"/>
    <w:rsid w:val="00643A5F"/>
    <w:rsid w:val="00643A6A"/>
    <w:rsid w:val="00643AF7"/>
    <w:rsid w:val="00643B2D"/>
    <w:rsid w:val="00643BDB"/>
    <w:rsid w:val="00643C0E"/>
    <w:rsid w:val="00643DFD"/>
    <w:rsid w:val="00643E7A"/>
    <w:rsid w:val="00643E85"/>
    <w:rsid w:val="0064420F"/>
    <w:rsid w:val="00644332"/>
    <w:rsid w:val="00644358"/>
    <w:rsid w:val="006443D1"/>
    <w:rsid w:val="00644424"/>
    <w:rsid w:val="0064449C"/>
    <w:rsid w:val="00644573"/>
    <w:rsid w:val="0064474A"/>
    <w:rsid w:val="006447A3"/>
    <w:rsid w:val="006448C7"/>
    <w:rsid w:val="0064498C"/>
    <w:rsid w:val="00644A13"/>
    <w:rsid w:val="00644A31"/>
    <w:rsid w:val="00644B7B"/>
    <w:rsid w:val="00644C6A"/>
    <w:rsid w:val="00644CA8"/>
    <w:rsid w:val="00644E39"/>
    <w:rsid w:val="00644F09"/>
    <w:rsid w:val="0064516F"/>
    <w:rsid w:val="006451A4"/>
    <w:rsid w:val="006451B4"/>
    <w:rsid w:val="0064536A"/>
    <w:rsid w:val="006454D7"/>
    <w:rsid w:val="0064573F"/>
    <w:rsid w:val="00645761"/>
    <w:rsid w:val="0064579A"/>
    <w:rsid w:val="00645847"/>
    <w:rsid w:val="00645849"/>
    <w:rsid w:val="006458FE"/>
    <w:rsid w:val="00645A60"/>
    <w:rsid w:val="00645AC1"/>
    <w:rsid w:val="00645C43"/>
    <w:rsid w:val="00645C64"/>
    <w:rsid w:val="00645CAF"/>
    <w:rsid w:val="00645D57"/>
    <w:rsid w:val="00645D9A"/>
    <w:rsid w:val="00645FA5"/>
    <w:rsid w:val="00646084"/>
    <w:rsid w:val="00646093"/>
    <w:rsid w:val="00646132"/>
    <w:rsid w:val="00646345"/>
    <w:rsid w:val="00646451"/>
    <w:rsid w:val="0064651F"/>
    <w:rsid w:val="00646520"/>
    <w:rsid w:val="00646577"/>
    <w:rsid w:val="006465CD"/>
    <w:rsid w:val="00646607"/>
    <w:rsid w:val="006466D9"/>
    <w:rsid w:val="006466DB"/>
    <w:rsid w:val="0064670C"/>
    <w:rsid w:val="00646736"/>
    <w:rsid w:val="006469CF"/>
    <w:rsid w:val="00646CF7"/>
    <w:rsid w:val="00646DB5"/>
    <w:rsid w:val="00646DB6"/>
    <w:rsid w:val="00646DF2"/>
    <w:rsid w:val="00646F49"/>
    <w:rsid w:val="00647124"/>
    <w:rsid w:val="00647229"/>
    <w:rsid w:val="006473BF"/>
    <w:rsid w:val="00647468"/>
    <w:rsid w:val="0064757C"/>
    <w:rsid w:val="00647659"/>
    <w:rsid w:val="006476BC"/>
    <w:rsid w:val="00647784"/>
    <w:rsid w:val="00647802"/>
    <w:rsid w:val="00647B3F"/>
    <w:rsid w:val="00647C41"/>
    <w:rsid w:val="00647D61"/>
    <w:rsid w:val="00647E27"/>
    <w:rsid w:val="00647E83"/>
    <w:rsid w:val="00647EC5"/>
    <w:rsid w:val="0065009A"/>
    <w:rsid w:val="006500C4"/>
    <w:rsid w:val="006500D9"/>
    <w:rsid w:val="006501AE"/>
    <w:rsid w:val="00650568"/>
    <w:rsid w:val="006505A0"/>
    <w:rsid w:val="00650894"/>
    <w:rsid w:val="00650967"/>
    <w:rsid w:val="00650B2B"/>
    <w:rsid w:val="00650B44"/>
    <w:rsid w:val="00650CBA"/>
    <w:rsid w:val="00650D26"/>
    <w:rsid w:val="00650D3D"/>
    <w:rsid w:val="00650E5A"/>
    <w:rsid w:val="00650EB3"/>
    <w:rsid w:val="00651464"/>
    <w:rsid w:val="006514F3"/>
    <w:rsid w:val="00651508"/>
    <w:rsid w:val="00651618"/>
    <w:rsid w:val="00651662"/>
    <w:rsid w:val="00651675"/>
    <w:rsid w:val="006517F9"/>
    <w:rsid w:val="00651880"/>
    <w:rsid w:val="00651908"/>
    <w:rsid w:val="00651926"/>
    <w:rsid w:val="00651AAC"/>
    <w:rsid w:val="00651AB2"/>
    <w:rsid w:val="00651B45"/>
    <w:rsid w:val="00651B93"/>
    <w:rsid w:val="00651C1A"/>
    <w:rsid w:val="00651C85"/>
    <w:rsid w:val="00651CB0"/>
    <w:rsid w:val="00651CC4"/>
    <w:rsid w:val="00651D26"/>
    <w:rsid w:val="00651F2B"/>
    <w:rsid w:val="00651F69"/>
    <w:rsid w:val="0065215F"/>
    <w:rsid w:val="00652261"/>
    <w:rsid w:val="006522F7"/>
    <w:rsid w:val="0065234B"/>
    <w:rsid w:val="00652460"/>
    <w:rsid w:val="006524A6"/>
    <w:rsid w:val="006524A9"/>
    <w:rsid w:val="00652759"/>
    <w:rsid w:val="006529B6"/>
    <w:rsid w:val="00652B29"/>
    <w:rsid w:val="00652B42"/>
    <w:rsid w:val="00652BAA"/>
    <w:rsid w:val="00652BC8"/>
    <w:rsid w:val="00652D03"/>
    <w:rsid w:val="00652E5A"/>
    <w:rsid w:val="00652F74"/>
    <w:rsid w:val="00653164"/>
    <w:rsid w:val="006531A3"/>
    <w:rsid w:val="006532E5"/>
    <w:rsid w:val="00653532"/>
    <w:rsid w:val="00653868"/>
    <w:rsid w:val="0065386B"/>
    <w:rsid w:val="0065390B"/>
    <w:rsid w:val="00653AC5"/>
    <w:rsid w:val="00653B71"/>
    <w:rsid w:val="00653BB9"/>
    <w:rsid w:val="00653C84"/>
    <w:rsid w:val="00653DF0"/>
    <w:rsid w:val="00653F98"/>
    <w:rsid w:val="00653FA5"/>
    <w:rsid w:val="00654069"/>
    <w:rsid w:val="006541D3"/>
    <w:rsid w:val="0065423D"/>
    <w:rsid w:val="00654413"/>
    <w:rsid w:val="006547E7"/>
    <w:rsid w:val="00654972"/>
    <w:rsid w:val="00654990"/>
    <w:rsid w:val="00654A92"/>
    <w:rsid w:val="00654B93"/>
    <w:rsid w:val="00654FAB"/>
    <w:rsid w:val="0065517A"/>
    <w:rsid w:val="006551A3"/>
    <w:rsid w:val="006552F1"/>
    <w:rsid w:val="00655426"/>
    <w:rsid w:val="00655692"/>
    <w:rsid w:val="006556C8"/>
    <w:rsid w:val="006558A7"/>
    <w:rsid w:val="00655A77"/>
    <w:rsid w:val="00655B36"/>
    <w:rsid w:val="00655C62"/>
    <w:rsid w:val="00655D34"/>
    <w:rsid w:val="00655DDD"/>
    <w:rsid w:val="0065628D"/>
    <w:rsid w:val="006563ED"/>
    <w:rsid w:val="00656484"/>
    <w:rsid w:val="006565D1"/>
    <w:rsid w:val="00656654"/>
    <w:rsid w:val="00656796"/>
    <w:rsid w:val="00656890"/>
    <w:rsid w:val="00656920"/>
    <w:rsid w:val="0065699F"/>
    <w:rsid w:val="006569AF"/>
    <w:rsid w:val="006569B3"/>
    <w:rsid w:val="00656B29"/>
    <w:rsid w:val="00656D86"/>
    <w:rsid w:val="00656E1F"/>
    <w:rsid w:val="00656EEB"/>
    <w:rsid w:val="00656FAD"/>
    <w:rsid w:val="00657061"/>
    <w:rsid w:val="0065708C"/>
    <w:rsid w:val="006570A3"/>
    <w:rsid w:val="00657217"/>
    <w:rsid w:val="00657341"/>
    <w:rsid w:val="006573A7"/>
    <w:rsid w:val="00657425"/>
    <w:rsid w:val="0065786A"/>
    <w:rsid w:val="00657B5B"/>
    <w:rsid w:val="00657C75"/>
    <w:rsid w:val="00657C86"/>
    <w:rsid w:val="00657F15"/>
    <w:rsid w:val="00657F1E"/>
    <w:rsid w:val="00657FF0"/>
    <w:rsid w:val="0066006B"/>
    <w:rsid w:val="006601AC"/>
    <w:rsid w:val="0066024E"/>
    <w:rsid w:val="00660318"/>
    <w:rsid w:val="00660457"/>
    <w:rsid w:val="006606D9"/>
    <w:rsid w:val="00660701"/>
    <w:rsid w:val="00660748"/>
    <w:rsid w:val="00660A6B"/>
    <w:rsid w:val="00660BBE"/>
    <w:rsid w:val="00660CBD"/>
    <w:rsid w:val="00660CD5"/>
    <w:rsid w:val="00661025"/>
    <w:rsid w:val="00661151"/>
    <w:rsid w:val="00661179"/>
    <w:rsid w:val="0066133D"/>
    <w:rsid w:val="0066140E"/>
    <w:rsid w:val="00661448"/>
    <w:rsid w:val="006614F9"/>
    <w:rsid w:val="0066156B"/>
    <w:rsid w:val="006616AA"/>
    <w:rsid w:val="006616F8"/>
    <w:rsid w:val="0066187B"/>
    <w:rsid w:val="0066194A"/>
    <w:rsid w:val="00661AA5"/>
    <w:rsid w:val="00661B5B"/>
    <w:rsid w:val="00662078"/>
    <w:rsid w:val="00662103"/>
    <w:rsid w:val="00662117"/>
    <w:rsid w:val="0066211F"/>
    <w:rsid w:val="006621ED"/>
    <w:rsid w:val="00662239"/>
    <w:rsid w:val="006624BD"/>
    <w:rsid w:val="00662510"/>
    <w:rsid w:val="00662537"/>
    <w:rsid w:val="0066253D"/>
    <w:rsid w:val="00662557"/>
    <w:rsid w:val="006625AA"/>
    <w:rsid w:val="00662A1D"/>
    <w:rsid w:val="00662A90"/>
    <w:rsid w:val="00662B0A"/>
    <w:rsid w:val="00662D5C"/>
    <w:rsid w:val="00662D8D"/>
    <w:rsid w:val="00662E00"/>
    <w:rsid w:val="00662EB8"/>
    <w:rsid w:val="00662F0A"/>
    <w:rsid w:val="00662FD6"/>
    <w:rsid w:val="0066301A"/>
    <w:rsid w:val="006630D8"/>
    <w:rsid w:val="006631D5"/>
    <w:rsid w:val="006633D1"/>
    <w:rsid w:val="0066360B"/>
    <w:rsid w:val="006636CC"/>
    <w:rsid w:val="006638A2"/>
    <w:rsid w:val="006638F0"/>
    <w:rsid w:val="00663940"/>
    <w:rsid w:val="00663A27"/>
    <w:rsid w:val="00663C7C"/>
    <w:rsid w:val="00663D94"/>
    <w:rsid w:val="00663E5F"/>
    <w:rsid w:val="00663EE1"/>
    <w:rsid w:val="00664286"/>
    <w:rsid w:val="00664318"/>
    <w:rsid w:val="006643C8"/>
    <w:rsid w:val="006644F0"/>
    <w:rsid w:val="00664521"/>
    <w:rsid w:val="006645D5"/>
    <w:rsid w:val="0066477E"/>
    <w:rsid w:val="0066481A"/>
    <w:rsid w:val="00664864"/>
    <w:rsid w:val="006648CD"/>
    <w:rsid w:val="00664B92"/>
    <w:rsid w:val="00664BB5"/>
    <w:rsid w:val="00664BF1"/>
    <w:rsid w:val="00664D5A"/>
    <w:rsid w:val="00664DA1"/>
    <w:rsid w:val="00664E2B"/>
    <w:rsid w:val="00664F4C"/>
    <w:rsid w:val="00665190"/>
    <w:rsid w:val="00665255"/>
    <w:rsid w:val="00665391"/>
    <w:rsid w:val="006653AF"/>
    <w:rsid w:val="00665467"/>
    <w:rsid w:val="0066558C"/>
    <w:rsid w:val="00665590"/>
    <w:rsid w:val="006655AD"/>
    <w:rsid w:val="00665695"/>
    <w:rsid w:val="00665697"/>
    <w:rsid w:val="0066583C"/>
    <w:rsid w:val="00665A85"/>
    <w:rsid w:val="00665B3F"/>
    <w:rsid w:val="00665B99"/>
    <w:rsid w:val="00665CAE"/>
    <w:rsid w:val="00665CEF"/>
    <w:rsid w:val="00665D11"/>
    <w:rsid w:val="00665D31"/>
    <w:rsid w:val="00665D47"/>
    <w:rsid w:val="00665DA2"/>
    <w:rsid w:val="00665DBF"/>
    <w:rsid w:val="00665EB2"/>
    <w:rsid w:val="00666038"/>
    <w:rsid w:val="006660B4"/>
    <w:rsid w:val="00666148"/>
    <w:rsid w:val="006663A6"/>
    <w:rsid w:val="0066645C"/>
    <w:rsid w:val="0066648C"/>
    <w:rsid w:val="006664E7"/>
    <w:rsid w:val="00666661"/>
    <w:rsid w:val="006666A3"/>
    <w:rsid w:val="006666EB"/>
    <w:rsid w:val="0066675D"/>
    <w:rsid w:val="0066685E"/>
    <w:rsid w:val="006668E4"/>
    <w:rsid w:val="006668E8"/>
    <w:rsid w:val="00666910"/>
    <w:rsid w:val="00666977"/>
    <w:rsid w:val="00666AAE"/>
    <w:rsid w:val="00666E1A"/>
    <w:rsid w:val="00666EA5"/>
    <w:rsid w:val="00667027"/>
    <w:rsid w:val="00667055"/>
    <w:rsid w:val="006670BC"/>
    <w:rsid w:val="00667120"/>
    <w:rsid w:val="00667176"/>
    <w:rsid w:val="00667187"/>
    <w:rsid w:val="00667243"/>
    <w:rsid w:val="00667248"/>
    <w:rsid w:val="00667325"/>
    <w:rsid w:val="006675AA"/>
    <w:rsid w:val="006676AA"/>
    <w:rsid w:val="006677E8"/>
    <w:rsid w:val="006677FF"/>
    <w:rsid w:val="00667831"/>
    <w:rsid w:val="00667A61"/>
    <w:rsid w:val="00667C2C"/>
    <w:rsid w:val="00667C61"/>
    <w:rsid w:val="00667DC6"/>
    <w:rsid w:val="00667DF5"/>
    <w:rsid w:val="00667E7A"/>
    <w:rsid w:val="00667E84"/>
    <w:rsid w:val="0067009C"/>
    <w:rsid w:val="00670106"/>
    <w:rsid w:val="006702CF"/>
    <w:rsid w:val="00670365"/>
    <w:rsid w:val="0067037A"/>
    <w:rsid w:val="006704D8"/>
    <w:rsid w:val="006706FF"/>
    <w:rsid w:val="00670A76"/>
    <w:rsid w:val="00670B4A"/>
    <w:rsid w:val="00670B58"/>
    <w:rsid w:val="00670B80"/>
    <w:rsid w:val="00670BE4"/>
    <w:rsid w:val="00670E20"/>
    <w:rsid w:val="00670ED0"/>
    <w:rsid w:val="00670F4F"/>
    <w:rsid w:val="00670FCD"/>
    <w:rsid w:val="00670FE9"/>
    <w:rsid w:val="006710B4"/>
    <w:rsid w:val="0067110E"/>
    <w:rsid w:val="0067119F"/>
    <w:rsid w:val="006716BE"/>
    <w:rsid w:val="00671739"/>
    <w:rsid w:val="006717D7"/>
    <w:rsid w:val="00671972"/>
    <w:rsid w:val="006719FC"/>
    <w:rsid w:val="00671AE0"/>
    <w:rsid w:val="00671DAE"/>
    <w:rsid w:val="00671F59"/>
    <w:rsid w:val="00671FE7"/>
    <w:rsid w:val="006720CC"/>
    <w:rsid w:val="00672101"/>
    <w:rsid w:val="00672104"/>
    <w:rsid w:val="0067220F"/>
    <w:rsid w:val="00672473"/>
    <w:rsid w:val="006724A0"/>
    <w:rsid w:val="00672628"/>
    <w:rsid w:val="0067277C"/>
    <w:rsid w:val="00672864"/>
    <w:rsid w:val="006728C4"/>
    <w:rsid w:val="0067295C"/>
    <w:rsid w:val="00672966"/>
    <w:rsid w:val="00672B6E"/>
    <w:rsid w:val="00672D60"/>
    <w:rsid w:val="00672D72"/>
    <w:rsid w:val="00672D94"/>
    <w:rsid w:val="00672E22"/>
    <w:rsid w:val="00672E92"/>
    <w:rsid w:val="00672FB1"/>
    <w:rsid w:val="00673151"/>
    <w:rsid w:val="006732A2"/>
    <w:rsid w:val="0067331B"/>
    <w:rsid w:val="0067333E"/>
    <w:rsid w:val="00673469"/>
    <w:rsid w:val="006734A3"/>
    <w:rsid w:val="0067370D"/>
    <w:rsid w:val="00673780"/>
    <w:rsid w:val="00673A3B"/>
    <w:rsid w:val="00673A42"/>
    <w:rsid w:val="00673A5A"/>
    <w:rsid w:val="00673D7A"/>
    <w:rsid w:val="00673F0D"/>
    <w:rsid w:val="00673FC6"/>
    <w:rsid w:val="006742C0"/>
    <w:rsid w:val="006744D9"/>
    <w:rsid w:val="00674584"/>
    <w:rsid w:val="0067462C"/>
    <w:rsid w:val="006746B3"/>
    <w:rsid w:val="00674AD5"/>
    <w:rsid w:val="00674AFF"/>
    <w:rsid w:val="00674DF1"/>
    <w:rsid w:val="00674E08"/>
    <w:rsid w:val="00674FC2"/>
    <w:rsid w:val="0067501F"/>
    <w:rsid w:val="0067505D"/>
    <w:rsid w:val="00675266"/>
    <w:rsid w:val="006753A4"/>
    <w:rsid w:val="006754D5"/>
    <w:rsid w:val="006755BC"/>
    <w:rsid w:val="0067570D"/>
    <w:rsid w:val="006757A5"/>
    <w:rsid w:val="006759D0"/>
    <w:rsid w:val="00675A70"/>
    <w:rsid w:val="00675C51"/>
    <w:rsid w:val="00675CC1"/>
    <w:rsid w:val="00675D06"/>
    <w:rsid w:val="00675ECA"/>
    <w:rsid w:val="00676056"/>
    <w:rsid w:val="00676212"/>
    <w:rsid w:val="006762F7"/>
    <w:rsid w:val="006763CD"/>
    <w:rsid w:val="006764BD"/>
    <w:rsid w:val="00676736"/>
    <w:rsid w:val="00676740"/>
    <w:rsid w:val="00676AC6"/>
    <w:rsid w:val="00676B62"/>
    <w:rsid w:val="00676E97"/>
    <w:rsid w:val="0067705D"/>
    <w:rsid w:val="00677112"/>
    <w:rsid w:val="0067722F"/>
    <w:rsid w:val="006772A9"/>
    <w:rsid w:val="006773C6"/>
    <w:rsid w:val="006773DB"/>
    <w:rsid w:val="00677426"/>
    <w:rsid w:val="006776FB"/>
    <w:rsid w:val="00677704"/>
    <w:rsid w:val="00677795"/>
    <w:rsid w:val="006777DE"/>
    <w:rsid w:val="00677837"/>
    <w:rsid w:val="00677840"/>
    <w:rsid w:val="00677913"/>
    <w:rsid w:val="00677A67"/>
    <w:rsid w:val="00677CC6"/>
    <w:rsid w:val="00677CED"/>
    <w:rsid w:val="00677D3B"/>
    <w:rsid w:val="006801FF"/>
    <w:rsid w:val="00680359"/>
    <w:rsid w:val="00680493"/>
    <w:rsid w:val="006804CF"/>
    <w:rsid w:val="006804ED"/>
    <w:rsid w:val="006804F5"/>
    <w:rsid w:val="0068053F"/>
    <w:rsid w:val="006807C5"/>
    <w:rsid w:val="006808FD"/>
    <w:rsid w:val="00680976"/>
    <w:rsid w:val="00680998"/>
    <w:rsid w:val="006809F6"/>
    <w:rsid w:val="00680A0B"/>
    <w:rsid w:val="00680A50"/>
    <w:rsid w:val="00680B36"/>
    <w:rsid w:val="00680BFA"/>
    <w:rsid w:val="00680CD2"/>
    <w:rsid w:val="00680CD9"/>
    <w:rsid w:val="00680E19"/>
    <w:rsid w:val="00680E23"/>
    <w:rsid w:val="00680E31"/>
    <w:rsid w:val="00680EEE"/>
    <w:rsid w:val="00680F6F"/>
    <w:rsid w:val="00680F71"/>
    <w:rsid w:val="00680FBE"/>
    <w:rsid w:val="00680FFF"/>
    <w:rsid w:val="00681030"/>
    <w:rsid w:val="00681296"/>
    <w:rsid w:val="006812CF"/>
    <w:rsid w:val="006812FC"/>
    <w:rsid w:val="006813FF"/>
    <w:rsid w:val="00681423"/>
    <w:rsid w:val="0068145C"/>
    <w:rsid w:val="0068146A"/>
    <w:rsid w:val="00681525"/>
    <w:rsid w:val="006815AE"/>
    <w:rsid w:val="006817B5"/>
    <w:rsid w:val="00681879"/>
    <w:rsid w:val="006818A5"/>
    <w:rsid w:val="00681926"/>
    <w:rsid w:val="00681A1C"/>
    <w:rsid w:val="00681B22"/>
    <w:rsid w:val="00681B82"/>
    <w:rsid w:val="00681D0F"/>
    <w:rsid w:val="00681DC6"/>
    <w:rsid w:val="00681E32"/>
    <w:rsid w:val="00681EA3"/>
    <w:rsid w:val="0068215E"/>
    <w:rsid w:val="0068220A"/>
    <w:rsid w:val="00682496"/>
    <w:rsid w:val="00682654"/>
    <w:rsid w:val="006826EA"/>
    <w:rsid w:val="00682798"/>
    <w:rsid w:val="0068280F"/>
    <w:rsid w:val="0068287D"/>
    <w:rsid w:val="00682925"/>
    <w:rsid w:val="006829AF"/>
    <w:rsid w:val="00682A41"/>
    <w:rsid w:val="00682AA3"/>
    <w:rsid w:val="00682CDE"/>
    <w:rsid w:val="00682D6D"/>
    <w:rsid w:val="00682EC9"/>
    <w:rsid w:val="00682F31"/>
    <w:rsid w:val="00682F3A"/>
    <w:rsid w:val="0068319E"/>
    <w:rsid w:val="00683204"/>
    <w:rsid w:val="0068332B"/>
    <w:rsid w:val="00683395"/>
    <w:rsid w:val="006833CF"/>
    <w:rsid w:val="00683486"/>
    <w:rsid w:val="006834D6"/>
    <w:rsid w:val="00683795"/>
    <w:rsid w:val="00683B57"/>
    <w:rsid w:val="00683C84"/>
    <w:rsid w:val="00683D80"/>
    <w:rsid w:val="00683E0F"/>
    <w:rsid w:val="00683EF6"/>
    <w:rsid w:val="00683F1D"/>
    <w:rsid w:val="00683F79"/>
    <w:rsid w:val="00684124"/>
    <w:rsid w:val="00684131"/>
    <w:rsid w:val="006841F0"/>
    <w:rsid w:val="006843DC"/>
    <w:rsid w:val="006845BD"/>
    <w:rsid w:val="006845BF"/>
    <w:rsid w:val="00684639"/>
    <w:rsid w:val="00684983"/>
    <w:rsid w:val="0068498F"/>
    <w:rsid w:val="006849CB"/>
    <w:rsid w:val="006849D1"/>
    <w:rsid w:val="006849F5"/>
    <w:rsid w:val="00684A85"/>
    <w:rsid w:val="00684BD6"/>
    <w:rsid w:val="00684C4F"/>
    <w:rsid w:val="00684CEA"/>
    <w:rsid w:val="00684E6B"/>
    <w:rsid w:val="00684EFD"/>
    <w:rsid w:val="00684F04"/>
    <w:rsid w:val="0068500F"/>
    <w:rsid w:val="00685126"/>
    <w:rsid w:val="00685180"/>
    <w:rsid w:val="0068519E"/>
    <w:rsid w:val="006851EA"/>
    <w:rsid w:val="00685297"/>
    <w:rsid w:val="00685436"/>
    <w:rsid w:val="00685574"/>
    <w:rsid w:val="006855A0"/>
    <w:rsid w:val="0068563C"/>
    <w:rsid w:val="006856CD"/>
    <w:rsid w:val="00685797"/>
    <w:rsid w:val="00685911"/>
    <w:rsid w:val="006859ED"/>
    <w:rsid w:val="00685A71"/>
    <w:rsid w:val="00685B18"/>
    <w:rsid w:val="00685B9F"/>
    <w:rsid w:val="00685C01"/>
    <w:rsid w:val="00685ED0"/>
    <w:rsid w:val="00685FC9"/>
    <w:rsid w:val="006860D0"/>
    <w:rsid w:val="00686418"/>
    <w:rsid w:val="0068649A"/>
    <w:rsid w:val="006865A2"/>
    <w:rsid w:val="006865A3"/>
    <w:rsid w:val="006866CB"/>
    <w:rsid w:val="00686723"/>
    <w:rsid w:val="006868CB"/>
    <w:rsid w:val="0068695A"/>
    <w:rsid w:val="00686A40"/>
    <w:rsid w:val="00686ACD"/>
    <w:rsid w:val="00686B5B"/>
    <w:rsid w:val="00686BAA"/>
    <w:rsid w:val="00686BEF"/>
    <w:rsid w:val="00686C48"/>
    <w:rsid w:val="00686C58"/>
    <w:rsid w:val="00686CBC"/>
    <w:rsid w:val="00686D4E"/>
    <w:rsid w:val="00686D9D"/>
    <w:rsid w:val="00686F63"/>
    <w:rsid w:val="006870E7"/>
    <w:rsid w:val="006872FE"/>
    <w:rsid w:val="00687344"/>
    <w:rsid w:val="006873DE"/>
    <w:rsid w:val="00687449"/>
    <w:rsid w:val="00687457"/>
    <w:rsid w:val="00687476"/>
    <w:rsid w:val="006876A0"/>
    <w:rsid w:val="006876D8"/>
    <w:rsid w:val="006876FD"/>
    <w:rsid w:val="0068785A"/>
    <w:rsid w:val="006878C3"/>
    <w:rsid w:val="006878DB"/>
    <w:rsid w:val="00687A1A"/>
    <w:rsid w:val="00687ACD"/>
    <w:rsid w:val="00687B4F"/>
    <w:rsid w:val="00687CB0"/>
    <w:rsid w:val="00687CE8"/>
    <w:rsid w:val="00687D3B"/>
    <w:rsid w:val="00687DCC"/>
    <w:rsid w:val="00687E21"/>
    <w:rsid w:val="00687E5B"/>
    <w:rsid w:val="00687E61"/>
    <w:rsid w:val="00687EA2"/>
    <w:rsid w:val="00687FBD"/>
    <w:rsid w:val="006901A8"/>
    <w:rsid w:val="006901CF"/>
    <w:rsid w:val="006902CF"/>
    <w:rsid w:val="0069039B"/>
    <w:rsid w:val="00690470"/>
    <w:rsid w:val="006905F3"/>
    <w:rsid w:val="00690632"/>
    <w:rsid w:val="006907F9"/>
    <w:rsid w:val="006908B2"/>
    <w:rsid w:val="00690952"/>
    <w:rsid w:val="00690B9E"/>
    <w:rsid w:val="00690BFF"/>
    <w:rsid w:val="00690CC0"/>
    <w:rsid w:val="00690CEC"/>
    <w:rsid w:val="00690E5A"/>
    <w:rsid w:val="006910D2"/>
    <w:rsid w:val="00691120"/>
    <w:rsid w:val="0069146E"/>
    <w:rsid w:val="006915BD"/>
    <w:rsid w:val="006916E5"/>
    <w:rsid w:val="0069175F"/>
    <w:rsid w:val="0069189F"/>
    <w:rsid w:val="00691B1A"/>
    <w:rsid w:val="00691B2C"/>
    <w:rsid w:val="00691BCA"/>
    <w:rsid w:val="00691BE4"/>
    <w:rsid w:val="00691C00"/>
    <w:rsid w:val="00691C46"/>
    <w:rsid w:val="00691E06"/>
    <w:rsid w:val="00691E29"/>
    <w:rsid w:val="00691F8A"/>
    <w:rsid w:val="0069206A"/>
    <w:rsid w:val="006922D7"/>
    <w:rsid w:val="00692303"/>
    <w:rsid w:val="00692329"/>
    <w:rsid w:val="0069232E"/>
    <w:rsid w:val="006924D5"/>
    <w:rsid w:val="00692673"/>
    <w:rsid w:val="0069279B"/>
    <w:rsid w:val="006927A8"/>
    <w:rsid w:val="006927D5"/>
    <w:rsid w:val="00692A8E"/>
    <w:rsid w:val="00692B06"/>
    <w:rsid w:val="00692B0D"/>
    <w:rsid w:val="00692B89"/>
    <w:rsid w:val="00692BAC"/>
    <w:rsid w:val="00692C6C"/>
    <w:rsid w:val="00692CCD"/>
    <w:rsid w:val="00692E14"/>
    <w:rsid w:val="00692E17"/>
    <w:rsid w:val="00692E2F"/>
    <w:rsid w:val="0069306A"/>
    <w:rsid w:val="00693215"/>
    <w:rsid w:val="00693275"/>
    <w:rsid w:val="006933B5"/>
    <w:rsid w:val="0069358D"/>
    <w:rsid w:val="0069371F"/>
    <w:rsid w:val="006939C6"/>
    <w:rsid w:val="00693B86"/>
    <w:rsid w:val="00693C39"/>
    <w:rsid w:val="00693CB8"/>
    <w:rsid w:val="00693E11"/>
    <w:rsid w:val="0069412A"/>
    <w:rsid w:val="006941A5"/>
    <w:rsid w:val="006942F2"/>
    <w:rsid w:val="006943FE"/>
    <w:rsid w:val="00694686"/>
    <w:rsid w:val="0069476D"/>
    <w:rsid w:val="006947E2"/>
    <w:rsid w:val="00694825"/>
    <w:rsid w:val="00694932"/>
    <w:rsid w:val="00694994"/>
    <w:rsid w:val="00694A2F"/>
    <w:rsid w:val="00694AE4"/>
    <w:rsid w:val="00694C0E"/>
    <w:rsid w:val="00694C86"/>
    <w:rsid w:val="00694E56"/>
    <w:rsid w:val="00694F79"/>
    <w:rsid w:val="00694F85"/>
    <w:rsid w:val="00694FE0"/>
    <w:rsid w:val="00695112"/>
    <w:rsid w:val="00695131"/>
    <w:rsid w:val="00695248"/>
    <w:rsid w:val="006952AC"/>
    <w:rsid w:val="006952B6"/>
    <w:rsid w:val="006952ED"/>
    <w:rsid w:val="00695425"/>
    <w:rsid w:val="006956F1"/>
    <w:rsid w:val="00695786"/>
    <w:rsid w:val="006957F4"/>
    <w:rsid w:val="00695847"/>
    <w:rsid w:val="00695853"/>
    <w:rsid w:val="00695B2C"/>
    <w:rsid w:val="00695C92"/>
    <w:rsid w:val="00695CBE"/>
    <w:rsid w:val="00695E66"/>
    <w:rsid w:val="00695E82"/>
    <w:rsid w:val="00695F59"/>
    <w:rsid w:val="00695FAB"/>
    <w:rsid w:val="00695FC2"/>
    <w:rsid w:val="00695FC3"/>
    <w:rsid w:val="00696089"/>
    <w:rsid w:val="00696108"/>
    <w:rsid w:val="006961CE"/>
    <w:rsid w:val="0069625D"/>
    <w:rsid w:val="006962F7"/>
    <w:rsid w:val="00696309"/>
    <w:rsid w:val="00696430"/>
    <w:rsid w:val="00696671"/>
    <w:rsid w:val="006966BE"/>
    <w:rsid w:val="00696703"/>
    <w:rsid w:val="00696709"/>
    <w:rsid w:val="00696812"/>
    <w:rsid w:val="0069689E"/>
    <w:rsid w:val="006969B3"/>
    <w:rsid w:val="00696B6F"/>
    <w:rsid w:val="00696F82"/>
    <w:rsid w:val="0069713D"/>
    <w:rsid w:val="006971BE"/>
    <w:rsid w:val="00697203"/>
    <w:rsid w:val="006973C4"/>
    <w:rsid w:val="006976A9"/>
    <w:rsid w:val="00697732"/>
    <w:rsid w:val="00697734"/>
    <w:rsid w:val="00697752"/>
    <w:rsid w:val="0069776A"/>
    <w:rsid w:val="006978E7"/>
    <w:rsid w:val="006979D5"/>
    <w:rsid w:val="006979D9"/>
    <w:rsid w:val="00697A3A"/>
    <w:rsid w:val="00697B3A"/>
    <w:rsid w:val="00697CA1"/>
    <w:rsid w:val="00697D02"/>
    <w:rsid w:val="00697F33"/>
    <w:rsid w:val="00697F60"/>
    <w:rsid w:val="006A0384"/>
    <w:rsid w:val="006A038F"/>
    <w:rsid w:val="006A0472"/>
    <w:rsid w:val="006A051B"/>
    <w:rsid w:val="006A0522"/>
    <w:rsid w:val="006A0584"/>
    <w:rsid w:val="006A0633"/>
    <w:rsid w:val="006A0909"/>
    <w:rsid w:val="006A098A"/>
    <w:rsid w:val="006A0B02"/>
    <w:rsid w:val="006A0B83"/>
    <w:rsid w:val="006A0BB2"/>
    <w:rsid w:val="006A0BB8"/>
    <w:rsid w:val="006A0CBC"/>
    <w:rsid w:val="006A0E69"/>
    <w:rsid w:val="006A0F62"/>
    <w:rsid w:val="006A0F9F"/>
    <w:rsid w:val="006A1061"/>
    <w:rsid w:val="006A125C"/>
    <w:rsid w:val="006A1325"/>
    <w:rsid w:val="006A139B"/>
    <w:rsid w:val="006A142C"/>
    <w:rsid w:val="006A1569"/>
    <w:rsid w:val="006A1575"/>
    <w:rsid w:val="006A174A"/>
    <w:rsid w:val="006A1973"/>
    <w:rsid w:val="006A198A"/>
    <w:rsid w:val="006A19B1"/>
    <w:rsid w:val="006A1A5E"/>
    <w:rsid w:val="006A1AA2"/>
    <w:rsid w:val="006A1AC2"/>
    <w:rsid w:val="006A1C3F"/>
    <w:rsid w:val="006A1CA3"/>
    <w:rsid w:val="006A1D42"/>
    <w:rsid w:val="006A1E25"/>
    <w:rsid w:val="006A206F"/>
    <w:rsid w:val="006A20BC"/>
    <w:rsid w:val="006A214C"/>
    <w:rsid w:val="006A216D"/>
    <w:rsid w:val="006A222D"/>
    <w:rsid w:val="006A2341"/>
    <w:rsid w:val="006A25F1"/>
    <w:rsid w:val="006A25FF"/>
    <w:rsid w:val="006A26DF"/>
    <w:rsid w:val="006A276D"/>
    <w:rsid w:val="006A27E5"/>
    <w:rsid w:val="006A29C8"/>
    <w:rsid w:val="006A2A8E"/>
    <w:rsid w:val="006A2BFC"/>
    <w:rsid w:val="006A2C0E"/>
    <w:rsid w:val="006A2C24"/>
    <w:rsid w:val="006A2C29"/>
    <w:rsid w:val="006A2D7F"/>
    <w:rsid w:val="006A2F59"/>
    <w:rsid w:val="006A31DE"/>
    <w:rsid w:val="006A3203"/>
    <w:rsid w:val="006A3359"/>
    <w:rsid w:val="006A35A8"/>
    <w:rsid w:val="006A3611"/>
    <w:rsid w:val="006A3618"/>
    <w:rsid w:val="006A3665"/>
    <w:rsid w:val="006A366D"/>
    <w:rsid w:val="006A38B5"/>
    <w:rsid w:val="006A399F"/>
    <w:rsid w:val="006A39DA"/>
    <w:rsid w:val="006A3AFB"/>
    <w:rsid w:val="006A3CCF"/>
    <w:rsid w:val="006A3CF0"/>
    <w:rsid w:val="006A3D43"/>
    <w:rsid w:val="006A3D80"/>
    <w:rsid w:val="006A3E43"/>
    <w:rsid w:val="006A3E4B"/>
    <w:rsid w:val="006A3E57"/>
    <w:rsid w:val="006A3F4B"/>
    <w:rsid w:val="006A3F53"/>
    <w:rsid w:val="006A3FC4"/>
    <w:rsid w:val="006A407E"/>
    <w:rsid w:val="006A40DC"/>
    <w:rsid w:val="006A4148"/>
    <w:rsid w:val="006A42D1"/>
    <w:rsid w:val="006A4310"/>
    <w:rsid w:val="006A4478"/>
    <w:rsid w:val="006A45C4"/>
    <w:rsid w:val="006A45DC"/>
    <w:rsid w:val="006A4672"/>
    <w:rsid w:val="006A4786"/>
    <w:rsid w:val="006A47C9"/>
    <w:rsid w:val="006A47D2"/>
    <w:rsid w:val="006A4901"/>
    <w:rsid w:val="006A497A"/>
    <w:rsid w:val="006A4981"/>
    <w:rsid w:val="006A49F1"/>
    <w:rsid w:val="006A4B23"/>
    <w:rsid w:val="006A4B3C"/>
    <w:rsid w:val="006A4C60"/>
    <w:rsid w:val="006A4D29"/>
    <w:rsid w:val="006A4DB2"/>
    <w:rsid w:val="006A4EB3"/>
    <w:rsid w:val="006A4F2F"/>
    <w:rsid w:val="006A4FD8"/>
    <w:rsid w:val="006A5025"/>
    <w:rsid w:val="006A504A"/>
    <w:rsid w:val="006A5310"/>
    <w:rsid w:val="006A541A"/>
    <w:rsid w:val="006A542B"/>
    <w:rsid w:val="006A5496"/>
    <w:rsid w:val="006A55BD"/>
    <w:rsid w:val="006A569F"/>
    <w:rsid w:val="006A57F3"/>
    <w:rsid w:val="006A5873"/>
    <w:rsid w:val="006A588A"/>
    <w:rsid w:val="006A59A6"/>
    <w:rsid w:val="006A5A38"/>
    <w:rsid w:val="006A5B4B"/>
    <w:rsid w:val="006A5C78"/>
    <w:rsid w:val="006A5D63"/>
    <w:rsid w:val="006A60A4"/>
    <w:rsid w:val="006A61F6"/>
    <w:rsid w:val="006A640B"/>
    <w:rsid w:val="006A64CC"/>
    <w:rsid w:val="006A651E"/>
    <w:rsid w:val="006A655A"/>
    <w:rsid w:val="006A6596"/>
    <w:rsid w:val="006A681A"/>
    <w:rsid w:val="006A6829"/>
    <w:rsid w:val="006A6867"/>
    <w:rsid w:val="006A68B6"/>
    <w:rsid w:val="006A6B65"/>
    <w:rsid w:val="006A6B71"/>
    <w:rsid w:val="006A6BF4"/>
    <w:rsid w:val="006A6C7B"/>
    <w:rsid w:val="006A6DB0"/>
    <w:rsid w:val="006A70E6"/>
    <w:rsid w:val="006A729D"/>
    <w:rsid w:val="006A745A"/>
    <w:rsid w:val="006A7616"/>
    <w:rsid w:val="006A7707"/>
    <w:rsid w:val="006A7801"/>
    <w:rsid w:val="006A7A4E"/>
    <w:rsid w:val="006A7AC6"/>
    <w:rsid w:val="006A7CC1"/>
    <w:rsid w:val="006A7D0B"/>
    <w:rsid w:val="006A7E94"/>
    <w:rsid w:val="006A7F7B"/>
    <w:rsid w:val="006A7F96"/>
    <w:rsid w:val="006A7FD0"/>
    <w:rsid w:val="006B0072"/>
    <w:rsid w:val="006B0087"/>
    <w:rsid w:val="006B0131"/>
    <w:rsid w:val="006B01BF"/>
    <w:rsid w:val="006B01E8"/>
    <w:rsid w:val="006B024D"/>
    <w:rsid w:val="006B035F"/>
    <w:rsid w:val="006B036D"/>
    <w:rsid w:val="006B04FF"/>
    <w:rsid w:val="006B0514"/>
    <w:rsid w:val="006B055A"/>
    <w:rsid w:val="006B0762"/>
    <w:rsid w:val="006B091A"/>
    <w:rsid w:val="006B0979"/>
    <w:rsid w:val="006B0AB4"/>
    <w:rsid w:val="006B0C38"/>
    <w:rsid w:val="006B0C6E"/>
    <w:rsid w:val="006B0CC4"/>
    <w:rsid w:val="006B0D2A"/>
    <w:rsid w:val="006B0E75"/>
    <w:rsid w:val="006B0F89"/>
    <w:rsid w:val="006B1303"/>
    <w:rsid w:val="006B134F"/>
    <w:rsid w:val="006B13E4"/>
    <w:rsid w:val="006B1495"/>
    <w:rsid w:val="006B1604"/>
    <w:rsid w:val="006B193B"/>
    <w:rsid w:val="006B198E"/>
    <w:rsid w:val="006B1B80"/>
    <w:rsid w:val="006B1B84"/>
    <w:rsid w:val="006B1C64"/>
    <w:rsid w:val="006B1DED"/>
    <w:rsid w:val="006B1E6A"/>
    <w:rsid w:val="006B1E9F"/>
    <w:rsid w:val="006B1EA8"/>
    <w:rsid w:val="006B2023"/>
    <w:rsid w:val="006B21CD"/>
    <w:rsid w:val="006B22ED"/>
    <w:rsid w:val="006B2368"/>
    <w:rsid w:val="006B2373"/>
    <w:rsid w:val="006B2477"/>
    <w:rsid w:val="006B249B"/>
    <w:rsid w:val="006B24AB"/>
    <w:rsid w:val="006B24D8"/>
    <w:rsid w:val="006B25DB"/>
    <w:rsid w:val="006B2612"/>
    <w:rsid w:val="006B2719"/>
    <w:rsid w:val="006B2785"/>
    <w:rsid w:val="006B2B07"/>
    <w:rsid w:val="006B2CD7"/>
    <w:rsid w:val="006B2D0D"/>
    <w:rsid w:val="006B2E6B"/>
    <w:rsid w:val="006B2E6D"/>
    <w:rsid w:val="006B31CE"/>
    <w:rsid w:val="006B31FA"/>
    <w:rsid w:val="006B32D0"/>
    <w:rsid w:val="006B33C0"/>
    <w:rsid w:val="006B33D0"/>
    <w:rsid w:val="006B3482"/>
    <w:rsid w:val="006B3717"/>
    <w:rsid w:val="006B373E"/>
    <w:rsid w:val="006B374C"/>
    <w:rsid w:val="006B382C"/>
    <w:rsid w:val="006B38C9"/>
    <w:rsid w:val="006B3A69"/>
    <w:rsid w:val="006B3C22"/>
    <w:rsid w:val="006B3C5E"/>
    <w:rsid w:val="006B3C9E"/>
    <w:rsid w:val="006B3DFD"/>
    <w:rsid w:val="006B3F90"/>
    <w:rsid w:val="006B4089"/>
    <w:rsid w:val="006B429C"/>
    <w:rsid w:val="006B42EA"/>
    <w:rsid w:val="006B4303"/>
    <w:rsid w:val="006B442F"/>
    <w:rsid w:val="006B4645"/>
    <w:rsid w:val="006B478D"/>
    <w:rsid w:val="006B493A"/>
    <w:rsid w:val="006B4B6A"/>
    <w:rsid w:val="006B4BA2"/>
    <w:rsid w:val="006B4E1A"/>
    <w:rsid w:val="006B4F25"/>
    <w:rsid w:val="006B5189"/>
    <w:rsid w:val="006B5243"/>
    <w:rsid w:val="006B52C3"/>
    <w:rsid w:val="006B550C"/>
    <w:rsid w:val="006B560C"/>
    <w:rsid w:val="006B56E0"/>
    <w:rsid w:val="006B5752"/>
    <w:rsid w:val="006B581E"/>
    <w:rsid w:val="006B58AA"/>
    <w:rsid w:val="006B5B0A"/>
    <w:rsid w:val="006B5C47"/>
    <w:rsid w:val="006B5C6C"/>
    <w:rsid w:val="006B5D43"/>
    <w:rsid w:val="006B5EB7"/>
    <w:rsid w:val="006B5F9E"/>
    <w:rsid w:val="006B6088"/>
    <w:rsid w:val="006B62BC"/>
    <w:rsid w:val="006B65B7"/>
    <w:rsid w:val="006B65F2"/>
    <w:rsid w:val="006B66D1"/>
    <w:rsid w:val="006B6928"/>
    <w:rsid w:val="006B6B61"/>
    <w:rsid w:val="006B6CE5"/>
    <w:rsid w:val="006B6D1C"/>
    <w:rsid w:val="006B6D23"/>
    <w:rsid w:val="006B6D33"/>
    <w:rsid w:val="006B6DD7"/>
    <w:rsid w:val="006B6E8F"/>
    <w:rsid w:val="006B70AC"/>
    <w:rsid w:val="006B743A"/>
    <w:rsid w:val="006B79A5"/>
    <w:rsid w:val="006B7B58"/>
    <w:rsid w:val="006B7B91"/>
    <w:rsid w:val="006B7C21"/>
    <w:rsid w:val="006B7C5E"/>
    <w:rsid w:val="006B7DB2"/>
    <w:rsid w:val="006B7F6A"/>
    <w:rsid w:val="006B7FC8"/>
    <w:rsid w:val="006C0030"/>
    <w:rsid w:val="006C011A"/>
    <w:rsid w:val="006C023E"/>
    <w:rsid w:val="006C02C8"/>
    <w:rsid w:val="006C0330"/>
    <w:rsid w:val="006C0354"/>
    <w:rsid w:val="006C038C"/>
    <w:rsid w:val="006C04E5"/>
    <w:rsid w:val="006C0780"/>
    <w:rsid w:val="006C0920"/>
    <w:rsid w:val="006C0AA1"/>
    <w:rsid w:val="006C0C86"/>
    <w:rsid w:val="006C0D3E"/>
    <w:rsid w:val="006C0DDC"/>
    <w:rsid w:val="006C1098"/>
    <w:rsid w:val="006C1226"/>
    <w:rsid w:val="006C1270"/>
    <w:rsid w:val="006C1428"/>
    <w:rsid w:val="006C1451"/>
    <w:rsid w:val="006C1929"/>
    <w:rsid w:val="006C199A"/>
    <w:rsid w:val="006C1A32"/>
    <w:rsid w:val="006C1B6B"/>
    <w:rsid w:val="006C1C4D"/>
    <w:rsid w:val="006C1E18"/>
    <w:rsid w:val="006C1F4E"/>
    <w:rsid w:val="006C211A"/>
    <w:rsid w:val="006C21B5"/>
    <w:rsid w:val="006C221B"/>
    <w:rsid w:val="006C225F"/>
    <w:rsid w:val="006C2380"/>
    <w:rsid w:val="006C23BF"/>
    <w:rsid w:val="006C241E"/>
    <w:rsid w:val="006C25A9"/>
    <w:rsid w:val="006C26D8"/>
    <w:rsid w:val="006C26F6"/>
    <w:rsid w:val="006C286D"/>
    <w:rsid w:val="006C287F"/>
    <w:rsid w:val="006C2944"/>
    <w:rsid w:val="006C2AF1"/>
    <w:rsid w:val="006C2C81"/>
    <w:rsid w:val="006C2CAC"/>
    <w:rsid w:val="006C2DCA"/>
    <w:rsid w:val="006C2DF7"/>
    <w:rsid w:val="006C2E46"/>
    <w:rsid w:val="006C2F41"/>
    <w:rsid w:val="006C3068"/>
    <w:rsid w:val="006C3081"/>
    <w:rsid w:val="006C32A4"/>
    <w:rsid w:val="006C3304"/>
    <w:rsid w:val="006C33D8"/>
    <w:rsid w:val="006C33F1"/>
    <w:rsid w:val="006C3681"/>
    <w:rsid w:val="006C377B"/>
    <w:rsid w:val="006C3916"/>
    <w:rsid w:val="006C396A"/>
    <w:rsid w:val="006C3B0F"/>
    <w:rsid w:val="006C3B7F"/>
    <w:rsid w:val="006C3C9E"/>
    <w:rsid w:val="006C3D24"/>
    <w:rsid w:val="006C3DDC"/>
    <w:rsid w:val="006C40A9"/>
    <w:rsid w:val="006C417C"/>
    <w:rsid w:val="006C4394"/>
    <w:rsid w:val="006C45B4"/>
    <w:rsid w:val="006C48E0"/>
    <w:rsid w:val="006C48EE"/>
    <w:rsid w:val="006C4999"/>
    <w:rsid w:val="006C4A8B"/>
    <w:rsid w:val="006C4B1E"/>
    <w:rsid w:val="006C4C7C"/>
    <w:rsid w:val="006C4D9C"/>
    <w:rsid w:val="006C4FB8"/>
    <w:rsid w:val="006C4FD6"/>
    <w:rsid w:val="006C4FEF"/>
    <w:rsid w:val="006C5007"/>
    <w:rsid w:val="006C508A"/>
    <w:rsid w:val="006C50BF"/>
    <w:rsid w:val="006C5127"/>
    <w:rsid w:val="006C51EA"/>
    <w:rsid w:val="006C52DA"/>
    <w:rsid w:val="006C5322"/>
    <w:rsid w:val="006C536F"/>
    <w:rsid w:val="006C53FB"/>
    <w:rsid w:val="006C5427"/>
    <w:rsid w:val="006C56B8"/>
    <w:rsid w:val="006C5A80"/>
    <w:rsid w:val="006C5AC4"/>
    <w:rsid w:val="006C5B4F"/>
    <w:rsid w:val="006C5BA4"/>
    <w:rsid w:val="006C5C5B"/>
    <w:rsid w:val="006C5CD0"/>
    <w:rsid w:val="006C5F6C"/>
    <w:rsid w:val="006C60AB"/>
    <w:rsid w:val="006C61C4"/>
    <w:rsid w:val="006C63BF"/>
    <w:rsid w:val="006C63CF"/>
    <w:rsid w:val="006C6418"/>
    <w:rsid w:val="006C6460"/>
    <w:rsid w:val="006C6464"/>
    <w:rsid w:val="006C649D"/>
    <w:rsid w:val="006C6538"/>
    <w:rsid w:val="006C667D"/>
    <w:rsid w:val="006C67D4"/>
    <w:rsid w:val="006C6804"/>
    <w:rsid w:val="006C6A9C"/>
    <w:rsid w:val="006C6DB9"/>
    <w:rsid w:val="006C6E14"/>
    <w:rsid w:val="006C6E59"/>
    <w:rsid w:val="006C7090"/>
    <w:rsid w:val="006C70BD"/>
    <w:rsid w:val="006C711F"/>
    <w:rsid w:val="006C726A"/>
    <w:rsid w:val="006C72C9"/>
    <w:rsid w:val="006C72D9"/>
    <w:rsid w:val="006C731D"/>
    <w:rsid w:val="006C738A"/>
    <w:rsid w:val="006C73E5"/>
    <w:rsid w:val="006C73FD"/>
    <w:rsid w:val="006C7474"/>
    <w:rsid w:val="006C75D7"/>
    <w:rsid w:val="006C79FA"/>
    <w:rsid w:val="006C7A3D"/>
    <w:rsid w:val="006C7AE2"/>
    <w:rsid w:val="006C7B4A"/>
    <w:rsid w:val="006C7C54"/>
    <w:rsid w:val="006C7ECA"/>
    <w:rsid w:val="006C7FAE"/>
    <w:rsid w:val="006D003B"/>
    <w:rsid w:val="006D005E"/>
    <w:rsid w:val="006D0078"/>
    <w:rsid w:val="006D00D4"/>
    <w:rsid w:val="006D0116"/>
    <w:rsid w:val="006D020C"/>
    <w:rsid w:val="006D0231"/>
    <w:rsid w:val="006D0578"/>
    <w:rsid w:val="006D05D0"/>
    <w:rsid w:val="006D06F3"/>
    <w:rsid w:val="006D0852"/>
    <w:rsid w:val="006D086D"/>
    <w:rsid w:val="006D0B47"/>
    <w:rsid w:val="006D0CA7"/>
    <w:rsid w:val="006D0CF3"/>
    <w:rsid w:val="006D0F5F"/>
    <w:rsid w:val="006D112E"/>
    <w:rsid w:val="006D12AA"/>
    <w:rsid w:val="006D1334"/>
    <w:rsid w:val="006D1470"/>
    <w:rsid w:val="006D14F2"/>
    <w:rsid w:val="006D14FC"/>
    <w:rsid w:val="006D1551"/>
    <w:rsid w:val="006D156A"/>
    <w:rsid w:val="006D17E5"/>
    <w:rsid w:val="006D183D"/>
    <w:rsid w:val="006D18AD"/>
    <w:rsid w:val="006D1968"/>
    <w:rsid w:val="006D1A6A"/>
    <w:rsid w:val="006D1AF7"/>
    <w:rsid w:val="006D1C16"/>
    <w:rsid w:val="006D1C51"/>
    <w:rsid w:val="006D1CAB"/>
    <w:rsid w:val="006D1CB0"/>
    <w:rsid w:val="006D1FE4"/>
    <w:rsid w:val="006D2123"/>
    <w:rsid w:val="006D2147"/>
    <w:rsid w:val="006D2220"/>
    <w:rsid w:val="006D2267"/>
    <w:rsid w:val="006D23C5"/>
    <w:rsid w:val="006D23FA"/>
    <w:rsid w:val="006D2406"/>
    <w:rsid w:val="006D248D"/>
    <w:rsid w:val="006D250C"/>
    <w:rsid w:val="006D259C"/>
    <w:rsid w:val="006D26C9"/>
    <w:rsid w:val="006D27AB"/>
    <w:rsid w:val="006D2805"/>
    <w:rsid w:val="006D285C"/>
    <w:rsid w:val="006D2B3B"/>
    <w:rsid w:val="006D2C1B"/>
    <w:rsid w:val="006D2C26"/>
    <w:rsid w:val="006D2C2D"/>
    <w:rsid w:val="006D2C7D"/>
    <w:rsid w:val="006D2C90"/>
    <w:rsid w:val="006D2E88"/>
    <w:rsid w:val="006D2EF8"/>
    <w:rsid w:val="006D2F19"/>
    <w:rsid w:val="006D2F5C"/>
    <w:rsid w:val="006D3002"/>
    <w:rsid w:val="006D3196"/>
    <w:rsid w:val="006D3256"/>
    <w:rsid w:val="006D3493"/>
    <w:rsid w:val="006D3578"/>
    <w:rsid w:val="006D35CE"/>
    <w:rsid w:val="006D36E1"/>
    <w:rsid w:val="006D372B"/>
    <w:rsid w:val="006D3758"/>
    <w:rsid w:val="006D3818"/>
    <w:rsid w:val="006D394F"/>
    <w:rsid w:val="006D3988"/>
    <w:rsid w:val="006D39B8"/>
    <w:rsid w:val="006D3A4D"/>
    <w:rsid w:val="006D3AC4"/>
    <w:rsid w:val="006D3B76"/>
    <w:rsid w:val="006D3BF3"/>
    <w:rsid w:val="006D3E43"/>
    <w:rsid w:val="006D4063"/>
    <w:rsid w:val="006D40B8"/>
    <w:rsid w:val="006D4208"/>
    <w:rsid w:val="006D427E"/>
    <w:rsid w:val="006D4709"/>
    <w:rsid w:val="006D47C8"/>
    <w:rsid w:val="006D483A"/>
    <w:rsid w:val="006D486C"/>
    <w:rsid w:val="006D48C4"/>
    <w:rsid w:val="006D4C40"/>
    <w:rsid w:val="006D4DB0"/>
    <w:rsid w:val="006D4FA1"/>
    <w:rsid w:val="006D4FE8"/>
    <w:rsid w:val="006D5110"/>
    <w:rsid w:val="006D5287"/>
    <w:rsid w:val="006D5392"/>
    <w:rsid w:val="006D5498"/>
    <w:rsid w:val="006D550B"/>
    <w:rsid w:val="006D5546"/>
    <w:rsid w:val="006D56A6"/>
    <w:rsid w:val="006D570D"/>
    <w:rsid w:val="006D57EE"/>
    <w:rsid w:val="006D58A2"/>
    <w:rsid w:val="006D58E3"/>
    <w:rsid w:val="006D5ABD"/>
    <w:rsid w:val="006D5C75"/>
    <w:rsid w:val="006D5D24"/>
    <w:rsid w:val="006D5F00"/>
    <w:rsid w:val="006D6136"/>
    <w:rsid w:val="006D6248"/>
    <w:rsid w:val="006D62EB"/>
    <w:rsid w:val="006D6373"/>
    <w:rsid w:val="006D63F3"/>
    <w:rsid w:val="006D6496"/>
    <w:rsid w:val="006D65D5"/>
    <w:rsid w:val="006D65F1"/>
    <w:rsid w:val="006D665E"/>
    <w:rsid w:val="006D6690"/>
    <w:rsid w:val="006D672B"/>
    <w:rsid w:val="006D67BA"/>
    <w:rsid w:val="006D688B"/>
    <w:rsid w:val="006D689F"/>
    <w:rsid w:val="006D69A5"/>
    <w:rsid w:val="006D6A9B"/>
    <w:rsid w:val="006D6AC3"/>
    <w:rsid w:val="006D6CCD"/>
    <w:rsid w:val="006D6DA8"/>
    <w:rsid w:val="006D6E21"/>
    <w:rsid w:val="006D6E34"/>
    <w:rsid w:val="006D6E44"/>
    <w:rsid w:val="006D6ED5"/>
    <w:rsid w:val="006D6FA0"/>
    <w:rsid w:val="006D6FCE"/>
    <w:rsid w:val="006D6FDA"/>
    <w:rsid w:val="006D706F"/>
    <w:rsid w:val="006D70DA"/>
    <w:rsid w:val="006D7121"/>
    <w:rsid w:val="006D721C"/>
    <w:rsid w:val="006D724D"/>
    <w:rsid w:val="006D7432"/>
    <w:rsid w:val="006D745C"/>
    <w:rsid w:val="006D7A3D"/>
    <w:rsid w:val="006D7A68"/>
    <w:rsid w:val="006D7ADE"/>
    <w:rsid w:val="006D7DA7"/>
    <w:rsid w:val="006D7F22"/>
    <w:rsid w:val="006D7F78"/>
    <w:rsid w:val="006E00D2"/>
    <w:rsid w:val="006E00D7"/>
    <w:rsid w:val="006E0131"/>
    <w:rsid w:val="006E0221"/>
    <w:rsid w:val="006E0284"/>
    <w:rsid w:val="006E02AE"/>
    <w:rsid w:val="006E03C8"/>
    <w:rsid w:val="006E0418"/>
    <w:rsid w:val="006E04CD"/>
    <w:rsid w:val="006E04CE"/>
    <w:rsid w:val="006E056B"/>
    <w:rsid w:val="006E06A9"/>
    <w:rsid w:val="006E07F1"/>
    <w:rsid w:val="006E0A38"/>
    <w:rsid w:val="006E0A7A"/>
    <w:rsid w:val="006E0B0D"/>
    <w:rsid w:val="006E0C06"/>
    <w:rsid w:val="006E0C7C"/>
    <w:rsid w:val="006E0D44"/>
    <w:rsid w:val="006E0FB9"/>
    <w:rsid w:val="006E0FF9"/>
    <w:rsid w:val="006E1234"/>
    <w:rsid w:val="006E12AD"/>
    <w:rsid w:val="006E13E1"/>
    <w:rsid w:val="006E18AD"/>
    <w:rsid w:val="006E1A0F"/>
    <w:rsid w:val="006E1A92"/>
    <w:rsid w:val="006E1B92"/>
    <w:rsid w:val="006E1C2A"/>
    <w:rsid w:val="006E1C59"/>
    <w:rsid w:val="006E1FA0"/>
    <w:rsid w:val="006E2012"/>
    <w:rsid w:val="006E201D"/>
    <w:rsid w:val="006E202A"/>
    <w:rsid w:val="006E204A"/>
    <w:rsid w:val="006E2146"/>
    <w:rsid w:val="006E2186"/>
    <w:rsid w:val="006E220C"/>
    <w:rsid w:val="006E2727"/>
    <w:rsid w:val="006E2735"/>
    <w:rsid w:val="006E2790"/>
    <w:rsid w:val="006E27B7"/>
    <w:rsid w:val="006E2807"/>
    <w:rsid w:val="006E2883"/>
    <w:rsid w:val="006E29C8"/>
    <w:rsid w:val="006E2A47"/>
    <w:rsid w:val="006E2B6E"/>
    <w:rsid w:val="006E2B87"/>
    <w:rsid w:val="006E2DBF"/>
    <w:rsid w:val="006E3054"/>
    <w:rsid w:val="006E3067"/>
    <w:rsid w:val="006E30C1"/>
    <w:rsid w:val="006E332F"/>
    <w:rsid w:val="006E34CC"/>
    <w:rsid w:val="006E365E"/>
    <w:rsid w:val="006E3754"/>
    <w:rsid w:val="006E379B"/>
    <w:rsid w:val="006E3B35"/>
    <w:rsid w:val="006E3C22"/>
    <w:rsid w:val="006E3DA2"/>
    <w:rsid w:val="006E3DE8"/>
    <w:rsid w:val="006E3E4E"/>
    <w:rsid w:val="006E3FFB"/>
    <w:rsid w:val="006E425C"/>
    <w:rsid w:val="006E446B"/>
    <w:rsid w:val="006E452A"/>
    <w:rsid w:val="006E4608"/>
    <w:rsid w:val="006E4667"/>
    <w:rsid w:val="006E4694"/>
    <w:rsid w:val="006E46BE"/>
    <w:rsid w:val="006E4895"/>
    <w:rsid w:val="006E4A0D"/>
    <w:rsid w:val="006E4ADD"/>
    <w:rsid w:val="006E4B59"/>
    <w:rsid w:val="006E4CB7"/>
    <w:rsid w:val="006E4D0D"/>
    <w:rsid w:val="006E4D58"/>
    <w:rsid w:val="006E4E5C"/>
    <w:rsid w:val="006E4ECC"/>
    <w:rsid w:val="006E4EEC"/>
    <w:rsid w:val="006E4F3E"/>
    <w:rsid w:val="006E50E0"/>
    <w:rsid w:val="006E513C"/>
    <w:rsid w:val="006E532F"/>
    <w:rsid w:val="006E5556"/>
    <w:rsid w:val="006E5574"/>
    <w:rsid w:val="006E5676"/>
    <w:rsid w:val="006E56D0"/>
    <w:rsid w:val="006E5B3F"/>
    <w:rsid w:val="006E5BF5"/>
    <w:rsid w:val="006E5C1C"/>
    <w:rsid w:val="006E5DE9"/>
    <w:rsid w:val="006E5F0F"/>
    <w:rsid w:val="006E6087"/>
    <w:rsid w:val="006E622D"/>
    <w:rsid w:val="006E6280"/>
    <w:rsid w:val="006E62A4"/>
    <w:rsid w:val="006E62B3"/>
    <w:rsid w:val="006E649C"/>
    <w:rsid w:val="006E65D8"/>
    <w:rsid w:val="006E6614"/>
    <w:rsid w:val="006E66D2"/>
    <w:rsid w:val="006E66E1"/>
    <w:rsid w:val="006E674C"/>
    <w:rsid w:val="006E6880"/>
    <w:rsid w:val="006E6A7A"/>
    <w:rsid w:val="006E6A8C"/>
    <w:rsid w:val="006E6BDD"/>
    <w:rsid w:val="006E6CC7"/>
    <w:rsid w:val="006E6CDC"/>
    <w:rsid w:val="006E6D86"/>
    <w:rsid w:val="006E6DD5"/>
    <w:rsid w:val="006E6E4C"/>
    <w:rsid w:val="006E705D"/>
    <w:rsid w:val="006E70C7"/>
    <w:rsid w:val="006E70D0"/>
    <w:rsid w:val="006E70FC"/>
    <w:rsid w:val="006E71C4"/>
    <w:rsid w:val="006E7299"/>
    <w:rsid w:val="006E7368"/>
    <w:rsid w:val="006E7569"/>
    <w:rsid w:val="006E75BE"/>
    <w:rsid w:val="006E75EC"/>
    <w:rsid w:val="006E7747"/>
    <w:rsid w:val="006E77EF"/>
    <w:rsid w:val="006E7881"/>
    <w:rsid w:val="006E7999"/>
    <w:rsid w:val="006E79BD"/>
    <w:rsid w:val="006E79E5"/>
    <w:rsid w:val="006E7A2F"/>
    <w:rsid w:val="006E7A36"/>
    <w:rsid w:val="006E7E6F"/>
    <w:rsid w:val="006F00EB"/>
    <w:rsid w:val="006F033B"/>
    <w:rsid w:val="006F0490"/>
    <w:rsid w:val="006F0561"/>
    <w:rsid w:val="006F058B"/>
    <w:rsid w:val="006F06EF"/>
    <w:rsid w:val="006F0715"/>
    <w:rsid w:val="006F080C"/>
    <w:rsid w:val="006F08C7"/>
    <w:rsid w:val="006F0989"/>
    <w:rsid w:val="006F0A8C"/>
    <w:rsid w:val="006F0CA7"/>
    <w:rsid w:val="006F0D4A"/>
    <w:rsid w:val="006F0E48"/>
    <w:rsid w:val="006F0F6A"/>
    <w:rsid w:val="006F0F6B"/>
    <w:rsid w:val="006F1096"/>
    <w:rsid w:val="006F111D"/>
    <w:rsid w:val="006F128A"/>
    <w:rsid w:val="006F15E6"/>
    <w:rsid w:val="006F194F"/>
    <w:rsid w:val="006F1972"/>
    <w:rsid w:val="006F1A2E"/>
    <w:rsid w:val="006F1B9D"/>
    <w:rsid w:val="006F1BBC"/>
    <w:rsid w:val="006F1C2E"/>
    <w:rsid w:val="006F1E2D"/>
    <w:rsid w:val="006F1E8F"/>
    <w:rsid w:val="006F1EB1"/>
    <w:rsid w:val="006F1F4E"/>
    <w:rsid w:val="006F200A"/>
    <w:rsid w:val="006F2110"/>
    <w:rsid w:val="006F22CF"/>
    <w:rsid w:val="006F2362"/>
    <w:rsid w:val="006F2544"/>
    <w:rsid w:val="006F261B"/>
    <w:rsid w:val="006F277C"/>
    <w:rsid w:val="006F2BAA"/>
    <w:rsid w:val="006F2BB1"/>
    <w:rsid w:val="006F2C4B"/>
    <w:rsid w:val="006F2DEC"/>
    <w:rsid w:val="006F2E17"/>
    <w:rsid w:val="006F2E87"/>
    <w:rsid w:val="006F2EC8"/>
    <w:rsid w:val="006F310F"/>
    <w:rsid w:val="006F323C"/>
    <w:rsid w:val="006F3272"/>
    <w:rsid w:val="006F3343"/>
    <w:rsid w:val="006F3356"/>
    <w:rsid w:val="006F33D1"/>
    <w:rsid w:val="006F33F4"/>
    <w:rsid w:val="006F344C"/>
    <w:rsid w:val="006F35E4"/>
    <w:rsid w:val="006F372A"/>
    <w:rsid w:val="006F3764"/>
    <w:rsid w:val="006F3833"/>
    <w:rsid w:val="006F3AB8"/>
    <w:rsid w:val="006F3B8A"/>
    <w:rsid w:val="006F3BAF"/>
    <w:rsid w:val="006F3DF1"/>
    <w:rsid w:val="006F4015"/>
    <w:rsid w:val="006F406D"/>
    <w:rsid w:val="006F42AB"/>
    <w:rsid w:val="006F4312"/>
    <w:rsid w:val="006F4425"/>
    <w:rsid w:val="006F451D"/>
    <w:rsid w:val="006F45D4"/>
    <w:rsid w:val="006F46E8"/>
    <w:rsid w:val="006F474B"/>
    <w:rsid w:val="006F4778"/>
    <w:rsid w:val="006F4911"/>
    <w:rsid w:val="006F4B59"/>
    <w:rsid w:val="006F4C59"/>
    <w:rsid w:val="006F4C87"/>
    <w:rsid w:val="006F4D2B"/>
    <w:rsid w:val="006F4D3A"/>
    <w:rsid w:val="006F4D51"/>
    <w:rsid w:val="006F4D7A"/>
    <w:rsid w:val="006F4DAF"/>
    <w:rsid w:val="006F4F93"/>
    <w:rsid w:val="006F5000"/>
    <w:rsid w:val="006F523B"/>
    <w:rsid w:val="006F547C"/>
    <w:rsid w:val="006F5774"/>
    <w:rsid w:val="006F58A8"/>
    <w:rsid w:val="006F5960"/>
    <w:rsid w:val="006F5A74"/>
    <w:rsid w:val="006F5B3D"/>
    <w:rsid w:val="006F5CA8"/>
    <w:rsid w:val="006F5EBB"/>
    <w:rsid w:val="006F5EE4"/>
    <w:rsid w:val="006F61AA"/>
    <w:rsid w:val="006F623C"/>
    <w:rsid w:val="006F6268"/>
    <w:rsid w:val="006F62C1"/>
    <w:rsid w:val="006F646E"/>
    <w:rsid w:val="006F64C9"/>
    <w:rsid w:val="006F64E2"/>
    <w:rsid w:val="006F6550"/>
    <w:rsid w:val="006F65A5"/>
    <w:rsid w:val="006F6619"/>
    <w:rsid w:val="006F676A"/>
    <w:rsid w:val="006F6881"/>
    <w:rsid w:val="006F6978"/>
    <w:rsid w:val="006F69D7"/>
    <w:rsid w:val="006F6C3C"/>
    <w:rsid w:val="006F6D3A"/>
    <w:rsid w:val="006F6D66"/>
    <w:rsid w:val="006F6E82"/>
    <w:rsid w:val="006F6EA4"/>
    <w:rsid w:val="006F6FD8"/>
    <w:rsid w:val="006F70A2"/>
    <w:rsid w:val="006F722B"/>
    <w:rsid w:val="006F724E"/>
    <w:rsid w:val="006F7534"/>
    <w:rsid w:val="006F75B2"/>
    <w:rsid w:val="006F764F"/>
    <w:rsid w:val="006F7742"/>
    <w:rsid w:val="006F7838"/>
    <w:rsid w:val="006F785B"/>
    <w:rsid w:val="006F787D"/>
    <w:rsid w:val="006F794C"/>
    <w:rsid w:val="006F79C2"/>
    <w:rsid w:val="006F7B5B"/>
    <w:rsid w:val="006F7B82"/>
    <w:rsid w:val="006F7BB4"/>
    <w:rsid w:val="006F7BD9"/>
    <w:rsid w:val="006F7C21"/>
    <w:rsid w:val="006F7C86"/>
    <w:rsid w:val="006F7E70"/>
    <w:rsid w:val="006F7FA6"/>
    <w:rsid w:val="00700061"/>
    <w:rsid w:val="007000A8"/>
    <w:rsid w:val="007000AB"/>
    <w:rsid w:val="007000E8"/>
    <w:rsid w:val="0070013D"/>
    <w:rsid w:val="0070025B"/>
    <w:rsid w:val="0070038A"/>
    <w:rsid w:val="007003F7"/>
    <w:rsid w:val="007004D3"/>
    <w:rsid w:val="0070050F"/>
    <w:rsid w:val="007007B1"/>
    <w:rsid w:val="00700826"/>
    <w:rsid w:val="00700847"/>
    <w:rsid w:val="00700A39"/>
    <w:rsid w:val="00700AE8"/>
    <w:rsid w:val="00700BFD"/>
    <w:rsid w:val="00700C1F"/>
    <w:rsid w:val="00700EB3"/>
    <w:rsid w:val="00700F0C"/>
    <w:rsid w:val="00700F7D"/>
    <w:rsid w:val="007012EA"/>
    <w:rsid w:val="00701439"/>
    <w:rsid w:val="0070153B"/>
    <w:rsid w:val="00701607"/>
    <w:rsid w:val="00701650"/>
    <w:rsid w:val="00701707"/>
    <w:rsid w:val="007017E9"/>
    <w:rsid w:val="00701A00"/>
    <w:rsid w:val="00701BE0"/>
    <w:rsid w:val="00701EC0"/>
    <w:rsid w:val="00701F52"/>
    <w:rsid w:val="00702040"/>
    <w:rsid w:val="00702130"/>
    <w:rsid w:val="007022A4"/>
    <w:rsid w:val="00702476"/>
    <w:rsid w:val="007024CF"/>
    <w:rsid w:val="00702597"/>
    <w:rsid w:val="007025E9"/>
    <w:rsid w:val="00702611"/>
    <w:rsid w:val="007026F6"/>
    <w:rsid w:val="00702831"/>
    <w:rsid w:val="00702941"/>
    <w:rsid w:val="00702D95"/>
    <w:rsid w:val="00702E86"/>
    <w:rsid w:val="00702F0B"/>
    <w:rsid w:val="00702F82"/>
    <w:rsid w:val="00702F93"/>
    <w:rsid w:val="0070303D"/>
    <w:rsid w:val="00703066"/>
    <w:rsid w:val="007031B7"/>
    <w:rsid w:val="00703330"/>
    <w:rsid w:val="00703332"/>
    <w:rsid w:val="0070346C"/>
    <w:rsid w:val="007037A7"/>
    <w:rsid w:val="00703944"/>
    <w:rsid w:val="00703A3D"/>
    <w:rsid w:val="00703AA6"/>
    <w:rsid w:val="00703DC0"/>
    <w:rsid w:val="00703E2F"/>
    <w:rsid w:val="00703E76"/>
    <w:rsid w:val="00703E7F"/>
    <w:rsid w:val="00703E99"/>
    <w:rsid w:val="00703FB0"/>
    <w:rsid w:val="0070433F"/>
    <w:rsid w:val="0070434F"/>
    <w:rsid w:val="007043A6"/>
    <w:rsid w:val="007043AF"/>
    <w:rsid w:val="00704426"/>
    <w:rsid w:val="007044D9"/>
    <w:rsid w:val="00704674"/>
    <w:rsid w:val="0070473A"/>
    <w:rsid w:val="00704803"/>
    <w:rsid w:val="007048C8"/>
    <w:rsid w:val="00704B06"/>
    <w:rsid w:val="00704BD8"/>
    <w:rsid w:val="00704C1B"/>
    <w:rsid w:val="00704C64"/>
    <w:rsid w:val="00704F3E"/>
    <w:rsid w:val="00704F6A"/>
    <w:rsid w:val="00704F9B"/>
    <w:rsid w:val="00704FB8"/>
    <w:rsid w:val="007051B1"/>
    <w:rsid w:val="007051D9"/>
    <w:rsid w:val="0070523F"/>
    <w:rsid w:val="007052F0"/>
    <w:rsid w:val="00705388"/>
    <w:rsid w:val="0070551E"/>
    <w:rsid w:val="00705550"/>
    <w:rsid w:val="007055B0"/>
    <w:rsid w:val="00705696"/>
    <w:rsid w:val="0070581D"/>
    <w:rsid w:val="0070582A"/>
    <w:rsid w:val="0070595B"/>
    <w:rsid w:val="00705A19"/>
    <w:rsid w:val="00705A8F"/>
    <w:rsid w:val="00705B4D"/>
    <w:rsid w:val="00705BBF"/>
    <w:rsid w:val="00705D94"/>
    <w:rsid w:val="00705E42"/>
    <w:rsid w:val="00705EAC"/>
    <w:rsid w:val="00705F7C"/>
    <w:rsid w:val="00705FF1"/>
    <w:rsid w:val="007060EB"/>
    <w:rsid w:val="00706120"/>
    <w:rsid w:val="00706258"/>
    <w:rsid w:val="007062E4"/>
    <w:rsid w:val="00706314"/>
    <w:rsid w:val="00706322"/>
    <w:rsid w:val="00706453"/>
    <w:rsid w:val="007065C6"/>
    <w:rsid w:val="00706616"/>
    <w:rsid w:val="0070663A"/>
    <w:rsid w:val="007066F4"/>
    <w:rsid w:val="0070670F"/>
    <w:rsid w:val="00706757"/>
    <w:rsid w:val="00706A05"/>
    <w:rsid w:val="00706B63"/>
    <w:rsid w:val="00706BB5"/>
    <w:rsid w:val="00706BD9"/>
    <w:rsid w:val="00706CCC"/>
    <w:rsid w:val="00706D88"/>
    <w:rsid w:val="00706D90"/>
    <w:rsid w:val="00706E2C"/>
    <w:rsid w:val="00706F17"/>
    <w:rsid w:val="00706FF4"/>
    <w:rsid w:val="007074BC"/>
    <w:rsid w:val="007074FD"/>
    <w:rsid w:val="007075B3"/>
    <w:rsid w:val="007075BE"/>
    <w:rsid w:val="007076BF"/>
    <w:rsid w:val="00707847"/>
    <w:rsid w:val="00707859"/>
    <w:rsid w:val="00707923"/>
    <w:rsid w:val="00707977"/>
    <w:rsid w:val="00707C0B"/>
    <w:rsid w:val="00707C90"/>
    <w:rsid w:val="00707D7B"/>
    <w:rsid w:val="00707E8A"/>
    <w:rsid w:val="00707EAD"/>
    <w:rsid w:val="007101F7"/>
    <w:rsid w:val="00710243"/>
    <w:rsid w:val="00710311"/>
    <w:rsid w:val="0071044A"/>
    <w:rsid w:val="00710588"/>
    <w:rsid w:val="00710716"/>
    <w:rsid w:val="00710810"/>
    <w:rsid w:val="00710A35"/>
    <w:rsid w:val="00710BAB"/>
    <w:rsid w:val="00710C56"/>
    <w:rsid w:val="00710D73"/>
    <w:rsid w:val="00710DD6"/>
    <w:rsid w:val="00710DDC"/>
    <w:rsid w:val="00710F1A"/>
    <w:rsid w:val="00710F95"/>
    <w:rsid w:val="0071100D"/>
    <w:rsid w:val="00711024"/>
    <w:rsid w:val="00711193"/>
    <w:rsid w:val="007111EA"/>
    <w:rsid w:val="0071125B"/>
    <w:rsid w:val="007112D3"/>
    <w:rsid w:val="007114B5"/>
    <w:rsid w:val="007114BF"/>
    <w:rsid w:val="0071160A"/>
    <w:rsid w:val="007116EF"/>
    <w:rsid w:val="00711914"/>
    <w:rsid w:val="007119A2"/>
    <w:rsid w:val="00711BD7"/>
    <w:rsid w:val="00711C9D"/>
    <w:rsid w:val="00711CB5"/>
    <w:rsid w:val="00711D87"/>
    <w:rsid w:val="00711DCF"/>
    <w:rsid w:val="00711DF6"/>
    <w:rsid w:val="00711F7F"/>
    <w:rsid w:val="0071207F"/>
    <w:rsid w:val="0071208B"/>
    <w:rsid w:val="007120EF"/>
    <w:rsid w:val="00712178"/>
    <w:rsid w:val="007121A5"/>
    <w:rsid w:val="007121EF"/>
    <w:rsid w:val="00712218"/>
    <w:rsid w:val="00712313"/>
    <w:rsid w:val="0071234E"/>
    <w:rsid w:val="007125FF"/>
    <w:rsid w:val="007126A1"/>
    <w:rsid w:val="0071272B"/>
    <w:rsid w:val="0071275A"/>
    <w:rsid w:val="00712810"/>
    <w:rsid w:val="00712AE1"/>
    <w:rsid w:val="00712D35"/>
    <w:rsid w:val="00712D41"/>
    <w:rsid w:val="00712E2F"/>
    <w:rsid w:val="00712E9C"/>
    <w:rsid w:val="00713094"/>
    <w:rsid w:val="0071316E"/>
    <w:rsid w:val="007132A9"/>
    <w:rsid w:val="00713516"/>
    <w:rsid w:val="0071364E"/>
    <w:rsid w:val="007138B5"/>
    <w:rsid w:val="0071397A"/>
    <w:rsid w:val="00713A87"/>
    <w:rsid w:val="00713B48"/>
    <w:rsid w:val="00713C43"/>
    <w:rsid w:val="00713CCA"/>
    <w:rsid w:val="00713EA7"/>
    <w:rsid w:val="00713F88"/>
    <w:rsid w:val="007140D3"/>
    <w:rsid w:val="007140F9"/>
    <w:rsid w:val="007142F8"/>
    <w:rsid w:val="007143B9"/>
    <w:rsid w:val="00714436"/>
    <w:rsid w:val="0071443F"/>
    <w:rsid w:val="007145BA"/>
    <w:rsid w:val="0071481D"/>
    <w:rsid w:val="00714A8A"/>
    <w:rsid w:val="00714B5C"/>
    <w:rsid w:val="00714C4E"/>
    <w:rsid w:val="00714CD7"/>
    <w:rsid w:val="00714CF6"/>
    <w:rsid w:val="00714DDC"/>
    <w:rsid w:val="00714DE8"/>
    <w:rsid w:val="00714E80"/>
    <w:rsid w:val="00714EAC"/>
    <w:rsid w:val="00714EE8"/>
    <w:rsid w:val="00714FBA"/>
    <w:rsid w:val="00715029"/>
    <w:rsid w:val="00715068"/>
    <w:rsid w:val="007150AC"/>
    <w:rsid w:val="00715227"/>
    <w:rsid w:val="007152CC"/>
    <w:rsid w:val="00715647"/>
    <w:rsid w:val="0071565D"/>
    <w:rsid w:val="0071571A"/>
    <w:rsid w:val="00715772"/>
    <w:rsid w:val="00715B6B"/>
    <w:rsid w:val="00715C36"/>
    <w:rsid w:val="00715D47"/>
    <w:rsid w:val="00715E63"/>
    <w:rsid w:val="00715EB3"/>
    <w:rsid w:val="00715F4D"/>
    <w:rsid w:val="00715F5D"/>
    <w:rsid w:val="00716029"/>
    <w:rsid w:val="00716186"/>
    <w:rsid w:val="007161D9"/>
    <w:rsid w:val="007161F0"/>
    <w:rsid w:val="0071632F"/>
    <w:rsid w:val="00716330"/>
    <w:rsid w:val="00716450"/>
    <w:rsid w:val="0071649D"/>
    <w:rsid w:val="00716621"/>
    <w:rsid w:val="00716753"/>
    <w:rsid w:val="007167B0"/>
    <w:rsid w:val="0071681A"/>
    <w:rsid w:val="00716836"/>
    <w:rsid w:val="0071689C"/>
    <w:rsid w:val="007168D4"/>
    <w:rsid w:val="00716ADE"/>
    <w:rsid w:val="00716B06"/>
    <w:rsid w:val="00716E08"/>
    <w:rsid w:val="00716F37"/>
    <w:rsid w:val="0071700A"/>
    <w:rsid w:val="00717136"/>
    <w:rsid w:val="0071722F"/>
    <w:rsid w:val="00717468"/>
    <w:rsid w:val="00717475"/>
    <w:rsid w:val="007175CF"/>
    <w:rsid w:val="007175FC"/>
    <w:rsid w:val="007175FE"/>
    <w:rsid w:val="00717707"/>
    <w:rsid w:val="00717718"/>
    <w:rsid w:val="00717800"/>
    <w:rsid w:val="00717819"/>
    <w:rsid w:val="007178E2"/>
    <w:rsid w:val="00717958"/>
    <w:rsid w:val="00717A05"/>
    <w:rsid w:val="00717A24"/>
    <w:rsid w:val="00717AD5"/>
    <w:rsid w:val="00717D24"/>
    <w:rsid w:val="00717DEA"/>
    <w:rsid w:val="00717E73"/>
    <w:rsid w:val="007200BD"/>
    <w:rsid w:val="007200E6"/>
    <w:rsid w:val="00720124"/>
    <w:rsid w:val="007202EB"/>
    <w:rsid w:val="007203A0"/>
    <w:rsid w:val="007204C9"/>
    <w:rsid w:val="00720577"/>
    <w:rsid w:val="00720620"/>
    <w:rsid w:val="0072068B"/>
    <w:rsid w:val="00720726"/>
    <w:rsid w:val="00720794"/>
    <w:rsid w:val="007207BC"/>
    <w:rsid w:val="00720849"/>
    <w:rsid w:val="0072090A"/>
    <w:rsid w:val="007209A4"/>
    <w:rsid w:val="00720A2A"/>
    <w:rsid w:val="00720D91"/>
    <w:rsid w:val="00720E94"/>
    <w:rsid w:val="00721043"/>
    <w:rsid w:val="0072105B"/>
    <w:rsid w:val="007211E6"/>
    <w:rsid w:val="00721205"/>
    <w:rsid w:val="007212ED"/>
    <w:rsid w:val="0072144B"/>
    <w:rsid w:val="00721630"/>
    <w:rsid w:val="0072174C"/>
    <w:rsid w:val="0072178B"/>
    <w:rsid w:val="0072187E"/>
    <w:rsid w:val="0072195D"/>
    <w:rsid w:val="00721974"/>
    <w:rsid w:val="00721B7F"/>
    <w:rsid w:val="00721BDB"/>
    <w:rsid w:val="00721C6A"/>
    <w:rsid w:val="00721D99"/>
    <w:rsid w:val="00721F2F"/>
    <w:rsid w:val="00722109"/>
    <w:rsid w:val="00722168"/>
    <w:rsid w:val="00722197"/>
    <w:rsid w:val="007221AC"/>
    <w:rsid w:val="0072226B"/>
    <w:rsid w:val="007223FA"/>
    <w:rsid w:val="007224E0"/>
    <w:rsid w:val="007225F9"/>
    <w:rsid w:val="00722789"/>
    <w:rsid w:val="007227AF"/>
    <w:rsid w:val="00722813"/>
    <w:rsid w:val="00722AB3"/>
    <w:rsid w:val="00722DC2"/>
    <w:rsid w:val="00722F6B"/>
    <w:rsid w:val="00722F87"/>
    <w:rsid w:val="007230D3"/>
    <w:rsid w:val="007230EB"/>
    <w:rsid w:val="0072310C"/>
    <w:rsid w:val="00723170"/>
    <w:rsid w:val="007233DB"/>
    <w:rsid w:val="00723553"/>
    <w:rsid w:val="007235F2"/>
    <w:rsid w:val="0072369B"/>
    <w:rsid w:val="00723751"/>
    <w:rsid w:val="00723759"/>
    <w:rsid w:val="00723880"/>
    <w:rsid w:val="007238A4"/>
    <w:rsid w:val="00723AA8"/>
    <w:rsid w:val="00723AC1"/>
    <w:rsid w:val="00723C04"/>
    <w:rsid w:val="00723C2A"/>
    <w:rsid w:val="00723F18"/>
    <w:rsid w:val="00724056"/>
    <w:rsid w:val="0072432F"/>
    <w:rsid w:val="007243A6"/>
    <w:rsid w:val="007243C6"/>
    <w:rsid w:val="007243DF"/>
    <w:rsid w:val="007243EB"/>
    <w:rsid w:val="007244CD"/>
    <w:rsid w:val="00724509"/>
    <w:rsid w:val="00724596"/>
    <w:rsid w:val="0072463B"/>
    <w:rsid w:val="007246FA"/>
    <w:rsid w:val="007248A2"/>
    <w:rsid w:val="007248CF"/>
    <w:rsid w:val="007248F7"/>
    <w:rsid w:val="007249DA"/>
    <w:rsid w:val="00724A4A"/>
    <w:rsid w:val="00724E15"/>
    <w:rsid w:val="00724E35"/>
    <w:rsid w:val="00724E72"/>
    <w:rsid w:val="00724E7B"/>
    <w:rsid w:val="0072508D"/>
    <w:rsid w:val="007250F7"/>
    <w:rsid w:val="0072515A"/>
    <w:rsid w:val="00725191"/>
    <w:rsid w:val="007252C0"/>
    <w:rsid w:val="00725311"/>
    <w:rsid w:val="007253A9"/>
    <w:rsid w:val="0072593E"/>
    <w:rsid w:val="0072594F"/>
    <w:rsid w:val="0072596A"/>
    <w:rsid w:val="00725974"/>
    <w:rsid w:val="007259BF"/>
    <w:rsid w:val="00725AB6"/>
    <w:rsid w:val="00725B32"/>
    <w:rsid w:val="00725DE2"/>
    <w:rsid w:val="00725E6D"/>
    <w:rsid w:val="00725E99"/>
    <w:rsid w:val="00726051"/>
    <w:rsid w:val="00726087"/>
    <w:rsid w:val="007260D0"/>
    <w:rsid w:val="0072611E"/>
    <w:rsid w:val="0072625C"/>
    <w:rsid w:val="007262DB"/>
    <w:rsid w:val="007265A3"/>
    <w:rsid w:val="00726628"/>
    <w:rsid w:val="0072672A"/>
    <w:rsid w:val="0072673A"/>
    <w:rsid w:val="00726857"/>
    <w:rsid w:val="00726A41"/>
    <w:rsid w:val="00726BFC"/>
    <w:rsid w:val="00726D0D"/>
    <w:rsid w:val="0072705D"/>
    <w:rsid w:val="007270BF"/>
    <w:rsid w:val="00727128"/>
    <w:rsid w:val="007271F8"/>
    <w:rsid w:val="007275C0"/>
    <w:rsid w:val="007275EB"/>
    <w:rsid w:val="007275FC"/>
    <w:rsid w:val="00727677"/>
    <w:rsid w:val="00727726"/>
    <w:rsid w:val="0072779A"/>
    <w:rsid w:val="00727A4D"/>
    <w:rsid w:val="00727B59"/>
    <w:rsid w:val="00727BD0"/>
    <w:rsid w:val="00727C09"/>
    <w:rsid w:val="00727CB9"/>
    <w:rsid w:val="00727CCC"/>
    <w:rsid w:val="00727CF7"/>
    <w:rsid w:val="00727D6C"/>
    <w:rsid w:val="00727E2F"/>
    <w:rsid w:val="00727E36"/>
    <w:rsid w:val="00727FDB"/>
    <w:rsid w:val="007302F6"/>
    <w:rsid w:val="00730476"/>
    <w:rsid w:val="00730478"/>
    <w:rsid w:val="00730535"/>
    <w:rsid w:val="007305C8"/>
    <w:rsid w:val="007306B8"/>
    <w:rsid w:val="007306E0"/>
    <w:rsid w:val="007307BB"/>
    <w:rsid w:val="007307F8"/>
    <w:rsid w:val="0073080A"/>
    <w:rsid w:val="00730911"/>
    <w:rsid w:val="00730A9B"/>
    <w:rsid w:val="00730B97"/>
    <w:rsid w:val="00730D44"/>
    <w:rsid w:val="00730D48"/>
    <w:rsid w:val="00730DB3"/>
    <w:rsid w:val="00730E8C"/>
    <w:rsid w:val="00730FC7"/>
    <w:rsid w:val="00730FE3"/>
    <w:rsid w:val="00731107"/>
    <w:rsid w:val="00731232"/>
    <w:rsid w:val="00731262"/>
    <w:rsid w:val="007312B8"/>
    <w:rsid w:val="007312BA"/>
    <w:rsid w:val="00731443"/>
    <w:rsid w:val="00731464"/>
    <w:rsid w:val="00731490"/>
    <w:rsid w:val="007315A1"/>
    <w:rsid w:val="00731721"/>
    <w:rsid w:val="0073188E"/>
    <w:rsid w:val="00731956"/>
    <w:rsid w:val="00731A3E"/>
    <w:rsid w:val="00731AFA"/>
    <w:rsid w:val="00731B04"/>
    <w:rsid w:val="00731B63"/>
    <w:rsid w:val="00731B67"/>
    <w:rsid w:val="00731B9F"/>
    <w:rsid w:val="00731D85"/>
    <w:rsid w:val="00731DA8"/>
    <w:rsid w:val="007320A0"/>
    <w:rsid w:val="007320ED"/>
    <w:rsid w:val="00732148"/>
    <w:rsid w:val="007321CB"/>
    <w:rsid w:val="00732482"/>
    <w:rsid w:val="007324E8"/>
    <w:rsid w:val="007324EB"/>
    <w:rsid w:val="00732669"/>
    <w:rsid w:val="00732678"/>
    <w:rsid w:val="00732795"/>
    <w:rsid w:val="007328BF"/>
    <w:rsid w:val="007328F3"/>
    <w:rsid w:val="00732989"/>
    <w:rsid w:val="00732B89"/>
    <w:rsid w:val="00732F5E"/>
    <w:rsid w:val="00733273"/>
    <w:rsid w:val="0073330D"/>
    <w:rsid w:val="00733323"/>
    <w:rsid w:val="00733359"/>
    <w:rsid w:val="00733364"/>
    <w:rsid w:val="007333B9"/>
    <w:rsid w:val="0073340D"/>
    <w:rsid w:val="00733432"/>
    <w:rsid w:val="007334C5"/>
    <w:rsid w:val="007334CC"/>
    <w:rsid w:val="007334CF"/>
    <w:rsid w:val="007335EA"/>
    <w:rsid w:val="007336A4"/>
    <w:rsid w:val="0073375C"/>
    <w:rsid w:val="007337B5"/>
    <w:rsid w:val="007337C8"/>
    <w:rsid w:val="00733A34"/>
    <w:rsid w:val="00733A64"/>
    <w:rsid w:val="00733AAF"/>
    <w:rsid w:val="00733B5F"/>
    <w:rsid w:val="00733F76"/>
    <w:rsid w:val="0073426E"/>
    <w:rsid w:val="007342CA"/>
    <w:rsid w:val="00734302"/>
    <w:rsid w:val="007343FD"/>
    <w:rsid w:val="00734497"/>
    <w:rsid w:val="0073453B"/>
    <w:rsid w:val="0073464D"/>
    <w:rsid w:val="007346D6"/>
    <w:rsid w:val="0073482F"/>
    <w:rsid w:val="007348A6"/>
    <w:rsid w:val="0073491C"/>
    <w:rsid w:val="007349A5"/>
    <w:rsid w:val="00734CED"/>
    <w:rsid w:val="00734E44"/>
    <w:rsid w:val="00734E84"/>
    <w:rsid w:val="00734F49"/>
    <w:rsid w:val="00735055"/>
    <w:rsid w:val="00735198"/>
    <w:rsid w:val="00735206"/>
    <w:rsid w:val="007353A1"/>
    <w:rsid w:val="007353FF"/>
    <w:rsid w:val="00735402"/>
    <w:rsid w:val="00735492"/>
    <w:rsid w:val="007354CB"/>
    <w:rsid w:val="00735612"/>
    <w:rsid w:val="007357A3"/>
    <w:rsid w:val="00735A43"/>
    <w:rsid w:val="00735A7E"/>
    <w:rsid w:val="00735C39"/>
    <w:rsid w:val="00735D51"/>
    <w:rsid w:val="00735E75"/>
    <w:rsid w:val="0073603C"/>
    <w:rsid w:val="0073604B"/>
    <w:rsid w:val="00736335"/>
    <w:rsid w:val="00736360"/>
    <w:rsid w:val="00736394"/>
    <w:rsid w:val="0073647F"/>
    <w:rsid w:val="007364EA"/>
    <w:rsid w:val="00736539"/>
    <w:rsid w:val="00736546"/>
    <w:rsid w:val="00736618"/>
    <w:rsid w:val="00736658"/>
    <w:rsid w:val="0073685E"/>
    <w:rsid w:val="00736872"/>
    <w:rsid w:val="0073694B"/>
    <w:rsid w:val="007369AB"/>
    <w:rsid w:val="00736BB0"/>
    <w:rsid w:val="00736BF3"/>
    <w:rsid w:val="00736C54"/>
    <w:rsid w:val="00736D55"/>
    <w:rsid w:val="00736E82"/>
    <w:rsid w:val="00736F7C"/>
    <w:rsid w:val="00736FC1"/>
    <w:rsid w:val="00736FDE"/>
    <w:rsid w:val="007370F9"/>
    <w:rsid w:val="0073711D"/>
    <w:rsid w:val="007372BE"/>
    <w:rsid w:val="007374C4"/>
    <w:rsid w:val="00737506"/>
    <w:rsid w:val="0073756A"/>
    <w:rsid w:val="007378F7"/>
    <w:rsid w:val="00737937"/>
    <w:rsid w:val="0073797B"/>
    <w:rsid w:val="00737A9B"/>
    <w:rsid w:val="00737AED"/>
    <w:rsid w:val="00737B1A"/>
    <w:rsid w:val="00737C24"/>
    <w:rsid w:val="00737C25"/>
    <w:rsid w:val="00737C4D"/>
    <w:rsid w:val="00737C71"/>
    <w:rsid w:val="00737CAE"/>
    <w:rsid w:val="00737D37"/>
    <w:rsid w:val="00740008"/>
    <w:rsid w:val="0074004C"/>
    <w:rsid w:val="0074010C"/>
    <w:rsid w:val="0074046D"/>
    <w:rsid w:val="007404AD"/>
    <w:rsid w:val="007404DF"/>
    <w:rsid w:val="007404F5"/>
    <w:rsid w:val="00740511"/>
    <w:rsid w:val="00740629"/>
    <w:rsid w:val="007408F8"/>
    <w:rsid w:val="00740AEA"/>
    <w:rsid w:val="00740CD9"/>
    <w:rsid w:val="00740E89"/>
    <w:rsid w:val="00740F8E"/>
    <w:rsid w:val="0074115D"/>
    <w:rsid w:val="00741232"/>
    <w:rsid w:val="007412FE"/>
    <w:rsid w:val="007414B1"/>
    <w:rsid w:val="007414CD"/>
    <w:rsid w:val="007414E8"/>
    <w:rsid w:val="00741578"/>
    <w:rsid w:val="0074178C"/>
    <w:rsid w:val="00741805"/>
    <w:rsid w:val="007418B1"/>
    <w:rsid w:val="00741902"/>
    <w:rsid w:val="007419D1"/>
    <w:rsid w:val="00741A51"/>
    <w:rsid w:val="00741A68"/>
    <w:rsid w:val="00741A74"/>
    <w:rsid w:val="00741BA8"/>
    <w:rsid w:val="00741D2B"/>
    <w:rsid w:val="00741F3D"/>
    <w:rsid w:val="00742119"/>
    <w:rsid w:val="00742148"/>
    <w:rsid w:val="007421A8"/>
    <w:rsid w:val="007421BB"/>
    <w:rsid w:val="007424C8"/>
    <w:rsid w:val="007424CE"/>
    <w:rsid w:val="00742731"/>
    <w:rsid w:val="00742772"/>
    <w:rsid w:val="00742944"/>
    <w:rsid w:val="00742A30"/>
    <w:rsid w:val="00742AAB"/>
    <w:rsid w:val="00742AEE"/>
    <w:rsid w:val="00742E2D"/>
    <w:rsid w:val="00742F80"/>
    <w:rsid w:val="0074300F"/>
    <w:rsid w:val="0074321F"/>
    <w:rsid w:val="00743340"/>
    <w:rsid w:val="00743425"/>
    <w:rsid w:val="0074346D"/>
    <w:rsid w:val="007435AE"/>
    <w:rsid w:val="00743678"/>
    <w:rsid w:val="007436F0"/>
    <w:rsid w:val="00743797"/>
    <w:rsid w:val="007438F2"/>
    <w:rsid w:val="007439BF"/>
    <w:rsid w:val="00743A63"/>
    <w:rsid w:val="00743B5B"/>
    <w:rsid w:val="00743B78"/>
    <w:rsid w:val="00743BD0"/>
    <w:rsid w:val="00743CCE"/>
    <w:rsid w:val="00743D2A"/>
    <w:rsid w:val="00743E34"/>
    <w:rsid w:val="00743EF5"/>
    <w:rsid w:val="00743F17"/>
    <w:rsid w:val="0074403A"/>
    <w:rsid w:val="0074424C"/>
    <w:rsid w:val="007443F9"/>
    <w:rsid w:val="00744607"/>
    <w:rsid w:val="007446D5"/>
    <w:rsid w:val="007447AC"/>
    <w:rsid w:val="00744897"/>
    <w:rsid w:val="0074499A"/>
    <w:rsid w:val="00744A38"/>
    <w:rsid w:val="00744AB5"/>
    <w:rsid w:val="00744B05"/>
    <w:rsid w:val="00744BCC"/>
    <w:rsid w:val="00744BDE"/>
    <w:rsid w:val="00744DC1"/>
    <w:rsid w:val="00744E77"/>
    <w:rsid w:val="00744ED3"/>
    <w:rsid w:val="00744F47"/>
    <w:rsid w:val="00744FB6"/>
    <w:rsid w:val="00745009"/>
    <w:rsid w:val="00745118"/>
    <w:rsid w:val="007451B3"/>
    <w:rsid w:val="0074523C"/>
    <w:rsid w:val="00745288"/>
    <w:rsid w:val="00745456"/>
    <w:rsid w:val="007454FB"/>
    <w:rsid w:val="007456A4"/>
    <w:rsid w:val="007457A1"/>
    <w:rsid w:val="0074582D"/>
    <w:rsid w:val="00745837"/>
    <w:rsid w:val="00745A5F"/>
    <w:rsid w:val="00745D38"/>
    <w:rsid w:val="00745E53"/>
    <w:rsid w:val="00745ED4"/>
    <w:rsid w:val="00745FAF"/>
    <w:rsid w:val="0074608E"/>
    <w:rsid w:val="00746132"/>
    <w:rsid w:val="0074616E"/>
    <w:rsid w:val="007464B5"/>
    <w:rsid w:val="00746529"/>
    <w:rsid w:val="007465DB"/>
    <w:rsid w:val="007466AF"/>
    <w:rsid w:val="00746717"/>
    <w:rsid w:val="00746725"/>
    <w:rsid w:val="00746785"/>
    <w:rsid w:val="00746801"/>
    <w:rsid w:val="0074682C"/>
    <w:rsid w:val="00746832"/>
    <w:rsid w:val="007468C3"/>
    <w:rsid w:val="007468D9"/>
    <w:rsid w:val="0074690A"/>
    <w:rsid w:val="00746A48"/>
    <w:rsid w:val="00746A52"/>
    <w:rsid w:val="00746AA4"/>
    <w:rsid w:val="00746AD3"/>
    <w:rsid w:val="00746AF9"/>
    <w:rsid w:val="00746C02"/>
    <w:rsid w:val="00746C85"/>
    <w:rsid w:val="00746D0A"/>
    <w:rsid w:val="00746DDC"/>
    <w:rsid w:val="00746E9E"/>
    <w:rsid w:val="00747054"/>
    <w:rsid w:val="0074705F"/>
    <w:rsid w:val="00747078"/>
    <w:rsid w:val="007470FB"/>
    <w:rsid w:val="00747200"/>
    <w:rsid w:val="0074728F"/>
    <w:rsid w:val="00747299"/>
    <w:rsid w:val="0074732B"/>
    <w:rsid w:val="00747666"/>
    <w:rsid w:val="0074777C"/>
    <w:rsid w:val="0074799C"/>
    <w:rsid w:val="007479C4"/>
    <w:rsid w:val="00747AC2"/>
    <w:rsid w:val="00747AF3"/>
    <w:rsid w:val="00747B37"/>
    <w:rsid w:val="00747BAA"/>
    <w:rsid w:val="00747C44"/>
    <w:rsid w:val="00747C9E"/>
    <w:rsid w:val="00747CE8"/>
    <w:rsid w:val="00747D37"/>
    <w:rsid w:val="00747EFB"/>
    <w:rsid w:val="00747FA9"/>
    <w:rsid w:val="00747FE7"/>
    <w:rsid w:val="007500B2"/>
    <w:rsid w:val="00750210"/>
    <w:rsid w:val="007502E7"/>
    <w:rsid w:val="00750447"/>
    <w:rsid w:val="00750507"/>
    <w:rsid w:val="007505AA"/>
    <w:rsid w:val="007505FE"/>
    <w:rsid w:val="00750813"/>
    <w:rsid w:val="00750978"/>
    <w:rsid w:val="007509C2"/>
    <w:rsid w:val="00750A3C"/>
    <w:rsid w:val="00750A9D"/>
    <w:rsid w:val="00750B57"/>
    <w:rsid w:val="00750B68"/>
    <w:rsid w:val="00750C3B"/>
    <w:rsid w:val="00750D07"/>
    <w:rsid w:val="00750E5E"/>
    <w:rsid w:val="00750E66"/>
    <w:rsid w:val="00750F08"/>
    <w:rsid w:val="00750F9A"/>
    <w:rsid w:val="007512B0"/>
    <w:rsid w:val="0075132B"/>
    <w:rsid w:val="0075132F"/>
    <w:rsid w:val="00751420"/>
    <w:rsid w:val="007514DC"/>
    <w:rsid w:val="0075150B"/>
    <w:rsid w:val="0075155C"/>
    <w:rsid w:val="007516D9"/>
    <w:rsid w:val="007517E5"/>
    <w:rsid w:val="007518F9"/>
    <w:rsid w:val="00751A3E"/>
    <w:rsid w:val="00751AD2"/>
    <w:rsid w:val="00751B01"/>
    <w:rsid w:val="00751C47"/>
    <w:rsid w:val="00751E79"/>
    <w:rsid w:val="00751F79"/>
    <w:rsid w:val="00751FDD"/>
    <w:rsid w:val="0075201E"/>
    <w:rsid w:val="00752073"/>
    <w:rsid w:val="00752101"/>
    <w:rsid w:val="007521A0"/>
    <w:rsid w:val="007523D1"/>
    <w:rsid w:val="007523D8"/>
    <w:rsid w:val="007523EC"/>
    <w:rsid w:val="00752422"/>
    <w:rsid w:val="0075249D"/>
    <w:rsid w:val="00752547"/>
    <w:rsid w:val="007528AD"/>
    <w:rsid w:val="00752987"/>
    <w:rsid w:val="007529F8"/>
    <w:rsid w:val="00752B2F"/>
    <w:rsid w:val="00752B7E"/>
    <w:rsid w:val="00752BCD"/>
    <w:rsid w:val="00752D48"/>
    <w:rsid w:val="00752F66"/>
    <w:rsid w:val="00753006"/>
    <w:rsid w:val="0075312C"/>
    <w:rsid w:val="00753146"/>
    <w:rsid w:val="0075338A"/>
    <w:rsid w:val="007533F5"/>
    <w:rsid w:val="0075348F"/>
    <w:rsid w:val="00753494"/>
    <w:rsid w:val="007534C3"/>
    <w:rsid w:val="007534D4"/>
    <w:rsid w:val="007536E2"/>
    <w:rsid w:val="00753752"/>
    <w:rsid w:val="0075385E"/>
    <w:rsid w:val="0075389A"/>
    <w:rsid w:val="00753A62"/>
    <w:rsid w:val="00753C09"/>
    <w:rsid w:val="00753C70"/>
    <w:rsid w:val="00753C8E"/>
    <w:rsid w:val="00753CDF"/>
    <w:rsid w:val="00753D1C"/>
    <w:rsid w:val="00753D47"/>
    <w:rsid w:val="00753D75"/>
    <w:rsid w:val="00754224"/>
    <w:rsid w:val="00754254"/>
    <w:rsid w:val="0075427E"/>
    <w:rsid w:val="00754292"/>
    <w:rsid w:val="00754490"/>
    <w:rsid w:val="007544A8"/>
    <w:rsid w:val="0075462C"/>
    <w:rsid w:val="007546A6"/>
    <w:rsid w:val="007549CB"/>
    <w:rsid w:val="00754A75"/>
    <w:rsid w:val="00754D02"/>
    <w:rsid w:val="00754EAA"/>
    <w:rsid w:val="00754FE7"/>
    <w:rsid w:val="00755119"/>
    <w:rsid w:val="0075515C"/>
    <w:rsid w:val="00755385"/>
    <w:rsid w:val="00755455"/>
    <w:rsid w:val="00755748"/>
    <w:rsid w:val="00755951"/>
    <w:rsid w:val="007559E1"/>
    <w:rsid w:val="007559F4"/>
    <w:rsid w:val="00755A2C"/>
    <w:rsid w:val="00755A55"/>
    <w:rsid w:val="00755A94"/>
    <w:rsid w:val="00755B1D"/>
    <w:rsid w:val="00755BB7"/>
    <w:rsid w:val="00755D08"/>
    <w:rsid w:val="00755D46"/>
    <w:rsid w:val="00755DDF"/>
    <w:rsid w:val="00755FDB"/>
    <w:rsid w:val="00755FFC"/>
    <w:rsid w:val="007560F3"/>
    <w:rsid w:val="007561D9"/>
    <w:rsid w:val="00756222"/>
    <w:rsid w:val="00756226"/>
    <w:rsid w:val="0075625A"/>
    <w:rsid w:val="00756330"/>
    <w:rsid w:val="00756333"/>
    <w:rsid w:val="007564BC"/>
    <w:rsid w:val="007565B3"/>
    <w:rsid w:val="00756753"/>
    <w:rsid w:val="007567EE"/>
    <w:rsid w:val="0075680E"/>
    <w:rsid w:val="00756AAB"/>
    <w:rsid w:val="00756ACD"/>
    <w:rsid w:val="00756BF8"/>
    <w:rsid w:val="00756D31"/>
    <w:rsid w:val="00756EE0"/>
    <w:rsid w:val="00756FCA"/>
    <w:rsid w:val="00757077"/>
    <w:rsid w:val="007570F1"/>
    <w:rsid w:val="007573C3"/>
    <w:rsid w:val="007573F9"/>
    <w:rsid w:val="0075743B"/>
    <w:rsid w:val="007574A9"/>
    <w:rsid w:val="007575E5"/>
    <w:rsid w:val="00757602"/>
    <w:rsid w:val="0075789F"/>
    <w:rsid w:val="00757925"/>
    <w:rsid w:val="0075797A"/>
    <w:rsid w:val="007579F4"/>
    <w:rsid w:val="00757AC6"/>
    <w:rsid w:val="00757B89"/>
    <w:rsid w:val="00757F80"/>
    <w:rsid w:val="00757FDA"/>
    <w:rsid w:val="00760089"/>
    <w:rsid w:val="00760234"/>
    <w:rsid w:val="0076023D"/>
    <w:rsid w:val="007602A7"/>
    <w:rsid w:val="0076033D"/>
    <w:rsid w:val="00760404"/>
    <w:rsid w:val="0076040B"/>
    <w:rsid w:val="007606AE"/>
    <w:rsid w:val="00760729"/>
    <w:rsid w:val="00760A22"/>
    <w:rsid w:val="00760AD7"/>
    <w:rsid w:val="00760AE2"/>
    <w:rsid w:val="00760B68"/>
    <w:rsid w:val="00760C71"/>
    <w:rsid w:val="00760EC3"/>
    <w:rsid w:val="00760FA6"/>
    <w:rsid w:val="00761161"/>
    <w:rsid w:val="0076118C"/>
    <w:rsid w:val="00761212"/>
    <w:rsid w:val="00761274"/>
    <w:rsid w:val="007612D2"/>
    <w:rsid w:val="007612E3"/>
    <w:rsid w:val="007612F2"/>
    <w:rsid w:val="00761596"/>
    <w:rsid w:val="00761643"/>
    <w:rsid w:val="0076165A"/>
    <w:rsid w:val="0076166A"/>
    <w:rsid w:val="0076174C"/>
    <w:rsid w:val="0076189E"/>
    <w:rsid w:val="007619B8"/>
    <w:rsid w:val="007619FC"/>
    <w:rsid w:val="007620BF"/>
    <w:rsid w:val="00762439"/>
    <w:rsid w:val="0076249E"/>
    <w:rsid w:val="007625FA"/>
    <w:rsid w:val="00762615"/>
    <w:rsid w:val="00762785"/>
    <w:rsid w:val="007627A8"/>
    <w:rsid w:val="00762881"/>
    <w:rsid w:val="0076296C"/>
    <w:rsid w:val="0076299E"/>
    <w:rsid w:val="00762A07"/>
    <w:rsid w:val="00762A41"/>
    <w:rsid w:val="00762BBF"/>
    <w:rsid w:val="00762C44"/>
    <w:rsid w:val="00762D7D"/>
    <w:rsid w:val="00762ECE"/>
    <w:rsid w:val="0076317C"/>
    <w:rsid w:val="007631AE"/>
    <w:rsid w:val="007631AF"/>
    <w:rsid w:val="00763209"/>
    <w:rsid w:val="00763293"/>
    <w:rsid w:val="0076346F"/>
    <w:rsid w:val="007634FA"/>
    <w:rsid w:val="00763620"/>
    <w:rsid w:val="00763726"/>
    <w:rsid w:val="007638DA"/>
    <w:rsid w:val="007639B6"/>
    <w:rsid w:val="00763A79"/>
    <w:rsid w:val="00763A8B"/>
    <w:rsid w:val="00763B6C"/>
    <w:rsid w:val="00763BCE"/>
    <w:rsid w:val="00763C21"/>
    <w:rsid w:val="00763DB4"/>
    <w:rsid w:val="00763DF2"/>
    <w:rsid w:val="00763E00"/>
    <w:rsid w:val="00763E3D"/>
    <w:rsid w:val="00763F75"/>
    <w:rsid w:val="00763F89"/>
    <w:rsid w:val="00764128"/>
    <w:rsid w:val="007641AB"/>
    <w:rsid w:val="007642DF"/>
    <w:rsid w:val="007643BC"/>
    <w:rsid w:val="00764574"/>
    <w:rsid w:val="007646BF"/>
    <w:rsid w:val="00764766"/>
    <w:rsid w:val="007647F9"/>
    <w:rsid w:val="007649B6"/>
    <w:rsid w:val="00764A30"/>
    <w:rsid w:val="00764AF0"/>
    <w:rsid w:val="00764B2C"/>
    <w:rsid w:val="00764D2B"/>
    <w:rsid w:val="00764DBB"/>
    <w:rsid w:val="00764DC0"/>
    <w:rsid w:val="00764F30"/>
    <w:rsid w:val="0076506F"/>
    <w:rsid w:val="00765269"/>
    <w:rsid w:val="00765321"/>
    <w:rsid w:val="0076545A"/>
    <w:rsid w:val="007657EF"/>
    <w:rsid w:val="0076586C"/>
    <w:rsid w:val="007658D4"/>
    <w:rsid w:val="007658DA"/>
    <w:rsid w:val="007659F0"/>
    <w:rsid w:val="00765CB9"/>
    <w:rsid w:val="00765D6F"/>
    <w:rsid w:val="00765E45"/>
    <w:rsid w:val="00765E92"/>
    <w:rsid w:val="00765EA2"/>
    <w:rsid w:val="00765EF8"/>
    <w:rsid w:val="00765F1B"/>
    <w:rsid w:val="00765F32"/>
    <w:rsid w:val="00765F60"/>
    <w:rsid w:val="00765FAB"/>
    <w:rsid w:val="00765FFF"/>
    <w:rsid w:val="0076613E"/>
    <w:rsid w:val="007663C1"/>
    <w:rsid w:val="00766513"/>
    <w:rsid w:val="007665A8"/>
    <w:rsid w:val="00766788"/>
    <w:rsid w:val="007667A8"/>
    <w:rsid w:val="007668A8"/>
    <w:rsid w:val="00766943"/>
    <w:rsid w:val="00766ACC"/>
    <w:rsid w:val="00766C0A"/>
    <w:rsid w:val="00766D34"/>
    <w:rsid w:val="00766E5F"/>
    <w:rsid w:val="00766F1B"/>
    <w:rsid w:val="0076715D"/>
    <w:rsid w:val="007674EB"/>
    <w:rsid w:val="0076752C"/>
    <w:rsid w:val="0076760A"/>
    <w:rsid w:val="0076764C"/>
    <w:rsid w:val="00767666"/>
    <w:rsid w:val="0076768C"/>
    <w:rsid w:val="007676A0"/>
    <w:rsid w:val="00767714"/>
    <w:rsid w:val="00767757"/>
    <w:rsid w:val="0076786F"/>
    <w:rsid w:val="0076792D"/>
    <w:rsid w:val="00767A58"/>
    <w:rsid w:val="00767B88"/>
    <w:rsid w:val="00767B92"/>
    <w:rsid w:val="00767CA9"/>
    <w:rsid w:val="00767CD6"/>
    <w:rsid w:val="00767DD8"/>
    <w:rsid w:val="00767E4A"/>
    <w:rsid w:val="00767EE4"/>
    <w:rsid w:val="007700FB"/>
    <w:rsid w:val="007702C1"/>
    <w:rsid w:val="0077033E"/>
    <w:rsid w:val="007703EA"/>
    <w:rsid w:val="00770576"/>
    <w:rsid w:val="007705F2"/>
    <w:rsid w:val="00770707"/>
    <w:rsid w:val="00770721"/>
    <w:rsid w:val="00770BA5"/>
    <w:rsid w:val="00770CE9"/>
    <w:rsid w:val="00770CFE"/>
    <w:rsid w:val="00770D6B"/>
    <w:rsid w:val="00770E5A"/>
    <w:rsid w:val="00770EE8"/>
    <w:rsid w:val="00771064"/>
    <w:rsid w:val="0077109A"/>
    <w:rsid w:val="0077111F"/>
    <w:rsid w:val="007711AA"/>
    <w:rsid w:val="007711AE"/>
    <w:rsid w:val="007711F9"/>
    <w:rsid w:val="0077141B"/>
    <w:rsid w:val="0077178E"/>
    <w:rsid w:val="00771A59"/>
    <w:rsid w:val="00771B8C"/>
    <w:rsid w:val="00771BE6"/>
    <w:rsid w:val="00771C73"/>
    <w:rsid w:val="00771CE9"/>
    <w:rsid w:val="00771D03"/>
    <w:rsid w:val="00771DD3"/>
    <w:rsid w:val="00771DE3"/>
    <w:rsid w:val="00772396"/>
    <w:rsid w:val="007723F2"/>
    <w:rsid w:val="00772431"/>
    <w:rsid w:val="00772474"/>
    <w:rsid w:val="007724D8"/>
    <w:rsid w:val="00772604"/>
    <w:rsid w:val="007726F3"/>
    <w:rsid w:val="00772815"/>
    <w:rsid w:val="00772845"/>
    <w:rsid w:val="00772855"/>
    <w:rsid w:val="007728C6"/>
    <w:rsid w:val="007729D7"/>
    <w:rsid w:val="00772ACC"/>
    <w:rsid w:val="00772C45"/>
    <w:rsid w:val="00772D46"/>
    <w:rsid w:val="00772DB5"/>
    <w:rsid w:val="00772E52"/>
    <w:rsid w:val="00773129"/>
    <w:rsid w:val="00773194"/>
    <w:rsid w:val="007731B5"/>
    <w:rsid w:val="0077325E"/>
    <w:rsid w:val="007732D2"/>
    <w:rsid w:val="00773374"/>
    <w:rsid w:val="007733A8"/>
    <w:rsid w:val="007733BE"/>
    <w:rsid w:val="007733EF"/>
    <w:rsid w:val="0077355D"/>
    <w:rsid w:val="007735C2"/>
    <w:rsid w:val="00773605"/>
    <w:rsid w:val="00773628"/>
    <w:rsid w:val="007737CE"/>
    <w:rsid w:val="00773944"/>
    <w:rsid w:val="007739CE"/>
    <w:rsid w:val="00773A5E"/>
    <w:rsid w:val="00773BB4"/>
    <w:rsid w:val="00773BCE"/>
    <w:rsid w:val="00773BF9"/>
    <w:rsid w:val="00773C5E"/>
    <w:rsid w:val="00773C9F"/>
    <w:rsid w:val="00773D10"/>
    <w:rsid w:val="0077400D"/>
    <w:rsid w:val="00774099"/>
    <w:rsid w:val="007740CE"/>
    <w:rsid w:val="007741C2"/>
    <w:rsid w:val="0077434E"/>
    <w:rsid w:val="0077446E"/>
    <w:rsid w:val="00774476"/>
    <w:rsid w:val="0077467A"/>
    <w:rsid w:val="00774830"/>
    <w:rsid w:val="00774994"/>
    <w:rsid w:val="00774A5F"/>
    <w:rsid w:val="00774AFD"/>
    <w:rsid w:val="00774BDC"/>
    <w:rsid w:val="00774C38"/>
    <w:rsid w:val="00774E08"/>
    <w:rsid w:val="00774F4D"/>
    <w:rsid w:val="00774FDD"/>
    <w:rsid w:val="00775219"/>
    <w:rsid w:val="007752C7"/>
    <w:rsid w:val="0077536D"/>
    <w:rsid w:val="007756BA"/>
    <w:rsid w:val="007757E1"/>
    <w:rsid w:val="007757EE"/>
    <w:rsid w:val="00775A7D"/>
    <w:rsid w:val="00775A7E"/>
    <w:rsid w:val="00775C67"/>
    <w:rsid w:val="00775CEE"/>
    <w:rsid w:val="00775F31"/>
    <w:rsid w:val="007760E1"/>
    <w:rsid w:val="0077631A"/>
    <w:rsid w:val="00776386"/>
    <w:rsid w:val="00776447"/>
    <w:rsid w:val="007764E3"/>
    <w:rsid w:val="00776637"/>
    <w:rsid w:val="0077665C"/>
    <w:rsid w:val="007767C2"/>
    <w:rsid w:val="0077696C"/>
    <w:rsid w:val="007769C0"/>
    <w:rsid w:val="007769C5"/>
    <w:rsid w:val="00776A0B"/>
    <w:rsid w:val="00776B69"/>
    <w:rsid w:val="00776CE7"/>
    <w:rsid w:val="00776D11"/>
    <w:rsid w:val="00776DB6"/>
    <w:rsid w:val="00776F42"/>
    <w:rsid w:val="0077709D"/>
    <w:rsid w:val="0077721D"/>
    <w:rsid w:val="0077728F"/>
    <w:rsid w:val="00777386"/>
    <w:rsid w:val="00777484"/>
    <w:rsid w:val="00777607"/>
    <w:rsid w:val="0077762D"/>
    <w:rsid w:val="0077769F"/>
    <w:rsid w:val="00777877"/>
    <w:rsid w:val="0077790B"/>
    <w:rsid w:val="007779F5"/>
    <w:rsid w:val="00777B03"/>
    <w:rsid w:val="00777B24"/>
    <w:rsid w:val="00777D41"/>
    <w:rsid w:val="00777E24"/>
    <w:rsid w:val="00777E2D"/>
    <w:rsid w:val="00777E49"/>
    <w:rsid w:val="00777F31"/>
    <w:rsid w:val="00777FE1"/>
    <w:rsid w:val="0078001C"/>
    <w:rsid w:val="00780060"/>
    <w:rsid w:val="007800B8"/>
    <w:rsid w:val="007800FC"/>
    <w:rsid w:val="00780187"/>
    <w:rsid w:val="007801F6"/>
    <w:rsid w:val="007802B1"/>
    <w:rsid w:val="007802D8"/>
    <w:rsid w:val="00780327"/>
    <w:rsid w:val="00780328"/>
    <w:rsid w:val="00780333"/>
    <w:rsid w:val="0078042D"/>
    <w:rsid w:val="007804CD"/>
    <w:rsid w:val="00780758"/>
    <w:rsid w:val="00780771"/>
    <w:rsid w:val="007807BA"/>
    <w:rsid w:val="007807FE"/>
    <w:rsid w:val="007808A5"/>
    <w:rsid w:val="007808B2"/>
    <w:rsid w:val="00780AF4"/>
    <w:rsid w:val="00780C33"/>
    <w:rsid w:val="00780DED"/>
    <w:rsid w:val="00780EF3"/>
    <w:rsid w:val="00780FA9"/>
    <w:rsid w:val="00781157"/>
    <w:rsid w:val="00781243"/>
    <w:rsid w:val="00781735"/>
    <w:rsid w:val="00781765"/>
    <w:rsid w:val="007817DC"/>
    <w:rsid w:val="007818CE"/>
    <w:rsid w:val="00781A4B"/>
    <w:rsid w:val="00781D84"/>
    <w:rsid w:val="00781F10"/>
    <w:rsid w:val="00782055"/>
    <w:rsid w:val="0078207F"/>
    <w:rsid w:val="007820D1"/>
    <w:rsid w:val="00782120"/>
    <w:rsid w:val="00782270"/>
    <w:rsid w:val="0078231D"/>
    <w:rsid w:val="0078277D"/>
    <w:rsid w:val="00782827"/>
    <w:rsid w:val="007828B8"/>
    <w:rsid w:val="007828D8"/>
    <w:rsid w:val="00782A6F"/>
    <w:rsid w:val="00782AF7"/>
    <w:rsid w:val="00782AF9"/>
    <w:rsid w:val="00782BB5"/>
    <w:rsid w:val="00782BCF"/>
    <w:rsid w:val="00782D04"/>
    <w:rsid w:val="00782D09"/>
    <w:rsid w:val="00782D3A"/>
    <w:rsid w:val="00782D46"/>
    <w:rsid w:val="00782DEB"/>
    <w:rsid w:val="00782E59"/>
    <w:rsid w:val="00782E7E"/>
    <w:rsid w:val="00782EB1"/>
    <w:rsid w:val="00782F27"/>
    <w:rsid w:val="00782F2A"/>
    <w:rsid w:val="00782FE6"/>
    <w:rsid w:val="007830B7"/>
    <w:rsid w:val="00783156"/>
    <w:rsid w:val="007832AA"/>
    <w:rsid w:val="00783593"/>
    <w:rsid w:val="007835B2"/>
    <w:rsid w:val="0078374B"/>
    <w:rsid w:val="007839B9"/>
    <w:rsid w:val="00783BBB"/>
    <w:rsid w:val="00783CB2"/>
    <w:rsid w:val="00783CB4"/>
    <w:rsid w:val="00783CBD"/>
    <w:rsid w:val="00783DEA"/>
    <w:rsid w:val="00783EE9"/>
    <w:rsid w:val="00783FBC"/>
    <w:rsid w:val="0078401A"/>
    <w:rsid w:val="00784083"/>
    <w:rsid w:val="007841CA"/>
    <w:rsid w:val="0078446D"/>
    <w:rsid w:val="007844F4"/>
    <w:rsid w:val="00784751"/>
    <w:rsid w:val="007847A1"/>
    <w:rsid w:val="007847F8"/>
    <w:rsid w:val="0078487B"/>
    <w:rsid w:val="007849C3"/>
    <w:rsid w:val="00784B92"/>
    <w:rsid w:val="00784C67"/>
    <w:rsid w:val="007850D3"/>
    <w:rsid w:val="00785157"/>
    <w:rsid w:val="007852BE"/>
    <w:rsid w:val="007854B9"/>
    <w:rsid w:val="007854FE"/>
    <w:rsid w:val="00785530"/>
    <w:rsid w:val="00785694"/>
    <w:rsid w:val="007856AE"/>
    <w:rsid w:val="00785785"/>
    <w:rsid w:val="007857A4"/>
    <w:rsid w:val="007857DB"/>
    <w:rsid w:val="0078593E"/>
    <w:rsid w:val="00785941"/>
    <w:rsid w:val="00785A0B"/>
    <w:rsid w:val="00785D33"/>
    <w:rsid w:val="00785DEA"/>
    <w:rsid w:val="00785DF5"/>
    <w:rsid w:val="00786229"/>
    <w:rsid w:val="00786638"/>
    <w:rsid w:val="007866E4"/>
    <w:rsid w:val="0078679B"/>
    <w:rsid w:val="00786AFE"/>
    <w:rsid w:val="00786B1E"/>
    <w:rsid w:val="00786DAE"/>
    <w:rsid w:val="00786DC5"/>
    <w:rsid w:val="00786F46"/>
    <w:rsid w:val="00786F89"/>
    <w:rsid w:val="007871B0"/>
    <w:rsid w:val="0078760A"/>
    <w:rsid w:val="00787A3E"/>
    <w:rsid w:val="00787A9E"/>
    <w:rsid w:val="00787DC5"/>
    <w:rsid w:val="00787E26"/>
    <w:rsid w:val="007900F9"/>
    <w:rsid w:val="007900FE"/>
    <w:rsid w:val="00790121"/>
    <w:rsid w:val="0079016D"/>
    <w:rsid w:val="007901F7"/>
    <w:rsid w:val="00790333"/>
    <w:rsid w:val="007905BA"/>
    <w:rsid w:val="007905EF"/>
    <w:rsid w:val="00790685"/>
    <w:rsid w:val="0079072A"/>
    <w:rsid w:val="0079072D"/>
    <w:rsid w:val="007908EB"/>
    <w:rsid w:val="0079093A"/>
    <w:rsid w:val="00790A0A"/>
    <w:rsid w:val="00790A92"/>
    <w:rsid w:val="00790B7B"/>
    <w:rsid w:val="00790C06"/>
    <w:rsid w:val="00790CEC"/>
    <w:rsid w:val="00790DCD"/>
    <w:rsid w:val="00790E0C"/>
    <w:rsid w:val="00790E23"/>
    <w:rsid w:val="00790F8E"/>
    <w:rsid w:val="00790F91"/>
    <w:rsid w:val="00790FB6"/>
    <w:rsid w:val="007910D7"/>
    <w:rsid w:val="0079110A"/>
    <w:rsid w:val="007914F9"/>
    <w:rsid w:val="00791708"/>
    <w:rsid w:val="0079188E"/>
    <w:rsid w:val="00791AC6"/>
    <w:rsid w:val="00791B09"/>
    <w:rsid w:val="00791B0C"/>
    <w:rsid w:val="00791B42"/>
    <w:rsid w:val="00791BC1"/>
    <w:rsid w:val="00791BCD"/>
    <w:rsid w:val="00791BFE"/>
    <w:rsid w:val="00791C26"/>
    <w:rsid w:val="00791C2B"/>
    <w:rsid w:val="00791EC1"/>
    <w:rsid w:val="00791F6C"/>
    <w:rsid w:val="00792029"/>
    <w:rsid w:val="007921DC"/>
    <w:rsid w:val="007923F3"/>
    <w:rsid w:val="007924A6"/>
    <w:rsid w:val="0079251C"/>
    <w:rsid w:val="00792641"/>
    <w:rsid w:val="00792837"/>
    <w:rsid w:val="00792918"/>
    <w:rsid w:val="00792CED"/>
    <w:rsid w:val="00792D5F"/>
    <w:rsid w:val="00792F5D"/>
    <w:rsid w:val="00793146"/>
    <w:rsid w:val="007931B3"/>
    <w:rsid w:val="00793217"/>
    <w:rsid w:val="0079348E"/>
    <w:rsid w:val="007934B1"/>
    <w:rsid w:val="0079361F"/>
    <w:rsid w:val="00793669"/>
    <w:rsid w:val="00793733"/>
    <w:rsid w:val="00793875"/>
    <w:rsid w:val="00793943"/>
    <w:rsid w:val="00793971"/>
    <w:rsid w:val="007939B7"/>
    <w:rsid w:val="00793A8D"/>
    <w:rsid w:val="00793C57"/>
    <w:rsid w:val="00793C69"/>
    <w:rsid w:val="00793CF7"/>
    <w:rsid w:val="0079425F"/>
    <w:rsid w:val="007943B1"/>
    <w:rsid w:val="0079442A"/>
    <w:rsid w:val="007944D4"/>
    <w:rsid w:val="0079458A"/>
    <w:rsid w:val="007945C4"/>
    <w:rsid w:val="007946E5"/>
    <w:rsid w:val="0079470C"/>
    <w:rsid w:val="00794A1B"/>
    <w:rsid w:val="00794ADF"/>
    <w:rsid w:val="00794D39"/>
    <w:rsid w:val="00794DA8"/>
    <w:rsid w:val="00794DE6"/>
    <w:rsid w:val="00794DF3"/>
    <w:rsid w:val="00794E58"/>
    <w:rsid w:val="00795076"/>
    <w:rsid w:val="007950FD"/>
    <w:rsid w:val="0079519F"/>
    <w:rsid w:val="007954A3"/>
    <w:rsid w:val="0079559B"/>
    <w:rsid w:val="007955B3"/>
    <w:rsid w:val="00795704"/>
    <w:rsid w:val="0079593E"/>
    <w:rsid w:val="0079598E"/>
    <w:rsid w:val="00795AD9"/>
    <w:rsid w:val="00795BA7"/>
    <w:rsid w:val="00795C8A"/>
    <w:rsid w:val="00795D0B"/>
    <w:rsid w:val="00795E13"/>
    <w:rsid w:val="00795EC4"/>
    <w:rsid w:val="00795FFE"/>
    <w:rsid w:val="00796001"/>
    <w:rsid w:val="00796052"/>
    <w:rsid w:val="0079621D"/>
    <w:rsid w:val="0079649A"/>
    <w:rsid w:val="007964E3"/>
    <w:rsid w:val="007964EF"/>
    <w:rsid w:val="00796703"/>
    <w:rsid w:val="0079670A"/>
    <w:rsid w:val="00796737"/>
    <w:rsid w:val="007967E2"/>
    <w:rsid w:val="00796883"/>
    <w:rsid w:val="007968DE"/>
    <w:rsid w:val="00796D00"/>
    <w:rsid w:val="0079722E"/>
    <w:rsid w:val="00797236"/>
    <w:rsid w:val="00797262"/>
    <w:rsid w:val="00797281"/>
    <w:rsid w:val="007975ED"/>
    <w:rsid w:val="007977D4"/>
    <w:rsid w:val="007978F5"/>
    <w:rsid w:val="0079795E"/>
    <w:rsid w:val="007979F7"/>
    <w:rsid w:val="00797B41"/>
    <w:rsid w:val="00797C6D"/>
    <w:rsid w:val="00797E20"/>
    <w:rsid w:val="00797E68"/>
    <w:rsid w:val="00797ECB"/>
    <w:rsid w:val="007A006F"/>
    <w:rsid w:val="007A020B"/>
    <w:rsid w:val="007A02C3"/>
    <w:rsid w:val="007A03C8"/>
    <w:rsid w:val="007A0402"/>
    <w:rsid w:val="007A06C4"/>
    <w:rsid w:val="007A0960"/>
    <w:rsid w:val="007A097B"/>
    <w:rsid w:val="007A0ABF"/>
    <w:rsid w:val="007A0BED"/>
    <w:rsid w:val="007A0D50"/>
    <w:rsid w:val="007A0DF6"/>
    <w:rsid w:val="007A0F0A"/>
    <w:rsid w:val="007A1011"/>
    <w:rsid w:val="007A12C7"/>
    <w:rsid w:val="007A1324"/>
    <w:rsid w:val="007A155B"/>
    <w:rsid w:val="007A15CE"/>
    <w:rsid w:val="007A174A"/>
    <w:rsid w:val="007A1792"/>
    <w:rsid w:val="007A17F3"/>
    <w:rsid w:val="007A18C3"/>
    <w:rsid w:val="007A1909"/>
    <w:rsid w:val="007A191F"/>
    <w:rsid w:val="007A19BE"/>
    <w:rsid w:val="007A1C23"/>
    <w:rsid w:val="007A1C35"/>
    <w:rsid w:val="007A1C98"/>
    <w:rsid w:val="007A1C9C"/>
    <w:rsid w:val="007A1CD5"/>
    <w:rsid w:val="007A1DAA"/>
    <w:rsid w:val="007A1F92"/>
    <w:rsid w:val="007A2077"/>
    <w:rsid w:val="007A2180"/>
    <w:rsid w:val="007A22FF"/>
    <w:rsid w:val="007A2372"/>
    <w:rsid w:val="007A23C2"/>
    <w:rsid w:val="007A2543"/>
    <w:rsid w:val="007A2600"/>
    <w:rsid w:val="007A26DA"/>
    <w:rsid w:val="007A279D"/>
    <w:rsid w:val="007A2958"/>
    <w:rsid w:val="007A29FA"/>
    <w:rsid w:val="007A2ABB"/>
    <w:rsid w:val="007A2AD4"/>
    <w:rsid w:val="007A2D34"/>
    <w:rsid w:val="007A2DA0"/>
    <w:rsid w:val="007A2E0E"/>
    <w:rsid w:val="007A2E53"/>
    <w:rsid w:val="007A2EA8"/>
    <w:rsid w:val="007A3112"/>
    <w:rsid w:val="007A34E0"/>
    <w:rsid w:val="007A37D4"/>
    <w:rsid w:val="007A3884"/>
    <w:rsid w:val="007A3922"/>
    <w:rsid w:val="007A3962"/>
    <w:rsid w:val="007A396C"/>
    <w:rsid w:val="007A3AE5"/>
    <w:rsid w:val="007A3C12"/>
    <w:rsid w:val="007A3C42"/>
    <w:rsid w:val="007A3E10"/>
    <w:rsid w:val="007A3E32"/>
    <w:rsid w:val="007A3ECA"/>
    <w:rsid w:val="007A3FE9"/>
    <w:rsid w:val="007A404E"/>
    <w:rsid w:val="007A411D"/>
    <w:rsid w:val="007A4162"/>
    <w:rsid w:val="007A4273"/>
    <w:rsid w:val="007A43DD"/>
    <w:rsid w:val="007A4525"/>
    <w:rsid w:val="007A465F"/>
    <w:rsid w:val="007A46C6"/>
    <w:rsid w:val="007A484F"/>
    <w:rsid w:val="007A4850"/>
    <w:rsid w:val="007A4886"/>
    <w:rsid w:val="007A4B2B"/>
    <w:rsid w:val="007A4DB2"/>
    <w:rsid w:val="007A4E51"/>
    <w:rsid w:val="007A5000"/>
    <w:rsid w:val="007A5220"/>
    <w:rsid w:val="007A5232"/>
    <w:rsid w:val="007A5260"/>
    <w:rsid w:val="007A52CA"/>
    <w:rsid w:val="007A5456"/>
    <w:rsid w:val="007A549B"/>
    <w:rsid w:val="007A549F"/>
    <w:rsid w:val="007A5524"/>
    <w:rsid w:val="007A5569"/>
    <w:rsid w:val="007A5647"/>
    <w:rsid w:val="007A5755"/>
    <w:rsid w:val="007A57B0"/>
    <w:rsid w:val="007A58B4"/>
    <w:rsid w:val="007A58DD"/>
    <w:rsid w:val="007A59B1"/>
    <w:rsid w:val="007A5A97"/>
    <w:rsid w:val="007A5AC7"/>
    <w:rsid w:val="007A5CE9"/>
    <w:rsid w:val="007A5D3A"/>
    <w:rsid w:val="007A5D3F"/>
    <w:rsid w:val="007A5E7F"/>
    <w:rsid w:val="007A5EAA"/>
    <w:rsid w:val="007A5F13"/>
    <w:rsid w:val="007A6303"/>
    <w:rsid w:val="007A636B"/>
    <w:rsid w:val="007A63B6"/>
    <w:rsid w:val="007A640D"/>
    <w:rsid w:val="007A640F"/>
    <w:rsid w:val="007A67BF"/>
    <w:rsid w:val="007A6A84"/>
    <w:rsid w:val="007A6B17"/>
    <w:rsid w:val="007A6C1E"/>
    <w:rsid w:val="007A6D99"/>
    <w:rsid w:val="007A6EA8"/>
    <w:rsid w:val="007A6F09"/>
    <w:rsid w:val="007A70C2"/>
    <w:rsid w:val="007A723D"/>
    <w:rsid w:val="007A72EF"/>
    <w:rsid w:val="007A74C0"/>
    <w:rsid w:val="007A7749"/>
    <w:rsid w:val="007A7781"/>
    <w:rsid w:val="007A7794"/>
    <w:rsid w:val="007A784A"/>
    <w:rsid w:val="007A7948"/>
    <w:rsid w:val="007A7C79"/>
    <w:rsid w:val="007A7D0D"/>
    <w:rsid w:val="007A7D28"/>
    <w:rsid w:val="007A7DB8"/>
    <w:rsid w:val="007A7DBD"/>
    <w:rsid w:val="007A7E63"/>
    <w:rsid w:val="007A7F10"/>
    <w:rsid w:val="007A7F64"/>
    <w:rsid w:val="007A7F7D"/>
    <w:rsid w:val="007A7FAB"/>
    <w:rsid w:val="007B006C"/>
    <w:rsid w:val="007B02DA"/>
    <w:rsid w:val="007B0336"/>
    <w:rsid w:val="007B035E"/>
    <w:rsid w:val="007B0462"/>
    <w:rsid w:val="007B0468"/>
    <w:rsid w:val="007B0579"/>
    <w:rsid w:val="007B05FD"/>
    <w:rsid w:val="007B09B3"/>
    <w:rsid w:val="007B0A7D"/>
    <w:rsid w:val="007B0AFC"/>
    <w:rsid w:val="007B0BF6"/>
    <w:rsid w:val="007B0ECE"/>
    <w:rsid w:val="007B0F4C"/>
    <w:rsid w:val="007B100C"/>
    <w:rsid w:val="007B12B9"/>
    <w:rsid w:val="007B14EC"/>
    <w:rsid w:val="007B14F4"/>
    <w:rsid w:val="007B157B"/>
    <w:rsid w:val="007B1592"/>
    <w:rsid w:val="007B1707"/>
    <w:rsid w:val="007B1749"/>
    <w:rsid w:val="007B184B"/>
    <w:rsid w:val="007B1886"/>
    <w:rsid w:val="007B18A7"/>
    <w:rsid w:val="007B199F"/>
    <w:rsid w:val="007B19E6"/>
    <w:rsid w:val="007B1A58"/>
    <w:rsid w:val="007B1B7F"/>
    <w:rsid w:val="007B1C06"/>
    <w:rsid w:val="007B1E83"/>
    <w:rsid w:val="007B1F09"/>
    <w:rsid w:val="007B206A"/>
    <w:rsid w:val="007B2075"/>
    <w:rsid w:val="007B2077"/>
    <w:rsid w:val="007B2206"/>
    <w:rsid w:val="007B22D7"/>
    <w:rsid w:val="007B2455"/>
    <w:rsid w:val="007B24FB"/>
    <w:rsid w:val="007B280E"/>
    <w:rsid w:val="007B2821"/>
    <w:rsid w:val="007B286C"/>
    <w:rsid w:val="007B2B49"/>
    <w:rsid w:val="007B2B82"/>
    <w:rsid w:val="007B2C32"/>
    <w:rsid w:val="007B2E5F"/>
    <w:rsid w:val="007B2F57"/>
    <w:rsid w:val="007B3091"/>
    <w:rsid w:val="007B3160"/>
    <w:rsid w:val="007B33A9"/>
    <w:rsid w:val="007B3582"/>
    <w:rsid w:val="007B35BB"/>
    <w:rsid w:val="007B3723"/>
    <w:rsid w:val="007B3733"/>
    <w:rsid w:val="007B3771"/>
    <w:rsid w:val="007B3809"/>
    <w:rsid w:val="007B3933"/>
    <w:rsid w:val="007B3B18"/>
    <w:rsid w:val="007B3E9D"/>
    <w:rsid w:val="007B3F50"/>
    <w:rsid w:val="007B3F5D"/>
    <w:rsid w:val="007B405F"/>
    <w:rsid w:val="007B41E2"/>
    <w:rsid w:val="007B4219"/>
    <w:rsid w:val="007B425C"/>
    <w:rsid w:val="007B42B9"/>
    <w:rsid w:val="007B4340"/>
    <w:rsid w:val="007B44E1"/>
    <w:rsid w:val="007B4557"/>
    <w:rsid w:val="007B4676"/>
    <w:rsid w:val="007B4725"/>
    <w:rsid w:val="007B47E9"/>
    <w:rsid w:val="007B4855"/>
    <w:rsid w:val="007B4932"/>
    <w:rsid w:val="007B49A8"/>
    <w:rsid w:val="007B4A95"/>
    <w:rsid w:val="007B4AF2"/>
    <w:rsid w:val="007B4C52"/>
    <w:rsid w:val="007B4DAE"/>
    <w:rsid w:val="007B503F"/>
    <w:rsid w:val="007B514F"/>
    <w:rsid w:val="007B5156"/>
    <w:rsid w:val="007B5225"/>
    <w:rsid w:val="007B52B3"/>
    <w:rsid w:val="007B5375"/>
    <w:rsid w:val="007B5506"/>
    <w:rsid w:val="007B5618"/>
    <w:rsid w:val="007B5787"/>
    <w:rsid w:val="007B5890"/>
    <w:rsid w:val="007B5925"/>
    <w:rsid w:val="007B5927"/>
    <w:rsid w:val="007B5A48"/>
    <w:rsid w:val="007B5B9A"/>
    <w:rsid w:val="007B5D64"/>
    <w:rsid w:val="007B5D84"/>
    <w:rsid w:val="007B5D9D"/>
    <w:rsid w:val="007B5EFB"/>
    <w:rsid w:val="007B5F6D"/>
    <w:rsid w:val="007B6077"/>
    <w:rsid w:val="007B611D"/>
    <w:rsid w:val="007B6132"/>
    <w:rsid w:val="007B6178"/>
    <w:rsid w:val="007B62D4"/>
    <w:rsid w:val="007B646F"/>
    <w:rsid w:val="007B64FC"/>
    <w:rsid w:val="007B6557"/>
    <w:rsid w:val="007B658F"/>
    <w:rsid w:val="007B668A"/>
    <w:rsid w:val="007B6B6E"/>
    <w:rsid w:val="007B6CBE"/>
    <w:rsid w:val="007B6D70"/>
    <w:rsid w:val="007B6E4F"/>
    <w:rsid w:val="007B6EA3"/>
    <w:rsid w:val="007B6F10"/>
    <w:rsid w:val="007B6F86"/>
    <w:rsid w:val="007B6FAD"/>
    <w:rsid w:val="007B7169"/>
    <w:rsid w:val="007B71C7"/>
    <w:rsid w:val="007B71D8"/>
    <w:rsid w:val="007B720A"/>
    <w:rsid w:val="007B7335"/>
    <w:rsid w:val="007B7486"/>
    <w:rsid w:val="007B7590"/>
    <w:rsid w:val="007B75B9"/>
    <w:rsid w:val="007B7698"/>
    <w:rsid w:val="007B777B"/>
    <w:rsid w:val="007B7911"/>
    <w:rsid w:val="007B7B37"/>
    <w:rsid w:val="007B7DB3"/>
    <w:rsid w:val="007B7E21"/>
    <w:rsid w:val="007B7E9C"/>
    <w:rsid w:val="007B7F72"/>
    <w:rsid w:val="007C037D"/>
    <w:rsid w:val="007C0403"/>
    <w:rsid w:val="007C0527"/>
    <w:rsid w:val="007C05D0"/>
    <w:rsid w:val="007C0631"/>
    <w:rsid w:val="007C0676"/>
    <w:rsid w:val="007C07EA"/>
    <w:rsid w:val="007C0850"/>
    <w:rsid w:val="007C0856"/>
    <w:rsid w:val="007C0E59"/>
    <w:rsid w:val="007C0EB2"/>
    <w:rsid w:val="007C0EB9"/>
    <w:rsid w:val="007C0F86"/>
    <w:rsid w:val="007C10DC"/>
    <w:rsid w:val="007C1133"/>
    <w:rsid w:val="007C139E"/>
    <w:rsid w:val="007C13DC"/>
    <w:rsid w:val="007C177C"/>
    <w:rsid w:val="007C17D7"/>
    <w:rsid w:val="007C1B5C"/>
    <w:rsid w:val="007C1C3E"/>
    <w:rsid w:val="007C1E2D"/>
    <w:rsid w:val="007C1E4B"/>
    <w:rsid w:val="007C1FB5"/>
    <w:rsid w:val="007C2012"/>
    <w:rsid w:val="007C2143"/>
    <w:rsid w:val="007C2583"/>
    <w:rsid w:val="007C2589"/>
    <w:rsid w:val="007C25C3"/>
    <w:rsid w:val="007C263A"/>
    <w:rsid w:val="007C2646"/>
    <w:rsid w:val="007C2688"/>
    <w:rsid w:val="007C2726"/>
    <w:rsid w:val="007C2740"/>
    <w:rsid w:val="007C2771"/>
    <w:rsid w:val="007C27F4"/>
    <w:rsid w:val="007C2A86"/>
    <w:rsid w:val="007C2A97"/>
    <w:rsid w:val="007C2DA8"/>
    <w:rsid w:val="007C2FD2"/>
    <w:rsid w:val="007C30E4"/>
    <w:rsid w:val="007C3170"/>
    <w:rsid w:val="007C32FB"/>
    <w:rsid w:val="007C3574"/>
    <w:rsid w:val="007C3C1A"/>
    <w:rsid w:val="007C3D4D"/>
    <w:rsid w:val="007C3D90"/>
    <w:rsid w:val="007C3DA4"/>
    <w:rsid w:val="007C3E30"/>
    <w:rsid w:val="007C4006"/>
    <w:rsid w:val="007C40B6"/>
    <w:rsid w:val="007C415D"/>
    <w:rsid w:val="007C416C"/>
    <w:rsid w:val="007C436F"/>
    <w:rsid w:val="007C43D6"/>
    <w:rsid w:val="007C4533"/>
    <w:rsid w:val="007C468F"/>
    <w:rsid w:val="007C46BB"/>
    <w:rsid w:val="007C46C7"/>
    <w:rsid w:val="007C471E"/>
    <w:rsid w:val="007C472D"/>
    <w:rsid w:val="007C47A0"/>
    <w:rsid w:val="007C48E8"/>
    <w:rsid w:val="007C4C33"/>
    <w:rsid w:val="007C4C60"/>
    <w:rsid w:val="007C4D57"/>
    <w:rsid w:val="007C4D7E"/>
    <w:rsid w:val="007C4D8E"/>
    <w:rsid w:val="007C4DBA"/>
    <w:rsid w:val="007C4DEA"/>
    <w:rsid w:val="007C4F8F"/>
    <w:rsid w:val="007C508B"/>
    <w:rsid w:val="007C532F"/>
    <w:rsid w:val="007C535C"/>
    <w:rsid w:val="007C53C6"/>
    <w:rsid w:val="007C53C8"/>
    <w:rsid w:val="007C55DB"/>
    <w:rsid w:val="007C5657"/>
    <w:rsid w:val="007C57C2"/>
    <w:rsid w:val="007C5A25"/>
    <w:rsid w:val="007C5A60"/>
    <w:rsid w:val="007C5B0F"/>
    <w:rsid w:val="007C5B71"/>
    <w:rsid w:val="007C5D2F"/>
    <w:rsid w:val="007C5D9A"/>
    <w:rsid w:val="007C5DF7"/>
    <w:rsid w:val="007C5EB5"/>
    <w:rsid w:val="007C5EF7"/>
    <w:rsid w:val="007C614E"/>
    <w:rsid w:val="007C61FD"/>
    <w:rsid w:val="007C62ED"/>
    <w:rsid w:val="007C6329"/>
    <w:rsid w:val="007C66F0"/>
    <w:rsid w:val="007C673C"/>
    <w:rsid w:val="007C68D7"/>
    <w:rsid w:val="007C6A66"/>
    <w:rsid w:val="007C6CA8"/>
    <w:rsid w:val="007C6D55"/>
    <w:rsid w:val="007C6E32"/>
    <w:rsid w:val="007C7066"/>
    <w:rsid w:val="007C7086"/>
    <w:rsid w:val="007C71AD"/>
    <w:rsid w:val="007C7218"/>
    <w:rsid w:val="007C72F9"/>
    <w:rsid w:val="007C730D"/>
    <w:rsid w:val="007C73C2"/>
    <w:rsid w:val="007C787D"/>
    <w:rsid w:val="007C78EE"/>
    <w:rsid w:val="007C793A"/>
    <w:rsid w:val="007C7B08"/>
    <w:rsid w:val="007C7B55"/>
    <w:rsid w:val="007C7CB3"/>
    <w:rsid w:val="007C7CCB"/>
    <w:rsid w:val="007C7CE1"/>
    <w:rsid w:val="007C7D97"/>
    <w:rsid w:val="007C7E01"/>
    <w:rsid w:val="007C7F6C"/>
    <w:rsid w:val="007D0137"/>
    <w:rsid w:val="007D0328"/>
    <w:rsid w:val="007D0354"/>
    <w:rsid w:val="007D0384"/>
    <w:rsid w:val="007D03F7"/>
    <w:rsid w:val="007D0427"/>
    <w:rsid w:val="007D0542"/>
    <w:rsid w:val="007D05B4"/>
    <w:rsid w:val="007D0644"/>
    <w:rsid w:val="007D0711"/>
    <w:rsid w:val="007D0768"/>
    <w:rsid w:val="007D07B3"/>
    <w:rsid w:val="007D084C"/>
    <w:rsid w:val="007D089E"/>
    <w:rsid w:val="007D09D5"/>
    <w:rsid w:val="007D0A34"/>
    <w:rsid w:val="007D0B11"/>
    <w:rsid w:val="007D0C42"/>
    <w:rsid w:val="007D0C59"/>
    <w:rsid w:val="007D0E69"/>
    <w:rsid w:val="007D0EC8"/>
    <w:rsid w:val="007D1051"/>
    <w:rsid w:val="007D1377"/>
    <w:rsid w:val="007D13B3"/>
    <w:rsid w:val="007D168F"/>
    <w:rsid w:val="007D1D1C"/>
    <w:rsid w:val="007D1DBA"/>
    <w:rsid w:val="007D1F3E"/>
    <w:rsid w:val="007D1FE6"/>
    <w:rsid w:val="007D2039"/>
    <w:rsid w:val="007D2081"/>
    <w:rsid w:val="007D2173"/>
    <w:rsid w:val="007D21BD"/>
    <w:rsid w:val="007D23BE"/>
    <w:rsid w:val="007D24D7"/>
    <w:rsid w:val="007D24E3"/>
    <w:rsid w:val="007D24F0"/>
    <w:rsid w:val="007D2690"/>
    <w:rsid w:val="007D274B"/>
    <w:rsid w:val="007D2791"/>
    <w:rsid w:val="007D2DB4"/>
    <w:rsid w:val="007D2DB7"/>
    <w:rsid w:val="007D2DC2"/>
    <w:rsid w:val="007D2E7E"/>
    <w:rsid w:val="007D2FF5"/>
    <w:rsid w:val="007D3039"/>
    <w:rsid w:val="007D3097"/>
    <w:rsid w:val="007D31A9"/>
    <w:rsid w:val="007D32C0"/>
    <w:rsid w:val="007D33D2"/>
    <w:rsid w:val="007D3485"/>
    <w:rsid w:val="007D34A4"/>
    <w:rsid w:val="007D3560"/>
    <w:rsid w:val="007D3635"/>
    <w:rsid w:val="007D363D"/>
    <w:rsid w:val="007D3751"/>
    <w:rsid w:val="007D381C"/>
    <w:rsid w:val="007D382E"/>
    <w:rsid w:val="007D3CFF"/>
    <w:rsid w:val="007D3D04"/>
    <w:rsid w:val="007D3D88"/>
    <w:rsid w:val="007D3E11"/>
    <w:rsid w:val="007D3E25"/>
    <w:rsid w:val="007D3E4E"/>
    <w:rsid w:val="007D4150"/>
    <w:rsid w:val="007D4180"/>
    <w:rsid w:val="007D434D"/>
    <w:rsid w:val="007D43D1"/>
    <w:rsid w:val="007D43DC"/>
    <w:rsid w:val="007D442B"/>
    <w:rsid w:val="007D4604"/>
    <w:rsid w:val="007D4647"/>
    <w:rsid w:val="007D46C8"/>
    <w:rsid w:val="007D4721"/>
    <w:rsid w:val="007D4756"/>
    <w:rsid w:val="007D4768"/>
    <w:rsid w:val="007D47C3"/>
    <w:rsid w:val="007D488A"/>
    <w:rsid w:val="007D4901"/>
    <w:rsid w:val="007D4A05"/>
    <w:rsid w:val="007D4BDF"/>
    <w:rsid w:val="007D4C31"/>
    <w:rsid w:val="007D4D2E"/>
    <w:rsid w:val="007D4F6A"/>
    <w:rsid w:val="007D4FD8"/>
    <w:rsid w:val="007D504F"/>
    <w:rsid w:val="007D506D"/>
    <w:rsid w:val="007D516F"/>
    <w:rsid w:val="007D5484"/>
    <w:rsid w:val="007D54B4"/>
    <w:rsid w:val="007D576D"/>
    <w:rsid w:val="007D581F"/>
    <w:rsid w:val="007D5846"/>
    <w:rsid w:val="007D59B0"/>
    <w:rsid w:val="007D59EC"/>
    <w:rsid w:val="007D5A8F"/>
    <w:rsid w:val="007D5ACD"/>
    <w:rsid w:val="007D5B31"/>
    <w:rsid w:val="007D5BCA"/>
    <w:rsid w:val="007D5C78"/>
    <w:rsid w:val="007D5CBD"/>
    <w:rsid w:val="007D5D01"/>
    <w:rsid w:val="007D5D1A"/>
    <w:rsid w:val="007D5D22"/>
    <w:rsid w:val="007D5D89"/>
    <w:rsid w:val="007D5F26"/>
    <w:rsid w:val="007D6087"/>
    <w:rsid w:val="007D611C"/>
    <w:rsid w:val="007D622C"/>
    <w:rsid w:val="007D644A"/>
    <w:rsid w:val="007D649E"/>
    <w:rsid w:val="007D6799"/>
    <w:rsid w:val="007D67CF"/>
    <w:rsid w:val="007D6A25"/>
    <w:rsid w:val="007D6BAF"/>
    <w:rsid w:val="007D6E14"/>
    <w:rsid w:val="007D6E9E"/>
    <w:rsid w:val="007D6F38"/>
    <w:rsid w:val="007D709E"/>
    <w:rsid w:val="007D7152"/>
    <w:rsid w:val="007D721B"/>
    <w:rsid w:val="007D72F2"/>
    <w:rsid w:val="007D7326"/>
    <w:rsid w:val="007D736F"/>
    <w:rsid w:val="007D737F"/>
    <w:rsid w:val="007D7400"/>
    <w:rsid w:val="007D75D2"/>
    <w:rsid w:val="007D768F"/>
    <w:rsid w:val="007D798B"/>
    <w:rsid w:val="007D7ACE"/>
    <w:rsid w:val="007D7AE7"/>
    <w:rsid w:val="007D7B09"/>
    <w:rsid w:val="007D7C91"/>
    <w:rsid w:val="007D7CBC"/>
    <w:rsid w:val="007D7CCB"/>
    <w:rsid w:val="007D7DE2"/>
    <w:rsid w:val="007D7E5A"/>
    <w:rsid w:val="007D7F10"/>
    <w:rsid w:val="007E0007"/>
    <w:rsid w:val="007E00C5"/>
    <w:rsid w:val="007E0155"/>
    <w:rsid w:val="007E0278"/>
    <w:rsid w:val="007E0436"/>
    <w:rsid w:val="007E0452"/>
    <w:rsid w:val="007E0644"/>
    <w:rsid w:val="007E0A1C"/>
    <w:rsid w:val="007E0A37"/>
    <w:rsid w:val="007E0C1F"/>
    <w:rsid w:val="007E0C2C"/>
    <w:rsid w:val="007E0C4C"/>
    <w:rsid w:val="007E0C53"/>
    <w:rsid w:val="007E0D25"/>
    <w:rsid w:val="007E0D4F"/>
    <w:rsid w:val="007E0F1C"/>
    <w:rsid w:val="007E10AC"/>
    <w:rsid w:val="007E1326"/>
    <w:rsid w:val="007E1337"/>
    <w:rsid w:val="007E15F9"/>
    <w:rsid w:val="007E18C1"/>
    <w:rsid w:val="007E193D"/>
    <w:rsid w:val="007E1A51"/>
    <w:rsid w:val="007E1C36"/>
    <w:rsid w:val="007E1E3F"/>
    <w:rsid w:val="007E1E47"/>
    <w:rsid w:val="007E1F66"/>
    <w:rsid w:val="007E200E"/>
    <w:rsid w:val="007E208F"/>
    <w:rsid w:val="007E2248"/>
    <w:rsid w:val="007E2297"/>
    <w:rsid w:val="007E22F6"/>
    <w:rsid w:val="007E2302"/>
    <w:rsid w:val="007E2376"/>
    <w:rsid w:val="007E23CC"/>
    <w:rsid w:val="007E2486"/>
    <w:rsid w:val="007E2567"/>
    <w:rsid w:val="007E26B3"/>
    <w:rsid w:val="007E27C5"/>
    <w:rsid w:val="007E2848"/>
    <w:rsid w:val="007E28BB"/>
    <w:rsid w:val="007E29B1"/>
    <w:rsid w:val="007E2C18"/>
    <w:rsid w:val="007E2D12"/>
    <w:rsid w:val="007E2E3D"/>
    <w:rsid w:val="007E2FFF"/>
    <w:rsid w:val="007E3015"/>
    <w:rsid w:val="007E3019"/>
    <w:rsid w:val="007E3034"/>
    <w:rsid w:val="007E3129"/>
    <w:rsid w:val="007E31AB"/>
    <w:rsid w:val="007E3554"/>
    <w:rsid w:val="007E358D"/>
    <w:rsid w:val="007E36A9"/>
    <w:rsid w:val="007E3829"/>
    <w:rsid w:val="007E386A"/>
    <w:rsid w:val="007E389F"/>
    <w:rsid w:val="007E39D7"/>
    <w:rsid w:val="007E3BB9"/>
    <w:rsid w:val="007E3BC5"/>
    <w:rsid w:val="007E3C8C"/>
    <w:rsid w:val="007E3D7B"/>
    <w:rsid w:val="007E3DE1"/>
    <w:rsid w:val="007E3EE2"/>
    <w:rsid w:val="007E3F37"/>
    <w:rsid w:val="007E4134"/>
    <w:rsid w:val="007E422B"/>
    <w:rsid w:val="007E42BA"/>
    <w:rsid w:val="007E42CE"/>
    <w:rsid w:val="007E4362"/>
    <w:rsid w:val="007E441E"/>
    <w:rsid w:val="007E448C"/>
    <w:rsid w:val="007E464A"/>
    <w:rsid w:val="007E4798"/>
    <w:rsid w:val="007E47B0"/>
    <w:rsid w:val="007E482B"/>
    <w:rsid w:val="007E4865"/>
    <w:rsid w:val="007E49A5"/>
    <w:rsid w:val="007E4A7A"/>
    <w:rsid w:val="007E4D45"/>
    <w:rsid w:val="007E4E82"/>
    <w:rsid w:val="007E4F38"/>
    <w:rsid w:val="007E511E"/>
    <w:rsid w:val="007E51E1"/>
    <w:rsid w:val="007E5225"/>
    <w:rsid w:val="007E5237"/>
    <w:rsid w:val="007E52EB"/>
    <w:rsid w:val="007E539F"/>
    <w:rsid w:val="007E5450"/>
    <w:rsid w:val="007E5556"/>
    <w:rsid w:val="007E5586"/>
    <w:rsid w:val="007E5591"/>
    <w:rsid w:val="007E5772"/>
    <w:rsid w:val="007E5833"/>
    <w:rsid w:val="007E5847"/>
    <w:rsid w:val="007E58FF"/>
    <w:rsid w:val="007E594A"/>
    <w:rsid w:val="007E5AC1"/>
    <w:rsid w:val="007E5AD7"/>
    <w:rsid w:val="007E5C03"/>
    <w:rsid w:val="007E5CEC"/>
    <w:rsid w:val="007E5D1A"/>
    <w:rsid w:val="007E5E45"/>
    <w:rsid w:val="007E5FD2"/>
    <w:rsid w:val="007E609C"/>
    <w:rsid w:val="007E60A3"/>
    <w:rsid w:val="007E612E"/>
    <w:rsid w:val="007E631C"/>
    <w:rsid w:val="007E640F"/>
    <w:rsid w:val="007E658B"/>
    <w:rsid w:val="007E65AB"/>
    <w:rsid w:val="007E65CD"/>
    <w:rsid w:val="007E67D9"/>
    <w:rsid w:val="007E6891"/>
    <w:rsid w:val="007E6989"/>
    <w:rsid w:val="007E6C2D"/>
    <w:rsid w:val="007E6CD6"/>
    <w:rsid w:val="007E6E0F"/>
    <w:rsid w:val="007E6E11"/>
    <w:rsid w:val="007E6E99"/>
    <w:rsid w:val="007E7163"/>
    <w:rsid w:val="007E72EE"/>
    <w:rsid w:val="007E73F6"/>
    <w:rsid w:val="007E74F9"/>
    <w:rsid w:val="007E752C"/>
    <w:rsid w:val="007E759F"/>
    <w:rsid w:val="007E76B6"/>
    <w:rsid w:val="007E7730"/>
    <w:rsid w:val="007E7805"/>
    <w:rsid w:val="007E7908"/>
    <w:rsid w:val="007E7957"/>
    <w:rsid w:val="007E79B4"/>
    <w:rsid w:val="007E7A06"/>
    <w:rsid w:val="007E7A1D"/>
    <w:rsid w:val="007E7AD0"/>
    <w:rsid w:val="007E7B39"/>
    <w:rsid w:val="007E7B6A"/>
    <w:rsid w:val="007E7BB1"/>
    <w:rsid w:val="007E7BEB"/>
    <w:rsid w:val="007E7C94"/>
    <w:rsid w:val="007E7FC0"/>
    <w:rsid w:val="007F00E0"/>
    <w:rsid w:val="007F0120"/>
    <w:rsid w:val="007F028E"/>
    <w:rsid w:val="007F02DE"/>
    <w:rsid w:val="007F043B"/>
    <w:rsid w:val="007F04A6"/>
    <w:rsid w:val="007F05E4"/>
    <w:rsid w:val="007F0611"/>
    <w:rsid w:val="007F076A"/>
    <w:rsid w:val="007F09C6"/>
    <w:rsid w:val="007F0A14"/>
    <w:rsid w:val="007F0A23"/>
    <w:rsid w:val="007F0A8C"/>
    <w:rsid w:val="007F0B2A"/>
    <w:rsid w:val="007F0B33"/>
    <w:rsid w:val="007F0C45"/>
    <w:rsid w:val="007F0CC7"/>
    <w:rsid w:val="007F0E80"/>
    <w:rsid w:val="007F1136"/>
    <w:rsid w:val="007F116E"/>
    <w:rsid w:val="007F1351"/>
    <w:rsid w:val="007F13B2"/>
    <w:rsid w:val="007F1499"/>
    <w:rsid w:val="007F16BC"/>
    <w:rsid w:val="007F1791"/>
    <w:rsid w:val="007F1800"/>
    <w:rsid w:val="007F1A5C"/>
    <w:rsid w:val="007F1BC5"/>
    <w:rsid w:val="007F1C3E"/>
    <w:rsid w:val="007F1D09"/>
    <w:rsid w:val="007F1DDC"/>
    <w:rsid w:val="007F1F77"/>
    <w:rsid w:val="007F23AE"/>
    <w:rsid w:val="007F23C9"/>
    <w:rsid w:val="007F2772"/>
    <w:rsid w:val="007F2CCD"/>
    <w:rsid w:val="007F2ED5"/>
    <w:rsid w:val="007F3109"/>
    <w:rsid w:val="007F31A0"/>
    <w:rsid w:val="007F3273"/>
    <w:rsid w:val="007F32AF"/>
    <w:rsid w:val="007F3351"/>
    <w:rsid w:val="007F3415"/>
    <w:rsid w:val="007F3496"/>
    <w:rsid w:val="007F34AB"/>
    <w:rsid w:val="007F34AD"/>
    <w:rsid w:val="007F3555"/>
    <w:rsid w:val="007F3557"/>
    <w:rsid w:val="007F36DB"/>
    <w:rsid w:val="007F38EB"/>
    <w:rsid w:val="007F395C"/>
    <w:rsid w:val="007F39A3"/>
    <w:rsid w:val="007F3BE2"/>
    <w:rsid w:val="007F3C77"/>
    <w:rsid w:val="007F3C8F"/>
    <w:rsid w:val="007F3D01"/>
    <w:rsid w:val="007F3DB0"/>
    <w:rsid w:val="007F3E2C"/>
    <w:rsid w:val="007F3EE7"/>
    <w:rsid w:val="007F401F"/>
    <w:rsid w:val="007F40E1"/>
    <w:rsid w:val="007F4114"/>
    <w:rsid w:val="007F42DD"/>
    <w:rsid w:val="007F44AB"/>
    <w:rsid w:val="007F4578"/>
    <w:rsid w:val="007F45E7"/>
    <w:rsid w:val="007F466E"/>
    <w:rsid w:val="007F494D"/>
    <w:rsid w:val="007F4B20"/>
    <w:rsid w:val="007F4EE1"/>
    <w:rsid w:val="007F4F18"/>
    <w:rsid w:val="007F4FD2"/>
    <w:rsid w:val="007F505F"/>
    <w:rsid w:val="007F5196"/>
    <w:rsid w:val="007F522C"/>
    <w:rsid w:val="007F5364"/>
    <w:rsid w:val="007F544A"/>
    <w:rsid w:val="007F55CB"/>
    <w:rsid w:val="007F567D"/>
    <w:rsid w:val="007F58BD"/>
    <w:rsid w:val="007F58DB"/>
    <w:rsid w:val="007F593A"/>
    <w:rsid w:val="007F59D7"/>
    <w:rsid w:val="007F59F9"/>
    <w:rsid w:val="007F5ACF"/>
    <w:rsid w:val="007F5E0D"/>
    <w:rsid w:val="007F60BB"/>
    <w:rsid w:val="007F60D2"/>
    <w:rsid w:val="007F63BB"/>
    <w:rsid w:val="007F6572"/>
    <w:rsid w:val="007F65A2"/>
    <w:rsid w:val="007F6669"/>
    <w:rsid w:val="007F680A"/>
    <w:rsid w:val="007F694E"/>
    <w:rsid w:val="007F69A9"/>
    <w:rsid w:val="007F69D6"/>
    <w:rsid w:val="007F6A55"/>
    <w:rsid w:val="007F6C25"/>
    <w:rsid w:val="007F6DC9"/>
    <w:rsid w:val="007F6ECC"/>
    <w:rsid w:val="007F6FC7"/>
    <w:rsid w:val="007F7068"/>
    <w:rsid w:val="007F71BE"/>
    <w:rsid w:val="007F73DB"/>
    <w:rsid w:val="007F746D"/>
    <w:rsid w:val="007F7577"/>
    <w:rsid w:val="007F77FD"/>
    <w:rsid w:val="007F7872"/>
    <w:rsid w:val="007F789B"/>
    <w:rsid w:val="007F7960"/>
    <w:rsid w:val="007F7B12"/>
    <w:rsid w:val="007F7C87"/>
    <w:rsid w:val="007F7DE1"/>
    <w:rsid w:val="007F7E70"/>
    <w:rsid w:val="007F7FAD"/>
    <w:rsid w:val="00800257"/>
    <w:rsid w:val="008002A1"/>
    <w:rsid w:val="00800339"/>
    <w:rsid w:val="0080035C"/>
    <w:rsid w:val="00800437"/>
    <w:rsid w:val="00800552"/>
    <w:rsid w:val="008005A8"/>
    <w:rsid w:val="0080074B"/>
    <w:rsid w:val="008007E6"/>
    <w:rsid w:val="00800B23"/>
    <w:rsid w:val="00800B6C"/>
    <w:rsid w:val="00800BD6"/>
    <w:rsid w:val="00800CD9"/>
    <w:rsid w:val="00800D51"/>
    <w:rsid w:val="00800ECB"/>
    <w:rsid w:val="00800F86"/>
    <w:rsid w:val="00801090"/>
    <w:rsid w:val="00801189"/>
    <w:rsid w:val="008012A4"/>
    <w:rsid w:val="00801373"/>
    <w:rsid w:val="0080146C"/>
    <w:rsid w:val="00801542"/>
    <w:rsid w:val="008015FF"/>
    <w:rsid w:val="008016B5"/>
    <w:rsid w:val="008016C8"/>
    <w:rsid w:val="0080180F"/>
    <w:rsid w:val="008018E6"/>
    <w:rsid w:val="008018EA"/>
    <w:rsid w:val="008019E2"/>
    <w:rsid w:val="00801B70"/>
    <w:rsid w:val="00801BA8"/>
    <w:rsid w:val="00801D4D"/>
    <w:rsid w:val="00801DEE"/>
    <w:rsid w:val="00801E23"/>
    <w:rsid w:val="00801F91"/>
    <w:rsid w:val="00801FC5"/>
    <w:rsid w:val="00802080"/>
    <w:rsid w:val="008022DB"/>
    <w:rsid w:val="00802321"/>
    <w:rsid w:val="00802418"/>
    <w:rsid w:val="00802419"/>
    <w:rsid w:val="008024A0"/>
    <w:rsid w:val="00802542"/>
    <w:rsid w:val="00802807"/>
    <w:rsid w:val="00802938"/>
    <w:rsid w:val="00802A20"/>
    <w:rsid w:val="00802A46"/>
    <w:rsid w:val="00802AF5"/>
    <w:rsid w:val="00802B45"/>
    <w:rsid w:val="00802BF3"/>
    <w:rsid w:val="00802CFF"/>
    <w:rsid w:val="00802E28"/>
    <w:rsid w:val="00802FDA"/>
    <w:rsid w:val="00802FF4"/>
    <w:rsid w:val="00803025"/>
    <w:rsid w:val="008030F4"/>
    <w:rsid w:val="0080314D"/>
    <w:rsid w:val="00803172"/>
    <w:rsid w:val="00803188"/>
    <w:rsid w:val="00803680"/>
    <w:rsid w:val="008037FA"/>
    <w:rsid w:val="00803803"/>
    <w:rsid w:val="00803BA9"/>
    <w:rsid w:val="00803D56"/>
    <w:rsid w:val="00803FD7"/>
    <w:rsid w:val="00803FEB"/>
    <w:rsid w:val="008042F2"/>
    <w:rsid w:val="008043A7"/>
    <w:rsid w:val="00804474"/>
    <w:rsid w:val="0080447C"/>
    <w:rsid w:val="0080456B"/>
    <w:rsid w:val="0080469C"/>
    <w:rsid w:val="00804772"/>
    <w:rsid w:val="0080491D"/>
    <w:rsid w:val="0080493C"/>
    <w:rsid w:val="00804B35"/>
    <w:rsid w:val="00804BF5"/>
    <w:rsid w:val="00804CD1"/>
    <w:rsid w:val="00804DB9"/>
    <w:rsid w:val="00804E49"/>
    <w:rsid w:val="00804EE5"/>
    <w:rsid w:val="00804F12"/>
    <w:rsid w:val="00804F71"/>
    <w:rsid w:val="00804FCB"/>
    <w:rsid w:val="0080503D"/>
    <w:rsid w:val="0080522C"/>
    <w:rsid w:val="008052C2"/>
    <w:rsid w:val="00805330"/>
    <w:rsid w:val="00805401"/>
    <w:rsid w:val="0080545C"/>
    <w:rsid w:val="008054A2"/>
    <w:rsid w:val="0080554D"/>
    <w:rsid w:val="00805570"/>
    <w:rsid w:val="0080567F"/>
    <w:rsid w:val="00805681"/>
    <w:rsid w:val="008056E6"/>
    <w:rsid w:val="0080570B"/>
    <w:rsid w:val="008057F8"/>
    <w:rsid w:val="00805A4F"/>
    <w:rsid w:val="00805A58"/>
    <w:rsid w:val="00805B61"/>
    <w:rsid w:val="00805C6E"/>
    <w:rsid w:val="00805CF4"/>
    <w:rsid w:val="00805DB1"/>
    <w:rsid w:val="00805F1C"/>
    <w:rsid w:val="00806162"/>
    <w:rsid w:val="00806235"/>
    <w:rsid w:val="008063B6"/>
    <w:rsid w:val="008065D9"/>
    <w:rsid w:val="00806676"/>
    <w:rsid w:val="00806B3D"/>
    <w:rsid w:val="00806BB0"/>
    <w:rsid w:val="00806D82"/>
    <w:rsid w:val="00806F4E"/>
    <w:rsid w:val="008070CB"/>
    <w:rsid w:val="00807120"/>
    <w:rsid w:val="008071B4"/>
    <w:rsid w:val="008071D1"/>
    <w:rsid w:val="008072AC"/>
    <w:rsid w:val="00807363"/>
    <w:rsid w:val="0080738A"/>
    <w:rsid w:val="0080745D"/>
    <w:rsid w:val="008074EE"/>
    <w:rsid w:val="0080767C"/>
    <w:rsid w:val="008078ED"/>
    <w:rsid w:val="00807910"/>
    <w:rsid w:val="00807A87"/>
    <w:rsid w:val="00807B03"/>
    <w:rsid w:val="00807BB9"/>
    <w:rsid w:val="00807BEB"/>
    <w:rsid w:val="00807C34"/>
    <w:rsid w:val="00807CB7"/>
    <w:rsid w:val="00807CDF"/>
    <w:rsid w:val="00807EFD"/>
    <w:rsid w:val="00807F74"/>
    <w:rsid w:val="00810039"/>
    <w:rsid w:val="00810306"/>
    <w:rsid w:val="00810388"/>
    <w:rsid w:val="008103F8"/>
    <w:rsid w:val="008104B6"/>
    <w:rsid w:val="00810533"/>
    <w:rsid w:val="008105E9"/>
    <w:rsid w:val="008106A9"/>
    <w:rsid w:val="0081088C"/>
    <w:rsid w:val="008108AC"/>
    <w:rsid w:val="008108D1"/>
    <w:rsid w:val="0081095E"/>
    <w:rsid w:val="00810964"/>
    <w:rsid w:val="00810B6B"/>
    <w:rsid w:val="00810E6E"/>
    <w:rsid w:val="00810F03"/>
    <w:rsid w:val="00810F08"/>
    <w:rsid w:val="0081100E"/>
    <w:rsid w:val="008111D0"/>
    <w:rsid w:val="0081120B"/>
    <w:rsid w:val="00811369"/>
    <w:rsid w:val="00811465"/>
    <w:rsid w:val="00811477"/>
    <w:rsid w:val="008115FA"/>
    <w:rsid w:val="00811666"/>
    <w:rsid w:val="008116EB"/>
    <w:rsid w:val="00811856"/>
    <w:rsid w:val="00811878"/>
    <w:rsid w:val="00811888"/>
    <w:rsid w:val="008119A4"/>
    <w:rsid w:val="008119CC"/>
    <w:rsid w:val="008119FC"/>
    <w:rsid w:val="00811CA7"/>
    <w:rsid w:val="00811D12"/>
    <w:rsid w:val="00811E47"/>
    <w:rsid w:val="00811F62"/>
    <w:rsid w:val="00812183"/>
    <w:rsid w:val="0081243D"/>
    <w:rsid w:val="0081248B"/>
    <w:rsid w:val="0081250F"/>
    <w:rsid w:val="00812577"/>
    <w:rsid w:val="008125A4"/>
    <w:rsid w:val="008126B9"/>
    <w:rsid w:val="00812732"/>
    <w:rsid w:val="008128CC"/>
    <w:rsid w:val="00812990"/>
    <w:rsid w:val="00812A33"/>
    <w:rsid w:val="00812B22"/>
    <w:rsid w:val="00812B61"/>
    <w:rsid w:val="00812D93"/>
    <w:rsid w:val="00812FEF"/>
    <w:rsid w:val="00813115"/>
    <w:rsid w:val="00813440"/>
    <w:rsid w:val="00813498"/>
    <w:rsid w:val="008136FA"/>
    <w:rsid w:val="00813720"/>
    <w:rsid w:val="00813754"/>
    <w:rsid w:val="0081377E"/>
    <w:rsid w:val="008139DC"/>
    <w:rsid w:val="00813A13"/>
    <w:rsid w:val="00813AB0"/>
    <w:rsid w:val="00813ADC"/>
    <w:rsid w:val="00813B0E"/>
    <w:rsid w:val="00813B18"/>
    <w:rsid w:val="00813C80"/>
    <w:rsid w:val="00813D4C"/>
    <w:rsid w:val="00813D6B"/>
    <w:rsid w:val="00814123"/>
    <w:rsid w:val="00814159"/>
    <w:rsid w:val="00814277"/>
    <w:rsid w:val="008143A6"/>
    <w:rsid w:val="0081484F"/>
    <w:rsid w:val="00814860"/>
    <w:rsid w:val="008148EE"/>
    <w:rsid w:val="008149F3"/>
    <w:rsid w:val="00814A7B"/>
    <w:rsid w:val="00814AFE"/>
    <w:rsid w:val="00814CC6"/>
    <w:rsid w:val="00814F05"/>
    <w:rsid w:val="00814F4B"/>
    <w:rsid w:val="00814FD4"/>
    <w:rsid w:val="0081503E"/>
    <w:rsid w:val="008150B2"/>
    <w:rsid w:val="00815163"/>
    <w:rsid w:val="00815171"/>
    <w:rsid w:val="008151A9"/>
    <w:rsid w:val="00815380"/>
    <w:rsid w:val="00815470"/>
    <w:rsid w:val="00815489"/>
    <w:rsid w:val="00815656"/>
    <w:rsid w:val="008156E3"/>
    <w:rsid w:val="00815734"/>
    <w:rsid w:val="0081575D"/>
    <w:rsid w:val="0081578C"/>
    <w:rsid w:val="00815814"/>
    <w:rsid w:val="008158AE"/>
    <w:rsid w:val="008158F5"/>
    <w:rsid w:val="00815B2E"/>
    <w:rsid w:val="00815D26"/>
    <w:rsid w:val="00815D31"/>
    <w:rsid w:val="00815E35"/>
    <w:rsid w:val="00816057"/>
    <w:rsid w:val="0081621F"/>
    <w:rsid w:val="0081622D"/>
    <w:rsid w:val="008162C3"/>
    <w:rsid w:val="0081631B"/>
    <w:rsid w:val="008165BB"/>
    <w:rsid w:val="008165F2"/>
    <w:rsid w:val="00816709"/>
    <w:rsid w:val="0081675E"/>
    <w:rsid w:val="00816810"/>
    <w:rsid w:val="008168D3"/>
    <w:rsid w:val="00816957"/>
    <w:rsid w:val="008169ED"/>
    <w:rsid w:val="00816A7B"/>
    <w:rsid w:val="00816AB2"/>
    <w:rsid w:val="00816ACE"/>
    <w:rsid w:val="00816B1D"/>
    <w:rsid w:val="00816BAD"/>
    <w:rsid w:val="00816C79"/>
    <w:rsid w:val="0081700F"/>
    <w:rsid w:val="008170E4"/>
    <w:rsid w:val="008172BC"/>
    <w:rsid w:val="008172CD"/>
    <w:rsid w:val="0081734A"/>
    <w:rsid w:val="008173FD"/>
    <w:rsid w:val="00817451"/>
    <w:rsid w:val="008176D4"/>
    <w:rsid w:val="008176E0"/>
    <w:rsid w:val="0081772F"/>
    <w:rsid w:val="0081777F"/>
    <w:rsid w:val="0081793F"/>
    <w:rsid w:val="00817960"/>
    <w:rsid w:val="008179BA"/>
    <w:rsid w:val="00817AC5"/>
    <w:rsid w:val="00817AF1"/>
    <w:rsid w:val="00817B80"/>
    <w:rsid w:val="00817D04"/>
    <w:rsid w:val="00817EA3"/>
    <w:rsid w:val="0082007D"/>
    <w:rsid w:val="008202D8"/>
    <w:rsid w:val="0082058F"/>
    <w:rsid w:val="0082063B"/>
    <w:rsid w:val="00820690"/>
    <w:rsid w:val="00820745"/>
    <w:rsid w:val="00820909"/>
    <w:rsid w:val="008209F9"/>
    <w:rsid w:val="00820B11"/>
    <w:rsid w:val="00820B65"/>
    <w:rsid w:val="00820D0B"/>
    <w:rsid w:val="00820E67"/>
    <w:rsid w:val="00820F36"/>
    <w:rsid w:val="0082117A"/>
    <w:rsid w:val="0082126C"/>
    <w:rsid w:val="00821272"/>
    <w:rsid w:val="00821283"/>
    <w:rsid w:val="008215F5"/>
    <w:rsid w:val="0082162A"/>
    <w:rsid w:val="008216CF"/>
    <w:rsid w:val="0082171A"/>
    <w:rsid w:val="00821730"/>
    <w:rsid w:val="008217DF"/>
    <w:rsid w:val="0082181F"/>
    <w:rsid w:val="00821B0E"/>
    <w:rsid w:val="00821B2B"/>
    <w:rsid w:val="00821B62"/>
    <w:rsid w:val="00821B9C"/>
    <w:rsid w:val="00821C3C"/>
    <w:rsid w:val="00821CB7"/>
    <w:rsid w:val="00821CCA"/>
    <w:rsid w:val="00821CCB"/>
    <w:rsid w:val="00821CD2"/>
    <w:rsid w:val="00821DE4"/>
    <w:rsid w:val="00821EDE"/>
    <w:rsid w:val="00822117"/>
    <w:rsid w:val="0082214E"/>
    <w:rsid w:val="00822196"/>
    <w:rsid w:val="0082221A"/>
    <w:rsid w:val="00822364"/>
    <w:rsid w:val="00822410"/>
    <w:rsid w:val="008224B2"/>
    <w:rsid w:val="008224DE"/>
    <w:rsid w:val="008224E8"/>
    <w:rsid w:val="0082251A"/>
    <w:rsid w:val="00822549"/>
    <w:rsid w:val="0082257A"/>
    <w:rsid w:val="0082271A"/>
    <w:rsid w:val="00822A32"/>
    <w:rsid w:val="00822ABC"/>
    <w:rsid w:val="00822B12"/>
    <w:rsid w:val="00822BD7"/>
    <w:rsid w:val="00822BD8"/>
    <w:rsid w:val="00822E89"/>
    <w:rsid w:val="008232C3"/>
    <w:rsid w:val="0082334B"/>
    <w:rsid w:val="0082349B"/>
    <w:rsid w:val="008234F9"/>
    <w:rsid w:val="008235A9"/>
    <w:rsid w:val="008235BC"/>
    <w:rsid w:val="00823686"/>
    <w:rsid w:val="00823745"/>
    <w:rsid w:val="00823812"/>
    <w:rsid w:val="008238C3"/>
    <w:rsid w:val="0082396B"/>
    <w:rsid w:val="008239AE"/>
    <w:rsid w:val="008239D9"/>
    <w:rsid w:val="00823B44"/>
    <w:rsid w:val="00823DAC"/>
    <w:rsid w:val="00824017"/>
    <w:rsid w:val="00824019"/>
    <w:rsid w:val="008241B3"/>
    <w:rsid w:val="00824304"/>
    <w:rsid w:val="00824382"/>
    <w:rsid w:val="00824451"/>
    <w:rsid w:val="0082452C"/>
    <w:rsid w:val="008245A1"/>
    <w:rsid w:val="00824722"/>
    <w:rsid w:val="008247A9"/>
    <w:rsid w:val="008249D9"/>
    <w:rsid w:val="00824AC8"/>
    <w:rsid w:val="00824ACF"/>
    <w:rsid w:val="00824BAB"/>
    <w:rsid w:val="00824D9F"/>
    <w:rsid w:val="00824DA9"/>
    <w:rsid w:val="00824EE4"/>
    <w:rsid w:val="0082511F"/>
    <w:rsid w:val="008251C9"/>
    <w:rsid w:val="00825299"/>
    <w:rsid w:val="0082532F"/>
    <w:rsid w:val="00825330"/>
    <w:rsid w:val="00825586"/>
    <w:rsid w:val="008255D7"/>
    <w:rsid w:val="008256CE"/>
    <w:rsid w:val="008256D1"/>
    <w:rsid w:val="00825981"/>
    <w:rsid w:val="00825A1F"/>
    <w:rsid w:val="00825C51"/>
    <w:rsid w:val="00825CBA"/>
    <w:rsid w:val="00825CC7"/>
    <w:rsid w:val="00825DA3"/>
    <w:rsid w:val="00825DB0"/>
    <w:rsid w:val="00825E0D"/>
    <w:rsid w:val="00825E40"/>
    <w:rsid w:val="00826081"/>
    <w:rsid w:val="00826149"/>
    <w:rsid w:val="00826170"/>
    <w:rsid w:val="008261AA"/>
    <w:rsid w:val="0082634B"/>
    <w:rsid w:val="0082639F"/>
    <w:rsid w:val="0082643D"/>
    <w:rsid w:val="008264AA"/>
    <w:rsid w:val="008264C4"/>
    <w:rsid w:val="008264E6"/>
    <w:rsid w:val="008265D2"/>
    <w:rsid w:val="00826648"/>
    <w:rsid w:val="00826649"/>
    <w:rsid w:val="008266C0"/>
    <w:rsid w:val="008266D2"/>
    <w:rsid w:val="00826760"/>
    <w:rsid w:val="00826774"/>
    <w:rsid w:val="00826A97"/>
    <w:rsid w:val="00826D26"/>
    <w:rsid w:val="00826E0E"/>
    <w:rsid w:val="00826E50"/>
    <w:rsid w:val="00826E55"/>
    <w:rsid w:val="00826E6B"/>
    <w:rsid w:val="0082713D"/>
    <w:rsid w:val="00827161"/>
    <w:rsid w:val="008272A1"/>
    <w:rsid w:val="008272B6"/>
    <w:rsid w:val="0082734C"/>
    <w:rsid w:val="008273F5"/>
    <w:rsid w:val="0082750B"/>
    <w:rsid w:val="008275CD"/>
    <w:rsid w:val="00827655"/>
    <w:rsid w:val="00827816"/>
    <w:rsid w:val="008278E5"/>
    <w:rsid w:val="00827A00"/>
    <w:rsid w:val="00827C14"/>
    <w:rsid w:val="00827C5D"/>
    <w:rsid w:val="00827CDC"/>
    <w:rsid w:val="00827D63"/>
    <w:rsid w:val="00827D65"/>
    <w:rsid w:val="00827F22"/>
    <w:rsid w:val="00827F81"/>
    <w:rsid w:val="0083005B"/>
    <w:rsid w:val="008300A8"/>
    <w:rsid w:val="0083011F"/>
    <w:rsid w:val="0083020D"/>
    <w:rsid w:val="00830349"/>
    <w:rsid w:val="00830446"/>
    <w:rsid w:val="00830503"/>
    <w:rsid w:val="0083098C"/>
    <w:rsid w:val="00830D09"/>
    <w:rsid w:val="00830D53"/>
    <w:rsid w:val="00830EDE"/>
    <w:rsid w:val="00830F8E"/>
    <w:rsid w:val="00830FDB"/>
    <w:rsid w:val="0083108B"/>
    <w:rsid w:val="00831121"/>
    <w:rsid w:val="0083117F"/>
    <w:rsid w:val="00831192"/>
    <w:rsid w:val="008311EA"/>
    <w:rsid w:val="008311F8"/>
    <w:rsid w:val="00831310"/>
    <w:rsid w:val="0083136B"/>
    <w:rsid w:val="0083137F"/>
    <w:rsid w:val="008314C6"/>
    <w:rsid w:val="0083156C"/>
    <w:rsid w:val="00831600"/>
    <w:rsid w:val="008316DF"/>
    <w:rsid w:val="00831941"/>
    <w:rsid w:val="00831995"/>
    <w:rsid w:val="00831A1B"/>
    <w:rsid w:val="00831A37"/>
    <w:rsid w:val="00831AF8"/>
    <w:rsid w:val="00831B26"/>
    <w:rsid w:val="00831BF8"/>
    <w:rsid w:val="00831C8D"/>
    <w:rsid w:val="00831D84"/>
    <w:rsid w:val="00831DED"/>
    <w:rsid w:val="00831F12"/>
    <w:rsid w:val="00831F1C"/>
    <w:rsid w:val="0083205D"/>
    <w:rsid w:val="008320AF"/>
    <w:rsid w:val="0083235B"/>
    <w:rsid w:val="008323C3"/>
    <w:rsid w:val="008325A4"/>
    <w:rsid w:val="00832813"/>
    <w:rsid w:val="0083288E"/>
    <w:rsid w:val="0083294E"/>
    <w:rsid w:val="008329D7"/>
    <w:rsid w:val="00832B2D"/>
    <w:rsid w:val="00832B6F"/>
    <w:rsid w:val="00832E5C"/>
    <w:rsid w:val="00832E8A"/>
    <w:rsid w:val="00833100"/>
    <w:rsid w:val="00833127"/>
    <w:rsid w:val="0083335F"/>
    <w:rsid w:val="00833495"/>
    <w:rsid w:val="00833547"/>
    <w:rsid w:val="0083380F"/>
    <w:rsid w:val="00833852"/>
    <w:rsid w:val="008339DD"/>
    <w:rsid w:val="00833A88"/>
    <w:rsid w:val="00833B5B"/>
    <w:rsid w:val="00833CD3"/>
    <w:rsid w:val="00833D47"/>
    <w:rsid w:val="00833D8A"/>
    <w:rsid w:val="00833F4B"/>
    <w:rsid w:val="00833FC7"/>
    <w:rsid w:val="00833FF9"/>
    <w:rsid w:val="0083402E"/>
    <w:rsid w:val="00834060"/>
    <w:rsid w:val="008340F9"/>
    <w:rsid w:val="0083416C"/>
    <w:rsid w:val="008341A8"/>
    <w:rsid w:val="00834396"/>
    <w:rsid w:val="0083439D"/>
    <w:rsid w:val="008343AD"/>
    <w:rsid w:val="008343E6"/>
    <w:rsid w:val="008344E9"/>
    <w:rsid w:val="0083461B"/>
    <w:rsid w:val="00834648"/>
    <w:rsid w:val="00834724"/>
    <w:rsid w:val="00834776"/>
    <w:rsid w:val="008347B6"/>
    <w:rsid w:val="008347CC"/>
    <w:rsid w:val="008349F5"/>
    <w:rsid w:val="00834A0A"/>
    <w:rsid w:val="00834A39"/>
    <w:rsid w:val="00834A78"/>
    <w:rsid w:val="00834DE7"/>
    <w:rsid w:val="00834E72"/>
    <w:rsid w:val="00834F50"/>
    <w:rsid w:val="00834FBE"/>
    <w:rsid w:val="00834FC9"/>
    <w:rsid w:val="008351CA"/>
    <w:rsid w:val="00835286"/>
    <w:rsid w:val="008354BF"/>
    <w:rsid w:val="00835530"/>
    <w:rsid w:val="008355E6"/>
    <w:rsid w:val="0083570F"/>
    <w:rsid w:val="00835923"/>
    <w:rsid w:val="00835952"/>
    <w:rsid w:val="00835A6F"/>
    <w:rsid w:val="00835ADD"/>
    <w:rsid w:val="00835C16"/>
    <w:rsid w:val="00835C93"/>
    <w:rsid w:val="00835D4C"/>
    <w:rsid w:val="00835D57"/>
    <w:rsid w:val="00835D88"/>
    <w:rsid w:val="00835E10"/>
    <w:rsid w:val="00835E15"/>
    <w:rsid w:val="008360B4"/>
    <w:rsid w:val="00836185"/>
    <w:rsid w:val="008361D5"/>
    <w:rsid w:val="00836223"/>
    <w:rsid w:val="00836291"/>
    <w:rsid w:val="0083631C"/>
    <w:rsid w:val="008363DE"/>
    <w:rsid w:val="008365A4"/>
    <w:rsid w:val="0083669B"/>
    <w:rsid w:val="008367B7"/>
    <w:rsid w:val="00836825"/>
    <w:rsid w:val="00836880"/>
    <w:rsid w:val="00836890"/>
    <w:rsid w:val="00836935"/>
    <w:rsid w:val="008369A2"/>
    <w:rsid w:val="00836A77"/>
    <w:rsid w:val="00836A8F"/>
    <w:rsid w:val="00836D71"/>
    <w:rsid w:val="00837171"/>
    <w:rsid w:val="00837273"/>
    <w:rsid w:val="0083732D"/>
    <w:rsid w:val="00837645"/>
    <w:rsid w:val="0083766C"/>
    <w:rsid w:val="008376ED"/>
    <w:rsid w:val="008377D1"/>
    <w:rsid w:val="008378F5"/>
    <w:rsid w:val="00837981"/>
    <w:rsid w:val="00837AB0"/>
    <w:rsid w:val="00837B12"/>
    <w:rsid w:val="00837E4A"/>
    <w:rsid w:val="00837F41"/>
    <w:rsid w:val="0084005E"/>
    <w:rsid w:val="00840120"/>
    <w:rsid w:val="0084019B"/>
    <w:rsid w:val="008401B7"/>
    <w:rsid w:val="00840239"/>
    <w:rsid w:val="00840425"/>
    <w:rsid w:val="00840435"/>
    <w:rsid w:val="008404F2"/>
    <w:rsid w:val="0084090B"/>
    <w:rsid w:val="008409D8"/>
    <w:rsid w:val="00840AD6"/>
    <w:rsid w:val="00840BC9"/>
    <w:rsid w:val="00840DAB"/>
    <w:rsid w:val="00840DFD"/>
    <w:rsid w:val="00840E6A"/>
    <w:rsid w:val="00840E88"/>
    <w:rsid w:val="00840FF4"/>
    <w:rsid w:val="00841059"/>
    <w:rsid w:val="008410A8"/>
    <w:rsid w:val="0084134B"/>
    <w:rsid w:val="00841395"/>
    <w:rsid w:val="0084142D"/>
    <w:rsid w:val="008414C3"/>
    <w:rsid w:val="00841681"/>
    <w:rsid w:val="00841BC3"/>
    <w:rsid w:val="00841C56"/>
    <w:rsid w:val="00841D69"/>
    <w:rsid w:val="00841E25"/>
    <w:rsid w:val="00841EC4"/>
    <w:rsid w:val="00841F4D"/>
    <w:rsid w:val="00841F82"/>
    <w:rsid w:val="00841FD7"/>
    <w:rsid w:val="00842003"/>
    <w:rsid w:val="008420D9"/>
    <w:rsid w:val="0084210F"/>
    <w:rsid w:val="0084218C"/>
    <w:rsid w:val="008421A1"/>
    <w:rsid w:val="00842299"/>
    <w:rsid w:val="008422F7"/>
    <w:rsid w:val="00842343"/>
    <w:rsid w:val="00842480"/>
    <w:rsid w:val="0084248C"/>
    <w:rsid w:val="008424FA"/>
    <w:rsid w:val="00842AAA"/>
    <w:rsid w:val="00842ADC"/>
    <w:rsid w:val="00842B05"/>
    <w:rsid w:val="00842CCE"/>
    <w:rsid w:val="00842CD3"/>
    <w:rsid w:val="00842E35"/>
    <w:rsid w:val="008431A7"/>
    <w:rsid w:val="0084359D"/>
    <w:rsid w:val="0084391C"/>
    <w:rsid w:val="00843B88"/>
    <w:rsid w:val="00843C2E"/>
    <w:rsid w:val="00843C6A"/>
    <w:rsid w:val="00843EB9"/>
    <w:rsid w:val="00843FAD"/>
    <w:rsid w:val="0084406F"/>
    <w:rsid w:val="008440B3"/>
    <w:rsid w:val="0084412F"/>
    <w:rsid w:val="008441F9"/>
    <w:rsid w:val="00844272"/>
    <w:rsid w:val="008442D6"/>
    <w:rsid w:val="00844554"/>
    <w:rsid w:val="008445CC"/>
    <w:rsid w:val="008445FB"/>
    <w:rsid w:val="00844665"/>
    <w:rsid w:val="008446CD"/>
    <w:rsid w:val="00844740"/>
    <w:rsid w:val="0084477D"/>
    <w:rsid w:val="00844870"/>
    <w:rsid w:val="008448F9"/>
    <w:rsid w:val="00844946"/>
    <w:rsid w:val="00844C7D"/>
    <w:rsid w:val="00844E9D"/>
    <w:rsid w:val="00844FD6"/>
    <w:rsid w:val="00845022"/>
    <w:rsid w:val="00845116"/>
    <w:rsid w:val="0084512B"/>
    <w:rsid w:val="00845183"/>
    <w:rsid w:val="00845377"/>
    <w:rsid w:val="008453BC"/>
    <w:rsid w:val="00845652"/>
    <w:rsid w:val="00845698"/>
    <w:rsid w:val="008457F2"/>
    <w:rsid w:val="008457FB"/>
    <w:rsid w:val="00845924"/>
    <w:rsid w:val="008459E8"/>
    <w:rsid w:val="00845A45"/>
    <w:rsid w:val="00845AA0"/>
    <w:rsid w:val="00845D65"/>
    <w:rsid w:val="00845E12"/>
    <w:rsid w:val="00845E67"/>
    <w:rsid w:val="00846014"/>
    <w:rsid w:val="00846120"/>
    <w:rsid w:val="00846145"/>
    <w:rsid w:val="00846174"/>
    <w:rsid w:val="008462DA"/>
    <w:rsid w:val="00846330"/>
    <w:rsid w:val="008463D1"/>
    <w:rsid w:val="00846445"/>
    <w:rsid w:val="0084648A"/>
    <w:rsid w:val="0084657F"/>
    <w:rsid w:val="008465B5"/>
    <w:rsid w:val="0084665E"/>
    <w:rsid w:val="008466B3"/>
    <w:rsid w:val="00846A1E"/>
    <w:rsid w:val="00846C11"/>
    <w:rsid w:val="00847068"/>
    <w:rsid w:val="008471BF"/>
    <w:rsid w:val="008471DD"/>
    <w:rsid w:val="008472C5"/>
    <w:rsid w:val="008472E8"/>
    <w:rsid w:val="00847311"/>
    <w:rsid w:val="008473E2"/>
    <w:rsid w:val="00847470"/>
    <w:rsid w:val="00847649"/>
    <w:rsid w:val="00847691"/>
    <w:rsid w:val="008476FB"/>
    <w:rsid w:val="00847C95"/>
    <w:rsid w:val="00850209"/>
    <w:rsid w:val="0085025C"/>
    <w:rsid w:val="008504A9"/>
    <w:rsid w:val="0085071E"/>
    <w:rsid w:val="0085087C"/>
    <w:rsid w:val="008509C6"/>
    <w:rsid w:val="00850A27"/>
    <w:rsid w:val="00850B1D"/>
    <w:rsid w:val="00850D62"/>
    <w:rsid w:val="00850DA5"/>
    <w:rsid w:val="00850E07"/>
    <w:rsid w:val="00850E7A"/>
    <w:rsid w:val="00850EF4"/>
    <w:rsid w:val="00850F08"/>
    <w:rsid w:val="00850F6D"/>
    <w:rsid w:val="00850FC5"/>
    <w:rsid w:val="0085107A"/>
    <w:rsid w:val="00851148"/>
    <w:rsid w:val="00851249"/>
    <w:rsid w:val="008512E1"/>
    <w:rsid w:val="0085131A"/>
    <w:rsid w:val="00851489"/>
    <w:rsid w:val="00851694"/>
    <w:rsid w:val="00851756"/>
    <w:rsid w:val="008519A0"/>
    <w:rsid w:val="00851AEA"/>
    <w:rsid w:val="00851BF9"/>
    <w:rsid w:val="00851DAB"/>
    <w:rsid w:val="00851E24"/>
    <w:rsid w:val="00851F03"/>
    <w:rsid w:val="00851FDB"/>
    <w:rsid w:val="008521D7"/>
    <w:rsid w:val="00852256"/>
    <w:rsid w:val="008524CE"/>
    <w:rsid w:val="008525EE"/>
    <w:rsid w:val="00852633"/>
    <w:rsid w:val="0085269F"/>
    <w:rsid w:val="008526C2"/>
    <w:rsid w:val="008526C4"/>
    <w:rsid w:val="008526CF"/>
    <w:rsid w:val="00852728"/>
    <w:rsid w:val="00852893"/>
    <w:rsid w:val="00852925"/>
    <w:rsid w:val="00852A00"/>
    <w:rsid w:val="00852A98"/>
    <w:rsid w:val="00852AC2"/>
    <w:rsid w:val="00852B1B"/>
    <w:rsid w:val="00852CD7"/>
    <w:rsid w:val="00852D48"/>
    <w:rsid w:val="00852D76"/>
    <w:rsid w:val="00852DA6"/>
    <w:rsid w:val="00852E21"/>
    <w:rsid w:val="00852E3D"/>
    <w:rsid w:val="00852EC3"/>
    <w:rsid w:val="0085332F"/>
    <w:rsid w:val="0085360F"/>
    <w:rsid w:val="00853914"/>
    <w:rsid w:val="008539DA"/>
    <w:rsid w:val="00853AA1"/>
    <w:rsid w:val="00853B87"/>
    <w:rsid w:val="00853CC3"/>
    <w:rsid w:val="00853DC7"/>
    <w:rsid w:val="00853DD0"/>
    <w:rsid w:val="00853DE8"/>
    <w:rsid w:val="00853F0A"/>
    <w:rsid w:val="00853F29"/>
    <w:rsid w:val="00854006"/>
    <w:rsid w:val="0085405C"/>
    <w:rsid w:val="008542D8"/>
    <w:rsid w:val="00854312"/>
    <w:rsid w:val="0085441E"/>
    <w:rsid w:val="0085444F"/>
    <w:rsid w:val="00854594"/>
    <w:rsid w:val="008545EE"/>
    <w:rsid w:val="0085464B"/>
    <w:rsid w:val="00854686"/>
    <w:rsid w:val="0085481E"/>
    <w:rsid w:val="0085488D"/>
    <w:rsid w:val="0085490F"/>
    <w:rsid w:val="00854AF9"/>
    <w:rsid w:val="00854B42"/>
    <w:rsid w:val="00854B59"/>
    <w:rsid w:val="00854C75"/>
    <w:rsid w:val="00854CB0"/>
    <w:rsid w:val="00854F0A"/>
    <w:rsid w:val="00855113"/>
    <w:rsid w:val="008551AB"/>
    <w:rsid w:val="00855202"/>
    <w:rsid w:val="0085545A"/>
    <w:rsid w:val="008554BF"/>
    <w:rsid w:val="008554EE"/>
    <w:rsid w:val="008555CD"/>
    <w:rsid w:val="00855763"/>
    <w:rsid w:val="008557DA"/>
    <w:rsid w:val="0085586D"/>
    <w:rsid w:val="00855881"/>
    <w:rsid w:val="008558EA"/>
    <w:rsid w:val="00855AC9"/>
    <w:rsid w:val="00855AE7"/>
    <w:rsid w:val="00855B2C"/>
    <w:rsid w:val="00855C68"/>
    <w:rsid w:val="0085601F"/>
    <w:rsid w:val="00856064"/>
    <w:rsid w:val="0085625F"/>
    <w:rsid w:val="00856481"/>
    <w:rsid w:val="00856562"/>
    <w:rsid w:val="0085666B"/>
    <w:rsid w:val="0085677D"/>
    <w:rsid w:val="00856812"/>
    <w:rsid w:val="00856893"/>
    <w:rsid w:val="0085692B"/>
    <w:rsid w:val="00856977"/>
    <w:rsid w:val="008569DC"/>
    <w:rsid w:val="00856A31"/>
    <w:rsid w:val="00856B70"/>
    <w:rsid w:val="00856C08"/>
    <w:rsid w:val="00856C7B"/>
    <w:rsid w:val="00856D75"/>
    <w:rsid w:val="00856E73"/>
    <w:rsid w:val="00856F19"/>
    <w:rsid w:val="008571EC"/>
    <w:rsid w:val="008574B1"/>
    <w:rsid w:val="008574B4"/>
    <w:rsid w:val="008575B8"/>
    <w:rsid w:val="008575D5"/>
    <w:rsid w:val="008575D6"/>
    <w:rsid w:val="008575F7"/>
    <w:rsid w:val="00857767"/>
    <w:rsid w:val="008577E9"/>
    <w:rsid w:val="008578E0"/>
    <w:rsid w:val="00857987"/>
    <w:rsid w:val="00857A18"/>
    <w:rsid w:val="00857AFD"/>
    <w:rsid w:val="00857BD2"/>
    <w:rsid w:val="00857BE6"/>
    <w:rsid w:val="00857C30"/>
    <w:rsid w:val="00857DF6"/>
    <w:rsid w:val="00857F7E"/>
    <w:rsid w:val="00857FD1"/>
    <w:rsid w:val="00860037"/>
    <w:rsid w:val="008600A6"/>
    <w:rsid w:val="0086011D"/>
    <w:rsid w:val="00860216"/>
    <w:rsid w:val="0086041F"/>
    <w:rsid w:val="008604B3"/>
    <w:rsid w:val="0086059D"/>
    <w:rsid w:val="008605B4"/>
    <w:rsid w:val="00860658"/>
    <w:rsid w:val="008606A9"/>
    <w:rsid w:val="008608BE"/>
    <w:rsid w:val="008608D3"/>
    <w:rsid w:val="00860970"/>
    <w:rsid w:val="00860A8C"/>
    <w:rsid w:val="00860ABA"/>
    <w:rsid w:val="00860BA3"/>
    <w:rsid w:val="00860E0B"/>
    <w:rsid w:val="00860F0E"/>
    <w:rsid w:val="00860F82"/>
    <w:rsid w:val="00860FE0"/>
    <w:rsid w:val="00860FF0"/>
    <w:rsid w:val="00861092"/>
    <w:rsid w:val="0086123F"/>
    <w:rsid w:val="00861350"/>
    <w:rsid w:val="0086137C"/>
    <w:rsid w:val="008613EE"/>
    <w:rsid w:val="008614C9"/>
    <w:rsid w:val="008615BB"/>
    <w:rsid w:val="008615D6"/>
    <w:rsid w:val="0086169C"/>
    <w:rsid w:val="00861724"/>
    <w:rsid w:val="008617E1"/>
    <w:rsid w:val="00861813"/>
    <w:rsid w:val="008619C6"/>
    <w:rsid w:val="00861ACE"/>
    <w:rsid w:val="00861C21"/>
    <w:rsid w:val="00861CDC"/>
    <w:rsid w:val="00861CEC"/>
    <w:rsid w:val="00861F81"/>
    <w:rsid w:val="008620DA"/>
    <w:rsid w:val="00862295"/>
    <w:rsid w:val="0086229D"/>
    <w:rsid w:val="00862408"/>
    <w:rsid w:val="0086243E"/>
    <w:rsid w:val="0086253D"/>
    <w:rsid w:val="0086255E"/>
    <w:rsid w:val="00862565"/>
    <w:rsid w:val="008625AB"/>
    <w:rsid w:val="008625E1"/>
    <w:rsid w:val="0086263D"/>
    <w:rsid w:val="00862731"/>
    <w:rsid w:val="00862800"/>
    <w:rsid w:val="0086282C"/>
    <w:rsid w:val="00862CF4"/>
    <w:rsid w:val="00862E8C"/>
    <w:rsid w:val="00862F8B"/>
    <w:rsid w:val="008631F4"/>
    <w:rsid w:val="0086322E"/>
    <w:rsid w:val="00863301"/>
    <w:rsid w:val="008633D7"/>
    <w:rsid w:val="00863450"/>
    <w:rsid w:val="00863540"/>
    <w:rsid w:val="00863700"/>
    <w:rsid w:val="00863A73"/>
    <w:rsid w:val="00863C59"/>
    <w:rsid w:val="00863CC9"/>
    <w:rsid w:val="00863D48"/>
    <w:rsid w:val="00863D5F"/>
    <w:rsid w:val="00863E1B"/>
    <w:rsid w:val="00863EBA"/>
    <w:rsid w:val="008641D9"/>
    <w:rsid w:val="00864320"/>
    <w:rsid w:val="008644FF"/>
    <w:rsid w:val="00864577"/>
    <w:rsid w:val="0086460F"/>
    <w:rsid w:val="0086480E"/>
    <w:rsid w:val="00864823"/>
    <w:rsid w:val="008649A9"/>
    <w:rsid w:val="008649F1"/>
    <w:rsid w:val="00864AA8"/>
    <w:rsid w:val="00864ABC"/>
    <w:rsid w:val="00864EFA"/>
    <w:rsid w:val="0086515C"/>
    <w:rsid w:val="00865191"/>
    <w:rsid w:val="008651BB"/>
    <w:rsid w:val="00865354"/>
    <w:rsid w:val="00865510"/>
    <w:rsid w:val="008655AF"/>
    <w:rsid w:val="008655CE"/>
    <w:rsid w:val="008655D2"/>
    <w:rsid w:val="008656CE"/>
    <w:rsid w:val="008657B4"/>
    <w:rsid w:val="008657B9"/>
    <w:rsid w:val="008657E5"/>
    <w:rsid w:val="008658A2"/>
    <w:rsid w:val="00865902"/>
    <w:rsid w:val="00865942"/>
    <w:rsid w:val="008659E3"/>
    <w:rsid w:val="00865A5E"/>
    <w:rsid w:val="00865B24"/>
    <w:rsid w:val="00865BC2"/>
    <w:rsid w:val="00865DAA"/>
    <w:rsid w:val="00865E36"/>
    <w:rsid w:val="00865EE5"/>
    <w:rsid w:val="008661A7"/>
    <w:rsid w:val="008663A9"/>
    <w:rsid w:val="00866448"/>
    <w:rsid w:val="008664EE"/>
    <w:rsid w:val="008665AC"/>
    <w:rsid w:val="008665D9"/>
    <w:rsid w:val="00866706"/>
    <w:rsid w:val="0086690F"/>
    <w:rsid w:val="00866956"/>
    <w:rsid w:val="0086696D"/>
    <w:rsid w:val="00866A78"/>
    <w:rsid w:val="00866B1A"/>
    <w:rsid w:val="00866BE6"/>
    <w:rsid w:val="00866F33"/>
    <w:rsid w:val="00867033"/>
    <w:rsid w:val="008670CF"/>
    <w:rsid w:val="0086711B"/>
    <w:rsid w:val="008671D9"/>
    <w:rsid w:val="0086722E"/>
    <w:rsid w:val="008672DA"/>
    <w:rsid w:val="00867419"/>
    <w:rsid w:val="0086748F"/>
    <w:rsid w:val="008675C9"/>
    <w:rsid w:val="00867628"/>
    <w:rsid w:val="00867709"/>
    <w:rsid w:val="0086777E"/>
    <w:rsid w:val="008677D1"/>
    <w:rsid w:val="0086788D"/>
    <w:rsid w:val="00867AAF"/>
    <w:rsid w:val="00867ACC"/>
    <w:rsid w:val="00867B6C"/>
    <w:rsid w:val="00867E6D"/>
    <w:rsid w:val="00867EE4"/>
    <w:rsid w:val="00867F6F"/>
    <w:rsid w:val="0087013B"/>
    <w:rsid w:val="0087026E"/>
    <w:rsid w:val="008702E4"/>
    <w:rsid w:val="00870330"/>
    <w:rsid w:val="0087040F"/>
    <w:rsid w:val="00870480"/>
    <w:rsid w:val="00870610"/>
    <w:rsid w:val="00870749"/>
    <w:rsid w:val="00870808"/>
    <w:rsid w:val="0087081B"/>
    <w:rsid w:val="008708E2"/>
    <w:rsid w:val="0087096E"/>
    <w:rsid w:val="008709F0"/>
    <w:rsid w:val="00870BC1"/>
    <w:rsid w:val="00870CA6"/>
    <w:rsid w:val="00870D36"/>
    <w:rsid w:val="008710B6"/>
    <w:rsid w:val="008710BE"/>
    <w:rsid w:val="008710EF"/>
    <w:rsid w:val="008713CB"/>
    <w:rsid w:val="00871534"/>
    <w:rsid w:val="008715A4"/>
    <w:rsid w:val="008718A7"/>
    <w:rsid w:val="00871945"/>
    <w:rsid w:val="00871983"/>
    <w:rsid w:val="00871B6C"/>
    <w:rsid w:val="00871E26"/>
    <w:rsid w:val="008722A3"/>
    <w:rsid w:val="008722B4"/>
    <w:rsid w:val="00872359"/>
    <w:rsid w:val="00872617"/>
    <w:rsid w:val="008726D3"/>
    <w:rsid w:val="008729BA"/>
    <w:rsid w:val="00872A06"/>
    <w:rsid w:val="00872A6B"/>
    <w:rsid w:val="00872C01"/>
    <w:rsid w:val="00872CB2"/>
    <w:rsid w:val="00872D4C"/>
    <w:rsid w:val="00872D8C"/>
    <w:rsid w:val="00872EE2"/>
    <w:rsid w:val="00872EE8"/>
    <w:rsid w:val="00873035"/>
    <w:rsid w:val="00873339"/>
    <w:rsid w:val="0087341D"/>
    <w:rsid w:val="0087371E"/>
    <w:rsid w:val="00873736"/>
    <w:rsid w:val="00873844"/>
    <w:rsid w:val="0087385C"/>
    <w:rsid w:val="008738A2"/>
    <w:rsid w:val="00873BD4"/>
    <w:rsid w:val="00873E3D"/>
    <w:rsid w:val="00873E42"/>
    <w:rsid w:val="00873FB8"/>
    <w:rsid w:val="00874086"/>
    <w:rsid w:val="008740F6"/>
    <w:rsid w:val="008744F1"/>
    <w:rsid w:val="0087457A"/>
    <w:rsid w:val="00874720"/>
    <w:rsid w:val="00874831"/>
    <w:rsid w:val="0087483A"/>
    <w:rsid w:val="0087485D"/>
    <w:rsid w:val="00874878"/>
    <w:rsid w:val="008748A4"/>
    <w:rsid w:val="008748B8"/>
    <w:rsid w:val="00874900"/>
    <w:rsid w:val="00874AE5"/>
    <w:rsid w:val="00874B09"/>
    <w:rsid w:val="00874B75"/>
    <w:rsid w:val="00874C27"/>
    <w:rsid w:val="00874C5A"/>
    <w:rsid w:val="00874D78"/>
    <w:rsid w:val="00874F53"/>
    <w:rsid w:val="00874F95"/>
    <w:rsid w:val="008750D2"/>
    <w:rsid w:val="00875118"/>
    <w:rsid w:val="00875146"/>
    <w:rsid w:val="00875172"/>
    <w:rsid w:val="0087518B"/>
    <w:rsid w:val="00875264"/>
    <w:rsid w:val="0087542D"/>
    <w:rsid w:val="008756F2"/>
    <w:rsid w:val="00875814"/>
    <w:rsid w:val="008758D3"/>
    <w:rsid w:val="0087597D"/>
    <w:rsid w:val="00875981"/>
    <w:rsid w:val="008759DB"/>
    <w:rsid w:val="00875AE5"/>
    <w:rsid w:val="00875B29"/>
    <w:rsid w:val="00875C4D"/>
    <w:rsid w:val="00875CC6"/>
    <w:rsid w:val="00875CE9"/>
    <w:rsid w:val="00875D40"/>
    <w:rsid w:val="00875EA5"/>
    <w:rsid w:val="00875F7A"/>
    <w:rsid w:val="00876233"/>
    <w:rsid w:val="00876253"/>
    <w:rsid w:val="008762C6"/>
    <w:rsid w:val="008763DC"/>
    <w:rsid w:val="00876428"/>
    <w:rsid w:val="00876443"/>
    <w:rsid w:val="00876474"/>
    <w:rsid w:val="00876505"/>
    <w:rsid w:val="00876617"/>
    <w:rsid w:val="008766A7"/>
    <w:rsid w:val="00876771"/>
    <w:rsid w:val="008768E2"/>
    <w:rsid w:val="008769E6"/>
    <w:rsid w:val="00876A14"/>
    <w:rsid w:val="00876A80"/>
    <w:rsid w:val="00876CD9"/>
    <w:rsid w:val="00876DB8"/>
    <w:rsid w:val="00876DD4"/>
    <w:rsid w:val="00876E28"/>
    <w:rsid w:val="00876FAD"/>
    <w:rsid w:val="00876FC9"/>
    <w:rsid w:val="008771B7"/>
    <w:rsid w:val="008771D4"/>
    <w:rsid w:val="0087723F"/>
    <w:rsid w:val="0087727D"/>
    <w:rsid w:val="00877333"/>
    <w:rsid w:val="00877376"/>
    <w:rsid w:val="008773EC"/>
    <w:rsid w:val="0087740A"/>
    <w:rsid w:val="00877435"/>
    <w:rsid w:val="0087745F"/>
    <w:rsid w:val="008776A7"/>
    <w:rsid w:val="008777BC"/>
    <w:rsid w:val="008779BA"/>
    <w:rsid w:val="008779FF"/>
    <w:rsid w:val="00877A4D"/>
    <w:rsid w:val="00877A71"/>
    <w:rsid w:val="00877CE2"/>
    <w:rsid w:val="00877DC9"/>
    <w:rsid w:val="00877EBE"/>
    <w:rsid w:val="00877ED5"/>
    <w:rsid w:val="00877F30"/>
    <w:rsid w:val="00877FA4"/>
    <w:rsid w:val="0088000E"/>
    <w:rsid w:val="00880062"/>
    <w:rsid w:val="008800C8"/>
    <w:rsid w:val="0088025E"/>
    <w:rsid w:val="0088033E"/>
    <w:rsid w:val="008803C9"/>
    <w:rsid w:val="0088051B"/>
    <w:rsid w:val="00880597"/>
    <w:rsid w:val="008806C5"/>
    <w:rsid w:val="008807E5"/>
    <w:rsid w:val="00880B01"/>
    <w:rsid w:val="00880C66"/>
    <w:rsid w:val="00880CB0"/>
    <w:rsid w:val="00880CFF"/>
    <w:rsid w:val="00880D4E"/>
    <w:rsid w:val="0088116C"/>
    <w:rsid w:val="008811DB"/>
    <w:rsid w:val="0088129E"/>
    <w:rsid w:val="00881366"/>
    <w:rsid w:val="008813AB"/>
    <w:rsid w:val="008813FF"/>
    <w:rsid w:val="0088147F"/>
    <w:rsid w:val="008814F5"/>
    <w:rsid w:val="00881695"/>
    <w:rsid w:val="0088188F"/>
    <w:rsid w:val="00881B7F"/>
    <w:rsid w:val="00881B90"/>
    <w:rsid w:val="00881D57"/>
    <w:rsid w:val="00881D9F"/>
    <w:rsid w:val="00881DAA"/>
    <w:rsid w:val="00881DF5"/>
    <w:rsid w:val="00881E05"/>
    <w:rsid w:val="00881F78"/>
    <w:rsid w:val="008821E6"/>
    <w:rsid w:val="008823A8"/>
    <w:rsid w:val="00882428"/>
    <w:rsid w:val="00882476"/>
    <w:rsid w:val="0088247A"/>
    <w:rsid w:val="0088249B"/>
    <w:rsid w:val="00882577"/>
    <w:rsid w:val="00882941"/>
    <w:rsid w:val="0088294D"/>
    <w:rsid w:val="00882952"/>
    <w:rsid w:val="00882954"/>
    <w:rsid w:val="0088298E"/>
    <w:rsid w:val="00882D2E"/>
    <w:rsid w:val="00882DF3"/>
    <w:rsid w:val="00882EE1"/>
    <w:rsid w:val="00882F1D"/>
    <w:rsid w:val="00882FEB"/>
    <w:rsid w:val="008830F9"/>
    <w:rsid w:val="00883611"/>
    <w:rsid w:val="00883612"/>
    <w:rsid w:val="008836FE"/>
    <w:rsid w:val="0088373D"/>
    <w:rsid w:val="0088380B"/>
    <w:rsid w:val="00883A1B"/>
    <w:rsid w:val="00883BF5"/>
    <w:rsid w:val="00883CC9"/>
    <w:rsid w:val="00883E1C"/>
    <w:rsid w:val="00883F09"/>
    <w:rsid w:val="00883F7D"/>
    <w:rsid w:val="008840A4"/>
    <w:rsid w:val="008840C5"/>
    <w:rsid w:val="008841B2"/>
    <w:rsid w:val="008841FE"/>
    <w:rsid w:val="00884261"/>
    <w:rsid w:val="00884499"/>
    <w:rsid w:val="00884513"/>
    <w:rsid w:val="0088451E"/>
    <w:rsid w:val="00884561"/>
    <w:rsid w:val="00884677"/>
    <w:rsid w:val="008846EF"/>
    <w:rsid w:val="00884704"/>
    <w:rsid w:val="00884836"/>
    <w:rsid w:val="00884A08"/>
    <w:rsid w:val="00884A3C"/>
    <w:rsid w:val="00884A4D"/>
    <w:rsid w:val="00884A7E"/>
    <w:rsid w:val="00884AFF"/>
    <w:rsid w:val="00884E3A"/>
    <w:rsid w:val="00884FE3"/>
    <w:rsid w:val="0088505C"/>
    <w:rsid w:val="008852FD"/>
    <w:rsid w:val="0088532B"/>
    <w:rsid w:val="0088539A"/>
    <w:rsid w:val="008854AB"/>
    <w:rsid w:val="008854E2"/>
    <w:rsid w:val="00885587"/>
    <w:rsid w:val="00885755"/>
    <w:rsid w:val="0088576E"/>
    <w:rsid w:val="00885A07"/>
    <w:rsid w:val="00885B97"/>
    <w:rsid w:val="00885B9C"/>
    <w:rsid w:val="00885C7F"/>
    <w:rsid w:val="00885DFD"/>
    <w:rsid w:val="00885ED3"/>
    <w:rsid w:val="00885ED7"/>
    <w:rsid w:val="00885EF9"/>
    <w:rsid w:val="00886150"/>
    <w:rsid w:val="00886244"/>
    <w:rsid w:val="0088624C"/>
    <w:rsid w:val="00886280"/>
    <w:rsid w:val="008862D0"/>
    <w:rsid w:val="00886362"/>
    <w:rsid w:val="008864A3"/>
    <w:rsid w:val="00886601"/>
    <w:rsid w:val="0088687C"/>
    <w:rsid w:val="0088693B"/>
    <w:rsid w:val="00886941"/>
    <w:rsid w:val="00886B4A"/>
    <w:rsid w:val="00886C45"/>
    <w:rsid w:val="00886F5D"/>
    <w:rsid w:val="00886F83"/>
    <w:rsid w:val="0088701D"/>
    <w:rsid w:val="00887200"/>
    <w:rsid w:val="00887328"/>
    <w:rsid w:val="0088739E"/>
    <w:rsid w:val="00887565"/>
    <w:rsid w:val="00887680"/>
    <w:rsid w:val="00887685"/>
    <w:rsid w:val="008876B8"/>
    <w:rsid w:val="00887897"/>
    <w:rsid w:val="00887A0A"/>
    <w:rsid w:val="00887EF7"/>
    <w:rsid w:val="00887FDF"/>
    <w:rsid w:val="008901B7"/>
    <w:rsid w:val="008901C5"/>
    <w:rsid w:val="0089028B"/>
    <w:rsid w:val="00890643"/>
    <w:rsid w:val="008906D4"/>
    <w:rsid w:val="0089074B"/>
    <w:rsid w:val="0089077F"/>
    <w:rsid w:val="008907C0"/>
    <w:rsid w:val="008907CC"/>
    <w:rsid w:val="008908CE"/>
    <w:rsid w:val="00890975"/>
    <w:rsid w:val="00890C30"/>
    <w:rsid w:val="00890CC0"/>
    <w:rsid w:val="00890DCF"/>
    <w:rsid w:val="00890E55"/>
    <w:rsid w:val="00890EF8"/>
    <w:rsid w:val="00890FEF"/>
    <w:rsid w:val="0089110A"/>
    <w:rsid w:val="008912B8"/>
    <w:rsid w:val="00891367"/>
    <w:rsid w:val="008917C7"/>
    <w:rsid w:val="00891E1B"/>
    <w:rsid w:val="00891EF8"/>
    <w:rsid w:val="00891F06"/>
    <w:rsid w:val="00892168"/>
    <w:rsid w:val="008922A0"/>
    <w:rsid w:val="008922C1"/>
    <w:rsid w:val="008922FB"/>
    <w:rsid w:val="00892343"/>
    <w:rsid w:val="00892353"/>
    <w:rsid w:val="008923D6"/>
    <w:rsid w:val="0089259D"/>
    <w:rsid w:val="008925C1"/>
    <w:rsid w:val="0089261A"/>
    <w:rsid w:val="00892764"/>
    <w:rsid w:val="00892822"/>
    <w:rsid w:val="0089283F"/>
    <w:rsid w:val="00892C43"/>
    <w:rsid w:val="00892D2E"/>
    <w:rsid w:val="00892D6C"/>
    <w:rsid w:val="00892D91"/>
    <w:rsid w:val="00893187"/>
    <w:rsid w:val="00893196"/>
    <w:rsid w:val="008931AF"/>
    <w:rsid w:val="00893271"/>
    <w:rsid w:val="008933DD"/>
    <w:rsid w:val="00893435"/>
    <w:rsid w:val="00893480"/>
    <w:rsid w:val="00893554"/>
    <w:rsid w:val="008935BE"/>
    <w:rsid w:val="0089360E"/>
    <w:rsid w:val="0089369F"/>
    <w:rsid w:val="008936AD"/>
    <w:rsid w:val="008937BB"/>
    <w:rsid w:val="0089389D"/>
    <w:rsid w:val="008938FF"/>
    <w:rsid w:val="00893A25"/>
    <w:rsid w:val="00893A31"/>
    <w:rsid w:val="00893AB8"/>
    <w:rsid w:val="00893ADF"/>
    <w:rsid w:val="00893AE4"/>
    <w:rsid w:val="00893BD7"/>
    <w:rsid w:val="00893C3F"/>
    <w:rsid w:val="00893D0B"/>
    <w:rsid w:val="00893D54"/>
    <w:rsid w:val="00893D8F"/>
    <w:rsid w:val="00893DE7"/>
    <w:rsid w:val="00893E07"/>
    <w:rsid w:val="00893EDC"/>
    <w:rsid w:val="00893FCF"/>
    <w:rsid w:val="00894013"/>
    <w:rsid w:val="0089401E"/>
    <w:rsid w:val="00894086"/>
    <w:rsid w:val="0089410E"/>
    <w:rsid w:val="00894367"/>
    <w:rsid w:val="0089464C"/>
    <w:rsid w:val="00894819"/>
    <w:rsid w:val="0089493E"/>
    <w:rsid w:val="008949A8"/>
    <w:rsid w:val="00894C20"/>
    <w:rsid w:val="00894D2A"/>
    <w:rsid w:val="00894E9A"/>
    <w:rsid w:val="00894EE2"/>
    <w:rsid w:val="00894F44"/>
    <w:rsid w:val="00895002"/>
    <w:rsid w:val="00895060"/>
    <w:rsid w:val="00895091"/>
    <w:rsid w:val="008950C5"/>
    <w:rsid w:val="00895121"/>
    <w:rsid w:val="00895142"/>
    <w:rsid w:val="0089524C"/>
    <w:rsid w:val="00895434"/>
    <w:rsid w:val="0089544F"/>
    <w:rsid w:val="008954F7"/>
    <w:rsid w:val="00895613"/>
    <w:rsid w:val="00895780"/>
    <w:rsid w:val="00895868"/>
    <w:rsid w:val="00895893"/>
    <w:rsid w:val="00895A6C"/>
    <w:rsid w:val="00895C35"/>
    <w:rsid w:val="00895EAB"/>
    <w:rsid w:val="00895EF0"/>
    <w:rsid w:val="00895F80"/>
    <w:rsid w:val="00895FA4"/>
    <w:rsid w:val="00895FE3"/>
    <w:rsid w:val="0089600F"/>
    <w:rsid w:val="008964DC"/>
    <w:rsid w:val="00896534"/>
    <w:rsid w:val="008967A0"/>
    <w:rsid w:val="008967B5"/>
    <w:rsid w:val="008969BE"/>
    <w:rsid w:val="00896AB1"/>
    <w:rsid w:val="00896BC1"/>
    <w:rsid w:val="00896C0E"/>
    <w:rsid w:val="00896C1F"/>
    <w:rsid w:val="00896C28"/>
    <w:rsid w:val="00896CBE"/>
    <w:rsid w:val="00896EB8"/>
    <w:rsid w:val="00896F18"/>
    <w:rsid w:val="00897050"/>
    <w:rsid w:val="00897107"/>
    <w:rsid w:val="00897243"/>
    <w:rsid w:val="00897346"/>
    <w:rsid w:val="0089749F"/>
    <w:rsid w:val="0089753E"/>
    <w:rsid w:val="0089767A"/>
    <w:rsid w:val="0089768F"/>
    <w:rsid w:val="0089778C"/>
    <w:rsid w:val="00897890"/>
    <w:rsid w:val="00897946"/>
    <w:rsid w:val="008979D9"/>
    <w:rsid w:val="00897A79"/>
    <w:rsid w:val="00897AA7"/>
    <w:rsid w:val="00897B72"/>
    <w:rsid w:val="00897C14"/>
    <w:rsid w:val="00897CAB"/>
    <w:rsid w:val="00897DC9"/>
    <w:rsid w:val="00897DF3"/>
    <w:rsid w:val="00897E1B"/>
    <w:rsid w:val="00897EE8"/>
    <w:rsid w:val="00897F4E"/>
    <w:rsid w:val="008A00AE"/>
    <w:rsid w:val="008A0102"/>
    <w:rsid w:val="008A0104"/>
    <w:rsid w:val="008A0106"/>
    <w:rsid w:val="008A03B9"/>
    <w:rsid w:val="008A0423"/>
    <w:rsid w:val="008A04A3"/>
    <w:rsid w:val="008A052B"/>
    <w:rsid w:val="008A06AD"/>
    <w:rsid w:val="008A0736"/>
    <w:rsid w:val="008A07A5"/>
    <w:rsid w:val="008A08D6"/>
    <w:rsid w:val="008A08D8"/>
    <w:rsid w:val="008A0965"/>
    <w:rsid w:val="008A0A5E"/>
    <w:rsid w:val="008A0D4F"/>
    <w:rsid w:val="008A0E02"/>
    <w:rsid w:val="008A0E9F"/>
    <w:rsid w:val="008A0F79"/>
    <w:rsid w:val="008A115A"/>
    <w:rsid w:val="008A139D"/>
    <w:rsid w:val="008A141E"/>
    <w:rsid w:val="008A1913"/>
    <w:rsid w:val="008A1970"/>
    <w:rsid w:val="008A19B8"/>
    <w:rsid w:val="008A19C6"/>
    <w:rsid w:val="008A1A78"/>
    <w:rsid w:val="008A1AC0"/>
    <w:rsid w:val="008A1CED"/>
    <w:rsid w:val="008A1D1F"/>
    <w:rsid w:val="008A1EBF"/>
    <w:rsid w:val="008A1F19"/>
    <w:rsid w:val="008A21C6"/>
    <w:rsid w:val="008A21FA"/>
    <w:rsid w:val="008A22CD"/>
    <w:rsid w:val="008A236B"/>
    <w:rsid w:val="008A24A3"/>
    <w:rsid w:val="008A25F3"/>
    <w:rsid w:val="008A2659"/>
    <w:rsid w:val="008A265B"/>
    <w:rsid w:val="008A2671"/>
    <w:rsid w:val="008A2CE3"/>
    <w:rsid w:val="008A2CF0"/>
    <w:rsid w:val="008A2DF8"/>
    <w:rsid w:val="008A2DFD"/>
    <w:rsid w:val="008A2E83"/>
    <w:rsid w:val="008A2FC2"/>
    <w:rsid w:val="008A3105"/>
    <w:rsid w:val="008A3303"/>
    <w:rsid w:val="008A34B4"/>
    <w:rsid w:val="008A34B5"/>
    <w:rsid w:val="008A34EE"/>
    <w:rsid w:val="008A35BF"/>
    <w:rsid w:val="008A35C9"/>
    <w:rsid w:val="008A37CE"/>
    <w:rsid w:val="008A3962"/>
    <w:rsid w:val="008A397F"/>
    <w:rsid w:val="008A3D68"/>
    <w:rsid w:val="008A3DB5"/>
    <w:rsid w:val="008A3E10"/>
    <w:rsid w:val="008A3E5E"/>
    <w:rsid w:val="008A42AE"/>
    <w:rsid w:val="008A43C0"/>
    <w:rsid w:val="008A43D7"/>
    <w:rsid w:val="008A452E"/>
    <w:rsid w:val="008A454E"/>
    <w:rsid w:val="008A455F"/>
    <w:rsid w:val="008A466E"/>
    <w:rsid w:val="008A478A"/>
    <w:rsid w:val="008A4841"/>
    <w:rsid w:val="008A48A3"/>
    <w:rsid w:val="008A4C84"/>
    <w:rsid w:val="008A5063"/>
    <w:rsid w:val="008A50BF"/>
    <w:rsid w:val="008A50C3"/>
    <w:rsid w:val="008A5169"/>
    <w:rsid w:val="008A516F"/>
    <w:rsid w:val="008A517D"/>
    <w:rsid w:val="008A518A"/>
    <w:rsid w:val="008A51D0"/>
    <w:rsid w:val="008A5366"/>
    <w:rsid w:val="008A5838"/>
    <w:rsid w:val="008A5980"/>
    <w:rsid w:val="008A5A1A"/>
    <w:rsid w:val="008A5B18"/>
    <w:rsid w:val="008A5C13"/>
    <w:rsid w:val="008A5CD0"/>
    <w:rsid w:val="008A5CF3"/>
    <w:rsid w:val="008A5D6D"/>
    <w:rsid w:val="008A5DB8"/>
    <w:rsid w:val="008A5DC1"/>
    <w:rsid w:val="008A5E2D"/>
    <w:rsid w:val="008A5E78"/>
    <w:rsid w:val="008A5F99"/>
    <w:rsid w:val="008A6063"/>
    <w:rsid w:val="008A606E"/>
    <w:rsid w:val="008A6174"/>
    <w:rsid w:val="008A61A1"/>
    <w:rsid w:val="008A61F2"/>
    <w:rsid w:val="008A61FD"/>
    <w:rsid w:val="008A624C"/>
    <w:rsid w:val="008A6327"/>
    <w:rsid w:val="008A635E"/>
    <w:rsid w:val="008A63E2"/>
    <w:rsid w:val="008A652C"/>
    <w:rsid w:val="008A66A3"/>
    <w:rsid w:val="008A675C"/>
    <w:rsid w:val="008A67A7"/>
    <w:rsid w:val="008A682D"/>
    <w:rsid w:val="008A6852"/>
    <w:rsid w:val="008A6863"/>
    <w:rsid w:val="008A6864"/>
    <w:rsid w:val="008A6931"/>
    <w:rsid w:val="008A6ABC"/>
    <w:rsid w:val="008A6AC1"/>
    <w:rsid w:val="008A6D0B"/>
    <w:rsid w:val="008A6DB5"/>
    <w:rsid w:val="008A6DDD"/>
    <w:rsid w:val="008A6E4B"/>
    <w:rsid w:val="008A6F0B"/>
    <w:rsid w:val="008A6F9C"/>
    <w:rsid w:val="008A702B"/>
    <w:rsid w:val="008A70EF"/>
    <w:rsid w:val="008A749C"/>
    <w:rsid w:val="008A751A"/>
    <w:rsid w:val="008A7572"/>
    <w:rsid w:val="008A7645"/>
    <w:rsid w:val="008A79E1"/>
    <w:rsid w:val="008A7AC6"/>
    <w:rsid w:val="008A7AE3"/>
    <w:rsid w:val="008A7B2E"/>
    <w:rsid w:val="008A7BEC"/>
    <w:rsid w:val="008A7CFB"/>
    <w:rsid w:val="008A7D74"/>
    <w:rsid w:val="008A7F31"/>
    <w:rsid w:val="008B013F"/>
    <w:rsid w:val="008B01C7"/>
    <w:rsid w:val="008B03AD"/>
    <w:rsid w:val="008B04D5"/>
    <w:rsid w:val="008B04F4"/>
    <w:rsid w:val="008B053D"/>
    <w:rsid w:val="008B064F"/>
    <w:rsid w:val="008B06C9"/>
    <w:rsid w:val="008B0713"/>
    <w:rsid w:val="008B0722"/>
    <w:rsid w:val="008B099F"/>
    <w:rsid w:val="008B09A6"/>
    <w:rsid w:val="008B0A51"/>
    <w:rsid w:val="008B0A68"/>
    <w:rsid w:val="008B0AAC"/>
    <w:rsid w:val="008B0CCD"/>
    <w:rsid w:val="008B0CE9"/>
    <w:rsid w:val="008B0D1C"/>
    <w:rsid w:val="008B0DEC"/>
    <w:rsid w:val="008B0E9A"/>
    <w:rsid w:val="008B1065"/>
    <w:rsid w:val="008B1180"/>
    <w:rsid w:val="008B1263"/>
    <w:rsid w:val="008B12CE"/>
    <w:rsid w:val="008B12EE"/>
    <w:rsid w:val="008B14C4"/>
    <w:rsid w:val="008B15BF"/>
    <w:rsid w:val="008B168C"/>
    <w:rsid w:val="008B172A"/>
    <w:rsid w:val="008B17B3"/>
    <w:rsid w:val="008B17CD"/>
    <w:rsid w:val="008B1AF6"/>
    <w:rsid w:val="008B1DB6"/>
    <w:rsid w:val="008B1DDE"/>
    <w:rsid w:val="008B1DF0"/>
    <w:rsid w:val="008B1E12"/>
    <w:rsid w:val="008B1E7C"/>
    <w:rsid w:val="008B1EB5"/>
    <w:rsid w:val="008B1F29"/>
    <w:rsid w:val="008B204E"/>
    <w:rsid w:val="008B20FC"/>
    <w:rsid w:val="008B2145"/>
    <w:rsid w:val="008B21DA"/>
    <w:rsid w:val="008B24CB"/>
    <w:rsid w:val="008B2641"/>
    <w:rsid w:val="008B2684"/>
    <w:rsid w:val="008B2B84"/>
    <w:rsid w:val="008B2D2F"/>
    <w:rsid w:val="008B3201"/>
    <w:rsid w:val="008B3499"/>
    <w:rsid w:val="008B3542"/>
    <w:rsid w:val="008B3592"/>
    <w:rsid w:val="008B3595"/>
    <w:rsid w:val="008B376B"/>
    <w:rsid w:val="008B379F"/>
    <w:rsid w:val="008B3849"/>
    <w:rsid w:val="008B3BD0"/>
    <w:rsid w:val="008B3DFD"/>
    <w:rsid w:val="008B40F9"/>
    <w:rsid w:val="008B42BD"/>
    <w:rsid w:val="008B45AE"/>
    <w:rsid w:val="008B45E0"/>
    <w:rsid w:val="008B466C"/>
    <w:rsid w:val="008B472C"/>
    <w:rsid w:val="008B4749"/>
    <w:rsid w:val="008B4791"/>
    <w:rsid w:val="008B483D"/>
    <w:rsid w:val="008B4A36"/>
    <w:rsid w:val="008B4AAE"/>
    <w:rsid w:val="008B4AFA"/>
    <w:rsid w:val="008B4B7F"/>
    <w:rsid w:val="008B4BC2"/>
    <w:rsid w:val="008B4BD1"/>
    <w:rsid w:val="008B4BD2"/>
    <w:rsid w:val="008B4DE6"/>
    <w:rsid w:val="008B4FE6"/>
    <w:rsid w:val="008B509A"/>
    <w:rsid w:val="008B50A8"/>
    <w:rsid w:val="008B522E"/>
    <w:rsid w:val="008B532C"/>
    <w:rsid w:val="008B54E0"/>
    <w:rsid w:val="008B554F"/>
    <w:rsid w:val="008B55D7"/>
    <w:rsid w:val="008B561D"/>
    <w:rsid w:val="008B5689"/>
    <w:rsid w:val="008B5745"/>
    <w:rsid w:val="008B57CA"/>
    <w:rsid w:val="008B5818"/>
    <w:rsid w:val="008B59D7"/>
    <w:rsid w:val="008B5A79"/>
    <w:rsid w:val="008B5C0D"/>
    <w:rsid w:val="008B5D91"/>
    <w:rsid w:val="008B5EC0"/>
    <w:rsid w:val="008B5F20"/>
    <w:rsid w:val="008B5F6F"/>
    <w:rsid w:val="008B5F84"/>
    <w:rsid w:val="008B5FBC"/>
    <w:rsid w:val="008B606E"/>
    <w:rsid w:val="008B607D"/>
    <w:rsid w:val="008B609A"/>
    <w:rsid w:val="008B60FA"/>
    <w:rsid w:val="008B614E"/>
    <w:rsid w:val="008B6272"/>
    <w:rsid w:val="008B63B6"/>
    <w:rsid w:val="008B64FC"/>
    <w:rsid w:val="008B665D"/>
    <w:rsid w:val="008B66A7"/>
    <w:rsid w:val="008B66DB"/>
    <w:rsid w:val="008B6731"/>
    <w:rsid w:val="008B679B"/>
    <w:rsid w:val="008B67D2"/>
    <w:rsid w:val="008B67DF"/>
    <w:rsid w:val="008B68B4"/>
    <w:rsid w:val="008B6A36"/>
    <w:rsid w:val="008B6A4B"/>
    <w:rsid w:val="008B6C06"/>
    <w:rsid w:val="008B6C23"/>
    <w:rsid w:val="008B6D41"/>
    <w:rsid w:val="008B6DD1"/>
    <w:rsid w:val="008B6E89"/>
    <w:rsid w:val="008B6EBF"/>
    <w:rsid w:val="008B6ED3"/>
    <w:rsid w:val="008B72DB"/>
    <w:rsid w:val="008B75AB"/>
    <w:rsid w:val="008B7671"/>
    <w:rsid w:val="008B77A5"/>
    <w:rsid w:val="008B77B1"/>
    <w:rsid w:val="008B782B"/>
    <w:rsid w:val="008B7861"/>
    <w:rsid w:val="008B798A"/>
    <w:rsid w:val="008B7CA0"/>
    <w:rsid w:val="008B7CA3"/>
    <w:rsid w:val="008B7CF0"/>
    <w:rsid w:val="008B7D91"/>
    <w:rsid w:val="008B7DB7"/>
    <w:rsid w:val="008B7E32"/>
    <w:rsid w:val="008B7F02"/>
    <w:rsid w:val="008C0100"/>
    <w:rsid w:val="008C0225"/>
    <w:rsid w:val="008C0404"/>
    <w:rsid w:val="008C0497"/>
    <w:rsid w:val="008C04AD"/>
    <w:rsid w:val="008C059E"/>
    <w:rsid w:val="008C05D7"/>
    <w:rsid w:val="008C060B"/>
    <w:rsid w:val="008C079C"/>
    <w:rsid w:val="008C07E7"/>
    <w:rsid w:val="008C0903"/>
    <w:rsid w:val="008C09F1"/>
    <w:rsid w:val="008C0CD8"/>
    <w:rsid w:val="008C0E60"/>
    <w:rsid w:val="008C0F84"/>
    <w:rsid w:val="008C1171"/>
    <w:rsid w:val="008C1265"/>
    <w:rsid w:val="008C14FD"/>
    <w:rsid w:val="008C1593"/>
    <w:rsid w:val="008C1879"/>
    <w:rsid w:val="008C1AD1"/>
    <w:rsid w:val="008C1C12"/>
    <w:rsid w:val="008C1C79"/>
    <w:rsid w:val="008C1E06"/>
    <w:rsid w:val="008C1F00"/>
    <w:rsid w:val="008C1F45"/>
    <w:rsid w:val="008C1FF3"/>
    <w:rsid w:val="008C2139"/>
    <w:rsid w:val="008C2183"/>
    <w:rsid w:val="008C229F"/>
    <w:rsid w:val="008C2346"/>
    <w:rsid w:val="008C2408"/>
    <w:rsid w:val="008C2471"/>
    <w:rsid w:val="008C2522"/>
    <w:rsid w:val="008C25F4"/>
    <w:rsid w:val="008C28B1"/>
    <w:rsid w:val="008C28DC"/>
    <w:rsid w:val="008C2AA6"/>
    <w:rsid w:val="008C2B46"/>
    <w:rsid w:val="008C2BB1"/>
    <w:rsid w:val="008C2C50"/>
    <w:rsid w:val="008C2DC0"/>
    <w:rsid w:val="008C2F1C"/>
    <w:rsid w:val="008C2FBD"/>
    <w:rsid w:val="008C328D"/>
    <w:rsid w:val="008C3378"/>
    <w:rsid w:val="008C33CC"/>
    <w:rsid w:val="008C3431"/>
    <w:rsid w:val="008C3471"/>
    <w:rsid w:val="008C34AD"/>
    <w:rsid w:val="008C3508"/>
    <w:rsid w:val="008C35BB"/>
    <w:rsid w:val="008C3604"/>
    <w:rsid w:val="008C36F3"/>
    <w:rsid w:val="008C3768"/>
    <w:rsid w:val="008C3955"/>
    <w:rsid w:val="008C3A77"/>
    <w:rsid w:val="008C3B37"/>
    <w:rsid w:val="008C3C75"/>
    <w:rsid w:val="008C3D0A"/>
    <w:rsid w:val="008C3DFA"/>
    <w:rsid w:val="008C4087"/>
    <w:rsid w:val="008C4128"/>
    <w:rsid w:val="008C4218"/>
    <w:rsid w:val="008C4253"/>
    <w:rsid w:val="008C4486"/>
    <w:rsid w:val="008C44DB"/>
    <w:rsid w:val="008C44F2"/>
    <w:rsid w:val="008C4845"/>
    <w:rsid w:val="008C4909"/>
    <w:rsid w:val="008C4A86"/>
    <w:rsid w:val="008C4A90"/>
    <w:rsid w:val="008C4C7E"/>
    <w:rsid w:val="008C4DD4"/>
    <w:rsid w:val="008C4F49"/>
    <w:rsid w:val="008C4F71"/>
    <w:rsid w:val="008C4FDE"/>
    <w:rsid w:val="008C5031"/>
    <w:rsid w:val="008C5146"/>
    <w:rsid w:val="008C51BB"/>
    <w:rsid w:val="008C5477"/>
    <w:rsid w:val="008C5546"/>
    <w:rsid w:val="008C55A0"/>
    <w:rsid w:val="008C55F1"/>
    <w:rsid w:val="008C56C2"/>
    <w:rsid w:val="008C56C6"/>
    <w:rsid w:val="008C56FF"/>
    <w:rsid w:val="008C578A"/>
    <w:rsid w:val="008C5881"/>
    <w:rsid w:val="008C5A6E"/>
    <w:rsid w:val="008C5D12"/>
    <w:rsid w:val="008C5E56"/>
    <w:rsid w:val="008C5EB6"/>
    <w:rsid w:val="008C5EBA"/>
    <w:rsid w:val="008C6057"/>
    <w:rsid w:val="008C6146"/>
    <w:rsid w:val="008C6171"/>
    <w:rsid w:val="008C63EC"/>
    <w:rsid w:val="008C6411"/>
    <w:rsid w:val="008C643A"/>
    <w:rsid w:val="008C652E"/>
    <w:rsid w:val="008C6566"/>
    <w:rsid w:val="008C65FB"/>
    <w:rsid w:val="008C6646"/>
    <w:rsid w:val="008C66DB"/>
    <w:rsid w:val="008C66E1"/>
    <w:rsid w:val="008C677F"/>
    <w:rsid w:val="008C67BC"/>
    <w:rsid w:val="008C6974"/>
    <w:rsid w:val="008C6977"/>
    <w:rsid w:val="008C6A17"/>
    <w:rsid w:val="008C6A2F"/>
    <w:rsid w:val="008C6B22"/>
    <w:rsid w:val="008C6B26"/>
    <w:rsid w:val="008C6CF2"/>
    <w:rsid w:val="008C7065"/>
    <w:rsid w:val="008C70A6"/>
    <w:rsid w:val="008C71B8"/>
    <w:rsid w:val="008C7254"/>
    <w:rsid w:val="008C733F"/>
    <w:rsid w:val="008C746F"/>
    <w:rsid w:val="008C763B"/>
    <w:rsid w:val="008C7B23"/>
    <w:rsid w:val="008C7F15"/>
    <w:rsid w:val="008C7FA4"/>
    <w:rsid w:val="008D0047"/>
    <w:rsid w:val="008D0145"/>
    <w:rsid w:val="008D0211"/>
    <w:rsid w:val="008D0356"/>
    <w:rsid w:val="008D035E"/>
    <w:rsid w:val="008D03D6"/>
    <w:rsid w:val="008D04A5"/>
    <w:rsid w:val="008D0718"/>
    <w:rsid w:val="008D0724"/>
    <w:rsid w:val="008D072F"/>
    <w:rsid w:val="008D0896"/>
    <w:rsid w:val="008D0C08"/>
    <w:rsid w:val="008D0C13"/>
    <w:rsid w:val="008D0CDA"/>
    <w:rsid w:val="008D0E1C"/>
    <w:rsid w:val="008D0F47"/>
    <w:rsid w:val="008D1425"/>
    <w:rsid w:val="008D17E2"/>
    <w:rsid w:val="008D19D9"/>
    <w:rsid w:val="008D1A31"/>
    <w:rsid w:val="008D1A8E"/>
    <w:rsid w:val="008D1B39"/>
    <w:rsid w:val="008D1B53"/>
    <w:rsid w:val="008D1BE8"/>
    <w:rsid w:val="008D1BEC"/>
    <w:rsid w:val="008D1C5F"/>
    <w:rsid w:val="008D1DA1"/>
    <w:rsid w:val="008D20D8"/>
    <w:rsid w:val="008D211D"/>
    <w:rsid w:val="008D2217"/>
    <w:rsid w:val="008D2306"/>
    <w:rsid w:val="008D25F9"/>
    <w:rsid w:val="008D271F"/>
    <w:rsid w:val="008D2848"/>
    <w:rsid w:val="008D28C4"/>
    <w:rsid w:val="008D28CA"/>
    <w:rsid w:val="008D28D7"/>
    <w:rsid w:val="008D296B"/>
    <w:rsid w:val="008D2998"/>
    <w:rsid w:val="008D2A8F"/>
    <w:rsid w:val="008D2B55"/>
    <w:rsid w:val="008D2D86"/>
    <w:rsid w:val="008D2E23"/>
    <w:rsid w:val="008D2E9B"/>
    <w:rsid w:val="008D2FBE"/>
    <w:rsid w:val="008D3036"/>
    <w:rsid w:val="008D3165"/>
    <w:rsid w:val="008D3169"/>
    <w:rsid w:val="008D31D0"/>
    <w:rsid w:val="008D31E6"/>
    <w:rsid w:val="008D321A"/>
    <w:rsid w:val="008D323B"/>
    <w:rsid w:val="008D3329"/>
    <w:rsid w:val="008D3449"/>
    <w:rsid w:val="008D3482"/>
    <w:rsid w:val="008D35AF"/>
    <w:rsid w:val="008D367B"/>
    <w:rsid w:val="008D3687"/>
    <w:rsid w:val="008D372A"/>
    <w:rsid w:val="008D3904"/>
    <w:rsid w:val="008D391F"/>
    <w:rsid w:val="008D3935"/>
    <w:rsid w:val="008D397F"/>
    <w:rsid w:val="008D3992"/>
    <w:rsid w:val="008D39E2"/>
    <w:rsid w:val="008D3AD6"/>
    <w:rsid w:val="008D3B05"/>
    <w:rsid w:val="008D3B55"/>
    <w:rsid w:val="008D3B57"/>
    <w:rsid w:val="008D3C3C"/>
    <w:rsid w:val="008D3DA6"/>
    <w:rsid w:val="008D3DC5"/>
    <w:rsid w:val="008D3E47"/>
    <w:rsid w:val="008D3E4F"/>
    <w:rsid w:val="008D3F0A"/>
    <w:rsid w:val="008D3F19"/>
    <w:rsid w:val="008D3FC5"/>
    <w:rsid w:val="008D4084"/>
    <w:rsid w:val="008D40A8"/>
    <w:rsid w:val="008D41BC"/>
    <w:rsid w:val="008D43C8"/>
    <w:rsid w:val="008D43CE"/>
    <w:rsid w:val="008D44EA"/>
    <w:rsid w:val="008D4631"/>
    <w:rsid w:val="008D47E4"/>
    <w:rsid w:val="008D480B"/>
    <w:rsid w:val="008D494F"/>
    <w:rsid w:val="008D4AB7"/>
    <w:rsid w:val="008D4B22"/>
    <w:rsid w:val="008D4B50"/>
    <w:rsid w:val="008D4BA5"/>
    <w:rsid w:val="008D4F64"/>
    <w:rsid w:val="008D4FDA"/>
    <w:rsid w:val="008D50F1"/>
    <w:rsid w:val="008D51AF"/>
    <w:rsid w:val="008D52EB"/>
    <w:rsid w:val="008D57A9"/>
    <w:rsid w:val="008D58A7"/>
    <w:rsid w:val="008D5AD1"/>
    <w:rsid w:val="008D5AFD"/>
    <w:rsid w:val="008D5C28"/>
    <w:rsid w:val="008D5C55"/>
    <w:rsid w:val="008D5DA8"/>
    <w:rsid w:val="008D5E56"/>
    <w:rsid w:val="008D5E8B"/>
    <w:rsid w:val="008D5ED0"/>
    <w:rsid w:val="008D5F22"/>
    <w:rsid w:val="008D6098"/>
    <w:rsid w:val="008D631F"/>
    <w:rsid w:val="008D644A"/>
    <w:rsid w:val="008D6455"/>
    <w:rsid w:val="008D649D"/>
    <w:rsid w:val="008D652D"/>
    <w:rsid w:val="008D656F"/>
    <w:rsid w:val="008D66FF"/>
    <w:rsid w:val="008D6830"/>
    <w:rsid w:val="008D68A7"/>
    <w:rsid w:val="008D6C10"/>
    <w:rsid w:val="008D6DBA"/>
    <w:rsid w:val="008D6E61"/>
    <w:rsid w:val="008D6E69"/>
    <w:rsid w:val="008D70FF"/>
    <w:rsid w:val="008D71A1"/>
    <w:rsid w:val="008D72BD"/>
    <w:rsid w:val="008D7307"/>
    <w:rsid w:val="008D73A5"/>
    <w:rsid w:val="008D748D"/>
    <w:rsid w:val="008D764A"/>
    <w:rsid w:val="008D76A2"/>
    <w:rsid w:val="008D774D"/>
    <w:rsid w:val="008D7750"/>
    <w:rsid w:val="008D78EA"/>
    <w:rsid w:val="008D7924"/>
    <w:rsid w:val="008D79EA"/>
    <w:rsid w:val="008D7A8B"/>
    <w:rsid w:val="008D7C30"/>
    <w:rsid w:val="008D7D1A"/>
    <w:rsid w:val="008D7D4E"/>
    <w:rsid w:val="008E0033"/>
    <w:rsid w:val="008E0159"/>
    <w:rsid w:val="008E024B"/>
    <w:rsid w:val="008E02C8"/>
    <w:rsid w:val="008E05A3"/>
    <w:rsid w:val="008E0637"/>
    <w:rsid w:val="008E065A"/>
    <w:rsid w:val="008E0681"/>
    <w:rsid w:val="008E0686"/>
    <w:rsid w:val="008E068C"/>
    <w:rsid w:val="008E068E"/>
    <w:rsid w:val="008E0700"/>
    <w:rsid w:val="008E07A7"/>
    <w:rsid w:val="008E07D7"/>
    <w:rsid w:val="008E07FD"/>
    <w:rsid w:val="008E08E2"/>
    <w:rsid w:val="008E09A0"/>
    <w:rsid w:val="008E0A55"/>
    <w:rsid w:val="008E0C07"/>
    <w:rsid w:val="008E1042"/>
    <w:rsid w:val="008E10CC"/>
    <w:rsid w:val="008E10D3"/>
    <w:rsid w:val="008E125B"/>
    <w:rsid w:val="008E133F"/>
    <w:rsid w:val="008E1395"/>
    <w:rsid w:val="008E157C"/>
    <w:rsid w:val="008E16DB"/>
    <w:rsid w:val="008E17A5"/>
    <w:rsid w:val="008E1886"/>
    <w:rsid w:val="008E19B6"/>
    <w:rsid w:val="008E1A46"/>
    <w:rsid w:val="008E1AE1"/>
    <w:rsid w:val="008E1D7C"/>
    <w:rsid w:val="008E1DE4"/>
    <w:rsid w:val="008E2000"/>
    <w:rsid w:val="008E205B"/>
    <w:rsid w:val="008E2248"/>
    <w:rsid w:val="008E22F9"/>
    <w:rsid w:val="008E2382"/>
    <w:rsid w:val="008E23C1"/>
    <w:rsid w:val="008E2484"/>
    <w:rsid w:val="008E25D7"/>
    <w:rsid w:val="008E2A92"/>
    <w:rsid w:val="008E2C42"/>
    <w:rsid w:val="008E2CF3"/>
    <w:rsid w:val="008E2E57"/>
    <w:rsid w:val="008E2FD4"/>
    <w:rsid w:val="008E2FD9"/>
    <w:rsid w:val="008E3010"/>
    <w:rsid w:val="008E3089"/>
    <w:rsid w:val="008E3224"/>
    <w:rsid w:val="008E33E7"/>
    <w:rsid w:val="008E3473"/>
    <w:rsid w:val="008E34BA"/>
    <w:rsid w:val="008E34C4"/>
    <w:rsid w:val="008E36E0"/>
    <w:rsid w:val="008E3964"/>
    <w:rsid w:val="008E3A4D"/>
    <w:rsid w:val="008E3E04"/>
    <w:rsid w:val="008E3E1F"/>
    <w:rsid w:val="008E3F2D"/>
    <w:rsid w:val="008E3FCF"/>
    <w:rsid w:val="008E41CD"/>
    <w:rsid w:val="008E42B6"/>
    <w:rsid w:val="008E43FB"/>
    <w:rsid w:val="008E44AC"/>
    <w:rsid w:val="008E44D3"/>
    <w:rsid w:val="008E44E3"/>
    <w:rsid w:val="008E452F"/>
    <w:rsid w:val="008E4655"/>
    <w:rsid w:val="008E4668"/>
    <w:rsid w:val="008E46A0"/>
    <w:rsid w:val="008E476E"/>
    <w:rsid w:val="008E47FB"/>
    <w:rsid w:val="008E4900"/>
    <w:rsid w:val="008E4B7C"/>
    <w:rsid w:val="008E4DFA"/>
    <w:rsid w:val="008E4E9B"/>
    <w:rsid w:val="008E5003"/>
    <w:rsid w:val="008E50A3"/>
    <w:rsid w:val="008E52D0"/>
    <w:rsid w:val="008E5354"/>
    <w:rsid w:val="008E5411"/>
    <w:rsid w:val="008E546A"/>
    <w:rsid w:val="008E565C"/>
    <w:rsid w:val="008E586B"/>
    <w:rsid w:val="008E5898"/>
    <w:rsid w:val="008E59AB"/>
    <w:rsid w:val="008E5A8D"/>
    <w:rsid w:val="008E5B3E"/>
    <w:rsid w:val="008E5C38"/>
    <w:rsid w:val="008E5E89"/>
    <w:rsid w:val="008E5F80"/>
    <w:rsid w:val="008E5FD7"/>
    <w:rsid w:val="008E60D6"/>
    <w:rsid w:val="008E6223"/>
    <w:rsid w:val="008E632F"/>
    <w:rsid w:val="008E637B"/>
    <w:rsid w:val="008E6680"/>
    <w:rsid w:val="008E6A45"/>
    <w:rsid w:val="008E6B03"/>
    <w:rsid w:val="008E6B7F"/>
    <w:rsid w:val="008E6BCA"/>
    <w:rsid w:val="008E6BCE"/>
    <w:rsid w:val="008E6C1D"/>
    <w:rsid w:val="008E6C62"/>
    <w:rsid w:val="008E6CC4"/>
    <w:rsid w:val="008E6CF0"/>
    <w:rsid w:val="008E6DCA"/>
    <w:rsid w:val="008E6F3E"/>
    <w:rsid w:val="008E7181"/>
    <w:rsid w:val="008E7186"/>
    <w:rsid w:val="008E733D"/>
    <w:rsid w:val="008E7555"/>
    <w:rsid w:val="008E770F"/>
    <w:rsid w:val="008E7793"/>
    <w:rsid w:val="008E78A7"/>
    <w:rsid w:val="008E7942"/>
    <w:rsid w:val="008E7968"/>
    <w:rsid w:val="008E79E8"/>
    <w:rsid w:val="008E7AC2"/>
    <w:rsid w:val="008E7B4D"/>
    <w:rsid w:val="008E7C3A"/>
    <w:rsid w:val="008E7C60"/>
    <w:rsid w:val="008E7C81"/>
    <w:rsid w:val="008E7D11"/>
    <w:rsid w:val="008E7DFE"/>
    <w:rsid w:val="008E7E1E"/>
    <w:rsid w:val="008E7EE9"/>
    <w:rsid w:val="008F005B"/>
    <w:rsid w:val="008F00A6"/>
    <w:rsid w:val="008F012C"/>
    <w:rsid w:val="008F01C5"/>
    <w:rsid w:val="008F02AE"/>
    <w:rsid w:val="008F0352"/>
    <w:rsid w:val="008F03BA"/>
    <w:rsid w:val="008F051D"/>
    <w:rsid w:val="008F054A"/>
    <w:rsid w:val="008F054D"/>
    <w:rsid w:val="008F0595"/>
    <w:rsid w:val="008F05ED"/>
    <w:rsid w:val="008F06FD"/>
    <w:rsid w:val="008F071A"/>
    <w:rsid w:val="008F0782"/>
    <w:rsid w:val="008F07FE"/>
    <w:rsid w:val="008F087D"/>
    <w:rsid w:val="008F0883"/>
    <w:rsid w:val="008F08FA"/>
    <w:rsid w:val="008F0BBE"/>
    <w:rsid w:val="008F0BC9"/>
    <w:rsid w:val="008F0BE0"/>
    <w:rsid w:val="008F0D23"/>
    <w:rsid w:val="008F0D4C"/>
    <w:rsid w:val="008F0D5C"/>
    <w:rsid w:val="008F0DB1"/>
    <w:rsid w:val="008F0E02"/>
    <w:rsid w:val="008F0E7F"/>
    <w:rsid w:val="008F0F96"/>
    <w:rsid w:val="008F0FFC"/>
    <w:rsid w:val="008F11C1"/>
    <w:rsid w:val="008F1218"/>
    <w:rsid w:val="008F12D5"/>
    <w:rsid w:val="008F12D7"/>
    <w:rsid w:val="008F1342"/>
    <w:rsid w:val="008F134A"/>
    <w:rsid w:val="008F14BA"/>
    <w:rsid w:val="008F15C8"/>
    <w:rsid w:val="008F1675"/>
    <w:rsid w:val="008F16F6"/>
    <w:rsid w:val="008F18FB"/>
    <w:rsid w:val="008F1956"/>
    <w:rsid w:val="008F195A"/>
    <w:rsid w:val="008F19A3"/>
    <w:rsid w:val="008F1A16"/>
    <w:rsid w:val="008F1BFD"/>
    <w:rsid w:val="008F1C0B"/>
    <w:rsid w:val="008F1CA1"/>
    <w:rsid w:val="008F1EC7"/>
    <w:rsid w:val="008F1F13"/>
    <w:rsid w:val="008F2030"/>
    <w:rsid w:val="008F222F"/>
    <w:rsid w:val="008F2242"/>
    <w:rsid w:val="008F27C4"/>
    <w:rsid w:val="008F27EF"/>
    <w:rsid w:val="008F28DC"/>
    <w:rsid w:val="008F2C4A"/>
    <w:rsid w:val="008F2D52"/>
    <w:rsid w:val="008F2E66"/>
    <w:rsid w:val="008F2EB1"/>
    <w:rsid w:val="008F30BB"/>
    <w:rsid w:val="008F31B9"/>
    <w:rsid w:val="008F31C9"/>
    <w:rsid w:val="008F322B"/>
    <w:rsid w:val="008F3327"/>
    <w:rsid w:val="008F336A"/>
    <w:rsid w:val="008F3375"/>
    <w:rsid w:val="008F34E8"/>
    <w:rsid w:val="008F38F6"/>
    <w:rsid w:val="008F3999"/>
    <w:rsid w:val="008F3A9D"/>
    <w:rsid w:val="008F3AC8"/>
    <w:rsid w:val="008F3CC6"/>
    <w:rsid w:val="008F3D1B"/>
    <w:rsid w:val="008F3DCA"/>
    <w:rsid w:val="008F3F42"/>
    <w:rsid w:val="008F3FEB"/>
    <w:rsid w:val="008F40E7"/>
    <w:rsid w:val="008F4242"/>
    <w:rsid w:val="008F42BF"/>
    <w:rsid w:val="008F42FC"/>
    <w:rsid w:val="008F43B6"/>
    <w:rsid w:val="008F43D8"/>
    <w:rsid w:val="008F4467"/>
    <w:rsid w:val="008F44CF"/>
    <w:rsid w:val="008F4572"/>
    <w:rsid w:val="008F45C7"/>
    <w:rsid w:val="008F45FE"/>
    <w:rsid w:val="008F47C0"/>
    <w:rsid w:val="008F48A4"/>
    <w:rsid w:val="008F48D2"/>
    <w:rsid w:val="008F4C06"/>
    <w:rsid w:val="008F4DB4"/>
    <w:rsid w:val="008F4EAE"/>
    <w:rsid w:val="008F5021"/>
    <w:rsid w:val="008F511E"/>
    <w:rsid w:val="008F5163"/>
    <w:rsid w:val="008F520D"/>
    <w:rsid w:val="008F52A7"/>
    <w:rsid w:val="008F5551"/>
    <w:rsid w:val="008F556E"/>
    <w:rsid w:val="008F55CC"/>
    <w:rsid w:val="008F56D3"/>
    <w:rsid w:val="008F5780"/>
    <w:rsid w:val="008F57C8"/>
    <w:rsid w:val="008F586D"/>
    <w:rsid w:val="008F5872"/>
    <w:rsid w:val="008F5885"/>
    <w:rsid w:val="008F5967"/>
    <w:rsid w:val="008F59AB"/>
    <w:rsid w:val="008F5BC3"/>
    <w:rsid w:val="008F5D46"/>
    <w:rsid w:val="008F5DF8"/>
    <w:rsid w:val="008F5EA6"/>
    <w:rsid w:val="008F603E"/>
    <w:rsid w:val="008F60EF"/>
    <w:rsid w:val="008F61A6"/>
    <w:rsid w:val="008F62DA"/>
    <w:rsid w:val="008F6305"/>
    <w:rsid w:val="008F640F"/>
    <w:rsid w:val="008F651C"/>
    <w:rsid w:val="008F6551"/>
    <w:rsid w:val="008F6587"/>
    <w:rsid w:val="008F659D"/>
    <w:rsid w:val="008F65B9"/>
    <w:rsid w:val="008F669D"/>
    <w:rsid w:val="008F66AA"/>
    <w:rsid w:val="008F6805"/>
    <w:rsid w:val="008F689E"/>
    <w:rsid w:val="008F6CC1"/>
    <w:rsid w:val="008F6F31"/>
    <w:rsid w:val="008F6F91"/>
    <w:rsid w:val="008F6FED"/>
    <w:rsid w:val="008F70BB"/>
    <w:rsid w:val="008F71DA"/>
    <w:rsid w:val="008F7322"/>
    <w:rsid w:val="008F7380"/>
    <w:rsid w:val="008F7396"/>
    <w:rsid w:val="008F7439"/>
    <w:rsid w:val="008F766C"/>
    <w:rsid w:val="008F7B77"/>
    <w:rsid w:val="008F7C48"/>
    <w:rsid w:val="008F7C4A"/>
    <w:rsid w:val="008F7EDB"/>
    <w:rsid w:val="008F7F66"/>
    <w:rsid w:val="008F7F6A"/>
    <w:rsid w:val="008F7FA3"/>
    <w:rsid w:val="00900278"/>
    <w:rsid w:val="009003CA"/>
    <w:rsid w:val="00900501"/>
    <w:rsid w:val="00900605"/>
    <w:rsid w:val="00900729"/>
    <w:rsid w:val="0090078A"/>
    <w:rsid w:val="0090097D"/>
    <w:rsid w:val="00900981"/>
    <w:rsid w:val="009009C0"/>
    <w:rsid w:val="00900A26"/>
    <w:rsid w:val="00900A81"/>
    <w:rsid w:val="00900ACA"/>
    <w:rsid w:val="00900C7F"/>
    <w:rsid w:val="00900DC7"/>
    <w:rsid w:val="00900EAC"/>
    <w:rsid w:val="00900FA2"/>
    <w:rsid w:val="0090100C"/>
    <w:rsid w:val="009010B2"/>
    <w:rsid w:val="009010CB"/>
    <w:rsid w:val="009011DE"/>
    <w:rsid w:val="009012C6"/>
    <w:rsid w:val="00901362"/>
    <w:rsid w:val="009013E8"/>
    <w:rsid w:val="0090165D"/>
    <w:rsid w:val="009016D1"/>
    <w:rsid w:val="0090187E"/>
    <w:rsid w:val="00901987"/>
    <w:rsid w:val="009019F6"/>
    <w:rsid w:val="00901A09"/>
    <w:rsid w:val="00901BE1"/>
    <w:rsid w:val="00901C2D"/>
    <w:rsid w:val="00901C83"/>
    <w:rsid w:val="00901CBE"/>
    <w:rsid w:val="00901DAB"/>
    <w:rsid w:val="00901E73"/>
    <w:rsid w:val="0090219D"/>
    <w:rsid w:val="0090224E"/>
    <w:rsid w:val="009023AF"/>
    <w:rsid w:val="0090241E"/>
    <w:rsid w:val="009024FB"/>
    <w:rsid w:val="00902501"/>
    <w:rsid w:val="00902502"/>
    <w:rsid w:val="00902595"/>
    <w:rsid w:val="009026CA"/>
    <w:rsid w:val="00902816"/>
    <w:rsid w:val="00902822"/>
    <w:rsid w:val="00902917"/>
    <w:rsid w:val="00902B3F"/>
    <w:rsid w:val="00902BE5"/>
    <w:rsid w:val="00902C08"/>
    <w:rsid w:val="00902E23"/>
    <w:rsid w:val="00902E51"/>
    <w:rsid w:val="00902F8F"/>
    <w:rsid w:val="00902FC5"/>
    <w:rsid w:val="0090315D"/>
    <w:rsid w:val="00903355"/>
    <w:rsid w:val="00903379"/>
    <w:rsid w:val="009033F1"/>
    <w:rsid w:val="009033F5"/>
    <w:rsid w:val="0090354D"/>
    <w:rsid w:val="00903674"/>
    <w:rsid w:val="00903843"/>
    <w:rsid w:val="00903852"/>
    <w:rsid w:val="00903A0F"/>
    <w:rsid w:val="00903BDD"/>
    <w:rsid w:val="00903DDE"/>
    <w:rsid w:val="00904156"/>
    <w:rsid w:val="0090420C"/>
    <w:rsid w:val="00904349"/>
    <w:rsid w:val="0090473E"/>
    <w:rsid w:val="009049C9"/>
    <w:rsid w:val="00904ADB"/>
    <w:rsid w:val="00904AE7"/>
    <w:rsid w:val="00904B35"/>
    <w:rsid w:val="00904C11"/>
    <w:rsid w:val="00904CA2"/>
    <w:rsid w:val="00904D93"/>
    <w:rsid w:val="00904E0E"/>
    <w:rsid w:val="00904E37"/>
    <w:rsid w:val="00904F4E"/>
    <w:rsid w:val="00904FE4"/>
    <w:rsid w:val="009050CD"/>
    <w:rsid w:val="0090513E"/>
    <w:rsid w:val="00905202"/>
    <w:rsid w:val="0090526E"/>
    <w:rsid w:val="0090535C"/>
    <w:rsid w:val="0090545C"/>
    <w:rsid w:val="0090546D"/>
    <w:rsid w:val="009054A9"/>
    <w:rsid w:val="00905570"/>
    <w:rsid w:val="009055C6"/>
    <w:rsid w:val="009058E1"/>
    <w:rsid w:val="00905A6B"/>
    <w:rsid w:val="00905CDC"/>
    <w:rsid w:val="00905D99"/>
    <w:rsid w:val="00905FD1"/>
    <w:rsid w:val="0090619E"/>
    <w:rsid w:val="0090622E"/>
    <w:rsid w:val="0090634F"/>
    <w:rsid w:val="009066BB"/>
    <w:rsid w:val="009066CC"/>
    <w:rsid w:val="00906743"/>
    <w:rsid w:val="00906824"/>
    <w:rsid w:val="009069CD"/>
    <w:rsid w:val="00906A90"/>
    <w:rsid w:val="00906E78"/>
    <w:rsid w:val="009070E3"/>
    <w:rsid w:val="009070E5"/>
    <w:rsid w:val="0090725D"/>
    <w:rsid w:val="009073C6"/>
    <w:rsid w:val="009073CD"/>
    <w:rsid w:val="009074C4"/>
    <w:rsid w:val="009076A8"/>
    <w:rsid w:val="009076BE"/>
    <w:rsid w:val="00907847"/>
    <w:rsid w:val="00907920"/>
    <w:rsid w:val="00907995"/>
    <w:rsid w:val="00907A93"/>
    <w:rsid w:val="00907AA2"/>
    <w:rsid w:val="00907B15"/>
    <w:rsid w:val="00907B2D"/>
    <w:rsid w:val="00907C00"/>
    <w:rsid w:val="00907C5D"/>
    <w:rsid w:val="00907D48"/>
    <w:rsid w:val="00907E81"/>
    <w:rsid w:val="00907FCB"/>
    <w:rsid w:val="009100DF"/>
    <w:rsid w:val="0091039F"/>
    <w:rsid w:val="00910501"/>
    <w:rsid w:val="00910632"/>
    <w:rsid w:val="00910633"/>
    <w:rsid w:val="00910655"/>
    <w:rsid w:val="009109B4"/>
    <w:rsid w:val="00910A57"/>
    <w:rsid w:val="00910B72"/>
    <w:rsid w:val="00910BBB"/>
    <w:rsid w:val="00910BF2"/>
    <w:rsid w:val="00910C4E"/>
    <w:rsid w:val="00910C55"/>
    <w:rsid w:val="00910C91"/>
    <w:rsid w:val="00910CC7"/>
    <w:rsid w:val="00910E4D"/>
    <w:rsid w:val="00910E92"/>
    <w:rsid w:val="009111BA"/>
    <w:rsid w:val="00911261"/>
    <w:rsid w:val="009112F3"/>
    <w:rsid w:val="009114FF"/>
    <w:rsid w:val="00911655"/>
    <w:rsid w:val="00911740"/>
    <w:rsid w:val="009117B7"/>
    <w:rsid w:val="009118ED"/>
    <w:rsid w:val="00911905"/>
    <w:rsid w:val="0091197E"/>
    <w:rsid w:val="009119CD"/>
    <w:rsid w:val="00911B1E"/>
    <w:rsid w:val="00911C64"/>
    <w:rsid w:val="00911DEC"/>
    <w:rsid w:val="00911E65"/>
    <w:rsid w:val="00911EBF"/>
    <w:rsid w:val="00912000"/>
    <w:rsid w:val="009120CA"/>
    <w:rsid w:val="0091213C"/>
    <w:rsid w:val="0091222F"/>
    <w:rsid w:val="0091223A"/>
    <w:rsid w:val="009123A4"/>
    <w:rsid w:val="009124B5"/>
    <w:rsid w:val="009125A3"/>
    <w:rsid w:val="00912657"/>
    <w:rsid w:val="00912715"/>
    <w:rsid w:val="009127E5"/>
    <w:rsid w:val="00912CBA"/>
    <w:rsid w:val="00912DA5"/>
    <w:rsid w:val="00912DDC"/>
    <w:rsid w:val="00912E64"/>
    <w:rsid w:val="00912EE1"/>
    <w:rsid w:val="009130E6"/>
    <w:rsid w:val="009130F0"/>
    <w:rsid w:val="009131B5"/>
    <w:rsid w:val="00913357"/>
    <w:rsid w:val="009133B1"/>
    <w:rsid w:val="0091340D"/>
    <w:rsid w:val="00913453"/>
    <w:rsid w:val="009134AE"/>
    <w:rsid w:val="0091357D"/>
    <w:rsid w:val="009135E7"/>
    <w:rsid w:val="0091364F"/>
    <w:rsid w:val="009137E5"/>
    <w:rsid w:val="009138B4"/>
    <w:rsid w:val="009139A1"/>
    <w:rsid w:val="009139D6"/>
    <w:rsid w:val="00913CD6"/>
    <w:rsid w:val="00913FB7"/>
    <w:rsid w:val="00914017"/>
    <w:rsid w:val="00914088"/>
    <w:rsid w:val="009142E2"/>
    <w:rsid w:val="009145B0"/>
    <w:rsid w:val="00914689"/>
    <w:rsid w:val="00914796"/>
    <w:rsid w:val="0091481A"/>
    <w:rsid w:val="00914907"/>
    <w:rsid w:val="009149BB"/>
    <w:rsid w:val="00914A13"/>
    <w:rsid w:val="00914BA6"/>
    <w:rsid w:val="00914C30"/>
    <w:rsid w:val="00914C50"/>
    <w:rsid w:val="00914CF9"/>
    <w:rsid w:val="00914EB0"/>
    <w:rsid w:val="0091502B"/>
    <w:rsid w:val="00915174"/>
    <w:rsid w:val="009152D8"/>
    <w:rsid w:val="009153EE"/>
    <w:rsid w:val="009154CB"/>
    <w:rsid w:val="00915546"/>
    <w:rsid w:val="00915588"/>
    <w:rsid w:val="009156E0"/>
    <w:rsid w:val="009157C5"/>
    <w:rsid w:val="00915A49"/>
    <w:rsid w:val="00915C7D"/>
    <w:rsid w:val="00915E3F"/>
    <w:rsid w:val="00916246"/>
    <w:rsid w:val="0091640C"/>
    <w:rsid w:val="00916727"/>
    <w:rsid w:val="00916743"/>
    <w:rsid w:val="00916874"/>
    <w:rsid w:val="00916983"/>
    <w:rsid w:val="00916A33"/>
    <w:rsid w:val="00916AFD"/>
    <w:rsid w:val="00916C78"/>
    <w:rsid w:val="00916E46"/>
    <w:rsid w:val="00916EBF"/>
    <w:rsid w:val="00916F2E"/>
    <w:rsid w:val="00916F97"/>
    <w:rsid w:val="00916FF8"/>
    <w:rsid w:val="00917088"/>
    <w:rsid w:val="0091719A"/>
    <w:rsid w:val="009171F4"/>
    <w:rsid w:val="009172DB"/>
    <w:rsid w:val="00917316"/>
    <w:rsid w:val="009174AD"/>
    <w:rsid w:val="0091777B"/>
    <w:rsid w:val="00917818"/>
    <w:rsid w:val="009178AF"/>
    <w:rsid w:val="009178ED"/>
    <w:rsid w:val="00917923"/>
    <w:rsid w:val="009179B7"/>
    <w:rsid w:val="00917A18"/>
    <w:rsid w:val="00917BA9"/>
    <w:rsid w:val="00917BC0"/>
    <w:rsid w:val="00917C6C"/>
    <w:rsid w:val="00917D74"/>
    <w:rsid w:val="00917E66"/>
    <w:rsid w:val="00917F37"/>
    <w:rsid w:val="00917F64"/>
    <w:rsid w:val="00920003"/>
    <w:rsid w:val="00920118"/>
    <w:rsid w:val="0092029B"/>
    <w:rsid w:val="00920387"/>
    <w:rsid w:val="009203DF"/>
    <w:rsid w:val="00920452"/>
    <w:rsid w:val="00920482"/>
    <w:rsid w:val="00920555"/>
    <w:rsid w:val="009205BA"/>
    <w:rsid w:val="0092076A"/>
    <w:rsid w:val="0092086F"/>
    <w:rsid w:val="009208B0"/>
    <w:rsid w:val="009208C3"/>
    <w:rsid w:val="00920937"/>
    <w:rsid w:val="00920BC0"/>
    <w:rsid w:val="00920C09"/>
    <w:rsid w:val="00920F24"/>
    <w:rsid w:val="009210B3"/>
    <w:rsid w:val="00921301"/>
    <w:rsid w:val="00921478"/>
    <w:rsid w:val="0092149F"/>
    <w:rsid w:val="0092166E"/>
    <w:rsid w:val="00921710"/>
    <w:rsid w:val="0092178B"/>
    <w:rsid w:val="009217C8"/>
    <w:rsid w:val="009217ED"/>
    <w:rsid w:val="00921830"/>
    <w:rsid w:val="00921863"/>
    <w:rsid w:val="0092186D"/>
    <w:rsid w:val="0092186F"/>
    <w:rsid w:val="00921AE2"/>
    <w:rsid w:val="00921F38"/>
    <w:rsid w:val="0092203A"/>
    <w:rsid w:val="00922058"/>
    <w:rsid w:val="009220E8"/>
    <w:rsid w:val="0092212C"/>
    <w:rsid w:val="009221CE"/>
    <w:rsid w:val="00922228"/>
    <w:rsid w:val="00922303"/>
    <w:rsid w:val="009223EE"/>
    <w:rsid w:val="0092246D"/>
    <w:rsid w:val="0092257B"/>
    <w:rsid w:val="009225C1"/>
    <w:rsid w:val="0092261C"/>
    <w:rsid w:val="009226C3"/>
    <w:rsid w:val="00922700"/>
    <w:rsid w:val="009227C0"/>
    <w:rsid w:val="00922824"/>
    <w:rsid w:val="0092299C"/>
    <w:rsid w:val="00922A67"/>
    <w:rsid w:val="00922A9B"/>
    <w:rsid w:val="00922B4F"/>
    <w:rsid w:val="00922C25"/>
    <w:rsid w:val="00922CB8"/>
    <w:rsid w:val="00923050"/>
    <w:rsid w:val="0092330F"/>
    <w:rsid w:val="0092338E"/>
    <w:rsid w:val="00923706"/>
    <w:rsid w:val="0092371A"/>
    <w:rsid w:val="0092377E"/>
    <w:rsid w:val="0092393C"/>
    <w:rsid w:val="00923A67"/>
    <w:rsid w:val="00923AA2"/>
    <w:rsid w:val="00923B05"/>
    <w:rsid w:val="00923B3A"/>
    <w:rsid w:val="00923F32"/>
    <w:rsid w:val="00923FA1"/>
    <w:rsid w:val="0092402D"/>
    <w:rsid w:val="00924087"/>
    <w:rsid w:val="009242AE"/>
    <w:rsid w:val="00924355"/>
    <w:rsid w:val="0092437D"/>
    <w:rsid w:val="009243AA"/>
    <w:rsid w:val="0092447A"/>
    <w:rsid w:val="009244FE"/>
    <w:rsid w:val="0092451A"/>
    <w:rsid w:val="009246B2"/>
    <w:rsid w:val="00924713"/>
    <w:rsid w:val="0092480F"/>
    <w:rsid w:val="00924AC8"/>
    <w:rsid w:val="00924C4A"/>
    <w:rsid w:val="00925212"/>
    <w:rsid w:val="00925294"/>
    <w:rsid w:val="00925426"/>
    <w:rsid w:val="009254D7"/>
    <w:rsid w:val="009254D8"/>
    <w:rsid w:val="009254DF"/>
    <w:rsid w:val="009254EB"/>
    <w:rsid w:val="009257F7"/>
    <w:rsid w:val="009258C7"/>
    <w:rsid w:val="00925906"/>
    <w:rsid w:val="00925934"/>
    <w:rsid w:val="00925970"/>
    <w:rsid w:val="009259E9"/>
    <w:rsid w:val="00925A58"/>
    <w:rsid w:val="00925AAE"/>
    <w:rsid w:val="00925ADD"/>
    <w:rsid w:val="00925CAF"/>
    <w:rsid w:val="00925D69"/>
    <w:rsid w:val="00925D97"/>
    <w:rsid w:val="00925E73"/>
    <w:rsid w:val="009260D0"/>
    <w:rsid w:val="009261C9"/>
    <w:rsid w:val="00926224"/>
    <w:rsid w:val="009262FD"/>
    <w:rsid w:val="009263BA"/>
    <w:rsid w:val="009263D2"/>
    <w:rsid w:val="009263F8"/>
    <w:rsid w:val="00926418"/>
    <w:rsid w:val="0092643B"/>
    <w:rsid w:val="0092647D"/>
    <w:rsid w:val="009264D2"/>
    <w:rsid w:val="0092662A"/>
    <w:rsid w:val="00926736"/>
    <w:rsid w:val="00926840"/>
    <w:rsid w:val="00926894"/>
    <w:rsid w:val="00926DDE"/>
    <w:rsid w:val="00926DF6"/>
    <w:rsid w:val="00926E68"/>
    <w:rsid w:val="00926EA9"/>
    <w:rsid w:val="00926F11"/>
    <w:rsid w:val="009270B2"/>
    <w:rsid w:val="009273AD"/>
    <w:rsid w:val="009273AE"/>
    <w:rsid w:val="009273D9"/>
    <w:rsid w:val="00927539"/>
    <w:rsid w:val="009276AA"/>
    <w:rsid w:val="009276FA"/>
    <w:rsid w:val="009279A3"/>
    <w:rsid w:val="00927A10"/>
    <w:rsid w:val="00927BF8"/>
    <w:rsid w:val="00927EE6"/>
    <w:rsid w:val="00927F5F"/>
    <w:rsid w:val="00927F88"/>
    <w:rsid w:val="00930176"/>
    <w:rsid w:val="0093018F"/>
    <w:rsid w:val="009302AF"/>
    <w:rsid w:val="00930340"/>
    <w:rsid w:val="009303E5"/>
    <w:rsid w:val="009308BF"/>
    <w:rsid w:val="009309C5"/>
    <w:rsid w:val="009309CC"/>
    <w:rsid w:val="00930A2D"/>
    <w:rsid w:val="00930A7B"/>
    <w:rsid w:val="00930A89"/>
    <w:rsid w:val="00930CD1"/>
    <w:rsid w:val="00930CDC"/>
    <w:rsid w:val="00930F69"/>
    <w:rsid w:val="009310FF"/>
    <w:rsid w:val="00931188"/>
    <w:rsid w:val="0093123A"/>
    <w:rsid w:val="0093123F"/>
    <w:rsid w:val="00931631"/>
    <w:rsid w:val="0093164B"/>
    <w:rsid w:val="00931760"/>
    <w:rsid w:val="009317A3"/>
    <w:rsid w:val="0093186F"/>
    <w:rsid w:val="00931A2B"/>
    <w:rsid w:val="00931AC1"/>
    <w:rsid w:val="00931AF2"/>
    <w:rsid w:val="00931BA5"/>
    <w:rsid w:val="00931C32"/>
    <w:rsid w:val="00931CA6"/>
    <w:rsid w:val="00931E57"/>
    <w:rsid w:val="0093212E"/>
    <w:rsid w:val="00932591"/>
    <w:rsid w:val="009325F4"/>
    <w:rsid w:val="00932697"/>
    <w:rsid w:val="0093271D"/>
    <w:rsid w:val="00932817"/>
    <w:rsid w:val="009328E2"/>
    <w:rsid w:val="00932924"/>
    <w:rsid w:val="00932961"/>
    <w:rsid w:val="009329D7"/>
    <w:rsid w:val="00932AA6"/>
    <w:rsid w:val="00932AC7"/>
    <w:rsid w:val="00932B6B"/>
    <w:rsid w:val="00932C53"/>
    <w:rsid w:val="00932C91"/>
    <w:rsid w:val="00932CA1"/>
    <w:rsid w:val="00932FF9"/>
    <w:rsid w:val="00933016"/>
    <w:rsid w:val="009330F5"/>
    <w:rsid w:val="00933144"/>
    <w:rsid w:val="0093317B"/>
    <w:rsid w:val="009331DB"/>
    <w:rsid w:val="009331EB"/>
    <w:rsid w:val="009332B6"/>
    <w:rsid w:val="009335C2"/>
    <w:rsid w:val="00933851"/>
    <w:rsid w:val="009338A9"/>
    <w:rsid w:val="009338CF"/>
    <w:rsid w:val="0093397F"/>
    <w:rsid w:val="009339F0"/>
    <w:rsid w:val="009339FA"/>
    <w:rsid w:val="00933A1B"/>
    <w:rsid w:val="00933B16"/>
    <w:rsid w:val="00933BDC"/>
    <w:rsid w:val="00933C73"/>
    <w:rsid w:val="00933C7E"/>
    <w:rsid w:val="00933CDC"/>
    <w:rsid w:val="00933F37"/>
    <w:rsid w:val="00933FD1"/>
    <w:rsid w:val="0093410E"/>
    <w:rsid w:val="009341A8"/>
    <w:rsid w:val="0093421D"/>
    <w:rsid w:val="0093437E"/>
    <w:rsid w:val="00934462"/>
    <w:rsid w:val="00934465"/>
    <w:rsid w:val="00934563"/>
    <w:rsid w:val="00934609"/>
    <w:rsid w:val="0093463B"/>
    <w:rsid w:val="0093465F"/>
    <w:rsid w:val="00934860"/>
    <w:rsid w:val="00934A9D"/>
    <w:rsid w:val="00934B6E"/>
    <w:rsid w:val="00934CCF"/>
    <w:rsid w:val="00934EF2"/>
    <w:rsid w:val="009350C8"/>
    <w:rsid w:val="0093517F"/>
    <w:rsid w:val="009351BE"/>
    <w:rsid w:val="009352CE"/>
    <w:rsid w:val="0093538E"/>
    <w:rsid w:val="009353D4"/>
    <w:rsid w:val="009353ED"/>
    <w:rsid w:val="009354DB"/>
    <w:rsid w:val="00935937"/>
    <w:rsid w:val="00935968"/>
    <w:rsid w:val="009359D4"/>
    <w:rsid w:val="009359D6"/>
    <w:rsid w:val="00935B3F"/>
    <w:rsid w:val="00935C57"/>
    <w:rsid w:val="00935D3B"/>
    <w:rsid w:val="00935FA2"/>
    <w:rsid w:val="00935FAB"/>
    <w:rsid w:val="0093602E"/>
    <w:rsid w:val="009360A4"/>
    <w:rsid w:val="0093618C"/>
    <w:rsid w:val="009361C9"/>
    <w:rsid w:val="00936226"/>
    <w:rsid w:val="00936284"/>
    <w:rsid w:val="009362A5"/>
    <w:rsid w:val="00936743"/>
    <w:rsid w:val="0093681F"/>
    <w:rsid w:val="0093690E"/>
    <w:rsid w:val="00936995"/>
    <w:rsid w:val="00936A65"/>
    <w:rsid w:val="00936AA7"/>
    <w:rsid w:val="00936D57"/>
    <w:rsid w:val="00936DFF"/>
    <w:rsid w:val="00936E05"/>
    <w:rsid w:val="00936FD8"/>
    <w:rsid w:val="00936FF9"/>
    <w:rsid w:val="00937030"/>
    <w:rsid w:val="0093706B"/>
    <w:rsid w:val="00937109"/>
    <w:rsid w:val="00937170"/>
    <w:rsid w:val="009371A3"/>
    <w:rsid w:val="0093720F"/>
    <w:rsid w:val="00937264"/>
    <w:rsid w:val="00937337"/>
    <w:rsid w:val="0093734B"/>
    <w:rsid w:val="00937458"/>
    <w:rsid w:val="009374E2"/>
    <w:rsid w:val="0093756C"/>
    <w:rsid w:val="0093776B"/>
    <w:rsid w:val="00937790"/>
    <w:rsid w:val="009377B6"/>
    <w:rsid w:val="00937814"/>
    <w:rsid w:val="009378D1"/>
    <w:rsid w:val="00937DD1"/>
    <w:rsid w:val="00937F20"/>
    <w:rsid w:val="00937F4C"/>
    <w:rsid w:val="00937F8C"/>
    <w:rsid w:val="00937FB3"/>
    <w:rsid w:val="00940282"/>
    <w:rsid w:val="0094028F"/>
    <w:rsid w:val="009402CE"/>
    <w:rsid w:val="009403B9"/>
    <w:rsid w:val="009404A4"/>
    <w:rsid w:val="009404DD"/>
    <w:rsid w:val="00940827"/>
    <w:rsid w:val="0094093C"/>
    <w:rsid w:val="00940A8A"/>
    <w:rsid w:val="00940ADE"/>
    <w:rsid w:val="00940B99"/>
    <w:rsid w:val="00940C81"/>
    <w:rsid w:val="00940CCA"/>
    <w:rsid w:val="00940E56"/>
    <w:rsid w:val="00940F25"/>
    <w:rsid w:val="00940FAF"/>
    <w:rsid w:val="009410E8"/>
    <w:rsid w:val="0094114B"/>
    <w:rsid w:val="0094122B"/>
    <w:rsid w:val="00941293"/>
    <w:rsid w:val="00941572"/>
    <w:rsid w:val="00941731"/>
    <w:rsid w:val="009417B6"/>
    <w:rsid w:val="00941852"/>
    <w:rsid w:val="00941955"/>
    <w:rsid w:val="00941AC4"/>
    <w:rsid w:val="00941AE7"/>
    <w:rsid w:val="00941B64"/>
    <w:rsid w:val="00941B81"/>
    <w:rsid w:val="00941C9F"/>
    <w:rsid w:val="00941DFD"/>
    <w:rsid w:val="00941EB6"/>
    <w:rsid w:val="00941F4F"/>
    <w:rsid w:val="00941FE6"/>
    <w:rsid w:val="0094219D"/>
    <w:rsid w:val="009422D5"/>
    <w:rsid w:val="0094233A"/>
    <w:rsid w:val="00942413"/>
    <w:rsid w:val="009426D8"/>
    <w:rsid w:val="009426DD"/>
    <w:rsid w:val="00942854"/>
    <w:rsid w:val="00942857"/>
    <w:rsid w:val="009429DD"/>
    <w:rsid w:val="00942AF3"/>
    <w:rsid w:val="00942CF6"/>
    <w:rsid w:val="00942F04"/>
    <w:rsid w:val="0094302E"/>
    <w:rsid w:val="00943061"/>
    <w:rsid w:val="00943099"/>
    <w:rsid w:val="00943219"/>
    <w:rsid w:val="009432A0"/>
    <w:rsid w:val="009433A0"/>
    <w:rsid w:val="009434B8"/>
    <w:rsid w:val="009434CE"/>
    <w:rsid w:val="00943954"/>
    <w:rsid w:val="009439D0"/>
    <w:rsid w:val="009439F6"/>
    <w:rsid w:val="00943BC5"/>
    <w:rsid w:val="00943BD7"/>
    <w:rsid w:val="00943D78"/>
    <w:rsid w:val="0094400F"/>
    <w:rsid w:val="009441E5"/>
    <w:rsid w:val="009441FB"/>
    <w:rsid w:val="00944232"/>
    <w:rsid w:val="00944326"/>
    <w:rsid w:val="00944469"/>
    <w:rsid w:val="0094471A"/>
    <w:rsid w:val="009447DF"/>
    <w:rsid w:val="00944899"/>
    <w:rsid w:val="00944998"/>
    <w:rsid w:val="00944AB2"/>
    <w:rsid w:val="00944AE2"/>
    <w:rsid w:val="00944C9C"/>
    <w:rsid w:val="00944D1F"/>
    <w:rsid w:val="00945007"/>
    <w:rsid w:val="00945067"/>
    <w:rsid w:val="009452A2"/>
    <w:rsid w:val="00945334"/>
    <w:rsid w:val="009453BD"/>
    <w:rsid w:val="0094540F"/>
    <w:rsid w:val="009456B2"/>
    <w:rsid w:val="009457D9"/>
    <w:rsid w:val="00945899"/>
    <w:rsid w:val="009458B8"/>
    <w:rsid w:val="009458E3"/>
    <w:rsid w:val="0094594B"/>
    <w:rsid w:val="00945B5E"/>
    <w:rsid w:val="00945CB2"/>
    <w:rsid w:val="00945DF6"/>
    <w:rsid w:val="00945E23"/>
    <w:rsid w:val="00945E4B"/>
    <w:rsid w:val="009460A5"/>
    <w:rsid w:val="009461F9"/>
    <w:rsid w:val="00946216"/>
    <w:rsid w:val="00946267"/>
    <w:rsid w:val="00946442"/>
    <w:rsid w:val="009464DE"/>
    <w:rsid w:val="0094652E"/>
    <w:rsid w:val="009465F5"/>
    <w:rsid w:val="00946678"/>
    <w:rsid w:val="0094675D"/>
    <w:rsid w:val="009468A5"/>
    <w:rsid w:val="00946942"/>
    <w:rsid w:val="00946A77"/>
    <w:rsid w:val="00946A91"/>
    <w:rsid w:val="00946BE2"/>
    <w:rsid w:val="00946D2E"/>
    <w:rsid w:val="00946DC6"/>
    <w:rsid w:val="00946E28"/>
    <w:rsid w:val="00946EB7"/>
    <w:rsid w:val="00947070"/>
    <w:rsid w:val="00947093"/>
    <w:rsid w:val="009470CB"/>
    <w:rsid w:val="009472A8"/>
    <w:rsid w:val="0094735C"/>
    <w:rsid w:val="00947378"/>
    <w:rsid w:val="00947417"/>
    <w:rsid w:val="0094750B"/>
    <w:rsid w:val="00947758"/>
    <w:rsid w:val="0094785A"/>
    <w:rsid w:val="009479D0"/>
    <w:rsid w:val="00947AF7"/>
    <w:rsid w:val="00947B60"/>
    <w:rsid w:val="00947BA7"/>
    <w:rsid w:val="00947C54"/>
    <w:rsid w:val="00947E27"/>
    <w:rsid w:val="00947EDE"/>
    <w:rsid w:val="0095018E"/>
    <w:rsid w:val="009501C2"/>
    <w:rsid w:val="0095021F"/>
    <w:rsid w:val="009502F1"/>
    <w:rsid w:val="009503E8"/>
    <w:rsid w:val="00950452"/>
    <w:rsid w:val="009504ED"/>
    <w:rsid w:val="009504F7"/>
    <w:rsid w:val="00950553"/>
    <w:rsid w:val="00950666"/>
    <w:rsid w:val="00950700"/>
    <w:rsid w:val="00950720"/>
    <w:rsid w:val="009507F1"/>
    <w:rsid w:val="009508A9"/>
    <w:rsid w:val="009508FC"/>
    <w:rsid w:val="00950986"/>
    <w:rsid w:val="00950987"/>
    <w:rsid w:val="009509B6"/>
    <w:rsid w:val="00950BC7"/>
    <w:rsid w:val="00950C0C"/>
    <w:rsid w:val="00950F00"/>
    <w:rsid w:val="00950FA1"/>
    <w:rsid w:val="00950FBF"/>
    <w:rsid w:val="0095102E"/>
    <w:rsid w:val="009510A8"/>
    <w:rsid w:val="009511DF"/>
    <w:rsid w:val="0095121E"/>
    <w:rsid w:val="00951295"/>
    <w:rsid w:val="009512BD"/>
    <w:rsid w:val="00951325"/>
    <w:rsid w:val="00951423"/>
    <w:rsid w:val="009515DE"/>
    <w:rsid w:val="009517E1"/>
    <w:rsid w:val="0095183E"/>
    <w:rsid w:val="00951920"/>
    <w:rsid w:val="00951926"/>
    <w:rsid w:val="00951B04"/>
    <w:rsid w:val="00951CE1"/>
    <w:rsid w:val="00951F13"/>
    <w:rsid w:val="00951F1E"/>
    <w:rsid w:val="00952232"/>
    <w:rsid w:val="0095224D"/>
    <w:rsid w:val="00952376"/>
    <w:rsid w:val="0095254C"/>
    <w:rsid w:val="0095256E"/>
    <w:rsid w:val="009525E1"/>
    <w:rsid w:val="0095271B"/>
    <w:rsid w:val="00952978"/>
    <w:rsid w:val="00952A0D"/>
    <w:rsid w:val="00952B1B"/>
    <w:rsid w:val="00952E74"/>
    <w:rsid w:val="00952FCE"/>
    <w:rsid w:val="00953104"/>
    <w:rsid w:val="0095316D"/>
    <w:rsid w:val="0095341A"/>
    <w:rsid w:val="00953465"/>
    <w:rsid w:val="009534A1"/>
    <w:rsid w:val="00953529"/>
    <w:rsid w:val="00953550"/>
    <w:rsid w:val="00953621"/>
    <w:rsid w:val="00953A49"/>
    <w:rsid w:val="00953B9D"/>
    <w:rsid w:val="00953D18"/>
    <w:rsid w:val="00953D4A"/>
    <w:rsid w:val="00953E3F"/>
    <w:rsid w:val="00953FF7"/>
    <w:rsid w:val="00954038"/>
    <w:rsid w:val="00954116"/>
    <w:rsid w:val="0095437A"/>
    <w:rsid w:val="00954387"/>
    <w:rsid w:val="009543B5"/>
    <w:rsid w:val="00954479"/>
    <w:rsid w:val="009544D0"/>
    <w:rsid w:val="0095456B"/>
    <w:rsid w:val="009545D0"/>
    <w:rsid w:val="009545E2"/>
    <w:rsid w:val="00954710"/>
    <w:rsid w:val="00954804"/>
    <w:rsid w:val="009548BB"/>
    <w:rsid w:val="00954992"/>
    <w:rsid w:val="009549B5"/>
    <w:rsid w:val="009549BC"/>
    <w:rsid w:val="00954A35"/>
    <w:rsid w:val="00954A60"/>
    <w:rsid w:val="00954A90"/>
    <w:rsid w:val="00954B0F"/>
    <w:rsid w:val="00954DE6"/>
    <w:rsid w:val="00954DEF"/>
    <w:rsid w:val="00954EA8"/>
    <w:rsid w:val="00954ED2"/>
    <w:rsid w:val="00954EF2"/>
    <w:rsid w:val="00954F1D"/>
    <w:rsid w:val="00954FBA"/>
    <w:rsid w:val="00954FE9"/>
    <w:rsid w:val="00954FFC"/>
    <w:rsid w:val="009550F6"/>
    <w:rsid w:val="009551B4"/>
    <w:rsid w:val="00955304"/>
    <w:rsid w:val="0095562E"/>
    <w:rsid w:val="009556A6"/>
    <w:rsid w:val="009558C0"/>
    <w:rsid w:val="00955966"/>
    <w:rsid w:val="00955A99"/>
    <w:rsid w:val="00956006"/>
    <w:rsid w:val="00956082"/>
    <w:rsid w:val="009560B4"/>
    <w:rsid w:val="0095640A"/>
    <w:rsid w:val="00956428"/>
    <w:rsid w:val="0095659D"/>
    <w:rsid w:val="009565DA"/>
    <w:rsid w:val="009566DE"/>
    <w:rsid w:val="009567D9"/>
    <w:rsid w:val="00956886"/>
    <w:rsid w:val="00956BD9"/>
    <w:rsid w:val="00956D53"/>
    <w:rsid w:val="00956EE8"/>
    <w:rsid w:val="00956F4E"/>
    <w:rsid w:val="00956F6F"/>
    <w:rsid w:val="00956F92"/>
    <w:rsid w:val="00956FF2"/>
    <w:rsid w:val="0095708C"/>
    <w:rsid w:val="0095712B"/>
    <w:rsid w:val="009571FE"/>
    <w:rsid w:val="0095721B"/>
    <w:rsid w:val="0095746B"/>
    <w:rsid w:val="00957540"/>
    <w:rsid w:val="009577E6"/>
    <w:rsid w:val="00957AA2"/>
    <w:rsid w:val="00957B4F"/>
    <w:rsid w:val="00957B8C"/>
    <w:rsid w:val="00957B9D"/>
    <w:rsid w:val="00957CB3"/>
    <w:rsid w:val="00957D67"/>
    <w:rsid w:val="00957D8A"/>
    <w:rsid w:val="00957DC6"/>
    <w:rsid w:val="00957EE7"/>
    <w:rsid w:val="0096000F"/>
    <w:rsid w:val="00960149"/>
    <w:rsid w:val="00960214"/>
    <w:rsid w:val="009602E8"/>
    <w:rsid w:val="0096032B"/>
    <w:rsid w:val="009603FA"/>
    <w:rsid w:val="00960402"/>
    <w:rsid w:val="009605B1"/>
    <w:rsid w:val="00960638"/>
    <w:rsid w:val="00960641"/>
    <w:rsid w:val="009606CD"/>
    <w:rsid w:val="00960877"/>
    <w:rsid w:val="00960914"/>
    <w:rsid w:val="00960979"/>
    <w:rsid w:val="00960A07"/>
    <w:rsid w:val="00960DFF"/>
    <w:rsid w:val="00960F7B"/>
    <w:rsid w:val="00960FBC"/>
    <w:rsid w:val="00961279"/>
    <w:rsid w:val="0096128B"/>
    <w:rsid w:val="009613D6"/>
    <w:rsid w:val="009613E7"/>
    <w:rsid w:val="0096150B"/>
    <w:rsid w:val="00961606"/>
    <w:rsid w:val="00961668"/>
    <w:rsid w:val="00961793"/>
    <w:rsid w:val="0096185B"/>
    <w:rsid w:val="00961875"/>
    <w:rsid w:val="00961882"/>
    <w:rsid w:val="009619CD"/>
    <w:rsid w:val="00961AEC"/>
    <w:rsid w:val="00961CC2"/>
    <w:rsid w:val="00961D5D"/>
    <w:rsid w:val="00961D89"/>
    <w:rsid w:val="00961DCA"/>
    <w:rsid w:val="00961F12"/>
    <w:rsid w:val="00962048"/>
    <w:rsid w:val="009620F7"/>
    <w:rsid w:val="009620FA"/>
    <w:rsid w:val="00962191"/>
    <w:rsid w:val="009621AA"/>
    <w:rsid w:val="0096232D"/>
    <w:rsid w:val="0096239F"/>
    <w:rsid w:val="009623EE"/>
    <w:rsid w:val="00962647"/>
    <w:rsid w:val="00962773"/>
    <w:rsid w:val="0096285E"/>
    <w:rsid w:val="0096287F"/>
    <w:rsid w:val="009629EE"/>
    <w:rsid w:val="00962A61"/>
    <w:rsid w:val="00962AA1"/>
    <w:rsid w:val="00962B39"/>
    <w:rsid w:val="00962C02"/>
    <w:rsid w:val="00962C68"/>
    <w:rsid w:val="00962EF8"/>
    <w:rsid w:val="00962FB2"/>
    <w:rsid w:val="00963193"/>
    <w:rsid w:val="0096329F"/>
    <w:rsid w:val="009633EB"/>
    <w:rsid w:val="0096347D"/>
    <w:rsid w:val="009634CF"/>
    <w:rsid w:val="0096367C"/>
    <w:rsid w:val="009638AE"/>
    <w:rsid w:val="009639BF"/>
    <w:rsid w:val="00963B3D"/>
    <w:rsid w:val="00963BF3"/>
    <w:rsid w:val="00963C41"/>
    <w:rsid w:val="00963CB7"/>
    <w:rsid w:val="00963CC0"/>
    <w:rsid w:val="00963DCD"/>
    <w:rsid w:val="00963F0C"/>
    <w:rsid w:val="00964128"/>
    <w:rsid w:val="00964352"/>
    <w:rsid w:val="00964370"/>
    <w:rsid w:val="00964729"/>
    <w:rsid w:val="00964780"/>
    <w:rsid w:val="0096480B"/>
    <w:rsid w:val="009648D2"/>
    <w:rsid w:val="0096499B"/>
    <w:rsid w:val="009649A1"/>
    <w:rsid w:val="00964DAF"/>
    <w:rsid w:val="009652C6"/>
    <w:rsid w:val="00965308"/>
    <w:rsid w:val="00965450"/>
    <w:rsid w:val="00965590"/>
    <w:rsid w:val="009655DE"/>
    <w:rsid w:val="00965646"/>
    <w:rsid w:val="00965681"/>
    <w:rsid w:val="0096568F"/>
    <w:rsid w:val="009656C8"/>
    <w:rsid w:val="0096578A"/>
    <w:rsid w:val="009658B3"/>
    <w:rsid w:val="00965A49"/>
    <w:rsid w:val="00965AC5"/>
    <w:rsid w:val="00965B72"/>
    <w:rsid w:val="00965BD6"/>
    <w:rsid w:val="00965DF8"/>
    <w:rsid w:val="00965F11"/>
    <w:rsid w:val="0096616F"/>
    <w:rsid w:val="0096625F"/>
    <w:rsid w:val="009662CB"/>
    <w:rsid w:val="00966552"/>
    <w:rsid w:val="00966756"/>
    <w:rsid w:val="0096678C"/>
    <w:rsid w:val="00966791"/>
    <w:rsid w:val="0096680D"/>
    <w:rsid w:val="00966924"/>
    <w:rsid w:val="009669D3"/>
    <w:rsid w:val="00966A2F"/>
    <w:rsid w:val="00966A5D"/>
    <w:rsid w:val="00966ED7"/>
    <w:rsid w:val="0096727B"/>
    <w:rsid w:val="009672C2"/>
    <w:rsid w:val="009672EC"/>
    <w:rsid w:val="00967695"/>
    <w:rsid w:val="00967698"/>
    <w:rsid w:val="00967840"/>
    <w:rsid w:val="009679B5"/>
    <w:rsid w:val="00967A8E"/>
    <w:rsid w:val="00967BA4"/>
    <w:rsid w:val="00967CEE"/>
    <w:rsid w:val="00967D0B"/>
    <w:rsid w:val="00967EFA"/>
    <w:rsid w:val="00970048"/>
    <w:rsid w:val="0097007B"/>
    <w:rsid w:val="00970121"/>
    <w:rsid w:val="00970194"/>
    <w:rsid w:val="0097026D"/>
    <w:rsid w:val="009702E5"/>
    <w:rsid w:val="00970322"/>
    <w:rsid w:val="009703CE"/>
    <w:rsid w:val="00970474"/>
    <w:rsid w:val="00970568"/>
    <w:rsid w:val="00970607"/>
    <w:rsid w:val="0097060E"/>
    <w:rsid w:val="009706A3"/>
    <w:rsid w:val="009706F2"/>
    <w:rsid w:val="009706F5"/>
    <w:rsid w:val="00970A7D"/>
    <w:rsid w:val="00970A8E"/>
    <w:rsid w:val="00970CBD"/>
    <w:rsid w:val="00970DCF"/>
    <w:rsid w:val="00970EA0"/>
    <w:rsid w:val="00970EC3"/>
    <w:rsid w:val="00970FA2"/>
    <w:rsid w:val="0097109B"/>
    <w:rsid w:val="00971190"/>
    <w:rsid w:val="009713EA"/>
    <w:rsid w:val="00971434"/>
    <w:rsid w:val="009714A2"/>
    <w:rsid w:val="009714B6"/>
    <w:rsid w:val="00971635"/>
    <w:rsid w:val="009717F9"/>
    <w:rsid w:val="00971826"/>
    <w:rsid w:val="00971832"/>
    <w:rsid w:val="00971896"/>
    <w:rsid w:val="00971990"/>
    <w:rsid w:val="009719AA"/>
    <w:rsid w:val="00971A16"/>
    <w:rsid w:val="00971CCF"/>
    <w:rsid w:val="00971E4D"/>
    <w:rsid w:val="00971EB4"/>
    <w:rsid w:val="00972234"/>
    <w:rsid w:val="00972328"/>
    <w:rsid w:val="00972353"/>
    <w:rsid w:val="00972365"/>
    <w:rsid w:val="00972613"/>
    <w:rsid w:val="00972617"/>
    <w:rsid w:val="00972667"/>
    <w:rsid w:val="009726DE"/>
    <w:rsid w:val="009726E7"/>
    <w:rsid w:val="009728D7"/>
    <w:rsid w:val="00972A83"/>
    <w:rsid w:val="00972B23"/>
    <w:rsid w:val="00972CF4"/>
    <w:rsid w:val="00972D44"/>
    <w:rsid w:val="00972D63"/>
    <w:rsid w:val="00972E19"/>
    <w:rsid w:val="00972FCC"/>
    <w:rsid w:val="00972FDF"/>
    <w:rsid w:val="0097311E"/>
    <w:rsid w:val="00973240"/>
    <w:rsid w:val="00973357"/>
    <w:rsid w:val="009734BF"/>
    <w:rsid w:val="009736E3"/>
    <w:rsid w:val="0097371B"/>
    <w:rsid w:val="00973B7A"/>
    <w:rsid w:val="00973C9D"/>
    <w:rsid w:val="00973D80"/>
    <w:rsid w:val="00973DE9"/>
    <w:rsid w:val="00974040"/>
    <w:rsid w:val="00974249"/>
    <w:rsid w:val="0097425C"/>
    <w:rsid w:val="00974268"/>
    <w:rsid w:val="009742B3"/>
    <w:rsid w:val="009742D7"/>
    <w:rsid w:val="00974361"/>
    <w:rsid w:val="009743A8"/>
    <w:rsid w:val="0097463B"/>
    <w:rsid w:val="00974661"/>
    <w:rsid w:val="009746AB"/>
    <w:rsid w:val="009749C3"/>
    <w:rsid w:val="009749D4"/>
    <w:rsid w:val="00974BAC"/>
    <w:rsid w:val="00974DC7"/>
    <w:rsid w:val="00974DD7"/>
    <w:rsid w:val="00974F72"/>
    <w:rsid w:val="0097500E"/>
    <w:rsid w:val="009750FE"/>
    <w:rsid w:val="0097546D"/>
    <w:rsid w:val="00975477"/>
    <w:rsid w:val="0097587A"/>
    <w:rsid w:val="009759DE"/>
    <w:rsid w:val="009759E7"/>
    <w:rsid w:val="00975A0B"/>
    <w:rsid w:val="00975C22"/>
    <w:rsid w:val="00975C93"/>
    <w:rsid w:val="00975DC1"/>
    <w:rsid w:val="00975E1E"/>
    <w:rsid w:val="00975F71"/>
    <w:rsid w:val="009762F4"/>
    <w:rsid w:val="00976373"/>
    <w:rsid w:val="00976457"/>
    <w:rsid w:val="00976467"/>
    <w:rsid w:val="009764A3"/>
    <w:rsid w:val="00976689"/>
    <w:rsid w:val="009766D8"/>
    <w:rsid w:val="00976A71"/>
    <w:rsid w:val="00976B31"/>
    <w:rsid w:val="00976B4F"/>
    <w:rsid w:val="00976C50"/>
    <w:rsid w:val="00976CC8"/>
    <w:rsid w:val="00976DB1"/>
    <w:rsid w:val="00976EFA"/>
    <w:rsid w:val="009771AC"/>
    <w:rsid w:val="009772FE"/>
    <w:rsid w:val="0097757A"/>
    <w:rsid w:val="009777FB"/>
    <w:rsid w:val="00977869"/>
    <w:rsid w:val="009778F4"/>
    <w:rsid w:val="00977AB1"/>
    <w:rsid w:val="00977CC9"/>
    <w:rsid w:val="00980061"/>
    <w:rsid w:val="009800E0"/>
    <w:rsid w:val="0098012A"/>
    <w:rsid w:val="00980245"/>
    <w:rsid w:val="009802FC"/>
    <w:rsid w:val="00980379"/>
    <w:rsid w:val="00980549"/>
    <w:rsid w:val="009807BA"/>
    <w:rsid w:val="0098088F"/>
    <w:rsid w:val="009808C0"/>
    <w:rsid w:val="00980A39"/>
    <w:rsid w:val="00980ACD"/>
    <w:rsid w:val="00980BEE"/>
    <w:rsid w:val="00980E2B"/>
    <w:rsid w:val="0098109E"/>
    <w:rsid w:val="0098120F"/>
    <w:rsid w:val="009812D8"/>
    <w:rsid w:val="0098137D"/>
    <w:rsid w:val="00981383"/>
    <w:rsid w:val="00981395"/>
    <w:rsid w:val="0098140E"/>
    <w:rsid w:val="009814CF"/>
    <w:rsid w:val="009815C0"/>
    <w:rsid w:val="00981624"/>
    <w:rsid w:val="0098183C"/>
    <w:rsid w:val="00981863"/>
    <w:rsid w:val="009818D4"/>
    <w:rsid w:val="009819B5"/>
    <w:rsid w:val="00981C95"/>
    <w:rsid w:val="00981CC9"/>
    <w:rsid w:val="00981D0D"/>
    <w:rsid w:val="00981F18"/>
    <w:rsid w:val="00981F7E"/>
    <w:rsid w:val="0098206A"/>
    <w:rsid w:val="00982114"/>
    <w:rsid w:val="0098225C"/>
    <w:rsid w:val="009823D1"/>
    <w:rsid w:val="00982539"/>
    <w:rsid w:val="00982813"/>
    <w:rsid w:val="00982856"/>
    <w:rsid w:val="009829CF"/>
    <w:rsid w:val="00982A92"/>
    <w:rsid w:val="00982BBC"/>
    <w:rsid w:val="00982BEE"/>
    <w:rsid w:val="00982D84"/>
    <w:rsid w:val="00982DCC"/>
    <w:rsid w:val="00982E3C"/>
    <w:rsid w:val="00982F18"/>
    <w:rsid w:val="00982FD4"/>
    <w:rsid w:val="0098306A"/>
    <w:rsid w:val="00983371"/>
    <w:rsid w:val="0098341E"/>
    <w:rsid w:val="009834BC"/>
    <w:rsid w:val="0098356D"/>
    <w:rsid w:val="00983674"/>
    <w:rsid w:val="00983807"/>
    <w:rsid w:val="00983820"/>
    <w:rsid w:val="00983858"/>
    <w:rsid w:val="00983886"/>
    <w:rsid w:val="009838DD"/>
    <w:rsid w:val="00983A30"/>
    <w:rsid w:val="00983AB7"/>
    <w:rsid w:val="00983AFB"/>
    <w:rsid w:val="00983B48"/>
    <w:rsid w:val="00983C50"/>
    <w:rsid w:val="00983C7B"/>
    <w:rsid w:val="00983DB1"/>
    <w:rsid w:val="00983DC0"/>
    <w:rsid w:val="00983E68"/>
    <w:rsid w:val="00983EEF"/>
    <w:rsid w:val="00984006"/>
    <w:rsid w:val="009840BB"/>
    <w:rsid w:val="00984145"/>
    <w:rsid w:val="009843E1"/>
    <w:rsid w:val="0098442A"/>
    <w:rsid w:val="0098472F"/>
    <w:rsid w:val="00984800"/>
    <w:rsid w:val="00984804"/>
    <w:rsid w:val="00984879"/>
    <w:rsid w:val="009849ED"/>
    <w:rsid w:val="00984B9D"/>
    <w:rsid w:val="00984BEB"/>
    <w:rsid w:val="00984CF3"/>
    <w:rsid w:val="00984D86"/>
    <w:rsid w:val="00984E3D"/>
    <w:rsid w:val="00984ED2"/>
    <w:rsid w:val="00984F98"/>
    <w:rsid w:val="00985008"/>
    <w:rsid w:val="00985101"/>
    <w:rsid w:val="0098526C"/>
    <w:rsid w:val="00985273"/>
    <w:rsid w:val="009852AC"/>
    <w:rsid w:val="009854B8"/>
    <w:rsid w:val="009855FA"/>
    <w:rsid w:val="00985604"/>
    <w:rsid w:val="009857F9"/>
    <w:rsid w:val="00985881"/>
    <w:rsid w:val="00985AB4"/>
    <w:rsid w:val="00985B78"/>
    <w:rsid w:val="00985FEB"/>
    <w:rsid w:val="00986226"/>
    <w:rsid w:val="00986305"/>
    <w:rsid w:val="009863B2"/>
    <w:rsid w:val="00986526"/>
    <w:rsid w:val="00986557"/>
    <w:rsid w:val="00986571"/>
    <w:rsid w:val="009866B3"/>
    <w:rsid w:val="009868EF"/>
    <w:rsid w:val="00986BA9"/>
    <w:rsid w:val="00986D21"/>
    <w:rsid w:val="00986EA4"/>
    <w:rsid w:val="00986F63"/>
    <w:rsid w:val="00986FD7"/>
    <w:rsid w:val="009872E4"/>
    <w:rsid w:val="0098733C"/>
    <w:rsid w:val="00987426"/>
    <w:rsid w:val="0098762F"/>
    <w:rsid w:val="0098766C"/>
    <w:rsid w:val="009876A5"/>
    <w:rsid w:val="009876FD"/>
    <w:rsid w:val="00987790"/>
    <w:rsid w:val="009877B6"/>
    <w:rsid w:val="0098784C"/>
    <w:rsid w:val="00987931"/>
    <w:rsid w:val="00987987"/>
    <w:rsid w:val="009879E3"/>
    <w:rsid w:val="00987C66"/>
    <w:rsid w:val="00987D7E"/>
    <w:rsid w:val="00987E10"/>
    <w:rsid w:val="00987E88"/>
    <w:rsid w:val="00987F36"/>
    <w:rsid w:val="00987FFD"/>
    <w:rsid w:val="00990063"/>
    <w:rsid w:val="00990175"/>
    <w:rsid w:val="009901DE"/>
    <w:rsid w:val="00990412"/>
    <w:rsid w:val="0099058C"/>
    <w:rsid w:val="00990717"/>
    <w:rsid w:val="009907D1"/>
    <w:rsid w:val="009908CD"/>
    <w:rsid w:val="0099093B"/>
    <w:rsid w:val="009909FE"/>
    <w:rsid w:val="00990A63"/>
    <w:rsid w:val="00990AEE"/>
    <w:rsid w:val="00990B6F"/>
    <w:rsid w:val="00990BBE"/>
    <w:rsid w:val="00990C31"/>
    <w:rsid w:val="00990D81"/>
    <w:rsid w:val="00990DEC"/>
    <w:rsid w:val="00990E6A"/>
    <w:rsid w:val="00990F10"/>
    <w:rsid w:val="00990F4C"/>
    <w:rsid w:val="00990FB1"/>
    <w:rsid w:val="0099122D"/>
    <w:rsid w:val="0099123C"/>
    <w:rsid w:val="009912C0"/>
    <w:rsid w:val="00991329"/>
    <w:rsid w:val="009913CF"/>
    <w:rsid w:val="009913D5"/>
    <w:rsid w:val="009919A1"/>
    <w:rsid w:val="00991A36"/>
    <w:rsid w:val="00991AF7"/>
    <w:rsid w:val="00991B84"/>
    <w:rsid w:val="00991B92"/>
    <w:rsid w:val="00991C07"/>
    <w:rsid w:val="00991C11"/>
    <w:rsid w:val="00991DCE"/>
    <w:rsid w:val="00991E10"/>
    <w:rsid w:val="00991E4C"/>
    <w:rsid w:val="00991E8E"/>
    <w:rsid w:val="00991FD0"/>
    <w:rsid w:val="00992184"/>
    <w:rsid w:val="00992230"/>
    <w:rsid w:val="00992392"/>
    <w:rsid w:val="009924B8"/>
    <w:rsid w:val="00992505"/>
    <w:rsid w:val="00992588"/>
    <w:rsid w:val="00992909"/>
    <w:rsid w:val="009929A6"/>
    <w:rsid w:val="00992A39"/>
    <w:rsid w:val="00992CAB"/>
    <w:rsid w:val="00992D1C"/>
    <w:rsid w:val="00992E13"/>
    <w:rsid w:val="00992F2F"/>
    <w:rsid w:val="0099348B"/>
    <w:rsid w:val="00993506"/>
    <w:rsid w:val="0099355E"/>
    <w:rsid w:val="00993638"/>
    <w:rsid w:val="009937B3"/>
    <w:rsid w:val="009937DA"/>
    <w:rsid w:val="0099389D"/>
    <w:rsid w:val="00993939"/>
    <w:rsid w:val="009939E1"/>
    <w:rsid w:val="00993A0B"/>
    <w:rsid w:val="00993A11"/>
    <w:rsid w:val="00993ADA"/>
    <w:rsid w:val="00993C7B"/>
    <w:rsid w:val="00993D0C"/>
    <w:rsid w:val="00993EB7"/>
    <w:rsid w:val="00993EBD"/>
    <w:rsid w:val="00993FA6"/>
    <w:rsid w:val="00994161"/>
    <w:rsid w:val="009941D9"/>
    <w:rsid w:val="00994219"/>
    <w:rsid w:val="009943D0"/>
    <w:rsid w:val="00994446"/>
    <w:rsid w:val="0099451E"/>
    <w:rsid w:val="00994557"/>
    <w:rsid w:val="00994584"/>
    <w:rsid w:val="009945DB"/>
    <w:rsid w:val="00994721"/>
    <w:rsid w:val="0099484A"/>
    <w:rsid w:val="009949BC"/>
    <w:rsid w:val="00994F6A"/>
    <w:rsid w:val="00994F76"/>
    <w:rsid w:val="00995229"/>
    <w:rsid w:val="009954B5"/>
    <w:rsid w:val="009954BB"/>
    <w:rsid w:val="00995578"/>
    <w:rsid w:val="0099564B"/>
    <w:rsid w:val="0099573A"/>
    <w:rsid w:val="00995792"/>
    <w:rsid w:val="009957E6"/>
    <w:rsid w:val="00995BA2"/>
    <w:rsid w:val="00995BB0"/>
    <w:rsid w:val="00995C3B"/>
    <w:rsid w:val="00995D4F"/>
    <w:rsid w:val="00996112"/>
    <w:rsid w:val="0099638C"/>
    <w:rsid w:val="009963F7"/>
    <w:rsid w:val="009964B7"/>
    <w:rsid w:val="009964D6"/>
    <w:rsid w:val="009965FE"/>
    <w:rsid w:val="0099681B"/>
    <w:rsid w:val="009968E6"/>
    <w:rsid w:val="00996935"/>
    <w:rsid w:val="00996D4A"/>
    <w:rsid w:val="00996E29"/>
    <w:rsid w:val="00996E48"/>
    <w:rsid w:val="00996E69"/>
    <w:rsid w:val="00996E88"/>
    <w:rsid w:val="00997061"/>
    <w:rsid w:val="009970C1"/>
    <w:rsid w:val="009970FA"/>
    <w:rsid w:val="0099724D"/>
    <w:rsid w:val="00997452"/>
    <w:rsid w:val="0099746B"/>
    <w:rsid w:val="009976E4"/>
    <w:rsid w:val="0099774B"/>
    <w:rsid w:val="009977C5"/>
    <w:rsid w:val="009977F6"/>
    <w:rsid w:val="00997886"/>
    <w:rsid w:val="0099799E"/>
    <w:rsid w:val="009979AE"/>
    <w:rsid w:val="00997ACF"/>
    <w:rsid w:val="00997C13"/>
    <w:rsid w:val="00997C6F"/>
    <w:rsid w:val="00997CD4"/>
    <w:rsid w:val="00997CEB"/>
    <w:rsid w:val="00997D56"/>
    <w:rsid w:val="00997DB6"/>
    <w:rsid w:val="009A000F"/>
    <w:rsid w:val="009A0072"/>
    <w:rsid w:val="009A011A"/>
    <w:rsid w:val="009A0176"/>
    <w:rsid w:val="009A02B5"/>
    <w:rsid w:val="009A0331"/>
    <w:rsid w:val="009A0357"/>
    <w:rsid w:val="009A0453"/>
    <w:rsid w:val="009A062C"/>
    <w:rsid w:val="009A0655"/>
    <w:rsid w:val="009A070A"/>
    <w:rsid w:val="009A0878"/>
    <w:rsid w:val="009A0957"/>
    <w:rsid w:val="009A09E2"/>
    <w:rsid w:val="009A09F1"/>
    <w:rsid w:val="009A0A0B"/>
    <w:rsid w:val="009A0A33"/>
    <w:rsid w:val="009A0AF1"/>
    <w:rsid w:val="009A0AF7"/>
    <w:rsid w:val="009A0B9E"/>
    <w:rsid w:val="009A0BC5"/>
    <w:rsid w:val="009A1026"/>
    <w:rsid w:val="009A1165"/>
    <w:rsid w:val="009A1213"/>
    <w:rsid w:val="009A1314"/>
    <w:rsid w:val="009A132F"/>
    <w:rsid w:val="009A1484"/>
    <w:rsid w:val="009A1669"/>
    <w:rsid w:val="009A16A7"/>
    <w:rsid w:val="009A1764"/>
    <w:rsid w:val="009A1A5D"/>
    <w:rsid w:val="009A1B34"/>
    <w:rsid w:val="009A1BEB"/>
    <w:rsid w:val="009A1C1B"/>
    <w:rsid w:val="009A1D34"/>
    <w:rsid w:val="009A1E4C"/>
    <w:rsid w:val="009A1F24"/>
    <w:rsid w:val="009A2072"/>
    <w:rsid w:val="009A2093"/>
    <w:rsid w:val="009A2211"/>
    <w:rsid w:val="009A2622"/>
    <w:rsid w:val="009A26FC"/>
    <w:rsid w:val="009A2855"/>
    <w:rsid w:val="009A285C"/>
    <w:rsid w:val="009A286E"/>
    <w:rsid w:val="009A297D"/>
    <w:rsid w:val="009A2A8D"/>
    <w:rsid w:val="009A2C06"/>
    <w:rsid w:val="009A2C1F"/>
    <w:rsid w:val="009A2C3D"/>
    <w:rsid w:val="009A2CCA"/>
    <w:rsid w:val="009A2CFB"/>
    <w:rsid w:val="009A2D6C"/>
    <w:rsid w:val="009A2D7F"/>
    <w:rsid w:val="009A2F92"/>
    <w:rsid w:val="009A2FC5"/>
    <w:rsid w:val="009A3064"/>
    <w:rsid w:val="009A342E"/>
    <w:rsid w:val="009A356E"/>
    <w:rsid w:val="009A36B9"/>
    <w:rsid w:val="009A3745"/>
    <w:rsid w:val="009A38CF"/>
    <w:rsid w:val="009A38DE"/>
    <w:rsid w:val="009A3A5C"/>
    <w:rsid w:val="009A3A66"/>
    <w:rsid w:val="009A3C69"/>
    <w:rsid w:val="009A3D24"/>
    <w:rsid w:val="009A444F"/>
    <w:rsid w:val="009A4692"/>
    <w:rsid w:val="009A46F8"/>
    <w:rsid w:val="009A476A"/>
    <w:rsid w:val="009A485F"/>
    <w:rsid w:val="009A48C9"/>
    <w:rsid w:val="009A491F"/>
    <w:rsid w:val="009A4998"/>
    <w:rsid w:val="009A49B3"/>
    <w:rsid w:val="009A49BD"/>
    <w:rsid w:val="009A4A29"/>
    <w:rsid w:val="009A4ABC"/>
    <w:rsid w:val="009A4AE1"/>
    <w:rsid w:val="009A4C6D"/>
    <w:rsid w:val="009A4D1F"/>
    <w:rsid w:val="009A4D74"/>
    <w:rsid w:val="009A4FB7"/>
    <w:rsid w:val="009A5208"/>
    <w:rsid w:val="009A539A"/>
    <w:rsid w:val="009A5481"/>
    <w:rsid w:val="009A552E"/>
    <w:rsid w:val="009A56CD"/>
    <w:rsid w:val="009A570D"/>
    <w:rsid w:val="009A5745"/>
    <w:rsid w:val="009A580B"/>
    <w:rsid w:val="009A588A"/>
    <w:rsid w:val="009A5EED"/>
    <w:rsid w:val="009A6088"/>
    <w:rsid w:val="009A618D"/>
    <w:rsid w:val="009A6207"/>
    <w:rsid w:val="009A64B8"/>
    <w:rsid w:val="009A64E4"/>
    <w:rsid w:val="009A6806"/>
    <w:rsid w:val="009A6899"/>
    <w:rsid w:val="009A6A11"/>
    <w:rsid w:val="009A6B70"/>
    <w:rsid w:val="009A6B82"/>
    <w:rsid w:val="009A6D59"/>
    <w:rsid w:val="009A6F56"/>
    <w:rsid w:val="009A6F6A"/>
    <w:rsid w:val="009A6FB7"/>
    <w:rsid w:val="009A705C"/>
    <w:rsid w:val="009A71F2"/>
    <w:rsid w:val="009A73DE"/>
    <w:rsid w:val="009A75C4"/>
    <w:rsid w:val="009A75C5"/>
    <w:rsid w:val="009A7608"/>
    <w:rsid w:val="009A7674"/>
    <w:rsid w:val="009A7966"/>
    <w:rsid w:val="009A7978"/>
    <w:rsid w:val="009A7A68"/>
    <w:rsid w:val="009A7B4F"/>
    <w:rsid w:val="009A7C52"/>
    <w:rsid w:val="009A7C5B"/>
    <w:rsid w:val="009A7D09"/>
    <w:rsid w:val="009A7FCD"/>
    <w:rsid w:val="009B0066"/>
    <w:rsid w:val="009B0128"/>
    <w:rsid w:val="009B0207"/>
    <w:rsid w:val="009B031C"/>
    <w:rsid w:val="009B03D0"/>
    <w:rsid w:val="009B0482"/>
    <w:rsid w:val="009B055B"/>
    <w:rsid w:val="009B05B7"/>
    <w:rsid w:val="009B0604"/>
    <w:rsid w:val="009B0680"/>
    <w:rsid w:val="009B0942"/>
    <w:rsid w:val="009B09AF"/>
    <w:rsid w:val="009B0A07"/>
    <w:rsid w:val="009B0C11"/>
    <w:rsid w:val="009B0D3B"/>
    <w:rsid w:val="009B0D84"/>
    <w:rsid w:val="009B0DA2"/>
    <w:rsid w:val="009B1017"/>
    <w:rsid w:val="009B119E"/>
    <w:rsid w:val="009B123E"/>
    <w:rsid w:val="009B12B2"/>
    <w:rsid w:val="009B12CA"/>
    <w:rsid w:val="009B150D"/>
    <w:rsid w:val="009B1578"/>
    <w:rsid w:val="009B1786"/>
    <w:rsid w:val="009B1908"/>
    <w:rsid w:val="009B1943"/>
    <w:rsid w:val="009B19A4"/>
    <w:rsid w:val="009B19A7"/>
    <w:rsid w:val="009B1A80"/>
    <w:rsid w:val="009B1BC6"/>
    <w:rsid w:val="009B1DC3"/>
    <w:rsid w:val="009B1F16"/>
    <w:rsid w:val="009B2057"/>
    <w:rsid w:val="009B20CE"/>
    <w:rsid w:val="009B20E6"/>
    <w:rsid w:val="009B21C1"/>
    <w:rsid w:val="009B2205"/>
    <w:rsid w:val="009B2251"/>
    <w:rsid w:val="009B22BD"/>
    <w:rsid w:val="009B2412"/>
    <w:rsid w:val="009B24E1"/>
    <w:rsid w:val="009B2600"/>
    <w:rsid w:val="009B2648"/>
    <w:rsid w:val="009B267B"/>
    <w:rsid w:val="009B26AD"/>
    <w:rsid w:val="009B26BD"/>
    <w:rsid w:val="009B2849"/>
    <w:rsid w:val="009B28F4"/>
    <w:rsid w:val="009B29D1"/>
    <w:rsid w:val="009B2B83"/>
    <w:rsid w:val="009B2C64"/>
    <w:rsid w:val="009B2E77"/>
    <w:rsid w:val="009B2FD2"/>
    <w:rsid w:val="009B2FE9"/>
    <w:rsid w:val="009B305A"/>
    <w:rsid w:val="009B3161"/>
    <w:rsid w:val="009B31D4"/>
    <w:rsid w:val="009B32C7"/>
    <w:rsid w:val="009B34B1"/>
    <w:rsid w:val="009B35D5"/>
    <w:rsid w:val="009B3605"/>
    <w:rsid w:val="009B37F4"/>
    <w:rsid w:val="009B38C1"/>
    <w:rsid w:val="009B3929"/>
    <w:rsid w:val="009B3A66"/>
    <w:rsid w:val="009B3C49"/>
    <w:rsid w:val="009B3E7D"/>
    <w:rsid w:val="009B3F5D"/>
    <w:rsid w:val="009B3FB0"/>
    <w:rsid w:val="009B401C"/>
    <w:rsid w:val="009B4195"/>
    <w:rsid w:val="009B42C7"/>
    <w:rsid w:val="009B435F"/>
    <w:rsid w:val="009B43A1"/>
    <w:rsid w:val="009B4477"/>
    <w:rsid w:val="009B456B"/>
    <w:rsid w:val="009B458A"/>
    <w:rsid w:val="009B46E7"/>
    <w:rsid w:val="009B4A00"/>
    <w:rsid w:val="009B4A0F"/>
    <w:rsid w:val="009B4AAF"/>
    <w:rsid w:val="009B4B4D"/>
    <w:rsid w:val="009B4C3C"/>
    <w:rsid w:val="009B4CAD"/>
    <w:rsid w:val="009B4CB1"/>
    <w:rsid w:val="009B4DBD"/>
    <w:rsid w:val="009B4DBF"/>
    <w:rsid w:val="009B4F50"/>
    <w:rsid w:val="009B4F56"/>
    <w:rsid w:val="009B4F7C"/>
    <w:rsid w:val="009B4F81"/>
    <w:rsid w:val="009B5198"/>
    <w:rsid w:val="009B51E9"/>
    <w:rsid w:val="009B5291"/>
    <w:rsid w:val="009B52D0"/>
    <w:rsid w:val="009B5335"/>
    <w:rsid w:val="009B54E3"/>
    <w:rsid w:val="009B5551"/>
    <w:rsid w:val="009B5742"/>
    <w:rsid w:val="009B58CB"/>
    <w:rsid w:val="009B59D7"/>
    <w:rsid w:val="009B5BE3"/>
    <w:rsid w:val="009B5C69"/>
    <w:rsid w:val="009B5CB4"/>
    <w:rsid w:val="009B5CEA"/>
    <w:rsid w:val="009B5E37"/>
    <w:rsid w:val="009B5E56"/>
    <w:rsid w:val="009B5F36"/>
    <w:rsid w:val="009B5F9D"/>
    <w:rsid w:val="009B6157"/>
    <w:rsid w:val="009B63C0"/>
    <w:rsid w:val="009B650F"/>
    <w:rsid w:val="009B65A2"/>
    <w:rsid w:val="009B65D3"/>
    <w:rsid w:val="009B65E2"/>
    <w:rsid w:val="009B664E"/>
    <w:rsid w:val="009B66CD"/>
    <w:rsid w:val="009B6745"/>
    <w:rsid w:val="009B67E5"/>
    <w:rsid w:val="009B686E"/>
    <w:rsid w:val="009B689F"/>
    <w:rsid w:val="009B6B61"/>
    <w:rsid w:val="009B6E37"/>
    <w:rsid w:val="009B6EE2"/>
    <w:rsid w:val="009B6F65"/>
    <w:rsid w:val="009B6FB5"/>
    <w:rsid w:val="009B702F"/>
    <w:rsid w:val="009B7403"/>
    <w:rsid w:val="009B752A"/>
    <w:rsid w:val="009B761B"/>
    <w:rsid w:val="009B76BC"/>
    <w:rsid w:val="009B76C5"/>
    <w:rsid w:val="009B76E2"/>
    <w:rsid w:val="009B76FA"/>
    <w:rsid w:val="009B76FD"/>
    <w:rsid w:val="009B78C1"/>
    <w:rsid w:val="009B7907"/>
    <w:rsid w:val="009B795C"/>
    <w:rsid w:val="009B7B44"/>
    <w:rsid w:val="009B7BBA"/>
    <w:rsid w:val="009B7C0E"/>
    <w:rsid w:val="009B7D0D"/>
    <w:rsid w:val="009C0102"/>
    <w:rsid w:val="009C02BD"/>
    <w:rsid w:val="009C02E9"/>
    <w:rsid w:val="009C0313"/>
    <w:rsid w:val="009C036C"/>
    <w:rsid w:val="009C03B6"/>
    <w:rsid w:val="009C04E4"/>
    <w:rsid w:val="009C0527"/>
    <w:rsid w:val="009C0563"/>
    <w:rsid w:val="009C0761"/>
    <w:rsid w:val="009C07BC"/>
    <w:rsid w:val="009C07C7"/>
    <w:rsid w:val="009C0803"/>
    <w:rsid w:val="009C0948"/>
    <w:rsid w:val="009C0B87"/>
    <w:rsid w:val="009C0C6D"/>
    <w:rsid w:val="009C0CDF"/>
    <w:rsid w:val="009C0D2C"/>
    <w:rsid w:val="009C0E04"/>
    <w:rsid w:val="009C11B0"/>
    <w:rsid w:val="009C1279"/>
    <w:rsid w:val="009C12FE"/>
    <w:rsid w:val="009C13F6"/>
    <w:rsid w:val="009C1459"/>
    <w:rsid w:val="009C1736"/>
    <w:rsid w:val="009C1888"/>
    <w:rsid w:val="009C1A56"/>
    <w:rsid w:val="009C1B09"/>
    <w:rsid w:val="009C1DEA"/>
    <w:rsid w:val="009C2221"/>
    <w:rsid w:val="009C225B"/>
    <w:rsid w:val="009C2422"/>
    <w:rsid w:val="009C2442"/>
    <w:rsid w:val="009C2447"/>
    <w:rsid w:val="009C2610"/>
    <w:rsid w:val="009C274C"/>
    <w:rsid w:val="009C2764"/>
    <w:rsid w:val="009C280E"/>
    <w:rsid w:val="009C2974"/>
    <w:rsid w:val="009C2A81"/>
    <w:rsid w:val="009C2B24"/>
    <w:rsid w:val="009C2B4D"/>
    <w:rsid w:val="009C2C06"/>
    <w:rsid w:val="009C2C9F"/>
    <w:rsid w:val="009C2CA0"/>
    <w:rsid w:val="009C2D65"/>
    <w:rsid w:val="009C2D7B"/>
    <w:rsid w:val="009C2F6A"/>
    <w:rsid w:val="009C305B"/>
    <w:rsid w:val="009C30AE"/>
    <w:rsid w:val="009C30D1"/>
    <w:rsid w:val="009C327E"/>
    <w:rsid w:val="009C342C"/>
    <w:rsid w:val="009C3491"/>
    <w:rsid w:val="009C34FD"/>
    <w:rsid w:val="009C354E"/>
    <w:rsid w:val="009C358B"/>
    <w:rsid w:val="009C35A4"/>
    <w:rsid w:val="009C362E"/>
    <w:rsid w:val="009C36AD"/>
    <w:rsid w:val="009C37AC"/>
    <w:rsid w:val="009C3800"/>
    <w:rsid w:val="009C380D"/>
    <w:rsid w:val="009C382A"/>
    <w:rsid w:val="009C3984"/>
    <w:rsid w:val="009C3A18"/>
    <w:rsid w:val="009C3C9E"/>
    <w:rsid w:val="009C3D44"/>
    <w:rsid w:val="009C3D45"/>
    <w:rsid w:val="009C3D8A"/>
    <w:rsid w:val="009C3D90"/>
    <w:rsid w:val="009C3DBC"/>
    <w:rsid w:val="009C3DD6"/>
    <w:rsid w:val="009C3EC9"/>
    <w:rsid w:val="009C4022"/>
    <w:rsid w:val="009C4106"/>
    <w:rsid w:val="009C41BB"/>
    <w:rsid w:val="009C4200"/>
    <w:rsid w:val="009C42A1"/>
    <w:rsid w:val="009C430A"/>
    <w:rsid w:val="009C45ED"/>
    <w:rsid w:val="009C4711"/>
    <w:rsid w:val="009C4817"/>
    <w:rsid w:val="009C4821"/>
    <w:rsid w:val="009C492E"/>
    <w:rsid w:val="009C4AAC"/>
    <w:rsid w:val="009C4B0A"/>
    <w:rsid w:val="009C4BFC"/>
    <w:rsid w:val="009C4C13"/>
    <w:rsid w:val="009C4D62"/>
    <w:rsid w:val="009C4D7B"/>
    <w:rsid w:val="009C4EEA"/>
    <w:rsid w:val="009C5046"/>
    <w:rsid w:val="009C50A0"/>
    <w:rsid w:val="009C532B"/>
    <w:rsid w:val="009C5486"/>
    <w:rsid w:val="009C54E0"/>
    <w:rsid w:val="009C54F2"/>
    <w:rsid w:val="009C560A"/>
    <w:rsid w:val="009C585A"/>
    <w:rsid w:val="009C59FB"/>
    <w:rsid w:val="009C59FF"/>
    <w:rsid w:val="009C5B10"/>
    <w:rsid w:val="009C5B3B"/>
    <w:rsid w:val="009C5CCD"/>
    <w:rsid w:val="009C5CF1"/>
    <w:rsid w:val="009C5D35"/>
    <w:rsid w:val="009C5E09"/>
    <w:rsid w:val="009C60B1"/>
    <w:rsid w:val="009C61CB"/>
    <w:rsid w:val="009C61E4"/>
    <w:rsid w:val="009C624E"/>
    <w:rsid w:val="009C6281"/>
    <w:rsid w:val="009C62D4"/>
    <w:rsid w:val="009C6367"/>
    <w:rsid w:val="009C63AB"/>
    <w:rsid w:val="009C653C"/>
    <w:rsid w:val="009C691E"/>
    <w:rsid w:val="009C697A"/>
    <w:rsid w:val="009C6A3C"/>
    <w:rsid w:val="009C6CB9"/>
    <w:rsid w:val="009C6D16"/>
    <w:rsid w:val="009C6EC7"/>
    <w:rsid w:val="009C6ECA"/>
    <w:rsid w:val="009C72E9"/>
    <w:rsid w:val="009C731A"/>
    <w:rsid w:val="009C7672"/>
    <w:rsid w:val="009C775D"/>
    <w:rsid w:val="009C779F"/>
    <w:rsid w:val="009C77EB"/>
    <w:rsid w:val="009C7831"/>
    <w:rsid w:val="009C785C"/>
    <w:rsid w:val="009C7933"/>
    <w:rsid w:val="009C7C13"/>
    <w:rsid w:val="009C7C8C"/>
    <w:rsid w:val="009C7F96"/>
    <w:rsid w:val="009D00F2"/>
    <w:rsid w:val="009D0177"/>
    <w:rsid w:val="009D01E2"/>
    <w:rsid w:val="009D049A"/>
    <w:rsid w:val="009D05E4"/>
    <w:rsid w:val="009D0654"/>
    <w:rsid w:val="009D0843"/>
    <w:rsid w:val="009D08F5"/>
    <w:rsid w:val="009D0C13"/>
    <w:rsid w:val="009D0D35"/>
    <w:rsid w:val="009D0EB6"/>
    <w:rsid w:val="009D10B5"/>
    <w:rsid w:val="009D10DC"/>
    <w:rsid w:val="009D10F9"/>
    <w:rsid w:val="009D1185"/>
    <w:rsid w:val="009D1229"/>
    <w:rsid w:val="009D1230"/>
    <w:rsid w:val="009D1708"/>
    <w:rsid w:val="009D1871"/>
    <w:rsid w:val="009D195B"/>
    <w:rsid w:val="009D196D"/>
    <w:rsid w:val="009D1995"/>
    <w:rsid w:val="009D1A1B"/>
    <w:rsid w:val="009D1C82"/>
    <w:rsid w:val="009D1CD5"/>
    <w:rsid w:val="009D1F2D"/>
    <w:rsid w:val="009D1F87"/>
    <w:rsid w:val="009D1FB5"/>
    <w:rsid w:val="009D200A"/>
    <w:rsid w:val="009D2074"/>
    <w:rsid w:val="009D20D0"/>
    <w:rsid w:val="009D216C"/>
    <w:rsid w:val="009D24F6"/>
    <w:rsid w:val="009D250D"/>
    <w:rsid w:val="009D2761"/>
    <w:rsid w:val="009D2808"/>
    <w:rsid w:val="009D298F"/>
    <w:rsid w:val="009D2A9B"/>
    <w:rsid w:val="009D2B07"/>
    <w:rsid w:val="009D2BF7"/>
    <w:rsid w:val="009D2D57"/>
    <w:rsid w:val="009D2DF5"/>
    <w:rsid w:val="009D2EB7"/>
    <w:rsid w:val="009D2F37"/>
    <w:rsid w:val="009D2F5D"/>
    <w:rsid w:val="009D307B"/>
    <w:rsid w:val="009D328C"/>
    <w:rsid w:val="009D32D9"/>
    <w:rsid w:val="009D354C"/>
    <w:rsid w:val="009D3812"/>
    <w:rsid w:val="009D383E"/>
    <w:rsid w:val="009D3875"/>
    <w:rsid w:val="009D39AC"/>
    <w:rsid w:val="009D39EF"/>
    <w:rsid w:val="009D3A49"/>
    <w:rsid w:val="009D3A71"/>
    <w:rsid w:val="009D3AD1"/>
    <w:rsid w:val="009D3B95"/>
    <w:rsid w:val="009D3BD0"/>
    <w:rsid w:val="009D3BF1"/>
    <w:rsid w:val="009D3DAD"/>
    <w:rsid w:val="009D3F71"/>
    <w:rsid w:val="009D4012"/>
    <w:rsid w:val="009D40A2"/>
    <w:rsid w:val="009D4230"/>
    <w:rsid w:val="009D43D5"/>
    <w:rsid w:val="009D441F"/>
    <w:rsid w:val="009D44B6"/>
    <w:rsid w:val="009D4543"/>
    <w:rsid w:val="009D46ED"/>
    <w:rsid w:val="009D47C9"/>
    <w:rsid w:val="009D4823"/>
    <w:rsid w:val="009D488C"/>
    <w:rsid w:val="009D4928"/>
    <w:rsid w:val="009D4A8B"/>
    <w:rsid w:val="009D4B3C"/>
    <w:rsid w:val="009D4BF9"/>
    <w:rsid w:val="009D4C4B"/>
    <w:rsid w:val="009D4C57"/>
    <w:rsid w:val="009D4E05"/>
    <w:rsid w:val="009D507B"/>
    <w:rsid w:val="009D5176"/>
    <w:rsid w:val="009D545E"/>
    <w:rsid w:val="009D5473"/>
    <w:rsid w:val="009D54DB"/>
    <w:rsid w:val="009D5532"/>
    <w:rsid w:val="009D5563"/>
    <w:rsid w:val="009D5611"/>
    <w:rsid w:val="009D584C"/>
    <w:rsid w:val="009D585E"/>
    <w:rsid w:val="009D586A"/>
    <w:rsid w:val="009D586D"/>
    <w:rsid w:val="009D58E1"/>
    <w:rsid w:val="009D59AF"/>
    <w:rsid w:val="009D59F8"/>
    <w:rsid w:val="009D5A9B"/>
    <w:rsid w:val="009D5ABC"/>
    <w:rsid w:val="009D5AE3"/>
    <w:rsid w:val="009D5F65"/>
    <w:rsid w:val="009D5FDB"/>
    <w:rsid w:val="009D611E"/>
    <w:rsid w:val="009D628F"/>
    <w:rsid w:val="009D630F"/>
    <w:rsid w:val="009D6337"/>
    <w:rsid w:val="009D633B"/>
    <w:rsid w:val="009D652C"/>
    <w:rsid w:val="009D65C4"/>
    <w:rsid w:val="009D6733"/>
    <w:rsid w:val="009D6785"/>
    <w:rsid w:val="009D67E5"/>
    <w:rsid w:val="009D681A"/>
    <w:rsid w:val="009D68BF"/>
    <w:rsid w:val="009D69FC"/>
    <w:rsid w:val="009D6AC8"/>
    <w:rsid w:val="009D6D28"/>
    <w:rsid w:val="009D700D"/>
    <w:rsid w:val="009D7115"/>
    <w:rsid w:val="009D71BB"/>
    <w:rsid w:val="009D733A"/>
    <w:rsid w:val="009D7369"/>
    <w:rsid w:val="009D73D8"/>
    <w:rsid w:val="009D7421"/>
    <w:rsid w:val="009D7429"/>
    <w:rsid w:val="009D74D5"/>
    <w:rsid w:val="009D75DE"/>
    <w:rsid w:val="009D7B59"/>
    <w:rsid w:val="009D7BA2"/>
    <w:rsid w:val="009D7E4E"/>
    <w:rsid w:val="009D7F7E"/>
    <w:rsid w:val="009E0052"/>
    <w:rsid w:val="009E0427"/>
    <w:rsid w:val="009E043B"/>
    <w:rsid w:val="009E05DB"/>
    <w:rsid w:val="009E0603"/>
    <w:rsid w:val="009E09D5"/>
    <w:rsid w:val="009E0AE4"/>
    <w:rsid w:val="009E0E45"/>
    <w:rsid w:val="009E0F6E"/>
    <w:rsid w:val="009E0F99"/>
    <w:rsid w:val="009E1037"/>
    <w:rsid w:val="009E10BF"/>
    <w:rsid w:val="009E10CE"/>
    <w:rsid w:val="009E1110"/>
    <w:rsid w:val="009E116F"/>
    <w:rsid w:val="009E125C"/>
    <w:rsid w:val="009E1354"/>
    <w:rsid w:val="009E1404"/>
    <w:rsid w:val="009E147F"/>
    <w:rsid w:val="009E1489"/>
    <w:rsid w:val="009E1564"/>
    <w:rsid w:val="009E164A"/>
    <w:rsid w:val="009E1884"/>
    <w:rsid w:val="009E1900"/>
    <w:rsid w:val="009E1A3F"/>
    <w:rsid w:val="009E1AD4"/>
    <w:rsid w:val="009E1D65"/>
    <w:rsid w:val="009E1E57"/>
    <w:rsid w:val="009E1EFA"/>
    <w:rsid w:val="009E2026"/>
    <w:rsid w:val="009E2095"/>
    <w:rsid w:val="009E23FF"/>
    <w:rsid w:val="009E2521"/>
    <w:rsid w:val="009E2540"/>
    <w:rsid w:val="009E25C6"/>
    <w:rsid w:val="009E2745"/>
    <w:rsid w:val="009E29A3"/>
    <w:rsid w:val="009E29F0"/>
    <w:rsid w:val="009E2A67"/>
    <w:rsid w:val="009E2A7E"/>
    <w:rsid w:val="009E2BDB"/>
    <w:rsid w:val="009E2CB0"/>
    <w:rsid w:val="009E2CFA"/>
    <w:rsid w:val="009E2D27"/>
    <w:rsid w:val="009E309D"/>
    <w:rsid w:val="009E3190"/>
    <w:rsid w:val="009E334C"/>
    <w:rsid w:val="009E33AA"/>
    <w:rsid w:val="009E340F"/>
    <w:rsid w:val="009E364F"/>
    <w:rsid w:val="009E3686"/>
    <w:rsid w:val="009E3772"/>
    <w:rsid w:val="009E38EB"/>
    <w:rsid w:val="009E393C"/>
    <w:rsid w:val="009E3962"/>
    <w:rsid w:val="009E3984"/>
    <w:rsid w:val="009E39DB"/>
    <w:rsid w:val="009E3C70"/>
    <w:rsid w:val="009E3CCA"/>
    <w:rsid w:val="009E3D30"/>
    <w:rsid w:val="009E3DBD"/>
    <w:rsid w:val="009E3F9A"/>
    <w:rsid w:val="009E3FC1"/>
    <w:rsid w:val="009E4146"/>
    <w:rsid w:val="009E4292"/>
    <w:rsid w:val="009E42B6"/>
    <w:rsid w:val="009E4507"/>
    <w:rsid w:val="009E452A"/>
    <w:rsid w:val="009E460C"/>
    <w:rsid w:val="009E4619"/>
    <w:rsid w:val="009E4748"/>
    <w:rsid w:val="009E48C2"/>
    <w:rsid w:val="009E4A13"/>
    <w:rsid w:val="009E4A5E"/>
    <w:rsid w:val="009E4AB3"/>
    <w:rsid w:val="009E4EB7"/>
    <w:rsid w:val="009E4EB8"/>
    <w:rsid w:val="009E4FF6"/>
    <w:rsid w:val="009E5318"/>
    <w:rsid w:val="009E5386"/>
    <w:rsid w:val="009E53A1"/>
    <w:rsid w:val="009E53C4"/>
    <w:rsid w:val="009E5486"/>
    <w:rsid w:val="009E54FD"/>
    <w:rsid w:val="009E55A9"/>
    <w:rsid w:val="009E577C"/>
    <w:rsid w:val="009E57F6"/>
    <w:rsid w:val="009E5A14"/>
    <w:rsid w:val="009E5B41"/>
    <w:rsid w:val="009E5CEF"/>
    <w:rsid w:val="009E5D16"/>
    <w:rsid w:val="009E5E0F"/>
    <w:rsid w:val="009E5F10"/>
    <w:rsid w:val="009E6017"/>
    <w:rsid w:val="009E6064"/>
    <w:rsid w:val="009E609E"/>
    <w:rsid w:val="009E60DA"/>
    <w:rsid w:val="009E6193"/>
    <w:rsid w:val="009E64AC"/>
    <w:rsid w:val="009E6542"/>
    <w:rsid w:val="009E6621"/>
    <w:rsid w:val="009E66CA"/>
    <w:rsid w:val="009E679E"/>
    <w:rsid w:val="009E67E7"/>
    <w:rsid w:val="009E69DD"/>
    <w:rsid w:val="009E6A87"/>
    <w:rsid w:val="009E6BAB"/>
    <w:rsid w:val="009E6BAF"/>
    <w:rsid w:val="009E6E66"/>
    <w:rsid w:val="009E6FE1"/>
    <w:rsid w:val="009E70B3"/>
    <w:rsid w:val="009E73C0"/>
    <w:rsid w:val="009E7456"/>
    <w:rsid w:val="009E7469"/>
    <w:rsid w:val="009E74E7"/>
    <w:rsid w:val="009E776A"/>
    <w:rsid w:val="009E7855"/>
    <w:rsid w:val="009E78C6"/>
    <w:rsid w:val="009E7933"/>
    <w:rsid w:val="009E7ACA"/>
    <w:rsid w:val="009E7AD9"/>
    <w:rsid w:val="009E7ADC"/>
    <w:rsid w:val="009E7B19"/>
    <w:rsid w:val="009E7C0A"/>
    <w:rsid w:val="009E7C49"/>
    <w:rsid w:val="009E7C75"/>
    <w:rsid w:val="009E7C8C"/>
    <w:rsid w:val="009E7D94"/>
    <w:rsid w:val="009E7DAE"/>
    <w:rsid w:val="009E7F2D"/>
    <w:rsid w:val="009E7F3F"/>
    <w:rsid w:val="009E7F4E"/>
    <w:rsid w:val="009F0160"/>
    <w:rsid w:val="009F02D6"/>
    <w:rsid w:val="009F02DC"/>
    <w:rsid w:val="009F032D"/>
    <w:rsid w:val="009F0483"/>
    <w:rsid w:val="009F04C8"/>
    <w:rsid w:val="009F06F3"/>
    <w:rsid w:val="009F077F"/>
    <w:rsid w:val="009F07E7"/>
    <w:rsid w:val="009F0992"/>
    <w:rsid w:val="009F0A41"/>
    <w:rsid w:val="009F0B1F"/>
    <w:rsid w:val="009F0B62"/>
    <w:rsid w:val="009F0C93"/>
    <w:rsid w:val="009F0CC3"/>
    <w:rsid w:val="009F0CCF"/>
    <w:rsid w:val="009F0E8E"/>
    <w:rsid w:val="009F0F42"/>
    <w:rsid w:val="009F0F68"/>
    <w:rsid w:val="009F1034"/>
    <w:rsid w:val="009F10D1"/>
    <w:rsid w:val="009F1107"/>
    <w:rsid w:val="009F1140"/>
    <w:rsid w:val="009F1308"/>
    <w:rsid w:val="009F13A4"/>
    <w:rsid w:val="009F148E"/>
    <w:rsid w:val="009F14EC"/>
    <w:rsid w:val="009F1677"/>
    <w:rsid w:val="009F17E9"/>
    <w:rsid w:val="009F19CF"/>
    <w:rsid w:val="009F1A2B"/>
    <w:rsid w:val="009F1A3B"/>
    <w:rsid w:val="009F1B6D"/>
    <w:rsid w:val="009F1CDB"/>
    <w:rsid w:val="009F1D33"/>
    <w:rsid w:val="009F1F28"/>
    <w:rsid w:val="009F1FF6"/>
    <w:rsid w:val="009F202B"/>
    <w:rsid w:val="009F203D"/>
    <w:rsid w:val="009F2377"/>
    <w:rsid w:val="009F25C4"/>
    <w:rsid w:val="009F25C7"/>
    <w:rsid w:val="009F2BB1"/>
    <w:rsid w:val="009F2C12"/>
    <w:rsid w:val="009F2C4D"/>
    <w:rsid w:val="009F2D25"/>
    <w:rsid w:val="009F2DF2"/>
    <w:rsid w:val="009F2EAA"/>
    <w:rsid w:val="009F2ED0"/>
    <w:rsid w:val="009F3022"/>
    <w:rsid w:val="009F309F"/>
    <w:rsid w:val="009F30B4"/>
    <w:rsid w:val="009F310A"/>
    <w:rsid w:val="009F320F"/>
    <w:rsid w:val="009F3238"/>
    <w:rsid w:val="009F325E"/>
    <w:rsid w:val="009F3330"/>
    <w:rsid w:val="009F33DE"/>
    <w:rsid w:val="009F349C"/>
    <w:rsid w:val="009F37BF"/>
    <w:rsid w:val="009F3AC2"/>
    <w:rsid w:val="009F3ACD"/>
    <w:rsid w:val="009F3D59"/>
    <w:rsid w:val="009F4002"/>
    <w:rsid w:val="009F4130"/>
    <w:rsid w:val="009F433B"/>
    <w:rsid w:val="009F43B4"/>
    <w:rsid w:val="009F43E1"/>
    <w:rsid w:val="009F443E"/>
    <w:rsid w:val="009F46A7"/>
    <w:rsid w:val="009F4743"/>
    <w:rsid w:val="009F47B2"/>
    <w:rsid w:val="009F4CDC"/>
    <w:rsid w:val="009F4D83"/>
    <w:rsid w:val="009F4F42"/>
    <w:rsid w:val="009F4FBF"/>
    <w:rsid w:val="009F50F1"/>
    <w:rsid w:val="009F5264"/>
    <w:rsid w:val="009F52A4"/>
    <w:rsid w:val="009F5322"/>
    <w:rsid w:val="009F5493"/>
    <w:rsid w:val="009F54D0"/>
    <w:rsid w:val="009F54EF"/>
    <w:rsid w:val="009F552C"/>
    <w:rsid w:val="009F5602"/>
    <w:rsid w:val="009F5797"/>
    <w:rsid w:val="009F5842"/>
    <w:rsid w:val="009F58E7"/>
    <w:rsid w:val="009F591D"/>
    <w:rsid w:val="009F595B"/>
    <w:rsid w:val="009F5972"/>
    <w:rsid w:val="009F5999"/>
    <w:rsid w:val="009F5B81"/>
    <w:rsid w:val="009F5CE4"/>
    <w:rsid w:val="009F5DCB"/>
    <w:rsid w:val="009F5E4F"/>
    <w:rsid w:val="009F62A8"/>
    <w:rsid w:val="009F62B2"/>
    <w:rsid w:val="009F62B9"/>
    <w:rsid w:val="009F637B"/>
    <w:rsid w:val="009F63F4"/>
    <w:rsid w:val="009F6699"/>
    <w:rsid w:val="009F68A2"/>
    <w:rsid w:val="009F68A4"/>
    <w:rsid w:val="009F68A8"/>
    <w:rsid w:val="009F68D1"/>
    <w:rsid w:val="009F69FE"/>
    <w:rsid w:val="009F6A10"/>
    <w:rsid w:val="009F6B9F"/>
    <w:rsid w:val="009F6BEF"/>
    <w:rsid w:val="009F6C5A"/>
    <w:rsid w:val="009F6D91"/>
    <w:rsid w:val="009F6E30"/>
    <w:rsid w:val="009F6FE4"/>
    <w:rsid w:val="009F7014"/>
    <w:rsid w:val="009F7016"/>
    <w:rsid w:val="009F702A"/>
    <w:rsid w:val="009F7058"/>
    <w:rsid w:val="009F709F"/>
    <w:rsid w:val="009F70F8"/>
    <w:rsid w:val="009F71AB"/>
    <w:rsid w:val="009F7244"/>
    <w:rsid w:val="009F7256"/>
    <w:rsid w:val="009F72BA"/>
    <w:rsid w:val="009F72CD"/>
    <w:rsid w:val="009F7324"/>
    <w:rsid w:val="009F73A2"/>
    <w:rsid w:val="009F74C5"/>
    <w:rsid w:val="009F757F"/>
    <w:rsid w:val="009F772D"/>
    <w:rsid w:val="009F77BA"/>
    <w:rsid w:val="009F7877"/>
    <w:rsid w:val="009F795D"/>
    <w:rsid w:val="009F79AD"/>
    <w:rsid w:val="009F79C9"/>
    <w:rsid w:val="009F7D2C"/>
    <w:rsid w:val="009F7D46"/>
    <w:rsid w:val="009F7D8C"/>
    <w:rsid w:val="009F7F27"/>
    <w:rsid w:val="00A000D1"/>
    <w:rsid w:val="00A002A9"/>
    <w:rsid w:val="00A00494"/>
    <w:rsid w:val="00A004C7"/>
    <w:rsid w:val="00A0052C"/>
    <w:rsid w:val="00A0054D"/>
    <w:rsid w:val="00A0057C"/>
    <w:rsid w:val="00A005A5"/>
    <w:rsid w:val="00A00721"/>
    <w:rsid w:val="00A0076D"/>
    <w:rsid w:val="00A0079C"/>
    <w:rsid w:val="00A007FF"/>
    <w:rsid w:val="00A00A8B"/>
    <w:rsid w:val="00A00ACB"/>
    <w:rsid w:val="00A00C8A"/>
    <w:rsid w:val="00A00E0E"/>
    <w:rsid w:val="00A00F72"/>
    <w:rsid w:val="00A010EF"/>
    <w:rsid w:val="00A0112A"/>
    <w:rsid w:val="00A01145"/>
    <w:rsid w:val="00A011D6"/>
    <w:rsid w:val="00A01264"/>
    <w:rsid w:val="00A012A7"/>
    <w:rsid w:val="00A01397"/>
    <w:rsid w:val="00A01567"/>
    <w:rsid w:val="00A01AC7"/>
    <w:rsid w:val="00A01C7B"/>
    <w:rsid w:val="00A01CFF"/>
    <w:rsid w:val="00A01F50"/>
    <w:rsid w:val="00A0219D"/>
    <w:rsid w:val="00A021A5"/>
    <w:rsid w:val="00A02377"/>
    <w:rsid w:val="00A02432"/>
    <w:rsid w:val="00A0247C"/>
    <w:rsid w:val="00A024CE"/>
    <w:rsid w:val="00A025A4"/>
    <w:rsid w:val="00A025FA"/>
    <w:rsid w:val="00A025FE"/>
    <w:rsid w:val="00A0268D"/>
    <w:rsid w:val="00A026C5"/>
    <w:rsid w:val="00A02711"/>
    <w:rsid w:val="00A02752"/>
    <w:rsid w:val="00A027ED"/>
    <w:rsid w:val="00A02888"/>
    <w:rsid w:val="00A0298B"/>
    <w:rsid w:val="00A02A5C"/>
    <w:rsid w:val="00A02B07"/>
    <w:rsid w:val="00A02B2B"/>
    <w:rsid w:val="00A02B73"/>
    <w:rsid w:val="00A02CE4"/>
    <w:rsid w:val="00A02E19"/>
    <w:rsid w:val="00A02E2E"/>
    <w:rsid w:val="00A02F20"/>
    <w:rsid w:val="00A03240"/>
    <w:rsid w:val="00A03244"/>
    <w:rsid w:val="00A033B3"/>
    <w:rsid w:val="00A033F0"/>
    <w:rsid w:val="00A03835"/>
    <w:rsid w:val="00A038E4"/>
    <w:rsid w:val="00A03A22"/>
    <w:rsid w:val="00A03B84"/>
    <w:rsid w:val="00A03BE4"/>
    <w:rsid w:val="00A03C2A"/>
    <w:rsid w:val="00A03C67"/>
    <w:rsid w:val="00A03E43"/>
    <w:rsid w:val="00A040AF"/>
    <w:rsid w:val="00A040DF"/>
    <w:rsid w:val="00A04535"/>
    <w:rsid w:val="00A0458D"/>
    <w:rsid w:val="00A0471F"/>
    <w:rsid w:val="00A047BD"/>
    <w:rsid w:val="00A04849"/>
    <w:rsid w:val="00A048C4"/>
    <w:rsid w:val="00A04A6B"/>
    <w:rsid w:val="00A04A7E"/>
    <w:rsid w:val="00A04AC9"/>
    <w:rsid w:val="00A04B10"/>
    <w:rsid w:val="00A04B5E"/>
    <w:rsid w:val="00A04B98"/>
    <w:rsid w:val="00A05054"/>
    <w:rsid w:val="00A050D3"/>
    <w:rsid w:val="00A05189"/>
    <w:rsid w:val="00A0527D"/>
    <w:rsid w:val="00A054D9"/>
    <w:rsid w:val="00A055A3"/>
    <w:rsid w:val="00A055DF"/>
    <w:rsid w:val="00A0561D"/>
    <w:rsid w:val="00A0570B"/>
    <w:rsid w:val="00A05744"/>
    <w:rsid w:val="00A05751"/>
    <w:rsid w:val="00A057F5"/>
    <w:rsid w:val="00A0598B"/>
    <w:rsid w:val="00A059A9"/>
    <w:rsid w:val="00A05B00"/>
    <w:rsid w:val="00A05CC3"/>
    <w:rsid w:val="00A05CC9"/>
    <w:rsid w:val="00A05CDD"/>
    <w:rsid w:val="00A05CE3"/>
    <w:rsid w:val="00A05E16"/>
    <w:rsid w:val="00A05F7E"/>
    <w:rsid w:val="00A060E0"/>
    <w:rsid w:val="00A0617F"/>
    <w:rsid w:val="00A06214"/>
    <w:rsid w:val="00A06225"/>
    <w:rsid w:val="00A0625F"/>
    <w:rsid w:val="00A0647B"/>
    <w:rsid w:val="00A06540"/>
    <w:rsid w:val="00A06728"/>
    <w:rsid w:val="00A06915"/>
    <w:rsid w:val="00A06920"/>
    <w:rsid w:val="00A069A5"/>
    <w:rsid w:val="00A069D8"/>
    <w:rsid w:val="00A06AB8"/>
    <w:rsid w:val="00A06B93"/>
    <w:rsid w:val="00A06C52"/>
    <w:rsid w:val="00A06C9F"/>
    <w:rsid w:val="00A06CB0"/>
    <w:rsid w:val="00A070C2"/>
    <w:rsid w:val="00A07106"/>
    <w:rsid w:val="00A071C2"/>
    <w:rsid w:val="00A071D0"/>
    <w:rsid w:val="00A0728D"/>
    <w:rsid w:val="00A07584"/>
    <w:rsid w:val="00A07726"/>
    <w:rsid w:val="00A0773E"/>
    <w:rsid w:val="00A077A4"/>
    <w:rsid w:val="00A07931"/>
    <w:rsid w:val="00A07A21"/>
    <w:rsid w:val="00A07A99"/>
    <w:rsid w:val="00A07BC9"/>
    <w:rsid w:val="00A07C7E"/>
    <w:rsid w:val="00A07CB4"/>
    <w:rsid w:val="00A07D15"/>
    <w:rsid w:val="00A07F21"/>
    <w:rsid w:val="00A07F2C"/>
    <w:rsid w:val="00A07FA9"/>
    <w:rsid w:val="00A07FB9"/>
    <w:rsid w:val="00A07FCA"/>
    <w:rsid w:val="00A10252"/>
    <w:rsid w:val="00A1025E"/>
    <w:rsid w:val="00A10266"/>
    <w:rsid w:val="00A1034C"/>
    <w:rsid w:val="00A1034D"/>
    <w:rsid w:val="00A10392"/>
    <w:rsid w:val="00A1047D"/>
    <w:rsid w:val="00A105F5"/>
    <w:rsid w:val="00A10691"/>
    <w:rsid w:val="00A107C2"/>
    <w:rsid w:val="00A10877"/>
    <w:rsid w:val="00A109E7"/>
    <w:rsid w:val="00A10A88"/>
    <w:rsid w:val="00A10B00"/>
    <w:rsid w:val="00A10B0B"/>
    <w:rsid w:val="00A10B3C"/>
    <w:rsid w:val="00A10B90"/>
    <w:rsid w:val="00A10BD5"/>
    <w:rsid w:val="00A10C42"/>
    <w:rsid w:val="00A10CE7"/>
    <w:rsid w:val="00A10D84"/>
    <w:rsid w:val="00A10EF4"/>
    <w:rsid w:val="00A1116D"/>
    <w:rsid w:val="00A111D9"/>
    <w:rsid w:val="00A1147A"/>
    <w:rsid w:val="00A1150E"/>
    <w:rsid w:val="00A11545"/>
    <w:rsid w:val="00A11636"/>
    <w:rsid w:val="00A11644"/>
    <w:rsid w:val="00A11767"/>
    <w:rsid w:val="00A117AE"/>
    <w:rsid w:val="00A11960"/>
    <w:rsid w:val="00A11AE2"/>
    <w:rsid w:val="00A11BC4"/>
    <w:rsid w:val="00A11CD9"/>
    <w:rsid w:val="00A11D42"/>
    <w:rsid w:val="00A11F2F"/>
    <w:rsid w:val="00A11F36"/>
    <w:rsid w:val="00A12250"/>
    <w:rsid w:val="00A1226D"/>
    <w:rsid w:val="00A122C0"/>
    <w:rsid w:val="00A122FB"/>
    <w:rsid w:val="00A1271F"/>
    <w:rsid w:val="00A12766"/>
    <w:rsid w:val="00A12927"/>
    <w:rsid w:val="00A129B2"/>
    <w:rsid w:val="00A12D0D"/>
    <w:rsid w:val="00A12D0E"/>
    <w:rsid w:val="00A13097"/>
    <w:rsid w:val="00A1318B"/>
    <w:rsid w:val="00A1324E"/>
    <w:rsid w:val="00A133D7"/>
    <w:rsid w:val="00A134D9"/>
    <w:rsid w:val="00A134FA"/>
    <w:rsid w:val="00A1350E"/>
    <w:rsid w:val="00A135B6"/>
    <w:rsid w:val="00A1368F"/>
    <w:rsid w:val="00A13AAC"/>
    <w:rsid w:val="00A13D25"/>
    <w:rsid w:val="00A13DE1"/>
    <w:rsid w:val="00A13F22"/>
    <w:rsid w:val="00A140B1"/>
    <w:rsid w:val="00A140D6"/>
    <w:rsid w:val="00A141C0"/>
    <w:rsid w:val="00A143F5"/>
    <w:rsid w:val="00A14486"/>
    <w:rsid w:val="00A144A1"/>
    <w:rsid w:val="00A14626"/>
    <w:rsid w:val="00A146CC"/>
    <w:rsid w:val="00A14822"/>
    <w:rsid w:val="00A14842"/>
    <w:rsid w:val="00A148E0"/>
    <w:rsid w:val="00A14AB7"/>
    <w:rsid w:val="00A14B2E"/>
    <w:rsid w:val="00A14B74"/>
    <w:rsid w:val="00A14DB4"/>
    <w:rsid w:val="00A14DBC"/>
    <w:rsid w:val="00A14E52"/>
    <w:rsid w:val="00A14ED5"/>
    <w:rsid w:val="00A15148"/>
    <w:rsid w:val="00A15302"/>
    <w:rsid w:val="00A153CA"/>
    <w:rsid w:val="00A15446"/>
    <w:rsid w:val="00A1550A"/>
    <w:rsid w:val="00A155DD"/>
    <w:rsid w:val="00A156DF"/>
    <w:rsid w:val="00A156F9"/>
    <w:rsid w:val="00A15723"/>
    <w:rsid w:val="00A15737"/>
    <w:rsid w:val="00A158A3"/>
    <w:rsid w:val="00A159AC"/>
    <w:rsid w:val="00A15ACC"/>
    <w:rsid w:val="00A15B5E"/>
    <w:rsid w:val="00A15BF7"/>
    <w:rsid w:val="00A15CCF"/>
    <w:rsid w:val="00A16035"/>
    <w:rsid w:val="00A160DB"/>
    <w:rsid w:val="00A16208"/>
    <w:rsid w:val="00A16220"/>
    <w:rsid w:val="00A1638A"/>
    <w:rsid w:val="00A16393"/>
    <w:rsid w:val="00A163FB"/>
    <w:rsid w:val="00A16464"/>
    <w:rsid w:val="00A16548"/>
    <w:rsid w:val="00A1654A"/>
    <w:rsid w:val="00A1663C"/>
    <w:rsid w:val="00A1665B"/>
    <w:rsid w:val="00A168D3"/>
    <w:rsid w:val="00A16972"/>
    <w:rsid w:val="00A16AE1"/>
    <w:rsid w:val="00A16B4B"/>
    <w:rsid w:val="00A16C81"/>
    <w:rsid w:val="00A16CF9"/>
    <w:rsid w:val="00A16D0C"/>
    <w:rsid w:val="00A16E7F"/>
    <w:rsid w:val="00A171B9"/>
    <w:rsid w:val="00A172A6"/>
    <w:rsid w:val="00A172DB"/>
    <w:rsid w:val="00A17329"/>
    <w:rsid w:val="00A17355"/>
    <w:rsid w:val="00A173D7"/>
    <w:rsid w:val="00A1743A"/>
    <w:rsid w:val="00A17544"/>
    <w:rsid w:val="00A17586"/>
    <w:rsid w:val="00A176AC"/>
    <w:rsid w:val="00A176F3"/>
    <w:rsid w:val="00A17778"/>
    <w:rsid w:val="00A17814"/>
    <w:rsid w:val="00A17850"/>
    <w:rsid w:val="00A1788D"/>
    <w:rsid w:val="00A17905"/>
    <w:rsid w:val="00A179CA"/>
    <w:rsid w:val="00A17A26"/>
    <w:rsid w:val="00A17A38"/>
    <w:rsid w:val="00A17A4C"/>
    <w:rsid w:val="00A17B5D"/>
    <w:rsid w:val="00A17B8C"/>
    <w:rsid w:val="00A17DDF"/>
    <w:rsid w:val="00A17E39"/>
    <w:rsid w:val="00A17E49"/>
    <w:rsid w:val="00A17F81"/>
    <w:rsid w:val="00A2010D"/>
    <w:rsid w:val="00A201D8"/>
    <w:rsid w:val="00A202C2"/>
    <w:rsid w:val="00A20372"/>
    <w:rsid w:val="00A205F7"/>
    <w:rsid w:val="00A20619"/>
    <w:rsid w:val="00A2064D"/>
    <w:rsid w:val="00A207C0"/>
    <w:rsid w:val="00A20B84"/>
    <w:rsid w:val="00A20C21"/>
    <w:rsid w:val="00A20FCA"/>
    <w:rsid w:val="00A211EB"/>
    <w:rsid w:val="00A2128B"/>
    <w:rsid w:val="00A212FA"/>
    <w:rsid w:val="00A213C8"/>
    <w:rsid w:val="00A213FD"/>
    <w:rsid w:val="00A2168D"/>
    <w:rsid w:val="00A217B8"/>
    <w:rsid w:val="00A217CB"/>
    <w:rsid w:val="00A2187E"/>
    <w:rsid w:val="00A218C6"/>
    <w:rsid w:val="00A218D9"/>
    <w:rsid w:val="00A2194C"/>
    <w:rsid w:val="00A21976"/>
    <w:rsid w:val="00A21A2A"/>
    <w:rsid w:val="00A21A85"/>
    <w:rsid w:val="00A21AED"/>
    <w:rsid w:val="00A21BE8"/>
    <w:rsid w:val="00A21CFD"/>
    <w:rsid w:val="00A21D49"/>
    <w:rsid w:val="00A21D52"/>
    <w:rsid w:val="00A21F04"/>
    <w:rsid w:val="00A21FE1"/>
    <w:rsid w:val="00A2239E"/>
    <w:rsid w:val="00A22417"/>
    <w:rsid w:val="00A22473"/>
    <w:rsid w:val="00A22592"/>
    <w:rsid w:val="00A22619"/>
    <w:rsid w:val="00A228F1"/>
    <w:rsid w:val="00A22927"/>
    <w:rsid w:val="00A229FA"/>
    <w:rsid w:val="00A22A1D"/>
    <w:rsid w:val="00A22AE7"/>
    <w:rsid w:val="00A22C88"/>
    <w:rsid w:val="00A22CF2"/>
    <w:rsid w:val="00A22D54"/>
    <w:rsid w:val="00A22DEE"/>
    <w:rsid w:val="00A22EC9"/>
    <w:rsid w:val="00A22F36"/>
    <w:rsid w:val="00A22F69"/>
    <w:rsid w:val="00A22F99"/>
    <w:rsid w:val="00A23272"/>
    <w:rsid w:val="00A23392"/>
    <w:rsid w:val="00A2368E"/>
    <w:rsid w:val="00A236DB"/>
    <w:rsid w:val="00A23793"/>
    <w:rsid w:val="00A237F2"/>
    <w:rsid w:val="00A23BE5"/>
    <w:rsid w:val="00A23BE9"/>
    <w:rsid w:val="00A23D28"/>
    <w:rsid w:val="00A23DD5"/>
    <w:rsid w:val="00A23E1B"/>
    <w:rsid w:val="00A23E64"/>
    <w:rsid w:val="00A23E80"/>
    <w:rsid w:val="00A23E8B"/>
    <w:rsid w:val="00A23EF5"/>
    <w:rsid w:val="00A23FD1"/>
    <w:rsid w:val="00A24132"/>
    <w:rsid w:val="00A2416F"/>
    <w:rsid w:val="00A241E0"/>
    <w:rsid w:val="00A2428D"/>
    <w:rsid w:val="00A244D1"/>
    <w:rsid w:val="00A2454B"/>
    <w:rsid w:val="00A245F6"/>
    <w:rsid w:val="00A245FA"/>
    <w:rsid w:val="00A2476E"/>
    <w:rsid w:val="00A2486D"/>
    <w:rsid w:val="00A24A30"/>
    <w:rsid w:val="00A24B19"/>
    <w:rsid w:val="00A24B30"/>
    <w:rsid w:val="00A24B71"/>
    <w:rsid w:val="00A24CDA"/>
    <w:rsid w:val="00A24D02"/>
    <w:rsid w:val="00A24D9F"/>
    <w:rsid w:val="00A24DBE"/>
    <w:rsid w:val="00A24EB7"/>
    <w:rsid w:val="00A24F0F"/>
    <w:rsid w:val="00A24FD8"/>
    <w:rsid w:val="00A25034"/>
    <w:rsid w:val="00A2509D"/>
    <w:rsid w:val="00A2522F"/>
    <w:rsid w:val="00A25233"/>
    <w:rsid w:val="00A25381"/>
    <w:rsid w:val="00A256F2"/>
    <w:rsid w:val="00A257D7"/>
    <w:rsid w:val="00A257EC"/>
    <w:rsid w:val="00A257FA"/>
    <w:rsid w:val="00A258AC"/>
    <w:rsid w:val="00A25C8C"/>
    <w:rsid w:val="00A25CA1"/>
    <w:rsid w:val="00A25D27"/>
    <w:rsid w:val="00A25D61"/>
    <w:rsid w:val="00A25D69"/>
    <w:rsid w:val="00A25E06"/>
    <w:rsid w:val="00A25E55"/>
    <w:rsid w:val="00A262E3"/>
    <w:rsid w:val="00A264AF"/>
    <w:rsid w:val="00A2678E"/>
    <w:rsid w:val="00A26B05"/>
    <w:rsid w:val="00A26B8E"/>
    <w:rsid w:val="00A26CD1"/>
    <w:rsid w:val="00A26DDA"/>
    <w:rsid w:val="00A27030"/>
    <w:rsid w:val="00A2708F"/>
    <w:rsid w:val="00A271AA"/>
    <w:rsid w:val="00A273C3"/>
    <w:rsid w:val="00A273DA"/>
    <w:rsid w:val="00A2748D"/>
    <w:rsid w:val="00A275D7"/>
    <w:rsid w:val="00A2761E"/>
    <w:rsid w:val="00A27A5C"/>
    <w:rsid w:val="00A27A85"/>
    <w:rsid w:val="00A27BEB"/>
    <w:rsid w:val="00A27D46"/>
    <w:rsid w:val="00A27EE1"/>
    <w:rsid w:val="00A30168"/>
    <w:rsid w:val="00A301A1"/>
    <w:rsid w:val="00A3021A"/>
    <w:rsid w:val="00A30305"/>
    <w:rsid w:val="00A30402"/>
    <w:rsid w:val="00A304A5"/>
    <w:rsid w:val="00A304D0"/>
    <w:rsid w:val="00A30634"/>
    <w:rsid w:val="00A3073A"/>
    <w:rsid w:val="00A30753"/>
    <w:rsid w:val="00A30759"/>
    <w:rsid w:val="00A30783"/>
    <w:rsid w:val="00A308A0"/>
    <w:rsid w:val="00A30952"/>
    <w:rsid w:val="00A30BFF"/>
    <w:rsid w:val="00A30EDA"/>
    <w:rsid w:val="00A31044"/>
    <w:rsid w:val="00A31072"/>
    <w:rsid w:val="00A31134"/>
    <w:rsid w:val="00A31159"/>
    <w:rsid w:val="00A3115D"/>
    <w:rsid w:val="00A3120C"/>
    <w:rsid w:val="00A31445"/>
    <w:rsid w:val="00A3146E"/>
    <w:rsid w:val="00A314B6"/>
    <w:rsid w:val="00A31681"/>
    <w:rsid w:val="00A3174A"/>
    <w:rsid w:val="00A31854"/>
    <w:rsid w:val="00A319A4"/>
    <w:rsid w:val="00A31B97"/>
    <w:rsid w:val="00A31D4B"/>
    <w:rsid w:val="00A31D96"/>
    <w:rsid w:val="00A31E05"/>
    <w:rsid w:val="00A31E86"/>
    <w:rsid w:val="00A31E99"/>
    <w:rsid w:val="00A31F8C"/>
    <w:rsid w:val="00A31FA0"/>
    <w:rsid w:val="00A32002"/>
    <w:rsid w:val="00A3205F"/>
    <w:rsid w:val="00A32214"/>
    <w:rsid w:val="00A32294"/>
    <w:rsid w:val="00A3252B"/>
    <w:rsid w:val="00A32609"/>
    <w:rsid w:val="00A326A4"/>
    <w:rsid w:val="00A32750"/>
    <w:rsid w:val="00A3295E"/>
    <w:rsid w:val="00A32A7A"/>
    <w:rsid w:val="00A32A97"/>
    <w:rsid w:val="00A32BEF"/>
    <w:rsid w:val="00A32C04"/>
    <w:rsid w:val="00A32D12"/>
    <w:rsid w:val="00A32E66"/>
    <w:rsid w:val="00A330F7"/>
    <w:rsid w:val="00A33172"/>
    <w:rsid w:val="00A33233"/>
    <w:rsid w:val="00A3333A"/>
    <w:rsid w:val="00A3333C"/>
    <w:rsid w:val="00A33515"/>
    <w:rsid w:val="00A33636"/>
    <w:rsid w:val="00A336EA"/>
    <w:rsid w:val="00A337AA"/>
    <w:rsid w:val="00A3382E"/>
    <w:rsid w:val="00A33851"/>
    <w:rsid w:val="00A338D5"/>
    <w:rsid w:val="00A33930"/>
    <w:rsid w:val="00A33B5C"/>
    <w:rsid w:val="00A33BDF"/>
    <w:rsid w:val="00A33C47"/>
    <w:rsid w:val="00A33D4D"/>
    <w:rsid w:val="00A33D58"/>
    <w:rsid w:val="00A33E0B"/>
    <w:rsid w:val="00A33FF4"/>
    <w:rsid w:val="00A34180"/>
    <w:rsid w:val="00A34762"/>
    <w:rsid w:val="00A348A4"/>
    <w:rsid w:val="00A348E2"/>
    <w:rsid w:val="00A34A35"/>
    <w:rsid w:val="00A34A89"/>
    <w:rsid w:val="00A34B8F"/>
    <w:rsid w:val="00A34C5F"/>
    <w:rsid w:val="00A34D58"/>
    <w:rsid w:val="00A34D64"/>
    <w:rsid w:val="00A34F28"/>
    <w:rsid w:val="00A34FAD"/>
    <w:rsid w:val="00A3533F"/>
    <w:rsid w:val="00A35398"/>
    <w:rsid w:val="00A353F0"/>
    <w:rsid w:val="00A3540C"/>
    <w:rsid w:val="00A356AD"/>
    <w:rsid w:val="00A35756"/>
    <w:rsid w:val="00A358AB"/>
    <w:rsid w:val="00A35ACD"/>
    <w:rsid w:val="00A35B00"/>
    <w:rsid w:val="00A35B82"/>
    <w:rsid w:val="00A35BAD"/>
    <w:rsid w:val="00A35D1E"/>
    <w:rsid w:val="00A35FED"/>
    <w:rsid w:val="00A36011"/>
    <w:rsid w:val="00A36043"/>
    <w:rsid w:val="00A360C8"/>
    <w:rsid w:val="00A3625A"/>
    <w:rsid w:val="00A364AC"/>
    <w:rsid w:val="00A364FA"/>
    <w:rsid w:val="00A3652D"/>
    <w:rsid w:val="00A3654A"/>
    <w:rsid w:val="00A36610"/>
    <w:rsid w:val="00A366B5"/>
    <w:rsid w:val="00A3678A"/>
    <w:rsid w:val="00A369FA"/>
    <w:rsid w:val="00A36B71"/>
    <w:rsid w:val="00A36CE9"/>
    <w:rsid w:val="00A36D0B"/>
    <w:rsid w:val="00A36DAA"/>
    <w:rsid w:val="00A36FCD"/>
    <w:rsid w:val="00A37069"/>
    <w:rsid w:val="00A37075"/>
    <w:rsid w:val="00A3708E"/>
    <w:rsid w:val="00A373C6"/>
    <w:rsid w:val="00A373EA"/>
    <w:rsid w:val="00A3743A"/>
    <w:rsid w:val="00A37473"/>
    <w:rsid w:val="00A374FB"/>
    <w:rsid w:val="00A37515"/>
    <w:rsid w:val="00A3752F"/>
    <w:rsid w:val="00A375E3"/>
    <w:rsid w:val="00A37634"/>
    <w:rsid w:val="00A376C2"/>
    <w:rsid w:val="00A3772A"/>
    <w:rsid w:val="00A377FA"/>
    <w:rsid w:val="00A3791F"/>
    <w:rsid w:val="00A379CF"/>
    <w:rsid w:val="00A37A51"/>
    <w:rsid w:val="00A37B0C"/>
    <w:rsid w:val="00A37B31"/>
    <w:rsid w:val="00A37C8A"/>
    <w:rsid w:val="00A37CE9"/>
    <w:rsid w:val="00A37F06"/>
    <w:rsid w:val="00A37FEF"/>
    <w:rsid w:val="00A400AE"/>
    <w:rsid w:val="00A4015C"/>
    <w:rsid w:val="00A401D7"/>
    <w:rsid w:val="00A40274"/>
    <w:rsid w:val="00A40300"/>
    <w:rsid w:val="00A405C7"/>
    <w:rsid w:val="00A40645"/>
    <w:rsid w:val="00A406F7"/>
    <w:rsid w:val="00A408AE"/>
    <w:rsid w:val="00A40948"/>
    <w:rsid w:val="00A40AD7"/>
    <w:rsid w:val="00A40CB2"/>
    <w:rsid w:val="00A40DAB"/>
    <w:rsid w:val="00A40E4A"/>
    <w:rsid w:val="00A40EC7"/>
    <w:rsid w:val="00A40F7F"/>
    <w:rsid w:val="00A4102D"/>
    <w:rsid w:val="00A41245"/>
    <w:rsid w:val="00A412DB"/>
    <w:rsid w:val="00A412FA"/>
    <w:rsid w:val="00A413C4"/>
    <w:rsid w:val="00A41496"/>
    <w:rsid w:val="00A41563"/>
    <w:rsid w:val="00A41620"/>
    <w:rsid w:val="00A41639"/>
    <w:rsid w:val="00A416BA"/>
    <w:rsid w:val="00A416C1"/>
    <w:rsid w:val="00A416EA"/>
    <w:rsid w:val="00A4179B"/>
    <w:rsid w:val="00A419FC"/>
    <w:rsid w:val="00A41A32"/>
    <w:rsid w:val="00A41C74"/>
    <w:rsid w:val="00A41CED"/>
    <w:rsid w:val="00A41E0D"/>
    <w:rsid w:val="00A41EB7"/>
    <w:rsid w:val="00A41F04"/>
    <w:rsid w:val="00A41FDE"/>
    <w:rsid w:val="00A4208D"/>
    <w:rsid w:val="00A421B0"/>
    <w:rsid w:val="00A42271"/>
    <w:rsid w:val="00A42363"/>
    <w:rsid w:val="00A42384"/>
    <w:rsid w:val="00A42578"/>
    <w:rsid w:val="00A42635"/>
    <w:rsid w:val="00A42757"/>
    <w:rsid w:val="00A428CC"/>
    <w:rsid w:val="00A42AA6"/>
    <w:rsid w:val="00A42AC2"/>
    <w:rsid w:val="00A42AEE"/>
    <w:rsid w:val="00A42BFF"/>
    <w:rsid w:val="00A42EB3"/>
    <w:rsid w:val="00A42F07"/>
    <w:rsid w:val="00A42FA3"/>
    <w:rsid w:val="00A430E0"/>
    <w:rsid w:val="00A43294"/>
    <w:rsid w:val="00A43368"/>
    <w:rsid w:val="00A43393"/>
    <w:rsid w:val="00A43523"/>
    <w:rsid w:val="00A43593"/>
    <w:rsid w:val="00A4369E"/>
    <w:rsid w:val="00A436C8"/>
    <w:rsid w:val="00A436DD"/>
    <w:rsid w:val="00A436F8"/>
    <w:rsid w:val="00A43719"/>
    <w:rsid w:val="00A437A8"/>
    <w:rsid w:val="00A43A85"/>
    <w:rsid w:val="00A43C2E"/>
    <w:rsid w:val="00A43D7B"/>
    <w:rsid w:val="00A43E21"/>
    <w:rsid w:val="00A43E8A"/>
    <w:rsid w:val="00A43F3B"/>
    <w:rsid w:val="00A442D1"/>
    <w:rsid w:val="00A4445F"/>
    <w:rsid w:val="00A444CF"/>
    <w:rsid w:val="00A44891"/>
    <w:rsid w:val="00A4491A"/>
    <w:rsid w:val="00A4499F"/>
    <w:rsid w:val="00A449BE"/>
    <w:rsid w:val="00A44A15"/>
    <w:rsid w:val="00A44ACB"/>
    <w:rsid w:val="00A44B4D"/>
    <w:rsid w:val="00A44D53"/>
    <w:rsid w:val="00A44F82"/>
    <w:rsid w:val="00A44FC9"/>
    <w:rsid w:val="00A452B9"/>
    <w:rsid w:val="00A45443"/>
    <w:rsid w:val="00A45457"/>
    <w:rsid w:val="00A45559"/>
    <w:rsid w:val="00A455CC"/>
    <w:rsid w:val="00A45790"/>
    <w:rsid w:val="00A458B5"/>
    <w:rsid w:val="00A45968"/>
    <w:rsid w:val="00A45BFB"/>
    <w:rsid w:val="00A45DAA"/>
    <w:rsid w:val="00A45F29"/>
    <w:rsid w:val="00A4607A"/>
    <w:rsid w:val="00A46246"/>
    <w:rsid w:val="00A4624D"/>
    <w:rsid w:val="00A46604"/>
    <w:rsid w:val="00A46679"/>
    <w:rsid w:val="00A46D61"/>
    <w:rsid w:val="00A46D99"/>
    <w:rsid w:val="00A46E9C"/>
    <w:rsid w:val="00A47252"/>
    <w:rsid w:val="00A4766D"/>
    <w:rsid w:val="00A47766"/>
    <w:rsid w:val="00A4777B"/>
    <w:rsid w:val="00A47800"/>
    <w:rsid w:val="00A479A1"/>
    <w:rsid w:val="00A47A7C"/>
    <w:rsid w:val="00A47DC5"/>
    <w:rsid w:val="00A47DE4"/>
    <w:rsid w:val="00A47FF0"/>
    <w:rsid w:val="00A500E9"/>
    <w:rsid w:val="00A50495"/>
    <w:rsid w:val="00A5059E"/>
    <w:rsid w:val="00A505D5"/>
    <w:rsid w:val="00A505DC"/>
    <w:rsid w:val="00A50655"/>
    <w:rsid w:val="00A508FF"/>
    <w:rsid w:val="00A50DBC"/>
    <w:rsid w:val="00A50E20"/>
    <w:rsid w:val="00A50E3C"/>
    <w:rsid w:val="00A51019"/>
    <w:rsid w:val="00A51173"/>
    <w:rsid w:val="00A513A3"/>
    <w:rsid w:val="00A513D3"/>
    <w:rsid w:val="00A51463"/>
    <w:rsid w:val="00A516FF"/>
    <w:rsid w:val="00A51813"/>
    <w:rsid w:val="00A51999"/>
    <w:rsid w:val="00A51AB6"/>
    <w:rsid w:val="00A51AE6"/>
    <w:rsid w:val="00A51AEC"/>
    <w:rsid w:val="00A51B75"/>
    <w:rsid w:val="00A51CE7"/>
    <w:rsid w:val="00A51D40"/>
    <w:rsid w:val="00A520C9"/>
    <w:rsid w:val="00A52149"/>
    <w:rsid w:val="00A52557"/>
    <w:rsid w:val="00A526D1"/>
    <w:rsid w:val="00A526E4"/>
    <w:rsid w:val="00A5280E"/>
    <w:rsid w:val="00A52891"/>
    <w:rsid w:val="00A52A12"/>
    <w:rsid w:val="00A52C2F"/>
    <w:rsid w:val="00A52CAF"/>
    <w:rsid w:val="00A52CB4"/>
    <w:rsid w:val="00A52CEB"/>
    <w:rsid w:val="00A52E6A"/>
    <w:rsid w:val="00A52E72"/>
    <w:rsid w:val="00A52F7F"/>
    <w:rsid w:val="00A5303B"/>
    <w:rsid w:val="00A53044"/>
    <w:rsid w:val="00A53051"/>
    <w:rsid w:val="00A5306D"/>
    <w:rsid w:val="00A5306E"/>
    <w:rsid w:val="00A53110"/>
    <w:rsid w:val="00A5311E"/>
    <w:rsid w:val="00A53192"/>
    <w:rsid w:val="00A5321B"/>
    <w:rsid w:val="00A53247"/>
    <w:rsid w:val="00A53299"/>
    <w:rsid w:val="00A5346A"/>
    <w:rsid w:val="00A53480"/>
    <w:rsid w:val="00A53485"/>
    <w:rsid w:val="00A5357B"/>
    <w:rsid w:val="00A53607"/>
    <w:rsid w:val="00A536FA"/>
    <w:rsid w:val="00A53854"/>
    <w:rsid w:val="00A538B7"/>
    <w:rsid w:val="00A53AC0"/>
    <w:rsid w:val="00A53B85"/>
    <w:rsid w:val="00A53CA8"/>
    <w:rsid w:val="00A53CC4"/>
    <w:rsid w:val="00A53E72"/>
    <w:rsid w:val="00A53EAF"/>
    <w:rsid w:val="00A54068"/>
    <w:rsid w:val="00A540E1"/>
    <w:rsid w:val="00A54260"/>
    <w:rsid w:val="00A542AC"/>
    <w:rsid w:val="00A542F9"/>
    <w:rsid w:val="00A54493"/>
    <w:rsid w:val="00A544FC"/>
    <w:rsid w:val="00A545CE"/>
    <w:rsid w:val="00A54608"/>
    <w:rsid w:val="00A54639"/>
    <w:rsid w:val="00A54845"/>
    <w:rsid w:val="00A54851"/>
    <w:rsid w:val="00A54928"/>
    <w:rsid w:val="00A54935"/>
    <w:rsid w:val="00A549F8"/>
    <w:rsid w:val="00A54C07"/>
    <w:rsid w:val="00A54CBD"/>
    <w:rsid w:val="00A54E20"/>
    <w:rsid w:val="00A54EE7"/>
    <w:rsid w:val="00A5506D"/>
    <w:rsid w:val="00A55174"/>
    <w:rsid w:val="00A551A6"/>
    <w:rsid w:val="00A55320"/>
    <w:rsid w:val="00A55411"/>
    <w:rsid w:val="00A5543C"/>
    <w:rsid w:val="00A5555F"/>
    <w:rsid w:val="00A55628"/>
    <w:rsid w:val="00A55672"/>
    <w:rsid w:val="00A5583E"/>
    <w:rsid w:val="00A55A85"/>
    <w:rsid w:val="00A55CEA"/>
    <w:rsid w:val="00A55D3F"/>
    <w:rsid w:val="00A55D84"/>
    <w:rsid w:val="00A55F8A"/>
    <w:rsid w:val="00A56016"/>
    <w:rsid w:val="00A5606A"/>
    <w:rsid w:val="00A560B6"/>
    <w:rsid w:val="00A560CF"/>
    <w:rsid w:val="00A560F5"/>
    <w:rsid w:val="00A56180"/>
    <w:rsid w:val="00A56266"/>
    <w:rsid w:val="00A563A3"/>
    <w:rsid w:val="00A56507"/>
    <w:rsid w:val="00A5677B"/>
    <w:rsid w:val="00A5683A"/>
    <w:rsid w:val="00A56843"/>
    <w:rsid w:val="00A568B2"/>
    <w:rsid w:val="00A5697C"/>
    <w:rsid w:val="00A56B11"/>
    <w:rsid w:val="00A56D0A"/>
    <w:rsid w:val="00A56D6B"/>
    <w:rsid w:val="00A56D90"/>
    <w:rsid w:val="00A56E3A"/>
    <w:rsid w:val="00A56E58"/>
    <w:rsid w:val="00A56EEF"/>
    <w:rsid w:val="00A56F02"/>
    <w:rsid w:val="00A56F79"/>
    <w:rsid w:val="00A57050"/>
    <w:rsid w:val="00A57109"/>
    <w:rsid w:val="00A57160"/>
    <w:rsid w:val="00A57225"/>
    <w:rsid w:val="00A5722B"/>
    <w:rsid w:val="00A57329"/>
    <w:rsid w:val="00A574FC"/>
    <w:rsid w:val="00A57562"/>
    <w:rsid w:val="00A575EA"/>
    <w:rsid w:val="00A57666"/>
    <w:rsid w:val="00A576DD"/>
    <w:rsid w:val="00A576FF"/>
    <w:rsid w:val="00A5770D"/>
    <w:rsid w:val="00A578E3"/>
    <w:rsid w:val="00A578E6"/>
    <w:rsid w:val="00A57A6E"/>
    <w:rsid w:val="00A57AE2"/>
    <w:rsid w:val="00A57B0B"/>
    <w:rsid w:val="00A57B37"/>
    <w:rsid w:val="00A57B43"/>
    <w:rsid w:val="00A57BBE"/>
    <w:rsid w:val="00A57D7B"/>
    <w:rsid w:val="00A57DDE"/>
    <w:rsid w:val="00A57E98"/>
    <w:rsid w:val="00A57EE4"/>
    <w:rsid w:val="00A60009"/>
    <w:rsid w:val="00A60110"/>
    <w:rsid w:val="00A60292"/>
    <w:rsid w:val="00A603A5"/>
    <w:rsid w:val="00A60658"/>
    <w:rsid w:val="00A60A48"/>
    <w:rsid w:val="00A60AAA"/>
    <w:rsid w:val="00A60E78"/>
    <w:rsid w:val="00A611A8"/>
    <w:rsid w:val="00A612CB"/>
    <w:rsid w:val="00A61354"/>
    <w:rsid w:val="00A61360"/>
    <w:rsid w:val="00A61729"/>
    <w:rsid w:val="00A6187A"/>
    <w:rsid w:val="00A61981"/>
    <w:rsid w:val="00A61B66"/>
    <w:rsid w:val="00A61CA8"/>
    <w:rsid w:val="00A61D3D"/>
    <w:rsid w:val="00A61E40"/>
    <w:rsid w:val="00A61E96"/>
    <w:rsid w:val="00A61EDD"/>
    <w:rsid w:val="00A61F42"/>
    <w:rsid w:val="00A61F97"/>
    <w:rsid w:val="00A621B4"/>
    <w:rsid w:val="00A621D6"/>
    <w:rsid w:val="00A622D4"/>
    <w:rsid w:val="00A6230B"/>
    <w:rsid w:val="00A623AF"/>
    <w:rsid w:val="00A62482"/>
    <w:rsid w:val="00A625A1"/>
    <w:rsid w:val="00A628B7"/>
    <w:rsid w:val="00A629B0"/>
    <w:rsid w:val="00A629C7"/>
    <w:rsid w:val="00A62AE5"/>
    <w:rsid w:val="00A62B3B"/>
    <w:rsid w:val="00A62B8E"/>
    <w:rsid w:val="00A62F3E"/>
    <w:rsid w:val="00A62F64"/>
    <w:rsid w:val="00A63022"/>
    <w:rsid w:val="00A63064"/>
    <w:rsid w:val="00A63077"/>
    <w:rsid w:val="00A6327A"/>
    <w:rsid w:val="00A632D6"/>
    <w:rsid w:val="00A6350A"/>
    <w:rsid w:val="00A63627"/>
    <w:rsid w:val="00A636D1"/>
    <w:rsid w:val="00A63876"/>
    <w:rsid w:val="00A63945"/>
    <w:rsid w:val="00A639CB"/>
    <w:rsid w:val="00A639E0"/>
    <w:rsid w:val="00A63A33"/>
    <w:rsid w:val="00A63A44"/>
    <w:rsid w:val="00A63A9C"/>
    <w:rsid w:val="00A63AAF"/>
    <w:rsid w:val="00A63C6D"/>
    <w:rsid w:val="00A63E07"/>
    <w:rsid w:val="00A63E0A"/>
    <w:rsid w:val="00A63FAD"/>
    <w:rsid w:val="00A63FD4"/>
    <w:rsid w:val="00A6412D"/>
    <w:rsid w:val="00A6413A"/>
    <w:rsid w:val="00A6415E"/>
    <w:rsid w:val="00A64271"/>
    <w:rsid w:val="00A6438E"/>
    <w:rsid w:val="00A645C2"/>
    <w:rsid w:val="00A645EF"/>
    <w:rsid w:val="00A64712"/>
    <w:rsid w:val="00A647EF"/>
    <w:rsid w:val="00A64B17"/>
    <w:rsid w:val="00A64D0C"/>
    <w:rsid w:val="00A64DBE"/>
    <w:rsid w:val="00A64DE2"/>
    <w:rsid w:val="00A64F8A"/>
    <w:rsid w:val="00A651A9"/>
    <w:rsid w:val="00A652C2"/>
    <w:rsid w:val="00A6533D"/>
    <w:rsid w:val="00A653A6"/>
    <w:rsid w:val="00A655AA"/>
    <w:rsid w:val="00A65662"/>
    <w:rsid w:val="00A656C3"/>
    <w:rsid w:val="00A65775"/>
    <w:rsid w:val="00A657ED"/>
    <w:rsid w:val="00A65B45"/>
    <w:rsid w:val="00A65BAF"/>
    <w:rsid w:val="00A65DBF"/>
    <w:rsid w:val="00A65E59"/>
    <w:rsid w:val="00A65F34"/>
    <w:rsid w:val="00A6605E"/>
    <w:rsid w:val="00A660E2"/>
    <w:rsid w:val="00A6633B"/>
    <w:rsid w:val="00A66579"/>
    <w:rsid w:val="00A6661D"/>
    <w:rsid w:val="00A66843"/>
    <w:rsid w:val="00A6687C"/>
    <w:rsid w:val="00A669C1"/>
    <w:rsid w:val="00A66AC1"/>
    <w:rsid w:val="00A66E89"/>
    <w:rsid w:val="00A66E9D"/>
    <w:rsid w:val="00A67074"/>
    <w:rsid w:val="00A670BC"/>
    <w:rsid w:val="00A6712F"/>
    <w:rsid w:val="00A67190"/>
    <w:rsid w:val="00A67775"/>
    <w:rsid w:val="00A6783A"/>
    <w:rsid w:val="00A679FA"/>
    <w:rsid w:val="00A67AA8"/>
    <w:rsid w:val="00A67BDA"/>
    <w:rsid w:val="00A67C57"/>
    <w:rsid w:val="00A67C76"/>
    <w:rsid w:val="00A67CF8"/>
    <w:rsid w:val="00A67F34"/>
    <w:rsid w:val="00A67F92"/>
    <w:rsid w:val="00A70021"/>
    <w:rsid w:val="00A70047"/>
    <w:rsid w:val="00A70162"/>
    <w:rsid w:val="00A70240"/>
    <w:rsid w:val="00A7039F"/>
    <w:rsid w:val="00A703CC"/>
    <w:rsid w:val="00A7062D"/>
    <w:rsid w:val="00A707CC"/>
    <w:rsid w:val="00A707E6"/>
    <w:rsid w:val="00A709F0"/>
    <w:rsid w:val="00A70D7C"/>
    <w:rsid w:val="00A70D90"/>
    <w:rsid w:val="00A70E2A"/>
    <w:rsid w:val="00A70EF4"/>
    <w:rsid w:val="00A71060"/>
    <w:rsid w:val="00A71090"/>
    <w:rsid w:val="00A711D7"/>
    <w:rsid w:val="00A713BB"/>
    <w:rsid w:val="00A713C8"/>
    <w:rsid w:val="00A71474"/>
    <w:rsid w:val="00A714F6"/>
    <w:rsid w:val="00A7164E"/>
    <w:rsid w:val="00A7167C"/>
    <w:rsid w:val="00A71766"/>
    <w:rsid w:val="00A7184F"/>
    <w:rsid w:val="00A71868"/>
    <w:rsid w:val="00A7189A"/>
    <w:rsid w:val="00A71950"/>
    <w:rsid w:val="00A71989"/>
    <w:rsid w:val="00A71CB4"/>
    <w:rsid w:val="00A71EB3"/>
    <w:rsid w:val="00A72064"/>
    <w:rsid w:val="00A7234A"/>
    <w:rsid w:val="00A723EB"/>
    <w:rsid w:val="00A724CF"/>
    <w:rsid w:val="00A72619"/>
    <w:rsid w:val="00A7267B"/>
    <w:rsid w:val="00A72721"/>
    <w:rsid w:val="00A728B3"/>
    <w:rsid w:val="00A72952"/>
    <w:rsid w:val="00A72971"/>
    <w:rsid w:val="00A72AC8"/>
    <w:rsid w:val="00A72C39"/>
    <w:rsid w:val="00A72CA7"/>
    <w:rsid w:val="00A72CB4"/>
    <w:rsid w:val="00A72DA9"/>
    <w:rsid w:val="00A72E21"/>
    <w:rsid w:val="00A72F2D"/>
    <w:rsid w:val="00A72F35"/>
    <w:rsid w:val="00A73026"/>
    <w:rsid w:val="00A730E4"/>
    <w:rsid w:val="00A732CD"/>
    <w:rsid w:val="00A73390"/>
    <w:rsid w:val="00A7345E"/>
    <w:rsid w:val="00A737F3"/>
    <w:rsid w:val="00A73847"/>
    <w:rsid w:val="00A73850"/>
    <w:rsid w:val="00A73926"/>
    <w:rsid w:val="00A73A66"/>
    <w:rsid w:val="00A73AD7"/>
    <w:rsid w:val="00A73B1E"/>
    <w:rsid w:val="00A73B2C"/>
    <w:rsid w:val="00A73BE0"/>
    <w:rsid w:val="00A73E6E"/>
    <w:rsid w:val="00A73E7C"/>
    <w:rsid w:val="00A73EA4"/>
    <w:rsid w:val="00A73EB7"/>
    <w:rsid w:val="00A73FCD"/>
    <w:rsid w:val="00A74055"/>
    <w:rsid w:val="00A740E3"/>
    <w:rsid w:val="00A7418E"/>
    <w:rsid w:val="00A74312"/>
    <w:rsid w:val="00A743F3"/>
    <w:rsid w:val="00A744A4"/>
    <w:rsid w:val="00A7452C"/>
    <w:rsid w:val="00A746B1"/>
    <w:rsid w:val="00A7476C"/>
    <w:rsid w:val="00A747C6"/>
    <w:rsid w:val="00A74843"/>
    <w:rsid w:val="00A74B4D"/>
    <w:rsid w:val="00A74B4E"/>
    <w:rsid w:val="00A74B90"/>
    <w:rsid w:val="00A74C88"/>
    <w:rsid w:val="00A74D81"/>
    <w:rsid w:val="00A74DD7"/>
    <w:rsid w:val="00A74DD8"/>
    <w:rsid w:val="00A74DFD"/>
    <w:rsid w:val="00A75029"/>
    <w:rsid w:val="00A75094"/>
    <w:rsid w:val="00A750C7"/>
    <w:rsid w:val="00A750F7"/>
    <w:rsid w:val="00A751F3"/>
    <w:rsid w:val="00A7521A"/>
    <w:rsid w:val="00A753E2"/>
    <w:rsid w:val="00A75468"/>
    <w:rsid w:val="00A7551C"/>
    <w:rsid w:val="00A757E0"/>
    <w:rsid w:val="00A757F8"/>
    <w:rsid w:val="00A75A56"/>
    <w:rsid w:val="00A75A72"/>
    <w:rsid w:val="00A75B8B"/>
    <w:rsid w:val="00A75C2F"/>
    <w:rsid w:val="00A75D1B"/>
    <w:rsid w:val="00A75D84"/>
    <w:rsid w:val="00A76122"/>
    <w:rsid w:val="00A7612A"/>
    <w:rsid w:val="00A763BE"/>
    <w:rsid w:val="00A76493"/>
    <w:rsid w:val="00A764AA"/>
    <w:rsid w:val="00A76501"/>
    <w:rsid w:val="00A766A1"/>
    <w:rsid w:val="00A767D8"/>
    <w:rsid w:val="00A767DD"/>
    <w:rsid w:val="00A768DE"/>
    <w:rsid w:val="00A76999"/>
    <w:rsid w:val="00A76AAC"/>
    <w:rsid w:val="00A76B8E"/>
    <w:rsid w:val="00A76C3A"/>
    <w:rsid w:val="00A76C81"/>
    <w:rsid w:val="00A76D2C"/>
    <w:rsid w:val="00A76D51"/>
    <w:rsid w:val="00A76DA8"/>
    <w:rsid w:val="00A76EBD"/>
    <w:rsid w:val="00A76FD4"/>
    <w:rsid w:val="00A76FFF"/>
    <w:rsid w:val="00A770BA"/>
    <w:rsid w:val="00A7757E"/>
    <w:rsid w:val="00A77595"/>
    <w:rsid w:val="00A776B5"/>
    <w:rsid w:val="00A77718"/>
    <w:rsid w:val="00A7774B"/>
    <w:rsid w:val="00A7793C"/>
    <w:rsid w:val="00A779A1"/>
    <w:rsid w:val="00A779AA"/>
    <w:rsid w:val="00A77A53"/>
    <w:rsid w:val="00A77ACB"/>
    <w:rsid w:val="00A77B55"/>
    <w:rsid w:val="00A77BBB"/>
    <w:rsid w:val="00A77C00"/>
    <w:rsid w:val="00A77DDA"/>
    <w:rsid w:val="00A77E35"/>
    <w:rsid w:val="00A77EE8"/>
    <w:rsid w:val="00A8016C"/>
    <w:rsid w:val="00A80311"/>
    <w:rsid w:val="00A803CE"/>
    <w:rsid w:val="00A8063E"/>
    <w:rsid w:val="00A8068A"/>
    <w:rsid w:val="00A80751"/>
    <w:rsid w:val="00A807CE"/>
    <w:rsid w:val="00A80861"/>
    <w:rsid w:val="00A808A8"/>
    <w:rsid w:val="00A80B93"/>
    <w:rsid w:val="00A80CE6"/>
    <w:rsid w:val="00A80EA3"/>
    <w:rsid w:val="00A80F50"/>
    <w:rsid w:val="00A80F90"/>
    <w:rsid w:val="00A810C6"/>
    <w:rsid w:val="00A810D1"/>
    <w:rsid w:val="00A81134"/>
    <w:rsid w:val="00A811E1"/>
    <w:rsid w:val="00A8126C"/>
    <w:rsid w:val="00A813B5"/>
    <w:rsid w:val="00A814F5"/>
    <w:rsid w:val="00A81513"/>
    <w:rsid w:val="00A81539"/>
    <w:rsid w:val="00A815B5"/>
    <w:rsid w:val="00A816D0"/>
    <w:rsid w:val="00A81787"/>
    <w:rsid w:val="00A81911"/>
    <w:rsid w:val="00A8193E"/>
    <w:rsid w:val="00A819F9"/>
    <w:rsid w:val="00A81A19"/>
    <w:rsid w:val="00A81A1D"/>
    <w:rsid w:val="00A81A3E"/>
    <w:rsid w:val="00A81BD5"/>
    <w:rsid w:val="00A81C6F"/>
    <w:rsid w:val="00A81CB2"/>
    <w:rsid w:val="00A81DCF"/>
    <w:rsid w:val="00A81DF0"/>
    <w:rsid w:val="00A81FB1"/>
    <w:rsid w:val="00A82069"/>
    <w:rsid w:val="00A820ED"/>
    <w:rsid w:val="00A8236C"/>
    <w:rsid w:val="00A823BD"/>
    <w:rsid w:val="00A823CD"/>
    <w:rsid w:val="00A82417"/>
    <w:rsid w:val="00A826D2"/>
    <w:rsid w:val="00A827C8"/>
    <w:rsid w:val="00A828AD"/>
    <w:rsid w:val="00A82906"/>
    <w:rsid w:val="00A8293D"/>
    <w:rsid w:val="00A82BA4"/>
    <w:rsid w:val="00A82C47"/>
    <w:rsid w:val="00A82D65"/>
    <w:rsid w:val="00A82DD6"/>
    <w:rsid w:val="00A82E35"/>
    <w:rsid w:val="00A82E75"/>
    <w:rsid w:val="00A82EC5"/>
    <w:rsid w:val="00A82F12"/>
    <w:rsid w:val="00A8306B"/>
    <w:rsid w:val="00A83077"/>
    <w:rsid w:val="00A830B8"/>
    <w:rsid w:val="00A83117"/>
    <w:rsid w:val="00A832CB"/>
    <w:rsid w:val="00A8331C"/>
    <w:rsid w:val="00A834A9"/>
    <w:rsid w:val="00A834B7"/>
    <w:rsid w:val="00A835FC"/>
    <w:rsid w:val="00A83622"/>
    <w:rsid w:val="00A8362C"/>
    <w:rsid w:val="00A83759"/>
    <w:rsid w:val="00A837DF"/>
    <w:rsid w:val="00A838CF"/>
    <w:rsid w:val="00A8397E"/>
    <w:rsid w:val="00A83994"/>
    <w:rsid w:val="00A839F2"/>
    <w:rsid w:val="00A83A0B"/>
    <w:rsid w:val="00A83A7A"/>
    <w:rsid w:val="00A83BA5"/>
    <w:rsid w:val="00A83C28"/>
    <w:rsid w:val="00A83DD7"/>
    <w:rsid w:val="00A83DEC"/>
    <w:rsid w:val="00A83E17"/>
    <w:rsid w:val="00A83E2D"/>
    <w:rsid w:val="00A83E62"/>
    <w:rsid w:val="00A83F35"/>
    <w:rsid w:val="00A83FE2"/>
    <w:rsid w:val="00A8407A"/>
    <w:rsid w:val="00A8415A"/>
    <w:rsid w:val="00A84428"/>
    <w:rsid w:val="00A84708"/>
    <w:rsid w:val="00A84817"/>
    <w:rsid w:val="00A848DB"/>
    <w:rsid w:val="00A8496E"/>
    <w:rsid w:val="00A849D9"/>
    <w:rsid w:val="00A84B02"/>
    <w:rsid w:val="00A84B5D"/>
    <w:rsid w:val="00A84BBD"/>
    <w:rsid w:val="00A84BEE"/>
    <w:rsid w:val="00A84FFB"/>
    <w:rsid w:val="00A85044"/>
    <w:rsid w:val="00A8507D"/>
    <w:rsid w:val="00A8508B"/>
    <w:rsid w:val="00A85162"/>
    <w:rsid w:val="00A852D3"/>
    <w:rsid w:val="00A853EC"/>
    <w:rsid w:val="00A8549B"/>
    <w:rsid w:val="00A85526"/>
    <w:rsid w:val="00A85574"/>
    <w:rsid w:val="00A856EF"/>
    <w:rsid w:val="00A8579E"/>
    <w:rsid w:val="00A85916"/>
    <w:rsid w:val="00A8592A"/>
    <w:rsid w:val="00A85ADD"/>
    <w:rsid w:val="00A85ADE"/>
    <w:rsid w:val="00A85AE2"/>
    <w:rsid w:val="00A85B18"/>
    <w:rsid w:val="00A85DBC"/>
    <w:rsid w:val="00A85E77"/>
    <w:rsid w:val="00A85F19"/>
    <w:rsid w:val="00A860B9"/>
    <w:rsid w:val="00A860CE"/>
    <w:rsid w:val="00A860EF"/>
    <w:rsid w:val="00A8613E"/>
    <w:rsid w:val="00A861A7"/>
    <w:rsid w:val="00A865FD"/>
    <w:rsid w:val="00A86727"/>
    <w:rsid w:val="00A86799"/>
    <w:rsid w:val="00A867F8"/>
    <w:rsid w:val="00A86800"/>
    <w:rsid w:val="00A8694D"/>
    <w:rsid w:val="00A86AE5"/>
    <w:rsid w:val="00A86D10"/>
    <w:rsid w:val="00A86E6F"/>
    <w:rsid w:val="00A86F3C"/>
    <w:rsid w:val="00A86F60"/>
    <w:rsid w:val="00A86FF3"/>
    <w:rsid w:val="00A8722A"/>
    <w:rsid w:val="00A872DA"/>
    <w:rsid w:val="00A8738B"/>
    <w:rsid w:val="00A87577"/>
    <w:rsid w:val="00A87668"/>
    <w:rsid w:val="00A87729"/>
    <w:rsid w:val="00A87735"/>
    <w:rsid w:val="00A87847"/>
    <w:rsid w:val="00A8786B"/>
    <w:rsid w:val="00A879A9"/>
    <w:rsid w:val="00A87B2A"/>
    <w:rsid w:val="00A87B50"/>
    <w:rsid w:val="00A87C11"/>
    <w:rsid w:val="00A87CCF"/>
    <w:rsid w:val="00A87F0E"/>
    <w:rsid w:val="00A904AB"/>
    <w:rsid w:val="00A904B2"/>
    <w:rsid w:val="00A90571"/>
    <w:rsid w:val="00A9058A"/>
    <w:rsid w:val="00A906A8"/>
    <w:rsid w:val="00A906D1"/>
    <w:rsid w:val="00A9072D"/>
    <w:rsid w:val="00A9083D"/>
    <w:rsid w:val="00A909DF"/>
    <w:rsid w:val="00A90A3C"/>
    <w:rsid w:val="00A90B99"/>
    <w:rsid w:val="00A90C01"/>
    <w:rsid w:val="00A90EF7"/>
    <w:rsid w:val="00A90F99"/>
    <w:rsid w:val="00A912C4"/>
    <w:rsid w:val="00A91385"/>
    <w:rsid w:val="00A9153C"/>
    <w:rsid w:val="00A91631"/>
    <w:rsid w:val="00A917B5"/>
    <w:rsid w:val="00A91853"/>
    <w:rsid w:val="00A91872"/>
    <w:rsid w:val="00A919C3"/>
    <w:rsid w:val="00A91A66"/>
    <w:rsid w:val="00A91A97"/>
    <w:rsid w:val="00A91AB2"/>
    <w:rsid w:val="00A91B4C"/>
    <w:rsid w:val="00A91C38"/>
    <w:rsid w:val="00A91D16"/>
    <w:rsid w:val="00A91D6F"/>
    <w:rsid w:val="00A921BC"/>
    <w:rsid w:val="00A924B7"/>
    <w:rsid w:val="00A9256D"/>
    <w:rsid w:val="00A92891"/>
    <w:rsid w:val="00A928C4"/>
    <w:rsid w:val="00A92997"/>
    <w:rsid w:val="00A92A56"/>
    <w:rsid w:val="00A92A66"/>
    <w:rsid w:val="00A92ADC"/>
    <w:rsid w:val="00A92B89"/>
    <w:rsid w:val="00A92CAC"/>
    <w:rsid w:val="00A92F64"/>
    <w:rsid w:val="00A92FC1"/>
    <w:rsid w:val="00A9308A"/>
    <w:rsid w:val="00A932B8"/>
    <w:rsid w:val="00A934C9"/>
    <w:rsid w:val="00A93840"/>
    <w:rsid w:val="00A93A3D"/>
    <w:rsid w:val="00A93BCB"/>
    <w:rsid w:val="00A93BE9"/>
    <w:rsid w:val="00A93CFE"/>
    <w:rsid w:val="00A93DF3"/>
    <w:rsid w:val="00A93DFD"/>
    <w:rsid w:val="00A93F25"/>
    <w:rsid w:val="00A941A1"/>
    <w:rsid w:val="00A941CA"/>
    <w:rsid w:val="00A941D6"/>
    <w:rsid w:val="00A94290"/>
    <w:rsid w:val="00A9437F"/>
    <w:rsid w:val="00A94473"/>
    <w:rsid w:val="00A9457F"/>
    <w:rsid w:val="00A947E0"/>
    <w:rsid w:val="00A9497E"/>
    <w:rsid w:val="00A94994"/>
    <w:rsid w:val="00A94AB6"/>
    <w:rsid w:val="00A94ABD"/>
    <w:rsid w:val="00A94C9A"/>
    <w:rsid w:val="00A94E12"/>
    <w:rsid w:val="00A94EB9"/>
    <w:rsid w:val="00A94F0E"/>
    <w:rsid w:val="00A94F3A"/>
    <w:rsid w:val="00A95027"/>
    <w:rsid w:val="00A950C7"/>
    <w:rsid w:val="00A95149"/>
    <w:rsid w:val="00A951D0"/>
    <w:rsid w:val="00A952F5"/>
    <w:rsid w:val="00A9532A"/>
    <w:rsid w:val="00A95339"/>
    <w:rsid w:val="00A95410"/>
    <w:rsid w:val="00A95427"/>
    <w:rsid w:val="00A9543F"/>
    <w:rsid w:val="00A95547"/>
    <w:rsid w:val="00A955B7"/>
    <w:rsid w:val="00A9561C"/>
    <w:rsid w:val="00A958A1"/>
    <w:rsid w:val="00A9595A"/>
    <w:rsid w:val="00A95AA9"/>
    <w:rsid w:val="00A95CA2"/>
    <w:rsid w:val="00A95CD8"/>
    <w:rsid w:val="00A95D51"/>
    <w:rsid w:val="00A96049"/>
    <w:rsid w:val="00A96084"/>
    <w:rsid w:val="00A960B6"/>
    <w:rsid w:val="00A96307"/>
    <w:rsid w:val="00A96348"/>
    <w:rsid w:val="00A9637C"/>
    <w:rsid w:val="00A963DD"/>
    <w:rsid w:val="00A96423"/>
    <w:rsid w:val="00A964D3"/>
    <w:rsid w:val="00A9664D"/>
    <w:rsid w:val="00A966E7"/>
    <w:rsid w:val="00A9687E"/>
    <w:rsid w:val="00A968C9"/>
    <w:rsid w:val="00A96B0F"/>
    <w:rsid w:val="00A96B2C"/>
    <w:rsid w:val="00A96B3F"/>
    <w:rsid w:val="00A96EB1"/>
    <w:rsid w:val="00A96F6A"/>
    <w:rsid w:val="00A96FCB"/>
    <w:rsid w:val="00A9714B"/>
    <w:rsid w:val="00A97213"/>
    <w:rsid w:val="00A972D7"/>
    <w:rsid w:val="00A97475"/>
    <w:rsid w:val="00A974A3"/>
    <w:rsid w:val="00A974C9"/>
    <w:rsid w:val="00A9758B"/>
    <w:rsid w:val="00A9771C"/>
    <w:rsid w:val="00A97800"/>
    <w:rsid w:val="00A97878"/>
    <w:rsid w:val="00A9789E"/>
    <w:rsid w:val="00A978BD"/>
    <w:rsid w:val="00A9794D"/>
    <w:rsid w:val="00A979EC"/>
    <w:rsid w:val="00A97AFE"/>
    <w:rsid w:val="00A97CB6"/>
    <w:rsid w:val="00A97E3C"/>
    <w:rsid w:val="00AA0076"/>
    <w:rsid w:val="00AA01AA"/>
    <w:rsid w:val="00AA0257"/>
    <w:rsid w:val="00AA0264"/>
    <w:rsid w:val="00AA0397"/>
    <w:rsid w:val="00AA03BA"/>
    <w:rsid w:val="00AA04B9"/>
    <w:rsid w:val="00AA04F3"/>
    <w:rsid w:val="00AA054A"/>
    <w:rsid w:val="00AA0645"/>
    <w:rsid w:val="00AA069F"/>
    <w:rsid w:val="00AA06CF"/>
    <w:rsid w:val="00AA06F4"/>
    <w:rsid w:val="00AA0B1D"/>
    <w:rsid w:val="00AA0B80"/>
    <w:rsid w:val="00AA0C9C"/>
    <w:rsid w:val="00AA0CED"/>
    <w:rsid w:val="00AA0D35"/>
    <w:rsid w:val="00AA0DAD"/>
    <w:rsid w:val="00AA0E00"/>
    <w:rsid w:val="00AA0E80"/>
    <w:rsid w:val="00AA0EB7"/>
    <w:rsid w:val="00AA0EEB"/>
    <w:rsid w:val="00AA0F57"/>
    <w:rsid w:val="00AA0FBF"/>
    <w:rsid w:val="00AA107E"/>
    <w:rsid w:val="00AA1176"/>
    <w:rsid w:val="00AA12DB"/>
    <w:rsid w:val="00AA1481"/>
    <w:rsid w:val="00AA1520"/>
    <w:rsid w:val="00AA161E"/>
    <w:rsid w:val="00AA19AF"/>
    <w:rsid w:val="00AA19C9"/>
    <w:rsid w:val="00AA19D3"/>
    <w:rsid w:val="00AA19FC"/>
    <w:rsid w:val="00AA1A8E"/>
    <w:rsid w:val="00AA1AA7"/>
    <w:rsid w:val="00AA1B7B"/>
    <w:rsid w:val="00AA1BEF"/>
    <w:rsid w:val="00AA1CB1"/>
    <w:rsid w:val="00AA1CC1"/>
    <w:rsid w:val="00AA1E63"/>
    <w:rsid w:val="00AA1E70"/>
    <w:rsid w:val="00AA1E9F"/>
    <w:rsid w:val="00AA1F0F"/>
    <w:rsid w:val="00AA1F31"/>
    <w:rsid w:val="00AA1FD4"/>
    <w:rsid w:val="00AA200E"/>
    <w:rsid w:val="00AA203F"/>
    <w:rsid w:val="00AA20D4"/>
    <w:rsid w:val="00AA214C"/>
    <w:rsid w:val="00AA2475"/>
    <w:rsid w:val="00AA24CC"/>
    <w:rsid w:val="00AA24CF"/>
    <w:rsid w:val="00AA2668"/>
    <w:rsid w:val="00AA2722"/>
    <w:rsid w:val="00AA27FC"/>
    <w:rsid w:val="00AA28B9"/>
    <w:rsid w:val="00AA2946"/>
    <w:rsid w:val="00AA29AC"/>
    <w:rsid w:val="00AA29F1"/>
    <w:rsid w:val="00AA2A2E"/>
    <w:rsid w:val="00AA2ACF"/>
    <w:rsid w:val="00AA2B13"/>
    <w:rsid w:val="00AA2BB5"/>
    <w:rsid w:val="00AA2CA3"/>
    <w:rsid w:val="00AA3028"/>
    <w:rsid w:val="00AA3246"/>
    <w:rsid w:val="00AA32E1"/>
    <w:rsid w:val="00AA33E2"/>
    <w:rsid w:val="00AA351E"/>
    <w:rsid w:val="00AA3539"/>
    <w:rsid w:val="00AA3597"/>
    <w:rsid w:val="00AA362B"/>
    <w:rsid w:val="00AA36B7"/>
    <w:rsid w:val="00AA37D8"/>
    <w:rsid w:val="00AA3808"/>
    <w:rsid w:val="00AA3866"/>
    <w:rsid w:val="00AA3989"/>
    <w:rsid w:val="00AA3A4F"/>
    <w:rsid w:val="00AA3ACC"/>
    <w:rsid w:val="00AA3AF5"/>
    <w:rsid w:val="00AA3B14"/>
    <w:rsid w:val="00AA3B20"/>
    <w:rsid w:val="00AA3B35"/>
    <w:rsid w:val="00AA3B4F"/>
    <w:rsid w:val="00AA3D16"/>
    <w:rsid w:val="00AA3D65"/>
    <w:rsid w:val="00AA3EC4"/>
    <w:rsid w:val="00AA417F"/>
    <w:rsid w:val="00AA4289"/>
    <w:rsid w:val="00AA432F"/>
    <w:rsid w:val="00AA43FF"/>
    <w:rsid w:val="00AA4454"/>
    <w:rsid w:val="00AA446B"/>
    <w:rsid w:val="00AA44E5"/>
    <w:rsid w:val="00AA45A1"/>
    <w:rsid w:val="00AA464D"/>
    <w:rsid w:val="00AA48C2"/>
    <w:rsid w:val="00AA49F6"/>
    <w:rsid w:val="00AA4C1C"/>
    <w:rsid w:val="00AA4DA6"/>
    <w:rsid w:val="00AA4ED4"/>
    <w:rsid w:val="00AA50EA"/>
    <w:rsid w:val="00AA521E"/>
    <w:rsid w:val="00AA5291"/>
    <w:rsid w:val="00AA52BF"/>
    <w:rsid w:val="00AA539F"/>
    <w:rsid w:val="00AA54DC"/>
    <w:rsid w:val="00AA55B7"/>
    <w:rsid w:val="00AA5632"/>
    <w:rsid w:val="00AA56B1"/>
    <w:rsid w:val="00AA56CC"/>
    <w:rsid w:val="00AA5709"/>
    <w:rsid w:val="00AA5767"/>
    <w:rsid w:val="00AA57A7"/>
    <w:rsid w:val="00AA5ACA"/>
    <w:rsid w:val="00AA5B67"/>
    <w:rsid w:val="00AA5CF0"/>
    <w:rsid w:val="00AA5DAD"/>
    <w:rsid w:val="00AA5F29"/>
    <w:rsid w:val="00AA602D"/>
    <w:rsid w:val="00AA6091"/>
    <w:rsid w:val="00AA6101"/>
    <w:rsid w:val="00AA61B5"/>
    <w:rsid w:val="00AA6419"/>
    <w:rsid w:val="00AA65E3"/>
    <w:rsid w:val="00AA65ED"/>
    <w:rsid w:val="00AA663E"/>
    <w:rsid w:val="00AA66D8"/>
    <w:rsid w:val="00AA670E"/>
    <w:rsid w:val="00AA69C2"/>
    <w:rsid w:val="00AA69FA"/>
    <w:rsid w:val="00AA6CE6"/>
    <w:rsid w:val="00AA6CE9"/>
    <w:rsid w:val="00AA6D05"/>
    <w:rsid w:val="00AA6ED8"/>
    <w:rsid w:val="00AA6FAD"/>
    <w:rsid w:val="00AA702F"/>
    <w:rsid w:val="00AA71DF"/>
    <w:rsid w:val="00AA7229"/>
    <w:rsid w:val="00AA747D"/>
    <w:rsid w:val="00AA7551"/>
    <w:rsid w:val="00AA75CA"/>
    <w:rsid w:val="00AA75F3"/>
    <w:rsid w:val="00AA7605"/>
    <w:rsid w:val="00AA764E"/>
    <w:rsid w:val="00AA7664"/>
    <w:rsid w:val="00AA769D"/>
    <w:rsid w:val="00AA770D"/>
    <w:rsid w:val="00AA7776"/>
    <w:rsid w:val="00AA7917"/>
    <w:rsid w:val="00AA7964"/>
    <w:rsid w:val="00AA79E9"/>
    <w:rsid w:val="00AA7A8D"/>
    <w:rsid w:val="00AA7B35"/>
    <w:rsid w:val="00AA7B41"/>
    <w:rsid w:val="00AA7B4B"/>
    <w:rsid w:val="00AA7C30"/>
    <w:rsid w:val="00AA7DDB"/>
    <w:rsid w:val="00AA7EE2"/>
    <w:rsid w:val="00AB0071"/>
    <w:rsid w:val="00AB00AC"/>
    <w:rsid w:val="00AB0210"/>
    <w:rsid w:val="00AB044E"/>
    <w:rsid w:val="00AB076F"/>
    <w:rsid w:val="00AB0782"/>
    <w:rsid w:val="00AB08E3"/>
    <w:rsid w:val="00AB08FC"/>
    <w:rsid w:val="00AB0A73"/>
    <w:rsid w:val="00AB0D20"/>
    <w:rsid w:val="00AB0F60"/>
    <w:rsid w:val="00AB0FDC"/>
    <w:rsid w:val="00AB109A"/>
    <w:rsid w:val="00AB135F"/>
    <w:rsid w:val="00AB137D"/>
    <w:rsid w:val="00AB1461"/>
    <w:rsid w:val="00AB14ED"/>
    <w:rsid w:val="00AB1557"/>
    <w:rsid w:val="00AB16DF"/>
    <w:rsid w:val="00AB16EB"/>
    <w:rsid w:val="00AB174B"/>
    <w:rsid w:val="00AB1849"/>
    <w:rsid w:val="00AB1850"/>
    <w:rsid w:val="00AB18D0"/>
    <w:rsid w:val="00AB1A6F"/>
    <w:rsid w:val="00AB1EAA"/>
    <w:rsid w:val="00AB1ECD"/>
    <w:rsid w:val="00AB1FC7"/>
    <w:rsid w:val="00AB1FDE"/>
    <w:rsid w:val="00AB20E6"/>
    <w:rsid w:val="00AB2182"/>
    <w:rsid w:val="00AB224D"/>
    <w:rsid w:val="00AB23ED"/>
    <w:rsid w:val="00AB2786"/>
    <w:rsid w:val="00AB27FA"/>
    <w:rsid w:val="00AB2814"/>
    <w:rsid w:val="00AB287C"/>
    <w:rsid w:val="00AB2A08"/>
    <w:rsid w:val="00AB2C9F"/>
    <w:rsid w:val="00AB2CD4"/>
    <w:rsid w:val="00AB2E51"/>
    <w:rsid w:val="00AB2F55"/>
    <w:rsid w:val="00AB2FBE"/>
    <w:rsid w:val="00AB30B0"/>
    <w:rsid w:val="00AB30E6"/>
    <w:rsid w:val="00AB3299"/>
    <w:rsid w:val="00AB33D1"/>
    <w:rsid w:val="00AB35A1"/>
    <w:rsid w:val="00AB35D1"/>
    <w:rsid w:val="00AB365E"/>
    <w:rsid w:val="00AB3729"/>
    <w:rsid w:val="00AB3892"/>
    <w:rsid w:val="00AB38E7"/>
    <w:rsid w:val="00AB395E"/>
    <w:rsid w:val="00AB3A5F"/>
    <w:rsid w:val="00AB3A83"/>
    <w:rsid w:val="00AB3A92"/>
    <w:rsid w:val="00AB3ABA"/>
    <w:rsid w:val="00AB3AE9"/>
    <w:rsid w:val="00AB3B4D"/>
    <w:rsid w:val="00AB3DCB"/>
    <w:rsid w:val="00AB3F8A"/>
    <w:rsid w:val="00AB3FC4"/>
    <w:rsid w:val="00AB40CA"/>
    <w:rsid w:val="00AB43D6"/>
    <w:rsid w:val="00AB444B"/>
    <w:rsid w:val="00AB4508"/>
    <w:rsid w:val="00AB4570"/>
    <w:rsid w:val="00AB468A"/>
    <w:rsid w:val="00AB47C0"/>
    <w:rsid w:val="00AB4887"/>
    <w:rsid w:val="00AB48EA"/>
    <w:rsid w:val="00AB49F9"/>
    <w:rsid w:val="00AB4AC6"/>
    <w:rsid w:val="00AB4B1A"/>
    <w:rsid w:val="00AB4C0E"/>
    <w:rsid w:val="00AB4D68"/>
    <w:rsid w:val="00AB4D92"/>
    <w:rsid w:val="00AB4EAF"/>
    <w:rsid w:val="00AB4FD2"/>
    <w:rsid w:val="00AB5068"/>
    <w:rsid w:val="00AB5088"/>
    <w:rsid w:val="00AB5302"/>
    <w:rsid w:val="00AB53AD"/>
    <w:rsid w:val="00AB54C5"/>
    <w:rsid w:val="00AB5635"/>
    <w:rsid w:val="00AB56E4"/>
    <w:rsid w:val="00AB583A"/>
    <w:rsid w:val="00AB5865"/>
    <w:rsid w:val="00AB599A"/>
    <w:rsid w:val="00AB5C8D"/>
    <w:rsid w:val="00AB5C9F"/>
    <w:rsid w:val="00AB5E4A"/>
    <w:rsid w:val="00AB5F08"/>
    <w:rsid w:val="00AB5FA3"/>
    <w:rsid w:val="00AB60A6"/>
    <w:rsid w:val="00AB61BD"/>
    <w:rsid w:val="00AB6331"/>
    <w:rsid w:val="00AB63C1"/>
    <w:rsid w:val="00AB655A"/>
    <w:rsid w:val="00AB6669"/>
    <w:rsid w:val="00AB66D9"/>
    <w:rsid w:val="00AB66F7"/>
    <w:rsid w:val="00AB67D4"/>
    <w:rsid w:val="00AB6AAB"/>
    <w:rsid w:val="00AB6B0F"/>
    <w:rsid w:val="00AB6B66"/>
    <w:rsid w:val="00AB6C59"/>
    <w:rsid w:val="00AB6C8C"/>
    <w:rsid w:val="00AB6CC0"/>
    <w:rsid w:val="00AB6E47"/>
    <w:rsid w:val="00AB6F4C"/>
    <w:rsid w:val="00AB70C4"/>
    <w:rsid w:val="00AB72D8"/>
    <w:rsid w:val="00AB734E"/>
    <w:rsid w:val="00AB7688"/>
    <w:rsid w:val="00AB7690"/>
    <w:rsid w:val="00AB76D2"/>
    <w:rsid w:val="00AB775F"/>
    <w:rsid w:val="00AB77A8"/>
    <w:rsid w:val="00AB77AC"/>
    <w:rsid w:val="00AB77F6"/>
    <w:rsid w:val="00AB791F"/>
    <w:rsid w:val="00AB7A3F"/>
    <w:rsid w:val="00AB7AB1"/>
    <w:rsid w:val="00AB7B85"/>
    <w:rsid w:val="00AB7BB1"/>
    <w:rsid w:val="00AB7C10"/>
    <w:rsid w:val="00AB7C49"/>
    <w:rsid w:val="00AB7DCE"/>
    <w:rsid w:val="00AC004C"/>
    <w:rsid w:val="00AC01B9"/>
    <w:rsid w:val="00AC01BB"/>
    <w:rsid w:val="00AC01BD"/>
    <w:rsid w:val="00AC060F"/>
    <w:rsid w:val="00AC0621"/>
    <w:rsid w:val="00AC068B"/>
    <w:rsid w:val="00AC0797"/>
    <w:rsid w:val="00AC07BF"/>
    <w:rsid w:val="00AC08E9"/>
    <w:rsid w:val="00AC08F8"/>
    <w:rsid w:val="00AC0A5D"/>
    <w:rsid w:val="00AC0BA9"/>
    <w:rsid w:val="00AC0BEA"/>
    <w:rsid w:val="00AC0DD4"/>
    <w:rsid w:val="00AC0F36"/>
    <w:rsid w:val="00AC104A"/>
    <w:rsid w:val="00AC110A"/>
    <w:rsid w:val="00AC112D"/>
    <w:rsid w:val="00AC12A7"/>
    <w:rsid w:val="00AC1312"/>
    <w:rsid w:val="00AC16BF"/>
    <w:rsid w:val="00AC16DA"/>
    <w:rsid w:val="00AC17A4"/>
    <w:rsid w:val="00AC17E5"/>
    <w:rsid w:val="00AC184E"/>
    <w:rsid w:val="00AC1D13"/>
    <w:rsid w:val="00AC1D48"/>
    <w:rsid w:val="00AC1D76"/>
    <w:rsid w:val="00AC1E01"/>
    <w:rsid w:val="00AC1FCE"/>
    <w:rsid w:val="00AC21C3"/>
    <w:rsid w:val="00AC252E"/>
    <w:rsid w:val="00AC2536"/>
    <w:rsid w:val="00AC27AF"/>
    <w:rsid w:val="00AC281A"/>
    <w:rsid w:val="00AC285C"/>
    <w:rsid w:val="00AC288E"/>
    <w:rsid w:val="00AC2964"/>
    <w:rsid w:val="00AC2B07"/>
    <w:rsid w:val="00AC2C62"/>
    <w:rsid w:val="00AC2D8C"/>
    <w:rsid w:val="00AC2E2E"/>
    <w:rsid w:val="00AC2E81"/>
    <w:rsid w:val="00AC30EF"/>
    <w:rsid w:val="00AC32C8"/>
    <w:rsid w:val="00AC33E4"/>
    <w:rsid w:val="00AC34AB"/>
    <w:rsid w:val="00AC356D"/>
    <w:rsid w:val="00AC382D"/>
    <w:rsid w:val="00AC38AA"/>
    <w:rsid w:val="00AC3A14"/>
    <w:rsid w:val="00AC3A44"/>
    <w:rsid w:val="00AC3BFD"/>
    <w:rsid w:val="00AC3C21"/>
    <w:rsid w:val="00AC3C4B"/>
    <w:rsid w:val="00AC3CA7"/>
    <w:rsid w:val="00AC3CAE"/>
    <w:rsid w:val="00AC3CBA"/>
    <w:rsid w:val="00AC3CF7"/>
    <w:rsid w:val="00AC3E20"/>
    <w:rsid w:val="00AC3E3E"/>
    <w:rsid w:val="00AC3E54"/>
    <w:rsid w:val="00AC3EC6"/>
    <w:rsid w:val="00AC3F4E"/>
    <w:rsid w:val="00AC4023"/>
    <w:rsid w:val="00AC407B"/>
    <w:rsid w:val="00AC41BD"/>
    <w:rsid w:val="00AC41D3"/>
    <w:rsid w:val="00AC422E"/>
    <w:rsid w:val="00AC432E"/>
    <w:rsid w:val="00AC43E8"/>
    <w:rsid w:val="00AC4597"/>
    <w:rsid w:val="00AC45F4"/>
    <w:rsid w:val="00AC4663"/>
    <w:rsid w:val="00AC4832"/>
    <w:rsid w:val="00AC4A0F"/>
    <w:rsid w:val="00AC4A2C"/>
    <w:rsid w:val="00AC4A4C"/>
    <w:rsid w:val="00AC4C8E"/>
    <w:rsid w:val="00AC4CAC"/>
    <w:rsid w:val="00AC4CAD"/>
    <w:rsid w:val="00AC4CD8"/>
    <w:rsid w:val="00AC4D6A"/>
    <w:rsid w:val="00AC4D8F"/>
    <w:rsid w:val="00AC4DAE"/>
    <w:rsid w:val="00AC4DE0"/>
    <w:rsid w:val="00AC4DFC"/>
    <w:rsid w:val="00AC4E1B"/>
    <w:rsid w:val="00AC5044"/>
    <w:rsid w:val="00AC5088"/>
    <w:rsid w:val="00AC50A8"/>
    <w:rsid w:val="00AC50BE"/>
    <w:rsid w:val="00AC521D"/>
    <w:rsid w:val="00AC529B"/>
    <w:rsid w:val="00AC530D"/>
    <w:rsid w:val="00AC53BC"/>
    <w:rsid w:val="00AC5449"/>
    <w:rsid w:val="00AC5467"/>
    <w:rsid w:val="00AC5499"/>
    <w:rsid w:val="00AC558B"/>
    <w:rsid w:val="00AC5AB4"/>
    <w:rsid w:val="00AC5B7A"/>
    <w:rsid w:val="00AC5BE1"/>
    <w:rsid w:val="00AC5CBD"/>
    <w:rsid w:val="00AC5D82"/>
    <w:rsid w:val="00AC5E88"/>
    <w:rsid w:val="00AC5F92"/>
    <w:rsid w:val="00AC6296"/>
    <w:rsid w:val="00AC655E"/>
    <w:rsid w:val="00AC65C4"/>
    <w:rsid w:val="00AC662E"/>
    <w:rsid w:val="00AC671C"/>
    <w:rsid w:val="00AC68DE"/>
    <w:rsid w:val="00AC6BE4"/>
    <w:rsid w:val="00AC6DD0"/>
    <w:rsid w:val="00AC6DF9"/>
    <w:rsid w:val="00AC6ECB"/>
    <w:rsid w:val="00AC700B"/>
    <w:rsid w:val="00AC7080"/>
    <w:rsid w:val="00AC70BC"/>
    <w:rsid w:val="00AC71B6"/>
    <w:rsid w:val="00AC7442"/>
    <w:rsid w:val="00AC759F"/>
    <w:rsid w:val="00AC76CB"/>
    <w:rsid w:val="00AC7748"/>
    <w:rsid w:val="00AC7770"/>
    <w:rsid w:val="00AC77A3"/>
    <w:rsid w:val="00AC7810"/>
    <w:rsid w:val="00AC782A"/>
    <w:rsid w:val="00AC79DF"/>
    <w:rsid w:val="00AC7AD0"/>
    <w:rsid w:val="00AC7B47"/>
    <w:rsid w:val="00AC7D35"/>
    <w:rsid w:val="00AC7E13"/>
    <w:rsid w:val="00AC7F8F"/>
    <w:rsid w:val="00AD0080"/>
    <w:rsid w:val="00AD0159"/>
    <w:rsid w:val="00AD0396"/>
    <w:rsid w:val="00AD044A"/>
    <w:rsid w:val="00AD04BC"/>
    <w:rsid w:val="00AD0567"/>
    <w:rsid w:val="00AD0572"/>
    <w:rsid w:val="00AD0613"/>
    <w:rsid w:val="00AD0766"/>
    <w:rsid w:val="00AD07DD"/>
    <w:rsid w:val="00AD0A62"/>
    <w:rsid w:val="00AD0C4A"/>
    <w:rsid w:val="00AD0D33"/>
    <w:rsid w:val="00AD0E06"/>
    <w:rsid w:val="00AD0F23"/>
    <w:rsid w:val="00AD1000"/>
    <w:rsid w:val="00AD100A"/>
    <w:rsid w:val="00AD1070"/>
    <w:rsid w:val="00AD1372"/>
    <w:rsid w:val="00AD16CF"/>
    <w:rsid w:val="00AD1745"/>
    <w:rsid w:val="00AD17F5"/>
    <w:rsid w:val="00AD1803"/>
    <w:rsid w:val="00AD1A27"/>
    <w:rsid w:val="00AD1D21"/>
    <w:rsid w:val="00AD1D33"/>
    <w:rsid w:val="00AD1E75"/>
    <w:rsid w:val="00AD2027"/>
    <w:rsid w:val="00AD2072"/>
    <w:rsid w:val="00AD2075"/>
    <w:rsid w:val="00AD214A"/>
    <w:rsid w:val="00AD2244"/>
    <w:rsid w:val="00AD2259"/>
    <w:rsid w:val="00AD235C"/>
    <w:rsid w:val="00AD255A"/>
    <w:rsid w:val="00AD2903"/>
    <w:rsid w:val="00AD2A8C"/>
    <w:rsid w:val="00AD2B47"/>
    <w:rsid w:val="00AD2C10"/>
    <w:rsid w:val="00AD2C5B"/>
    <w:rsid w:val="00AD2FC1"/>
    <w:rsid w:val="00AD3013"/>
    <w:rsid w:val="00AD3034"/>
    <w:rsid w:val="00AD3068"/>
    <w:rsid w:val="00AD31C4"/>
    <w:rsid w:val="00AD32D3"/>
    <w:rsid w:val="00AD3507"/>
    <w:rsid w:val="00AD353C"/>
    <w:rsid w:val="00AD35E4"/>
    <w:rsid w:val="00AD36D6"/>
    <w:rsid w:val="00AD3751"/>
    <w:rsid w:val="00AD37D5"/>
    <w:rsid w:val="00AD39C9"/>
    <w:rsid w:val="00AD3A16"/>
    <w:rsid w:val="00AD3C3F"/>
    <w:rsid w:val="00AD3C67"/>
    <w:rsid w:val="00AD3CB3"/>
    <w:rsid w:val="00AD3D64"/>
    <w:rsid w:val="00AD3F78"/>
    <w:rsid w:val="00AD40FE"/>
    <w:rsid w:val="00AD4174"/>
    <w:rsid w:val="00AD4339"/>
    <w:rsid w:val="00AD438E"/>
    <w:rsid w:val="00AD444B"/>
    <w:rsid w:val="00AD4461"/>
    <w:rsid w:val="00AD4474"/>
    <w:rsid w:val="00AD44EB"/>
    <w:rsid w:val="00AD46A7"/>
    <w:rsid w:val="00AD46E1"/>
    <w:rsid w:val="00AD46FB"/>
    <w:rsid w:val="00AD485E"/>
    <w:rsid w:val="00AD496C"/>
    <w:rsid w:val="00AD496F"/>
    <w:rsid w:val="00AD4A38"/>
    <w:rsid w:val="00AD4AB9"/>
    <w:rsid w:val="00AD4AF0"/>
    <w:rsid w:val="00AD4D40"/>
    <w:rsid w:val="00AD4DB8"/>
    <w:rsid w:val="00AD4E0B"/>
    <w:rsid w:val="00AD4E94"/>
    <w:rsid w:val="00AD4F74"/>
    <w:rsid w:val="00AD5130"/>
    <w:rsid w:val="00AD5470"/>
    <w:rsid w:val="00AD55BA"/>
    <w:rsid w:val="00AD5892"/>
    <w:rsid w:val="00AD58AB"/>
    <w:rsid w:val="00AD5AA6"/>
    <w:rsid w:val="00AD5B23"/>
    <w:rsid w:val="00AD5B70"/>
    <w:rsid w:val="00AD5BCC"/>
    <w:rsid w:val="00AD5D52"/>
    <w:rsid w:val="00AD5E7E"/>
    <w:rsid w:val="00AD5FB4"/>
    <w:rsid w:val="00AD6051"/>
    <w:rsid w:val="00AD6075"/>
    <w:rsid w:val="00AD6098"/>
    <w:rsid w:val="00AD610B"/>
    <w:rsid w:val="00AD6196"/>
    <w:rsid w:val="00AD61F1"/>
    <w:rsid w:val="00AD6306"/>
    <w:rsid w:val="00AD6524"/>
    <w:rsid w:val="00AD6541"/>
    <w:rsid w:val="00AD663D"/>
    <w:rsid w:val="00AD67A7"/>
    <w:rsid w:val="00AD6836"/>
    <w:rsid w:val="00AD688E"/>
    <w:rsid w:val="00AD688F"/>
    <w:rsid w:val="00AD6BC6"/>
    <w:rsid w:val="00AD6C34"/>
    <w:rsid w:val="00AD6D1F"/>
    <w:rsid w:val="00AD6E5A"/>
    <w:rsid w:val="00AD6E64"/>
    <w:rsid w:val="00AD6ED5"/>
    <w:rsid w:val="00AD7020"/>
    <w:rsid w:val="00AD708E"/>
    <w:rsid w:val="00AD70BB"/>
    <w:rsid w:val="00AD7107"/>
    <w:rsid w:val="00AD7203"/>
    <w:rsid w:val="00AD7290"/>
    <w:rsid w:val="00AD730D"/>
    <w:rsid w:val="00AD7313"/>
    <w:rsid w:val="00AD732F"/>
    <w:rsid w:val="00AD742A"/>
    <w:rsid w:val="00AD7455"/>
    <w:rsid w:val="00AD7524"/>
    <w:rsid w:val="00AD7921"/>
    <w:rsid w:val="00AD794A"/>
    <w:rsid w:val="00AD7BB4"/>
    <w:rsid w:val="00AD7D60"/>
    <w:rsid w:val="00AD7D68"/>
    <w:rsid w:val="00AD7DAE"/>
    <w:rsid w:val="00AD7DC9"/>
    <w:rsid w:val="00AD7E02"/>
    <w:rsid w:val="00AD7E5E"/>
    <w:rsid w:val="00AE0048"/>
    <w:rsid w:val="00AE00E1"/>
    <w:rsid w:val="00AE012A"/>
    <w:rsid w:val="00AE012F"/>
    <w:rsid w:val="00AE0391"/>
    <w:rsid w:val="00AE0414"/>
    <w:rsid w:val="00AE044B"/>
    <w:rsid w:val="00AE0498"/>
    <w:rsid w:val="00AE0507"/>
    <w:rsid w:val="00AE0930"/>
    <w:rsid w:val="00AE0936"/>
    <w:rsid w:val="00AE0A7F"/>
    <w:rsid w:val="00AE0A8E"/>
    <w:rsid w:val="00AE0C8E"/>
    <w:rsid w:val="00AE0CEC"/>
    <w:rsid w:val="00AE0DF9"/>
    <w:rsid w:val="00AE0EF0"/>
    <w:rsid w:val="00AE0F8A"/>
    <w:rsid w:val="00AE0FA9"/>
    <w:rsid w:val="00AE0FC1"/>
    <w:rsid w:val="00AE0FE0"/>
    <w:rsid w:val="00AE103C"/>
    <w:rsid w:val="00AE1054"/>
    <w:rsid w:val="00AE1060"/>
    <w:rsid w:val="00AE108A"/>
    <w:rsid w:val="00AE13B6"/>
    <w:rsid w:val="00AE1684"/>
    <w:rsid w:val="00AE180D"/>
    <w:rsid w:val="00AE1870"/>
    <w:rsid w:val="00AE18AF"/>
    <w:rsid w:val="00AE1A28"/>
    <w:rsid w:val="00AE1D69"/>
    <w:rsid w:val="00AE1E16"/>
    <w:rsid w:val="00AE1E9A"/>
    <w:rsid w:val="00AE218A"/>
    <w:rsid w:val="00AE2190"/>
    <w:rsid w:val="00AE228E"/>
    <w:rsid w:val="00AE2365"/>
    <w:rsid w:val="00AE2428"/>
    <w:rsid w:val="00AE2486"/>
    <w:rsid w:val="00AE2499"/>
    <w:rsid w:val="00AE267D"/>
    <w:rsid w:val="00AE2990"/>
    <w:rsid w:val="00AE29B0"/>
    <w:rsid w:val="00AE2A25"/>
    <w:rsid w:val="00AE2A5D"/>
    <w:rsid w:val="00AE2A7B"/>
    <w:rsid w:val="00AE2AAB"/>
    <w:rsid w:val="00AE2B5A"/>
    <w:rsid w:val="00AE2C75"/>
    <w:rsid w:val="00AE2C97"/>
    <w:rsid w:val="00AE2D5B"/>
    <w:rsid w:val="00AE2E86"/>
    <w:rsid w:val="00AE2EEC"/>
    <w:rsid w:val="00AE2FD5"/>
    <w:rsid w:val="00AE30D1"/>
    <w:rsid w:val="00AE3149"/>
    <w:rsid w:val="00AE31F6"/>
    <w:rsid w:val="00AE3360"/>
    <w:rsid w:val="00AE354C"/>
    <w:rsid w:val="00AE35BA"/>
    <w:rsid w:val="00AE3624"/>
    <w:rsid w:val="00AE3762"/>
    <w:rsid w:val="00AE3A13"/>
    <w:rsid w:val="00AE3D79"/>
    <w:rsid w:val="00AE3DE5"/>
    <w:rsid w:val="00AE3ED1"/>
    <w:rsid w:val="00AE3F13"/>
    <w:rsid w:val="00AE3FBD"/>
    <w:rsid w:val="00AE4112"/>
    <w:rsid w:val="00AE423A"/>
    <w:rsid w:val="00AE427F"/>
    <w:rsid w:val="00AE42C4"/>
    <w:rsid w:val="00AE43A0"/>
    <w:rsid w:val="00AE43FB"/>
    <w:rsid w:val="00AE4475"/>
    <w:rsid w:val="00AE4584"/>
    <w:rsid w:val="00AE477F"/>
    <w:rsid w:val="00AE4816"/>
    <w:rsid w:val="00AE488D"/>
    <w:rsid w:val="00AE4CFA"/>
    <w:rsid w:val="00AE4E14"/>
    <w:rsid w:val="00AE4EC6"/>
    <w:rsid w:val="00AE5082"/>
    <w:rsid w:val="00AE50A7"/>
    <w:rsid w:val="00AE51C0"/>
    <w:rsid w:val="00AE528B"/>
    <w:rsid w:val="00AE5435"/>
    <w:rsid w:val="00AE5470"/>
    <w:rsid w:val="00AE54F6"/>
    <w:rsid w:val="00AE5592"/>
    <w:rsid w:val="00AE5625"/>
    <w:rsid w:val="00AE5727"/>
    <w:rsid w:val="00AE573B"/>
    <w:rsid w:val="00AE5765"/>
    <w:rsid w:val="00AE589C"/>
    <w:rsid w:val="00AE58DF"/>
    <w:rsid w:val="00AE5B41"/>
    <w:rsid w:val="00AE5B49"/>
    <w:rsid w:val="00AE5BE1"/>
    <w:rsid w:val="00AE5CBD"/>
    <w:rsid w:val="00AE5DF1"/>
    <w:rsid w:val="00AE5E5A"/>
    <w:rsid w:val="00AE6002"/>
    <w:rsid w:val="00AE606E"/>
    <w:rsid w:val="00AE6076"/>
    <w:rsid w:val="00AE60A8"/>
    <w:rsid w:val="00AE60DF"/>
    <w:rsid w:val="00AE6185"/>
    <w:rsid w:val="00AE6254"/>
    <w:rsid w:val="00AE626F"/>
    <w:rsid w:val="00AE62DD"/>
    <w:rsid w:val="00AE6373"/>
    <w:rsid w:val="00AE64E6"/>
    <w:rsid w:val="00AE6532"/>
    <w:rsid w:val="00AE6585"/>
    <w:rsid w:val="00AE660C"/>
    <w:rsid w:val="00AE6612"/>
    <w:rsid w:val="00AE67CB"/>
    <w:rsid w:val="00AE6841"/>
    <w:rsid w:val="00AE685A"/>
    <w:rsid w:val="00AE68D7"/>
    <w:rsid w:val="00AE695D"/>
    <w:rsid w:val="00AE695F"/>
    <w:rsid w:val="00AE6AEC"/>
    <w:rsid w:val="00AE6DD8"/>
    <w:rsid w:val="00AE6EE9"/>
    <w:rsid w:val="00AE6FA2"/>
    <w:rsid w:val="00AE6FE3"/>
    <w:rsid w:val="00AE70F3"/>
    <w:rsid w:val="00AE716B"/>
    <w:rsid w:val="00AE727C"/>
    <w:rsid w:val="00AE72C1"/>
    <w:rsid w:val="00AE7415"/>
    <w:rsid w:val="00AE74BF"/>
    <w:rsid w:val="00AE7688"/>
    <w:rsid w:val="00AE76A4"/>
    <w:rsid w:val="00AE7728"/>
    <w:rsid w:val="00AE77E4"/>
    <w:rsid w:val="00AE781A"/>
    <w:rsid w:val="00AE78D2"/>
    <w:rsid w:val="00AE7AE6"/>
    <w:rsid w:val="00AE7D53"/>
    <w:rsid w:val="00AE7E22"/>
    <w:rsid w:val="00AE7E69"/>
    <w:rsid w:val="00AF01AA"/>
    <w:rsid w:val="00AF0655"/>
    <w:rsid w:val="00AF06C0"/>
    <w:rsid w:val="00AF06FE"/>
    <w:rsid w:val="00AF0750"/>
    <w:rsid w:val="00AF085A"/>
    <w:rsid w:val="00AF0963"/>
    <w:rsid w:val="00AF0B1B"/>
    <w:rsid w:val="00AF0B5D"/>
    <w:rsid w:val="00AF0BCC"/>
    <w:rsid w:val="00AF0BF0"/>
    <w:rsid w:val="00AF0C54"/>
    <w:rsid w:val="00AF0EC3"/>
    <w:rsid w:val="00AF121E"/>
    <w:rsid w:val="00AF147E"/>
    <w:rsid w:val="00AF14C5"/>
    <w:rsid w:val="00AF15ED"/>
    <w:rsid w:val="00AF1678"/>
    <w:rsid w:val="00AF16DB"/>
    <w:rsid w:val="00AF1A95"/>
    <w:rsid w:val="00AF1AB0"/>
    <w:rsid w:val="00AF1E1F"/>
    <w:rsid w:val="00AF1E4E"/>
    <w:rsid w:val="00AF1E54"/>
    <w:rsid w:val="00AF1F11"/>
    <w:rsid w:val="00AF1FDA"/>
    <w:rsid w:val="00AF20B7"/>
    <w:rsid w:val="00AF223E"/>
    <w:rsid w:val="00AF2304"/>
    <w:rsid w:val="00AF23F0"/>
    <w:rsid w:val="00AF242A"/>
    <w:rsid w:val="00AF2452"/>
    <w:rsid w:val="00AF25D1"/>
    <w:rsid w:val="00AF26F5"/>
    <w:rsid w:val="00AF2803"/>
    <w:rsid w:val="00AF280E"/>
    <w:rsid w:val="00AF2AC1"/>
    <w:rsid w:val="00AF2ACF"/>
    <w:rsid w:val="00AF2B41"/>
    <w:rsid w:val="00AF2B57"/>
    <w:rsid w:val="00AF2C12"/>
    <w:rsid w:val="00AF2CE3"/>
    <w:rsid w:val="00AF2D86"/>
    <w:rsid w:val="00AF2EE9"/>
    <w:rsid w:val="00AF2F0C"/>
    <w:rsid w:val="00AF3005"/>
    <w:rsid w:val="00AF319D"/>
    <w:rsid w:val="00AF31B4"/>
    <w:rsid w:val="00AF322C"/>
    <w:rsid w:val="00AF3266"/>
    <w:rsid w:val="00AF34EB"/>
    <w:rsid w:val="00AF36D5"/>
    <w:rsid w:val="00AF3754"/>
    <w:rsid w:val="00AF3765"/>
    <w:rsid w:val="00AF38EF"/>
    <w:rsid w:val="00AF3ACA"/>
    <w:rsid w:val="00AF3AF1"/>
    <w:rsid w:val="00AF3CA7"/>
    <w:rsid w:val="00AF3F4D"/>
    <w:rsid w:val="00AF40A2"/>
    <w:rsid w:val="00AF411E"/>
    <w:rsid w:val="00AF41EC"/>
    <w:rsid w:val="00AF42F6"/>
    <w:rsid w:val="00AF45D6"/>
    <w:rsid w:val="00AF4759"/>
    <w:rsid w:val="00AF47A2"/>
    <w:rsid w:val="00AF4882"/>
    <w:rsid w:val="00AF4BE1"/>
    <w:rsid w:val="00AF4C85"/>
    <w:rsid w:val="00AF4D61"/>
    <w:rsid w:val="00AF4D80"/>
    <w:rsid w:val="00AF4E41"/>
    <w:rsid w:val="00AF4F3B"/>
    <w:rsid w:val="00AF53A4"/>
    <w:rsid w:val="00AF5595"/>
    <w:rsid w:val="00AF55EC"/>
    <w:rsid w:val="00AF55FC"/>
    <w:rsid w:val="00AF5815"/>
    <w:rsid w:val="00AF5817"/>
    <w:rsid w:val="00AF586D"/>
    <w:rsid w:val="00AF58F7"/>
    <w:rsid w:val="00AF5A74"/>
    <w:rsid w:val="00AF5ABA"/>
    <w:rsid w:val="00AF5B05"/>
    <w:rsid w:val="00AF5B53"/>
    <w:rsid w:val="00AF6338"/>
    <w:rsid w:val="00AF63F2"/>
    <w:rsid w:val="00AF6501"/>
    <w:rsid w:val="00AF65E0"/>
    <w:rsid w:val="00AF6611"/>
    <w:rsid w:val="00AF66DE"/>
    <w:rsid w:val="00AF66FD"/>
    <w:rsid w:val="00AF67D4"/>
    <w:rsid w:val="00AF68B5"/>
    <w:rsid w:val="00AF6ABC"/>
    <w:rsid w:val="00AF6C28"/>
    <w:rsid w:val="00AF6D9D"/>
    <w:rsid w:val="00AF6DAE"/>
    <w:rsid w:val="00AF6E4C"/>
    <w:rsid w:val="00AF6EDE"/>
    <w:rsid w:val="00AF6F09"/>
    <w:rsid w:val="00AF6FD1"/>
    <w:rsid w:val="00AF7243"/>
    <w:rsid w:val="00AF734D"/>
    <w:rsid w:val="00AF73B9"/>
    <w:rsid w:val="00AF747A"/>
    <w:rsid w:val="00AF751A"/>
    <w:rsid w:val="00AF78E9"/>
    <w:rsid w:val="00AF793C"/>
    <w:rsid w:val="00AF7B19"/>
    <w:rsid w:val="00AF7E58"/>
    <w:rsid w:val="00B00006"/>
    <w:rsid w:val="00B0017B"/>
    <w:rsid w:val="00B0020A"/>
    <w:rsid w:val="00B00560"/>
    <w:rsid w:val="00B00664"/>
    <w:rsid w:val="00B007B3"/>
    <w:rsid w:val="00B00911"/>
    <w:rsid w:val="00B00930"/>
    <w:rsid w:val="00B00949"/>
    <w:rsid w:val="00B0099D"/>
    <w:rsid w:val="00B00ACC"/>
    <w:rsid w:val="00B00D79"/>
    <w:rsid w:val="00B00DCA"/>
    <w:rsid w:val="00B0112A"/>
    <w:rsid w:val="00B01274"/>
    <w:rsid w:val="00B0174E"/>
    <w:rsid w:val="00B0186B"/>
    <w:rsid w:val="00B0192C"/>
    <w:rsid w:val="00B01AE7"/>
    <w:rsid w:val="00B01B38"/>
    <w:rsid w:val="00B01CE4"/>
    <w:rsid w:val="00B01D9A"/>
    <w:rsid w:val="00B01EEE"/>
    <w:rsid w:val="00B01F37"/>
    <w:rsid w:val="00B02005"/>
    <w:rsid w:val="00B02072"/>
    <w:rsid w:val="00B020F3"/>
    <w:rsid w:val="00B0220B"/>
    <w:rsid w:val="00B022B9"/>
    <w:rsid w:val="00B022E9"/>
    <w:rsid w:val="00B02349"/>
    <w:rsid w:val="00B02390"/>
    <w:rsid w:val="00B023C7"/>
    <w:rsid w:val="00B02648"/>
    <w:rsid w:val="00B026D6"/>
    <w:rsid w:val="00B027AA"/>
    <w:rsid w:val="00B02862"/>
    <w:rsid w:val="00B028DE"/>
    <w:rsid w:val="00B02970"/>
    <w:rsid w:val="00B02BF3"/>
    <w:rsid w:val="00B02C1E"/>
    <w:rsid w:val="00B02D80"/>
    <w:rsid w:val="00B02F53"/>
    <w:rsid w:val="00B03001"/>
    <w:rsid w:val="00B031A9"/>
    <w:rsid w:val="00B03397"/>
    <w:rsid w:val="00B03726"/>
    <w:rsid w:val="00B03817"/>
    <w:rsid w:val="00B0395A"/>
    <w:rsid w:val="00B039AD"/>
    <w:rsid w:val="00B03BF6"/>
    <w:rsid w:val="00B03C89"/>
    <w:rsid w:val="00B03D0D"/>
    <w:rsid w:val="00B03D2D"/>
    <w:rsid w:val="00B03E14"/>
    <w:rsid w:val="00B04092"/>
    <w:rsid w:val="00B040CB"/>
    <w:rsid w:val="00B04163"/>
    <w:rsid w:val="00B042B9"/>
    <w:rsid w:val="00B04318"/>
    <w:rsid w:val="00B04502"/>
    <w:rsid w:val="00B04574"/>
    <w:rsid w:val="00B0463A"/>
    <w:rsid w:val="00B047A5"/>
    <w:rsid w:val="00B04801"/>
    <w:rsid w:val="00B0481F"/>
    <w:rsid w:val="00B04A70"/>
    <w:rsid w:val="00B04B66"/>
    <w:rsid w:val="00B04B76"/>
    <w:rsid w:val="00B04D05"/>
    <w:rsid w:val="00B04F23"/>
    <w:rsid w:val="00B04F6E"/>
    <w:rsid w:val="00B0521E"/>
    <w:rsid w:val="00B0527B"/>
    <w:rsid w:val="00B05313"/>
    <w:rsid w:val="00B054FA"/>
    <w:rsid w:val="00B055FA"/>
    <w:rsid w:val="00B056BA"/>
    <w:rsid w:val="00B05771"/>
    <w:rsid w:val="00B057C2"/>
    <w:rsid w:val="00B057D8"/>
    <w:rsid w:val="00B058D5"/>
    <w:rsid w:val="00B05943"/>
    <w:rsid w:val="00B05A26"/>
    <w:rsid w:val="00B05B44"/>
    <w:rsid w:val="00B05C7F"/>
    <w:rsid w:val="00B05CEF"/>
    <w:rsid w:val="00B05D64"/>
    <w:rsid w:val="00B05DA6"/>
    <w:rsid w:val="00B05DE0"/>
    <w:rsid w:val="00B05EE1"/>
    <w:rsid w:val="00B05F6E"/>
    <w:rsid w:val="00B06100"/>
    <w:rsid w:val="00B064F6"/>
    <w:rsid w:val="00B0651B"/>
    <w:rsid w:val="00B0660C"/>
    <w:rsid w:val="00B0667E"/>
    <w:rsid w:val="00B066AB"/>
    <w:rsid w:val="00B067B3"/>
    <w:rsid w:val="00B067BE"/>
    <w:rsid w:val="00B067D5"/>
    <w:rsid w:val="00B06937"/>
    <w:rsid w:val="00B0694F"/>
    <w:rsid w:val="00B0699B"/>
    <w:rsid w:val="00B069DD"/>
    <w:rsid w:val="00B06A08"/>
    <w:rsid w:val="00B06A12"/>
    <w:rsid w:val="00B06B12"/>
    <w:rsid w:val="00B06BF5"/>
    <w:rsid w:val="00B06CDA"/>
    <w:rsid w:val="00B06F68"/>
    <w:rsid w:val="00B07066"/>
    <w:rsid w:val="00B072B2"/>
    <w:rsid w:val="00B072FD"/>
    <w:rsid w:val="00B0732E"/>
    <w:rsid w:val="00B07565"/>
    <w:rsid w:val="00B075EE"/>
    <w:rsid w:val="00B07620"/>
    <w:rsid w:val="00B07755"/>
    <w:rsid w:val="00B0789C"/>
    <w:rsid w:val="00B07900"/>
    <w:rsid w:val="00B07B6B"/>
    <w:rsid w:val="00B07D95"/>
    <w:rsid w:val="00B07DDA"/>
    <w:rsid w:val="00B07E3A"/>
    <w:rsid w:val="00B101D1"/>
    <w:rsid w:val="00B1040B"/>
    <w:rsid w:val="00B1040D"/>
    <w:rsid w:val="00B104A0"/>
    <w:rsid w:val="00B105F4"/>
    <w:rsid w:val="00B106D6"/>
    <w:rsid w:val="00B106E6"/>
    <w:rsid w:val="00B1073C"/>
    <w:rsid w:val="00B107DD"/>
    <w:rsid w:val="00B108A9"/>
    <w:rsid w:val="00B10963"/>
    <w:rsid w:val="00B10A0D"/>
    <w:rsid w:val="00B10AE7"/>
    <w:rsid w:val="00B10BC1"/>
    <w:rsid w:val="00B10C4C"/>
    <w:rsid w:val="00B10CDE"/>
    <w:rsid w:val="00B10CE5"/>
    <w:rsid w:val="00B1113F"/>
    <w:rsid w:val="00B1128F"/>
    <w:rsid w:val="00B112B4"/>
    <w:rsid w:val="00B11694"/>
    <w:rsid w:val="00B119B1"/>
    <w:rsid w:val="00B11A2F"/>
    <w:rsid w:val="00B11D47"/>
    <w:rsid w:val="00B11FCE"/>
    <w:rsid w:val="00B120D6"/>
    <w:rsid w:val="00B12210"/>
    <w:rsid w:val="00B1230A"/>
    <w:rsid w:val="00B12345"/>
    <w:rsid w:val="00B1243E"/>
    <w:rsid w:val="00B124FD"/>
    <w:rsid w:val="00B12565"/>
    <w:rsid w:val="00B127A1"/>
    <w:rsid w:val="00B12855"/>
    <w:rsid w:val="00B128ED"/>
    <w:rsid w:val="00B12928"/>
    <w:rsid w:val="00B129A9"/>
    <w:rsid w:val="00B12A1E"/>
    <w:rsid w:val="00B12A25"/>
    <w:rsid w:val="00B12A94"/>
    <w:rsid w:val="00B12AB5"/>
    <w:rsid w:val="00B12B78"/>
    <w:rsid w:val="00B12D10"/>
    <w:rsid w:val="00B12DCB"/>
    <w:rsid w:val="00B13002"/>
    <w:rsid w:val="00B13240"/>
    <w:rsid w:val="00B132E7"/>
    <w:rsid w:val="00B133E8"/>
    <w:rsid w:val="00B135D6"/>
    <w:rsid w:val="00B13B49"/>
    <w:rsid w:val="00B13BA4"/>
    <w:rsid w:val="00B13D21"/>
    <w:rsid w:val="00B13D77"/>
    <w:rsid w:val="00B13E5F"/>
    <w:rsid w:val="00B13EFA"/>
    <w:rsid w:val="00B13F31"/>
    <w:rsid w:val="00B13F3F"/>
    <w:rsid w:val="00B13F89"/>
    <w:rsid w:val="00B140F2"/>
    <w:rsid w:val="00B141C8"/>
    <w:rsid w:val="00B1441E"/>
    <w:rsid w:val="00B14AD6"/>
    <w:rsid w:val="00B14AE8"/>
    <w:rsid w:val="00B14BDF"/>
    <w:rsid w:val="00B14E7F"/>
    <w:rsid w:val="00B14F5D"/>
    <w:rsid w:val="00B151D8"/>
    <w:rsid w:val="00B15210"/>
    <w:rsid w:val="00B15288"/>
    <w:rsid w:val="00B154BB"/>
    <w:rsid w:val="00B155BD"/>
    <w:rsid w:val="00B1560F"/>
    <w:rsid w:val="00B15692"/>
    <w:rsid w:val="00B15793"/>
    <w:rsid w:val="00B1583D"/>
    <w:rsid w:val="00B159F3"/>
    <w:rsid w:val="00B15DAD"/>
    <w:rsid w:val="00B15DC6"/>
    <w:rsid w:val="00B15EA9"/>
    <w:rsid w:val="00B160DE"/>
    <w:rsid w:val="00B1619D"/>
    <w:rsid w:val="00B162D7"/>
    <w:rsid w:val="00B162E6"/>
    <w:rsid w:val="00B16566"/>
    <w:rsid w:val="00B16749"/>
    <w:rsid w:val="00B16825"/>
    <w:rsid w:val="00B1689C"/>
    <w:rsid w:val="00B168F3"/>
    <w:rsid w:val="00B16960"/>
    <w:rsid w:val="00B16A96"/>
    <w:rsid w:val="00B1701E"/>
    <w:rsid w:val="00B17138"/>
    <w:rsid w:val="00B171C2"/>
    <w:rsid w:val="00B171F4"/>
    <w:rsid w:val="00B172AB"/>
    <w:rsid w:val="00B17789"/>
    <w:rsid w:val="00B177E6"/>
    <w:rsid w:val="00B179C3"/>
    <w:rsid w:val="00B17A15"/>
    <w:rsid w:val="00B17AC2"/>
    <w:rsid w:val="00B17BD4"/>
    <w:rsid w:val="00B17BFA"/>
    <w:rsid w:val="00B17F5B"/>
    <w:rsid w:val="00B17F6A"/>
    <w:rsid w:val="00B20150"/>
    <w:rsid w:val="00B20407"/>
    <w:rsid w:val="00B20491"/>
    <w:rsid w:val="00B20517"/>
    <w:rsid w:val="00B2079C"/>
    <w:rsid w:val="00B20824"/>
    <w:rsid w:val="00B2094E"/>
    <w:rsid w:val="00B2096B"/>
    <w:rsid w:val="00B2097F"/>
    <w:rsid w:val="00B20A2D"/>
    <w:rsid w:val="00B20DF8"/>
    <w:rsid w:val="00B20FAD"/>
    <w:rsid w:val="00B21137"/>
    <w:rsid w:val="00B2113A"/>
    <w:rsid w:val="00B215A0"/>
    <w:rsid w:val="00B2170E"/>
    <w:rsid w:val="00B21736"/>
    <w:rsid w:val="00B21839"/>
    <w:rsid w:val="00B2187F"/>
    <w:rsid w:val="00B21969"/>
    <w:rsid w:val="00B219B5"/>
    <w:rsid w:val="00B21A75"/>
    <w:rsid w:val="00B21BAC"/>
    <w:rsid w:val="00B21BCD"/>
    <w:rsid w:val="00B21BF0"/>
    <w:rsid w:val="00B21D35"/>
    <w:rsid w:val="00B21D46"/>
    <w:rsid w:val="00B21D57"/>
    <w:rsid w:val="00B21E62"/>
    <w:rsid w:val="00B22457"/>
    <w:rsid w:val="00B22579"/>
    <w:rsid w:val="00B2266D"/>
    <w:rsid w:val="00B22708"/>
    <w:rsid w:val="00B2272D"/>
    <w:rsid w:val="00B2276F"/>
    <w:rsid w:val="00B2278A"/>
    <w:rsid w:val="00B22933"/>
    <w:rsid w:val="00B2299B"/>
    <w:rsid w:val="00B229AA"/>
    <w:rsid w:val="00B229AC"/>
    <w:rsid w:val="00B22A62"/>
    <w:rsid w:val="00B22BFB"/>
    <w:rsid w:val="00B22E74"/>
    <w:rsid w:val="00B22ECA"/>
    <w:rsid w:val="00B2304C"/>
    <w:rsid w:val="00B2312A"/>
    <w:rsid w:val="00B23132"/>
    <w:rsid w:val="00B231B6"/>
    <w:rsid w:val="00B2326E"/>
    <w:rsid w:val="00B236B9"/>
    <w:rsid w:val="00B237E7"/>
    <w:rsid w:val="00B23960"/>
    <w:rsid w:val="00B23A0E"/>
    <w:rsid w:val="00B23AE2"/>
    <w:rsid w:val="00B23D93"/>
    <w:rsid w:val="00B23FBF"/>
    <w:rsid w:val="00B23FD2"/>
    <w:rsid w:val="00B2402E"/>
    <w:rsid w:val="00B240FF"/>
    <w:rsid w:val="00B24209"/>
    <w:rsid w:val="00B24413"/>
    <w:rsid w:val="00B2448D"/>
    <w:rsid w:val="00B24811"/>
    <w:rsid w:val="00B2487E"/>
    <w:rsid w:val="00B24999"/>
    <w:rsid w:val="00B249E7"/>
    <w:rsid w:val="00B24A75"/>
    <w:rsid w:val="00B24B31"/>
    <w:rsid w:val="00B24B72"/>
    <w:rsid w:val="00B24C0A"/>
    <w:rsid w:val="00B24CD9"/>
    <w:rsid w:val="00B24FD5"/>
    <w:rsid w:val="00B25018"/>
    <w:rsid w:val="00B250BE"/>
    <w:rsid w:val="00B250DD"/>
    <w:rsid w:val="00B25203"/>
    <w:rsid w:val="00B2535C"/>
    <w:rsid w:val="00B25932"/>
    <w:rsid w:val="00B25939"/>
    <w:rsid w:val="00B25A05"/>
    <w:rsid w:val="00B25A3D"/>
    <w:rsid w:val="00B25ABA"/>
    <w:rsid w:val="00B25AEF"/>
    <w:rsid w:val="00B25BA3"/>
    <w:rsid w:val="00B25C1F"/>
    <w:rsid w:val="00B25DBC"/>
    <w:rsid w:val="00B25F73"/>
    <w:rsid w:val="00B25FE8"/>
    <w:rsid w:val="00B26180"/>
    <w:rsid w:val="00B2619D"/>
    <w:rsid w:val="00B2619E"/>
    <w:rsid w:val="00B2624F"/>
    <w:rsid w:val="00B2630F"/>
    <w:rsid w:val="00B2636C"/>
    <w:rsid w:val="00B263F1"/>
    <w:rsid w:val="00B264E5"/>
    <w:rsid w:val="00B264F0"/>
    <w:rsid w:val="00B265C1"/>
    <w:rsid w:val="00B26726"/>
    <w:rsid w:val="00B26768"/>
    <w:rsid w:val="00B26877"/>
    <w:rsid w:val="00B268B0"/>
    <w:rsid w:val="00B26A0F"/>
    <w:rsid w:val="00B26C23"/>
    <w:rsid w:val="00B26D48"/>
    <w:rsid w:val="00B26E24"/>
    <w:rsid w:val="00B2702B"/>
    <w:rsid w:val="00B27076"/>
    <w:rsid w:val="00B27092"/>
    <w:rsid w:val="00B272E4"/>
    <w:rsid w:val="00B2737A"/>
    <w:rsid w:val="00B274C9"/>
    <w:rsid w:val="00B2750D"/>
    <w:rsid w:val="00B275C3"/>
    <w:rsid w:val="00B275C7"/>
    <w:rsid w:val="00B27784"/>
    <w:rsid w:val="00B27915"/>
    <w:rsid w:val="00B27978"/>
    <w:rsid w:val="00B279F7"/>
    <w:rsid w:val="00B27A55"/>
    <w:rsid w:val="00B27ACB"/>
    <w:rsid w:val="00B27B58"/>
    <w:rsid w:val="00B27B5C"/>
    <w:rsid w:val="00B27BBA"/>
    <w:rsid w:val="00B27CA9"/>
    <w:rsid w:val="00B27F0C"/>
    <w:rsid w:val="00B27F1E"/>
    <w:rsid w:val="00B27FA2"/>
    <w:rsid w:val="00B3022D"/>
    <w:rsid w:val="00B303D1"/>
    <w:rsid w:val="00B3059D"/>
    <w:rsid w:val="00B305AC"/>
    <w:rsid w:val="00B30738"/>
    <w:rsid w:val="00B30841"/>
    <w:rsid w:val="00B3088E"/>
    <w:rsid w:val="00B30931"/>
    <w:rsid w:val="00B30A37"/>
    <w:rsid w:val="00B30E65"/>
    <w:rsid w:val="00B30E68"/>
    <w:rsid w:val="00B30F36"/>
    <w:rsid w:val="00B30F8C"/>
    <w:rsid w:val="00B30FA5"/>
    <w:rsid w:val="00B30FDF"/>
    <w:rsid w:val="00B31072"/>
    <w:rsid w:val="00B3115F"/>
    <w:rsid w:val="00B31515"/>
    <w:rsid w:val="00B31559"/>
    <w:rsid w:val="00B316B1"/>
    <w:rsid w:val="00B316E1"/>
    <w:rsid w:val="00B318CD"/>
    <w:rsid w:val="00B319DD"/>
    <w:rsid w:val="00B31C19"/>
    <w:rsid w:val="00B31C44"/>
    <w:rsid w:val="00B31CF8"/>
    <w:rsid w:val="00B31DFF"/>
    <w:rsid w:val="00B31E85"/>
    <w:rsid w:val="00B31F7D"/>
    <w:rsid w:val="00B31FA8"/>
    <w:rsid w:val="00B32241"/>
    <w:rsid w:val="00B32380"/>
    <w:rsid w:val="00B323B5"/>
    <w:rsid w:val="00B323FE"/>
    <w:rsid w:val="00B324AB"/>
    <w:rsid w:val="00B32714"/>
    <w:rsid w:val="00B32721"/>
    <w:rsid w:val="00B3272F"/>
    <w:rsid w:val="00B3276C"/>
    <w:rsid w:val="00B32822"/>
    <w:rsid w:val="00B32868"/>
    <w:rsid w:val="00B32ABF"/>
    <w:rsid w:val="00B32B39"/>
    <w:rsid w:val="00B32CA8"/>
    <w:rsid w:val="00B32EA1"/>
    <w:rsid w:val="00B32F05"/>
    <w:rsid w:val="00B33156"/>
    <w:rsid w:val="00B33164"/>
    <w:rsid w:val="00B33270"/>
    <w:rsid w:val="00B33433"/>
    <w:rsid w:val="00B33529"/>
    <w:rsid w:val="00B336BE"/>
    <w:rsid w:val="00B3373E"/>
    <w:rsid w:val="00B337C0"/>
    <w:rsid w:val="00B33947"/>
    <w:rsid w:val="00B33A28"/>
    <w:rsid w:val="00B33E01"/>
    <w:rsid w:val="00B33E1C"/>
    <w:rsid w:val="00B34127"/>
    <w:rsid w:val="00B3419A"/>
    <w:rsid w:val="00B341EF"/>
    <w:rsid w:val="00B342B2"/>
    <w:rsid w:val="00B342E7"/>
    <w:rsid w:val="00B343CA"/>
    <w:rsid w:val="00B344A8"/>
    <w:rsid w:val="00B344BF"/>
    <w:rsid w:val="00B344FA"/>
    <w:rsid w:val="00B345D7"/>
    <w:rsid w:val="00B346CE"/>
    <w:rsid w:val="00B34713"/>
    <w:rsid w:val="00B3488B"/>
    <w:rsid w:val="00B34BAD"/>
    <w:rsid w:val="00B34BEF"/>
    <w:rsid w:val="00B34C56"/>
    <w:rsid w:val="00B34D18"/>
    <w:rsid w:val="00B34DB9"/>
    <w:rsid w:val="00B34ED0"/>
    <w:rsid w:val="00B34F28"/>
    <w:rsid w:val="00B34F46"/>
    <w:rsid w:val="00B34F57"/>
    <w:rsid w:val="00B3508A"/>
    <w:rsid w:val="00B350F6"/>
    <w:rsid w:val="00B35343"/>
    <w:rsid w:val="00B353B4"/>
    <w:rsid w:val="00B35463"/>
    <w:rsid w:val="00B3551D"/>
    <w:rsid w:val="00B355D0"/>
    <w:rsid w:val="00B35629"/>
    <w:rsid w:val="00B35673"/>
    <w:rsid w:val="00B35718"/>
    <w:rsid w:val="00B3571F"/>
    <w:rsid w:val="00B357A4"/>
    <w:rsid w:val="00B357B8"/>
    <w:rsid w:val="00B35898"/>
    <w:rsid w:val="00B3592F"/>
    <w:rsid w:val="00B35960"/>
    <w:rsid w:val="00B35963"/>
    <w:rsid w:val="00B35987"/>
    <w:rsid w:val="00B35C33"/>
    <w:rsid w:val="00B35FDD"/>
    <w:rsid w:val="00B36034"/>
    <w:rsid w:val="00B36123"/>
    <w:rsid w:val="00B3620E"/>
    <w:rsid w:val="00B36265"/>
    <w:rsid w:val="00B362E6"/>
    <w:rsid w:val="00B36513"/>
    <w:rsid w:val="00B3654C"/>
    <w:rsid w:val="00B365C0"/>
    <w:rsid w:val="00B366B5"/>
    <w:rsid w:val="00B367EC"/>
    <w:rsid w:val="00B3693D"/>
    <w:rsid w:val="00B369D8"/>
    <w:rsid w:val="00B36A94"/>
    <w:rsid w:val="00B36BA3"/>
    <w:rsid w:val="00B36BE3"/>
    <w:rsid w:val="00B36C12"/>
    <w:rsid w:val="00B36C7F"/>
    <w:rsid w:val="00B36D34"/>
    <w:rsid w:val="00B36DE6"/>
    <w:rsid w:val="00B36ED2"/>
    <w:rsid w:val="00B36F6F"/>
    <w:rsid w:val="00B36FBC"/>
    <w:rsid w:val="00B370FF"/>
    <w:rsid w:val="00B3725D"/>
    <w:rsid w:val="00B37376"/>
    <w:rsid w:val="00B373FD"/>
    <w:rsid w:val="00B3747D"/>
    <w:rsid w:val="00B37561"/>
    <w:rsid w:val="00B37572"/>
    <w:rsid w:val="00B37605"/>
    <w:rsid w:val="00B3760E"/>
    <w:rsid w:val="00B376DB"/>
    <w:rsid w:val="00B37818"/>
    <w:rsid w:val="00B37A60"/>
    <w:rsid w:val="00B37B4F"/>
    <w:rsid w:val="00B37D23"/>
    <w:rsid w:val="00B37DEB"/>
    <w:rsid w:val="00B37E8B"/>
    <w:rsid w:val="00B37EEB"/>
    <w:rsid w:val="00B40124"/>
    <w:rsid w:val="00B402C5"/>
    <w:rsid w:val="00B403BF"/>
    <w:rsid w:val="00B403C7"/>
    <w:rsid w:val="00B4051C"/>
    <w:rsid w:val="00B4051F"/>
    <w:rsid w:val="00B405CA"/>
    <w:rsid w:val="00B40635"/>
    <w:rsid w:val="00B40678"/>
    <w:rsid w:val="00B406B4"/>
    <w:rsid w:val="00B40796"/>
    <w:rsid w:val="00B40799"/>
    <w:rsid w:val="00B407BB"/>
    <w:rsid w:val="00B40817"/>
    <w:rsid w:val="00B4099E"/>
    <w:rsid w:val="00B40A9C"/>
    <w:rsid w:val="00B40C2E"/>
    <w:rsid w:val="00B40CB4"/>
    <w:rsid w:val="00B40D0A"/>
    <w:rsid w:val="00B40D69"/>
    <w:rsid w:val="00B40E16"/>
    <w:rsid w:val="00B40EC3"/>
    <w:rsid w:val="00B40F0B"/>
    <w:rsid w:val="00B40F80"/>
    <w:rsid w:val="00B40FBD"/>
    <w:rsid w:val="00B41109"/>
    <w:rsid w:val="00B41183"/>
    <w:rsid w:val="00B4119A"/>
    <w:rsid w:val="00B41231"/>
    <w:rsid w:val="00B412A3"/>
    <w:rsid w:val="00B41387"/>
    <w:rsid w:val="00B41408"/>
    <w:rsid w:val="00B4140B"/>
    <w:rsid w:val="00B414FA"/>
    <w:rsid w:val="00B41571"/>
    <w:rsid w:val="00B41592"/>
    <w:rsid w:val="00B41615"/>
    <w:rsid w:val="00B416CF"/>
    <w:rsid w:val="00B419A0"/>
    <w:rsid w:val="00B41ACB"/>
    <w:rsid w:val="00B41C6B"/>
    <w:rsid w:val="00B41C82"/>
    <w:rsid w:val="00B41CD9"/>
    <w:rsid w:val="00B41D99"/>
    <w:rsid w:val="00B41E7D"/>
    <w:rsid w:val="00B42132"/>
    <w:rsid w:val="00B423CE"/>
    <w:rsid w:val="00B427D8"/>
    <w:rsid w:val="00B42887"/>
    <w:rsid w:val="00B42949"/>
    <w:rsid w:val="00B42BC5"/>
    <w:rsid w:val="00B43018"/>
    <w:rsid w:val="00B43278"/>
    <w:rsid w:val="00B433FB"/>
    <w:rsid w:val="00B43447"/>
    <w:rsid w:val="00B43671"/>
    <w:rsid w:val="00B438DC"/>
    <w:rsid w:val="00B43B32"/>
    <w:rsid w:val="00B43BB3"/>
    <w:rsid w:val="00B43BBA"/>
    <w:rsid w:val="00B43C3D"/>
    <w:rsid w:val="00B43C9C"/>
    <w:rsid w:val="00B43D8B"/>
    <w:rsid w:val="00B4404B"/>
    <w:rsid w:val="00B441C5"/>
    <w:rsid w:val="00B44252"/>
    <w:rsid w:val="00B44268"/>
    <w:rsid w:val="00B44361"/>
    <w:rsid w:val="00B445D2"/>
    <w:rsid w:val="00B4460E"/>
    <w:rsid w:val="00B44675"/>
    <w:rsid w:val="00B446DF"/>
    <w:rsid w:val="00B446EE"/>
    <w:rsid w:val="00B447A5"/>
    <w:rsid w:val="00B447E2"/>
    <w:rsid w:val="00B447E3"/>
    <w:rsid w:val="00B4488B"/>
    <w:rsid w:val="00B449C1"/>
    <w:rsid w:val="00B44B5C"/>
    <w:rsid w:val="00B44B77"/>
    <w:rsid w:val="00B44BA9"/>
    <w:rsid w:val="00B44BF7"/>
    <w:rsid w:val="00B44C86"/>
    <w:rsid w:val="00B44CE0"/>
    <w:rsid w:val="00B44D62"/>
    <w:rsid w:val="00B44F6F"/>
    <w:rsid w:val="00B453F3"/>
    <w:rsid w:val="00B454A6"/>
    <w:rsid w:val="00B456A3"/>
    <w:rsid w:val="00B456F4"/>
    <w:rsid w:val="00B457B0"/>
    <w:rsid w:val="00B45855"/>
    <w:rsid w:val="00B458A2"/>
    <w:rsid w:val="00B45ACD"/>
    <w:rsid w:val="00B45B0B"/>
    <w:rsid w:val="00B45BBA"/>
    <w:rsid w:val="00B45C1E"/>
    <w:rsid w:val="00B45D1D"/>
    <w:rsid w:val="00B45DDA"/>
    <w:rsid w:val="00B45EA9"/>
    <w:rsid w:val="00B45F62"/>
    <w:rsid w:val="00B46019"/>
    <w:rsid w:val="00B463DD"/>
    <w:rsid w:val="00B4642F"/>
    <w:rsid w:val="00B464DB"/>
    <w:rsid w:val="00B4665C"/>
    <w:rsid w:val="00B4677F"/>
    <w:rsid w:val="00B467E8"/>
    <w:rsid w:val="00B4696E"/>
    <w:rsid w:val="00B46A8F"/>
    <w:rsid w:val="00B46DBF"/>
    <w:rsid w:val="00B46F6D"/>
    <w:rsid w:val="00B46FD7"/>
    <w:rsid w:val="00B46FE1"/>
    <w:rsid w:val="00B473AE"/>
    <w:rsid w:val="00B473BA"/>
    <w:rsid w:val="00B47513"/>
    <w:rsid w:val="00B477E1"/>
    <w:rsid w:val="00B47A97"/>
    <w:rsid w:val="00B47B2D"/>
    <w:rsid w:val="00B47D1B"/>
    <w:rsid w:val="00B47DB6"/>
    <w:rsid w:val="00B47F2F"/>
    <w:rsid w:val="00B50047"/>
    <w:rsid w:val="00B501F1"/>
    <w:rsid w:val="00B50295"/>
    <w:rsid w:val="00B502A1"/>
    <w:rsid w:val="00B502FE"/>
    <w:rsid w:val="00B50351"/>
    <w:rsid w:val="00B5039F"/>
    <w:rsid w:val="00B503ED"/>
    <w:rsid w:val="00B50417"/>
    <w:rsid w:val="00B50421"/>
    <w:rsid w:val="00B5081B"/>
    <w:rsid w:val="00B508B4"/>
    <w:rsid w:val="00B50903"/>
    <w:rsid w:val="00B50D78"/>
    <w:rsid w:val="00B50E2A"/>
    <w:rsid w:val="00B50E67"/>
    <w:rsid w:val="00B50F81"/>
    <w:rsid w:val="00B5100B"/>
    <w:rsid w:val="00B510FE"/>
    <w:rsid w:val="00B51238"/>
    <w:rsid w:val="00B51258"/>
    <w:rsid w:val="00B51288"/>
    <w:rsid w:val="00B5148E"/>
    <w:rsid w:val="00B51577"/>
    <w:rsid w:val="00B515E4"/>
    <w:rsid w:val="00B516AF"/>
    <w:rsid w:val="00B516E3"/>
    <w:rsid w:val="00B51722"/>
    <w:rsid w:val="00B5184E"/>
    <w:rsid w:val="00B51863"/>
    <w:rsid w:val="00B51865"/>
    <w:rsid w:val="00B5191F"/>
    <w:rsid w:val="00B51991"/>
    <w:rsid w:val="00B519E8"/>
    <w:rsid w:val="00B51C4C"/>
    <w:rsid w:val="00B51C9E"/>
    <w:rsid w:val="00B51D13"/>
    <w:rsid w:val="00B51D80"/>
    <w:rsid w:val="00B51E62"/>
    <w:rsid w:val="00B51F78"/>
    <w:rsid w:val="00B51FD0"/>
    <w:rsid w:val="00B5208B"/>
    <w:rsid w:val="00B520CB"/>
    <w:rsid w:val="00B520D3"/>
    <w:rsid w:val="00B52240"/>
    <w:rsid w:val="00B522EF"/>
    <w:rsid w:val="00B5236C"/>
    <w:rsid w:val="00B523D9"/>
    <w:rsid w:val="00B52659"/>
    <w:rsid w:val="00B52783"/>
    <w:rsid w:val="00B527A1"/>
    <w:rsid w:val="00B52887"/>
    <w:rsid w:val="00B52AF6"/>
    <w:rsid w:val="00B52B11"/>
    <w:rsid w:val="00B52B33"/>
    <w:rsid w:val="00B52B70"/>
    <w:rsid w:val="00B52B87"/>
    <w:rsid w:val="00B52B8A"/>
    <w:rsid w:val="00B52CC7"/>
    <w:rsid w:val="00B52DD9"/>
    <w:rsid w:val="00B52EDA"/>
    <w:rsid w:val="00B52EE4"/>
    <w:rsid w:val="00B53016"/>
    <w:rsid w:val="00B53085"/>
    <w:rsid w:val="00B530D6"/>
    <w:rsid w:val="00B53122"/>
    <w:rsid w:val="00B53306"/>
    <w:rsid w:val="00B533C4"/>
    <w:rsid w:val="00B5348F"/>
    <w:rsid w:val="00B53646"/>
    <w:rsid w:val="00B53817"/>
    <w:rsid w:val="00B53987"/>
    <w:rsid w:val="00B539F7"/>
    <w:rsid w:val="00B53A7F"/>
    <w:rsid w:val="00B53A91"/>
    <w:rsid w:val="00B53B8B"/>
    <w:rsid w:val="00B53BAF"/>
    <w:rsid w:val="00B53BCC"/>
    <w:rsid w:val="00B53BDB"/>
    <w:rsid w:val="00B53D3F"/>
    <w:rsid w:val="00B53E4F"/>
    <w:rsid w:val="00B54277"/>
    <w:rsid w:val="00B5447B"/>
    <w:rsid w:val="00B54670"/>
    <w:rsid w:val="00B5473D"/>
    <w:rsid w:val="00B5479A"/>
    <w:rsid w:val="00B547B4"/>
    <w:rsid w:val="00B54975"/>
    <w:rsid w:val="00B54976"/>
    <w:rsid w:val="00B549C8"/>
    <w:rsid w:val="00B54A3B"/>
    <w:rsid w:val="00B54D19"/>
    <w:rsid w:val="00B54DE0"/>
    <w:rsid w:val="00B54EB9"/>
    <w:rsid w:val="00B54F36"/>
    <w:rsid w:val="00B54F6D"/>
    <w:rsid w:val="00B54F70"/>
    <w:rsid w:val="00B5503B"/>
    <w:rsid w:val="00B5506B"/>
    <w:rsid w:val="00B550C2"/>
    <w:rsid w:val="00B5510E"/>
    <w:rsid w:val="00B55182"/>
    <w:rsid w:val="00B5518B"/>
    <w:rsid w:val="00B55293"/>
    <w:rsid w:val="00B5544E"/>
    <w:rsid w:val="00B55501"/>
    <w:rsid w:val="00B5554D"/>
    <w:rsid w:val="00B556D3"/>
    <w:rsid w:val="00B55907"/>
    <w:rsid w:val="00B55B3F"/>
    <w:rsid w:val="00B55C8B"/>
    <w:rsid w:val="00B55DB8"/>
    <w:rsid w:val="00B55E4D"/>
    <w:rsid w:val="00B55F62"/>
    <w:rsid w:val="00B56019"/>
    <w:rsid w:val="00B5601D"/>
    <w:rsid w:val="00B560F5"/>
    <w:rsid w:val="00B56121"/>
    <w:rsid w:val="00B5616D"/>
    <w:rsid w:val="00B56216"/>
    <w:rsid w:val="00B56461"/>
    <w:rsid w:val="00B564B0"/>
    <w:rsid w:val="00B56584"/>
    <w:rsid w:val="00B5680D"/>
    <w:rsid w:val="00B56AE4"/>
    <w:rsid w:val="00B56BA3"/>
    <w:rsid w:val="00B56DC9"/>
    <w:rsid w:val="00B56E9E"/>
    <w:rsid w:val="00B57332"/>
    <w:rsid w:val="00B5767F"/>
    <w:rsid w:val="00B576C1"/>
    <w:rsid w:val="00B5788D"/>
    <w:rsid w:val="00B5788E"/>
    <w:rsid w:val="00B57924"/>
    <w:rsid w:val="00B579A0"/>
    <w:rsid w:val="00B57B93"/>
    <w:rsid w:val="00B57BE9"/>
    <w:rsid w:val="00B57E7E"/>
    <w:rsid w:val="00B57E9A"/>
    <w:rsid w:val="00B60195"/>
    <w:rsid w:val="00B601B3"/>
    <w:rsid w:val="00B601E1"/>
    <w:rsid w:val="00B60296"/>
    <w:rsid w:val="00B60342"/>
    <w:rsid w:val="00B60507"/>
    <w:rsid w:val="00B60613"/>
    <w:rsid w:val="00B606CD"/>
    <w:rsid w:val="00B607A8"/>
    <w:rsid w:val="00B60841"/>
    <w:rsid w:val="00B608DD"/>
    <w:rsid w:val="00B608FE"/>
    <w:rsid w:val="00B6093A"/>
    <w:rsid w:val="00B60A1C"/>
    <w:rsid w:val="00B60B94"/>
    <w:rsid w:val="00B60C3C"/>
    <w:rsid w:val="00B60C8B"/>
    <w:rsid w:val="00B60D0A"/>
    <w:rsid w:val="00B60DB5"/>
    <w:rsid w:val="00B60DC3"/>
    <w:rsid w:val="00B60DCD"/>
    <w:rsid w:val="00B60ECB"/>
    <w:rsid w:val="00B60F55"/>
    <w:rsid w:val="00B6120E"/>
    <w:rsid w:val="00B61229"/>
    <w:rsid w:val="00B6122D"/>
    <w:rsid w:val="00B613A8"/>
    <w:rsid w:val="00B613EB"/>
    <w:rsid w:val="00B6169B"/>
    <w:rsid w:val="00B6169D"/>
    <w:rsid w:val="00B616C6"/>
    <w:rsid w:val="00B616EB"/>
    <w:rsid w:val="00B61700"/>
    <w:rsid w:val="00B617BF"/>
    <w:rsid w:val="00B6190B"/>
    <w:rsid w:val="00B6198B"/>
    <w:rsid w:val="00B6198E"/>
    <w:rsid w:val="00B619B7"/>
    <w:rsid w:val="00B61A33"/>
    <w:rsid w:val="00B61A82"/>
    <w:rsid w:val="00B61B1E"/>
    <w:rsid w:val="00B61C15"/>
    <w:rsid w:val="00B61C3B"/>
    <w:rsid w:val="00B61D21"/>
    <w:rsid w:val="00B61D80"/>
    <w:rsid w:val="00B61E93"/>
    <w:rsid w:val="00B61EC3"/>
    <w:rsid w:val="00B61EC9"/>
    <w:rsid w:val="00B62193"/>
    <w:rsid w:val="00B62260"/>
    <w:rsid w:val="00B62301"/>
    <w:rsid w:val="00B62372"/>
    <w:rsid w:val="00B62406"/>
    <w:rsid w:val="00B6253B"/>
    <w:rsid w:val="00B625DC"/>
    <w:rsid w:val="00B62732"/>
    <w:rsid w:val="00B62776"/>
    <w:rsid w:val="00B6290F"/>
    <w:rsid w:val="00B62922"/>
    <w:rsid w:val="00B62BA7"/>
    <w:rsid w:val="00B62C9E"/>
    <w:rsid w:val="00B62D1E"/>
    <w:rsid w:val="00B62E25"/>
    <w:rsid w:val="00B62E46"/>
    <w:rsid w:val="00B62F8E"/>
    <w:rsid w:val="00B631E0"/>
    <w:rsid w:val="00B631E1"/>
    <w:rsid w:val="00B633D5"/>
    <w:rsid w:val="00B63457"/>
    <w:rsid w:val="00B6358B"/>
    <w:rsid w:val="00B63668"/>
    <w:rsid w:val="00B6374D"/>
    <w:rsid w:val="00B6378F"/>
    <w:rsid w:val="00B639B2"/>
    <w:rsid w:val="00B63BC9"/>
    <w:rsid w:val="00B63BD2"/>
    <w:rsid w:val="00B63C3C"/>
    <w:rsid w:val="00B63E41"/>
    <w:rsid w:val="00B63E7B"/>
    <w:rsid w:val="00B63EB2"/>
    <w:rsid w:val="00B63F1A"/>
    <w:rsid w:val="00B6401D"/>
    <w:rsid w:val="00B64125"/>
    <w:rsid w:val="00B641AE"/>
    <w:rsid w:val="00B6478D"/>
    <w:rsid w:val="00B64A90"/>
    <w:rsid w:val="00B64AD8"/>
    <w:rsid w:val="00B64BC6"/>
    <w:rsid w:val="00B64DAD"/>
    <w:rsid w:val="00B64DEC"/>
    <w:rsid w:val="00B64F3D"/>
    <w:rsid w:val="00B64FDC"/>
    <w:rsid w:val="00B64FF6"/>
    <w:rsid w:val="00B65274"/>
    <w:rsid w:val="00B65326"/>
    <w:rsid w:val="00B6559D"/>
    <w:rsid w:val="00B655CC"/>
    <w:rsid w:val="00B65826"/>
    <w:rsid w:val="00B658DB"/>
    <w:rsid w:val="00B6593B"/>
    <w:rsid w:val="00B6593D"/>
    <w:rsid w:val="00B659F6"/>
    <w:rsid w:val="00B65A17"/>
    <w:rsid w:val="00B65A42"/>
    <w:rsid w:val="00B65AB7"/>
    <w:rsid w:val="00B65ABE"/>
    <w:rsid w:val="00B65B95"/>
    <w:rsid w:val="00B65BFC"/>
    <w:rsid w:val="00B65CA4"/>
    <w:rsid w:val="00B65DE8"/>
    <w:rsid w:val="00B65F22"/>
    <w:rsid w:val="00B660D7"/>
    <w:rsid w:val="00B660F0"/>
    <w:rsid w:val="00B66220"/>
    <w:rsid w:val="00B6638F"/>
    <w:rsid w:val="00B663BF"/>
    <w:rsid w:val="00B6643E"/>
    <w:rsid w:val="00B665B3"/>
    <w:rsid w:val="00B66881"/>
    <w:rsid w:val="00B66943"/>
    <w:rsid w:val="00B66970"/>
    <w:rsid w:val="00B66B20"/>
    <w:rsid w:val="00B66B2C"/>
    <w:rsid w:val="00B66C7B"/>
    <w:rsid w:val="00B66CBC"/>
    <w:rsid w:val="00B66D3B"/>
    <w:rsid w:val="00B66D8A"/>
    <w:rsid w:val="00B66E69"/>
    <w:rsid w:val="00B6727C"/>
    <w:rsid w:val="00B672A9"/>
    <w:rsid w:val="00B6732F"/>
    <w:rsid w:val="00B6746F"/>
    <w:rsid w:val="00B674CF"/>
    <w:rsid w:val="00B674DB"/>
    <w:rsid w:val="00B67532"/>
    <w:rsid w:val="00B6766E"/>
    <w:rsid w:val="00B676E2"/>
    <w:rsid w:val="00B6774A"/>
    <w:rsid w:val="00B6784A"/>
    <w:rsid w:val="00B6794C"/>
    <w:rsid w:val="00B67AB5"/>
    <w:rsid w:val="00B67B72"/>
    <w:rsid w:val="00B67C1B"/>
    <w:rsid w:val="00B67CC7"/>
    <w:rsid w:val="00B67D0E"/>
    <w:rsid w:val="00B67E14"/>
    <w:rsid w:val="00B700E0"/>
    <w:rsid w:val="00B7017D"/>
    <w:rsid w:val="00B70430"/>
    <w:rsid w:val="00B705E8"/>
    <w:rsid w:val="00B70647"/>
    <w:rsid w:val="00B70729"/>
    <w:rsid w:val="00B707BE"/>
    <w:rsid w:val="00B7080C"/>
    <w:rsid w:val="00B70847"/>
    <w:rsid w:val="00B708C7"/>
    <w:rsid w:val="00B7095E"/>
    <w:rsid w:val="00B70A8E"/>
    <w:rsid w:val="00B70BA7"/>
    <w:rsid w:val="00B70D4B"/>
    <w:rsid w:val="00B70D74"/>
    <w:rsid w:val="00B70E1D"/>
    <w:rsid w:val="00B71172"/>
    <w:rsid w:val="00B71277"/>
    <w:rsid w:val="00B7132F"/>
    <w:rsid w:val="00B7144F"/>
    <w:rsid w:val="00B714C3"/>
    <w:rsid w:val="00B7155A"/>
    <w:rsid w:val="00B715E1"/>
    <w:rsid w:val="00B7175E"/>
    <w:rsid w:val="00B717CE"/>
    <w:rsid w:val="00B71826"/>
    <w:rsid w:val="00B7187F"/>
    <w:rsid w:val="00B718CA"/>
    <w:rsid w:val="00B71A07"/>
    <w:rsid w:val="00B71DF9"/>
    <w:rsid w:val="00B71EB5"/>
    <w:rsid w:val="00B71F04"/>
    <w:rsid w:val="00B72161"/>
    <w:rsid w:val="00B72406"/>
    <w:rsid w:val="00B7251E"/>
    <w:rsid w:val="00B7263C"/>
    <w:rsid w:val="00B7278B"/>
    <w:rsid w:val="00B728E9"/>
    <w:rsid w:val="00B72A5A"/>
    <w:rsid w:val="00B72AA5"/>
    <w:rsid w:val="00B72BD1"/>
    <w:rsid w:val="00B72C43"/>
    <w:rsid w:val="00B72C5C"/>
    <w:rsid w:val="00B72D87"/>
    <w:rsid w:val="00B72E48"/>
    <w:rsid w:val="00B72FAC"/>
    <w:rsid w:val="00B7309D"/>
    <w:rsid w:val="00B73470"/>
    <w:rsid w:val="00B7352F"/>
    <w:rsid w:val="00B7371A"/>
    <w:rsid w:val="00B737C3"/>
    <w:rsid w:val="00B739C7"/>
    <w:rsid w:val="00B739D4"/>
    <w:rsid w:val="00B73AB4"/>
    <w:rsid w:val="00B73B99"/>
    <w:rsid w:val="00B73D44"/>
    <w:rsid w:val="00B740C9"/>
    <w:rsid w:val="00B74252"/>
    <w:rsid w:val="00B7427E"/>
    <w:rsid w:val="00B74379"/>
    <w:rsid w:val="00B74386"/>
    <w:rsid w:val="00B74396"/>
    <w:rsid w:val="00B74430"/>
    <w:rsid w:val="00B745F5"/>
    <w:rsid w:val="00B747B8"/>
    <w:rsid w:val="00B74804"/>
    <w:rsid w:val="00B74866"/>
    <w:rsid w:val="00B748C5"/>
    <w:rsid w:val="00B74BD4"/>
    <w:rsid w:val="00B74D04"/>
    <w:rsid w:val="00B74E29"/>
    <w:rsid w:val="00B74E4C"/>
    <w:rsid w:val="00B74EC5"/>
    <w:rsid w:val="00B74FB9"/>
    <w:rsid w:val="00B74FD8"/>
    <w:rsid w:val="00B7511C"/>
    <w:rsid w:val="00B751FB"/>
    <w:rsid w:val="00B75250"/>
    <w:rsid w:val="00B752F6"/>
    <w:rsid w:val="00B75322"/>
    <w:rsid w:val="00B75486"/>
    <w:rsid w:val="00B755D5"/>
    <w:rsid w:val="00B755DE"/>
    <w:rsid w:val="00B7565F"/>
    <w:rsid w:val="00B757FD"/>
    <w:rsid w:val="00B75863"/>
    <w:rsid w:val="00B7599F"/>
    <w:rsid w:val="00B75A1F"/>
    <w:rsid w:val="00B75AFD"/>
    <w:rsid w:val="00B75B84"/>
    <w:rsid w:val="00B75E02"/>
    <w:rsid w:val="00B75F0E"/>
    <w:rsid w:val="00B75FC1"/>
    <w:rsid w:val="00B760E6"/>
    <w:rsid w:val="00B761EB"/>
    <w:rsid w:val="00B7628F"/>
    <w:rsid w:val="00B76293"/>
    <w:rsid w:val="00B76408"/>
    <w:rsid w:val="00B76596"/>
    <w:rsid w:val="00B765B7"/>
    <w:rsid w:val="00B765C5"/>
    <w:rsid w:val="00B7661B"/>
    <w:rsid w:val="00B76634"/>
    <w:rsid w:val="00B7674D"/>
    <w:rsid w:val="00B76AC5"/>
    <w:rsid w:val="00B76AE9"/>
    <w:rsid w:val="00B76B99"/>
    <w:rsid w:val="00B76CA9"/>
    <w:rsid w:val="00B76CDF"/>
    <w:rsid w:val="00B76D06"/>
    <w:rsid w:val="00B76E31"/>
    <w:rsid w:val="00B7723D"/>
    <w:rsid w:val="00B7730B"/>
    <w:rsid w:val="00B774BE"/>
    <w:rsid w:val="00B774EC"/>
    <w:rsid w:val="00B7788F"/>
    <w:rsid w:val="00B778A8"/>
    <w:rsid w:val="00B778EC"/>
    <w:rsid w:val="00B778F7"/>
    <w:rsid w:val="00B77909"/>
    <w:rsid w:val="00B7792A"/>
    <w:rsid w:val="00B77996"/>
    <w:rsid w:val="00B779C7"/>
    <w:rsid w:val="00B77A12"/>
    <w:rsid w:val="00B77A39"/>
    <w:rsid w:val="00B77A63"/>
    <w:rsid w:val="00B77AE8"/>
    <w:rsid w:val="00B77B67"/>
    <w:rsid w:val="00B77CD7"/>
    <w:rsid w:val="00B77D8C"/>
    <w:rsid w:val="00B77EA5"/>
    <w:rsid w:val="00B77F85"/>
    <w:rsid w:val="00B8004F"/>
    <w:rsid w:val="00B800EF"/>
    <w:rsid w:val="00B801A2"/>
    <w:rsid w:val="00B802CB"/>
    <w:rsid w:val="00B8036D"/>
    <w:rsid w:val="00B804C7"/>
    <w:rsid w:val="00B804FC"/>
    <w:rsid w:val="00B80543"/>
    <w:rsid w:val="00B80551"/>
    <w:rsid w:val="00B80632"/>
    <w:rsid w:val="00B806A5"/>
    <w:rsid w:val="00B806E6"/>
    <w:rsid w:val="00B8097F"/>
    <w:rsid w:val="00B80A75"/>
    <w:rsid w:val="00B80C46"/>
    <w:rsid w:val="00B80EC8"/>
    <w:rsid w:val="00B80F7D"/>
    <w:rsid w:val="00B811E3"/>
    <w:rsid w:val="00B8128D"/>
    <w:rsid w:val="00B813F6"/>
    <w:rsid w:val="00B8140F"/>
    <w:rsid w:val="00B8146D"/>
    <w:rsid w:val="00B814F4"/>
    <w:rsid w:val="00B81A44"/>
    <w:rsid w:val="00B81BE6"/>
    <w:rsid w:val="00B81CDF"/>
    <w:rsid w:val="00B81DA6"/>
    <w:rsid w:val="00B81DE1"/>
    <w:rsid w:val="00B81E26"/>
    <w:rsid w:val="00B81F06"/>
    <w:rsid w:val="00B81FC8"/>
    <w:rsid w:val="00B820D8"/>
    <w:rsid w:val="00B82122"/>
    <w:rsid w:val="00B8220C"/>
    <w:rsid w:val="00B8231F"/>
    <w:rsid w:val="00B8242B"/>
    <w:rsid w:val="00B82444"/>
    <w:rsid w:val="00B826C5"/>
    <w:rsid w:val="00B82791"/>
    <w:rsid w:val="00B827AD"/>
    <w:rsid w:val="00B828B7"/>
    <w:rsid w:val="00B82930"/>
    <w:rsid w:val="00B82984"/>
    <w:rsid w:val="00B82A73"/>
    <w:rsid w:val="00B82AB2"/>
    <w:rsid w:val="00B82B91"/>
    <w:rsid w:val="00B82BEC"/>
    <w:rsid w:val="00B82CBF"/>
    <w:rsid w:val="00B82CE8"/>
    <w:rsid w:val="00B82D44"/>
    <w:rsid w:val="00B82F16"/>
    <w:rsid w:val="00B83018"/>
    <w:rsid w:val="00B83076"/>
    <w:rsid w:val="00B83083"/>
    <w:rsid w:val="00B830D3"/>
    <w:rsid w:val="00B83101"/>
    <w:rsid w:val="00B83103"/>
    <w:rsid w:val="00B834B9"/>
    <w:rsid w:val="00B83574"/>
    <w:rsid w:val="00B835E3"/>
    <w:rsid w:val="00B83622"/>
    <w:rsid w:val="00B83637"/>
    <w:rsid w:val="00B83696"/>
    <w:rsid w:val="00B836CC"/>
    <w:rsid w:val="00B83773"/>
    <w:rsid w:val="00B838CE"/>
    <w:rsid w:val="00B8390B"/>
    <w:rsid w:val="00B83B2C"/>
    <w:rsid w:val="00B83B42"/>
    <w:rsid w:val="00B83BD9"/>
    <w:rsid w:val="00B83CA2"/>
    <w:rsid w:val="00B8409E"/>
    <w:rsid w:val="00B8420A"/>
    <w:rsid w:val="00B84350"/>
    <w:rsid w:val="00B84392"/>
    <w:rsid w:val="00B8445F"/>
    <w:rsid w:val="00B847A2"/>
    <w:rsid w:val="00B848B2"/>
    <w:rsid w:val="00B84A4E"/>
    <w:rsid w:val="00B84B14"/>
    <w:rsid w:val="00B84B3E"/>
    <w:rsid w:val="00B84C8E"/>
    <w:rsid w:val="00B84D62"/>
    <w:rsid w:val="00B84D97"/>
    <w:rsid w:val="00B84D98"/>
    <w:rsid w:val="00B84DCE"/>
    <w:rsid w:val="00B84EF4"/>
    <w:rsid w:val="00B84F26"/>
    <w:rsid w:val="00B84F6A"/>
    <w:rsid w:val="00B85004"/>
    <w:rsid w:val="00B8503A"/>
    <w:rsid w:val="00B850C1"/>
    <w:rsid w:val="00B850E9"/>
    <w:rsid w:val="00B85174"/>
    <w:rsid w:val="00B8524E"/>
    <w:rsid w:val="00B85634"/>
    <w:rsid w:val="00B8584F"/>
    <w:rsid w:val="00B858A3"/>
    <w:rsid w:val="00B85B02"/>
    <w:rsid w:val="00B85CFC"/>
    <w:rsid w:val="00B85D0C"/>
    <w:rsid w:val="00B85EBE"/>
    <w:rsid w:val="00B85F1F"/>
    <w:rsid w:val="00B86073"/>
    <w:rsid w:val="00B860DB"/>
    <w:rsid w:val="00B860F1"/>
    <w:rsid w:val="00B86227"/>
    <w:rsid w:val="00B862A6"/>
    <w:rsid w:val="00B86502"/>
    <w:rsid w:val="00B865DD"/>
    <w:rsid w:val="00B865EC"/>
    <w:rsid w:val="00B86842"/>
    <w:rsid w:val="00B8685E"/>
    <w:rsid w:val="00B86969"/>
    <w:rsid w:val="00B86A56"/>
    <w:rsid w:val="00B86C26"/>
    <w:rsid w:val="00B86C40"/>
    <w:rsid w:val="00B86C84"/>
    <w:rsid w:val="00B86D73"/>
    <w:rsid w:val="00B86EF7"/>
    <w:rsid w:val="00B86F2D"/>
    <w:rsid w:val="00B86FF3"/>
    <w:rsid w:val="00B8702D"/>
    <w:rsid w:val="00B87260"/>
    <w:rsid w:val="00B87376"/>
    <w:rsid w:val="00B873B5"/>
    <w:rsid w:val="00B87442"/>
    <w:rsid w:val="00B874F5"/>
    <w:rsid w:val="00B87514"/>
    <w:rsid w:val="00B875E5"/>
    <w:rsid w:val="00B8780C"/>
    <w:rsid w:val="00B87992"/>
    <w:rsid w:val="00B87A0E"/>
    <w:rsid w:val="00B87A85"/>
    <w:rsid w:val="00B87BAD"/>
    <w:rsid w:val="00B87C02"/>
    <w:rsid w:val="00B87E1A"/>
    <w:rsid w:val="00B87F2F"/>
    <w:rsid w:val="00B90057"/>
    <w:rsid w:val="00B901F2"/>
    <w:rsid w:val="00B90210"/>
    <w:rsid w:val="00B9026B"/>
    <w:rsid w:val="00B90419"/>
    <w:rsid w:val="00B90526"/>
    <w:rsid w:val="00B905EE"/>
    <w:rsid w:val="00B90719"/>
    <w:rsid w:val="00B908D6"/>
    <w:rsid w:val="00B909CA"/>
    <w:rsid w:val="00B90BD9"/>
    <w:rsid w:val="00B90DBF"/>
    <w:rsid w:val="00B90DC2"/>
    <w:rsid w:val="00B90E0E"/>
    <w:rsid w:val="00B90E1B"/>
    <w:rsid w:val="00B90E72"/>
    <w:rsid w:val="00B90ED6"/>
    <w:rsid w:val="00B90FDD"/>
    <w:rsid w:val="00B91453"/>
    <w:rsid w:val="00B914D1"/>
    <w:rsid w:val="00B9174B"/>
    <w:rsid w:val="00B917F4"/>
    <w:rsid w:val="00B91809"/>
    <w:rsid w:val="00B918FA"/>
    <w:rsid w:val="00B91B64"/>
    <w:rsid w:val="00B91B6A"/>
    <w:rsid w:val="00B91C26"/>
    <w:rsid w:val="00B91D60"/>
    <w:rsid w:val="00B91E91"/>
    <w:rsid w:val="00B91ECC"/>
    <w:rsid w:val="00B91EEF"/>
    <w:rsid w:val="00B91FBD"/>
    <w:rsid w:val="00B921BD"/>
    <w:rsid w:val="00B922A7"/>
    <w:rsid w:val="00B922CA"/>
    <w:rsid w:val="00B922EB"/>
    <w:rsid w:val="00B92323"/>
    <w:rsid w:val="00B923A6"/>
    <w:rsid w:val="00B92411"/>
    <w:rsid w:val="00B924F8"/>
    <w:rsid w:val="00B92766"/>
    <w:rsid w:val="00B92784"/>
    <w:rsid w:val="00B92A56"/>
    <w:rsid w:val="00B92BB1"/>
    <w:rsid w:val="00B92F62"/>
    <w:rsid w:val="00B92F64"/>
    <w:rsid w:val="00B92FF1"/>
    <w:rsid w:val="00B930A6"/>
    <w:rsid w:val="00B930CC"/>
    <w:rsid w:val="00B93161"/>
    <w:rsid w:val="00B934A1"/>
    <w:rsid w:val="00B93515"/>
    <w:rsid w:val="00B935BC"/>
    <w:rsid w:val="00B936D8"/>
    <w:rsid w:val="00B938B2"/>
    <w:rsid w:val="00B93912"/>
    <w:rsid w:val="00B93922"/>
    <w:rsid w:val="00B939C5"/>
    <w:rsid w:val="00B939C6"/>
    <w:rsid w:val="00B93EC1"/>
    <w:rsid w:val="00B93F30"/>
    <w:rsid w:val="00B94391"/>
    <w:rsid w:val="00B943A4"/>
    <w:rsid w:val="00B943DD"/>
    <w:rsid w:val="00B943E4"/>
    <w:rsid w:val="00B9446D"/>
    <w:rsid w:val="00B944A0"/>
    <w:rsid w:val="00B94583"/>
    <w:rsid w:val="00B94720"/>
    <w:rsid w:val="00B94779"/>
    <w:rsid w:val="00B94799"/>
    <w:rsid w:val="00B947AC"/>
    <w:rsid w:val="00B9481F"/>
    <w:rsid w:val="00B9494F"/>
    <w:rsid w:val="00B94A55"/>
    <w:rsid w:val="00B94A7C"/>
    <w:rsid w:val="00B94BC4"/>
    <w:rsid w:val="00B94D6B"/>
    <w:rsid w:val="00B94D90"/>
    <w:rsid w:val="00B94ECF"/>
    <w:rsid w:val="00B94FB9"/>
    <w:rsid w:val="00B95109"/>
    <w:rsid w:val="00B95215"/>
    <w:rsid w:val="00B95275"/>
    <w:rsid w:val="00B953A4"/>
    <w:rsid w:val="00B953C6"/>
    <w:rsid w:val="00B954B7"/>
    <w:rsid w:val="00B95575"/>
    <w:rsid w:val="00B955F3"/>
    <w:rsid w:val="00B95780"/>
    <w:rsid w:val="00B95985"/>
    <w:rsid w:val="00B95A7D"/>
    <w:rsid w:val="00B95B4F"/>
    <w:rsid w:val="00B95D2F"/>
    <w:rsid w:val="00B95DB2"/>
    <w:rsid w:val="00B95E67"/>
    <w:rsid w:val="00B9604C"/>
    <w:rsid w:val="00B964C0"/>
    <w:rsid w:val="00B965FC"/>
    <w:rsid w:val="00B96917"/>
    <w:rsid w:val="00B96983"/>
    <w:rsid w:val="00B96BBD"/>
    <w:rsid w:val="00B96C84"/>
    <w:rsid w:val="00B96CC9"/>
    <w:rsid w:val="00B96D93"/>
    <w:rsid w:val="00B96DF8"/>
    <w:rsid w:val="00B96E15"/>
    <w:rsid w:val="00B97033"/>
    <w:rsid w:val="00B97179"/>
    <w:rsid w:val="00B971C0"/>
    <w:rsid w:val="00B97223"/>
    <w:rsid w:val="00B97349"/>
    <w:rsid w:val="00B97427"/>
    <w:rsid w:val="00B974AD"/>
    <w:rsid w:val="00B974D6"/>
    <w:rsid w:val="00B97510"/>
    <w:rsid w:val="00B97511"/>
    <w:rsid w:val="00B97524"/>
    <w:rsid w:val="00B9756A"/>
    <w:rsid w:val="00B97644"/>
    <w:rsid w:val="00B97682"/>
    <w:rsid w:val="00B97829"/>
    <w:rsid w:val="00B97A5B"/>
    <w:rsid w:val="00B97A6A"/>
    <w:rsid w:val="00B97B46"/>
    <w:rsid w:val="00B97CF0"/>
    <w:rsid w:val="00B97E59"/>
    <w:rsid w:val="00BA0030"/>
    <w:rsid w:val="00BA00EC"/>
    <w:rsid w:val="00BA027E"/>
    <w:rsid w:val="00BA0326"/>
    <w:rsid w:val="00BA035B"/>
    <w:rsid w:val="00BA039F"/>
    <w:rsid w:val="00BA0452"/>
    <w:rsid w:val="00BA05DC"/>
    <w:rsid w:val="00BA0614"/>
    <w:rsid w:val="00BA0677"/>
    <w:rsid w:val="00BA0697"/>
    <w:rsid w:val="00BA081C"/>
    <w:rsid w:val="00BA0840"/>
    <w:rsid w:val="00BA0A73"/>
    <w:rsid w:val="00BA0B7E"/>
    <w:rsid w:val="00BA0C72"/>
    <w:rsid w:val="00BA0D3A"/>
    <w:rsid w:val="00BA0E2F"/>
    <w:rsid w:val="00BA12CE"/>
    <w:rsid w:val="00BA13A1"/>
    <w:rsid w:val="00BA14B4"/>
    <w:rsid w:val="00BA14CA"/>
    <w:rsid w:val="00BA14E8"/>
    <w:rsid w:val="00BA152E"/>
    <w:rsid w:val="00BA168F"/>
    <w:rsid w:val="00BA16F9"/>
    <w:rsid w:val="00BA18A6"/>
    <w:rsid w:val="00BA18BE"/>
    <w:rsid w:val="00BA1A06"/>
    <w:rsid w:val="00BA1A7C"/>
    <w:rsid w:val="00BA1AC3"/>
    <w:rsid w:val="00BA1AD9"/>
    <w:rsid w:val="00BA1AFE"/>
    <w:rsid w:val="00BA1BAE"/>
    <w:rsid w:val="00BA1C52"/>
    <w:rsid w:val="00BA1CB4"/>
    <w:rsid w:val="00BA1DAF"/>
    <w:rsid w:val="00BA1DB3"/>
    <w:rsid w:val="00BA1E31"/>
    <w:rsid w:val="00BA1E4D"/>
    <w:rsid w:val="00BA1FA5"/>
    <w:rsid w:val="00BA200B"/>
    <w:rsid w:val="00BA2061"/>
    <w:rsid w:val="00BA20A4"/>
    <w:rsid w:val="00BA2101"/>
    <w:rsid w:val="00BA238C"/>
    <w:rsid w:val="00BA2433"/>
    <w:rsid w:val="00BA28DD"/>
    <w:rsid w:val="00BA2928"/>
    <w:rsid w:val="00BA29A7"/>
    <w:rsid w:val="00BA2B04"/>
    <w:rsid w:val="00BA2B84"/>
    <w:rsid w:val="00BA2B8C"/>
    <w:rsid w:val="00BA2BA6"/>
    <w:rsid w:val="00BA2D35"/>
    <w:rsid w:val="00BA2DC5"/>
    <w:rsid w:val="00BA2E0E"/>
    <w:rsid w:val="00BA2F0B"/>
    <w:rsid w:val="00BA3082"/>
    <w:rsid w:val="00BA310B"/>
    <w:rsid w:val="00BA31D0"/>
    <w:rsid w:val="00BA3307"/>
    <w:rsid w:val="00BA3360"/>
    <w:rsid w:val="00BA3436"/>
    <w:rsid w:val="00BA34E0"/>
    <w:rsid w:val="00BA36A4"/>
    <w:rsid w:val="00BA3739"/>
    <w:rsid w:val="00BA37D5"/>
    <w:rsid w:val="00BA383C"/>
    <w:rsid w:val="00BA384A"/>
    <w:rsid w:val="00BA3A36"/>
    <w:rsid w:val="00BA3A6B"/>
    <w:rsid w:val="00BA3A76"/>
    <w:rsid w:val="00BA3A99"/>
    <w:rsid w:val="00BA3AC5"/>
    <w:rsid w:val="00BA3B7D"/>
    <w:rsid w:val="00BA3D22"/>
    <w:rsid w:val="00BA3E7D"/>
    <w:rsid w:val="00BA40AC"/>
    <w:rsid w:val="00BA412F"/>
    <w:rsid w:val="00BA425F"/>
    <w:rsid w:val="00BA4269"/>
    <w:rsid w:val="00BA4542"/>
    <w:rsid w:val="00BA4574"/>
    <w:rsid w:val="00BA45CC"/>
    <w:rsid w:val="00BA49AA"/>
    <w:rsid w:val="00BA4DE1"/>
    <w:rsid w:val="00BA4DFA"/>
    <w:rsid w:val="00BA4EA4"/>
    <w:rsid w:val="00BA4F4E"/>
    <w:rsid w:val="00BA5139"/>
    <w:rsid w:val="00BA5159"/>
    <w:rsid w:val="00BA52E8"/>
    <w:rsid w:val="00BA5339"/>
    <w:rsid w:val="00BA5354"/>
    <w:rsid w:val="00BA55C3"/>
    <w:rsid w:val="00BA5845"/>
    <w:rsid w:val="00BA58C2"/>
    <w:rsid w:val="00BA5971"/>
    <w:rsid w:val="00BA5A89"/>
    <w:rsid w:val="00BA5BC0"/>
    <w:rsid w:val="00BA5BE1"/>
    <w:rsid w:val="00BA5BF5"/>
    <w:rsid w:val="00BA5C1E"/>
    <w:rsid w:val="00BA5D73"/>
    <w:rsid w:val="00BA5D93"/>
    <w:rsid w:val="00BA5D9A"/>
    <w:rsid w:val="00BA5DDB"/>
    <w:rsid w:val="00BA5DE5"/>
    <w:rsid w:val="00BA5F1F"/>
    <w:rsid w:val="00BA6068"/>
    <w:rsid w:val="00BA60BA"/>
    <w:rsid w:val="00BA610B"/>
    <w:rsid w:val="00BA6308"/>
    <w:rsid w:val="00BA630D"/>
    <w:rsid w:val="00BA639B"/>
    <w:rsid w:val="00BA6460"/>
    <w:rsid w:val="00BA6479"/>
    <w:rsid w:val="00BA648D"/>
    <w:rsid w:val="00BA64E0"/>
    <w:rsid w:val="00BA6604"/>
    <w:rsid w:val="00BA6624"/>
    <w:rsid w:val="00BA6654"/>
    <w:rsid w:val="00BA6863"/>
    <w:rsid w:val="00BA688B"/>
    <w:rsid w:val="00BA68FE"/>
    <w:rsid w:val="00BA694D"/>
    <w:rsid w:val="00BA69E1"/>
    <w:rsid w:val="00BA69F0"/>
    <w:rsid w:val="00BA6BBE"/>
    <w:rsid w:val="00BA6BE4"/>
    <w:rsid w:val="00BA6CA6"/>
    <w:rsid w:val="00BA6D66"/>
    <w:rsid w:val="00BA6DB4"/>
    <w:rsid w:val="00BA7005"/>
    <w:rsid w:val="00BA7069"/>
    <w:rsid w:val="00BA70C2"/>
    <w:rsid w:val="00BA7167"/>
    <w:rsid w:val="00BA71CF"/>
    <w:rsid w:val="00BA725A"/>
    <w:rsid w:val="00BA7290"/>
    <w:rsid w:val="00BA737F"/>
    <w:rsid w:val="00BA74F2"/>
    <w:rsid w:val="00BA760F"/>
    <w:rsid w:val="00BA76E8"/>
    <w:rsid w:val="00BA77AB"/>
    <w:rsid w:val="00BA7877"/>
    <w:rsid w:val="00BA78CF"/>
    <w:rsid w:val="00BA79F3"/>
    <w:rsid w:val="00BA7A12"/>
    <w:rsid w:val="00BA7B12"/>
    <w:rsid w:val="00BA7DCF"/>
    <w:rsid w:val="00BB0193"/>
    <w:rsid w:val="00BB0194"/>
    <w:rsid w:val="00BB066D"/>
    <w:rsid w:val="00BB06CC"/>
    <w:rsid w:val="00BB0767"/>
    <w:rsid w:val="00BB07F9"/>
    <w:rsid w:val="00BB07FC"/>
    <w:rsid w:val="00BB087F"/>
    <w:rsid w:val="00BB09E0"/>
    <w:rsid w:val="00BB0B4C"/>
    <w:rsid w:val="00BB0B86"/>
    <w:rsid w:val="00BB0D0F"/>
    <w:rsid w:val="00BB0DAB"/>
    <w:rsid w:val="00BB0DF1"/>
    <w:rsid w:val="00BB0E8C"/>
    <w:rsid w:val="00BB0F18"/>
    <w:rsid w:val="00BB1113"/>
    <w:rsid w:val="00BB12BB"/>
    <w:rsid w:val="00BB12C8"/>
    <w:rsid w:val="00BB12D2"/>
    <w:rsid w:val="00BB156C"/>
    <w:rsid w:val="00BB157B"/>
    <w:rsid w:val="00BB159C"/>
    <w:rsid w:val="00BB1617"/>
    <w:rsid w:val="00BB1673"/>
    <w:rsid w:val="00BB167C"/>
    <w:rsid w:val="00BB179F"/>
    <w:rsid w:val="00BB17D2"/>
    <w:rsid w:val="00BB1859"/>
    <w:rsid w:val="00BB1881"/>
    <w:rsid w:val="00BB1899"/>
    <w:rsid w:val="00BB18F0"/>
    <w:rsid w:val="00BB1ADC"/>
    <w:rsid w:val="00BB1C25"/>
    <w:rsid w:val="00BB1D43"/>
    <w:rsid w:val="00BB226C"/>
    <w:rsid w:val="00BB26A7"/>
    <w:rsid w:val="00BB2C81"/>
    <w:rsid w:val="00BB2CC3"/>
    <w:rsid w:val="00BB2D6F"/>
    <w:rsid w:val="00BB2E37"/>
    <w:rsid w:val="00BB2FBB"/>
    <w:rsid w:val="00BB30C6"/>
    <w:rsid w:val="00BB33AA"/>
    <w:rsid w:val="00BB3416"/>
    <w:rsid w:val="00BB35A7"/>
    <w:rsid w:val="00BB38FE"/>
    <w:rsid w:val="00BB3AE8"/>
    <w:rsid w:val="00BB3B24"/>
    <w:rsid w:val="00BB3C0E"/>
    <w:rsid w:val="00BB3C1F"/>
    <w:rsid w:val="00BB3C2F"/>
    <w:rsid w:val="00BB3D18"/>
    <w:rsid w:val="00BB3E1B"/>
    <w:rsid w:val="00BB3E6E"/>
    <w:rsid w:val="00BB3E78"/>
    <w:rsid w:val="00BB3F76"/>
    <w:rsid w:val="00BB3FD2"/>
    <w:rsid w:val="00BB40F1"/>
    <w:rsid w:val="00BB411F"/>
    <w:rsid w:val="00BB415D"/>
    <w:rsid w:val="00BB4197"/>
    <w:rsid w:val="00BB4256"/>
    <w:rsid w:val="00BB42D4"/>
    <w:rsid w:val="00BB439D"/>
    <w:rsid w:val="00BB43E1"/>
    <w:rsid w:val="00BB45B2"/>
    <w:rsid w:val="00BB461C"/>
    <w:rsid w:val="00BB46F3"/>
    <w:rsid w:val="00BB47C3"/>
    <w:rsid w:val="00BB47E4"/>
    <w:rsid w:val="00BB49BA"/>
    <w:rsid w:val="00BB4A0C"/>
    <w:rsid w:val="00BB4A2B"/>
    <w:rsid w:val="00BB4A5A"/>
    <w:rsid w:val="00BB4C80"/>
    <w:rsid w:val="00BB4C85"/>
    <w:rsid w:val="00BB4DAD"/>
    <w:rsid w:val="00BB4E80"/>
    <w:rsid w:val="00BB4F26"/>
    <w:rsid w:val="00BB4F89"/>
    <w:rsid w:val="00BB4FCC"/>
    <w:rsid w:val="00BB51F0"/>
    <w:rsid w:val="00BB5308"/>
    <w:rsid w:val="00BB5472"/>
    <w:rsid w:val="00BB54C1"/>
    <w:rsid w:val="00BB5655"/>
    <w:rsid w:val="00BB57C0"/>
    <w:rsid w:val="00BB58BB"/>
    <w:rsid w:val="00BB596E"/>
    <w:rsid w:val="00BB59E6"/>
    <w:rsid w:val="00BB5BDA"/>
    <w:rsid w:val="00BB5C18"/>
    <w:rsid w:val="00BB5CE8"/>
    <w:rsid w:val="00BB5DDF"/>
    <w:rsid w:val="00BB5FE3"/>
    <w:rsid w:val="00BB6090"/>
    <w:rsid w:val="00BB60EB"/>
    <w:rsid w:val="00BB60FC"/>
    <w:rsid w:val="00BB619F"/>
    <w:rsid w:val="00BB632C"/>
    <w:rsid w:val="00BB633C"/>
    <w:rsid w:val="00BB6396"/>
    <w:rsid w:val="00BB63E7"/>
    <w:rsid w:val="00BB646C"/>
    <w:rsid w:val="00BB65BE"/>
    <w:rsid w:val="00BB6636"/>
    <w:rsid w:val="00BB6A4C"/>
    <w:rsid w:val="00BB6AAC"/>
    <w:rsid w:val="00BB6AE8"/>
    <w:rsid w:val="00BB6B1F"/>
    <w:rsid w:val="00BB6BC2"/>
    <w:rsid w:val="00BB6C3A"/>
    <w:rsid w:val="00BB6CCC"/>
    <w:rsid w:val="00BB7065"/>
    <w:rsid w:val="00BB7337"/>
    <w:rsid w:val="00BB74C7"/>
    <w:rsid w:val="00BB74EB"/>
    <w:rsid w:val="00BB751C"/>
    <w:rsid w:val="00BB75F2"/>
    <w:rsid w:val="00BB7668"/>
    <w:rsid w:val="00BB767F"/>
    <w:rsid w:val="00BB7689"/>
    <w:rsid w:val="00BB76A5"/>
    <w:rsid w:val="00BB76D7"/>
    <w:rsid w:val="00BB7899"/>
    <w:rsid w:val="00BB79D5"/>
    <w:rsid w:val="00BB7AB6"/>
    <w:rsid w:val="00BB7B18"/>
    <w:rsid w:val="00BB7C4B"/>
    <w:rsid w:val="00BB7D34"/>
    <w:rsid w:val="00BB7E0C"/>
    <w:rsid w:val="00BB7E50"/>
    <w:rsid w:val="00BB7EF4"/>
    <w:rsid w:val="00BB7EFF"/>
    <w:rsid w:val="00BC0067"/>
    <w:rsid w:val="00BC0144"/>
    <w:rsid w:val="00BC01BC"/>
    <w:rsid w:val="00BC01EB"/>
    <w:rsid w:val="00BC0388"/>
    <w:rsid w:val="00BC041D"/>
    <w:rsid w:val="00BC07C0"/>
    <w:rsid w:val="00BC07D2"/>
    <w:rsid w:val="00BC07EA"/>
    <w:rsid w:val="00BC0AE4"/>
    <w:rsid w:val="00BC0C8A"/>
    <w:rsid w:val="00BC0FBC"/>
    <w:rsid w:val="00BC11C8"/>
    <w:rsid w:val="00BC1214"/>
    <w:rsid w:val="00BC1318"/>
    <w:rsid w:val="00BC1366"/>
    <w:rsid w:val="00BC1654"/>
    <w:rsid w:val="00BC16B8"/>
    <w:rsid w:val="00BC1737"/>
    <w:rsid w:val="00BC17B1"/>
    <w:rsid w:val="00BC1A60"/>
    <w:rsid w:val="00BC1B26"/>
    <w:rsid w:val="00BC1C97"/>
    <w:rsid w:val="00BC1D25"/>
    <w:rsid w:val="00BC1DBE"/>
    <w:rsid w:val="00BC1E77"/>
    <w:rsid w:val="00BC2171"/>
    <w:rsid w:val="00BC217D"/>
    <w:rsid w:val="00BC2644"/>
    <w:rsid w:val="00BC2667"/>
    <w:rsid w:val="00BC26A8"/>
    <w:rsid w:val="00BC27EE"/>
    <w:rsid w:val="00BC2B80"/>
    <w:rsid w:val="00BC2BF9"/>
    <w:rsid w:val="00BC2C05"/>
    <w:rsid w:val="00BC2C06"/>
    <w:rsid w:val="00BC2D23"/>
    <w:rsid w:val="00BC2D8D"/>
    <w:rsid w:val="00BC2DFD"/>
    <w:rsid w:val="00BC2E0F"/>
    <w:rsid w:val="00BC3292"/>
    <w:rsid w:val="00BC3386"/>
    <w:rsid w:val="00BC33AE"/>
    <w:rsid w:val="00BC344B"/>
    <w:rsid w:val="00BC345D"/>
    <w:rsid w:val="00BC3495"/>
    <w:rsid w:val="00BC35B2"/>
    <w:rsid w:val="00BC3680"/>
    <w:rsid w:val="00BC36D3"/>
    <w:rsid w:val="00BC3737"/>
    <w:rsid w:val="00BC3839"/>
    <w:rsid w:val="00BC391A"/>
    <w:rsid w:val="00BC3D6E"/>
    <w:rsid w:val="00BC3FB8"/>
    <w:rsid w:val="00BC3FE3"/>
    <w:rsid w:val="00BC40C0"/>
    <w:rsid w:val="00BC41A5"/>
    <w:rsid w:val="00BC453F"/>
    <w:rsid w:val="00BC4561"/>
    <w:rsid w:val="00BC46DD"/>
    <w:rsid w:val="00BC47F5"/>
    <w:rsid w:val="00BC483A"/>
    <w:rsid w:val="00BC4856"/>
    <w:rsid w:val="00BC489C"/>
    <w:rsid w:val="00BC493F"/>
    <w:rsid w:val="00BC498B"/>
    <w:rsid w:val="00BC499A"/>
    <w:rsid w:val="00BC4B86"/>
    <w:rsid w:val="00BC4D2F"/>
    <w:rsid w:val="00BC4D3B"/>
    <w:rsid w:val="00BC4EC4"/>
    <w:rsid w:val="00BC4ECA"/>
    <w:rsid w:val="00BC4FCD"/>
    <w:rsid w:val="00BC4FEC"/>
    <w:rsid w:val="00BC5009"/>
    <w:rsid w:val="00BC514B"/>
    <w:rsid w:val="00BC51FD"/>
    <w:rsid w:val="00BC5225"/>
    <w:rsid w:val="00BC52BE"/>
    <w:rsid w:val="00BC54A6"/>
    <w:rsid w:val="00BC556B"/>
    <w:rsid w:val="00BC5616"/>
    <w:rsid w:val="00BC56A0"/>
    <w:rsid w:val="00BC579F"/>
    <w:rsid w:val="00BC5912"/>
    <w:rsid w:val="00BC598C"/>
    <w:rsid w:val="00BC5A8B"/>
    <w:rsid w:val="00BC5DDA"/>
    <w:rsid w:val="00BC5DF6"/>
    <w:rsid w:val="00BC603E"/>
    <w:rsid w:val="00BC61B6"/>
    <w:rsid w:val="00BC6273"/>
    <w:rsid w:val="00BC62CF"/>
    <w:rsid w:val="00BC64C9"/>
    <w:rsid w:val="00BC6555"/>
    <w:rsid w:val="00BC65D3"/>
    <w:rsid w:val="00BC6890"/>
    <w:rsid w:val="00BC6998"/>
    <w:rsid w:val="00BC6AB2"/>
    <w:rsid w:val="00BC6B70"/>
    <w:rsid w:val="00BC6F5B"/>
    <w:rsid w:val="00BC6F8E"/>
    <w:rsid w:val="00BC7160"/>
    <w:rsid w:val="00BC72A8"/>
    <w:rsid w:val="00BC731D"/>
    <w:rsid w:val="00BC73F5"/>
    <w:rsid w:val="00BC742C"/>
    <w:rsid w:val="00BC745E"/>
    <w:rsid w:val="00BC74A3"/>
    <w:rsid w:val="00BC779C"/>
    <w:rsid w:val="00BC7859"/>
    <w:rsid w:val="00BC798A"/>
    <w:rsid w:val="00BC7B99"/>
    <w:rsid w:val="00BC7BD0"/>
    <w:rsid w:val="00BC7C8D"/>
    <w:rsid w:val="00BC7F88"/>
    <w:rsid w:val="00BD000C"/>
    <w:rsid w:val="00BD0440"/>
    <w:rsid w:val="00BD0526"/>
    <w:rsid w:val="00BD05E0"/>
    <w:rsid w:val="00BD0606"/>
    <w:rsid w:val="00BD060F"/>
    <w:rsid w:val="00BD06E2"/>
    <w:rsid w:val="00BD081C"/>
    <w:rsid w:val="00BD0847"/>
    <w:rsid w:val="00BD0849"/>
    <w:rsid w:val="00BD08A8"/>
    <w:rsid w:val="00BD08EC"/>
    <w:rsid w:val="00BD0AD2"/>
    <w:rsid w:val="00BD0B2A"/>
    <w:rsid w:val="00BD0C21"/>
    <w:rsid w:val="00BD0EC3"/>
    <w:rsid w:val="00BD0EF3"/>
    <w:rsid w:val="00BD0F3C"/>
    <w:rsid w:val="00BD0FF7"/>
    <w:rsid w:val="00BD1036"/>
    <w:rsid w:val="00BD1043"/>
    <w:rsid w:val="00BD10ED"/>
    <w:rsid w:val="00BD1507"/>
    <w:rsid w:val="00BD1670"/>
    <w:rsid w:val="00BD16C9"/>
    <w:rsid w:val="00BD1727"/>
    <w:rsid w:val="00BD18A3"/>
    <w:rsid w:val="00BD18D2"/>
    <w:rsid w:val="00BD1A32"/>
    <w:rsid w:val="00BD1B0D"/>
    <w:rsid w:val="00BD1BF6"/>
    <w:rsid w:val="00BD1E61"/>
    <w:rsid w:val="00BD1EE5"/>
    <w:rsid w:val="00BD2077"/>
    <w:rsid w:val="00BD22DB"/>
    <w:rsid w:val="00BD230C"/>
    <w:rsid w:val="00BD2315"/>
    <w:rsid w:val="00BD2405"/>
    <w:rsid w:val="00BD2436"/>
    <w:rsid w:val="00BD24CC"/>
    <w:rsid w:val="00BD2588"/>
    <w:rsid w:val="00BD259F"/>
    <w:rsid w:val="00BD26A1"/>
    <w:rsid w:val="00BD2836"/>
    <w:rsid w:val="00BD28FC"/>
    <w:rsid w:val="00BD2938"/>
    <w:rsid w:val="00BD2974"/>
    <w:rsid w:val="00BD29A6"/>
    <w:rsid w:val="00BD2A5D"/>
    <w:rsid w:val="00BD2C16"/>
    <w:rsid w:val="00BD2CEC"/>
    <w:rsid w:val="00BD2D3B"/>
    <w:rsid w:val="00BD2E00"/>
    <w:rsid w:val="00BD2E55"/>
    <w:rsid w:val="00BD2F3F"/>
    <w:rsid w:val="00BD2F49"/>
    <w:rsid w:val="00BD307A"/>
    <w:rsid w:val="00BD32B3"/>
    <w:rsid w:val="00BD344B"/>
    <w:rsid w:val="00BD37DD"/>
    <w:rsid w:val="00BD3909"/>
    <w:rsid w:val="00BD392A"/>
    <w:rsid w:val="00BD39E5"/>
    <w:rsid w:val="00BD3AA5"/>
    <w:rsid w:val="00BD3CEC"/>
    <w:rsid w:val="00BD3D10"/>
    <w:rsid w:val="00BD3EB7"/>
    <w:rsid w:val="00BD3F0C"/>
    <w:rsid w:val="00BD3F78"/>
    <w:rsid w:val="00BD40DA"/>
    <w:rsid w:val="00BD427A"/>
    <w:rsid w:val="00BD4322"/>
    <w:rsid w:val="00BD439B"/>
    <w:rsid w:val="00BD444B"/>
    <w:rsid w:val="00BD4639"/>
    <w:rsid w:val="00BD4854"/>
    <w:rsid w:val="00BD4A5F"/>
    <w:rsid w:val="00BD4D03"/>
    <w:rsid w:val="00BD4DC4"/>
    <w:rsid w:val="00BD4DEE"/>
    <w:rsid w:val="00BD4F82"/>
    <w:rsid w:val="00BD4FCE"/>
    <w:rsid w:val="00BD5010"/>
    <w:rsid w:val="00BD50A2"/>
    <w:rsid w:val="00BD510D"/>
    <w:rsid w:val="00BD532A"/>
    <w:rsid w:val="00BD54AA"/>
    <w:rsid w:val="00BD558F"/>
    <w:rsid w:val="00BD56BE"/>
    <w:rsid w:val="00BD5735"/>
    <w:rsid w:val="00BD57A4"/>
    <w:rsid w:val="00BD58E8"/>
    <w:rsid w:val="00BD593C"/>
    <w:rsid w:val="00BD59D9"/>
    <w:rsid w:val="00BD5C23"/>
    <w:rsid w:val="00BD5D01"/>
    <w:rsid w:val="00BD5D2E"/>
    <w:rsid w:val="00BD5DA3"/>
    <w:rsid w:val="00BD5E04"/>
    <w:rsid w:val="00BD6135"/>
    <w:rsid w:val="00BD620F"/>
    <w:rsid w:val="00BD62A5"/>
    <w:rsid w:val="00BD655A"/>
    <w:rsid w:val="00BD6573"/>
    <w:rsid w:val="00BD66A1"/>
    <w:rsid w:val="00BD69AB"/>
    <w:rsid w:val="00BD6AF8"/>
    <w:rsid w:val="00BD6BEF"/>
    <w:rsid w:val="00BD6C85"/>
    <w:rsid w:val="00BD6D0D"/>
    <w:rsid w:val="00BD6D28"/>
    <w:rsid w:val="00BD6E10"/>
    <w:rsid w:val="00BD6E1F"/>
    <w:rsid w:val="00BD6FBE"/>
    <w:rsid w:val="00BD7024"/>
    <w:rsid w:val="00BD72FC"/>
    <w:rsid w:val="00BD733C"/>
    <w:rsid w:val="00BD735A"/>
    <w:rsid w:val="00BD7372"/>
    <w:rsid w:val="00BD7378"/>
    <w:rsid w:val="00BD73C0"/>
    <w:rsid w:val="00BD7526"/>
    <w:rsid w:val="00BD75D3"/>
    <w:rsid w:val="00BD768E"/>
    <w:rsid w:val="00BD76CA"/>
    <w:rsid w:val="00BD76D6"/>
    <w:rsid w:val="00BD784D"/>
    <w:rsid w:val="00BD7871"/>
    <w:rsid w:val="00BD792B"/>
    <w:rsid w:val="00BD7D4E"/>
    <w:rsid w:val="00BD7D91"/>
    <w:rsid w:val="00BD7DD9"/>
    <w:rsid w:val="00BD7E8B"/>
    <w:rsid w:val="00BD7E99"/>
    <w:rsid w:val="00BE0215"/>
    <w:rsid w:val="00BE0333"/>
    <w:rsid w:val="00BE0374"/>
    <w:rsid w:val="00BE03FD"/>
    <w:rsid w:val="00BE0502"/>
    <w:rsid w:val="00BE05EB"/>
    <w:rsid w:val="00BE0647"/>
    <w:rsid w:val="00BE09AB"/>
    <w:rsid w:val="00BE0B13"/>
    <w:rsid w:val="00BE0B97"/>
    <w:rsid w:val="00BE0C3F"/>
    <w:rsid w:val="00BE0CDE"/>
    <w:rsid w:val="00BE0D30"/>
    <w:rsid w:val="00BE0D65"/>
    <w:rsid w:val="00BE0DBE"/>
    <w:rsid w:val="00BE11B1"/>
    <w:rsid w:val="00BE1333"/>
    <w:rsid w:val="00BE13CB"/>
    <w:rsid w:val="00BE155C"/>
    <w:rsid w:val="00BE15B5"/>
    <w:rsid w:val="00BE1621"/>
    <w:rsid w:val="00BE167A"/>
    <w:rsid w:val="00BE17F5"/>
    <w:rsid w:val="00BE192B"/>
    <w:rsid w:val="00BE1C6A"/>
    <w:rsid w:val="00BE1D19"/>
    <w:rsid w:val="00BE20C6"/>
    <w:rsid w:val="00BE2194"/>
    <w:rsid w:val="00BE21A1"/>
    <w:rsid w:val="00BE2375"/>
    <w:rsid w:val="00BE23F9"/>
    <w:rsid w:val="00BE252D"/>
    <w:rsid w:val="00BE25A7"/>
    <w:rsid w:val="00BE260D"/>
    <w:rsid w:val="00BE27F7"/>
    <w:rsid w:val="00BE291B"/>
    <w:rsid w:val="00BE2CF9"/>
    <w:rsid w:val="00BE2F9C"/>
    <w:rsid w:val="00BE2FB3"/>
    <w:rsid w:val="00BE30F3"/>
    <w:rsid w:val="00BE33C2"/>
    <w:rsid w:val="00BE35A3"/>
    <w:rsid w:val="00BE35FC"/>
    <w:rsid w:val="00BE36B1"/>
    <w:rsid w:val="00BE373A"/>
    <w:rsid w:val="00BE3864"/>
    <w:rsid w:val="00BE39CD"/>
    <w:rsid w:val="00BE3AFC"/>
    <w:rsid w:val="00BE3E0B"/>
    <w:rsid w:val="00BE3F54"/>
    <w:rsid w:val="00BE405E"/>
    <w:rsid w:val="00BE40FE"/>
    <w:rsid w:val="00BE4193"/>
    <w:rsid w:val="00BE427A"/>
    <w:rsid w:val="00BE42B8"/>
    <w:rsid w:val="00BE4443"/>
    <w:rsid w:val="00BE453E"/>
    <w:rsid w:val="00BE4693"/>
    <w:rsid w:val="00BE46AC"/>
    <w:rsid w:val="00BE4772"/>
    <w:rsid w:val="00BE4793"/>
    <w:rsid w:val="00BE48CA"/>
    <w:rsid w:val="00BE498B"/>
    <w:rsid w:val="00BE49B5"/>
    <w:rsid w:val="00BE4B8F"/>
    <w:rsid w:val="00BE4BB0"/>
    <w:rsid w:val="00BE4C6D"/>
    <w:rsid w:val="00BE4CB3"/>
    <w:rsid w:val="00BE4D89"/>
    <w:rsid w:val="00BE508E"/>
    <w:rsid w:val="00BE525D"/>
    <w:rsid w:val="00BE538C"/>
    <w:rsid w:val="00BE53A1"/>
    <w:rsid w:val="00BE5704"/>
    <w:rsid w:val="00BE57D4"/>
    <w:rsid w:val="00BE5BEB"/>
    <w:rsid w:val="00BE5DE3"/>
    <w:rsid w:val="00BE5ECD"/>
    <w:rsid w:val="00BE5F2E"/>
    <w:rsid w:val="00BE5F7C"/>
    <w:rsid w:val="00BE604A"/>
    <w:rsid w:val="00BE610F"/>
    <w:rsid w:val="00BE62F5"/>
    <w:rsid w:val="00BE6500"/>
    <w:rsid w:val="00BE6551"/>
    <w:rsid w:val="00BE6790"/>
    <w:rsid w:val="00BE6795"/>
    <w:rsid w:val="00BE68DD"/>
    <w:rsid w:val="00BE68ED"/>
    <w:rsid w:val="00BE6922"/>
    <w:rsid w:val="00BE69D7"/>
    <w:rsid w:val="00BE6A84"/>
    <w:rsid w:val="00BE6A92"/>
    <w:rsid w:val="00BE6B24"/>
    <w:rsid w:val="00BE6BE0"/>
    <w:rsid w:val="00BE6C48"/>
    <w:rsid w:val="00BE6CFD"/>
    <w:rsid w:val="00BE6D73"/>
    <w:rsid w:val="00BE6E1D"/>
    <w:rsid w:val="00BE6F31"/>
    <w:rsid w:val="00BE6F3D"/>
    <w:rsid w:val="00BE74A8"/>
    <w:rsid w:val="00BE7552"/>
    <w:rsid w:val="00BE7631"/>
    <w:rsid w:val="00BE7660"/>
    <w:rsid w:val="00BE7774"/>
    <w:rsid w:val="00BE779E"/>
    <w:rsid w:val="00BE79C5"/>
    <w:rsid w:val="00BE7A98"/>
    <w:rsid w:val="00BE7BE9"/>
    <w:rsid w:val="00BE7C2E"/>
    <w:rsid w:val="00BE7E45"/>
    <w:rsid w:val="00BE7E75"/>
    <w:rsid w:val="00BE7F37"/>
    <w:rsid w:val="00BE7F6C"/>
    <w:rsid w:val="00BF0129"/>
    <w:rsid w:val="00BF0399"/>
    <w:rsid w:val="00BF03B9"/>
    <w:rsid w:val="00BF03BC"/>
    <w:rsid w:val="00BF0407"/>
    <w:rsid w:val="00BF040E"/>
    <w:rsid w:val="00BF05B1"/>
    <w:rsid w:val="00BF05C7"/>
    <w:rsid w:val="00BF06C8"/>
    <w:rsid w:val="00BF0709"/>
    <w:rsid w:val="00BF090E"/>
    <w:rsid w:val="00BF0A3B"/>
    <w:rsid w:val="00BF0CB4"/>
    <w:rsid w:val="00BF0E5D"/>
    <w:rsid w:val="00BF0E64"/>
    <w:rsid w:val="00BF1394"/>
    <w:rsid w:val="00BF13BC"/>
    <w:rsid w:val="00BF157F"/>
    <w:rsid w:val="00BF158C"/>
    <w:rsid w:val="00BF1910"/>
    <w:rsid w:val="00BF1AAC"/>
    <w:rsid w:val="00BF1B5D"/>
    <w:rsid w:val="00BF1B65"/>
    <w:rsid w:val="00BF1D95"/>
    <w:rsid w:val="00BF1F4E"/>
    <w:rsid w:val="00BF20B5"/>
    <w:rsid w:val="00BF2168"/>
    <w:rsid w:val="00BF23A5"/>
    <w:rsid w:val="00BF2480"/>
    <w:rsid w:val="00BF2484"/>
    <w:rsid w:val="00BF24F1"/>
    <w:rsid w:val="00BF25D3"/>
    <w:rsid w:val="00BF2A75"/>
    <w:rsid w:val="00BF2C62"/>
    <w:rsid w:val="00BF2CB2"/>
    <w:rsid w:val="00BF2CC2"/>
    <w:rsid w:val="00BF2D18"/>
    <w:rsid w:val="00BF2D30"/>
    <w:rsid w:val="00BF2F4E"/>
    <w:rsid w:val="00BF326A"/>
    <w:rsid w:val="00BF32D4"/>
    <w:rsid w:val="00BF33E5"/>
    <w:rsid w:val="00BF3463"/>
    <w:rsid w:val="00BF3508"/>
    <w:rsid w:val="00BF3806"/>
    <w:rsid w:val="00BF389B"/>
    <w:rsid w:val="00BF39DF"/>
    <w:rsid w:val="00BF3C20"/>
    <w:rsid w:val="00BF3C4D"/>
    <w:rsid w:val="00BF3CB3"/>
    <w:rsid w:val="00BF3DAF"/>
    <w:rsid w:val="00BF3F2F"/>
    <w:rsid w:val="00BF3FBA"/>
    <w:rsid w:val="00BF3FC5"/>
    <w:rsid w:val="00BF4140"/>
    <w:rsid w:val="00BF426C"/>
    <w:rsid w:val="00BF444C"/>
    <w:rsid w:val="00BF45A6"/>
    <w:rsid w:val="00BF45BB"/>
    <w:rsid w:val="00BF45F6"/>
    <w:rsid w:val="00BF461B"/>
    <w:rsid w:val="00BF487B"/>
    <w:rsid w:val="00BF4880"/>
    <w:rsid w:val="00BF49B0"/>
    <w:rsid w:val="00BF4A09"/>
    <w:rsid w:val="00BF4A23"/>
    <w:rsid w:val="00BF4A7B"/>
    <w:rsid w:val="00BF4AE8"/>
    <w:rsid w:val="00BF4C36"/>
    <w:rsid w:val="00BF4C57"/>
    <w:rsid w:val="00BF4D58"/>
    <w:rsid w:val="00BF4DB6"/>
    <w:rsid w:val="00BF4E6E"/>
    <w:rsid w:val="00BF51C6"/>
    <w:rsid w:val="00BF5219"/>
    <w:rsid w:val="00BF522D"/>
    <w:rsid w:val="00BF52EA"/>
    <w:rsid w:val="00BF532A"/>
    <w:rsid w:val="00BF53F7"/>
    <w:rsid w:val="00BF565F"/>
    <w:rsid w:val="00BF56BF"/>
    <w:rsid w:val="00BF56D6"/>
    <w:rsid w:val="00BF5805"/>
    <w:rsid w:val="00BF59A7"/>
    <w:rsid w:val="00BF5A46"/>
    <w:rsid w:val="00BF5B33"/>
    <w:rsid w:val="00BF5B5D"/>
    <w:rsid w:val="00BF5C2A"/>
    <w:rsid w:val="00BF5D0A"/>
    <w:rsid w:val="00BF5E1B"/>
    <w:rsid w:val="00BF5E8A"/>
    <w:rsid w:val="00BF5F2D"/>
    <w:rsid w:val="00BF5F79"/>
    <w:rsid w:val="00BF6389"/>
    <w:rsid w:val="00BF63E3"/>
    <w:rsid w:val="00BF653E"/>
    <w:rsid w:val="00BF6631"/>
    <w:rsid w:val="00BF6669"/>
    <w:rsid w:val="00BF68E5"/>
    <w:rsid w:val="00BF6919"/>
    <w:rsid w:val="00BF6A8D"/>
    <w:rsid w:val="00BF6BAF"/>
    <w:rsid w:val="00BF6BC1"/>
    <w:rsid w:val="00BF6C80"/>
    <w:rsid w:val="00BF6D6D"/>
    <w:rsid w:val="00BF6FB4"/>
    <w:rsid w:val="00BF706C"/>
    <w:rsid w:val="00BF70C4"/>
    <w:rsid w:val="00BF738D"/>
    <w:rsid w:val="00BF739B"/>
    <w:rsid w:val="00BF73AB"/>
    <w:rsid w:val="00BF7526"/>
    <w:rsid w:val="00BF7690"/>
    <w:rsid w:val="00BF770F"/>
    <w:rsid w:val="00BF7964"/>
    <w:rsid w:val="00BF79E1"/>
    <w:rsid w:val="00BF7D18"/>
    <w:rsid w:val="00BF7DD0"/>
    <w:rsid w:val="00BF7E9B"/>
    <w:rsid w:val="00BF7EB7"/>
    <w:rsid w:val="00C0003C"/>
    <w:rsid w:val="00C00068"/>
    <w:rsid w:val="00C00073"/>
    <w:rsid w:val="00C00076"/>
    <w:rsid w:val="00C00149"/>
    <w:rsid w:val="00C0017A"/>
    <w:rsid w:val="00C00378"/>
    <w:rsid w:val="00C0098B"/>
    <w:rsid w:val="00C00CFD"/>
    <w:rsid w:val="00C01161"/>
    <w:rsid w:val="00C01214"/>
    <w:rsid w:val="00C0125E"/>
    <w:rsid w:val="00C013A3"/>
    <w:rsid w:val="00C01462"/>
    <w:rsid w:val="00C018C4"/>
    <w:rsid w:val="00C01A2F"/>
    <w:rsid w:val="00C01F71"/>
    <w:rsid w:val="00C01FB3"/>
    <w:rsid w:val="00C0221F"/>
    <w:rsid w:val="00C0222E"/>
    <w:rsid w:val="00C022F2"/>
    <w:rsid w:val="00C02365"/>
    <w:rsid w:val="00C023A0"/>
    <w:rsid w:val="00C023C0"/>
    <w:rsid w:val="00C023C8"/>
    <w:rsid w:val="00C024C0"/>
    <w:rsid w:val="00C02512"/>
    <w:rsid w:val="00C025FF"/>
    <w:rsid w:val="00C02647"/>
    <w:rsid w:val="00C02689"/>
    <w:rsid w:val="00C026CA"/>
    <w:rsid w:val="00C02797"/>
    <w:rsid w:val="00C02812"/>
    <w:rsid w:val="00C028A9"/>
    <w:rsid w:val="00C0292A"/>
    <w:rsid w:val="00C029DE"/>
    <w:rsid w:val="00C02B92"/>
    <w:rsid w:val="00C02C2E"/>
    <w:rsid w:val="00C02EA8"/>
    <w:rsid w:val="00C030BA"/>
    <w:rsid w:val="00C0316B"/>
    <w:rsid w:val="00C031BA"/>
    <w:rsid w:val="00C0334C"/>
    <w:rsid w:val="00C0358A"/>
    <w:rsid w:val="00C036DB"/>
    <w:rsid w:val="00C037C7"/>
    <w:rsid w:val="00C0395C"/>
    <w:rsid w:val="00C03A39"/>
    <w:rsid w:val="00C03A6C"/>
    <w:rsid w:val="00C03AE5"/>
    <w:rsid w:val="00C03C56"/>
    <w:rsid w:val="00C03C5D"/>
    <w:rsid w:val="00C03C7F"/>
    <w:rsid w:val="00C03CCD"/>
    <w:rsid w:val="00C03E5F"/>
    <w:rsid w:val="00C03E74"/>
    <w:rsid w:val="00C03EC9"/>
    <w:rsid w:val="00C03F85"/>
    <w:rsid w:val="00C04178"/>
    <w:rsid w:val="00C04400"/>
    <w:rsid w:val="00C04451"/>
    <w:rsid w:val="00C0467A"/>
    <w:rsid w:val="00C048FC"/>
    <w:rsid w:val="00C0491E"/>
    <w:rsid w:val="00C04A53"/>
    <w:rsid w:val="00C04AF2"/>
    <w:rsid w:val="00C04B45"/>
    <w:rsid w:val="00C04BC8"/>
    <w:rsid w:val="00C04C38"/>
    <w:rsid w:val="00C04CAA"/>
    <w:rsid w:val="00C04DDC"/>
    <w:rsid w:val="00C04F19"/>
    <w:rsid w:val="00C04FD0"/>
    <w:rsid w:val="00C05015"/>
    <w:rsid w:val="00C0508A"/>
    <w:rsid w:val="00C050B0"/>
    <w:rsid w:val="00C050FC"/>
    <w:rsid w:val="00C05664"/>
    <w:rsid w:val="00C05778"/>
    <w:rsid w:val="00C0588D"/>
    <w:rsid w:val="00C058DD"/>
    <w:rsid w:val="00C058FE"/>
    <w:rsid w:val="00C0597E"/>
    <w:rsid w:val="00C059B8"/>
    <w:rsid w:val="00C059CA"/>
    <w:rsid w:val="00C05A75"/>
    <w:rsid w:val="00C05A84"/>
    <w:rsid w:val="00C05C7E"/>
    <w:rsid w:val="00C05CBE"/>
    <w:rsid w:val="00C05D2F"/>
    <w:rsid w:val="00C05DD1"/>
    <w:rsid w:val="00C05E69"/>
    <w:rsid w:val="00C05EC8"/>
    <w:rsid w:val="00C05FEF"/>
    <w:rsid w:val="00C06087"/>
    <w:rsid w:val="00C060D0"/>
    <w:rsid w:val="00C061AB"/>
    <w:rsid w:val="00C061C4"/>
    <w:rsid w:val="00C0621B"/>
    <w:rsid w:val="00C0623C"/>
    <w:rsid w:val="00C063E7"/>
    <w:rsid w:val="00C0648C"/>
    <w:rsid w:val="00C064A2"/>
    <w:rsid w:val="00C06587"/>
    <w:rsid w:val="00C06615"/>
    <w:rsid w:val="00C066E4"/>
    <w:rsid w:val="00C067C7"/>
    <w:rsid w:val="00C067DA"/>
    <w:rsid w:val="00C0680B"/>
    <w:rsid w:val="00C0683A"/>
    <w:rsid w:val="00C069B9"/>
    <w:rsid w:val="00C06A73"/>
    <w:rsid w:val="00C06B21"/>
    <w:rsid w:val="00C06BB8"/>
    <w:rsid w:val="00C06BBC"/>
    <w:rsid w:val="00C06C00"/>
    <w:rsid w:val="00C06DDC"/>
    <w:rsid w:val="00C06E4C"/>
    <w:rsid w:val="00C06EAB"/>
    <w:rsid w:val="00C0706E"/>
    <w:rsid w:val="00C07147"/>
    <w:rsid w:val="00C072FB"/>
    <w:rsid w:val="00C073E7"/>
    <w:rsid w:val="00C076BB"/>
    <w:rsid w:val="00C077BE"/>
    <w:rsid w:val="00C07873"/>
    <w:rsid w:val="00C0788C"/>
    <w:rsid w:val="00C079C4"/>
    <w:rsid w:val="00C079E9"/>
    <w:rsid w:val="00C079FC"/>
    <w:rsid w:val="00C07A44"/>
    <w:rsid w:val="00C07B6A"/>
    <w:rsid w:val="00C07B7B"/>
    <w:rsid w:val="00C07BC9"/>
    <w:rsid w:val="00C07DA4"/>
    <w:rsid w:val="00C07F05"/>
    <w:rsid w:val="00C07F29"/>
    <w:rsid w:val="00C07F33"/>
    <w:rsid w:val="00C10103"/>
    <w:rsid w:val="00C1015A"/>
    <w:rsid w:val="00C101BA"/>
    <w:rsid w:val="00C10298"/>
    <w:rsid w:val="00C102C5"/>
    <w:rsid w:val="00C10363"/>
    <w:rsid w:val="00C10422"/>
    <w:rsid w:val="00C1065A"/>
    <w:rsid w:val="00C107F4"/>
    <w:rsid w:val="00C10984"/>
    <w:rsid w:val="00C10B37"/>
    <w:rsid w:val="00C10C78"/>
    <w:rsid w:val="00C10D5A"/>
    <w:rsid w:val="00C10DE0"/>
    <w:rsid w:val="00C110D2"/>
    <w:rsid w:val="00C110E6"/>
    <w:rsid w:val="00C110EA"/>
    <w:rsid w:val="00C11218"/>
    <w:rsid w:val="00C11348"/>
    <w:rsid w:val="00C1137A"/>
    <w:rsid w:val="00C11383"/>
    <w:rsid w:val="00C1141F"/>
    <w:rsid w:val="00C1143F"/>
    <w:rsid w:val="00C114DB"/>
    <w:rsid w:val="00C115AF"/>
    <w:rsid w:val="00C1160F"/>
    <w:rsid w:val="00C116AE"/>
    <w:rsid w:val="00C116D6"/>
    <w:rsid w:val="00C117CD"/>
    <w:rsid w:val="00C1190F"/>
    <w:rsid w:val="00C119C1"/>
    <w:rsid w:val="00C11A7B"/>
    <w:rsid w:val="00C11B5C"/>
    <w:rsid w:val="00C11BD2"/>
    <w:rsid w:val="00C11C88"/>
    <w:rsid w:val="00C11D2C"/>
    <w:rsid w:val="00C11D70"/>
    <w:rsid w:val="00C11D79"/>
    <w:rsid w:val="00C11F6D"/>
    <w:rsid w:val="00C12052"/>
    <w:rsid w:val="00C12079"/>
    <w:rsid w:val="00C1218D"/>
    <w:rsid w:val="00C12383"/>
    <w:rsid w:val="00C12396"/>
    <w:rsid w:val="00C12440"/>
    <w:rsid w:val="00C125B2"/>
    <w:rsid w:val="00C1268E"/>
    <w:rsid w:val="00C12814"/>
    <w:rsid w:val="00C12CA5"/>
    <w:rsid w:val="00C12D71"/>
    <w:rsid w:val="00C12DC0"/>
    <w:rsid w:val="00C12E00"/>
    <w:rsid w:val="00C12E40"/>
    <w:rsid w:val="00C12E7D"/>
    <w:rsid w:val="00C12EF5"/>
    <w:rsid w:val="00C13198"/>
    <w:rsid w:val="00C131C3"/>
    <w:rsid w:val="00C13415"/>
    <w:rsid w:val="00C13445"/>
    <w:rsid w:val="00C1375C"/>
    <w:rsid w:val="00C13805"/>
    <w:rsid w:val="00C13824"/>
    <w:rsid w:val="00C13831"/>
    <w:rsid w:val="00C138EB"/>
    <w:rsid w:val="00C139CC"/>
    <w:rsid w:val="00C13A98"/>
    <w:rsid w:val="00C13B93"/>
    <w:rsid w:val="00C13C10"/>
    <w:rsid w:val="00C13D1F"/>
    <w:rsid w:val="00C13D70"/>
    <w:rsid w:val="00C1402A"/>
    <w:rsid w:val="00C140F1"/>
    <w:rsid w:val="00C14158"/>
    <w:rsid w:val="00C1440F"/>
    <w:rsid w:val="00C14470"/>
    <w:rsid w:val="00C1459E"/>
    <w:rsid w:val="00C145DA"/>
    <w:rsid w:val="00C147B3"/>
    <w:rsid w:val="00C1485C"/>
    <w:rsid w:val="00C1486F"/>
    <w:rsid w:val="00C14A07"/>
    <w:rsid w:val="00C14ADD"/>
    <w:rsid w:val="00C14B04"/>
    <w:rsid w:val="00C14B51"/>
    <w:rsid w:val="00C14C27"/>
    <w:rsid w:val="00C14C2E"/>
    <w:rsid w:val="00C14C7A"/>
    <w:rsid w:val="00C14CAB"/>
    <w:rsid w:val="00C14D1A"/>
    <w:rsid w:val="00C14D63"/>
    <w:rsid w:val="00C14D87"/>
    <w:rsid w:val="00C14E0D"/>
    <w:rsid w:val="00C15067"/>
    <w:rsid w:val="00C15275"/>
    <w:rsid w:val="00C153FB"/>
    <w:rsid w:val="00C15453"/>
    <w:rsid w:val="00C15622"/>
    <w:rsid w:val="00C1563C"/>
    <w:rsid w:val="00C1576B"/>
    <w:rsid w:val="00C15784"/>
    <w:rsid w:val="00C15858"/>
    <w:rsid w:val="00C1598B"/>
    <w:rsid w:val="00C15D9C"/>
    <w:rsid w:val="00C161A4"/>
    <w:rsid w:val="00C1624D"/>
    <w:rsid w:val="00C1629C"/>
    <w:rsid w:val="00C16352"/>
    <w:rsid w:val="00C165C1"/>
    <w:rsid w:val="00C165F8"/>
    <w:rsid w:val="00C16608"/>
    <w:rsid w:val="00C166D4"/>
    <w:rsid w:val="00C16777"/>
    <w:rsid w:val="00C167F8"/>
    <w:rsid w:val="00C16CAC"/>
    <w:rsid w:val="00C16CF4"/>
    <w:rsid w:val="00C16DD9"/>
    <w:rsid w:val="00C16E24"/>
    <w:rsid w:val="00C16EE4"/>
    <w:rsid w:val="00C16EED"/>
    <w:rsid w:val="00C16F2B"/>
    <w:rsid w:val="00C16FD3"/>
    <w:rsid w:val="00C17023"/>
    <w:rsid w:val="00C1727F"/>
    <w:rsid w:val="00C17303"/>
    <w:rsid w:val="00C173CF"/>
    <w:rsid w:val="00C17561"/>
    <w:rsid w:val="00C175C6"/>
    <w:rsid w:val="00C17601"/>
    <w:rsid w:val="00C17671"/>
    <w:rsid w:val="00C17862"/>
    <w:rsid w:val="00C17904"/>
    <w:rsid w:val="00C179C0"/>
    <w:rsid w:val="00C179FD"/>
    <w:rsid w:val="00C17A82"/>
    <w:rsid w:val="00C17AAB"/>
    <w:rsid w:val="00C17BB3"/>
    <w:rsid w:val="00C17D30"/>
    <w:rsid w:val="00C17DCB"/>
    <w:rsid w:val="00C17F57"/>
    <w:rsid w:val="00C17FA4"/>
    <w:rsid w:val="00C17FAF"/>
    <w:rsid w:val="00C2001E"/>
    <w:rsid w:val="00C200F3"/>
    <w:rsid w:val="00C2029E"/>
    <w:rsid w:val="00C20376"/>
    <w:rsid w:val="00C207FB"/>
    <w:rsid w:val="00C20858"/>
    <w:rsid w:val="00C20875"/>
    <w:rsid w:val="00C209BE"/>
    <w:rsid w:val="00C210A5"/>
    <w:rsid w:val="00C211B3"/>
    <w:rsid w:val="00C2123A"/>
    <w:rsid w:val="00C2152F"/>
    <w:rsid w:val="00C21544"/>
    <w:rsid w:val="00C2161B"/>
    <w:rsid w:val="00C216F1"/>
    <w:rsid w:val="00C2178B"/>
    <w:rsid w:val="00C21A8F"/>
    <w:rsid w:val="00C21B34"/>
    <w:rsid w:val="00C21C16"/>
    <w:rsid w:val="00C21D20"/>
    <w:rsid w:val="00C21DC0"/>
    <w:rsid w:val="00C21F04"/>
    <w:rsid w:val="00C21F89"/>
    <w:rsid w:val="00C22018"/>
    <w:rsid w:val="00C2209F"/>
    <w:rsid w:val="00C2213C"/>
    <w:rsid w:val="00C221D7"/>
    <w:rsid w:val="00C222D3"/>
    <w:rsid w:val="00C222D5"/>
    <w:rsid w:val="00C22307"/>
    <w:rsid w:val="00C22374"/>
    <w:rsid w:val="00C223CC"/>
    <w:rsid w:val="00C22459"/>
    <w:rsid w:val="00C22662"/>
    <w:rsid w:val="00C226AB"/>
    <w:rsid w:val="00C22720"/>
    <w:rsid w:val="00C228B9"/>
    <w:rsid w:val="00C22927"/>
    <w:rsid w:val="00C22EE8"/>
    <w:rsid w:val="00C22F8C"/>
    <w:rsid w:val="00C23139"/>
    <w:rsid w:val="00C23216"/>
    <w:rsid w:val="00C23269"/>
    <w:rsid w:val="00C23289"/>
    <w:rsid w:val="00C232E1"/>
    <w:rsid w:val="00C23322"/>
    <w:rsid w:val="00C23339"/>
    <w:rsid w:val="00C23486"/>
    <w:rsid w:val="00C2365E"/>
    <w:rsid w:val="00C2372C"/>
    <w:rsid w:val="00C237CD"/>
    <w:rsid w:val="00C23926"/>
    <w:rsid w:val="00C2398B"/>
    <w:rsid w:val="00C23A8A"/>
    <w:rsid w:val="00C23B5A"/>
    <w:rsid w:val="00C23B7E"/>
    <w:rsid w:val="00C23C04"/>
    <w:rsid w:val="00C23C7B"/>
    <w:rsid w:val="00C23CFF"/>
    <w:rsid w:val="00C23D2F"/>
    <w:rsid w:val="00C23E3F"/>
    <w:rsid w:val="00C23E64"/>
    <w:rsid w:val="00C23EB4"/>
    <w:rsid w:val="00C23EE5"/>
    <w:rsid w:val="00C24040"/>
    <w:rsid w:val="00C24075"/>
    <w:rsid w:val="00C240C6"/>
    <w:rsid w:val="00C240D8"/>
    <w:rsid w:val="00C24202"/>
    <w:rsid w:val="00C242D0"/>
    <w:rsid w:val="00C242E5"/>
    <w:rsid w:val="00C2431B"/>
    <w:rsid w:val="00C24579"/>
    <w:rsid w:val="00C24582"/>
    <w:rsid w:val="00C24649"/>
    <w:rsid w:val="00C24769"/>
    <w:rsid w:val="00C24879"/>
    <w:rsid w:val="00C24BA9"/>
    <w:rsid w:val="00C24C5D"/>
    <w:rsid w:val="00C24E73"/>
    <w:rsid w:val="00C25021"/>
    <w:rsid w:val="00C2505E"/>
    <w:rsid w:val="00C251A4"/>
    <w:rsid w:val="00C252F2"/>
    <w:rsid w:val="00C253D8"/>
    <w:rsid w:val="00C255BD"/>
    <w:rsid w:val="00C255DB"/>
    <w:rsid w:val="00C25615"/>
    <w:rsid w:val="00C256C2"/>
    <w:rsid w:val="00C256D6"/>
    <w:rsid w:val="00C25725"/>
    <w:rsid w:val="00C257DC"/>
    <w:rsid w:val="00C25949"/>
    <w:rsid w:val="00C2594C"/>
    <w:rsid w:val="00C25AA0"/>
    <w:rsid w:val="00C25B2D"/>
    <w:rsid w:val="00C25B76"/>
    <w:rsid w:val="00C25D49"/>
    <w:rsid w:val="00C2624B"/>
    <w:rsid w:val="00C26309"/>
    <w:rsid w:val="00C263B3"/>
    <w:rsid w:val="00C26442"/>
    <w:rsid w:val="00C26600"/>
    <w:rsid w:val="00C266B9"/>
    <w:rsid w:val="00C26891"/>
    <w:rsid w:val="00C269FE"/>
    <w:rsid w:val="00C26A47"/>
    <w:rsid w:val="00C26C7D"/>
    <w:rsid w:val="00C26D6A"/>
    <w:rsid w:val="00C26DE5"/>
    <w:rsid w:val="00C2706C"/>
    <w:rsid w:val="00C27119"/>
    <w:rsid w:val="00C2712D"/>
    <w:rsid w:val="00C2714F"/>
    <w:rsid w:val="00C27213"/>
    <w:rsid w:val="00C273DD"/>
    <w:rsid w:val="00C2743C"/>
    <w:rsid w:val="00C27458"/>
    <w:rsid w:val="00C2748D"/>
    <w:rsid w:val="00C274B5"/>
    <w:rsid w:val="00C27509"/>
    <w:rsid w:val="00C27708"/>
    <w:rsid w:val="00C277EC"/>
    <w:rsid w:val="00C278A6"/>
    <w:rsid w:val="00C27C06"/>
    <w:rsid w:val="00C27E87"/>
    <w:rsid w:val="00C27F15"/>
    <w:rsid w:val="00C27F4D"/>
    <w:rsid w:val="00C27F8A"/>
    <w:rsid w:val="00C3001E"/>
    <w:rsid w:val="00C300DE"/>
    <w:rsid w:val="00C30354"/>
    <w:rsid w:val="00C30403"/>
    <w:rsid w:val="00C30578"/>
    <w:rsid w:val="00C305D4"/>
    <w:rsid w:val="00C30638"/>
    <w:rsid w:val="00C30765"/>
    <w:rsid w:val="00C308D2"/>
    <w:rsid w:val="00C309E4"/>
    <w:rsid w:val="00C30A2A"/>
    <w:rsid w:val="00C30DA0"/>
    <w:rsid w:val="00C30E65"/>
    <w:rsid w:val="00C30FC4"/>
    <w:rsid w:val="00C30FD3"/>
    <w:rsid w:val="00C31126"/>
    <w:rsid w:val="00C31171"/>
    <w:rsid w:val="00C311A6"/>
    <w:rsid w:val="00C311E0"/>
    <w:rsid w:val="00C31276"/>
    <w:rsid w:val="00C3142B"/>
    <w:rsid w:val="00C315A3"/>
    <w:rsid w:val="00C31606"/>
    <w:rsid w:val="00C31624"/>
    <w:rsid w:val="00C31880"/>
    <w:rsid w:val="00C31887"/>
    <w:rsid w:val="00C319D2"/>
    <w:rsid w:val="00C31B95"/>
    <w:rsid w:val="00C31DDD"/>
    <w:rsid w:val="00C31E4A"/>
    <w:rsid w:val="00C31E58"/>
    <w:rsid w:val="00C31E91"/>
    <w:rsid w:val="00C31EC2"/>
    <w:rsid w:val="00C3204B"/>
    <w:rsid w:val="00C323C5"/>
    <w:rsid w:val="00C32598"/>
    <w:rsid w:val="00C32848"/>
    <w:rsid w:val="00C328CE"/>
    <w:rsid w:val="00C32910"/>
    <w:rsid w:val="00C32B66"/>
    <w:rsid w:val="00C32D96"/>
    <w:rsid w:val="00C32E9C"/>
    <w:rsid w:val="00C33076"/>
    <w:rsid w:val="00C330FE"/>
    <w:rsid w:val="00C33152"/>
    <w:rsid w:val="00C33216"/>
    <w:rsid w:val="00C3329F"/>
    <w:rsid w:val="00C337C7"/>
    <w:rsid w:val="00C33AA9"/>
    <w:rsid w:val="00C33BC2"/>
    <w:rsid w:val="00C33C37"/>
    <w:rsid w:val="00C33DFA"/>
    <w:rsid w:val="00C33FA6"/>
    <w:rsid w:val="00C34156"/>
    <w:rsid w:val="00C34177"/>
    <w:rsid w:val="00C3422B"/>
    <w:rsid w:val="00C34433"/>
    <w:rsid w:val="00C34528"/>
    <w:rsid w:val="00C3453F"/>
    <w:rsid w:val="00C34562"/>
    <w:rsid w:val="00C3466D"/>
    <w:rsid w:val="00C34675"/>
    <w:rsid w:val="00C346CB"/>
    <w:rsid w:val="00C34724"/>
    <w:rsid w:val="00C34725"/>
    <w:rsid w:val="00C34737"/>
    <w:rsid w:val="00C349C3"/>
    <w:rsid w:val="00C34A19"/>
    <w:rsid w:val="00C34AA3"/>
    <w:rsid w:val="00C34ADE"/>
    <w:rsid w:val="00C34E58"/>
    <w:rsid w:val="00C35124"/>
    <w:rsid w:val="00C3530F"/>
    <w:rsid w:val="00C35352"/>
    <w:rsid w:val="00C353E7"/>
    <w:rsid w:val="00C35447"/>
    <w:rsid w:val="00C3547D"/>
    <w:rsid w:val="00C35650"/>
    <w:rsid w:val="00C35717"/>
    <w:rsid w:val="00C35766"/>
    <w:rsid w:val="00C35949"/>
    <w:rsid w:val="00C35A59"/>
    <w:rsid w:val="00C35ABC"/>
    <w:rsid w:val="00C35AF9"/>
    <w:rsid w:val="00C35B80"/>
    <w:rsid w:val="00C35C5B"/>
    <w:rsid w:val="00C35D1E"/>
    <w:rsid w:val="00C35E43"/>
    <w:rsid w:val="00C35E5D"/>
    <w:rsid w:val="00C36058"/>
    <w:rsid w:val="00C3606C"/>
    <w:rsid w:val="00C360B5"/>
    <w:rsid w:val="00C360BB"/>
    <w:rsid w:val="00C361B0"/>
    <w:rsid w:val="00C36509"/>
    <w:rsid w:val="00C36579"/>
    <w:rsid w:val="00C3661B"/>
    <w:rsid w:val="00C36917"/>
    <w:rsid w:val="00C36A0E"/>
    <w:rsid w:val="00C36AB1"/>
    <w:rsid w:val="00C36AE6"/>
    <w:rsid w:val="00C36B4D"/>
    <w:rsid w:val="00C36C9B"/>
    <w:rsid w:val="00C36DCF"/>
    <w:rsid w:val="00C36E82"/>
    <w:rsid w:val="00C36F89"/>
    <w:rsid w:val="00C36FC9"/>
    <w:rsid w:val="00C37205"/>
    <w:rsid w:val="00C37328"/>
    <w:rsid w:val="00C373EC"/>
    <w:rsid w:val="00C3740C"/>
    <w:rsid w:val="00C37571"/>
    <w:rsid w:val="00C37595"/>
    <w:rsid w:val="00C37638"/>
    <w:rsid w:val="00C37642"/>
    <w:rsid w:val="00C376CB"/>
    <w:rsid w:val="00C376F1"/>
    <w:rsid w:val="00C37784"/>
    <w:rsid w:val="00C377F4"/>
    <w:rsid w:val="00C379A2"/>
    <w:rsid w:val="00C37D0C"/>
    <w:rsid w:val="00C37F04"/>
    <w:rsid w:val="00C37F47"/>
    <w:rsid w:val="00C37F50"/>
    <w:rsid w:val="00C37FA2"/>
    <w:rsid w:val="00C37FFE"/>
    <w:rsid w:val="00C404D0"/>
    <w:rsid w:val="00C40533"/>
    <w:rsid w:val="00C40578"/>
    <w:rsid w:val="00C4058F"/>
    <w:rsid w:val="00C405C1"/>
    <w:rsid w:val="00C4060B"/>
    <w:rsid w:val="00C406F4"/>
    <w:rsid w:val="00C4098C"/>
    <w:rsid w:val="00C40A9E"/>
    <w:rsid w:val="00C40B3A"/>
    <w:rsid w:val="00C40B5B"/>
    <w:rsid w:val="00C40B83"/>
    <w:rsid w:val="00C40D6F"/>
    <w:rsid w:val="00C41073"/>
    <w:rsid w:val="00C41217"/>
    <w:rsid w:val="00C412AD"/>
    <w:rsid w:val="00C412E9"/>
    <w:rsid w:val="00C414AD"/>
    <w:rsid w:val="00C41565"/>
    <w:rsid w:val="00C4158F"/>
    <w:rsid w:val="00C4162F"/>
    <w:rsid w:val="00C4166F"/>
    <w:rsid w:val="00C4167D"/>
    <w:rsid w:val="00C416F4"/>
    <w:rsid w:val="00C41798"/>
    <w:rsid w:val="00C4180C"/>
    <w:rsid w:val="00C41894"/>
    <w:rsid w:val="00C418C8"/>
    <w:rsid w:val="00C41959"/>
    <w:rsid w:val="00C41986"/>
    <w:rsid w:val="00C419F7"/>
    <w:rsid w:val="00C41A90"/>
    <w:rsid w:val="00C41DF7"/>
    <w:rsid w:val="00C4233C"/>
    <w:rsid w:val="00C424AB"/>
    <w:rsid w:val="00C42582"/>
    <w:rsid w:val="00C4261C"/>
    <w:rsid w:val="00C4262A"/>
    <w:rsid w:val="00C42632"/>
    <w:rsid w:val="00C42721"/>
    <w:rsid w:val="00C428AB"/>
    <w:rsid w:val="00C428E0"/>
    <w:rsid w:val="00C428F4"/>
    <w:rsid w:val="00C42A9B"/>
    <w:rsid w:val="00C42CA9"/>
    <w:rsid w:val="00C42D26"/>
    <w:rsid w:val="00C42DDA"/>
    <w:rsid w:val="00C42E03"/>
    <w:rsid w:val="00C42E53"/>
    <w:rsid w:val="00C42E77"/>
    <w:rsid w:val="00C42EE7"/>
    <w:rsid w:val="00C42F0A"/>
    <w:rsid w:val="00C4305C"/>
    <w:rsid w:val="00C4327D"/>
    <w:rsid w:val="00C43299"/>
    <w:rsid w:val="00C4329C"/>
    <w:rsid w:val="00C433CB"/>
    <w:rsid w:val="00C4354D"/>
    <w:rsid w:val="00C43616"/>
    <w:rsid w:val="00C4387B"/>
    <w:rsid w:val="00C43A0E"/>
    <w:rsid w:val="00C43B6F"/>
    <w:rsid w:val="00C43BB9"/>
    <w:rsid w:val="00C43C58"/>
    <w:rsid w:val="00C43FA8"/>
    <w:rsid w:val="00C44110"/>
    <w:rsid w:val="00C4411C"/>
    <w:rsid w:val="00C44375"/>
    <w:rsid w:val="00C443D5"/>
    <w:rsid w:val="00C4440C"/>
    <w:rsid w:val="00C4443A"/>
    <w:rsid w:val="00C4459D"/>
    <w:rsid w:val="00C44635"/>
    <w:rsid w:val="00C446E6"/>
    <w:rsid w:val="00C447E2"/>
    <w:rsid w:val="00C4491A"/>
    <w:rsid w:val="00C44934"/>
    <w:rsid w:val="00C4494B"/>
    <w:rsid w:val="00C449F1"/>
    <w:rsid w:val="00C44A37"/>
    <w:rsid w:val="00C44A56"/>
    <w:rsid w:val="00C44AF8"/>
    <w:rsid w:val="00C44B0C"/>
    <w:rsid w:val="00C44C7D"/>
    <w:rsid w:val="00C44DBD"/>
    <w:rsid w:val="00C44E2E"/>
    <w:rsid w:val="00C44EB6"/>
    <w:rsid w:val="00C44F2E"/>
    <w:rsid w:val="00C45058"/>
    <w:rsid w:val="00C450F0"/>
    <w:rsid w:val="00C45202"/>
    <w:rsid w:val="00C45253"/>
    <w:rsid w:val="00C4526B"/>
    <w:rsid w:val="00C4526F"/>
    <w:rsid w:val="00C45335"/>
    <w:rsid w:val="00C4549F"/>
    <w:rsid w:val="00C45561"/>
    <w:rsid w:val="00C45638"/>
    <w:rsid w:val="00C4591E"/>
    <w:rsid w:val="00C459FC"/>
    <w:rsid w:val="00C45C0E"/>
    <w:rsid w:val="00C45C33"/>
    <w:rsid w:val="00C45C39"/>
    <w:rsid w:val="00C45CE3"/>
    <w:rsid w:val="00C45D16"/>
    <w:rsid w:val="00C45E78"/>
    <w:rsid w:val="00C45EAC"/>
    <w:rsid w:val="00C45F76"/>
    <w:rsid w:val="00C4610E"/>
    <w:rsid w:val="00C46282"/>
    <w:rsid w:val="00C46399"/>
    <w:rsid w:val="00C4640B"/>
    <w:rsid w:val="00C46426"/>
    <w:rsid w:val="00C46537"/>
    <w:rsid w:val="00C46806"/>
    <w:rsid w:val="00C469D8"/>
    <w:rsid w:val="00C46A7B"/>
    <w:rsid w:val="00C46D0D"/>
    <w:rsid w:val="00C46DB8"/>
    <w:rsid w:val="00C46DCE"/>
    <w:rsid w:val="00C46E1A"/>
    <w:rsid w:val="00C46E37"/>
    <w:rsid w:val="00C46E38"/>
    <w:rsid w:val="00C46EF6"/>
    <w:rsid w:val="00C46F19"/>
    <w:rsid w:val="00C46F27"/>
    <w:rsid w:val="00C46F5E"/>
    <w:rsid w:val="00C46F94"/>
    <w:rsid w:val="00C46FCD"/>
    <w:rsid w:val="00C470A4"/>
    <w:rsid w:val="00C47187"/>
    <w:rsid w:val="00C472D3"/>
    <w:rsid w:val="00C47404"/>
    <w:rsid w:val="00C47434"/>
    <w:rsid w:val="00C4743E"/>
    <w:rsid w:val="00C4758E"/>
    <w:rsid w:val="00C47594"/>
    <w:rsid w:val="00C477CC"/>
    <w:rsid w:val="00C47983"/>
    <w:rsid w:val="00C47A7D"/>
    <w:rsid w:val="00C47C2F"/>
    <w:rsid w:val="00C47C5A"/>
    <w:rsid w:val="00C47DBB"/>
    <w:rsid w:val="00C50101"/>
    <w:rsid w:val="00C503A6"/>
    <w:rsid w:val="00C503DB"/>
    <w:rsid w:val="00C503F4"/>
    <w:rsid w:val="00C503F8"/>
    <w:rsid w:val="00C5049C"/>
    <w:rsid w:val="00C50519"/>
    <w:rsid w:val="00C50566"/>
    <w:rsid w:val="00C505ED"/>
    <w:rsid w:val="00C507BC"/>
    <w:rsid w:val="00C507F4"/>
    <w:rsid w:val="00C50969"/>
    <w:rsid w:val="00C50995"/>
    <w:rsid w:val="00C50A8E"/>
    <w:rsid w:val="00C50CA0"/>
    <w:rsid w:val="00C50CFF"/>
    <w:rsid w:val="00C50D80"/>
    <w:rsid w:val="00C50D8C"/>
    <w:rsid w:val="00C50EC6"/>
    <w:rsid w:val="00C50F14"/>
    <w:rsid w:val="00C50F18"/>
    <w:rsid w:val="00C510D1"/>
    <w:rsid w:val="00C5115A"/>
    <w:rsid w:val="00C51184"/>
    <w:rsid w:val="00C5118C"/>
    <w:rsid w:val="00C51363"/>
    <w:rsid w:val="00C513B6"/>
    <w:rsid w:val="00C515BD"/>
    <w:rsid w:val="00C515CD"/>
    <w:rsid w:val="00C516DF"/>
    <w:rsid w:val="00C51712"/>
    <w:rsid w:val="00C51767"/>
    <w:rsid w:val="00C517F6"/>
    <w:rsid w:val="00C518E0"/>
    <w:rsid w:val="00C51937"/>
    <w:rsid w:val="00C519E4"/>
    <w:rsid w:val="00C51B51"/>
    <w:rsid w:val="00C51E10"/>
    <w:rsid w:val="00C51F0C"/>
    <w:rsid w:val="00C51F40"/>
    <w:rsid w:val="00C51FC9"/>
    <w:rsid w:val="00C52073"/>
    <w:rsid w:val="00C520DF"/>
    <w:rsid w:val="00C5212F"/>
    <w:rsid w:val="00C52178"/>
    <w:rsid w:val="00C5217A"/>
    <w:rsid w:val="00C5226F"/>
    <w:rsid w:val="00C52284"/>
    <w:rsid w:val="00C522D4"/>
    <w:rsid w:val="00C52511"/>
    <w:rsid w:val="00C52520"/>
    <w:rsid w:val="00C52562"/>
    <w:rsid w:val="00C52564"/>
    <w:rsid w:val="00C526E1"/>
    <w:rsid w:val="00C527D7"/>
    <w:rsid w:val="00C527E1"/>
    <w:rsid w:val="00C5286B"/>
    <w:rsid w:val="00C528D5"/>
    <w:rsid w:val="00C529D0"/>
    <w:rsid w:val="00C52B5F"/>
    <w:rsid w:val="00C52C15"/>
    <w:rsid w:val="00C52C76"/>
    <w:rsid w:val="00C52D36"/>
    <w:rsid w:val="00C52D9F"/>
    <w:rsid w:val="00C52DDC"/>
    <w:rsid w:val="00C52E6D"/>
    <w:rsid w:val="00C52EF7"/>
    <w:rsid w:val="00C52FF3"/>
    <w:rsid w:val="00C53078"/>
    <w:rsid w:val="00C5324D"/>
    <w:rsid w:val="00C5327F"/>
    <w:rsid w:val="00C532E4"/>
    <w:rsid w:val="00C53359"/>
    <w:rsid w:val="00C5349F"/>
    <w:rsid w:val="00C5362A"/>
    <w:rsid w:val="00C53737"/>
    <w:rsid w:val="00C53742"/>
    <w:rsid w:val="00C53832"/>
    <w:rsid w:val="00C5386F"/>
    <w:rsid w:val="00C538AE"/>
    <w:rsid w:val="00C538DA"/>
    <w:rsid w:val="00C53999"/>
    <w:rsid w:val="00C539AC"/>
    <w:rsid w:val="00C53B26"/>
    <w:rsid w:val="00C53B29"/>
    <w:rsid w:val="00C53B5A"/>
    <w:rsid w:val="00C53B9F"/>
    <w:rsid w:val="00C53C22"/>
    <w:rsid w:val="00C53DAA"/>
    <w:rsid w:val="00C53EAF"/>
    <w:rsid w:val="00C53EF8"/>
    <w:rsid w:val="00C54076"/>
    <w:rsid w:val="00C54118"/>
    <w:rsid w:val="00C541C9"/>
    <w:rsid w:val="00C541CF"/>
    <w:rsid w:val="00C54246"/>
    <w:rsid w:val="00C543E3"/>
    <w:rsid w:val="00C544A2"/>
    <w:rsid w:val="00C545D1"/>
    <w:rsid w:val="00C545E4"/>
    <w:rsid w:val="00C54722"/>
    <w:rsid w:val="00C5473D"/>
    <w:rsid w:val="00C54744"/>
    <w:rsid w:val="00C54853"/>
    <w:rsid w:val="00C54950"/>
    <w:rsid w:val="00C5499F"/>
    <w:rsid w:val="00C54B4C"/>
    <w:rsid w:val="00C54C56"/>
    <w:rsid w:val="00C54C89"/>
    <w:rsid w:val="00C54DEC"/>
    <w:rsid w:val="00C55050"/>
    <w:rsid w:val="00C5505D"/>
    <w:rsid w:val="00C550B9"/>
    <w:rsid w:val="00C551EC"/>
    <w:rsid w:val="00C55252"/>
    <w:rsid w:val="00C5528F"/>
    <w:rsid w:val="00C554C8"/>
    <w:rsid w:val="00C5558F"/>
    <w:rsid w:val="00C555B1"/>
    <w:rsid w:val="00C555EF"/>
    <w:rsid w:val="00C55642"/>
    <w:rsid w:val="00C55794"/>
    <w:rsid w:val="00C55ADA"/>
    <w:rsid w:val="00C55B52"/>
    <w:rsid w:val="00C55BD1"/>
    <w:rsid w:val="00C55CC4"/>
    <w:rsid w:val="00C55CE0"/>
    <w:rsid w:val="00C55D46"/>
    <w:rsid w:val="00C55D62"/>
    <w:rsid w:val="00C55E0B"/>
    <w:rsid w:val="00C55E91"/>
    <w:rsid w:val="00C55ED1"/>
    <w:rsid w:val="00C55F47"/>
    <w:rsid w:val="00C55F6F"/>
    <w:rsid w:val="00C5614A"/>
    <w:rsid w:val="00C5622E"/>
    <w:rsid w:val="00C5641A"/>
    <w:rsid w:val="00C567DE"/>
    <w:rsid w:val="00C56BBB"/>
    <w:rsid w:val="00C56BDE"/>
    <w:rsid w:val="00C56C3F"/>
    <w:rsid w:val="00C56CA5"/>
    <w:rsid w:val="00C56D45"/>
    <w:rsid w:val="00C56F17"/>
    <w:rsid w:val="00C56F38"/>
    <w:rsid w:val="00C56F47"/>
    <w:rsid w:val="00C57043"/>
    <w:rsid w:val="00C57055"/>
    <w:rsid w:val="00C570C0"/>
    <w:rsid w:val="00C570EA"/>
    <w:rsid w:val="00C57467"/>
    <w:rsid w:val="00C57482"/>
    <w:rsid w:val="00C574C0"/>
    <w:rsid w:val="00C574DE"/>
    <w:rsid w:val="00C57570"/>
    <w:rsid w:val="00C57705"/>
    <w:rsid w:val="00C5779B"/>
    <w:rsid w:val="00C577CD"/>
    <w:rsid w:val="00C579B8"/>
    <w:rsid w:val="00C57AAE"/>
    <w:rsid w:val="00C57ADA"/>
    <w:rsid w:val="00C57BE3"/>
    <w:rsid w:val="00C57D91"/>
    <w:rsid w:val="00C57DD9"/>
    <w:rsid w:val="00C57FC5"/>
    <w:rsid w:val="00C60196"/>
    <w:rsid w:val="00C601F5"/>
    <w:rsid w:val="00C60368"/>
    <w:rsid w:val="00C60392"/>
    <w:rsid w:val="00C603DC"/>
    <w:rsid w:val="00C60649"/>
    <w:rsid w:val="00C6073A"/>
    <w:rsid w:val="00C60773"/>
    <w:rsid w:val="00C60803"/>
    <w:rsid w:val="00C60868"/>
    <w:rsid w:val="00C60C67"/>
    <w:rsid w:val="00C60D59"/>
    <w:rsid w:val="00C60DB5"/>
    <w:rsid w:val="00C60E28"/>
    <w:rsid w:val="00C60E91"/>
    <w:rsid w:val="00C60EA2"/>
    <w:rsid w:val="00C61006"/>
    <w:rsid w:val="00C61270"/>
    <w:rsid w:val="00C61364"/>
    <w:rsid w:val="00C61507"/>
    <w:rsid w:val="00C61517"/>
    <w:rsid w:val="00C615B2"/>
    <w:rsid w:val="00C61758"/>
    <w:rsid w:val="00C61959"/>
    <w:rsid w:val="00C61B16"/>
    <w:rsid w:val="00C61B29"/>
    <w:rsid w:val="00C61D48"/>
    <w:rsid w:val="00C61D53"/>
    <w:rsid w:val="00C61D95"/>
    <w:rsid w:val="00C61DF5"/>
    <w:rsid w:val="00C61ECA"/>
    <w:rsid w:val="00C61F06"/>
    <w:rsid w:val="00C61FE4"/>
    <w:rsid w:val="00C620B4"/>
    <w:rsid w:val="00C6219F"/>
    <w:rsid w:val="00C622CC"/>
    <w:rsid w:val="00C622FB"/>
    <w:rsid w:val="00C6238D"/>
    <w:rsid w:val="00C624CE"/>
    <w:rsid w:val="00C625CE"/>
    <w:rsid w:val="00C62714"/>
    <w:rsid w:val="00C62866"/>
    <w:rsid w:val="00C6286D"/>
    <w:rsid w:val="00C6289A"/>
    <w:rsid w:val="00C62AD4"/>
    <w:rsid w:val="00C62B21"/>
    <w:rsid w:val="00C62CCC"/>
    <w:rsid w:val="00C62E29"/>
    <w:rsid w:val="00C62E52"/>
    <w:rsid w:val="00C62E54"/>
    <w:rsid w:val="00C62F9B"/>
    <w:rsid w:val="00C631B4"/>
    <w:rsid w:val="00C631D7"/>
    <w:rsid w:val="00C6332E"/>
    <w:rsid w:val="00C6341B"/>
    <w:rsid w:val="00C634CD"/>
    <w:rsid w:val="00C63592"/>
    <w:rsid w:val="00C636ED"/>
    <w:rsid w:val="00C63961"/>
    <w:rsid w:val="00C6397F"/>
    <w:rsid w:val="00C63A5E"/>
    <w:rsid w:val="00C63B0A"/>
    <w:rsid w:val="00C63B2A"/>
    <w:rsid w:val="00C63C96"/>
    <w:rsid w:val="00C63F7D"/>
    <w:rsid w:val="00C64131"/>
    <w:rsid w:val="00C6425E"/>
    <w:rsid w:val="00C6426B"/>
    <w:rsid w:val="00C64273"/>
    <w:rsid w:val="00C642AF"/>
    <w:rsid w:val="00C642F6"/>
    <w:rsid w:val="00C6437B"/>
    <w:rsid w:val="00C643CF"/>
    <w:rsid w:val="00C64403"/>
    <w:rsid w:val="00C64445"/>
    <w:rsid w:val="00C645A9"/>
    <w:rsid w:val="00C6468D"/>
    <w:rsid w:val="00C6469E"/>
    <w:rsid w:val="00C64798"/>
    <w:rsid w:val="00C64995"/>
    <w:rsid w:val="00C64B86"/>
    <w:rsid w:val="00C64BB6"/>
    <w:rsid w:val="00C64D3D"/>
    <w:rsid w:val="00C64DB6"/>
    <w:rsid w:val="00C64FDA"/>
    <w:rsid w:val="00C650A9"/>
    <w:rsid w:val="00C65103"/>
    <w:rsid w:val="00C65123"/>
    <w:rsid w:val="00C65175"/>
    <w:rsid w:val="00C651F1"/>
    <w:rsid w:val="00C6539D"/>
    <w:rsid w:val="00C6574B"/>
    <w:rsid w:val="00C657DA"/>
    <w:rsid w:val="00C65815"/>
    <w:rsid w:val="00C658C5"/>
    <w:rsid w:val="00C65923"/>
    <w:rsid w:val="00C659E8"/>
    <w:rsid w:val="00C659EA"/>
    <w:rsid w:val="00C65A59"/>
    <w:rsid w:val="00C65A8E"/>
    <w:rsid w:val="00C65B03"/>
    <w:rsid w:val="00C65D43"/>
    <w:rsid w:val="00C65F6D"/>
    <w:rsid w:val="00C65FE7"/>
    <w:rsid w:val="00C6602B"/>
    <w:rsid w:val="00C6606F"/>
    <w:rsid w:val="00C660A0"/>
    <w:rsid w:val="00C660DA"/>
    <w:rsid w:val="00C66184"/>
    <w:rsid w:val="00C661F2"/>
    <w:rsid w:val="00C6675B"/>
    <w:rsid w:val="00C667FB"/>
    <w:rsid w:val="00C66B00"/>
    <w:rsid w:val="00C66C59"/>
    <w:rsid w:val="00C66C9B"/>
    <w:rsid w:val="00C66D22"/>
    <w:rsid w:val="00C66E3E"/>
    <w:rsid w:val="00C66E9E"/>
    <w:rsid w:val="00C66EB2"/>
    <w:rsid w:val="00C66F52"/>
    <w:rsid w:val="00C6707F"/>
    <w:rsid w:val="00C67116"/>
    <w:rsid w:val="00C67137"/>
    <w:rsid w:val="00C672CD"/>
    <w:rsid w:val="00C6769E"/>
    <w:rsid w:val="00C677C6"/>
    <w:rsid w:val="00C6793B"/>
    <w:rsid w:val="00C67A22"/>
    <w:rsid w:val="00C67A53"/>
    <w:rsid w:val="00C67B7E"/>
    <w:rsid w:val="00C67B85"/>
    <w:rsid w:val="00C67DBF"/>
    <w:rsid w:val="00C67F21"/>
    <w:rsid w:val="00C67F5D"/>
    <w:rsid w:val="00C7003B"/>
    <w:rsid w:val="00C7004D"/>
    <w:rsid w:val="00C700EB"/>
    <w:rsid w:val="00C70237"/>
    <w:rsid w:val="00C702C7"/>
    <w:rsid w:val="00C703E2"/>
    <w:rsid w:val="00C70581"/>
    <w:rsid w:val="00C705CE"/>
    <w:rsid w:val="00C70643"/>
    <w:rsid w:val="00C706C1"/>
    <w:rsid w:val="00C706E2"/>
    <w:rsid w:val="00C7073E"/>
    <w:rsid w:val="00C7084C"/>
    <w:rsid w:val="00C70870"/>
    <w:rsid w:val="00C708AC"/>
    <w:rsid w:val="00C70943"/>
    <w:rsid w:val="00C709A2"/>
    <w:rsid w:val="00C70A23"/>
    <w:rsid w:val="00C70B0E"/>
    <w:rsid w:val="00C70B8B"/>
    <w:rsid w:val="00C70BD8"/>
    <w:rsid w:val="00C70D14"/>
    <w:rsid w:val="00C71042"/>
    <w:rsid w:val="00C712C2"/>
    <w:rsid w:val="00C715F5"/>
    <w:rsid w:val="00C716DE"/>
    <w:rsid w:val="00C71888"/>
    <w:rsid w:val="00C71AD9"/>
    <w:rsid w:val="00C71DA1"/>
    <w:rsid w:val="00C71E37"/>
    <w:rsid w:val="00C71E7A"/>
    <w:rsid w:val="00C71F73"/>
    <w:rsid w:val="00C71F8A"/>
    <w:rsid w:val="00C72096"/>
    <w:rsid w:val="00C72219"/>
    <w:rsid w:val="00C7228A"/>
    <w:rsid w:val="00C723D3"/>
    <w:rsid w:val="00C724AE"/>
    <w:rsid w:val="00C7250A"/>
    <w:rsid w:val="00C725F3"/>
    <w:rsid w:val="00C727F3"/>
    <w:rsid w:val="00C7283D"/>
    <w:rsid w:val="00C728BE"/>
    <w:rsid w:val="00C72AAD"/>
    <w:rsid w:val="00C72D27"/>
    <w:rsid w:val="00C72E92"/>
    <w:rsid w:val="00C73108"/>
    <w:rsid w:val="00C73145"/>
    <w:rsid w:val="00C7334C"/>
    <w:rsid w:val="00C7343A"/>
    <w:rsid w:val="00C736A9"/>
    <w:rsid w:val="00C73747"/>
    <w:rsid w:val="00C738B1"/>
    <w:rsid w:val="00C738DC"/>
    <w:rsid w:val="00C73B3B"/>
    <w:rsid w:val="00C73C23"/>
    <w:rsid w:val="00C73C6E"/>
    <w:rsid w:val="00C73CBB"/>
    <w:rsid w:val="00C73CE0"/>
    <w:rsid w:val="00C73DB6"/>
    <w:rsid w:val="00C73E38"/>
    <w:rsid w:val="00C73E7E"/>
    <w:rsid w:val="00C73EDE"/>
    <w:rsid w:val="00C73FE8"/>
    <w:rsid w:val="00C740B4"/>
    <w:rsid w:val="00C74280"/>
    <w:rsid w:val="00C744DD"/>
    <w:rsid w:val="00C74668"/>
    <w:rsid w:val="00C7468B"/>
    <w:rsid w:val="00C746C7"/>
    <w:rsid w:val="00C74715"/>
    <w:rsid w:val="00C747B1"/>
    <w:rsid w:val="00C74876"/>
    <w:rsid w:val="00C74975"/>
    <w:rsid w:val="00C749CB"/>
    <w:rsid w:val="00C74C0D"/>
    <w:rsid w:val="00C74E72"/>
    <w:rsid w:val="00C74EAA"/>
    <w:rsid w:val="00C74F67"/>
    <w:rsid w:val="00C74FC7"/>
    <w:rsid w:val="00C75060"/>
    <w:rsid w:val="00C75071"/>
    <w:rsid w:val="00C750D4"/>
    <w:rsid w:val="00C756E8"/>
    <w:rsid w:val="00C75811"/>
    <w:rsid w:val="00C758AB"/>
    <w:rsid w:val="00C75B68"/>
    <w:rsid w:val="00C75BF1"/>
    <w:rsid w:val="00C75C27"/>
    <w:rsid w:val="00C75E18"/>
    <w:rsid w:val="00C75E7C"/>
    <w:rsid w:val="00C7615A"/>
    <w:rsid w:val="00C761DA"/>
    <w:rsid w:val="00C76429"/>
    <w:rsid w:val="00C76523"/>
    <w:rsid w:val="00C766FF"/>
    <w:rsid w:val="00C767E3"/>
    <w:rsid w:val="00C7699A"/>
    <w:rsid w:val="00C769A4"/>
    <w:rsid w:val="00C76BB3"/>
    <w:rsid w:val="00C771AE"/>
    <w:rsid w:val="00C77259"/>
    <w:rsid w:val="00C7734A"/>
    <w:rsid w:val="00C773E5"/>
    <w:rsid w:val="00C7747D"/>
    <w:rsid w:val="00C774C9"/>
    <w:rsid w:val="00C77509"/>
    <w:rsid w:val="00C775B9"/>
    <w:rsid w:val="00C776CA"/>
    <w:rsid w:val="00C77983"/>
    <w:rsid w:val="00C77AE8"/>
    <w:rsid w:val="00C77B2E"/>
    <w:rsid w:val="00C77C15"/>
    <w:rsid w:val="00C77C81"/>
    <w:rsid w:val="00C77D06"/>
    <w:rsid w:val="00C77DAF"/>
    <w:rsid w:val="00C77F0B"/>
    <w:rsid w:val="00C77F6A"/>
    <w:rsid w:val="00C77FBB"/>
    <w:rsid w:val="00C800EB"/>
    <w:rsid w:val="00C8039F"/>
    <w:rsid w:val="00C803A3"/>
    <w:rsid w:val="00C803EE"/>
    <w:rsid w:val="00C80404"/>
    <w:rsid w:val="00C80406"/>
    <w:rsid w:val="00C80570"/>
    <w:rsid w:val="00C806BB"/>
    <w:rsid w:val="00C8078F"/>
    <w:rsid w:val="00C807A3"/>
    <w:rsid w:val="00C80862"/>
    <w:rsid w:val="00C8087A"/>
    <w:rsid w:val="00C80903"/>
    <w:rsid w:val="00C809BD"/>
    <w:rsid w:val="00C80A98"/>
    <w:rsid w:val="00C80B53"/>
    <w:rsid w:val="00C80B63"/>
    <w:rsid w:val="00C80BB0"/>
    <w:rsid w:val="00C80BC5"/>
    <w:rsid w:val="00C80C09"/>
    <w:rsid w:val="00C80C45"/>
    <w:rsid w:val="00C80CE7"/>
    <w:rsid w:val="00C80DB0"/>
    <w:rsid w:val="00C80DF6"/>
    <w:rsid w:val="00C80E16"/>
    <w:rsid w:val="00C80E5F"/>
    <w:rsid w:val="00C80E62"/>
    <w:rsid w:val="00C80F80"/>
    <w:rsid w:val="00C811BB"/>
    <w:rsid w:val="00C811DC"/>
    <w:rsid w:val="00C81271"/>
    <w:rsid w:val="00C81447"/>
    <w:rsid w:val="00C814E7"/>
    <w:rsid w:val="00C8158F"/>
    <w:rsid w:val="00C818B5"/>
    <w:rsid w:val="00C818DB"/>
    <w:rsid w:val="00C819D7"/>
    <w:rsid w:val="00C81A94"/>
    <w:rsid w:val="00C81B71"/>
    <w:rsid w:val="00C81BB7"/>
    <w:rsid w:val="00C81CA6"/>
    <w:rsid w:val="00C81D93"/>
    <w:rsid w:val="00C81ECB"/>
    <w:rsid w:val="00C820D1"/>
    <w:rsid w:val="00C82167"/>
    <w:rsid w:val="00C825AA"/>
    <w:rsid w:val="00C82955"/>
    <w:rsid w:val="00C82A72"/>
    <w:rsid w:val="00C82AC8"/>
    <w:rsid w:val="00C82AE0"/>
    <w:rsid w:val="00C82AFC"/>
    <w:rsid w:val="00C82C35"/>
    <w:rsid w:val="00C82D41"/>
    <w:rsid w:val="00C82E08"/>
    <w:rsid w:val="00C82F81"/>
    <w:rsid w:val="00C82F9B"/>
    <w:rsid w:val="00C82FB8"/>
    <w:rsid w:val="00C83008"/>
    <w:rsid w:val="00C831E7"/>
    <w:rsid w:val="00C83230"/>
    <w:rsid w:val="00C8339C"/>
    <w:rsid w:val="00C83560"/>
    <w:rsid w:val="00C83823"/>
    <w:rsid w:val="00C83BD4"/>
    <w:rsid w:val="00C83BD8"/>
    <w:rsid w:val="00C83C8B"/>
    <w:rsid w:val="00C83D16"/>
    <w:rsid w:val="00C83F3C"/>
    <w:rsid w:val="00C83FFB"/>
    <w:rsid w:val="00C84236"/>
    <w:rsid w:val="00C842CC"/>
    <w:rsid w:val="00C84457"/>
    <w:rsid w:val="00C84484"/>
    <w:rsid w:val="00C844D1"/>
    <w:rsid w:val="00C845C0"/>
    <w:rsid w:val="00C845ED"/>
    <w:rsid w:val="00C84692"/>
    <w:rsid w:val="00C846D0"/>
    <w:rsid w:val="00C846D2"/>
    <w:rsid w:val="00C8485C"/>
    <w:rsid w:val="00C848CC"/>
    <w:rsid w:val="00C84909"/>
    <w:rsid w:val="00C8490D"/>
    <w:rsid w:val="00C84A1A"/>
    <w:rsid w:val="00C84C0D"/>
    <w:rsid w:val="00C84C3B"/>
    <w:rsid w:val="00C84C8F"/>
    <w:rsid w:val="00C84C96"/>
    <w:rsid w:val="00C84C9B"/>
    <w:rsid w:val="00C84D6E"/>
    <w:rsid w:val="00C84E16"/>
    <w:rsid w:val="00C84FFB"/>
    <w:rsid w:val="00C85006"/>
    <w:rsid w:val="00C8500D"/>
    <w:rsid w:val="00C8504D"/>
    <w:rsid w:val="00C85110"/>
    <w:rsid w:val="00C851AD"/>
    <w:rsid w:val="00C85340"/>
    <w:rsid w:val="00C85434"/>
    <w:rsid w:val="00C859AE"/>
    <w:rsid w:val="00C85D35"/>
    <w:rsid w:val="00C85D7E"/>
    <w:rsid w:val="00C85EAC"/>
    <w:rsid w:val="00C85EDD"/>
    <w:rsid w:val="00C85F68"/>
    <w:rsid w:val="00C85FBF"/>
    <w:rsid w:val="00C8611D"/>
    <w:rsid w:val="00C8619A"/>
    <w:rsid w:val="00C861D0"/>
    <w:rsid w:val="00C8627A"/>
    <w:rsid w:val="00C86317"/>
    <w:rsid w:val="00C863B4"/>
    <w:rsid w:val="00C863BF"/>
    <w:rsid w:val="00C8650A"/>
    <w:rsid w:val="00C86722"/>
    <w:rsid w:val="00C8678C"/>
    <w:rsid w:val="00C8688A"/>
    <w:rsid w:val="00C86983"/>
    <w:rsid w:val="00C86B9D"/>
    <w:rsid w:val="00C86CB4"/>
    <w:rsid w:val="00C86D0C"/>
    <w:rsid w:val="00C86D51"/>
    <w:rsid w:val="00C86DB9"/>
    <w:rsid w:val="00C86F59"/>
    <w:rsid w:val="00C87041"/>
    <w:rsid w:val="00C870CA"/>
    <w:rsid w:val="00C8730D"/>
    <w:rsid w:val="00C87350"/>
    <w:rsid w:val="00C87409"/>
    <w:rsid w:val="00C875B7"/>
    <w:rsid w:val="00C8767B"/>
    <w:rsid w:val="00C8780E"/>
    <w:rsid w:val="00C87831"/>
    <w:rsid w:val="00C8793E"/>
    <w:rsid w:val="00C87A13"/>
    <w:rsid w:val="00C87B29"/>
    <w:rsid w:val="00C87BFA"/>
    <w:rsid w:val="00C87CA9"/>
    <w:rsid w:val="00C87E8C"/>
    <w:rsid w:val="00C87EEF"/>
    <w:rsid w:val="00C87FC0"/>
    <w:rsid w:val="00C90167"/>
    <w:rsid w:val="00C901B0"/>
    <w:rsid w:val="00C90257"/>
    <w:rsid w:val="00C905BB"/>
    <w:rsid w:val="00C90617"/>
    <w:rsid w:val="00C90806"/>
    <w:rsid w:val="00C90825"/>
    <w:rsid w:val="00C90A02"/>
    <w:rsid w:val="00C90B0F"/>
    <w:rsid w:val="00C90CAD"/>
    <w:rsid w:val="00C90D12"/>
    <w:rsid w:val="00C90E06"/>
    <w:rsid w:val="00C90F1F"/>
    <w:rsid w:val="00C91034"/>
    <w:rsid w:val="00C91060"/>
    <w:rsid w:val="00C91061"/>
    <w:rsid w:val="00C910CD"/>
    <w:rsid w:val="00C910E1"/>
    <w:rsid w:val="00C91216"/>
    <w:rsid w:val="00C91283"/>
    <w:rsid w:val="00C912A7"/>
    <w:rsid w:val="00C912FC"/>
    <w:rsid w:val="00C91369"/>
    <w:rsid w:val="00C914C2"/>
    <w:rsid w:val="00C91596"/>
    <w:rsid w:val="00C91671"/>
    <w:rsid w:val="00C91895"/>
    <w:rsid w:val="00C9195E"/>
    <w:rsid w:val="00C91BCC"/>
    <w:rsid w:val="00C91D90"/>
    <w:rsid w:val="00C91E03"/>
    <w:rsid w:val="00C91EC5"/>
    <w:rsid w:val="00C920D2"/>
    <w:rsid w:val="00C9210F"/>
    <w:rsid w:val="00C92319"/>
    <w:rsid w:val="00C9233E"/>
    <w:rsid w:val="00C92341"/>
    <w:rsid w:val="00C92628"/>
    <w:rsid w:val="00C929AD"/>
    <w:rsid w:val="00C929C5"/>
    <w:rsid w:val="00C929EA"/>
    <w:rsid w:val="00C92A33"/>
    <w:rsid w:val="00C92ACA"/>
    <w:rsid w:val="00C92C56"/>
    <w:rsid w:val="00C92C87"/>
    <w:rsid w:val="00C92EA4"/>
    <w:rsid w:val="00C92EC6"/>
    <w:rsid w:val="00C92EF7"/>
    <w:rsid w:val="00C92FD2"/>
    <w:rsid w:val="00C93026"/>
    <w:rsid w:val="00C93135"/>
    <w:rsid w:val="00C93276"/>
    <w:rsid w:val="00C93330"/>
    <w:rsid w:val="00C9344C"/>
    <w:rsid w:val="00C93538"/>
    <w:rsid w:val="00C93562"/>
    <w:rsid w:val="00C9360A"/>
    <w:rsid w:val="00C93AB4"/>
    <w:rsid w:val="00C93D60"/>
    <w:rsid w:val="00C93F06"/>
    <w:rsid w:val="00C93FFA"/>
    <w:rsid w:val="00C9403F"/>
    <w:rsid w:val="00C940FA"/>
    <w:rsid w:val="00C94177"/>
    <w:rsid w:val="00C942B8"/>
    <w:rsid w:val="00C942BA"/>
    <w:rsid w:val="00C94302"/>
    <w:rsid w:val="00C943D4"/>
    <w:rsid w:val="00C943EA"/>
    <w:rsid w:val="00C944FC"/>
    <w:rsid w:val="00C94622"/>
    <w:rsid w:val="00C946AE"/>
    <w:rsid w:val="00C946F0"/>
    <w:rsid w:val="00C94807"/>
    <w:rsid w:val="00C94905"/>
    <w:rsid w:val="00C94969"/>
    <w:rsid w:val="00C94973"/>
    <w:rsid w:val="00C94983"/>
    <w:rsid w:val="00C9498C"/>
    <w:rsid w:val="00C949A0"/>
    <w:rsid w:val="00C949F5"/>
    <w:rsid w:val="00C94A0B"/>
    <w:rsid w:val="00C94CB6"/>
    <w:rsid w:val="00C94F47"/>
    <w:rsid w:val="00C950EC"/>
    <w:rsid w:val="00C950FD"/>
    <w:rsid w:val="00C95281"/>
    <w:rsid w:val="00C952B6"/>
    <w:rsid w:val="00C952DA"/>
    <w:rsid w:val="00C95316"/>
    <w:rsid w:val="00C954BE"/>
    <w:rsid w:val="00C95500"/>
    <w:rsid w:val="00C95742"/>
    <w:rsid w:val="00C95874"/>
    <w:rsid w:val="00C959FE"/>
    <w:rsid w:val="00C95A14"/>
    <w:rsid w:val="00C95AD9"/>
    <w:rsid w:val="00C95C31"/>
    <w:rsid w:val="00C95D4A"/>
    <w:rsid w:val="00C95F33"/>
    <w:rsid w:val="00C95FC0"/>
    <w:rsid w:val="00C9602B"/>
    <w:rsid w:val="00C960FC"/>
    <w:rsid w:val="00C9615E"/>
    <w:rsid w:val="00C9623B"/>
    <w:rsid w:val="00C96259"/>
    <w:rsid w:val="00C964F4"/>
    <w:rsid w:val="00C965D7"/>
    <w:rsid w:val="00C9661D"/>
    <w:rsid w:val="00C966D9"/>
    <w:rsid w:val="00C967A0"/>
    <w:rsid w:val="00C96A73"/>
    <w:rsid w:val="00C96ACF"/>
    <w:rsid w:val="00C96AF4"/>
    <w:rsid w:val="00C96CEC"/>
    <w:rsid w:val="00C96CED"/>
    <w:rsid w:val="00C96DFF"/>
    <w:rsid w:val="00C96E34"/>
    <w:rsid w:val="00C96E40"/>
    <w:rsid w:val="00C96E8D"/>
    <w:rsid w:val="00C96EAE"/>
    <w:rsid w:val="00C96FAE"/>
    <w:rsid w:val="00C9705F"/>
    <w:rsid w:val="00C970B3"/>
    <w:rsid w:val="00C970BE"/>
    <w:rsid w:val="00C97130"/>
    <w:rsid w:val="00C972AF"/>
    <w:rsid w:val="00C973EF"/>
    <w:rsid w:val="00C9742B"/>
    <w:rsid w:val="00C97431"/>
    <w:rsid w:val="00C9754D"/>
    <w:rsid w:val="00C975CE"/>
    <w:rsid w:val="00C978F8"/>
    <w:rsid w:val="00C979D6"/>
    <w:rsid w:val="00C97A0D"/>
    <w:rsid w:val="00C97B22"/>
    <w:rsid w:val="00C97B73"/>
    <w:rsid w:val="00C97BB4"/>
    <w:rsid w:val="00C97C08"/>
    <w:rsid w:val="00C97C2C"/>
    <w:rsid w:val="00C97F85"/>
    <w:rsid w:val="00CA005C"/>
    <w:rsid w:val="00CA00F2"/>
    <w:rsid w:val="00CA01FB"/>
    <w:rsid w:val="00CA05EB"/>
    <w:rsid w:val="00CA06D9"/>
    <w:rsid w:val="00CA0745"/>
    <w:rsid w:val="00CA075A"/>
    <w:rsid w:val="00CA07C5"/>
    <w:rsid w:val="00CA0858"/>
    <w:rsid w:val="00CA08E7"/>
    <w:rsid w:val="00CA09A7"/>
    <w:rsid w:val="00CA0B86"/>
    <w:rsid w:val="00CA0DE6"/>
    <w:rsid w:val="00CA0E4C"/>
    <w:rsid w:val="00CA10E0"/>
    <w:rsid w:val="00CA1123"/>
    <w:rsid w:val="00CA1237"/>
    <w:rsid w:val="00CA1247"/>
    <w:rsid w:val="00CA1343"/>
    <w:rsid w:val="00CA13B9"/>
    <w:rsid w:val="00CA13F6"/>
    <w:rsid w:val="00CA1521"/>
    <w:rsid w:val="00CA1522"/>
    <w:rsid w:val="00CA157D"/>
    <w:rsid w:val="00CA15CE"/>
    <w:rsid w:val="00CA1739"/>
    <w:rsid w:val="00CA17C1"/>
    <w:rsid w:val="00CA1859"/>
    <w:rsid w:val="00CA18E1"/>
    <w:rsid w:val="00CA1A1D"/>
    <w:rsid w:val="00CA1B58"/>
    <w:rsid w:val="00CA1B5E"/>
    <w:rsid w:val="00CA1B6F"/>
    <w:rsid w:val="00CA1C24"/>
    <w:rsid w:val="00CA1D5E"/>
    <w:rsid w:val="00CA1D6B"/>
    <w:rsid w:val="00CA2064"/>
    <w:rsid w:val="00CA224A"/>
    <w:rsid w:val="00CA25D1"/>
    <w:rsid w:val="00CA26B1"/>
    <w:rsid w:val="00CA2784"/>
    <w:rsid w:val="00CA2819"/>
    <w:rsid w:val="00CA284E"/>
    <w:rsid w:val="00CA286B"/>
    <w:rsid w:val="00CA2A1E"/>
    <w:rsid w:val="00CA2B2E"/>
    <w:rsid w:val="00CA2D62"/>
    <w:rsid w:val="00CA2DD8"/>
    <w:rsid w:val="00CA2EB1"/>
    <w:rsid w:val="00CA30AB"/>
    <w:rsid w:val="00CA322D"/>
    <w:rsid w:val="00CA3297"/>
    <w:rsid w:val="00CA33D3"/>
    <w:rsid w:val="00CA347F"/>
    <w:rsid w:val="00CA3499"/>
    <w:rsid w:val="00CA358F"/>
    <w:rsid w:val="00CA35BA"/>
    <w:rsid w:val="00CA361D"/>
    <w:rsid w:val="00CA363A"/>
    <w:rsid w:val="00CA3696"/>
    <w:rsid w:val="00CA3713"/>
    <w:rsid w:val="00CA3853"/>
    <w:rsid w:val="00CA3918"/>
    <w:rsid w:val="00CA3A28"/>
    <w:rsid w:val="00CA3AFC"/>
    <w:rsid w:val="00CA3B77"/>
    <w:rsid w:val="00CA3B7A"/>
    <w:rsid w:val="00CA3C79"/>
    <w:rsid w:val="00CA3CEA"/>
    <w:rsid w:val="00CA3EAB"/>
    <w:rsid w:val="00CA3F2D"/>
    <w:rsid w:val="00CA3F59"/>
    <w:rsid w:val="00CA3F98"/>
    <w:rsid w:val="00CA3FF4"/>
    <w:rsid w:val="00CA419C"/>
    <w:rsid w:val="00CA42B1"/>
    <w:rsid w:val="00CA4306"/>
    <w:rsid w:val="00CA456F"/>
    <w:rsid w:val="00CA459E"/>
    <w:rsid w:val="00CA47E3"/>
    <w:rsid w:val="00CA486E"/>
    <w:rsid w:val="00CA4878"/>
    <w:rsid w:val="00CA49A5"/>
    <w:rsid w:val="00CA4A1B"/>
    <w:rsid w:val="00CA4BA5"/>
    <w:rsid w:val="00CA4C6F"/>
    <w:rsid w:val="00CA4D58"/>
    <w:rsid w:val="00CA4E01"/>
    <w:rsid w:val="00CA5064"/>
    <w:rsid w:val="00CA50A0"/>
    <w:rsid w:val="00CA50FE"/>
    <w:rsid w:val="00CA5159"/>
    <w:rsid w:val="00CA527A"/>
    <w:rsid w:val="00CA52F5"/>
    <w:rsid w:val="00CA52FC"/>
    <w:rsid w:val="00CA5393"/>
    <w:rsid w:val="00CA54CB"/>
    <w:rsid w:val="00CA55C3"/>
    <w:rsid w:val="00CA590C"/>
    <w:rsid w:val="00CA592A"/>
    <w:rsid w:val="00CA5994"/>
    <w:rsid w:val="00CA5AFF"/>
    <w:rsid w:val="00CA5BE7"/>
    <w:rsid w:val="00CA5C60"/>
    <w:rsid w:val="00CA5F8B"/>
    <w:rsid w:val="00CA61BF"/>
    <w:rsid w:val="00CA624B"/>
    <w:rsid w:val="00CA62D6"/>
    <w:rsid w:val="00CA6349"/>
    <w:rsid w:val="00CA63E6"/>
    <w:rsid w:val="00CA65FE"/>
    <w:rsid w:val="00CA6629"/>
    <w:rsid w:val="00CA662D"/>
    <w:rsid w:val="00CA6675"/>
    <w:rsid w:val="00CA68A1"/>
    <w:rsid w:val="00CA69DF"/>
    <w:rsid w:val="00CA6A8B"/>
    <w:rsid w:val="00CA6C05"/>
    <w:rsid w:val="00CA6C35"/>
    <w:rsid w:val="00CA6CCD"/>
    <w:rsid w:val="00CA6DDC"/>
    <w:rsid w:val="00CA6F1B"/>
    <w:rsid w:val="00CA70F7"/>
    <w:rsid w:val="00CA724E"/>
    <w:rsid w:val="00CA72B1"/>
    <w:rsid w:val="00CA742B"/>
    <w:rsid w:val="00CA77E6"/>
    <w:rsid w:val="00CA7871"/>
    <w:rsid w:val="00CA7AB1"/>
    <w:rsid w:val="00CA7DBE"/>
    <w:rsid w:val="00CA7DFC"/>
    <w:rsid w:val="00CA7E51"/>
    <w:rsid w:val="00CA7F83"/>
    <w:rsid w:val="00CA7FC8"/>
    <w:rsid w:val="00CB0078"/>
    <w:rsid w:val="00CB00D1"/>
    <w:rsid w:val="00CB01D8"/>
    <w:rsid w:val="00CB025D"/>
    <w:rsid w:val="00CB033E"/>
    <w:rsid w:val="00CB0581"/>
    <w:rsid w:val="00CB0831"/>
    <w:rsid w:val="00CB087E"/>
    <w:rsid w:val="00CB08B0"/>
    <w:rsid w:val="00CB08F5"/>
    <w:rsid w:val="00CB0914"/>
    <w:rsid w:val="00CB0ADF"/>
    <w:rsid w:val="00CB0B6B"/>
    <w:rsid w:val="00CB0C95"/>
    <w:rsid w:val="00CB0CED"/>
    <w:rsid w:val="00CB0F82"/>
    <w:rsid w:val="00CB0FAB"/>
    <w:rsid w:val="00CB123E"/>
    <w:rsid w:val="00CB136D"/>
    <w:rsid w:val="00CB13E0"/>
    <w:rsid w:val="00CB1457"/>
    <w:rsid w:val="00CB145E"/>
    <w:rsid w:val="00CB145F"/>
    <w:rsid w:val="00CB14CF"/>
    <w:rsid w:val="00CB1565"/>
    <w:rsid w:val="00CB16F4"/>
    <w:rsid w:val="00CB176A"/>
    <w:rsid w:val="00CB17D3"/>
    <w:rsid w:val="00CB190B"/>
    <w:rsid w:val="00CB1949"/>
    <w:rsid w:val="00CB1964"/>
    <w:rsid w:val="00CB19BB"/>
    <w:rsid w:val="00CB19E4"/>
    <w:rsid w:val="00CB1A34"/>
    <w:rsid w:val="00CB1BA3"/>
    <w:rsid w:val="00CB1C1A"/>
    <w:rsid w:val="00CB1C97"/>
    <w:rsid w:val="00CB1DCC"/>
    <w:rsid w:val="00CB1DDC"/>
    <w:rsid w:val="00CB1F0F"/>
    <w:rsid w:val="00CB1FC1"/>
    <w:rsid w:val="00CB2067"/>
    <w:rsid w:val="00CB20C0"/>
    <w:rsid w:val="00CB230C"/>
    <w:rsid w:val="00CB23FD"/>
    <w:rsid w:val="00CB242C"/>
    <w:rsid w:val="00CB25C3"/>
    <w:rsid w:val="00CB2727"/>
    <w:rsid w:val="00CB275A"/>
    <w:rsid w:val="00CB2761"/>
    <w:rsid w:val="00CB279B"/>
    <w:rsid w:val="00CB2913"/>
    <w:rsid w:val="00CB2A57"/>
    <w:rsid w:val="00CB2AF9"/>
    <w:rsid w:val="00CB2B23"/>
    <w:rsid w:val="00CB2B2C"/>
    <w:rsid w:val="00CB2D81"/>
    <w:rsid w:val="00CB2DE5"/>
    <w:rsid w:val="00CB3085"/>
    <w:rsid w:val="00CB31AF"/>
    <w:rsid w:val="00CB320F"/>
    <w:rsid w:val="00CB327D"/>
    <w:rsid w:val="00CB35A5"/>
    <w:rsid w:val="00CB37C3"/>
    <w:rsid w:val="00CB3956"/>
    <w:rsid w:val="00CB39EA"/>
    <w:rsid w:val="00CB3B43"/>
    <w:rsid w:val="00CB3B84"/>
    <w:rsid w:val="00CB3CF1"/>
    <w:rsid w:val="00CB3D56"/>
    <w:rsid w:val="00CB3D62"/>
    <w:rsid w:val="00CB3DD3"/>
    <w:rsid w:val="00CB4138"/>
    <w:rsid w:val="00CB43FB"/>
    <w:rsid w:val="00CB4454"/>
    <w:rsid w:val="00CB4769"/>
    <w:rsid w:val="00CB481B"/>
    <w:rsid w:val="00CB4F7E"/>
    <w:rsid w:val="00CB50F4"/>
    <w:rsid w:val="00CB51A5"/>
    <w:rsid w:val="00CB5299"/>
    <w:rsid w:val="00CB52FF"/>
    <w:rsid w:val="00CB542F"/>
    <w:rsid w:val="00CB55B4"/>
    <w:rsid w:val="00CB57A4"/>
    <w:rsid w:val="00CB57E5"/>
    <w:rsid w:val="00CB5911"/>
    <w:rsid w:val="00CB5981"/>
    <w:rsid w:val="00CB5A68"/>
    <w:rsid w:val="00CB5C05"/>
    <w:rsid w:val="00CB5CC8"/>
    <w:rsid w:val="00CB5D41"/>
    <w:rsid w:val="00CB5DBD"/>
    <w:rsid w:val="00CB5DE8"/>
    <w:rsid w:val="00CB5F57"/>
    <w:rsid w:val="00CB5F61"/>
    <w:rsid w:val="00CB6136"/>
    <w:rsid w:val="00CB61E3"/>
    <w:rsid w:val="00CB629C"/>
    <w:rsid w:val="00CB62A6"/>
    <w:rsid w:val="00CB62EA"/>
    <w:rsid w:val="00CB65CA"/>
    <w:rsid w:val="00CB66C5"/>
    <w:rsid w:val="00CB67B6"/>
    <w:rsid w:val="00CB6807"/>
    <w:rsid w:val="00CB68DF"/>
    <w:rsid w:val="00CB69F5"/>
    <w:rsid w:val="00CB6A8A"/>
    <w:rsid w:val="00CB6A8B"/>
    <w:rsid w:val="00CB6BAC"/>
    <w:rsid w:val="00CB6D18"/>
    <w:rsid w:val="00CB6E19"/>
    <w:rsid w:val="00CB6E3E"/>
    <w:rsid w:val="00CB6F5E"/>
    <w:rsid w:val="00CB7151"/>
    <w:rsid w:val="00CB718D"/>
    <w:rsid w:val="00CB72CA"/>
    <w:rsid w:val="00CB72EB"/>
    <w:rsid w:val="00CB7417"/>
    <w:rsid w:val="00CB74FD"/>
    <w:rsid w:val="00CB77FD"/>
    <w:rsid w:val="00CB7871"/>
    <w:rsid w:val="00CB788F"/>
    <w:rsid w:val="00CB78C8"/>
    <w:rsid w:val="00CB78CE"/>
    <w:rsid w:val="00CB7900"/>
    <w:rsid w:val="00CB79D7"/>
    <w:rsid w:val="00CB7A09"/>
    <w:rsid w:val="00CB7A57"/>
    <w:rsid w:val="00CB7B8A"/>
    <w:rsid w:val="00CB7C94"/>
    <w:rsid w:val="00CB7D6A"/>
    <w:rsid w:val="00CC00C4"/>
    <w:rsid w:val="00CC014F"/>
    <w:rsid w:val="00CC02D4"/>
    <w:rsid w:val="00CC034D"/>
    <w:rsid w:val="00CC0421"/>
    <w:rsid w:val="00CC053F"/>
    <w:rsid w:val="00CC05D6"/>
    <w:rsid w:val="00CC079C"/>
    <w:rsid w:val="00CC0854"/>
    <w:rsid w:val="00CC0992"/>
    <w:rsid w:val="00CC09DD"/>
    <w:rsid w:val="00CC0A45"/>
    <w:rsid w:val="00CC0A89"/>
    <w:rsid w:val="00CC0AA8"/>
    <w:rsid w:val="00CC0AEC"/>
    <w:rsid w:val="00CC0DD8"/>
    <w:rsid w:val="00CC0E32"/>
    <w:rsid w:val="00CC0EAA"/>
    <w:rsid w:val="00CC0EBF"/>
    <w:rsid w:val="00CC101B"/>
    <w:rsid w:val="00CC1031"/>
    <w:rsid w:val="00CC10AE"/>
    <w:rsid w:val="00CC11DF"/>
    <w:rsid w:val="00CC13B1"/>
    <w:rsid w:val="00CC13DE"/>
    <w:rsid w:val="00CC14D0"/>
    <w:rsid w:val="00CC151A"/>
    <w:rsid w:val="00CC16A4"/>
    <w:rsid w:val="00CC1724"/>
    <w:rsid w:val="00CC173F"/>
    <w:rsid w:val="00CC1973"/>
    <w:rsid w:val="00CC1B46"/>
    <w:rsid w:val="00CC1C14"/>
    <w:rsid w:val="00CC1F1C"/>
    <w:rsid w:val="00CC1F43"/>
    <w:rsid w:val="00CC1FBD"/>
    <w:rsid w:val="00CC2045"/>
    <w:rsid w:val="00CC22F4"/>
    <w:rsid w:val="00CC236F"/>
    <w:rsid w:val="00CC23FE"/>
    <w:rsid w:val="00CC250C"/>
    <w:rsid w:val="00CC2642"/>
    <w:rsid w:val="00CC2655"/>
    <w:rsid w:val="00CC2825"/>
    <w:rsid w:val="00CC2861"/>
    <w:rsid w:val="00CC288B"/>
    <w:rsid w:val="00CC28D4"/>
    <w:rsid w:val="00CC291E"/>
    <w:rsid w:val="00CC2BE3"/>
    <w:rsid w:val="00CC2C76"/>
    <w:rsid w:val="00CC2D1B"/>
    <w:rsid w:val="00CC2E08"/>
    <w:rsid w:val="00CC331B"/>
    <w:rsid w:val="00CC3633"/>
    <w:rsid w:val="00CC3872"/>
    <w:rsid w:val="00CC389F"/>
    <w:rsid w:val="00CC39BA"/>
    <w:rsid w:val="00CC3B40"/>
    <w:rsid w:val="00CC3CB0"/>
    <w:rsid w:val="00CC3E88"/>
    <w:rsid w:val="00CC3ECC"/>
    <w:rsid w:val="00CC412F"/>
    <w:rsid w:val="00CC4286"/>
    <w:rsid w:val="00CC43CA"/>
    <w:rsid w:val="00CC443B"/>
    <w:rsid w:val="00CC4479"/>
    <w:rsid w:val="00CC4634"/>
    <w:rsid w:val="00CC4985"/>
    <w:rsid w:val="00CC49A3"/>
    <w:rsid w:val="00CC4B16"/>
    <w:rsid w:val="00CC4BAF"/>
    <w:rsid w:val="00CC4CB1"/>
    <w:rsid w:val="00CC4D87"/>
    <w:rsid w:val="00CC4DCB"/>
    <w:rsid w:val="00CC4E43"/>
    <w:rsid w:val="00CC4EDA"/>
    <w:rsid w:val="00CC4EE5"/>
    <w:rsid w:val="00CC4F23"/>
    <w:rsid w:val="00CC4F5F"/>
    <w:rsid w:val="00CC4FF2"/>
    <w:rsid w:val="00CC52D5"/>
    <w:rsid w:val="00CC537B"/>
    <w:rsid w:val="00CC53AB"/>
    <w:rsid w:val="00CC5507"/>
    <w:rsid w:val="00CC5531"/>
    <w:rsid w:val="00CC5628"/>
    <w:rsid w:val="00CC5750"/>
    <w:rsid w:val="00CC57D3"/>
    <w:rsid w:val="00CC57D6"/>
    <w:rsid w:val="00CC5967"/>
    <w:rsid w:val="00CC597C"/>
    <w:rsid w:val="00CC5986"/>
    <w:rsid w:val="00CC59F6"/>
    <w:rsid w:val="00CC5A53"/>
    <w:rsid w:val="00CC5E41"/>
    <w:rsid w:val="00CC6178"/>
    <w:rsid w:val="00CC6187"/>
    <w:rsid w:val="00CC6192"/>
    <w:rsid w:val="00CC6409"/>
    <w:rsid w:val="00CC655E"/>
    <w:rsid w:val="00CC66D3"/>
    <w:rsid w:val="00CC67D3"/>
    <w:rsid w:val="00CC6925"/>
    <w:rsid w:val="00CC69AE"/>
    <w:rsid w:val="00CC6C0C"/>
    <w:rsid w:val="00CC6C7C"/>
    <w:rsid w:val="00CC6EBE"/>
    <w:rsid w:val="00CC6EF6"/>
    <w:rsid w:val="00CC7010"/>
    <w:rsid w:val="00CC701C"/>
    <w:rsid w:val="00CC705A"/>
    <w:rsid w:val="00CC70FD"/>
    <w:rsid w:val="00CC7324"/>
    <w:rsid w:val="00CC735F"/>
    <w:rsid w:val="00CC75A9"/>
    <w:rsid w:val="00CC75D3"/>
    <w:rsid w:val="00CC772B"/>
    <w:rsid w:val="00CC7995"/>
    <w:rsid w:val="00CC7A2B"/>
    <w:rsid w:val="00CC7AD7"/>
    <w:rsid w:val="00CC7BBE"/>
    <w:rsid w:val="00CC7C6D"/>
    <w:rsid w:val="00CC7D45"/>
    <w:rsid w:val="00CC7D9C"/>
    <w:rsid w:val="00CC7EEF"/>
    <w:rsid w:val="00CCDD82"/>
    <w:rsid w:val="00CD003F"/>
    <w:rsid w:val="00CD0081"/>
    <w:rsid w:val="00CD00DB"/>
    <w:rsid w:val="00CD01BF"/>
    <w:rsid w:val="00CD02D4"/>
    <w:rsid w:val="00CD0463"/>
    <w:rsid w:val="00CD054E"/>
    <w:rsid w:val="00CD06F0"/>
    <w:rsid w:val="00CD08C6"/>
    <w:rsid w:val="00CD095A"/>
    <w:rsid w:val="00CD0ADF"/>
    <w:rsid w:val="00CD0B6B"/>
    <w:rsid w:val="00CD0BA2"/>
    <w:rsid w:val="00CD0CCF"/>
    <w:rsid w:val="00CD0EFA"/>
    <w:rsid w:val="00CD0F14"/>
    <w:rsid w:val="00CD1025"/>
    <w:rsid w:val="00CD103F"/>
    <w:rsid w:val="00CD1152"/>
    <w:rsid w:val="00CD132E"/>
    <w:rsid w:val="00CD1640"/>
    <w:rsid w:val="00CD16A3"/>
    <w:rsid w:val="00CD1825"/>
    <w:rsid w:val="00CD186E"/>
    <w:rsid w:val="00CD187D"/>
    <w:rsid w:val="00CD19BE"/>
    <w:rsid w:val="00CD1B80"/>
    <w:rsid w:val="00CD1E2F"/>
    <w:rsid w:val="00CD1E9F"/>
    <w:rsid w:val="00CD1EDB"/>
    <w:rsid w:val="00CD1FCA"/>
    <w:rsid w:val="00CD1FCC"/>
    <w:rsid w:val="00CD2011"/>
    <w:rsid w:val="00CD25F3"/>
    <w:rsid w:val="00CD2939"/>
    <w:rsid w:val="00CD2AC7"/>
    <w:rsid w:val="00CD2C91"/>
    <w:rsid w:val="00CD2DF1"/>
    <w:rsid w:val="00CD2EF9"/>
    <w:rsid w:val="00CD2FD3"/>
    <w:rsid w:val="00CD310E"/>
    <w:rsid w:val="00CD3114"/>
    <w:rsid w:val="00CD32F8"/>
    <w:rsid w:val="00CD3303"/>
    <w:rsid w:val="00CD3452"/>
    <w:rsid w:val="00CD3480"/>
    <w:rsid w:val="00CD34FA"/>
    <w:rsid w:val="00CD3592"/>
    <w:rsid w:val="00CD35A4"/>
    <w:rsid w:val="00CD3704"/>
    <w:rsid w:val="00CD37D1"/>
    <w:rsid w:val="00CD3813"/>
    <w:rsid w:val="00CD399A"/>
    <w:rsid w:val="00CD39AF"/>
    <w:rsid w:val="00CD39CE"/>
    <w:rsid w:val="00CD3AAC"/>
    <w:rsid w:val="00CD3BCE"/>
    <w:rsid w:val="00CD3CD7"/>
    <w:rsid w:val="00CD3F9E"/>
    <w:rsid w:val="00CD4066"/>
    <w:rsid w:val="00CD41B7"/>
    <w:rsid w:val="00CD41E4"/>
    <w:rsid w:val="00CD41F5"/>
    <w:rsid w:val="00CD425C"/>
    <w:rsid w:val="00CD429F"/>
    <w:rsid w:val="00CD432A"/>
    <w:rsid w:val="00CD440D"/>
    <w:rsid w:val="00CD45A0"/>
    <w:rsid w:val="00CD472B"/>
    <w:rsid w:val="00CD476F"/>
    <w:rsid w:val="00CD47FD"/>
    <w:rsid w:val="00CD4837"/>
    <w:rsid w:val="00CD485F"/>
    <w:rsid w:val="00CD48DA"/>
    <w:rsid w:val="00CD4A03"/>
    <w:rsid w:val="00CD4A35"/>
    <w:rsid w:val="00CD4B94"/>
    <w:rsid w:val="00CD4F61"/>
    <w:rsid w:val="00CD509D"/>
    <w:rsid w:val="00CD51E4"/>
    <w:rsid w:val="00CD51E8"/>
    <w:rsid w:val="00CD546D"/>
    <w:rsid w:val="00CD549E"/>
    <w:rsid w:val="00CD5527"/>
    <w:rsid w:val="00CD5561"/>
    <w:rsid w:val="00CD55ED"/>
    <w:rsid w:val="00CD5735"/>
    <w:rsid w:val="00CD5786"/>
    <w:rsid w:val="00CD5AB3"/>
    <w:rsid w:val="00CD5B61"/>
    <w:rsid w:val="00CD5B81"/>
    <w:rsid w:val="00CD5B8E"/>
    <w:rsid w:val="00CD5BFF"/>
    <w:rsid w:val="00CD5C95"/>
    <w:rsid w:val="00CD5D13"/>
    <w:rsid w:val="00CD5DAC"/>
    <w:rsid w:val="00CD5E59"/>
    <w:rsid w:val="00CD5EC0"/>
    <w:rsid w:val="00CD5F6F"/>
    <w:rsid w:val="00CD63F6"/>
    <w:rsid w:val="00CD6497"/>
    <w:rsid w:val="00CD6521"/>
    <w:rsid w:val="00CD65E4"/>
    <w:rsid w:val="00CD6604"/>
    <w:rsid w:val="00CD66B7"/>
    <w:rsid w:val="00CD6721"/>
    <w:rsid w:val="00CD6755"/>
    <w:rsid w:val="00CD68EB"/>
    <w:rsid w:val="00CD6A15"/>
    <w:rsid w:val="00CD6A42"/>
    <w:rsid w:val="00CD6AE5"/>
    <w:rsid w:val="00CD6B0E"/>
    <w:rsid w:val="00CD6C8D"/>
    <w:rsid w:val="00CD6F36"/>
    <w:rsid w:val="00CD70A9"/>
    <w:rsid w:val="00CD71A7"/>
    <w:rsid w:val="00CD7223"/>
    <w:rsid w:val="00CD73C8"/>
    <w:rsid w:val="00CD741E"/>
    <w:rsid w:val="00CD75E9"/>
    <w:rsid w:val="00CD76AA"/>
    <w:rsid w:val="00CD77F1"/>
    <w:rsid w:val="00CD783D"/>
    <w:rsid w:val="00CD7991"/>
    <w:rsid w:val="00CD7B63"/>
    <w:rsid w:val="00CD7CC5"/>
    <w:rsid w:val="00CD7D30"/>
    <w:rsid w:val="00CD7E08"/>
    <w:rsid w:val="00CD7E19"/>
    <w:rsid w:val="00CD7E66"/>
    <w:rsid w:val="00CD7FDF"/>
    <w:rsid w:val="00CE000E"/>
    <w:rsid w:val="00CE001B"/>
    <w:rsid w:val="00CE019C"/>
    <w:rsid w:val="00CE0230"/>
    <w:rsid w:val="00CE031D"/>
    <w:rsid w:val="00CE04F4"/>
    <w:rsid w:val="00CE059B"/>
    <w:rsid w:val="00CE0600"/>
    <w:rsid w:val="00CE0638"/>
    <w:rsid w:val="00CE0703"/>
    <w:rsid w:val="00CE07A2"/>
    <w:rsid w:val="00CE07A9"/>
    <w:rsid w:val="00CE0AC3"/>
    <w:rsid w:val="00CE0D5F"/>
    <w:rsid w:val="00CE0D7F"/>
    <w:rsid w:val="00CE0EA3"/>
    <w:rsid w:val="00CE126C"/>
    <w:rsid w:val="00CE1335"/>
    <w:rsid w:val="00CE1347"/>
    <w:rsid w:val="00CE1399"/>
    <w:rsid w:val="00CE13BD"/>
    <w:rsid w:val="00CE1717"/>
    <w:rsid w:val="00CE1874"/>
    <w:rsid w:val="00CE187A"/>
    <w:rsid w:val="00CE1883"/>
    <w:rsid w:val="00CE1954"/>
    <w:rsid w:val="00CE195B"/>
    <w:rsid w:val="00CE1C50"/>
    <w:rsid w:val="00CE1D85"/>
    <w:rsid w:val="00CE1E99"/>
    <w:rsid w:val="00CE202B"/>
    <w:rsid w:val="00CE207E"/>
    <w:rsid w:val="00CE20D3"/>
    <w:rsid w:val="00CE21D3"/>
    <w:rsid w:val="00CE22F0"/>
    <w:rsid w:val="00CE2424"/>
    <w:rsid w:val="00CE2465"/>
    <w:rsid w:val="00CE24AB"/>
    <w:rsid w:val="00CE25B4"/>
    <w:rsid w:val="00CE25F2"/>
    <w:rsid w:val="00CE2663"/>
    <w:rsid w:val="00CE2717"/>
    <w:rsid w:val="00CE286C"/>
    <w:rsid w:val="00CE28A4"/>
    <w:rsid w:val="00CE2A07"/>
    <w:rsid w:val="00CE2A45"/>
    <w:rsid w:val="00CE2AB2"/>
    <w:rsid w:val="00CE2AF6"/>
    <w:rsid w:val="00CE2B4B"/>
    <w:rsid w:val="00CE2ED3"/>
    <w:rsid w:val="00CE2F93"/>
    <w:rsid w:val="00CE318C"/>
    <w:rsid w:val="00CE33E6"/>
    <w:rsid w:val="00CE3568"/>
    <w:rsid w:val="00CE35B2"/>
    <w:rsid w:val="00CE35B8"/>
    <w:rsid w:val="00CE369A"/>
    <w:rsid w:val="00CE36DD"/>
    <w:rsid w:val="00CE3717"/>
    <w:rsid w:val="00CE3725"/>
    <w:rsid w:val="00CE3796"/>
    <w:rsid w:val="00CE3968"/>
    <w:rsid w:val="00CE3A2E"/>
    <w:rsid w:val="00CE3AF0"/>
    <w:rsid w:val="00CE3B51"/>
    <w:rsid w:val="00CE3BD6"/>
    <w:rsid w:val="00CE3C82"/>
    <w:rsid w:val="00CE40B2"/>
    <w:rsid w:val="00CE4280"/>
    <w:rsid w:val="00CE42E8"/>
    <w:rsid w:val="00CE4525"/>
    <w:rsid w:val="00CE4581"/>
    <w:rsid w:val="00CE459E"/>
    <w:rsid w:val="00CE4696"/>
    <w:rsid w:val="00CE46BF"/>
    <w:rsid w:val="00CE4781"/>
    <w:rsid w:val="00CE47E9"/>
    <w:rsid w:val="00CE48F7"/>
    <w:rsid w:val="00CE49D3"/>
    <w:rsid w:val="00CE4A3B"/>
    <w:rsid w:val="00CE4AC0"/>
    <w:rsid w:val="00CE4C38"/>
    <w:rsid w:val="00CE4C41"/>
    <w:rsid w:val="00CE4EAC"/>
    <w:rsid w:val="00CE4F64"/>
    <w:rsid w:val="00CE50A2"/>
    <w:rsid w:val="00CE533D"/>
    <w:rsid w:val="00CE54DF"/>
    <w:rsid w:val="00CE54FB"/>
    <w:rsid w:val="00CE566B"/>
    <w:rsid w:val="00CE567A"/>
    <w:rsid w:val="00CE5686"/>
    <w:rsid w:val="00CE56CB"/>
    <w:rsid w:val="00CE5886"/>
    <w:rsid w:val="00CE59C5"/>
    <w:rsid w:val="00CE5C26"/>
    <w:rsid w:val="00CE5D56"/>
    <w:rsid w:val="00CE5D6A"/>
    <w:rsid w:val="00CE5DC5"/>
    <w:rsid w:val="00CE5EEE"/>
    <w:rsid w:val="00CE5EF5"/>
    <w:rsid w:val="00CE606E"/>
    <w:rsid w:val="00CE61C7"/>
    <w:rsid w:val="00CE6228"/>
    <w:rsid w:val="00CE6387"/>
    <w:rsid w:val="00CE63F1"/>
    <w:rsid w:val="00CE6450"/>
    <w:rsid w:val="00CE6464"/>
    <w:rsid w:val="00CE6832"/>
    <w:rsid w:val="00CE6937"/>
    <w:rsid w:val="00CE6A5B"/>
    <w:rsid w:val="00CE6B02"/>
    <w:rsid w:val="00CE6E50"/>
    <w:rsid w:val="00CE6EB8"/>
    <w:rsid w:val="00CE6ED7"/>
    <w:rsid w:val="00CE6F33"/>
    <w:rsid w:val="00CE704A"/>
    <w:rsid w:val="00CE715B"/>
    <w:rsid w:val="00CE71F1"/>
    <w:rsid w:val="00CE72BF"/>
    <w:rsid w:val="00CE731E"/>
    <w:rsid w:val="00CE73D3"/>
    <w:rsid w:val="00CE73F7"/>
    <w:rsid w:val="00CE741E"/>
    <w:rsid w:val="00CE745D"/>
    <w:rsid w:val="00CE75B0"/>
    <w:rsid w:val="00CE7643"/>
    <w:rsid w:val="00CE767E"/>
    <w:rsid w:val="00CE76EE"/>
    <w:rsid w:val="00CE7790"/>
    <w:rsid w:val="00CE7914"/>
    <w:rsid w:val="00CE794B"/>
    <w:rsid w:val="00CE7B5C"/>
    <w:rsid w:val="00CE7B7A"/>
    <w:rsid w:val="00CE7CB0"/>
    <w:rsid w:val="00CE7D4C"/>
    <w:rsid w:val="00CE7E23"/>
    <w:rsid w:val="00CE7E76"/>
    <w:rsid w:val="00CE7F9E"/>
    <w:rsid w:val="00CF0132"/>
    <w:rsid w:val="00CF01A0"/>
    <w:rsid w:val="00CF021E"/>
    <w:rsid w:val="00CF0322"/>
    <w:rsid w:val="00CF04C9"/>
    <w:rsid w:val="00CF0507"/>
    <w:rsid w:val="00CF054B"/>
    <w:rsid w:val="00CF0575"/>
    <w:rsid w:val="00CF0689"/>
    <w:rsid w:val="00CF0934"/>
    <w:rsid w:val="00CF0A55"/>
    <w:rsid w:val="00CF0AC7"/>
    <w:rsid w:val="00CF0AFC"/>
    <w:rsid w:val="00CF0B4D"/>
    <w:rsid w:val="00CF0C5E"/>
    <w:rsid w:val="00CF0C97"/>
    <w:rsid w:val="00CF0DF9"/>
    <w:rsid w:val="00CF0E95"/>
    <w:rsid w:val="00CF0EDD"/>
    <w:rsid w:val="00CF0F8A"/>
    <w:rsid w:val="00CF1047"/>
    <w:rsid w:val="00CF106F"/>
    <w:rsid w:val="00CF1175"/>
    <w:rsid w:val="00CF11E2"/>
    <w:rsid w:val="00CF13E3"/>
    <w:rsid w:val="00CF159A"/>
    <w:rsid w:val="00CF1608"/>
    <w:rsid w:val="00CF16C9"/>
    <w:rsid w:val="00CF16CE"/>
    <w:rsid w:val="00CF18A2"/>
    <w:rsid w:val="00CF1904"/>
    <w:rsid w:val="00CF1C2B"/>
    <w:rsid w:val="00CF1C89"/>
    <w:rsid w:val="00CF1D19"/>
    <w:rsid w:val="00CF1E1A"/>
    <w:rsid w:val="00CF1FE3"/>
    <w:rsid w:val="00CF20A5"/>
    <w:rsid w:val="00CF2136"/>
    <w:rsid w:val="00CF215F"/>
    <w:rsid w:val="00CF2180"/>
    <w:rsid w:val="00CF230B"/>
    <w:rsid w:val="00CF2410"/>
    <w:rsid w:val="00CF2485"/>
    <w:rsid w:val="00CF25AD"/>
    <w:rsid w:val="00CF25CD"/>
    <w:rsid w:val="00CF270E"/>
    <w:rsid w:val="00CF2884"/>
    <w:rsid w:val="00CF29DB"/>
    <w:rsid w:val="00CF2B6A"/>
    <w:rsid w:val="00CF2BDB"/>
    <w:rsid w:val="00CF2C0D"/>
    <w:rsid w:val="00CF2D05"/>
    <w:rsid w:val="00CF2F90"/>
    <w:rsid w:val="00CF311B"/>
    <w:rsid w:val="00CF3172"/>
    <w:rsid w:val="00CF32BC"/>
    <w:rsid w:val="00CF3335"/>
    <w:rsid w:val="00CF335F"/>
    <w:rsid w:val="00CF3486"/>
    <w:rsid w:val="00CF35BE"/>
    <w:rsid w:val="00CF36F8"/>
    <w:rsid w:val="00CF38CD"/>
    <w:rsid w:val="00CF3931"/>
    <w:rsid w:val="00CF3C89"/>
    <w:rsid w:val="00CF3F46"/>
    <w:rsid w:val="00CF4002"/>
    <w:rsid w:val="00CF4196"/>
    <w:rsid w:val="00CF4237"/>
    <w:rsid w:val="00CF4423"/>
    <w:rsid w:val="00CF4709"/>
    <w:rsid w:val="00CF4745"/>
    <w:rsid w:val="00CF4C62"/>
    <w:rsid w:val="00CF4CAE"/>
    <w:rsid w:val="00CF4D39"/>
    <w:rsid w:val="00CF4E01"/>
    <w:rsid w:val="00CF4E47"/>
    <w:rsid w:val="00CF4E9D"/>
    <w:rsid w:val="00CF4F55"/>
    <w:rsid w:val="00CF4FA4"/>
    <w:rsid w:val="00CF4FD9"/>
    <w:rsid w:val="00CF51C0"/>
    <w:rsid w:val="00CF51FA"/>
    <w:rsid w:val="00CF5234"/>
    <w:rsid w:val="00CF523A"/>
    <w:rsid w:val="00CF52D0"/>
    <w:rsid w:val="00CF58B7"/>
    <w:rsid w:val="00CF5AAA"/>
    <w:rsid w:val="00CF5B27"/>
    <w:rsid w:val="00CF5B87"/>
    <w:rsid w:val="00CF5D3A"/>
    <w:rsid w:val="00CF5D81"/>
    <w:rsid w:val="00CF5F75"/>
    <w:rsid w:val="00CF600A"/>
    <w:rsid w:val="00CF613D"/>
    <w:rsid w:val="00CF6203"/>
    <w:rsid w:val="00CF621B"/>
    <w:rsid w:val="00CF63C9"/>
    <w:rsid w:val="00CF6510"/>
    <w:rsid w:val="00CF66BE"/>
    <w:rsid w:val="00CF6897"/>
    <w:rsid w:val="00CF6921"/>
    <w:rsid w:val="00CF6964"/>
    <w:rsid w:val="00CF6982"/>
    <w:rsid w:val="00CF6B2A"/>
    <w:rsid w:val="00CF6CEE"/>
    <w:rsid w:val="00CF6DEA"/>
    <w:rsid w:val="00CF6F07"/>
    <w:rsid w:val="00CF7086"/>
    <w:rsid w:val="00CF70E2"/>
    <w:rsid w:val="00CF713E"/>
    <w:rsid w:val="00CF716A"/>
    <w:rsid w:val="00CF716B"/>
    <w:rsid w:val="00CF71E4"/>
    <w:rsid w:val="00CF726E"/>
    <w:rsid w:val="00CF736F"/>
    <w:rsid w:val="00CF744A"/>
    <w:rsid w:val="00CF7498"/>
    <w:rsid w:val="00CF74C2"/>
    <w:rsid w:val="00CF7608"/>
    <w:rsid w:val="00CF7617"/>
    <w:rsid w:val="00CF7674"/>
    <w:rsid w:val="00CF76A7"/>
    <w:rsid w:val="00CF78E6"/>
    <w:rsid w:val="00CF7A8A"/>
    <w:rsid w:val="00CF7BED"/>
    <w:rsid w:val="00CF7CE2"/>
    <w:rsid w:val="00CF7D74"/>
    <w:rsid w:val="00CF7D95"/>
    <w:rsid w:val="00CF7FBF"/>
    <w:rsid w:val="00CF7FDB"/>
    <w:rsid w:val="00D0010D"/>
    <w:rsid w:val="00D00128"/>
    <w:rsid w:val="00D0012F"/>
    <w:rsid w:val="00D00134"/>
    <w:rsid w:val="00D001B5"/>
    <w:rsid w:val="00D002DD"/>
    <w:rsid w:val="00D00398"/>
    <w:rsid w:val="00D00538"/>
    <w:rsid w:val="00D0068B"/>
    <w:rsid w:val="00D006C5"/>
    <w:rsid w:val="00D0079F"/>
    <w:rsid w:val="00D008C8"/>
    <w:rsid w:val="00D009CE"/>
    <w:rsid w:val="00D00A60"/>
    <w:rsid w:val="00D00AA4"/>
    <w:rsid w:val="00D00AC5"/>
    <w:rsid w:val="00D00C50"/>
    <w:rsid w:val="00D00D21"/>
    <w:rsid w:val="00D00D80"/>
    <w:rsid w:val="00D0115A"/>
    <w:rsid w:val="00D012EB"/>
    <w:rsid w:val="00D01396"/>
    <w:rsid w:val="00D0197B"/>
    <w:rsid w:val="00D01AA6"/>
    <w:rsid w:val="00D01AD3"/>
    <w:rsid w:val="00D01B6F"/>
    <w:rsid w:val="00D01BDB"/>
    <w:rsid w:val="00D01E4D"/>
    <w:rsid w:val="00D01F65"/>
    <w:rsid w:val="00D01FD1"/>
    <w:rsid w:val="00D020D6"/>
    <w:rsid w:val="00D020EE"/>
    <w:rsid w:val="00D02107"/>
    <w:rsid w:val="00D021D7"/>
    <w:rsid w:val="00D0230A"/>
    <w:rsid w:val="00D024D5"/>
    <w:rsid w:val="00D0257C"/>
    <w:rsid w:val="00D025CD"/>
    <w:rsid w:val="00D02683"/>
    <w:rsid w:val="00D02720"/>
    <w:rsid w:val="00D02766"/>
    <w:rsid w:val="00D02A71"/>
    <w:rsid w:val="00D02C77"/>
    <w:rsid w:val="00D02C8E"/>
    <w:rsid w:val="00D02F04"/>
    <w:rsid w:val="00D02FB6"/>
    <w:rsid w:val="00D03044"/>
    <w:rsid w:val="00D0310C"/>
    <w:rsid w:val="00D031A1"/>
    <w:rsid w:val="00D03216"/>
    <w:rsid w:val="00D03259"/>
    <w:rsid w:val="00D033BC"/>
    <w:rsid w:val="00D03448"/>
    <w:rsid w:val="00D034F7"/>
    <w:rsid w:val="00D03BC6"/>
    <w:rsid w:val="00D03E72"/>
    <w:rsid w:val="00D03F2A"/>
    <w:rsid w:val="00D03F93"/>
    <w:rsid w:val="00D03FF5"/>
    <w:rsid w:val="00D04000"/>
    <w:rsid w:val="00D0401F"/>
    <w:rsid w:val="00D0405A"/>
    <w:rsid w:val="00D040C0"/>
    <w:rsid w:val="00D040C9"/>
    <w:rsid w:val="00D04289"/>
    <w:rsid w:val="00D0429C"/>
    <w:rsid w:val="00D043A8"/>
    <w:rsid w:val="00D043BC"/>
    <w:rsid w:val="00D044D7"/>
    <w:rsid w:val="00D04689"/>
    <w:rsid w:val="00D04790"/>
    <w:rsid w:val="00D048B5"/>
    <w:rsid w:val="00D049AD"/>
    <w:rsid w:val="00D04A9F"/>
    <w:rsid w:val="00D04BB7"/>
    <w:rsid w:val="00D04BED"/>
    <w:rsid w:val="00D04C5E"/>
    <w:rsid w:val="00D04D5B"/>
    <w:rsid w:val="00D04E96"/>
    <w:rsid w:val="00D04F6E"/>
    <w:rsid w:val="00D0500B"/>
    <w:rsid w:val="00D05012"/>
    <w:rsid w:val="00D050A0"/>
    <w:rsid w:val="00D050AE"/>
    <w:rsid w:val="00D050C3"/>
    <w:rsid w:val="00D05249"/>
    <w:rsid w:val="00D0539E"/>
    <w:rsid w:val="00D056B6"/>
    <w:rsid w:val="00D05789"/>
    <w:rsid w:val="00D0582C"/>
    <w:rsid w:val="00D0589B"/>
    <w:rsid w:val="00D05B42"/>
    <w:rsid w:val="00D05F6C"/>
    <w:rsid w:val="00D05FD0"/>
    <w:rsid w:val="00D06008"/>
    <w:rsid w:val="00D060FD"/>
    <w:rsid w:val="00D06142"/>
    <w:rsid w:val="00D061DA"/>
    <w:rsid w:val="00D0627E"/>
    <w:rsid w:val="00D06306"/>
    <w:rsid w:val="00D064F7"/>
    <w:rsid w:val="00D06555"/>
    <w:rsid w:val="00D065F2"/>
    <w:rsid w:val="00D066A4"/>
    <w:rsid w:val="00D066FA"/>
    <w:rsid w:val="00D06778"/>
    <w:rsid w:val="00D06859"/>
    <w:rsid w:val="00D069A3"/>
    <w:rsid w:val="00D069CD"/>
    <w:rsid w:val="00D06AF3"/>
    <w:rsid w:val="00D06C87"/>
    <w:rsid w:val="00D06F18"/>
    <w:rsid w:val="00D06F6C"/>
    <w:rsid w:val="00D07030"/>
    <w:rsid w:val="00D07037"/>
    <w:rsid w:val="00D0706E"/>
    <w:rsid w:val="00D07161"/>
    <w:rsid w:val="00D071AA"/>
    <w:rsid w:val="00D071CF"/>
    <w:rsid w:val="00D0735E"/>
    <w:rsid w:val="00D0737B"/>
    <w:rsid w:val="00D073B1"/>
    <w:rsid w:val="00D07444"/>
    <w:rsid w:val="00D07581"/>
    <w:rsid w:val="00D076D0"/>
    <w:rsid w:val="00D07789"/>
    <w:rsid w:val="00D07845"/>
    <w:rsid w:val="00D07A0B"/>
    <w:rsid w:val="00D07A99"/>
    <w:rsid w:val="00D07B5C"/>
    <w:rsid w:val="00D07BA5"/>
    <w:rsid w:val="00D07BEA"/>
    <w:rsid w:val="00D07D29"/>
    <w:rsid w:val="00D07EE5"/>
    <w:rsid w:val="00D101C0"/>
    <w:rsid w:val="00D1029B"/>
    <w:rsid w:val="00D10306"/>
    <w:rsid w:val="00D10417"/>
    <w:rsid w:val="00D10674"/>
    <w:rsid w:val="00D10939"/>
    <w:rsid w:val="00D10A0E"/>
    <w:rsid w:val="00D10A62"/>
    <w:rsid w:val="00D10BA8"/>
    <w:rsid w:val="00D10BE6"/>
    <w:rsid w:val="00D10BEF"/>
    <w:rsid w:val="00D10CEB"/>
    <w:rsid w:val="00D10E5C"/>
    <w:rsid w:val="00D10F2C"/>
    <w:rsid w:val="00D10F55"/>
    <w:rsid w:val="00D10F5A"/>
    <w:rsid w:val="00D1104E"/>
    <w:rsid w:val="00D11206"/>
    <w:rsid w:val="00D11231"/>
    <w:rsid w:val="00D114A5"/>
    <w:rsid w:val="00D116DE"/>
    <w:rsid w:val="00D11746"/>
    <w:rsid w:val="00D11755"/>
    <w:rsid w:val="00D1177A"/>
    <w:rsid w:val="00D117F3"/>
    <w:rsid w:val="00D11B77"/>
    <w:rsid w:val="00D11BA9"/>
    <w:rsid w:val="00D11C22"/>
    <w:rsid w:val="00D11F82"/>
    <w:rsid w:val="00D12024"/>
    <w:rsid w:val="00D122E0"/>
    <w:rsid w:val="00D12363"/>
    <w:rsid w:val="00D12392"/>
    <w:rsid w:val="00D124E7"/>
    <w:rsid w:val="00D1256F"/>
    <w:rsid w:val="00D12615"/>
    <w:rsid w:val="00D126F8"/>
    <w:rsid w:val="00D127E3"/>
    <w:rsid w:val="00D129BC"/>
    <w:rsid w:val="00D12B6A"/>
    <w:rsid w:val="00D12D5E"/>
    <w:rsid w:val="00D13174"/>
    <w:rsid w:val="00D131B7"/>
    <w:rsid w:val="00D133E5"/>
    <w:rsid w:val="00D13476"/>
    <w:rsid w:val="00D13699"/>
    <w:rsid w:val="00D136B6"/>
    <w:rsid w:val="00D136F3"/>
    <w:rsid w:val="00D137A4"/>
    <w:rsid w:val="00D137F8"/>
    <w:rsid w:val="00D138AA"/>
    <w:rsid w:val="00D13A2D"/>
    <w:rsid w:val="00D13A48"/>
    <w:rsid w:val="00D13AF4"/>
    <w:rsid w:val="00D13B84"/>
    <w:rsid w:val="00D13BAF"/>
    <w:rsid w:val="00D13F07"/>
    <w:rsid w:val="00D13F18"/>
    <w:rsid w:val="00D13F5B"/>
    <w:rsid w:val="00D13F77"/>
    <w:rsid w:val="00D13FC8"/>
    <w:rsid w:val="00D14003"/>
    <w:rsid w:val="00D1409D"/>
    <w:rsid w:val="00D141CE"/>
    <w:rsid w:val="00D142AD"/>
    <w:rsid w:val="00D143BE"/>
    <w:rsid w:val="00D14627"/>
    <w:rsid w:val="00D14658"/>
    <w:rsid w:val="00D146B1"/>
    <w:rsid w:val="00D14702"/>
    <w:rsid w:val="00D1476D"/>
    <w:rsid w:val="00D14ABE"/>
    <w:rsid w:val="00D14CA5"/>
    <w:rsid w:val="00D14D73"/>
    <w:rsid w:val="00D14E76"/>
    <w:rsid w:val="00D14EFB"/>
    <w:rsid w:val="00D14F31"/>
    <w:rsid w:val="00D151C8"/>
    <w:rsid w:val="00D1530F"/>
    <w:rsid w:val="00D1535F"/>
    <w:rsid w:val="00D15385"/>
    <w:rsid w:val="00D1567C"/>
    <w:rsid w:val="00D15692"/>
    <w:rsid w:val="00D156AF"/>
    <w:rsid w:val="00D15930"/>
    <w:rsid w:val="00D15A40"/>
    <w:rsid w:val="00D15A77"/>
    <w:rsid w:val="00D15D12"/>
    <w:rsid w:val="00D15E2A"/>
    <w:rsid w:val="00D15EA1"/>
    <w:rsid w:val="00D15F2C"/>
    <w:rsid w:val="00D15F3D"/>
    <w:rsid w:val="00D15F9B"/>
    <w:rsid w:val="00D16071"/>
    <w:rsid w:val="00D16119"/>
    <w:rsid w:val="00D1619B"/>
    <w:rsid w:val="00D162CF"/>
    <w:rsid w:val="00D1634F"/>
    <w:rsid w:val="00D164AC"/>
    <w:rsid w:val="00D16671"/>
    <w:rsid w:val="00D166DA"/>
    <w:rsid w:val="00D1691D"/>
    <w:rsid w:val="00D169D7"/>
    <w:rsid w:val="00D16A25"/>
    <w:rsid w:val="00D16BAB"/>
    <w:rsid w:val="00D16C9F"/>
    <w:rsid w:val="00D16E51"/>
    <w:rsid w:val="00D16EBB"/>
    <w:rsid w:val="00D16FDC"/>
    <w:rsid w:val="00D17026"/>
    <w:rsid w:val="00D17073"/>
    <w:rsid w:val="00D17221"/>
    <w:rsid w:val="00D172C4"/>
    <w:rsid w:val="00D172DD"/>
    <w:rsid w:val="00D17518"/>
    <w:rsid w:val="00D17580"/>
    <w:rsid w:val="00D1771E"/>
    <w:rsid w:val="00D17793"/>
    <w:rsid w:val="00D17905"/>
    <w:rsid w:val="00D17B31"/>
    <w:rsid w:val="00D17B96"/>
    <w:rsid w:val="00D17BA1"/>
    <w:rsid w:val="00D17C35"/>
    <w:rsid w:val="00D17CCE"/>
    <w:rsid w:val="00D17DC1"/>
    <w:rsid w:val="00D17DED"/>
    <w:rsid w:val="00D17FD3"/>
    <w:rsid w:val="00D20003"/>
    <w:rsid w:val="00D200AE"/>
    <w:rsid w:val="00D200D2"/>
    <w:rsid w:val="00D202AD"/>
    <w:rsid w:val="00D203E4"/>
    <w:rsid w:val="00D2066C"/>
    <w:rsid w:val="00D20751"/>
    <w:rsid w:val="00D20781"/>
    <w:rsid w:val="00D2095E"/>
    <w:rsid w:val="00D2099C"/>
    <w:rsid w:val="00D20B3E"/>
    <w:rsid w:val="00D20B4B"/>
    <w:rsid w:val="00D20D03"/>
    <w:rsid w:val="00D20E18"/>
    <w:rsid w:val="00D2105E"/>
    <w:rsid w:val="00D2127A"/>
    <w:rsid w:val="00D2145B"/>
    <w:rsid w:val="00D21515"/>
    <w:rsid w:val="00D215BD"/>
    <w:rsid w:val="00D215C2"/>
    <w:rsid w:val="00D21696"/>
    <w:rsid w:val="00D216E3"/>
    <w:rsid w:val="00D2174A"/>
    <w:rsid w:val="00D21825"/>
    <w:rsid w:val="00D21B50"/>
    <w:rsid w:val="00D21C15"/>
    <w:rsid w:val="00D21CAC"/>
    <w:rsid w:val="00D21E23"/>
    <w:rsid w:val="00D21E25"/>
    <w:rsid w:val="00D2215C"/>
    <w:rsid w:val="00D22190"/>
    <w:rsid w:val="00D22335"/>
    <w:rsid w:val="00D22469"/>
    <w:rsid w:val="00D2247B"/>
    <w:rsid w:val="00D225FC"/>
    <w:rsid w:val="00D2262E"/>
    <w:rsid w:val="00D2274D"/>
    <w:rsid w:val="00D227AD"/>
    <w:rsid w:val="00D2290C"/>
    <w:rsid w:val="00D229B5"/>
    <w:rsid w:val="00D229CF"/>
    <w:rsid w:val="00D22CED"/>
    <w:rsid w:val="00D2343B"/>
    <w:rsid w:val="00D2348F"/>
    <w:rsid w:val="00D235BD"/>
    <w:rsid w:val="00D23682"/>
    <w:rsid w:val="00D2379C"/>
    <w:rsid w:val="00D23871"/>
    <w:rsid w:val="00D238B1"/>
    <w:rsid w:val="00D23C60"/>
    <w:rsid w:val="00D23C85"/>
    <w:rsid w:val="00D23E90"/>
    <w:rsid w:val="00D23F7A"/>
    <w:rsid w:val="00D2424A"/>
    <w:rsid w:val="00D245ED"/>
    <w:rsid w:val="00D24639"/>
    <w:rsid w:val="00D247B0"/>
    <w:rsid w:val="00D2482C"/>
    <w:rsid w:val="00D24895"/>
    <w:rsid w:val="00D248E0"/>
    <w:rsid w:val="00D24901"/>
    <w:rsid w:val="00D24903"/>
    <w:rsid w:val="00D249BB"/>
    <w:rsid w:val="00D24EB1"/>
    <w:rsid w:val="00D24F7E"/>
    <w:rsid w:val="00D2506E"/>
    <w:rsid w:val="00D251B1"/>
    <w:rsid w:val="00D25376"/>
    <w:rsid w:val="00D25393"/>
    <w:rsid w:val="00D253B6"/>
    <w:rsid w:val="00D25525"/>
    <w:rsid w:val="00D25550"/>
    <w:rsid w:val="00D2555B"/>
    <w:rsid w:val="00D255CF"/>
    <w:rsid w:val="00D25610"/>
    <w:rsid w:val="00D25703"/>
    <w:rsid w:val="00D25712"/>
    <w:rsid w:val="00D258E0"/>
    <w:rsid w:val="00D25920"/>
    <w:rsid w:val="00D25AEB"/>
    <w:rsid w:val="00D25B4C"/>
    <w:rsid w:val="00D25BC0"/>
    <w:rsid w:val="00D25BD7"/>
    <w:rsid w:val="00D25C17"/>
    <w:rsid w:val="00D25C4B"/>
    <w:rsid w:val="00D25C6E"/>
    <w:rsid w:val="00D25C88"/>
    <w:rsid w:val="00D25D43"/>
    <w:rsid w:val="00D25DC5"/>
    <w:rsid w:val="00D26115"/>
    <w:rsid w:val="00D26125"/>
    <w:rsid w:val="00D261AC"/>
    <w:rsid w:val="00D262BA"/>
    <w:rsid w:val="00D2653A"/>
    <w:rsid w:val="00D265D5"/>
    <w:rsid w:val="00D26613"/>
    <w:rsid w:val="00D26637"/>
    <w:rsid w:val="00D26648"/>
    <w:rsid w:val="00D2667B"/>
    <w:rsid w:val="00D26778"/>
    <w:rsid w:val="00D267DA"/>
    <w:rsid w:val="00D26A16"/>
    <w:rsid w:val="00D26A35"/>
    <w:rsid w:val="00D26A53"/>
    <w:rsid w:val="00D26B21"/>
    <w:rsid w:val="00D26B78"/>
    <w:rsid w:val="00D26BDA"/>
    <w:rsid w:val="00D26D66"/>
    <w:rsid w:val="00D26E18"/>
    <w:rsid w:val="00D26E5A"/>
    <w:rsid w:val="00D26EDC"/>
    <w:rsid w:val="00D26F34"/>
    <w:rsid w:val="00D270FF"/>
    <w:rsid w:val="00D27286"/>
    <w:rsid w:val="00D275A8"/>
    <w:rsid w:val="00D27732"/>
    <w:rsid w:val="00D277CE"/>
    <w:rsid w:val="00D27830"/>
    <w:rsid w:val="00D2784E"/>
    <w:rsid w:val="00D27957"/>
    <w:rsid w:val="00D27B48"/>
    <w:rsid w:val="00D27E94"/>
    <w:rsid w:val="00D27EC9"/>
    <w:rsid w:val="00D27F60"/>
    <w:rsid w:val="00D30062"/>
    <w:rsid w:val="00D300F5"/>
    <w:rsid w:val="00D30110"/>
    <w:rsid w:val="00D3021C"/>
    <w:rsid w:val="00D304A2"/>
    <w:rsid w:val="00D304E6"/>
    <w:rsid w:val="00D30597"/>
    <w:rsid w:val="00D305E9"/>
    <w:rsid w:val="00D30757"/>
    <w:rsid w:val="00D30759"/>
    <w:rsid w:val="00D307E5"/>
    <w:rsid w:val="00D308FF"/>
    <w:rsid w:val="00D3099A"/>
    <w:rsid w:val="00D30B69"/>
    <w:rsid w:val="00D30B8C"/>
    <w:rsid w:val="00D30BB5"/>
    <w:rsid w:val="00D30C47"/>
    <w:rsid w:val="00D30C5A"/>
    <w:rsid w:val="00D30D8F"/>
    <w:rsid w:val="00D31090"/>
    <w:rsid w:val="00D31193"/>
    <w:rsid w:val="00D31216"/>
    <w:rsid w:val="00D312A6"/>
    <w:rsid w:val="00D312EB"/>
    <w:rsid w:val="00D31301"/>
    <w:rsid w:val="00D313E5"/>
    <w:rsid w:val="00D3144C"/>
    <w:rsid w:val="00D31534"/>
    <w:rsid w:val="00D315A9"/>
    <w:rsid w:val="00D31612"/>
    <w:rsid w:val="00D31659"/>
    <w:rsid w:val="00D31B90"/>
    <w:rsid w:val="00D31BCD"/>
    <w:rsid w:val="00D31C59"/>
    <w:rsid w:val="00D31CBE"/>
    <w:rsid w:val="00D31DA6"/>
    <w:rsid w:val="00D31ED1"/>
    <w:rsid w:val="00D31F14"/>
    <w:rsid w:val="00D31F66"/>
    <w:rsid w:val="00D31FF4"/>
    <w:rsid w:val="00D3203F"/>
    <w:rsid w:val="00D32088"/>
    <w:rsid w:val="00D320E6"/>
    <w:rsid w:val="00D321A9"/>
    <w:rsid w:val="00D3245C"/>
    <w:rsid w:val="00D32472"/>
    <w:rsid w:val="00D324C8"/>
    <w:rsid w:val="00D32674"/>
    <w:rsid w:val="00D3272A"/>
    <w:rsid w:val="00D32786"/>
    <w:rsid w:val="00D328B0"/>
    <w:rsid w:val="00D32928"/>
    <w:rsid w:val="00D32B09"/>
    <w:rsid w:val="00D32BC3"/>
    <w:rsid w:val="00D32CD1"/>
    <w:rsid w:val="00D32D43"/>
    <w:rsid w:val="00D32D95"/>
    <w:rsid w:val="00D32E84"/>
    <w:rsid w:val="00D330D1"/>
    <w:rsid w:val="00D33170"/>
    <w:rsid w:val="00D334B6"/>
    <w:rsid w:val="00D337AC"/>
    <w:rsid w:val="00D338F3"/>
    <w:rsid w:val="00D339D2"/>
    <w:rsid w:val="00D33A09"/>
    <w:rsid w:val="00D33B6C"/>
    <w:rsid w:val="00D33BAB"/>
    <w:rsid w:val="00D33C9C"/>
    <w:rsid w:val="00D33E60"/>
    <w:rsid w:val="00D33E64"/>
    <w:rsid w:val="00D33EFC"/>
    <w:rsid w:val="00D33F93"/>
    <w:rsid w:val="00D34016"/>
    <w:rsid w:val="00D341C8"/>
    <w:rsid w:val="00D3457D"/>
    <w:rsid w:val="00D34649"/>
    <w:rsid w:val="00D346DC"/>
    <w:rsid w:val="00D34742"/>
    <w:rsid w:val="00D34819"/>
    <w:rsid w:val="00D34896"/>
    <w:rsid w:val="00D34ADB"/>
    <w:rsid w:val="00D34E3F"/>
    <w:rsid w:val="00D34F6C"/>
    <w:rsid w:val="00D35007"/>
    <w:rsid w:val="00D3500D"/>
    <w:rsid w:val="00D35085"/>
    <w:rsid w:val="00D3510A"/>
    <w:rsid w:val="00D3518C"/>
    <w:rsid w:val="00D35214"/>
    <w:rsid w:val="00D35451"/>
    <w:rsid w:val="00D3559B"/>
    <w:rsid w:val="00D3561B"/>
    <w:rsid w:val="00D35759"/>
    <w:rsid w:val="00D35898"/>
    <w:rsid w:val="00D359A7"/>
    <w:rsid w:val="00D35A96"/>
    <w:rsid w:val="00D35AFE"/>
    <w:rsid w:val="00D35BB7"/>
    <w:rsid w:val="00D35C7D"/>
    <w:rsid w:val="00D35DB6"/>
    <w:rsid w:val="00D35E58"/>
    <w:rsid w:val="00D36069"/>
    <w:rsid w:val="00D36081"/>
    <w:rsid w:val="00D362A4"/>
    <w:rsid w:val="00D362B3"/>
    <w:rsid w:val="00D36492"/>
    <w:rsid w:val="00D36687"/>
    <w:rsid w:val="00D367EE"/>
    <w:rsid w:val="00D36B32"/>
    <w:rsid w:val="00D36B5D"/>
    <w:rsid w:val="00D36BC7"/>
    <w:rsid w:val="00D36BD1"/>
    <w:rsid w:val="00D36C52"/>
    <w:rsid w:val="00D36E9F"/>
    <w:rsid w:val="00D36EA1"/>
    <w:rsid w:val="00D36F02"/>
    <w:rsid w:val="00D36F18"/>
    <w:rsid w:val="00D36F26"/>
    <w:rsid w:val="00D37188"/>
    <w:rsid w:val="00D3722F"/>
    <w:rsid w:val="00D37275"/>
    <w:rsid w:val="00D37292"/>
    <w:rsid w:val="00D372F2"/>
    <w:rsid w:val="00D37319"/>
    <w:rsid w:val="00D3731A"/>
    <w:rsid w:val="00D37428"/>
    <w:rsid w:val="00D374F6"/>
    <w:rsid w:val="00D3758E"/>
    <w:rsid w:val="00D376E6"/>
    <w:rsid w:val="00D3780A"/>
    <w:rsid w:val="00D37886"/>
    <w:rsid w:val="00D378AA"/>
    <w:rsid w:val="00D37964"/>
    <w:rsid w:val="00D37975"/>
    <w:rsid w:val="00D37AC6"/>
    <w:rsid w:val="00D37AD0"/>
    <w:rsid w:val="00D37B4B"/>
    <w:rsid w:val="00D37B89"/>
    <w:rsid w:val="00D37E06"/>
    <w:rsid w:val="00D4009A"/>
    <w:rsid w:val="00D40137"/>
    <w:rsid w:val="00D40498"/>
    <w:rsid w:val="00D405E2"/>
    <w:rsid w:val="00D40635"/>
    <w:rsid w:val="00D40660"/>
    <w:rsid w:val="00D406AB"/>
    <w:rsid w:val="00D4070D"/>
    <w:rsid w:val="00D40717"/>
    <w:rsid w:val="00D4072B"/>
    <w:rsid w:val="00D4081F"/>
    <w:rsid w:val="00D40885"/>
    <w:rsid w:val="00D40905"/>
    <w:rsid w:val="00D40B95"/>
    <w:rsid w:val="00D40DA7"/>
    <w:rsid w:val="00D41001"/>
    <w:rsid w:val="00D41098"/>
    <w:rsid w:val="00D410F3"/>
    <w:rsid w:val="00D4110C"/>
    <w:rsid w:val="00D41200"/>
    <w:rsid w:val="00D41319"/>
    <w:rsid w:val="00D413D1"/>
    <w:rsid w:val="00D4149F"/>
    <w:rsid w:val="00D414B0"/>
    <w:rsid w:val="00D4153E"/>
    <w:rsid w:val="00D417B3"/>
    <w:rsid w:val="00D41AAA"/>
    <w:rsid w:val="00D41B47"/>
    <w:rsid w:val="00D41BBE"/>
    <w:rsid w:val="00D41C3E"/>
    <w:rsid w:val="00D41D4E"/>
    <w:rsid w:val="00D42019"/>
    <w:rsid w:val="00D421B5"/>
    <w:rsid w:val="00D42211"/>
    <w:rsid w:val="00D42356"/>
    <w:rsid w:val="00D42734"/>
    <w:rsid w:val="00D427B1"/>
    <w:rsid w:val="00D4285C"/>
    <w:rsid w:val="00D429B9"/>
    <w:rsid w:val="00D42BAD"/>
    <w:rsid w:val="00D42BDF"/>
    <w:rsid w:val="00D42CDA"/>
    <w:rsid w:val="00D42D57"/>
    <w:rsid w:val="00D42DB7"/>
    <w:rsid w:val="00D42E73"/>
    <w:rsid w:val="00D43117"/>
    <w:rsid w:val="00D433CA"/>
    <w:rsid w:val="00D43479"/>
    <w:rsid w:val="00D4361F"/>
    <w:rsid w:val="00D436A8"/>
    <w:rsid w:val="00D437B5"/>
    <w:rsid w:val="00D4388B"/>
    <w:rsid w:val="00D439A7"/>
    <w:rsid w:val="00D439ED"/>
    <w:rsid w:val="00D43A2D"/>
    <w:rsid w:val="00D43BF7"/>
    <w:rsid w:val="00D43C24"/>
    <w:rsid w:val="00D43D3E"/>
    <w:rsid w:val="00D43DBA"/>
    <w:rsid w:val="00D43DC8"/>
    <w:rsid w:val="00D43DE2"/>
    <w:rsid w:val="00D43E8B"/>
    <w:rsid w:val="00D43EA3"/>
    <w:rsid w:val="00D43F41"/>
    <w:rsid w:val="00D4405A"/>
    <w:rsid w:val="00D4413E"/>
    <w:rsid w:val="00D4423D"/>
    <w:rsid w:val="00D4428A"/>
    <w:rsid w:val="00D4441E"/>
    <w:rsid w:val="00D44433"/>
    <w:rsid w:val="00D444D8"/>
    <w:rsid w:val="00D44513"/>
    <w:rsid w:val="00D44514"/>
    <w:rsid w:val="00D4484E"/>
    <w:rsid w:val="00D44A3D"/>
    <w:rsid w:val="00D44B2D"/>
    <w:rsid w:val="00D44B38"/>
    <w:rsid w:val="00D44B46"/>
    <w:rsid w:val="00D44B52"/>
    <w:rsid w:val="00D44BD6"/>
    <w:rsid w:val="00D44C72"/>
    <w:rsid w:val="00D44D7F"/>
    <w:rsid w:val="00D44E88"/>
    <w:rsid w:val="00D44F9B"/>
    <w:rsid w:val="00D44FA5"/>
    <w:rsid w:val="00D450DB"/>
    <w:rsid w:val="00D450DC"/>
    <w:rsid w:val="00D45128"/>
    <w:rsid w:val="00D4514C"/>
    <w:rsid w:val="00D4516D"/>
    <w:rsid w:val="00D45224"/>
    <w:rsid w:val="00D45270"/>
    <w:rsid w:val="00D452AA"/>
    <w:rsid w:val="00D45462"/>
    <w:rsid w:val="00D4547A"/>
    <w:rsid w:val="00D4554B"/>
    <w:rsid w:val="00D456E2"/>
    <w:rsid w:val="00D45A14"/>
    <w:rsid w:val="00D45A78"/>
    <w:rsid w:val="00D45BB3"/>
    <w:rsid w:val="00D45C4B"/>
    <w:rsid w:val="00D45CE5"/>
    <w:rsid w:val="00D45CFD"/>
    <w:rsid w:val="00D45E6D"/>
    <w:rsid w:val="00D45EF5"/>
    <w:rsid w:val="00D45FDF"/>
    <w:rsid w:val="00D46025"/>
    <w:rsid w:val="00D46185"/>
    <w:rsid w:val="00D4618F"/>
    <w:rsid w:val="00D461FA"/>
    <w:rsid w:val="00D463EE"/>
    <w:rsid w:val="00D464AE"/>
    <w:rsid w:val="00D4650B"/>
    <w:rsid w:val="00D4674D"/>
    <w:rsid w:val="00D4685F"/>
    <w:rsid w:val="00D469CA"/>
    <w:rsid w:val="00D469FF"/>
    <w:rsid w:val="00D46A37"/>
    <w:rsid w:val="00D46B69"/>
    <w:rsid w:val="00D46BE0"/>
    <w:rsid w:val="00D46CD3"/>
    <w:rsid w:val="00D46D12"/>
    <w:rsid w:val="00D46F61"/>
    <w:rsid w:val="00D471E8"/>
    <w:rsid w:val="00D47268"/>
    <w:rsid w:val="00D4741A"/>
    <w:rsid w:val="00D4751B"/>
    <w:rsid w:val="00D47586"/>
    <w:rsid w:val="00D4758E"/>
    <w:rsid w:val="00D47880"/>
    <w:rsid w:val="00D47A77"/>
    <w:rsid w:val="00D47A8B"/>
    <w:rsid w:val="00D47B8F"/>
    <w:rsid w:val="00D47BA2"/>
    <w:rsid w:val="00D47CB7"/>
    <w:rsid w:val="00D47CE9"/>
    <w:rsid w:val="00D47D03"/>
    <w:rsid w:val="00D47DE8"/>
    <w:rsid w:val="00D47EB3"/>
    <w:rsid w:val="00D47EC1"/>
    <w:rsid w:val="00D47F92"/>
    <w:rsid w:val="00D50326"/>
    <w:rsid w:val="00D50381"/>
    <w:rsid w:val="00D503BE"/>
    <w:rsid w:val="00D503F3"/>
    <w:rsid w:val="00D506CD"/>
    <w:rsid w:val="00D50796"/>
    <w:rsid w:val="00D50B4C"/>
    <w:rsid w:val="00D50C01"/>
    <w:rsid w:val="00D50C4B"/>
    <w:rsid w:val="00D50D1B"/>
    <w:rsid w:val="00D50DA5"/>
    <w:rsid w:val="00D50E4F"/>
    <w:rsid w:val="00D50E5D"/>
    <w:rsid w:val="00D50E8F"/>
    <w:rsid w:val="00D510C4"/>
    <w:rsid w:val="00D512B4"/>
    <w:rsid w:val="00D51310"/>
    <w:rsid w:val="00D51324"/>
    <w:rsid w:val="00D51350"/>
    <w:rsid w:val="00D513A6"/>
    <w:rsid w:val="00D51417"/>
    <w:rsid w:val="00D514CC"/>
    <w:rsid w:val="00D5167A"/>
    <w:rsid w:val="00D51A21"/>
    <w:rsid w:val="00D51AA8"/>
    <w:rsid w:val="00D51B05"/>
    <w:rsid w:val="00D51C57"/>
    <w:rsid w:val="00D51E6C"/>
    <w:rsid w:val="00D51F64"/>
    <w:rsid w:val="00D51F87"/>
    <w:rsid w:val="00D52097"/>
    <w:rsid w:val="00D520B8"/>
    <w:rsid w:val="00D522EB"/>
    <w:rsid w:val="00D52358"/>
    <w:rsid w:val="00D52426"/>
    <w:rsid w:val="00D524C2"/>
    <w:rsid w:val="00D52510"/>
    <w:rsid w:val="00D525D8"/>
    <w:rsid w:val="00D5269F"/>
    <w:rsid w:val="00D52794"/>
    <w:rsid w:val="00D5294A"/>
    <w:rsid w:val="00D52EA6"/>
    <w:rsid w:val="00D52EF6"/>
    <w:rsid w:val="00D52F8C"/>
    <w:rsid w:val="00D53019"/>
    <w:rsid w:val="00D530E4"/>
    <w:rsid w:val="00D5325D"/>
    <w:rsid w:val="00D534EF"/>
    <w:rsid w:val="00D53542"/>
    <w:rsid w:val="00D5356D"/>
    <w:rsid w:val="00D537C5"/>
    <w:rsid w:val="00D537FF"/>
    <w:rsid w:val="00D53ACF"/>
    <w:rsid w:val="00D53D65"/>
    <w:rsid w:val="00D53DB3"/>
    <w:rsid w:val="00D53DE5"/>
    <w:rsid w:val="00D53E74"/>
    <w:rsid w:val="00D53F4D"/>
    <w:rsid w:val="00D53FC8"/>
    <w:rsid w:val="00D54059"/>
    <w:rsid w:val="00D540B9"/>
    <w:rsid w:val="00D541F7"/>
    <w:rsid w:val="00D542B9"/>
    <w:rsid w:val="00D542F8"/>
    <w:rsid w:val="00D54313"/>
    <w:rsid w:val="00D54468"/>
    <w:rsid w:val="00D544A4"/>
    <w:rsid w:val="00D545CF"/>
    <w:rsid w:val="00D546B6"/>
    <w:rsid w:val="00D547AC"/>
    <w:rsid w:val="00D547CA"/>
    <w:rsid w:val="00D54841"/>
    <w:rsid w:val="00D5484D"/>
    <w:rsid w:val="00D54972"/>
    <w:rsid w:val="00D54AA4"/>
    <w:rsid w:val="00D54C48"/>
    <w:rsid w:val="00D54CA5"/>
    <w:rsid w:val="00D54F1D"/>
    <w:rsid w:val="00D550A9"/>
    <w:rsid w:val="00D55110"/>
    <w:rsid w:val="00D551BD"/>
    <w:rsid w:val="00D551E7"/>
    <w:rsid w:val="00D55235"/>
    <w:rsid w:val="00D55577"/>
    <w:rsid w:val="00D5567B"/>
    <w:rsid w:val="00D55957"/>
    <w:rsid w:val="00D5597D"/>
    <w:rsid w:val="00D559AE"/>
    <w:rsid w:val="00D55BE2"/>
    <w:rsid w:val="00D55D52"/>
    <w:rsid w:val="00D55E79"/>
    <w:rsid w:val="00D55EE5"/>
    <w:rsid w:val="00D55F73"/>
    <w:rsid w:val="00D55FBA"/>
    <w:rsid w:val="00D5602E"/>
    <w:rsid w:val="00D560DC"/>
    <w:rsid w:val="00D56192"/>
    <w:rsid w:val="00D5625C"/>
    <w:rsid w:val="00D5627F"/>
    <w:rsid w:val="00D563CC"/>
    <w:rsid w:val="00D564FF"/>
    <w:rsid w:val="00D5652B"/>
    <w:rsid w:val="00D5664C"/>
    <w:rsid w:val="00D566B5"/>
    <w:rsid w:val="00D567BD"/>
    <w:rsid w:val="00D56A3D"/>
    <w:rsid w:val="00D56BBB"/>
    <w:rsid w:val="00D56BCC"/>
    <w:rsid w:val="00D56D9B"/>
    <w:rsid w:val="00D56EFA"/>
    <w:rsid w:val="00D56F42"/>
    <w:rsid w:val="00D5711C"/>
    <w:rsid w:val="00D572EF"/>
    <w:rsid w:val="00D573CA"/>
    <w:rsid w:val="00D57513"/>
    <w:rsid w:val="00D575FE"/>
    <w:rsid w:val="00D5767B"/>
    <w:rsid w:val="00D576F9"/>
    <w:rsid w:val="00D577F5"/>
    <w:rsid w:val="00D57A29"/>
    <w:rsid w:val="00D57BBE"/>
    <w:rsid w:val="00D57C1D"/>
    <w:rsid w:val="00D57D41"/>
    <w:rsid w:val="00D57D7F"/>
    <w:rsid w:val="00D57F66"/>
    <w:rsid w:val="00D60049"/>
    <w:rsid w:val="00D6006D"/>
    <w:rsid w:val="00D6008E"/>
    <w:rsid w:val="00D6018E"/>
    <w:rsid w:val="00D602CE"/>
    <w:rsid w:val="00D60482"/>
    <w:rsid w:val="00D6072D"/>
    <w:rsid w:val="00D607D6"/>
    <w:rsid w:val="00D607E3"/>
    <w:rsid w:val="00D60811"/>
    <w:rsid w:val="00D6088D"/>
    <w:rsid w:val="00D608A1"/>
    <w:rsid w:val="00D60916"/>
    <w:rsid w:val="00D609AB"/>
    <w:rsid w:val="00D609E1"/>
    <w:rsid w:val="00D609F5"/>
    <w:rsid w:val="00D60EB4"/>
    <w:rsid w:val="00D60EE5"/>
    <w:rsid w:val="00D60FBC"/>
    <w:rsid w:val="00D61067"/>
    <w:rsid w:val="00D610C9"/>
    <w:rsid w:val="00D610ED"/>
    <w:rsid w:val="00D61105"/>
    <w:rsid w:val="00D61325"/>
    <w:rsid w:val="00D615D6"/>
    <w:rsid w:val="00D6162A"/>
    <w:rsid w:val="00D61652"/>
    <w:rsid w:val="00D616AA"/>
    <w:rsid w:val="00D616D1"/>
    <w:rsid w:val="00D618E6"/>
    <w:rsid w:val="00D6195C"/>
    <w:rsid w:val="00D61A96"/>
    <w:rsid w:val="00D61C25"/>
    <w:rsid w:val="00D61C90"/>
    <w:rsid w:val="00D61D52"/>
    <w:rsid w:val="00D61E1F"/>
    <w:rsid w:val="00D61E84"/>
    <w:rsid w:val="00D61F14"/>
    <w:rsid w:val="00D62030"/>
    <w:rsid w:val="00D6210C"/>
    <w:rsid w:val="00D6214E"/>
    <w:rsid w:val="00D62184"/>
    <w:rsid w:val="00D62202"/>
    <w:rsid w:val="00D6226A"/>
    <w:rsid w:val="00D623E4"/>
    <w:rsid w:val="00D62412"/>
    <w:rsid w:val="00D624AA"/>
    <w:rsid w:val="00D624D6"/>
    <w:rsid w:val="00D62564"/>
    <w:rsid w:val="00D6282F"/>
    <w:rsid w:val="00D62835"/>
    <w:rsid w:val="00D62979"/>
    <w:rsid w:val="00D629CA"/>
    <w:rsid w:val="00D62A2E"/>
    <w:rsid w:val="00D62D0B"/>
    <w:rsid w:val="00D62E0E"/>
    <w:rsid w:val="00D62F2D"/>
    <w:rsid w:val="00D62FA2"/>
    <w:rsid w:val="00D62FDC"/>
    <w:rsid w:val="00D63065"/>
    <w:rsid w:val="00D630AC"/>
    <w:rsid w:val="00D630CD"/>
    <w:rsid w:val="00D630F1"/>
    <w:rsid w:val="00D63192"/>
    <w:rsid w:val="00D631EB"/>
    <w:rsid w:val="00D631EF"/>
    <w:rsid w:val="00D6325E"/>
    <w:rsid w:val="00D632FC"/>
    <w:rsid w:val="00D6332F"/>
    <w:rsid w:val="00D633BC"/>
    <w:rsid w:val="00D633C8"/>
    <w:rsid w:val="00D636F0"/>
    <w:rsid w:val="00D63796"/>
    <w:rsid w:val="00D63822"/>
    <w:rsid w:val="00D639A8"/>
    <w:rsid w:val="00D639C7"/>
    <w:rsid w:val="00D63ADA"/>
    <w:rsid w:val="00D63C4F"/>
    <w:rsid w:val="00D63CC9"/>
    <w:rsid w:val="00D63D05"/>
    <w:rsid w:val="00D63D8C"/>
    <w:rsid w:val="00D63D99"/>
    <w:rsid w:val="00D63DE1"/>
    <w:rsid w:val="00D63DF2"/>
    <w:rsid w:val="00D63FD9"/>
    <w:rsid w:val="00D640C3"/>
    <w:rsid w:val="00D640E3"/>
    <w:rsid w:val="00D64192"/>
    <w:rsid w:val="00D641DB"/>
    <w:rsid w:val="00D64249"/>
    <w:rsid w:val="00D642B6"/>
    <w:rsid w:val="00D6446E"/>
    <w:rsid w:val="00D644AA"/>
    <w:rsid w:val="00D644DA"/>
    <w:rsid w:val="00D6459B"/>
    <w:rsid w:val="00D648DF"/>
    <w:rsid w:val="00D64A23"/>
    <w:rsid w:val="00D64A2E"/>
    <w:rsid w:val="00D64B3E"/>
    <w:rsid w:val="00D64B4E"/>
    <w:rsid w:val="00D64B60"/>
    <w:rsid w:val="00D64D0F"/>
    <w:rsid w:val="00D64DFF"/>
    <w:rsid w:val="00D64E0A"/>
    <w:rsid w:val="00D64E0B"/>
    <w:rsid w:val="00D65092"/>
    <w:rsid w:val="00D650EA"/>
    <w:rsid w:val="00D65296"/>
    <w:rsid w:val="00D6539F"/>
    <w:rsid w:val="00D653F0"/>
    <w:rsid w:val="00D6548C"/>
    <w:rsid w:val="00D655AB"/>
    <w:rsid w:val="00D65675"/>
    <w:rsid w:val="00D65826"/>
    <w:rsid w:val="00D65889"/>
    <w:rsid w:val="00D658A4"/>
    <w:rsid w:val="00D658AE"/>
    <w:rsid w:val="00D65953"/>
    <w:rsid w:val="00D65A1A"/>
    <w:rsid w:val="00D65A5B"/>
    <w:rsid w:val="00D65A65"/>
    <w:rsid w:val="00D65A85"/>
    <w:rsid w:val="00D65C8C"/>
    <w:rsid w:val="00D65C9D"/>
    <w:rsid w:val="00D65CD3"/>
    <w:rsid w:val="00D65D1C"/>
    <w:rsid w:val="00D65DDF"/>
    <w:rsid w:val="00D65ECC"/>
    <w:rsid w:val="00D65ED9"/>
    <w:rsid w:val="00D65F0F"/>
    <w:rsid w:val="00D65F24"/>
    <w:rsid w:val="00D65F85"/>
    <w:rsid w:val="00D66007"/>
    <w:rsid w:val="00D661E4"/>
    <w:rsid w:val="00D66266"/>
    <w:rsid w:val="00D6626C"/>
    <w:rsid w:val="00D66407"/>
    <w:rsid w:val="00D6654E"/>
    <w:rsid w:val="00D66576"/>
    <w:rsid w:val="00D66623"/>
    <w:rsid w:val="00D66769"/>
    <w:rsid w:val="00D66829"/>
    <w:rsid w:val="00D66951"/>
    <w:rsid w:val="00D669E8"/>
    <w:rsid w:val="00D66B33"/>
    <w:rsid w:val="00D66FCD"/>
    <w:rsid w:val="00D67028"/>
    <w:rsid w:val="00D67064"/>
    <w:rsid w:val="00D67126"/>
    <w:rsid w:val="00D6713C"/>
    <w:rsid w:val="00D6717F"/>
    <w:rsid w:val="00D671E2"/>
    <w:rsid w:val="00D67390"/>
    <w:rsid w:val="00D6743B"/>
    <w:rsid w:val="00D6748D"/>
    <w:rsid w:val="00D674A6"/>
    <w:rsid w:val="00D675C5"/>
    <w:rsid w:val="00D67776"/>
    <w:rsid w:val="00D678AF"/>
    <w:rsid w:val="00D6793D"/>
    <w:rsid w:val="00D679D9"/>
    <w:rsid w:val="00D67D11"/>
    <w:rsid w:val="00D67D23"/>
    <w:rsid w:val="00D67ECE"/>
    <w:rsid w:val="00D67EF0"/>
    <w:rsid w:val="00D67EF3"/>
    <w:rsid w:val="00D700FC"/>
    <w:rsid w:val="00D7040D"/>
    <w:rsid w:val="00D70445"/>
    <w:rsid w:val="00D704B6"/>
    <w:rsid w:val="00D7057F"/>
    <w:rsid w:val="00D705AD"/>
    <w:rsid w:val="00D70644"/>
    <w:rsid w:val="00D70693"/>
    <w:rsid w:val="00D70748"/>
    <w:rsid w:val="00D70763"/>
    <w:rsid w:val="00D709DE"/>
    <w:rsid w:val="00D70C97"/>
    <w:rsid w:val="00D70E49"/>
    <w:rsid w:val="00D70EE7"/>
    <w:rsid w:val="00D71008"/>
    <w:rsid w:val="00D710D5"/>
    <w:rsid w:val="00D7121A"/>
    <w:rsid w:val="00D713A2"/>
    <w:rsid w:val="00D71451"/>
    <w:rsid w:val="00D714D7"/>
    <w:rsid w:val="00D71712"/>
    <w:rsid w:val="00D718FD"/>
    <w:rsid w:val="00D71A01"/>
    <w:rsid w:val="00D71DA1"/>
    <w:rsid w:val="00D71DB1"/>
    <w:rsid w:val="00D71DD0"/>
    <w:rsid w:val="00D71E05"/>
    <w:rsid w:val="00D71EA2"/>
    <w:rsid w:val="00D71EC7"/>
    <w:rsid w:val="00D7218A"/>
    <w:rsid w:val="00D72262"/>
    <w:rsid w:val="00D72315"/>
    <w:rsid w:val="00D723D6"/>
    <w:rsid w:val="00D723FF"/>
    <w:rsid w:val="00D72439"/>
    <w:rsid w:val="00D7244A"/>
    <w:rsid w:val="00D7263A"/>
    <w:rsid w:val="00D726B0"/>
    <w:rsid w:val="00D72795"/>
    <w:rsid w:val="00D727BD"/>
    <w:rsid w:val="00D72876"/>
    <w:rsid w:val="00D728D5"/>
    <w:rsid w:val="00D728F2"/>
    <w:rsid w:val="00D72A21"/>
    <w:rsid w:val="00D72A29"/>
    <w:rsid w:val="00D72CAA"/>
    <w:rsid w:val="00D72DBF"/>
    <w:rsid w:val="00D72DC4"/>
    <w:rsid w:val="00D72DE1"/>
    <w:rsid w:val="00D736E0"/>
    <w:rsid w:val="00D738A8"/>
    <w:rsid w:val="00D738F9"/>
    <w:rsid w:val="00D739F3"/>
    <w:rsid w:val="00D73AFA"/>
    <w:rsid w:val="00D73C64"/>
    <w:rsid w:val="00D73CCF"/>
    <w:rsid w:val="00D73D8A"/>
    <w:rsid w:val="00D73EAC"/>
    <w:rsid w:val="00D73F97"/>
    <w:rsid w:val="00D7405B"/>
    <w:rsid w:val="00D740DF"/>
    <w:rsid w:val="00D74406"/>
    <w:rsid w:val="00D744C5"/>
    <w:rsid w:val="00D747A3"/>
    <w:rsid w:val="00D74A10"/>
    <w:rsid w:val="00D74A8E"/>
    <w:rsid w:val="00D74D59"/>
    <w:rsid w:val="00D74DE6"/>
    <w:rsid w:val="00D750B9"/>
    <w:rsid w:val="00D75322"/>
    <w:rsid w:val="00D75704"/>
    <w:rsid w:val="00D75773"/>
    <w:rsid w:val="00D7584B"/>
    <w:rsid w:val="00D759CD"/>
    <w:rsid w:val="00D75A87"/>
    <w:rsid w:val="00D75ACC"/>
    <w:rsid w:val="00D75B67"/>
    <w:rsid w:val="00D75BB1"/>
    <w:rsid w:val="00D75DBD"/>
    <w:rsid w:val="00D75ED8"/>
    <w:rsid w:val="00D75EE9"/>
    <w:rsid w:val="00D7603B"/>
    <w:rsid w:val="00D761F9"/>
    <w:rsid w:val="00D76243"/>
    <w:rsid w:val="00D7627D"/>
    <w:rsid w:val="00D76427"/>
    <w:rsid w:val="00D765DE"/>
    <w:rsid w:val="00D76625"/>
    <w:rsid w:val="00D76722"/>
    <w:rsid w:val="00D767F7"/>
    <w:rsid w:val="00D76942"/>
    <w:rsid w:val="00D76AEE"/>
    <w:rsid w:val="00D76C02"/>
    <w:rsid w:val="00D76CDD"/>
    <w:rsid w:val="00D76D08"/>
    <w:rsid w:val="00D76D14"/>
    <w:rsid w:val="00D76DC8"/>
    <w:rsid w:val="00D76E0E"/>
    <w:rsid w:val="00D76E5B"/>
    <w:rsid w:val="00D770DC"/>
    <w:rsid w:val="00D770F3"/>
    <w:rsid w:val="00D77115"/>
    <w:rsid w:val="00D77253"/>
    <w:rsid w:val="00D77331"/>
    <w:rsid w:val="00D773D8"/>
    <w:rsid w:val="00D77461"/>
    <w:rsid w:val="00D77462"/>
    <w:rsid w:val="00D77520"/>
    <w:rsid w:val="00D7752D"/>
    <w:rsid w:val="00D7775A"/>
    <w:rsid w:val="00D77761"/>
    <w:rsid w:val="00D777D6"/>
    <w:rsid w:val="00D7781C"/>
    <w:rsid w:val="00D77891"/>
    <w:rsid w:val="00D779B1"/>
    <w:rsid w:val="00D779F3"/>
    <w:rsid w:val="00D77AEC"/>
    <w:rsid w:val="00D77BA7"/>
    <w:rsid w:val="00D77BE6"/>
    <w:rsid w:val="00D77E53"/>
    <w:rsid w:val="00D77F1F"/>
    <w:rsid w:val="00D77F51"/>
    <w:rsid w:val="00D77FB0"/>
    <w:rsid w:val="00D800E4"/>
    <w:rsid w:val="00D8017E"/>
    <w:rsid w:val="00D80244"/>
    <w:rsid w:val="00D8032B"/>
    <w:rsid w:val="00D80439"/>
    <w:rsid w:val="00D805C0"/>
    <w:rsid w:val="00D80681"/>
    <w:rsid w:val="00D806DB"/>
    <w:rsid w:val="00D80776"/>
    <w:rsid w:val="00D8081E"/>
    <w:rsid w:val="00D8083F"/>
    <w:rsid w:val="00D80849"/>
    <w:rsid w:val="00D808C9"/>
    <w:rsid w:val="00D809D5"/>
    <w:rsid w:val="00D80A0A"/>
    <w:rsid w:val="00D80BD2"/>
    <w:rsid w:val="00D80C09"/>
    <w:rsid w:val="00D80CFC"/>
    <w:rsid w:val="00D80DA1"/>
    <w:rsid w:val="00D80ED9"/>
    <w:rsid w:val="00D80F3F"/>
    <w:rsid w:val="00D81074"/>
    <w:rsid w:val="00D81170"/>
    <w:rsid w:val="00D8117D"/>
    <w:rsid w:val="00D811D3"/>
    <w:rsid w:val="00D813D0"/>
    <w:rsid w:val="00D813DA"/>
    <w:rsid w:val="00D81504"/>
    <w:rsid w:val="00D81561"/>
    <w:rsid w:val="00D8177D"/>
    <w:rsid w:val="00D81811"/>
    <w:rsid w:val="00D8190F"/>
    <w:rsid w:val="00D81988"/>
    <w:rsid w:val="00D81990"/>
    <w:rsid w:val="00D81BFA"/>
    <w:rsid w:val="00D81CE8"/>
    <w:rsid w:val="00D81E84"/>
    <w:rsid w:val="00D81F84"/>
    <w:rsid w:val="00D81FF9"/>
    <w:rsid w:val="00D82145"/>
    <w:rsid w:val="00D821A9"/>
    <w:rsid w:val="00D822FD"/>
    <w:rsid w:val="00D823CE"/>
    <w:rsid w:val="00D824F0"/>
    <w:rsid w:val="00D825CD"/>
    <w:rsid w:val="00D827C5"/>
    <w:rsid w:val="00D827DC"/>
    <w:rsid w:val="00D82857"/>
    <w:rsid w:val="00D828A9"/>
    <w:rsid w:val="00D828B3"/>
    <w:rsid w:val="00D829D6"/>
    <w:rsid w:val="00D82A7A"/>
    <w:rsid w:val="00D82ED0"/>
    <w:rsid w:val="00D82F3E"/>
    <w:rsid w:val="00D82FE0"/>
    <w:rsid w:val="00D830EC"/>
    <w:rsid w:val="00D8326E"/>
    <w:rsid w:val="00D832AA"/>
    <w:rsid w:val="00D8332A"/>
    <w:rsid w:val="00D83333"/>
    <w:rsid w:val="00D8336F"/>
    <w:rsid w:val="00D833DC"/>
    <w:rsid w:val="00D83422"/>
    <w:rsid w:val="00D83516"/>
    <w:rsid w:val="00D83645"/>
    <w:rsid w:val="00D83682"/>
    <w:rsid w:val="00D83690"/>
    <w:rsid w:val="00D836D0"/>
    <w:rsid w:val="00D8379E"/>
    <w:rsid w:val="00D83813"/>
    <w:rsid w:val="00D83847"/>
    <w:rsid w:val="00D838D4"/>
    <w:rsid w:val="00D83928"/>
    <w:rsid w:val="00D83933"/>
    <w:rsid w:val="00D83957"/>
    <w:rsid w:val="00D83A55"/>
    <w:rsid w:val="00D83A81"/>
    <w:rsid w:val="00D83AA8"/>
    <w:rsid w:val="00D83B1D"/>
    <w:rsid w:val="00D83C36"/>
    <w:rsid w:val="00D83D15"/>
    <w:rsid w:val="00D83E98"/>
    <w:rsid w:val="00D83EC1"/>
    <w:rsid w:val="00D83F98"/>
    <w:rsid w:val="00D84290"/>
    <w:rsid w:val="00D842D5"/>
    <w:rsid w:val="00D84306"/>
    <w:rsid w:val="00D84404"/>
    <w:rsid w:val="00D84415"/>
    <w:rsid w:val="00D844AD"/>
    <w:rsid w:val="00D846EA"/>
    <w:rsid w:val="00D847E6"/>
    <w:rsid w:val="00D8481E"/>
    <w:rsid w:val="00D8485B"/>
    <w:rsid w:val="00D84860"/>
    <w:rsid w:val="00D84C3A"/>
    <w:rsid w:val="00D84C6E"/>
    <w:rsid w:val="00D84CF7"/>
    <w:rsid w:val="00D84DAB"/>
    <w:rsid w:val="00D84DE0"/>
    <w:rsid w:val="00D84EA7"/>
    <w:rsid w:val="00D84EE4"/>
    <w:rsid w:val="00D851AC"/>
    <w:rsid w:val="00D851C3"/>
    <w:rsid w:val="00D85390"/>
    <w:rsid w:val="00D85438"/>
    <w:rsid w:val="00D8543C"/>
    <w:rsid w:val="00D85444"/>
    <w:rsid w:val="00D85491"/>
    <w:rsid w:val="00D856E1"/>
    <w:rsid w:val="00D857A9"/>
    <w:rsid w:val="00D8585E"/>
    <w:rsid w:val="00D85943"/>
    <w:rsid w:val="00D85C05"/>
    <w:rsid w:val="00D85E6D"/>
    <w:rsid w:val="00D85F90"/>
    <w:rsid w:val="00D860DA"/>
    <w:rsid w:val="00D860F1"/>
    <w:rsid w:val="00D860FD"/>
    <w:rsid w:val="00D86137"/>
    <w:rsid w:val="00D861DA"/>
    <w:rsid w:val="00D861E6"/>
    <w:rsid w:val="00D86236"/>
    <w:rsid w:val="00D86249"/>
    <w:rsid w:val="00D862CA"/>
    <w:rsid w:val="00D8630D"/>
    <w:rsid w:val="00D86352"/>
    <w:rsid w:val="00D86393"/>
    <w:rsid w:val="00D863E1"/>
    <w:rsid w:val="00D86481"/>
    <w:rsid w:val="00D864D2"/>
    <w:rsid w:val="00D864DA"/>
    <w:rsid w:val="00D86570"/>
    <w:rsid w:val="00D8667E"/>
    <w:rsid w:val="00D86796"/>
    <w:rsid w:val="00D867BE"/>
    <w:rsid w:val="00D8682F"/>
    <w:rsid w:val="00D86872"/>
    <w:rsid w:val="00D86938"/>
    <w:rsid w:val="00D869F4"/>
    <w:rsid w:val="00D86A82"/>
    <w:rsid w:val="00D86B51"/>
    <w:rsid w:val="00D86BB2"/>
    <w:rsid w:val="00D86C53"/>
    <w:rsid w:val="00D86C95"/>
    <w:rsid w:val="00D86DCC"/>
    <w:rsid w:val="00D86F41"/>
    <w:rsid w:val="00D86F50"/>
    <w:rsid w:val="00D86F86"/>
    <w:rsid w:val="00D870C3"/>
    <w:rsid w:val="00D870D2"/>
    <w:rsid w:val="00D87468"/>
    <w:rsid w:val="00D874B6"/>
    <w:rsid w:val="00D87517"/>
    <w:rsid w:val="00D87534"/>
    <w:rsid w:val="00D87705"/>
    <w:rsid w:val="00D877C1"/>
    <w:rsid w:val="00D877D1"/>
    <w:rsid w:val="00D87A4B"/>
    <w:rsid w:val="00D87C5F"/>
    <w:rsid w:val="00D87CD9"/>
    <w:rsid w:val="00D87DD0"/>
    <w:rsid w:val="00D901E5"/>
    <w:rsid w:val="00D902AC"/>
    <w:rsid w:val="00D90337"/>
    <w:rsid w:val="00D90614"/>
    <w:rsid w:val="00D90648"/>
    <w:rsid w:val="00D90753"/>
    <w:rsid w:val="00D9078D"/>
    <w:rsid w:val="00D907CB"/>
    <w:rsid w:val="00D907E0"/>
    <w:rsid w:val="00D907FE"/>
    <w:rsid w:val="00D90825"/>
    <w:rsid w:val="00D90832"/>
    <w:rsid w:val="00D908A2"/>
    <w:rsid w:val="00D909A4"/>
    <w:rsid w:val="00D90B68"/>
    <w:rsid w:val="00D90B73"/>
    <w:rsid w:val="00D90CBC"/>
    <w:rsid w:val="00D90D05"/>
    <w:rsid w:val="00D90D3F"/>
    <w:rsid w:val="00D90DED"/>
    <w:rsid w:val="00D90EA9"/>
    <w:rsid w:val="00D90EF3"/>
    <w:rsid w:val="00D9104D"/>
    <w:rsid w:val="00D910A4"/>
    <w:rsid w:val="00D912C9"/>
    <w:rsid w:val="00D914C4"/>
    <w:rsid w:val="00D91502"/>
    <w:rsid w:val="00D915A3"/>
    <w:rsid w:val="00D915CE"/>
    <w:rsid w:val="00D915F9"/>
    <w:rsid w:val="00D916A8"/>
    <w:rsid w:val="00D9173F"/>
    <w:rsid w:val="00D917AC"/>
    <w:rsid w:val="00D91933"/>
    <w:rsid w:val="00D919CA"/>
    <w:rsid w:val="00D919D2"/>
    <w:rsid w:val="00D91AB2"/>
    <w:rsid w:val="00D91B10"/>
    <w:rsid w:val="00D91B1E"/>
    <w:rsid w:val="00D91B6D"/>
    <w:rsid w:val="00D91B97"/>
    <w:rsid w:val="00D91DB4"/>
    <w:rsid w:val="00D91E2B"/>
    <w:rsid w:val="00D91E4E"/>
    <w:rsid w:val="00D91EC6"/>
    <w:rsid w:val="00D91FB3"/>
    <w:rsid w:val="00D92076"/>
    <w:rsid w:val="00D92103"/>
    <w:rsid w:val="00D92104"/>
    <w:rsid w:val="00D92254"/>
    <w:rsid w:val="00D9226A"/>
    <w:rsid w:val="00D92286"/>
    <w:rsid w:val="00D92459"/>
    <w:rsid w:val="00D924C6"/>
    <w:rsid w:val="00D92591"/>
    <w:rsid w:val="00D925C3"/>
    <w:rsid w:val="00D92634"/>
    <w:rsid w:val="00D927B9"/>
    <w:rsid w:val="00D927D1"/>
    <w:rsid w:val="00D92804"/>
    <w:rsid w:val="00D92815"/>
    <w:rsid w:val="00D92B8A"/>
    <w:rsid w:val="00D92CC9"/>
    <w:rsid w:val="00D92D68"/>
    <w:rsid w:val="00D92EDA"/>
    <w:rsid w:val="00D92F5D"/>
    <w:rsid w:val="00D9302E"/>
    <w:rsid w:val="00D93106"/>
    <w:rsid w:val="00D9321A"/>
    <w:rsid w:val="00D9326D"/>
    <w:rsid w:val="00D93499"/>
    <w:rsid w:val="00D934B8"/>
    <w:rsid w:val="00D935B0"/>
    <w:rsid w:val="00D937C9"/>
    <w:rsid w:val="00D937DA"/>
    <w:rsid w:val="00D93883"/>
    <w:rsid w:val="00D939D7"/>
    <w:rsid w:val="00D93AE1"/>
    <w:rsid w:val="00D93DEA"/>
    <w:rsid w:val="00D93F8B"/>
    <w:rsid w:val="00D93FCC"/>
    <w:rsid w:val="00D9413A"/>
    <w:rsid w:val="00D94159"/>
    <w:rsid w:val="00D942DB"/>
    <w:rsid w:val="00D94352"/>
    <w:rsid w:val="00D943B3"/>
    <w:rsid w:val="00D944D2"/>
    <w:rsid w:val="00D9452B"/>
    <w:rsid w:val="00D94639"/>
    <w:rsid w:val="00D9467E"/>
    <w:rsid w:val="00D9476E"/>
    <w:rsid w:val="00D947DE"/>
    <w:rsid w:val="00D9487E"/>
    <w:rsid w:val="00D94979"/>
    <w:rsid w:val="00D949A8"/>
    <w:rsid w:val="00D94AD3"/>
    <w:rsid w:val="00D94B7A"/>
    <w:rsid w:val="00D94C19"/>
    <w:rsid w:val="00D9512B"/>
    <w:rsid w:val="00D952EF"/>
    <w:rsid w:val="00D95461"/>
    <w:rsid w:val="00D9547E"/>
    <w:rsid w:val="00D95693"/>
    <w:rsid w:val="00D957FA"/>
    <w:rsid w:val="00D9591B"/>
    <w:rsid w:val="00D959F1"/>
    <w:rsid w:val="00D95A8E"/>
    <w:rsid w:val="00D95B9C"/>
    <w:rsid w:val="00D95C8F"/>
    <w:rsid w:val="00D95D2E"/>
    <w:rsid w:val="00D95F2F"/>
    <w:rsid w:val="00D95F7A"/>
    <w:rsid w:val="00D960B7"/>
    <w:rsid w:val="00D961E0"/>
    <w:rsid w:val="00D9621A"/>
    <w:rsid w:val="00D9634D"/>
    <w:rsid w:val="00D96354"/>
    <w:rsid w:val="00D9638C"/>
    <w:rsid w:val="00D9638D"/>
    <w:rsid w:val="00D96405"/>
    <w:rsid w:val="00D9664A"/>
    <w:rsid w:val="00D96721"/>
    <w:rsid w:val="00D96773"/>
    <w:rsid w:val="00D96777"/>
    <w:rsid w:val="00D9678D"/>
    <w:rsid w:val="00D967E3"/>
    <w:rsid w:val="00D968AD"/>
    <w:rsid w:val="00D968C9"/>
    <w:rsid w:val="00D968D3"/>
    <w:rsid w:val="00D96967"/>
    <w:rsid w:val="00D969EF"/>
    <w:rsid w:val="00D96AAC"/>
    <w:rsid w:val="00D96AFC"/>
    <w:rsid w:val="00D96BC5"/>
    <w:rsid w:val="00D96C16"/>
    <w:rsid w:val="00D96C66"/>
    <w:rsid w:val="00D96C87"/>
    <w:rsid w:val="00D96E9C"/>
    <w:rsid w:val="00D96F31"/>
    <w:rsid w:val="00D97027"/>
    <w:rsid w:val="00D97043"/>
    <w:rsid w:val="00D970C3"/>
    <w:rsid w:val="00D973F1"/>
    <w:rsid w:val="00D974A8"/>
    <w:rsid w:val="00D9761C"/>
    <w:rsid w:val="00D97811"/>
    <w:rsid w:val="00D97861"/>
    <w:rsid w:val="00D97882"/>
    <w:rsid w:val="00D97928"/>
    <w:rsid w:val="00D979EF"/>
    <w:rsid w:val="00D97AB6"/>
    <w:rsid w:val="00D97AC7"/>
    <w:rsid w:val="00D97C4F"/>
    <w:rsid w:val="00DA0142"/>
    <w:rsid w:val="00DA0201"/>
    <w:rsid w:val="00DA0224"/>
    <w:rsid w:val="00DA02E9"/>
    <w:rsid w:val="00DA030B"/>
    <w:rsid w:val="00DA043B"/>
    <w:rsid w:val="00DA04BD"/>
    <w:rsid w:val="00DA0685"/>
    <w:rsid w:val="00DA080D"/>
    <w:rsid w:val="00DA08AB"/>
    <w:rsid w:val="00DA0930"/>
    <w:rsid w:val="00DA0977"/>
    <w:rsid w:val="00DA0BCA"/>
    <w:rsid w:val="00DA0E0F"/>
    <w:rsid w:val="00DA0F2F"/>
    <w:rsid w:val="00DA1169"/>
    <w:rsid w:val="00DA11CD"/>
    <w:rsid w:val="00DA1240"/>
    <w:rsid w:val="00DA1302"/>
    <w:rsid w:val="00DA135C"/>
    <w:rsid w:val="00DA137C"/>
    <w:rsid w:val="00DA1469"/>
    <w:rsid w:val="00DA14C6"/>
    <w:rsid w:val="00DA1603"/>
    <w:rsid w:val="00DA177F"/>
    <w:rsid w:val="00DA1815"/>
    <w:rsid w:val="00DA18E4"/>
    <w:rsid w:val="00DA19A5"/>
    <w:rsid w:val="00DA19AA"/>
    <w:rsid w:val="00DA1AEC"/>
    <w:rsid w:val="00DA1E10"/>
    <w:rsid w:val="00DA1E21"/>
    <w:rsid w:val="00DA1E5B"/>
    <w:rsid w:val="00DA1E60"/>
    <w:rsid w:val="00DA1F5A"/>
    <w:rsid w:val="00DA2019"/>
    <w:rsid w:val="00DA218C"/>
    <w:rsid w:val="00DA2282"/>
    <w:rsid w:val="00DA2329"/>
    <w:rsid w:val="00DA238C"/>
    <w:rsid w:val="00DA2440"/>
    <w:rsid w:val="00DA24CE"/>
    <w:rsid w:val="00DA24DE"/>
    <w:rsid w:val="00DA24EA"/>
    <w:rsid w:val="00DA25BB"/>
    <w:rsid w:val="00DA26C8"/>
    <w:rsid w:val="00DA27B4"/>
    <w:rsid w:val="00DA27DD"/>
    <w:rsid w:val="00DA28DC"/>
    <w:rsid w:val="00DA2993"/>
    <w:rsid w:val="00DA2CB4"/>
    <w:rsid w:val="00DA2CC9"/>
    <w:rsid w:val="00DA2E31"/>
    <w:rsid w:val="00DA2E57"/>
    <w:rsid w:val="00DA30E7"/>
    <w:rsid w:val="00DA315F"/>
    <w:rsid w:val="00DA3225"/>
    <w:rsid w:val="00DA334B"/>
    <w:rsid w:val="00DA3463"/>
    <w:rsid w:val="00DA35BF"/>
    <w:rsid w:val="00DA364E"/>
    <w:rsid w:val="00DA3687"/>
    <w:rsid w:val="00DA369D"/>
    <w:rsid w:val="00DA36F8"/>
    <w:rsid w:val="00DA36F9"/>
    <w:rsid w:val="00DA371D"/>
    <w:rsid w:val="00DA3761"/>
    <w:rsid w:val="00DA3768"/>
    <w:rsid w:val="00DA3831"/>
    <w:rsid w:val="00DA389C"/>
    <w:rsid w:val="00DA38AE"/>
    <w:rsid w:val="00DA38F6"/>
    <w:rsid w:val="00DA3C65"/>
    <w:rsid w:val="00DA4061"/>
    <w:rsid w:val="00DA4187"/>
    <w:rsid w:val="00DA41B7"/>
    <w:rsid w:val="00DA428E"/>
    <w:rsid w:val="00DA47D6"/>
    <w:rsid w:val="00DA4831"/>
    <w:rsid w:val="00DA48AB"/>
    <w:rsid w:val="00DA4969"/>
    <w:rsid w:val="00DA4980"/>
    <w:rsid w:val="00DA49A3"/>
    <w:rsid w:val="00DA4A89"/>
    <w:rsid w:val="00DA4B09"/>
    <w:rsid w:val="00DA4BF7"/>
    <w:rsid w:val="00DA4C75"/>
    <w:rsid w:val="00DA4D16"/>
    <w:rsid w:val="00DA4DC9"/>
    <w:rsid w:val="00DA4E3B"/>
    <w:rsid w:val="00DA4F37"/>
    <w:rsid w:val="00DA513D"/>
    <w:rsid w:val="00DA5274"/>
    <w:rsid w:val="00DA548E"/>
    <w:rsid w:val="00DA54D4"/>
    <w:rsid w:val="00DA55A4"/>
    <w:rsid w:val="00DA575A"/>
    <w:rsid w:val="00DA5770"/>
    <w:rsid w:val="00DA5899"/>
    <w:rsid w:val="00DA58CB"/>
    <w:rsid w:val="00DA598E"/>
    <w:rsid w:val="00DA59E2"/>
    <w:rsid w:val="00DA5BA3"/>
    <w:rsid w:val="00DA5DDC"/>
    <w:rsid w:val="00DA5DDD"/>
    <w:rsid w:val="00DA5F4B"/>
    <w:rsid w:val="00DA5FB1"/>
    <w:rsid w:val="00DA5FF6"/>
    <w:rsid w:val="00DA6044"/>
    <w:rsid w:val="00DA60EE"/>
    <w:rsid w:val="00DA6143"/>
    <w:rsid w:val="00DA618F"/>
    <w:rsid w:val="00DA6259"/>
    <w:rsid w:val="00DA6277"/>
    <w:rsid w:val="00DA6379"/>
    <w:rsid w:val="00DA640A"/>
    <w:rsid w:val="00DA648F"/>
    <w:rsid w:val="00DA654F"/>
    <w:rsid w:val="00DA65A5"/>
    <w:rsid w:val="00DA6694"/>
    <w:rsid w:val="00DA669A"/>
    <w:rsid w:val="00DA6818"/>
    <w:rsid w:val="00DA6885"/>
    <w:rsid w:val="00DA68D1"/>
    <w:rsid w:val="00DA6BD8"/>
    <w:rsid w:val="00DA6C4C"/>
    <w:rsid w:val="00DA6C52"/>
    <w:rsid w:val="00DA6CD6"/>
    <w:rsid w:val="00DA6D68"/>
    <w:rsid w:val="00DA6D75"/>
    <w:rsid w:val="00DA6DAE"/>
    <w:rsid w:val="00DA6E06"/>
    <w:rsid w:val="00DA708A"/>
    <w:rsid w:val="00DA7171"/>
    <w:rsid w:val="00DA71F6"/>
    <w:rsid w:val="00DA7281"/>
    <w:rsid w:val="00DA7322"/>
    <w:rsid w:val="00DA7486"/>
    <w:rsid w:val="00DA75EB"/>
    <w:rsid w:val="00DA7752"/>
    <w:rsid w:val="00DA7789"/>
    <w:rsid w:val="00DA7801"/>
    <w:rsid w:val="00DA788F"/>
    <w:rsid w:val="00DA79B1"/>
    <w:rsid w:val="00DA7A88"/>
    <w:rsid w:val="00DA7BCA"/>
    <w:rsid w:val="00DA7CF7"/>
    <w:rsid w:val="00DA7E33"/>
    <w:rsid w:val="00DA7E3B"/>
    <w:rsid w:val="00DB01AE"/>
    <w:rsid w:val="00DB01B1"/>
    <w:rsid w:val="00DB01E4"/>
    <w:rsid w:val="00DB0492"/>
    <w:rsid w:val="00DB04EB"/>
    <w:rsid w:val="00DB07F7"/>
    <w:rsid w:val="00DB09E2"/>
    <w:rsid w:val="00DB09EE"/>
    <w:rsid w:val="00DB0C18"/>
    <w:rsid w:val="00DB0C9F"/>
    <w:rsid w:val="00DB0CFC"/>
    <w:rsid w:val="00DB0D19"/>
    <w:rsid w:val="00DB0D53"/>
    <w:rsid w:val="00DB0EC7"/>
    <w:rsid w:val="00DB0F1F"/>
    <w:rsid w:val="00DB0F4B"/>
    <w:rsid w:val="00DB0FB6"/>
    <w:rsid w:val="00DB100D"/>
    <w:rsid w:val="00DB10F7"/>
    <w:rsid w:val="00DB1771"/>
    <w:rsid w:val="00DB1804"/>
    <w:rsid w:val="00DB187B"/>
    <w:rsid w:val="00DB18F1"/>
    <w:rsid w:val="00DB1926"/>
    <w:rsid w:val="00DB1A0D"/>
    <w:rsid w:val="00DB1A35"/>
    <w:rsid w:val="00DB1A7D"/>
    <w:rsid w:val="00DB1ABE"/>
    <w:rsid w:val="00DB1AE2"/>
    <w:rsid w:val="00DB1CBE"/>
    <w:rsid w:val="00DB1CC5"/>
    <w:rsid w:val="00DB1CDE"/>
    <w:rsid w:val="00DB1D04"/>
    <w:rsid w:val="00DB1E9A"/>
    <w:rsid w:val="00DB1EA0"/>
    <w:rsid w:val="00DB200C"/>
    <w:rsid w:val="00DB21AE"/>
    <w:rsid w:val="00DB21C6"/>
    <w:rsid w:val="00DB22E6"/>
    <w:rsid w:val="00DB250B"/>
    <w:rsid w:val="00DB25C8"/>
    <w:rsid w:val="00DB280D"/>
    <w:rsid w:val="00DB2830"/>
    <w:rsid w:val="00DB29D0"/>
    <w:rsid w:val="00DB2AAD"/>
    <w:rsid w:val="00DB2B00"/>
    <w:rsid w:val="00DB2C01"/>
    <w:rsid w:val="00DB2CA4"/>
    <w:rsid w:val="00DB2D0C"/>
    <w:rsid w:val="00DB2D40"/>
    <w:rsid w:val="00DB2DB2"/>
    <w:rsid w:val="00DB2DF1"/>
    <w:rsid w:val="00DB2E80"/>
    <w:rsid w:val="00DB2F5D"/>
    <w:rsid w:val="00DB2F6E"/>
    <w:rsid w:val="00DB2FC9"/>
    <w:rsid w:val="00DB3022"/>
    <w:rsid w:val="00DB32D7"/>
    <w:rsid w:val="00DB3332"/>
    <w:rsid w:val="00DB34D7"/>
    <w:rsid w:val="00DB3691"/>
    <w:rsid w:val="00DB3698"/>
    <w:rsid w:val="00DB36B5"/>
    <w:rsid w:val="00DB376C"/>
    <w:rsid w:val="00DB37DE"/>
    <w:rsid w:val="00DB39E0"/>
    <w:rsid w:val="00DB39F3"/>
    <w:rsid w:val="00DB3AA9"/>
    <w:rsid w:val="00DB3B12"/>
    <w:rsid w:val="00DB3BD7"/>
    <w:rsid w:val="00DB3CEC"/>
    <w:rsid w:val="00DB3D53"/>
    <w:rsid w:val="00DB3EE8"/>
    <w:rsid w:val="00DB4031"/>
    <w:rsid w:val="00DB4096"/>
    <w:rsid w:val="00DB4250"/>
    <w:rsid w:val="00DB43BF"/>
    <w:rsid w:val="00DB4413"/>
    <w:rsid w:val="00DB44D8"/>
    <w:rsid w:val="00DB4507"/>
    <w:rsid w:val="00DB45ED"/>
    <w:rsid w:val="00DB4611"/>
    <w:rsid w:val="00DB461F"/>
    <w:rsid w:val="00DB4717"/>
    <w:rsid w:val="00DB4909"/>
    <w:rsid w:val="00DB4945"/>
    <w:rsid w:val="00DB4BF0"/>
    <w:rsid w:val="00DB4D34"/>
    <w:rsid w:val="00DB4D71"/>
    <w:rsid w:val="00DB4FAB"/>
    <w:rsid w:val="00DB532C"/>
    <w:rsid w:val="00DB532F"/>
    <w:rsid w:val="00DB53EB"/>
    <w:rsid w:val="00DB5614"/>
    <w:rsid w:val="00DB56B4"/>
    <w:rsid w:val="00DB57CB"/>
    <w:rsid w:val="00DB5936"/>
    <w:rsid w:val="00DB5A04"/>
    <w:rsid w:val="00DB5A8B"/>
    <w:rsid w:val="00DB5BB6"/>
    <w:rsid w:val="00DB5BCF"/>
    <w:rsid w:val="00DB5BDD"/>
    <w:rsid w:val="00DB5C93"/>
    <w:rsid w:val="00DB5D22"/>
    <w:rsid w:val="00DB5DEA"/>
    <w:rsid w:val="00DB5E0F"/>
    <w:rsid w:val="00DB603A"/>
    <w:rsid w:val="00DB613C"/>
    <w:rsid w:val="00DB61C1"/>
    <w:rsid w:val="00DB6489"/>
    <w:rsid w:val="00DB6832"/>
    <w:rsid w:val="00DB697B"/>
    <w:rsid w:val="00DB6C0A"/>
    <w:rsid w:val="00DB6CDA"/>
    <w:rsid w:val="00DB6DBA"/>
    <w:rsid w:val="00DB6E10"/>
    <w:rsid w:val="00DB6F1D"/>
    <w:rsid w:val="00DB7043"/>
    <w:rsid w:val="00DB707A"/>
    <w:rsid w:val="00DB7125"/>
    <w:rsid w:val="00DB7288"/>
    <w:rsid w:val="00DB737A"/>
    <w:rsid w:val="00DB749C"/>
    <w:rsid w:val="00DB74D0"/>
    <w:rsid w:val="00DB76EA"/>
    <w:rsid w:val="00DB76F3"/>
    <w:rsid w:val="00DB78ED"/>
    <w:rsid w:val="00DB79D5"/>
    <w:rsid w:val="00DB7B87"/>
    <w:rsid w:val="00DB7CBC"/>
    <w:rsid w:val="00DB7CFE"/>
    <w:rsid w:val="00DB7D5A"/>
    <w:rsid w:val="00DB7D82"/>
    <w:rsid w:val="00DB7DDC"/>
    <w:rsid w:val="00DB7E60"/>
    <w:rsid w:val="00DB7E9C"/>
    <w:rsid w:val="00DC0127"/>
    <w:rsid w:val="00DC0233"/>
    <w:rsid w:val="00DC028D"/>
    <w:rsid w:val="00DC02D9"/>
    <w:rsid w:val="00DC0329"/>
    <w:rsid w:val="00DC032A"/>
    <w:rsid w:val="00DC0354"/>
    <w:rsid w:val="00DC03A7"/>
    <w:rsid w:val="00DC04E2"/>
    <w:rsid w:val="00DC0502"/>
    <w:rsid w:val="00DC057E"/>
    <w:rsid w:val="00DC05C0"/>
    <w:rsid w:val="00DC067C"/>
    <w:rsid w:val="00DC0693"/>
    <w:rsid w:val="00DC074D"/>
    <w:rsid w:val="00DC07F2"/>
    <w:rsid w:val="00DC07FC"/>
    <w:rsid w:val="00DC0884"/>
    <w:rsid w:val="00DC0908"/>
    <w:rsid w:val="00DC0999"/>
    <w:rsid w:val="00DC0A18"/>
    <w:rsid w:val="00DC0ADA"/>
    <w:rsid w:val="00DC0B05"/>
    <w:rsid w:val="00DC0B4C"/>
    <w:rsid w:val="00DC0BD2"/>
    <w:rsid w:val="00DC1068"/>
    <w:rsid w:val="00DC1136"/>
    <w:rsid w:val="00DC128E"/>
    <w:rsid w:val="00DC12A2"/>
    <w:rsid w:val="00DC138F"/>
    <w:rsid w:val="00DC13D3"/>
    <w:rsid w:val="00DC1408"/>
    <w:rsid w:val="00DC1430"/>
    <w:rsid w:val="00DC1468"/>
    <w:rsid w:val="00DC19EC"/>
    <w:rsid w:val="00DC1A84"/>
    <w:rsid w:val="00DC1BB2"/>
    <w:rsid w:val="00DC1C09"/>
    <w:rsid w:val="00DC1C13"/>
    <w:rsid w:val="00DC1CAF"/>
    <w:rsid w:val="00DC1E71"/>
    <w:rsid w:val="00DC1EA6"/>
    <w:rsid w:val="00DC1F27"/>
    <w:rsid w:val="00DC1F55"/>
    <w:rsid w:val="00DC2331"/>
    <w:rsid w:val="00DC2377"/>
    <w:rsid w:val="00DC239E"/>
    <w:rsid w:val="00DC2544"/>
    <w:rsid w:val="00DC276A"/>
    <w:rsid w:val="00DC27CD"/>
    <w:rsid w:val="00DC293F"/>
    <w:rsid w:val="00DC2C0F"/>
    <w:rsid w:val="00DC2FB9"/>
    <w:rsid w:val="00DC30DA"/>
    <w:rsid w:val="00DC3194"/>
    <w:rsid w:val="00DC31B4"/>
    <w:rsid w:val="00DC3264"/>
    <w:rsid w:val="00DC3325"/>
    <w:rsid w:val="00DC332D"/>
    <w:rsid w:val="00DC334F"/>
    <w:rsid w:val="00DC343C"/>
    <w:rsid w:val="00DC3447"/>
    <w:rsid w:val="00DC34F1"/>
    <w:rsid w:val="00DC3657"/>
    <w:rsid w:val="00DC3686"/>
    <w:rsid w:val="00DC371E"/>
    <w:rsid w:val="00DC3781"/>
    <w:rsid w:val="00DC390A"/>
    <w:rsid w:val="00DC3998"/>
    <w:rsid w:val="00DC39C9"/>
    <w:rsid w:val="00DC3B06"/>
    <w:rsid w:val="00DC3B4E"/>
    <w:rsid w:val="00DC3BAE"/>
    <w:rsid w:val="00DC3BEA"/>
    <w:rsid w:val="00DC3E05"/>
    <w:rsid w:val="00DC3E6E"/>
    <w:rsid w:val="00DC3F4A"/>
    <w:rsid w:val="00DC3FCF"/>
    <w:rsid w:val="00DC41FB"/>
    <w:rsid w:val="00DC437E"/>
    <w:rsid w:val="00DC4841"/>
    <w:rsid w:val="00DC4AD1"/>
    <w:rsid w:val="00DC4BC5"/>
    <w:rsid w:val="00DC4D0B"/>
    <w:rsid w:val="00DC4DA3"/>
    <w:rsid w:val="00DC4E12"/>
    <w:rsid w:val="00DC4E20"/>
    <w:rsid w:val="00DC4E49"/>
    <w:rsid w:val="00DC4E5F"/>
    <w:rsid w:val="00DC4EE6"/>
    <w:rsid w:val="00DC4F79"/>
    <w:rsid w:val="00DC4F95"/>
    <w:rsid w:val="00DC50BC"/>
    <w:rsid w:val="00DC50C5"/>
    <w:rsid w:val="00DC53FF"/>
    <w:rsid w:val="00DC5480"/>
    <w:rsid w:val="00DC54EA"/>
    <w:rsid w:val="00DC57E7"/>
    <w:rsid w:val="00DC5907"/>
    <w:rsid w:val="00DC5A43"/>
    <w:rsid w:val="00DC5AA5"/>
    <w:rsid w:val="00DC5DAC"/>
    <w:rsid w:val="00DC5F22"/>
    <w:rsid w:val="00DC5F31"/>
    <w:rsid w:val="00DC6029"/>
    <w:rsid w:val="00DC6056"/>
    <w:rsid w:val="00DC606C"/>
    <w:rsid w:val="00DC6113"/>
    <w:rsid w:val="00DC6125"/>
    <w:rsid w:val="00DC636F"/>
    <w:rsid w:val="00DC63FF"/>
    <w:rsid w:val="00DC64B4"/>
    <w:rsid w:val="00DC64CF"/>
    <w:rsid w:val="00DC64F9"/>
    <w:rsid w:val="00DC65D7"/>
    <w:rsid w:val="00DC660D"/>
    <w:rsid w:val="00DC6640"/>
    <w:rsid w:val="00DC66B1"/>
    <w:rsid w:val="00DC6761"/>
    <w:rsid w:val="00DC68C7"/>
    <w:rsid w:val="00DC6BE7"/>
    <w:rsid w:val="00DC6F62"/>
    <w:rsid w:val="00DC70B2"/>
    <w:rsid w:val="00DC7140"/>
    <w:rsid w:val="00DC714C"/>
    <w:rsid w:val="00DC71D8"/>
    <w:rsid w:val="00DC723A"/>
    <w:rsid w:val="00DC724F"/>
    <w:rsid w:val="00DC764E"/>
    <w:rsid w:val="00DC770C"/>
    <w:rsid w:val="00DC7927"/>
    <w:rsid w:val="00DC7999"/>
    <w:rsid w:val="00DC7AE6"/>
    <w:rsid w:val="00DC7B01"/>
    <w:rsid w:val="00DC7B86"/>
    <w:rsid w:val="00DC7D60"/>
    <w:rsid w:val="00DC7E46"/>
    <w:rsid w:val="00DC7F2F"/>
    <w:rsid w:val="00DC7FA4"/>
    <w:rsid w:val="00DD0056"/>
    <w:rsid w:val="00DD0205"/>
    <w:rsid w:val="00DD0219"/>
    <w:rsid w:val="00DD0395"/>
    <w:rsid w:val="00DD04A0"/>
    <w:rsid w:val="00DD05C7"/>
    <w:rsid w:val="00DD0655"/>
    <w:rsid w:val="00DD0796"/>
    <w:rsid w:val="00DD0A25"/>
    <w:rsid w:val="00DD0B41"/>
    <w:rsid w:val="00DD0B70"/>
    <w:rsid w:val="00DD0CE0"/>
    <w:rsid w:val="00DD0D49"/>
    <w:rsid w:val="00DD0D5E"/>
    <w:rsid w:val="00DD0D88"/>
    <w:rsid w:val="00DD0E4F"/>
    <w:rsid w:val="00DD0E55"/>
    <w:rsid w:val="00DD0F02"/>
    <w:rsid w:val="00DD0F36"/>
    <w:rsid w:val="00DD0F3B"/>
    <w:rsid w:val="00DD10F0"/>
    <w:rsid w:val="00DD1238"/>
    <w:rsid w:val="00DD129C"/>
    <w:rsid w:val="00DD1379"/>
    <w:rsid w:val="00DD14BC"/>
    <w:rsid w:val="00DD188E"/>
    <w:rsid w:val="00DD18B5"/>
    <w:rsid w:val="00DD1959"/>
    <w:rsid w:val="00DD1AE2"/>
    <w:rsid w:val="00DD1BA3"/>
    <w:rsid w:val="00DD1C01"/>
    <w:rsid w:val="00DD1C75"/>
    <w:rsid w:val="00DD1CC2"/>
    <w:rsid w:val="00DD1D4A"/>
    <w:rsid w:val="00DD1ED9"/>
    <w:rsid w:val="00DD1F3C"/>
    <w:rsid w:val="00DD1F64"/>
    <w:rsid w:val="00DD1F6C"/>
    <w:rsid w:val="00DD2029"/>
    <w:rsid w:val="00DD205B"/>
    <w:rsid w:val="00DD21BC"/>
    <w:rsid w:val="00DD21D7"/>
    <w:rsid w:val="00DD227E"/>
    <w:rsid w:val="00DD231E"/>
    <w:rsid w:val="00DD233A"/>
    <w:rsid w:val="00DD240C"/>
    <w:rsid w:val="00DD2422"/>
    <w:rsid w:val="00DD2490"/>
    <w:rsid w:val="00DD25E4"/>
    <w:rsid w:val="00DD27D6"/>
    <w:rsid w:val="00DD290C"/>
    <w:rsid w:val="00DD291D"/>
    <w:rsid w:val="00DD299C"/>
    <w:rsid w:val="00DD29F1"/>
    <w:rsid w:val="00DD2BDB"/>
    <w:rsid w:val="00DD2CBA"/>
    <w:rsid w:val="00DD2DCC"/>
    <w:rsid w:val="00DD2DF8"/>
    <w:rsid w:val="00DD2E21"/>
    <w:rsid w:val="00DD2FDF"/>
    <w:rsid w:val="00DD3047"/>
    <w:rsid w:val="00DD30FF"/>
    <w:rsid w:val="00DD3309"/>
    <w:rsid w:val="00DD3330"/>
    <w:rsid w:val="00DD36B9"/>
    <w:rsid w:val="00DD36E8"/>
    <w:rsid w:val="00DD3787"/>
    <w:rsid w:val="00DD3887"/>
    <w:rsid w:val="00DD39DB"/>
    <w:rsid w:val="00DD3BB6"/>
    <w:rsid w:val="00DD3BF6"/>
    <w:rsid w:val="00DD3C30"/>
    <w:rsid w:val="00DD3D62"/>
    <w:rsid w:val="00DD3D71"/>
    <w:rsid w:val="00DD3EB7"/>
    <w:rsid w:val="00DD3FD6"/>
    <w:rsid w:val="00DD4019"/>
    <w:rsid w:val="00DD4070"/>
    <w:rsid w:val="00DD410D"/>
    <w:rsid w:val="00DD4134"/>
    <w:rsid w:val="00DD414C"/>
    <w:rsid w:val="00DD415B"/>
    <w:rsid w:val="00DD41D2"/>
    <w:rsid w:val="00DD4369"/>
    <w:rsid w:val="00DD43E8"/>
    <w:rsid w:val="00DD47D9"/>
    <w:rsid w:val="00DD47E1"/>
    <w:rsid w:val="00DD4A22"/>
    <w:rsid w:val="00DD4C30"/>
    <w:rsid w:val="00DD4C58"/>
    <w:rsid w:val="00DD4E81"/>
    <w:rsid w:val="00DD5042"/>
    <w:rsid w:val="00DD511C"/>
    <w:rsid w:val="00DD515F"/>
    <w:rsid w:val="00DD5192"/>
    <w:rsid w:val="00DD51AA"/>
    <w:rsid w:val="00DD51EE"/>
    <w:rsid w:val="00DD54A1"/>
    <w:rsid w:val="00DD55B2"/>
    <w:rsid w:val="00DD55ED"/>
    <w:rsid w:val="00DD575E"/>
    <w:rsid w:val="00DD57D6"/>
    <w:rsid w:val="00DD5883"/>
    <w:rsid w:val="00DD596D"/>
    <w:rsid w:val="00DD5BBD"/>
    <w:rsid w:val="00DD5F10"/>
    <w:rsid w:val="00DD5FB1"/>
    <w:rsid w:val="00DD6017"/>
    <w:rsid w:val="00DD6168"/>
    <w:rsid w:val="00DD618A"/>
    <w:rsid w:val="00DD61D3"/>
    <w:rsid w:val="00DD626C"/>
    <w:rsid w:val="00DD637C"/>
    <w:rsid w:val="00DD64CD"/>
    <w:rsid w:val="00DD64DE"/>
    <w:rsid w:val="00DD6646"/>
    <w:rsid w:val="00DD66E1"/>
    <w:rsid w:val="00DD6733"/>
    <w:rsid w:val="00DD6AE3"/>
    <w:rsid w:val="00DD6C78"/>
    <w:rsid w:val="00DD6CEF"/>
    <w:rsid w:val="00DD6D48"/>
    <w:rsid w:val="00DD6EE6"/>
    <w:rsid w:val="00DD704D"/>
    <w:rsid w:val="00DD718D"/>
    <w:rsid w:val="00DD7228"/>
    <w:rsid w:val="00DD72BA"/>
    <w:rsid w:val="00DD7318"/>
    <w:rsid w:val="00DD73D6"/>
    <w:rsid w:val="00DD751C"/>
    <w:rsid w:val="00DD7530"/>
    <w:rsid w:val="00DD763A"/>
    <w:rsid w:val="00DD763D"/>
    <w:rsid w:val="00DD79E3"/>
    <w:rsid w:val="00DD7B46"/>
    <w:rsid w:val="00DD7D13"/>
    <w:rsid w:val="00DD7D7C"/>
    <w:rsid w:val="00DD7DDC"/>
    <w:rsid w:val="00DD7E18"/>
    <w:rsid w:val="00DD7E2A"/>
    <w:rsid w:val="00DE003B"/>
    <w:rsid w:val="00DE0149"/>
    <w:rsid w:val="00DE0384"/>
    <w:rsid w:val="00DE03A0"/>
    <w:rsid w:val="00DE03E6"/>
    <w:rsid w:val="00DE068B"/>
    <w:rsid w:val="00DE06ED"/>
    <w:rsid w:val="00DE0949"/>
    <w:rsid w:val="00DE0A5D"/>
    <w:rsid w:val="00DE0ABB"/>
    <w:rsid w:val="00DE0B16"/>
    <w:rsid w:val="00DE0DA2"/>
    <w:rsid w:val="00DE0DBD"/>
    <w:rsid w:val="00DE0DF8"/>
    <w:rsid w:val="00DE0E07"/>
    <w:rsid w:val="00DE0E8B"/>
    <w:rsid w:val="00DE0EBE"/>
    <w:rsid w:val="00DE0ED8"/>
    <w:rsid w:val="00DE128E"/>
    <w:rsid w:val="00DE12D6"/>
    <w:rsid w:val="00DE13CF"/>
    <w:rsid w:val="00DE1458"/>
    <w:rsid w:val="00DE1699"/>
    <w:rsid w:val="00DE16BF"/>
    <w:rsid w:val="00DE19AA"/>
    <w:rsid w:val="00DE1BF7"/>
    <w:rsid w:val="00DE1C11"/>
    <w:rsid w:val="00DE1C45"/>
    <w:rsid w:val="00DE1CC1"/>
    <w:rsid w:val="00DE1CFD"/>
    <w:rsid w:val="00DE1ED5"/>
    <w:rsid w:val="00DE205E"/>
    <w:rsid w:val="00DE206F"/>
    <w:rsid w:val="00DE2093"/>
    <w:rsid w:val="00DE229F"/>
    <w:rsid w:val="00DE235A"/>
    <w:rsid w:val="00DE2401"/>
    <w:rsid w:val="00DE2469"/>
    <w:rsid w:val="00DE2586"/>
    <w:rsid w:val="00DE2758"/>
    <w:rsid w:val="00DE279C"/>
    <w:rsid w:val="00DE27F1"/>
    <w:rsid w:val="00DE2810"/>
    <w:rsid w:val="00DE2979"/>
    <w:rsid w:val="00DE2AE3"/>
    <w:rsid w:val="00DE2C6E"/>
    <w:rsid w:val="00DE2D29"/>
    <w:rsid w:val="00DE2D8B"/>
    <w:rsid w:val="00DE2F06"/>
    <w:rsid w:val="00DE2FA1"/>
    <w:rsid w:val="00DE2FA7"/>
    <w:rsid w:val="00DE30BF"/>
    <w:rsid w:val="00DE31C2"/>
    <w:rsid w:val="00DE322E"/>
    <w:rsid w:val="00DE335F"/>
    <w:rsid w:val="00DE33A7"/>
    <w:rsid w:val="00DE3567"/>
    <w:rsid w:val="00DE360A"/>
    <w:rsid w:val="00DE3735"/>
    <w:rsid w:val="00DE376D"/>
    <w:rsid w:val="00DE39B1"/>
    <w:rsid w:val="00DE39BA"/>
    <w:rsid w:val="00DE3C90"/>
    <w:rsid w:val="00DE3FDE"/>
    <w:rsid w:val="00DE40B0"/>
    <w:rsid w:val="00DE4384"/>
    <w:rsid w:val="00DE452E"/>
    <w:rsid w:val="00DE45A2"/>
    <w:rsid w:val="00DE48DB"/>
    <w:rsid w:val="00DE4A7D"/>
    <w:rsid w:val="00DE4AE0"/>
    <w:rsid w:val="00DE4CE6"/>
    <w:rsid w:val="00DE4D82"/>
    <w:rsid w:val="00DE52B6"/>
    <w:rsid w:val="00DE563E"/>
    <w:rsid w:val="00DE5762"/>
    <w:rsid w:val="00DE584C"/>
    <w:rsid w:val="00DE58E6"/>
    <w:rsid w:val="00DE5A40"/>
    <w:rsid w:val="00DE5B9E"/>
    <w:rsid w:val="00DE5BD8"/>
    <w:rsid w:val="00DE5CF6"/>
    <w:rsid w:val="00DE5CFB"/>
    <w:rsid w:val="00DE5EF4"/>
    <w:rsid w:val="00DE5EF8"/>
    <w:rsid w:val="00DE5F60"/>
    <w:rsid w:val="00DE5F7D"/>
    <w:rsid w:val="00DE60D8"/>
    <w:rsid w:val="00DE6171"/>
    <w:rsid w:val="00DE632D"/>
    <w:rsid w:val="00DE6570"/>
    <w:rsid w:val="00DE665E"/>
    <w:rsid w:val="00DE6713"/>
    <w:rsid w:val="00DE6800"/>
    <w:rsid w:val="00DE6AA8"/>
    <w:rsid w:val="00DE6BAC"/>
    <w:rsid w:val="00DE6C8E"/>
    <w:rsid w:val="00DE6D66"/>
    <w:rsid w:val="00DE6D99"/>
    <w:rsid w:val="00DE6D9D"/>
    <w:rsid w:val="00DE6DBD"/>
    <w:rsid w:val="00DE6E6E"/>
    <w:rsid w:val="00DE6F18"/>
    <w:rsid w:val="00DE6F1C"/>
    <w:rsid w:val="00DE6FA5"/>
    <w:rsid w:val="00DE701E"/>
    <w:rsid w:val="00DE72E3"/>
    <w:rsid w:val="00DE72F7"/>
    <w:rsid w:val="00DE73EC"/>
    <w:rsid w:val="00DE7561"/>
    <w:rsid w:val="00DE7791"/>
    <w:rsid w:val="00DE797F"/>
    <w:rsid w:val="00DE7B6C"/>
    <w:rsid w:val="00DE7C0C"/>
    <w:rsid w:val="00DE7CD4"/>
    <w:rsid w:val="00DE7CF4"/>
    <w:rsid w:val="00DE7D04"/>
    <w:rsid w:val="00DE7D2C"/>
    <w:rsid w:val="00DE7E69"/>
    <w:rsid w:val="00DE7F62"/>
    <w:rsid w:val="00DE7F94"/>
    <w:rsid w:val="00DE7F95"/>
    <w:rsid w:val="00DE7FAC"/>
    <w:rsid w:val="00DF0165"/>
    <w:rsid w:val="00DF01C8"/>
    <w:rsid w:val="00DF0650"/>
    <w:rsid w:val="00DF0817"/>
    <w:rsid w:val="00DF0869"/>
    <w:rsid w:val="00DF09F8"/>
    <w:rsid w:val="00DF0DE3"/>
    <w:rsid w:val="00DF0DE8"/>
    <w:rsid w:val="00DF0E8B"/>
    <w:rsid w:val="00DF0FF6"/>
    <w:rsid w:val="00DF101A"/>
    <w:rsid w:val="00DF11B0"/>
    <w:rsid w:val="00DF1218"/>
    <w:rsid w:val="00DF1263"/>
    <w:rsid w:val="00DF126C"/>
    <w:rsid w:val="00DF12C7"/>
    <w:rsid w:val="00DF131B"/>
    <w:rsid w:val="00DF1420"/>
    <w:rsid w:val="00DF1526"/>
    <w:rsid w:val="00DF152C"/>
    <w:rsid w:val="00DF16A4"/>
    <w:rsid w:val="00DF16A6"/>
    <w:rsid w:val="00DF170D"/>
    <w:rsid w:val="00DF1731"/>
    <w:rsid w:val="00DF1735"/>
    <w:rsid w:val="00DF1B2E"/>
    <w:rsid w:val="00DF1B76"/>
    <w:rsid w:val="00DF1CAD"/>
    <w:rsid w:val="00DF1CB2"/>
    <w:rsid w:val="00DF1FF5"/>
    <w:rsid w:val="00DF21B2"/>
    <w:rsid w:val="00DF21EF"/>
    <w:rsid w:val="00DF2357"/>
    <w:rsid w:val="00DF24CD"/>
    <w:rsid w:val="00DF2527"/>
    <w:rsid w:val="00DF2550"/>
    <w:rsid w:val="00DF283E"/>
    <w:rsid w:val="00DF2886"/>
    <w:rsid w:val="00DF2997"/>
    <w:rsid w:val="00DF2A90"/>
    <w:rsid w:val="00DF2A9E"/>
    <w:rsid w:val="00DF2D08"/>
    <w:rsid w:val="00DF2D5E"/>
    <w:rsid w:val="00DF2D84"/>
    <w:rsid w:val="00DF2DF4"/>
    <w:rsid w:val="00DF2E5F"/>
    <w:rsid w:val="00DF2EF0"/>
    <w:rsid w:val="00DF2EFD"/>
    <w:rsid w:val="00DF3053"/>
    <w:rsid w:val="00DF30AE"/>
    <w:rsid w:val="00DF3290"/>
    <w:rsid w:val="00DF3297"/>
    <w:rsid w:val="00DF335F"/>
    <w:rsid w:val="00DF35FB"/>
    <w:rsid w:val="00DF3630"/>
    <w:rsid w:val="00DF376A"/>
    <w:rsid w:val="00DF398E"/>
    <w:rsid w:val="00DF39A3"/>
    <w:rsid w:val="00DF39A5"/>
    <w:rsid w:val="00DF39B4"/>
    <w:rsid w:val="00DF3EEB"/>
    <w:rsid w:val="00DF41CC"/>
    <w:rsid w:val="00DF41E0"/>
    <w:rsid w:val="00DF4256"/>
    <w:rsid w:val="00DF4296"/>
    <w:rsid w:val="00DF42BA"/>
    <w:rsid w:val="00DF44B2"/>
    <w:rsid w:val="00DF469B"/>
    <w:rsid w:val="00DF46A7"/>
    <w:rsid w:val="00DF4732"/>
    <w:rsid w:val="00DF4850"/>
    <w:rsid w:val="00DF4929"/>
    <w:rsid w:val="00DF4B0B"/>
    <w:rsid w:val="00DF4CE5"/>
    <w:rsid w:val="00DF4CF6"/>
    <w:rsid w:val="00DF4DE3"/>
    <w:rsid w:val="00DF4F3F"/>
    <w:rsid w:val="00DF4F87"/>
    <w:rsid w:val="00DF52A6"/>
    <w:rsid w:val="00DF53F1"/>
    <w:rsid w:val="00DF559F"/>
    <w:rsid w:val="00DF5662"/>
    <w:rsid w:val="00DF56D3"/>
    <w:rsid w:val="00DF5912"/>
    <w:rsid w:val="00DF5ACC"/>
    <w:rsid w:val="00DF5BF6"/>
    <w:rsid w:val="00DF5C5D"/>
    <w:rsid w:val="00DF5C76"/>
    <w:rsid w:val="00DF5C85"/>
    <w:rsid w:val="00DF5D39"/>
    <w:rsid w:val="00DF5DB8"/>
    <w:rsid w:val="00DF5E54"/>
    <w:rsid w:val="00DF5E6B"/>
    <w:rsid w:val="00DF5E8F"/>
    <w:rsid w:val="00DF5EEB"/>
    <w:rsid w:val="00DF61DE"/>
    <w:rsid w:val="00DF61F1"/>
    <w:rsid w:val="00DF62FC"/>
    <w:rsid w:val="00DF6371"/>
    <w:rsid w:val="00DF63C2"/>
    <w:rsid w:val="00DF6544"/>
    <w:rsid w:val="00DF6698"/>
    <w:rsid w:val="00DF66DC"/>
    <w:rsid w:val="00DF66F7"/>
    <w:rsid w:val="00DF68B8"/>
    <w:rsid w:val="00DF6A8B"/>
    <w:rsid w:val="00DF6B56"/>
    <w:rsid w:val="00DF6B74"/>
    <w:rsid w:val="00DF6DE8"/>
    <w:rsid w:val="00DF6E23"/>
    <w:rsid w:val="00DF6E3A"/>
    <w:rsid w:val="00DF6F1B"/>
    <w:rsid w:val="00DF7034"/>
    <w:rsid w:val="00DF708A"/>
    <w:rsid w:val="00DF712B"/>
    <w:rsid w:val="00DF724B"/>
    <w:rsid w:val="00DF7291"/>
    <w:rsid w:val="00DF731B"/>
    <w:rsid w:val="00DF7354"/>
    <w:rsid w:val="00DF73F5"/>
    <w:rsid w:val="00DF75D8"/>
    <w:rsid w:val="00DF7759"/>
    <w:rsid w:val="00DF7810"/>
    <w:rsid w:val="00DF7827"/>
    <w:rsid w:val="00DF7980"/>
    <w:rsid w:val="00DF7988"/>
    <w:rsid w:val="00DF7AA6"/>
    <w:rsid w:val="00DF7C81"/>
    <w:rsid w:val="00DF7D84"/>
    <w:rsid w:val="00DF7EDD"/>
    <w:rsid w:val="00E00606"/>
    <w:rsid w:val="00E0075C"/>
    <w:rsid w:val="00E00891"/>
    <w:rsid w:val="00E008FD"/>
    <w:rsid w:val="00E00A9C"/>
    <w:rsid w:val="00E00D05"/>
    <w:rsid w:val="00E00D79"/>
    <w:rsid w:val="00E00D9B"/>
    <w:rsid w:val="00E00D9C"/>
    <w:rsid w:val="00E00E74"/>
    <w:rsid w:val="00E00FC4"/>
    <w:rsid w:val="00E0118B"/>
    <w:rsid w:val="00E01262"/>
    <w:rsid w:val="00E01851"/>
    <w:rsid w:val="00E01940"/>
    <w:rsid w:val="00E01CE6"/>
    <w:rsid w:val="00E01D64"/>
    <w:rsid w:val="00E01E98"/>
    <w:rsid w:val="00E01F21"/>
    <w:rsid w:val="00E01FFE"/>
    <w:rsid w:val="00E0235C"/>
    <w:rsid w:val="00E023BC"/>
    <w:rsid w:val="00E026F9"/>
    <w:rsid w:val="00E027D1"/>
    <w:rsid w:val="00E027DE"/>
    <w:rsid w:val="00E02802"/>
    <w:rsid w:val="00E0288E"/>
    <w:rsid w:val="00E02955"/>
    <w:rsid w:val="00E029AF"/>
    <w:rsid w:val="00E029DF"/>
    <w:rsid w:val="00E02BA9"/>
    <w:rsid w:val="00E02D89"/>
    <w:rsid w:val="00E02E58"/>
    <w:rsid w:val="00E02E85"/>
    <w:rsid w:val="00E02E8D"/>
    <w:rsid w:val="00E02FC3"/>
    <w:rsid w:val="00E02FE9"/>
    <w:rsid w:val="00E03030"/>
    <w:rsid w:val="00E031AB"/>
    <w:rsid w:val="00E0320D"/>
    <w:rsid w:val="00E03241"/>
    <w:rsid w:val="00E0334C"/>
    <w:rsid w:val="00E033A5"/>
    <w:rsid w:val="00E0340A"/>
    <w:rsid w:val="00E034BE"/>
    <w:rsid w:val="00E0357B"/>
    <w:rsid w:val="00E03789"/>
    <w:rsid w:val="00E037BE"/>
    <w:rsid w:val="00E03843"/>
    <w:rsid w:val="00E03879"/>
    <w:rsid w:val="00E039D3"/>
    <w:rsid w:val="00E03CE7"/>
    <w:rsid w:val="00E03D89"/>
    <w:rsid w:val="00E03DFC"/>
    <w:rsid w:val="00E03E7A"/>
    <w:rsid w:val="00E03EF8"/>
    <w:rsid w:val="00E03F3B"/>
    <w:rsid w:val="00E04043"/>
    <w:rsid w:val="00E0405F"/>
    <w:rsid w:val="00E041C6"/>
    <w:rsid w:val="00E04317"/>
    <w:rsid w:val="00E04349"/>
    <w:rsid w:val="00E0441A"/>
    <w:rsid w:val="00E0457F"/>
    <w:rsid w:val="00E045D8"/>
    <w:rsid w:val="00E04655"/>
    <w:rsid w:val="00E046DE"/>
    <w:rsid w:val="00E0479B"/>
    <w:rsid w:val="00E04988"/>
    <w:rsid w:val="00E04B33"/>
    <w:rsid w:val="00E04D0C"/>
    <w:rsid w:val="00E04DBF"/>
    <w:rsid w:val="00E04DC6"/>
    <w:rsid w:val="00E04EC3"/>
    <w:rsid w:val="00E05077"/>
    <w:rsid w:val="00E051EA"/>
    <w:rsid w:val="00E052F2"/>
    <w:rsid w:val="00E05415"/>
    <w:rsid w:val="00E054E2"/>
    <w:rsid w:val="00E05689"/>
    <w:rsid w:val="00E056FB"/>
    <w:rsid w:val="00E05816"/>
    <w:rsid w:val="00E05A50"/>
    <w:rsid w:val="00E05AE0"/>
    <w:rsid w:val="00E05BE2"/>
    <w:rsid w:val="00E05DB0"/>
    <w:rsid w:val="00E05E1C"/>
    <w:rsid w:val="00E05E86"/>
    <w:rsid w:val="00E05FBE"/>
    <w:rsid w:val="00E0601D"/>
    <w:rsid w:val="00E06057"/>
    <w:rsid w:val="00E060F2"/>
    <w:rsid w:val="00E061CF"/>
    <w:rsid w:val="00E0625C"/>
    <w:rsid w:val="00E06486"/>
    <w:rsid w:val="00E06536"/>
    <w:rsid w:val="00E06809"/>
    <w:rsid w:val="00E0685D"/>
    <w:rsid w:val="00E06A3C"/>
    <w:rsid w:val="00E06A48"/>
    <w:rsid w:val="00E06B41"/>
    <w:rsid w:val="00E06C9C"/>
    <w:rsid w:val="00E06CF2"/>
    <w:rsid w:val="00E06DBC"/>
    <w:rsid w:val="00E06E54"/>
    <w:rsid w:val="00E06F5B"/>
    <w:rsid w:val="00E06F8D"/>
    <w:rsid w:val="00E071D6"/>
    <w:rsid w:val="00E07251"/>
    <w:rsid w:val="00E0731E"/>
    <w:rsid w:val="00E074FF"/>
    <w:rsid w:val="00E076F4"/>
    <w:rsid w:val="00E077E4"/>
    <w:rsid w:val="00E077FF"/>
    <w:rsid w:val="00E07A42"/>
    <w:rsid w:val="00E07AF7"/>
    <w:rsid w:val="00E07B40"/>
    <w:rsid w:val="00E07C7D"/>
    <w:rsid w:val="00E07F9D"/>
    <w:rsid w:val="00E101BD"/>
    <w:rsid w:val="00E101E9"/>
    <w:rsid w:val="00E102FA"/>
    <w:rsid w:val="00E10494"/>
    <w:rsid w:val="00E104A7"/>
    <w:rsid w:val="00E104D9"/>
    <w:rsid w:val="00E106BB"/>
    <w:rsid w:val="00E10A4E"/>
    <w:rsid w:val="00E10C15"/>
    <w:rsid w:val="00E10CB7"/>
    <w:rsid w:val="00E10D86"/>
    <w:rsid w:val="00E10E70"/>
    <w:rsid w:val="00E1114A"/>
    <w:rsid w:val="00E11335"/>
    <w:rsid w:val="00E11594"/>
    <w:rsid w:val="00E115A8"/>
    <w:rsid w:val="00E115AB"/>
    <w:rsid w:val="00E116F0"/>
    <w:rsid w:val="00E11705"/>
    <w:rsid w:val="00E11845"/>
    <w:rsid w:val="00E11A10"/>
    <w:rsid w:val="00E11AB7"/>
    <w:rsid w:val="00E11B35"/>
    <w:rsid w:val="00E11CAD"/>
    <w:rsid w:val="00E11D94"/>
    <w:rsid w:val="00E11D95"/>
    <w:rsid w:val="00E11DB9"/>
    <w:rsid w:val="00E11F49"/>
    <w:rsid w:val="00E12053"/>
    <w:rsid w:val="00E12059"/>
    <w:rsid w:val="00E120D1"/>
    <w:rsid w:val="00E12221"/>
    <w:rsid w:val="00E12496"/>
    <w:rsid w:val="00E12578"/>
    <w:rsid w:val="00E126C5"/>
    <w:rsid w:val="00E1274E"/>
    <w:rsid w:val="00E1280B"/>
    <w:rsid w:val="00E128F6"/>
    <w:rsid w:val="00E129A9"/>
    <w:rsid w:val="00E12C9B"/>
    <w:rsid w:val="00E12D45"/>
    <w:rsid w:val="00E12F58"/>
    <w:rsid w:val="00E12FBE"/>
    <w:rsid w:val="00E13018"/>
    <w:rsid w:val="00E13090"/>
    <w:rsid w:val="00E131DE"/>
    <w:rsid w:val="00E1358B"/>
    <w:rsid w:val="00E13684"/>
    <w:rsid w:val="00E13791"/>
    <w:rsid w:val="00E137BA"/>
    <w:rsid w:val="00E137EA"/>
    <w:rsid w:val="00E13B65"/>
    <w:rsid w:val="00E13BD5"/>
    <w:rsid w:val="00E13BD6"/>
    <w:rsid w:val="00E13C5C"/>
    <w:rsid w:val="00E13D4F"/>
    <w:rsid w:val="00E13D55"/>
    <w:rsid w:val="00E13F92"/>
    <w:rsid w:val="00E1401E"/>
    <w:rsid w:val="00E14132"/>
    <w:rsid w:val="00E14145"/>
    <w:rsid w:val="00E142BF"/>
    <w:rsid w:val="00E1432C"/>
    <w:rsid w:val="00E1436A"/>
    <w:rsid w:val="00E143B1"/>
    <w:rsid w:val="00E144A2"/>
    <w:rsid w:val="00E14642"/>
    <w:rsid w:val="00E14690"/>
    <w:rsid w:val="00E146A1"/>
    <w:rsid w:val="00E14771"/>
    <w:rsid w:val="00E14779"/>
    <w:rsid w:val="00E14794"/>
    <w:rsid w:val="00E147A5"/>
    <w:rsid w:val="00E148B9"/>
    <w:rsid w:val="00E14926"/>
    <w:rsid w:val="00E1499E"/>
    <w:rsid w:val="00E14A29"/>
    <w:rsid w:val="00E14A2B"/>
    <w:rsid w:val="00E14A2F"/>
    <w:rsid w:val="00E14AA2"/>
    <w:rsid w:val="00E14B37"/>
    <w:rsid w:val="00E14C13"/>
    <w:rsid w:val="00E14CC4"/>
    <w:rsid w:val="00E14E87"/>
    <w:rsid w:val="00E14F27"/>
    <w:rsid w:val="00E1511C"/>
    <w:rsid w:val="00E1529B"/>
    <w:rsid w:val="00E15315"/>
    <w:rsid w:val="00E1535B"/>
    <w:rsid w:val="00E15524"/>
    <w:rsid w:val="00E15565"/>
    <w:rsid w:val="00E15627"/>
    <w:rsid w:val="00E157AF"/>
    <w:rsid w:val="00E157D5"/>
    <w:rsid w:val="00E1585B"/>
    <w:rsid w:val="00E158E3"/>
    <w:rsid w:val="00E15905"/>
    <w:rsid w:val="00E159B2"/>
    <w:rsid w:val="00E159BE"/>
    <w:rsid w:val="00E15A70"/>
    <w:rsid w:val="00E15ADF"/>
    <w:rsid w:val="00E15BB5"/>
    <w:rsid w:val="00E15C91"/>
    <w:rsid w:val="00E15C97"/>
    <w:rsid w:val="00E15CA9"/>
    <w:rsid w:val="00E15D3B"/>
    <w:rsid w:val="00E15E8C"/>
    <w:rsid w:val="00E15FBC"/>
    <w:rsid w:val="00E15FC7"/>
    <w:rsid w:val="00E161EB"/>
    <w:rsid w:val="00E1625D"/>
    <w:rsid w:val="00E162DF"/>
    <w:rsid w:val="00E1639B"/>
    <w:rsid w:val="00E16485"/>
    <w:rsid w:val="00E1656B"/>
    <w:rsid w:val="00E16706"/>
    <w:rsid w:val="00E167B2"/>
    <w:rsid w:val="00E1684B"/>
    <w:rsid w:val="00E16863"/>
    <w:rsid w:val="00E16876"/>
    <w:rsid w:val="00E16B9E"/>
    <w:rsid w:val="00E16D87"/>
    <w:rsid w:val="00E16F3C"/>
    <w:rsid w:val="00E16F9A"/>
    <w:rsid w:val="00E16FE2"/>
    <w:rsid w:val="00E1701B"/>
    <w:rsid w:val="00E1708A"/>
    <w:rsid w:val="00E1709F"/>
    <w:rsid w:val="00E170DE"/>
    <w:rsid w:val="00E170F3"/>
    <w:rsid w:val="00E1710E"/>
    <w:rsid w:val="00E171EF"/>
    <w:rsid w:val="00E171FE"/>
    <w:rsid w:val="00E17341"/>
    <w:rsid w:val="00E173EB"/>
    <w:rsid w:val="00E1740B"/>
    <w:rsid w:val="00E1772E"/>
    <w:rsid w:val="00E178F9"/>
    <w:rsid w:val="00E17C71"/>
    <w:rsid w:val="00E17CC7"/>
    <w:rsid w:val="00E17D08"/>
    <w:rsid w:val="00E17D3A"/>
    <w:rsid w:val="00E17E30"/>
    <w:rsid w:val="00E200F4"/>
    <w:rsid w:val="00E203D0"/>
    <w:rsid w:val="00E20512"/>
    <w:rsid w:val="00E206C0"/>
    <w:rsid w:val="00E20946"/>
    <w:rsid w:val="00E20A4D"/>
    <w:rsid w:val="00E20A61"/>
    <w:rsid w:val="00E20A72"/>
    <w:rsid w:val="00E20C4F"/>
    <w:rsid w:val="00E20D51"/>
    <w:rsid w:val="00E20DBB"/>
    <w:rsid w:val="00E20DC2"/>
    <w:rsid w:val="00E20E04"/>
    <w:rsid w:val="00E20F3E"/>
    <w:rsid w:val="00E2100D"/>
    <w:rsid w:val="00E2120B"/>
    <w:rsid w:val="00E21359"/>
    <w:rsid w:val="00E21399"/>
    <w:rsid w:val="00E216E4"/>
    <w:rsid w:val="00E2172A"/>
    <w:rsid w:val="00E2185A"/>
    <w:rsid w:val="00E218FB"/>
    <w:rsid w:val="00E21A6C"/>
    <w:rsid w:val="00E21A74"/>
    <w:rsid w:val="00E21A8F"/>
    <w:rsid w:val="00E21E78"/>
    <w:rsid w:val="00E21F5F"/>
    <w:rsid w:val="00E21F9F"/>
    <w:rsid w:val="00E2208A"/>
    <w:rsid w:val="00E22187"/>
    <w:rsid w:val="00E2225B"/>
    <w:rsid w:val="00E2235A"/>
    <w:rsid w:val="00E2243D"/>
    <w:rsid w:val="00E22452"/>
    <w:rsid w:val="00E22B33"/>
    <w:rsid w:val="00E22B97"/>
    <w:rsid w:val="00E22C24"/>
    <w:rsid w:val="00E22CE9"/>
    <w:rsid w:val="00E22D70"/>
    <w:rsid w:val="00E22EC4"/>
    <w:rsid w:val="00E22F03"/>
    <w:rsid w:val="00E22F21"/>
    <w:rsid w:val="00E22F3A"/>
    <w:rsid w:val="00E2304B"/>
    <w:rsid w:val="00E23162"/>
    <w:rsid w:val="00E23184"/>
    <w:rsid w:val="00E23225"/>
    <w:rsid w:val="00E23229"/>
    <w:rsid w:val="00E2323F"/>
    <w:rsid w:val="00E23324"/>
    <w:rsid w:val="00E2346B"/>
    <w:rsid w:val="00E23471"/>
    <w:rsid w:val="00E2347D"/>
    <w:rsid w:val="00E234F0"/>
    <w:rsid w:val="00E23525"/>
    <w:rsid w:val="00E23548"/>
    <w:rsid w:val="00E2377E"/>
    <w:rsid w:val="00E2390E"/>
    <w:rsid w:val="00E23997"/>
    <w:rsid w:val="00E23B38"/>
    <w:rsid w:val="00E23C5F"/>
    <w:rsid w:val="00E23DA5"/>
    <w:rsid w:val="00E23DC6"/>
    <w:rsid w:val="00E23DE4"/>
    <w:rsid w:val="00E23E1B"/>
    <w:rsid w:val="00E23E3C"/>
    <w:rsid w:val="00E23E50"/>
    <w:rsid w:val="00E23EDA"/>
    <w:rsid w:val="00E23F16"/>
    <w:rsid w:val="00E23F61"/>
    <w:rsid w:val="00E240E6"/>
    <w:rsid w:val="00E24154"/>
    <w:rsid w:val="00E24320"/>
    <w:rsid w:val="00E2435B"/>
    <w:rsid w:val="00E24455"/>
    <w:rsid w:val="00E245BE"/>
    <w:rsid w:val="00E2478B"/>
    <w:rsid w:val="00E247A7"/>
    <w:rsid w:val="00E249AF"/>
    <w:rsid w:val="00E24AA5"/>
    <w:rsid w:val="00E24C43"/>
    <w:rsid w:val="00E24D67"/>
    <w:rsid w:val="00E24D96"/>
    <w:rsid w:val="00E24ED2"/>
    <w:rsid w:val="00E24EEE"/>
    <w:rsid w:val="00E24F17"/>
    <w:rsid w:val="00E25015"/>
    <w:rsid w:val="00E25049"/>
    <w:rsid w:val="00E2509A"/>
    <w:rsid w:val="00E25152"/>
    <w:rsid w:val="00E25234"/>
    <w:rsid w:val="00E2532E"/>
    <w:rsid w:val="00E25512"/>
    <w:rsid w:val="00E25614"/>
    <w:rsid w:val="00E25636"/>
    <w:rsid w:val="00E2569A"/>
    <w:rsid w:val="00E256FD"/>
    <w:rsid w:val="00E2573F"/>
    <w:rsid w:val="00E259A3"/>
    <w:rsid w:val="00E25A52"/>
    <w:rsid w:val="00E25A70"/>
    <w:rsid w:val="00E25B06"/>
    <w:rsid w:val="00E25F2D"/>
    <w:rsid w:val="00E2617A"/>
    <w:rsid w:val="00E2620E"/>
    <w:rsid w:val="00E26219"/>
    <w:rsid w:val="00E2621F"/>
    <w:rsid w:val="00E262C2"/>
    <w:rsid w:val="00E2634F"/>
    <w:rsid w:val="00E26476"/>
    <w:rsid w:val="00E264E5"/>
    <w:rsid w:val="00E265D2"/>
    <w:rsid w:val="00E2666C"/>
    <w:rsid w:val="00E26670"/>
    <w:rsid w:val="00E2690E"/>
    <w:rsid w:val="00E26950"/>
    <w:rsid w:val="00E26963"/>
    <w:rsid w:val="00E26A3E"/>
    <w:rsid w:val="00E26B1F"/>
    <w:rsid w:val="00E26C9A"/>
    <w:rsid w:val="00E26CEE"/>
    <w:rsid w:val="00E26D1C"/>
    <w:rsid w:val="00E26D5C"/>
    <w:rsid w:val="00E26DAC"/>
    <w:rsid w:val="00E26EBC"/>
    <w:rsid w:val="00E26EC3"/>
    <w:rsid w:val="00E272FB"/>
    <w:rsid w:val="00E27302"/>
    <w:rsid w:val="00E27642"/>
    <w:rsid w:val="00E276DA"/>
    <w:rsid w:val="00E27705"/>
    <w:rsid w:val="00E277C7"/>
    <w:rsid w:val="00E2782B"/>
    <w:rsid w:val="00E27B50"/>
    <w:rsid w:val="00E27B59"/>
    <w:rsid w:val="00E27BBB"/>
    <w:rsid w:val="00E27E7B"/>
    <w:rsid w:val="00E27F0E"/>
    <w:rsid w:val="00E27F73"/>
    <w:rsid w:val="00E301F7"/>
    <w:rsid w:val="00E3022E"/>
    <w:rsid w:val="00E3034A"/>
    <w:rsid w:val="00E30377"/>
    <w:rsid w:val="00E3042A"/>
    <w:rsid w:val="00E3062C"/>
    <w:rsid w:val="00E30631"/>
    <w:rsid w:val="00E306CB"/>
    <w:rsid w:val="00E306D6"/>
    <w:rsid w:val="00E3079A"/>
    <w:rsid w:val="00E30980"/>
    <w:rsid w:val="00E309D0"/>
    <w:rsid w:val="00E30A79"/>
    <w:rsid w:val="00E30A8C"/>
    <w:rsid w:val="00E30ABD"/>
    <w:rsid w:val="00E30C00"/>
    <w:rsid w:val="00E30D03"/>
    <w:rsid w:val="00E30D77"/>
    <w:rsid w:val="00E3105F"/>
    <w:rsid w:val="00E31169"/>
    <w:rsid w:val="00E31232"/>
    <w:rsid w:val="00E31307"/>
    <w:rsid w:val="00E31331"/>
    <w:rsid w:val="00E313A6"/>
    <w:rsid w:val="00E313BE"/>
    <w:rsid w:val="00E313E8"/>
    <w:rsid w:val="00E315F9"/>
    <w:rsid w:val="00E31617"/>
    <w:rsid w:val="00E31837"/>
    <w:rsid w:val="00E31B38"/>
    <w:rsid w:val="00E31C3D"/>
    <w:rsid w:val="00E31CAA"/>
    <w:rsid w:val="00E31CB2"/>
    <w:rsid w:val="00E31D3D"/>
    <w:rsid w:val="00E31D51"/>
    <w:rsid w:val="00E31F44"/>
    <w:rsid w:val="00E31F92"/>
    <w:rsid w:val="00E320E3"/>
    <w:rsid w:val="00E3223D"/>
    <w:rsid w:val="00E322B7"/>
    <w:rsid w:val="00E323E1"/>
    <w:rsid w:val="00E32496"/>
    <w:rsid w:val="00E3258E"/>
    <w:rsid w:val="00E32592"/>
    <w:rsid w:val="00E325BA"/>
    <w:rsid w:val="00E32607"/>
    <w:rsid w:val="00E326A7"/>
    <w:rsid w:val="00E32721"/>
    <w:rsid w:val="00E32751"/>
    <w:rsid w:val="00E32792"/>
    <w:rsid w:val="00E327CA"/>
    <w:rsid w:val="00E3287D"/>
    <w:rsid w:val="00E32A71"/>
    <w:rsid w:val="00E32AA2"/>
    <w:rsid w:val="00E32AD5"/>
    <w:rsid w:val="00E32D56"/>
    <w:rsid w:val="00E32DDC"/>
    <w:rsid w:val="00E32EF7"/>
    <w:rsid w:val="00E32FB3"/>
    <w:rsid w:val="00E3314F"/>
    <w:rsid w:val="00E33423"/>
    <w:rsid w:val="00E3343E"/>
    <w:rsid w:val="00E3348C"/>
    <w:rsid w:val="00E3367E"/>
    <w:rsid w:val="00E33716"/>
    <w:rsid w:val="00E337CE"/>
    <w:rsid w:val="00E337DB"/>
    <w:rsid w:val="00E339C1"/>
    <w:rsid w:val="00E339CC"/>
    <w:rsid w:val="00E33B6C"/>
    <w:rsid w:val="00E33BF5"/>
    <w:rsid w:val="00E33C44"/>
    <w:rsid w:val="00E33CB5"/>
    <w:rsid w:val="00E33CDB"/>
    <w:rsid w:val="00E33D7F"/>
    <w:rsid w:val="00E33D81"/>
    <w:rsid w:val="00E33DCE"/>
    <w:rsid w:val="00E33DE3"/>
    <w:rsid w:val="00E33E0D"/>
    <w:rsid w:val="00E33FEC"/>
    <w:rsid w:val="00E34084"/>
    <w:rsid w:val="00E341D0"/>
    <w:rsid w:val="00E345C4"/>
    <w:rsid w:val="00E34672"/>
    <w:rsid w:val="00E3485D"/>
    <w:rsid w:val="00E34894"/>
    <w:rsid w:val="00E34903"/>
    <w:rsid w:val="00E34950"/>
    <w:rsid w:val="00E34965"/>
    <w:rsid w:val="00E34AD8"/>
    <w:rsid w:val="00E34B09"/>
    <w:rsid w:val="00E34B14"/>
    <w:rsid w:val="00E34B79"/>
    <w:rsid w:val="00E34D92"/>
    <w:rsid w:val="00E34EA5"/>
    <w:rsid w:val="00E34F09"/>
    <w:rsid w:val="00E3508B"/>
    <w:rsid w:val="00E3535A"/>
    <w:rsid w:val="00E3538A"/>
    <w:rsid w:val="00E353D2"/>
    <w:rsid w:val="00E3541A"/>
    <w:rsid w:val="00E35446"/>
    <w:rsid w:val="00E3558E"/>
    <w:rsid w:val="00E355B8"/>
    <w:rsid w:val="00E356BF"/>
    <w:rsid w:val="00E35739"/>
    <w:rsid w:val="00E357B8"/>
    <w:rsid w:val="00E35809"/>
    <w:rsid w:val="00E35A7F"/>
    <w:rsid w:val="00E35B0C"/>
    <w:rsid w:val="00E35B64"/>
    <w:rsid w:val="00E35C25"/>
    <w:rsid w:val="00E35D5E"/>
    <w:rsid w:val="00E35E53"/>
    <w:rsid w:val="00E35EA8"/>
    <w:rsid w:val="00E35EAE"/>
    <w:rsid w:val="00E35F01"/>
    <w:rsid w:val="00E35F08"/>
    <w:rsid w:val="00E3602B"/>
    <w:rsid w:val="00E360CD"/>
    <w:rsid w:val="00E36155"/>
    <w:rsid w:val="00E36174"/>
    <w:rsid w:val="00E361D4"/>
    <w:rsid w:val="00E3632A"/>
    <w:rsid w:val="00E36442"/>
    <w:rsid w:val="00E3657F"/>
    <w:rsid w:val="00E36645"/>
    <w:rsid w:val="00E366D3"/>
    <w:rsid w:val="00E36845"/>
    <w:rsid w:val="00E368F5"/>
    <w:rsid w:val="00E3697F"/>
    <w:rsid w:val="00E36AAA"/>
    <w:rsid w:val="00E36B0A"/>
    <w:rsid w:val="00E36B53"/>
    <w:rsid w:val="00E36C75"/>
    <w:rsid w:val="00E36E12"/>
    <w:rsid w:val="00E36F07"/>
    <w:rsid w:val="00E370EB"/>
    <w:rsid w:val="00E37247"/>
    <w:rsid w:val="00E372AA"/>
    <w:rsid w:val="00E373BF"/>
    <w:rsid w:val="00E37478"/>
    <w:rsid w:val="00E3747E"/>
    <w:rsid w:val="00E374FA"/>
    <w:rsid w:val="00E37746"/>
    <w:rsid w:val="00E37787"/>
    <w:rsid w:val="00E37806"/>
    <w:rsid w:val="00E378B2"/>
    <w:rsid w:val="00E37AF4"/>
    <w:rsid w:val="00E37B26"/>
    <w:rsid w:val="00E37DBC"/>
    <w:rsid w:val="00E37EE6"/>
    <w:rsid w:val="00E37F9F"/>
    <w:rsid w:val="00E40072"/>
    <w:rsid w:val="00E40140"/>
    <w:rsid w:val="00E4035B"/>
    <w:rsid w:val="00E40384"/>
    <w:rsid w:val="00E40435"/>
    <w:rsid w:val="00E404CB"/>
    <w:rsid w:val="00E404CE"/>
    <w:rsid w:val="00E4058E"/>
    <w:rsid w:val="00E406E8"/>
    <w:rsid w:val="00E40758"/>
    <w:rsid w:val="00E409A7"/>
    <w:rsid w:val="00E409ED"/>
    <w:rsid w:val="00E40AC4"/>
    <w:rsid w:val="00E40AF0"/>
    <w:rsid w:val="00E40D35"/>
    <w:rsid w:val="00E40ED7"/>
    <w:rsid w:val="00E4106A"/>
    <w:rsid w:val="00E411EE"/>
    <w:rsid w:val="00E412D7"/>
    <w:rsid w:val="00E41447"/>
    <w:rsid w:val="00E414DC"/>
    <w:rsid w:val="00E41797"/>
    <w:rsid w:val="00E417B3"/>
    <w:rsid w:val="00E41A59"/>
    <w:rsid w:val="00E41ACC"/>
    <w:rsid w:val="00E41AE9"/>
    <w:rsid w:val="00E41B3C"/>
    <w:rsid w:val="00E41BB0"/>
    <w:rsid w:val="00E41D3C"/>
    <w:rsid w:val="00E41D3F"/>
    <w:rsid w:val="00E41D4D"/>
    <w:rsid w:val="00E41FCC"/>
    <w:rsid w:val="00E42029"/>
    <w:rsid w:val="00E42034"/>
    <w:rsid w:val="00E42101"/>
    <w:rsid w:val="00E421F9"/>
    <w:rsid w:val="00E42207"/>
    <w:rsid w:val="00E424F7"/>
    <w:rsid w:val="00E42672"/>
    <w:rsid w:val="00E427ED"/>
    <w:rsid w:val="00E42838"/>
    <w:rsid w:val="00E42902"/>
    <w:rsid w:val="00E42983"/>
    <w:rsid w:val="00E42A1C"/>
    <w:rsid w:val="00E42B9C"/>
    <w:rsid w:val="00E42C2A"/>
    <w:rsid w:val="00E42C53"/>
    <w:rsid w:val="00E42D60"/>
    <w:rsid w:val="00E42EA3"/>
    <w:rsid w:val="00E43025"/>
    <w:rsid w:val="00E43036"/>
    <w:rsid w:val="00E430B0"/>
    <w:rsid w:val="00E430B7"/>
    <w:rsid w:val="00E430D3"/>
    <w:rsid w:val="00E43174"/>
    <w:rsid w:val="00E431D8"/>
    <w:rsid w:val="00E43271"/>
    <w:rsid w:val="00E433AC"/>
    <w:rsid w:val="00E433FA"/>
    <w:rsid w:val="00E4365E"/>
    <w:rsid w:val="00E436F0"/>
    <w:rsid w:val="00E43764"/>
    <w:rsid w:val="00E4386E"/>
    <w:rsid w:val="00E43984"/>
    <w:rsid w:val="00E439CF"/>
    <w:rsid w:val="00E43A0F"/>
    <w:rsid w:val="00E43A63"/>
    <w:rsid w:val="00E43AAE"/>
    <w:rsid w:val="00E43ACB"/>
    <w:rsid w:val="00E43CB5"/>
    <w:rsid w:val="00E43DC8"/>
    <w:rsid w:val="00E44121"/>
    <w:rsid w:val="00E44189"/>
    <w:rsid w:val="00E441D0"/>
    <w:rsid w:val="00E442E7"/>
    <w:rsid w:val="00E4439B"/>
    <w:rsid w:val="00E443B5"/>
    <w:rsid w:val="00E443D7"/>
    <w:rsid w:val="00E44581"/>
    <w:rsid w:val="00E445A7"/>
    <w:rsid w:val="00E44639"/>
    <w:rsid w:val="00E4466E"/>
    <w:rsid w:val="00E44C49"/>
    <w:rsid w:val="00E44D52"/>
    <w:rsid w:val="00E44F79"/>
    <w:rsid w:val="00E44F98"/>
    <w:rsid w:val="00E44FBC"/>
    <w:rsid w:val="00E44FC7"/>
    <w:rsid w:val="00E4508F"/>
    <w:rsid w:val="00E451B5"/>
    <w:rsid w:val="00E451E0"/>
    <w:rsid w:val="00E453AB"/>
    <w:rsid w:val="00E453AC"/>
    <w:rsid w:val="00E453B7"/>
    <w:rsid w:val="00E4542B"/>
    <w:rsid w:val="00E45445"/>
    <w:rsid w:val="00E45515"/>
    <w:rsid w:val="00E4552F"/>
    <w:rsid w:val="00E45737"/>
    <w:rsid w:val="00E4574A"/>
    <w:rsid w:val="00E458C6"/>
    <w:rsid w:val="00E45921"/>
    <w:rsid w:val="00E45954"/>
    <w:rsid w:val="00E45AA8"/>
    <w:rsid w:val="00E45AAD"/>
    <w:rsid w:val="00E45C7D"/>
    <w:rsid w:val="00E45E4D"/>
    <w:rsid w:val="00E45E8E"/>
    <w:rsid w:val="00E45FC8"/>
    <w:rsid w:val="00E45FF1"/>
    <w:rsid w:val="00E460DF"/>
    <w:rsid w:val="00E461E8"/>
    <w:rsid w:val="00E4620A"/>
    <w:rsid w:val="00E4622F"/>
    <w:rsid w:val="00E46380"/>
    <w:rsid w:val="00E4645F"/>
    <w:rsid w:val="00E464A2"/>
    <w:rsid w:val="00E46563"/>
    <w:rsid w:val="00E465E2"/>
    <w:rsid w:val="00E4668D"/>
    <w:rsid w:val="00E46703"/>
    <w:rsid w:val="00E4676D"/>
    <w:rsid w:val="00E468F5"/>
    <w:rsid w:val="00E46979"/>
    <w:rsid w:val="00E46A7F"/>
    <w:rsid w:val="00E46B06"/>
    <w:rsid w:val="00E46C97"/>
    <w:rsid w:val="00E46DE9"/>
    <w:rsid w:val="00E46DF3"/>
    <w:rsid w:val="00E46E3A"/>
    <w:rsid w:val="00E46E55"/>
    <w:rsid w:val="00E46E6C"/>
    <w:rsid w:val="00E46EA9"/>
    <w:rsid w:val="00E4704A"/>
    <w:rsid w:val="00E47223"/>
    <w:rsid w:val="00E4746D"/>
    <w:rsid w:val="00E47591"/>
    <w:rsid w:val="00E4766D"/>
    <w:rsid w:val="00E4767D"/>
    <w:rsid w:val="00E477AA"/>
    <w:rsid w:val="00E4794C"/>
    <w:rsid w:val="00E47ADA"/>
    <w:rsid w:val="00E47BF6"/>
    <w:rsid w:val="00E47BFC"/>
    <w:rsid w:val="00E47C2B"/>
    <w:rsid w:val="00E47D82"/>
    <w:rsid w:val="00E47E05"/>
    <w:rsid w:val="00E47E33"/>
    <w:rsid w:val="00E47E61"/>
    <w:rsid w:val="00E47E80"/>
    <w:rsid w:val="00E47F1B"/>
    <w:rsid w:val="00E5013D"/>
    <w:rsid w:val="00E50185"/>
    <w:rsid w:val="00E50207"/>
    <w:rsid w:val="00E502C2"/>
    <w:rsid w:val="00E502C3"/>
    <w:rsid w:val="00E50462"/>
    <w:rsid w:val="00E5046F"/>
    <w:rsid w:val="00E50481"/>
    <w:rsid w:val="00E5053F"/>
    <w:rsid w:val="00E506C3"/>
    <w:rsid w:val="00E507D9"/>
    <w:rsid w:val="00E507EB"/>
    <w:rsid w:val="00E5080B"/>
    <w:rsid w:val="00E50888"/>
    <w:rsid w:val="00E50A4A"/>
    <w:rsid w:val="00E50BF3"/>
    <w:rsid w:val="00E50C47"/>
    <w:rsid w:val="00E50E42"/>
    <w:rsid w:val="00E50E72"/>
    <w:rsid w:val="00E50E93"/>
    <w:rsid w:val="00E510D4"/>
    <w:rsid w:val="00E51274"/>
    <w:rsid w:val="00E512FD"/>
    <w:rsid w:val="00E514E9"/>
    <w:rsid w:val="00E5151E"/>
    <w:rsid w:val="00E51907"/>
    <w:rsid w:val="00E5194E"/>
    <w:rsid w:val="00E51999"/>
    <w:rsid w:val="00E51CE9"/>
    <w:rsid w:val="00E51DA5"/>
    <w:rsid w:val="00E51DC9"/>
    <w:rsid w:val="00E51E2F"/>
    <w:rsid w:val="00E51E80"/>
    <w:rsid w:val="00E51EFC"/>
    <w:rsid w:val="00E52024"/>
    <w:rsid w:val="00E52176"/>
    <w:rsid w:val="00E5222F"/>
    <w:rsid w:val="00E5223C"/>
    <w:rsid w:val="00E52486"/>
    <w:rsid w:val="00E5248D"/>
    <w:rsid w:val="00E524A2"/>
    <w:rsid w:val="00E52501"/>
    <w:rsid w:val="00E52577"/>
    <w:rsid w:val="00E526DD"/>
    <w:rsid w:val="00E528A9"/>
    <w:rsid w:val="00E52932"/>
    <w:rsid w:val="00E529B9"/>
    <w:rsid w:val="00E52B03"/>
    <w:rsid w:val="00E52B5D"/>
    <w:rsid w:val="00E52B91"/>
    <w:rsid w:val="00E52C30"/>
    <w:rsid w:val="00E52CBE"/>
    <w:rsid w:val="00E52D81"/>
    <w:rsid w:val="00E52E3F"/>
    <w:rsid w:val="00E52FA0"/>
    <w:rsid w:val="00E53003"/>
    <w:rsid w:val="00E53067"/>
    <w:rsid w:val="00E530C2"/>
    <w:rsid w:val="00E534C5"/>
    <w:rsid w:val="00E5357E"/>
    <w:rsid w:val="00E53710"/>
    <w:rsid w:val="00E5371A"/>
    <w:rsid w:val="00E538B0"/>
    <w:rsid w:val="00E53A89"/>
    <w:rsid w:val="00E53AAD"/>
    <w:rsid w:val="00E53BF0"/>
    <w:rsid w:val="00E54161"/>
    <w:rsid w:val="00E54284"/>
    <w:rsid w:val="00E543EC"/>
    <w:rsid w:val="00E54412"/>
    <w:rsid w:val="00E54533"/>
    <w:rsid w:val="00E545FE"/>
    <w:rsid w:val="00E54602"/>
    <w:rsid w:val="00E54641"/>
    <w:rsid w:val="00E5464C"/>
    <w:rsid w:val="00E546CC"/>
    <w:rsid w:val="00E546D1"/>
    <w:rsid w:val="00E54808"/>
    <w:rsid w:val="00E54830"/>
    <w:rsid w:val="00E54859"/>
    <w:rsid w:val="00E54865"/>
    <w:rsid w:val="00E5489D"/>
    <w:rsid w:val="00E548C7"/>
    <w:rsid w:val="00E5492E"/>
    <w:rsid w:val="00E54A2A"/>
    <w:rsid w:val="00E54AFA"/>
    <w:rsid w:val="00E54B4E"/>
    <w:rsid w:val="00E54B54"/>
    <w:rsid w:val="00E54CA2"/>
    <w:rsid w:val="00E54CFD"/>
    <w:rsid w:val="00E54FEF"/>
    <w:rsid w:val="00E5510B"/>
    <w:rsid w:val="00E55126"/>
    <w:rsid w:val="00E551BF"/>
    <w:rsid w:val="00E55203"/>
    <w:rsid w:val="00E55239"/>
    <w:rsid w:val="00E552E4"/>
    <w:rsid w:val="00E5530C"/>
    <w:rsid w:val="00E555EF"/>
    <w:rsid w:val="00E557E5"/>
    <w:rsid w:val="00E557F8"/>
    <w:rsid w:val="00E55A01"/>
    <w:rsid w:val="00E55A28"/>
    <w:rsid w:val="00E55A96"/>
    <w:rsid w:val="00E55BE5"/>
    <w:rsid w:val="00E55C39"/>
    <w:rsid w:val="00E55C5D"/>
    <w:rsid w:val="00E55CFD"/>
    <w:rsid w:val="00E55E19"/>
    <w:rsid w:val="00E55EB2"/>
    <w:rsid w:val="00E55EB7"/>
    <w:rsid w:val="00E55F1A"/>
    <w:rsid w:val="00E55F7E"/>
    <w:rsid w:val="00E55F99"/>
    <w:rsid w:val="00E56064"/>
    <w:rsid w:val="00E5655E"/>
    <w:rsid w:val="00E56673"/>
    <w:rsid w:val="00E5682E"/>
    <w:rsid w:val="00E56864"/>
    <w:rsid w:val="00E56997"/>
    <w:rsid w:val="00E56A20"/>
    <w:rsid w:val="00E56C1F"/>
    <w:rsid w:val="00E56CD1"/>
    <w:rsid w:val="00E56CF9"/>
    <w:rsid w:val="00E56D7A"/>
    <w:rsid w:val="00E56E61"/>
    <w:rsid w:val="00E56E6D"/>
    <w:rsid w:val="00E56E70"/>
    <w:rsid w:val="00E56E93"/>
    <w:rsid w:val="00E56F98"/>
    <w:rsid w:val="00E56FD5"/>
    <w:rsid w:val="00E57015"/>
    <w:rsid w:val="00E57113"/>
    <w:rsid w:val="00E57188"/>
    <w:rsid w:val="00E571DA"/>
    <w:rsid w:val="00E57222"/>
    <w:rsid w:val="00E572DE"/>
    <w:rsid w:val="00E5734A"/>
    <w:rsid w:val="00E573EB"/>
    <w:rsid w:val="00E576A4"/>
    <w:rsid w:val="00E57729"/>
    <w:rsid w:val="00E5776C"/>
    <w:rsid w:val="00E579FB"/>
    <w:rsid w:val="00E57A63"/>
    <w:rsid w:val="00E57BA0"/>
    <w:rsid w:val="00E57CE3"/>
    <w:rsid w:val="00E57D6E"/>
    <w:rsid w:val="00E57ED5"/>
    <w:rsid w:val="00E57F47"/>
    <w:rsid w:val="00E57FC4"/>
    <w:rsid w:val="00E57FDD"/>
    <w:rsid w:val="00E60095"/>
    <w:rsid w:val="00E600F5"/>
    <w:rsid w:val="00E60163"/>
    <w:rsid w:val="00E601CE"/>
    <w:rsid w:val="00E602E8"/>
    <w:rsid w:val="00E60468"/>
    <w:rsid w:val="00E60488"/>
    <w:rsid w:val="00E606C9"/>
    <w:rsid w:val="00E6076C"/>
    <w:rsid w:val="00E60795"/>
    <w:rsid w:val="00E6082B"/>
    <w:rsid w:val="00E609F2"/>
    <w:rsid w:val="00E60A32"/>
    <w:rsid w:val="00E60C1B"/>
    <w:rsid w:val="00E60C6C"/>
    <w:rsid w:val="00E60CB0"/>
    <w:rsid w:val="00E60D62"/>
    <w:rsid w:val="00E60F2D"/>
    <w:rsid w:val="00E60F73"/>
    <w:rsid w:val="00E61026"/>
    <w:rsid w:val="00E610B8"/>
    <w:rsid w:val="00E611BD"/>
    <w:rsid w:val="00E611D7"/>
    <w:rsid w:val="00E61250"/>
    <w:rsid w:val="00E6125A"/>
    <w:rsid w:val="00E612AE"/>
    <w:rsid w:val="00E613BE"/>
    <w:rsid w:val="00E61498"/>
    <w:rsid w:val="00E614EA"/>
    <w:rsid w:val="00E61644"/>
    <w:rsid w:val="00E616FA"/>
    <w:rsid w:val="00E617EE"/>
    <w:rsid w:val="00E61941"/>
    <w:rsid w:val="00E6197B"/>
    <w:rsid w:val="00E61A2C"/>
    <w:rsid w:val="00E61AC1"/>
    <w:rsid w:val="00E61C0F"/>
    <w:rsid w:val="00E61DF3"/>
    <w:rsid w:val="00E61E0F"/>
    <w:rsid w:val="00E6202F"/>
    <w:rsid w:val="00E62036"/>
    <w:rsid w:val="00E620D8"/>
    <w:rsid w:val="00E620EA"/>
    <w:rsid w:val="00E62112"/>
    <w:rsid w:val="00E621E5"/>
    <w:rsid w:val="00E62205"/>
    <w:rsid w:val="00E6235F"/>
    <w:rsid w:val="00E625E0"/>
    <w:rsid w:val="00E62749"/>
    <w:rsid w:val="00E62903"/>
    <w:rsid w:val="00E62AF0"/>
    <w:rsid w:val="00E62B98"/>
    <w:rsid w:val="00E62DC6"/>
    <w:rsid w:val="00E62E06"/>
    <w:rsid w:val="00E62E4F"/>
    <w:rsid w:val="00E62E7F"/>
    <w:rsid w:val="00E62E9A"/>
    <w:rsid w:val="00E632CB"/>
    <w:rsid w:val="00E63330"/>
    <w:rsid w:val="00E63475"/>
    <w:rsid w:val="00E6364B"/>
    <w:rsid w:val="00E6379A"/>
    <w:rsid w:val="00E637A7"/>
    <w:rsid w:val="00E63907"/>
    <w:rsid w:val="00E63997"/>
    <w:rsid w:val="00E6399B"/>
    <w:rsid w:val="00E63B23"/>
    <w:rsid w:val="00E63B3A"/>
    <w:rsid w:val="00E63BED"/>
    <w:rsid w:val="00E63C3D"/>
    <w:rsid w:val="00E63C72"/>
    <w:rsid w:val="00E63D07"/>
    <w:rsid w:val="00E63F15"/>
    <w:rsid w:val="00E64033"/>
    <w:rsid w:val="00E641E6"/>
    <w:rsid w:val="00E64246"/>
    <w:rsid w:val="00E64249"/>
    <w:rsid w:val="00E64253"/>
    <w:rsid w:val="00E6427F"/>
    <w:rsid w:val="00E6428C"/>
    <w:rsid w:val="00E643CD"/>
    <w:rsid w:val="00E6442A"/>
    <w:rsid w:val="00E64702"/>
    <w:rsid w:val="00E6477E"/>
    <w:rsid w:val="00E64837"/>
    <w:rsid w:val="00E64916"/>
    <w:rsid w:val="00E64E81"/>
    <w:rsid w:val="00E64EDE"/>
    <w:rsid w:val="00E64FD9"/>
    <w:rsid w:val="00E64FF5"/>
    <w:rsid w:val="00E650B1"/>
    <w:rsid w:val="00E6520C"/>
    <w:rsid w:val="00E653AF"/>
    <w:rsid w:val="00E654A6"/>
    <w:rsid w:val="00E6567F"/>
    <w:rsid w:val="00E656F1"/>
    <w:rsid w:val="00E65795"/>
    <w:rsid w:val="00E65A13"/>
    <w:rsid w:val="00E65AD7"/>
    <w:rsid w:val="00E65AF2"/>
    <w:rsid w:val="00E65B7B"/>
    <w:rsid w:val="00E65D8E"/>
    <w:rsid w:val="00E65E2D"/>
    <w:rsid w:val="00E65E7C"/>
    <w:rsid w:val="00E65F13"/>
    <w:rsid w:val="00E65FE4"/>
    <w:rsid w:val="00E663C3"/>
    <w:rsid w:val="00E664E1"/>
    <w:rsid w:val="00E66522"/>
    <w:rsid w:val="00E66771"/>
    <w:rsid w:val="00E6683A"/>
    <w:rsid w:val="00E66896"/>
    <w:rsid w:val="00E669A0"/>
    <w:rsid w:val="00E66BAC"/>
    <w:rsid w:val="00E66EC2"/>
    <w:rsid w:val="00E670DB"/>
    <w:rsid w:val="00E670DE"/>
    <w:rsid w:val="00E672C3"/>
    <w:rsid w:val="00E672FF"/>
    <w:rsid w:val="00E67412"/>
    <w:rsid w:val="00E674B2"/>
    <w:rsid w:val="00E67849"/>
    <w:rsid w:val="00E679C1"/>
    <w:rsid w:val="00E67BCB"/>
    <w:rsid w:val="00E67C17"/>
    <w:rsid w:val="00E67C50"/>
    <w:rsid w:val="00E67D05"/>
    <w:rsid w:val="00E67F32"/>
    <w:rsid w:val="00E67F39"/>
    <w:rsid w:val="00E67F45"/>
    <w:rsid w:val="00E67F5E"/>
    <w:rsid w:val="00E70009"/>
    <w:rsid w:val="00E700A5"/>
    <w:rsid w:val="00E700F6"/>
    <w:rsid w:val="00E7010F"/>
    <w:rsid w:val="00E705EA"/>
    <w:rsid w:val="00E707E7"/>
    <w:rsid w:val="00E7081B"/>
    <w:rsid w:val="00E70946"/>
    <w:rsid w:val="00E70980"/>
    <w:rsid w:val="00E709C7"/>
    <w:rsid w:val="00E70BA4"/>
    <w:rsid w:val="00E70C06"/>
    <w:rsid w:val="00E70C7F"/>
    <w:rsid w:val="00E70E82"/>
    <w:rsid w:val="00E70F24"/>
    <w:rsid w:val="00E7110A"/>
    <w:rsid w:val="00E7112B"/>
    <w:rsid w:val="00E7150B"/>
    <w:rsid w:val="00E71542"/>
    <w:rsid w:val="00E7160A"/>
    <w:rsid w:val="00E719A3"/>
    <w:rsid w:val="00E71A33"/>
    <w:rsid w:val="00E71A42"/>
    <w:rsid w:val="00E71AEC"/>
    <w:rsid w:val="00E71BAF"/>
    <w:rsid w:val="00E71BE7"/>
    <w:rsid w:val="00E71C01"/>
    <w:rsid w:val="00E71CFD"/>
    <w:rsid w:val="00E71D7F"/>
    <w:rsid w:val="00E71D9B"/>
    <w:rsid w:val="00E71F27"/>
    <w:rsid w:val="00E72038"/>
    <w:rsid w:val="00E720AB"/>
    <w:rsid w:val="00E722EE"/>
    <w:rsid w:val="00E723D7"/>
    <w:rsid w:val="00E7242B"/>
    <w:rsid w:val="00E72488"/>
    <w:rsid w:val="00E724FD"/>
    <w:rsid w:val="00E72590"/>
    <w:rsid w:val="00E725AC"/>
    <w:rsid w:val="00E729A0"/>
    <w:rsid w:val="00E729AC"/>
    <w:rsid w:val="00E72A18"/>
    <w:rsid w:val="00E72ADC"/>
    <w:rsid w:val="00E72BDB"/>
    <w:rsid w:val="00E72C50"/>
    <w:rsid w:val="00E72CB6"/>
    <w:rsid w:val="00E72CBD"/>
    <w:rsid w:val="00E72DB3"/>
    <w:rsid w:val="00E72EBD"/>
    <w:rsid w:val="00E72ECA"/>
    <w:rsid w:val="00E72EF6"/>
    <w:rsid w:val="00E72F52"/>
    <w:rsid w:val="00E72F53"/>
    <w:rsid w:val="00E72F5C"/>
    <w:rsid w:val="00E73026"/>
    <w:rsid w:val="00E7307F"/>
    <w:rsid w:val="00E731EF"/>
    <w:rsid w:val="00E73220"/>
    <w:rsid w:val="00E73221"/>
    <w:rsid w:val="00E732C3"/>
    <w:rsid w:val="00E733B6"/>
    <w:rsid w:val="00E73429"/>
    <w:rsid w:val="00E734C7"/>
    <w:rsid w:val="00E73632"/>
    <w:rsid w:val="00E73A61"/>
    <w:rsid w:val="00E73B0E"/>
    <w:rsid w:val="00E73C95"/>
    <w:rsid w:val="00E73D21"/>
    <w:rsid w:val="00E73D3B"/>
    <w:rsid w:val="00E73D71"/>
    <w:rsid w:val="00E73D8F"/>
    <w:rsid w:val="00E73E3F"/>
    <w:rsid w:val="00E73F06"/>
    <w:rsid w:val="00E74042"/>
    <w:rsid w:val="00E7406A"/>
    <w:rsid w:val="00E7418C"/>
    <w:rsid w:val="00E741EE"/>
    <w:rsid w:val="00E74376"/>
    <w:rsid w:val="00E74431"/>
    <w:rsid w:val="00E745B9"/>
    <w:rsid w:val="00E74653"/>
    <w:rsid w:val="00E7468E"/>
    <w:rsid w:val="00E74760"/>
    <w:rsid w:val="00E747C9"/>
    <w:rsid w:val="00E748BD"/>
    <w:rsid w:val="00E74A01"/>
    <w:rsid w:val="00E74A0C"/>
    <w:rsid w:val="00E74A65"/>
    <w:rsid w:val="00E74A96"/>
    <w:rsid w:val="00E74AFA"/>
    <w:rsid w:val="00E74B47"/>
    <w:rsid w:val="00E74D52"/>
    <w:rsid w:val="00E74E36"/>
    <w:rsid w:val="00E74EDE"/>
    <w:rsid w:val="00E74FBB"/>
    <w:rsid w:val="00E75246"/>
    <w:rsid w:val="00E7536F"/>
    <w:rsid w:val="00E7540B"/>
    <w:rsid w:val="00E75468"/>
    <w:rsid w:val="00E75549"/>
    <w:rsid w:val="00E75623"/>
    <w:rsid w:val="00E756A5"/>
    <w:rsid w:val="00E756F7"/>
    <w:rsid w:val="00E75742"/>
    <w:rsid w:val="00E757EE"/>
    <w:rsid w:val="00E75875"/>
    <w:rsid w:val="00E75957"/>
    <w:rsid w:val="00E759CC"/>
    <w:rsid w:val="00E75BA3"/>
    <w:rsid w:val="00E75D05"/>
    <w:rsid w:val="00E75DB9"/>
    <w:rsid w:val="00E75EA4"/>
    <w:rsid w:val="00E75EB4"/>
    <w:rsid w:val="00E7633F"/>
    <w:rsid w:val="00E763DD"/>
    <w:rsid w:val="00E76589"/>
    <w:rsid w:val="00E7663D"/>
    <w:rsid w:val="00E766C2"/>
    <w:rsid w:val="00E767B8"/>
    <w:rsid w:val="00E76829"/>
    <w:rsid w:val="00E76A55"/>
    <w:rsid w:val="00E76B9E"/>
    <w:rsid w:val="00E76CCD"/>
    <w:rsid w:val="00E76D0E"/>
    <w:rsid w:val="00E76D29"/>
    <w:rsid w:val="00E76D32"/>
    <w:rsid w:val="00E76E7F"/>
    <w:rsid w:val="00E76EB1"/>
    <w:rsid w:val="00E77048"/>
    <w:rsid w:val="00E772B1"/>
    <w:rsid w:val="00E7739F"/>
    <w:rsid w:val="00E7741C"/>
    <w:rsid w:val="00E77454"/>
    <w:rsid w:val="00E774A5"/>
    <w:rsid w:val="00E77611"/>
    <w:rsid w:val="00E77653"/>
    <w:rsid w:val="00E7765B"/>
    <w:rsid w:val="00E776A4"/>
    <w:rsid w:val="00E77767"/>
    <w:rsid w:val="00E77831"/>
    <w:rsid w:val="00E77DBA"/>
    <w:rsid w:val="00E77EB1"/>
    <w:rsid w:val="00E77EF2"/>
    <w:rsid w:val="00E77F8C"/>
    <w:rsid w:val="00E77FE2"/>
    <w:rsid w:val="00E80014"/>
    <w:rsid w:val="00E800BA"/>
    <w:rsid w:val="00E801DB"/>
    <w:rsid w:val="00E80223"/>
    <w:rsid w:val="00E80234"/>
    <w:rsid w:val="00E80235"/>
    <w:rsid w:val="00E80291"/>
    <w:rsid w:val="00E80317"/>
    <w:rsid w:val="00E803EE"/>
    <w:rsid w:val="00E80443"/>
    <w:rsid w:val="00E804AC"/>
    <w:rsid w:val="00E806A0"/>
    <w:rsid w:val="00E806F5"/>
    <w:rsid w:val="00E80713"/>
    <w:rsid w:val="00E807E9"/>
    <w:rsid w:val="00E8085F"/>
    <w:rsid w:val="00E80892"/>
    <w:rsid w:val="00E808BF"/>
    <w:rsid w:val="00E80ACD"/>
    <w:rsid w:val="00E80ACE"/>
    <w:rsid w:val="00E80AFC"/>
    <w:rsid w:val="00E80B23"/>
    <w:rsid w:val="00E80B5E"/>
    <w:rsid w:val="00E80C50"/>
    <w:rsid w:val="00E80CBA"/>
    <w:rsid w:val="00E80CDA"/>
    <w:rsid w:val="00E80D69"/>
    <w:rsid w:val="00E80D6B"/>
    <w:rsid w:val="00E80DE6"/>
    <w:rsid w:val="00E80FDC"/>
    <w:rsid w:val="00E810E7"/>
    <w:rsid w:val="00E811D5"/>
    <w:rsid w:val="00E812AD"/>
    <w:rsid w:val="00E81409"/>
    <w:rsid w:val="00E81416"/>
    <w:rsid w:val="00E815E6"/>
    <w:rsid w:val="00E81A39"/>
    <w:rsid w:val="00E81C83"/>
    <w:rsid w:val="00E81CDB"/>
    <w:rsid w:val="00E81D0E"/>
    <w:rsid w:val="00E81D6F"/>
    <w:rsid w:val="00E81EB8"/>
    <w:rsid w:val="00E81F58"/>
    <w:rsid w:val="00E81F91"/>
    <w:rsid w:val="00E8206D"/>
    <w:rsid w:val="00E8214F"/>
    <w:rsid w:val="00E821C1"/>
    <w:rsid w:val="00E82276"/>
    <w:rsid w:val="00E822E3"/>
    <w:rsid w:val="00E823BC"/>
    <w:rsid w:val="00E82516"/>
    <w:rsid w:val="00E825A3"/>
    <w:rsid w:val="00E82620"/>
    <w:rsid w:val="00E827C3"/>
    <w:rsid w:val="00E82865"/>
    <w:rsid w:val="00E829FC"/>
    <w:rsid w:val="00E82A40"/>
    <w:rsid w:val="00E82A7B"/>
    <w:rsid w:val="00E82B50"/>
    <w:rsid w:val="00E82B9F"/>
    <w:rsid w:val="00E82C71"/>
    <w:rsid w:val="00E82CDF"/>
    <w:rsid w:val="00E82F94"/>
    <w:rsid w:val="00E830DC"/>
    <w:rsid w:val="00E832F1"/>
    <w:rsid w:val="00E833D4"/>
    <w:rsid w:val="00E83402"/>
    <w:rsid w:val="00E834A5"/>
    <w:rsid w:val="00E836BD"/>
    <w:rsid w:val="00E836CB"/>
    <w:rsid w:val="00E836F0"/>
    <w:rsid w:val="00E838F4"/>
    <w:rsid w:val="00E8392F"/>
    <w:rsid w:val="00E839A9"/>
    <w:rsid w:val="00E83B99"/>
    <w:rsid w:val="00E83BD0"/>
    <w:rsid w:val="00E83BFF"/>
    <w:rsid w:val="00E83D4C"/>
    <w:rsid w:val="00E84164"/>
    <w:rsid w:val="00E84366"/>
    <w:rsid w:val="00E846D7"/>
    <w:rsid w:val="00E847D2"/>
    <w:rsid w:val="00E8481A"/>
    <w:rsid w:val="00E8491F"/>
    <w:rsid w:val="00E8497D"/>
    <w:rsid w:val="00E84A13"/>
    <w:rsid w:val="00E84B26"/>
    <w:rsid w:val="00E84CF5"/>
    <w:rsid w:val="00E84E1A"/>
    <w:rsid w:val="00E85129"/>
    <w:rsid w:val="00E85143"/>
    <w:rsid w:val="00E8540A"/>
    <w:rsid w:val="00E8558E"/>
    <w:rsid w:val="00E856CE"/>
    <w:rsid w:val="00E85820"/>
    <w:rsid w:val="00E85A9F"/>
    <w:rsid w:val="00E85B1D"/>
    <w:rsid w:val="00E85B5D"/>
    <w:rsid w:val="00E85C7D"/>
    <w:rsid w:val="00E85CA8"/>
    <w:rsid w:val="00E85CB1"/>
    <w:rsid w:val="00E85D79"/>
    <w:rsid w:val="00E85DA5"/>
    <w:rsid w:val="00E86018"/>
    <w:rsid w:val="00E862E4"/>
    <w:rsid w:val="00E864A1"/>
    <w:rsid w:val="00E864AF"/>
    <w:rsid w:val="00E8663F"/>
    <w:rsid w:val="00E86648"/>
    <w:rsid w:val="00E8668C"/>
    <w:rsid w:val="00E86723"/>
    <w:rsid w:val="00E8676E"/>
    <w:rsid w:val="00E86AD1"/>
    <w:rsid w:val="00E86AD6"/>
    <w:rsid w:val="00E86BE4"/>
    <w:rsid w:val="00E86CE9"/>
    <w:rsid w:val="00E86E0C"/>
    <w:rsid w:val="00E86F11"/>
    <w:rsid w:val="00E86F46"/>
    <w:rsid w:val="00E8705F"/>
    <w:rsid w:val="00E872B8"/>
    <w:rsid w:val="00E872D8"/>
    <w:rsid w:val="00E8750D"/>
    <w:rsid w:val="00E875AF"/>
    <w:rsid w:val="00E875D4"/>
    <w:rsid w:val="00E8788B"/>
    <w:rsid w:val="00E879A7"/>
    <w:rsid w:val="00E87AFF"/>
    <w:rsid w:val="00E87B83"/>
    <w:rsid w:val="00E87BFD"/>
    <w:rsid w:val="00E87D57"/>
    <w:rsid w:val="00E87DDD"/>
    <w:rsid w:val="00E87E29"/>
    <w:rsid w:val="00E87F03"/>
    <w:rsid w:val="00E87F1C"/>
    <w:rsid w:val="00E87F9C"/>
    <w:rsid w:val="00E90007"/>
    <w:rsid w:val="00E9001D"/>
    <w:rsid w:val="00E900B1"/>
    <w:rsid w:val="00E901CE"/>
    <w:rsid w:val="00E90249"/>
    <w:rsid w:val="00E904C7"/>
    <w:rsid w:val="00E90525"/>
    <w:rsid w:val="00E907D0"/>
    <w:rsid w:val="00E907FC"/>
    <w:rsid w:val="00E90916"/>
    <w:rsid w:val="00E90A1B"/>
    <w:rsid w:val="00E90A4A"/>
    <w:rsid w:val="00E90AA5"/>
    <w:rsid w:val="00E90B8F"/>
    <w:rsid w:val="00E90BDD"/>
    <w:rsid w:val="00E90DA2"/>
    <w:rsid w:val="00E90EE3"/>
    <w:rsid w:val="00E90FF3"/>
    <w:rsid w:val="00E91016"/>
    <w:rsid w:val="00E910B9"/>
    <w:rsid w:val="00E91108"/>
    <w:rsid w:val="00E91177"/>
    <w:rsid w:val="00E911A4"/>
    <w:rsid w:val="00E913EE"/>
    <w:rsid w:val="00E915B3"/>
    <w:rsid w:val="00E916B3"/>
    <w:rsid w:val="00E91708"/>
    <w:rsid w:val="00E91730"/>
    <w:rsid w:val="00E91745"/>
    <w:rsid w:val="00E91927"/>
    <w:rsid w:val="00E91963"/>
    <w:rsid w:val="00E919DD"/>
    <w:rsid w:val="00E91A0B"/>
    <w:rsid w:val="00E91AA9"/>
    <w:rsid w:val="00E91C10"/>
    <w:rsid w:val="00E91F84"/>
    <w:rsid w:val="00E91FBB"/>
    <w:rsid w:val="00E92011"/>
    <w:rsid w:val="00E921F0"/>
    <w:rsid w:val="00E9224D"/>
    <w:rsid w:val="00E92270"/>
    <w:rsid w:val="00E92326"/>
    <w:rsid w:val="00E92342"/>
    <w:rsid w:val="00E92353"/>
    <w:rsid w:val="00E925CF"/>
    <w:rsid w:val="00E9270D"/>
    <w:rsid w:val="00E927AB"/>
    <w:rsid w:val="00E92861"/>
    <w:rsid w:val="00E929A1"/>
    <w:rsid w:val="00E92ABA"/>
    <w:rsid w:val="00E92C4B"/>
    <w:rsid w:val="00E92CE4"/>
    <w:rsid w:val="00E92E31"/>
    <w:rsid w:val="00E92E5C"/>
    <w:rsid w:val="00E92E7A"/>
    <w:rsid w:val="00E930E8"/>
    <w:rsid w:val="00E93307"/>
    <w:rsid w:val="00E93395"/>
    <w:rsid w:val="00E933AD"/>
    <w:rsid w:val="00E934FC"/>
    <w:rsid w:val="00E936FF"/>
    <w:rsid w:val="00E937B9"/>
    <w:rsid w:val="00E937D6"/>
    <w:rsid w:val="00E93820"/>
    <w:rsid w:val="00E938B9"/>
    <w:rsid w:val="00E93A06"/>
    <w:rsid w:val="00E93A81"/>
    <w:rsid w:val="00E93C0C"/>
    <w:rsid w:val="00E93C62"/>
    <w:rsid w:val="00E93C6F"/>
    <w:rsid w:val="00E93CBA"/>
    <w:rsid w:val="00E93DE9"/>
    <w:rsid w:val="00E93DF4"/>
    <w:rsid w:val="00E93F0D"/>
    <w:rsid w:val="00E93FC9"/>
    <w:rsid w:val="00E940BC"/>
    <w:rsid w:val="00E942E8"/>
    <w:rsid w:val="00E94426"/>
    <w:rsid w:val="00E9443F"/>
    <w:rsid w:val="00E94725"/>
    <w:rsid w:val="00E94743"/>
    <w:rsid w:val="00E947B8"/>
    <w:rsid w:val="00E9483B"/>
    <w:rsid w:val="00E94B4B"/>
    <w:rsid w:val="00E94B92"/>
    <w:rsid w:val="00E94C6A"/>
    <w:rsid w:val="00E94D6C"/>
    <w:rsid w:val="00E94D8D"/>
    <w:rsid w:val="00E94E1F"/>
    <w:rsid w:val="00E94EF8"/>
    <w:rsid w:val="00E94EF9"/>
    <w:rsid w:val="00E9522D"/>
    <w:rsid w:val="00E9525A"/>
    <w:rsid w:val="00E952DC"/>
    <w:rsid w:val="00E9556A"/>
    <w:rsid w:val="00E95576"/>
    <w:rsid w:val="00E957F5"/>
    <w:rsid w:val="00E958F7"/>
    <w:rsid w:val="00E959B3"/>
    <w:rsid w:val="00E95B91"/>
    <w:rsid w:val="00E95BAC"/>
    <w:rsid w:val="00E95C42"/>
    <w:rsid w:val="00E95DC1"/>
    <w:rsid w:val="00E95E7A"/>
    <w:rsid w:val="00E95EEB"/>
    <w:rsid w:val="00E95F0E"/>
    <w:rsid w:val="00E96052"/>
    <w:rsid w:val="00E960F4"/>
    <w:rsid w:val="00E9611B"/>
    <w:rsid w:val="00E96138"/>
    <w:rsid w:val="00E96448"/>
    <w:rsid w:val="00E9644B"/>
    <w:rsid w:val="00E9654C"/>
    <w:rsid w:val="00E96616"/>
    <w:rsid w:val="00E966BD"/>
    <w:rsid w:val="00E966C3"/>
    <w:rsid w:val="00E96856"/>
    <w:rsid w:val="00E9689A"/>
    <w:rsid w:val="00E9689B"/>
    <w:rsid w:val="00E96986"/>
    <w:rsid w:val="00E96BFB"/>
    <w:rsid w:val="00E96C13"/>
    <w:rsid w:val="00E96F29"/>
    <w:rsid w:val="00E97298"/>
    <w:rsid w:val="00E972DB"/>
    <w:rsid w:val="00E974BD"/>
    <w:rsid w:val="00E975A3"/>
    <w:rsid w:val="00E975A6"/>
    <w:rsid w:val="00E9762E"/>
    <w:rsid w:val="00E97711"/>
    <w:rsid w:val="00E977C3"/>
    <w:rsid w:val="00E977D9"/>
    <w:rsid w:val="00E978CD"/>
    <w:rsid w:val="00E97946"/>
    <w:rsid w:val="00E97A62"/>
    <w:rsid w:val="00E97AFF"/>
    <w:rsid w:val="00E97C90"/>
    <w:rsid w:val="00E97C9C"/>
    <w:rsid w:val="00E97D8A"/>
    <w:rsid w:val="00E97D96"/>
    <w:rsid w:val="00EA007D"/>
    <w:rsid w:val="00EA0118"/>
    <w:rsid w:val="00EA03F1"/>
    <w:rsid w:val="00EA06ED"/>
    <w:rsid w:val="00EA074E"/>
    <w:rsid w:val="00EA07B0"/>
    <w:rsid w:val="00EA07E4"/>
    <w:rsid w:val="00EA083D"/>
    <w:rsid w:val="00EA09BB"/>
    <w:rsid w:val="00EA0A26"/>
    <w:rsid w:val="00EA0B63"/>
    <w:rsid w:val="00EA0D80"/>
    <w:rsid w:val="00EA0DB6"/>
    <w:rsid w:val="00EA0F37"/>
    <w:rsid w:val="00EA0F70"/>
    <w:rsid w:val="00EA0F98"/>
    <w:rsid w:val="00EA1010"/>
    <w:rsid w:val="00EA103A"/>
    <w:rsid w:val="00EA1436"/>
    <w:rsid w:val="00EA15ED"/>
    <w:rsid w:val="00EA1786"/>
    <w:rsid w:val="00EA1958"/>
    <w:rsid w:val="00EA19B8"/>
    <w:rsid w:val="00EA1ACB"/>
    <w:rsid w:val="00EA1C34"/>
    <w:rsid w:val="00EA1F2F"/>
    <w:rsid w:val="00EA1FA5"/>
    <w:rsid w:val="00EA1FAB"/>
    <w:rsid w:val="00EA2024"/>
    <w:rsid w:val="00EA213A"/>
    <w:rsid w:val="00EA2161"/>
    <w:rsid w:val="00EA223D"/>
    <w:rsid w:val="00EA22DD"/>
    <w:rsid w:val="00EA230B"/>
    <w:rsid w:val="00EA2351"/>
    <w:rsid w:val="00EA23A1"/>
    <w:rsid w:val="00EA23BB"/>
    <w:rsid w:val="00EA24BB"/>
    <w:rsid w:val="00EA2650"/>
    <w:rsid w:val="00EA273D"/>
    <w:rsid w:val="00EA2962"/>
    <w:rsid w:val="00EA29BB"/>
    <w:rsid w:val="00EA2A2A"/>
    <w:rsid w:val="00EA2A9D"/>
    <w:rsid w:val="00EA2AC2"/>
    <w:rsid w:val="00EA2B7F"/>
    <w:rsid w:val="00EA2BE7"/>
    <w:rsid w:val="00EA2D9B"/>
    <w:rsid w:val="00EA30A7"/>
    <w:rsid w:val="00EA3166"/>
    <w:rsid w:val="00EA3384"/>
    <w:rsid w:val="00EA3442"/>
    <w:rsid w:val="00EA354B"/>
    <w:rsid w:val="00EA3609"/>
    <w:rsid w:val="00EA3635"/>
    <w:rsid w:val="00EA3684"/>
    <w:rsid w:val="00EA3738"/>
    <w:rsid w:val="00EA37FC"/>
    <w:rsid w:val="00EA3859"/>
    <w:rsid w:val="00EA389A"/>
    <w:rsid w:val="00EA38D5"/>
    <w:rsid w:val="00EA3AEE"/>
    <w:rsid w:val="00EA3D0A"/>
    <w:rsid w:val="00EA3E53"/>
    <w:rsid w:val="00EA4105"/>
    <w:rsid w:val="00EA411B"/>
    <w:rsid w:val="00EA44AA"/>
    <w:rsid w:val="00EA450D"/>
    <w:rsid w:val="00EA46F9"/>
    <w:rsid w:val="00EA46FA"/>
    <w:rsid w:val="00EA4753"/>
    <w:rsid w:val="00EA4781"/>
    <w:rsid w:val="00EA479A"/>
    <w:rsid w:val="00EA47C7"/>
    <w:rsid w:val="00EA4951"/>
    <w:rsid w:val="00EA4A21"/>
    <w:rsid w:val="00EA4BB4"/>
    <w:rsid w:val="00EA4DD6"/>
    <w:rsid w:val="00EA4EEE"/>
    <w:rsid w:val="00EA507C"/>
    <w:rsid w:val="00EA507E"/>
    <w:rsid w:val="00EA50FF"/>
    <w:rsid w:val="00EA5148"/>
    <w:rsid w:val="00EA51A6"/>
    <w:rsid w:val="00EA5288"/>
    <w:rsid w:val="00EA534D"/>
    <w:rsid w:val="00EA54A6"/>
    <w:rsid w:val="00EA58B5"/>
    <w:rsid w:val="00EA59F6"/>
    <w:rsid w:val="00EA5A06"/>
    <w:rsid w:val="00EA5AA1"/>
    <w:rsid w:val="00EA5C40"/>
    <w:rsid w:val="00EA5C57"/>
    <w:rsid w:val="00EA5DF0"/>
    <w:rsid w:val="00EA5E33"/>
    <w:rsid w:val="00EA5E5F"/>
    <w:rsid w:val="00EA5E6A"/>
    <w:rsid w:val="00EA5EAA"/>
    <w:rsid w:val="00EA5F3C"/>
    <w:rsid w:val="00EA5F8F"/>
    <w:rsid w:val="00EA5FFD"/>
    <w:rsid w:val="00EA60AF"/>
    <w:rsid w:val="00EA61DA"/>
    <w:rsid w:val="00EA627A"/>
    <w:rsid w:val="00EA62A6"/>
    <w:rsid w:val="00EA63C8"/>
    <w:rsid w:val="00EA6446"/>
    <w:rsid w:val="00EA644C"/>
    <w:rsid w:val="00EA667F"/>
    <w:rsid w:val="00EA682A"/>
    <w:rsid w:val="00EA68A1"/>
    <w:rsid w:val="00EA68D3"/>
    <w:rsid w:val="00EA693D"/>
    <w:rsid w:val="00EA6B21"/>
    <w:rsid w:val="00EA6BEA"/>
    <w:rsid w:val="00EA6C02"/>
    <w:rsid w:val="00EA6C2B"/>
    <w:rsid w:val="00EA6DF2"/>
    <w:rsid w:val="00EA6E31"/>
    <w:rsid w:val="00EA6EAA"/>
    <w:rsid w:val="00EA6EEC"/>
    <w:rsid w:val="00EA7069"/>
    <w:rsid w:val="00EA7141"/>
    <w:rsid w:val="00EA7151"/>
    <w:rsid w:val="00EA7165"/>
    <w:rsid w:val="00EA71FB"/>
    <w:rsid w:val="00EA722F"/>
    <w:rsid w:val="00EA7327"/>
    <w:rsid w:val="00EA73AA"/>
    <w:rsid w:val="00EA75CF"/>
    <w:rsid w:val="00EA75FB"/>
    <w:rsid w:val="00EA771F"/>
    <w:rsid w:val="00EA7835"/>
    <w:rsid w:val="00EA7937"/>
    <w:rsid w:val="00EA793C"/>
    <w:rsid w:val="00EA79A6"/>
    <w:rsid w:val="00EA7A44"/>
    <w:rsid w:val="00EA7ACD"/>
    <w:rsid w:val="00EA7B3C"/>
    <w:rsid w:val="00EA7D28"/>
    <w:rsid w:val="00EA7D88"/>
    <w:rsid w:val="00EA7F19"/>
    <w:rsid w:val="00EB0302"/>
    <w:rsid w:val="00EB03CC"/>
    <w:rsid w:val="00EB0413"/>
    <w:rsid w:val="00EB04A0"/>
    <w:rsid w:val="00EB0562"/>
    <w:rsid w:val="00EB0606"/>
    <w:rsid w:val="00EB0899"/>
    <w:rsid w:val="00EB08ED"/>
    <w:rsid w:val="00EB09E2"/>
    <w:rsid w:val="00EB0BED"/>
    <w:rsid w:val="00EB0CF1"/>
    <w:rsid w:val="00EB0E7F"/>
    <w:rsid w:val="00EB0F4E"/>
    <w:rsid w:val="00EB0FCB"/>
    <w:rsid w:val="00EB10C3"/>
    <w:rsid w:val="00EB1288"/>
    <w:rsid w:val="00EB1340"/>
    <w:rsid w:val="00EB1604"/>
    <w:rsid w:val="00EB16DD"/>
    <w:rsid w:val="00EB1832"/>
    <w:rsid w:val="00EB18C2"/>
    <w:rsid w:val="00EB1A6F"/>
    <w:rsid w:val="00EB1B85"/>
    <w:rsid w:val="00EB1D25"/>
    <w:rsid w:val="00EB1E00"/>
    <w:rsid w:val="00EB1F19"/>
    <w:rsid w:val="00EB214B"/>
    <w:rsid w:val="00EB229C"/>
    <w:rsid w:val="00EB23FE"/>
    <w:rsid w:val="00EB25E3"/>
    <w:rsid w:val="00EB2824"/>
    <w:rsid w:val="00EB289D"/>
    <w:rsid w:val="00EB2A99"/>
    <w:rsid w:val="00EB2C5A"/>
    <w:rsid w:val="00EB2CEE"/>
    <w:rsid w:val="00EB2D3F"/>
    <w:rsid w:val="00EB2D5C"/>
    <w:rsid w:val="00EB2E7B"/>
    <w:rsid w:val="00EB2F34"/>
    <w:rsid w:val="00EB2F45"/>
    <w:rsid w:val="00EB2F48"/>
    <w:rsid w:val="00EB2F5C"/>
    <w:rsid w:val="00EB3100"/>
    <w:rsid w:val="00EB3323"/>
    <w:rsid w:val="00EB3343"/>
    <w:rsid w:val="00EB338D"/>
    <w:rsid w:val="00EB3422"/>
    <w:rsid w:val="00EB34D2"/>
    <w:rsid w:val="00EB3507"/>
    <w:rsid w:val="00EB3543"/>
    <w:rsid w:val="00EB366E"/>
    <w:rsid w:val="00EB3762"/>
    <w:rsid w:val="00EB3823"/>
    <w:rsid w:val="00EB386D"/>
    <w:rsid w:val="00EB3892"/>
    <w:rsid w:val="00EB3943"/>
    <w:rsid w:val="00EB3973"/>
    <w:rsid w:val="00EB3995"/>
    <w:rsid w:val="00EB39C0"/>
    <w:rsid w:val="00EB3D56"/>
    <w:rsid w:val="00EB3D72"/>
    <w:rsid w:val="00EB3EBE"/>
    <w:rsid w:val="00EB40B4"/>
    <w:rsid w:val="00EB4171"/>
    <w:rsid w:val="00EB4182"/>
    <w:rsid w:val="00EB418D"/>
    <w:rsid w:val="00EB4275"/>
    <w:rsid w:val="00EB4329"/>
    <w:rsid w:val="00EB4356"/>
    <w:rsid w:val="00EB4374"/>
    <w:rsid w:val="00EB437E"/>
    <w:rsid w:val="00EB44D2"/>
    <w:rsid w:val="00EB4589"/>
    <w:rsid w:val="00EB466C"/>
    <w:rsid w:val="00EB46D4"/>
    <w:rsid w:val="00EB46FD"/>
    <w:rsid w:val="00EB4748"/>
    <w:rsid w:val="00EB4844"/>
    <w:rsid w:val="00EB4849"/>
    <w:rsid w:val="00EB487B"/>
    <w:rsid w:val="00EB492A"/>
    <w:rsid w:val="00EB49B9"/>
    <w:rsid w:val="00EB49DF"/>
    <w:rsid w:val="00EB4A19"/>
    <w:rsid w:val="00EB4A94"/>
    <w:rsid w:val="00EB4B0F"/>
    <w:rsid w:val="00EB4B58"/>
    <w:rsid w:val="00EB4C6C"/>
    <w:rsid w:val="00EB4D2D"/>
    <w:rsid w:val="00EB4DC1"/>
    <w:rsid w:val="00EB4ED6"/>
    <w:rsid w:val="00EB503B"/>
    <w:rsid w:val="00EB5151"/>
    <w:rsid w:val="00EB5437"/>
    <w:rsid w:val="00EB55A3"/>
    <w:rsid w:val="00EB562F"/>
    <w:rsid w:val="00EB57DC"/>
    <w:rsid w:val="00EB5868"/>
    <w:rsid w:val="00EB5A2D"/>
    <w:rsid w:val="00EB5C20"/>
    <w:rsid w:val="00EB5EA6"/>
    <w:rsid w:val="00EB6033"/>
    <w:rsid w:val="00EB603C"/>
    <w:rsid w:val="00EB60BF"/>
    <w:rsid w:val="00EB62E0"/>
    <w:rsid w:val="00EB62FE"/>
    <w:rsid w:val="00EB634D"/>
    <w:rsid w:val="00EB64D7"/>
    <w:rsid w:val="00EB65F8"/>
    <w:rsid w:val="00EB688D"/>
    <w:rsid w:val="00EB698D"/>
    <w:rsid w:val="00EB6A4B"/>
    <w:rsid w:val="00EB6B22"/>
    <w:rsid w:val="00EB6CD1"/>
    <w:rsid w:val="00EB6DFF"/>
    <w:rsid w:val="00EB6E33"/>
    <w:rsid w:val="00EB6EF0"/>
    <w:rsid w:val="00EB702E"/>
    <w:rsid w:val="00EB712E"/>
    <w:rsid w:val="00EB715C"/>
    <w:rsid w:val="00EB7231"/>
    <w:rsid w:val="00EB72B4"/>
    <w:rsid w:val="00EB73AD"/>
    <w:rsid w:val="00EB7582"/>
    <w:rsid w:val="00EB76C6"/>
    <w:rsid w:val="00EB774A"/>
    <w:rsid w:val="00EB7786"/>
    <w:rsid w:val="00EB7848"/>
    <w:rsid w:val="00EB78E6"/>
    <w:rsid w:val="00EB7929"/>
    <w:rsid w:val="00EB7930"/>
    <w:rsid w:val="00EB7963"/>
    <w:rsid w:val="00EB7B7D"/>
    <w:rsid w:val="00EB7CA4"/>
    <w:rsid w:val="00EB7D90"/>
    <w:rsid w:val="00EB7D96"/>
    <w:rsid w:val="00EB7ED6"/>
    <w:rsid w:val="00EB7FDE"/>
    <w:rsid w:val="00EB7FFA"/>
    <w:rsid w:val="00EC006C"/>
    <w:rsid w:val="00EC00F4"/>
    <w:rsid w:val="00EC0373"/>
    <w:rsid w:val="00EC0483"/>
    <w:rsid w:val="00EC04BD"/>
    <w:rsid w:val="00EC074E"/>
    <w:rsid w:val="00EC07A3"/>
    <w:rsid w:val="00EC088F"/>
    <w:rsid w:val="00EC0931"/>
    <w:rsid w:val="00EC0A3D"/>
    <w:rsid w:val="00EC0C80"/>
    <w:rsid w:val="00EC0D3E"/>
    <w:rsid w:val="00EC0E7C"/>
    <w:rsid w:val="00EC0F30"/>
    <w:rsid w:val="00EC10A6"/>
    <w:rsid w:val="00EC10C7"/>
    <w:rsid w:val="00EC11B0"/>
    <w:rsid w:val="00EC12B5"/>
    <w:rsid w:val="00EC1305"/>
    <w:rsid w:val="00EC1581"/>
    <w:rsid w:val="00EC15C2"/>
    <w:rsid w:val="00EC1656"/>
    <w:rsid w:val="00EC169D"/>
    <w:rsid w:val="00EC17CF"/>
    <w:rsid w:val="00EC1832"/>
    <w:rsid w:val="00EC199A"/>
    <w:rsid w:val="00EC19B4"/>
    <w:rsid w:val="00EC19CB"/>
    <w:rsid w:val="00EC1BAC"/>
    <w:rsid w:val="00EC1CDE"/>
    <w:rsid w:val="00EC1D40"/>
    <w:rsid w:val="00EC1D42"/>
    <w:rsid w:val="00EC1EB5"/>
    <w:rsid w:val="00EC214A"/>
    <w:rsid w:val="00EC214B"/>
    <w:rsid w:val="00EC21D7"/>
    <w:rsid w:val="00EC226B"/>
    <w:rsid w:val="00EC239F"/>
    <w:rsid w:val="00EC23D5"/>
    <w:rsid w:val="00EC25AC"/>
    <w:rsid w:val="00EC2889"/>
    <w:rsid w:val="00EC28AA"/>
    <w:rsid w:val="00EC28F8"/>
    <w:rsid w:val="00EC2971"/>
    <w:rsid w:val="00EC2A1F"/>
    <w:rsid w:val="00EC2BBB"/>
    <w:rsid w:val="00EC2BD7"/>
    <w:rsid w:val="00EC2C8B"/>
    <w:rsid w:val="00EC2CEE"/>
    <w:rsid w:val="00EC2F95"/>
    <w:rsid w:val="00EC2FB7"/>
    <w:rsid w:val="00EC30EC"/>
    <w:rsid w:val="00EC3284"/>
    <w:rsid w:val="00EC3299"/>
    <w:rsid w:val="00EC32A6"/>
    <w:rsid w:val="00EC33A4"/>
    <w:rsid w:val="00EC33AC"/>
    <w:rsid w:val="00EC3452"/>
    <w:rsid w:val="00EC35C7"/>
    <w:rsid w:val="00EC361E"/>
    <w:rsid w:val="00EC3648"/>
    <w:rsid w:val="00EC3836"/>
    <w:rsid w:val="00EC385F"/>
    <w:rsid w:val="00EC3878"/>
    <w:rsid w:val="00EC3958"/>
    <w:rsid w:val="00EC39CB"/>
    <w:rsid w:val="00EC3A61"/>
    <w:rsid w:val="00EC3A73"/>
    <w:rsid w:val="00EC3AA1"/>
    <w:rsid w:val="00EC3C03"/>
    <w:rsid w:val="00EC3CE3"/>
    <w:rsid w:val="00EC3DF8"/>
    <w:rsid w:val="00EC3EDF"/>
    <w:rsid w:val="00EC3EED"/>
    <w:rsid w:val="00EC3F8E"/>
    <w:rsid w:val="00EC4041"/>
    <w:rsid w:val="00EC4123"/>
    <w:rsid w:val="00EC4216"/>
    <w:rsid w:val="00EC433F"/>
    <w:rsid w:val="00EC43AD"/>
    <w:rsid w:val="00EC43E7"/>
    <w:rsid w:val="00EC441A"/>
    <w:rsid w:val="00EC442B"/>
    <w:rsid w:val="00EC4579"/>
    <w:rsid w:val="00EC45C1"/>
    <w:rsid w:val="00EC45CE"/>
    <w:rsid w:val="00EC48CC"/>
    <w:rsid w:val="00EC4ADD"/>
    <w:rsid w:val="00EC4B35"/>
    <w:rsid w:val="00EC4B7F"/>
    <w:rsid w:val="00EC52F4"/>
    <w:rsid w:val="00EC5528"/>
    <w:rsid w:val="00EC5646"/>
    <w:rsid w:val="00EC5694"/>
    <w:rsid w:val="00EC5783"/>
    <w:rsid w:val="00EC596D"/>
    <w:rsid w:val="00EC597B"/>
    <w:rsid w:val="00EC5B81"/>
    <w:rsid w:val="00EC5E2C"/>
    <w:rsid w:val="00EC5E3D"/>
    <w:rsid w:val="00EC5EC3"/>
    <w:rsid w:val="00EC6036"/>
    <w:rsid w:val="00EC6131"/>
    <w:rsid w:val="00EC6158"/>
    <w:rsid w:val="00EC61AD"/>
    <w:rsid w:val="00EC61C2"/>
    <w:rsid w:val="00EC62D5"/>
    <w:rsid w:val="00EC637D"/>
    <w:rsid w:val="00EC641E"/>
    <w:rsid w:val="00EC6451"/>
    <w:rsid w:val="00EC646D"/>
    <w:rsid w:val="00EC6632"/>
    <w:rsid w:val="00EC6887"/>
    <w:rsid w:val="00EC704E"/>
    <w:rsid w:val="00EC7105"/>
    <w:rsid w:val="00EC7117"/>
    <w:rsid w:val="00EC71AE"/>
    <w:rsid w:val="00EC7298"/>
    <w:rsid w:val="00EC72E2"/>
    <w:rsid w:val="00EC7364"/>
    <w:rsid w:val="00EC73B4"/>
    <w:rsid w:val="00EC7439"/>
    <w:rsid w:val="00EC76C4"/>
    <w:rsid w:val="00EC7763"/>
    <w:rsid w:val="00EC777F"/>
    <w:rsid w:val="00EC79CD"/>
    <w:rsid w:val="00EC7AA0"/>
    <w:rsid w:val="00EC7BAA"/>
    <w:rsid w:val="00EC7C0A"/>
    <w:rsid w:val="00EC7C53"/>
    <w:rsid w:val="00EC7D81"/>
    <w:rsid w:val="00EC7DCB"/>
    <w:rsid w:val="00EC7E6C"/>
    <w:rsid w:val="00EC7F0B"/>
    <w:rsid w:val="00ED01D4"/>
    <w:rsid w:val="00ED0285"/>
    <w:rsid w:val="00ED0299"/>
    <w:rsid w:val="00ED0320"/>
    <w:rsid w:val="00ED0337"/>
    <w:rsid w:val="00ED036E"/>
    <w:rsid w:val="00ED037D"/>
    <w:rsid w:val="00ED039B"/>
    <w:rsid w:val="00ED05E7"/>
    <w:rsid w:val="00ED06BA"/>
    <w:rsid w:val="00ED0750"/>
    <w:rsid w:val="00ED081F"/>
    <w:rsid w:val="00ED0820"/>
    <w:rsid w:val="00ED0884"/>
    <w:rsid w:val="00ED09F6"/>
    <w:rsid w:val="00ED09F8"/>
    <w:rsid w:val="00ED0ABA"/>
    <w:rsid w:val="00ED0B53"/>
    <w:rsid w:val="00ED0BDD"/>
    <w:rsid w:val="00ED0BE0"/>
    <w:rsid w:val="00ED0BE3"/>
    <w:rsid w:val="00ED0E26"/>
    <w:rsid w:val="00ED0E33"/>
    <w:rsid w:val="00ED0E41"/>
    <w:rsid w:val="00ED0ED7"/>
    <w:rsid w:val="00ED114D"/>
    <w:rsid w:val="00ED1176"/>
    <w:rsid w:val="00ED1313"/>
    <w:rsid w:val="00ED1841"/>
    <w:rsid w:val="00ED18AF"/>
    <w:rsid w:val="00ED198F"/>
    <w:rsid w:val="00ED1A03"/>
    <w:rsid w:val="00ED1AC4"/>
    <w:rsid w:val="00ED1C2C"/>
    <w:rsid w:val="00ED1D33"/>
    <w:rsid w:val="00ED1E38"/>
    <w:rsid w:val="00ED1E3B"/>
    <w:rsid w:val="00ED1E84"/>
    <w:rsid w:val="00ED1E86"/>
    <w:rsid w:val="00ED1F1C"/>
    <w:rsid w:val="00ED21C2"/>
    <w:rsid w:val="00ED21C6"/>
    <w:rsid w:val="00ED2253"/>
    <w:rsid w:val="00ED2338"/>
    <w:rsid w:val="00ED2370"/>
    <w:rsid w:val="00ED23D0"/>
    <w:rsid w:val="00ED24DC"/>
    <w:rsid w:val="00ED264A"/>
    <w:rsid w:val="00ED2666"/>
    <w:rsid w:val="00ED2784"/>
    <w:rsid w:val="00ED2A52"/>
    <w:rsid w:val="00ED2A7B"/>
    <w:rsid w:val="00ED2BF6"/>
    <w:rsid w:val="00ED2C3A"/>
    <w:rsid w:val="00ED2CDF"/>
    <w:rsid w:val="00ED2E44"/>
    <w:rsid w:val="00ED2EC3"/>
    <w:rsid w:val="00ED3032"/>
    <w:rsid w:val="00ED3189"/>
    <w:rsid w:val="00ED31DC"/>
    <w:rsid w:val="00ED32F6"/>
    <w:rsid w:val="00ED3314"/>
    <w:rsid w:val="00ED331B"/>
    <w:rsid w:val="00ED3511"/>
    <w:rsid w:val="00ED361B"/>
    <w:rsid w:val="00ED365D"/>
    <w:rsid w:val="00ED368A"/>
    <w:rsid w:val="00ED368B"/>
    <w:rsid w:val="00ED380F"/>
    <w:rsid w:val="00ED3839"/>
    <w:rsid w:val="00ED3B9E"/>
    <w:rsid w:val="00ED3BF8"/>
    <w:rsid w:val="00ED3F0E"/>
    <w:rsid w:val="00ED3F2D"/>
    <w:rsid w:val="00ED3FF3"/>
    <w:rsid w:val="00ED40E8"/>
    <w:rsid w:val="00ED4175"/>
    <w:rsid w:val="00ED4188"/>
    <w:rsid w:val="00ED41E0"/>
    <w:rsid w:val="00ED4292"/>
    <w:rsid w:val="00ED42DB"/>
    <w:rsid w:val="00ED4306"/>
    <w:rsid w:val="00ED4341"/>
    <w:rsid w:val="00ED4364"/>
    <w:rsid w:val="00ED4366"/>
    <w:rsid w:val="00ED4407"/>
    <w:rsid w:val="00ED4515"/>
    <w:rsid w:val="00ED451C"/>
    <w:rsid w:val="00ED4553"/>
    <w:rsid w:val="00ED458D"/>
    <w:rsid w:val="00ED4671"/>
    <w:rsid w:val="00ED467D"/>
    <w:rsid w:val="00ED46BB"/>
    <w:rsid w:val="00ED476C"/>
    <w:rsid w:val="00ED4783"/>
    <w:rsid w:val="00ED478B"/>
    <w:rsid w:val="00ED492A"/>
    <w:rsid w:val="00ED4AEC"/>
    <w:rsid w:val="00ED4B3C"/>
    <w:rsid w:val="00ED4BF7"/>
    <w:rsid w:val="00ED4C29"/>
    <w:rsid w:val="00ED4C31"/>
    <w:rsid w:val="00ED4C80"/>
    <w:rsid w:val="00ED4C85"/>
    <w:rsid w:val="00ED4E61"/>
    <w:rsid w:val="00ED4E70"/>
    <w:rsid w:val="00ED4F46"/>
    <w:rsid w:val="00ED4F7B"/>
    <w:rsid w:val="00ED504E"/>
    <w:rsid w:val="00ED51C0"/>
    <w:rsid w:val="00ED53E8"/>
    <w:rsid w:val="00ED5507"/>
    <w:rsid w:val="00ED56D0"/>
    <w:rsid w:val="00ED5732"/>
    <w:rsid w:val="00ED5866"/>
    <w:rsid w:val="00ED5B90"/>
    <w:rsid w:val="00ED5D30"/>
    <w:rsid w:val="00ED5F0F"/>
    <w:rsid w:val="00ED6172"/>
    <w:rsid w:val="00ED620F"/>
    <w:rsid w:val="00ED6262"/>
    <w:rsid w:val="00ED63B1"/>
    <w:rsid w:val="00ED64BC"/>
    <w:rsid w:val="00ED6718"/>
    <w:rsid w:val="00ED69B1"/>
    <w:rsid w:val="00ED69C4"/>
    <w:rsid w:val="00ED6B9E"/>
    <w:rsid w:val="00ED6EE2"/>
    <w:rsid w:val="00ED6F90"/>
    <w:rsid w:val="00ED6FB4"/>
    <w:rsid w:val="00ED706B"/>
    <w:rsid w:val="00ED726D"/>
    <w:rsid w:val="00ED735A"/>
    <w:rsid w:val="00ED73A5"/>
    <w:rsid w:val="00ED7647"/>
    <w:rsid w:val="00ED7760"/>
    <w:rsid w:val="00ED77A9"/>
    <w:rsid w:val="00ED785A"/>
    <w:rsid w:val="00ED7B16"/>
    <w:rsid w:val="00ED7D14"/>
    <w:rsid w:val="00ED7E4C"/>
    <w:rsid w:val="00EE01C9"/>
    <w:rsid w:val="00EE01CB"/>
    <w:rsid w:val="00EE0205"/>
    <w:rsid w:val="00EE023A"/>
    <w:rsid w:val="00EE02CD"/>
    <w:rsid w:val="00EE062D"/>
    <w:rsid w:val="00EE06A5"/>
    <w:rsid w:val="00EE0786"/>
    <w:rsid w:val="00EE07F8"/>
    <w:rsid w:val="00EE08B7"/>
    <w:rsid w:val="00EE0947"/>
    <w:rsid w:val="00EE0B0E"/>
    <w:rsid w:val="00EE0CDD"/>
    <w:rsid w:val="00EE0D97"/>
    <w:rsid w:val="00EE0F18"/>
    <w:rsid w:val="00EE0F4D"/>
    <w:rsid w:val="00EE0F84"/>
    <w:rsid w:val="00EE0F95"/>
    <w:rsid w:val="00EE1039"/>
    <w:rsid w:val="00EE1056"/>
    <w:rsid w:val="00EE13D6"/>
    <w:rsid w:val="00EE1460"/>
    <w:rsid w:val="00EE15BE"/>
    <w:rsid w:val="00EE1640"/>
    <w:rsid w:val="00EE1873"/>
    <w:rsid w:val="00EE18F9"/>
    <w:rsid w:val="00EE1961"/>
    <w:rsid w:val="00EE19C7"/>
    <w:rsid w:val="00EE19E3"/>
    <w:rsid w:val="00EE1A17"/>
    <w:rsid w:val="00EE1B69"/>
    <w:rsid w:val="00EE1BE8"/>
    <w:rsid w:val="00EE1CB3"/>
    <w:rsid w:val="00EE1D09"/>
    <w:rsid w:val="00EE20FC"/>
    <w:rsid w:val="00EE21B5"/>
    <w:rsid w:val="00EE233A"/>
    <w:rsid w:val="00EE2562"/>
    <w:rsid w:val="00EE25AE"/>
    <w:rsid w:val="00EE275A"/>
    <w:rsid w:val="00EE295C"/>
    <w:rsid w:val="00EE2A22"/>
    <w:rsid w:val="00EE2A7F"/>
    <w:rsid w:val="00EE2C56"/>
    <w:rsid w:val="00EE2D10"/>
    <w:rsid w:val="00EE2D30"/>
    <w:rsid w:val="00EE3066"/>
    <w:rsid w:val="00EE31F4"/>
    <w:rsid w:val="00EE3221"/>
    <w:rsid w:val="00EE3260"/>
    <w:rsid w:val="00EE3271"/>
    <w:rsid w:val="00EE3403"/>
    <w:rsid w:val="00EE3497"/>
    <w:rsid w:val="00EE35A5"/>
    <w:rsid w:val="00EE364A"/>
    <w:rsid w:val="00EE376F"/>
    <w:rsid w:val="00EE382F"/>
    <w:rsid w:val="00EE385C"/>
    <w:rsid w:val="00EE38E4"/>
    <w:rsid w:val="00EE3A13"/>
    <w:rsid w:val="00EE3B24"/>
    <w:rsid w:val="00EE3C9C"/>
    <w:rsid w:val="00EE3CF0"/>
    <w:rsid w:val="00EE4216"/>
    <w:rsid w:val="00EE4282"/>
    <w:rsid w:val="00EE42CD"/>
    <w:rsid w:val="00EE433A"/>
    <w:rsid w:val="00EE44DA"/>
    <w:rsid w:val="00EE4656"/>
    <w:rsid w:val="00EE46F4"/>
    <w:rsid w:val="00EE4706"/>
    <w:rsid w:val="00EE47D4"/>
    <w:rsid w:val="00EE481E"/>
    <w:rsid w:val="00EE4A01"/>
    <w:rsid w:val="00EE4A8E"/>
    <w:rsid w:val="00EE4AAF"/>
    <w:rsid w:val="00EE4B78"/>
    <w:rsid w:val="00EE4DD8"/>
    <w:rsid w:val="00EE4F1C"/>
    <w:rsid w:val="00EE4FA5"/>
    <w:rsid w:val="00EE5183"/>
    <w:rsid w:val="00EE540B"/>
    <w:rsid w:val="00EE540F"/>
    <w:rsid w:val="00EE5428"/>
    <w:rsid w:val="00EE54CB"/>
    <w:rsid w:val="00EE54EC"/>
    <w:rsid w:val="00EE5514"/>
    <w:rsid w:val="00EE57C8"/>
    <w:rsid w:val="00EE5A72"/>
    <w:rsid w:val="00EE5C55"/>
    <w:rsid w:val="00EE5C9B"/>
    <w:rsid w:val="00EE5D8A"/>
    <w:rsid w:val="00EE5EB8"/>
    <w:rsid w:val="00EE60AF"/>
    <w:rsid w:val="00EE6425"/>
    <w:rsid w:val="00EE64CE"/>
    <w:rsid w:val="00EE6520"/>
    <w:rsid w:val="00EE66B7"/>
    <w:rsid w:val="00EE6836"/>
    <w:rsid w:val="00EE6859"/>
    <w:rsid w:val="00EE6929"/>
    <w:rsid w:val="00EE6969"/>
    <w:rsid w:val="00EE6999"/>
    <w:rsid w:val="00EE6A51"/>
    <w:rsid w:val="00EE6BE3"/>
    <w:rsid w:val="00EE6FED"/>
    <w:rsid w:val="00EE709A"/>
    <w:rsid w:val="00EE709F"/>
    <w:rsid w:val="00EE70EB"/>
    <w:rsid w:val="00EE7130"/>
    <w:rsid w:val="00EE716B"/>
    <w:rsid w:val="00EE7193"/>
    <w:rsid w:val="00EE723D"/>
    <w:rsid w:val="00EE73AC"/>
    <w:rsid w:val="00EE73DF"/>
    <w:rsid w:val="00EE75B5"/>
    <w:rsid w:val="00EE76BD"/>
    <w:rsid w:val="00EE774C"/>
    <w:rsid w:val="00EE788B"/>
    <w:rsid w:val="00EE791E"/>
    <w:rsid w:val="00EE7947"/>
    <w:rsid w:val="00EE7A3F"/>
    <w:rsid w:val="00EE7AEF"/>
    <w:rsid w:val="00EE7D45"/>
    <w:rsid w:val="00EF0062"/>
    <w:rsid w:val="00EF023E"/>
    <w:rsid w:val="00EF0266"/>
    <w:rsid w:val="00EF0312"/>
    <w:rsid w:val="00EF04CD"/>
    <w:rsid w:val="00EF05AE"/>
    <w:rsid w:val="00EF06EE"/>
    <w:rsid w:val="00EF0747"/>
    <w:rsid w:val="00EF07BE"/>
    <w:rsid w:val="00EF0933"/>
    <w:rsid w:val="00EF0B17"/>
    <w:rsid w:val="00EF0B5E"/>
    <w:rsid w:val="00EF0CFF"/>
    <w:rsid w:val="00EF0D06"/>
    <w:rsid w:val="00EF0E9D"/>
    <w:rsid w:val="00EF0F0F"/>
    <w:rsid w:val="00EF0F21"/>
    <w:rsid w:val="00EF0FC0"/>
    <w:rsid w:val="00EF1108"/>
    <w:rsid w:val="00EF1291"/>
    <w:rsid w:val="00EF12A7"/>
    <w:rsid w:val="00EF138C"/>
    <w:rsid w:val="00EF139F"/>
    <w:rsid w:val="00EF13B0"/>
    <w:rsid w:val="00EF1467"/>
    <w:rsid w:val="00EF155D"/>
    <w:rsid w:val="00EF1674"/>
    <w:rsid w:val="00EF1816"/>
    <w:rsid w:val="00EF18B5"/>
    <w:rsid w:val="00EF190E"/>
    <w:rsid w:val="00EF19CD"/>
    <w:rsid w:val="00EF19F5"/>
    <w:rsid w:val="00EF1A42"/>
    <w:rsid w:val="00EF1CA5"/>
    <w:rsid w:val="00EF1D4A"/>
    <w:rsid w:val="00EF1E10"/>
    <w:rsid w:val="00EF21D3"/>
    <w:rsid w:val="00EF23EE"/>
    <w:rsid w:val="00EF2413"/>
    <w:rsid w:val="00EF25BE"/>
    <w:rsid w:val="00EF273C"/>
    <w:rsid w:val="00EF2852"/>
    <w:rsid w:val="00EF285D"/>
    <w:rsid w:val="00EF2887"/>
    <w:rsid w:val="00EF2A05"/>
    <w:rsid w:val="00EF2AAD"/>
    <w:rsid w:val="00EF2D7B"/>
    <w:rsid w:val="00EF2E5E"/>
    <w:rsid w:val="00EF2F41"/>
    <w:rsid w:val="00EF2FD4"/>
    <w:rsid w:val="00EF30DC"/>
    <w:rsid w:val="00EF318D"/>
    <w:rsid w:val="00EF31F2"/>
    <w:rsid w:val="00EF3254"/>
    <w:rsid w:val="00EF3266"/>
    <w:rsid w:val="00EF3458"/>
    <w:rsid w:val="00EF34CC"/>
    <w:rsid w:val="00EF35D7"/>
    <w:rsid w:val="00EF3657"/>
    <w:rsid w:val="00EF368A"/>
    <w:rsid w:val="00EF36B7"/>
    <w:rsid w:val="00EF3917"/>
    <w:rsid w:val="00EF3B1D"/>
    <w:rsid w:val="00EF4250"/>
    <w:rsid w:val="00EF4258"/>
    <w:rsid w:val="00EF4397"/>
    <w:rsid w:val="00EF4420"/>
    <w:rsid w:val="00EF45BC"/>
    <w:rsid w:val="00EF4660"/>
    <w:rsid w:val="00EF4760"/>
    <w:rsid w:val="00EF4789"/>
    <w:rsid w:val="00EF4827"/>
    <w:rsid w:val="00EF482F"/>
    <w:rsid w:val="00EF483C"/>
    <w:rsid w:val="00EF48C5"/>
    <w:rsid w:val="00EF49AD"/>
    <w:rsid w:val="00EF49DD"/>
    <w:rsid w:val="00EF4A1A"/>
    <w:rsid w:val="00EF4A38"/>
    <w:rsid w:val="00EF4AB8"/>
    <w:rsid w:val="00EF4C2D"/>
    <w:rsid w:val="00EF4C70"/>
    <w:rsid w:val="00EF4D83"/>
    <w:rsid w:val="00EF4E9A"/>
    <w:rsid w:val="00EF4EF4"/>
    <w:rsid w:val="00EF4F8B"/>
    <w:rsid w:val="00EF5052"/>
    <w:rsid w:val="00EF50D4"/>
    <w:rsid w:val="00EF512A"/>
    <w:rsid w:val="00EF5221"/>
    <w:rsid w:val="00EF537E"/>
    <w:rsid w:val="00EF5587"/>
    <w:rsid w:val="00EF5780"/>
    <w:rsid w:val="00EF57BD"/>
    <w:rsid w:val="00EF57E4"/>
    <w:rsid w:val="00EF5959"/>
    <w:rsid w:val="00EF596A"/>
    <w:rsid w:val="00EF59A3"/>
    <w:rsid w:val="00EF5A45"/>
    <w:rsid w:val="00EF5C79"/>
    <w:rsid w:val="00EF5CA6"/>
    <w:rsid w:val="00EF5D02"/>
    <w:rsid w:val="00EF5D67"/>
    <w:rsid w:val="00EF5DCC"/>
    <w:rsid w:val="00EF5EB5"/>
    <w:rsid w:val="00EF6084"/>
    <w:rsid w:val="00EF610B"/>
    <w:rsid w:val="00EF6122"/>
    <w:rsid w:val="00EF61BB"/>
    <w:rsid w:val="00EF622A"/>
    <w:rsid w:val="00EF6241"/>
    <w:rsid w:val="00EF62E3"/>
    <w:rsid w:val="00EF635A"/>
    <w:rsid w:val="00EF636F"/>
    <w:rsid w:val="00EF63DE"/>
    <w:rsid w:val="00EF645B"/>
    <w:rsid w:val="00EF6461"/>
    <w:rsid w:val="00EF68CF"/>
    <w:rsid w:val="00EF69A9"/>
    <w:rsid w:val="00EF6A58"/>
    <w:rsid w:val="00EF6A79"/>
    <w:rsid w:val="00EF6A81"/>
    <w:rsid w:val="00EF6B14"/>
    <w:rsid w:val="00EF6CD0"/>
    <w:rsid w:val="00EF6CD8"/>
    <w:rsid w:val="00EF6D97"/>
    <w:rsid w:val="00EF6E32"/>
    <w:rsid w:val="00EF6EC8"/>
    <w:rsid w:val="00EF6F4D"/>
    <w:rsid w:val="00EF6FA8"/>
    <w:rsid w:val="00EF708E"/>
    <w:rsid w:val="00EF71D4"/>
    <w:rsid w:val="00EF71D9"/>
    <w:rsid w:val="00EF72AE"/>
    <w:rsid w:val="00EF73A4"/>
    <w:rsid w:val="00EF7440"/>
    <w:rsid w:val="00EF756A"/>
    <w:rsid w:val="00EF75C5"/>
    <w:rsid w:val="00EF7654"/>
    <w:rsid w:val="00EF7687"/>
    <w:rsid w:val="00EF771E"/>
    <w:rsid w:val="00EF7760"/>
    <w:rsid w:val="00EF7837"/>
    <w:rsid w:val="00EF7838"/>
    <w:rsid w:val="00EF7B6F"/>
    <w:rsid w:val="00EF7C0E"/>
    <w:rsid w:val="00F000E5"/>
    <w:rsid w:val="00F0019C"/>
    <w:rsid w:val="00F0029E"/>
    <w:rsid w:val="00F003D3"/>
    <w:rsid w:val="00F00472"/>
    <w:rsid w:val="00F005D5"/>
    <w:rsid w:val="00F0072B"/>
    <w:rsid w:val="00F00854"/>
    <w:rsid w:val="00F008FB"/>
    <w:rsid w:val="00F00A96"/>
    <w:rsid w:val="00F00AAD"/>
    <w:rsid w:val="00F00AD6"/>
    <w:rsid w:val="00F00BAD"/>
    <w:rsid w:val="00F00BC5"/>
    <w:rsid w:val="00F00BE3"/>
    <w:rsid w:val="00F00C96"/>
    <w:rsid w:val="00F00D24"/>
    <w:rsid w:val="00F00D5E"/>
    <w:rsid w:val="00F00F91"/>
    <w:rsid w:val="00F01066"/>
    <w:rsid w:val="00F01191"/>
    <w:rsid w:val="00F011EA"/>
    <w:rsid w:val="00F012C4"/>
    <w:rsid w:val="00F013F3"/>
    <w:rsid w:val="00F01491"/>
    <w:rsid w:val="00F014C3"/>
    <w:rsid w:val="00F0150E"/>
    <w:rsid w:val="00F01512"/>
    <w:rsid w:val="00F015C6"/>
    <w:rsid w:val="00F015F7"/>
    <w:rsid w:val="00F0167C"/>
    <w:rsid w:val="00F01694"/>
    <w:rsid w:val="00F016E3"/>
    <w:rsid w:val="00F01781"/>
    <w:rsid w:val="00F01821"/>
    <w:rsid w:val="00F018C2"/>
    <w:rsid w:val="00F019DA"/>
    <w:rsid w:val="00F01A03"/>
    <w:rsid w:val="00F01AE6"/>
    <w:rsid w:val="00F01D16"/>
    <w:rsid w:val="00F01E29"/>
    <w:rsid w:val="00F01E6A"/>
    <w:rsid w:val="00F01EC8"/>
    <w:rsid w:val="00F021D9"/>
    <w:rsid w:val="00F021EE"/>
    <w:rsid w:val="00F0227C"/>
    <w:rsid w:val="00F023C6"/>
    <w:rsid w:val="00F02569"/>
    <w:rsid w:val="00F0259B"/>
    <w:rsid w:val="00F0271D"/>
    <w:rsid w:val="00F027D1"/>
    <w:rsid w:val="00F02847"/>
    <w:rsid w:val="00F02A89"/>
    <w:rsid w:val="00F02CFB"/>
    <w:rsid w:val="00F0318C"/>
    <w:rsid w:val="00F03348"/>
    <w:rsid w:val="00F0340D"/>
    <w:rsid w:val="00F03541"/>
    <w:rsid w:val="00F03596"/>
    <w:rsid w:val="00F0360A"/>
    <w:rsid w:val="00F03657"/>
    <w:rsid w:val="00F036D3"/>
    <w:rsid w:val="00F0397F"/>
    <w:rsid w:val="00F039BD"/>
    <w:rsid w:val="00F03BDB"/>
    <w:rsid w:val="00F03CB6"/>
    <w:rsid w:val="00F03D93"/>
    <w:rsid w:val="00F03D9D"/>
    <w:rsid w:val="00F03DFB"/>
    <w:rsid w:val="00F03E1B"/>
    <w:rsid w:val="00F03F29"/>
    <w:rsid w:val="00F0406A"/>
    <w:rsid w:val="00F040B5"/>
    <w:rsid w:val="00F041B9"/>
    <w:rsid w:val="00F04225"/>
    <w:rsid w:val="00F044BB"/>
    <w:rsid w:val="00F0471B"/>
    <w:rsid w:val="00F0475D"/>
    <w:rsid w:val="00F047B1"/>
    <w:rsid w:val="00F04819"/>
    <w:rsid w:val="00F04850"/>
    <w:rsid w:val="00F04860"/>
    <w:rsid w:val="00F048A2"/>
    <w:rsid w:val="00F04D37"/>
    <w:rsid w:val="00F04DE6"/>
    <w:rsid w:val="00F04E37"/>
    <w:rsid w:val="00F04E52"/>
    <w:rsid w:val="00F04ECD"/>
    <w:rsid w:val="00F04F40"/>
    <w:rsid w:val="00F04FBC"/>
    <w:rsid w:val="00F05052"/>
    <w:rsid w:val="00F05148"/>
    <w:rsid w:val="00F051AE"/>
    <w:rsid w:val="00F05332"/>
    <w:rsid w:val="00F053F5"/>
    <w:rsid w:val="00F05531"/>
    <w:rsid w:val="00F055E3"/>
    <w:rsid w:val="00F05733"/>
    <w:rsid w:val="00F05848"/>
    <w:rsid w:val="00F05961"/>
    <w:rsid w:val="00F05AD8"/>
    <w:rsid w:val="00F05D7A"/>
    <w:rsid w:val="00F05F8E"/>
    <w:rsid w:val="00F06385"/>
    <w:rsid w:val="00F063FC"/>
    <w:rsid w:val="00F06542"/>
    <w:rsid w:val="00F06696"/>
    <w:rsid w:val="00F066F5"/>
    <w:rsid w:val="00F0677C"/>
    <w:rsid w:val="00F06838"/>
    <w:rsid w:val="00F0688B"/>
    <w:rsid w:val="00F069F0"/>
    <w:rsid w:val="00F06A77"/>
    <w:rsid w:val="00F06AA0"/>
    <w:rsid w:val="00F06B2E"/>
    <w:rsid w:val="00F06B35"/>
    <w:rsid w:val="00F06B72"/>
    <w:rsid w:val="00F06B90"/>
    <w:rsid w:val="00F06C59"/>
    <w:rsid w:val="00F06CAA"/>
    <w:rsid w:val="00F06CFF"/>
    <w:rsid w:val="00F06D42"/>
    <w:rsid w:val="00F06D68"/>
    <w:rsid w:val="00F06D8C"/>
    <w:rsid w:val="00F06E1B"/>
    <w:rsid w:val="00F06F6D"/>
    <w:rsid w:val="00F070DC"/>
    <w:rsid w:val="00F070E5"/>
    <w:rsid w:val="00F07194"/>
    <w:rsid w:val="00F071AC"/>
    <w:rsid w:val="00F071C2"/>
    <w:rsid w:val="00F0725E"/>
    <w:rsid w:val="00F072F6"/>
    <w:rsid w:val="00F07488"/>
    <w:rsid w:val="00F07578"/>
    <w:rsid w:val="00F076A6"/>
    <w:rsid w:val="00F07976"/>
    <w:rsid w:val="00F07A7C"/>
    <w:rsid w:val="00F07BB6"/>
    <w:rsid w:val="00F07BCE"/>
    <w:rsid w:val="00F07EBA"/>
    <w:rsid w:val="00F100C4"/>
    <w:rsid w:val="00F1035E"/>
    <w:rsid w:val="00F103A5"/>
    <w:rsid w:val="00F104DD"/>
    <w:rsid w:val="00F10525"/>
    <w:rsid w:val="00F10689"/>
    <w:rsid w:val="00F106C2"/>
    <w:rsid w:val="00F107A2"/>
    <w:rsid w:val="00F107DF"/>
    <w:rsid w:val="00F10834"/>
    <w:rsid w:val="00F10A60"/>
    <w:rsid w:val="00F10A75"/>
    <w:rsid w:val="00F10AFF"/>
    <w:rsid w:val="00F10C26"/>
    <w:rsid w:val="00F10E1A"/>
    <w:rsid w:val="00F10EFA"/>
    <w:rsid w:val="00F10F52"/>
    <w:rsid w:val="00F10F7A"/>
    <w:rsid w:val="00F1102D"/>
    <w:rsid w:val="00F11135"/>
    <w:rsid w:val="00F11183"/>
    <w:rsid w:val="00F112BB"/>
    <w:rsid w:val="00F11408"/>
    <w:rsid w:val="00F114DA"/>
    <w:rsid w:val="00F11963"/>
    <w:rsid w:val="00F11A3F"/>
    <w:rsid w:val="00F11A9B"/>
    <w:rsid w:val="00F11B13"/>
    <w:rsid w:val="00F11C0E"/>
    <w:rsid w:val="00F11CBB"/>
    <w:rsid w:val="00F11CED"/>
    <w:rsid w:val="00F11DCE"/>
    <w:rsid w:val="00F11EE7"/>
    <w:rsid w:val="00F11EEC"/>
    <w:rsid w:val="00F11F06"/>
    <w:rsid w:val="00F12118"/>
    <w:rsid w:val="00F121EC"/>
    <w:rsid w:val="00F12407"/>
    <w:rsid w:val="00F12784"/>
    <w:rsid w:val="00F12850"/>
    <w:rsid w:val="00F1292E"/>
    <w:rsid w:val="00F12DD5"/>
    <w:rsid w:val="00F12F8A"/>
    <w:rsid w:val="00F13020"/>
    <w:rsid w:val="00F13061"/>
    <w:rsid w:val="00F13152"/>
    <w:rsid w:val="00F1315F"/>
    <w:rsid w:val="00F133DE"/>
    <w:rsid w:val="00F135FA"/>
    <w:rsid w:val="00F13604"/>
    <w:rsid w:val="00F1367A"/>
    <w:rsid w:val="00F1381C"/>
    <w:rsid w:val="00F1393F"/>
    <w:rsid w:val="00F13B27"/>
    <w:rsid w:val="00F13B92"/>
    <w:rsid w:val="00F13BD5"/>
    <w:rsid w:val="00F13E56"/>
    <w:rsid w:val="00F13EE5"/>
    <w:rsid w:val="00F14004"/>
    <w:rsid w:val="00F14062"/>
    <w:rsid w:val="00F14077"/>
    <w:rsid w:val="00F14194"/>
    <w:rsid w:val="00F14203"/>
    <w:rsid w:val="00F142EE"/>
    <w:rsid w:val="00F144B2"/>
    <w:rsid w:val="00F144CE"/>
    <w:rsid w:val="00F145D2"/>
    <w:rsid w:val="00F145F3"/>
    <w:rsid w:val="00F1463F"/>
    <w:rsid w:val="00F146BD"/>
    <w:rsid w:val="00F14786"/>
    <w:rsid w:val="00F14B6B"/>
    <w:rsid w:val="00F14E86"/>
    <w:rsid w:val="00F14EFE"/>
    <w:rsid w:val="00F14F8D"/>
    <w:rsid w:val="00F1503C"/>
    <w:rsid w:val="00F150BA"/>
    <w:rsid w:val="00F15270"/>
    <w:rsid w:val="00F152C6"/>
    <w:rsid w:val="00F152E6"/>
    <w:rsid w:val="00F153E4"/>
    <w:rsid w:val="00F154E1"/>
    <w:rsid w:val="00F155D9"/>
    <w:rsid w:val="00F1574A"/>
    <w:rsid w:val="00F15777"/>
    <w:rsid w:val="00F15856"/>
    <w:rsid w:val="00F15887"/>
    <w:rsid w:val="00F15998"/>
    <w:rsid w:val="00F159A7"/>
    <w:rsid w:val="00F15D08"/>
    <w:rsid w:val="00F15D76"/>
    <w:rsid w:val="00F15DBB"/>
    <w:rsid w:val="00F15E37"/>
    <w:rsid w:val="00F15E51"/>
    <w:rsid w:val="00F15F88"/>
    <w:rsid w:val="00F15FDA"/>
    <w:rsid w:val="00F16010"/>
    <w:rsid w:val="00F1623E"/>
    <w:rsid w:val="00F16254"/>
    <w:rsid w:val="00F1626D"/>
    <w:rsid w:val="00F164B9"/>
    <w:rsid w:val="00F16595"/>
    <w:rsid w:val="00F16882"/>
    <w:rsid w:val="00F16935"/>
    <w:rsid w:val="00F16AE6"/>
    <w:rsid w:val="00F16B97"/>
    <w:rsid w:val="00F16C12"/>
    <w:rsid w:val="00F16C22"/>
    <w:rsid w:val="00F16C90"/>
    <w:rsid w:val="00F16CAE"/>
    <w:rsid w:val="00F16D23"/>
    <w:rsid w:val="00F16DAF"/>
    <w:rsid w:val="00F16ED3"/>
    <w:rsid w:val="00F16ED6"/>
    <w:rsid w:val="00F170A3"/>
    <w:rsid w:val="00F1714B"/>
    <w:rsid w:val="00F171CC"/>
    <w:rsid w:val="00F1730A"/>
    <w:rsid w:val="00F1731A"/>
    <w:rsid w:val="00F174C2"/>
    <w:rsid w:val="00F17582"/>
    <w:rsid w:val="00F175D8"/>
    <w:rsid w:val="00F1768A"/>
    <w:rsid w:val="00F177A6"/>
    <w:rsid w:val="00F17898"/>
    <w:rsid w:val="00F1793A"/>
    <w:rsid w:val="00F17A27"/>
    <w:rsid w:val="00F17A69"/>
    <w:rsid w:val="00F17B92"/>
    <w:rsid w:val="00F17BD7"/>
    <w:rsid w:val="00F17C5C"/>
    <w:rsid w:val="00F17D85"/>
    <w:rsid w:val="00F17DE0"/>
    <w:rsid w:val="00F17F40"/>
    <w:rsid w:val="00F2021F"/>
    <w:rsid w:val="00F2050F"/>
    <w:rsid w:val="00F20543"/>
    <w:rsid w:val="00F20807"/>
    <w:rsid w:val="00F20C6A"/>
    <w:rsid w:val="00F20D77"/>
    <w:rsid w:val="00F20DC0"/>
    <w:rsid w:val="00F20DE7"/>
    <w:rsid w:val="00F20E59"/>
    <w:rsid w:val="00F20E75"/>
    <w:rsid w:val="00F20F81"/>
    <w:rsid w:val="00F21097"/>
    <w:rsid w:val="00F21277"/>
    <w:rsid w:val="00F212CD"/>
    <w:rsid w:val="00F21440"/>
    <w:rsid w:val="00F21601"/>
    <w:rsid w:val="00F21646"/>
    <w:rsid w:val="00F216B2"/>
    <w:rsid w:val="00F217EB"/>
    <w:rsid w:val="00F2190D"/>
    <w:rsid w:val="00F21915"/>
    <w:rsid w:val="00F219D3"/>
    <w:rsid w:val="00F219E0"/>
    <w:rsid w:val="00F21A16"/>
    <w:rsid w:val="00F21BF3"/>
    <w:rsid w:val="00F21CC8"/>
    <w:rsid w:val="00F21D2B"/>
    <w:rsid w:val="00F21D8D"/>
    <w:rsid w:val="00F21DC4"/>
    <w:rsid w:val="00F21EA0"/>
    <w:rsid w:val="00F21F46"/>
    <w:rsid w:val="00F21F6A"/>
    <w:rsid w:val="00F22349"/>
    <w:rsid w:val="00F2237B"/>
    <w:rsid w:val="00F224F4"/>
    <w:rsid w:val="00F22502"/>
    <w:rsid w:val="00F22695"/>
    <w:rsid w:val="00F22910"/>
    <w:rsid w:val="00F2299E"/>
    <w:rsid w:val="00F229BA"/>
    <w:rsid w:val="00F229D7"/>
    <w:rsid w:val="00F22B14"/>
    <w:rsid w:val="00F22BC1"/>
    <w:rsid w:val="00F22CC3"/>
    <w:rsid w:val="00F22CF7"/>
    <w:rsid w:val="00F22EB7"/>
    <w:rsid w:val="00F22F20"/>
    <w:rsid w:val="00F22F29"/>
    <w:rsid w:val="00F2303E"/>
    <w:rsid w:val="00F23153"/>
    <w:rsid w:val="00F2322F"/>
    <w:rsid w:val="00F232E6"/>
    <w:rsid w:val="00F23348"/>
    <w:rsid w:val="00F23392"/>
    <w:rsid w:val="00F23411"/>
    <w:rsid w:val="00F2344B"/>
    <w:rsid w:val="00F2346A"/>
    <w:rsid w:val="00F234B8"/>
    <w:rsid w:val="00F2360C"/>
    <w:rsid w:val="00F238E1"/>
    <w:rsid w:val="00F238F8"/>
    <w:rsid w:val="00F2391B"/>
    <w:rsid w:val="00F2392E"/>
    <w:rsid w:val="00F239E0"/>
    <w:rsid w:val="00F23B6A"/>
    <w:rsid w:val="00F23C2E"/>
    <w:rsid w:val="00F23C8B"/>
    <w:rsid w:val="00F23D4A"/>
    <w:rsid w:val="00F23D6C"/>
    <w:rsid w:val="00F23D9A"/>
    <w:rsid w:val="00F23E2E"/>
    <w:rsid w:val="00F23EFE"/>
    <w:rsid w:val="00F2409D"/>
    <w:rsid w:val="00F2418E"/>
    <w:rsid w:val="00F2423E"/>
    <w:rsid w:val="00F24373"/>
    <w:rsid w:val="00F244F4"/>
    <w:rsid w:val="00F2462C"/>
    <w:rsid w:val="00F24633"/>
    <w:rsid w:val="00F2463F"/>
    <w:rsid w:val="00F246E7"/>
    <w:rsid w:val="00F246F5"/>
    <w:rsid w:val="00F247C6"/>
    <w:rsid w:val="00F248B7"/>
    <w:rsid w:val="00F24A13"/>
    <w:rsid w:val="00F24BFC"/>
    <w:rsid w:val="00F24C24"/>
    <w:rsid w:val="00F24C58"/>
    <w:rsid w:val="00F24C9B"/>
    <w:rsid w:val="00F24CA9"/>
    <w:rsid w:val="00F24DAA"/>
    <w:rsid w:val="00F24DBD"/>
    <w:rsid w:val="00F24E3E"/>
    <w:rsid w:val="00F24E3F"/>
    <w:rsid w:val="00F24F47"/>
    <w:rsid w:val="00F25182"/>
    <w:rsid w:val="00F252AD"/>
    <w:rsid w:val="00F25395"/>
    <w:rsid w:val="00F2549D"/>
    <w:rsid w:val="00F25541"/>
    <w:rsid w:val="00F255FB"/>
    <w:rsid w:val="00F25623"/>
    <w:rsid w:val="00F2565D"/>
    <w:rsid w:val="00F25692"/>
    <w:rsid w:val="00F25862"/>
    <w:rsid w:val="00F25898"/>
    <w:rsid w:val="00F258D2"/>
    <w:rsid w:val="00F25A9E"/>
    <w:rsid w:val="00F25AA3"/>
    <w:rsid w:val="00F25AB6"/>
    <w:rsid w:val="00F25B44"/>
    <w:rsid w:val="00F25B6B"/>
    <w:rsid w:val="00F25BAE"/>
    <w:rsid w:val="00F25BCA"/>
    <w:rsid w:val="00F25C04"/>
    <w:rsid w:val="00F25CFA"/>
    <w:rsid w:val="00F25D51"/>
    <w:rsid w:val="00F25E39"/>
    <w:rsid w:val="00F25E3C"/>
    <w:rsid w:val="00F25ED9"/>
    <w:rsid w:val="00F25F06"/>
    <w:rsid w:val="00F25FE8"/>
    <w:rsid w:val="00F260EB"/>
    <w:rsid w:val="00F2614F"/>
    <w:rsid w:val="00F2618A"/>
    <w:rsid w:val="00F26197"/>
    <w:rsid w:val="00F26239"/>
    <w:rsid w:val="00F2629D"/>
    <w:rsid w:val="00F262BC"/>
    <w:rsid w:val="00F26746"/>
    <w:rsid w:val="00F26809"/>
    <w:rsid w:val="00F2680B"/>
    <w:rsid w:val="00F26A19"/>
    <w:rsid w:val="00F26A86"/>
    <w:rsid w:val="00F26A9B"/>
    <w:rsid w:val="00F26B85"/>
    <w:rsid w:val="00F26CA9"/>
    <w:rsid w:val="00F26D76"/>
    <w:rsid w:val="00F26D88"/>
    <w:rsid w:val="00F26E0D"/>
    <w:rsid w:val="00F26E8D"/>
    <w:rsid w:val="00F26F21"/>
    <w:rsid w:val="00F27090"/>
    <w:rsid w:val="00F270E8"/>
    <w:rsid w:val="00F2732A"/>
    <w:rsid w:val="00F2746D"/>
    <w:rsid w:val="00F275EF"/>
    <w:rsid w:val="00F277DC"/>
    <w:rsid w:val="00F27960"/>
    <w:rsid w:val="00F27A4A"/>
    <w:rsid w:val="00F27BAB"/>
    <w:rsid w:val="00F27C5E"/>
    <w:rsid w:val="00F27CFE"/>
    <w:rsid w:val="00F27E10"/>
    <w:rsid w:val="00F27F79"/>
    <w:rsid w:val="00F27FBF"/>
    <w:rsid w:val="00F30081"/>
    <w:rsid w:val="00F30103"/>
    <w:rsid w:val="00F302AF"/>
    <w:rsid w:val="00F30405"/>
    <w:rsid w:val="00F3055F"/>
    <w:rsid w:val="00F305C0"/>
    <w:rsid w:val="00F306CD"/>
    <w:rsid w:val="00F307BA"/>
    <w:rsid w:val="00F30872"/>
    <w:rsid w:val="00F308E4"/>
    <w:rsid w:val="00F30C41"/>
    <w:rsid w:val="00F30C5A"/>
    <w:rsid w:val="00F30F3C"/>
    <w:rsid w:val="00F30FDF"/>
    <w:rsid w:val="00F310F1"/>
    <w:rsid w:val="00F311E8"/>
    <w:rsid w:val="00F3127B"/>
    <w:rsid w:val="00F31414"/>
    <w:rsid w:val="00F3149F"/>
    <w:rsid w:val="00F31554"/>
    <w:rsid w:val="00F3170D"/>
    <w:rsid w:val="00F31768"/>
    <w:rsid w:val="00F3182E"/>
    <w:rsid w:val="00F3196F"/>
    <w:rsid w:val="00F319E6"/>
    <w:rsid w:val="00F31A51"/>
    <w:rsid w:val="00F31BA3"/>
    <w:rsid w:val="00F31C06"/>
    <w:rsid w:val="00F31DF2"/>
    <w:rsid w:val="00F31E95"/>
    <w:rsid w:val="00F31F21"/>
    <w:rsid w:val="00F32094"/>
    <w:rsid w:val="00F32250"/>
    <w:rsid w:val="00F322DB"/>
    <w:rsid w:val="00F323B3"/>
    <w:rsid w:val="00F324AA"/>
    <w:rsid w:val="00F3261D"/>
    <w:rsid w:val="00F32650"/>
    <w:rsid w:val="00F3267A"/>
    <w:rsid w:val="00F32703"/>
    <w:rsid w:val="00F32794"/>
    <w:rsid w:val="00F327CE"/>
    <w:rsid w:val="00F328B5"/>
    <w:rsid w:val="00F32A7D"/>
    <w:rsid w:val="00F32A92"/>
    <w:rsid w:val="00F32BC4"/>
    <w:rsid w:val="00F32BCD"/>
    <w:rsid w:val="00F32D8D"/>
    <w:rsid w:val="00F32E8A"/>
    <w:rsid w:val="00F33004"/>
    <w:rsid w:val="00F33082"/>
    <w:rsid w:val="00F33155"/>
    <w:rsid w:val="00F333BF"/>
    <w:rsid w:val="00F33438"/>
    <w:rsid w:val="00F339F7"/>
    <w:rsid w:val="00F33ABC"/>
    <w:rsid w:val="00F33C4C"/>
    <w:rsid w:val="00F33D2F"/>
    <w:rsid w:val="00F33D5F"/>
    <w:rsid w:val="00F33D9C"/>
    <w:rsid w:val="00F33FA7"/>
    <w:rsid w:val="00F34111"/>
    <w:rsid w:val="00F3417C"/>
    <w:rsid w:val="00F3420C"/>
    <w:rsid w:val="00F342ED"/>
    <w:rsid w:val="00F3444A"/>
    <w:rsid w:val="00F3446D"/>
    <w:rsid w:val="00F344E1"/>
    <w:rsid w:val="00F34547"/>
    <w:rsid w:val="00F345C1"/>
    <w:rsid w:val="00F346C1"/>
    <w:rsid w:val="00F3477D"/>
    <w:rsid w:val="00F347A8"/>
    <w:rsid w:val="00F347D2"/>
    <w:rsid w:val="00F347ED"/>
    <w:rsid w:val="00F3484A"/>
    <w:rsid w:val="00F348D3"/>
    <w:rsid w:val="00F34A38"/>
    <w:rsid w:val="00F34B5F"/>
    <w:rsid w:val="00F34C06"/>
    <w:rsid w:val="00F34C0A"/>
    <w:rsid w:val="00F350EE"/>
    <w:rsid w:val="00F3512C"/>
    <w:rsid w:val="00F3517A"/>
    <w:rsid w:val="00F35201"/>
    <w:rsid w:val="00F3527C"/>
    <w:rsid w:val="00F35460"/>
    <w:rsid w:val="00F35637"/>
    <w:rsid w:val="00F356AD"/>
    <w:rsid w:val="00F356C2"/>
    <w:rsid w:val="00F35827"/>
    <w:rsid w:val="00F3583D"/>
    <w:rsid w:val="00F359AD"/>
    <w:rsid w:val="00F359FD"/>
    <w:rsid w:val="00F35A60"/>
    <w:rsid w:val="00F35AE6"/>
    <w:rsid w:val="00F35B95"/>
    <w:rsid w:val="00F35C92"/>
    <w:rsid w:val="00F35CA9"/>
    <w:rsid w:val="00F35CBF"/>
    <w:rsid w:val="00F35EBB"/>
    <w:rsid w:val="00F35ED8"/>
    <w:rsid w:val="00F3600C"/>
    <w:rsid w:val="00F360FB"/>
    <w:rsid w:val="00F36267"/>
    <w:rsid w:val="00F36360"/>
    <w:rsid w:val="00F364B7"/>
    <w:rsid w:val="00F364E6"/>
    <w:rsid w:val="00F36567"/>
    <w:rsid w:val="00F365B5"/>
    <w:rsid w:val="00F365EF"/>
    <w:rsid w:val="00F3677C"/>
    <w:rsid w:val="00F367D5"/>
    <w:rsid w:val="00F3680D"/>
    <w:rsid w:val="00F3686C"/>
    <w:rsid w:val="00F36899"/>
    <w:rsid w:val="00F368BE"/>
    <w:rsid w:val="00F368F3"/>
    <w:rsid w:val="00F36A04"/>
    <w:rsid w:val="00F36CDA"/>
    <w:rsid w:val="00F36F39"/>
    <w:rsid w:val="00F370DD"/>
    <w:rsid w:val="00F371C4"/>
    <w:rsid w:val="00F3728D"/>
    <w:rsid w:val="00F373D1"/>
    <w:rsid w:val="00F375F9"/>
    <w:rsid w:val="00F376CF"/>
    <w:rsid w:val="00F37745"/>
    <w:rsid w:val="00F377C3"/>
    <w:rsid w:val="00F378DF"/>
    <w:rsid w:val="00F378EA"/>
    <w:rsid w:val="00F379CA"/>
    <w:rsid w:val="00F37BE1"/>
    <w:rsid w:val="00F37CE5"/>
    <w:rsid w:val="00F37D98"/>
    <w:rsid w:val="00F37DAC"/>
    <w:rsid w:val="00F37F04"/>
    <w:rsid w:val="00F37FF8"/>
    <w:rsid w:val="00F4005E"/>
    <w:rsid w:val="00F400C8"/>
    <w:rsid w:val="00F4020E"/>
    <w:rsid w:val="00F4025F"/>
    <w:rsid w:val="00F403CF"/>
    <w:rsid w:val="00F4054B"/>
    <w:rsid w:val="00F4067D"/>
    <w:rsid w:val="00F406E5"/>
    <w:rsid w:val="00F40794"/>
    <w:rsid w:val="00F408A1"/>
    <w:rsid w:val="00F408E7"/>
    <w:rsid w:val="00F4094E"/>
    <w:rsid w:val="00F40A32"/>
    <w:rsid w:val="00F40C24"/>
    <w:rsid w:val="00F40C7E"/>
    <w:rsid w:val="00F40E4A"/>
    <w:rsid w:val="00F41034"/>
    <w:rsid w:val="00F41092"/>
    <w:rsid w:val="00F41149"/>
    <w:rsid w:val="00F411EB"/>
    <w:rsid w:val="00F4130D"/>
    <w:rsid w:val="00F4131C"/>
    <w:rsid w:val="00F41363"/>
    <w:rsid w:val="00F41485"/>
    <w:rsid w:val="00F414CC"/>
    <w:rsid w:val="00F4154B"/>
    <w:rsid w:val="00F415D7"/>
    <w:rsid w:val="00F4163C"/>
    <w:rsid w:val="00F41A13"/>
    <w:rsid w:val="00F41ACA"/>
    <w:rsid w:val="00F41B21"/>
    <w:rsid w:val="00F41C37"/>
    <w:rsid w:val="00F41C52"/>
    <w:rsid w:val="00F41CA2"/>
    <w:rsid w:val="00F41D28"/>
    <w:rsid w:val="00F41DDD"/>
    <w:rsid w:val="00F41E11"/>
    <w:rsid w:val="00F41F99"/>
    <w:rsid w:val="00F41FD9"/>
    <w:rsid w:val="00F4209F"/>
    <w:rsid w:val="00F420E8"/>
    <w:rsid w:val="00F4227F"/>
    <w:rsid w:val="00F423DC"/>
    <w:rsid w:val="00F4256E"/>
    <w:rsid w:val="00F42649"/>
    <w:rsid w:val="00F426EE"/>
    <w:rsid w:val="00F426F5"/>
    <w:rsid w:val="00F427E5"/>
    <w:rsid w:val="00F42856"/>
    <w:rsid w:val="00F428C3"/>
    <w:rsid w:val="00F42988"/>
    <w:rsid w:val="00F42A45"/>
    <w:rsid w:val="00F42A90"/>
    <w:rsid w:val="00F42AE6"/>
    <w:rsid w:val="00F42AF0"/>
    <w:rsid w:val="00F42B23"/>
    <w:rsid w:val="00F42B27"/>
    <w:rsid w:val="00F42BD2"/>
    <w:rsid w:val="00F42D9C"/>
    <w:rsid w:val="00F42F9C"/>
    <w:rsid w:val="00F431EA"/>
    <w:rsid w:val="00F4329B"/>
    <w:rsid w:val="00F434C6"/>
    <w:rsid w:val="00F43515"/>
    <w:rsid w:val="00F43660"/>
    <w:rsid w:val="00F4387D"/>
    <w:rsid w:val="00F43942"/>
    <w:rsid w:val="00F4397B"/>
    <w:rsid w:val="00F43BC2"/>
    <w:rsid w:val="00F43BED"/>
    <w:rsid w:val="00F43D71"/>
    <w:rsid w:val="00F43DF0"/>
    <w:rsid w:val="00F43ED4"/>
    <w:rsid w:val="00F440A9"/>
    <w:rsid w:val="00F4414B"/>
    <w:rsid w:val="00F441E0"/>
    <w:rsid w:val="00F44304"/>
    <w:rsid w:val="00F4432F"/>
    <w:rsid w:val="00F443F3"/>
    <w:rsid w:val="00F4450C"/>
    <w:rsid w:val="00F4450E"/>
    <w:rsid w:val="00F4462C"/>
    <w:rsid w:val="00F4485D"/>
    <w:rsid w:val="00F44B4A"/>
    <w:rsid w:val="00F44C13"/>
    <w:rsid w:val="00F44C3E"/>
    <w:rsid w:val="00F44D09"/>
    <w:rsid w:val="00F44E2C"/>
    <w:rsid w:val="00F44E2D"/>
    <w:rsid w:val="00F44F16"/>
    <w:rsid w:val="00F44F67"/>
    <w:rsid w:val="00F45084"/>
    <w:rsid w:val="00F4514E"/>
    <w:rsid w:val="00F451B4"/>
    <w:rsid w:val="00F45434"/>
    <w:rsid w:val="00F455AC"/>
    <w:rsid w:val="00F4568C"/>
    <w:rsid w:val="00F45725"/>
    <w:rsid w:val="00F457CA"/>
    <w:rsid w:val="00F458A9"/>
    <w:rsid w:val="00F45ACE"/>
    <w:rsid w:val="00F45B5E"/>
    <w:rsid w:val="00F45B98"/>
    <w:rsid w:val="00F45BFE"/>
    <w:rsid w:val="00F45C71"/>
    <w:rsid w:val="00F46239"/>
    <w:rsid w:val="00F465DE"/>
    <w:rsid w:val="00F46859"/>
    <w:rsid w:val="00F46976"/>
    <w:rsid w:val="00F46A01"/>
    <w:rsid w:val="00F46A25"/>
    <w:rsid w:val="00F46A3A"/>
    <w:rsid w:val="00F46B96"/>
    <w:rsid w:val="00F46BBB"/>
    <w:rsid w:val="00F46BF0"/>
    <w:rsid w:val="00F46D7D"/>
    <w:rsid w:val="00F46EC9"/>
    <w:rsid w:val="00F46F83"/>
    <w:rsid w:val="00F470D8"/>
    <w:rsid w:val="00F471E1"/>
    <w:rsid w:val="00F476CA"/>
    <w:rsid w:val="00F477FF"/>
    <w:rsid w:val="00F478B9"/>
    <w:rsid w:val="00F47A41"/>
    <w:rsid w:val="00F47D68"/>
    <w:rsid w:val="00F47DF5"/>
    <w:rsid w:val="00F47FE6"/>
    <w:rsid w:val="00F501CC"/>
    <w:rsid w:val="00F50225"/>
    <w:rsid w:val="00F502BD"/>
    <w:rsid w:val="00F50357"/>
    <w:rsid w:val="00F504E5"/>
    <w:rsid w:val="00F5061A"/>
    <w:rsid w:val="00F5063D"/>
    <w:rsid w:val="00F508AB"/>
    <w:rsid w:val="00F509B9"/>
    <w:rsid w:val="00F50D28"/>
    <w:rsid w:val="00F50E07"/>
    <w:rsid w:val="00F50EC9"/>
    <w:rsid w:val="00F50ED2"/>
    <w:rsid w:val="00F50EE4"/>
    <w:rsid w:val="00F50F8B"/>
    <w:rsid w:val="00F50F99"/>
    <w:rsid w:val="00F50FAA"/>
    <w:rsid w:val="00F51004"/>
    <w:rsid w:val="00F510A2"/>
    <w:rsid w:val="00F511A8"/>
    <w:rsid w:val="00F51225"/>
    <w:rsid w:val="00F51325"/>
    <w:rsid w:val="00F51440"/>
    <w:rsid w:val="00F51456"/>
    <w:rsid w:val="00F51480"/>
    <w:rsid w:val="00F514EE"/>
    <w:rsid w:val="00F51574"/>
    <w:rsid w:val="00F51974"/>
    <w:rsid w:val="00F51A8A"/>
    <w:rsid w:val="00F51AC3"/>
    <w:rsid w:val="00F51B18"/>
    <w:rsid w:val="00F51BC6"/>
    <w:rsid w:val="00F52126"/>
    <w:rsid w:val="00F52271"/>
    <w:rsid w:val="00F522DA"/>
    <w:rsid w:val="00F523C8"/>
    <w:rsid w:val="00F524FF"/>
    <w:rsid w:val="00F52553"/>
    <w:rsid w:val="00F52715"/>
    <w:rsid w:val="00F52AA4"/>
    <w:rsid w:val="00F52B3F"/>
    <w:rsid w:val="00F52C42"/>
    <w:rsid w:val="00F52C77"/>
    <w:rsid w:val="00F52C84"/>
    <w:rsid w:val="00F52D01"/>
    <w:rsid w:val="00F52E7F"/>
    <w:rsid w:val="00F52F82"/>
    <w:rsid w:val="00F530EF"/>
    <w:rsid w:val="00F5321E"/>
    <w:rsid w:val="00F532F6"/>
    <w:rsid w:val="00F53518"/>
    <w:rsid w:val="00F535A8"/>
    <w:rsid w:val="00F53606"/>
    <w:rsid w:val="00F53827"/>
    <w:rsid w:val="00F53925"/>
    <w:rsid w:val="00F53A2E"/>
    <w:rsid w:val="00F53A38"/>
    <w:rsid w:val="00F53C6E"/>
    <w:rsid w:val="00F53E6D"/>
    <w:rsid w:val="00F53F41"/>
    <w:rsid w:val="00F540AB"/>
    <w:rsid w:val="00F54102"/>
    <w:rsid w:val="00F54345"/>
    <w:rsid w:val="00F545F1"/>
    <w:rsid w:val="00F5467E"/>
    <w:rsid w:val="00F54765"/>
    <w:rsid w:val="00F548E2"/>
    <w:rsid w:val="00F54949"/>
    <w:rsid w:val="00F549CC"/>
    <w:rsid w:val="00F54A45"/>
    <w:rsid w:val="00F54CB5"/>
    <w:rsid w:val="00F54DCD"/>
    <w:rsid w:val="00F54DEE"/>
    <w:rsid w:val="00F54E21"/>
    <w:rsid w:val="00F54F13"/>
    <w:rsid w:val="00F54F34"/>
    <w:rsid w:val="00F550C9"/>
    <w:rsid w:val="00F55136"/>
    <w:rsid w:val="00F55185"/>
    <w:rsid w:val="00F5540E"/>
    <w:rsid w:val="00F55419"/>
    <w:rsid w:val="00F554E9"/>
    <w:rsid w:val="00F55965"/>
    <w:rsid w:val="00F55A99"/>
    <w:rsid w:val="00F55B7E"/>
    <w:rsid w:val="00F55EDE"/>
    <w:rsid w:val="00F55FE0"/>
    <w:rsid w:val="00F560C6"/>
    <w:rsid w:val="00F561E5"/>
    <w:rsid w:val="00F5620C"/>
    <w:rsid w:val="00F56251"/>
    <w:rsid w:val="00F56275"/>
    <w:rsid w:val="00F56360"/>
    <w:rsid w:val="00F5644C"/>
    <w:rsid w:val="00F5644D"/>
    <w:rsid w:val="00F56692"/>
    <w:rsid w:val="00F566DA"/>
    <w:rsid w:val="00F567CE"/>
    <w:rsid w:val="00F5691C"/>
    <w:rsid w:val="00F569A5"/>
    <w:rsid w:val="00F569AE"/>
    <w:rsid w:val="00F56A04"/>
    <w:rsid w:val="00F56A6D"/>
    <w:rsid w:val="00F56A94"/>
    <w:rsid w:val="00F56BA6"/>
    <w:rsid w:val="00F56CD4"/>
    <w:rsid w:val="00F56D0A"/>
    <w:rsid w:val="00F56E92"/>
    <w:rsid w:val="00F56F12"/>
    <w:rsid w:val="00F56FC9"/>
    <w:rsid w:val="00F570B4"/>
    <w:rsid w:val="00F57367"/>
    <w:rsid w:val="00F57725"/>
    <w:rsid w:val="00F577FF"/>
    <w:rsid w:val="00F57A41"/>
    <w:rsid w:val="00F57A75"/>
    <w:rsid w:val="00F57AF6"/>
    <w:rsid w:val="00F57B29"/>
    <w:rsid w:val="00F57D97"/>
    <w:rsid w:val="00F57D9E"/>
    <w:rsid w:val="00F57E19"/>
    <w:rsid w:val="00F57F18"/>
    <w:rsid w:val="00F57FB6"/>
    <w:rsid w:val="00F57FED"/>
    <w:rsid w:val="00F601A4"/>
    <w:rsid w:val="00F60284"/>
    <w:rsid w:val="00F60322"/>
    <w:rsid w:val="00F60536"/>
    <w:rsid w:val="00F60555"/>
    <w:rsid w:val="00F605B1"/>
    <w:rsid w:val="00F60648"/>
    <w:rsid w:val="00F606E7"/>
    <w:rsid w:val="00F60818"/>
    <w:rsid w:val="00F6098D"/>
    <w:rsid w:val="00F60CD0"/>
    <w:rsid w:val="00F60CE8"/>
    <w:rsid w:val="00F60D09"/>
    <w:rsid w:val="00F61102"/>
    <w:rsid w:val="00F6124F"/>
    <w:rsid w:val="00F61420"/>
    <w:rsid w:val="00F615D4"/>
    <w:rsid w:val="00F6165F"/>
    <w:rsid w:val="00F618DD"/>
    <w:rsid w:val="00F61914"/>
    <w:rsid w:val="00F61A03"/>
    <w:rsid w:val="00F61E54"/>
    <w:rsid w:val="00F61F03"/>
    <w:rsid w:val="00F61F63"/>
    <w:rsid w:val="00F61FE6"/>
    <w:rsid w:val="00F62109"/>
    <w:rsid w:val="00F6231B"/>
    <w:rsid w:val="00F62449"/>
    <w:rsid w:val="00F6258E"/>
    <w:rsid w:val="00F625D0"/>
    <w:rsid w:val="00F6263B"/>
    <w:rsid w:val="00F626DB"/>
    <w:rsid w:val="00F62781"/>
    <w:rsid w:val="00F62820"/>
    <w:rsid w:val="00F6298E"/>
    <w:rsid w:val="00F629BF"/>
    <w:rsid w:val="00F62A27"/>
    <w:rsid w:val="00F62A7C"/>
    <w:rsid w:val="00F62B4B"/>
    <w:rsid w:val="00F62DAA"/>
    <w:rsid w:val="00F62E30"/>
    <w:rsid w:val="00F630BE"/>
    <w:rsid w:val="00F63192"/>
    <w:rsid w:val="00F63360"/>
    <w:rsid w:val="00F633A3"/>
    <w:rsid w:val="00F63478"/>
    <w:rsid w:val="00F634A1"/>
    <w:rsid w:val="00F635D9"/>
    <w:rsid w:val="00F6366C"/>
    <w:rsid w:val="00F637FF"/>
    <w:rsid w:val="00F63808"/>
    <w:rsid w:val="00F63D34"/>
    <w:rsid w:val="00F63D41"/>
    <w:rsid w:val="00F63DFA"/>
    <w:rsid w:val="00F63E6A"/>
    <w:rsid w:val="00F63FEF"/>
    <w:rsid w:val="00F640E8"/>
    <w:rsid w:val="00F64220"/>
    <w:rsid w:val="00F644B6"/>
    <w:rsid w:val="00F645DB"/>
    <w:rsid w:val="00F645E0"/>
    <w:rsid w:val="00F6462A"/>
    <w:rsid w:val="00F64789"/>
    <w:rsid w:val="00F6482C"/>
    <w:rsid w:val="00F648A6"/>
    <w:rsid w:val="00F64A2E"/>
    <w:rsid w:val="00F64A4E"/>
    <w:rsid w:val="00F64A6C"/>
    <w:rsid w:val="00F64D85"/>
    <w:rsid w:val="00F64ED6"/>
    <w:rsid w:val="00F64F38"/>
    <w:rsid w:val="00F64F57"/>
    <w:rsid w:val="00F64F58"/>
    <w:rsid w:val="00F64F6D"/>
    <w:rsid w:val="00F64FD0"/>
    <w:rsid w:val="00F65171"/>
    <w:rsid w:val="00F6531F"/>
    <w:rsid w:val="00F65520"/>
    <w:rsid w:val="00F6555D"/>
    <w:rsid w:val="00F65AA1"/>
    <w:rsid w:val="00F65AAF"/>
    <w:rsid w:val="00F65CB5"/>
    <w:rsid w:val="00F65D21"/>
    <w:rsid w:val="00F65F1F"/>
    <w:rsid w:val="00F66055"/>
    <w:rsid w:val="00F66061"/>
    <w:rsid w:val="00F6634C"/>
    <w:rsid w:val="00F663A5"/>
    <w:rsid w:val="00F665EA"/>
    <w:rsid w:val="00F66602"/>
    <w:rsid w:val="00F6670B"/>
    <w:rsid w:val="00F66724"/>
    <w:rsid w:val="00F66847"/>
    <w:rsid w:val="00F66AB4"/>
    <w:rsid w:val="00F66AFF"/>
    <w:rsid w:val="00F66C55"/>
    <w:rsid w:val="00F66E71"/>
    <w:rsid w:val="00F66ED9"/>
    <w:rsid w:val="00F67092"/>
    <w:rsid w:val="00F67139"/>
    <w:rsid w:val="00F67156"/>
    <w:rsid w:val="00F67354"/>
    <w:rsid w:val="00F67444"/>
    <w:rsid w:val="00F677E1"/>
    <w:rsid w:val="00F6788F"/>
    <w:rsid w:val="00F67892"/>
    <w:rsid w:val="00F679D0"/>
    <w:rsid w:val="00F679D8"/>
    <w:rsid w:val="00F67BE3"/>
    <w:rsid w:val="00F67D79"/>
    <w:rsid w:val="00F67E40"/>
    <w:rsid w:val="00F7009E"/>
    <w:rsid w:val="00F700F6"/>
    <w:rsid w:val="00F70102"/>
    <w:rsid w:val="00F701ED"/>
    <w:rsid w:val="00F7025A"/>
    <w:rsid w:val="00F70435"/>
    <w:rsid w:val="00F7049D"/>
    <w:rsid w:val="00F7057F"/>
    <w:rsid w:val="00F70699"/>
    <w:rsid w:val="00F7079E"/>
    <w:rsid w:val="00F707BF"/>
    <w:rsid w:val="00F708C8"/>
    <w:rsid w:val="00F70906"/>
    <w:rsid w:val="00F7094C"/>
    <w:rsid w:val="00F70969"/>
    <w:rsid w:val="00F7096E"/>
    <w:rsid w:val="00F70A0A"/>
    <w:rsid w:val="00F70A48"/>
    <w:rsid w:val="00F70AC4"/>
    <w:rsid w:val="00F70B86"/>
    <w:rsid w:val="00F70B96"/>
    <w:rsid w:val="00F70CA1"/>
    <w:rsid w:val="00F70CA3"/>
    <w:rsid w:val="00F70DFA"/>
    <w:rsid w:val="00F70E58"/>
    <w:rsid w:val="00F70F65"/>
    <w:rsid w:val="00F70FB1"/>
    <w:rsid w:val="00F71010"/>
    <w:rsid w:val="00F71058"/>
    <w:rsid w:val="00F7117B"/>
    <w:rsid w:val="00F71244"/>
    <w:rsid w:val="00F712F7"/>
    <w:rsid w:val="00F716BE"/>
    <w:rsid w:val="00F71871"/>
    <w:rsid w:val="00F7194B"/>
    <w:rsid w:val="00F71ABE"/>
    <w:rsid w:val="00F71C0E"/>
    <w:rsid w:val="00F71D6F"/>
    <w:rsid w:val="00F71DB5"/>
    <w:rsid w:val="00F71DF9"/>
    <w:rsid w:val="00F71E8D"/>
    <w:rsid w:val="00F71F15"/>
    <w:rsid w:val="00F72012"/>
    <w:rsid w:val="00F720D5"/>
    <w:rsid w:val="00F72176"/>
    <w:rsid w:val="00F7237D"/>
    <w:rsid w:val="00F724B5"/>
    <w:rsid w:val="00F724E5"/>
    <w:rsid w:val="00F725D5"/>
    <w:rsid w:val="00F726CF"/>
    <w:rsid w:val="00F7290A"/>
    <w:rsid w:val="00F72A6E"/>
    <w:rsid w:val="00F72A92"/>
    <w:rsid w:val="00F72B3C"/>
    <w:rsid w:val="00F72BF7"/>
    <w:rsid w:val="00F72C96"/>
    <w:rsid w:val="00F72D2A"/>
    <w:rsid w:val="00F72DA6"/>
    <w:rsid w:val="00F72EF1"/>
    <w:rsid w:val="00F72F16"/>
    <w:rsid w:val="00F7308B"/>
    <w:rsid w:val="00F73117"/>
    <w:rsid w:val="00F73198"/>
    <w:rsid w:val="00F733B3"/>
    <w:rsid w:val="00F73421"/>
    <w:rsid w:val="00F7346B"/>
    <w:rsid w:val="00F734AB"/>
    <w:rsid w:val="00F735F6"/>
    <w:rsid w:val="00F73658"/>
    <w:rsid w:val="00F73973"/>
    <w:rsid w:val="00F73B67"/>
    <w:rsid w:val="00F73C86"/>
    <w:rsid w:val="00F73D8D"/>
    <w:rsid w:val="00F73F2A"/>
    <w:rsid w:val="00F73F67"/>
    <w:rsid w:val="00F73F6A"/>
    <w:rsid w:val="00F73F8B"/>
    <w:rsid w:val="00F74035"/>
    <w:rsid w:val="00F74049"/>
    <w:rsid w:val="00F740F7"/>
    <w:rsid w:val="00F741A1"/>
    <w:rsid w:val="00F741DE"/>
    <w:rsid w:val="00F74245"/>
    <w:rsid w:val="00F7425E"/>
    <w:rsid w:val="00F742F2"/>
    <w:rsid w:val="00F7450D"/>
    <w:rsid w:val="00F74531"/>
    <w:rsid w:val="00F7466D"/>
    <w:rsid w:val="00F7473F"/>
    <w:rsid w:val="00F7479E"/>
    <w:rsid w:val="00F748C1"/>
    <w:rsid w:val="00F74965"/>
    <w:rsid w:val="00F74A3C"/>
    <w:rsid w:val="00F74A9C"/>
    <w:rsid w:val="00F74AA9"/>
    <w:rsid w:val="00F74AFC"/>
    <w:rsid w:val="00F74B85"/>
    <w:rsid w:val="00F74BE0"/>
    <w:rsid w:val="00F74C18"/>
    <w:rsid w:val="00F74D2F"/>
    <w:rsid w:val="00F74DD3"/>
    <w:rsid w:val="00F74E1A"/>
    <w:rsid w:val="00F75089"/>
    <w:rsid w:val="00F750B4"/>
    <w:rsid w:val="00F753F6"/>
    <w:rsid w:val="00F754EF"/>
    <w:rsid w:val="00F75760"/>
    <w:rsid w:val="00F75861"/>
    <w:rsid w:val="00F75A5D"/>
    <w:rsid w:val="00F75A5F"/>
    <w:rsid w:val="00F75B7B"/>
    <w:rsid w:val="00F75BCE"/>
    <w:rsid w:val="00F75C32"/>
    <w:rsid w:val="00F75DAF"/>
    <w:rsid w:val="00F76189"/>
    <w:rsid w:val="00F762B4"/>
    <w:rsid w:val="00F76357"/>
    <w:rsid w:val="00F7647A"/>
    <w:rsid w:val="00F765BA"/>
    <w:rsid w:val="00F766FA"/>
    <w:rsid w:val="00F76761"/>
    <w:rsid w:val="00F7692C"/>
    <w:rsid w:val="00F76933"/>
    <w:rsid w:val="00F76B60"/>
    <w:rsid w:val="00F76CBB"/>
    <w:rsid w:val="00F76D6B"/>
    <w:rsid w:val="00F76D86"/>
    <w:rsid w:val="00F76E2C"/>
    <w:rsid w:val="00F76FC9"/>
    <w:rsid w:val="00F771BC"/>
    <w:rsid w:val="00F7738A"/>
    <w:rsid w:val="00F773A9"/>
    <w:rsid w:val="00F774C7"/>
    <w:rsid w:val="00F774CA"/>
    <w:rsid w:val="00F775F0"/>
    <w:rsid w:val="00F777C7"/>
    <w:rsid w:val="00F7780A"/>
    <w:rsid w:val="00F778C0"/>
    <w:rsid w:val="00F77BB8"/>
    <w:rsid w:val="00F77BE1"/>
    <w:rsid w:val="00F77DB4"/>
    <w:rsid w:val="00F77FDA"/>
    <w:rsid w:val="00F801AA"/>
    <w:rsid w:val="00F8022A"/>
    <w:rsid w:val="00F80371"/>
    <w:rsid w:val="00F803AA"/>
    <w:rsid w:val="00F80483"/>
    <w:rsid w:val="00F80499"/>
    <w:rsid w:val="00F804DE"/>
    <w:rsid w:val="00F8066B"/>
    <w:rsid w:val="00F806C6"/>
    <w:rsid w:val="00F808D1"/>
    <w:rsid w:val="00F8094D"/>
    <w:rsid w:val="00F809E7"/>
    <w:rsid w:val="00F80BB3"/>
    <w:rsid w:val="00F80E8B"/>
    <w:rsid w:val="00F80ED7"/>
    <w:rsid w:val="00F80EEB"/>
    <w:rsid w:val="00F80FA3"/>
    <w:rsid w:val="00F81011"/>
    <w:rsid w:val="00F8115C"/>
    <w:rsid w:val="00F8130E"/>
    <w:rsid w:val="00F81442"/>
    <w:rsid w:val="00F81477"/>
    <w:rsid w:val="00F814F3"/>
    <w:rsid w:val="00F814FF"/>
    <w:rsid w:val="00F816B8"/>
    <w:rsid w:val="00F81847"/>
    <w:rsid w:val="00F81912"/>
    <w:rsid w:val="00F81AE2"/>
    <w:rsid w:val="00F81B9C"/>
    <w:rsid w:val="00F81CDC"/>
    <w:rsid w:val="00F81D28"/>
    <w:rsid w:val="00F81FCB"/>
    <w:rsid w:val="00F81FE8"/>
    <w:rsid w:val="00F820A0"/>
    <w:rsid w:val="00F820FF"/>
    <w:rsid w:val="00F8213A"/>
    <w:rsid w:val="00F82269"/>
    <w:rsid w:val="00F8247F"/>
    <w:rsid w:val="00F826F3"/>
    <w:rsid w:val="00F82723"/>
    <w:rsid w:val="00F827A6"/>
    <w:rsid w:val="00F828ED"/>
    <w:rsid w:val="00F82972"/>
    <w:rsid w:val="00F829EB"/>
    <w:rsid w:val="00F82BAB"/>
    <w:rsid w:val="00F82BD9"/>
    <w:rsid w:val="00F82C32"/>
    <w:rsid w:val="00F82CEE"/>
    <w:rsid w:val="00F82D11"/>
    <w:rsid w:val="00F82DF1"/>
    <w:rsid w:val="00F82F09"/>
    <w:rsid w:val="00F82F56"/>
    <w:rsid w:val="00F83271"/>
    <w:rsid w:val="00F833DF"/>
    <w:rsid w:val="00F83437"/>
    <w:rsid w:val="00F83447"/>
    <w:rsid w:val="00F8348E"/>
    <w:rsid w:val="00F83572"/>
    <w:rsid w:val="00F83597"/>
    <w:rsid w:val="00F835F6"/>
    <w:rsid w:val="00F8362E"/>
    <w:rsid w:val="00F8365B"/>
    <w:rsid w:val="00F83675"/>
    <w:rsid w:val="00F836AE"/>
    <w:rsid w:val="00F836CA"/>
    <w:rsid w:val="00F8386C"/>
    <w:rsid w:val="00F83C41"/>
    <w:rsid w:val="00F83D03"/>
    <w:rsid w:val="00F83DD4"/>
    <w:rsid w:val="00F83E07"/>
    <w:rsid w:val="00F83E60"/>
    <w:rsid w:val="00F83EB5"/>
    <w:rsid w:val="00F83F68"/>
    <w:rsid w:val="00F8400D"/>
    <w:rsid w:val="00F84053"/>
    <w:rsid w:val="00F84368"/>
    <w:rsid w:val="00F8442F"/>
    <w:rsid w:val="00F84548"/>
    <w:rsid w:val="00F846FC"/>
    <w:rsid w:val="00F847F2"/>
    <w:rsid w:val="00F84A84"/>
    <w:rsid w:val="00F84AF3"/>
    <w:rsid w:val="00F84C87"/>
    <w:rsid w:val="00F84CC2"/>
    <w:rsid w:val="00F84D00"/>
    <w:rsid w:val="00F84D5B"/>
    <w:rsid w:val="00F84E41"/>
    <w:rsid w:val="00F85169"/>
    <w:rsid w:val="00F85244"/>
    <w:rsid w:val="00F852C0"/>
    <w:rsid w:val="00F853F1"/>
    <w:rsid w:val="00F85436"/>
    <w:rsid w:val="00F854B9"/>
    <w:rsid w:val="00F8563C"/>
    <w:rsid w:val="00F8566A"/>
    <w:rsid w:val="00F856DD"/>
    <w:rsid w:val="00F85724"/>
    <w:rsid w:val="00F8572F"/>
    <w:rsid w:val="00F85743"/>
    <w:rsid w:val="00F858B2"/>
    <w:rsid w:val="00F858D3"/>
    <w:rsid w:val="00F8598D"/>
    <w:rsid w:val="00F85C27"/>
    <w:rsid w:val="00F85C4B"/>
    <w:rsid w:val="00F85DA7"/>
    <w:rsid w:val="00F85F8C"/>
    <w:rsid w:val="00F86044"/>
    <w:rsid w:val="00F8620D"/>
    <w:rsid w:val="00F8630F"/>
    <w:rsid w:val="00F863F4"/>
    <w:rsid w:val="00F86460"/>
    <w:rsid w:val="00F864CC"/>
    <w:rsid w:val="00F866EB"/>
    <w:rsid w:val="00F867F2"/>
    <w:rsid w:val="00F86A1D"/>
    <w:rsid w:val="00F86BA0"/>
    <w:rsid w:val="00F86CA1"/>
    <w:rsid w:val="00F86CB1"/>
    <w:rsid w:val="00F86E82"/>
    <w:rsid w:val="00F86F5E"/>
    <w:rsid w:val="00F8720D"/>
    <w:rsid w:val="00F87260"/>
    <w:rsid w:val="00F873FB"/>
    <w:rsid w:val="00F87427"/>
    <w:rsid w:val="00F87556"/>
    <w:rsid w:val="00F8767C"/>
    <w:rsid w:val="00F87974"/>
    <w:rsid w:val="00F879C4"/>
    <w:rsid w:val="00F87AAA"/>
    <w:rsid w:val="00F87B22"/>
    <w:rsid w:val="00F87B4F"/>
    <w:rsid w:val="00F87D90"/>
    <w:rsid w:val="00F87F23"/>
    <w:rsid w:val="00F87FD2"/>
    <w:rsid w:val="00F87FE7"/>
    <w:rsid w:val="00F87FF2"/>
    <w:rsid w:val="00F90142"/>
    <w:rsid w:val="00F9014A"/>
    <w:rsid w:val="00F90168"/>
    <w:rsid w:val="00F9018D"/>
    <w:rsid w:val="00F9026B"/>
    <w:rsid w:val="00F90575"/>
    <w:rsid w:val="00F906BB"/>
    <w:rsid w:val="00F90931"/>
    <w:rsid w:val="00F90A17"/>
    <w:rsid w:val="00F90B34"/>
    <w:rsid w:val="00F90C90"/>
    <w:rsid w:val="00F90CC9"/>
    <w:rsid w:val="00F90D46"/>
    <w:rsid w:val="00F90ED9"/>
    <w:rsid w:val="00F90EF3"/>
    <w:rsid w:val="00F90FD0"/>
    <w:rsid w:val="00F91069"/>
    <w:rsid w:val="00F91441"/>
    <w:rsid w:val="00F915FC"/>
    <w:rsid w:val="00F9163B"/>
    <w:rsid w:val="00F91691"/>
    <w:rsid w:val="00F916F3"/>
    <w:rsid w:val="00F9174C"/>
    <w:rsid w:val="00F918FA"/>
    <w:rsid w:val="00F919EE"/>
    <w:rsid w:val="00F91C0D"/>
    <w:rsid w:val="00F91C22"/>
    <w:rsid w:val="00F92039"/>
    <w:rsid w:val="00F92074"/>
    <w:rsid w:val="00F920C1"/>
    <w:rsid w:val="00F920D9"/>
    <w:rsid w:val="00F92254"/>
    <w:rsid w:val="00F92277"/>
    <w:rsid w:val="00F923BF"/>
    <w:rsid w:val="00F92408"/>
    <w:rsid w:val="00F924AB"/>
    <w:rsid w:val="00F925A8"/>
    <w:rsid w:val="00F925C8"/>
    <w:rsid w:val="00F926CE"/>
    <w:rsid w:val="00F927DC"/>
    <w:rsid w:val="00F9294C"/>
    <w:rsid w:val="00F92B18"/>
    <w:rsid w:val="00F92BC9"/>
    <w:rsid w:val="00F92F32"/>
    <w:rsid w:val="00F92FA5"/>
    <w:rsid w:val="00F92FEF"/>
    <w:rsid w:val="00F9308C"/>
    <w:rsid w:val="00F930B6"/>
    <w:rsid w:val="00F9315B"/>
    <w:rsid w:val="00F93188"/>
    <w:rsid w:val="00F93600"/>
    <w:rsid w:val="00F93601"/>
    <w:rsid w:val="00F93620"/>
    <w:rsid w:val="00F93786"/>
    <w:rsid w:val="00F93A17"/>
    <w:rsid w:val="00F93A71"/>
    <w:rsid w:val="00F93B20"/>
    <w:rsid w:val="00F94051"/>
    <w:rsid w:val="00F94268"/>
    <w:rsid w:val="00F942D5"/>
    <w:rsid w:val="00F942FF"/>
    <w:rsid w:val="00F944D9"/>
    <w:rsid w:val="00F944E5"/>
    <w:rsid w:val="00F94527"/>
    <w:rsid w:val="00F9463E"/>
    <w:rsid w:val="00F9478D"/>
    <w:rsid w:val="00F9482A"/>
    <w:rsid w:val="00F94833"/>
    <w:rsid w:val="00F949E3"/>
    <w:rsid w:val="00F94A3B"/>
    <w:rsid w:val="00F94B07"/>
    <w:rsid w:val="00F94C14"/>
    <w:rsid w:val="00F94D21"/>
    <w:rsid w:val="00F9508B"/>
    <w:rsid w:val="00F95174"/>
    <w:rsid w:val="00F951ED"/>
    <w:rsid w:val="00F9528F"/>
    <w:rsid w:val="00F95292"/>
    <w:rsid w:val="00F95357"/>
    <w:rsid w:val="00F9544E"/>
    <w:rsid w:val="00F9559E"/>
    <w:rsid w:val="00F95621"/>
    <w:rsid w:val="00F958EF"/>
    <w:rsid w:val="00F95995"/>
    <w:rsid w:val="00F959ED"/>
    <w:rsid w:val="00F95AE9"/>
    <w:rsid w:val="00F95F9A"/>
    <w:rsid w:val="00F95FAE"/>
    <w:rsid w:val="00F96125"/>
    <w:rsid w:val="00F9616D"/>
    <w:rsid w:val="00F96296"/>
    <w:rsid w:val="00F9633B"/>
    <w:rsid w:val="00F965D1"/>
    <w:rsid w:val="00F965F4"/>
    <w:rsid w:val="00F966C1"/>
    <w:rsid w:val="00F967BE"/>
    <w:rsid w:val="00F96852"/>
    <w:rsid w:val="00F96858"/>
    <w:rsid w:val="00F968BD"/>
    <w:rsid w:val="00F96A14"/>
    <w:rsid w:val="00F96A4C"/>
    <w:rsid w:val="00F96A88"/>
    <w:rsid w:val="00F96CF8"/>
    <w:rsid w:val="00F96DC8"/>
    <w:rsid w:val="00F96E0B"/>
    <w:rsid w:val="00F970F3"/>
    <w:rsid w:val="00F9710D"/>
    <w:rsid w:val="00F97169"/>
    <w:rsid w:val="00F9717F"/>
    <w:rsid w:val="00F971CD"/>
    <w:rsid w:val="00F971E2"/>
    <w:rsid w:val="00F97257"/>
    <w:rsid w:val="00F97493"/>
    <w:rsid w:val="00F97535"/>
    <w:rsid w:val="00F9755B"/>
    <w:rsid w:val="00F97571"/>
    <w:rsid w:val="00F976A9"/>
    <w:rsid w:val="00F97C75"/>
    <w:rsid w:val="00F97D6D"/>
    <w:rsid w:val="00F97E47"/>
    <w:rsid w:val="00F97F16"/>
    <w:rsid w:val="00F97F66"/>
    <w:rsid w:val="00F97F9F"/>
    <w:rsid w:val="00FA00B8"/>
    <w:rsid w:val="00FA00F4"/>
    <w:rsid w:val="00FA0176"/>
    <w:rsid w:val="00FA01D3"/>
    <w:rsid w:val="00FA0228"/>
    <w:rsid w:val="00FA0230"/>
    <w:rsid w:val="00FA030B"/>
    <w:rsid w:val="00FA0312"/>
    <w:rsid w:val="00FA03DC"/>
    <w:rsid w:val="00FA057D"/>
    <w:rsid w:val="00FA05B2"/>
    <w:rsid w:val="00FA060F"/>
    <w:rsid w:val="00FA0627"/>
    <w:rsid w:val="00FA06DD"/>
    <w:rsid w:val="00FA07BD"/>
    <w:rsid w:val="00FA0840"/>
    <w:rsid w:val="00FA0866"/>
    <w:rsid w:val="00FA08D0"/>
    <w:rsid w:val="00FA0ACE"/>
    <w:rsid w:val="00FA0B14"/>
    <w:rsid w:val="00FA0C71"/>
    <w:rsid w:val="00FA0CD3"/>
    <w:rsid w:val="00FA0D98"/>
    <w:rsid w:val="00FA0EAF"/>
    <w:rsid w:val="00FA0F36"/>
    <w:rsid w:val="00FA10A0"/>
    <w:rsid w:val="00FA1252"/>
    <w:rsid w:val="00FA1254"/>
    <w:rsid w:val="00FA12CD"/>
    <w:rsid w:val="00FA149F"/>
    <w:rsid w:val="00FA1511"/>
    <w:rsid w:val="00FA15D3"/>
    <w:rsid w:val="00FA1841"/>
    <w:rsid w:val="00FA192D"/>
    <w:rsid w:val="00FA1A04"/>
    <w:rsid w:val="00FA1A7E"/>
    <w:rsid w:val="00FA1A92"/>
    <w:rsid w:val="00FA1BF2"/>
    <w:rsid w:val="00FA1D6F"/>
    <w:rsid w:val="00FA1D7A"/>
    <w:rsid w:val="00FA1F13"/>
    <w:rsid w:val="00FA211E"/>
    <w:rsid w:val="00FA22A9"/>
    <w:rsid w:val="00FA2310"/>
    <w:rsid w:val="00FA2382"/>
    <w:rsid w:val="00FA2411"/>
    <w:rsid w:val="00FA253B"/>
    <w:rsid w:val="00FA266D"/>
    <w:rsid w:val="00FA2768"/>
    <w:rsid w:val="00FA280F"/>
    <w:rsid w:val="00FA282B"/>
    <w:rsid w:val="00FA28D7"/>
    <w:rsid w:val="00FA29AA"/>
    <w:rsid w:val="00FA2AA4"/>
    <w:rsid w:val="00FA2C4D"/>
    <w:rsid w:val="00FA2CF7"/>
    <w:rsid w:val="00FA2EE8"/>
    <w:rsid w:val="00FA2F51"/>
    <w:rsid w:val="00FA2F7E"/>
    <w:rsid w:val="00FA3047"/>
    <w:rsid w:val="00FA3108"/>
    <w:rsid w:val="00FA3155"/>
    <w:rsid w:val="00FA31AB"/>
    <w:rsid w:val="00FA32B7"/>
    <w:rsid w:val="00FA3499"/>
    <w:rsid w:val="00FA356A"/>
    <w:rsid w:val="00FA36ED"/>
    <w:rsid w:val="00FA384E"/>
    <w:rsid w:val="00FA387C"/>
    <w:rsid w:val="00FA38C8"/>
    <w:rsid w:val="00FA38DE"/>
    <w:rsid w:val="00FA39BB"/>
    <w:rsid w:val="00FA3B25"/>
    <w:rsid w:val="00FA3B48"/>
    <w:rsid w:val="00FA3B68"/>
    <w:rsid w:val="00FA3D1E"/>
    <w:rsid w:val="00FA3D8E"/>
    <w:rsid w:val="00FA3E96"/>
    <w:rsid w:val="00FA3E9C"/>
    <w:rsid w:val="00FA3F5D"/>
    <w:rsid w:val="00FA4087"/>
    <w:rsid w:val="00FA40F0"/>
    <w:rsid w:val="00FA41BD"/>
    <w:rsid w:val="00FA42E4"/>
    <w:rsid w:val="00FA42F3"/>
    <w:rsid w:val="00FA4346"/>
    <w:rsid w:val="00FA441A"/>
    <w:rsid w:val="00FA44B4"/>
    <w:rsid w:val="00FA44E0"/>
    <w:rsid w:val="00FA457B"/>
    <w:rsid w:val="00FA45BE"/>
    <w:rsid w:val="00FA4688"/>
    <w:rsid w:val="00FA46AE"/>
    <w:rsid w:val="00FA48E5"/>
    <w:rsid w:val="00FA49E8"/>
    <w:rsid w:val="00FA4B35"/>
    <w:rsid w:val="00FA4B9D"/>
    <w:rsid w:val="00FA4D12"/>
    <w:rsid w:val="00FA4D81"/>
    <w:rsid w:val="00FA4D98"/>
    <w:rsid w:val="00FA5147"/>
    <w:rsid w:val="00FA517B"/>
    <w:rsid w:val="00FA51FF"/>
    <w:rsid w:val="00FA52DA"/>
    <w:rsid w:val="00FA567D"/>
    <w:rsid w:val="00FA5707"/>
    <w:rsid w:val="00FA5723"/>
    <w:rsid w:val="00FA57C4"/>
    <w:rsid w:val="00FA57CB"/>
    <w:rsid w:val="00FA5829"/>
    <w:rsid w:val="00FA596C"/>
    <w:rsid w:val="00FA5ACB"/>
    <w:rsid w:val="00FA5BF3"/>
    <w:rsid w:val="00FA5D90"/>
    <w:rsid w:val="00FA5EEA"/>
    <w:rsid w:val="00FA6089"/>
    <w:rsid w:val="00FA608F"/>
    <w:rsid w:val="00FA6356"/>
    <w:rsid w:val="00FA6437"/>
    <w:rsid w:val="00FA6938"/>
    <w:rsid w:val="00FA6BA1"/>
    <w:rsid w:val="00FA6E33"/>
    <w:rsid w:val="00FA70EB"/>
    <w:rsid w:val="00FA70FC"/>
    <w:rsid w:val="00FA7168"/>
    <w:rsid w:val="00FA71BB"/>
    <w:rsid w:val="00FA736F"/>
    <w:rsid w:val="00FA73D2"/>
    <w:rsid w:val="00FA73E7"/>
    <w:rsid w:val="00FA7497"/>
    <w:rsid w:val="00FA753E"/>
    <w:rsid w:val="00FA75CD"/>
    <w:rsid w:val="00FA7746"/>
    <w:rsid w:val="00FA779B"/>
    <w:rsid w:val="00FA78EC"/>
    <w:rsid w:val="00FA7A54"/>
    <w:rsid w:val="00FA7A7C"/>
    <w:rsid w:val="00FA7CC3"/>
    <w:rsid w:val="00FA7F95"/>
    <w:rsid w:val="00FB03BE"/>
    <w:rsid w:val="00FB049A"/>
    <w:rsid w:val="00FB0522"/>
    <w:rsid w:val="00FB068E"/>
    <w:rsid w:val="00FB077C"/>
    <w:rsid w:val="00FB0814"/>
    <w:rsid w:val="00FB0A6A"/>
    <w:rsid w:val="00FB0AE2"/>
    <w:rsid w:val="00FB0C34"/>
    <w:rsid w:val="00FB0E0E"/>
    <w:rsid w:val="00FB11AF"/>
    <w:rsid w:val="00FB11EC"/>
    <w:rsid w:val="00FB1285"/>
    <w:rsid w:val="00FB12A3"/>
    <w:rsid w:val="00FB1363"/>
    <w:rsid w:val="00FB13A1"/>
    <w:rsid w:val="00FB1466"/>
    <w:rsid w:val="00FB1475"/>
    <w:rsid w:val="00FB1518"/>
    <w:rsid w:val="00FB15DA"/>
    <w:rsid w:val="00FB1601"/>
    <w:rsid w:val="00FB189A"/>
    <w:rsid w:val="00FB1A56"/>
    <w:rsid w:val="00FB1B30"/>
    <w:rsid w:val="00FB1BAB"/>
    <w:rsid w:val="00FB1D12"/>
    <w:rsid w:val="00FB1D1D"/>
    <w:rsid w:val="00FB1D89"/>
    <w:rsid w:val="00FB1F34"/>
    <w:rsid w:val="00FB1F53"/>
    <w:rsid w:val="00FB1F89"/>
    <w:rsid w:val="00FB2073"/>
    <w:rsid w:val="00FB20AB"/>
    <w:rsid w:val="00FB20DD"/>
    <w:rsid w:val="00FB21AC"/>
    <w:rsid w:val="00FB225D"/>
    <w:rsid w:val="00FB2299"/>
    <w:rsid w:val="00FB232E"/>
    <w:rsid w:val="00FB233F"/>
    <w:rsid w:val="00FB2412"/>
    <w:rsid w:val="00FB24A5"/>
    <w:rsid w:val="00FB2613"/>
    <w:rsid w:val="00FB265D"/>
    <w:rsid w:val="00FB279C"/>
    <w:rsid w:val="00FB2873"/>
    <w:rsid w:val="00FB2877"/>
    <w:rsid w:val="00FB294F"/>
    <w:rsid w:val="00FB2C04"/>
    <w:rsid w:val="00FB2CB5"/>
    <w:rsid w:val="00FB2D34"/>
    <w:rsid w:val="00FB2D76"/>
    <w:rsid w:val="00FB2DEE"/>
    <w:rsid w:val="00FB2FF4"/>
    <w:rsid w:val="00FB3318"/>
    <w:rsid w:val="00FB3583"/>
    <w:rsid w:val="00FB3655"/>
    <w:rsid w:val="00FB3694"/>
    <w:rsid w:val="00FB36C3"/>
    <w:rsid w:val="00FB36EB"/>
    <w:rsid w:val="00FB3A0B"/>
    <w:rsid w:val="00FB3A86"/>
    <w:rsid w:val="00FB3AB0"/>
    <w:rsid w:val="00FB3BC6"/>
    <w:rsid w:val="00FB3CD4"/>
    <w:rsid w:val="00FB3ED1"/>
    <w:rsid w:val="00FB3F43"/>
    <w:rsid w:val="00FB4063"/>
    <w:rsid w:val="00FB41A0"/>
    <w:rsid w:val="00FB4232"/>
    <w:rsid w:val="00FB4432"/>
    <w:rsid w:val="00FB470A"/>
    <w:rsid w:val="00FB4817"/>
    <w:rsid w:val="00FB49E2"/>
    <w:rsid w:val="00FB4C3D"/>
    <w:rsid w:val="00FB4CAB"/>
    <w:rsid w:val="00FB4DEA"/>
    <w:rsid w:val="00FB4EC8"/>
    <w:rsid w:val="00FB4F1B"/>
    <w:rsid w:val="00FB4FEC"/>
    <w:rsid w:val="00FB506D"/>
    <w:rsid w:val="00FB50A2"/>
    <w:rsid w:val="00FB50D3"/>
    <w:rsid w:val="00FB510F"/>
    <w:rsid w:val="00FB51F6"/>
    <w:rsid w:val="00FB528F"/>
    <w:rsid w:val="00FB5407"/>
    <w:rsid w:val="00FB5498"/>
    <w:rsid w:val="00FB55B9"/>
    <w:rsid w:val="00FB56AE"/>
    <w:rsid w:val="00FB56F9"/>
    <w:rsid w:val="00FB5976"/>
    <w:rsid w:val="00FB597D"/>
    <w:rsid w:val="00FB5994"/>
    <w:rsid w:val="00FB59FF"/>
    <w:rsid w:val="00FB5BF3"/>
    <w:rsid w:val="00FB5CDE"/>
    <w:rsid w:val="00FB5D0F"/>
    <w:rsid w:val="00FB5D6C"/>
    <w:rsid w:val="00FB5D8F"/>
    <w:rsid w:val="00FB5DC5"/>
    <w:rsid w:val="00FB5F9A"/>
    <w:rsid w:val="00FB5FA2"/>
    <w:rsid w:val="00FB628B"/>
    <w:rsid w:val="00FB629E"/>
    <w:rsid w:val="00FB6436"/>
    <w:rsid w:val="00FB6504"/>
    <w:rsid w:val="00FB658E"/>
    <w:rsid w:val="00FB65A9"/>
    <w:rsid w:val="00FB69EE"/>
    <w:rsid w:val="00FB6BD0"/>
    <w:rsid w:val="00FB6C3D"/>
    <w:rsid w:val="00FB6E34"/>
    <w:rsid w:val="00FB6F02"/>
    <w:rsid w:val="00FB6F94"/>
    <w:rsid w:val="00FB70B4"/>
    <w:rsid w:val="00FB70B6"/>
    <w:rsid w:val="00FB71B1"/>
    <w:rsid w:val="00FB7271"/>
    <w:rsid w:val="00FB72AD"/>
    <w:rsid w:val="00FB732C"/>
    <w:rsid w:val="00FB7420"/>
    <w:rsid w:val="00FB743A"/>
    <w:rsid w:val="00FB7653"/>
    <w:rsid w:val="00FB7B86"/>
    <w:rsid w:val="00FB7B8C"/>
    <w:rsid w:val="00FB7BDA"/>
    <w:rsid w:val="00FB7BF9"/>
    <w:rsid w:val="00FB7C97"/>
    <w:rsid w:val="00FB7DB5"/>
    <w:rsid w:val="00FB7F9C"/>
    <w:rsid w:val="00FC01F4"/>
    <w:rsid w:val="00FC023B"/>
    <w:rsid w:val="00FC09FC"/>
    <w:rsid w:val="00FC0A19"/>
    <w:rsid w:val="00FC0B73"/>
    <w:rsid w:val="00FC0D00"/>
    <w:rsid w:val="00FC0E82"/>
    <w:rsid w:val="00FC0F55"/>
    <w:rsid w:val="00FC10A3"/>
    <w:rsid w:val="00FC11E6"/>
    <w:rsid w:val="00FC1795"/>
    <w:rsid w:val="00FC186A"/>
    <w:rsid w:val="00FC1AE2"/>
    <w:rsid w:val="00FC1B5B"/>
    <w:rsid w:val="00FC1C61"/>
    <w:rsid w:val="00FC1D68"/>
    <w:rsid w:val="00FC1E8D"/>
    <w:rsid w:val="00FC1F6A"/>
    <w:rsid w:val="00FC1FF0"/>
    <w:rsid w:val="00FC219D"/>
    <w:rsid w:val="00FC21FF"/>
    <w:rsid w:val="00FC2378"/>
    <w:rsid w:val="00FC2436"/>
    <w:rsid w:val="00FC25C3"/>
    <w:rsid w:val="00FC262B"/>
    <w:rsid w:val="00FC2639"/>
    <w:rsid w:val="00FC26B9"/>
    <w:rsid w:val="00FC2767"/>
    <w:rsid w:val="00FC29D1"/>
    <w:rsid w:val="00FC29D3"/>
    <w:rsid w:val="00FC2B40"/>
    <w:rsid w:val="00FC2B4C"/>
    <w:rsid w:val="00FC2B5D"/>
    <w:rsid w:val="00FC2D17"/>
    <w:rsid w:val="00FC2DFC"/>
    <w:rsid w:val="00FC2F18"/>
    <w:rsid w:val="00FC2F7E"/>
    <w:rsid w:val="00FC332B"/>
    <w:rsid w:val="00FC3449"/>
    <w:rsid w:val="00FC361D"/>
    <w:rsid w:val="00FC37FF"/>
    <w:rsid w:val="00FC3919"/>
    <w:rsid w:val="00FC3925"/>
    <w:rsid w:val="00FC3B51"/>
    <w:rsid w:val="00FC3CA0"/>
    <w:rsid w:val="00FC3E6C"/>
    <w:rsid w:val="00FC3ED0"/>
    <w:rsid w:val="00FC4347"/>
    <w:rsid w:val="00FC4358"/>
    <w:rsid w:val="00FC45D9"/>
    <w:rsid w:val="00FC4676"/>
    <w:rsid w:val="00FC46BB"/>
    <w:rsid w:val="00FC4784"/>
    <w:rsid w:val="00FC485A"/>
    <w:rsid w:val="00FC48AB"/>
    <w:rsid w:val="00FC48FF"/>
    <w:rsid w:val="00FC4A60"/>
    <w:rsid w:val="00FC4ADA"/>
    <w:rsid w:val="00FC4BCB"/>
    <w:rsid w:val="00FC4C4F"/>
    <w:rsid w:val="00FC4E67"/>
    <w:rsid w:val="00FC4EED"/>
    <w:rsid w:val="00FC4F80"/>
    <w:rsid w:val="00FC4FD6"/>
    <w:rsid w:val="00FC5033"/>
    <w:rsid w:val="00FC510D"/>
    <w:rsid w:val="00FC51AE"/>
    <w:rsid w:val="00FC53AA"/>
    <w:rsid w:val="00FC544C"/>
    <w:rsid w:val="00FC5457"/>
    <w:rsid w:val="00FC54B8"/>
    <w:rsid w:val="00FC5621"/>
    <w:rsid w:val="00FC568D"/>
    <w:rsid w:val="00FC5909"/>
    <w:rsid w:val="00FC5910"/>
    <w:rsid w:val="00FC596D"/>
    <w:rsid w:val="00FC5A6F"/>
    <w:rsid w:val="00FC5C49"/>
    <w:rsid w:val="00FC5E9F"/>
    <w:rsid w:val="00FC5F45"/>
    <w:rsid w:val="00FC5F4A"/>
    <w:rsid w:val="00FC643C"/>
    <w:rsid w:val="00FC6447"/>
    <w:rsid w:val="00FC65EB"/>
    <w:rsid w:val="00FC66AA"/>
    <w:rsid w:val="00FC66C2"/>
    <w:rsid w:val="00FC6799"/>
    <w:rsid w:val="00FC67A9"/>
    <w:rsid w:val="00FC67BE"/>
    <w:rsid w:val="00FC6930"/>
    <w:rsid w:val="00FC69CF"/>
    <w:rsid w:val="00FC6A1E"/>
    <w:rsid w:val="00FC6ABB"/>
    <w:rsid w:val="00FC6C60"/>
    <w:rsid w:val="00FC6EB7"/>
    <w:rsid w:val="00FC6F46"/>
    <w:rsid w:val="00FC6F70"/>
    <w:rsid w:val="00FC6F7C"/>
    <w:rsid w:val="00FC6FD4"/>
    <w:rsid w:val="00FC6FEE"/>
    <w:rsid w:val="00FC6FFF"/>
    <w:rsid w:val="00FC7020"/>
    <w:rsid w:val="00FC7195"/>
    <w:rsid w:val="00FC72FE"/>
    <w:rsid w:val="00FC734A"/>
    <w:rsid w:val="00FC7415"/>
    <w:rsid w:val="00FC76F2"/>
    <w:rsid w:val="00FC771A"/>
    <w:rsid w:val="00FC78FD"/>
    <w:rsid w:val="00FC79B8"/>
    <w:rsid w:val="00FC7A5A"/>
    <w:rsid w:val="00FC7B09"/>
    <w:rsid w:val="00FC7B50"/>
    <w:rsid w:val="00FC7C0D"/>
    <w:rsid w:val="00FC7C25"/>
    <w:rsid w:val="00FC7CE8"/>
    <w:rsid w:val="00FC7DC6"/>
    <w:rsid w:val="00FC7F6B"/>
    <w:rsid w:val="00FD0154"/>
    <w:rsid w:val="00FD018F"/>
    <w:rsid w:val="00FD027B"/>
    <w:rsid w:val="00FD030F"/>
    <w:rsid w:val="00FD0404"/>
    <w:rsid w:val="00FD0758"/>
    <w:rsid w:val="00FD0781"/>
    <w:rsid w:val="00FD0866"/>
    <w:rsid w:val="00FD0BCB"/>
    <w:rsid w:val="00FD0C4A"/>
    <w:rsid w:val="00FD0C86"/>
    <w:rsid w:val="00FD0DC0"/>
    <w:rsid w:val="00FD0E69"/>
    <w:rsid w:val="00FD0F1D"/>
    <w:rsid w:val="00FD116B"/>
    <w:rsid w:val="00FD122C"/>
    <w:rsid w:val="00FD12FC"/>
    <w:rsid w:val="00FD1361"/>
    <w:rsid w:val="00FD14FC"/>
    <w:rsid w:val="00FD15C3"/>
    <w:rsid w:val="00FD15D9"/>
    <w:rsid w:val="00FD17FF"/>
    <w:rsid w:val="00FD191A"/>
    <w:rsid w:val="00FD19E5"/>
    <w:rsid w:val="00FD19FD"/>
    <w:rsid w:val="00FD1AFD"/>
    <w:rsid w:val="00FD1BB6"/>
    <w:rsid w:val="00FD1C11"/>
    <w:rsid w:val="00FD1E68"/>
    <w:rsid w:val="00FD1FC7"/>
    <w:rsid w:val="00FD2096"/>
    <w:rsid w:val="00FD2135"/>
    <w:rsid w:val="00FD2225"/>
    <w:rsid w:val="00FD2230"/>
    <w:rsid w:val="00FD2440"/>
    <w:rsid w:val="00FD249C"/>
    <w:rsid w:val="00FD24C8"/>
    <w:rsid w:val="00FD25D7"/>
    <w:rsid w:val="00FD285C"/>
    <w:rsid w:val="00FD2938"/>
    <w:rsid w:val="00FD2939"/>
    <w:rsid w:val="00FD2ABA"/>
    <w:rsid w:val="00FD2B26"/>
    <w:rsid w:val="00FD2B49"/>
    <w:rsid w:val="00FD2C27"/>
    <w:rsid w:val="00FD2DEC"/>
    <w:rsid w:val="00FD2F3B"/>
    <w:rsid w:val="00FD35C6"/>
    <w:rsid w:val="00FD3639"/>
    <w:rsid w:val="00FD3704"/>
    <w:rsid w:val="00FD3798"/>
    <w:rsid w:val="00FD38B3"/>
    <w:rsid w:val="00FD39F5"/>
    <w:rsid w:val="00FD3B56"/>
    <w:rsid w:val="00FD3B9C"/>
    <w:rsid w:val="00FD3C5F"/>
    <w:rsid w:val="00FD3DE2"/>
    <w:rsid w:val="00FD3FAF"/>
    <w:rsid w:val="00FD40B5"/>
    <w:rsid w:val="00FD42DC"/>
    <w:rsid w:val="00FD42FB"/>
    <w:rsid w:val="00FD447D"/>
    <w:rsid w:val="00FD477D"/>
    <w:rsid w:val="00FD4942"/>
    <w:rsid w:val="00FD4A18"/>
    <w:rsid w:val="00FD4B09"/>
    <w:rsid w:val="00FD4BE7"/>
    <w:rsid w:val="00FD4D9B"/>
    <w:rsid w:val="00FD4EEB"/>
    <w:rsid w:val="00FD4FC3"/>
    <w:rsid w:val="00FD519C"/>
    <w:rsid w:val="00FD51ED"/>
    <w:rsid w:val="00FD51F7"/>
    <w:rsid w:val="00FD5202"/>
    <w:rsid w:val="00FD5223"/>
    <w:rsid w:val="00FD5401"/>
    <w:rsid w:val="00FD54F7"/>
    <w:rsid w:val="00FD5626"/>
    <w:rsid w:val="00FD5762"/>
    <w:rsid w:val="00FD5831"/>
    <w:rsid w:val="00FD5912"/>
    <w:rsid w:val="00FD5914"/>
    <w:rsid w:val="00FD5A21"/>
    <w:rsid w:val="00FD5C3B"/>
    <w:rsid w:val="00FD5E06"/>
    <w:rsid w:val="00FD5E6D"/>
    <w:rsid w:val="00FD5EDC"/>
    <w:rsid w:val="00FD6024"/>
    <w:rsid w:val="00FD633E"/>
    <w:rsid w:val="00FD672C"/>
    <w:rsid w:val="00FD681B"/>
    <w:rsid w:val="00FD69F1"/>
    <w:rsid w:val="00FD6A44"/>
    <w:rsid w:val="00FD6BEA"/>
    <w:rsid w:val="00FD6F75"/>
    <w:rsid w:val="00FD705F"/>
    <w:rsid w:val="00FD721E"/>
    <w:rsid w:val="00FD7227"/>
    <w:rsid w:val="00FD7297"/>
    <w:rsid w:val="00FD731A"/>
    <w:rsid w:val="00FD73D2"/>
    <w:rsid w:val="00FD73FF"/>
    <w:rsid w:val="00FD74B6"/>
    <w:rsid w:val="00FD7573"/>
    <w:rsid w:val="00FD790C"/>
    <w:rsid w:val="00FD7A15"/>
    <w:rsid w:val="00FD7AD1"/>
    <w:rsid w:val="00FD7CF4"/>
    <w:rsid w:val="00FD7D05"/>
    <w:rsid w:val="00FD7D1A"/>
    <w:rsid w:val="00FD7DA7"/>
    <w:rsid w:val="00FD90C0"/>
    <w:rsid w:val="00FE0062"/>
    <w:rsid w:val="00FE0096"/>
    <w:rsid w:val="00FE00CC"/>
    <w:rsid w:val="00FE020B"/>
    <w:rsid w:val="00FE032E"/>
    <w:rsid w:val="00FE0336"/>
    <w:rsid w:val="00FE0438"/>
    <w:rsid w:val="00FE0510"/>
    <w:rsid w:val="00FE0620"/>
    <w:rsid w:val="00FE06AC"/>
    <w:rsid w:val="00FE07E2"/>
    <w:rsid w:val="00FE08F5"/>
    <w:rsid w:val="00FE0C01"/>
    <w:rsid w:val="00FE0CCF"/>
    <w:rsid w:val="00FE0CD4"/>
    <w:rsid w:val="00FE0CE7"/>
    <w:rsid w:val="00FE0D7D"/>
    <w:rsid w:val="00FE0DAD"/>
    <w:rsid w:val="00FE0E81"/>
    <w:rsid w:val="00FE0F96"/>
    <w:rsid w:val="00FE1314"/>
    <w:rsid w:val="00FE138B"/>
    <w:rsid w:val="00FE1761"/>
    <w:rsid w:val="00FE1942"/>
    <w:rsid w:val="00FE1AE2"/>
    <w:rsid w:val="00FE1C14"/>
    <w:rsid w:val="00FE1D70"/>
    <w:rsid w:val="00FE1D97"/>
    <w:rsid w:val="00FE1E4A"/>
    <w:rsid w:val="00FE1EBC"/>
    <w:rsid w:val="00FE2090"/>
    <w:rsid w:val="00FE21E3"/>
    <w:rsid w:val="00FE221E"/>
    <w:rsid w:val="00FE2371"/>
    <w:rsid w:val="00FE23C4"/>
    <w:rsid w:val="00FE23CA"/>
    <w:rsid w:val="00FE243D"/>
    <w:rsid w:val="00FE2446"/>
    <w:rsid w:val="00FE2527"/>
    <w:rsid w:val="00FE26E4"/>
    <w:rsid w:val="00FE287A"/>
    <w:rsid w:val="00FE2940"/>
    <w:rsid w:val="00FE2A47"/>
    <w:rsid w:val="00FE2AD8"/>
    <w:rsid w:val="00FE2B3D"/>
    <w:rsid w:val="00FE2F2E"/>
    <w:rsid w:val="00FE3193"/>
    <w:rsid w:val="00FE3420"/>
    <w:rsid w:val="00FE3470"/>
    <w:rsid w:val="00FE3501"/>
    <w:rsid w:val="00FE35C3"/>
    <w:rsid w:val="00FE362B"/>
    <w:rsid w:val="00FE3658"/>
    <w:rsid w:val="00FE368C"/>
    <w:rsid w:val="00FE3707"/>
    <w:rsid w:val="00FE375F"/>
    <w:rsid w:val="00FE37DD"/>
    <w:rsid w:val="00FE3829"/>
    <w:rsid w:val="00FE384D"/>
    <w:rsid w:val="00FE38C3"/>
    <w:rsid w:val="00FE38CF"/>
    <w:rsid w:val="00FE38DC"/>
    <w:rsid w:val="00FE3A62"/>
    <w:rsid w:val="00FE3BBA"/>
    <w:rsid w:val="00FE3DA6"/>
    <w:rsid w:val="00FE3E8E"/>
    <w:rsid w:val="00FE3FEE"/>
    <w:rsid w:val="00FE3FF6"/>
    <w:rsid w:val="00FE4087"/>
    <w:rsid w:val="00FE4304"/>
    <w:rsid w:val="00FE43EE"/>
    <w:rsid w:val="00FE45DA"/>
    <w:rsid w:val="00FE45EC"/>
    <w:rsid w:val="00FE468E"/>
    <w:rsid w:val="00FE48CC"/>
    <w:rsid w:val="00FE4918"/>
    <w:rsid w:val="00FE4AE6"/>
    <w:rsid w:val="00FE4B2B"/>
    <w:rsid w:val="00FE4B2E"/>
    <w:rsid w:val="00FE4BA8"/>
    <w:rsid w:val="00FE4C8D"/>
    <w:rsid w:val="00FE4FEA"/>
    <w:rsid w:val="00FE5012"/>
    <w:rsid w:val="00FE5123"/>
    <w:rsid w:val="00FE518F"/>
    <w:rsid w:val="00FE5287"/>
    <w:rsid w:val="00FE52AA"/>
    <w:rsid w:val="00FE5357"/>
    <w:rsid w:val="00FE5507"/>
    <w:rsid w:val="00FE57EA"/>
    <w:rsid w:val="00FE590B"/>
    <w:rsid w:val="00FE594B"/>
    <w:rsid w:val="00FE5B3B"/>
    <w:rsid w:val="00FE5CC5"/>
    <w:rsid w:val="00FE5E3D"/>
    <w:rsid w:val="00FE5F96"/>
    <w:rsid w:val="00FE606F"/>
    <w:rsid w:val="00FE6337"/>
    <w:rsid w:val="00FE63CD"/>
    <w:rsid w:val="00FE644F"/>
    <w:rsid w:val="00FE656B"/>
    <w:rsid w:val="00FE68D2"/>
    <w:rsid w:val="00FE69BC"/>
    <w:rsid w:val="00FE6AA1"/>
    <w:rsid w:val="00FE6C1A"/>
    <w:rsid w:val="00FE7027"/>
    <w:rsid w:val="00FE7099"/>
    <w:rsid w:val="00FE70C2"/>
    <w:rsid w:val="00FE7159"/>
    <w:rsid w:val="00FE7292"/>
    <w:rsid w:val="00FE7354"/>
    <w:rsid w:val="00FE74A9"/>
    <w:rsid w:val="00FE75B6"/>
    <w:rsid w:val="00FE75C3"/>
    <w:rsid w:val="00FE75CD"/>
    <w:rsid w:val="00FE75ED"/>
    <w:rsid w:val="00FE76DA"/>
    <w:rsid w:val="00FE78E8"/>
    <w:rsid w:val="00FE7974"/>
    <w:rsid w:val="00FE7A1A"/>
    <w:rsid w:val="00FE7A29"/>
    <w:rsid w:val="00FE7A78"/>
    <w:rsid w:val="00FE7B2C"/>
    <w:rsid w:val="00FE7BE8"/>
    <w:rsid w:val="00FE7C83"/>
    <w:rsid w:val="00FE7E3D"/>
    <w:rsid w:val="00FE7F16"/>
    <w:rsid w:val="00FF01C8"/>
    <w:rsid w:val="00FF01ED"/>
    <w:rsid w:val="00FF0313"/>
    <w:rsid w:val="00FF03B8"/>
    <w:rsid w:val="00FF04EA"/>
    <w:rsid w:val="00FF04FF"/>
    <w:rsid w:val="00FF05BA"/>
    <w:rsid w:val="00FF0667"/>
    <w:rsid w:val="00FF06F1"/>
    <w:rsid w:val="00FF07D3"/>
    <w:rsid w:val="00FF081E"/>
    <w:rsid w:val="00FF089A"/>
    <w:rsid w:val="00FF0A95"/>
    <w:rsid w:val="00FF0B42"/>
    <w:rsid w:val="00FF0C26"/>
    <w:rsid w:val="00FF0C6B"/>
    <w:rsid w:val="00FF0DC1"/>
    <w:rsid w:val="00FF0E0A"/>
    <w:rsid w:val="00FF0EDD"/>
    <w:rsid w:val="00FF0F3C"/>
    <w:rsid w:val="00FF1038"/>
    <w:rsid w:val="00FF10FC"/>
    <w:rsid w:val="00FF11DA"/>
    <w:rsid w:val="00FF1369"/>
    <w:rsid w:val="00FF16AF"/>
    <w:rsid w:val="00FF16B5"/>
    <w:rsid w:val="00FF1714"/>
    <w:rsid w:val="00FF17FB"/>
    <w:rsid w:val="00FF182E"/>
    <w:rsid w:val="00FF1AB1"/>
    <w:rsid w:val="00FF1BA1"/>
    <w:rsid w:val="00FF1ECA"/>
    <w:rsid w:val="00FF1EEE"/>
    <w:rsid w:val="00FF1FB7"/>
    <w:rsid w:val="00FF2057"/>
    <w:rsid w:val="00FF20DC"/>
    <w:rsid w:val="00FF20E7"/>
    <w:rsid w:val="00FF2275"/>
    <w:rsid w:val="00FF22F6"/>
    <w:rsid w:val="00FF2317"/>
    <w:rsid w:val="00FF2433"/>
    <w:rsid w:val="00FF25C1"/>
    <w:rsid w:val="00FF25E1"/>
    <w:rsid w:val="00FF26CB"/>
    <w:rsid w:val="00FF26F9"/>
    <w:rsid w:val="00FF2722"/>
    <w:rsid w:val="00FF2737"/>
    <w:rsid w:val="00FF281B"/>
    <w:rsid w:val="00FF2901"/>
    <w:rsid w:val="00FF2AD4"/>
    <w:rsid w:val="00FF2B7F"/>
    <w:rsid w:val="00FF2D01"/>
    <w:rsid w:val="00FF2EC9"/>
    <w:rsid w:val="00FF2EE6"/>
    <w:rsid w:val="00FF2F5C"/>
    <w:rsid w:val="00FF301B"/>
    <w:rsid w:val="00FF334C"/>
    <w:rsid w:val="00FF3354"/>
    <w:rsid w:val="00FF3365"/>
    <w:rsid w:val="00FF34E7"/>
    <w:rsid w:val="00FF37B8"/>
    <w:rsid w:val="00FF37EF"/>
    <w:rsid w:val="00FF385A"/>
    <w:rsid w:val="00FF3954"/>
    <w:rsid w:val="00FF3977"/>
    <w:rsid w:val="00FF39B5"/>
    <w:rsid w:val="00FF3CFE"/>
    <w:rsid w:val="00FF3E0B"/>
    <w:rsid w:val="00FF3EB5"/>
    <w:rsid w:val="00FF3F0D"/>
    <w:rsid w:val="00FF409E"/>
    <w:rsid w:val="00FF414F"/>
    <w:rsid w:val="00FF4176"/>
    <w:rsid w:val="00FF4186"/>
    <w:rsid w:val="00FF445C"/>
    <w:rsid w:val="00FF4565"/>
    <w:rsid w:val="00FF45EA"/>
    <w:rsid w:val="00FF4600"/>
    <w:rsid w:val="00FF4618"/>
    <w:rsid w:val="00FF4718"/>
    <w:rsid w:val="00FF4756"/>
    <w:rsid w:val="00FF4853"/>
    <w:rsid w:val="00FF486B"/>
    <w:rsid w:val="00FF488C"/>
    <w:rsid w:val="00FF4C3C"/>
    <w:rsid w:val="00FF4CD9"/>
    <w:rsid w:val="00FF4D02"/>
    <w:rsid w:val="00FF4E17"/>
    <w:rsid w:val="00FF4E8E"/>
    <w:rsid w:val="00FF4FBB"/>
    <w:rsid w:val="00FF5352"/>
    <w:rsid w:val="00FF5369"/>
    <w:rsid w:val="00FF540A"/>
    <w:rsid w:val="00FF5589"/>
    <w:rsid w:val="00FF571B"/>
    <w:rsid w:val="00FF5763"/>
    <w:rsid w:val="00FF58DC"/>
    <w:rsid w:val="00FF5BDD"/>
    <w:rsid w:val="00FF5C01"/>
    <w:rsid w:val="00FF5C6C"/>
    <w:rsid w:val="00FF5C9B"/>
    <w:rsid w:val="00FF6103"/>
    <w:rsid w:val="00FF6155"/>
    <w:rsid w:val="00FF6330"/>
    <w:rsid w:val="00FF635A"/>
    <w:rsid w:val="00FF6386"/>
    <w:rsid w:val="00FF645F"/>
    <w:rsid w:val="00FF6482"/>
    <w:rsid w:val="00FF6484"/>
    <w:rsid w:val="00FF654A"/>
    <w:rsid w:val="00FF65DB"/>
    <w:rsid w:val="00FF65FC"/>
    <w:rsid w:val="00FF6828"/>
    <w:rsid w:val="00FF686D"/>
    <w:rsid w:val="00FF68F5"/>
    <w:rsid w:val="00FF6927"/>
    <w:rsid w:val="00FF69B8"/>
    <w:rsid w:val="00FF69E7"/>
    <w:rsid w:val="00FF6AD2"/>
    <w:rsid w:val="00FF6C7C"/>
    <w:rsid w:val="00FF6E40"/>
    <w:rsid w:val="00FF6FB6"/>
    <w:rsid w:val="00FF7203"/>
    <w:rsid w:val="00FF72B0"/>
    <w:rsid w:val="00FF7317"/>
    <w:rsid w:val="00FF733C"/>
    <w:rsid w:val="00FF7495"/>
    <w:rsid w:val="00FF76B2"/>
    <w:rsid w:val="00FF7783"/>
    <w:rsid w:val="00FF77C2"/>
    <w:rsid w:val="00FF7BAA"/>
    <w:rsid w:val="00FF7E64"/>
    <w:rsid w:val="010E4CEA"/>
    <w:rsid w:val="01116B01"/>
    <w:rsid w:val="011D56C3"/>
    <w:rsid w:val="011DE4AE"/>
    <w:rsid w:val="013DAAB1"/>
    <w:rsid w:val="014756E0"/>
    <w:rsid w:val="015116E9"/>
    <w:rsid w:val="015C87F0"/>
    <w:rsid w:val="015E382B"/>
    <w:rsid w:val="0167D963"/>
    <w:rsid w:val="019957F4"/>
    <w:rsid w:val="01A948EE"/>
    <w:rsid w:val="01ACCE23"/>
    <w:rsid w:val="01C0B1F4"/>
    <w:rsid w:val="01D9CABA"/>
    <w:rsid w:val="01E46A1B"/>
    <w:rsid w:val="01FCDAD3"/>
    <w:rsid w:val="02016FDA"/>
    <w:rsid w:val="020FD214"/>
    <w:rsid w:val="021C2858"/>
    <w:rsid w:val="0232C2E3"/>
    <w:rsid w:val="026A5C0A"/>
    <w:rsid w:val="02772F51"/>
    <w:rsid w:val="02840767"/>
    <w:rsid w:val="02863FC1"/>
    <w:rsid w:val="0296B86F"/>
    <w:rsid w:val="02AC47CE"/>
    <w:rsid w:val="02B748D8"/>
    <w:rsid w:val="02B982D2"/>
    <w:rsid w:val="02BD2AAA"/>
    <w:rsid w:val="02BFBC1F"/>
    <w:rsid w:val="02C98C46"/>
    <w:rsid w:val="02D36D10"/>
    <w:rsid w:val="02F52F1F"/>
    <w:rsid w:val="02F96343"/>
    <w:rsid w:val="03050A72"/>
    <w:rsid w:val="03238379"/>
    <w:rsid w:val="03255880"/>
    <w:rsid w:val="0331CBDB"/>
    <w:rsid w:val="033A2BFE"/>
    <w:rsid w:val="034A3247"/>
    <w:rsid w:val="03509C28"/>
    <w:rsid w:val="0358D0ED"/>
    <w:rsid w:val="03684D89"/>
    <w:rsid w:val="038775B5"/>
    <w:rsid w:val="0392B7AD"/>
    <w:rsid w:val="03937D70"/>
    <w:rsid w:val="0398E6C8"/>
    <w:rsid w:val="03FBA848"/>
    <w:rsid w:val="03FE9AFC"/>
    <w:rsid w:val="0403D2DF"/>
    <w:rsid w:val="040C5424"/>
    <w:rsid w:val="0429E407"/>
    <w:rsid w:val="045990A4"/>
    <w:rsid w:val="048C3AD8"/>
    <w:rsid w:val="048FCE2F"/>
    <w:rsid w:val="04941452"/>
    <w:rsid w:val="049E55BA"/>
    <w:rsid w:val="04F67BCB"/>
    <w:rsid w:val="04F6E870"/>
    <w:rsid w:val="04FFD4C6"/>
    <w:rsid w:val="0507484A"/>
    <w:rsid w:val="052842B4"/>
    <w:rsid w:val="053CB7E4"/>
    <w:rsid w:val="054A3CEA"/>
    <w:rsid w:val="0557D202"/>
    <w:rsid w:val="055988B9"/>
    <w:rsid w:val="0566FD5D"/>
    <w:rsid w:val="057674B6"/>
    <w:rsid w:val="05899066"/>
    <w:rsid w:val="058F6C6F"/>
    <w:rsid w:val="05A28617"/>
    <w:rsid w:val="05A6257F"/>
    <w:rsid w:val="05BE17A9"/>
    <w:rsid w:val="05CB98F8"/>
    <w:rsid w:val="05CBB02C"/>
    <w:rsid w:val="05D7B92D"/>
    <w:rsid w:val="05DA6B0C"/>
    <w:rsid w:val="06030D53"/>
    <w:rsid w:val="0610AB64"/>
    <w:rsid w:val="062925CD"/>
    <w:rsid w:val="0635191A"/>
    <w:rsid w:val="0642A971"/>
    <w:rsid w:val="0646A7B5"/>
    <w:rsid w:val="06643ECB"/>
    <w:rsid w:val="066D1AC8"/>
    <w:rsid w:val="068270A6"/>
    <w:rsid w:val="068B292C"/>
    <w:rsid w:val="06958BAB"/>
    <w:rsid w:val="06B367EC"/>
    <w:rsid w:val="06DF0A6B"/>
    <w:rsid w:val="06E23A86"/>
    <w:rsid w:val="06EBF23E"/>
    <w:rsid w:val="06EFE9C8"/>
    <w:rsid w:val="070D9A38"/>
    <w:rsid w:val="0725004C"/>
    <w:rsid w:val="072CA6F2"/>
    <w:rsid w:val="072F5F9D"/>
    <w:rsid w:val="07382E91"/>
    <w:rsid w:val="074CF456"/>
    <w:rsid w:val="075CD489"/>
    <w:rsid w:val="076DFB7D"/>
    <w:rsid w:val="0776D5B8"/>
    <w:rsid w:val="077758CF"/>
    <w:rsid w:val="078D8CF0"/>
    <w:rsid w:val="0795E58E"/>
    <w:rsid w:val="07970D9B"/>
    <w:rsid w:val="07CE6243"/>
    <w:rsid w:val="07CF85F1"/>
    <w:rsid w:val="07F597C5"/>
    <w:rsid w:val="07FE3D15"/>
    <w:rsid w:val="0805C162"/>
    <w:rsid w:val="08092055"/>
    <w:rsid w:val="082961F8"/>
    <w:rsid w:val="082E90CF"/>
    <w:rsid w:val="0838CADD"/>
    <w:rsid w:val="0841493D"/>
    <w:rsid w:val="087EA449"/>
    <w:rsid w:val="088501E6"/>
    <w:rsid w:val="08927B5A"/>
    <w:rsid w:val="089345F7"/>
    <w:rsid w:val="08A2B0FF"/>
    <w:rsid w:val="08A4A02F"/>
    <w:rsid w:val="08F4D2C6"/>
    <w:rsid w:val="08F7FA29"/>
    <w:rsid w:val="0907C099"/>
    <w:rsid w:val="090CD4DD"/>
    <w:rsid w:val="090E6CF0"/>
    <w:rsid w:val="0912B605"/>
    <w:rsid w:val="0917C0EE"/>
    <w:rsid w:val="092D27A8"/>
    <w:rsid w:val="0931DA9E"/>
    <w:rsid w:val="0946EF54"/>
    <w:rsid w:val="094AB1BA"/>
    <w:rsid w:val="096ECFF6"/>
    <w:rsid w:val="0971390D"/>
    <w:rsid w:val="099C8D11"/>
    <w:rsid w:val="09D2D4C4"/>
    <w:rsid w:val="0A08844C"/>
    <w:rsid w:val="0A297023"/>
    <w:rsid w:val="0A50790F"/>
    <w:rsid w:val="0A59B96B"/>
    <w:rsid w:val="0A5CBD45"/>
    <w:rsid w:val="0A5CFEA4"/>
    <w:rsid w:val="0A7F1231"/>
    <w:rsid w:val="0A8B284E"/>
    <w:rsid w:val="0A941658"/>
    <w:rsid w:val="0A978636"/>
    <w:rsid w:val="0AA75CB2"/>
    <w:rsid w:val="0AB511A2"/>
    <w:rsid w:val="0AD10988"/>
    <w:rsid w:val="0ADFD399"/>
    <w:rsid w:val="0B064223"/>
    <w:rsid w:val="0B874C3D"/>
    <w:rsid w:val="0BAFE2C5"/>
    <w:rsid w:val="0BB487E8"/>
    <w:rsid w:val="0BBEE61D"/>
    <w:rsid w:val="0BC5ABFC"/>
    <w:rsid w:val="0BD1A08F"/>
    <w:rsid w:val="0BEEF673"/>
    <w:rsid w:val="0C01BCD4"/>
    <w:rsid w:val="0C1458F9"/>
    <w:rsid w:val="0C262F25"/>
    <w:rsid w:val="0C387B44"/>
    <w:rsid w:val="0C3E3D4B"/>
    <w:rsid w:val="0C404DDF"/>
    <w:rsid w:val="0C5F052A"/>
    <w:rsid w:val="0C63DFB5"/>
    <w:rsid w:val="0C65BCB4"/>
    <w:rsid w:val="0C699E91"/>
    <w:rsid w:val="0C6AF5F2"/>
    <w:rsid w:val="0C8D661F"/>
    <w:rsid w:val="0CA0AF74"/>
    <w:rsid w:val="0CB31130"/>
    <w:rsid w:val="0CC04AF1"/>
    <w:rsid w:val="0CCD5BDC"/>
    <w:rsid w:val="0CE80CC9"/>
    <w:rsid w:val="0CEE8395"/>
    <w:rsid w:val="0CF471D2"/>
    <w:rsid w:val="0CFAA317"/>
    <w:rsid w:val="0D21630A"/>
    <w:rsid w:val="0D36AD91"/>
    <w:rsid w:val="0D57DD98"/>
    <w:rsid w:val="0D5CDD7D"/>
    <w:rsid w:val="0D7AEBAD"/>
    <w:rsid w:val="0D874734"/>
    <w:rsid w:val="0DB9A218"/>
    <w:rsid w:val="0DBE55E3"/>
    <w:rsid w:val="0DBEF9A4"/>
    <w:rsid w:val="0DE6157B"/>
    <w:rsid w:val="0DEEF359"/>
    <w:rsid w:val="0E0B89DE"/>
    <w:rsid w:val="0E23520D"/>
    <w:rsid w:val="0E2FE40B"/>
    <w:rsid w:val="0E3DA1A1"/>
    <w:rsid w:val="0E4E8803"/>
    <w:rsid w:val="0E8D25C1"/>
    <w:rsid w:val="0E9A1C65"/>
    <w:rsid w:val="0EA15890"/>
    <w:rsid w:val="0EBEA0F8"/>
    <w:rsid w:val="0ED03319"/>
    <w:rsid w:val="0EE363D1"/>
    <w:rsid w:val="0EFC8BE0"/>
    <w:rsid w:val="0F151474"/>
    <w:rsid w:val="0F22A7C1"/>
    <w:rsid w:val="0F44AF9E"/>
    <w:rsid w:val="0F50034B"/>
    <w:rsid w:val="0F508A73"/>
    <w:rsid w:val="0F552880"/>
    <w:rsid w:val="0F5F40DE"/>
    <w:rsid w:val="0F618CDE"/>
    <w:rsid w:val="0FB9A68F"/>
    <w:rsid w:val="0FCC79C4"/>
    <w:rsid w:val="0FE1E709"/>
    <w:rsid w:val="100EB74A"/>
    <w:rsid w:val="1016B1F7"/>
    <w:rsid w:val="102996DF"/>
    <w:rsid w:val="1031185B"/>
    <w:rsid w:val="103F77E5"/>
    <w:rsid w:val="10431D5D"/>
    <w:rsid w:val="1051C56D"/>
    <w:rsid w:val="1053BA3A"/>
    <w:rsid w:val="105B9DFD"/>
    <w:rsid w:val="105C0D9E"/>
    <w:rsid w:val="106AAF60"/>
    <w:rsid w:val="10779584"/>
    <w:rsid w:val="1097113F"/>
    <w:rsid w:val="10C5A980"/>
    <w:rsid w:val="10C8DFC3"/>
    <w:rsid w:val="10E8EC1C"/>
    <w:rsid w:val="10F54D3A"/>
    <w:rsid w:val="110A8DF7"/>
    <w:rsid w:val="1113F06E"/>
    <w:rsid w:val="111907F5"/>
    <w:rsid w:val="113558EC"/>
    <w:rsid w:val="11380ACA"/>
    <w:rsid w:val="113D9087"/>
    <w:rsid w:val="115B45F7"/>
    <w:rsid w:val="115D6D3B"/>
    <w:rsid w:val="1161BE1B"/>
    <w:rsid w:val="1197AF27"/>
    <w:rsid w:val="119ADBFE"/>
    <w:rsid w:val="11B3B216"/>
    <w:rsid w:val="11B665BD"/>
    <w:rsid w:val="11C58142"/>
    <w:rsid w:val="11CA71A7"/>
    <w:rsid w:val="11D7FFFF"/>
    <w:rsid w:val="11DF1003"/>
    <w:rsid w:val="11E2A1D1"/>
    <w:rsid w:val="11FE3743"/>
    <w:rsid w:val="121F0E6A"/>
    <w:rsid w:val="125091D1"/>
    <w:rsid w:val="12600EB0"/>
    <w:rsid w:val="1263C082"/>
    <w:rsid w:val="127CB8DE"/>
    <w:rsid w:val="127EA2BE"/>
    <w:rsid w:val="12919183"/>
    <w:rsid w:val="12D4769D"/>
    <w:rsid w:val="12DE2A5A"/>
    <w:rsid w:val="12E88FF6"/>
    <w:rsid w:val="12F77C24"/>
    <w:rsid w:val="12F862C7"/>
    <w:rsid w:val="12FB663D"/>
    <w:rsid w:val="130CD596"/>
    <w:rsid w:val="131085BD"/>
    <w:rsid w:val="1329FEC2"/>
    <w:rsid w:val="13395AC8"/>
    <w:rsid w:val="13401D40"/>
    <w:rsid w:val="1340776F"/>
    <w:rsid w:val="135B028D"/>
    <w:rsid w:val="136CA29B"/>
    <w:rsid w:val="13711360"/>
    <w:rsid w:val="13941ECC"/>
    <w:rsid w:val="139E1987"/>
    <w:rsid w:val="13A646EB"/>
    <w:rsid w:val="13A91087"/>
    <w:rsid w:val="13AEF3CB"/>
    <w:rsid w:val="13D0FB30"/>
    <w:rsid w:val="13E11131"/>
    <w:rsid w:val="1411E1A3"/>
    <w:rsid w:val="14141817"/>
    <w:rsid w:val="141DF790"/>
    <w:rsid w:val="142057CE"/>
    <w:rsid w:val="142FA066"/>
    <w:rsid w:val="144FE414"/>
    <w:rsid w:val="14588E6A"/>
    <w:rsid w:val="146C28D4"/>
    <w:rsid w:val="148C930C"/>
    <w:rsid w:val="149149F1"/>
    <w:rsid w:val="14985931"/>
    <w:rsid w:val="14ABD9AD"/>
    <w:rsid w:val="14B04FD8"/>
    <w:rsid w:val="14B3D80B"/>
    <w:rsid w:val="15236A17"/>
    <w:rsid w:val="1533A04B"/>
    <w:rsid w:val="1533F3DC"/>
    <w:rsid w:val="153969EF"/>
    <w:rsid w:val="15678DE4"/>
    <w:rsid w:val="15872FCA"/>
    <w:rsid w:val="15A84D15"/>
    <w:rsid w:val="15D35B4B"/>
    <w:rsid w:val="15E32515"/>
    <w:rsid w:val="1611AB11"/>
    <w:rsid w:val="161B2588"/>
    <w:rsid w:val="162C86CE"/>
    <w:rsid w:val="163883B1"/>
    <w:rsid w:val="1649E981"/>
    <w:rsid w:val="164DFC26"/>
    <w:rsid w:val="1650F904"/>
    <w:rsid w:val="165305C4"/>
    <w:rsid w:val="1663D3BE"/>
    <w:rsid w:val="169E6E60"/>
    <w:rsid w:val="16B1302A"/>
    <w:rsid w:val="16B1E3CD"/>
    <w:rsid w:val="16B2DEE8"/>
    <w:rsid w:val="16C20583"/>
    <w:rsid w:val="16D24949"/>
    <w:rsid w:val="16D7C0F2"/>
    <w:rsid w:val="16F61FCD"/>
    <w:rsid w:val="16FB3EF9"/>
    <w:rsid w:val="17173C71"/>
    <w:rsid w:val="1718506A"/>
    <w:rsid w:val="1723EE7B"/>
    <w:rsid w:val="1726991D"/>
    <w:rsid w:val="1727D673"/>
    <w:rsid w:val="1731D691"/>
    <w:rsid w:val="17360602"/>
    <w:rsid w:val="173CB9B0"/>
    <w:rsid w:val="17605535"/>
    <w:rsid w:val="177B9F1F"/>
    <w:rsid w:val="17A0F2FD"/>
    <w:rsid w:val="17A45ABA"/>
    <w:rsid w:val="17A63A4A"/>
    <w:rsid w:val="17A95FE6"/>
    <w:rsid w:val="17C20543"/>
    <w:rsid w:val="17CEAE3C"/>
    <w:rsid w:val="17CF3212"/>
    <w:rsid w:val="17F7DDCC"/>
    <w:rsid w:val="1805ABBD"/>
    <w:rsid w:val="1811A76F"/>
    <w:rsid w:val="181FE687"/>
    <w:rsid w:val="1825D493"/>
    <w:rsid w:val="1844D34E"/>
    <w:rsid w:val="186BDBA6"/>
    <w:rsid w:val="18716829"/>
    <w:rsid w:val="18769601"/>
    <w:rsid w:val="18BDC759"/>
    <w:rsid w:val="18EB690B"/>
    <w:rsid w:val="1924AEA5"/>
    <w:rsid w:val="1953EDA2"/>
    <w:rsid w:val="196C9503"/>
    <w:rsid w:val="198B8B94"/>
    <w:rsid w:val="1994F5C1"/>
    <w:rsid w:val="19AAF11A"/>
    <w:rsid w:val="19AC36C6"/>
    <w:rsid w:val="19AE3714"/>
    <w:rsid w:val="19AFD5B8"/>
    <w:rsid w:val="19B90099"/>
    <w:rsid w:val="19CEB9FE"/>
    <w:rsid w:val="19CF133A"/>
    <w:rsid w:val="19CFA5C6"/>
    <w:rsid w:val="19DB27E1"/>
    <w:rsid w:val="19E234B6"/>
    <w:rsid w:val="19FEF0A3"/>
    <w:rsid w:val="1A030EC8"/>
    <w:rsid w:val="1A0A3666"/>
    <w:rsid w:val="1A1EEB72"/>
    <w:rsid w:val="1A44020F"/>
    <w:rsid w:val="1A4E38AE"/>
    <w:rsid w:val="1A5DF667"/>
    <w:rsid w:val="1A64B500"/>
    <w:rsid w:val="1A65999C"/>
    <w:rsid w:val="1A754645"/>
    <w:rsid w:val="1A9910C2"/>
    <w:rsid w:val="1AD11B51"/>
    <w:rsid w:val="1AE29117"/>
    <w:rsid w:val="1AEE1E99"/>
    <w:rsid w:val="1B03D8B3"/>
    <w:rsid w:val="1B585B8F"/>
    <w:rsid w:val="1B631817"/>
    <w:rsid w:val="1B679A88"/>
    <w:rsid w:val="1B69A110"/>
    <w:rsid w:val="1B69DF21"/>
    <w:rsid w:val="1B71A89A"/>
    <w:rsid w:val="1B810BF0"/>
    <w:rsid w:val="1B8AEA28"/>
    <w:rsid w:val="1BAAE010"/>
    <w:rsid w:val="1BE97725"/>
    <w:rsid w:val="1BFCA857"/>
    <w:rsid w:val="1BFF5669"/>
    <w:rsid w:val="1BFF5BCC"/>
    <w:rsid w:val="1C3312C3"/>
    <w:rsid w:val="1C5B886D"/>
    <w:rsid w:val="1C78D889"/>
    <w:rsid w:val="1C7F20A9"/>
    <w:rsid w:val="1C871CA3"/>
    <w:rsid w:val="1C91FEEC"/>
    <w:rsid w:val="1C92897F"/>
    <w:rsid w:val="1C97E7A8"/>
    <w:rsid w:val="1C9CE486"/>
    <w:rsid w:val="1CA6385B"/>
    <w:rsid w:val="1CA9CC67"/>
    <w:rsid w:val="1CB112A7"/>
    <w:rsid w:val="1CCEAA07"/>
    <w:rsid w:val="1CDDF2ED"/>
    <w:rsid w:val="1CF87665"/>
    <w:rsid w:val="1CFD25EB"/>
    <w:rsid w:val="1D0B0F0B"/>
    <w:rsid w:val="1D35844E"/>
    <w:rsid w:val="1D50325C"/>
    <w:rsid w:val="1D5B0E19"/>
    <w:rsid w:val="1D67E61A"/>
    <w:rsid w:val="1D88E325"/>
    <w:rsid w:val="1D8AFE1B"/>
    <w:rsid w:val="1DC46A94"/>
    <w:rsid w:val="1DC86284"/>
    <w:rsid w:val="1DCFD076"/>
    <w:rsid w:val="1DD34070"/>
    <w:rsid w:val="1DE4A161"/>
    <w:rsid w:val="1DEAEBA2"/>
    <w:rsid w:val="1DEDB34E"/>
    <w:rsid w:val="1DF58C71"/>
    <w:rsid w:val="1E13198E"/>
    <w:rsid w:val="1E18A384"/>
    <w:rsid w:val="1E1B525A"/>
    <w:rsid w:val="1E24982F"/>
    <w:rsid w:val="1E3192BD"/>
    <w:rsid w:val="1E380D56"/>
    <w:rsid w:val="1E3EDCED"/>
    <w:rsid w:val="1E5276F8"/>
    <w:rsid w:val="1E5A1570"/>
    <w:rsid w:val="1E5F71FD"/>
    <w:rsid w:val="1E7AD2E7"/>
    <w:rsid w:val="1EADA506"/>
    <w:rsid w:val="1EB38ED7"/>
    <w:rsid w:val="1EBADD4B"/>
    <w:rsid w:val="1EBB71E2"/>
    <w:rsid w:val="1EC50E55"/>
    <w:rsid w:val="1EC5DCE3"/>
    <w:rsid w:val="1EC7F1BA"/>
    <w:rsid w:val="1ED8B7FA"/>
    <w:rsid w:val="1EEB2037"/>
    <w:rsid w:val="1EECE3F2"/>
    <w:rsid w:val="1EEF4B7E"/>
    <w:rsid w:val="1EFBDFD8"/>
    <w:rsid w:val="1F11396B"/>
    <w:rsid w:val="1F31A76F"/>
    <w:rsid w:val="1F338319"/>
    <w:rsid w:val="1F37B20C"/>
    <w:rsid w:val="1F3A78E5"/>
    <w:rsid w:val="1F59F42D"/>
    <w:rsid w:val="1F5B96A1"/>
    <w:rsid w:val="1F5E5896"/>
    <w:rsid w:val="1F72C8CF"/>
    <w:rsid w:val="1F78562B"/>
    <w:rsid w:val="1F7A639C"/>
    <w:rsid w:val="1F7B81D7"/>
    <w:rsid w:val="1F7F9D68"/>
    <w:rsid w:val="1FAA11A8"/>
    <w:rsid w:val="1FD1E7F0"/>
    <w:rsid w:val="2006F378"/>
    <w:rsid w:val="2007001F"/>
    <w:rsid w:val="20086530"/>
    <w:rsid w:val="20240A44"/>
    <w:rsid w:val="20273DC0"/>
    <w:rsid w:val="204A8899"/>
    <w:rsid w:val="20A344F1"/>
    <w:rsid w:val="20B9987F"/>
    <w:rsid w:val="210A9968"/>
    <w:rsid w:val="210FCCBF"/>
    <w:rsid w:val="21341A49"/>
    <w:rsid w:val="2150CF17"/>
    <w:rsid w:val="2167E03C"/>
    <w:rsid w:val="2169589F"/>
    <w:rsid w:val="219FA44D"/>
    <w:rsid w:val="21C41131"/>
    <w:rsid w:val="21C70A49"/>
    <w:rsid w:val="21E33319"/>
    <w:rsid w:val="22000CB7"/>
    <w:rsid w:val="22068D47"/>
    <w:rsid w:val="220808D2"/>
    <w:rsid w:val="22578046"/>
    <w:rsid w:val="225ADC3D"/>
    <w:rsid w:val="226AB937"/>
    <w:rsid w:val="2271659A"/>
    <w:rsid w:val="2286BDE3"/>
    <w:rsid w:val="22B6A6B2"/>
    <w:rsid w:val="22BD58E7"/>
    <w:rsid w:val="22CAA2A5"/>
    <w:rsid w:val="22CF7B14"/>
    <w:rsid w:val="22D91D9F"/>
    <w:rsid w:val="22DA4822"/>
    <w:rsid w:val="233D8D97"/>
    <w:rsid w:val="236A506F"/>
    <w:rsid w:val="238AFB98"/>
    <w:rsid w:val="238CC55C"/>
    <w:rsid w:val="239530F2"/>
    <w:rsid w:val="2398E7BA"/>
    <w:rsid w:val="23B6C36A"/>
    <w:rsid w:val="23B6E035"/>
    <w:rsid w:val="23C28067"/>
    <w:rsid w:val="23CD0F07"/>
    <w:rsid w:val="23EC1C54"/>
    <w:rsid w:val="23FC85D2"/>
    <w:rsid w:val="23FCCEFD"/>
    <w:rsid w:val="2458E6FC"/>
    <w:rsid w:val="2459040E"/>
    <w:rsid w:val="246548DB"/>
    <w:rsid w:val="24787D49"/>
    <w:rsid w:val="2479F7F1"/>
    <w:rsid w:val="247B6627"/>
    <w:rsid w:val="24843BF5"/>
    <w:rsid w:val="24871BDE"/>
    <w:rsid w:val="2495A79A"/>
    <w:rsid w:val="24973177"/>
    <w:rsid w:val="249AF4F4"/>
    <w:rsid w:val="249D64CC"/>
    <w:rsid w:val="249F37BF"/>
    <w:rsid w:val="24A05E51"/>
    <w:rsid w:val="24B352EA"/>
    <w:rsid w:val="24B7CFDB"/>
    <w:rsid w:val="24C86B0B"/>
    <w:rsid w:val="24C92F99"/>
    <w:rsid w:val="24D02F07"/>
    <w:rsid w:val="24DE58AF"/>
    <w:rsid w:val="253E321F"/>
    <w:rsid w:val="2546FB84"/>
    <w:rsid w:val="2555B3C9"/>
    <w:rsid w:val="2579372B"/>
    <w:rsid w:val="25A978ED"/>
    <w:rsid w:val="25C263B6"/>
    <w:rsid w:val="25D25ABF"/>
    <w:rsid w:val="260AF2D0"/>
    <w:rsid w:val="260C5B30"/>
    <w:rsid w:val="261530BB"/>
    <w:rsid w:val="261E2DE4"/>
    <w:rsid w:val="262C3D19"/>
    <w:rsid w:val="26345BBB"/>
    <w:rsid w:val="265DA411"/>
    <w:rsid w:val="2663AC26"/>
    <w:rsid w:val="266F5B08"/>
    <w:rsid w:val="2677CE2E"/>
    <w:rsid w:val="268A815F"/>
    <w:rsid w:val="26AA48BF"/>
    <w:rsid w:val="27126BC7"/>
    <w:rsid w:val="2733E2C9"/>
    <w:rsid w:val="273EC7F2"/>
    <w:rsid w:val="27429D10"/>
    <w:rsid w:val="2751DF11"/>
    <w:rsid w:val="27696850"/>
    <w:rsid w:val="276EF807"/>
    <w:rsid w:val="278F9A0E"/>
    <w:rsid w:val="27BBE798"/>
    <w:rsid w:val="27F5F0A2"/>
    <w:rsid w:val="284FE4E5"/>
    <w:rsid w:val="285416B9"/>
    <w:rsid w:val="285CB481"/>
    <w:rsid w:val="2886412F"/>
    <w:rsid w:val="28964707"/>
    <w:rsid w:val="289BCB6A"/>
    <w:rsid w:val="28AB1ADB"/>
    <w:rsid w:val="28AEE0D0"/>
    <w:rsid w:val="28AEFF5E"/>
    <w:rsid w:val="28B0C402"/>
    <w:rsid w:val="28C805EF"/>
    <w:rsid w:val="28CF13FF"/>
    <w:rsid w:val="28F6DEF7"/>
    <w:rsid w:val="29274A83"/>
    <w:rsid w:val="29383199"/>
    <w:rsid w:val="293962F0"/>
    <w:rsid w:val="295F2FAA"/>
    <w:rsid w:val="296983F5"/>
    <w:rsid w:val="297475B4"/>
    <w:rsid w:val="29751FDE"/>
    <w:rsid w:val="29773356"/>
    <w:rsid w:val="29776477"/>
    <w:rsid w:val="298259C6"/>
    <w:rsid w:val="2990024A"/>
    <w:rsid w:val="2994D61D"/>
    <w:rsid w:val="29B43EB0"/>
    <w:rsid w:val="2A00A127"/>
    <w:rsid w:val="2A0F0F10"/>
    <w:rsid w:val="2A0F1133"/>
    <w:rsid w:val="2A131A16"/>
    <w:rsid w:val="2A14D0A1"/>
    <w:rsid w:val="2A194912"/>
    <w:rsid w:val="2A31FE4A"/>
    <w:rsid w:val="2A3B46A9"/>
    <w:rsid w:val="2A3E0061"/>
    <w:rsid w:val="2A445552"/>
    <w:rsid w:val="2A5E56FC"/>
    <w:rsid w:val="2A7D72AC"/>
    <w:rsid w:val="2ACB9F89"/>
    <w:rsid w:val="2ADC1200"/>
    <w:rsid w:val="2ADD7413"/>
    <w:rsid w:val="2B0309FA"/>
    <w:rsid w:val="2B2C9B4A"/>
    <w:rsid w:val="2B35A248"/>
    <w:rsid w:val="2B6F5A3C"/>
    <w:rsid w:val="2B899888"/>
    <w:rsid w:val="2B8C033E"/>
    <w:rsid w:val="2BBBCEC3"/>
    <w:rsid w:val="2BEBF92E"/>
    <w:rsid w:val="2BF5A8B4"/>
    <w:rsid w:val="2C282FF7"/>
    <w:rsid w:val="2C4300E0"/>
    <w:rsid w:val="2C7D93C9"/>
    <w:rsid w:val="2C87CCA0"/>
    <w:rsid w:val="2CA4762E"/>
    <w:rsid w:val="2CA8B6D8"/>
    <w:rsid w:val="2CB4432C"/>
    <w:rsid w:val="2CC84BBD"/>
    <w:rsid w:val="2CE2F423"/>
    <w:rsid w:val="2CE53FED"/>
    <w:rsid w:val="2CF31E8D"/>
    <w:rsid w:val="2CFC331D"/>
    <w:rsid w:val="2D05923E"/>
    <w:rsid w:val="2D13AB5E"/>
    <w:rsid w:val="2D1AFE3A"/>
    <w:rsid w:val="2D23EDBB"/>
    <w:rsid w:val="2D7FAE4E"/>
    <w:rsid w:val="2D822892"/>
    <w:rsid w:val="2D97ED0E"/>
    <w:rsid w:val="2DC3396D"/>
    <w:rsid w:val="2DE6D44C"/>
    <w:rsid w:val="2E04499F"/>
    <w:rsid w:val="2E2EF22D"/>
    <w:rsid w:val="2E3A72BC"/>
    <w:rsid w:val="2E3EC4E5"/>
    <w:rsid w:val="2E56D138"/>
    <w:rsid w:val="2E57AB5C"/>
    <w:rsid w:val="2E581AC3"/>
    <w:rsid w:val="2E79B045"/>
    <w:rsid w:val="2E861175"/>
    <w:rsid w:val="2E8E238F"/>
    <w:rsid w:val="2E9A659E"/>
    <w:rsid w:val="2EB5ACB0"/>
    <w:rsid w:val="2ECDF96A"/>
    <w:rsid w:val="2ED24FCA"/>
    <w:rsid w:val="2EDC0825"/>
    <w:rsid w:val="2F21619C"/>
    <w:rsid w:val="2F32D726"/>
    <w:rsid w:val="2F480CE8"/>
    <w:rsid w:val="2F503500"/>
    <w:rsid w:val="2F521E44"/>
    <w:rsid w:val="2F52C5D0"/>
    <w:rsid w:val="2F6D207E"/>
    <w:rsid w:val="2F718D29"/>
    <w:rsid w:val="2FA008E0"/>
    <w:rsid w:val="2FBCA2D0"/>
    <w:rsid w:val="2FDC7309"/>
    <w:rsid w:val="2FE40B0D"/>
    <w:rsid w:val="2FED3FC0"/>
    <w:rsid w:val="2FFB5DB1"/>
    <w:rsid w:val="300267F1"/>
    <w:rsid w:val="300AAE88"/>
    <w:rsid w:val="300B5BAC"/>
    <w:rsid w:val="30105CFF"/>
    <w:rsid w:val="3014E4A9"/>
    <w:rsid w:val="3019B073"/>
    <w:rsid w:val="301BAF29"/>
    <w:rsid w:val="302D190D"/>
    <w:rsid w:val="302D84CD"/>
    <w:rsid w:val="3033EC50"/>
    <w:rsid w:val="30483F48"/>
    <w:rsid w:val="305A41AB"/>
    <w:rsid w:val="3062CAF6"/>
    <w:rsid w:val="308CDF52"/>
    <w:rsid w:val="3094A83F"/>
    <w:rsid w:val="30A3A6AC"/>
    <w:rsid w:val="30B00C84"/>
    <w:rsid w:val="30B0E5B1"/>
    <w:rsid w:val="30B1DA97"/>
    <w:rsid w:val="30BA3FCB"/>
    <w:rsid w:val="30D91ED2"/>
    <w:rsid w:val="30DA4373"/>
    <w:rsid w:val="30E9E545"/>
    <w:rsid w:val="30EC0A4A"/>
    <w:rsid w:val="30F5B025"/>
    <w:rsid w:val="30FAAE4D"/>
    <w:rsid w:val="30FD73D4"/>
    <w:rsid w:val="3107B036"/>
    <w:rsid w:val="310B3085"/>
    <w:rsid w:val="312A7EDD"/>
    <w:rsid w:val="312BBB71"/>
    <w:rsid w:val="312E0F1F"/>
    <w:rsid w:val="3136D420"/>
    <w:rsid w:val="313D5B4A"/>
    <w:rsid w:val="314C7632"/>
    <w:rsid w:val="315C1ABC"/>
    <w:rsid w:val="318ABE94"/>
    <w:rsid w:val="31B464E0"/>
    <w:rsid w:val="31BEEFB3"/>
    <w:rsid w:val="31C621C3"/>
    <w:rsid w:val="31E7D702"/>
    <w:rsid w:val="31EE4830"/>
    <w:rsid w:val="31EF4DDE"/>
    <w:rsid w:val="31FD118E"/>
    <w:rsid w:val="3208CC00"/>
    <w:rsid w:val="3208D383"/>
    <w:rsid w:val="320D334B"/>
    <w:rsid w:val="32107A1C"/>
    <w:rsid w:val="32150604"/>
    <w:rsid w:val="32392E51"/>
    <w:rsid w:val="3249722B"/>
    <w:rsid w:val="324EAC5F"/>
    <w:rsid w:val="325A24A5"/>
    <w:rsid w:val="32781EDA"/>
    <w:rsid w:val="328D7471"/>
    <w:rsid w:val="3296D0CD"/>
    <w:rsid w:val="329FD704"/>
    <w:rsid w:val="32A8802C"/>
    <w:rsid w:val="32B028F7"/>
    <w:rsid w:val="32DA3164"/>
    <w:rsid w:val="32E588C0"/>
    <w:rsid w:val="32EF8E35"/>
    <w:rsid w:val="32FECBE9"/>
    <w:rsid w:val="33109796"/>
    <w:rsid w:val="3322E259"/>
    <w:rsid w:val="3351C736"/>
    <w:rsid w:val="3356000D"/>
    <w:rsid w:val="33679091"/>
    <w:rsid w:val="3390ECFC"/>
    <w:rsid w:val="33996DD1"/>
    <w:rsid w:val="33A27BD7"/>
    <w:rsid w:val="33BB55C9"/>
    <w:rsid w:val="33C00359"/>
    <w:rsid w:val="33D15051"/>
    <w:rsid w:val="341540C1"/>
    <w:rsid w:val="34402668"/>
    <w:rsid w:val="3441915A"/>
    <w:rsid w:val="3486F512"/>
    <w:rsid w:val="349875AD"/>
    <w:rsid w:val="349E5E88"/>
    <w:rsid w:val="34BCDAF6"/>
    <w:rsid w:val="34CCBDA8"/>
    <w:rsid w:val="34DA004A"/>
    <w:rsid w:val="34F46095"/>
    <w:rsid w:val="350DDE80"/>
    <w:rsid w:val="351539D1"/>
    <w:rsid w:val="351E7A46"/>
    <w:rsid w:val="35206CFC"/>
    <w:rsid w:val="352740D2"/>
    <w:rsid w:val="35315F98"/>
    <w:rsid w:val="35708934"/>
    <w:rsid w:val="3574F51D"/>
    <w:rsid w:val="358ED18B"/>
    <w:rsid w:val="359C5E4C"/>
    <w:rsid w:val="359CCBB1"/>
    <w:rsid w:val="35B2A3B5"/>
    <w:rsid w:val="35DA7295"/>
    <w:rsid w:val="36104731"/>
    <w:rsid w:val="3616D761"/>
    <w:rsid w:val="361BF7C4"/>
    <w:rsid w:val="36567841"/>
    <w:rsid w:val="365ACF96"/>
    <w:rsid w:val="365B046E"/>
    <w:rsid w:val="366E40C5"/>
    <w:rsid w:val="36733344"/>
    <w:rsid w:val="36A6F5DB"/>
    <w:rsid w:val="36AB8F0A"/>
    <w:rsid w:val="36AE066F"/>
    <w:rsid w:val="36B3CC9E"/>
    <w:rsid w:val="36B7F6C5"/>
    <w:rsid w:val="36BB50D1"/>
    <w:rsid w:val="36D278A1"/>
    <w:rsid w:val="36E9A405"/>
    <w:rsid w:val="37157961"/>
    <w:rsid w:val="371E8F57"/>
    <w:rsid w:val="37366E76"/>
    <w:rsid w:val="3742F07C"/>
    <w:rsid w:val="3742F4F5"/>
    <w:rsid w:val="37583C76"/>
    <w:rsid w:val="375F0EF8"/>
    <w:rsid w:val="3779A853"/>
    <w:rsid w:val="379AEB1D"/>
    <w:rsid w:val="37AF187D"/>
    <w:rsid w:val="37AF88B3"/>
    <w:rsid w:val="37B5B8C0"/>
    <w:rsid w:val="37C4D577"/>
    <w:rsid w:val="37D1BC7D"/>
    <w:rsid w:val="37D829C9"/>
    <w:rsid w:val="37EF8E1D"/>
    <w:rsid w:val="38136ED5"/>
    <w:rsid w:val="3836DA93"/>
    <w:rsid w:val="383DEE83"/>
    <w:rsid w:val="384C4548"/>
    <w:rsid w:val="38508ABE"/>
    <w:rsid w:val="3859ED42"/>
    <w:rsid w:val="3877B5D8"/>
    <w:rsid w:val="38835281"/>
    <w:rsid w:val="388E5A0F"/>
    <w:rsid w:val="3891D6D8"/>
    <w:rsid w:val="389F17F8"/>
    <w:rsid w:val="38B1D2CA"/>
    <w:rsid w:val="38CA5022"/>
    <w:rsid w:val="38CC98DE"/>
    <w:rsid w:val="38D99CD9"/>
    <w:rsid w:val="38F525BE"/>
    <w:rsid w:val="3904A8CB"/>
    <w:rsid w:val="39077AE4"/>
    <w:rsid w:val="39090F43"/>
    <w:rsid w:val="390EEC95"/>
    <w:rsid w:val="394ACB99"/>
    <w:rsid w:val="394DB42B"/>
    <w:rsid w:val="39675DB7"/>
    <w:rsid w:val="39839FB7"/>
    <w:rsid w:val="39A4D016"/>
    <w:rsid w:val="39B3FBEB"/>
    <w:rsid w:val="39B42794"/>
    <w:rsid w:val="39D2A3DC"/>
    <w:rsid w:val="39D514AA"/>
    <w:rsid w:val="39DC5297"/>
    <w:rsid w:val="39EB4335"/>
    <w:rsid w:val="39FC5D6C"/>
    <w:rsid w:val="3A0E7E49"/>
    <w:rsid w:val="3A29C638"/>
    <w:rsid w:val="3A30053D"/>
    <w:rsid w:val="3A3D98BA"/>
    <w:rsid w:val="3A3FC1B7"/>
    <w:rsid w:val="3A59E93F"/>
    <w:rsid w:val="3A5B12AB"/>
    <w:rsid w:val="3AA8D586"/>
    <w:rsid w:val="3AC2A0EB"/>
    <w:rsid w:val="3AC45AF6"/>
    <w:rsid w:val="3ACD9544"/>
    <w:rsid w:val="3AD62749"/>
    <w:rsid w:val="3AEAEEC9"/>
    <w:rsid w:val="3AEDDFA9"/>
    <w:rsid w:val="3AF058BB"/>
    <w:rsid w:val="3AFD16CC"/>
    <w:rsid w:val="3B02DD83"/>
    <w:rsid w:val="3B048DA7"/>
    <w:rsid w:val="3B11F58C"/>
    <w:rsid w:val="3B129F76"/>
    <w:rsid w:val="3B2A7C17"/>
    <w:rsid w:val="3B44ACAB"/>
    <w:rsid w:val="3B4BADFB"/>
    <w:rsid w:val="3B574643"/>
    <w:rsid w:val="3B5B135D"/>
    <w:rsid w:val="3B883B74"/>
    <w:rsid w:val="3B9496FB"/>
    <w:rsid w:val="3B9A83BB"/>
    <w:rsid w:val="3B9ADD6B"/>
    <w:rsid w:val="3BA119FB"/>
    <w:rsid w:val="3BC2B589"/>
    <w:rsid w:val="3BE1E7DC"/>
    <w:rsid w:val="3BE970AB"/>
    <w:rsid w:val="3BF4F573"/>
    <w:rsid w:val="3BFBC8E5"/>
    <w:rsid w:val="3C0ECA5C"/>
    <w:rsid w:val="3C194EA1"/>
    <w:rsid w:val="3C1D030E"/>
    <w:rsid w:val="3C2516F8"/>
    <w:rsid w:val="3C2E143E"/>
    <w:rsid w:val="3C2FDC5D"/>
    <w:rsid w:val="3C3008B3"/>
    <w:rsid w:val="3C3A6A9E"/>
    <w:rsid w:val="3C57516D"/>
    <w:rsid w:val="3C5CBB83"/>
    <w:rsid w:val="3C5F5952"/>
    <w:rsid w:val="3C7B8DD3"/>
    <w:rsid w:val="3C8D5908"/>
    <w:rsid w:val="3C924518"/>
    <w:rsid w:val="3CBDACB9"/>
    <w:rsid w:val="3CEBE53A"/>
    <w:rsid w:val="3CFE0DAD"/>
    <w:rsid w:val="3D0FF6B6"/>
    <w:rsid w:val="3D2F9822"/>
    <w:rsid w:val="3D346A44"/>
    <w:rsid w:val="3D381A64"/>
    <w:rsid w:val="3D74BE8C"/>
    <w:rsid w:val="3D9F72C7"/>
    <w:rsid w:val="3DA47C8E"/>
    <w:rsid w:val="3DE19EE7"/>
    <w:rsid w:val="3DF63575"/>
    <w:rsid w:val="3DF8414F"/>
    <w:rsid w:val="3DFF80F8"/>
    <w:rsid w:val="3E02EB86"/>
    <w:rsid w:val="3E0941AE"/>
    <w:rsid w:val="3E0C8551"/>
    <w:rsid w:val="3E1A1774"/>
    <w:rsid w:val="3E23E64B"/>
    <w:rsid w:val="3E2F0207"/>
    <w:rsid w:val="3E3634F3"/>
    <w:rsid w:val="3E3DABC5"/>
    <w:rsid w:val="3E404F47"/>
    <w:rsid w:val="3E592FE7"/>
    <w:rsid w:val="3E667354"/>
    <w:rsid w:val="3E906C57"/>
    <w:rsid w:val="3E959282"/>
    <w:rsid w:val="3E9AB60D"/>
    <w:rsid w:val="3E9DB7E6"/>
    <w:rsid w:val="3E9DB9F7"/>
    <w:rsid w:val="3E9F7C67"/>
    <w:rsid w:val="3EA642EF"/>
    <w:rsid w:val="3EC15C10"/>
    <w:rsid w:val="3EC88C30"/>
    <w:rsid w:val="3EE0B7AB"/>
    <w:rsid w:val="3F4F2222"/>
    <w:rsid w:val="3F5627EA"/>
    <w:rsid w:val="3F6A9A6A"/>
    <w:rsid w:val="3F7C40E8"/>
    <w:rsid w:val="3F8CEC41"/>
    <w:rsid w:val="3F8E2A13"/>
    <w:rsid w:val="3F919680"/>
    <w:rsid w:val="3F919980"/>
    <w:rsid w:val="3F994B86"/>
    <w:rsid w:val="3F9CFE3C"/>
    <w:rsid w:val="3FCB9B01"/>
    <w:rsid w:val="3FED0850"/>
    <w:rsid w:val="3FF90D2A"/>
    <w:rsid w:val="40270A11"/>
    <w:rsid w:val="403AA281"/>
    <w:rsid w:val="4046A0C1"/>
    <w:rsid w:val="40687EB1"/>
    <w:rsid w:val="40B94D3A"/>
    <w:rsid w:val="40BF786F"/>
    <w:rsid w:val="40C9CC67"/>
    <w:rsid w:val="40CD4B52"/>
    <w:rsid w:val="40DA52F7"/>
    <w:rsid w:val="40EB27E9"/>
    <w:rsid w:val="410BC865"/>
    <w:rsid w:val="4128942B"/>
    <w:rsid w:val="4132EE46"/>
    <w:rsid w:val="413B0042"/>
    <w:rsid w:val="41435DC9"/>
    <w:rsid w:val="414F5E4B"/>
    <w:rsid w:val="4159FBD9"/>
    <w:rsid w:val="416515C9"/>
    <w:rsid w:val="41657FAA"/>
    <w:rsid w:val="41B0D548"/>
    <w:rsid w:val="41B3FA4E"/>
    <w:rsid w:val="41D8A62F"/>
    <w:rsid w:val="41DBFEE8"/>
    <w:rsid w:val="41E9DDFB"/>
    <w:rsid w:val="41EE6BE2"/>
    <w:rsid w:val="41F0AC5F"/>
    <w:rsid w:val="41FE19BE"/>
    <w:rsid w:val="41FE4FF8"/>
    <w:rsid w:val="42235756"/>
    <w:rsid w:val="422872E1"/>
    <w:rsid w:val="4240F19F"/>
    <w:rsid w:val="426B288B"/>
    <w:rsid w:val="426B688F"/>
    <w:rsid w:val="426B9BD1"/>
    <w:rsid w:val="4279D369"/>
    <w:rsid w:val="427BC2A2"/>
    <w:rsid w:val="42906ECB"/>
    <w:rsid w:val="42C97425"/>
    <w:rsid w:val="42DCF119"/>
    <w:rsid w:val="42E190B8"/>
    <w:rsid w:val="42EAC9B8"/>
    <w:rsid w:val="42ED4974"/>
    <w:rsid w:val="42F61C41"/>
    <w:rsid w:val="4324FC78"/>
    <w:rsid w:val="433B6739"/>
    <w:rsid w:val="4346898C"/>
    <w:rsid w:val="43B63CC4"/>
    <w:rsid w:val="43BE28CD"/>
    <w:rsid w:val="43C6D844"/>
    <w:rsid w:val="43D0C332"/>
    <w:rsid w:val="43DD2FA3"/>
    <w:rsid w:val="43F011A2"/>
    <w:rsid w:val="4403B803"/>
    <w:rsid w:val="440F0DD2"/>
    <w:rsid w:val="44175A8C"/>
    <w:rsid w:val="442D25AF"/>
    <w:rsid w:val="4436D8D6"/>
    <w:rsid w:val="444FBFDA"/>
    <w:rsid w:val="4454F68B"/>
    <w:rsid w:val="448A3BDD"/>
    <w:rsid w:val="4492789B"/>
    <w:rsid w:val="4497C7D7"/>
    <w:rsid w:val="449E6675"/>
    <w:rsid w:val="44B4321F"/>
    <w:rsid w:val="44B47CA0"/>
    <w:rsid w:val="44BEE490"/>
    <w:rsid w:val="44BF89A1"/>
    <w:rsid w:val="44C4CF68"/>
    <w:rsid w:val="44C4D505"/>
    <w:rsid w:val="44C66B68"/>
    <w:rsid w:val="44CF0DB2"/>
    <w:rsid w:val="44DC74BF"/>
    <w:rsid w:val="44E37BEF"/>
    <w:rsid w:val="44F3BD2C"/>
    <w:rsid w:val="451A2213"/>
    <w:rsid w:val="4529E9EF"/>
    <w:rsid w:val="45383425"/>
    <w:rsid w:val="453EF06E"/>
    <w:rsid w:val="4557B4E3"/>
    <w:rsid w:val="45641EE1"/>
    <w:rsid w:val="4576C2DD"/>
    <w:rsid w:val="457F4D18"/>
    <w:rsid w:val="4588935D"/>
    <w:rsid w:val="45A2AE41"/>
    <w:rsid w:val="45B58EDA"/>
    <w:rsid w:val="45CA3301"/>
    <w:rsid w:val="45E433C0"/>
    <w:rsid w:val="45FE232D"/>
    <w:rsid w:val="46136A0C"/>
    <w:rsid w:val="463CA100"/>
    <w:rsid w:val="464839F7"/>
    <w:rsid w:val="465BFD38"/>
    <w:rsid w:val="46653FE9"/>
    <w:rsid w:val="46785CFA"/>
    <w:rsid w:val="468661D2"/>
    <w:rsid w:val="468C6CAD"/>
    <w:rsid w:val="46B11EA8"/>
    <w:rsid w:val="46CC8377"/>
    <w:rsid w:val="46DA3FE9"/>
    <w:rsid w:val="471C0278"/>
    <w:rsid w:val="471F6607"/>
    <w:rsid w:val="4733952E"/>
    <w:rsid w:val="475E16E6"/>
    <w:rsid w:val="47707D5E"/>
    <w:rsid w:val="47B21537"/>
    <w:rsid w:val="47B66A9C"/>
    <w:rsid w:val="47BE1B72"/>
    <w:rsid w:val="47C2D293"/>
    <w:rsid w:val="47D78811"/>
    <w:rsid w:val="47E51601"/>
    <w:rsid w:val="47EA082A"/>
    <w:rsid w:val="480C1B95"/>
    <w:rsid w:val="4817E424"/>
    <w:rsid w:val="4835E957"/>
    <w:rsid w:val="4844C81F"/>
    <w:rsid w:val="4846093F"/>
    <w:rsid w:val="4846231C"/>
    <w:rsid w:val="484AE28D"/>
    <w:rsid w:val="484B9D72"/>
    <w:rsid w:val="4853E92E"/>
    <w:rsid w:val="4872F17D"/>
    <w:rsid w:val="48790B53"/>
    <w:rsid w:val="4884271B"/>
    <w:rsid w:val="4899CE89"/>
    <w:rsid w:val="48A1B408"/>
    <w:rsid w:val="48A72B28"/>
    <w:rsid w:val="48E77421"/>
    <w:rsid w:val="492E0B97"/>
    <w:rsid w:val="493C1C23"/>
    <w:rsid w:val="4946FD15"/>
    <w:rsid w:val="495729E3"/>
    <w:rsid w:val="4962BFDC"/>
    <w:rsid w:val="4963B38D"/>
    <w:rsid w:val="498680CB"/>
    <w:rsid w:val="49A5F1AC"/>
    <w:rsid w:val="49A9FE5A"/>
    <w:rsid w:val="49B2F372"/>
    <w:rsid w:val="49B73A21"/>
    <w:rsid w:val="49BAC5CD"/>
    <w:rsid w:val="49C957AB"/>
    <w:rsid w:val="49D201A0"/>
    <w:rsid w:val="49E27DA1"/>
    <w:rsid w:val="49F0470C"/>
    <w:rsid w:val="49F3823E"/>
    <w:rsid w:val="4A0B64B6"/>
    <w:rsid w:val="4A124577"/>
    <w:rsid w:val="4A3A4064"/>
    <w:rsid w:val="4A4D176E"/>
    <w:rsid w:val="4A6823F9"/>
    <w:rsid w:val="4A695C37"/>
    <w:rsid w:val="4A82CDE5"/>
    <w:rsid w:val="4AA4113A"/>
    <w:rsid w:val="4ACABD92"/>
    <w:rsid w:val="4ACEDBAB"/>
    <w:rsid w:val="4AD03030"/>
    <w:rsid w:val="4AD611A6"/>
    <w:rsid w:val="4AE182AF"/>
    <w:rsid w:val="4B12DE9B"/>
    <w:rsid w:val="4B14D6AD"/>
    <w:rsid w:val="4B1528C5"/>
    <w:rsid w:val="4B3C50D9"/>
    <w:rsid w:val="4B3FE285"/>
    <w:rsid w:val="4B43C72E"/>
    <w:rsid w:val="4B4D9F27"/>
    <w:rsid w:val="4B4DD5C5"/>
    <w:rsid w:val="4B592426"/>
    <w:rsid w:val="4B749A9B"/>
    <w:rsid w:val="4B766D79"/>
    <w:rsid w:val="4B78E523"/>
    <w:rsid w:val="4B802513"/>
    <w:rsid w:val="4B86A2A9"/>
    <w:rsid w:val="4B8BBC36"/>
    <w:rsid w:val="4BABD33E"/>
    <w:rsid w:val="4BAE2604"/>
    <w:rsid w:val="4BC0B3AD"/>
    <w:rsid w:val="4BD0FADA"/>
    <w:rsid w:val="4BE7EB88"/>
    <w:rsid w:val="4BEC0C89"/>
    <w:rsid w:val="4BF6E8DB"/>
    <w:rsid w:val="4C00D7C8"/>
    <w:rsid w:val="4C21A7A1"/>
    <w:rsid w:val="4C2616B6"/>
    <w:rsid w:val="4C574CBF"/>
    <w:rsid w:val="4C7013AA"/>
    <w:rsid w:val="4C818685"/>
    <w:rsid w:val="4C8E6404"/>
    <w:rsid w:val="4C92A891"/>
    <w:rsid w:val="4C94E3E2"/>
    <w:rsid w:val="4D139242"/>
    <w:rsid w:val="4D171286"/>
    <w:rsid w:val="4D2F0454"/>
    <w:rsid w:val="4D32B79F"/>
    <w:rsid w:val="4D55F10A"/>
    <w:rsid w:val="4D6F1627"/>
    <w:rsid w:val="4DB64E2A"/>
    <w:rsid w:val="4DC49CD7"/>
    <w:rsid w:val="4DD0320F"/>
    <w:rsid w:val="4DD60D11"/>
    <w:rsid w:val="4DD8D6AE"/>
    <w:rsid w:val="4DF63B3E"/>
    <w:rsid w:val="4E0EEF03"/>
    <w:rsid w:val="4E10B069"/>
    <w:rsid w:val="4E206EF1"/>
    <w:rsid w:val="4E39BC2A"/>
    <w:rsid w:val="4E4204C0"/>
    <w:rsid w:val="4E498EA9"/>
    <w:rsid w:val="4E52B128"/>
    <w:rsid w:val="4E5BDC74"/>
    <w:rsid w:val="4E5C4A35"/>
    <w:rsid w:val="4E64E5A7"/>
    <w:rsid w:val="4E6FBAE8"/>
    <w:rsid w:val="4E716A13"/>
    <w:rsid w:val="4E80EC50"/>
    <w:rsid w:val="4E89FBAA"/>
    <w:rsid w:val="4E8E70D7"/>
    <w:rsid w:val="4E91DF19"/>
    <w:rsid w:val="4EA2EDC9"/>
    <w:rsid w:val="4EC1664A"/>
    <w:rsid w:val="4EDB0894"/>
    <w:rsid w:val="4EDC2881"/>
    <w:rsid w:val="4EE2427E"/>
    <w:rsid w:val="4F080F32"/>
    <w:rsid w:val="4F33253F"/>
    <w:rsid w:val="4F402079"/>
    <w:rsid w:val="4F60BFC2"/>
    <w:rsid w:val="4F7490A8"/>
    <w:rsid w:val="4F7AD24C"/>
    <w:rsid w:val="4F94D3D9"/>
    <w:rsid w:val="4F9C66C6"/>
    <w:rsid w:val="4FC3BAAC"/>
    <w:rsid w:val="4FD5CF30"/>
    <w:rsid w:val="4FF78662"/>
    <w:rsid w:val="4FFBEBA6"/>
    <w:rsid w:val="5006CF35"/>
    <w:rsid w:val="5009BED4"/>
    <w:rsid w:val="5037FB25"/>
    <w:rsid w:val="5040D4F9"/>
    <w:rsid w:val="507137EB"/>
    <w:rsid w:val="507ADF92"/>
    <w:rsid w:val="5082E503"/>
    <w:rsid w:val="50A6550C"/>
    <w:rsid w:val="50C5E08E"/>
    <w:rsid w:val="50F8C586"/>
    <w:rsid w:val="51005122"/>
    <w:rsid w:val="5101A476"/>
    <w:rsid w:val="5105DBB0"/>
    <w:rsid w:val="510ED5DD"/>
    <w:rsid w:val="51372B71"/>
    <w:rsid w:val="513766B5"/>
    <w:rsid w:val="5144899F"/>
    <w:rsid w:val="514D6557"/>
    <w:rsid w:val="51565615"/>
    <w:rsid w:val="51728BD9"/>
    <w:rsid w:val="517BDE7C"/>
    <w:rsid w:val="51A32A3C"/>
    <w:rsid w:val="51C90A0D"/>
    <w:rsid w:val="51E576DA"/>
    <w:rsid w:val="51E730DF"/>
    <w:rsid w:val="51FBA554"/>
    <w:rsid w:val="51FF10EE"/>
    <w:rsid w:val="5204412D"/>
    <w:rsid w:val="520AC578"/>
    <w:rsid w:val="521607B0"/>
    <w:rsid w:val="52284ED0"/>
    <w:rsid w:val="522D0930"/>
    <w:rsid w:val="522EF001"/>
    <w:rsid w:val="52381BB0"/>
    <w:rsid w:val="525C2233"/>
    <w:rsid w:val="5262CC7A"/>
    <w:rsid w:val="52712843"/>
    <w:rsid w:val="52720707"/>
    <w:rsid w:val="5295FE17"/>
    <w:rsid w:val="529744DA"/>
    <w:rsid w:val="52B0109A"/>
    <w:rsid w:val="52B6DBA8"/>
    <w:rsid w:val="52CF2239"/>
    <w:rsid w:val="52D6672B"/>
    <w:rsid w:val="52E3F573"/>
    <w:rsid w:val="52E4BE56"/>
    <w:rsid w:val="53004229"/>
    <w:rsid w:val="5372BD46"/>
    <w:rsid w:val="538598E0"/>
    <w:rsid w:val="53879A30"/>
    <w:rsid w:val="53A6405D"/>
    <w:rsid w:val="53B6A90F"/>
    <w:rsid w:val="53CDF05F"/>
    <w:rsid w:val="53D0C0DB"/>
    <w:rsid w:val="53EF174C"/>
    <w:rsid w:val="53EFA6B3"/>
    <w:rsid w:val="53F59702"/>
    <w:rsid w:val="541DEB3E"/>
    <w:rsid w:val="54225234"/>
    <w:rsid w:val="5427C8EC"/>
    <w:rsid w:val="542D7267"/>
    <w:rsid w:val="542DB133"/>
    <w:rsid w:val="545C9A91"/>
    <w:rsid w:val="54692811"/>
    <w:rsid w:val="5491A910"/>
    <w:rsid w:val="54D9A0F3"/>
    <w:rsid w:val="550BA153"/>
    <w:rsid w:val="550D511C"/>
    <w:rsid w:val="550E0957"/>
    <w:rsid w:val="551513BC"/>
    <w:rsid w:val="55200A8E"/>
    <w:rsid w:val="553DB36C"/>
    <w:rsid w:val="556B7A4F"/>
    <w:rsid w:val="557DEEA1"/>
    <w:rsid w:val="5580626D"/>
    <w:rsid w:val="5589AC8B"/>
    <w:rsid w:val="55935498"/>
    <w:rsid w:val="5597977E"/>
    <w:rsid w:val="5597C4DB"/>
    <w:rsid w:val="55C6F9AA"/>
    <w:rsid w:val="55CDA6C1"/>
    <w:rsid w:val="55E4EDC4"/>
    <w:rsid w:val="55E7B2BF"/>
    <w:rsid w:val="55FEAB65"/>
    <w:rsid w:val="56005084"/>
    <w:rsid w:val="5609B1CA"/>
    <w:rsid w:val="5609F4A5"/>
    <w:rsid w:val="5620F327"/>
    <w:rsid w:val="562A49CB"/>
    <w:rsid w:val="562D48CE"/>
    <w:rsid w:val="5631B094"/>
    <w:rsid w:val="563CB4B1"/>
    <w:rsid w:val="565125B0"/>
    <w:rsid w:val="56696549"/>
    <w:rsid w:val="56726296"/>
    <w:rsid w:val="568E9E02"/>
    <w:rsid w:val="569F3AFF"/>
    <w:rsid w:val="56BBA0C7"/>
    <w:rsid w:val="56BEB140"/>
    <w:rsid w:val="56E95521"/>
    <w:rsid w:val="57019D1A"/>
    <w:rsid w:val="5706BD97"/>
    <w:rsid w:val="570DBC6B"/>
    <w:rsid w:val="57288CEF"/>
    <w:rsid w:val="57672118"/>
    <w:rsid w:val="5781D929"/>
    <w:rsid w:val="57848610"/>
    <w:rsid w:val="5784BF4D"/>
    <w:rsid w:val="578EAFFF"/>
    <w:rsid w:val="5795D7C4"/>
    <w:rsid w:val="579B6AF9"/>
    <w:rsid w:val="579C0DF2"/>
    <w:rsid w:val="57BD90C8"/>
    <w:rsid w:val="57C23314"/>
    <w:rsid w:val="57DF2A63"/>
    <w:rsid w:val="57E0C9D0"/>
    <w:rsid w:val="58230143"/>
    <w:rsid w:val="5824A172"/>
    <w:rsid w:val="58565234"/>
    <w:rsid w:val="585F6CDD"/>
    <w:rsid w:val="5863AA94"/>
    <w:rsid w:val="5866A31E"/>
    <w:rsid w:val="5886975F"/>
    <w:rsid w:val="58A6FA24"/>
    <w:rsid w:val="58B837DD"/>
    <w:rsid w:val="58CC732C"/>
    <w:rsid w:val="58F0A330"/>
    <w:rsid w:val="59027980"/>
    <w:rsid w:val="590EFFAE"/>
    <w:rsid w:val="5917425D"/>
    <w:rsid w:val="59390108"/>
    <w:rsid w:val="594F9F7E"/>
    <w:rsid w:val="595AB075"/>
    <w:rsid w:val="596A51D5"/>
    <w:rsid w:val="5983BF3B"/>
    <w:rsid w:val="59A76E69"/>
    <w:rsid w:val="59BC6EC7"/>
    <w:rsid w:val="59C06CBB"/>
    <w:rsid w:val="59DA4D6E"/>
    <w:rsid w:val="59E3E2CC"/>
    <w:rsid w:val="59EAFBC0"/>
    <w:rsid w:val="59F83194"/>
    <w:rsid w:val="59F9CE3D"/>
    <w:rsid w:val="5A00E513"/>
    <w:rsid w:val="5A09CEB6"/>
    <w:rsid w:val="5A2FA8F2"/>
    <w:rsid w:val="5A335993"/>
    <w:rsid w:val="5A45BBBB"/>
    <w:rsid w:val="5A471704"/>
    <w:rsid w:val="5A48BDAE"/>
    <w:rsid w:val="5A67F38F"/>
    <w:rsid w:val="5A6E9534"/>
    <w:rsid w:val="5A8BFEA2"/>
    <w:rsid w:val="5A9F0A63"/>
    <w:rsid w:val="5AC54799"/>
    <w:rsid w:val="5ACAA45A"/>
    <w:rsid w:val="5AE43992"/>
    <w:rsid w:val="5B1513D7"/>
    <w:rsid w:val="5B168417"/>
    <w:rsid w:val="5B475729"/>
    <w:rsid w:val="5B5B6AFC"/>
    <w:rsid w:val="5B68660D"/>
    <w:rsid w:val="5B775BA9"/>
    <w:rsid w:val="5B85DC01"/>
    <w:rsid w:val="5BA1D430"/>
    <w:rsid w:val="5BC3C17F"/>
    <w:rsid w:val="5BD072AE"/>
    <w:rsid w:val="5BED82DE"/>
    <w:rsid w:val="5BF87301"/>
    <w:rsid w:val="5C1E3DE2"/>
    <w:rsid w:val="5C2E965E"/>
    <w:rsid w:val="5C349DF8"/>
    <w:rsid w:val="5C562513"/>
    <w:rsid w:val="5C5B905D"/>
    <w:rsid w:val="5C6439B1"/>
    <w:rsid w:val="5C7FF777"/>
    <w:rsid w:val="5C98759C"/>
    <w:rsid w:val="5CA1B1E3"/>
    <w:rsid w:val="5CCD9412"/>
    <w:rsid w:val="5CD6513A"/>
    <w:rsid w:val="5CDE7309"/>
    <w:rsid w:val="5CE072D2"/>
    <w:rsid w:val="5CF6328B"/>
    <w:rsid w:val="5D1F1BC5"/>
    <w:rsid w:val="5D2DFE36"/>
    <w:rsid w:val="5D3BF10B"/>
    <w:rsid w:val="5D42B8A2"/>
    <w:rsid w:val="5D5740F3"/>
    <w:rsid w:val="5D5C4111"/>
    <w:rsid w:val="5D617C29"/>
    <w:rsid w:val="5D68F584"/>
    <w:rsid w:val="5DC02295"/>
    <w:rsid w:val="5DC58437"/>
    <w:rsid w:val="5DC677E1"/>
    <w:rsid w:val="5DC7B4D7"/>
    <w:rsid w:val="5DD4942F"/>
    <w:rsid w:val="5DEE0226"/>
    <w:rsid w:val="5DF6B052"/>
    <w:rsid w:val="5E0EC925"/>
    <w:rsid w:val="5E18BDF1"/>
    <w:rsid w:val="5E1DFE89"/>
    <w:rsid w:val="5E3EDC31"/>
    <w:rsid w:val="5E59F0E5"/>
    <w:rsid w:val="5E6723FF"/>
    <w:rsid w:val="5E6E245A"/>
    <w:rsid w:val="5E88AC2F"/>
    <w:rsid w:val="5EA4B1CB"/>
    <w:rsid w:val="5EB558CE"/>
    <w:rsid w:val="5EC14404"/>
    <w:rsid w:val="5ECA4A57"/>
    <w:rsid w:val="5EEC3335"/>
    <w:rsid w:val="5EEC5156"/>
    <w:rsid w:val="5EEC847D"/>
    <w:rsid w:val="5EF66B9A"/>
    <w:rsid w:val="5EF70C2D"/>
    <w:rsid w:val="5EFA47E1"/>
    <w:rsid w:val="5F34C594"/>
    <w:rsid w:val="5F417406"/>
    <w:rsid w:val="5F4A29D5"/>
    <w:rsid w:val="5F59DB7D"/>
    <w:rsid w:val="5F5E23C0"/>
    <w:rsid w:val="5F5E9E7C"/>
    <w:rsid w:val="5F6556E0"/>
    <w:rsid w:val="5F8492CF"/>
    <w:rsid w:val="5F85DB61"/>
    <w:rsid w:val="5FAA6C22"/>
    <w:rsid w:val="5FAB6393"/>
    <w:rsid w:val="60138844"/>
    <w:rsid w:val="60141484"/>
    <w:rsid w:val="6016565F"/>
    <w:rsid w:val="60205AEC"/>
    <w:rsid w:val="6026D2CE"/>
    <w:rsid w:val="6032975F"/>
    <w:rsid w:val="6048E525"/>
    <w:rsid w:val="605E8F62"/>
    <w:rsid w:val="60762C1A"/>
    <w:rsid w:val="60A49F3D"/>
    <w:rsid w:val="60A624E8"/>
    <w:rsid w:val="60D3EF27"/>
    <w:rsid w:val="60F26859"/>
    <w:rsid w:val="60F439A1"/>
    <w:rsid w:val="60F480D1"/>
    <w:rsid w:val="60F72AD6"/>
    <w:rsid w:val="60F8929B"/>
    <w:rsid w:val="60FBAD6D"/>
    <w:rsid w:val="60FDD9D4"/>
    <w:rsid w:val="60FF60BA"/>
    <w:rsid w:val="60FF6BE4"/>
    <w:rsid w:val="610CB89D"/>
    <w:rsid w:val="611477DA"/>
    <w:rsid w:val="612E9C5B"/>
    <w:rsid w:val="61510E82"/>
    <w:rsid w:val="615B450C"/>
    <w:rsid w:val="617CC2B3"/>
    <w:rsid w:val="61B9B65D"/>
    <w:rsid w:val="61DE7F27"/>
    <w:rsid w:val="61E30588"/>
    <w:rsid w:val="61E57C08"/>
    <w:rsid w:val="61EBF12B"/>
    <w:rsid w:val="61EE2412"/>
    <w:rsid w:val="61F94992"/>
    <w:rsid w:val="6200EABF"/>
    <w:rsid w:val="620F9D62"/>
    <w:rsid w:val="6211AFC9"/>
    <w:rsid w:val="62128CBD"/>
    <w:rsid w:val="6219470D"/>
    <w:rsid w:val="62221040"/>
    <w:rsid w:val="622C5570"/>
    <w:rsid w:val="62308200"/>
    <w:rsid w:val="62343C65"/>
    <w:rsid w:val="624222A6"/>
    <w:rsid w:val="62512C78"/>
    <w:rsid w:val="6269F90F"/>
    <w:rsid w:val="62912542"/>
    <w:rsid w:val="62A77D4D"/>
    <w:rsid w:val="62BA35C5"/>
    <w:rsid w:val="62BEDB0D"/>
    <w:rsid w:val="62BFA582"/>
    <w:rsid w:val="62C578A8"/>
    <w:rsid w:val="62D77C25"/>
    <w:rsid w:val="62D85D1D"/>
    <w:rsid w:val="62FACCF1"/>
    <w:rsid w:val="6314FCFD"/>
    <w:rsid w:val="633204B6"/>
    <w:rsid w:val="6337F256"/>
    <w:rsid w:val="633FD81C"/>
    <w:rsid w:val="634484A7"/>
    <w:rsid w:val="635CFB93"/>
    <w:rsid w:val="6374C43D"/>
    <w:rsid w:val="637E4272"/>
    <w:rsid w:val="63B1E594"/>
    <w:rsid w:val="63C3884C"/>
    <w:rsid w:val="63CC9D7E"/>
    <w:rsid w:val="63D00BD4"/>
    <w:rsid w:val="63D590E9"/>
    <w:rsid w:val="63DF8408"/>
    <w:rsid w:val="63EC02BC"/>
    <w:rsid w:val="64084EEA"/>
    <w:rsid w:val="640D0B5C"/>
    <w:rsid w:val="643A6083"/>
    <w:rsid w:val="64676039"/>
    <w:rsid w:val="646DF9E4"/>
    <w:rsid w:val="647B1EC3"/>
    <w:rsid w:val="647B2B94"/>
    <w:rsid w:val="647B2BDF"/>
    <w:rsid w:val="64838E8A"/>
    <w:rsid w:val="64844502"/>
    <w:rsid w:val="648FB93B"/>
    <w:rsid w:val="64933A8D"/>
    <w:rsid w:val="64AD4415"/>
    <w:rsid w:val="64C0B080"/>
    <w:rsid w:val="64D8B512"/>
    <w:rsid w:val="6509A078"/>
    <w:rsid w:val="6516F3B2"/>
    <w:rsid w:val="6520D816"/>
    <w:rsid w:val="6523FF9E"/>
    <w:rsid w:val="65368A58"/>
    <w:rsid w:val="6542E7D7"/>
    <w:rsid w:val="6544C661"/>
    <w:rsid w:val="6552B96E"/>
    <w:rsid w:val="6569A36B"/>
    <w:rsid w:val="65719124"/>
    <w:rsid w:val="658335F8"/>
    <w:rsid w:val="6587F7C6"/>
    <w:rsid w:val="6588A7EF"/>
    <w:rsid w:val="65A24D93"/>
    <w:rsid w:val="65ACEC61"/>
    <w:rsid w:val="65AEDD04"/>
    <w:rsid w:val="65B3FBF5"/>
    <w:rsid w:val="65CB884D"/>
    <w:rsid w:val="65E352B2"/>
    <w:rsid w:val="65E58426"/>
    <w:rsid w:val="66010A34"/>
    <w:rsid w:val="662DDD2F"/>
    <w:rsid w:val="66301788"/>
    <w:rsid w:val="66379584"/>
    <w:rsid w:val="663CBCA4"/>
    <w:rsid w:val="664A018A"/>
    <w:rsid w:val="6654B222"/>
    <w:rsid w:val="66550E5D"/>
    <w:rsid w:val="66605EFE"/>
    <w:rsid w:val="6662919F"/>
    <w:rsid w:val="666C7548"/>
    <w:rsid w:val="667107A7"/>
    <w:rsid w:val="668DB7EB"/>
    <w:rsid w:val="6690AFB4"/>
    <w:rsid w:val="6697F200"/>
    <w:rsid w:val="669BE97D"/>
    <w:rsid w:val="66A7C85B"/>
    <w:rsid w:val="66BDF238"/>
    <w:rsid w:val="66C88653"/>
    <w:rsid w:val="66ED3AC0"/>
    <w:rsid w:val="67052662"/>
    <w:rsid w:val="6705FB27"/>
    <w:rsid w:val="6734F53E"/>
    <w:rsid w:val="67361CBA"/>
    <w:rsid w:val="6755DFA7"/>
    <w:rsid w:val="675A8A1F"/>
    <w:rsid w:val="675EBA2A"/>
    <w:rsid w:val="67740602"/>
    <w:rsid w:val="67758999"/>
    <w:rsid w:val="67830DF1"/>
    <w:rsid w:val="678559F7"/>
    <w:rsid w:val="67866D8B"/>
    <w:rsid w:val="679764FF"/>
    <w:rsid w:val="67A7F05E"/>
    <w:rsid w:val="67B2010C"/>
    <w:rsid w:val="67CB36FA"/>
    <w:rsid w:val="67D9CE0D"/>
    <w:rsid w:val="67E669B4"/>
    <w:rsid w:val="67EAA208"/>
    <w:rsid w:val="67F235DA"/>
    <w:rsid w:val="6818B606"/>
    <w:rsid w:val="6825F70C"/>
    <w:rsid w:val="682E48CC"/>
    <w:rsid w:val="6832A5C1"/>
    <w:rsid w:val="683C6D1B"/>
    <w:rsid w:val="68420977"/>
    <w:rsid w:val="686256DB"/>
    <w:rsid w:val="68B695AD"/>
    <w:rsid w:val="69241195"/>
    <w:rsid w:val="69253AA6"/>
    <w:rsid w:val="69318E40"/>
    <w:rsid w:val="6932FE78"/>
    <w:rsid w:val="69833DB6"/>
    <w:rsid w:val="698EE1E8"/>
    <w:rsid w:val="699A7A08"/>
    <w:rsid w:val="69A31317"/>
    <w:rsid w:val="69C15E71"/>
    <w:rsid w:val="69C1AD6D"/>
    <w:rsid w:val="69CBD1DD"/>
    <w:rsid w:val="69F01B83"/>
    <w:rsid w:val="6A0DB122"/>
    <w:rsid w:val="6A13FA94"/>
    <w:rsid w:val="6A40FC7B"/>
    <w:rsid w:val="6A4F54EC"/>
    <w:rsid w:val="6A5655C5"/>
    <w:rsid w:val="6A5DB45D"/>
    <w:rsid w:val="6A7632AC"/>
    <w:rsid w:val="6A810A21"/>
    <w:rsid w:val="6A8E0A1C"/>
    <w:rsid w:val="6AAECE20"/>
    <w:rsid w:val="6AD1A6A3"/>
    <w:rsid w:val="6AFB9A55"/>
    <w:rsid w:val="6B0F597C"/>
    <w:rsid w:val="6B1E2752"/>
    <w:rsid w:val="6B503038"/>
    <w:rsid w:val="6B5B0C60"/>
    <w:rsid w:val="6B62F618"/>
    <w:rsid w:val="6B747924"/>
    <w:rsid w:val="6B7B49D5"/>
    <w:rsid w:val="6BC097A8"/>
    <w:rsid w:val="6BC34822"/>
    <w:rsid w:val="6BCB3EA5"/>
    <w:rsid w:val="6BE3CF9A"/>
    <w:rsid w:val="6BE9479A"/>
    <w:rsid w:val="6BEBE6B3"/>
    <w:rsid w:val="6BECAFD8"/>
    <w:rsid w:val="6BED8128"/>
    <w:rsid w:val="6C08EBEA"/>
    <w:rsid w:val="6C2398BC"/>
    <w:rsid w:val="6C2412BB"/>
    <w:rsid w:val="6C2FA7E9"/>
    <w:rsid w:val="6C32B873"/>
    <w:rsid w:val="6C4498D9"/>
    <w:rsid w:val="6C4A5F7E"/>
    <w:rsid w:val="6C65E0D9"/>
    <w:rsid w:val="6C67086B"/>
    <w:rsid w:val="6C73878B"/>
    <w:rsid w:val="6C94C95C"/>
    <w:rsid w:val="6C9B44F2"/>
    <w:rsid w:val="6CA5CF14"/>
    <w:rsid w:val="6CAD2E2E"/>
    <w:rsid w:val="6CB14A97"/>
    <w:rsid w:val="6CC74AC1"/>
    <w:rsid w:val="6CCC5E60"/>
    <w:rsid w:val="6CD9208E"/>
    <w:rsid w:val="6D093255"/>
    <w:rsid w:val="6D123E55"/>
    <w:rsid w:val="6D233B53"/>
    <w:rsid w:val="6D2F0C3F"/>
    <w:rsid w:val="6D2FF2D1"/>
    <w:rsid w:val="6D5A1941"/>
    <w:rsid w:val="6D5D6507"/>
    <w:rsid w:val="6D60879E"/>
    <w:rsid w:val="6D6E114A"/>
    <w:rsid w:val="6D7D673B"/>
    <w:rsid w:val="6D89358F"/>
    <w:rsid w:val="6D8CA657"/>
    <w:rsid w:val="6D972AE1"/>
    <w:rsid w:val="6D9894A1"/>
    <w:rsid w:val="6DAD74B4"/>
    <w:rsid w:val="6DB6357B"/>
    <w:rsid w:val="6DC6B373"/>
    <w:rsid w:val="6DCC89DB"/>
    <w:rsid w:val="6DCE0D42"/>
    <w:rsid w:val="6DD38A52"/>
    <w:rsid w:val="6DE6EB2F"/>
    <w:rsid w:val="6DF9A239"/>
    <w:rsid w:val="6DFC283D"/>
    <w:rsid w:val="6E2006AD"/>
    <w:rsid w:val="6E2BADAC"/>
    <w:rsid w:val="6E3C2178"/>
    <w:rsid w:val="6E3C889F"/>
    <w:rsid w:val="6E4F617A"/>
    <w:rsid w:val="6E6254A7"/>
    <w:rsid w:val="6E7D4DAA"/>
    <w:rsid w:val="6E9107AA"/>
    <w:rsid w:val="6EA1E598"/>
    <w:rsid w:val="6EAFBBB6"/>
    <w:rsid w:val="6EB376BC"/>
    <w:rsid w:val="6EB53941"/>
    <w:rsid w:val="6EC2E7FB"/>
    <w:rsid w:val="6EC7B160"/>
    <w:rsid w:val="6EC7D4E7"/>
    <w:rsid w:val="6ED78071"/>
    <w:rsid w:val="6EEDC525"/>
    <w:rsid w:val="6F20F422"/>
    <w:rsid w:val="6F2F791F"/>
    <w:rsid w:val="6F58F484"/>
    <w:rsid w:val="6F601D65"/>
    <w:rsid w:val="6F60AF8D"/>
    <w:rsid w:val="6F6603E5"/>
    <w:rsid w:val="6F71401E"/>
    <w:rsid w:val="6F768145"/>
    <w:rsid w:val="6F8A6594"/>
    <w:rsid w:val="6FAD0026"/>
    <w:rsid w:val="6FEA4FDF"/>
    <w:rsid w:val="6FF9DF8B"/>
    <w:rsid w:val="6FFB186B"/>
    <w:rsid w:val="6FFFA4AC"/>
    <w:rsid w:val="7014F4E3"/>
    <w:rsid w:val="701D5DE2"/>
    <w:rsid w:val="70251A81"/>
    <w:rsid w:val="702C00CB"/>
    <w:rsid w:val="702CCF28"/>
    <w:rsid w:val="7038814F"/>
    <w:rsid w:val="703A532A"/>
    <w:rsid w:val="703BE1F8"/>
    <w:rsid w:val="703EA30D"/>
    <w:rsid w:val="706AF8F9"/>
    <w:rsid w:val="7077EAA4"/>
    <w:rsid w:val="7079519E"/>
    <w:rsid w:val="7087C012"/>
    <w:rsid w:val="70973A15"/>
    <w:rsid w:val="70A4ADDC"/>
    <w:rsid w:val="70B55560"/>
    <w:rsid w:val="70CDCE0E"/>
    <w:rsid w:val="70D58163"/>
    <w:rsid w:val="70D62A71"/>
    <w:rsid w:val="70EA1DB7"/>
    <w:rsid w:val="70F6CF08"/>
    <w:rsid w:val="71037455"/>
    <w:rsid w:val="7116F588"/>
    <w:rsid w:val="711839CF"/>
    <w:rsid w:val="712E18EF"/>
    <w:rsid w:val="713A60FB"/>
    <w:rsid w:val="716F1D63"/>
    <w:rsid w:val="717A28EB"/>
    <w:rsid w:val="71A51FC6"/>
    <w:rsid w:val="71A6DA22"/>
    <w:rsid w:val="71BF29FC"/>
    <w:rsid w:val="71D9C284"/>
    <w:rsid w:val="722954DB"/>
    <w:rsid w:val="72327591"/>
    <w:rsid w:val="7238AC6E"/>
    <w:rsid w:val="72449DC4"/>
    <w:rsid w:val="724CD9CA"/>
    <w:rsid w:val="725A5FC1"/>
    <w:rsid w:val="725B2A75"/>
    <w:rsid w:val="725B9E7B"/>
    <w:rsid w:val="726D6ADE"/>
    <w:rsid w:val="726F081F"/>
    <w:rsid w:val="727D6DF0"/>
    <w:rsid w:val="72BA7072"/>
    <w:rsid w:val="72C9ACB3"/>
    <w:rsid w:val="72D496D6"/>
    <w:rsid w:val="72DB4177"/>
    <w:rsid w:val="72E5CBFF"/>
    <w:rsid w:val="72F754B0"/>
    <w:rsid w:val="7309E4A6"/>
    <w:rsid w:val="730AAA31"/>
    <w:rsid w:val="7313B884"/>
    <w:rsid w:val="7314B5B8"/>
    <w:rsid w:val="734D2C4D"/>
    <w:rsid w:val="7361F8A4"/>
    <w:rsid w:val="736AEACF"/>
    <w:rsid w:val="736BC370"/>
    <w:rsid w:val="73744780"/>
    <w:rsid w:val="7387F755"/>
    <w:rsid w:val="7388F7C4"/>
    <w:rsid w:val="73A7BEF6"/>
    <w:rsid w:val="73A9289A"/>
    <w:rsid w:val="73D86B8E"/>
    <w:rsid w:val="73F1D314"/>
    <w:rsid w:val="740801DB"/>
    <w:rsid w:val="740FC4BF"/>
    <w:rsid w:val="741646AD"/>
    <w:rsid w:val="7418E888"/>
    <w:rsid w:val="741F6D8E"/>
    <w:rsid w:val="742E6F59"/>
    <w:rsid w:val="7438A0B1"/>
    <w:rsid w:val="743A8A46"/>
    <w:rsid w:val="74485245"/>
    <w:rsid w:val="74B07491"/>
    <w:rsid w:val="74BB31D5"/>
    <w:rsid w:val="74C4B8E0"/>
    <w:rsid w:val="74CD808A"/>
    <w:rsid w:val="74E4F552"/>
    <w:rsid w:val="74F0B538"/>
    <w:rsid w:val="75053CAA"/>
    <w:rsid w:val="753EC4DA"/>
    <w:rsid w:val="756045F7"/>
    <w:rsid w:val="7569C31F"/>
    <w:rsid w:val="757409E9"/>
    <w:rsid w:val="7575A175"/>
    <w:rsid w:val="7576420F"/>
    <w:rsid w:val="758F298B"/>
    <w:rsid w:val="7599762A"/>
    <w:rsid w:val="75B2E439"/>
    <w:rsid w:val="75B975D8"/>
    <w:rsid w:val="75BBBD19"/>
    <w:rsid w:val="75C0BAC1"/>
    <w:rsid w:val="75C42E40"/>
    <w:rsid w:val="75E246C6"/>
    <w:rsid w:val="75F70794"/>
    <w:rsid w:val="76190A3C"/>
    <w:rsid w:val="76233474"/>
    <w:rsid w:val="76295EDE"/>
    <w:rsid w:val="762C2808"/>
    <w:rsid w:val="7662CDB8"/>
    <w:rsid w:val="7665277D"/>
    <w:rsid w:val="766A3901"/>
    <w:rsid w:val="769798D1"/>
    <w:rsid w:val="76987C3F"/>
    <w:rsid w:val="76A88B75"/>
    <w:rsid w:val="76B5C5BD"/>
    <w:rsid w:val="76D7E312"/>
    <w:rsid w:val="76EE61EC"/>
    <w:rsid w:val="76FFFCCC"/>
    <w:rsid w:val="770DCDE5"/>
    <w:rsid w:val="77209EE7"/>
    <w:rsid w:val="77263758"/>
    <w:rsid w:val="772BDEBF"/>
    <w:rsid w:val="7749B804"/>
    <w:rsid w:val="77590402"/>
    <w:rsid w:val="7775E22F"/>
    <w:rsid w:val="77898BA1"/>
    <w:rsid w:val="77978605"/>
    <w:rsid w:val="77F3092F"/>
    <w:rsid w:val="78038DD8"/>
    <w:rsid w:val="7807A175"/>
    <w:rsid w:val="781071AA"/>
    <w:rsid w:val="7813FE5C"/>
    <w:rsid w:val="78416E05"/>
    <w:rsid w:val="7841CB50"/>
    <w:rsid w:val="787E30B1"/>
    <w:rsid w:val="788489A5"/>
    <w:rsid w:val="788B249E"/>
    <w:rsid w:val="78D9F22D"/>
    <w:rsid w:val="78DD90A3"/>
    <w:rsid w:val="7908B6C2"/>
    <w:rsid w:val="790B8B03"/>
    <w:rsid w:val="79202C75"/>
    <w:rsid w:val="79206197"/>
    <w:rsid w:val="79313E2B"/>
    <w:rsid w:val="793690DB"/>
    <w:rsid w:val="794EBDF6"/>
    <w:rsid w:val="795ECD34"/>
    <w:rsid w:val="796069B5"/>
    <w:rsid w:val="79614DE2"/>
    <w:rsid w:val="7969051B"/>
    <w:rsid w:val="798F7965"/>
    <w:rsid w:val="798FAB39"/>
    <w:rsid w:val="79A29B29"/>
    <w:rsid w:val="79AB24C7"/>
    <w:rsid w:val="79B9DE59"/>
    <w:rsid w:val="79C0C1B0"/>
    <w:rsid w:val="79CD5627"/>
    <w:rsid w:val="79F94176"/>
    <w:rsid w:val="7A11149B"/>
    <w:rsid w:val="7A16B7BA"/>
    <w:rsid w:val="7A27DF34"/>
    <w:rsid w:val="7A6566F8"/>
    <w:rsid w:val="7A717B72"/>
    <w:rsid w:val="7A74D709"/>
    <w:rsid w:val="7A7A0ABD"/>
    <w:rsid w:val="7AB71215"/>
    <w:rsid w:val="7ABFF067"/>
    <w:rsid w:val="7ACEA165"/>
    <w:rsid w:val="7AE6C254"/>
    <w:rsid w:val="7AF009C4"/>
    <w:rsid w:val="7AF8F52A"/>
    <w:rsid w:val="7B1ADA94"/>
    <w:rsid w:val="7B32ABA1"/>
    <w:rsid w:val="7B3660BB"/>
    <w:rsid w:val="7B3ECBB2"/>
    <w:rsid w:val="7B4BD16A"/>
    <w:rsid w:val="7B592B8B"/>
    <w:rsid w:val="7B597D77"/>
    <w:rsid w:val="7B6BA942"/>
    <w:rsid w:val="7B7B08D1"/>
    <w:rsid w:val="7B811FAE"/>
    <w:rsid w:val="7B85F9ED"/>
    <w:rsid w:val="7B8D0EA5"/>
    <w:rsid w:val="7B96971F"/>
    <w:rsid w:val="7BA56A43"/>
    <w:rsid w:val="7BB211E1"/>
    <w:rsid w:val="7BC62ECB"/>
    <w:rsid w:val="7BDDE5BC"/>
    <w:rsid w:val="7C1DB32C"/>
    <w:rsid w:val="7C2BF115"/>
    <w:rsid w:val="7C2DC567"/>
    <w:rsid w:val="7C4D5364"/>
    <w:rsid w:val="7C4FFCD9"/>
    <w:rsid w:val="7C55BCF6"/>
    <w:rsid w:val="7C5BA4A7"/>
    <w:rsid w:val="7C73B727"/>
    <w:rsid w:val="7C893089"/>
    <w:rsid w:val="7C8C14B2"/>
    <w:rsid w:val="7C903E2A"/>
    <w:rsid w:val="7CAD931A"/>
    <w:rsid w:val="7CBB2258"/>
    <w:rsid w:val="7CD270BD"/>
    <w:rsid w:val="7CF39D69"/>
    <w:rsid w:val="7CFD1C6B"/>
    <w:rsid w:val="7D06BF11"/>
    <w:rsid w:val="7D22EB4D"/>
    <w:rsid w:val="7D23D8DC"/>
    <w:rsid w:val="7D262A75"/>
    <w:rsid w:val="7D26341D"/>
    <w:rsid w:val="7D2C90CD"/>
    <w:rsid w:val="7D3102BF"/>
    <w:rsid w:val="7D44C569"/>
    <w:rsid w:val="7D586503"/>
    <w:rsid w:val="7D6C8225"/>
    <w:rsid w:val="7D7BC870"/>
    <w:rsid w:val="7D7C44E8"/>
    <w:rsid w:val="7D7E2D6E"/>
    <w:rsid w:val="7D9ED51B"/>
    <w:rsid w:val="7D9F8C2A"/>
    <w:rsid w:val="7DB85DBB"/>
    <w:rsid w:val="7DBA5192"/>
    <w:rsid w:val="7DC5D21D"/>
    <w:rsid w:val="7DD32A3B"/>
    <w:rsid w:val="7DF9014A"/>
    <w:rsid w:val="7E22177B"/>
    <w:rsid w:val="7E387D1C"/>
    <w:rsid w:val="7E4C890D"/>
    <w:rsid w:val="7E55116C"/>
    <w:rsid w:val="7E62A942"/>
    <w:rsid w:val="7E6963D0"/>
    <w:rsid w:val="7EA25689"/>
    <w:rsid w:val="7EB0EAF2"/>
    <w:rsid w:val="7EBA1B40"/>
    <w:rsid w:val="7EC19D8F"/>
    <w:rsid w:val="7EC52134"/>
    <w:rsid w:val="7EDF5C96"/>
    <w:rsid w:val="7F47A7E2"/>
    <w:rsid w:val="7F47A9E7"/>
    <w:rsid w:val="7F531039"/>
    <w:rsid w:val="7F79FD83"/>
    <w:rsid w:val="7F8F691A"/>
    <w:rsid w:val="7F96EFF6"/>
    <w:rsid w:val="7FAB4D5D"/>
    <w:rsid w:val="7FAC49AD"/>
    <w:rsid w:val="7FB35F92"/>
    <w:rsid w:val="7FE2C3CC"/>
    <w:rsid w:val="7FF21255"/>
    <w:rsid w:val="7FF21CB5"/>
    <w:rsid w:val="7FF5CFDE"/>
    <w:rsid w:val="7FF83B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79E1A1"/>
  <w15:docId w15:val="{98FE7B0A-D7E0-4010-9B18-E19442BB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3A6"/>
    <w:rPr>
      <w:sz w:val="24"/>
      <w:szCs w:val="24"/>
    </w:rPr>
  </w:style>
  <w:style w:type="paragraph" w:styleId="Heading1">
    <w:name w:val="heading 1"/>
    <w:basedOn w:val="Normal"/>
    <w:next w:val="Normal"/>
    <w:link w:val="Heading1Char"/>
    <w:qFormat/>
    <w:rsid w:val="0005417A"/>
    <w:pPr>
      <w:keepNext/>
      <w:overflowPunct w:val="0"/>
      <w:autoSpaceDE w:val="0"/>
      <w:autoSpaceDN w:val="0"/>
      <w:adjustRightInd w:val="0"/>
      <w:outlineLvl w:val="0"/>
    </w:pPr>
    <w:rPr>
      <w:b/>
      <w:szCs w:val="20"/>
      <w:lang w:eastAsia="en-US"/>
    </w:rPr>
  </w:style>
  <w:style w:type="paragraph" w:styleId="Heading2">
    <w:name w:val="heading 2"/>
    <w:basedOn w:val="Normal"/>
    <w:next w:val="Normal"/>
    <w:qFormat/>
    <w:rsid w:val="0005417A"/>
    <w:pPr>
      <w:keepNext/>
      <w:tabs>
        <w:tab w:val="right" w:pos="4500"/>
      </w:tabs>
      <w:spacing w:before="60" w:after="60"/>
      <w:ind w:right="72"/>
      <w:jc w:val="both"/>
      <w:outlineLvl w:val="1"/>
    </w:pPr>
    <w:rPr>
      <w:b/>
      <w:bCs/>
      <w:lang w:eastAsia="en-US"/>
    </w:rPr>
  </w:style>
  <w:style w:type="paragraph" w:styleId="Heading3">
    <w:name w:val="heading 3"/>
    <w:basedOn w:val="Normal"/>
    <w:next w:val="Normal"/>
    <w:qFormat/>
    <w:rsid w:val="0005417A"/>
    <w:pPr>
      <w:keepNext/>
      <w:spacing w:before="60" w:after="60"/>
      <w:jc w:val="both"/>
      <w:outlineLvl w:val="2"/>
    </w:pPr>
    <w:rPr>
      <w:b/>
      <w:bCs/>
      <w:sz w:val="20"/>
      <w:lang w:eastAsia="en-US"/>
    </w:rPr>
  </w:style>
  <w:style w:type="paragraph" w:styleId="Heading4">
    <w:name w:val="heading 4"/>
    <w:basedOn w:val="Normal"/>
    <w:next w:val="Normal"/>
    <w:qFormat/>
    <w:rsid w:val="0005417A"/>
    <w:pPr>
      <w:keepNext/>
      <w:spacing w:before="60" w:after="60"/>
      <w:outlineLvl w:val="3"/>
    </w:pPr>
    <w:rPr>
      <w:b/>
      <w:bCs/>
      <w:sz w:val="20"/>
      <w:lang w:eastAsia="en-US"/>
    </w:rPr>
  </w:style>
  <w:style w:type="paragraph" w:styleId="Heading5">
    <w:name w:val="heading 5"/>
    <w:basedOn w:val="Normal"/>
    <w:next w:val="Normal"/>
    <w:link w:val="Heading5Char"/>
    <w:qFormat/>
    <w:rsid w:val="0005417A"/>
    <w:pPr>
      <w:keepNext/>
      <w:tabs>
        <w:tab w:val="left" w:pos="720"/>
      </w:tabs>
      <w:overflowPunct w:val="0"/>
      <w:autoSpaceDE w:val="0"/>
      <w:autoSpaceDN w:val="0"/>
      <w:adjustRightInd w:val="0"/>
      <w:jc w:val="both"/>
      <w:outlineLvl w:val="4"/>
    </w:pPr>
    <w:rPr>
      <w:b/>
      <w:szCs w:val="20"/>
      <w:lang w:eastAsia="en-US"/>
    </w:rPr>
  </w:style>
  <w:style w:type="paragraph" w:styleId="Heading6">
    <w:name w:val="heading 6"/>
    <w:basedOn w:val="Normal"/>
    <w:next w:val="Normal"/>
    <w:qFormat/>
    <w:rsid w:val="0005417A"/>
    <w:pPr>
      <w:keepNext/>
      <w:outlineLvl w:val="5"/>
    </w:pPr>
    <w:rPr>
      <w:b/>
      <w:sz w:val="16"/>
      <w:lang w:eastAsia="en-US"/>
    </w:rPr>
  </w:style>
  <w:style w:type="paragraph" w:styleId="Heading7">
    <w:name w:val="heading 7"/>
    <w:basedOn w:val="Normal"/>
    <w:next w:val="Normal"/>
    <w:qFormat/>
    <w:rsid w:val="0005417A"/>
    <w:pPr>
      <w:keepNext/>
      <w:tabs>
        <w:tab w:val="left" w:pos="567"/>
      </w:tabs>
      <w:overflowPunct w:val="0"/>
      <w:autoSpaceDE w:val="0"/>
      <w:autoSpaceDN w:val="0"/>
      <w:adjustRightInd w:val="0"/>
      <w:jc w:val="both"/>
      <w:outlineLvl w:val="6"/>
    </w:pPr>
    <w:rPr>
      <w:b/>
      <w:bCs/>
      <w:i/>
      <w:szCs w:val="20"/>
      <w:lang w:eastAsia="en-US"/>
    </w:rPr>
  </w:style>
  <w:style w:type="paragraph" w:styleId="Heading8">
    <w:name w:val="heading 8"/>
    <w:basedOn w:val="Normal"/>
    <w:next w:val="Normal"/>
    <w:qFormat/>
    <w:rsid w:val="0005417A"/>
    <w:pPr>
      <w:keepNext/>
      <w:tabs>
        <w:tab w:val="left" w:pos="5040"/>
        <w:tab w:val="left" w:pos="7380"/>
      </w:tabs>
      <w:ind w:left="360" w:hanging="360"/>
      <w:outlineLvl w:val="7"/>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417A"/>
    <w:rPr>
      <w:color w:val="0000FF"/>
      <w:u w:val="single"/>
    </w:rPr>
  </w:style>
  <w:style w:type="character" w:styleId="FollowedHyperlink">
    <w:name w:val="FollowedHyperlink"/>
    <w:basedOn w:val="DefaultParagraphFont"/>
    <w:rsid w:val="0005417A"/>
    <w:rPr>
      <w:color w:val="800080"/>
      <w:u w:val="single"/>
    </w:rPr>
  </w:style>
  <w:style w:type="paragraph" w:styleId="HTMLPreformatted">
    <w:name w:val="HTML Preformatted"/>
    <w:basedOn w:val="Normal"/>
    <w:rsid w:val="0005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5417A"/>
    <w:pPr>
      <w:spacing w:before="100" w:beforeAutospacing="1" w:after="100" w:afterAutospacing="1"/>
    </w:pPr>
    <w:rPr>
      <w:rFonts w:ascii="Arial" w:hAnsi="Arial" w:cs="Arial"/>
      <w:sz w:val="20"/>
      <w:szCs w:val="20"/>
    </w:rPr>
  </w:style>
  <w:style w:type="paragraph" w:styleId="CommentText">
    <w:name w:val="annotation text"/>
    <w:basedOn w:val="Normal"/>
    <w:link w:val="CommentTextChar"/>
    <w:uiPriority w:val="99"/>
    <w:rsid w:val="0005417A"/>
    <w:rPr>
      <w:sz w:val="20"/>
      <w:szCs w:val="20"/>
    </w:rPr>
  </w:style>
  <w:style w:type="paragraph" w:styleId="Header">
    <w:name w:val="header"/>
    <w:basedOn w:val="Normal"/>
    <w:link w:val="HeaderChar"/>
    <w:rsid w:val="0005417A"/>
    <w:pPr>
      <w:tabs>
        <w:tab w:val="center" w:pos="4153"/>
        <w:tab w:val="right" w:pos="8306"/>
      </w:tabs>
      <w:overflowPunct w:val="0"/>
      <w:autoSpaceDE w:val="0"/>
      <w:autoSpaceDN w:val="0"/>
      <w:adjustRightInd w:val="0"/>
    </w:pPr>
    <w:rPr>
      <w:szCs w:val="20"/>
      <w:lang w:eastAsia="en-US"/>
    </w:rPr>
  </w:style>
  <w:style w:type="paragraph" w:styleId="Footer">
    <w:name w:val="footer"/>
    <w:basedOn w:val="Normal"/>
    <w:link w:val="FooterChar"/>
    <w:uiPriority w:val="99"/>
    <w:rsid w:val="0005417A"/>
    <w:pPr>
      <w:tabs>
        <w:tab w:val="center" w:pos="4153"/>
        <w:tab w:val="right" w:pos="8306"/>
      </w:tabs>
      <w:overflowPunct w:val="0"/>
      <w:autoSpaceDE w:val="0"/>
      <w:autoSpaceDN w:val="0"/>
      <w:adjustRightInd w:val="0"/>
    </w:pPr>
    <w:rPr>
      <w:szCs w:val="20"/>
      <w:lang w:eastAsia="en-US"/>
    </w:rPr>
  </w:style>
  <w:style w:type="paragraph" w:styleId="Title">
    <w:name w:val="Title"/>
    <w:basedOn w:val="Normal"/>
    <w:qFormat/>
    <w:rsid w:val="0005417A"/>
    <w:pPr>
      <w:overflowPunct w:val="0"/>
      <w:autoSpaceDE w:val="0"/>
      <w:autoSpaceDN w:val="0"/>
      <w:adjustRightInd w:val="0"/>
      <w:jc w:val="center"/>
    </w:pPr>
    <w:rPr>
      <w:b/>
      <w:szCs w:val="20"/>
      <w:lang w:eastAsia="en-US"/>
    </w:rPr>
  </w:style>
  <w:style w:type="paragraph" w:styleId="BodyText">
    <w:name w:val="Body Text"/>
    <w:basedOn w:val="Normal"/>
    <w:rsid w:val="0005417A"/>
    <w:pPr>
      <w:overflowPunct w:val="0"/>
      <w:autoSpaceDE w:val="0"/>
      <w:autoSpaceDN w:val="0"/>
      <w:adjustRightInd w:val="0"/>
      <w:spacing w:after="240" w:line="360" w:lineRule="auto"/>
      <w:jc w:val="both"/>
    </w:pPr>
    <w:rPr>
      <w:szCs w:val="20"/>
      <w:lang w:eastAsia="en-US"/>
    </w:rPr>
  </w:style>
  <w:style w:type="paragraph" w:styleId="BodyTextIndent">
    <w:name w:val="Body Text Indent"/>
    <w:basedOn w:val="Normal"/>
    <w:rsid w:val="0005417A"/>
    <w:pPr>
      <w:tabs>
        <w:tab w:val="left" w:pos="426"/>
      </w:tabs>
      <w:overflowPunct w:val="0"/>
      <w:autoSpaceDE w:val="0"/>
      <w:autoSpaceDN w:val="0"/>
      <w:adjustRightInd w:val="0"/>
      <w:ind w:left="426" w:hanging="426"/>
      <w:jc w:val="both"/>
    </w:pPr>
    <w:rPr>
      <w:szCs w:val="20"/>
      <w:lang w:eastAsia="en-US"/>
    </w:rPr>
  </w:style>
  <w:style w:type="paragraph" w:styleId="BodyTextIndent2">
    <w:name w:val="Body Text Indent 2"/>
    <w:basedOn w:val="Normal"/>
    <w:rsid w:val="0005417A"/>
    <w:pPr>
      <w:tabs>
        <w:tab w:val="left" w:pos="567"/>
      </w:tabs>
      <w:overflowPunct w:val="0"/>
      <w:autoSpaceDE w:val="0"/>
      <w:autoSpaceDN w:val="0"/>
      <w:adjustRightInd w:val="0"/>
      <w:ind w:left="567" w:hanging="567"/>
      <w:jc w:val="both"/>
    </w:pPr>
    <w:rPr>
      <w:szCs w:val="20"/>
      <w:lang w:eastAsia="en-US"/>
    </w:rPr>
  </w:style>
  <w:style w:type="paragraph" w:styleId="CommentSubject">
    <w:name w:val="annotation subject"/>
    <w:basedOn w:val="CommentText"/>
    <w:next w:val="CommentText"/>
    <w:link w:val="CommentSubjectChar"/>
    <w:semiHidden/>
    <w:rsid w:val="0005417A"/>
    <w:rPr>
      <w:b/>
      <w:bCs/>
    </w:rPr>
  </w:style>
  <w:style w:type="paragraph" w:styleId="BalloonText">
    <w:name w:val="Balloon Text"/>
    <w:basedOn w:val="Normal"/>
    <w:link w:val="BalloonTextChar"/>
    <w:semiHidden/>
    <w:rsid w:val="0005417A"/>
    <w:rPr>
      <w:rFonts w:ascii="Tahoma" w:hAnsi="Tahoma" w:cs="Tahoma"/>
      <w:sz w:val="16"/>
      <w:szCs w:val="16"/>
    </w:rPr>
  </w:style>
  <w:style w:type="paragraph" w:customStyle="1" w:styleId="bodycopy">
    <w:name w:val="body copy"/>
    <w:rsid w:val="0005417A"/>
    <w:pPr>
      <w:spacing w:after="120" w:line="230" w:lineRule="exact"/>
    </w:pPr>
    <w:rPr>
      <w:rFonts w:ascii="Hermes-Thin" w:hAnsi="Hermes-Thin"/>
      <w:color w:val="000000"/>
      <w:sz w:val="18"/>
      <w:lang w:eastAsia="en-US"/>
    </w:rPr>
  </w:style>
  <w:style w:type="paragraph" w:customStyle="1" w:styleId="pageheader">
    <w:name w:val="page header"/>
    <w:autoRedefine/>
    <w:rsid w:val="0005417A"/>
    <w:rPr>
      <w:rFonts w:ascii="Clarendon" w:hAnsi="Clarendon"/>
      <w:b/>
      <w:color w:val="80CCFF"/>
      <w:spacing w:val="-16"/>
      <w:sz w:val="36"/>
      <w:lang w:eastAsia="en-US"/>
    </w:rPr>
  </w:style>
  <w:style w:type="character" w:customStyle="1" w:styleId="sectionheaderChar1">
    <w:name w:val="section header Char1"/>
    <w:basedOn w:val="DefaultParagraphFont"/>
    <w:link w:val="sectionheader"/>
    <w:locked/>
    <w:rsid w:val="0005417A"/>
    <w:rPr>
      <w:b/>
      <w:bCs/>
      <w:sz w:val="24"/>
      <w:szCs w:val="22"/>
      <w:lang w:val="en-GB" w:eastAsia="en-US" w:bidi="ar-SA"/>
    </w:rPr>
  </w:style>
  <w:style w:type="paragraph" w:customStyle="1" w:styleId="sectionheader">
    <w:name w:val="section header"/>
    <w:link w:val="sectionheaderChar1"/>
    <w:autoRedefine/>
    <w:rsid w:val="0005417A"/>
    <w:rPr>
      <w:b/>
      <w:bCs/>
      <w:sz w:val="24"/>
      <w:szCs w:val="22"/>
      <w:lang w:eastAsia="en-US"/>
    </w:rPr>
  </w:style>
  <w:style w:type="paragraph" w:customStyle="1" w:styleId="subheading">
    <w:name w:val="sub heading"/>
    <w:rsid w:val="0005417A"/>
    <w:pPr>
      <w:spacing w:before="120"/>
    </w:pPr>
    <w:rPr>
      <w:rFonts w:ascii="Hermes-Regular" w:hAnsi="Hermes-Regular"/>
      <w:color w:val="000000"/>
      <w:sz w:val="18"/>
      <w:lang w:eastAsia="en-US"/>
    </w:rPr>
  </w:style>
  <w:style w:type="paragraph" w:customStyle="1" w:styleId="xl33">
    <w:name w:val="xl33"/>
    <w:basedOn w:val="Normal"/>
    <w:rsid w:val="0005417A"/>
    <w:pPr>
      <w:spacing w:before="100" w:beforeAutospacing="1" w:after="100" w:afterAutospacing="1"/>
      <w:jc w:val="right"/>
    </w:pPr>
    <w:rPr>
      <w:rFonts w:ascii="Hermes-Thin" w:hAnsi="Hermes-Thin"/>
      <w:sz w:val="18"/>
      <w:szCs w:val="18"/>
      <w:lang w:eastAsia="en-US"/>
    </w:rPr>
  </w:style>
  <w:style w:type="paragraph" w:customStyle="1" w:styleId="xl40">
    <w:name w:val="xl40"/>
    <w:basedOn w:val="Normal"/>
    <w:rsid w:val="0005417A"/>
    <w:pPr>
      <w:spacing w:before="100" w:beforeAutospacing="1" w:after="100" w:afterAutospacing="1"/>
      <w:jc w:val="center"/>
    </w:pPr>
    <w:rPr>
      <w:rFonts w:ascii="Hermes-Thin" w:hAnsi="Hermes-Thin"/>
      <w:sz w:val="14"/>
      <w:szCs w:val="14"/>
      <w:lang w:eastAsia="en-US"/>
    </w:rPr>
  </w:style>
  <w:style w:type="paragraph" w:customStyle="1" w:styleId="HTMLPreformatted1">
    <w:name w:val="HTML Preformatted1"/>
    <w:basedOn w:val="Normal"/>
    <w:rsid w:val="0005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9"/>
      <w:szCs w:val="29"/>
    </w:rPr>
  </w:style>
  <w:style w:type="paragraph" w:customStyle="1" w:styleId="sectionheaderwithintext">
    <w:name w:val="section header within text"/>
    <w:basedOn w:val="sectionheader"/>
    <w:rsid w:val="0005417A"/>
    <w:pPr>
      <w:spacing w:before="120"/>
    </w:pPr>
    <w:rPr>
      <w:rFonts w:ascii="Clarendon" w:hAnsi="Clarendon"/>
      <w:b w:val="0"/>
      <w:bCs w:val="0"/>
      <w:color w:val="6E0A78"/>
      <w:szCs w:val="20"/>
      <w:lang w:val="en-US"/>
    </w:rPr>
  </w:style>
  <w:style w:type="paragraph" w:customStyle="1" w:styleId="bodycopy0">
    <w:name w:val="bodycopy"/>
    <w:basedOn w:val="Normal"/>
    <w:rsid w:val="0005417A"/>
    <w:pPr>
      <w:spacing w:before="100" w:beforeAutospacing="1" w:after="100" w:afterAutospacing="1"/>
    </w:pPr>
  </w:style>
  <w:style w:type="character" w:styleId="CommentReference">
    <w:name w:val="annotation reference"/>
    <w:basedOn w:val="DefaultParagraphFont"/>
    <w:uiPriority w:val="99"/>
    <w:semiHidden/>
    <w:rsid w:val="0005417A"/>
    <w:rPr>
      <w:sz w:val="16"/>
      <w:szCs w:val="16"/>
    </w:rPr>
  </w:style>
  <w:style w:type="character" w:customStyle="1" w:styleId="bodycopynumber">
    <w:name w:val="body copy number"/>
    <w:rsid w:val="0005417A"/>
    <w:rPr>
      <w:rFonts w:ascii="Hermes-Regular" w:hAnsi="Hermes-Regular" w:hint="default"/>
      <w:sz w:val="18"/>
    </w:rPr>
  </w:style>
  <w:style w:type="character" w:customStyle="1" w:styleId="sectionheadernumber">
    <w:name w:val="section header number"/>
    <w:rsid w:val="0005417A"/>
    <w:rPr>
      <w:rFonts w:ascii="Clarendon Light" w:hAnsi="Clarendon Light" w:hint="default"/>
      <w:sz w:val="34"/>
    </w:rPr>
  </w:style>
  <w:style w:type="character" w:customStyle="1" w:styleId="pageheadercontinued">
    <w:name w:val="page header continued"/>
    <w:rsid w:val="0005417A"/>
    <w:rPr>
      <w:rFonts w:ascii="Clarendon Light" w:hAnsi="Clarendon Light" w:hint="default"/>
    </w:rPr>
  </w:style>
  <w:style w:type="character" w:customStyle="1" w:styleId="bodycopyChar">
    <w:name w:val="body copy Char"/>
    <w:basedOn w:val="DefaultParagraphFont"/>
    <w:rsid w:val="0005417A"/>
    <w:rPr>
      <w:rFonts w:ascii="Hermes-Thin" w:hAnsi="Hermes-Thin" w:hint="default"/>
      <w:color w:val="000000"/>
      <w:sz w:val="18"/>
      <w:lang w:val="en-GB" w:eastAsia="en-US" w:bidi="ar-SA"/>
    </w:rPr>
  </w:style>
  <w:style w:type="character" w:styleId="PageNumber">
    <w:name w:val="page number"/>
    <w:basedOn w:val="DefaultParagraphFont"/>
    <w:rsid w:val="0005417A"/>
  </w:style>
  <w:style w:type="table" w:styleId="TableGrid">
    <w:name w:val="Table Grid"/>
    <w:basedOn w:val="TableNormal"/>
    <w:uiPriority w:val="39"/>
    <w:rsid w:val="000A0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
    <w:basedOn w:val="Normal"/>
    <w:uiPriority w:val="34"/>
    <w:qFormat/>
    <w:rsid w:val="00567923"/>
    <w:pPr>
      <w:ind w:left="720"/>
      <w:contextualSpacing/>
    </w:pPr>
  </w:style>
  <w:style w:type="paragraph" w:customStyle="1" w:styleId="Pa194">
    <w:name w:val="Pa19+4"/>
    <w:basedOn w:val="Normal"/>
    <w:next w:val="Normal"/>
    <w:uiPriority w:val="99"/>
    <w:rsid w:val="000D4AAF"/>
    <w:pPr>
      <w:autoSpaceDE w:val="0"/>
      <w:autoSpaceDN w:val="0"/>
      <w:adjustRightInd w:val="0"/>
      <w:spacing w:after="100" w:line="161" w:lineRule="atLeast"/>
    </w:pPr>
    <w:rPr>
      <w:rFonts w:ascii="Pluto Sans Light" w:hAnsi="Pluto Sans Light"/>
    </w:rPr>
  </w:style>
  <w:style w:type="paragraph" w:customStyle="1" w:styleId="Body">
    <w:name w:val="Body"/>
    <w:rsid w:val="008777BC"/>
    <w:pPr>
      <w:pBdr>
        <w:top w:val="nil"/>
        <w:left w:val="nil"/>
        <w:bottom w:val="nil"/>
        <w:right w:val="nil"/>
        <w:between w:val="nil"/>
        <w:bar w:val="nil"/>
      </w:pBdr>
    </w:pPr>
    <w:rPr>
      <w:rFonts w:eastAsia="Arial Unicode MS" w:hAnsi="Arial Unicode MS" w:cs="Arial Unicode MS"/>
      <w:color w:val="000000"/>
      <w:sz w:val="24"/>
      <w:szCs w:val="24"/>
      <w:u w:color="000000"/>
      <w:bdr w:val="nil"/>
      <w:lang w:val="en-US"/>
    </w:rPr>
  </w:style>
  <w:style w:type="paragraph" w:customStyle="1" w:styleId="Pa91">
    <w:name w:val="Pa9+1"/>
    <w:basedOn w:val="Normal"/>
    <w:next w:val="Normal"/>
    <w:uiPriority w:val="99"/>
    <w:rsid w:val="008777BC"/>
    <w:pPr>
      <w:autoSpaceDE w:val="0"/>
      <w:autoSpaceDN w:val="0"/>
      <w:adjustRightInd w:val="0"/>
      <w:spacing w:line="161" w:lineRule="atLeast"/>
    </w:pPr>
    <w:rPr>
      <w:rFonts w:ascii="Pluto Sans Light" w:eastAsiaTheme="minorHAnsi" w:hAnsi="Pluto Sans Light" w:cstheme="minorBidi"/>
      <w:lang w:eastAsia="en-US"/>
    </w:rPr>
  </w:style>
  <w:style w:type="paragraph" w:customStyle="1" w:styleId="Default">
    <w:name w:val="Default"/>
    <w:rsid w:val="001B2B1C"/>
    <w:pPr>
      <w:autoSpaceDE w:val="0"/>
      <w:autoSpaceDN w:val="0"/>
      <w:adjustRightInd w:val="0"/>
    </w:pPr>
    <w:rPr>
      <w:rFonts w:ascii="Pluto Sans Medium" w:eastAsiaTheme="minorHAnsi" w:hAnsi="Pluto Sans Medium" w:cs="Pluto Sans Medium"/>
      <w:color w:val="000000"/>
      <w:sz w:val="24"/>
      <w:szCs w:val="24"/>
      <w:lang w:eastAsia="en-US"/>
    </w:rPr>
  </w:style>
  <w:style w:type="character" w:customStyle="1" w:styleId="v">
    <w:name w:val="v"/>
    <w:basedOn w:val="DefaultParagraphFont"/>
    <w:rsid w:val="001B2B1C"/>
  </w:style>
  <w:style w:type="paragraph" w:customStyle="1" w:styleId="BodyText1">
    <w:name w:val="Body Text 1"/>
    <w:basedOn w:val="Normal"/>
    <w:link w:val="BodyText1Char"/>
    <w:qFormat/>
    <w:rsid w:val="004F5D24"/>
    <w:pPr>
      <w:spacing w:after="200"/>
      <w:ind w:left="680"/>
      <w:jc w:val="both"/>
    </w:pPr>
    <w:rPr>
      <w:rFonts w:cs="Times"/>
      <w:sz w:val="20"/>
      <w:lang w:eastAsia="en-US"/>
    </w:rPr>
  </w:style>
  <w:style w:type="character" w:customStyle="1" w:styleId="BodyText1Char">
    <w:name w:val="Body Text 1 Char"/>
    <w:basedOn w:val="DefaultParagraphFont"/>
    <w:link w:val="BodyText1"/>
    <w:rsid w:val="004F5D24"/>
    <w:rPr>
      <w:rFonts w:cs="Times"/>
      <w:szCs w:val="24"/>
      <w:lang w:eastAsia="en-US"/>
    </w:rPr>
  </w:style>
  <w:style w:type="paragraph" w:customStyle="1" w:styleId="BodyA">
    <w:name w:val="Body A"/>
    <w:uiPriority w:val="99"/>
    <w:rsid w:val="00E93C6F"/>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paragraph" w:styleId="PlainText">
    <w:name w:val="Plain Text"/>
    <w:basedOn w:val="Normal"/>
    <w:link w:val="PlainTextChar"/>
    <w:uiPriority w:val="99"/>
    <w:unhideWhenUsed/>
    <w:rsid w:val="008B3542"/>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8B3542"/>
    <w:rPr>
      <w:rFonts w:ascii="Calibri" w:eastAsiaTheme="minorHAnsi" w:hAnsi="Calibri" w:cstheme="minorBidi"/>
      <w:sz w:val="22"/>
      <w:szCs w:val="21"/>
      <w:lang w:eastAsia="en-US"/>
    </w:rPr>
  </w:style>
  <w:style w:type="character" w:customStyle="1" w:styleId="A5">
    <w:name w:val="A5"/>
    <w:uiPriority w:val="99"/>
    <w:rsid w:val="005949B7"/>
    <w:rPr>
      <w:rFonts w:ascii="Effra Medium" w:hAnsi="Effra Medium" w:cs="Effra Medium"/>
      <w:color w:val="000000"/>
      <w:sz w:val="22"/>
      <w:szCs w:val="22"/>
    </w:rPr>
  </w:style>
  <w:style w:type="paragraph" w:customStyle="1" w:styleId="ocNum4th1">
    <w:name w:val="oc_Num_4th 1"/>
    <w:basedOn w:val="Normal"/>
    <w:next w:val="BodyText"/>
    <w:rsid w:val="0018542C"/>
    <w:pPr>
      <w:numPr>
        <w:numId w:val="1"/>
      </w:numPr>
      <w:spacing w:after="200"/>
      <w:jc w:val="both"/>
      <w:outlineLvl w:val="0"/>
    </w:pPr>
    <w:rPr>
      <w:rFonts w:eastAsia="SimSun"/>
      <w:sz w:val="20"/>
      <w:lang w:eastAsia="zh-CN" w:bidi="he-IL"/>
    </w:rPr>
  </w:style>
  <w:style w:type="paragraph" w:customStyle="1" w:styleId="ocNum4th2">
    <w:name w:val="oc_Num_4th 2"/>
    <w:basedOn w:val="Normal"/>
    <w:next w:val="BodyText1"/>
    <w:rsid w:val="0018542C"/>
    <w:pPr>
      <w:numPr>
        <w:ilvl w:val="1"/>
        <w:numId w:val="1"/>
      </w:numPr>
      <w:spacing w:after="200"/>
      <w:jc w:val="both"/>
      <w:outlineLvl w:val="1"/>
    </w:pPr>
    <w:rPr>
      <w:rFonts w:eastAsia="SimSun"/>
      <w:sz w:val="20"/>
      <w:lang w:eastAsia="zh-CN" w:bidi="he-IL"/>
    </w:rPr>
  </w:style>
  <w:style w:type="paragraph" w:customStyle="1" w:styleId="ocNum4th3">
    <w:name w:val="oc_Num_4th 3"/>
    <w:basedOn w:val="Normal"/>
    <w:next w:val="BodyText1"/>
    <w:rsid w:val="0018542C"/>
    <w:pPr>
      <w:numPr>
        <w:ilvl w:val="2"/>
        <w:numId w:val="1"/>
      </w:numPr>
      <w:spacing w:after="200"/>
      <w:jc w:val="both"/>
      <w:outlineLvl w:val="2"/>
    </w:pPr>
    <w:rPr>
      <w:rFonts w:eastAsia="SimSun"/>
      <w:sz w:val="20"/>
      <w:lang w:eastAsia="zh-CN" w:bidi="he-IL"/>
    </w:rPr>
  </w:style>
  <w:style w:type="paragraph" w:customStyle="1" w:styleId="ocNum4th4">
    <w:name w:val="oc_Num_4th 4"/>
    <w:basedOn w:val="Normal"/>
    <w:next w:val="BodyText1"/>
    <w:rsid w:val="0018542C"/>
    <w:pPr>
      <w:numPr>
        <w:ilvl w:val="3"/>
        <w:numId w:val="1"/>
      </w:numPr>
      <w:spacing w:after="200"/>
      <w:jc w:val="both"/>
      <w:outlineLvl w:val="3"/>
    </w:pPr>
    <w:rPr>
      <w:rFonts w:eastAsia="SimSun"/>
      <w:sz w:val="20"/>
      <w:lang w:eastAsia="zh-CN" w:bidi="he-IL"/>
    </w:rPr>
  </w:style>
  <w:style w:type="paragraph" w:customStyle="1" w:styleId="ocNum4th5">
    <w:name w:val="oc_Num_4th 5"/>
    <w:basedOn w:val="Normal"/>
    <w:next w:val="BodyText2"/>
    <w:rsid w:val="0018542C"/>
    <w:pPr>
      <w:numPr>
        <w:ilvl w:val="4"/>
        <w:numId w:val="1"/>
      </w:numPr>
      <w:spacing w:after="200"/>
      <w:jc w:val="both"/>
      <w:outlineLvl w:val="4"/>
    </w:pPr>
    <w:rPr>
      <w:rFonts w:eastAsia="SimSun"/>
      <w:sz w:val="20"/>
      <w:lang w:eastAsia="zh-CN" w:bidi="he-IL"/>
    </w:rPr>
  </w:style>
  <w:style w:type="paragraph" w:customStyle="1" w:styleId="ocNum4th6">
    <w:name w:val="oc_Num_4th 6"/>
    <w:basedOn w:val="Normal"/>
    <w:next w:val="BodyText3"/>
    <w:rsid w:val="0018542C"/>
    <w:pPr>
      <w:numPr>
        <w:ilvl w:val="5"/>
        <w:numId w:val="1"/>
      </w:numPr>
      <w:spacing w:after="200"/>
      <w:jc w:val="both"/>
      <w:outlineLvl w:val="5"/>
    </w:pPr>
    <w:rPr>
      <w:rFonts w:eastAsia="SimSun"/>
      <w:sz w:val="20"/>
      <w:lang w:eastAsia="zh-CN" w:bidi="he-IL"/>
    </w:rPr>
  </w:style>
  <w:style w:type="paragraph" w:customStyle="1" w:styleId="ocNum4th7">
    <w:name w:val="oc_Num_4th 7"/>
    <w:basedOn w:val="Normal"/>
    <w:next w:val="Normal"/>
    <w:rsid w:val="0018542C"/>
    <w:pPr>
      <w:numPr>
        <w:ilvl w:val="6"/>
        <w:numId w:val="1"/>
      </w:numPr>
      <w:spacing w:after="200"/>
      <w:jc w:val="both"/>
      <w:outlineLvl w:val="6"/>
    </w:pPr>
    <w:rPr>
      <w:rFonts w:eastAsia="SimSun"/>
      <w:sz w:val="20"/>
      <w:lang w:eastAsia="zh-CN" w:bidi="he-IL"/>
    </w:rPr>
  </w:style>
  <w:style w:type="paragraph" w:customStyle="1" w:styleId="ocNum4th8">
    <w:name w:val="oc_Num_4th 8"/>
    <w:basedOn w:val="Normal"/>
    <w:next w:val="Normal"/>
    <w:rsid w:val="0018542C"/>
    <w:pPr>
      <w:numPr>
        <w:ilvl w:val="7"/>
        <w:numId w:val="1"/>
      </w:numPr>
      <w:spacing w:after="200"/>
      <w:jc w:val="both"/>
      <w:outlineLvl w:val="7"/>
    </w:pPr>
    <w:rPr>
      <w:rFonts w:eastAsia="SimSun"/>
      <w:sz w:val="20"/>
      <w:lang w:eastAsia="zh-CN" w:bidi="he-IL"/>
    </w:rPr>
  </w:style>
  <w:style w:type="paragraph" w:customStyle="1" w:styleId="ocNum4th9">
    <w:name w:val="oc_Num_4th 9"/>
    <w:basedOn w:val="Normal"/>
    <w:next w:val="BodyText"/>
    <w:rsid w:val="0018542C"/>
    <w:pPr>
      <w:numPr>
        <w:ilvl w:val="8"/>
        <w:numId w:val="1"/>
      </w:numPr>
      <w:spacing w:after="200"/>
      <w:jc w:val="both"/>
      <w:outlineLvl w:val="8"/>
    </w:pPr>
    <w:rPr>
      <w:rFonts w:eastAsia="SimSun"/>
      <w:sz w:val="20"/>
      <w:lang w:eastAsia="zh-CN" w:bidi="he-IL"/>
    </w:rPr>
  </w:style>
  <w:style w:type="paragraph" w:styleId="BodyText2">
    <w:name w:val="Body Text 2"/>
    <w:basedOn w:val="Normal"/>
    <w:link w:val="BodyText2Char"/>
    <w:semiHidden/>
    <w:unhideWhenUsed/>
    <w:rsid w:val="0018542C"/>
    <w:pPr>
      <w:spacing w:after="120" w:line="480" w:lineRule="auto"/>
    </w:pPr>
  </w:style>
  <w:style w:type="character" w:customStyle="1" w:styleId="BodyText2Char">
    <w:name w:val="Body Text 2 Char"/>
    <w:basedOn w:val="DefaultParagraphFont"/>
    <w:link w:val="BodyText2"/>
    <w:semiHidden/>
    <w:rsid w:val="0018542C"/>
    <w:rPr>
      <w:sz w:val="24"/>
      <w:szCs w:val="24"/>
    </w:rPr>
  </w:style>
  <w:style w:type="paragraph" w:styleId="BodyText3">
    <w:name w:val="Body Text 3"/>
    <w:basedOn w:val="Normal"/>
    <w:link w:val="BodyText3Char"/>
    <w:semiHidden/>
    <w:unhideWhenUsed/>
    <w:rsid w:val="0018542C"/>
    <w:pPr>
      <w:spacing w:after="120"/>
    </w:pPr>
    <w:rPr>
      <w:sz w:val="16"/>
      <w:szCs w:val="16"/>
    </w:rPr>
  </w:style>
  <w:style w:type="character" w:customStyle="1" w:styleId="BodyText3Char">
    <w:name w:val="Body Text 3 Char"/>
    <w:basedOn w:val="DefaultParagraphFont"/>
    <w:link w:val="BodyText3"/>
    <w:semiHidden/>
    <w:rsid w:val="0018542C"/>
    <w:rPr>
      <w:sz w:val="16"/>
      <w:szCs w:val="16"/>
    </w:rPr>
  </w:style>
  <w:style w:type="paragraph" w:styleId="NoSpacing">
    <w:name w:val="No Spacing"/>
    <w:uiPriority w:val="1"/>
    <w:qFormat/>
    <w:rsid w:val="00B858A3"/>
    <w:rPr>
      <w:rFonts w:asciiTheme="minorHAnsi" w:eastAsiaTheme="minorHAnsi" w:hAnsiTheme="minorHAnsi" w:cstheme="minorBidi"/>
      <w:sz w:val="22"/>
      <w:szCs w:val="22"/>
      <w:lang w:eastAsia="en-US"/>
    </w:rPr>
  </w:style>
  <w:style w:type="paragraph" w:customStyle="1" w:styleId="body0">
    <w:name w:val="body"/>
    <w:basedOn w:val="Normal"/>
    <w:rsid w:val="000F11F3"/>
    <w:pPr>
      <w:spacing w:before="100" w:beforeAutospacing="1" w:after="100" w:afterAutospacing="1"/>
    </w:pPr>
    <w:rPr>
      <w:rFonts w:ascii="Calibri" w:eastAsiaTheme="minorHAnsi" w:hAnsi="Calibri" w:cs="Calibri"/>
      <w:sz w:val="22"/>
      <w:szCs w:val="22"/>
    </w:rPr>
  </w:style>
  <w:style w:type="paragraph" w:customStyle="1" w:styleId="Bodycopy1">
    <w:name w:val="Body copy"/>
    <w:basedOn w:val="Normal"/>
    <w:qFormat/>
    <w:rsid w:val="00D87517"/>
    <w:pPr>
      <w:spacing w:after="100" w:line="240" w:lineRule="exact"/>
    </w:pPr>
    <w:rPr>
      <w:rFonts w:ascii="Arial" w:eastAsia="Calibri" w:hAnsi="Arial"/>
      <w:sz w:val="20"/>
      <w:szCs w:val="22"/>
      <w:lang w:val="en-AU" w:eastAsia="en-US"/>
    </w:rPr>
  </w:style>
  <w:style w:type="paragraph" w:customStyle="1" w:styleId="BodytextBodyText">
    <w:name w:val="Bodytext (Body Text)"/>
    <w:basedOn w:val="Normal"/>
    <w:uiPriority w:val="99"/>
    <w:rsid w:val="00876A14"/>
    <w:pPr>
      <w:autoSpaceDE w:val="0"/>
      <w:autoSpaceDN w:val="0"/>
      <w:spacing w:after="57" w:line="220" w:lineRule="atLeast"/>
    </w:pPr>
    <w:rPr>
      <w:rFonts w:ascii="Open Sans Light" w:eastAsiaTheme="minorHAnsi" w:hAnsi="Open Sans Light" w:cs="Calibri"/>
      <w:color w:val="55565A"/>
      <w:spacing w:val="-3"/>
      <w:sz w:val="17"/>
      <w:szCs w:val="17"/>
    </w:rPr>
  </w:style>
  <w:style w:type="character" w:customStyle="1" w:styleId="aq">
    <w:name w:val="aq"/>
    <w:basedOn w:val="DefaultParagraphFont"/>
    <w:rsid w:val="00127C71"/>
  </w:style>
  <w:style w:type="character" w:customStyle="1" w:styleId="aw">
    <w:name w:val="aw"/>
    <w:basedOn w:val="DefaultParagraphFont"/>
    <w:rsid w:val="00650E5A"/>
  </w:style>
  <w:style w:type="character" w:customStyle="1" w:styleId="dk">
    <w:name w:val="dk"/>
    <w:basedOn w:val="DefaultParagraphFont"/>
    <w:rsid w:val="00310E9B"/>
  </w:style>
  <w:style w:type="paragraph" w:customStyle="1" w:styleId="dr">
    <w:name w:val="dr"/>
    <w:basedOn w:val="Normal"/>
    <w:rsid w:val="00310E9B"/>
    <w:pPr>
      <w:spacing w:before="100" w:beforeAutospacing="1" w:after="100" w:afterAutospacing="1"/>
    </w:pPr>
    <w:rPr>
      <w:lang w:val="en-US" w:eastAsia="en-US"/>
    </w:rPr>
  </w:style>
  <w:style w:type="character" w:customStyle="1" w:styleId="bv">
    <w:name w:val="bv"/>
    <w:basedOn w:val="DefaultParagraphFont"/>
    <w:rsid w:val="00310E9B"/>
  </w:style>
  <w:style w:type="character" w:customStyle="1" w:styleId="bu">
    <w:name w:val="bu"/>
    <w:basedOn w:val="DefaultParagraphFont"/>
    <w:rsid w:val="00310E9B"/>
  </w:style>
  <w:style w:type="character" w:customStyle="1" w:styleId="dg">
    <w:name w:val="dg"/>
    <w:basedOn w:val="DefaultParagraphFont"/>
    <w:rsid w:val="00310E9B"/>
  </w:style>
  <w:style w:type="character" w:customStyle="1" w:styleId="bt">
    <w:name w:val="bt"/>
    <w:basedOn w:val="DefaultParagraphFont"/>
    <w:rsid w:val="00310E9B"/>
  </w:style>
  <w:style w:type="character" w:customStyle="1" w:styleId="FooterChar">
    <w:name w:val="Footer Char"/>
    <w:basedOn w:val="DefaultParagraphFont"/>
    <w:link w:val="Footer"/>
    <w:uiPriority w:val="99"/>
    <w:rsid w:val="00420B99"/>
    <w:rPr>
      <w:sz w:val="24"/>
      <w:lang w:eastAsia="en-US"/>
    </w:rPr>
  </w:style>
  <w:style w:type="paragraph" w:customStyle="1" w:styleId="d">
    <w:name w:val="d"/>
    <w:basedOn w:val="Normal"/>
    <w:rsid w:val="004C6968"/>
    <w:pPr>
      <w:spacing w:before="100" w:beforeAutospacing="1" w:after="100" w:afterAutospacing="1"/>
    </w:pPr>
    <w:rPr>
      <w:rFonts w:eastAsiaTheme="minorHAnsi"/>
    </w:rPr>
  </w:style>
  <w:style w:type="character" w:customStyle="1" w:styleId="ab">
    <w:name w:val="ab"/>
    <w:basedOn w:val="DefaultParagraphFont"/>
    <w:rsid w:val="004C6968"/>
  </w:style>
  <w:style w:type="paragraph" w:styleId="Revision">
    <w:name w:val="Revision"/>
    <w:hidden/>
    <w:uiPriority w:val="99"/>
    <w:semiHidden/>
    <w:rsid w:val="00DA6694"/>
    <w:rPr>
      <w:sz w:val="24"/>
      <w:szCs w:val="24"/>
    </w:rPr>
  </w:style>
  <w:style w:type="character" w:styleId="Emphasis">
    <w:name w:val="Emphasis"/>
    <w:basedOn w:val="DefaultParagraphFont"/>
    <w:qFormat/>
    <w:rsid w:val="00A67775"/>
    <w:rPr>
      <w:i/>
      <w:iCs/>
    </w:rPr>
  </w:style>
  <w:style w:type="paragraph" w:customStyle="1" w:styleId="Pa20">
    <w:name w:val="Pa20"/>
    <w:basedOn w:val="Default"/>
    <w:next w:val="Default"/>
    <w:uiPriority w:val="99"/>
    <w:rsid w:val="00752F66"/>
    <w:pPr>
      <w:spacing w:line="161" w:lineRule="atLeast"/>
    </w:pPr>
    <w:rPr>
      <w:rFonts w:ascii="Graphik Light" w:eastAsia="Times New Roman" w:hAnsi="Graphik Light" w:cs="Times New Roman"/>
      <w:color w:val="auto"/>
      <w:lang w:eastAsia="en-GB"/>
    </w:rPr>
  </w:style>
  <w:style w:type="character" w:customStyle="1" w:styleId="Heading1Char">
    <w:name w:val="Heading 1 Char"/>
    <w:basedOn w:val="DefaultParagraphFont"/>
    <w:link w:val="Heading1"/>
    <w:uiPriority w:val="9"/>
    <w:rsid w:val="00F01EC8"/>
    <w:rPr>
      <w:b/>
      <w:sz w:val="24"/>
      <w:lang w:eastAsia="en-US"/>
    </w:rPr>
  </w:style>
  <w:style w:type="paragraph" w:customStyle="1" w:styleId="msonormal0">
    <w:name w:val="msonormal"/>
    <w:basedOn w:val="Normal"/>
    <w:rsid w:val="00F01EC8"/>
    <w:pPr>
      <w:spacing w:before="100" w:beforeAutospacing="1" w:after="100" w:afterAutospacing="1"/>
    </w:pPr>
  </w:style>
  <w:style w:type="character" w:customStyle="1" w:styleId="CommentTextChar">
    <w:name w:val="Comment Text Char"/>
    <w:basedOn w:val="DefaultParagraphFont"/>
    <w:link w:val="CommentText"/>
    <w:uiPriority w:val="99"/>
    <w:rsid w:val="00F01EC8"/>
  </w:style>
  <w:style w:type="character" w:customStyle="1" w:styleId="HeaderChar">
    <w:name w:val="Header Char"/>
    <w:basedOn w:val="DefaultParagraphFont"/>
    <w:link w:val="Header"/>
    <w:uiPriority w:val="99"/>
    <w:rsid w:val="00F01EC8"/>
    <w:rPr>
      <w:sz w:val="24"/>
      <w:lang w:eastAsia="en-US"/>
    </w:rPr>
  </w:style>
  <w:style w:type="character" w:customStyle="1" w:styleId="CommentSubjectChar">
    <w:name w:val="Comment Subject Char"/>
    <w:basedOn w:val="CommentTextChar"/>
    <w:link w:val="CommentSubject"/>
    <w:uiPriority w:val="99"/>
    <w:semiHidden/>
    <w:rsid w:val="00F01EC8"/>
    <w:rPr>
      <w:b/>
      <w:bCs/>
    </w:rPr>
  </w:style>
  <w:style w:type="character" w:customStyle="1" w:styleId="BalloonTextChar">
    <w:name w:val="Balloon Text Char"/>
    <w:basedOn w:val="DefaultParagraphFont"/>
    <w:link w:val="BalloonText"/>
    <w:uiPriority w:val="99"/>
    <w:semiHidden/>
    <w:rsid w:val="00F01EC8"/>
    <w:rPr>
      <w:rFonts w:ascii="Tahoma" w:hAnsi="Tahoma" w:cs="Tahoma"/>
      <w:sz w:val="16"/>
      <w:szCs w:val="16"/>
    </w:rPr>
  </w:style>
  <w:style w:type="paragraph" w:customStyle="1" w:styleId="Pa22">
    <w:name w:val="Pa22"/>
    <w:basedOn w:val="Normal"/>
    <w:next w:val="Normal"/>
    <w:uiPriority w:val="99"/>
    <w:rsid w:val="00F01EC8"/>
    <w:pPr>
      <w:autoSpaceDE w:val="0"/>
      <w:autoSpaceDN w:val="0"/>
      <w:adjustRightInd w:val="0"/>
      <w:spacing w:line="171" w:lineRule="atLeast"/>
    </w:pPr>
    <w:rPr>
      <w:rFonts w:ascii="Graphik Medium" w:eastAsiaTheme="minorHAnsi" w:hAnsi="Graphik Medium" w:cstheme="minorBidi"/>
      <w:lang w:eastAsia="en-US"/>
    </w:rPr>
  </w:style>
  <w:style w:type="character" w:styleId="Strong">
    <w:name w:val="Strong"/>
    <w:basedOn w:val="DefaultParagraphFont"/>
    <w:uiPriority w:val="22"/>
    <w:qFormat/>
    <w:rsid w:val="00F01EC8"/>
    <w:rPr>
      <w:b/>
      <w:bCs/>
    </w:rPr>
  </w:style>
  <w:style w:type="paragraph" w:customStyle="1" w:styleId="TableParagraph">
    <w:name w:val="Table Paragraph"/>
    <w:basedOn w:val="Normal"/>
    <w:uiPriority w:val="1"/>
    <w:qFormat/>
    <w:rsid w:val="006A5B4B"/>
    <w:pPr>
      <w:widowControl w:val="0"/>
      <w:autoSpaceDE w:val="0"/>
      <w:autoSpaceDN w:val="0"/>
    </w:pPr>
    <w:rPr>
      <w:rFonts w:ascii="Graphik Light" w:eastAsia="Graphik Light" w:hAnsi="Graphik Light" w:cs="Graphik Light"/>
      <w:sz w:val="22"/>
      <w:szCs w:val="22"/>
      <w:lang w:bidi="en-GB"/>
    </w:rPr>
  </w:style>
  <w:style w:type="paragraph" w:customStyle="1" w:styleId="NtTextLevel1">
    <w:name w:val="Nt Text Level1"/>
    <w:basedOn w:val="Normal"/>
    <w:uiPriority w:val="99"/>
    <w:rsid w:val="00E7468E"/>
    <w:pPr>
      <w:autoSpaceDE w:val="0"/>
      <w:autoSpaceDN w:val="0"/>
      <w:ind w:left="403"/>
      <w:jc w:val="both"/>
    </w:pPr>
    <w:rPr>
      <w:rFonts w:ascii="Arial" w:eastAsiaTheme="minorHAnsi" w:hAnsi="Arial" w:cs="Arial"/>
      <w:color w:val="000000"/>
      <w:sz w:val="20"/>
      <w:szCs w:val="20"/>
    </w:rPr>
  </w:style>
  <w:style w:type="paragraph" w:customStyle="1" w:styleId="xmsolistparagraph">
    <w:name w:val="x_msolistparagraph"/>
    <w:basedOn w:val="Normal"/>
    <w:rsid w:val="00E7468E"/>
    <w:pPr>
      <w:spacing w:line="264" w:lineRule="auto"/>
      <w:ind w:left="527" w:hanging="357"/>
      <w:jc w:val="both"/>
    </w:pPr>
    <w:rPr>
      <w:rFonts w:ascii="Arial" w:eastAsiaTheme="minorHAnsi" w:hAnsi="Arial" w:cs="Arial"/>
      <w:sz w:val="22"/>
      <w:szCs w:val="22"/>
    </w:rPr>
  </w:style>
  <w:style w:type="paragraph" w:styleId="FootnoteText">
    <w:name w:val="footnote text"/>
    <w:basedOn w:val="Normal"/>
    <w:link w:val="FootnoteTextChar"/>
    <w:semiHidden/>
    <w:unhideWhenUsed/>
    <w:rsid w:val="00AA37D8"/>
    <w:rPr>
      <w:sz w:val="20"/>
      <w:szCs w:val="20"/>
    </w:rPr>
  </w:style>
  <w:style w:type="character" w:customStyle="1" w:styleId="FootnoteTextChar">
    <w:name w:val="Footnote Text Char"/>
    <w:basedOn w:val="DefaultParagraphFont"/>
    <w:link w:val="FootnoteText"/>
    <w:semiHidden/>
    <w:rsid w:val="00AA37D8"/>
  </w:style>
  <w:style w:type="character" w:styleId="FootnoteReference">
    <w:name w:val="footnote reference"/>
    <w:basedOn w:val="DefaultParagraphFont"/>
    <w:semiHidden/>
    <w:unhideWhenUsed/>
    <w:rsid w:val="00AA37D8"/>
    <w:rPr>
      <w:vertAlign w:val="superscript"/>
    </w:rPr>
  </w:style>
  <w:style w:type="paragraph" w:customStyle="1" w:styleId="Pa2">
    <w:name w:val="Pa2"/>
    <w:basedOn w:val="Default"/>
    <w:next w:val="Default"/>
    <w:uiPriority w:val="99"/>
    <w:rsid w:val="00F04225"/>
    <w:pPr>
      <w:spacing w:line="151" w:lineRule="atLeast"/>
    </w:pPr>
    <w:rPr>
      <w:rFonts w:ascii="Poppins Light" w:eastAsia="Times New Roman" w:hAnsi="Poppins Light" w:cs="Times New Roman"/>
      <w:color w:val="auto"/>
      <w:lang w:eastAsia="en-GB"/>
    </w:rPr>
  </w:style>
  <w:style w:type="character" w:customStyle="1" w:styleId="A71">
    <w:name w:val="A71"/>
    <w:uiPriority w:val="99"/>
    <w:rsid w:val="00F04225"/>
    <w:rPr>
      <w:rFonts w:cs="Poppins Light"/>
      <w:color w:val="211D1E"/>
      <w:sz w:val="15"/>
      <w:szCs w:val="15"/>
      <w:u w:val="single"/>
    </w:rPr>
  </w:style>
  <w:style w:type="character" w:styleId="UnresolvedMention">
    <w:name w:val="Unresolved Mention"/>
    <w:basedOn w:val="DefaultParagraphFont"/>
    <w:uiPriority w:val="99"/>
    <w:semiHidden/>
    <w:unhideWhenUsed/>
    <w:rsid w:val="000071DB"/>
    <w:rPr>
      <w:color w:val="605E5C"/>
      <w:shd w:val="clear" w:color="auto" w:fill="E1DFDD"/>
    </w:rPr>
  </w:style>
  <w:style w:type="paragraph" w:customStyle="1" w:styleId="Pa14">
    <w:name w:val="Pa14"/>
    <w:basedOn w:val="Default"/>
    <w:next w:val="Default"/>
    <w:uiPriority w:val="99"/>
    <w:rsid w:val="00607E22"/>
    <w:pPr>
      <w:spacing w:line="151" w:lineRule="atLeast"/>
    </w:pPr>
    <w:rPr>
      <w:rFonts w:ascii="Poppins Light" w:eastAsia="Times New Roman" w:hAnsi="Poppins Light" w:cs="Times New Roman"/>
      <w:color w:val="auto"/>
      <w:lang w:eastAsia="en-GB"/>
    </w:rPr>
  </w:style>
  <w:style w:type="character" w:customStyle="1" w:styleId="A24">
    <w:name w:val="A24"/>
    <w:uiPriority w:val="99"/>
    <w:rsid w:val="00607E22"/>
    <w:rPr>
      <w:rFonts w:cs="Poppins Light"/>
      <w:color w:val="000000"/>
      <w:sz w:val="15"/>
      <w:szCs w:val="15"/>
    </w:rPr>
  </w:style>
  <w:style w:type="paragraph" w:customStyle="1" w:styleId="Pa141">
    <w:name w:val="Pa14_1"/>
    <w:basedOn w:val="Default"/>
    <w:next w:val="Default"/>
    <w:uiPriority w:val="99"/>
    <w:rsid w:val="00607E22"/>
    <w:pPr>
      <w:spacing w:line="151" w:lineRule="atLeast"/>
    </w:pPr>
    <w:rPr>
      <w:rFonts w:ascii="Poppins Light" w:eastAsia="Times New Roman" w:hAnsi="Poppins Light" w:cs="Times New Roman"/>
      <w:color w:val="auto"/>
      <w:lang w:eastAsia="en-GB"/>
    </w:rPr>
  </w:style>
  <w:style w:type="character" w:styleId="Mention">
    <w:name w:val="Mention"/>
    <w:basedOn w:val="DefaultParagraphFont"/>
    <w:uiPriority w:val="99"/>
    <w:unhideWhenUsed/>
    <w:rsid w:val="00F93A71"/>
    <w:rPr>
      <w:color w:val="2B579A"/>
      <w:shd w:val="clear" w:color="auto" w:fill="E1DFDD"/>
    </w:rPr>
  </w:style>
  <w:style w:type="paragraph" w:customStyle="1" w:styleId="FigshdRTFigs">
    <w:name w:val="Figshd RT (Figs)"/>
    <w:basedOn w:val="Normal"/>
    <w:uiPriority w:val="99"/>
    <w:rsid w:val="00E027D1"/>
    <w:pPr>
      <w:tabs>
        <w:tab w:val="left" w:pos="751"/>
      </w:tabs>
      <w:suppressAutoHyphens/>
      <w:autoSpaceDE w:val="0"/>
      <w:autoSpaceDN w:val="0"/>
      <w:adjustRightInd w:val="0"/>
      <w:spacing w:line="160" w:lineRule="atLeast"/>
      <w:textAlignment w:val="center"/>
    </w:pPr>
    <w:rPr>
      <w:rFonts w:ascii="Poppins Light" w:hAnsi="Poppins Light" w:cs="Poppins Light"/>
      <w:color w:val="000000"/>
      <w:sz w:val="13"/>
      <w:szCs w:val="13"/>
    </w:rPr>
  </w:style>
  <w:style w:type="character" w:customStyle="1" w:styleId="TableFigsBold">
    <w:name w:val="Table Figs Bold"/>
    <w:uiPriority w:val="99"/>
    <w:rsid w:val="00E027D1"/>
    <w:rPr>
      <w:color w:val="3059FF"/>
    </w:rPr>
  </w:style>
  <w:style w:type="character" w:customStyle="1" w:styleId="TableTextBold">
    <w:name w:val="Table Text Bold"/>
    <w:uiPriority w:val="99"/>
    <w:rsid w:val="00E027D1"/>
    <w:rPr>
      <w:color w:val="000054"/>
    </w:rPr>
  </w:style>
  <w:style w:type="paragraph" w:customStyle="1" w:styleId="bodytext0">
    <w:name w:val="_body text"/>
    <w:basedOn w:val="Normal"/>
    <w:uiPriority w:val="99"/>
    <w:rsid w:val="008E2484"/>
    <w:pPr>
      <w:autoSpaceDE w:val="0"/>
      <w:autoSpaceDN w:val="0"/>
      <w:spacing w:after="120" w:line="200" w:lineRule="atLeast"/>
    </w:pPr>
    <w:rPr>
      <w:rFonts w:ascii="Arial" w:eastAsiaTheme="minorHAnsi" w:hAnsi="Arial" w:cs="Arial"/>
      <w:color w:val="000000"/>
      <w:sz w:val="18"/>
      <w:szCs w:val="18"/>
      <w:lang w:eastAsia="en-US"/>
    </w:rPr>
  </w:style>
  <w:style w:type="paragraph" w:customStyle="1" w:styleId="bullettext">
    <w:name w:val="_bullet text"/>
    <w:basedOn w:val="Normal"/>
    <w:uiPriority w:val="99"/>
    <w:rsid w:val="008E2484"/>
    <w:pPr>
      <w:autoSpaceDE w:val="0"/>
      <w:autoSpaceDN w:val="0"/>
      <w:spacing w:after="120" w:line="200" w:lineRule="atLeast"/>
      <w:ind w:left="284" w:hanging="284"/>
    </w:pPr>
    <w:rPr>
      <w:rFonts w:ascii="Arial" w:eastAsiaTheme="minorHAnsi" w:hAnsi="Arial" w:cs="Arial"/>
      <w:color w:val="000000"/>
      <w:sz w:val="18"/>
      <w:szCs w:val="18"/>
      <w:lang w:eastAsia="en-US"/>
    </w:rPr>
  </w:style>
  <w:style w:type="paragraph" w:customStyle="1" w:styleId="DropDown2">
    <w:name w:val="Drop Down 2"/>
    <w:basedOn w:val="Normal"/>
    <w:qFormat/>
    <w:rsid w:val="00EB0899"/>
    <w:pPr>
      <w:tabs>
        <w:tab w:val="left" w:pos="3135"/>
      </w:tabs>
    </w:pPr>
    <w:rPr>
      <w:rFonts w:ascii="Arial" w:eastAsiaTheme="minorHAnsi" w:hAnsi="Arial" w:cstheme="minorBidi"/>
      <w:color w:val="404040" w:themeColor="text1" w:themeTint="BF"/>
      <w:spacing w:val="-20"/>
      <w:sz w:val="22"/>
      <w:szCs w:val="22"/>
      <w:lang w:eastAsia="en-US"/>
    </w:rPr>
  </w:style>
  <w:style w:type="character" w:customStyle="1" w:styleId="Heading5Char">
    <w:name w:val="Heading 5 Char"/>
    <w:basedOn w:val="DefaultParagraphFont"/>
    <w:link w:val="Heading5"/>
    <w:rsid w:val="003313C7"/>
    <w:rPr>
      <w:b/>
      <w:sz w:val="24"/>
      <w:lang w:eastAsia="en-US"/>
    </w:rPr>
  </w:style>
  <w:style w:type="paragraph" w:customStyle="1" w:styleId="tablefigsheadthin">
    <w:name w:val="_table figshead thin"/>
    <w:basedOn w:val="Normal"/>
    <w:uiPriority w:val="99"/>
    <w:rsid w:val="007075BE"/>
    <w:pPr>
      <w:pBdr>
        <w:bottom w:val="single" w:sz="4" w:space="0" w:color="000000"/>
      </w:pBdr>
      <w:tabs>
        <w:tab w:val="left" w:pos="340"/>
      </w:tabs>
      <w:suppressAutoHyphens/>
      <w:autoSpaceDE w:val="0"/>
      <w:autoSpaceDN w:val="0"/>
      <w:adjustRightInd w:val="0"/>
      <w:spacing w:line="160" w:lineRule="atLeast"/>
    </w:pPr>
    <w:rPr>
      <w:rFonts w:ascii="Arial" w:eastAsiaTheme="minorHAnsi" w:hAnsi="Arial" w:cs="Arial"/>
      <w:color w:val="000000"/>
      <w:sz w:val="14"/>
      <w:szCs w:val="14"/>
      <w:lang w:eastAsia="en-US"/>
    </w:rPr>
  </w:style>
  <w:style w:type="paragraph" w:customStyle="1" w:styleId="tablefigs">
    <w:name w:val="_table figs"/>
    <w:basedOn w:val="Normal"/>
    <w:uiPriority w:val="99"/>
    <w:rsid w:val="007075BE"/>
    <w:pPr>
      <w:tabs>
        <w:tab w:val="left" w:pos="227"/>
      </w:tabs>
      <w:suppressAutoHyphens/>
      <w:autoSpaceDE w:val="0"/>
      <w:autoSpaceDN w:val="0"/>
      <w:adjustRightInd w:val="0"/>
      <w:spacing w:line="200" w:lineRule="atLeast"/>
    </w:pPr>
    <w:rPr>
      <w:rFonts w:ascii="Arial" w:eastAsiaTheme="minorHAnsi" w:hAnsi="Arial" w:cs="Arial"/>
      <w:color w:val="000000"/>
      <w:sz w:val="18"/>
      <w:szCs w:val="18"/>
      <w:lang w:eastAsia="en-US"/>
    </w:rPr>
  </w:style>
  <w:style w:type="paragraph" w:customStyle="1" w:styleId="tablefigsthin">
    <w:name w:val="_table figs thin"/>
    <w:basedOn w:val="Normal"/>
    <w:uiPriority w:val="99"/>
    <w:rsid w:val="007075BE"/>
    <w:pPr>
      <w:pBdr>
        <w:bottom w:val="single" w:sz="4" w:space="0" w:color="000000"/>
      </w:pBdr>
      <w:tabs>
        <w:tab w:val="left" w:pos="227"/>
      </w:tabs>
      <w:suppressAutoHyphens/>
      <w:autoSpaceDE w:val="0"/>
      <w:autoSpaceDN w:val="0"/>
      <w:adjustRightInd w:val="0"/>
      <w:spacing w:line="200" w:lineRule="atLeast"/>
    </w:pPr>
    <w:rPr>
      <w:rFonts w:ascii="Arial" w:eastAsiaTheme="minorHAnsi" w:hAnsi="Arial" w:cs="Arial"/>
      <w:color w:val="000000"/>
      <w:sz w:val="18"/>
      <w:szCs w:val="18"/>
      <w:lang w:eastAsia="en-US"/>
    </w:rPr>
  </w:style>
  <w:style w:type="paragraph" w:customStyle="1" w:styleId="tablefigsthick">
    <w:name w:val="_table figs thick"/>
    <w:basedOn w:val="Normal"/>
    <w:uiPriority w:val="99"/>
    <w:rsid w:val="007075BE"/>
    <w:pPr>
      <w:pBdr>
        <w:bottom w:val="single" w:sz="12" w:space="0" w:color="000000"/>
      </w:pBdr>
      <w:tabs>
        <w:tab w:val="left" w:pos="227"/>
      </w:tabs>
      <w:suppressAutoHyphens/>
      <w:autoSpaceDE w:val="0"/>
      <w:autoSpaceDN w:val="0"/>
      <w:adjustRightInd w:val="0"/>
      <w:spacing w:line="200" w:lineRule="atLeast"/>
    </w:pPr>
    <w:rPr>
      <w:rFonts w:ascii="Arial" w:eastAsiaTheme="minorHAnsi" w:hAnsi="Arial" w:cs="Arial"/>
      <w:color w:val="000000"/>
      <w:sz w:val="18"/>
      <w:szCs w:val="18"/>
      <w:lang w:eastAsia="en-US"/>
    </w:rPr>
  </w:style>
  <w:style w:type="character" w:customStyle="1" w:styleId="superscript">
    <w:name w:val="_superscript"/>
    <w:uiPriority w:val="99"/>
    <w:rsid w:val="007075BE"/>
    <w:rPr>
      <w:vertAlign w:val="superscript"/>
    </w:rPr>
  </w:style>
  <w:style w:type="character" w:customStyle="1" w:styleId="tablefigsbold0">
    <w:name w:val="_table figs bold"/>
    <w:uiPriority w:val="99"/>
    <w:rsid w:val="007075BE"/>
    <w:rPr>
      <w:rFonts w:ascii="Arial" w:hAnsi="Arial" w:cs="Arial" w:hint="default"/>
      <w:b/>
      <w:bCs/>
      <w:color w:val="000000"/>
    </w:rPr>
  </w:style>
  <w:style w:type="character" w:customStyle="1" w:styleId="tabletextbold0">
    <w:name w:val="_table text bold"/>
    <w:uiPriority w:val="99"/>
    <w:rsid w:val="007075BE"/>
    <w:rPr>
      <w:rFonts w:ascii="Arial" w:hAnsi="Arial" w:cs="Arial" w:hint="default"/>
      <w:b/>
      <w:bCs/>
      <w:color w:val="000000"/>
    </w:rPr>
  </w:style>
  <w:style w:type="paragraph" w:customStyle="1" w:styleId="Footnote">
    <w:name w:val="Footnote"/>
    <w:basedOn w:val="BodyText"/>
    <w:uiPriority w:val="99"/>
    <w:rsid w:val="001701EA"/>
    <w:pPr>
      <w:tabs>
        <w:tab w:val="left" w:pos="170"/>
      </w:tabs>
      <w:suppressAutoHyphens/>
      <w:overflowPunct/>
      <w:spacing w:after="80" w:line="160" w:lineRule="atLeast"/>
      <w:jc w:val="left"/>
      <w:textAlignment w:val="center"/>
    </w:pPr>
    <w:rPr>
      <w:rFonts w:ascii="Poppins" w:hAnsi="Poppins" w:cs="Poppins"/>
      <w:color w:val="000000"/>
      <w:sz w:val="12"/>
      <w:szCs w:val="12"/>
      <w:lang w:eastAsia="en-GB"/>
    </w:rPr>
  </w:style>
  <w:style w:type="paragraph" w:styleId="EndnoteText">
    <w:name w:val="endnote text"/>
    <w:basedOn w:val="Normal"/>
    <w:link w:val="EndnoteTextChar"/>
    <w:semiHidden/>
    <w:unhideWhenUsed/>
    <w:rsid w:val="0058133B"/>
    <w:rPr>
      <w:sz w:val="20"/>
      <w:szCs w:val="20"/>
    </w:rPr>
  </w:style>
  <w:style w:type="character" w:customStyle="1" w:styleId="EndnoteTextChar">
    <w:name w:val="Endnote Text Char"/>
    <w:basedOn w:val="DefaultParagraphFont"/>
    <w:link w:val="EndnoteText"/>
    <w:semiHidden/>
    <w:rsid w:val="0058133B"/>
  </w:style>
  <w:style w:type="character" w:styleId="EndnoteReference">
    <w:name w:val="endnote reference"/>
    <w:basedOn w:val="DefaultParagraphFont"/>
    <w:semiHidden/>
    <w:unhideWhenUsed/>
    <w:rsid w:val="0058133B"/>
    <w:rPr>
      <w:vertAlign w:val="superscript"/>
    </w:rPr>
  </w:style>
  <w:style w:type="character" w:customStyle="1" w:styleId="normaltextrun">
    <w:name w:val="normaltextrun"/>
    <w:basedOn w:val="DefaultParagraphFont"/>
    <w:rsid w:val="003A6F32"/>
  </w:style>
  <w:style w:type="character" w:customStyle="1" w:styleId="eop">
    <w:name w:val="eop"/>
    <w:basedOn w:val="DefaultParagraphFont"/>
    <w:rsid w:val="003A6F32"/>
  </w:style>
  <w:style w:type="paragraph" w:customStyle="1" w:styleId="paragraph">
    <w:name w:val="paragraph"/>
    <w:basedOn w:val="Normal"/>
    <w:rsid w:val="00807363"/>
    <w:pPr>
      <w:spacing w:before="100" w:beforeAutospacing="1" w:after="100" w:afterAutospacing="1"/>
    </w:pPr>
  </w:style>
  <w:style w:type="paragraph" w:customStyle="1" w:styleId="Pa30">
    <w:name w:val="Pa30"/>
    <w:basedOn w:val="Normal"/>
    <w:next w:val="Normal"/>
    <w:uiPriority w:val="99"/>
    <w:rsid w:val="007465DB"/>
    <w:pPr>
      <w:autoSpaceDE w:val="0"/>
      <w:autoSpaceDN w:val="0"/>
      <w:adjustRightInd w:val="0"/>
      <w:spacing w:line="161" w:lineRule="atLeast"/>
    </w:pPr>
    <w:rPr>
      <w:rFonts w:ascii="Poppins SemiBold" w:eastAsiaTheme="minorHAnsi" w:hAnsi="Poppins SemiBold"/>
      <w:lang w:eastAsia="en-US"/>
      <w14:ligatures w14:val="standardContextual"/>
    </w:rPr>
  </w:style>
  <w:style w:type="paragraph" w:customStyle="1" w:styleId="Pa17">
    <w:name w:val="Pa17"/>
    <w:basedOn w:val="Normal"/>
    <w:next w:val="Normal"/>
    <w:uiPriority w:val="99"/>
    <w:rsid w:val="007465DB"/>
    <w:pPr>
      <w:autoSpaceDE w:val="0"/>
      <w:autoSpaceDN w:val="0"/>
      <w:adjustRightInd w:val="0"/>
      <w:spacing w:line="151" w:lineRule="atLeast"/>
    </w:pPr>
    <w:rPr>
      <w:rFonts w:ascii="Poppins SemiBold" w:eastAsiaTheme="minorHAnsi" w:hAnsi="Poppins SemiBold"/>
      <w:lang w:eastAsia="en-US"/>
      <w14:ligatures w14:val="standardContextual"/>
    </w:rPr>
  </w:style>
  <w:style w:type="paragraph" w:customStyle="1" w:styleId="agf">
    <w:name w:val="agf"/>
    <w:basedOn w:val="Normal"/>
    <w:rsid w:val="00B132E7"/>
    <w:pPr>
      <w:spacing w:before="100" w:beforeAutospacing="1" w:after="100" w:afterAutospacing="1"/>
    </w:pPr>
  </w:style>
  <w:style w:type="character" w:customStyle="1" w:styleId="adq">
    <w:name w:val="adq"/>
    <w:basedOn w:val="DefaultParagraphFont"/>
    <w:rsid w:val="00B132E7"/>
  </w:style>
  <w:style w:type="character" w:customStyle="1" w:styleId="aga">
    <w:name w:val="aga"/>
    <w:basedOn w:val="DefaultParagraphFont"/>
    <w:rsid w:val="00B132E7"/>
  </w:style>
  <w:style w:type="paragraph" w:customStyle="1" w:styleId="u">
    <w:name w:val="u"/>
    <w:basedOn w:val="Normal"/>
    <w:rsid w:val="00B132E7"/>
    <w:pPr>
      <w:spacing w:before="100" w:beforeAutospacing="1" w:after="100" w:afterAutospacing="1"/>
    </w:pPr>
  </w:style>
  <w:style w:type="character" w:customStyle="1" w:styleId="cf01">
    <w:name w:val="cf01"/>
    <w:basedOn w:val="DefaultParagraphFont"/>
    <w:rsid w:val="00B132E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4800">
      <w:bodyDiv w:val="1"/>
      <w:marLeft w:val="0"/>
      <w:marRight w:val="0"/>
      <w:marTop w:val="0"/>
      <w:marBottom w:val="0"/>
      <w:divBdr>
        <w:top w:val="none" w:sz="0" w:space="0" w:color="auto"/>
        <w:left w:val="none" w:sz="0" w:space="0" w:color="auto"/>
        <w:bottom w:val="none" w:sz="0" w:space="0" w:color="auto"/>
        <w:right w:val="none" w:sz="0" w:space="0" w:color="auto"/>
      </w:divBdr>
    </w:div>
    <w:div w:id="8260940">
      <w:bodyDiv w:val="1"/>
      <w:marLeft w:val="0"/>
      <w:marRight w:val="0"/>
      <w:marTop w:val="0"/>
      <w:marBottom w:val="0"/>
      <w:divBdr>
        <w:top w:val="none" w:sz="0" w:space="0" w:color="auto"/>
        <w:left w:val="none" w:sz="0" w:space="0" w:color="auto"/>
        <w:bottom w:val="none" w:sz="0" w:space="0" w:color="auto"/>
        <w:right w:val="none" w:sz="0" w:space="0" w:color="auto"/>
      </w:divBdr>
    </w:div>
    <w:div w:id="79759054">
      <w:bodyDiv w:val="1"/>
      <w:marLeft w:val="0"/>
      <w:marRight w:val="0"/>
      <w:marTop w:val="0"/>
      <w:marBottom w:val="0"/>
      <w:divBdr>
        <w:top w:val="none" w:sz="0" w:space="0" w:color="auto"/>
        <w:left w:val="none" w:sz="0" w:space="0" w:color="auto"/>
        <w:bottom w:val="none" w:sz="0" w:space="0" w:color="auto"/>
        <w:right w:val="none" w:sz="0" w:space="0" w:color="auto"/>
      </w:divBdr>
    </w:div>
    <w:div w:id="96369105">
      <w:bodyDiv w:val="1"/>
      <w:marLeft w:val="0"/>
      <w:marRight w:val="0"/>
      <w:marTop w:val="0"/>
      <w:marBottom w:val="0"/>
      <w:divBdr>
        <w:top w:val="none" w:sz="0" w:space="0" w:color="auto"/>
        <w:left w:val="none" w:sz="0" w:space="0" w:color="auto"/>
        <w:bottom w:val="none" w:sz="0" w:space="0" w:color="auto"/>
        <w:right w:val="none" w:sz="0" w:space="0" w:color="auto"/>
      </w:divBdr>
    </w:div>
    <w:div w:id="104231445">
      <w:bodyDiv w:val="1"/>
      <w:marLeft w:val="0"/>
      <w:marRight w:val="0"/>
      <w:marTop w:val="0"/>
      <w:marBottom w:val="0"/>
      <w:divBdr>
        <w:top w:val="none" w:sz="0" w:space="0" w:color="auto"/>
        <w:left w:val="none" w:sz="0" w:space="0" w:color="auto"/>
        <w:bottom w:val="none" w:sz="0" w:space="0" w:color="auto"/>
        <w:right w:val="none" w:sz="0" w:space="0" w:color="auto"/>
      </w:divBdr>
      <w:divsChild>
        <w:div w:id="357632394">
          <w:marLeft w:val="288"/>
          <w:marRight w:val="0"/>
          <w:marTop w:val="0"/>
          <w:marBottom w:val="170"/>
          <w:divBdr>
            <w:top w:val="none" w:sz="0" w:space="0" w:color="auto"/>
            <w:left w:val="none" w:sz="0" w:space="0" w:color="auto"/>
            <w:bottom w:val="none" w:sz="0" w:space="0" w:color="auto"/>
            <w:right w:val="none" w:sz="0" w:space="0" w:color="auto"/>
          </w:divBdr>
        </w:div>
      </w:divsChild>
    </w:div>
    <w:div w:id="113140682">
      <w:bodyDiv w:val="1"/>
      <w:marLeft w:val="0"/>
      <w:marRight w:val="0"/>
      <w:marTop w:val="0"/>
      <w:marBottom w:val="0"/>
      <w:divBdr>
        <w:top w:val="none" w:sz="0" w:space="0" w:color="auto"/>
        <w:left w:val="none" w:sz="0" w:space="0" w:color="auto"/>
        <w:bottom w:val="none" w:sz="0" w:space="0" w:color="auto"/>
        <w:right w:val="none" w:sz="0" w:space="0" w:color="auto"/>
      </w:divBdr>
    </w:div>
    <w:div w:id="132061777">
      <w:bodyDiv w:val="1"/>
      <w:marLeft w:val="0"/>
      <w:marRight w:val="0"/>
      <w:marTop w:val="0"/>
      <w:marBottom w:val="0"/>
      <w:divBdr>
        <w:top w:val="none" w:sz="0" w:space="0" w:color="auto"/>
        <w:left w:val="none" w:sz="0" w:space="0" w:color="auto"/>
        <w:bottom w:val="none" w:sz="0" w:space="0" w:color="auto"/>
        <w:right w:val="none" w:sz="0" w:space="0" w:color="auto"/>
      </w:divBdr>
    </w:div>
    <w:div w:id="171338060">
      <w:bodyDiv w:val="1"/>
      <w:marLeft w:val="0"/>
      <w:marRight w:val="0"/>
      <w:marTop w:val="0"/>
      <w:marBottom w:val="0"/>
      <w:divBdr>
        <w:top w:val="none" w:sz="0" w:space="0" w:color="auto"/>
        <w:left w:val="none" w:sz="0" w:space="0" w:color="auto"/>
        <w:bottom w:val="none" w:sz="0" w:space="0" w:color="auto"/>
        <w:right w:val="none" w:sz="0" w:space="0" w:color="auto"/>
      </w:divBdr>
    </w:div>
    <w:div w:id="173569360">
      <w:bodyDiv w:val="1"/>
      <w:marLeft w:val="0"/>
      <w:marRight w:val="0"/>
      <w:marTop w:val="0"/>
      <w:marBottom w:val="0"/>
      <w:divBdr>
        <w:top w:val="none" w:sz="0" w:space="0" w:color="auto"/>
        <w:left w:val="none" w:sz="0" w:space="0" w:color="auto"/>
        <w:bottom w:val="none" w:sz="0" w:space="0" w:color="auto"/>
        <w:right w:val="none" w:sz="0" w:space="0" w:color="auto"/>
      </w:divBdr>
    </w:div>
    <w:div w:id="174730321">
      <w:bodyDiv w:val="1"/>
      <w:marLeft w:val="0"/>
      <w:marRight w:val="0"/>
      <w:marTop w:val="0"/>
      <w:marBottom w:val="0"/>
      <w:divBdr>
        <w:top w:val="none" w:sz="0" w:space="0" w:color="auto"/>
        <w:left w:val="none" w:sz="0" w:space="0" w:color="auto"/>
        <w:bottom w:val="none" w:sz="0" w:space="0" w:color="auto"/>
        <w:right w:val="none" w:sz="0" w:space="0" w:color="auto"/>
      </w:divBdr>
    </w:div>
    <w:div w:id="178348503">
      <w:bodyDiv w:val="1"/>
      <w:marLeft w:val="0"/>
      <w:marRight w:val="0"/>
      <w:marTop w:val="0"/>
      <w:marBottom w:val="0"/>
      <w:divBdr>
        <w:top w:val="none" w:sz="0" w:space="0" w:color="auto"/>
        <w:left w:val="none" w:sz="0" w:space="0" w:color="auto"/>
        <w:bottom w:val="none" w:sz="0" w:space="0" w:color="auto"/>
        <w:right w:val="none" w:sz="0" w:space="0" w:color="auto"/>
      </w:divBdr>
    </w:div>
    <w:div w:id="182020613">
      <w:bodyDiv w:val="1"/>
      <w:marLeft w:val="0"/>
      <w:marRight w:val="0"/>
      <w:marTop w:val="0"/>
      <w:marBottom w:val="0"/>
      <w:divBdr>
        <w:top w:val="none" w:sz="0" w:space="0" w:color="auto"/>
        <w:left w:val="none" w:sz="0" w:space="0" w:color="auto"/>
        <w:bottom w:val="none" w:sz="0" w:space="0" w:color="auto"/>
        <w:right w:val="none" w:sz="0" w:space="0" w:color="auto"/>
      </w:divBdr>
    </w:div>
    <w:div w:id="216284370">
      <w:bodyDiv w:val="1"/>
      <w:marLeft w:val="0"/>
      <w:marRight w:val="0"/>
      <w:marTop w:val="0"/>
      <w:marBottom w:val="0"/>
      <w:divBdr>
        <w:top w:val="none" w:sz="0" w:space="0" w:color="auto"/>
        <w:left w:val="none" w:sz="0" w:space="0" w:color="auto"/>
        <w:bottom w:val="none" w:sz="0" w:space="0" w:color="auto"/>
        <w:right w:val="none" w:sz="0" w:space="0" w:color="auto"/>
      </w:divBdr>
    </w:div>
    <w:div w:id="262038372">
      <w:bodyDiv w:val="1"/>
      <w:marLeft w:val="0"/>
      <w:marRight w:val="0"/>
      <w:marTop w:val="0"/>
      <w:marBottom w:val="0"/>
      <w:divBdr>
        <w:top w:val="none" w:sz="0" w:space="0" w:color="auto"/>
        <w:left w:val="none" w:sz="0" w:space="0" w:color="auto"/>
        <w:bottom w:val="none" w:sz="0" w:space="0" w:color="auto"/>
        <w:right w:val="none" w:sz="0" w:space="0" w:color="auto"/>
      </w:divBdr>
    </w:div>
    <w:div w:id="268392376">
      <w:bodyDiv w:val="1"/>
      <w:marLeft w:val="0"/>
      <w:marRight w:val="0"/>
      <w:marTop w:val="0"/>
      <w:marBottom w:val="0"/>
      <w:divBdr>
        <w:top w:val="none" w:sz="0" w:space="0" w:color="auto"/>
        <w:left w:val="none" w:sz="0" w:space="0" w:color="auto"/>
        <w:bottom w:val="none" w:sz="0" w:space="0" w:color="auto"/>
        <w:right w:val="none" w:sz="0" w:space="0" w:color="auto"/>
      </w:divBdr>
    </w:div>
    <w:div w:id="303312814">
      <w:bodyDiv w:val="1"/>
      <w:marLeft w:val="0"/>
      <w:marRight w:val="0"/>
      <w:marTop w:val="0"/>
      <w:marBottom w:val="0"/>
      <w:divBdr>
        <w:top w:val="none" w:sz="0" w:space="0" w:color="auto"/>
        <w:left w:val="none" w:sz="0" w:space="0" w:color="auto"/>
        <w:bottom w:val="none" w:sz="0" w:space="0" w:color="auto"/>
        <w:right w:val="none" w:sz="0" w:space="0" w:color="auto"/>
      </w:divBdr>
    </w:div>
    <w:div w:id="309989575">
      <w:bodyDiv w:val="1"/>
      <w:marLeft w:val="0"/>
      <w:marRight w:val="0"/>
      <w:marTop w:val="0"/>
      <w:marBottom w:val="0"/>
      <w:divBdr>
        <w:top w:val="none" w:sz="0" w:space="0" w:color="auto"/>
        <w:left w:val="none" w:sz="0" w:space="0" w:color="auto"/>
        <w:bottom w:val="none" w:sz="0" w:space="0" w:color="auto"/>
        <w:right w:val="none" w:sz="0" w:space="0" w:color="auto"/>
      </w:divBdr>
    </w:div>
    <w:div w:id="352995639">
      <w:bodyDiv w:val="1"/>
      <w:marLeft w:val="0"/>
      <w:marRight w:val="0"/>
      <w:marTop w:val="0"/>
      <w:marBottom w:val="0"/>
      <w:divBdr>
        <w:top w:val="none" w:sz="0" w:space="0" w:color="auto"/>
        <w:left w:val="none" w:sz="0" w:space="0" w:color="auto"/>
        <w:bottom w:val="none" w:sz="0" w:space="0" w:color="auto"/>
        <w:right w:val="none" w:sz="0" w:space="0" w:color="auto"/>
      </w:divBdr>
    </w:div>
    <w:div w:id="394857943">
      <w:bodyDiv w:val="1"/>
      <w:marLeft w:val="0"/>
      <w:marRight w:val="0"/>
      <w:marTop w:val="0"/>
      <w:marBottom w:val="0"/>
      <w:divBdr>
        <w:top w:val="none" w:sz="0" w:space="0" w:color="auto"/>
        <w:left w:val="none" w:sz="0" w:space="0" w:color="auto"/>
        <w:bottom w:val="none" w:sz="0" w:space="0" w:color="auto"/>
        <w:right w:val="none" w:sz="0" w:space="0" w:color="auto"/>
      </w:divBdr>
    </w:div>
    <w:div w:id="401802284">
      <w:bodyDiv w:val="1"/>
      <w:marLeft w:val="0"/>
      <w:marRight w:val="0"/>
      <w:marTop w:val="0"/>
      <w:marBottom w:val="0"/>
      <w:divBdr>
        <w:top w:val="none" w:sz="0" w:space="0" w:color="auto"/>
        <w:left w:val="none" w:sz="0" w:space="0" w:color="auto"/>
        <w:bottom w:val="none" w:sz="0" w:space="0" w:color="auto"/>
        <w:right w:val="none" w:sz="0" w:space="0" w:color="auto"/>
      </w:divBdr>
    </w:div>
    <w:div w:id="456989605">
      <w:bodyDiv w:val="1"/>
      <w:marLeft w:val="0"/>
      <w:marRight w:val="0"/>
      <w:marTop w:val="0"/>
      <w:marBottom w:val="0"/>
      <w:divBdr>
        <w:top w:val="none" w:sz="0" w:space="0" w:color="auto"/>
        <w:left w:val="none" w:sz="0" w:space="0" w:color="auto"/>
        <w:bottom w:val="none" w:sz="0" w:space="0" w:color="auto"/>
        <w:right w:val="none" w:sz="0" w:space="0" w:color="auto"/>
      </w:divBdr>
    </w:div>
    <w:div w:id="473566789">
      <w:bodyDiv w:val="1"/>
      <w:marLeft w:val="0"/>
      <w:marRight w:val="0"/>
      <w:marTop w:val="0"/>
      <w:marBottom w:val="0"/>
      <w:divBdr>
        <w:top w:val="none" w:sz="0" w:space="0" w:color="auto"/>
        <w:left w:val="none" w:sz="0" w:space="0" w:color="auto"/>
        <w:bottom w:val="none" w:sz="0" w:space="0" w:color="auto"/>
        <w:right w:val="none" w:sz="0" w:space="0" w:color="auto"/>
      </w:divBdr>
    </w:div>
    <w:div w:id="478032295">
      <w:bodyDiv w:val="1"/>
      <w:marLeft w:val="0"/>
      <w:marRight w:val="0"/>
      <w:marTop w:val="0"/>
      <w:marBottom w:val="0"/>
      <w:divBdr>
        <w:top w:val="none" w:sz="0" w:space="0" w:color="auto"/>
        <w:left w:val="none" w:sz="0" w:space="0" w:color="auto"/>
        <w:bottom w:val="none" w:sz="0" w:space="0" w:color="auto"/>
        <w:right w:val="none" w:sz="0" w:space="0" w:color="auto"/>
      </w:divBdr>
    </w:div>
    <w:div w:id="504563020">
      <w:bodyDiv w:val="1"/>
      <w:marLeft w:val="0"/>
      <w:marRight w:val="0"/>
      <w:marTop w:val="0"/>
      <w:marBottom w:val="0"/>
      <w:divBdr>
        <w:top w:val="none" w:sz="0" w:space="0" w:color="auto"/>
        <w:left w:val="none" w:sz="0" w:space="0" w:color="auto"/>
        <w:bottom w:val="none" w:sz="0" w:space="0" w:color="auto"/>
        <w:right w:val="none" w:sz="0" w:space="0" w:color="auto"/>
      </w:divBdr>
    </w:div>
    <w:div w:id="530798164">
      <w:bodyDiv w:val="1"/>
      <w:marLeft w:val="0"/>
      <w:marRight w:val="0"/>
      <w:marTop w:val="0"/>
      <w:marBottom w:val="0"/>
      <w:divBdr>
        <w:top w:val="none" w:sz="0" w:space="0" w:color="auto"/>
        <w:left w:val="none" w:sz="0" w:space="0" w:color="auto"/>
        <w:bottom w:val="none" w:sz="0" w:space="0" w:color="auto"/>
        <w:right w:val="none" w:sz="0" w:space="0" w:color="auto"/>
      </w:divBdr>
    </w:div>
    <w:div w:id="536164539">
      <w:bodyDiv w:val="1"/>
      <w:marLeft w:val="0"/>
      <w:marRight w:val="0"/>
      <w:marTop w:val="0"/>
      <w:marBottom w:val="0"/>
      <w:divBdr>
        <w:top w:val="none" w:sz="0" w:space="0" w:color="auto"/>
        <w:left w:val="none" w:sz="0" w:space="0" w:color="auto"/>
        <w:bottom w:val="none" w:sz="0" w:space="0" w:color="auto"/>
        <w:right w:val="none" w:sz="0" w:space="0" w:color="auto"/>
      </w:divBdr>
    </w:div>
    <w:div w:id="537089914">
      <w:bodyDiv w:val="1"/>
      <w:marLeft w:val="0"/>
      <w:marRight w:val="0"/>
      <w:marTop w:val="0"/>
      <w:marBottom w:val="0"/>
      <w:divBdr>
        <w:top w:val="none" w:sz="0" w:space="0" w:color="auto"/>
        <w:left w:val="none" w:sz="0" w:space="0" w:color="auto"/>
        <w:bottom w:val="none" w:sz="0" w:space="0" w:color="auto"/>
        <w:right w:val="none" w:sz="0" w:space="0" w:color="auto"/>
      </w:divBdr>
      <w:divsChild>
        <w:div w:id="466972340">
          <w:marLeft w:val="547"/>
          <w:marRight w:val="0"/>
          <w:marTop w:val="200"/>
          <w:marBottom w:val="0"/>
          <w:divBdr>
            <w:top w:val="none" w:sz="0" w:space="0" w:color="auto"/>
            <w:left w:val="none" w:sz="0" w:space="0" w:color="auto"/>
            <w:bottom w:val="none" w:sz="0" w:space="0" w:color="auto"/>
            <w:right w:val="none" w:sz="0" w:space="0" w:color="auto"/>
          </w:divBdr>
        </w:div>
      </w:divsChild>
    </w:div>
    <w:div w:id="562526928">
      <w:bodyDiv w:val="1"/>
      <w:marLeft w:val="0"/>
      <w:marRight w:val="0"/>
      <w:marTop w:val="0"/>
      <w:marBottom w:val="0"/>
      <w:divBdr>
        <w:top w:val="none" w:sz="0" w:space="0" w:color="auto"/>
        <w:left w:val="none" w:sz="0" w:space="0" w:color="auto"/>
        <w:bottom w:val="none" w:sz="0" w:space="0" w:color="auto"/>
        <w:right w:val="none" w:sz="0" w:space="0" w:color="auto"/>
      </w:divBdr>
    </w:div>
    <w:div w:id="574359727">
      <w:bodyDiv w:val="1"/>
      <w:marLeft w:val="0"/>
      <w:marRight w:val="0"/>
      <w:marTop w:val="0"/>
      <w:marBottom w:val="0"/>
      <w:divBdr>
        <w:top w:val="none" w:sz="0" w:space="0" w:color="auto"/>
        <w:left w:val="none" w:sz="0" w:space="0" w:color="auto"/>
        <w:bottom w:val="none" w:sz="0" w:space="0" w:color="auto"/>
        <w:right w:val="none" w:sz="0" w:space="0" w:color="auto"/>
      </w:divBdr>
    </w:div>
    <w:div w:id="575627158">
      <w:bodyDiv w:val="1"/>
      <w:marLeft w:val="0"/>
      <w:marRight w:val="0"/>
      <w:marTop w:val="0"/>
      <w:marBottom w:val="0"/>
      <w:divBdr>
        <w:top w:val="none" w:sz="0" w:space="0" w:color="auto"/>
        <w:left w:val="none" w:sz="0" w:space="0" w:color="auto"/>
        <w:bottom w:val="none" w:sz="0" w:space="0" w:color="auto"/>
        <w:right w:val="none" w:sz="0" w:space="0" w:color="auto"/>
      </w:divBdr>
    </w:div>
    <w:div w:id="619454934">
      <w:bodyDiv w:val="1"/>
      <w:marLeft w:val="0"/>
      <w:marRight w:val="0"/>
      <w:marTop w:val="0"/>
      <w:marBottom w:val="0"/>
      <w:divBdr>
        <w:top w:val="none" w:sz="0" w:space="0" w:color="auto"/>
        <w:left w:val="none" w:sz="0" w:space="0" w:color="auto"/>
        <w:bottom w:val="none" w:sz="0" w:space="0" w:color="auto"/>
        <w:right w:val="none" w:sz="0" w:space="0" w:color="auto"/>
      </w:divBdr>
    </w:div>
    <w:div w:id="726875094">
      <w:bodyDiv w:val="1"/>
      <w:marLeft w:val="0"/>
      <w:marRight w:val="0"/>
      <w:marTop w:val="0"/>
      <w:marBottom w:val="0"/>
      <w:divBdr>
        <w:top w:val="none" w:sz="0" w:space="0" w:color="auto"/>
        <w:left w:val="none" w:sz="0" w:space="0" w:color="auto"/>
        <w:bottom w:val="none" w:sz="0" w:space="0" w:color="auto"/>
        <w:right w:val="none" w:sz="0" w:space="0" w:color="auto"/>
      </w:divBdr>
    </w:div>
    <w:div w:id="743912628">
      <w:bodyDiv w:val="1"/>
      <w:marLeft w:val="0"/>
      <w:marRight w:val="0"/>
      <w:marTop w:val="0"/>
      <w:marBottom w:val="0"/>
      <w:divBdr>
        <w:top w:val="none" w:sz="0" w:space="0" w:color="auto"/>
        <w:left w:val="none" w:sz="0" w:space="0" w:color="auto"/>
        <w:bottom w:val="none" w:sz="0" w:space="0" w:color="auto"/>
        <w:right w:val="none" w:sz="0" w:space="0" w:color="auto"/>
      </w:divBdr>
      <w:divsChild>
        <w:div w:id="280501653">
          <w:marLeft w:val="0"/>
          <w:marRight w:val="0"/>
          <w:marTop w:val="0"/>
          <w:marBottom w:val="0"/>
          <w:divBdr>
            <w:top w:val="none" w:sz="0" w:space="0" w:color="auto"/>
            <w:left w:val="none" w:sz="0" w:space="0" w:color="auto"/>
            <w:bottom w:val="none" w:sz="0" w:space="0" w:color="auto"/>
            <w:right w:val="none" w:sz="0" w:space="0" w:color="auto"/>
          </w:divBdr>
        </w:div>
        <w:div w:id="1208031368">
          <w:marLeft w:val="0"/>
          <w:marRight w:val="0"/>
          <w:marTop w:val="0"/>
          <w:marBottom w:val="0"/>
          <w:divBdr>
            <w:top w:val="none" w:sz="0" w:space="0" w:color="auto"/>
            <w:left w:val="none" w:sz="0" w:space="0" w:color="auto"/>
            <w:bottom w:val="none" w:sz="0" w:space="0" w:color="auto"/>
            <w:right w:val="none" w:sz="0" w:space="0" w:color="auto"/>
          </w:divBdr>
        </w:div>
        <w:div w:id="1307273323">
          <w:marLeft w:val="0"/>
          <w:marRight w:val="0"/>
          <w:marTop w:val="0"/>
          <w:marBottom w:val="0"/>
          <w:divBdr>
            <w:top w:val="none" w:sz="0" w:space="0" w:color="auto"/>
            <w:left w:val="none" w:sz="0" w:space="0" w:color="auto"/>
            <w:bottom w:val="none" w:sz="0" w:space="0" w:color="auto"/>
            <w:right w:val="none" w:sz="0" w:space="0" w:color="auto"/>
          </w:divBdr>
        </w:div>
        <w:div w:id="1785154826">
          <w:marLeft w:val="0"/>
          <w:marRight w:val="0"/>
          <w:marTop w:val="0"/>
          <w:marBottom w:val="0"/>
          <w:divBdr>
            <w:top w:val="none" w:sz="0" w:space="0" w:color="auto"/>
            <w:left w:val="none" w:sz="0" w:space="0" w:color="auto"/>
            <w:bottom w:val="none" w:sz="0" w:space="0" w:color="auto"/>
            <w:right w:val="none" w:sz="0" w:space="0" w:color="auto"/>
          </w:divBdr>
        </w:div>
      </w:divsChild>
    </w:div>
    <w:div w:id="780881845">
      <w:bodyDiv w:val="1"/>
      <w:marLeft w:val="0"/>
      <w:marRight w:val="0"/>
      <w:marTop w:val="0"/>
      <w:marBottom w:val="0"/>
      <w:divBdr>
        <w:top w:val="none" w:sz="0" w:space="0" w:color="auto"/>
        <w:left w:val="none" w:sz="0" w:space="0" w:color="auto"/>
        <w:bottom w:val="none" w:sz="0" w:space="0" w:color="auto"/>
        <w:right w:val="none" w:sz="0" w:space="0" w:color="auto"/>
      </w:divBdr>
    </w:div>
    <w:div w:id="781152717">
      <w:bodyDiv w:val="1"/>
      <w:marLeft w:val="0"/>
      <w:marRight w:val="0"/>
      <w:marTop w:val="0"/>
      <w:marBottom w:val="0"/>
      <w:divBdr>
        <w:top w:val="none" w:sz="0" w:space="0" w:color="auto"/>
        <w:left w:val="none" w:sz="0" w:space="0" w:color="auto"/>
        <w:bottom w:val="none" w:sz="0" w:space="0" w:color="auto"/>
        <w:right w:val="none" w:sz="0" w:space="0" w:color="auto"/>
      </w:divBdr>
    </w:div>
    <w:div w:id="781153056">
      <w:bodyDiv w:val="1"/>
      <w:marLeft w:val="0"/>
      <w:marRight w:val="0"/>
      <w:marTop w:val="0"/>
      <w:marBottom w:val="0"/>
      <w:divBdr>
        <w:top w:val="none" w:sz="0" w:space="0" w:color="auto"/>
        <w:left w:val="none" w:sz="0" w:space="0" w:color="auto"/>
        <w:bottom w:val="none" w:sz="0" w:space="0" w:color="auto"/>
        <w:right w:val="none" w:sz="0" w:space="0" w:color="auto"/>
      </w:divBdr>
    </w:div>
    <w:div w:id="822354969">
      <w:bodyDiv w:val="1"/>
      <w:marLeft w:val="0"/>
      <w:marRight w:val="0"/>
      <w:marTop w:val="0"/>
      <w:marBottom w:val="0"/>
      <w:divBdr>
        <w:top w:val="none" w:sz="0" w:space="0" w:color="auto"/>
        <w:left w:val="none" w:sz="0" w:space="0" w:color="auto"/>
        <w:bottom w:val="none" w:sz="0" w:space="0" w:color="auto"/>
        <w:right w:val="none" w:sz="0" w:space="0" w:color="auto"/>
      </w:divBdr>
      <w:divsChild>
        <w:div w:id="114057580">
          <w:marLeft w:val="547"/>
          <w:marRight w:val="0"/>
          <w:marTop w:val="200"/>
          <w:marBottom w:val="0"/>
          <w:divBdr>
            <w:top w:val="none" w:sz="0" w:space="0" w:color="auto"/>
            <w:left w:val="none" w:sz="0" w:space="0" w:color="auto"/>
            <w:bottom w:val="none" w:sz="0" w:space="0" w:color="auto"/>
            <w:right w:val="none" w:sz="0" w:space="0" w:color="auto"/>
          </w:divBdr>
        </w:div>
        <w:div w:id="564486432">
          <w:marLeft w:val="547"/>
          <w:marRight w:val="0"/>
          <w:marTop w:val="200"/>
          <w:marBottom w:val="0"/>
          <w:divBdr>
            <w:top w:val="none" w:sz="0" w:space="0" w:color="auto"/>
            <w:left w:val="none" w:sz="0" w:space="0" w:color="auto"/>
            <w:bottom w:val="none" w:sz="0" w:space="0" w:color="auto"/>
            <w:right w:val="none" w:sz="0" w:space="0" w:color="auto"/>
          </w:divBdr>
        </w:div>
        <w:div w:id="901871734">
          <w:marLeft w:val="547"/>
          <w:marRight w:val="0"/>
          <w:marTop w:val="200"/>
          <w:marBottom w:val="0"/>
          <w:divBdr>
            <w:top w:val="none" w:sz="0" w:space="0" w:color="auto"/>
            <w:left w:val="none" w:sz="0" w:space="0" w:color="auto"/>
            <w:bottom w:val="none" w:sz="0" w:space="0" w:color="auto"/>
            <w:right w:val="none" w:sz="0" w:space="0" w:color="auto"/>
          </w:divBdr>
        </w:div>
        <w:div w:id="1076123159">
          <w:marLeft w:val="547"/>
          <w:marRight w:val="0"/>
          <w:marTop w:val="200"/>
          <w:marBottom w:val="0"/>
          <w:divBdr>
            <w:top w:val="none" w:sz="0" w:space="0" w:color="auto"/>
            <w:left w:val="none" w:sz="0" w:space="0" w:color="auto"/>
            <w:bottom w:val="none" w:sz="0" w:space="0" w:color="auto"/>
            <w:right w:val="none" w:sz="0" w:space="0" w:color="auto"/>
          </w:divBdr>
        </w:div>
        <w:div w:id="1435663544">
          <w:marLeft w:val="547"/>
          <w:marRight w:val="0"/>
          <w:marTop w:val="200"/>
          <w:marBottom w:val="0"/>
          <w:divBdr>
            <w:top w:val="none" w:sz="0" w:space="0" w:color="auto"/>
            <w:left w:val="none" w:sz="0" w:space="0" w:color="auto"/>
            <w:bottom w:val="none" w:sz="0" w:space="0" w:color="auto"/>
            <w:right w:val="none" w:sz="0" w:space="0" w:color="auto"/>
          </w:divBdr>
        </w:div>
        <w:div w:id="1552106891">
          <w:marLeft w:val="547"/>
          <w:marRight w:val="0"/>
          <w:marTop w:val="200"/>
          <w:marBottom w:val="0"/>
          <w:divBdr>
            <w:top w:val="none" w:sz="0" w:space="0" w:color="auto"/>
            <w:left w:val="none" w:sz="0" w:space="0" w:color="auto"/>
            <w:bottom w:val="none" w:sz="0" w:space="0" w:color="auto"/>
            <w:right w:val="none" w:sz="0" w:space="0" w:color="auto"/>
          </w:divBdr>
        </w:div>
        <w:div w:id="1642879727">
          <w:marLeft w:val="547"/>
          <w:marRight w:val="0"/>
          <w:marTop w:val="200"/>
          <w:marBottom w:val="0"/>
          <w:divBdr>
            <w:top w:val="none" w:sz="0" w:space="0" w:color="auto"/>
            <w:left w:val="none" w:sz="0" w:space="0" w:color="auto"/>
            <w:bottom w:val="none" w:sz="0" w:space="0" w:color="auto"/>
            <w:right w:val="none" w:sz="0" w:space="0" w:color="auto"/>
          </w:divBdr>
        </w:div>
        <w:div w:id="2006198816">
          <w:marLeft w:val="547"/>
          <w:marRight w:val="0"/>
          <w:marTop w:val="200"/>
          <w:marBottom w:val="0"/>
          <w:divBdr>
            <w:top w:val="none" w:sz="0" w:space="0" w:color="auto"/>
            <w:left w:val="none" w:sz="0" w:space="0" w:color="auto"/>
            <w:bottom w:val="none" w:sz="0" w:space="0" w:color="auto"/>
            <w:right w:val="none" w:sz="0" w:space="0" w:color="auto"/>
          </w:divBdr>
        </w:div>
      </w:divsChild>
    </w:div>
    <w:div w:id="858011476">
      <w:bodyDiv w:val="1"/>
      <w:marLeft w:val="0"/>
      <w:marRight w:val="0"/>
      <w:marTop w:val="0"/>
      <w:marBottom w:val="0"/>
      <w:divBdr>
        <w:top w:val="none" w:sz="0" w:space="0" w:color="auto"/>
        <w:left w:val="none" w:sz="0" w:space="0" w:color="auto"/>
        <w:bottom w:val="none" w:sz="0" w:space="0" w:color="auto"/>
        <w:right w:val="none" w:sz="0" w:space="0" w:color="auto"/>
      </w:divBdr>
      <w:divsChild>
        <w:div w:id="986712533">
          <w:marLeft w:val="446"/>
          <w:marRight w:val="0"/>
          <w:marTop w:val="0"/>
          <w:marBottom w:val="0"/>
          <w:divBdr>
            <w:top w:val="none" w:sz="0" w:space="0" w:color="auto"/>
            <w:left w:val="none" w:sz="0" w:space="0" w:color="auto"/>
            <w:bottom w:val="none" w:sz="0" w:space="0" w:color="auto"/>
            <w:right w:val="none" w:sz="0" w:space="0" w:color="auto"/>
          </w:divBdr>
        </w:div>
        <w:div w:id="1063328541">
          <w:marLeft w:val="446"/>
          <w:marRight w:val="0"/>
          <w:marTop w:val="0"/>
          <w:marBottom w:val="0"/>
          <w:divBdr>
            <w:top w:val="none" w:sz="0" w:space="0" w:color="auto"/>
            <w:left w:val="none" w:sz="0" w:space="0" w:color="auto"/>
            <w:bottom w:val="none" w:sz="0" w:space="0" w:color="auto"/>
            <w:right w:val="none" w:sz="0" w:space="0" w:color="auto"/>
          </w:divBdr>
        </w:div>
      </w:divsChild>
    </w:div>
    <w:div w:id="864513303">
      <w:bodyDiv w:val="1"/>
      <w:marLeft w:val="0"/>
      <w:marRight w:val="0"/>
      <w:marTop w:val="0"/>
      <w:marBottom w:val="0"/>
      <w:divBdr>
        <w:top w:val="none" w:sz="0" w:space="0" w:color="auto"/>
        <w:left w:val="none" w:sz="0" w:space="0" w:color="auto"/>
        <w:bottom w:val="none" w:sz="0" w:space="0" w:color="auto"/>
        <w:right w:val="none" w:sz="0" w:space="0" w:color="auto"/>
      </w:divBdr>
    </w:div>
    <w:div w:id="870344180">
      <w:bodyDiv w:val="1"/>
      <w:marLeft w:val="0"/>
      <w:marRight w:val="0"/>
      <w:marTop w:val="0"/>
      <w:marBottom w:val="0"/>
      <w:divBdr>
        <w:top w:val="none" w:sz="0" w:space="0" w:color="auto"/>
        <w:left w:val="none" w:sz="0" w:space="0" w:color="auto"/>
        <w:bottom w:val="none" w:sz="0" w:space="0" w:color="auto"/>
        <w:right w:val="none" w:sz="0" w:space="0" w:color="auto"/>
      </w:divBdr>
    </w:div>
    <w:div w:id="886338483">
      <w:bodyDiv w:val="1"/>
      <w:marLeft w:val="0"/>
      <w:marRight w:val="0"/>
      <w:marTop w:val="0"/>
      <w:marBottom w:val="0"/>
      <w:divBdr>
        <w:top w:val="none" w:sz="0" w:space="0" w:color="auto"/>
        <w:left w:val="none" w:sz="0" w:space="0" w:color="auto"/>
        <w:bottom w:val="none" w:sz="0" w:space="0" w:color="auto"/>
        <w:right w:val="none" w:sz="0" w:space="0" w:color="auto"/>
      </w:divBdr>
    </w:div>
    <w:div w:id="887958995">
      <w:bodyDiv w:val="1"/>
      <w:marLeft w:val="0"/>
      <w:marRight w:val="0"/>
      <w:marTop w:val="0"/>
      <w:marBottom w:val="0"/>
      <w:divBdr>
        <w:top w:val="none" w:sz="0" w:space="0" w:color="auto"/>
        <w:left w:val="none" w:sz="0" w:space="0" w:color="auto"/>
        <w:bottom w:val="none" w:sz="0" w:space="0" w:color="auto"/>
        <w:right w:val="none" w:sz="0" w:space="0" w:color="auto"/>
      </w:divBdr>
    </w:div>
    <w:div w:id="897739915">
      <w:bodyDiv w:val="1"/>
      <w:marLeft w:val="0"/>
      <w:marRight w:val="0"/>
      <w:marTop w:val="0"/>
      <w:marBottom w:val="0"/>
      <w:divBdr>
        <w:top w:val="none" w:sz="0" w:space="0" w:color="auto"/>
        <w:left w:val="none" w:sz="0" w:space="0" w:color="auto"/>
        <w:bottom w:val="none" w:sz="0" w:space="0" w:color="auto"/>
        <w:right w:val="none" w:sz="0" w:space="0" w:color="auto"/>
      </w:divBdr>
    </w:div>
    <w:div w:id="928851259">
      <w:bodyDiv w:val="1"/>
      <w:marLeft w:val="0"/>
      <w:marRight w:val="0"/>
      <w:marTop w:val="0"/>
      <w:marBottom w:val="0"/>
      <w:divBdr>
        <w:top w:val="none" w:sz="0" w:space="0" w:color="auto"/>
        <w:left w:val="none" w:sz="0" w:space="0" w:color="auto"/>
        <w:bottom w:val="none" w:sz="0" w:space="0" w:color="auto"/>
        <w:right w:val="none" w:sz="0" w:space="0" w:color="auto"/>
      </w:divBdr>
    </w:div>
    <w:div w:id="948396803">
      <w:bodyDiv w:val="1"/>
      <w:marLeft w:val="0"/>
      <w:marRight w:val="0"/>
      <w:marTop w:val="0"/>
      <w:marBottom w:val="0"/>
      <w:divBdr>
        <w:top w:val="none" w:sz="0" w:space="0" w:color="auto"/>
        <w:left w:val="none" w:sz="0" w:space="0" w:color="auto"/>
        <w:bottom w:val="none" w:sz="0" w:space="0" w:color="auto"/>
        <w:right w:val="none" w:sz="0" w:space="0" w:color="auto"/>
      </w:divBdr>
    </w:div>
    <w:div w:id="955254072">
      <w:bodyDiv w:val="1"/>
      <w:marLeft w:val="0"/>
      <w:marRight w:val="0"/>
      <w:marTop w:val="0"/>
      <w:marBottom w:val="0"/>
      <w:divBdr>
        <w:top w:val="none" w:sz="0" w:space="0" w:color="auto"/>
        <w:left w:val="none" w:sz="0" w:space="0" w:color="auto"/>
        <w:bottom w:val="none" w:sz="0" w:space="0" w:color="auto"/>
        <w:right w:val="none" w:sz="0" w:space="0" w:color="auto"/>
      </w:divBdr>
    </w:div>
    <w:div w:id="959068013">
      <w:bodyDiv w:val="1"/>
      <w:marLeft w:val="0"/>
      <w:marRight w:val="0"/>
      <w:marTop w:val="0"/>
      <w:marBottom w:val="0"/>
      <w:divBdr>
        <w:top w:val="none" w:sz="0" w:space="0" w:color="auto"/>
        <w:left w:val="none" w:sz="0" w:space="0" w:color="auto"/>
        <w:bottom w:val="none" w:sz="0" w:space="0" w:color="auto"/>
        <w:right w:val="none" w:sz="0" w:space="0" w:color="auto"/>
      </w:divBdr>
    </w:div>
    <w:div w:id="965819805">
      <w:bodyDiv w:val="1"/>
      <w:marLeft w:val="0"/>
      <w:marRight w:val="0"/>
      <w:marTop w:val="0"/>
      <w:marBottom w:val="0"/>
      <w:divBdr>
        <w:top w:val="none" w:sz="0" w:space="0" w:color="auto"/>
        <w:left w:val="none" w:sz="0" w:space="0" w:color="auto"/>
        <w:bottom w:val="none" w:sz="0" w:space="0" w:color="auto"/>
        <w:right w:val="none" w:sz="0" w:space="0" w:color="auto"/>
      </w:divBdr>
      <w:divsChild>
        <w:div w:id="155072167">
          <w:marLeft w:val="446"/>
          <w:marRight w:val="0"/>
          <w:marTop w:val="0"/>
          <w:marBottom w:val="0"/>
          <w:divBdr>
            <w:top w:val="none" w:sz="0" w:space="0" w:color="auto"/>
            <w:left w:val="none" w:sz="0" w:space="0" w:color="auto"/>
            <w:bottom w:val="none" w:sz="0" w:space="0" w:color="auto"/>
            <w:right w:val="none" w:sz="0" w:space="0" w:color="auto"/>
          </w:divBdr>
        </w:div>
        <w:div w:id="1954482648">
          <w:marLeft w:val="446"/>
          <w:marRight w:val="0"/>
          <w:marTop w:val="0"/>
          <w:marBottom w:val="0"/>
          <w:divBdr>
            <w:top w:val="none" w:sz="0" w:space="0" w:color="auto"/>
            <w:left w:val="none" w:sz="0" w:space="0" w:color="auto"/>
            <w:bottom w:val="none" w:sz="0" w:space="0" w:color="auto"/>
            <w:right w:val="none" w:sz="0" w:space="0" w:color="auto"/>
          </w:divBdr>
        </w:div>
      </w:divsChild>
    </w:div>
    <w:div w:id="970817480">
      <w:bodyDiv w:val="1"/>
      <w:marLeft w:val="0"/>
      <w:marRight w:val="0"/>
      <w:marTop w:val="0"/>
      <w:marBottom w:val="0"/>
      <w:divBdr>
        <w:top w:val="none" w:sz="0" w:space="0" w:color="auto"/>
        <w:left w:val="none" w:sz="0" w:space="0" w:color="auto"/>
        <w:bottom w:val="none" w:sz="0" w:space="0" w:color="auto"/>
        <w:right w:val="none" w:sz="0" w:space="0" w:color="auto"/>
      </w:divBdr>
    </w:div>
    <w:div w:id="978419119">
      <w:bodyDiv w:val="1"/>
      <w:marLeft w:val="0"/>
      <w:marRight w:val="0"/>
      <w:marTop w:val="0"/>
      <w:marBottom w:val="0"/>
      <w:divBdr>
        <w:top w:val="none" w:sz="0" w:space="0" w:color="auto"/>
        <w:left w:val="none" w:sz="0" w:space="0" w:color="auto"/>
        <w:bottom w:val="none" w:sz="0" w:space="0" w:color="auto"/>
        <w:right w:val="none" w:sz="0" w:space="0" w:color="auto"/>
      </w:divBdr>
    </w:div>
    <w:div w:id="1014187145">
      <w:bodyDiv w:val="1"/>
      <w:marLeft w:val="0"/>
      <w:marRight w:val="0"/>
      <w:marTop w:val="0"/>
      <w:marBottom w:val="0"/>
      <w:divBdr>
        <w:top w:val="none" w:sz="0" w:space="0" w:color="auto"/>
        <w:left w:val="none" w:sz="0" w:space="0" w:color="auto"/>
        <w:bottom w:val="none" w:sz="0" w:space="0" w:color="auto"/>
        <w:right w:val="none" w:sz="0" w:space="0" w:color="auto"/>
      </w:divBdr>
    </w:div>
    <w:div w:id="1019888126">
      <w:bodyDiv w:val="1"/>
      <w:marLeft w:val="0"/>
      <w:marRight w:val="0"/>
      <w:marTop w:val="0"/>
      <w:marBottom w:val="0"/>
      <w:divBdr>
        <w:top w:val="none" w:sz="0" w:space="0" w:color="auto"/>
        <w:left w:val="none" w:sz="0" w:space="0" w:color="auto"/>
        <w:bottom w:val="none" w:sz="0" w:space="0" w:color="auto"/>
        <w:right w:val="none" w:sz="0" w:space="0" w:color="auto"/>
      </w:divBdr>
    </w:div>
    <w:div w:id="1026322461">
      <w:bodyDiv w:val="1"/>
      <w:marLeft w:val="0"/>
      <w:marRight w:val="0"/>
      <w:marTop w:val="0"/>
      <w:marBottom w:val="0"/>
      <w:divBdr>
        <w:top w:val="none" w:sz="0" w:space="0" w:color="auto"/>
        <w:left w:val="none" w:sz="0" w:space="0" w:color="auto"/>
        <w:bottom w:val="none" w:sz="0" w:space="0" w:color="auto"/>
        <w:right w:val="none" w:sz="0" w:space="0" w:color="auto"/>
      </w:divBdr>
    </w:div>
    <w:div w:id="1045563266">
      <w:bodyDiv w:val="1"/>
      <w:marLeft w:val="0"/>
      <w:marRight w:val="0"/>
      <w:marTop w:val="0"/>
      <w:marBottom w:val="0"/>
      <w:divBdr>
        <w:top w:val="none" w:sz="0" w:space="0" w:color="auto"/>
        <w:left w:val="none" w:sz="0" w:space="0" w:color="auto"/>
        <w:bottom w:val="none" w:sz="0" w:space="0" w:color="auto"/>
        <w:right w:val="none" w:sz="0" w:space="0" w:color="auto"/>
      </w:divBdr>
    </w:div>
    <w:div w:id="1060909231">
      <w:bodyDiv w:val="1"/>
      <w:marLeft w:val="0"/>
      <w:marRight w:val="0"/>
      <w:marTop w:val="0"/>
      <w:marBottom w:val="0"/>
      <w:divBdr>
        <w:top w:val="none" w:sz="0" w:space="0" w:color="auto"/>
        <w:left w:val="none" w:sz="0" w:space="0" w:color="auto"/>
        <w:bottom w:val="none" w:sz="0" w:space="0" w:color="auto"/>
        <w:right w:val="none" w:sz="0" w:space="0" w:color="auto"/>
      </w:divBdr>
    </w:div>
    <w:div w:id="1062870623">
      <w:bodyDiv w:val="1"/>
      <w:marLeft w:val="0"/>
      <w:marRight w:val="0"/>
      <w:marTop w:val="0"/>
      <w:marBottom w:val="0"/>
      <w:divBdr>
        <w:top w:val="none" w:sz="0" w:space="0" w:color="auto"/>
        <w:left w:val="none" w:sz="0" w:space="0" w:color="auto"/>
        <w:bottom w:val="none" w:sz="0" w:space="0" w:color="auto"/>
        <w:right w:val="none" w:sz="0" w:space="0" w:color="auto"/>
      </w:divBdr>
    </w:div>
    <w:div w:id="1073502061">
      <w:bodyDiv w:val="1"/>
      <w:marLeft w:val="0"/>
      <w:marRight w:val="0"/>
      <w:marTop w:val="0"/>
      <w:marBottom w:val="0"/>
      <w:divBdr>
        <w:top w:val="none" w:sz="0" w:space="0" w:color="auto"/>
        <w:left w:val="none" w:sz="0" w:space="0" w:color="auto"/>
        <w:bottom w:val="none" w:sz="0" w:space="0" w:color="auto"/>
        <w:right w:val="none" w:sz="0" w:space="0" w:color="auto"/>
      </w:divBdr>
    </w:div>
    <w:div w:id="1077289113">
      <w:bodyDiv w:val="1"/>
      <w:marLeft w:val="0"/>
      <w:marRight w:val="0"/>
      <w:marTop w:val="0"/>
      <w:marBottom w:val="0"/>
      <w:divBdr>
        <w:top w:val="none" w:sz="0" w:space="0" w:color="auto"/>
        <w:left w:val="none" w:sz="0" w:space="0" w:color="auto"/>
        <w:bottom w:val="none" w:sz="0" w:space="0" w:color="auto"/>
        <w:right w:val="none" w:sz="0" w:space="0" w:color="auto"/>
      </w:divBdr>
    </w:div>
    <w:div w:id="1085614977">
      <w:bodyDiv w:val="1"/>
      <w:marLeft w:val="0"/>
      <w:marRight w:val="0"/>
      <w:marTop w:val="0"/>
      <w:marBottom w:val="0"/>
      <w:divBdr>
        <w:top w:val="none" w:sz="0" w:space="0" w:color="auto"/>
        <w:left w:val="none" w:sz="0" w:space="0" w:color="auto"/>
        <w:bottom w:val="none" w:sz="0" w:space="0" w:color="auto"/>
        <w:right w:val="none" w:sz="0" w:space="0" w:color="auto"/>
      </w:divBdr>
    </w:div>
    <w:div w:id="1086413916">
      <w:bodyDiv w:val="1"/>
      <w:marLeft w:val="0"/>
      <w:marRight w:val="0"/>
      <w:marTop w:val="0"/>
      <w:marBottom w:val="0"/>
      <w:divBdr>
        <w:top w:val="none" w:sz="0" w:space="0" w:color="auto"/>
        <w:left w:val="none" w:sz="0" w:space="0" w:color="auto"/>
        <w:bottom w:val="none" w:sz="0" w:space="0" w:color="auto"/>
        <w:right w:val="none" w:sz="0" w:space="0" w:color="auto"/>
      </w:divBdr>
    </w:div>
    <w:div w:id="1089502638">
      <w:bodyDiv w:val="1"/>
      <w:marLeft w:val="0"/>
      <w:marRight w:val="0"/>
      <w:marTop w:val="0"/>
      <w:marBottom w:val="0"/>
      <w:divBdr>
        <w:top w:val="none" w:sz="0" w:space="0" w:color="auto"/>
        <w:left w:val="none" w:sz="0" w:space="0" w:color="auto"/>
        <w:bottom w:val="none" w:sz="0" w:space="0" w:color="auto"/>
        <w:right w:val="none" w:sz="0" w:space="0" w:color="auto"/>
      </w:divBdr>
    </w:div>
    <w:div w:id="1090155648">
      <w:bodyDiv w:val="1"/>
      <w:marLeft w:val="0"/>
      <w:marRight w:val="0"/>
      <w:marTop w:val="0"/>
      <w:marBottom w:val="0"/>
      <w:divBdr>
        <w:top w:val="none" w:sz="0" w:space="0" w:color="auto"/>
        <w:left w:val="none" w:sz="0" w:space="0" w:color="auto"/>
        <w:bottom w:val="none" w:sz="0" w:space="0" w:color="auto"/>
        <w:right w:val="none" w:sz="0" w:space="0" w:color="auto"/>
      </w:divBdr>
    </w:div>
    <w:div w:id="1098871218">
      <w:bodyDiv w:val="1"/>
      <w:marLeft w:val="0"/>
      <w:marRight w:val="0"/>
      <w:marTop w:val="0"/>
      <w:marBottom w:val="0"/>
      <w:divBdr>
        <w:top w:val="none" w:sz="0" w:space="0" w:color="auto"/>
        <w:left w:val="none" w:sz="0" w:space="0" w:color="auto"/>
        <w:bottom w:val="none" w:sz="0" w:space="0" w:color="auto"/>
        <w:right w:val="none" w:sz="0" w:space="0" w:color="auto"/>
      </w:divBdr>
    </w:div>
    <w:div w:id="1110780373">
      <w:bodyDiv w:val="1"/>
      <w:marLeft w:val="0"/>
      <w:marRight w:val="0"/>
      <w:marTop w:val="0"/>
      <w:marBottom w:val="0"/>
      <w:divBdr>
        <w:top w:val="none" w:sz="0" w:space="0" w:color="auto"/>
        <w:left w:val="none" w:sz="0" w:space="0" w:color="auto"/>
        <w:bottom w:val="none" w:sz="0" w:space="0" w:color="auto"/>
        <w:right w:val="none" w:sz="0" w:space="0" w:color="auto"/>
      </w:divBdr>
    </w:div>
    <w:div w:id="1114594628">
      <w:bodyDiv w:val="1"/>
      <w:marLeft w:val="0"/>
      <w:marRight w:val="0"/>
      <w:marTop w:val="0"/>
      <w:marBottom w:val="0"/>
      <w:divBdr>
        <w:top w:val="none" w:sz="0" w:space="0" w:color="auto"/>
        <w:left w:val="none" w:sz="0" w:space="0" w:color="auto"/>
        <w:bottom w:val="none" w:sz="0" w:space="0" w:color="auto"/>
        <w:right w:val="none" w:sz="0" w:space="0" w:color="auto"/>
      </w:divBdr>
    </w:div>
    <w:div w:id="1144011578">
      <w:bodyDiv w:val="1"/>
      <w:marLeft w:val="0"/>
      <w:marRight w:val="0"/>
      <w:marTop w:val="0"/>
      <w:marBottom w:val="0"/>
      <w:divBdr>
        <w:top w:val="none" w:sz="0" w:space="0" w:color="auto"/>
        <w:left w:val="none" w:sz="0" w:space="0" w:color="auto"/>
        <w:bottom w:val="none" w:sz="0" w:space="0" w:color="auto"/>
        <w:right w:val="none" w:sz="0" w:space="0" w:color="auto"/>
      </w:divBdr>
    </w:div>
    <w:div w:id="1158110920">
      <w:bodyDiv w:val="1"/>
      <w:marLeft w:val="0"/>
      <w:marRight w:val="0"/>
      <w:marTop w:val="0"/>
      <w:marBottom w:val="0"/>
      <w:divBdr>
        <w:top w:val="none" w:sz="0" w:space="0" w:color="auto"/>
        <w:left w:val="none" w:sz="0" w:space="0" w:color="auto"/>
        <w:bottom w:val="none" w:sz="0" w:space="0" w:color="auto"/>
        <w:right w:val="none" w:sz="0" w:space="0" w:color="auto"/>
      </w:divBdr>
    </w:div>
    <w:div w:id="1245381076">
      <w:bodyDiv w:val="1"/>
      <w:marLeft w:val="0"/>
      <w:marRight w:val="0"/>
      <w:marTop w:val="0"/>
      <w:marBottom w:val="0"/>
      <w:divBdr>
        <w:top w:val="none" w:sz="0" w:space="0" w:color="auto"/>
        <w:left w:val="none" w:sz="0" w:space="0" w:color="auto"/>
        <w:bottom w:val="none" w:sz="0" w:space="0" w:color="auto"/>
        <w:right w:val="none" w:sz="0" w:space="0" w:color="auto"/>
      </w:divBdr>
      <w:divsChild>
        <w:div w:id="1203979691">
          <w:marLeft w:val="274"/>
          <w:marRight w:val="0"/>
          <w:marTop w:val="200"/>
          <w:marBottom w:val="0"/>
          <w:divBdr>
            <w:top w:val="none" w:sz="0" w:space="0" w:color="auto"/>
            <w:left w:val="none" w:sz="0" w:space="0" w:color="auto"/>
            <w:bottom w:val="none" w:sz="0" w:space="0" w:color="auto"/>
            <w:right w:val="none" w:sz="0" w:space="0" w:color="auto"/>
          </w:divBdr>
        </w:div>
      </w:divsChild>
    </w:div>
    <w:div w:id="1251278928">
      <w:bodyDiv w:val="1"/>
      <w:marLeft w:val="0"/>
      <w:marRight w:val="0"/>
      <w:marTop w:val="0"/>
      <w:marBottom w:val="0"/>
      <w:divBdr>
        <w:top w:val="none" w:sz="0" w:space="0" w:color="auto"/>
        <w:left w:val="none" w:sz="0" w:space="0" w:color="auto"/>
        <w:bottom w:val="none" w:sz="0" w:space="0" w:color="auto"/>
        <w:right w:val="none" w:sz="0" w:space="0" w:color="auto"/>
      </w:divBdr>
    </w:div>
    <w:div w:id="1259170222">
      <w:bodyDiv w:val="1"/>
      <w:marLeft w:val="0"/>
      <w:marRight w:val="0"/>
      <w:marTop w:val="0"/>
      <w:marBottom w:val="0"/>
      <w:divBdr>
        <w:top w:val="none" w:sz="0" w:space="0" w:color="auto"/>
        <w:left w:val="none" w:sz="0" w:space="0" w:color="auto"/>
        <w:bottom w:val="none" w:sz="0" w:space="0" w:color="auto"/>
        <w:right w:val="none" w:sz="0" w:space="0" w:color="auto"/>
      </w:divBdr>
      <w:divsChild>
        <w:div w:id="118494740">
          <w:marLeft w:val="547"/>
          <w:marRight w:val="0"/>
          <w:marTop w:val="200"/>
          <w:marBottom w:val="0"/>
          <w:divBdr>
            <w:top w:val="none" w:sz="0" w:space="0" w:color="auto"/>
            <w:left w:val="none" w:sz="0" w:space="0" w:color="auto"/>
            <w:bottom w:val="none" w:sz="0" w:space="0" w:color="auto"/>
            <w:right w:val="none" w:sz="0" w:space="0" w:color="auto"/>
          </w:divBdr>
        </w:div>
        <w:div w:id="266041217">
          <w:marLeft w:val="547"/>
          <w:marRight w:val="0"/>
          <w:marTop w:val="200"/>
          <w:marBottom w:val="0"/>
          <w:divBdr>
            <w:top w:val="none" w:sz="0" w:space="0" w:color="auto"/>
            <w:left w:val="none" w:sz="0" w:space="0" w:color="auto"/>
            <w:bottom w:val="none" w:sz="0" w:space="0" w:color="auto"/>
            <w:right w:val="none" w:sz="0" w:space="0" w:color="auto"/>
          </w:divBdr>
        </w:div>
        <w:div w:id="376467942">
          <w:marLeft w:val="547"/>
          <w:marRight w:val="0"/>
          <w:marTop w:val="200"/>
          <w:marBottom w:val="0"/>
          <w:divBdr>
            <w:top w:val="none" w:sz="0" w:space="0" w:color="auto"/>
            <w:left w:val="none" w:sz="0" w:space="0" w:color="auto"/>
            <w:bottom w:val="none" w:sz="0" w:space="0" w:color="auto"/>
            <w:right w:val="none" w:sz="0" w:space="0" w:color="auto"/>
          </w:divBdr>
        </w:div>
        <w:div w:id="446319961">
          <w:marLeft w:val="547"/>
          <w:marRight w:val="0"/>
          <w:marTop w:val="200"/>
          <w:marBottom w:val="0"/>
          <w:divBdr>
            <w:top w:val="none" w:sz="0" w:space="0" w:color="auto"/>
            <w:left w:val="none" w:sz="0" w:space="0" w:color="auto"/>
            <w:bottom w:val="none" w:sz="0" w:space="0" w:color="auto"/>
            <w:right w:val="none" w:sz="0" w:space="0" w:color="auto"/>
          </w:divBdr>
        </w:div>
        <w:div w:id="1468628407">
          <w:marLeft w:val="547"/>
          <w:marRight w:val="0"/>
          <w:marTop w:val="200"/>
          <w:marBottom w:val="0"/>
          <w:divBdr>
            <w:top w:val="none" w:sz="0" w:space="0" w:color="auto"/>
            <w:left w:val="none" w:sz="0" w:space="0" w:color="auto"/>
            <w:bottom w:val="none" w:sz="0" w:space="0" w:color="auto"/>
            <w:right w:val="none" w:sz="0" w:space="0" w:color="auto"/>
          </w:divBdr>
        </w:div>
        <w:div w:id="1489249608">
          <w:marLeft w:val="547"/>
          <w:marRight w:val="0"/>
          <w:marTop w:val="200"/>
          <w:marBottom w:val="0"/>
          <w:divBdr>
            <w:top w:val="none" w:sz="0" w:space="0" w:color="auto"/>
            <w:left w:val="none" w:sz="0" w:space="0" w:color="auto"/>
            <w:bottom w:val="none" w:sz="0" w:space="0" w:color="auto"/>
            <w:right w:val="none" w:sz="0" w:space="0" w:color="auto"/>
          </w:divBdr>
        </w:div>
        <w:div w:id="1866477060">
          <w:marLeft w:val="547"/>
          <w:marRight w:val="0"/>
          <w:marTop w:val="200"/>
          <w:marBottom w:val="0"/>
          <w:divBdr>
            <w:top w:val="none" w:sz="0" w:space="0" w:color="auto"/>
            <w:left w:val="none" w:sz="0" w:space="0" w:color="auto"/>
            <w:bottom w:val="none" w:sz="0" w:space="0" w:color="auto"/>
            <w:right w:val="none" w:sz="0" w:space="0" w:color="auto"/>
          </w:divBdr>
        </w:div>
        <w:div w:id="1879469950">
          <w:marLeft w:val="547"/>
          <w:marRight w:val="0"/>
          <w:marTop w:val="200"/>
          <w:marBottom w:val="0"/>
          <w:divBdr>
            <w:top w:val="none" w:sz="0" w:space="0" w:color="auto"/>
            <w:left w:val="none" w:sz="0" w:space="0" w:color="auto"/>
            <w:bottom w:val="none" w:sz="0" w:space="0" w:color="auto"/>
            <w:right w:val="none" w:sz="0" w:space="0" w:color="auto"/>
          </w:divBdr>
        </w:div>
      </w:divsChild>
    </w:div>
    <w:div w:id="1259830632">
      <w:bodyDiv w:val="1"/>
      <w:marLeft w:val="0"/>
      <w:marRight w:val="0"/>
      <w:marTop w:val="0"/>
      <w:marBottom w:val="0"/>
      <w:divBdr>
        <w:top w:val="none" w:sz="0" w:space="0" w:color="auto"/>
        <w:left w:val="none" w:sz="0" w:space="0" w:color="auto"/>
        <w:bottom w:val="none" w:sz="0" w:space="0" w:color="auto"/>
        <w:right w:val="none" w:sz="0" w:space="0" w:color="auto"/>
      </w:divBdr>
    </w:div>
    <w:div w:id="1313023386">
      <w:bodyDiv w:val="1"/>
      <w:marLeft w:val="0"/>
      <w:marRight w:val="0"/>
      <w:marTop w:val="0"/>
      <w:marBottom w:val="0"/>
      <w:divBdr>
        <w:top w:val="none" w:sz="0" w:space="0" w:color="auto"/>
        <w:left w:val="none" w:sz="0" w:space="0" w:color="auto"/>
        <w:bottom w:val="none" w:sz="0" w:space="0" w:color="auto"/>
        <w:right w:val="none" w:sz="0" w:space="0" w:color="auto"/>
      </w:divBdr>
    </w:div>
    <w:div w:id="1346252633">
      <w:bodyDiv w:val="1"/>
      <w:marLeft w:val="0"/>
      <w:marRight w:val="0"/>
      <w:marTop w:val="0"/>
      <w:marBottom w:val="0"/>
      <w:divBdr>
        <w:top w:val="none" w:sz="0" w:space="0" w:color="auto"/>
        <w:left w:val="none" w:sz="0" w:space="0" w:color="auto"/>
        <w:bottom w:val="none" w:sz="0" w:space="0" w:color="auto"/>
        <w:right w:val="none" w:sz="0" w:space="0" w:color="auto"/>
      </w:divBdr>
    </w:div>
    <w:div w:id="1348632081">
      <w:bodyDiv w:val="1"/>
      <w:marLeft w:val="0"/>
      <w:marRight w:val="0"/>
      <w:marTop w:val="0"/>
      <w:marBottom w:val="0"/>
      <w:divBdr>
        <w:top w:val="none" w:sz="0" w:space="0" w:color="auto"/>
        <w:left w:val="none" w:sz="0" w:space="0" w:color="auto"/>
        <w:bottom w:val="none" w:sz="0" w:space="0" w:color="auto"/>
        <w:right w:val="none" w:sz="0" w:space="0" w:color="auto"/>
      </w:divBdr>
    </w:div>
    <w:div w:id="1361861941">
      <w:bodyDiv w:val="1"/>
      <w:marLeft w:val="0"/>
      <w:marRight w:val="0"/>
      <w:marTop w:val="0"/>
      <w:marBottom w:val="0"/>
      <w:divBdr>
        <w:top w:val="none" w:sz="0" w:space="0" w:color="auto"/>
        <w:left w:val="none" w:sz="0" w:space="0" w:color="auto"/>
        <w:bottom w:val="none" w:sz="0" w:space="0" w:color="auto"/>
        <w:right w:val="none" w:sz="0" w:space="0" w:color="auto"/>
      </w:divBdr>
    </w:div>
    <w:div w:id="1373073538">
      <w:bodyDiv w:val="1"/>
      <w:marLeft w:val="0"/>
      <w:marRight w:val="0"/>
      <w:marTop w:val="0"/>
      <w:marBottom w:val="0"/>
      <w:divBdr>
        <w:top w:val="none" w:sz="0" w:space="0" w:color="auto"/>
        <w:left w:val="none" w:sz="0" w:space="0" w:color="auto"/>
        <w:bottom w:val="none" w:sz="0" w:space="0" w:color="auto"/>
        <w:right w:val="none" w:sz="0" w:space="0" w:color="auto"/>
      </w:divBdr>
    </w:div>
    <w:div w:id="1396123327">
      <w:bodyDiv w:val="1"/>
      <w:marLeft w:val="0"/>
      <w:marRight w:val="0"/>
      <w:marTop w:val="0"/>
      <w:marBottom w:val="0"/>
      <w:divBdr>
        <w:top w:val="none" w:sz="0" w:space="0" w:color="auto"/>
        <w:left w:val="none" w:sz="0" w:space="0" w:color="auto"/>
        <w:bottom w:val="none" w:sz="0" w:space="0" w:color="auto"/>
        <w:right w:val="none" w:sz="0" w:space="0" w:color="auto"/>
      </w:divBdr>
    </w:div>
    <w:div w:id="1462768866">
      <w:bodyDiv w:val="1"/>
      <w:marLeft w:val="0"/>
      <w:marRight w:val="0"/>
      <w:marTop w:val="0"/>
      <w:marBottom w:val="0"/>
      <w:divBdr>
        <w:top w:val="none" w:sz="0" w:space="0" w:color="auto"/>
        <w:left w:val="none" w:sz="0" w:space="0" w:color="auto"/>
        <w:bottom w:val="none" w:sz="0" w:space="0" w:color="auto"/>
        <w:right w:val="none" w:sz="0" w:space="0" w:color="auto"/>
      </w:divBdr>
    </w:div>
    <w:div w:id="1463425222">
      <w:bodyDiv w:val="1"/>
      <w:marLeft w:val="0"/>
      <w:marRight w:val="0"/>
      <w:marTop w:val="0"/>
      <w:marBottom w:val="0"/>
      <w:divBdr>
        <w:top w:val="none" w:sz="0" w:space="0" w:color="auto"/>
        <w:left w:val="none" w:sz="0" w:space="0" w:color="auto"/>
        <w:bottom w:val="none" w:sz="0" w:space="0" w:color="auto"/>
        <w:right w:val="none" w:sz="0" w:space="0" w:color="auto"/>
      </w:divBdr>
    </w:div>
    <w:div w:id="1464880695">
      <w:bodyDiv w:val="1"/>
      <w:marLeft w:val="0"/>
      <w:marRight w:val="0"/>
      <w:marTop w:val="0"/>
      <w:marBottom w:val="0"/>
      <w:divBdr>
        <w:top w:val="none" w:sz="0" w:space="0" w:color="auto"/>
        <w:left w:val="none" w:sz="0" w:space="0" w:color="auto"/>
        <w:bottom w:val="none" w:sz="0" w:space="0" w:color="auto"/>
        <w:right w:val="none" w:sz="0" w:space="0" w:color="auto"/>
      </w:divBdr>
    </w:div>
    <w:div w:id="1506630433">
      <w:bodyDiv w:val="1"/>
      <w:marLeft w:val="0"/>
      <w:marRight w:val="0"/>
      <w:marTop w:val="0"/>
      <w:marBottom w:val="0"/>
      <w:divBdr>
        <w:top w:val="none" w:sz="0" w:space="0" w:color="auto"/>
        <w:left w:val="none" w:sz="0" w:space="0" w:color="auto"/>
        <w:bottom w:val="none" w:sz="0" w:space="0" w:color="auto"/>
        <w:right w:val="none" w:sz="0" w:space="0" w:color="auto"/>
      </w:divBdr>
    </w:div>
    <w:div w:id="1529872540">
      <w:bodyDiv w:val="1"/>
      <w:marLeft w:val="0"/>
      <w:marRight w:val="0"/>
      <w:marTop w:val="0"/>
      <w:marBottom w:val="0"/>
      <w:divBdr>
        <w:top w:val="none" w:sz="0" w:space="0" w:color="auto"/>
        <w:left w:val="none" w:sz="0" w:space="0" w:color="auto"/>
        <w:bottom w:val="none" w:sz="0" w:space="0" w:color="auto"/>
        <w:right w:val="none" w:sz="0" w:space="0" w:color="auto"/>
      </w:divBdr>
    </w:div>
    <w:div w:id="1533372462">
      <w:bodyDiv w:val="1"/>
      <w:marLeft w:val="0"/>
      <w:marRight w:val="0"/>
      <w:marTop w:val="0"/>
      <w:marBottom w:val="0"/>
      <w:divBdr>
        <w:top w:val="none" w:sz="0" w:space="0" w:color="auto"/>
        <w:left w:val="none" w:sz="0" w:space="0" w:color="auto"/>
        <w:bottom w:val="none" w:sz="0" w:space="0" w:color="auto"/>
        <w:right w:val="none" w:sz="0" w:space="0" w:color="auto"/>
      </w:divBdr>
    </w:div>
    <w:div w:id="1540702288">
      <w:bodyDiv w:val="1"/>
      <w:marLeft w:val="0"/>
      <w:marRight w:val="0"/>
      <w:marTop w:val="0"/>
      <w:marBottom w:val="0"/>
      <w:divBdr>
        <w:top w:val="none" w:sz="0" w:space="0" w:color="auto"/>
        <w:left w:val="none" w:sz="0" w:space="0" w:color="auto"/>
        <w:bottom w:val="none" w:sz="0" w:space="0" w:color="auto"/>
        <w:right w:val="none" w:sz="0" w:space="0" w:color="auto"/>
      </w:divBdr>
    </w:div>
    <w:div w:id="1543590714">
      <w:bodyDiv w:val="1"/>
      <w:marLeft w:val="0"/>
      <w:marRight w:val="0"/>
      <w:marTop w:val="0"/>
      <w:marBottom w:val="0"/>
      <w:divBdr>
        <w:top w:val="none" w:sz="0" w:space="0" w:color="auto"/>
        <w:left w:val="none" w:sz="0" w:space="0" w:color="auto"/>
        <w:bottom w:val="none" w:sz="0" w:space="0" w:color="auto"/>
        <w:right w:val="none" w:sz="0" w:space="0" w:color="auto"/>
      </w:divBdr>
    </w:div>
    <w:div w:id="1557886837">
      <w:bodyDiv w:val="1"/>
      <w:marLeft w:val="0"/>
      <w:marRight w:val="0"/>
      <w:marTop w:val="0"/>
      <w:marBottom w:val="0"/>
      <w:divBdr>
        <w:top w:val="none" w:sz="0" w:space="0" w:color="auto"/>
        <w:left w:val="none" w:sz="0" w:space="0" w:color="auto"/>
        <w:bottom w:val="none" w:sz="0" w:space="0" w:color="auto"/>
        <w:right w:val="none" w:sz="0" w:space="0" w:color="auto"/>
      </w:divBdr>
    </w:div>
    <w:div w:id="1560628835">
      <w:bodyDiv w:val="1"/>
      <w:marLeft w:val="0"/>
      <w:marRight w:val="0"/>
      <w:marTop w:val="0"/>
      <w:marBottom w:val="0"/>
      <w:divBdr>
        <w:top w:val="none" w:sz="0" w:space="0" w:color="auto"/>
        <w:left w:val="none" w:sz="0" w:space="0" w:color="auto"/>
        <w:bottom w:val="none" w:sz="0" w:space="0" w:color="auto"/>
        <w:right w:val="none" w:sz="0" w:space="0" w:color="auto"/>
      </w:divBdr>
    </w:div>
    <w:div w:id="1602029373">
      <w:bodyDiv w:val="1"/>
      <w:marLeft w:val="0"/>
      <w:marRight w:val="0"/>
      <w:marTop w:val="0"/>
      <w:marBottom w:val="0"/>
      <w:divBdr>
        <w:top w:val="none" w:sz="0" w:space="0" w:color="auto"/>
        <w:left w:val="none" w:sz="0" w:space="0" w:color="auto"/>
        <w:bottom w:val="none" w:sz="0" w:space="0" w:color="auto"/>
        <w:right w:val="none" w:sz="0" w:space="0" w:color="auto"/>
      </w:divBdr>
    </w:div>
    <w:div w:id="1613781341">
      <w:bodyDiv w:val="1"/>
      <w:marLeft w:val="0"/>
      <w:marRight w:val="0"/>
      <w:marTop w:val="0"/>
      <w:marBottom w:val="0"/>
      <w:divBdr>
        <w:top w:val="none" w:sz="0" w:space="0" w:color="auto"/>
        <w:left w:val="none" w:sz="0" w:space="0" w:color="auto"/>
        <w:bottom w:val="none" w:sz="0" w:space="0" w:color="auto"/>
        <w:right w:val="none" w:sz="0" w:space="0" w:color="auto"/>
      </w:divBdr>
      <w:divsChild>
        <w:div w:id="1422944883">
          <w:marLeft w:val="446"/>
          <w:marRight w:val="0"/>
          <w:marTop w:val="0"/>
          <w:marBottom w:val="0"/>
          <w:divBdr>
            <w:top w:val="none" w:sz="0" w:space="0" w:color="auto"/>
            <w:left w:val="none" w:sz="0" w:space="0" w:color="auto"/>
            <w:bottom w:val="none" w:sz="0" w:space="0" w:color="auto"/>
            <w:right w:val="none" w:sz="0" w:space="0" w:color="auto"/>
          </w:divBdr>
        </w:div>
      </w:divsChild>
    </w:div>
    <w:div w:id="1622760448">
      <w:bodyDiv w:val="1"/>
      <w:marLeft w:val="0"/>
      <w:marRight w:val="0"/>
      <w:marTop w:val="0"/>
      <w:marBottom w:val="0"/>
      <w:divBdr>
        <w:top w:val="none" w:sz="0" w:space="0" w:color="auto"/>
        <w:left w:val="none" w:sz="0" w:space="0" w:color="auto"/>
        <w:bottom w:val="none" w:sz="0" w:space="0" w:color="auto"/>
        <w:right w:val="none" w:sz="0" w:space="0" w:color="auto"/>
      </w:divBdr>
    </w:div>
    <w:div w:id="1624002317">
      <w:bodyDiv w:val="1"/>
      <w:marLeft w:val="0"/>
      <w:marRight w:val="0"/>
      <w:marTop w:val="0"/>
      <w:marBottom w:val="0"/>
      <w:divBdr>
        <w:top w:val="none" w:sz="0" w:space="0" w:color="auto"/>
        <w:left w:val="none" w:sz="0" w:space="0" w:color="auto"/>
        <w:bottom w:val="none" w:sz="0" w:space="0" w:color="auto"/>
        <w:right w:val="none" w:sz="0" w:space="0" w:color="auto"/>
      </w:divBdr>
    </w:div>
    <w:div w:id="1645236154">
      <w:bodyDiv w:val="1"/>
      <w:marLeft w:val="0"/>
      <w:marRight w:val="0"/>
      <w:marTop w:val="0"/>
      <w:marBottom w:val="0"/>
      <w:divBdr>
        <w:top w:val="none" w:sz="0" w:space="0" w:color="auto"/>
        <w:left w:val="none" w:sz="0" w:space="0" w:color="auto"/>
        <w:bottom w:val="none" w:sz="0" w:space="0" w:color="auto"/>
        <w:right w:val="none" w:sz="0" w:space="0" w:color="auto"/>
      </w:divBdr>
    </w:div>
    <w:div w:id="1689671762">
      <w:bodyDiv w:val="1"/>
      <w:marLeft w:val="0"/>
      <w:marRight w:val="0"/>
      <w:marTop w:val="0"/>
      <w:marBottom w:val="0"/>
      <w:divBdr>
        <w:top w:val="none" w:sz="0" w:space="0" w:color="auto"/>
        <w:left w:val="none" w:sz="0" w:space="0" w:color="auto"/>
        <w:bottom w:val="none" w:sz="0" w:space="0" w:color="auto"/>
        <w:right w:val="none" w:sz="0" w:space="0" w:color="auto"/>
      </w:divBdr>
      <w:divsChild>
        <w:div w:id="1751005851">
          <w:marLeft w:val="547"/>
          <w:marRight w:val="0"/>
          <w:marTop w:val="200"/>
          <w:marBottom w:val="0"/>
          <w:divBdr>
            <w:top w:val="none" w:sz="0" w:space="0" w:color="auto"/>
            <w:left w:val="none" w:sz="0" w:space="0" w:color="auto"/>
            <w:bottom w:val="none" w:sz="0" w:space="0" w:color="auto"/>
            <w:right w:val="none" w:sz="0" w:space="0" w:color="auto"/>
          </w:divBdr>
        </w:div>
      </w:divsChild>
    </w:div>
    <w:div w:id="1694064281">
      <w:bodyDiv w:val="1"/>
      <w:marLeft w:val="0"/>
      <w:marRight w:val="0"/>
      <w:marTop w:val="0"/>
      <w:marBottom w:val="0"/>
      <w:divBdr>
        <w:top w:val="none" w:sz="0" w:space="0" w:color="auto"/>
        <w:left w:val="none" w:sz="0" w:space="0" w:color="auto"/>
        <w:bottom w:val="none" w:sz="0" w:space="0" w:color="auto"/>
        <w:right w:val="none" w:sz="0" w:space="0" w:color="auto"/>
      </w:divBdr>
    </w:div>
    <w:div w:id="1697345678">
      <w:bodyDiv w:val="1"/>
      <w:marLeft w:val="0"/>
      <w:marRight w:val="0"/>
      <w:marTop w:val="0"/>
      <w:marBottom w:val="0"/>
      <w:divBdr>
        <w:top w:val="none" w:sz="0" w:space="0" w:color="auto"/>
        <w:left w:val="none" w:sz="0" w:space="0" w:color="auto"/>
        <w:bottom w:val="none" w:sz="0" w:space="0" w:color="auto"/>
        <w:right w:val="none" w:sz="0" w:space="0" w:color="auto"/>
      </w:divBdr>
    </w:div>
    <w:div w:id="1704089387">
      <w:bodyDiv w:val="1"/>
      <w:marLeft w:val="0"/>
      <w:marRight w:val="0"/>
      <w:marTop w:val="0"/>
      <w:marBottom w:val="0"/>
      <w:divBdr>
        <w:top w:val="none" w:sz="0" w:space="0" w:color="auto"/>
        <w:left w:val="none" w:sz="0" w:space="0" w:color="auto"/>
        <w:bottom w:val="none" w:sz="0" w:space="0" w:color="auto"/>
        <w:right w:val="none" w:sz="0" w:space="0" w:color="auto"/>
      </w:divBdr>
    </w:div>
    <w:div w:id="1713577176">
      <w:bodyDiv w:val="1"/>
      <w:marLeft w:val="0"/>
      <w:marRight w:val="0"/>
      <w:marTop w:val="0"/>
      <w:marBottom w:val="0"/>
      <w:divBdr>
        <w:top w:val="none" w:sz="0" w:space="0" w:color="auto"/>
        <w:left w:val="none" w:sz="0" w:space="0" w:color="auto"/>
        <w:bottom w:val="none" w:sz="0" w:space="0" w:color="auto"/>
        <w:right w:val="none" w:sz="0" w:space="0" w:color="auto"/>
      </w:divBdr>
    </w:div>
    <w:div w:id="1722747559">
      <w:bodyDiv w:val="1"/>
      <w:marLeft w:val="0"/>
      <w:marRight w:val="0"/>
      <w:marTop w:val="0"/>
      <w:marBottom w:val="0"/>
      <w:divBdr>
        <w:top w:val="none" w:sz="0" w:space="0" w:color="auto"/>
        <w:left w:val="none" w:sz="0" w:space="0" w:color="auto"/>
        <w:bottom w:val="none" w:sz="0" w:space="0" w:color="auto"/>
        <w:right w:val="none" w:sz="0" w:space="0" w:color="auto"/>
      </w:divBdr>
    </w:div>
    <w:div w:id="1727294221">
      <w:bodyDiv w:val="1"/>
      <w:marLeft w:val="0"/>
      <w:marRight w:val="0"/>
      <w:marTop w:val="0"/>
      <w:marBottom w:val="0"/>
      <w:divBdr>
        <w:top w:val="none" w:sz="0" w:space="0" w:color="auto"/>
        <w:left w:val="none" w:sz="0" w:space="0" w:color="auto"/>
        <w:bottom w:val="none" w:sz="0" w:space="0" w:color="auto"/>
        <w:right w:val="none" w:sz="0" w:space="0" w:color="auto"/>
      </w:divBdr>
    </w:div>
    <w:div w:id="1739589615">
      <w:bodyDiv w:val="1"/>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274"/>
          <w:marRight w:val="0"/>
          <w:marTop w:val="200"/>
          <w:marBottom w:val="0"/>
          <w:divBdr>
            <w:top w:val="none" w:sz="0" w:space="0" w:color="auto"/>
            <w:left w:val="none" w:sz="0" w:space="0" w:color="auto"/>
            <w:bottom w:val="none" w:sz="0" w:space="0" w:color="auto"/>
            <w:right w:val="none" w:sz="0" w:space="0" w:color="auto"/>
          </w:divBdr>
        </w:div>
      </w:divsChild>
    </w:div>
    <w:div w:id="1745104797">
      <w:bodyDiv w:val="1"/>
      <w:marLeft w:val="0"/>
      <w:marRight w:val="0"/>
      <w:marTop w:val="0"/>
      <w:marBottom w:val="0"/>
      <w:divBdr>
        <w:top w:val="none" w:sz="0" w:space="0" w:color="auto"/>
        <w:left w:val="none" w:sz="0" w:space="0" w:color="auto"/>
        <w:bottom w:val="none" w:sz="0" w:space="0" w:color="auto"/>
        <w:right w:val="none" w:sz="0" w:space="0" w:color="auto"/>
      </w:divBdr>
    </w:div>
    <w:div w:id="1761094978">
      <w:bodyDiv w:val="1"/>
      <w:marLeft w:val="0"/>
      <w:marRight w:val="0"/>
      <w:marTop w:val="0"/>
      <w:marBottom w:val="0"/>
      <w:divBdr>
        <w:top w:val="none" w:sz="0" w:space="0" w:color="auto"/>
        <w:left w:val="none" w:sz="0" w:space="0" w:color="auto"/>
        <w:bottom w:val="none" w:sz="0" w:space="0" w:color="auto"/>
        <w:right w:val="none" w:sz="0" w:space="0" w:color="auto"/>
      </w:divBdr>
    </w:div>
    <w:div w:id="1761484000">
      <w:bodyDiv w:val="1"/>
      <w:marLeft w:val="0"/>
      <w:marRight w:val="0"/>
      <w:marTop w:val="0"/>
      <w:marBottom w:val="0"/>
      <w:divBdr>
        <w:top w:val="none" w:sz="0" w:space="0" w:color="auto"/>
        <w:left w:val="none" w:sz="0" w:space="0" w:color="auto"/>
        <w:bottom w:val="none" w:sz="0" w:space="0" w:color="auto"/>
        <w:right w:val="none" w:sz="0" w:space="0" w:color="auto"/>
      </w:divBdr>
    </w:div>
    <w:div w:id="1762989019">
      <w:bodyDiv w:val="1"/>
      <w:marLeft w:val="0"/>
      <w:marRight w:val="0"/>
      <w:marTop w:val="0"/>
      <w:marBottom w:val="0"/>
      <w:divBdr>
        <w:top w:val="none" w:sz="0" w:space="0" w:color="auto"/>
        <w:left w:val="none" w:sz="0" w:space="0" w:color="auto"/>
        <w:bottom w:val="none" w:sz="0" w:space="0" w:color="auto"/>
        <w:right w:val="none" w:sz="0" w:space="0" w:color="auto"/>
      </w:divBdr>
    </w:div>
    <w:div w:id="1768964613">
      <w:bodyDiv w:val="1"/>
      <w:marLeft w:val="0"/>
      <w:marRight w:val="0"/>
      <w:marTop w:val="0"/>
      <w:marBottom w:val="0"/>
      <w:divBdr>
        <w:top w:val="none" w:sz="0" w:space="0" w:color="auto"/>
        <w:left w:val="none" w:sz="0" w:space="0" w:color="auto"/>
        <w:bottom w:val="none" w:sz="0" w:space="0" w:color="auto"/>
        <w:right w:val="none" w:sz="0" w:space="0" w:color="auto"/>
      </w:divBdr>
    </w:div>
    <w:div w:id="1787385577">
      <w:bodyDiv w:val="1"/>
      <w:marLeft w:val="0"/>
      <w:marRight w:val="0"/>
      <w:marTop w:val="0"/>
      <w:marBottom w:val="0"/>
      <w:divBdr>
        <w:top w:val="none" w:sz="0" w:space="0" w:color="auto"/>
        <w:left w:val="none" w:sz="0" w:space="0" w:color="auto"/>
        <w:bottom w:val="none" w:sz="0" w:space="0" w:color="auto"/>
        <w:right w:val="none" w:sz="0" w:space="0" w:color="auto"/>
      </w:divBdr>
    </w:div>
    <w:div w:id="1788693371">
      <w:bodyDiv w:val="1"/>
      <w:marLeft w:val="0"/>
      <w:marRight w:val="0"/>
      <w:marTop w:val="0"/>
      <w:marBottom w:val="0"/>
      <w:divBdr>
        <w:top w:val="none" w:sz="0" w:space="0" w:color="auto"/>
        <w:left w:val="none" w:sz="0" w:space="0" w:color="auto"/>
        <w:bottom w:val="none" w:sz="0" w:space="0" w:color="auto"/>
        <w:right w:val="none" w:sz="0" w:space="0" w:color="auto"/>
      </w:divBdr>
    </w:div>
    <w:div w:id="1823043596">
      <w:bodyDiv w:val="1"/>
      <w:marLeft w:val="0"/>
      <w:marRight w:val="0"/>
      <w:marTop w:val="0"/>
      <w:marBottom w:val="0"/>
      <w:divBdr>
        <w:top w:val="none" w:sz="0" w:space="0" w:color="auto"/>
        <w:left w:val="none" w:sz="0" w:space="0" w:color="auto"/>
        <w:bottom w:val="none" w:sz="0" w:space="0" w:color="auto"/>
        <w:right w:val="none" w:sz="0" w:space="0" w:color="auto"/>
      </w:divBdr>
    </w:div>
    <w:div w:id="1828204421">
      <w:bodyDiv w:val="1"/>
      <w:marLeft w:val="0"/>
      <w:marRight w:val="0"/>
      <w:marTop w:val="0"/>
      <w:marBottom w:val="0"/>
      <w:divBdr>
        <w:top w:val="none" w:sz="0" w:space="0" w:color="auto"/>
        <w:left w:val="none" w:sz="0" w:space="0" w:color="auto"/>
        <w:bottom w:val="none" w:sz="0" w:space="0" w:color="auto"/>
        <w:right w:val="none" w:sz="0" w:space="0" w:color="auto"/>
      </w:divBdr>
    </w:div>
    <w:div w:id="1839151771">
      <w:bodyDiv w:val="1"/>
      <w:marLeft w:val="0"/>
      <w:marRight w:val="0"/>
      <w:marTop w:val="0"/>
      <w:marBottom w:val="0"/>
      <w:divBdr>
        <w:top w:val="none" w:sz="0" w:space="0" w:color="auto"/>
        <w:left w:val="none" w:sz="0" w:space="0" w:color="auto"/>
        <w:bottom w:val="none" w:sz="0" w:space="0" w:color="auto"/>
        <w:right w:val="none" w:sz="0" w:space="0" w:color="auto"/>
      </w:divBdr>
    </w:div>
    <w:div w:id="1875776155">
      <w:bodyDiv w:val="1"/>
      <w:marLeft w:val="0"/>
      <w:marRight w:val="0"/>
      <w:marTop w:val="0"/>
      <w:marBottom w:val="0"/>
      <w:divBdr>
        <w:top w:val="none" w:sz="0" w:space="0" w:color="auto"/>
        <w:left w:val="none" w:sz="0" w:space="0" w:color="auto"/>
        <w:bottom w:val="none" w:sz="0" w:space="0" w:color="auto"/>
        <w:right w:val="none" w:sz="0" w:space="0" w:color="auto"/>
      </w:divBdr>
    </w:div>
    <w:div w:id="1884827499">
      <w:bodyDiv w:val="1"/>
      <w:marLeft w:val="0"/>
      <w:marRight w:val="0"/>
      <w:marTop w:val="0"/>
      <w:marBottom w:val="0"/>
      <w:divBdr>
        <w:top w:val="none" w:sz="0" w:space="0" w:color="auto"/>
        <w:left w:val="none" w:sz="0" w:space="0" w:color="auto"/>
        <w:bottom w:val="none" w:sz="0" w:space="0" w:color="auto"/>
        <w:right w:val="none" w:sz="0" w:space="0" w:color="auto"/>
      </w:divBdr>
    </w:div>
    <w:div w:id="1906379158">
      <w:bodyDiv w:val="1"/>
      <w:marLeft w:val="0"/>
      <w:marRight w:val="0"/>
      <w:marTop w:val="0"/>
      <w:marBottom w:val="0"/>
      <w:divBdr>
        <w:top w:val="none" w:sz="0" w:space="0" w:color="auto"/>
        <w:left w:val="none" w:sz="0" w:space="0" w:color="auto"/>
        <w:bottom w:val="none" w:sz="0" w:space="0" w:color="auto"/>
        <w:right w:val="none" w:sz="0" w:space="0" w:color="auto"/>
      </w:divBdr>
    </w:div>
    <w:div w:id="1922369032">
      <w:bodyDiv w:val="1"/>
      <w:marLeft w:val="0"/>
      <w:marRight w:val="0"/>
      <w:marTop w:val="0"/>
      <w:marBottom w:val="0"/>
      <w:divBdr>
        <w:top w:val="none" w:sz="0" w:space="0" w:color="auto"/>
        <w:left w:val="none" w:sz="0" w:space="0" w:color="auto"/>
        <w:bottom w:val="none" w:sz="0" w:space="0" w:color="auto"/>
        <w:right w:val="none" w:sz="0" w:space="0" w:color="auto"/>
      </w:divBdr>
    </w:div>
    <w:div w:id="1929803336">
      <w:bodyDiv w:val="1"/>
      <w:marLeft w:val="0"/>
      <w:marRight w:val="0"/>
      <w:marTop w:val="0"/>
      <w:marBottom w:val="0"/>
      <w:divBdr>
        <w:top w:val="none" w:sz="0" w:space="0" w:color="auto"/>
        <w:left w:val="none" w:sz="0" w:space="0" w:color="auto"/>
        <w:bottom w:val="none" w:sz="0" w:space="0" w:color="auto"/>
        <w:right w:val="none" w:sz="0" w:space="0" w:color="auto"/>
      </w:divBdr>
    </w:div>
    <w:div w:id="1932347720">
      <w:bodyDiv w:val="1"/>
      <w:marLeft w:val="0"/>
      <w:marRight w:val="0"/>
      <w:marTop w:val="0"/>
      <w:marBottom w:val="0"/>
      <w:divBdr>
        <w:top w:val="none" w:sz="0" w:space="0" w:color="auto"/>
        <w:left w:val="none" w:sz="0" w:space="0" w:color="auto"/>
        <w:bottom w:val="none" w:sz="0" w:space="0" w:color="auto"/>
        <w:right w:val="none" w:sz="0" w:space="0" w:color="auto"/>
      </w:divBdr>
    </w:div>
    <w:div w:id="1941331333">
      <w:bodyDiv w:val="1"/>
      <w:marLeft w:val="0"/>
      <w:marRight w:val="0"/>
      <w:marTop w:val="0"/>
      <w:marBottom w:val="0"/>
      <w:divBdr>
        <w:top w:val="none" w:sz="0" w:space="0" w:color="auto"/>
        <w:left w:val="none" w:sz="0" w:space="0" w:color="auto"/>
        <w:bottom w:val="none" w:sz="0" w:space="0" w:color="auto"/>
        <w:right w:val="none" w:sz="0" w:space="0" w:color="auto"/>
      </w:divBdr>
    </w:div>
    <w:div w:id="1973556087">
      <w:bodyDiv w:val="1"/>
      <w:marLeft w:val="0"/>
      <w:marRight w:val="0"/>
      <w:marTop w:val="0"/>
      <w:marBottom w:val="0"/>
      <w:divBdr>
        <w:top w:val="none" w:sz="0" w:space="0" w:color="auto"/>
        <w:left w:val="none" w:sz="0" w:space="0" w:color="auto"/>
        <w:bottom w:val="none" w:sz="0" w:space="0" w:color="auto"/>
        <w:right w:val="none" w:sz="0" w:space="0" w:color="auto"/>
      </w:divBdr>
    </w:div>
    <w:div w:id="2005666967">
      <w:bodyDiv w:val="1"/>
      <w:marLeft w:val="0"/>
      <w:marRight w:val="0"/>
      <w:marTop w:val="0"/>
      <w:marBottom w:val="0"/>
      <w:divBdr>
        <w:top w:val="none" w:sz="0" w:space="0" w:color="auto"/>
        <w:left w:val="none" w:sz="0" w:space="0" w:color="auto"/>
        <w:bottom w:val="none" w:sz="0" w:space="0" w:color="auto"/>
        <w:right w:val="none" w:sz="0" w:space="0" w:color="auto"/>
      </w:divBdr>
    </w:div>
    <w:div w:id="2020035167">
      <w:bodyDiv w:val="1"/>
      <w:marLeft w:val="0"/>
      <w:marRight w:val="0"/>
      <w:marTop w:val="0"/>
      <w:marBottom w:val="0"/>
      <w:divBdr>
        <w:top w:val="none" w:sz="0" w:space="0" w:color="auto"/>
        <w:left w:val="none" w:sz="0" w:space="0" w:color="auto"/>
        <w:bottom w:val="none" w:sz="0" w:space="0" w:color="auto"/>
        <w:right w:val="none" w:sz="0" w:space="0" w:color="auto"/>
      </w:divBdr>
    </w:div>
    <w:div w:id="2021270328">
      <w:bodyDiv w:val="1"/>
      <w:marLeft w:val="0"/>
      <w:marRight w:val="0"/>
      <w:marTop w:val="0"/>
      <w:marBottom w:val="0"/>
      <w:divBdr>
        <w:top w:val="none" w:sz="0" w:space="0" w:color="auto"/>
        <w:left w:val="none" w:sz="0" w:space="0" w:color="auto"/>
        <w:bottom w:val="none" w:sz="0" w:space="0" w:color="auto"/>
        <w:right w:val="none" w:sz="0" w:space="0" w:color="auto"/>
      </w:divBdr>
    </w:div>
    <w:div w:id="2022976242">
      <w:bodyDiv w:val="1"/>
      <w:marLeft w:val="0"/>
      <w:marRight w:val="0"/>
      <w:marTop w:val="0"/>
      <w:marBottom w:val="0"/>
      <w:divBdr>
        <w:top w:val="none" w:sz="0" w:space="0" w:color="auto"/>
        <w:left w:val="none" w:sz="0" w:space="0" w:color="auto"/>
        <w:bottom w:val="none" w:sz="0" w:space="0" w:color="auto"/>
        <w:right w:val="none" w:sz="0" w:space="0" w:color="auto"/>
      </w:divBdr>
    </w:div>
    <w:div w:id="2045400669">
      <w:bodyDiv w:val="1"/>
      <w:marLeft w:val="0"/>
      <w:marRight w:val="0"/>
      <w:marTop w:val="0"/>
      <w:marBottom w:val="0"/>
      <w:divBdr>
        <w:top w:val="none" w:sz="0" w:space="0" w:color="auto"/>
        <w:left w:val="none" w:sz="0" w:space="0" w:color="auto"/>
        <w:bottom w:val="none" w:sz="0" w:space="0" w:color="auto"/>
        <w:right w:val="none" w:sz="0" w:space="0" w:color="auto"/>
      </w:divBdr>
      <w:divsChild>
        <w:div w:id="2070617190">
          <w:marLeft w:val="274"/>
          <w:marRight w:val="0"/>
          <w:marTop w:val="200"/>
          <w:marBottom w:val="0"/>
          <w:divBdr>
            <w:top w:val="none" w:sz="0" w:space="0" w:color="auto"/>
            <w:left w:val="none" w:sz="0" w:space="0" w:color="auto"/>
            <w:bottom w:val="none" w:sz="0" w:space="0" w:color="auto"/>
            <w:right w:val="none" w:sz="0" w:space="0" w:color="auto"/>
          </w:divBdr>
        </w:div>
      </w:divsChild>
    </w:div>
    <w:div w:id="2051298376">
      <w:bodyDiv w:val="1"/>
      <w:marLeft w:val="0"/>
      <w:marRight w:val="0"/>
      <w:marTop w:val="0"/>
      <w:marBottom w:val="0"/>
      <w:divBdr>
        <w:top w:val="none" w:sz="0" w:space="0" w:color="auto"/>
        <w:left w:val="none" w:sz="0" w:space="0" w:color="auto"/>
        <w:bottom w:val="none" w:sz="0" w:space="0" w:color="auto"/>
        <w:right w:val="none" w:sz="0" w:space="0" w:color="auto"/>
      </w:divBdr>
    </w:div>
    <w:div w:id="2057049205">
      <w:bodyDiv w:val="1"/>
      <w:marLeft w:val="0"/>
      <w:marRight w:val="0"/>
      <w:marTop w:val="0"/>
      <w:marBottom w:val="0"/>
      <w:divBdr>
        <w:top w:val="none" w:sz="0" w:space="0" w:color="auto"/>
        <w:left w:val="none" w:sz="0" w:space="0" w:color="auto"/>
        <w:bottom w:val="none" w:sz="0" w:space="0" w:color="auto"/>
        <w:right w:val="none" w:sz="0" w:space="0" w:color="auto"/>
      </w:divBdr>
    </w:div>
    <w:div w:id="2085176531">
      <w:bodyDiv w:val="1"/>
      <w:marLeft w:val="0"/>
      <w:marRight w:val="0"/>
      <w:marTop w:val="0"/>
      <w:marBottom w:val="0"/>
      <w:divBdr>
        <w:top w:val="none" w:sz="0" w:space="0" w:color="auto"/>
        <w:left w:val="none" w:sz="0" w:space="0" w:color="auto"/>
        <w:bottom w:val="none" w:sz="0" w:space="0" w:color="auto"/>
        <w:right w:val="none" w:sz="0" w:space="0" w:color="auto"/>
      </w:divBdr>
    </w:div>
    <w:div w:id="2102296364">
      <w:bodyDiv w:val="1"/>
      <w:marLeft w:val="0"/>
      <w:marRight w:val="0"/>
      <w:marTop w:val="0"/>
      <w:marBottom w:val="0"/>
      <w:divBdr>
        <w:top w:val="none" w:sz="0" w:space="0" w:color="auto"/>
        <w:left w:val="none" w:sz="0" w:space="0" w:color="auto"/>
        <w:bottom w:val="none" w:sz="0" w:space="0" w:color="auto"/>
        <w:right w:val="none" w:sz="0" w:space="0" w:color="auto"/>
      </w:divBdr>
    </w:div>
    <w:div w:id="2109350541">
      <w:bodyDiv w:val="1"/>
      <w:marLeft w:val="0"/>
      <w:marRight w:val="0"/>
      <w:marTop w:val="0"/>
      <w:marBottom w:val="0"/>
      <w:divBdr>
        <w:top w:val="none" w:sz="0" w:space="0" w:color="auto"/>
        <w:left w:val="none" w:sz="0" w:space="0" w:color="auto"/>
        <w:bottom w:val="none" w:sz="0" w:space="0" w:color="auto"/>
        <w:right w:val="none" w:sz="0" w:space="0" w:color="auto"/>
      </w:divBdr>
    </w:div>
    <w:div w:id="211327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nquisbankinggroup.com/shareholder-hub/results-reports-and-presentation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brrmedia.news/VANQ_IR_2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anquisbankinggroup.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vanquisbankinggroup@brunswickgroup.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riam.mckay@vanqui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b086667-544a-49f0-9d42-1cc1ba741747" xsi:nil="true"/>
    <lcf76f155ced4ddcb4097134ff3c332f xmlns="0f4e1d6e-03e4-4e2a-9685-b4b625c28f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21A36F0FF9F848BAB889B0D32425FF" ma:contentTypeVersion="17" ma:contentTypeDescription="Create a new document." ma:contentTypeScope="" ma:versionID="4cfd4c971fe7cd0dc519bd5344ca0bda">
  <xsd:schema xmlns:xsd="http://www.w3.org/2001/XMLSchema" xmlns:xs="http://www.w3.org/2001/XMLSchema" xmlns:p="http://schemas.microsoft.com/office/2006/metadata/properties" xmlns:ns1="http://schemas.microsoft.com/sharepoint/v3" xmlns:ns2="0f4e1d6e-03e4-4e2a-9685-b4b625c28fd9" xmlns:ns3="cb086667-544a-49f0-9d42-1cc1ba741747" targetNamespace="http://schemas.microsoft.com/office/2006/metadata/properties" ma:root="true" ma:fieldsID="2053db9c547fbe5980731ca58ddb2812" ns1:_="" ns2:_="" ns3:_="">
    <xsd:import namespace="http://schemas.microsoft.com/sharepoint/v3"/>
    <xsd:import namespace="0f4e1d6e-03e4-4e2a-9685-b4b625c28fd9"/>
    <xsd:import namespace="cb086667-544a-49f0-9d42-1cc1ba74174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4e1d6e-03e4-4e2a-9685-b4b625c28f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c793a9-347d-4481-abe9-16a2acff089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86667-544a-49f0-9d42-1cc1ba7417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7d9d2b-a528-4187-b716-c95cec4d5155}" ma:internalName="TaxCatchAll" ma:showField="CatchAllData" ma:web="cb086667-544a-49f0-9d42-1cc1ba741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335302-08EC-4B92-8C7D-A2720E69A37E}">
  <ds:schemaRefs>
    <ds:schemaRef ds:uri="http://schemas.microsoft.com/office/2006/metadata/properties"/>
    <ds:schemaRef ds:uri="http://schemas.microsoft.com/office/infopath/2007/PartnerControls"/>
    <ds:schemaRef ds:uri="http://schemas.microsoft.com/sharepoint/v3"/>
    <ds:schemaRef ds:uri="bef28e94-248e-454a-8534-20decc41487d"/>
    <ds:schemaRef ds:uri="cb086667-544a-49f0-9d42-1cc1ba741747"/>
  </ds:schemaRefs>
</ds:datastoreItem>
</file>

<file path=customXml/itemProps2.xml><?xml version="1.0" encoding="utf-8"?>
<ds:datastoreItem xmlns:ds="http://schemas.openxmlformats.org/officeDocument/2006/customXml" ds:itemID="{F275DE7A-D470-4E73-8CDA-33276308D8E0}"/>
</file>

<file path=customXml/itemProps3.xml><?xml version="1.0" encoding="utf-8"?>
<ds:datastoreItem xmlns:ds="http://schemas.openxmlformats.org/officeDocument/2006/customXml" ds:itemID="{AE8EA74E-EB57-4EEB-914E-FFF7E1AAD0AA}">
  <ds:schemaRefs>
    <ds:schemaRef ds:uri="http://schemas.openxmlformats.org/officeDocument/2006/bibliography"/>
  </ds:schemaRefs>
</ds:datastoreItem>
</file>

<file path=customXml/itemProps4.xml><?xml version="1.0" encoding="utf-8"?>
<ds:datastoreItem xmlns:ds="http://schemas.openxmlformats.org/officeDocument/2006/customXml" ds:itemID="{A6BBB73E-BD62-4BC0-9945-D8FB4BE8C8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17498</Words>
  <Characters>99745</Characters>
  <Application>Microsoft Office Word</Application>
  <DocSecurity>4</DocSecurity>
  <Lines>831</Lines>
  <Paragraphs>234</Paragraphs>
  <ScaleCrop>false</ScaleCrop>
  <Company>Provident Financial Group</Company>
  <LinksUpToDate>false</LinksUpToDate>
  <CharactersWithSpaces>117009</CharactersWithSpaces>
  <SharedDoc>false</SharedDoc>
  <HLinks>
    <vt:vector size="30" baseType="variant">
      <vt:variant>
        <vt:i4>2556013</vt:i4>
      </vt:variant>
      <vt:variant>
        <vt:i4>12</vt:i4>
      </vt:variant>
      <vt:variant>
        <vt:i4>0</vt:i4>
      </vt:variant>
      <vt:variant>
        <vt:i4>5</vt:i4>
      </vt:variant>
      <vt:variant>
        <vt:lpwstr>http://www.vanquisbankinggroup.com/</vt:lpwstr>
      </vt:variant>
      <vt:variant>
        <vt:lpwstr/>
      </vt:variant>
      <vt:variant>
        <vt:i4>4194405</vt:i4>
      </vt:variant>
      <vt:variant>
        <vt:i4>9</vt:i4>
      </vt:variant>
      <vt:variant>
        <vt:i4>0</vt:i4>
      </vt:variant>
      <vt:variant>
        <vt:i4>5</vt:i4>
      </vt:variant>
      <vt:variant>
        <vt:lpwstr>mailto:vanquisbankinggroup@brunswickgroup.com</vt:lpwstr>
      </vt:variant>
      <vt:variant>
        <vt:lpwstr/>
      </vt:variant>
      <vt:variant>
        <vt:i4>4718629</vt:i4>
      </vt:variant>
      <vt:variant>
        <vt:i4>6</vt:i4>
      </vt:variant>
      <vt:variant>
        <vt:i4>0</vt:i4>
      </vt:variant>
      <vt:variant>
        <vt:i4>5</vt:i4>
      </vt:variant>
      <vt:variant>
        <vt:lpwstr>mailto:miriam.mckay@vanquis.com</vt:lpwstr>
      </vt:variant>
      <vt:variant>
        <vt:lpwstr/>
      </vt:variant>
      <vt:variant>
        <vt:i4>2687036</vt:i4>
      </vt:variant>
      <vt:variant>
        <vt:i4>3</vt:i4>
      </vt:variant>
      <vt:variant>
        <vt:i4>0</vt:i4>
      </vt:variant>
      <vt:variant>
        <vt:i4>5</vt:i4>
      </vt:variant>
      <vt:variant>
        <vt:lpwstr>https://www.vanquisbankinggroup.com/shareholder-hub/results-reports-and-presentations/</vt:lpwstr>
      </vt:variant>
      <vt:variant>
        <vt:lpwstr/>
      </vt:variant>
      <vt:variant>
        <vt:i4>3080291</vt:i4>
      </vt:variant>
      <vt:variant>
        <vt:i4>0</vt:i4>
      </vt:variant>
      <vt:variant>
        <vt:i4>0</vt:i4>
      </vt:variant>
      <vt:variant>
        <vt:i4>5</vt:i4>
      </vt:variant>
      <vt:variant>
        <vt:lpwstr>https://brrmedia.news/VANQ_IR_24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Ward (PF Group Finance)</dc:creator>
  <cp:keywords/>
  <dc:description/>
  <cp:lastModifiedBy>Jessica Ward (PF Group Finance)</cp:lastModifiedBy>
  <cp:revision>2</cp:revision>
  <cp:lastPrinted>2024-07-31T17:31:00Z</cp:lastPrinted>
  <dcterms:created xsi:type="dcterms:W3CDTF">2024-08-01T05:28:00Z</dcterms:created>
  <dcterms:modified xsi:type="dcterms:W3CDTF">2024-08-01T05:28:00Z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2022-03-26T19:23:46Z</vt:lpwstr>
  </property>
  <property fmtid="{D5CDD505-2E9C-101B-9397-08002B2CF9AE}" pid="4" name="MSIP_Label_ea60d57e-af5b-4752-ac57-3e4f28ca11dc_Method">
    <vt:lpwstr>Privileged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e64211c6-490c-4a6f-b3a7-7121a1baa855</vt:lpwstr>
  </property>
  <property fmtid="{D5CDD505-2E9C-101B-9397-08002B2CF9AE}" pid="8" name="MSIP_Label_ea60d57e-af5b-4752-ac57-3e4f28ca11dc_ContentBits">
    <vt:lpwstr>0</vt:lpwstr>
  </property>
  <property fmtid="{D5CDD505-2E9C-101B-9397-08002B2CF9AE}" pid="9" name="ContentTypeId">
    <vt:lpwstr>0x010100E97BC98785A6C544ABF1D42769C06435</vt:lpwstr>
  </property>
  <property fmtid="{D5CDD505-2E9C-101B-9397-08002B2CF9AE}" pid="10" name="Order">
    <vt:r8>100</vt:r8>
  </property>
  <property fmtid="{D5CDD505-2E9C-101B-9397-08002B2CF9AE}" pid="11" name="MediaServiceImageTags">
    <vt:lpwstr/>
  </property>
  <property fmtid="{D5CDD505-2E9C-101B-9397-08002B2CF9AE}" pid="12" name="MSIP_Label_7fc53943-e1cb-40e8-b26b-6af2088bd256_Enabled">
    <vt:lpwstr>true</vt:lpwstr>
  </property>
  <property fmtid="{D5CDD505-2E9C-101B-9397-08002B2CF9AE}" pid="13" name="MSIP_Label_7fc53943-e1cb-40e8-b26b-6af2088bd256_SetDate">
    <vt:lpwstr>2024-07-30T12:32:20Z</vt:lpwstr>
  </property>
  <property fmtid="{D5CDD505-2E9C-101B-9397-08002B2CF9AE}" pid="14" name="MSIP_Label_7fc53943-e1cb-40e8-b26b-6af2088bd256_Method">
    <vt:lpwstr>Privileged</vt:lpwstr>
  </property>
  <property fmtid="{D5CDD505-2E9C-101B-9397-08002B2CF9AE}" pid="15" name="MSIP_Label_7fc53943-e1cb-40e8-b26b-6af2088bd256_Name">
    <vt:lpwstr>Public</vt:lpwstr>
  </property>
  <property fmtid="{D5CDD505-2E9C-101B-9397-08002B2CF9AE}" pid="16" name="MSIP_Label_7fc53943-e1cb-40e8-b26b-6af2088bd256_SiteId">
    <vt:lpwstr>73984ebf-3c43-45de-900f-969cd50a6a65</vt:lpwstr>
  </property>
  <property fmtid="{D5CDD505-2E9C-101B-9397-08002B2CF9AE}" pid="17" name="MSIP_Label_7fc53943-e1cb-40e8-b26b-6af2088bd256_ActionId">
    <vt:lpwstr>23d02a10-54a6-493e-8378-0985086f0817</vt:lpwstr>
  </property>
  <property fmtid="{D5CDD505-2E9C-101B-9397-08002B2CF9AE}" pid="18" name="MSIP_Label_7fc53943-e1cb-40e8-b26b-6af2088bd256_ContentBits">
    <vt:lpwstr>0</vt:lpwstr>
  </property>
</Properties>
</file>